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40B4" w:rsidRPr="00310A71" w:rsidP="0085385C" w14:paraId="39DEC533" w14:textId="6B16EEED">
      <w:pPr>
        <w:pStyle w:val="Title"/>
        <w:jc w:val="center"/>
        <w:rPr>
          <w:rFonts w:ascii="Times New Roman" w:hAnsi="Times New Roman" w:cs="Times New Roman"/>
          <w:sz w:val="36"/>
          <w:szCs w:val="36"/>
        </w:rPr>
      </w:pPr>
      <w:r w:rsidRPr="00310A71">
        <w:rPr>
          <w:rFonts w:ascii="Times New Roman" w:hAnsi="Times New Roman" w:cs="Times New Roman"/>
          <w:sz w:val="36"/>
          <w:szCs w:val="36"/>
        </w:rPr>
        <w:t xml:space="preserve">Comparison of Graduate Enrollment </w:t>
      </w:r>
      <w:r w:rsidRPr="00310A71" w:rsidR="00A0072A">
        <w:rPr>
          <w:rFonts w:ascii="Times New Roman" w:hAnsi="Times New Roman" w:cs="Times New Roman"/>
          <w:sz w:val="36"/>
          <w:szCs w:val="36"/>
        </w:rPr>
        <w:t>D</w:t>
      </w:r>
      <w:r w:rsidRPr="00310A71">
        <w:rPr>
          <w:rFonts w:ascii="Times New Roman" w:hAnsi="Times New Roman" w:cs="Times New Roman"/>
          <w:sz w:val="36"/>
          <w:szCs w:val="36"/>
        </w:rPr>
        <w:t>ata</w:t>
      </w:r>
      <w:r w:rsidRPr="00310A71" w:rsidR="00A0072A">
        <w:rPr>
          <w:rFonts w:ascii="Times New Roman" w:hAnsi="Times New Roman" w:cs="Times New Roman"/>
          <w:sz w:val="36"/>
          <w:szCs w:val="36"/>
        </w:rPr>
        <w:t xml:space="preserve"> from the NSF-NIH Survey of Graduate Students and Postdoctorates in Science and Engineering (GSS) and the</w:t>
      </w:r>
      <w:r w:rsidRPr="00310A71" w:rsidR="00413D81">
        <w:rPr>
          <w:rFonts w:ascii="Times New Roman" w:hAnsi="Times New Roman" w:cs="Times New Roman"/>
          <w:sz w:val="36"/>
          <w:szCs w:val="36"/>
        </w:rPr>
        <w:t xml:space="preserve"> National Student Clearinghouse (NSC) data</w:t>
      </w:r>
    </w:p>
    <w:p w:rsidR="003640B4" w:rsidRPr="00310A71" w14:paraId="5DC88442" w14:textId="77777777">
      <w:pPr>
        <w:rPr>
          <w:rFonts w:ascii="Times New Roman" w:hAnsi="Times New Roman" w:cs="Times New Roman"/>
        </w:rPr>
      </w:pPr>
    </w:p>
    <w:p w:rsidR="00FB349C" w:rsidRPr="00343197" w:rsidP="00F51C52" w14:paraId="01B591D4" w14:textId="324009E6">
      <w:pPr>
        <w:pStyle w:val="Heading1"/>
        <w:spacing w:before="120" w:after="120"/>
      </w:pPr>
      <w:r w:rsidRPr="00343197">
        <w:t>Background</w:t>
      </w:r>
    </w:p>
    <w:p w:rsidR="00A9204E" w:rsidRPr="00310A71" w:rsidP="008C5236" w14:paraId="3896477C" w14:textId="28C069CD">
      <w:pPr>
        <w:rPr>
          <w:rFonts w:ascii="Times New Roman" w:hAnsi="Times New Roman" w:cs="Times New Roman"/>
        </w:rPr>
      </w:pPr>
      <w:r w:rsidRPr="00310A71">
        <w:rPr>
          <w:rFonts w:ascii="Times New Roman" w:hAnsi="Times New Roman" w:cs="Times New Roman"/>
        </w:rPr>
        <w:t xml:space="preserve">An initial comparison of </w:t>
      </w:r>
      <w:r w:rsidRPr="00310A71" w:rsidR="00F030F1">
        <w:rPr>
          <w:rFonts w:ascii="Times New Roman" w:hAnsi="Times New Roman" w:cs="Times New Roman"/>
        </w:rPr>
        <w:t>the</w:t>
      </w:r>
      <w:r w:rsidR="00F47D1D">
        <w:rPr>
          <w:rFonts w:ascii="Times New Roman" w:hAnsi="Times New Roman" w:cs="Times New Roman"/>
        </w:rPr>
        <w:t xml:space="preserve"> 2019</w:t>
      </w:r>
      <w:r w:rsidRPr="00310A71" w:rsidR="00F030F1">
        <w:rPr>
          <w:rFonts w:ascii="Times New Roman" w:hAnsi="Times New Roman" w:cs="Times New Roman"/>
        </w:rPr>
        <w:t xml:space="preserve"> GSS data against </w:t>
      </w:r>
      <w:r w:rsidRPr="00310A71" w:rsidR="00FE78B6">
        <w:rPr>
          <w:rFonts w:ascii="Times New Roman" w:hAnsi="Times New Roman" w:cs="Times New Roman"/>
        </w:rPr>
        <w:t xml:space="preserve">NSC </w:t>
      </w:r>
      <w:r w:rsidRPr="00310A71" w:rsidR="004E6866">
        <w:rPr>
          <w:rFonts w:ascii="Times New Roman" w:hAnsi="Times New Roman" w:cs="Times New Roman"/>
        </w:rPr>
        <w:t xml:space="preserve">doctoral enrollment data </w:t>
      </w:r>
      <w:r w:rsidRPr="00310A71" w:rsidR="00FE78B6">
        <w:rPr>
          <w:rFonts w:ascii="Times New Roman" w:hAnsi="Times New Roman" w:cs="Times New Roman"/>
        </w:rPr>
        <w:t>found ma</w:t>
      </w:r>
      <w:r w:rsidRPr="00310A71" w:rsidR="00F96E4D">
        <w:rPr>
          <w:rFonts w:ascii="Times New Roman" w:hAnsi="Times New Roman" w:cs="Times New Roman"/>
        </w:rPr>
        <w:t xml:space="preserve">jor discrepancies in terms of total counts, </w:t>
      </w:r>
      <w:r w:rsidRPr="00310A71" w:rsidR="00FA5AD6">
        <w:rPr>
          <w:rFonts w:ascii="Times New Roman" w:hAnsi="Times New Roman" w:cs="Times New Roman"/>
        </w:rPr>
        <w:t>demographics,</w:t>
      </w:r>
      <w:r w:rsidRPr="00310A71" w:rsidR="00121214">
        <w:rPr>
          <w:rFonts w:ascii="Times New Roman" w:hAnsi="Times New Roman" w:cs="Times New Roman"/>
        </w:rPr>
        <w:t xml:space="preserve"> and field level distributions. </w:t>
      </w:r>
      <w:r w:rsidRPr="00310A71" w:rsidR="00434D3F">
        <w:rPr>
          <w:rFonts w:ascii="Times New Roman" w:hAnsi="Times New Roman" w:cs="Times New Roman"/>
        </w:rPr>
        <w:t>In particular, the NSC data showed</w:t>
      </w:r>
      <w:r w:rsidR="00E24D21">
        <w:rPr>
          <w:rFonts w:ascii="Times New Roman" w:hAnsi="Times New Roman" w:cs="Times New Roman"/>
        </w:rPr>
        <w:t>:</w:t>
      </w:r>
      <w:r w:rsidRPr="00310A71" w:rsidR="00434D3F">
        <w:rPr>
          <w:rFonts w:ascii="Times New Roman" w:hAnsi="Times New Roman" w:cs="Times New Roman"/>
        </w:rPr>
        <w:t xml:space="preserve"> fewer </w:t>
      </w:r>
      <w:r w:rsidRPr="00310A71" w:rsidR="009829E1">
        <w:rPr>
          <w:rFonts w:ascii="Times New Roman" w:hAnsi="Times New Roman" w:cs="Times New Roman"/>
        </w:rPr>
        <w:t>doctoral students in GSS eligible fields</w:t>
      </w:r>
      <w:r w:rsidR="00E24D21">
        <w:rPr>
          <w:rFonts w:ascii="Times New Roman" w:hAnsi="Times New Roman" w:cs="Times New Roman"/>
        </w:rPr>
        <w:t>;</w:t>
      </w:r>
      <w:r w:rsidRPr="00310A71" w:rsidR="009829E1">
        <w:rPr>
          <w:rFonts w:ascii="Times New Roman" w:hAnsi="Times New Roman" w:cs="Times New Roman"/>
        </w:rPr>
        <w:t xml:space="preserve"> </w:t>
      </w:r>
      <w:r w:rsidRPr="00310A71" w:rsidR="00792555">
        <w:rPr>
          <w:rFonts w:ascii="Times New Roman" w:hAnsi="Times New Roman" w:cs="Times New Roman"/>
        </w:rPr>
        <w:t xml:space="preserve">relatively </w:t>
      </w:r>
      <w:r w:rsidRPr="00310A71" w:rsidR="009829E1">
        <w:rPr>
          <w:rFonts w:ascii="Times New Roman" w:hAnsi="Times New Roman" w:cs="Times New Roman"/>
        </w:rPr>
        <w:t xml:space="preserve">high levels of missing </w:t>
      </w:r>
      <w:r w:rsidR="00B6012F">
        <w:rPr>
          <w:rFonts w:ascii="Times New Roman" w:hAnsi="Times New Roman" w:cs="Times New Roman"/>
        </w:rPr>
        <w:t>sex</w:t>
      </w:r>
      <w:r w:rsidRPr="00310A71" w:rsidR="00B16A1D">
        <w:rPr>
          <w:rFonts w:ascii="Times New Roman" w:hAnsi="Times New Roman" w:cs="Times New Roman"/>
        </w:rPr>
        <w:t>,</w:t>
      </w:r>
      <w:r w:rsidRPr="00310A71" w:rsidR="00A7005A">
        <w:rPr>
          <w:rFonts w:ascii="Times New Roman" w:hAnsi="Times New Roman" w:cs="Times New Roman"/>
        </w:rPr>
        <w:t xml:space="preserve"> citizenship, race</w:t>
      </w:r>
      <w:r w:rsidRPr="00310A71" w:rsidR="00B16A1D">
        <w:rPr>
          <w:rFonts w:ascii="Times New Roman" w:hAnsi="Times New Roman" w:cs="Times New Roman"/>
        </w:rPr>
        <w:t>/</w:t>
      </w:r>
      <w:r w:rsidRPr="00310A71" w:rsidR="00A7005A">
        <w:rPr>
          <w:rFonts w:ascii="Times New Roman" w:hAnsi="Times New Roman" w:cs="Times New Roman"/>
        </w:rPr>
        <w:t>ethnicity data</w:t>
      </w:r>
      <w:r w:rsidR="00E24D21">
        <w:rPr>
          <w:rFonts w:ascii="Times New Roman" w:hAnsi="Times New Roman" w:cs="Times New Roman"/>
        </w:rPr>
        <w:t>;</w:t>
      </w:r>
      <w:r w:rsidRPr="00310A71" w:rsidR="00A7005A">
        <w:rPr>
          <w:rFonts w:ascii="Times New Roman" w:hAnsi="Times New Roman" w:cs="Times New Roman"/>
        </w:rPr>
        <w:t xml:space="preserve"> </w:t>
      </w:r>
      <w:r w:rsidRPr="00310A71" w:rsidR="0022299A">
        <w:rPr>
          <w:rFonts w:ascii="Times New Roman" w:hAnsi="Times New Roman" w:cs="Times New Roman"/>
        </w:rPr>
        <w:t xml:space="preserve">significantly </w:t>
      </w:r>
      <w:r w:rsidRPr="00310A71" w:rsidR="00B16A1D">
        <w:rPr>
          <w:rFonts w:ascii="Times New Roman" w:hAnsi="Times New Roman" w:cs="Times New Roman"/>
        </w:rPr>
        <w:t>fewer</w:t>
      </w:r>
      <w:r w:rsidRPr="00310A71" w:rsidR="0022299A">
        <w:rPr>
          <w:rFonts w:ascii="Times New Roman" w:hAnsi="Times New Roman" w:cs="Times New Roman"/>
        </w:rPr>
        <w:t xml:space="preserve"> foreign doctoral students</w:t>
      </w:r>
      <w:r w:rsidR="00E24D21">
        <w:rPr>
          <w:rFonts w:ascii="Times New Roman" w:hAnsi="Times New Roman" w:cs="Times New Roman"/>
        </w:rPr>
        <w:t>;</w:t>
      </w:r>
      <w:r w:rsidRPr="00310A71" w:rsidR="008E292F">
        <w:rPr>
          <w:rFonts w:ascii="Times New Roman" w:hAnsi="Times New Roman" w:cs="Times New Roman"/>
        </w:rPr>
        <w:t xml:space="preserve"> and higher numbers of doctoral students in </w:t>
      </w:r>
      <w:r w:rsidRPr="00310A71" w:rsidR="00BF49E7">
        <w:rPr>
          <w:rFonts w:ascii="Times New Roman" w:hAnsi="Times New Roman" w:cs="Times New Roman"/>
        </w:rPr>
        <w:t xml:space="preserve">fields </w:t>
      </w:r>
      <w:r w:rsidRPr="00310A71" w:rsidR="00767ED7">
        <w:rPr>
          <w:rFonts w:ascii="Times New Roman" w:hAnsi="Times New Roman" w:cs="Times New Roman"/>
        </w:rPr>
        <w:t xml:space="preserve">where professional doctorates </w:t>
      </w:r>
      <w:r w:rsidRPr="00310A71" w:rsidR="00B16A1D">
        <w:rPr>
          <w:rFonts w:ascii="Times New Roman" w:hAnsi="Times New Roman" w:cs="Times New Roman"/>
        </w:rPr>
        <w:t>a</w:t>
      </w:r>
      <w:r w:rsidRPr="00310A71" w:rsidR="00767ED7">
        <w:rPr>
          <w:rFonts w:ascii="Times New Roman" w:hAnsi="Times New Roman" w:cs="Times New Roman"/>
        </w:rPr>
        <w:t xml:space="preserve">re common. </w:t>
      </w:r>
      <w:r w:rsidR="00E24D21">
        <w:rPr>
          <w:rFonts w:ascii="Times New Roman" w:hAnsi="Times New Roman" w:cs="Times New Roman"/>
        </w:rPr>
        <w:t xml:space="preserve">As </w:t>
      </w:r>
      <w:r w:rsidRPr="00310A71" w:rsidR="009455C3">
        <w:rPr>
          <w:rFonts w:ascii="Times New Roman" w:hAnsi="Times New Roman" w:cs="Times New Roman"/>
        </w:rPr>
        <w:t>the initial NSC data were pulled for only</w:t>
      </w:r>
      <w:r w:rsidRPr="00310A71" w:rsidR="00A77420">
        <w:rPr>
          <w:rFonts w:ascii="Times New Roman" w:hAnsi="Times New Roman" w:cs="Times New Roman"/>
        </w:rPr>
        <w:t xml:space="preserve"> five cohorts of graduate students (</w:t>
      </w:r>
      <w:r w:rsidRPr="00310A71" w:rsidR="001B7374">
        <w:rPr>
          <w:rFonts w:ascii="Times New Roman" w:hAnsi="Times New Roman" w:cs="Times New Roman"/>
        </w:rPr>
        <w:t xml:space="preserve">a cohort represents all the students who start their studies in a given academic year), </w:t>
      </w:r>
      <w:r w:rsidRPr="00310A71" w:rsidR="00370E2F">
        <w:rPr>
          <w:rFonts w:ascii="Times New Roman" w:hAnsi="Times New Roman" w:cs="Times New Roman"/>
        </w:rPr>
        <w:t xml:space="preserve">the </w:t>
      </w:r>
      <w:r w:rsidRPr="00310A71" w:rsidR="002B302C">
        <w:rPr>
          <w:rFonts w:ascii="Times New Roman" w:hAnsi="Times New Roman" w:cs="Times New Roman"/>
        </w:rPr>
        <w:t xml:space="preserve">smaller </w:t>
      </w:r>
      <w:r w:rsidRPr="00310A71" w:rsidR="00370E2F">
        <w:rPr>
          <w:rFonts w:ascii="Times New Roman" w:hAnsi="Times New Roman" w:cs="Times New Roman"/>
        </w:rPr>
        <w:t xml:space="preserve">number of doctorate students </w:t>
      </w:r>
      <w:r w:rsidRPr="00310A71" w:rsidR="002B302C">
        <w:rPr>
          <w:rFonts w:ascii="Times New Roman" w:hAnsi="Times New Roman" w:cs="Times New Roman"/>
        </w:rPr>
        <w:t xml:space="preserve">in the NSC data </w:t>
      </w:r>
      <w:r w:rsidRPr="00310A71" w:rsidR="00466177">
        <w:rPr>
          <w:rFonts w:ascii="Times New Roman" w:hAnsi="Times New Roman" w:cs="Times New Roman"/>
        </w:rPr>
        <w:t xml:space="preserve">was </w:t>
      </w:r>
      <w:r w:rsidR="00E24D21">
        <w:rPr>
          <w:rFonts w:ascii="Times New Roman" w:hAnsi="Times New Roman" w:cs="Times New Roman"/>
        </w:rPr>
        <w:t xml:space="preserve">thus </w:t>
      </w:r>
      <w:r w:rsidRPr="00310A71" w:rsidR="00466177">
        <w:rPr>
          <w:rFonts w:ascii="Times New Roman" w:hAnsi="Times New Roman" w:cs="Times New Roman"/>
        </w:rPr>
        <w:t>reasonable</w:t>
      </w:r>
      <w:r w:rsidR="00E24D21">
        <w:rPr>
          <w:rFonts w:ascii="Times New Roman" w:hAnsi="Times New Roman" w:cs="Times New Roman"/>
        </w:rPr>
        <w:t>.</w:t>
      </w:r>
      <w:r w:rsidRPr="00310A71" w:rsidR="00466177">
        <w:rPr>
          <w:rFonts w:ascii="Times New Roman" w:hAnsi="Times New Roman" w:cs="Times New Roman"/>
        </w:rPr>
        <w:t xml:space="preserve"> </w:t>
      </w:r>
      <w:r w:rsidRPr="00310A71" w:rsidR="003B7E24">
        <w:rPr>
          <w:rFonts w:ascii="Times New Roman" w:hAnsi="Times New Roman" w:cs="Times New Roman"/>
        </w:rPr>
        <w:t xml:space="preserve">NCSES </w:t>
      </w:r>
      <w:r w:rsidR="00E24D21">
        <w:rPr>
          <w:rFonts w:ascii="Times New Roman" w:hAnsi="Times New Roman" w:cs="Times New Roman"/>
        </w:rPr>
        <w:t>requested a review of</w:t>
      </w:r>
      <w:r w:rsidRPr="00310A71" w:rsidR="008370F4">
        <w:rPr>
          <w:rFonts w:ascii="Times New Roman" w:hAnsi="Times New Roman" w:cs="Times New Roman"/>
        </w:rPr>
        <w:t xml:space="preserve"> additional </w:t>
      </w:r>
      <w:r w:rsidRPr="00310A71" w:rsidR="006471DD">
        <w:rPr>
          <w:rFonts w:ascii="Times New Roman" w:hAnsi="Times New Roman" w:cs="Times New Roman"/>
        </w:rPr>
        <w:t xml:space="preserve">NSC data </w:t>
      </w:r>
      <w:r w:rsidRPr="00310A71" w:rsidR="00564CC8">
        <w:rPr>
          <w:rFonts w:ascii="Times New Roman" w:hAnsi="Times New Roman" w:cs="Times New Roman"/>
        </w:rPr>
        <w:t>to</w:t>
      </w:r>
      <w:r w:rsidRPr="00310A71" w:rsidR="006471DD">
        <w:rPr>
          <w:rFonts w:ascii="Times New Roman" w:hAnsi="Times New Roman" w:cs="Times New Roman"/>
        </w:rPr>
        <w:t xml:space="preserve"> answer the following r</w:t>
      </w:r>
      <w:r w:rsidRPr="00310A71" w:rsidR="00C33FAA">
        <w:rPr>
          <w:rFonts w:ascii="Times New Roman" w:hAnsi="Times New Roman" w:cs="Times New Roman"/>
        </w:rPr>
        <w:t>esearch questions</w:t>
      </w:r>
      <w:r w:rsidRPr="00310A71" w:rsidR="004A10CF">
        <w:rPr>
          <w:rFonts w:ascii="Times New Roman" w:hAnsi="Times New Roman" w:cs="Times New Roman"/>
        </w:rPr>
        <w:t>:</w:t>
      </w:r>
    </w:p>
    <w:p w:rsidR="008D4E4E" w:rsidRPr="00310A71" w:rsidP="00EA2741" w14:paraId="675F4BB2" w14:textId="6698471C">
      <w:pPr>
        <w:pStyle w:val="ListParagraph"/>
        <w:numPr>
          <w:ilvl w:val="0"/>
          <w:numId w:val="24"/>
        </w:numPr>
        <w:spacing w:before="120"/>
        <w:contextualSpacing w:val="0"/>
        <w:rPr>
          <w:rFonts w:ascii="Times New Roman" w:hAnsi="Times New Roman" w:cs="Times New Roman"/>
        </w:rPr>
      </w:pPr>
      <w:r w:rsidRPr="00310A71">
        <w:rPr>
          <w:rFonts w:ascii="Times New Roman" w:hAnsi="Times New Roman" w:cs="Times New Roman"/>
        </w:rPr>
        <w:t>Can we modify the</w:t>
      </w:r>
      <w:r w:rsidRPr="00310A71" w:rsidR="00693156">
        <w:rPr>
          <w:rFonts w:ascii="Times New Roman" w:hAnsi="Times New Roman" w:cs="Times New Roman"/>
        </w:rPr>
        <w:t xml:space="preserve"> </w:t>
      </w:r>
      <w:r w:rsidRPr="00310A71">
        <w:rPr>
          <w:rFonts w:ascii="Times New Roman" w:hAnsi="Times New Roman" w:cs="Times New Roman"/>
        </w:rPr>
        <w:t xml:space="preserve">data request to improve the </w:t>
      </w:r>
      <w:r w:rsidRPr="00310A71" w:rsidR="007824EF">
        <w:rPr>
          <w:rFonts w:ascii="Times New Roman" w:hAnsi="Times New Roman" w:cs="Times New Roman"/>
        </w:rPr>
        <w:t xml:space="preserve">estimates </w:t>
      </w:r>
      <w:r w:rsidRPr="00310A71">
        <w:rPr>
          <w:rFonts w:ascii="Times New Roman" w:hAnsi="Times New Roman" w:cs="Times New Roman"/>
        </w:rPr>
        <w:t xml:space="preserve">of doctoral students </w:t>
      </w:r>
      <w:r w:rsidRPr="00310A71" w:rsidR="007824EF">
        <w:rPr>
          <w:rFonts w:ascii="Times New Roman" w:hAnsi="Times New Roman" w:cs="Times New Roman"/>
        </w:rPr>
        <w:t>that can be obtained from</w:t>
      </w:r>
      <w:r w:rsidRPr="00310A71">
        <w:rPr>
          <w:rFonts w:ascii="Times New Roman" w:hAnsi="Times New Roman" w:cs="Times New Roman"/>
        </w:rPr>
        <w:t xml:space="preserve"> the NSC data? </w:t>
      </w:r>
    </w:p>
    <w:p w:rsidR="003308E5" w:rsidRPr="00310A71" w:rsidP="00EA2741" w14:paraId="00C79B79" w14:textId="4A31908B">
      <w:pPr>
        <w:pStyle w:val="ListParagraph"/>
        <w:numPr>
          <w:ilvl w:val="0"/>
          <w:numId w:val="24"/>
        </w:numPr>
        <w:spacing w:before="120"/>
        <w:contextualSpacing w:val="0"/>
        <w:rPr>
          <w:rFonts w:ascii="Times New Roman" w:hAnsi="Times New Roman" w:cs="Times New Roman"/>
        </w:rPr>
      </w:pPr>
      <w:r w:rsidRPr="00310A71">
        <w:rPr>
          <w:rFonts w:ascii="Times New Roman" w:hAnsi="Times New Roman" w:cs="Times New Roman"/>
        </w:rPr>
        <w:t xml:space="preserve">What coverage issues can be </w:t>
      </w:r>
      <w:r w:rsidRPr="00310A71" w:rsidR="005E7FC6">
        <w:rPr>
          <w:rFonts w:ascii="Times New Roman" w:hAnsi="Times New Roman" w:cs="Times New Roman"/>
        </w:rPr>
        <w:t>observed by comparing the NSC and GSS data</w:t>
      </w:r>
      <w:r w:rsidRPr="00310A71">
        <w:rPr>
          <w:rFonts w:ascii="Times New Roman" w:hAnsi="Times New Roman" w:cs="Times New Roman"/>
        </w:rPr>
        <w:t>?</w:t>
      </w:r>
    </w:p>
    <w:p w:rsidR="005E7FC6" w:rsidRPr="00310A71" w:rsidP="00EA2741" w14:paraId="3FD9AA1A" w14:textId="31FCD593">
      <w:pPr>
        <w:pStyle w:val="ListParagraph"/>
        <w:numPr>
          <w:ilvl w:val="1"/>
          <w:numId w:val="24"/>
        </w:numPr>
        <w:spacing w:before="120"/>
        <w:rPr>
          <w:rFonts w:ascii="Times New Roman" w:hAnsi="Times New Roman" w:cs="Times New Roman"/>
        </w:rPr>
      </w:pPr>
      <w:r w:rsidRPr="00310A71">
        <w:rPr>
          <w:rFonts w:ascii="Times New Roman" w:hAnsi="Times New Roman" w:cs="Times New Roman"/>
        </w:rPr>
        <w:t>Do the NSC data highlight any coverage issues for the GSS at the school/institution level?</w:t>
      </w:r>
    </w:p>
    <w:p w:rsidR="005E7FC6" w:rsidRPr="00310A71" w:rsidP="00EA2741" w14:paraId="1C5F8230" w14:textId="78FD29E8">
      <w:pPr>
        <w:pStyle w:val="ListParagraph"/>
        <w:numPr>
          <w:ilvl w:val="1"/>
          <w:numId w:val="24"/>
        </w:numPr>
        <w:spacing w:before="120"/>
        <w:rPr>
          <w:rFonts w:ascii="Times New Roman" w:hAnsi="Times New Roman" w:cs="Times New Roman"/>
        </w:rPr>
      </w:pPr>
      <w:r w:rsidRPr="00310A71">
        <w:rPr>
          <w:rFonts w:ascii="Times New Roman" w:hAnsi="Times New Roman" w:cs="Times New Roman"/>
        </w:rPr>
        <w:t>Do the NSC data highlight any coverage issues for the GSS at the field or demographic level?</w:t>
      </w:r>
    </w:p>
    <w:p w:rsidR="005E7FC6" w:rsidRPr="00310A71" w:rsidP="00EA2741" w14:paraId="34126443" w14:textId="0E5CBA14">
      <w:pPr>
        <w:pStyle w:val="ListParagraph"/>
        <w:numPr>
          <w:ilvl w:val="1"/>
          <w:numId w:val="24"/>
        </w:numPr>
        <w:spacing w:before="120"/>
        <w:rPr>
          <w:rFonts w:ascii="Times New Roman" w:hAnsi="Times New Roman" w:cs="Times New Roman"/>
        </w:rPr>
      </w:pPr>
      <w:r w:rsidRPr="00310A71">
        <w:rPr>
          <w:rFonts w:ascii="Times New Roman" w:hAnsi="Times New Roman" w:cs="Times New Roman"/>
        </w:rPr>
        <w:t>Do the GSS data highlight any coverage issues for the NSC at the field or demographic level?</w:t>
      </w:r>
    </w:p>
    <w:p w:rsidR="001D26C4" w:rsidRPr="00310A71" w:rsidP="00EA2741" w14:paraId="2F8230B3" w14:textId="41DCB6F0">
      <w:pPr>
        <w:pStyle w:val="ListParagraph"/>
        <w:numPr>
          <w:ilvl w:val="0"/>
          <w:numId w:val="24"/>
        </w:numPr>
        <w:spacing w:before="120"/>
        <w:contextualSpacing w:val="0"/>
        <w:rPr>
          <w:rFonts w:ascii="Times New Roman" w:hAnsi="Times New Roman" w:cs="Times New Roman"/>
        </w:rPr>
      </w:pPr>
      <w:r w:rsidRPr="00310A71">
        <w:rPr>
          <w:rFonts w:ascii="Times New Roman" w:hAnsi="Times New Roman" w:cs="Times New Roman"/>
        </w:rPr>
        <w:t xml:space="preserve">What are </w:t>
      </w:r>
      <w:r w:rsidRPr="00310A71">
        <w:rPr>
          <w:rFonts w:ascii="Times New Roman" w:hAnsi="Times New Roman" w:cs="Times New Roman"/>
        </w:rPr>
        <w:t xml:space="preserve">the strengths and weaknesses </w:t>
      </w:r>
      <w:r w:rsidRPr="00310A71" w:rsidR="0076516E">
        <w:rPr>
          <w:rFonts w:ascii="Times New Roman" w:hAnsi="Times New Roman" w:cs="Times New Roman"/>
        </w:rPr>
        <w:t xml:space="preserve">of </w:t>
      </w:r>
      <w:r w:rsidRPr="00310A71">
        <w:rPr>
          <w:rFonts w:ascii="Times New Roman" w:hAnsi="Times New Roman" w:cs="Times New Roman"/>
        </w:rPr>
        <w:t>using the NSC data as a frame</w:t>
      </w:r>
      <w:r w:rsidRPr="00310A71" w:rsidR="0076516E">
        <w:rPr>
          <w:rFonts w:ascii="Times New Roman" w:hAnsi="Times New Roman" w:cs="Times New Roman"/>
        </w:rPr>
        <w:t xml:space="preserve"> for a survey of doctoral students</w:t>
      </w:r>
      <w:r w:rsidRPr="00310A71">
        <w:rPr>
          <w:rFonts w:ascii="Times New Roman" w:hAnsi="Times New Roman" w:cs="Times New Roman"/>
        </w:rPr>
        <w:t>?</w:t>
      </w:r>
    </w:p>
    <w:p w:rsidR="005C0B15" w:rsidRPr="00310A71" w:rsidP="008D4E4E" w14:paraId="0C0F92B5" w14:textId="77777777">
      <w:pPr>
        <w:pStyle w:val="ListParagraph"/>
        <w:numPr>
          <w:ilvl w:val="0"/>
          <w:numId w:val="24"/>
        </w:numPr>
        <w:spacing w:before="120"/>
        <w:contextualSpacing w:val="0"/>
        <w:rPr>
          <w:rFonts w:ascii="Times New Roman" w:hAnsi="Times New Roman" w:cs="Times New Roman"/>
        </w:rPr>
      </w:pPr>
      <w:r w:rsidRPr="00310A71">
        <w:rPr>
          <w:rFonts w:ascii="Times New Roman" w:hAnsi="Times New Roman" w:cs="Times New Roman"/>
        </w:rPr>
        <w:t>What is the potential for using the NSC data for imputation of nonresponse in the GSS?</w:t>
      </w:r>
    </w:p>
    <w:p w:rsidR="008C5236" w:rsidP="008C5236" w14:paraId="22205FC7" w14:textId="77777777">
      <w:pPr>
        <w:rPr>
          <w:rFonts w:ascii="Times New Roman" w:hAnsi="Times New Roman" w:cs="Times New Roman"/>
        </w:rPr>
      </w:pPr>
    </w:p>
    <w:p w:rsidR="004577C7" w:rsidRPr="00310A71" w:rsidP="008C5236" w14:paraId="69C1D686" w14:textId="0248137D">
      <w:pPr>
        <w:spacing w:after="120"/>
        <w:rPr>
          <w:rFonts w:ascii="Times New Roman" w:hAnsi="Times New Roman" w:cs="Times New Roman"/>
        </w:rPr>
      </w:pPr>
      <w:r w:rsidRPr="00310A71">
        <w:rPr>
          <w:rFonts w:ascii="Times New Roman" w:hAnsi="Times New Roman" w:cs="Times New Roman"/>
        </w:rPr>
        <w:t>In brief, the</w:t>
      </w:r>
      <w:r w:rsidRPr="00310A71">
        <w:rPr>
          <w:rFonts w:ascii="Times New Roman" w:hAnsi="Times New Roman" w:cs="Times New Roman"/>
        </w:rPr>
        <w:t xml:space="preserve"> </w:t>
      </w:r>
      <w:r w:rsidRPr="00310A71" w:rsidR="00466177">
        <w:rPr>
          <w:rFonts w:ascii="Times New Roman" w:hAnsi="Times New Roman" w:cs="Times New Roman"/>
        </w:rPr>
        <w:t>answers to these questions are</w:t>
      </w:r>
      <w:r w:rsidRPr="00310A71">
        <w:rPr>
          <w:rFonts w:ascii="Times New Roman" w:hAnsi="Times New Roman" w:cs="Times New Roman"/>
        </w:rPr>
        <w:t xml:space="preserve">: </w:t>
      </w:r>
    </w:p>
    <w:p w:rsidR="00B636A6" w:rsidRPr="00310A71" w:rsidP="0009733C" w14:paraId="5745D6DF" w14:textId="0F943373">
      <w:pPr>
        <w:pStyle w:val="ListParagraph"/>
        <w:numPr>
          <w:ilvl w:val="0"/>
          <w:numId w:val="28"/>
        </w:numPr>
        <w:spacing w:before="120"/>
        <w:contextualSpacing w:val="0"/>
        <w:rPr>
          <w:rFonts w:ascii="Times New Roman" w:hAnsi="Times New Roman" w:cs="Times New Roman"/>
        </w:rPr>
      </w:pPr>
      <w:r>
        <w:rPr>
          <w:rFonts w:ascii="Times New Roman" w:hAnsi="Times New Roman" w:cs="Times New Roman"/>
        </w:rPr>
        <w:t>While t</w:t>
      </w:r>
      <w:r w:rsidRPr="00310A71">
        <w:rPr>
          <w:rFonts w:ascii="Times New Roman" w:hAnsi="Times New Roman" w:cs="Times New Roman"/>
        </w:rPr>
        <w:t xml:space="preserve">he </w:t>
      </w:r>
      <w:r>
        <w:rPr>
          <w:rFonts w:ascii="Times New Roman" w:hAnsi="Times New Roman" w:cs="Times New Roman"/>
        </w:rPr>
        <w:t xml:space="preserve">NSC </w:t>
      </w:r>
      <w:r w:rsidRPr="00310A71" w:rsidR="00473E2F">
        <w:rPr>
          <w:rFonts w:ascii="Times New Roman" w:hAnsi="Times New Roman" w:cs="Times New Roman"/>
        </w:rPr>
        <w:t>estimates were substantially improved</w:t>
      </w:r>
      <w:r w:rsidRPr="00310A71" w:rsidR="004577C7">
        <w:rPr>
          <w:rFonts w:ascii="Times New Roman" w:hAnsi="Times New Roman" w:cs="Times New Roman"/>
        </w:rPr>
        <w:t xml:space="preserve">, the data </w:t>
      </w:r>
      <w:r w:rsidRPr="00310A71" w:rsidR="00F6144C">
        <w:rPr>
          <w:rFonts w:ascii="Times New Roman" w:hAnsi="Times New Roman" w:cs="Times New Roman"/>
        </w:rPr>
        <w:t>remain</w:t>
      </w:r>
      <w:r w:rsidRPr="00310A71" w:rsidR="00DA7D5A">
        <w:rPr>
          <w:rFonts w:ascii="Times New Roman" w:hAnsi="Times New Roman" w:cs="Times New Roman"/>
        </w:rPr>
        <w:t xml:space="preserve"> substantively different</w:t>
      </w:r>
      <w:r>
        <w:rPr>
          <w:rFonts w:ascii="Times New Roman" w:hAnsi="Times New Roman" w:cs="Times New Roman"/>
        </w:rPr>
        <w:t xml:space="preserve"> from the GSS. The NSC data</w:t>
      </w:r>
      <w:r w:rsidRPr="00310A71" w:rsidR="00364260">
        <w:rPr>
          <w:rFonts w:ascii="Times New Roman" w:hAnsi="Times New Roman" w:cs="Times New Roman"/>
        </w:rPr>
        <w:t xml:space="preserve"> </w:t>
      </w:r>
      <w:r w:rsidRPr="00310A71" w:rsidR="006C0E74">
        <w:rPr>
          <w:rFonts w:ascii="Times New Roman" w:hAnsi="Times New Roman" w:cs="Times New Roman"/>
        </w:rPr>
        <w:t>include</w:t>
      </w:r>
      <w:r>
        <w:rPr>
          <w:rFonts w:ascii="Times New Roman" w:hAnsi="Times New Roman" w:cs="Times New Roman"/>
        </w:rPr>
        <w:t>s</w:t>
      </w:r>
      <w:r w:rsidRPr="00310A71" w:rsidR="006C0E74">
        <w:rPr>
          <w:rFonts w:ascii="Times New Roman" w:hAnsi="Times New Roman" w:cs="Times New Roman"/>
        </w:rPr>
        <w:t xml:space="preserve"> </w:t>
      </w:r>
      <w:r w:rsidRPr="00310A71" w:rsidR="00364260">
        <w:rPr>
          <w:rFonts w:ascii="Times New Roman" w:hAnsi="Times New Roman" w:cs="Times New Roman"/>
        </w:rPr>
        <w:t>ma</w:t>
      </w:r>
      <w:r w:rsidR="005A39E0">
        <w:rPr>
          <w:rFonts w:ascii="Times New Roman" w:hAnsi="Times New Roman" w:cs="Times New Roman"/>
        </w:rPr>
        <w:t>n</w:t>
      </w:r>
      <w:r w:rsidRPr="00310A71" w:rsidR="00364260">
        <w:rPr>
          <w:rFonts w:ascii="Times New Roman" w:hAnsi="Times New Roman" w:cs="Times New Roman"/>
        </w:rPr>
        <w:t xml:space="preserve">y </w:t>
      </w:r>
      <w:r w:rsidRPr="00310A71" w:rsidR="006C0E74">
        <w:rPr>
          <w:rFonts w:ascii="Times New Roman" w:hAnsi="Times New Roman" w:cs="Times New Roman"/>
        </w:rPr>
        <w:t>non</w:t>
      </w:r>
      <w:r w:rsidRPr="00310A71" w:rsidR="00475A68">
        <w:rPr>
          <w:rFonts w:ascii="Times New Roman" w:hAnsi="Times New Roman" w:cs="Times New Roman"/>
        </w:rPr>
        <w:t>-</w:t>
      </w:r>
      <w:r w:rsidRPr="00310A71" w:rsidR="006C0E74">
        <w:rPr>
          <w:rFonts w:ascii="Times New Roman" w:hAnsi="Times New Roman" w:cs="Times New Roman"/>
        </w:rPr>
        <w:t xml:space="preserve">research doctorates and </w:t>
      </w:r>
      <w:r w:rsidRPr="00310A71" w:rsidR="008D6B1A">
        <w:rPr>
          <w:rFonts w:ascii="Times New Roman" w:hAnsi="Times New Roman" w:cs="Times New Roman"/>
        </w:rPr>
        <w:t xml:space="preserve">the quality of the </w:t>
      </w:r>
      <w:r w:rsidRPr="00310A71" w:rsidR="00475A68">
        <w:rPr>
          <w:rFonts w:ascii="Times New Roman" w:hAnsi="Times New Roman" w:cs="Times New Roman"/>
        </w:rPr>
        <w:t>demographic</w:t>
      </w:r>
      <w:r w:rsidRPr="00310A71" w:rsidR="008D6B1A">
        <w:rPr>
          <w:rFonts w:ascii="Times New Roman" w:hAnsi="Times New Roman" w:cs="Times New Roman"/>
        </w:rPr>
        <w:t xml:space="preserve"> data </w:t>
      </w:r>
      <w:r w:rsidRPr="00310A71" w:rsidR="00C04B97">
        <w:rPr>
          <w:rFonts w:ascii="Times New Roman" w:hAnsi="Times New Roman" w:cs="Times New Roman"/>
        </w:rPr>
        <w:t xml:space="preserve">are much lower </w:t>
      </w:r>
      <w:r w:rsidRPr="00310A71" w:rsidR="006D7332">
        <w:rPr>
          <w:rFonts w:ascii="Times New Roman" w:hAnsi="Times New Roman" w:cs="Times New Roman"/>
        </w:rPr>
        <w:t>than</w:t>
      </w:r>
      <w:r w:rsidRPr="00310A71" w:rsidR="00C04B97">
        <w:rPr>
          <w:rFonts w:ascii="Times New Roman" w:hAnsi="Times New Roman" w:cs="Times New Roman"/>
        </w:rPr>
        <w:t xml:space="preserve"> that obtained through the GSS</w:t>
      </w:r>
      <w:r w:rsidRPr="00310A71">
        <w:rPr>
          <w:rFonts w:ascii="Times New Roman" w:hAnsi="Times New Roman" w:cs="Times New Roman"/>
        </w:rPr>
        <w:t>.</w:t>
      </w:r>
    </w:p>
    <w:p w:rsidR="009E63DF" w:rsidRPr="00310A71" w:rsidP="0009733C" w14:paraId="1DF0854B" w14:textId="3B23F72F">
      <w:pPr>
        <w:pStyle w:val="ListParagraph"/>
        <w:numPr>
          <w:ilvl w:val="0"/>
          <w:numId w:val="28"/>
        </w:numPr>
        <w:spacing w:before="120"/>
        <w:contextualSpacing w:val="0"/>
        <w:rPr>
          <w:rFonts w:ascii="Times New Roman" w:hAnsi="Times New Roman" w:cs="Times New Roman"/>
        </w:rPr>
      </w:pPr>
      <w:r w:rsidRPr="00310A71">
        <w:rPr>
          <w:rFonts w:ascii="Times New Roman" w:hAnsi="Times New Roman" w:cs="Times New Roman"/>
        </w:rPr>
        <w:t>NSC was not able to provide their data at the institutional level</w:t>
      </w:r>
      <w:r w:rsidR="00E24D21">
        <w:rPr>
          <w:rFonts w:ascii="Times New Roman" w:hAnsi="Times New Roman" w:cs="Times New Roman"/>
        </w:rPr>
        <w:t>. Without institution level data from NSC</w:t>
      </w:r>
      <w:r w:rsidRPr="00310A71">
        <w:rPr>
          <w:rFonts w:ascii="Times New Roman" w:hAnsi="Times New Roman" w:cs="Times New Roman"/>
        </w:rPr>
        <w:t xml:space="preserve"> it is </w:t>
      </w:r>
      <w:r w:rsidRPr="00310A71" w:rsidR="004433AF">
        <w:rPr>
          <w:rFonts w:ascii="Times New Roman" w:hAnsi="Times New Roman" w:cs="Times New Roman"/>
        </w:rPr>
        <w:t>impossible</w:t>
      </w:r>
      <w:r w:rsidRPr="00310A71">
        <w:rPr>
          <w:rFonts w:ascii="Times New Roman" w:hAnsi="Times New Roman" w:cs="Times New Roman"/>
        </w:rPr>
        <w:t xml:space="preserve"> to </w:t>
      </w:r>
      <w:r w:rsidRPr="00310A71" w:rsidR="004433AF">
        <w:rPr>
          <w:rFonts w:ascii="Times New Roman" w:hAnsi="Times New Roman" w:cs="Times New Roman"/>
        </w:rPr>
        <w:t xml:space="preserve">confirm </w:t>
      </w:r>
      <w:r w:rsidRPr="00310A71" w:rsidR="002B6A78">
        <w:rPr>
          <w:rFonts w:ascii="Times New Roman" w:hAnsi="Times New Roman" w:cs="Times New Roman"/>
        </w:rPr>
        <w:t xml:space="preserve">whether </w:t>
      </w:r>
      <w:r w:rsidRPr="00310A71">
        <w:rPr>
          <w:rFonts w:ascii="Times New Roman" w:hAnsi="Times New Roman" w:cs="Times New Roman"/>
        </w:rPr>
        <w:t xml:space="preserve">the NSC data </w:t>
      </w:r>
      <w:r w:rsidRPr="00310A71" w:rsidR="00E77D0C">
        <w:rPr>
          <w:rFonts w:ascii="Times New Roman" w:hAnsi="Times New Roman" w:cs="Times New Roman"/>
        </w:rPr>
        <w:t xml:space="preserve">indicate any </w:t>
      </w:r>
      <w:r w:rsidRPr="00310A71">
        <w:rPr>
          <w:rFonts w:ascii="Times New Roman" w:hAnsi="Times New Roman" w:cs="Times New Roman"/>
        </w:rPr>
        <w:t>coverage issues for the GSS.</w:t>
      </w:r>
      <w:r w:rsidRPr="00310A71" w:rsidR="00E77D0C">
        <w:rPr>
          <w:rFonts w:ascii="Times New Roman" w:hAnsi="Times New Roman" w:cs="Times New Roman"/>
        </w:rPr>
        <w:t xml:space="preserve"> </w:t>
      </w:r>
      <w:r w:rsidR="00E24D21">
        <w:rPr>
          <w:rFonts w:ascii="Times New Roman" w:hAnsi="Times New Roman" w:cs="Times New Roman"/>
        </w:rPr>
        <w:t>In addition to the lack of institution level data, the following</w:t>
      </w:r>
      <w:r w:rsidRPr="00310A71" w:rsidR="00E77D0C">
        <w:rPr>
          <w:rFonts w:ascii="Times New Roman" w:hAnsi="Times New Roman" w:cs="Times New Roman"/>
        </w:rPr>
        <w:t xml:space="preserve"> coverage issues for the NSC</w:t>
      </w:r>
      <w:r w:rsidR="00E24D21">
        <w:rPr>
          <w:rFonts w:ascii="Times New Roman" w:hAnsi="Times New Roman" w:cs="Times New Roman"/>
        </w:rPr>
        <w:t xml:space="preserve"> exist:</w:t>
      </w:r>
    </w:p>
    <w:p w:rsidR="00885A44" w:rsidRPr="00310A71" w:rsidP="0009733C" w14:paraId="7C295C15" w14:textId="6DCEA109">
      <w:pPr>
        <w:pStyle w:val="ListParagraph"/>
        <w:numPr>
          <w:ilvl w:val="1"/>
          <w:numId w:val="28"/>
        </w:numPr>
        <w:spacing w:before="120"/>
        <w:contextualSpacing w:val="0"/>
        <w:rPr>
          <w:rFonts w:ascii="Times New Roman" w:hAnsi="Times New Roman" w:cs="Times New Roman"/>
        </w:rPr>
      </w:pPr>
      <w:r w:rsidRPr="00310A71">
        <w:rPr>
          <w:rFonts w:ascii="Times New Roman" w:hAnsi="Times New Roman" w:cs="Times New Roman"/>
        </w:rPr>
        <w:t>T</w:t>
      </w:r>
      <w:r w:rsidRPr="00310A71" w:rsidR="00A45685">
        <w:rPr>
          <w:rFonts w:ascii="Times New Roman" w:hAnsi="Times New Roman" w:cs="Times New Roman"/>
        </w:rPr>
        <w:t>here are many</w:t>
      </w:r>
      <w:r w:rsidRPr="00310A71" w:rsidR="00877540">
        <w:rPr>
          <w:rFonts w:ascii="Times New Roman" w:hAnsi="Times New Roman" w:cs="Times New Roman"/>
        </w:rPr>
        <w:t xml:space="preserve"> doctorates in </w:t>
      </w:r>
      <w:r w:rsidRPr="00310A71" w:rsidR="002E3574">
        <w:rPr>
          <w:rFonts w:ascii="Times New Roman" w:hAnsi="Times New Roman" w:cs="Times New Roman"/>
        </w:rPr>
        <w:t>non-GSS institutions in all fields, but most of th</w:t>
      </w:r>
      <w:r w:rsidRPr="00310A71" w:rsidR="005B5796">
        <w:rPr>
          <w:rFonts w:ascii="Times New Roman" w:hAnsi="Times New Roman" w:cs="Times New Roman"/>
        </w:rPr>
        <w:t>e</w:t>
      </w:r>
      <w:r w:rsidRPr="00310A71" w:rsidR="002E3574">
        <w:rPr>
          <w:rFonts w:ascii="Times New Roman" w:hAnsi="Times New Roman" w:cs="Times New Roman"/>
        </w:rPr>
        <w:t>se</w:t>
      </w:r>
      <w:r w:rsidRPr="00310A71" w:rsidR="005B5796">
        <w:rPr>
          <w:rFonts w:ascii="Times New Roman" w:hAnsi="Times New Roman" w:cs="Times New Roman"/>
        </w:rPr>
        <w:t xml:space="preserve"> are in </w:t>
      </w:r>
      <w:r w:rsidRPr="00310A71" w:rsidR="009C5350">
        <w:rPr>
          <w:rFonts w:ascii="Times New Roman" w:hAnsi="Times New Roman" w:cs="Times New Roman"/>
        </w:rPr>
        <w:t>no</w:t>
      </w:r>
      <w:r w:rsidRPr="00310A71" w:rsidR="005C3F14">
        <w:rPr>
          <w:rFonts w:ascii="Times New Roman" w:hAnsi="Times New Roman" w:cs="Times New Roman"/>
        </w:rPr>
        <w:t>n-GSS eligible fields</w:t>
      </w:r>
      <w:r w:rsidR="00EE3550">
        <w:rPr>
          <w:rFonts w:ascii="Times New Roman" w:hAnsi="Times New Roman" w:cs="Times New Roman"/>
        </w:rPr>
        <w:t xml:space="preserve"> or degree programs</w:t>
      </w:r>
      <w:r w:rsidRPr="00310A71" w:rsidR="00322E9E">
        <w:rPr>
          <w:rFonts w:ascii="Times New Roman" w:hAnsi="Times New Roman" w:cs="Times New Roman"/>
        </w:rPr>
        <w:t xml:space="preserve"> Those within</w:t>
      </w:r>
      <w:r w:rsidRPr="00310A71" w:rsidR="00900FB7">
        <w:rPr>
          <w:rFonts w:ascii="Times New Roman" w:hAnsi="Times New Roman" w:cs="Times New Roman"/>
        </w:rPr>
        <w:t xml:space="preserve"> GSS-eligible fields</w:t>
      </w:r>
      <w:r w:rsidRPr="00310A71" w:rsidR="002E3574">
        <w:rPr>
          <w:rFonts w:ascii="Times New Roman" w:hAnsi="Times New Roman" w:cs="Times New Roman"/>
        </w:rPr>
        <w:t xml:space="preserve"> are likely to be </w:t>
      </w:r>
      <w:r w:rsidRPr="00310A71" w:rsidR="00994674">
        <w:rPr>
          <w:rFonts w:ascii="Times New Roman" w:hAnsi="Times New Roman" w:cs="Times New Roman"/>
        </w:rPr>
        <w:t>those in professional doctoral programs (</w:t>
      </w:r>
      <w:r w:rsidRPr="00310A71" w:rsidR="00FA5AD6">
        <w:rPr>
          <w:rFonts w:ascii="Times New Roman" w:hAnsi="Times New Roman" w:cs="Times New Roman"/>
        </w:rPr>
        <w:t>e.g.,</w:t>
      </w:r>
      <w:r w:rsidRPr="00310A71" w:rsidR="00994674">
        <w:rPr>
          <w:rFonts w:ascii="Times New Roman" w:hAnsi="Times New Roman" w:cs="Times New Roman"/>
        </w:rPr>
        <w:t xml:space="preserve"> PsyD, AuD, JD</w:t>
      </w:r>
      <w:r w:rsidRPr="00310A71" w:rsidR="009D7E42">
        <w:rPr>
          <w:rFonts w:ascii="Times New Roman" w:hAnsi="Times New Roman" w:cs="Times New Roman"/>
        </w:rPr>
        <w:t>) that are intentionally excluded from the GSS</w:t>
      </w:r>
      <w:r w:rsidR="005F7E00">
        <w:rPr>
          <w:rFonts w:ascii="Times New Roman" w:hAnsi="Times New Roman" w:cs="Times New Roman"/>
        </w:rPr>
        <w:t>,</w:t>
      </w:r>
      <w:r w:rsidRPr="00310A71" w:rsidR="009D7E42">
        <w:rPr>
          <w:rFonts w:ascii="Times New Roman" w:hAnsi="Times New Roman" w:cs="Times New Roman"/>
        </w:rPr>
        <w:t xml:space="preserve"> or </w:t>
      </w:r>
      <w:r w:rsidRPr="00310A71" w:rsidR="00D04B0B">
        <w:rPr>
          <w:rFonts w:ascii="Times New Roman" w:hAnsi="Times New Roman" w:cs="Times New Roman"/>
        </w:rPr>
        <w:t>non-doctoral students that are misclassified in the NSC data.</w:t>
      </w:r>
    </w:p>
    <w:p w:rsidR="00541C56" w:rsidRPr="00310A71" w:rsidP="0009733C" w14:paraId="5E498CD1" w14:textId="1EF38A65">
      <w:pPr>
        <w:pStyle w:val="ListParagraph"/>
        <w:numPr>
          <w:ilvl w:val="1"/>
          <w:numId w:val="28"/>
        </w:numPr>
        <w:spacing w:before="120"/>
        <w:contextualSpacing w:val="0"/>
        <w:rPr>
          <w:rFonts w:ascii="Times New Roman" w:hAnsi="Times New Roman" w:cs="Times New Roman"/>
        </w:rPr>
      </w:pPr>
      <w:r w:rsidRPr="00310A71">
        <w:rPr>
          <w:rFonts w:ascii="Times New Roman" w:hAnsi="Times New Roman" w:cs="Times New Roman"/>
        </w:rPr>
        <w:t xml:space="preserve">Differences in the </w:t>
      </w:r>
      <w:r w:rsidR="00B6012F">
        <w:rPr>
          <w:rFonts w:ascii="Times New Roman" w:hAnsi="Times New Roman" w:cs="Times New Roman"/>
        </w:rPr>
        <w:t>sex</w:t>
      </w:r>
      <w:r w:rsidRPr="00310A71">
        <w:rPr>
          <w:rFonts w:ascii="Times New Roman" w:hAnsi="Times New Roman" w:cs="Times New Roman"/>
        </w:rPr>
        <w:t xml:space="preserve"> and citizenship, race, and ethnicity distributions </w:t>
      </w:r>
      <w:r w:rsidRPr="00310A71" w:rsidR="00EF1DBF">
        <w:rPr>
          <w:rFonts w:ascii="Times New Roman" w:hAnsi="Times New Roman" w:cs="Times New Roman"/>
        </w:rPr>
        <w:t xml:space="preserve">between the NSC and GSS suggest that many of those missing </w:t>
      </w:r>
      <w:r w:rsidRPr="00310A71" w:rsidR="00CB15EE">
        <w:rPr>
          <w:rFonts w:ascii="Times New Roman" w:hAnsi="Times New Roman" w:cs="Times New Roman"/>
        </w:rPr>
        <w:t xml:space="preserve">these data </w:t>
      </w:r>
      <w:r w:rsidR="00E24D21">
        <w:rPr>
          <w:rFonts w:ascii="Times New Roman" w:hAnsi="Times New Roman" w:cs="Times New Roman"/>
        </w:rPr>
        <w:t xml:space="preserve">in the NSC counts </w:t>
      </w:r>
      <w:r w:rsidRPr="00310A71" w:rsidR="00E74A72">
        <w:rPr>
          <w:rFonts w:ascii="Times New Roman" w:hAnsi="Times New Roman" w:cs="Times New Roman"/>
        </w:rPr>
        <w:t xml:space="preserve">may be </w:t>
      </w:r>
      <w:r w:rsidRPr="00310A71" w:rsidR="00CB15EE">
        <w:rPr>
          <w:rFonts w:ascii="Times New Roman" w:hAnsi="Times New Roman" w:cs="Times New Roman"/>
        </w:rPr>
        <w:t>foreign doctoral students</w:t>
      </w:r>
      <w:r w:rsidR="00E24D21">
        <w:rPr>
          <w:rFonts w:ascii="Times New Roman" w:hAnsi="Times New Roman" w:cs="Times New Roman"/>
        </w:rPr>
        <w:t>. H</w:t>
      </w:r>
      <w:r w:rsidRPr="00310A71" w:rsidR="001749CC">
        <w:rPr>
          <w:rFonts w:ascii="Times New Roman" w:hAnsi="Times New Roman" w:cs="Times New Roman"/>
        </w:rPr>
        <w:t>owever</w:t>
      </w:r>
      <w:r w:rsidR="00501D85">
        <w:rPr>
          <w:rFonts w:ascii="Times New Roman" w:hAnsi="Times New Roman" w:cs="Times New Roman"/>
        </w:rPr>
        <w:t>,</w:t>
      </w:r>
      <w:r w:rsidRPr="00310A71" w:rsidR="001749CC">
        <w:rPr>
          <w:rFonts w:ascii="Times New Roman" w:hAnsi="Times New Roman" w:cs="Times New Roman"/>
        </w:rPr>
        <w:t xml:space="preserve"> </w:t>
      </w:r>
      <w:r w:rsidRPr="00310A71" w:rsidR="00350F75">
        <w:rPr>
          <w:rFonts w:ascii="Times New Roman" w:hAnsi="Times New Roman" w:cs="Times New Roman"/>
        </w:rPr>
        <w:t xml:space="preserve">unless all were foreign and male, the NSC </w:t>
      </w:r>
      <w:r w:rsidRPr="00310A71" w:rsidR="00652174">
        <w:rPr>
          <w:rFonts w:ascii="Times New Roman" w:hAnsi="Times New Roman" w:cs="Times New Roman"/>
        </w:rPr>
        <w:t xml:space="preserve">data still </w:t>
      </w:r>
      <w:r w:rsidRPr="00310A71" w:rsidR="006E38E4">
        <w:rPr>
          <w:rFonts w:ascii="Times New Roman" w:hAnsi="Times New Roman" w:cs="Times New Roman"/>
        </w:rPr>
        <w:t>seem</w:t>
      </w:r>
      <w:r w:rsidRPr="00310A71" w:rsidR="00652174">
        <w:rPr>
          <w:rFonts w:ascii="Times New Roman" w:hAnsi="Times New Roman" w:cs="Times New Roman"/>
        </w:rPr>
        <w:t xml:space="preserve"> to be missing</w:t>
      </w:r>
      <w:r w:rsidRPr="00310A71" w:rsidR="0022552C">
        <w:rPr>
          <w:rFonts w:ascii="Times New Roman" w:hAnsi="Times New Roman" w:cs="Times New Roman"/>
        </w:rPr>
        <w:t xml:space="preserve"> a portion of the </w:t>
      </w:r>
      <w:r w:rsidRPr="00310A71" w:rsidR="004F600E">
        <w:rPr>
          <w:rFonts w:ascii="Times New Roman" w:hAnsi="Times New Roman" w:cs="Times New Roman"/>
        </w:rPr>
        <w:t xml:space="preserve">foreign </w:t>
      </w:r>
      <w:r w:rsidRPr="00310A71" w:rsidR="0022552C">
        <w:rPr>
          <w:rFonts w:ascii="Times New Roman" w:hAnsi="Times New Roman" w:cs="Times New Roman"/>
        </w:rPr>
        <w:t>doctoral population</w:t>
      </w:r>
      <w:r w:rsidRPr="00310A71">
        <w:rPr>
          <w:rFonts w:ascii="Times New Roman" w:hAnsi="Times New Roman" w:cs="Times New Roman"/>
        </w:rPr>
        <w:t>.</w:t>
      </w:r>
    </w:p>
    <w:p w:rsidR="00D04B0B" w:rsidRPr="00310A71" w:rsidP="0009733C" w14:paraId="086F6836" w14:textId="0D8A7025">
      <w:pPr>
        <w:pStyle w:val="ListParagraph"/>
        <w:numPr>
          <w:ilvl w:val="1"/>
          <w:numId w:val="28"/>
        </w:numPr>
        <w:spacing w:before="120"/>
        <w:contextualSpacing w:val="0"/>
        <w:rPr>
          <w:rFonts w:ascii="Times New Roman" w:hAnsi="Times New Roman" w:cs="Times New Roman"/>
        </w:rPr>
      </w:pPr>
      <w:r w:rsidRPr="00310A71">
        <w:rPr>
          <w:rFonts w:ascii="Times New Roman" w:hAnsi="Times New Roman" w:cs="Times New Roman"/>
        </w:rPr>
        <w:t xml:space="preserve">Field level coverage </w:t>
      </w:r>
      <w:r w:rsidRPr="00310A71" w:rsidR="00C24D46">
        <w:rPr>
          <w:rFonts w:ascii="Times New Roman" w:hAnsi="Times New Roman" w:cs="Times New Roman"/>
        </w:rPr>
        <w:t>is</w:t>
      </w:r>
      <w:r w:rsidRPr="00310A71">
        <w:rPr>
          <w:rFonts w:ascii="Times New Roman" w:hAnsi="Times New Roman" w:cs="Times New Roman"/>
        </w:rPr>
        <w:t xml:space="preserve"> </w:t>
      </w:r>
      <w:r w:rsidRPr="00310A71" w:rsidR="00822154">
        <w:rPr>
          <w:rFonts w:ascii="Times New Roman" w:hAnsi="Times New Roman" w:cs="Times New Roman"/>
        </w:rPr>
        <w:t xml:space="preserve">good, though there may be </w:t>
      </w:r>
      <w:r w:rsidRPr="00310A71" w:rsidR="009D5F1D">
        <w:rPr>
          <w:rFonts w:ascii="Times New Roman" w:hAnsi="Times New Roman" w:cs="Times New Roman"/>
        </w:rPr>
        <w:t xml:space="preserve">some </w:t>
      </w:r>
      <w:r w:rsidRPr="00310A71" w:rsidR="00822154">
        <w:rPr>
          <w:rFonts w:ascii="Times New Roman" w:hAnsi="Times New Roman" w:cs="Times New Roman"/>
        </w:rPr>
        <w:t xml:space="preserve">undercoverage in </w:t>
      </w:r>
      <w:r w:rsidRPr="00310A71" w:rsidR="00C24D46">
        <w:rPr>
          <w:rFonts w:ascii="Times New Roman" w:hAnsi="Times New Roman" w:cs="Times New Roman"/>
        </w:rPr>
        <w:t xml:space="preserve">biological and biomedical sciences, physical </w:t>
      </w:r>
      <w:r w:rsidRPr="00310A71" w:rsidR="00B8377F">
        <w:rPr>
          <w:rFonts w:ascii="Times New Roman" w:hAnsi="Times New Roman" w:cs="Times New Roman"/>
        </w:rPr>
        <w:t>sciences, social sciences, and engineering</w:t>
      </w:r>
      <w:r w:rsidRPr="00310A71" w:rsidR="007B2779">
        <w:rPr>
          <w:rFonts w:ascii="Times New Roman" w:hAnsi="Times New Roman" w:cs="Times New Roman"/>
        </w:rPr>
        <w:t xml:space="preserve">. As noted above, it seems likely that </w:t>
      </w:r>
      <w:r w:rsidRPr="00310A71" w:rsidR="00607076">
        <w:rPr>
          <w:rFonts w:ascii="Times New Roman" w:hAnsi="Times New Roman" w:cs="Times New Roman"/>
        </w:rPr>
        <w:t xml:space="preserve">the NSC data are missing </w:t>
      </w:r>
      <w:r w:rsidRPr="00310A71" w:rsidR="00F14BCD">
        <w:rPr>
          <w:rFonts w:ascii="Times New Roman" w:hAnsi="Times New Roman" w:cs="Times New Roman"/>
        </w:rPr>
        <w:t>a portion of the foreign doctoral population.</w:t>
      </w:r>
    </w:p>
    <w:p w:rsidR="000D512B" w:rsidP="0009733C" w14:paraId="63435FA7" w14:textId="31C16E45">
      <w:pPr>
        <w:pStyle w:val="ListParagraph"/>
        <w:numPr>
          <w:ilvl w:val="0"/>
          <w:numId w:val="28"/>
        </w:numPr>
        <w:spacing w:before="120"/>
        <w:contextualSpacing w:val="0"/>
        <w:rPr>
          <w:rFonts w:ascii="Times New Roman" w:hAnsi="Times New Roman" w:cs="Times New Roman"/>
        </w:rPr>
      </w:pPr>
      <w:r w:rsidRPr="00310A71">
        <w:rPr>
          <w:rFonts w:ascii="Times New Roman" w:hAnsi="Times New Roman" w:cs="Times New Roman"/>
        </w:rPr>
        <w:t xml:space="preserve">The NSC data provide much broader coverage of </w:t>
      </w:r>
      <w:r w:rsidRPr="00310A71" w:rsidR="00E9514E">
        <w:rPr>
          <w:rFonts w:ascii="Times New Roman" w:hAnsi="Times New Roman" w:cs="Times New Roman"/>
        </w:rPr>
        <w:t xml:space="preserve">all </w:t>
      </w:r>
      <w:r w:rsidRPr="00310A71">
        <w:rPr>
          <w:rFonts w:ascii="Times New Roman" w:hAnsi="Times New Roman" w:cs="Times New Roman"/>
        </w:rPr>
        <w:t xml:space="preserve">doctoral </w:t>
      </w:r>
      <w:r w:rsidRPr="00310A71" w:rsidR="00E9514E">
        <w:rPr>
          <w:rFonts w:ascii="Times New Roman" w:hAnsi="Times New Roman" w:cs="Times New Roman"/>
        </w:rPr>
        <w:t xml:space="preserve">students than the GSS as they include </w:t>
      </w:r>
      <w:r w:rsidRPr="00310A71" w:rsidR="00765AFC">
        <w:rPr>
          <w:rFonts w:ascii="Times New Roman" w:hAnsi="Times New Roman" w:cs="Times New Roman"/>
        </w:rPr>
        <w:t>the humanities and all other non-GSS eligible fields</w:t>
      </w:r>
      <w:r w:rsidR="005F7E00">
        <w:rPr>
          <w:rFonts w:ascii="Times New Roman" w:hAnsi="Times New Roman" w:cs="Times New Roman"/>
        </w:rPr>
        <w:t xml:space="preserve">. </w:t>
      </w:r>
      <w:r>
        <w:rPr>
          <w:rFonts w:ascii="Times New Roman" w:hAnsi="Times New Roman" w:cs="Times New Roman"/>
        </w:rPr>
        <w:t xml:space="preserve">At the same time, the NSC data exclude some GSS institutions. </w:t>
      </w:r>
    </w:p>
    <w:p w:rsidR="000D512B" w:rsidP="00EE3550" w14:paraId="6268467F" w14:textId="10F81F9C">
      <w:pPr>
        <w:pStyle w:val="ListParagraph"/>
        <w:numPr>
          <w:ilvl w:val="1"/>
          <w:numId w:val="28"/>
        </w:numPr>
        <w:spacing w:before="120"/>
        <w:contextualSpacing w:val="0"/>
        <w:rPr>
          <w:rFonts w:ascii="Times New Roman" w:hAnsi="Times New Roman" w:cs="Times New Roman"/>
        </w:rPr>
      </w:pPr>
      <w:r>
        <w:rPr>
          <w:rFonts w:ascii="Times New Roman" w:hAnsi="Times New Roman" w:cs="Times New Roman"/>
        </w:rPr>
        <w:t>H</w:t>
      </w:r>
      <w:r w:rsidRPr="00310A71" w:rsidR="001A1C1D">
        <w:rPr>
          <w:rFonts w:ascii="Times New Roman" w:hAnsi="Times New Roman" w:cs="Times New Roman"/>
        </w:rPr>
        <w:t>owever</w:t>
      </w:r>
      <w:r w:rsidR="00257D63">
        <w:rPr>
          <w:rFonts w:ascii="Times New Roman" w:hAnsi="Times New Roman" w:cs="Times New Roman"/>
        </w:rPr>
        <w:t>,</w:t>
      </w:r>
      <w:r w:rsidRPr="00310A71" w:rsidR="001A1C1D">
        <w:rPr>
          <w:rFonts w:ascii="Times New Roman" w:hAnsi="Times New Roman" w:cs="Times New Roman"/>
        </w:rPr>
        <w:t xml:space="preserve"> the NSC degree data are messy</w:t>
      </w:r>
      <w:r w:rsidR="009649AE">
        <w:rPr>
          <w:rFonts w:ascii="Times New Roman" w:hAnsi="Times New Roman" w:cs="Times New Roman"/>
        </w:rPr>
        <w:t>,</w:t>
      </w:r>
      <w:r w:rsidRPr="00310A71" w:rsidR="001A1C1D">
        <w:rPr>
          <w:rFonts w:ascii="Times New Roman" w:hAnsi="Times New Roman" w:cs="Times New Roman"/>
        </w:rPr>
        <w:t xml:space="preserve"> </w:t>
      </w:r>
      <w:r w:rsidR="009649AE">
        <w:rPr>
          <w:rFonts w:ascii="Times New Roman" w:hAnsi="Times New Roman" w:cs="Times New Roman"/>
        </w:rPr>
        <w:t xml:space="preserve">as they </w:t>
      </w:r>
      <w:r w:rsidRPr="00310A71" w:rsidR="00170E37">
        <w:rPr>
          <w:rFonts w:ascii="Times New Roman" w:hAnsi="Times New Roman" w:cs="Times New Roman"/>
        </w:rPr>
        <w:t>includ</w:t>
      </w:r>
      <w:r w:rsidR="009649AE">
        <w:rPr>
          <w:rFonts w:ascii="Times New Roman" w:hAnsi="Times New Roman" w:cs="Times New Roman"/>
        </w:rPr>
        <w:t>e</w:t>
      </w:r>
      <w:r w:rsidRPr="00310A71" w:rsidR="00170E37">
        <w:rPr>
          <w:rFonts w:ascii="Times New Roman" w:hAnsi="Times New Roman" w:cs="Times New Roman"/>
        </w:rPr>
        <w:t xml:space="preserve"> non-doctoral students </w:t>
      </w:r>
      <w:r w:rsidR="00EE3550">
        <w:rPr>
          <w:rFonts w:ascii="Times New Roman" w:hAnsi="Times New Roman" w:cs="Times New Roman"/>
        </w:rPr>
        <w:t>combined with</w:t>
      </w:r>
      <w:r w:rsidRPr="00310A71" w:rsidR="00170E37">
        <w:rPr>
          <w:rFonts w:ascii="Times New Roman" w:hAnsi="Times New Roman" w:cs="Times New Roman"/>
        </w:rPr>
        <w:t xml:space="preserve"> </w:t>
      </w:r>
      <w:r w:rsidR="00EE3550">
        <w:rPr>
          <w:rFonts w:ascii="Times New Roman" w:hAnsi="Times New Roman" w:cs="Times New Roman"/>
        </w:rPr>
        <w:t xml:space="preserve">professional and research </w:t>
      </w:r>
      <w:r w:rsidRPr="00310A71" w:rsidR="00170E37">
        <w:rPr>
          <w:rFonts w:ascii="Times New Roman" w:hAnsi="Times New Roman" w:cs="Times New Roman"/>
        </w:rPr>
        <w:t xml:space="preserve">doctoral students. </w:t>
      </w:r>
    </w:p>
    <w:p w:rsidR="00FC29ED" w:rsidRPr="00310A71" w:rsidP="00EE3550" w14:paraId="2767EC81" w14:textId="534A3F39">
      <w:pPr>
        <w:pStyle w:val="ListParagraph"/>
        <w:numPr>
          <w:ilvl w:val="1"/>
          <w:numId w:val="28"/>
        </w:numPr>
        <w:spacing w:before="120"/>
        <w:contextualSpacing w:val="0"/>
        <w:rPr>
          <w:rFonts w:ascii="Times New Roman" w:hAnsi="Times New Roman" w:cs="Times New Roman"/>
        </w:rPr>
      </w:pPr>
      <w:r w:rsidRPr="00310A71">
        <w:rPr>
          <w:rFonts w:ascii="Times New Roman" w:hAnsi="Times New Roman" w:cs="Times New Roman"/>
        </w:rPr>
        <w:t xml:space="preserve">The biggest potential weakness of using the NSC data as a frame for </w:t>
      </w:r>
      <w:r w:rsidRPr="00310A71" w:rsidR="00511337">
        <w:rPr>
          <w:rFonts w:ascii="Times New Roman" w:hAnsi="Times New Roman" w:cs="Times New Roman"/>
        </w:rPr>
        <w:t xml:space="preserve">a survey of doctoral students is </w:t>
      </w:r>
      <w:r w:rsidRPr="00310A71" w:rsidR="00E4737A">
        <w:rPr>
          <w:rFonts w:ascii="Times New Roman" w:hAnsi="Times New Roman" w:cs="Times New Roman"/>
        </w:rPr>
        <w:t xml:space="preserve">that it </w:t>
      </w:r>
      <w:r w:rsidRPr="00310A71" w:rsidR="00B74648">
        <w:rPr>
          <w:rFonts w:ascii="Times New Roman" w:hAnsi="Times New Roman" w:cs="Times New Roman"/>
        </w:rPr>
        <w:t xml:space="preserve">excludes many </w:t>
      </w:r>
      <w:r w:rsidRPr="00310A71" w:rsidR="00A4423C">
        <w:rPr>
          <w:rFonts w:ascii="Times New Roman" w:hAnsi="Times New Roman" w:cs="Times New Roman"/>
        </w:rPr>
        <w:t xml:space="preserve">specialized research institutions that only offer </w:t>
      </w:r>
      <w:r w:rsidRPr="00310A71" w:rsidR="00E4737A">
        <w:rPr>
          <w:rFonts w:ascii="Times New Roman" w:hAnsi="Times New Roman" w:cs="Times New Roman"/>
        </w:rPr>
        <w:t>graduate</w:t>
      </w:r>
      <w:r w:rsidRPr="00310A71" w:rsidR="00A4423C">
        <w:rPr>
          <w:rFonts w:ascii="Times New Roman" w:hAnsi="Times New Roman" w:cs="Times New Roman"/>
        </w:rPr>
        <w:t xml:space="preserve"> degrees</w:t>
      </w:r>
      <w:r w:rsidR="00257D63">
        <w:rPr>
          <w:rFonts w:ascii="Times New Roman" w:hAnsi="Times New Roman" w:cs="Times New Roman"/>
        </w:rPr>
        <w:t>,</w:t>
      </w:r>
      <w:r w:rsidRPr="00310A71" w:rsidR="00A4423C">
        <w:rPr>
          <w:rFonts w:ascii="Times New Roman" w:hAnsi="Times New Roman" w:cs="Times New Roman"/>
        </w:rPr>
        <w:t xml:space="preserve"> </w:t>
      </w:r>
      <w:r w:rsidR="00257D63">
        <w:rPr>
          <w:rFonts w:ascii="Times New Roman" w:hAnsi="Times New Roman" w:cs="Times New Roman"/>
        </w:rPr>
        <w:t>as well as</w:t>
      </w:r>
      <w:r w:rsidRPr="00310A71" w:rsidR="00A4423C">
        <w:rPr>
          <w:rFonts w:ascii="Times New Roman" w:hAnsi="Times New Roman" w:cs="Times New Roman"/>
        </w:rPr>
        <w:t xml:space="preserve"> </w:t>
      </w:r>
      <w:r w:rsidR="00257D63">
        <w:rPr>
          <w:rFonts w:ascii="Times New Roman" w:hAnsi="Times New Roman" w:cs="Times New Roman"/>
        </w:rPr>
        <w:t>nearly</w:t>
      </w:r>
      <w:r w:rsidRPr="00310A71" w:rsidR="000166A6">
        <w:rPr>
          <w:rFonts w:ascii="Times New Roman" w:hAnsi="Times New Roman" w:cs="Times New Roman"/>
        </w:rPr>
        <w:t xml:space="preserve"> half of the institutions in Puerto Rico.</w:t>
      </w:r>
    </w:p>
    <w:p w:rsidR="00466177" w:rsidRPr="00310A71" w:rsidP="0009733C" w14:paraId="78316F92" w14:textId="73E312B0">
      <w:pPr>
        <w:pStyle w:val="ListParagraph"/>
        <w:numPr>
          <w:ilvl w:val="0"/>
          <w:numId w:val="28"/>
        </w:numPr>
        <w:spacing w:before="120"/>
        <w:contextualSpacing w:val="0"/>
        <w:rPr>
          <w:rFonts w:ascii="Times New Roman" w:hAnsi="Times New Roman" w:cs="Times New Roman"/>
        </w:rPr>
      </w:pPr>
      <w:r w:rsidRPr="00310A71">
        <w:rPr>
          <w:rFonts w:ascii="Times New Roman" w:hAnsi="Times New Roman" w:cs="Times New Roman"/>
        </w:rPr>
        <w:t>Given the</w:t>
      </w:r>
      <w:r w:rsidRPr="00310A71" w:rsidR="000E7BF4">
        <w:rPr>
          <w:rFonts w:ascii="Times New Roman" w:hAnsi="Times New Roman" w:cs="Times New Roman"/>
        </w:rPr>
        <w:t xml:space="preserve"> inability to </w:t>
      </w:r>
      <w:r w:rsidR="00257D63">
        <w:rPr>
          <w:rFonts w:ascii="Times New Roman" w:hAnsi="Times New Roman" w:cs="Times New Roman"/>
        </w:rPr>
        <w:t>obtain</w:t>
      </w:r>
      <w:r w:rsidRPr="00310A71" w:rsidR="000E7BF4">
        <w:rPr>
          <w:rFonts w:ascii="Times New Roman" w:hAnsi="Times New Roman" w:cs="Times New Roman"/>
        </w:rPr>
        <w:t xml:space="preserve"> institution level data, the</w:t>
      </w:r>
      <w:r w:rsidRPr="00310A71">
        <w:rPr>
          <w:rFonts w:ascii="Times New Roman" w:hAnsi="Times New Roman" w:cs="Times New Roman"/>
        </w:rPr>
        <w:t xml:space="preserve"> </w:t>
      </w:r>
      <w:r w:rsidRPr="00310A71" w:rsidR="004A2297">
        <w:rPr>
          <w:rFonts w:ascii="Times New Roman" w:hAnsi="Times New Roman" w:cs="Times New Roman"/>
        </w:rPr>
        <w:t xml:space="preserve">substantially lower quality of the </w:t>
      </w:r>
      <w:r w:rsidRPr="00310A71" w:rsidR="000E7BF4">
        <w:rPr>
          <w:rFonts w:ascii="Times New Roman" w:hAnsi="Times New Roman" w:cs="Times New Roman"/>
        </w:rPr>
        <w:t xml:space="preserve">demographic data, and the </w:t>
      </w:r>
      <w:r w:rsidRPr="00310A71" w:rsidR="006700EF">
        <w:rPr>
          <w:rFonts w:ascii="Times New Roman" w:hAnsi="Times New Roman" w:cs="Times New Roman"/>
        </w:rPr>
        <w:t>inclusion of non</w:t>
      </w:r>
      <w:r w:rsidRPr="00310A71" w:rsidR="00541783">
        <w:rPr>
          <w:rFonts w:ascii="Times New Roman" w:hAnsi="Times New Roman" w:cs="Times New Roman"/>
        </w:rPr>
        <w:t>-</w:t>
      </w:r>
      <w:r w:rsidRPr="00310A71" w:rsidR="00257D63">
        <w:rPr>
          <w:rFonts w:ascii="Times New Roman" w:hAnsi="Times New Roman" w:cs="Times New Roman"/>
        </w:rPr>
        <w:t>research-oriented</w:t>
      </w:r>
      <w:r w:rsidRPr="00310A71" w:rsidR="006700EF">
        <w:rPr>
          <w:rFonts w:ascii="Times New Roman" w:hAnsi="Times New Roman" w:cs="Times New Roman"/>
        </w:rPr>
        <w:t xml:space="preserve"> degrees</w:t>
      </w:r>
      <w:r w:rsidRPr="00310A71" w:rsidR="00541783">
        <w:rPr>
          <w:rFonts w:ascii="Times New Roman" w:hAnsi="Times New Roman" w:cs="Times New Roman"/>
        </w:rPr>
        <w:t xml:space="preserve">, </w:t>
      </w:r>
      <w:r w:rsidRPr="00310A71" w:rsidR="00403167">
        <w:rPr>
          <w:rFonts w:ascii="Times New Roman" w:hAnsi="Times New Roman" w:cs="Times New Roman"/>
        </w:rPr>
        <w:t xml:space="preserve">using the </w:t>
      </w:r>
      <w:r w:rsidRPr="00310A71" w:rsidR="00541783">
        <w:rPr>
          <w:rFonts w:ascii="Times New Roman" w:hAnsi="Times New Roman" w:cs="Times New Roman"/>
        </w:rPr>
        <w:t xml:space="preserve">NSC data </w:t>
      </w:r>
      <w:r w:rsidRPr="00310A71" w:rsidR="004A2297">
        <w:rPr>
          <w:rFonts w:ascii="Times New Roman" w:hAnsi="Times New Roman" w:cs="Times New Roman"/>
        </w:rPr>
        <w:t xml:space="preserve">would </w:t>
      </w:r>
      <w:r w:rsidRPr="00310A71" w:rsidR="00026ECE">
        <w:rPr>
          <w:rFonts w:ascii="Times New Roman" w:hAnsi="Times New Roman" w:cs="Times New Roman"/>
        </w:rPr>
        <w:t xml:space="preserve">not </w:t>
      </w:r>
      <w:r w:rsidRPr="00310A71" w:rsidR="00403167">
        <w:rPr>
          <w:rFonts w:ascii="Times New Roman" w:hAnsi="Times New Roman" w:cs="Times New Roman"/>
        </w:rPr>
        <w:t xml:space="preserve">improve </w:t>
      </w:r>
      <w:r w:rsidRPr="00310A71" w:rsidR="007768DF">
        <w:rPr>
          <w:rFonts w:ascii="Times New Roman" w:hAnsi="Times New Roman" w:cs="Times New Roman"/>
        </w:rPr>
        <w:t xml:space="preserve">current processes </w:t>
      </w:r>
      <w:r w:rsidRPr="00310A71" w:rsidR="00026ECE">
        <w:rPr>
          <w:rFonts w:ascii="Times New Roman" w:hAnsi="Times New Roman" w:cs="Times New Roman"/>
        </w:rPr>
        <w:t>for imputing missing data within the GSS</w:t>
      </w:r>
      <w:r w:rsidRPr="00310A71" w:rsidR="004A2297">
        <w:rPr>
          <w:rFonts w:ascii="Times New Roman" w:hAnsi="Times New Roman" w:cs="Times New Roman"/>
        </w:rPr>
        <w:t>.</w:t>
      </w:r>
    </w:p>
    <w:p w:rsidR="008C5236" w:rsidP="008C5236" w14:paraId="6CCDE0CA" w14:textId="77777777">
      <w:pPr>
        <w:rPr>
          <w:rFonts w:ascii="Times New Roman" w:hAnsi="Times New Roman" w:cs="Times New Roman"/>
        </w:rPr>
      </w:pPr>
    </w:p>
    <w:p w:rsidR="000D10D7" w:rsidP="008C5236" w14:paraId="24CF44CF" w14:textId="2D8B3BFA">
      <w:pPr>
        <w:rPr>
          <w:rFonts w:ascii="Times New Roman" w:hAnsi="Times New Roman" w:cs="Times New Roman"/>
        </w:rPr>
      </w:pPr>
      <w:r>
        <w:rPr>
          <w:rFonts w:ascii="Times New Roman" w:hAnsi="Times New Roman" w:cs="Times New Roman"/>
        </w:rPr>
        <w:t>We provide m</w:t>
      </w:r>
      <w:r w:rsidR="000B2C12">
        <w:rPr>
          <w:rFonts w:ascii="Times New Roman" w:hAnsi="Times New Roman" w:cs="Times New Roman"/>
        </w:rPr>
        <w:t>ore detailed discussion</w:t>
      </w:r>
      <w:r w:rsidR="00517B12">
        <w:rPr>
          <w:rFonts w:ascii="Times New Roman" w:hAnsi="Times New Roman" w:cs="Times New Roman"/>
        </w:rPr>
        <w:t xml:space="preserve"> of the data request and results</w:t>
      </w:r>
      <w:r w:rsidRPr="00310A71" w:rsidR="005303E3">
        <w:rPr>
          <w:rFonts w:ascii="Times New Roman" w:hAnsi="Times New Roman" w:cs="Times New Roman"/>
        </w:rPr>
        <w:t xml:space="preserve"> </w:t>
      </w:r>
      <w:r w:rsidRPr="00310A71" w:rsidR="00D26BC3">
        <w:rPr>
          <w:rFonts w:ascii="Times New Roman" w:hAnsi="Times New Roman" w:cs="Times New Roman"/>
        </w:rPr>
        <w:t>below.</w:t>
      </w:r>
    </w:p>
    <w:p w:rsidR="008C5236" w:rsidRPr="00310A71" w:rsidP="008C5236" w14:paraId="29CD571B" w14:textId="77777777">
      <w:pPr>
        <w:rPr>
          <w:rFonts w:ascii="Times New Roman" w:hAnsi="Times New Roman" w:cs="Times New Roman"/>
        </w:rPr>
      </w:pPr>
    </w:p>
    <w:p w:rsidR="00DA6105" w:rsidRPr="00310A71" w:rsidP="00F51C52" w14:paraId="692377CF" w14:textId="262F7722">
      <w:pPr>
        <w:pStyle w:val="Heading1"/>
        <w:spacing w:before="120" w:after="120"/>
      </w:pPr>
      <w:r w:rsidRPr="00310A71">
        <w:t>Methods</w:t>
      </w:r>
      <w:r w:rsidRPr="00310A71" w:rsidR="00EE34D1">
        <w:t xml:space="preserve"> and initial limit</w:t>
      </w:r>
      <w:r w:rsidRPr="00310A71" w:rsidR="00B542BE">
        <w:t>ations</w:t>
      </w:r>
    </w:p>
    <w:p w:rsidR="0068195B" w:rsidP="00F51C52" w14:paraId="76333BF7" w14:textId="3CA831FD">
      <w:pPr>
        <w:rPr>
          <w:rFonts w:ascii="Times New Roman" w:hAnsi="Times New Roman" w:cs="Times New Roman"/>
        </w:rPr>
      </w:pPr>
      <w:r w:rsidRPr="00310A71">
        <w:rPr>
          <w:rFonts w:ascii="Times New Roman" w:hAnsi="Times New Roman" w:cs="Times New Roman"/>
        </w:rPr>
        <w:t xml:space="preserve">RTI contacted NSC staff to request a </w:t>
      </w:r>
      <w:r w:rsidRPr="00310A71" w:rsidR="00E41347">
        <w:rPr>
          <w:rFonts w:ascii="Times New Roman" w:hAnsi="Times New Roman" w:cs="Times New Roman"/>
        </w:rPr>
        <w:t xml:space="preserve">series of custom tabulations. </w:t>
      </w:r>
      <w:r w:rsidRPr="00310A71" w:rsidR="00DB45E9">
        <w:rPr>
          <w:rFonts w:ascii="Times New Roman" w:hAnsi="Times New Roman" w:cs="Times New Roman"/>
        </w:rPr>
        <w:t>The</w:t>
      </w:r>
      <w:r w:rsidRPr="00310A71" w:rsidR="00E931A1">
        <w:rPr>
          <w:rFonts w:ascii="Times New Roman" w:hAnsi="Times New Roman" w:cs="Times New Roman"/>
        </w:rPr>
        <w:t xml:space="preserve"> requested </w:t>
      </w:r>
      <w:r w:rsidRPr="00310A71" w:rsidR="00DB45E9">
        <w:rPr>
          <w:rFonts w:ascii="Times New Roman" w:hAnsi="Times New Roman" w:cs="Times New Roman"/>
        </w:rPr>
        <w:t>tabl</w:t>
      </w:r>
      <w:r w:rsidRPr="00310A71" w:rsidR="00E931A1">
        <w:rPr>
          <w:rFonts w:ascii="Times New Roman" w:hAnsi="Times New Roman" w:cs="Times New Roman"/>
        </w:rPr>
        <w:t>e</w:t>
      </w:r>
      <w:r w:rsidRPr="00310A71" w:rsidR="00DB45E9">
        <w:rPr>
          <w:rFonts w:ascii="Times New Roman" w:hAnsi="Times New Roman" w:cs="Times New Roman"/>
        </w:rPr>
        <w:t>s were design</w:t>
      </w:r>
      <w:r w:rsidRPr="00310A71" w:rsidR="003172E2">
        <w:rPr>
          <w:rFonts w:ascii="Times New Roman" w:hAnsi="Times New Roman" w:cs="Times New Roman"/>
        </w:rPr>
        <w:t xml:space="preserve">ed to minimize suppression of data by field and </w:t>
      </w:r>
      <w:r w:rsidRPr="00310A71" w:rsidR="0097580B">
        <w:rPr>
          <w:rFonts w:ascii="Times New Roman" w:hAnsi="Times New Roman" w:cs="Times New Roman"/>
        </w:rPr>
        <w:t xml:space="preserve">maximize </w:t>
      </w:r>
      <w:r w:rsidRPr="00310A71" w:rsidR="00E931A1">
        <w:rPr>
          <w:rFonts w:ascii="Times New Roman" w:hAnsi="Times New Roman" w:cs="Times New Roman"/>
        </w:rPr>
        <w:t>comparability to GSS data</w:t>
      </w:r>
      <w:r w:rsidRPr="00310A71" w:rsidR="000169B0">
        <w:rPr>
          <w:rFonts w:ascii="Times New Roman" w:hAnsi="Times New Roman" w:cs="Times New Roman"/>
        </w:rPr>
        <w:t xml:space="preserve"> by field and institution</w:t>
      </w:r>
      <w:r w:rsidRPr="00310A71" w:rsidR="00E931A1">
        <w:rPr>
          <w:rFonts w:ascii="Times New Roman" w:hAnsi="Times New Roman" w:cs="Times New Roman"/>
        </w:rPr>
        <w:t>.</w:t>
      </w:r>
      <w:r w:rsidRPr="00310A71" w:rsidR="000169B0">
        <w:rPr>
          <w:rFonts w:ascii="Times New Roman" w:hAnsi="Times New Roman" w:cs="Times New Roman"/>
        </w:rPr>
        <w:t xml:space="preserve"> Appendix </w:t>
      </w:r>
      <w:r w:rsidR="009C704D">
        <w:rPr>
          <w:rFonts w:ascii="Times New Roman" w:hAnsi="Times New Roman" w:cs="Times New Roman"/>
        </w:rPr>
        <w:t>1</w:t>
      </w:r>
      <w:r w:rsidRPr="00310A71" w:rsidR="000169B0">
        <w:rPr>
          <w:rFonts w:ascii="Times New Roman" w:hAnsi="Times New Roman" w:cs="Times New Roman"/>
        </w:rPr>
        <w:t xml:space="preserve"> shows the </w:t>
      </w:r>
      <w:r w:rsidRPr="00310A71" w:rsidR="00924AA1">
        <w:rPr>
          <w:rFonts w:ascii="Times New Roman" w:hAnsi="Times New Roman" w:cs="Times New Roman"/>
        </w:rPr>
        <w:t xml:space="preserve">data definitions used for the </w:t>
      </w:r>
      <w:r w:rsidRPr="00310A71" w:rsidR="00367AF7">
        <w:rPr>
          <w:rFonts w:ascii="Times New Roman" w:hAnsi="Times New Roman" w:cs="Times New Roman"/>
        </w:rPr>
        <w:t xml:space="preserve">revised data </w:t>
      </w:r>
      <w:r w:rsidRPr="00310A71" w:rsidR="000169B0">
        <w:rPr>
          <w:rFonts w:ascii="Times New Roman" w:hAnsi="Times New Roman" w:cs="Times New Roman"/>
        </w:rPr>
        <w:t xml:space="preserve">request </w:t>
      </w:r>
      <w:r w:rsidRPr="00310A71" w:rsidR="00367AF7">
        <w:rPr>
          <w:rFonts w:ascii="Times New Roman" w:hAnsi="Times New Roman" w:cs="Times New Roman"/>
        </w:rPr>
        <w:t>with changes highlighted in red text.</w:t>
      </w:r>
      <w:r w:rsidRPr="00310A71" w:rsidR="00C67C5A">
        <w:rPr>
          <w:rFonts w:ascii="Times New Roman" w:hAnsi="Times New Roman" w:cs="Times New Roman"/>
        </w:rPr>
        <w:t xml:space="preserve"> The major changes included extending the number o</w:t>
      </w:r>
      <w:r w:rsidRPr="00310A71" w:rsidR="0088064C">
        <w:rPr>
          <w:rFonts w:ascii="Times New Roman" w:hAnsi="Times New Roman" w:cs="Times New Roman"/>
        </w:rPr>
        <w:t>f academic cohorts from 5</w:t>
      </w:r>
      <w:r w:rsidR="002A68B3">
        <w:rPr>
          <w:rFonts w:ascii="Times New Roman" w:hAnsi="Times New Roman" w:cs="Times New Roman"/>
        </w:rPr>
        <w:t xml:space="preserve"> (20</w:t>
      </w:r>
      <w:r w:rsidR="00CA0973">
        <w:rPr>
          <w:rFonts w:ascii="Times New Roman" w:hAnsi="Times New Roman" w:cs="Times New Roman"/>
        </w:rPr>
        <w:t>1</w:t>
      </w:r>
      <w:r w:rsidR="00051D6C">
        <w:rPr>
          <w:rFonts w:ascii="Times New Roman" w:hAnsi="Times New Roman" w:cs="Times New Roman"/>
        </w:rPr>
        <w:t>6</w:t>
      </w:r>
      <w:r w:rsidR="00CA0973">
        <w:rPr>
          <w:rFonts w:ascii="Times New Roman" w:hAnsi="Times New Roman" w:cs="Times New Roman"/>
        </w:rPr>
        <w:t>-</w:t>
      </w:r>
      <w:r w:rsidR="00051D6C">
        <w:rPr>
          <w:rFonts w:ascii="Times New Roman" w:hAnsi="Times New Roman" w:cs="Times New Roman"/>
        </w:rPr>
        <w:t>20</w:t>
      </w:r>
      <w:r w:rsidR="00CA0973">
        <w:rPr>
          <w:rFonts w:ascii="Times New Roman" w:hAnsi="Times New Roman" w:cs="Times New Roman"/>
        </w:rPr>
        <w:t>)</w:t>
      </w:r>
      <w:r w:rsidRPr="00310A71" w:rsidR="0088064C">
        <w:rPr>
          <w:rFonts w:ascii="Times New Roman" w:hAnsi="Times New Roman" w:cs="Times New Roman"/>
        </w:rPr>
        <w:t xml:space="preserve"> to 10</w:t>
      </w:r>
      <w:r w:rsidR="00CA0973">
        <w:rPr>
          <w:rFonts w:ascii="Times New Roman" w:hAnsi="Times New Roman" w:cs="Times New Roman"/>
        </w:rPr>
        <w:t xml:space="preserve"> (</w:t>
      </w:r>
      <w:r w:rsidR="00051D6C">
        <w:rPr>
          <w:rFonts w:ascii="Times New Roman" w:hAnsi="Times New Roman" w:cs="Times New Roman"/>
        </w:rPr>
        <w:t>2013-2022)</w:t>
      </w:r>
      <w:r w:rsidR="00D34CCE">
        <w:rPr>
          <w:rFonts w:ascii="Times New Roman" w:hAnsi="Times New Roman" w:cs="Times New Roman"/>
        </w:rPr>
        <w:t xml:space="preserve"> and expanding the request to all graduate students </w:t>
      </w:r>
      <w:r w:rsidR="00C6726B">
        <w:rPr>
          <w:rFonts w:ascii="Times New Roman" w:hAnsi="Times New Roman" w:cs="Times New Roman"/>
        </w:rPr>
        <w:t xml:space="preserve">allowing for a comparison of </w:t>
      </w:r>
      <w:r w:rsidR="00321497">
        <w:rPr>
          <w:rFonts w:ascii="Times New Roman" w:hAnsi="Times New Roman" w:cs="Times New Roman"/>
        </w:rPr>
        <w:t xml:space="preserve">NSC </w:t>
      </w:r>
      <w:r w:rsidR="00C6726B">
        <w:rPr>
          <w:rFonts w:ascii="Times New Roman" w:hAnsi="Times New Roman" w:cs="Times New Roman"/>
        </w:rPr>
        <w:t xml:space="preserve">doctoral and master’s </w:t>
      </w:r>
      <w:r w:rsidR="00321497">
        <w:rPr>
          <w:rFonts w:ascii="Times New Roman" w:hAnsi="Times New Roman" w:cs="Times New Roman"/>
        </w:rPr>
        <w:t xml:space="preserve">enrollment </w:t>
      </w:r>
      <w:r w:rsidR="00C6726B">
        <w:rPr>
          <w:rFonts w:ascii="Times New Roman" w:hAnsi="Times New Roman" w:cs="Times New Roman"/>
        </w:rPr>
        <w:t xml:space="preserve">data </w:t>
      </w:r>
      <w:r w:rsidR="00321497">
        <w:rPr>
          <w:rFonts w:ascii="Times New Roman" w:hAnsi="Times New Roman" w:cs="Times New Roman"/>
        </w:rPr>
        <w:t>with GSS</w:t>
      </w:r>
      <w:r w:rsidR="001B6AEC">
        <w:rPr>
          <w:rFonts w:ascii="Times New Roman" w:hAnsi="Times New Roman" w:cs="Times New Roman"/>
        </w:rPr>
        <w:t xml:space="preserve"> enrollment data </w:t>
      </w:r>
      <w:r w:rsidR="00C6726B">
        <w:rPr>
          <w:rFonts w:ascii="Times New Roman" w:hAnsi="Times New Roman" w:cs="Times New Roman"/>
        </w:rPr>
        <w:t xml:space="preserve">and </w:t>
      </w:r>
      <w:r w:rsidR="001B6AEC">
        <w:rPr>
          <w:rFonts w:ascii="Times New Roman" w:hAnsi="Times New Roman" w:cs="Times New Roman"/>
        </w:rPr>
        <w:t xml:space="preserve">providing a more comprehensive picture of </w:t>
      </w:r>
      <w:r w:rsidR="00605B68">
        <w:rPr>
          <w:rFonts w:ascii="Times New Roman" w:hAnsi="Times New Roman" w:cs="Times New Roman"/>
        </w:rPr>
        <w:t xml:space="preserve">the NSC data should NCSES want to do a survey of all graduate students. </w:t>
      </w:r>
    </w:p>
    <w:p w:rsidR="008A71AE" w:rsidP="00006057" w14:paraId="16E09F9F" w14:textId="06A84E54">
      <w:pPr>
        <w:spacing w:before="200"/>
        <w:rPr>
          <w:rFonts w:ascii="Times New Roman" w:hAnsi="Times New Roman" w:cs="Times New Roman"/>
        </w:rPr>
      </w:pPr>
      <w:r>
        <w:rPr>
          <w:rFonts w:ascii="Times New Roman" w:hAnsi="Times New Roman" w:cs="Times New Roman"/>
        </w:rPr>
        <w:t xml:space="preserve">Because the original NSC </w:t>
      </w:r>
      <w:r w:rsidR="0061308B">
        <w:rPr>
          <w:rFonts w:ascii="Times New Roman" w:hAnsi="Times New Roman" w:cs="Times New Roman"/>
        </w:rPr>
        <w:t xml:space="preserve">estimates based on 5 cohorts undercounted </w:t>
      </w:r>
      <w:r w:rsidR="00677F44">
        <w:rPr>
          <w:rFonts w:ascii="Times New Roman" w:hAnsi="Times New Roman" w:cs="Times New Roman"/>
        </w:rPr>
        <w:t xml:space="preserve">doctoral enrollment in the GSS, we </w:t>
      </w:r>
      <w:r w:rsidR="002F27FB">
        <w:rPr>
          <w:rFonts w:ascii="Times New Roman" w:hAnsi="Times New Roman" w:cs="Times New Roman"/>
        </w:rPr>
        <w:t xml:space="preserve">asked the NSC analysts </w:t>
      </w:r>
      <w:r w:rsidR="00347473">
        <w:rPr>
          <w:rFonts w:ascii="Times New Roman" w:hAnsi="Times New Roman" w:cs="Times New Roman"/>
        </w:rPr>
        <w:t xml:space="preserve">about the best way to identify all </w:t>
      </w:r>
      <w:r w:rsidR="00CF13C8">
        <w:rPr>
          <w:rFonts w:ascii="Times New Roman" w:hAnsi="Times New Roman" w:cs="Times New Roman"/>
        </w:rPr>
        <w:t xml:space="preserve">potential graduate students in the </w:t>
      </w:r>
      <w:r w:rsidR="0006297B">
        <w:rPr>
          <w:rFonts w:ascii="Times New Roman" w:hAnsi="Times New Roman" w:cs="Times New Roman"/>
        </w:rPr>
        <w:t xml:space="preserve">NSC </w:t>
      </w:r>
      <w:r w:rsidR="00CF13C8">
        <w:rPr>
          <w:rFonts w:ascii="Times New Roman" w:hAnsi="Times New Roman" w:cs="Times New Roman"/>
        </w:rPr>
        <w:t xml:space="preserve">data and they suggested that we could use </w:t>
      </w:r>
      <w:r w:rsidR="000333B0">
        <w:rPr>
          <w:rFonts w:ascii="Times New Roman" w:hAnsi="Times New Roman" w:cs="Times New Roman"/>
        </w:rPr>
        <w:t xml:space="preserve">the </w:t>
      </w:r>
      <w:r w:rsidR="00CF13C8">
        <w:rPr>
          <w:rFonts w:ascii="Times New Roman" w:hAnsi="Times New Roman" w:cs="Times New Roman"/>
        </w:rPr>
        <w:t>three variables</w:t>
      </w:r>
      <w:r w:rsidR="000333B0">
        <w:rPr>
          <w:rFonts w:ascii="Times New Roman" w:hAnsi="Times New Roman" w:cs="Times New Roman"/>
        </w:rPr>
        <w:t xml:space="preserve"> shown below</w:t>
      </w:r>
      <w:r w:rsidR="00AD6E0B">
        <w:rPr>
          <w:rFonts w:ascii="Times New Roman" w:hAnsi="Times New Roman" w:cs="Times New Roman"/>
        </w:rPr>
        <w:t>.</w:t>
      </w:r>
      <w:r w:rsidRPr="00AD6E0B" w:rsidR="00AD6E0B">
        <w:rPr>
          <w:rFonts w:ascii="Times New Roman" w:hAnsi="Times New Roman" w:cs="Times New Roman"/>
        </w:rPr>
        <w:t xml:space="preserve"> </w:t>
      </w:r>
      <w:r w:rsidR="00AD6E0B">
        <w:rPr>
          <w:rFonts w:ascii="Times New Roman" w:hAnsi="Times New Roman" w:cs="Times New Roman"/>
        </w:rPr>
        <w:t>The first two variables</w:t>
      </w:r>
      <w:r w:rsidR="00501D85">
        <w:rPr>
          <w:rFonts w:ascii="Times New Roman" w:hAnsi="Times New Roman" w:cs="Times New Roman"/>
        </w:rPr>
        <w:t xml:space="preserve"> suggested by NSC</w:t>
      </w:r>
      <w:r w:rsidR="00AD6E0B">
        <w:rPr>
          <w:rFonts w:ascii="Times New Roman" w:hAnsi="Times New Roman" w:cs="Times New Roman"/>
        </w:rPr>
        <w:t xml:space="preserve"> </w:t>
      </w:r>
      <w:r w:rsidR="00EC1C47">
        <w:rPr>
          <w:rFonts w:ascii="Times New Roman" w:hAnsi="Times New Roman" w:cs="Times New Roman"/>
        </w:rPr>
        <w:t>reflect</w:t>
      </w:r>
      <w:r w:rsidR="005E6E8A">
        <w:rPr>
          <w:rFonts w:ascii="Times New Roman" w:hAnsi="Times New Roman" w:cs="Times New Roman"/>
        </w:rPr>
        <w:t xml:space="preserve"> </w:t>
      </w:r>
      <w:r w:rsidR="00AD6E0B">
        <w:rPr>
          <w:rFonts w:ascii="Times New Roman" w:hAnsi="Times New Roman" w:cs="Times New Roman"/>
        </w:rPr>
        <w:t xml:space="preserve">the student’s current </w:t>
      </w:r>
      <w:r w:rsidR="001A3108">
        <w:rPr>
          <w:rFonts w:ascii="Times New Roman" w:hAnsi="Times New Roman" w:cs="Times New Roman"/>
        </w:rPr>
        <w:t>enrollment s</w:t>
      </w:r>
      <w:r w:rsidR="00AD6E0B">
        <w:rPr>
          <w:rFonts w:ascii="Times New Roman" w:hAnsi="Times New Roman" w:cs="Times New Roman"/>
        </w:rPr>
        <w:t xml:space="preserve">tatus while the third is intended to capture the highest degree already earned by the student. </w:t>
      </w:r>
      <w:r w:rsidR="00D64A8E">
        <w:rPr>
          <w:rFonts w:ascii="Times New Roman" w:hAnsi="Times New Roman" w:cs="Times New Roman"/>
        </w:rPr>
        <w:t xml:space="preserve">Categories in </w:t>
      </w:r>
      <w:r w:rsidR="000A7BB9">
        <w:rPr>
          <w:rFonts w:ascii="Times New Roman" w:hAnsi="Times New Roman" w:cs="Times New Roman"/>
        </w:rPr>
        <w:t xml:space="preserve">black text </w:t>
      </w:r>
      <w:r w:rsidR="0006297B">
        <w:rPr>
          <w:rFonts w:ascii="Times New Roman" w:hAnsi="Times New Roman" w:cs="Times New Roman"/>
        </w:rPr>
        <w:t>indicat</w:t>
      </w:r>
      <w:r w:rsidR="00D64A8E">
        <w:rPr>
          <w:rFonts w:ascii="Times New Roman" w:hAnsi="Times New Roman" w:cs="Times New Roman"/>
        </w:rPr>
        <w:t>e</w:t>
      </w:r>
      <w:r w:rsidR="0006297B">
        <w:rPr>
          <w:rFonts w:ascii="Times New Roman" w:hAnsi="Times New Roman" w:cs="Times New Roman"/>
        </w:rPr>
        <w:t xml:space="preserve"> graduate student status.</w:t>
      </w:r>
      <w:r w:rsidR="00CF13C8">
        <w:rPr>
          <w:rFonts w:ascii="Times New Roman" w:hAnsi="Times New Roman" w:cs="Times New Roman"/>
        </w:rPr>
        <w:t xml:space="preserve"> </w:t>
      </w:r>
    </w:p>
    <w:p w:rsidR="00CE5DCE" w:rsidP="00AE6E69" w14:paraId="39D641A2" w14:textId="77777777">
      <w:pPr>
        <w:rPr>
          <w:rFonts w:ascii="Times New Roman" w:hAnsi="Times New Roman" w:cs="Times New Roman"/>
        </w:rPr>
      </w:pPr>
    </w:p>
    <w:p w:rsidR="00CE5DCE" w:rsidRPr="00092F5A" w:rsidP="00092F5A" w14:paraId="109FC0B8" w14:textId="4678031E">
      <w:pPr>
        <w:spacing w:after="120"/>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-69850</wp:posOffset>
                </wp:positionH>
                <wp:positionV relativeFrom="paragraph">
                  <wp:posOffset>182880</wp:posOffset>
                </wp:positionV>
                <wp:extent cx="6013450" cy="2590800"/>
                <wp:effectExtent l="6350" t="8890" r="9525" b="10160"/>
                <wp:wrapNone/>
                <wp:docPr id="17209467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13450" cy="25908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473.5pt;height:204pt;margin-top:14.4pt;margin-left:-5.5pt;mso-height-percent:0;mso-height-relative:page;mso-width-percent:0;mso-width-relative:page;mso-wrap-distance-bottom:0;mso-wrap-distance-left:9pt;mso-wrap-distance-right:9pt;mso-wrap-distance-top:0;mso-wrap-style:square;position:absolute;visibility:visible;v-text-anchor:top;z-index:251659264" filled="f">
                <v:fill opacity="0"/>
              </v:rect>
            </w:pict>
          </mc:Fallback>
        </mc:AlternateContent>
      </w:r>
      <w:r w:rsidRPr="00092F5A">
        <w:rPr>
          <w:rFonts w:ascii="Arial" w:hAnsi="Arial" w:cs="Arial"/>
          <w:b/>
          <w:bCs/>
          <w:sz w:val="20"/>
          <w:szCs w:val="20"/>
        </w:rPr>
        <w:t xml:space="preserve">Table 1. NSC variables </w:t>
      </w:r>
      <w:r w:rsidRPr="00092F5A" w:rsidR="00092F5A">
        <w:rPr>
          <w:rFonts w:ascii="Arial" w:hAnsi="Arial" w:cs="Arial"/>
          <w:b/>
          <w:bCs/>
          <w:sz w:val="20"/>
          <w:szCs w:val="20"/>
        </w:rPr>
        <w:t>related to graduate student status</w:t>
      </w:r>
    </w:p>
    <w:p w:rsidR="00CE25BF" w:rsidP="008243C3" w14:paraId="0EFBECC8" w14:textId="77777777">
      <w:pPr>
        <w:rPr>
          <w:rFonts w:ascii="Arial" w:hAnsi="Arial" w:cs="Arial"/>
          <w:sz w:val="20"/>
          <w:szCs w:val="20"/>
        </w:rPr>
        <w:sectPr>
          <w:pgSz w:w="12240" w:h="15840"/>
          <w:pgMar w:top="1440" w:right="1440" w:bottom="1440" w:left="1440" w:header="720" w:footer="720" w:gutter="0"/>
          <w:cols w:space="720"/>
          <w:docGrid w:linePitch="360"/>
        </w:sectPr>
      </w:pPr>
    </w:p>
    <w:p w:rsidR="008243C3" w:rsidRPr="00092F5A" w:rsidP="008243C3" w14:paraId="5F645537" w14:textId="2F4D0256">
      <w:pPr>
        <w:rPr>
          <w:rFonts w:ascii="Arial" w:hAnsi="Arial" w:cs="Arial"/>
          <w:sz w:val="20"/>
          <w:szCs w:val="20"/>
          <w:u w:val="single"/>
        </w:rPr>
      </w:pPr>
      <w:r w:rsidRPr="00092F5A">
        <w:rPr>
          <w:rFonts w:ascii="Arial" w:hAnsi="Arial" w:cs="Arial"/>
          <w:sz w:val="20"/>
          <w:szCs w:val="20"/>
          <w:u w:val="single"/>
        </w:rPr>
        <w:t>Pr</w:t>
      </w:r>
      <w:r w:rsidRPr="00092F5A">
        <w:rPr>
          <w:rFonts w:ascii="Arial" w:hAnsi="Arial" w:cs="Arial"/>
          <w:sz w:val="20"/>
          <w:szCs w:val="20"/>
          <w:u w:val="single"/>
        </w:rPr>
        <w:t>imary Program Credential Level:</w:t>
      </w:r>
    </w:p>
    <w:p w:rsidR="008243C3" w:rsidRPr="004B6BFF" w:rsidP="008243C3" w14:paraId="272605C9"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01 = Undergraduate Certificate or Diploma Program</w:t>
      </w:r>
    </w:p>
    <w:p w:rsidR="008243C3" w:rsidRPr="004B6BFF" w:rsidP="008243C3" w14:paraId="78B8AB96"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 xml:space="preserve">02 = </w:t>
      </w:r>
      <w:r w:rsidRPr="004B6BFF">
        <w:rPr>
          <w:rFonts w:ascii="Arial" w:hAnsi="Arial" w:cs="Arial"/>
          <w:color w:val="AEAAAA" w:themeColor="background2" w:themeShade="BF"/>
          <w:sz w:val="20"/>
          <w:szCs w:val="20"/>
        </w:rPr>
        <w:t>Associate Degree</w:t>
      </w:r>
    </w:p>
    <w:p w:rsidR="008243C3" w:rsidRPr="004B6BFF" w:rsidP="008243C3" w14:paraId="5F9B82D7"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 xml:space="preserve">03 = </w:t>
      </w:r>
      <w:r w:rsidRPr="004B6BFF">
        <w:rPr>
          <w:rFonts w:ascii="Arial" w:hAnsi="Arial" w:cs="Arial"/>
          <w:color w:val="AEAAAA" w:themeColor="background2" w:themeShade="BF"/>
          <w:sz w:val="20"/>
          <w:szCs w:val="20"/>
        </w:rPr>
        <w:t>Bachelor’s Degree</w:t>
      </w:r>
    </w:p>
    <w:p w:rsidR="008243C3" w:rsidRPr="005A2CAE" w:rsidP="008243C3" w14:paraId="6BF75AEE" w14:textId="77777777">
      <w:pPr>
        <w:rPr>
          <w:rFonts w:ascii="Arial" w:hAnsi="Arial" w:cs="Arial"/>
          <w:sz w:val="20"/>
          <w:szCs w:val="20"/>
        </w:rPr>
      </w:pPr>
      <w:r w:rsidRPr="005A2CAE">
        <w:rPr>
          <w:rFonts w:ascii="Arial" w:hAnsi="Arial" w:cs="Arial"/>
          <w:sz w:val="20"/>
          <w:szCs w:val="20"/>
        </w:rPr>
        <w:t>04 = Post Baccalaureate Certificate</w:t>
      </w:r>
    </w:p>
    <w:p w:rsidR="008243C3" w:rsidRPr="005A2CAE" w:rsidP="008243C3" w14:paraId="0B683AB9" w14:textId="77777777">
      <w:pPr>
        <w:rPr>
          <w:rFonts w:ascii="Arial" w:hAnsi="Arial" w:cs="Arial"/>
          <w:sz w:val="20"/>
          <w:szCs w:val="20"/>
        </w:rPr>
      </w:pPr>
      <w:r w:rsidRPr="005A2CAE">
        <w:rPr>
          <w:rFonts w:ascii="Arial" w:hAnsi="Arial" w:cs="Arial"/>
          <w:sz w:val="20"/>
          <w:szCs w:val="20"/>
        </w:rPr>
        <w:t xml:space="preserve">05 = </w:t>
      </w:r>
      <w:r w:rsidRPr="005A2CAE">
        <w:rPr>
          <w:rFonts w:ascii="Arial" w:hAnsi="Arial" w:cs="Arial"/>
          <w:sz w:val="20"/>
          <w:szCs w:val="20"/>
        </w:rPr>
        <w:t>Master’s Degree</w:t>
      </w:r>
    </w:p>
    <w:p w:rsidR="008243C3" w:rsidRPr="005A2CAE" w:rsidP="008243C3" w14:paraId="38A1922A" w14:textId="77777777">
      <w:pPr>
        <w:rPr>
          <w:rFonts w:ascii="Arial" w:hAnsi="Arial" w:cs="Arial"/>
          <w:sz w:val="20"/>
          <w:szCs w:val="20"/>
        </w:rPr>
      </w:pPr>
      <w:r w:rsidRPr="005A2CAE">
        <w:rPr>
          <w:rFonts w:ascii="Arial" w:hAnsi="Arial" w:cs="Arial"/>
          <w:sz w:val="20"/>
          <w:szCs w:val="20"/>
        </w:rPr>
        <w:t>06 = Doctoral Degree</w:t>
      </w:r>
    </w:p>
    <w:p w:rsidR="008243C3" w:rsidRPr="005A2CAE" w:rsidP="008243C3" w14:paraId="29712F9F" w14:textId="77777777">
      <w:pPr>
        <w:rPr>
          <w:rFonts w:ascii="Arial" w:hAnsi="Arial" w:cs="Arial"/>
          <w:sz w:val="20"/>
          <w:szCs w:val="20"/>
        </w:rPr>
      </w:pPr>
      <w:r w:rsidRPr="005A2CAE">
        <w:rPr>
          <w:rFonts w:ascii="Arial" w:hAnsi="Arial" w:cs="Arial"/>
          <w:sz w:val="20"/>
          <w:szCs w:val="20"/>
        </w:rPr>
        <w:t>07 = First Professional Degree</w:t>
      </w:r>
    </w:p>
    <w:p w:rsidR="008243C3" w:rsidRPr="005A2CAE" w:rsidP="008243C3" w14:paraId="763CC2D8" w14:textId="77777777">
      <w:pPr>
        <w:rPr>
          <w:rFonts w:ascii="Arial" w:hAnsi="Arial" w:cs="Arial"/>
          <w:sz w:val="20"/>
          <w:szCs w:val="20"/>
        </w:rPr>
      </w:pPr>
      <w:r w:rsidRPr="005A2CAE">
        <w:rPr>
          <w:rFonts w:ascii="Arial" w:hAnsi="Arial" w:cs="Arial"/>
          <w:sz w:val="20"/>
          <w:szCs w:val="20"/>
        </w:rPr>
        <w:t>08 = Graduate / Professional Certificate</w:t>
      </w:r>
    </w:p>
    <w:p w:rsidR="008243C3" w:rsidRPr="005A2CAE" w:rsidP="008243C3" w14:paraId="7C8A6150" w14:textId="140BE1BE">
      <w:pPr>
        <w:rPr>
          <w:rFonts w:ascii="Arial" w:hAnsi="Arial" w:cs="Arial"/>
          <w:sz w:val="20"/>
          <w:szCs w:val="20"/>
        </w:rPr>
      </w:pPr>
      <w:r w:rsidRPr="005A2CAE">
        <w:rPr>
          <w:rFonts w:ascii="Arial" w:hAnsi="Arial" w:cs="Arial"/>
          <w:sz w:val="20"/>
          <w:szCs w:val="20"/>
        </w:rPr>
        <w:t>99 = Non-Credential Program (Preparatory Coursework/Teacher Certification)</w:t>
      </w:r>
    </w:p>
    <w:p w:rsidR="00B63214" w:rsidP="00DB2609" w14:paraId="5EFB41FE" w14:textId="77777777">
      <w:pPr>
        <w:rPr>
          <w:rFonts w:ascii="Arial" w:hAnsi="Arial" w:cs="Arial"/>
          <w:sz w:val="20"/>
          <w:szCs w:val="20"/>
        </w:rPr>
      </w:pPr>
    </w:p>
    <w:p w:rsidR="000F0DC4" w:rsidP="00DB2609" w14:paraId="411169F3" w14:textId="760456E3">
      <w:pPr>
        <w:rPr>
          <w:rFonts w:ascii="Arial" w:hAnsi="Arial" w:cs="Arial"/>
          <w:sz w:val="20"/>
          <w:szCs w:val="20"/>
        </w:rPr>
      </w:pPr>
    </w:p>
    <w:p w:rsidR="008243C3" w:rsidRPr="00092F5A" w:rsidP="008243C3" w14:paraId="5E8A8F4D" w14:textId="77777777">
      <w:pPr>
        <w:rPr>
          <w:rFonts w:ascii="Arial" w:hAnsi="Arial" w:cs="Arial"/>
          <w:sz w:val="20"/>
          <w:szCs w:val="20"/>
          <w:u w:val="single"/>
        </w:rPr>
      </w:pPr>
      <w:r w:rsidRPr="00092F5A">
        <w:rPr>
          <w:rFonts w:ascii="Arial" w:hAnsi="Arial" w:cs="Arial"/>
          <w:sz w:val="20"/>
          <w:szCs w:val="20"/>
          <w:u w:val="single"/>
        </w:rPr>
        <w:t>Class Credential Level:</w:t>
      </w:r>
    </w:p>
    <w:p w:rsidR="008243C3" w:rsidRPr="004B6BFF" w:rsidP="008243C3" w14:paraId="04A868F3"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A = Associate's</w:t>
      </w:r>
    </w:p>
    <w:p w:rsidR="008243C3" w:rsidRPr="004B6BFF" w:rsidP="008243C3" w14:paraId="4BCEDBF0"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C = Certificate (Undergraduate)</w:t>
      </w:r>
    </w:p>
    <w:p w:rsidR="008243C3" w:rsidRPr="004B6BFF" w:rsidP="008243C3" w14:paraId="59D85FBA"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F = Freshman (Undergraduate)</w:t>
      </w:r>
    </w:p>
    <w:p w:rsidR="008243C3" w:rsidRPr="004B6BFF" w:rsidP="008243C3" w14:paraId="5CDD3EBB"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S = Sophomore (Undergraduate)</w:t>
      </w:r>
    </w:p>
    <w:p w:rsidR="008243C3" w:rsidRPr="004B6BFF" w:rsidP="008243C3" w14:paraId="2EBC75CF"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J = Junior (Undergraduate)</w:t>
      </w:r>
    </w:p>
    <w:p w:rsidR="008243C3" w:rsidRPr="004B6BFF" w:rsidP="008243C3" w14:paraId="0F0052EE"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R = Senior (Undergraduate)</w:t>
      </w:r>
    </w:p>
    <w:p w:rsidR="008243C3" w:rsidRPr="004B6BFF" w:rsidP="008243C3" w14:paraId="1A7A27F0"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N = Unspecified (Undergraduate)</w:t>
      </w:r>
    </w:p>
    <w:p w:rsidR="008243C3" w:rsidRPr="004B6BFF" w:rsidP="008243C3" w14:paraId="5B5AF3DC"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B = Bachelor's (Undergraduate)</w:t>
      </w:r>
    </w:p>
    <w:p w:rsidR="008243C3" w:rsidRPr="005A2CAE" w:rsidP="008243C3" w14:paraId="4B4A1850" w14:textId="77777777">
      <w:pPr>
        <w:rPr>
          <w:rFonts w:ascii="Arial" w:hAnsi="Arial" w:cs="Arial"/>
          <w:sz w:val="20"/>
          <w:szCs w:val="20"/>
        </w:rPr>
      </w:pPr>
      <w:r w:rsidRPr="005A2CAE">
        <w:rPr>
          <w:rFonts w:ascii="Arial" w:hAnsi="Arial" w:cs="Arial"/>
          <w:sz w:val="20"/>
          <w:szCs w:val="20"/>
        </w:rPr>
        <w:t>T = Post Baccalaureate Certificate</w:t>
      </w:r>
    </w:p>
    <w:p w:rsidR="008243C3" w:rsidRPr="005A2CAE" w:rsidP="008243C3" w14:paraId="74938349" w14:textId="77777777">
      <w:pPr>
        <w:rPr>
          <w:rFonts w:ascii="Arial" w:hAnsi="Arial" w:cs="Arial"/>
          <w:sz w:val="20"/>
          <w:szCs w:val="20"/>
        </w:rPr>
      </w:pPr>
      <w:r w:rsidRPr="005A2CAE">
        <w:rPr>
          <w:rFonts w:ascii="Arial" w:hAnsi="Arial" w:cs="Arial"/>
          <w:sz w:val="20"/>
          <w:szCs w:val="20"/>
        </w:rPr>
        <w:t>M = Master’s (Graduate)</w:t>
      </w:r>
    </w:p>
    <w:p w:rsidR="008243C3" w:rsidRPr="005A2CAE" w:rsidP="008243C3" w14:paraId="5A2079A2" w14:textId="77777777">
      <w:pPr>
        <w:rPr>
          <w:rFonts w:ascii="Arial" w:hAnsi="Arial" w:cs="Arial"/>
          <w:sz w:val="20"/>
          <w:szCs w:val="20"/>
        </w:rPr>
      </w:pPr>
      <w:r w:rsidRPr="005A2CAE">
        <w:rPr>
          <w:rFonts w:ascii="Arial" w:hAnsi="Arial" w:cs="Arial"/>
          <w:sz w:val="20"/>
          <w:szCs w:val="20"/>
        </w:rPr>
        <w:t>D = Doctoral (Graduate)</w:t>
      </w:r>
    </w:p>
    <w:p w:rsidR="008243C3" w:rsidRPr="005A2CAE" w:rsidP="008243C3" w14:paraId="2AE72E45" w14:textId="77777777">
      <w:pPr>
        <w:rPr>
          <w:rFonts w:ascii="Arial" w:hAnsi="Arial" w:cs="Arial"/>
          <w:sz w:val="20"/>
          <w:szCs w:val="20"/>
        </w:rPr>
      </w:pPr>
      <w:r w:rsidRPr="005A2CAE">
        <w:rPr>
          <w:rFonts w:ascii="Arial" w:hAnsi="Arial" w:cs="Arial"/>
          <w:sz w:val="20"/>
          <w:szCs w:val="20"/>
        </w:rPr>
        <w:t>P = Postdoctorate (Graduate)</w:t>
      </w:r>
    </w:p>
    <w:p w:rsidR="008243C3" w:rsidRPr="005A2CAE" w:rsidP="008243C3" w14:paraId="01E6CE8F" w14:textId="77777777">
      <w:pPr>
        <w:rPr>
          <w:rFonts w:ascii="Arial" w:hAnsi="Arial" w:cs="Arial"/>
          <w:sz w:val="20"/>
          <w:szCs w:val="20"/>
        </w:rPr>
      </w:pPr>
      <w:r w:rsidRPr="005A2CAE">
        <w:rPr>
          <w:rFonts w:ascii="Arial" w:hAnsi="Arial" w:cs="Arial"/>
          <w:sz w:val="20"/>
          <w:szCs w:val="20"/>
        </w:rPr>
        <w:t>L = First Professional (Graduate)</w:t>
      </w:r>
    </w:p>
    <w:p w:rsidR="008243C3" w:rsidRPr="005A2CAE" w:rsidP="008243C3" w14:paraId="3342AA49" w14:textId="0E8EEDFD">
      <w:pPr>
        <w:rPr>
          <w:rFonts w:ascii="Arial" w:hAnsi="Arial" w:cs="Arial"/>
          <w:sz w:val="20"/>
          <w:szCs w:val="20"/>
        </w:rPr>
      </w:pPr>
      <w:r w:rsidRPr="005A2CAE">
        <w:rPr>
          <w:rFonts w:ascii="Arial" w:hAnsi="Arial" w:cs="Arial"/>
          <w:sz w:val="20"/>
          <w:szCs w:val="20"/>
        </w:rPr>
        <w:t>G = Unspecified (Graduate/Professional)</w:t>
      </w:r>
    </w:p>
    <w:p w:rsidR="00CE25BF" w:rsidRPr="00CE25BF" w:rsidP="008243C3" w14:paraId="4010C510" w14:textId="77777777">
      <w:pPr>
        <w:rPr>
          <w:rFonts w:ascii="Arial" w:hAnsi="Arial" w:cs="Arial"/>
          <w:sz w:val="20"/>
          <w:szCs w:val="20"/>
        </w:rPr>
      </w:pPr>
    </w:p>
    <w:p w:rsidR="00CE25BF" w:rsidRPr="00092F5A" w:rsidP="00CE25BF" w14:paraId="4262D7EF" w14:textId="77777777">
      <w:pPr>
        <w:rPr>
          <w:rFonts w:ascii="Arial" w:hAnsi="Arial" w:cs="Arial"/>
          <w:sz w:val="20"/>
          <w:szCs w:val="20"/>
          <w:u w:val="single"/>
        </w:rPr>
      </w:pPr>
      <w:r w:rsidRPr="00092F5A">
        <w:rPr>
          <w:rFonts w:ascii="Arial" w:hAnsi="Arial" w:cs="Arial"/>
          <w:sz w:val="20"/>
          <w:szCs w:val="20"/>
          <w:u w:val="single"/>
        </w:rPr>
        <w:t>Level of Degree Awarded:</w:t>
      </w:r>
    </w:p>
    <w:p w:rsidR="00CE25BF" w:rsidRPr="004B6BFF" w:rsidP="00CE25BF" w14:paraId="6502BEB1"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 xml:space="preserve">AD = </w:t>
      </w:r>
      <w:r w:rsidRPr="004B6BFF">
        <w:rPr>
          <w:rFonts w:ascii="Arial" w:hAnsi="Arial" w:cs="Arial"/>
          <w:color w:val="AEAAAA" w:themeColor="background2" w:themeShade="BF"/>
          <w:sz w:val="20"/>
          <w:szCs w:val="20"/>
        </w:rPr>
        <w:t>Associate’s Degree</w:t>
      </w:r>
    </w:p>
    <w:p w:rsidR="00CE25BF" w:rsidRPr="005A2CAE" w:rsidP="00CE25BF" w14:paraId="355A8875" w14:textId="77777777">
      <w:pPr>
        <w:rPr>
          <w:rFonts w:ascii="Arial" w:hAnsi="Arial" w:cs="Arial"/>
          <w:sz w:val="20"/>
          <w:szCs w:val="20"/>
        </w:rPr>
      </w:pPr>
      <w:r w:rsidRPr="005A2CAE">
        <w:rPr>
          <w:rFonts w:ascii="Arial" w:hAnsi="Arial" w:cs="Arial"/>
          <w:sz w:val="20"/>
          <w:szCs w:val="20"/>
        </w:rPr>
        <w:t xml:space="preserve">BD = </w:t>
      </w:r>
      <w:r w:rsidRPr="005A2CAE">
        <w:rPr>
          <w:rFonts w:ascii="Arial" w:hAnsi="Arial" w:cs="Arial"/>
          <w:sz w:val="20"/>
          <w:szCs w:val="20"/>
        </w:rPr>
        <w:t>Bachelor’s Degree</w:t>
      </w:r>
    </w:p>
    <w:p w:rsidR="00CE25BF" w:rsidRPr="004B6BFF" w:rsidP="00CE25BF" w14:paraId="6D31C984"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CR = Credential</w:t>
      </w:r>
    </w:p>
    <w:p w:rsidR="00CE25BF" w:rsidRPr="005A2CAE" w:rsidP="00CE25BF" w14:paraId="2A0CC511" w14:textId="77777777">
      <w:pPr>
        <w:rPr>
          <w:rFonts w:ascii="Arial" w:hAnsi="Arial" w:cs="Arial"/>
          <w:sz w:val="20"/>
          <w:szCs w:val="20"/>
        </w:rPr>
      </w:pPr>
      <w:r w:rsidRPr="005A2CAE">
        <w:rPr>
          <w:rFonts w:ascii="Arial" w:hAnsi="Arial" w:cs="Arial"/>
          <w:sz w:val="20"/>
          <w:szCs w:val="20"/>
        </w:rPr>
        <w:t>DP = Doctoral-Professional</w:t>
      </w:r>
    </w:p>
    <w:p w:rsidR="00CE25BF" w:rsidRPr="005A2CAE" w:rsidP="00CE25BF" w14:paraId="46F0D73F" w14:textId="77777777">
      <w:pPr>
        <w:rPr>
          <w:rFonts w:ascii="Arial" w:hAnsi="Arial" w:cs="Arial"/>
          <w:sz w:val="20"/>
          <w:szCs w:val="20"/>
        </w:rPr>
      </w:pPr>
      <w:r w:rsidRPr="005A2CAE">
        <w:rPr>
          <w:rFonts w:ascii="Arial" w:hAnsi="Arial" w:cs="Arial"/>
          <w:sz w:val="20"/>
          <w:szCs w:val="20"/>
        </w:rPr>
        <w:t>DR = Doctoral-Research</w:t>
      </w:r>
    </w:p>
    <w:p w:rsidR="00CE25BF" w:rsidRPr="004B6BFF" w:rsidP="00CE25BF" w14:paraId="207E5CF6"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HR = Honors</w:t>
      </w:r>
    </w:p>
    <w:p w:rsidR="00CE25BF" w:rsidRPr="005A2CAE" w:rsidP="00CE25BF" w14:paraId="2AC11160" w14:textId="77777777">
      <w:pPr>
        <w:rPr>
          <w:rFonts w:ascii="Arial" w:hAnsi="Arial" w:cs="Arial"/>
          <w:sz w:val="20"/>
          <w:szCs w:val="20"/>
        </w:rPr>
      </w:pPr>
      <w:r w:rsidRPr="005A2CAE">
        <w:rPr>
          <w:rFonts w:ascii="Arial" w:hAnsi="Arial" w:cs="Arial"/>
          <w:sz w:val="20"/>
          <w:szCs w:val="20"/>
        </w:rPr>
        <w:t xml:space="preserve">MD = </w:t>
      </w:r>
      <w:r w:rsidRPr="005A2CAE">
        <w:rPr>
          <w:rFonts w:ascii="Arial" w:hAnsi="Arial" w:cs="Arial"/>
          <w:sz w:val="20"/>
          <w:szCs w:val="20"/>
        </w:rPr>
        <w:t>Master’s Degree</w:t>
      </w:r>
    </w:p>
    <w:p w:rsidR="00CE25BF" w:rsidRPr="004B6BFF" w:rsidP="00CE25BF" w14:paraId="4BC458B4"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NC = Not Classified</w:t>
      </w:r>
    </w:p>
    <w:p w:rsidR="00CE25BF" w:rsidRPr="005A2CAE" w:rsidP="00CE25BF" w14:paraId="468BE082" w14:textId="77777777">
      <w:pPr>
        <w:rPr>
          <w:rFonts w:ascii="Arial" w:hAnsi="Arial" w:cs="Arial"/>
          <w:sz w:val="20"/>
          <w:szCs w:val="20"/>
        </w:rPr>
      </w:pPr>
      <w:r w:rsidRPr="005A2CAE">
        <w:rPr>
          <w:rFonts w:ascii="Arial" w:hAnsi="Arial" w:cs="Arial"/>
          <w:sz w:val="20"/>
          <w:szCs w:val="20"/>
        </w:rPr>
        <w:t>PC = Post-Bachelor’s Certificate</w:t>
      </w:r>
    </w:p>
    <w:p w:rsidR="00CE25BF" w:rsidRPr="004B6BFF" w:rsidP="00CE25BF" w14:paraId="7F30C360"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PD = Postsecondary Diploma</w:t>
      </w:r>
    </w:p>
    <w:p w:rsidR="00CE25BF" w:rsidRPr="004B6BFF" w:rsidP="00CE25BF" w14:paraId="0CC42626"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RN = Review Needed</w:t>
      </w:r>
    </w:p>
    <w:p w:rsidR="00CE25BF" w:rsidRPr="004B6BFF" w:rsidP="00CE25BF" w14:paraId="5BF84569"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UC = Certificate</w:t>
      </w:r>
    </w:p>
    <w:p w:rsidR="00CE25BF" w:rsidRPr="004B6BFF" w:rsidP="00CE25BF" w14:paraId="5E8BC388" w14:textId="77777777">
      <w:pPr>
        <w:rPr>
          <w:rFonts w:ascii="Arial" w:hAnsi="Arial" w:cs="Arial"/>
          <w:color w:val="AEAAAA" w:themeColor="background2" w:themeShade="BF"/>
          <w:sz w:val="20"/>
          <w:szCs w:val="20"/>
        </w:rPr>
      </w:pPr>
      <w:r w:rsidRPr="004B6BFF">
        <w:rPr>
          <w:rFonts w:ascii="Arial" w:hAnsi="Arial" w:cs="Arial"/>
          <w:color w:val="AEAAAA" w:themeColor="background2" w:themeShade="BF"/>
          <w:sz w:val="20"/>
          <w:szCs w:val="20"/>
        </w:rPr>
        <w:t>UN = Undetermined</w:t>
      </w:r>
    </w:p>
    <w:p w:rsidR="00CE25BF" w:rsidRPr="00CE25BF" w:rsidP="008243C3" w14:paraId="597ACCCF" w14:textId="77777777">
      <w:pPr>
        <w:rPr>
          <w:rFonts w:ascii="Arial" w:hAnsi="Arial" w:cs="Arial"/>
          <w:sz w:val="20"/>
          <w:szCs w:val="20"/>
        </w:rPr>
      </w:pPr>
    </w:p>
    <w:p w:rsidR="00C52587" w:rsidP="00DB2609" w14:paraId="71B769ED" w14:textId="77777777">
      <w:pPr>
        <w:rPr>
          <w:rFonts w:ascii="Times New Roman" w:hAnsi="Times New Roman" w:cs="Times New Roman"/>
        </w:rPr>
        <w:sectPr w:rsidSect="00AA1A42">
          <w:type w:val="continuous"/>
          <w:pgSz w:w="12240" w:h="15840"/>
          <w:pgMar w:top="1440" w:right="1440" w:bottom="1440" w:left="1440" w:header="720" w:footer="720" w:gutter="0"/>
          <w:cols w:num="3" w:space="144"/>
          <w:docGrid w:linePitch="360"/>
        </w:sectPr>
      </w:pPr>
    </w:p>
    <w:p w:rsidR="00CF18D5" w:rsidP="00170EA4" w14:paraId="00932436" w14:textId="41A57DF2">
      <w:pPr>
        <w:rPr>
          <w:rFonts w:ascii="Times New Roman" w:hAnsi="Times New Roman" w:cs="Times New Roman"/>
        </w:rPr>
      </w:pPr>
      <w:r>
        <w:rPr>
          <w:rFonts w:ascii="Times New Roman" w:hAnsi="Times New Roman" w:cs="Times New Roman"/>
        </w:rPr>
        <w:t xml:space="preserve">Initial data runs based </w:t>
      </w:r>
      <w:r w:rsidR="005D53C0">
        <w:rPr>
          <w:rFonts w:ascii="Times New Roman" w:hAnsi="Times New Roman" w:cs="Times New Roman"/>
        </w:rPr>
        <w:t xml:space="preserve">graduate status across </w:t>
      </w:r>
      <w:r w:rsidR="00D47A57">
        <w:rPr>
          <w:rFonts w:ascii="Times New Roman" w:hAnsi="Times New Roman" w:cs="Times New Roman"/>
        </w:rPr>
        <w:t xml:space="preserve">any of the three variables </w:t>
      </w:r>
      <w:r>
        <w:rPr>
          <w:rFonts w:ascii="Times New Roman" w:hAnsi="Times New Roman" w:cs="Times New Roman"/>
        </w:rPr>
        <w:t xml:space="preserve">yielded counts </w:t>
      </w:r>
      <w:r w:rsidR="00CF2B90">
        <w:rPr>
          <w:rFonts w:ascii="Times New Roman" w:hAnsi="Times New Roman" w:cs="Times New Roman"/>
        </w:rPr>
        <w:t>that were much higher</w:t>
      </w:r>
      <w:r w:rsidR="00D47A57">
        <w:rPr>
          <w:rFonts w:ascii="Times New Roman" w:hAnsi="Times New Roman" w:cs="Times New Roman"/>
        </w:rPr>
        <w:t xml:space="preserve"> </w:t>
      </w:r>
      <w:r w:rsidR="001434CE">
        <w:rPr>
          <w:rFonts w:ascii="Times New Roman" w:hAnsi="Times New Roman" w:cs="Times New Roman"/>
        </w:rPr>
        <w:t xml:space="preserve">than the initial </w:t>
      </w:r>
      <w:r w:rsidR="000E191A">
        <w:rPr>
          <w:rFonts w:ascii="Times New Roman" w:hAnsi="Times New Roman" w:cs="Times New Roman"/>
        </w:rPr>
        <w:t>NSC data</w:t>
      </w:r>
      <w:r w:rsidR="000B2C12">
        <w:rPr>
          <w:rFonts w:ascii="Times New Roman" w:hAnsi="Times New Roman" w:cs="Times New Roman"/>
        </w:rPr>
        <w:t xml:space="preserve"> </w:t>
      </w:r>
      <w:r w:rsidR="002A68B3">
        <w:rPr>
          <w:rFonts w:ascii="Times New Roman" w:hAnsi="Times New Roman" w:cs="Times New Roman"/>
        </w:rPr>
        <w:t>based on the 201</w:t>
      </w:r>
      <w:r w:rsidR="00D850F9">
        <w:rPr>
          <w:rFonts w:ascii="Times New Roman" w:hAnsi="Times New Roman" w:cs="Times New Roman"/>
        </w:rPr>
        <w:t>6</w:t>
      </w:r>
      <w:r w:rsidR="002A68B3">
        <w:rPr>
          <w:rFonts w:ascii="Times New Roman" w:hAnsi="Times New Roman" w:cs="Times New Roman"/>
        </w:rPr>
        <w:t>-</w:t>
      </w:r>
      <w:r w:rsidR="00D850F9">
        <w:rPr>
          <w:rFonts w:ascii="Times New Roman" w:hAnsi="Times New Roman" w:cs="Times New Roman"/>
        </w:rPr>
        <w:t>20</w:t>
      </w:r>
      <w:r w:rsidR="002A68B3">
        <w:rPr>
          <w:rFonts w:ascii="Times New Roman" w:hAnsi="Times New Roman" w:cs="Times New Roman"/>
        </w:rPr>
        <w:t xml:space="preserve"> cohorts</w:t>
      </w:r>
      <w:r w:rsidR="00F8208E">
        <w:rPr>
          <w:rFonts w:ascii="Times New Roman" w:hAnsi="Times New Roman" w:cs="Times New Roman"/>
        </w:rPr>
        <w:t xml:space="preserve">. </w:t>
      </w:r>
      <w:r w:rsidR="00765372">
        <w:rPr>
          <w:rFonts w:ascii="Times New Roman" w:hAnsi="Times New Roman" w:cs="Times New Roman"/>
        </w:rPr>
        <w:t>While investigating these differences</w:t>
      </w:r>
      <w:r w:rsidR="00FD1B6F">
        <w:rPr>
          <w:rFonts w:ascii="Times New Roman" w:hAnsi="Times New Roman" w:cs="Times New Roman"/>
        </w:rPr>
        <w:t>, the NSC analysts</w:t>
      </w:r>
      <w:r w:rsidR="00765372">
        <w:rPr>
          <w:rFonts w:ascii="Times New Roman" w:hAnsi="Times New Roman" w:cs="Times New Roman"/>
        </w:rPr>
        <w:t xml:space="preserve"> </w:t>
      </w:r>
      <w:r w:rsidR="00FD1B6F">
        <w:rPr>
          <w:rFonts w:ascii="Times New Roman" w:hAnsi="Times New Roman" w:cs="Times New Roman"/>
        </w:rPr>
        <w:t xml:space="preserve">suggested limiting the analysis to graduate students identified through the primary program credential </w:t>
      </w:r>
      <w:r>
        <w:rPr>
          <w:rFonts w:ascii="Times New Roman" w:hAnsi="Times New Roman" w:cs="Times New Roman"/>
        </w:rPr>
        <w:t xml:space="preserve">as this is the variable used for most of their reporting. </w:t>
      </w:r>
    </w:p>
    <w:p w:rsidR="00CF18D5" w:rsidP="00170EA4" w14:paraId="79A78435" w14:textId="77777777">
      <w:pPr>
        <w:rPr>
          <w:rFonts w:ascii="Times New Roman" w:hAnsi="Times New Roman" w:cs="Times New Roman"/>
        </w:rPr>
      </w:pPr>
    </w:p>
    <w:p w:rsidR="00336B60" w:rsidP="00170EA4" w14:paraId="564BD31B" w14:textId="6816E2EA">
      <w:pPr>
        <w:rPr>
          <w:rFonts w:ascii="Times New Roman" w:hAnsi="Times New Roman" w:cs="Times New Roman"/>
        </w:rPr>
      </w:pPr>
      <w:r>
        <w:rPr>
          <w:rFonts w:ascii="Times New Roman" w:hAnsi="Times New Roman" w:cs="Times New Roman"/>
        </w:rPr>
        <w:t>Table 2</w:t>
      </w:r>
      <w:r w:rsidR="00D06C5D">
        <w:rPr>
          <w:rFonts w:ascii="Times New Roman" w:hAnsi="Times New Roman" w:cs="Times New Roman"/>
        </w:rPr>
        <w:t xml:space="preserve"> </w:t>
      </w:r>
      <w:r w:rsidR="003F44DB">
        <w:rPr>
          <w:rFonts w:ascii="Times New Roman" w:hAnsi="Times New Roman" w:cs="Times New Roman"/>
        </w:rPr>
        <w:t xml:space="preserve">shows a crosstab of the primary program credential with the </w:t>
      </w:r>
      <w:r w:rsidR="0023571C">
        <w:rPr>
          <w:rFonts w:ascii="Times New Roman" w:hAnsi="Times New Roman" w:cs="Times New Roman"/>
        </w:rPr>
        <w:t xml:space="preserve">level of degree awarded variable for all students </w:t>
      </w:r>
      <w:r w:rsidR="00377B4E">
        <w:rPr>
          <w:rFonts w:ascii="Times New Roman" w:hAnsi="Times New Roman" w:cs="Times New Roman"/>
        </w:rPr>
        <w:t xml:space="preserve">enrolled in the fall </w:t>
      </w:r>
      <w:r w:rsidR="00C31DFC">
        <w:rPr>
          <w:rFonts w:ascii="Times New Roman" w:hAnsi="Times New Roman" w:cs="Times New Roman"/>
        </w:rPr>
        <w:t xml:space="preserve">2022 </w:t>
      </w:r>
      <w:r w:rsidR="0023571C">
        <w:rPr>
          <w:rFonts w:ascii="Times New Roman" w:hAnsi="Times New Roman" w:cs="Times New Roman"/>
        </w:rPr>
        <w:t xml:space="preserve">that had level of degree </w:t>
      </w:r>
      <w:r w:rsidR="00C31DFC">
        <w:rPr>
          <w:rFonts w:ascii="Times New Roman" w:hAnsi="Times New Roman" w:cs="Times New Roman"/>
        </w:rPr>
        <w:t xml:space="preserve">information. </w:t>
      </w:r>
      <w:r w:rsidR="007727AD">
        <w:rPr>
          <w:rFonts w:ascii="Times New Roman" w:hAnsi="Times New Roman" w:cs="Times New Roman"/>
        </w:rPr>
        <w:t>Of note in th</w:t>
      </w:r>
      <w:r w:rsidR="00170EA4">
        <w:rPr>
          <w:rFonts w:ascii="Times New Roman" w:hAnsi="Times New Roman" w:cs="Times New Roman"/>
        </w:rPr>
        <w:t>i</w:t>
      </w:r>
      <w:r w:rsidR="007727AD">
        <w:rPr>
          <w:rFonts w:ascii="Times New Roman" w:hAnsi="Times New Roman" w:cs="Times New Roman"/>
        </w:rPr>
        <w:t xml:space="preserve">s table are </w:t>
      </w:r>
      <w:r w:rsidR="00170EA4">
        <w:rPr>
          <w:rFonts w:ascii="Times New Roman" w:hAnsi="Times New Roman" w:cs="Times New Roman"/>
        </w:rPr>
        <w:t>1) t</w:t>
      </w:r>
      <w:r w:rsidR="007727AD">
        <w:rPr>
          <w:rFonts w:ascii="Times New Roman" w:hAnsi="Times New Roman" w:cs="Times New Roman"/>
        </w:rPr>
        <w:t>hat</w:t>
      </w:r>
      <w:r w:rsidR="00170EA4">
        <w:rPr>
          <w:rFonts w:ascii="Times New Roman" w:hAnsi="Times New Roman" w:cs="Times New Roman"/>
        </w:rPr>
        <w:t xml:space="preserve"> </w:t>
      </w:r>
      <w:r w:rsidRPr="005C3D2F" w:rsidR="007727AD">
        <w:rPr>
          <w:rFonts w:ascii="Times New Roman" w:hAnsi="Times New Roman" w:cs="Times New Roman"/>
        </w:rPr>
        <w:t xml:space="preserve">the total number of students with </w:t>
      </w:r>
      <w:r w:rsidRPr="005C3D2F" w:rsidR="00BE2857">
        <w:rPr>
          <w:rFonts w:ascii="Times New Roman" w:hAnsi="Times New Roman" w:cs="Times New Roman"/>
        </w:rPr>
        <w:t xml:space="preserve">prior </w:t>
      </w:r>
      <w:r w:rsidRPr="005C3D2F" w:rsidR="007727AD">
        <w:rPr>
          <w:rFonts w:ascii="Times New Roman" w:hAnsi="Times New Roman" w:cs="Times New Roman"/>
        </w:rPr>
        <w:t xml:space="preserve">degree </w:t>
      </w:r>
      <w:r w:rsidRPr="005C3D2F" w:rsidR="00BE2857">
        <w:rPr>
          <w:rFonts w:ascii="Times New Roman" w:hAnsi="Times New Roman" w:cs="Times New Roman"/>
        </w:rPr>
        <w:t xml:space="preserve">awarded </w:t>
      </w:r>
      <w:r w:rsidRPr="005C3D2F" w:rsidR="007727AD">
        <w:rPr>
          <w:rFonts w:ascii="Times New Roman" w:hAnsi="Times New Roman" w:cs="Times New Roman"/>
        </w:rPr>
        <w:t xml:space="preserve">data </w:t>
      </w:r>
      <w:r w:rsidRPr="005C3D2F" w:rsidR="00BE2857">
        <w:rPr>
          <w:rFonts w:ascii="Times New Roman" w:hAnsi="Times New Roman" w:cs="Times New Roman"/>
        </w:rPr>
        <w:t xml:space="preserve">are much lower than the expected population of students, which makes sense as many undergraduates would </w:t>
      </w:r>
      <w:r w:rsidRPr="005C3D2F" w:rsidR="005A637E">
        <w:rPr>
          <w:rFonts w:ascii="Times New Roman" w:hAnsi="Times New Roman" w:cs="Times New Roman"/>
        </w:rPr>
        <w:t xml:space="preserve">not have any prior </w:t>
      </w:r>
      <w:r w:rsidR="00753F9B">
        <w:rPr>
          <w:rFonts w:ascii="Times New Roman" w:hAnsi="Times New Roman" w:cs="Times New Roman"/>
        </w:rPr>
        <w:t>p</w:t>
      </w:r>
      <w:r w:rsidRPr="005C3D2F" w:rsidR="005A637E">
        <w:rPr>
          <w:rFonts w:ascii="Times New Roman" w:hAnsi="Times New Roman" w:cs="Times New Roman"/>
        </w:rPr>
        <w:t xml:space="preserve">ostsecondary degrees </w:t>
      </w:r>
      <w:r w:rsidR="00170EA4">
        <w:rPr>
          <w:rFonts w:ascii="Times New Roman" w:hAnsi="Times New Roman" w:cs="Times New Roman"/>
        </w:rPr>
        <w:t>and 2) that</w:t>
      </w:r>
      <w:r w:rsidR="00E156CC">
        <w:rPr>
          <w:rFonts w:ascii="Times New Roman" w:hAnsi="Times New Roman" w:cs="Times New Roman"/>
        </w:rPr>
        <w:t xml:space="preserve"> </w:t>
      </w:r>
      <w:r w:rsidR="006C0074">
        <w:rPr>
          <w:rFonts w:ascii="Times New Roman" w:hAnsi="Times New Roman" w:cs="Times New Roman"/>
        </w:rPr>
        <w:t xml:space="preserve">the level of degree awarded data </w:t>
      </w:r>
      <w:r w:rsidR="00695B79">
        <w:rPr>
          <w:rFonts w:ascii="Times New Roman" w:hAnsi="Times New Roman" w:cs="Times New Roman"/>
        </w:rPr>
        <w:t>are</w:t>
      </w:r>
      <w:r w:rsidR="006C0074">
        <w:rPr>
          <w:rFonts w:ascii="Times New Roman" w:hAnsi="Times New Roman" w:cs="Times New Roman"/>
        </w:rPr>
        <w:t xml:space="preserve"> </w:t>
      </w:r>
      <w:r w:rsidR="005D16A6">
        <w:rPr>
          <w:rFonts w:ascii="Times New Roman" w:hAnsi="Times New Roman" w:cs="Times New Roman"/>
        </w:rPr>
        <w:t>in</w:t>
      </w:r>
      <w:r w:rsidR="00D770CE">
        <w:rPr>
          <w:rFonts w:ascii="Times New Roman" w:hAnsi="Times New Roman" w:cs="Times New Roman"/>
        </w:rPr>
        <w:t xml:space="preserve">consistent </w:t>
      </w:r>
      <w:r w:rsidR="005D16A6">
        <w:rPr>
          <w:rFonts w:ascii="Times New Roman" w:hAnsi="Times New Roman" w:cs="Times New Roman"/>
        </w:rPr>
        <w:t>with</w:t>
      </w:r>
      <w:r w:rsidR="000F3BD0">
        <w:rPr>
          <w:rFonts w:ascii="Times New Roman" w:hAnsi="Times New Roman" w:cs="Times New Roman"/>
        </w:rPr>
        <w:t xml:space="preserve"> the notion of </w:t>
      </w:r>
      <w:r w:rsidR="005D16A6">
        <w:rPr>
          <w:rFonts w:ascii="Times New Roman" w:hAnsi="Times New Roman" w:cs="Times New Roman"/>
        </w:rPr>
        <w:t xml:space="preserve">progressing </w:t>
      </w:r>
      <w:r w:rsidR="000F3BD0">
        <w:rPr>
          <w:rFonts w:ascii="Times New Roman" w:hAnsi="Times New Roman" w:cs="Times New Roman"/>
        </w:rPr>
        <w:t xml:space="preserve">to higher degree levels. </w:t>
      </w:r>
      <w:r w:rsidR="00EE57CC">
        <w:rPr>
          <w:rFonts w:ascii="Times New Roman" w:hAnsi="Times New Roman" w:cs="Times New Roman"/>
        </w:rPr>
        <w:t xml:space="preserve">Over 40% of those with bachelor’s degrees </w:t>
      </w:r>
      <w:r w:rsidR="00590DC2">
        <w:rPr>
          <w:rFonts w:ascii="Times New Roman" w:hAnsi="Times New Roman" w:cs="Times New Roman"/>
        </w:rPr>
        <w:t>we</w:t>
      </w:r>
      <w:r w:rsidR="00B4237A">
        <w:rPr>
          <w:rFonts w:ascii="Times New Roman" w:hAnsi="Times New Roman" w:cs="Times New Roman"/>
        </w:rPr>
        <w:t xml:space="preserve">re enrolled in undergraduate degree programs and </w:t>
      </w:r>
      <w:r w:rsidR="008E3641">
        <w:rPr>
          <w:rFonts w:ascii="Times New Roman" w:hAnsi="Times New Roman" w:cs="Times New Roman"/>
        </w:rPr>
        <w:t xml:space="preserve">70% of those with master’s degrees </w:t>
      </w:r>
      <w:r w:rsidR="00590DC2">
        <w:rPr>
          <w:rFonts w:ascii="Times New Roman" w:hAnsi="Times New Roman" w:cs="Times New Roman"/>
        </w:rPr>
        <w:t>we</w:t>
      </w:r>
      <w:r w:rsidR="008E3641">
        <w:rPr>
          <w:rFonts w:ascii="Times New Roman" w:hAnsi="Times New Roman" w:cs="Times New Roman"/>
        </w:rPr>
        <w:t xml:space="preserve">re enrolled in </w:t>
      </w:r>
      <w:r w:rsidR="0076489B">
        <w:rPr>
          <w:rFonts w:ascii="Times New Roman" w:hAnsi="Times New Roman" w:cs="Times New Roman"/>
        </w:rPr>
        <w:t xml:space="preserve">undergraduate, post-baccalaureate </w:t>
      </w:r>
      <w:r w:rsidR="003507DC">
        <w:rPr>
          <w:rFonts w:ascii="Times New Roman" w:hAnsi="Times New Roman" w:cs="Times New Roman"/>
        </w:rPr>
        <w:t xml:space="preserve">certificate programs or master’s level programs. Based on these inconsistencies, we agreed to simplify the </w:t>
      </w:r>
      <w:r w:rsidR="00FE69D6">
        <w:rPr>
          <w:rFonts w:ascii="Times New Roman" w:hAnsi="Times New Roman" w:cs="Times New Roman"/>
        </w:rPr>
        <w:t>data request to just use primary program credential level data.</w:t>
      </w:r>
    </w:p>
    <w:p w:rsidR="00336B60" w:rsidP="00170EA4" w14:paraId="7BEBB5CD" w14:textId="77777777">
      <w:pPr>
        <w:rPr>
          <w:rFonts w:ascii="Times New Roman" w:hAnsi="Times New Roman" w:cs="Times New Roman"/>
        </w:rPr>
      </w:pPr>
    </w:p>
    <w:p w:rsidR="00170EA4" w:rsidP="00170EA4" w14:paraId="66378DD5" w14:textId="69183D11">
      <w:pPr>
        <w:rPr>
          <w:rFonts w:ascii="Times New Roman" w:hAnsi="Times New Roman" w:cs="Times New Roman"/>
        </w:rPr>
      </w:pPr>
      <w:r>
        <w:rPr>
          <w:rFonts w:ascii="Times New Roman" w:hAnsi="Times New Roman" w:cs="Times New Roman"/>
        </w:rPr>
        <w:t>&lt;Table 2</w:t>
      </w:r>
      <w:r w:rsidR="00544391">
        <w:rPr>
          <w:rFonts w:ascii="Times New Roman" w:hAnsi="Times New Roman" w:cs="Times New Roman"/>
        </w:rPr>
        <w:t xml:space="preserve"> (see attached excel file) </w:t>
      </w:r>
      <w:r>
        <w:rPr>
          <w:rFonts w:ascii="Times New Roman" w:hAnsi="Times New Roman" w:cs="Times New Roman"/>
        </w:rPr>
        <w:t>&gt;</w:t>
      </w:r>
      <w:r w:rsidR="00E5587F">
        <w:rPr>
          <w:rFonts w:ascii="Times New Roman" w:hAnsi="Times New Roman" w:cs="Times New Roman"/>
        </w:rPr>
        <w:t xml:space="preserve"> </w:t>
      </w:r>
    </w:p>
    <w:p w:rsidR="00D90CD3" w:rsidP="00D90CD3" w14:paraId="233CA060" w14:textId="77777777">
      <w:pPr>
        <w:rPr>
          <w:rFonts w:ascii="Times New Roman" w:hAnsi="Times New Roman" w:cs="Times New Roman"/>
        </w:rPr>
      </w:pPr>
    </w:p>
    <w:p w:rsidR="00106883" w:rsidRPr="00310A71" w:rsidP="00106883" w14:paraId="50646F0F" w14:textId="536BAA19">
      <w:pPr>
        <w:rPr>
          <w:rFonts w:ascii="Times New Roman" w:hAnsi="Times New Roman" w:cs="Times New Roman"/>
        </w:rPr>
      </w:pPr>
      <w:r>
        <w:rPr>
          <w:rFonts w:ascii="Times New Roman" w:hAnsi="Times New Roman" w:cs="Times New Roman"/>
        </w:rPr>
        <w:t>Data quality issues are also raised when looking at the crosswalk</w:t>
      </w:r>
      <w:r w:rsidR="00A95E5D">
        <w:rPr>
          <w:rFonts w:ascii="Times New Roman" w:hAnsi="Times New Roman" w:cs="Times New Roman"/>
        </w:rPr>
        <w:t xml:space="preserve"> </w:t>
      </w:r>
      <w:r w:rsidR="004D37CF">
        <w:rPr>
          <w:rFonts w:ascii="Times New Roman" w:hAnsi="Times New Roman" w:cs="Times New Roman"/>
        </w:rPr>
        <w:t xml:space="preserve">NSC uses to </w:t>
      </w:r>
      <w:r w:rsidR="004C08F2">
        <w:rPr>
          <w:rFonts w:ascii="Times New Roman" w:hAnsi="Times New Roman" w:cs="Times New Roman"/>
        </w:rPr>
        <w:t>cod</w:t>
      </w:r>
      <w:r w:rsidR="004D37CF">
        <w:rPr>
          <w:rFonts w:ascii="Times New Roman" w:hAnsi="Times New Roman" w:cs="Times New Roman"/>
        </w:rPr>
        <w:t>e</w:t>
      </w:r>
      <w:r w:rsidR="004C08F2">
        <w:rPr>
          <w:rFonts w:ascii="Times New Roman" w:hAnsi="Times New Roman" w:cs="Times New Roman"/>
        </w:rPr>
        <w:t xml:space="preserve"> degree </w:t>
      </w:r>
      <w:r>
        <w:rPr>
          <w:rFonts w:ascii="Times New Roman" w:hAnsi="Times New Roman" w:cs="Times New Roman"/>
        </w:rPr>
        <w:t>level</w:t>
      </w:r>
      <w:r w:rsidR="00ED1459">
        <w:rPr>
          <w:rFonts w:ascii="Times New Roman" w:hAnsi="Times New Roman" w:cs="Times New Roman"/>
        </w:rPr>
        <w:t xml:space="preserve"> based on degree strings provided by participating institutions</w:t>
      </w:r>
      <w:r w:rsidR="001F5502">
        <w:rPr>
          <w:rFonts w:ascii="Times New Roman" w:hAnsi="Times New Roman" w:cs="Times New Roman"/>
        </w:rPr>
        <w:t xml:space="preserve"> (</w:t>
      </w:r>
      <w:hyperlink r:id="rId7" w:history="1">
        <w:r w:rsidR="001F5502">
          <w:rPr>
            <w:rStyle w:val="Hyperlink"/>
            <w:rFonts w:ascii="Times New Roman" w:hAnsi="Times New Roman" w:cs="Times New Roman"/>
          </w:rPr>
          <w:t>CREDENTIALLookup_20240418.xlsx</w:t>
        </w:r>
      </w:hyperlink>
      <w:r w:rsidR="001F5502">
        <w:rPr>
          <w:rFonts w:ascii="Times New Roman" w:hAnsi="Times New Roman" w:cs="Times New Roman"/>
        </w:rPr>
        <w:t>)</w:t>
      </w:r>
      <w:r w:rsidR="004D37CF">
        <w:rPr>
          <w:rFonts w:ascii="Times New Roman" w:hAnsi="Times New Roman" w:cs="Times New Roman"/>
        </w:rPr>
        <w:t>.</w:t>
      </w:r>
      <w:r w:rsidR="006D5689">
        <w:rPr>
          <w:rFonts w:ascii="Times New Roman" w:hAnsi="Times New Roman" w:cs="Times New Roman"/>
        </w:rPr>
        <w:t xml:space="preserve"> </w:t>
      </w:r>
      <w:r w:rsidR="001F5502">
        <w:rPr>
          <w:rFonts w:ascii="Times New Roman" w:hAnsi="Times New Roman" w:cs="Times New Roman"/>
        </w:rPr>
        <w:t xml:space="preserve">A cursory </w:t>
      </w:r>
      <w:r w:rsidR="006D5689">
        <w:rPr>
          <w:rFonts w:ascii="Times New Roman" w:hAnsi="Times New Roman" w:cs="Times New Roman"/>
        </w:rPr>
        <w:t xml:space="preserve">review </w:t>
      </w:r>
      <w:r w:rsidR="00F36170">
        <w:rPr>
          <w:rFonts w:ascii="Times New Roman" w:hAnsi="Times New Roman" w:cs="Times New Roman"/>
        </w:rPr>
        <w:t>make</w:t>
      </w:r>
      <w:r w:rsidR="008D003D">
        <w:rPr>
          <w:rFonts w:ascii="Times New Roman" w:hAnsi="Times New Roman" w:cs="Times New Roman"/>
        </w:rPr>
        <w:t>s</w:t>
      </w:r>
      <w:r w:rsidR="00F36170">
        <w:rPr>
          <w:rFonts w:ascii="Times New Roman" w:hAnsi="Times New Roman" w:cs="Times New Roman"/>
        </w:rPr>
        <w:t xml:space="preserve"> it clear that </w:t>
      </w:r>
      <w:r w:rsidR="00D16A03">
        <w:rPr>
          <w:rFonts w:ascii="Times New Roman" w:hAnsi="Times New Roman" w:cs="Times New Roman"/>
        </w:rPr>
        <w:t xml:space="preserve">the NSC research doctorate data include many </w:t>
      </w:r>
      <w:r w:rsidRPr="00310A71" w:rsidR="004C08F2">
        <w:rPr>
          <w:rFonts w:ascii="Times New Roman" w:hAnsi="Times New Roman" w:cs="Times New Roman"/>
        </w:rPr>
        <w:t>clinical</w:t>
      </w:r>
      <w:r w:rsidR="00D16A03">
        <w:rPr>
          <w:rFonts w:ascii="Times New Roman" w:hAnsi="Times New Roman" w:cs="Times New Roman"/>
        </w:rPr>
        <w:t xml:space="preserve"> or professional </w:t>
      </w:r>
      <w:r w:rsidRPr="00310A71" w:rsidR="004C08F2">
        <w:rPr>
          <w:rFonts w:ascii="Times New Roman" w:hAnsi="Times New Roman" w:cs="Times New Roman"/>
        </w:rPr>
        <w:t xml:space="preserve">doctorates that are explicitly excluded from the GSS </w:t>
      </w:r>
      <w:r w:rsidR="00DA17E6">
        <w:rPr>
          <w:rFonts w:ascii="Times New Roman" w:hAnsi="Times New Roman" w:cs="Times New Roman"/>
        </w:rPr>
        <w:t>as well as several</w:t>
      </w:r>
      <w:r w:rsidRPr="00310A71" w:rsidR="004C08F2">
        <w:rPr>
          <w:rFonts w:ascii="Times New Roman" w:hAnsi="Times New Roman" w:cs="Times New Roman"/>
        </w:rPr>
        <w:t xml:space="preserve"> non</w:t>
      </w:r>
      <w:r w:rsidR="00DA17E6">
        <w:rPr>
          <w:rFonts w:ascii="Times New Roman" w:hAnsi="Times New Roman" w:cs="Times New Roman"/>
        </w:rPr>
        <w:t>-</w:t>
      </w:r>
      <w:r w:rsidRPr="00310A71" w:rsidR="004C08F2">
        <w:rPr>
          <w:rFonts w:ascii="Times New Roman" w:hAnsi="Times New Roman" w:cs="Times New Roman"/>
        </w:rPr>
        <w:t>doctora</w:t>
      </w:r>
      <w:r w:rsidR="00DA17E6">
        <w:rPr>
          <w:rFonts w:ascii="Times New Roman" w:hAnsi="Times New Roman" w:cs="Times New Roman"/>
        </w:rPr>
        <w:t>l</w:t>
      </w:r>
      <w:r w:rsidRPr="00310A71" w:rsidR="004C08F2">
        <w:rPr>
          <w:rFonts w:ascii="Times New Roman" w:hAnsi="Times New Roman" w:cs="Times New Roman"/>
        </w:rPr>
        <w:t xml:space="preserve"> level credentials.</w:t>
      </w:r>
      <w:r w:rsidR="00336B60">
        <w:rPr>
          <w:rFonts w:ascii="Times New Roman" w:hAnsi="Times New Roman" w:cs="Times New Roman"/>
        </w:rPr>
        <w:t xml:space="preserve"> Table 3 provides </w:t>
      </w:r>
      <w:r w:rsidR="009A7E6C">
        <w:rPr>
          <w:rFonts w:ascii="Times New Roman" w:hAnsi="Times New Roman" w:cs="Times New Roman"/>
        </w:rPr>
        <w:t xml:space="preserve">several examples of </w:t>
      </w:r>
      <w:r w:rsidR="001160C5">
        <w:rPr>
          <w:rFonts w:ascii="Times New Roman" w:hAnsi="Times New Roman" w:cs="Times New Roman"/>
        </w:rPr>
        <w:t>non-GSS eligible degrees counted in the NSC data as research doctorates</w:t>
      </w:r>
      <w:r>
        <w:rPr>
          <w:rFonts w:ascii="Times New Roman" w:hAnsi="Times New Roman" w:cs="Times New Roman"/>
        </w:rPr>
        <w:t xml:space="preserve">. </w:t>
      </w:r>
    </w:p>
    <w:p w:rsidR="004C08F2" w:rsidP="004C08F2" w14:paraId="68F68D46" w14:textId="77777777">
      <w:pPr>
        <w:rPr>
          <w:rFonts w:ascii="Times New Roman" w:hAnsi="Times New Roman" w:cs="Times New Roman"/>
        </w:rPr>
      </w:pPr>
    </w:p>
    <w:p w:rsidR="00544391" w:rsidP="00544391" w14:paraId="0DA86114" w14:textId="14736C1F">
      <w:pPr>
        <w:rPr>
          <w:rFonts w:ascii="Times New Roman" w:hAnsi="Times New Roman" w:cs="Times New Roman"/>
        </w:rPr>
      </w:pPr>
      <w:r>
        <w:rPr>
          <w:rFonts w:ascii="Times New Roman" w:hAnsi="Times New Roman" w:cs="Times New Roman"/>
        </w:rPr>
        <w:t xml:space="preserve">&lt;Table 3 (see attached excel file) &gt; </w:t>
      </w:r>
    </w:p>
    <w:p w:rsidR="00336B60" w:rsidRPr="00310A71" w:rsidP="004C08F2" w14:paraId="5F2DDFE3" w14:textId="77777777">
      <w:pPr>
        <w:rPr>
          <w:rFonts w:ascii="Times New Roman" w:hAnsi="Times New Roman" w:cs="Times New Roman"/>
        </w:rPr>
      </w:pPr>
    </w:p>
    <w:p w:rsidR="00394FA4" w:rsidP="00394FA4" w14:paraId="0CF1D43D" w14:textId="3EE9A9EB">
      <w:pPr>
        <w:rPr>
          <w:rFonts w:ascii="Times New Roman" w:hAnsi="Times New Roman" w:cs="Times New Roman"/>
        </w:rPr>
      </w:pPr>
      <w:r>
        <w:rPr>
          <w:rFonts w:ascii="Times New Roman" w:hAnsi="Times New Roman" w:cs="Times New Roman"/>
        </w:rPr>
        <w:t>While i</w:t>
      </w:r>
      <w:r w:rsidRPr="00310A71" w:rsidR="004C08F2">
        <w:rPr>
          <w:rFonts w:ascii="Times New Roman" w:hAnsi="Times New Roman" w:cs="Times New Roman"/>
        </w:rPr>
        <w:t xml:space="preserve">t is likely that the vast majority of doctoral students in the NSC data are pursuing PhDs and other doctoral level degrees, the </w:t>
      </w:r>
      <w:r w:rsidR="00360EBD">
        <w:rPr>
          <w:rFonts w:ascii="Times New Roman" w:hAnsi="Times New Roman" w:cs="Times New Roman"/>
        </w:rPr>
        <w:t>presence of so many non-research doctora</w:t>
      </w:r>
      <w:r w:rsidR="00A45E29">
        <w:rPr>
          <w:rFonts w:ascii="Times New Roman" w:hAnsi="Times New Roman" w:cs="Times New Roman"/>
        </w:rPr>
        <w:t xml:space="preserve">l degrees </w:t>
      </w:r>
      <w:r w:rsidR="00335F30">
        <w:rPr>
          <w:rFonts w:ascii="Times New Roman" w:hAnsi="Times New Roman" w:cs="Times New Roman"/>
        </w:rPr>
        <w:t>limit</w:t>
      </w:r>
      <w:r w:rsidR="00A45E29">
        <w:rPr>
          <w:rFonts w:ascii="Times New Roman" w:hAnsi="Times New Roman" w:cs="Times New Roman"/>
        </w:rPr>
        <w:t xml:space="preserve"> the comparability of the NSC data to the GSS data</w:t>
      </w:r>
      <w:r w:rsidRPr="00310A71" w:rsidR="004C08F2">
        <w:rPr>
          <w:rFonts w:ascii="Times New Roman" w:hAnsi="Times New Roman" w:cs="Times New Roman"/>
        </w:rPr>
        <w:t xml:space="preserve">. </w:t>
      </w:r>
      <w:r>
        <w:rPr>
          <w:rFonts w:ascii="Times New Roman" w:hAnsi="Times New Roman" w:cs="Times New Roman"/>
        </w:rPr>
        <w:t xml:space="preserve"> </w:t>
      </w:r>
      <w:r w:rsidRPr="00310A71">
        <w:rPr>
          <w:rFonts w:ascii="Times New Roman" w:hAnsi="Times New Roman" w:cs="Times New Roman"/>
        </w:rPr>
        <w:t xml:space="preserve"> </w:t>
      </w:r>
    </w:p>
    <w:p w:rsidR="00853DB0" w:rsidP="00394FA4" w14:paraId="317C0270" w14:textId="77777777">
      <w:pPr>
        <w:rPr>
          <w:rFonts w:ascii="Times New Roman" w:hAnsi="Times New Roman" w:cs="Times New Roman"/>
        </w:rPr>
      </w:pPr>
    </w:p>
    <w:p w:rsidR="00541E03" w:rsidRPr="00310A71" w:rsidP="0005448B" w14:paraId="7C7AD71B" w14:textId="5F7EBE15">
      <w:pPr>
        <w:rPr>
          <w:rFonts w:ascii="Times New Roman" w:hAnsi="Times New Roman" w:cs="Times New Roman"/>
        </w:rPr>
      </w:pPr>
      <w:r>
        <w:rPr>
          <w:rFonts w:ascii="Times New Roman" w:hAnsi="Times New Roman" w:cs="Times New Roman"/>
        </w:rPr>
        <w:t xml:space="preserve">The major </w:t>
      </w:r>
      <w:r>
        <w:rPr>
          <w:rFonts w:ascii="Times New Roman" w:hAnsi="Times New Roman" w:cs="Times New Roman"/>
        </w:rPr>
        <w:t xml:space="preserve">data quality concern with the NSC data </w:t>
      </w:r>
      <w:r>
        <w:rPr>
          <w:rFonts w:ascii="Times New Roman" w:hAnsi="Times New Roman" w:cs="Times New Roman"/>
        </w:rPr>
        <w:t xml:space="preserve">is </w:t>
      </w:r>
      <w:r w:rsidR="007A1E15">
        <w:rPr>
          <w:rFonts w:ascii="Times New Roman" w:hAnsi="Times New Roman" w:cs="Times New Roman"/>
        </w:rPr>
        <w:t>the incompleteness of the d</w:t>
      </w:r>
      <w:r>
        <w:rPr>
          <w:rFonts w:ascii="Times New Roman" w:hAnsi="Times New Roman" w:cs="Times New Roman"/>
        </w:rPr>
        <w:t>ata</w:t>
      </w:r>
      <w:r w:rsidR="00A74A2E">
        <w:rPr>
          <w:rFonts w:ascii="Times New Roman" w:hAnsi="Times New Roman" w:cs="Times New Roman"/>
        </w:rPr>
        <w:t>. As shown in the</w:t>
      </w:r>
      <w:r w:rsidR="00F34704">
        <w:rPr>
          <w:rFonts w:ascii="Times New Roman" w:hAnsi="Times New Roman" w:cs="Times New Roman"/>
        </w:rPr>
        <w:t xml:space="preserve"> </w:t>
      </w:r>
      <w:hyperlink r:id="rId8" w:history="1">
        <w:r w:rsidR="00B83BB5">
          <w:rPr>
            <w:rStyle w:val="Hyperlink"/>
            <w:rFonts w:ascii="Times New Roman" w:hAnsi="Times New Roman" w:cs="Times New Roman"/>
          </w:rPr>
          <w:t>NSC data element documentation</w:t>
        </w:r>
      </w:hyperlink>
      <w:r w:rsidR="00B83BB5">
        <w:rPr>
          <w:rFonts w:ascii="Times New Roman" w:hAnsi="Times New Roman" w:cs="Times New Roman"/>
        </w:rPr>
        <w:t xml:space="preserve">, </w:t>
      </w:r>
      <w:r w:rsidR="00B6012F">
        <w:rPr>
          <w:rFonts w:ascii="Times New Roman" w:hAnsi="Times New Roman" w:cs="Times New Roman"/>
        </w:rPr>
        <w:t>sex</w:t>
      </w:r>
      <w:r w:rsidRPr="00310A71">
        <w:rPr>
          <w:rFonts w:ascii="Times New Roman" w:hAnsi="Times New Roman" w:cs="Times New Roman"/>
        </w:rPr>
        <w:t xml:space="preserve"> was available for 64% of records</w:t>
      </w:r>
      <w:r w:rsidR="00C55CA1">
        <w:rPr>
          <w:rFonts w:ascii="Times New Roman" w:hAnsi="Times New Roman" w:cs="Times New Roman"/>
        </w:rPr>
        <w:t xml:space="preserve">, race and ethnicity were </w:t>
      </w:r>
      <w:r w:rsidRPr="00310A71">
        <w:rPr>
          <w:rFonts w:ascii="Times New Roman" w:hAnsi="Times New Roman" w:cs="Times New Roman"/>
        </w:rPr>
        <w:t>available for 62.8% of records</w:t>
      </w:r>
      <w:r w:rsidR="00C55CA1">
        <w:rPr>
          <w:rFonts w:ascii="Times New Roman" w:hAnsi="Times New Roman" w:cs="Times New Roman"/>
        </w:rPr>
        <w:t>, and c</w:t>
      </w:r>
      <w:r w:rsidRPr="00310A71">
        <w:rPr>
          <w:rFonts w:ascii="Times New Roman" w:hAnsi="Times New Roman" w:cs="Times New Roman"/>
        </w:rPr>
        <w:t xml:space="preserve">itizenship available for only 27.2% of records </w:t>
      </w:r>
      <w:r w:rsidRPr="00310A71" w:rsidR="00C55CA1">
        <w:rPr>
          <w:rFonts w:ascii="Times New Roman" w:hAnsi="Times New Roman" w:cs="Times New Roman"/>
        </w:rPr>
        <w:t xml:space="preserve">in </w:t>
      </w:r>
      <w:r w:rsidR="00AA5E00">
        <w:rPr>
          <w:rFonts w:ascii="Times New Roman" w:hAnsi="Times New Roman" w:cs="Times New Roman"/>
        </w:rPr>
        <w:t>the 202</w:t>
      </w:r>
      <w:r w:rsidR="00D73C74">
        <w:rPr>
          <w:rFonts w:ascii="Times New Roman" w:hAnsi="Times New Roman" w:cs="Times New Roman"/>
        </w:rPr>
        <w:t>2- 23 academic year (</w:t>
      </w:r>
      <w:r w:rsidRPr="00310A71">
        <w:rPr>
          <w:rFonts w:ascii="Times New Roman" w:hAnsi="Times New Roman" w:cs="Times New Roman"/>
        </w:rPr>
        <w:t>figures 8, 13, and 17</w:t>
      </w:r>
      <w:r w:rsidR="00C55CA1">
        <w:rPr>
          <w:rFonts w:ascii="Times New Roman" w:hAnsi="Times New Roman" w:cs="Times New Roman"/>
        </w:rPr>
        <w:t>)</w:t>
      </w:r>
      <w:r w:rsidR="0005448B">
        <w:rPr>
          <w:rFonts w:ascii="Times New Roman" w:hAnsi="Times New Roman" w:cs="Times New Roman"/>
        </w:rPr>
        <w:t>.</w:t>
      </w:r>
      <w:r w:rsidR="006A1D20">
        <w:rPr>
          <w:rFonts w:ascii="Times New Roman" w:hAnsi="Times New Roman" w:cs="Times New Roman"/>
        </w:rPr>
        <w:t xml:space="preserve"> As shown </w:t>
      </w:r>
      <w:r w:rsidR="001760C1">
        <w:rPr>
          <w:rFonts w:ascii="Times New Roman" w:hAnsi="Times New Roman" w:cs="Times New Roman"/>
        </w:rPr>
        <w:t>by NSC</w:t>
      </w:r>
      <w:r w:rsidR="006A1D20">
        <w:rPr>
          <w:rFonts w:ascii="Times New Roman" w:hAnsi="Times New Roman" w:cs="Times New Roman"/>
        </w:rPr>
        <w:t xml:space="preserve">, the completeness of these data </w:t>
      </w:r>
      <w:r w:rsidR="00335F30">
        <w:rPr>
          <w:rFonts w:ascii="Times New Roman" w:hAnsi="Times New Roman" w:cs="Times New Roman"/>
        </w:rPr>
        <w:t>has</w:t>
      </w:r>
      <w:r w:rsidR="006A1D20">
        <w:rPr>
          <w:rFonts w:ascii="Times New Roman" w:hAnsi="Times New Roman" w:cs="Times New Roman"/>
        </w:rPr>
        <w:t xml:space="preserve"> improv</w:t>
      </w:r>
      <w:r w:rsidR="00634E92">
        <w:rPr>
          <w:rFonts w:ascii="Times New Roman" w:hAnsi="Times New Roman" w:cs="Times New Roman"/>
        </w:rPr>
        <w:t xml:space="preserve">ed </w:t>
      </w:r>
      <w:r w:rsidR="006A1D20">
        <w:rPr>
          <w:rFonts w:ascii="Times New Roman" w:hAnsi="Times New Roman" w:cs="Times New Roman"/>
        </w:rPr>
        <w:t xml:space="preserve">over time, </w:t>
      </w:r>
      <w:r w:rsidR="006D3420">
        <w:rPr>
          <w:rFonts w:ascii="Times New Roman" w:hAnsi="Times New Roman" w:cs="Times New Roman"/>
        </w:rPr>
        <w:t xml:space="preserve">but they are substantially </w:t>
      </w:r>
      <w:r w:rsidR="004E7464">
        <w:rPr>
          <w:rFonts w:ascii="Times New Roman" w:hAnsi="Times New Roman" w:cs="Times New Roman"/>
        </w:rPr>
        <w:t>less complete than the data provided to the GSS.</w:t>
      </w:r>
      <w:r w:rsidR="006D3420">
        <w:rPr>
          <w:rFonts w:ascii="Times New Roman" w:hAnsi="Times New Roman" w:cs="Times New Roman"/>
        </w:rPr>
        <w:t xml:space="preserve"> </w:t>
      </w:r>
      <w:r w:rsidRPr="00310A71">
        <w:rPr>
          <w:rFonts w:ascii="Times New Roman" w:hAnsi="Times New Roman" w:cs="Times New Roman"/>
        </w:rPr>
        <w:t>The high missing rates of these data</w:t>
      </w:r>
      <w:r w:rsidR="00FB5D1C">
        <w:rPr>
          <w:rFonts w:ascii="Times New Roman" w:hAnsi="Times New Roman" w:cs="Times New Roman"/>
        </w:rPr>
        <w:t xml:space="preserve"> raise the specter of bias within estimates based on these data and </w:t>
      </w:r>
      <w:r w:rsidRPr="00310A71">
        <w:rPr>
          <w:rFonts w:ascii="Times New Roman" w:hAnsi="Times New Roman" w:cs="Times New Roman"/>
        </w:rPr>
        <w:t>severely impact the utility of these data to assist with GSS imputation</w:t>
      </w:r>
      <w:r w:rsidR="00B862FF">
        <w:rPr>
          <w:rFonts w:ascii="Times New Roman" w:hAnsi="Times New Roman" w:cs="Times New Roman"/>
        </w:rPr>
        <w:t>.</w:t>
      </w:r>
    </w:p>
    <w:p w:rsidR="00B00E89" w:rsidP="00D90CD3" w14:paraId="3EAEB96F" w14:textId="77777777">
      <w:pPr>
        <w:rPr>
          <w:rFonts w:ascii="Times New Roman" w:hAnsi="Times New Roman" w:cs="Times New Roman"/>
        </w:rPr>
      </w:pPr>
    </w:p>
    <w:p w:rsidR="00861BAB" w:rsidP="00861BAB" w14:paraId="7C350D44" w14:textId="2E0C1A87">
      <w:pPr>
        <w:rPr>
          <w:rFonts w:ascii="Times New Roman" w:hAnsi="Times New Roman" w:cs="Times New Roman"/>
        </w:rPr>
      </w:pPr>
      <w:r>
        <w:rPr>
          <w:rFonts w:ascii="Times New Roman" w:hAnsi="Times New Roman" w:cs="Times New Roman"/>
        </w:rPr>
        <w:t>A</w:t>
      </w:r>
      <w:r w:rsidR="008E6BFD">
        <w:rPr>
          <w:rFonts w:ascii="Times New Roman" w:hAnsi="Times New Roman" w:cs="Times New Roman"/>
        </w:rPr>
        <w:t xml:space="preserve"> final major</w:t>
      </w:r>
      <w:r>
        <w:rPr>
          <w:rFonts w:ascii="Times New Roman" w:hAnsi="Times New Roman" w:cs="Times New Roman"/>
        </w:rPr>
        <w:t xml:space="preserve"> limitation for the proposed analysis was that NSC could not provide the requested data at the institutional level. T</w:t>
      </w:r>
      <w:r w:rsidR="008C5236">
        <w:rPr>
          <w:rFonts w:ascii="Times New Roman" w:hAnsi="Times New Roman" w:cs="Times New Roman"/>
        </w:rPr>
        <w:t>h</w:t>
      </w:r>
      <w:r>
        <w:rPr>
          <w:rFonts w:ascii="Times New Roman" w:hAnsi="Times New Roman" w:cs="Times New Roman"/>
        </w:rPr>
        <w:t xml:space="preserve">e NSC custom research team initially thought that they could provide aggregate institution level data to NSF as a federal agency, however, the NSC legal team disagreed and indicated </w:t>
      </w:r>
      <w:r>
        <w:rPr>
          <w:rFonts w:ascii="Times New Roman" w:hAnsi="Times New Roman" w:cs="Times New Roman"/>
        </w:rPr>
        <w:t>than</w:t>
      </w:r>
      <w:r>
        <w:rPr>
          <w:rFonts w:ascii="Times New Roman" w:hAnsi="Times New Roman" w:cs="Times New Roman"/>
        </w:rPr>
        <w:t xml:space="preserve"> NSC could not provide these data to RTI or NSF without explicit permission from e</w:t>
      </w:r>
      <w:r w:rsidRPr="00310A71">
        <w:rPr>
          <w:rFonts w:ascii="Times New Roman" w:hAnsi="Times New Roman" w:cs="Times New Roman"/>
        </w:rPr>
        <w:t>ach institution</w:t>
      </w:r>
      <w:r>
        <w:rPr>
          <w:rFonts w:ascii="Times New Roman" w:hAnsi="Times New Roman" w:cs="Times New Roman"/>
        </w:rPr>
        <w:t xml:space="preserve">. This ruled out the institution level analyses we had planned to do and substantially limited our ability to look for coverage issues within the GSS. NCSES could look into obtaining permissions from GSS institutions for their NSC data as part of the GSS data collection, but this does not seem warranted at this time due to the limited expected value of the NSC data for GSS imputation and as the real benefit in terms of identifying coverage issues in the GSS comes from looking at institutions not already in the GSS universe. </w:t>
      </w:r>
    </w:p>
    <w:p w:rsidR="00F51C52" w:rsidP="00861BAB" w14:paraId="3F95B661" w14:textId="77777777">
      <w:pPr>
        <w:rPr>
          <w:rFonts w:ascii="Times New Roman" w:hAnsi="Times New Roman" w:cs="Times New Roman"/>
        </w:rPr>
      </w:pPr>
    </w:p>
    <w:p w:rsidR="000774EC" w:rsidP="00F51C52" w14:paraId="3ECFECC5" w14:textId="1291E443">
      <w:pPr>
        <w:pStyle w:val="Heading1"/>
        <w:spacing w:before="120" w:after="120"/>
      </w:pPr>
      <w:r>
        <w:t>Results</w:t>
      </w:r>
    </w:p>
    <w:p w:rsidR="000774EC" w:rsidP="00343197" w14:paraId="07ED69F2" w14:textId="2EFF4A73">
      <w:pPr>
        <w:pStyle w:val="Heading2"/>
      </w:pPr>
      <w:r>
        <w:t>Coverage</w:t>
      </w:r>
    </w:p>
    <w:p w:rsidR="008C5236" w:rsidP="008C5236" w14:paraId="39EB148A" w14:textId="6C7A8E8A">
      <w:pPr>
        <w:rPr>
          <w:rFonts w:ascii="Times New Roman" w:hAnsi="Times New Roman" w:cs="Times New Roman"/>
        </w:rPr>
      </w:pPr>
      <w:r w:rsidRPr="00F97462">
        <w:rPr>
          <w:rFonts w:ascii="Times New Roman" w:hAnsi="Times New Roman" w:cs="Times New Roman"/>
        </w:rPr>
        <w:t>NSC has excellent coverage of overall student enrollment in the US, reporting an average of 97.1% over the last 5 years</w:t>
      </w:r>
      <w:r w:rsidR="00251047">
        <w:rPr>
          <w:rFonts w:ascii="Times New Roman" w:hAnsi="Times New Roman" w:cs="Times New Roman"/>
        </w:rPr>
        <w:t xml:space="preserve"> (see </w:t>
      </w:r>
      <w:hyperlink r:id="rId9" w:history="1">
        <w:r w:rsidRPr="00BC2C30" w:rsidR="00BC2C30">
          <w:rPr>
            <w:rStyle w:val="Hyperlink"/>
            <w:rFonts w:ascii="Times New Roman" w:hAnsi="Times New Roman" w:cs="Times New Roman"/>
          </w:rPr>
          <w:t>Enrollment-Coverage-2017-2022.xlsx</w:t>
        </w:r>
      </w:hyperlink>
      <w:r w:rsidR="00BC2C30">
        <w:rPr>
          <w:rFonts w:ascii="Times New Roman" w:hAnsi="Times New Roman" w:cs="Times New Roman"/>
        </w:rPr>
        <w:t>)</w:t>
      </w:r>
      <w:r w:rsidR="00244F9F">
        <w:rPr>
          <w:rFonts w:ascii="Times New Roman" w:hAnsi="Times New Roman" w:cs="Times New Roman"/>
        </w:rPr>
        <w:t>. C</w:t>
      </w:r>
      <w:r w:rsidRPr="00F97462">
        <w:rPr>
          <w:rFonts w:ascii="Times New Roman" w:hAnsi="Times New Roman" w:cs="Times New Roman"/>
        </w:rPr>
        <w:t xml:space="preserve">overage </w:t>
      </w:r>
      <w:r w:rsidR="00244F9F">
        <w:rPr>
          <w:rFonts w:ascii="Times New Roman" w:hAnsi="Times New Roman" w:cs="Times New Roman"/>
        </w:rPr>
        <w:t>of</w:t>
      </w:r>
      <w:r w:rsidRPr="00F97462">
        <w:rPr>
          <w:rFonts w:ascii="Times New Roman" w:hAnsi="Times New Roman" w:cs="Times New Roman"/>
        </w:rPr>
        <w:t xml:space="preserve"> the GSS institutions as a whole is also very high</w:t>
      </w:r>
      <w:r w:rsidR="00244F9F">
        <w:rPr>
          <w:rFonts w:ascii="Times New Roman" w:hAnsi="Times New Roman" w:cs="Times New Roman"/>
        </w:rPr>
        <w:t xml:space="preserve"> as shown in Table </w:t>
      </w:r>
      <w:r w:rsidR="002759EE">
        <w:rPr>
          <w:rFonts w:ascii="Times New Roman" w:hAnsi="Times New Roman" w:cs="Times New Roman"/>
        </w:rPr>
        <w:t>4</w:t>
      </w:r>
      <w:r w:rsidRPr="00F97462">
        <w:rPr>
          <w:rFonts w:ascii="Times New Roman" w:hAnsi="Times New Roman" w:cs="Times New Roman"/>
        </w:rPr>
        <w:t>.</w:t>
      </w:r>
      <w:r w:rsidR="00D73C74">
        <w:rPr>
          <w:rFonts w:ascii="Times New Roman" w:hAnsi="Times New Roman" w:cs="Times New Roman"/>
        </w:rPr>
        <w:t xml:space="preserve"> </w:t>
      </w:r>
      <w:r w:rsidRPr="00F97462">
        <w:rPr>
          <w:rFonts w:ascii="Times New Roman" w:hAnsi="Times New Roman" w:cs="Times New Roman"/>
        </w:rPr>
        <w:t xml:space="preserve">The 2021 cycle of the GSS surveyed 699 institutions that granted research doctorates or research-oriented master's degrees in eligible science, engineering, or health (SEH) fields. </w:t>
      </w:r>
      <w:r w:rsidR="007D170D">
        <w:rPr>
          <w:rFonts w:ascii="Times New Roman" w:hAnsi="Times New Roman" w:cs="Times New Roman"/>
        </w:rPr>
        <w:t xml:space="preserve">Of these, 670 (or 95.9%) </w:t>
      </w:r>
      <w:r w:rsidR="00335F30">
        <w:rPr>
          <w:rFonts w:ascii="Times New Roman" w:hAnsi="Times New Roman" w:cs="Times New Roman"/>
        </w:rPr>
        <w:t>could</w:t>
      </w:r>
      <w:r w:rsidR="007D170D">
        <w:rPr>
          <w:rFonts w:ascii="Times New Roman" w:hAnsi="Times New Roman" w:cs="Times New Roman"/>
        </w:rPr>
        <w:t xml:space="preserve"> be matched </w:t>
      </w:r>
      <w:r w:rsidR="00AF5808">
        <w:rPr>
          <w:rFonts w:ascii="Times New Roman" w:hAnsi="Times New Roman" w:cs="Times New Roman"/>
        </w:rPr>
        <w:t xml:space="preserve">by the NSC data team. </w:t>
      </w:r>
      <w:r w:rsidR="004209A0">
        <w:rPr>
          <w:rFonts w:ascii="Times New Roman" w:hAnsi="Times New Roman" w:cs="Times New Roman"/>
        </w:rPr>
        <w:t xml:space="preserve">The </w:t>
      </w:r>
      <w:r w:rsidR="004E2599">
        <w:rPr>
          <w:rFonts w:ascii="Times New Roman" w:hAnsi="Times New Roman" w:cs="Times New Roman"/>
        </w:rPr>
        <w:t xml:space="preserve">670 institutions include the largest institutions and thus </w:t>
      </w:r>
      <w:r w:rsidR="00523460">
        <w:rPr>
          <w:rFonts w:ascii="Times New Roman" w:hAnsi="Times New Roman" w:cs="Times New Roman"/>
        </w:rPr>
        <w:t xml:space="preserve">contain even higher percentages of </w:t>
      </w:r>
      <w:r w:rsidR="000A618B">
        <w:rPr>
          <w:rFonts w:ascii="Times New Roman" w:hAnsi="Times New Roman" w:cs="Times New Roman"/>
        </w:rPr>
        <w:t xml:space="preserve">graduate enrollments. </w:t>
      </w:r>
      <w:r w:rsidRPr="00F97462" w:rsidR="004209A0">
        <w:rPr>
          <w:rFonts w:ascii="Times New Roman" w:hAnsi="Times New Roman" w:cs="Times New Roman"/>
        </w:rPr>
        <w:t xml:space="preserve">If the NSC data provide complete coverage of graduate enrollment within the matched institutions, </w:t>
      </w:r>
      <w:r w:rsidR="000A618B">
        <w:rPr>
          <w:rFonts w:ascii="Times New Roman" w:hAnsi="Times New Roman" w:cs="Times New Roman"/>
        </w:rPr>
        <w:t xml:space="preserve">then </w:t>
      </w:r>
      <w:r w:rsidRPr="00F97462" w:rsidR="004209A0">
        <w:rPr>
          <w:rFonts w:ascii="Times New Roman" w:hAnsi="Times New Roman" w:cs="Times New Roman"/>
        </w:rPr>
        <w:t xml:space="preserve">coverage at the unit, doctoral and master's student levels would </w:t>
      </w:r>
      <w:r w:rsidR="00546548">
        <w:rPr>
          <w:rFonts w:ascii="Times New Roman" w:hAnsi="Times New Roman" w:cs="Times New Roman"/>
        </w:rPr>
        <w:t xml:space="preserve">be </w:t>
      </w:r>
      <w:r w:rsidR="000A618B">
        <w:rPr>
          <w:rFonts w:ascii="Times New Roman" w:hAnsi="Times New Roman" w:cs="Times New Roman"/>
        </w:rPr>
        <w:t>around 99%</w:t>
      </w:r>
      <w:r w:rsidRPr="00F97462" w:rsidR="004209A0">
        <w:rPr>
          <w:rFonts w:ascii="Times New Roman" w:hAnsi="Times New Roman" w:cs="Times New Roman"/>
        </w:rPr>
        <w:t>.</w:t>
      </w:r>
      <w:r w:rsidR="007D170D">
        <w:rPr>
          <w:rFonts w:ascii="Times New Roman" w:hAnsi="Times New Roman" w:cs="Times New Roman"/>
        </w:rPr>
        <w:t xml:space="preserve"> </w:t>
      </w:r>
      <w:r w:rsidRPr="00F97462">
        <w:rPr>
          <w:rFonts w:ascii="Times New Roman" w:hAnsi="Times New Roman" w:cs="Times New Roman"/>
        </w:rPr>
        <w:tab/>
        <w:t xml:space="preserve"> </w:t>
      </w:r>
    </w:p>
    <w:p w:rsidR="008C5236" w:rsidP="008C5236" w14:paraId="619BD9D4" w14:textId="77777777">
      <w:pPr>
        <w:rPr>
          <w:rFonts w:ascii="Times New Roman" w:hAnsi="Times New Roman" w:cs="Times New Roman"/>
        </w:rPr>
      </w:pPr>
    </w:p>
    <w:p w:rsidR="008C5236" w:rsidP="008C5236" w14:paraId="7F5A5480" w14:textId="032E9B65">
      <w:pPr>
        <w:rPr>
          <w:rFonts w:ascii="Times New Roman" w:hAnsi="Times New Roman" w:cs="Times New Roman"/>
        </w:rPr>
      </w:pPr>
      <w:r>
        <w:rPr>
          <w:rFonts w:ascii="Times New Roman" w:hAnsi="Times New Roman" w:cs="Times New Roman"/>
        </w:rPr>
        <w:t xml:space="preserve">&lt;Table 4 (see attached excel file) &gt; </w:t>
      </w:r>
    </w:p>
    <w:p w:rsidR="00F97462" w:rsidRPr="00F97462" w:rsidP="008C5236" w14:paraId="19995398" w14:textId="3651E8BC">
      <w:pPr>
        <w:rPr>
          <w:rFonts w:ascii="Times New Roman" w:hAnsi="Times New Roman" w:cs="Times New Roman"/>
        </w:rPr>
      </w:pPr>
      <w:r w:rsidRPr="00F97462">
        <w:rPr>
          <w:rFonts w:ascii="Times New Roman" w:hAnsi="Times New Roman" w:cs="Times New Roman"/>
        </w:rPr>
        <w:t xml:space="preserve">  </w:t>
      </w:r>
    </w:p>
    <w:p w:rsidR="006C54C4" w:rsidP="006C54C4" w14:paraId="2365396A" w14:textId="094309EE">
      <w:pPr>
        <w:rPr>
          <w:rFonts w:ascii="Times New Roman" w:hAnsi="Times New Roman" w:cs="Times New Roman"/>
        </w:rPr>
      </w:pPr>
      <w:r w:rsidRPr="00F97462">
        <w:rPr>
          <w:rFonts w:ascii="Times New Roman" w:hAnsi="Times New Roman" w:cs="Times New Roman"/>
        </w:rPr>
        <w:t xml:space="preserve">Of the 29 institutions in the 2021 GSS but not in the NSC data, 17 were </w:t>
      </w:r>
      <w:r w:rsidRPr="00F97462">
        <w:rPr>
          <w:rFonts w:ascii="Times New Roman" w:hAnsi="Times New Roman" w:cs="Times New Roman"/>
        </w:rPr>
        <w:t>graduate only</w:t>
      </w:r>
      <w:r w:rsidRPr="00F97462">
        <w:rPr>
          <w:rFonts w:ascii="Times New Roman" w:hAnsi="Times New Roman" w:cs="Times New Roman"/>
        </w:rPr>
        <w:t xml:space="preserve"> schools (</w:t>
      </w:r>
      <w:r w:rsidR="00335F30">
        <w:rPr>
          <w:rFonts w:ascii="Times New Roman" w:hAnsi="Times New Roman" w:cs="Times New Roman"/>
        </w:rPr>
        <w:t xml:space="preserve">i.e., </w:t>
      </w:r>
      <w:r w:rsidRPr="00F97462">
        <w:rPr>
          <w:rFonts w:ascii="Times New Roman" w:hAnsi="Times New Roman" w:cs="Times New Roman"/>
        </w:rPr>
        <w:t xml:space="preserve">they do not enroll undergraduate students) and 6 were from Puerto Rico (see </w:t>
      </w:r>
      <w:r w:rsidR="009C704D">
        <w:rPr>
          <w:rFonts w:ascii="Times New Roman" w:hAnsi="Times New Roman" w:cs="Times New Roman"/>
        </w:rPr>
        <w:t>A</w:t>
      </w:r>
      <w:r w:rsidRPr="00F97462">
        <w:rPr>
          <w:rFonts w:ascii="Times New Roman" w:hAnsi="Times New Roman" w:cs="Times New Roman"/>
        </w:rPr>
        <w:t xml:space="preserve">ppendix </w:t>
      </w:r>
      <w:r w:rsidR="009C704D">
        <w:rPr>
          <w:rFonts w:ascii="Times New Roman" w:hAnsi="Times New Roman" w:cs="Times New Roman"/>
        </w:rPr>
        <w:t>2</w:t>
      </w:r>
      <w:r w:rsidRPr="00F97462">
        <w:rPr>
          <w:rFonts w:ascii="Times New Roman" w:hAnsi="Times New Roman" w:cs="Times New Roman"/>
        </w:rPr>
        <w:t xml:space="preserve"> for a complete list</w:t>
      </w:r>
      <w:r w:rsidR="00F51C52">
        <w:rPr>
          <w:rFonts w:ascii="Times New Roman" w:hAnsi="Times New Roman" w:cs="Times New Roman"/>
        </w:rPr>
        <w:t xml:space="preserve"> of these institutions</w:t>
      </w:r>
      <w:r w:rsidRPr="00F97462">
        <w:rPr>
          <w:rFonts w:ascii="Times New Roman" w:hAnsi="Times New Roman" w:cs="Times New Roman"/>
        </w:rPr>
        <w:t>). Consequently, the NSC data does not provide good coverage of specialized, graduate only research institutions nor Puerto Rican universities.</w:t>
      </w:r>
      <w:r w:rsidR="00F51C52">
        <w:rPr>
          <w:rFonts w:ascii="Times New Roman" w:hAnsi="Times New Roman" w:cs="Times New Roman"/>
        </w:rPr>
        <w:t xml:space="preserve"> </w:t>
      </w:r>
      <w:r w:rsidRPr="00F97462">
        <w:rPr>
          <w:rFonts w:ascii="Times New Roman" w:hAnsi="Times New Roman" w:cs="Times New Roman"/>
        </w:rPr>
        <w:t xml:space="preserve">As noted </w:t>
      </w:r>
      <w:r w:rsidR="00F51C52">
        <w:rPr>
          <w:rFonts w:ascii="Times New Roman" w:hAnsi="Times New Roman" w:cs="Times New Roman"/>
        </w:rPr>
        <w:t>by</w:t>
      </w:r>
      <w:r w:rsidRPr="00F97462">
        <w:rPr>
          <w:rFonts w:ascii="Times New Roman" w:hAnsi="Times New Roman" w:cs="Times New Roman"/>
        </w:rPr>
        <w:t xml:space="preserve"> the grey text</w:t>
      </w:r>
      <w:r w:rsidR="00F51C52">
        <w:rPr>
          <w:rFonts w:ascii="Times New Roman" w:hAnsi="Times New Roman" w:cs="Times New Roman"/>
        </w:rPr>
        <w:t xml:space="preserve"> in table 4</w:t>
      </w:r>
      <w:r w:rsidRPr="00F97462">
        <w:rPr>
          <w:rFonts w:ascii="Times New Roman" w:hAnsi="Times New Roman" w:cs="Times New Roman"/>
        </w:rPr>
        <w:t>, the majority of the postdocs and NFR</w:t>
      </w:r>
      <w:r w:rsidR="00E910E7">
        <w:rPr>
          <w:rFonts w:ascii="Times New Roman" w:hAnsi="Times New Roman" w:cs="Times New Roman"/>
        </w:rPr>
        <w:t>s</w:t>
      </w:r>
      <w:r w:rsidRPr="00F97462">
        <w:rPr>
          <w:rFonts w:ascii="Times New Roman" w:hAnsi="Times New Roman" w:cs="Times New Roman"/>
        </w:rPr>
        <w:t xml:space="preserve"> are also found in the NSC institutions but the NSC only collects enrollment data, so </w:t>
      </w:r>
      <w:r w:rsidR="00BF7F31">
        <w:rPr>
          <w:rFonts w:ascii="Times New Roman" w:hAnsi="Times New Roman" w:cs="Times New Roman"/>
        </w:rPr>
        <w:t>provides no coverage of these data</w:t>
      </w:r>
      <w:r w:rsidRPr="00F97462">
        <w:rPr>
          <w:rFonts w:ascii="Times New Roman" w:hAnsi="Times New Roman" w:cs="Times New Roman"/>
        </w:rPr>
        <w:t>.</w:t>
      </w:r>
      <w:r>
        <w:rPr>
          <w:rFonts w:ascii="Times New Roman" w:hAnsi="Times New Roman" w:cs="Times New Roman"/>
        </w:rPr>
        <w:t xml:space="preserve"> The full NSC institution crosswalk can be </w:t>
      </w:r>
      <w:r w:rsidR="00D13641">
        <w:rPr>
          <w:rFonts w:ascii="Times New Roman" w:hAnsi="Times New Roman" w:cs="Times New Roman"/>
        </w:rPr>
        <w:t>accessed</w:t>
      </w:r>
      <w:r>
        <w:rPr>
          <w:rFonts w:ascii="Times New Roman" w:hAnsi="Times New Roman" w:cs="Times New Roman"/>
        </w:rPr>
        <w:t xml:space="preserve"> </w:t>
      </w:r>
      <w:r w:rsidR="00D13641">
        <w:rPr>
          <w:rFonts w:ascii="Times New Roman" w:hAnsi="Times New Roman" w:cs="Times New Roman"/>
        </w:rPr>
        <w:t>at</w:t>
      </w:r>
      <w:r>
        <w:rPr>
          <w:rFonts w:ascii="Times New Roman" w:hAnsi="Times New Roman" w:cs="Times New Roman"/>
        </w:rPr>
        <w:t xml:space="preserve">: </w:t>
      </w:r>
      <w:hyperlink r:id="rId10" w:history="1">
        <w:r w:rsidRPr="00885766">
          <w:rPr>
            <w:rStyle w:val="Hyperlink"/>
            <w:rFonts w:ascii="Times New Roman" w:hAnsi="Times New Roman" w:cs="Times New Roman"/>
          </w:rPr>
          <w:t>https://nscresearchcenter.org/wp-content/uploads/NSC_SCHOOL_CODE_TO_IPEDS_UNIT_ID_XWALK_APR-2023.xlsx</w:t>
        </w:r>
      </w:hyperlink>
      <w:r>
        <w:rPr>
          <w:rFonts w:ascii="Times New Roman" w:hAnsi="Times New Roman" w:cs="Times New Roman"/>
        </w:rPr>
        <w:t xml:space="preserve"> </w:t>
      </w:r>
    </w:p>
    <w:p w:rsidR="00313478" w:rsidP="00313478" w14:paraId="556B35DC" w14:textId="77777777">
      <w:pPr>
        <w:rPr>
          <w:rFonts w:ascii="Times New Roman" w:hAnsi="Times New Roman" w:cs="Times New Roman"/>
        </w:rPr>
      </w:pPr>
    </w:p>
    <w:p w:rsidR="000A0BD6" w:rsidP="00703DED" w14:paraId="672E57E2" w14:textId="2902B7FF">
      <w:pPr>
        <w:pStyle w:val="Heading2"/>
        <w:rPr>
          <w:rFonts w:ascii="Times New Roman" w:hAnsi="Times New Roman" w:cs="Times New Roman"/>
        </w:rPr>
      </w:pPr>
      <w:r>
        <w:t>Cohort analysis</w:t>
      </w:r>
    </w:p>
    <w:p w:rsidR="00D004E8" w:rsidP="00D004E8" w14:paraId="46AEF858" w14:textId="260269E7">
      <w:pPr>
        <w:rPr>
          <w:rFonts w:ascii="Times New Roman" w:hAnsi="Times New Roman" w:cs="Times New Roman"/>
        </w:rPr>
      </w:pPr>
      <w:r>
        <w:rPr>
          <w:rFonts w:ascii="Times New Roman" w:hAnsi="Times New Roman" w:cs="Times New Roman"/>
        </w:rPr>
        <w:t xml:space="preserve">Table </w:t>
      </w:r>
      <w:r w:rsidR="005714D2">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rPr>
        <w:t xml:space="preserve">provides </w:t>
      </w:r>
      <w:r w:rsidR="00DC63CE">
        <w:rPr>
          <w:rFonts w:ascii="Times New Roman" w:hAnsi="Times New Roman" w:cs="Times New Roman"/>
        </w:rPr>
        <w:t>NSC g</w:t>
      </w:r>
      <w:r w:rsidR="00501DAA">
        <w:rPr>
          <w:rFonts w:ascii="Times New Roman" w:hAnsi="Times New Roman" w:cs="Times New Roman"/>
        </w:rPr>
        <w:t>raduate en</w:t>
      </w:r>
      <w:r w:rsidR="00DC63CE">
        <w:rPr>
          <w:rFonts w:ascii="Times New Roman" w:hAnsi="Times New Roman" w:cs="Times New Roman"/>
        </w:rPr>
        <w:t xml:space="preserve">rollment </w:t>
      </w:r>
      <w:r>
        <w:rPr>
          <w:rFonts w:ascii="Times New Roman" w:hAnsi="Times New Roman" w:cs="Times New Roman"/>
        </w:rPr>
        <w:t xml:space="preserve">counts </w:t>
      </w:r>
      <w:r w:rsidR="00DC63CE">
        <w:rPr>
          <w:rFonts w:ascii="Times New Roman" w:hAnsi="Times New Roman" w:cs="Times New Roman"/>
        </w:rPr>
        <w:t xml:space="preserve">by </w:t>
      </w:r>
      <w:r w:rsidR="00AA5E00">
        <w:rPr>
          <w:rFonts w:ascii="Times New Roman" w:hAnsi="Times New Roman" w:cs="Times New Roman"/>
        </w:rPr>
        <w:t>academic year</w:t>
      </w:r>
      <w:r w:rsidR="00D73C74">
        <w:rPr>
          <w:rFonts w:ascii="Times New Roman" w:hAnsi="Times New Roman" w:cs="Times New Roman"/>
        </w:rPr>
        <w:t xml:space="preserve"> (AY)</w:t>
      </w:r>
      <w:r w:rsidR="001F2EA5">
        <w:rPr>
          <w:rFonts w:ascii="Times New Roman" w:hAnsi="Times New Roman" w:cs="Times New Roman"/>
        </w:rPr>
        <w:t>,</w:t>
      </w:r>
      <w:r w:rsidR="001C6EE8">
        <w:rPr>
          <w:rFonts w:ascii="Times New Roman" w:hAnsi="Times New Roman" w:cs="Times New Roman"/>
        </w:rPr>
        <w:t xml:space="preserve"> degree </w:t>
      </w:r>
      <w:r w:rsidR="008856E6">
        <w:rPr>
          <w:rFonts w:ascii="Times New Roman" w:hAnsi="Times New Roman" w:cs="Times New Roman"/>
        </w:rPr>
        <w:t>level</w:t>
      </w:r>
      <w:r w:rsidR="001F2EA5">
        <w:rPr>
          <w:rFonts w:ascii="Times New Roman" w:hAnsi="Times New Roman" w:cs="Times New Roman"/>
        </w:rPr>
        <w:t>, and inclusion in the GSS universe. These data</w:t>
      </w:r>
      <w:r w:rsidR="00D73C74">
        <w:rPr>
          <w:rFonts w:ascii="Times New Roman" w:hAnsi="Times New Roman" w:cs="Times New Roman"/>
        </w:rPr>
        <w:t xml:space="preserve"> </w:t>
      </w:r>
      <w:r w:rsidR="004C64FB">
        <w:rPr>
          <w:rFonts w:ascii="Times New Roman" w:hAnsi="Times New Roman" w:cs="Times New Roman"/>
        </w:rPr>
        <w:t xml:space="preserve">show that </w:t>
      </w:r>
      <w:r w:rsidRPr="00D004E8">
        <w:rPr>
          <w:rFonts w:ascii="Times New Roman" w:hAnsi="Times New Roman" w:cs="Times New Roman"/>
        </w:rPr>
        <w:t>exte</w:t>
      </w:r>
      <w:r w:rsidR="001F2EA5">
        <w:rPr>
          <w:rFonts w:ascii="Times New Roman" w:hAnsi="Times New Roman" w:cs="Times New Roman"/>
        </w:rPr>
        <w:t>n</w:t>
      </w:r>
      <w:r w:rsidRPr="00D004E8">
        <w:rPr>
          <w:rFonts w:ascii="Times New Roman" w:hAnsi="Times New Roman" w:cs="Times New Roman"/>
        </w:rPr>
        <w:t xml:space="preserve">ding the time frame </w:t>
      </w:r>
      <w:r w:rsidR="001F2EA5">
        <w:rPr>
          <w:rFonts w:ascii="Times New Roman" w:hAnsi="Times New Roman" w:cs="Times New Roman"/>
        </w:rPr>
        <w:t xml:space="preserve">of the data request </w:t>
      </w:r>
      <w:r w:rsidRPr="00D004E8">
        <w:rPr>
          <w:rFonts w:ascii="Times New Roman" w:hAnsi="Times New Roman" w:cs="Times New Roman"/>
        </w:rPr>
        <w:t xml:space="preserve">from 5 to 10 years </w:t>
      </w:r>
      <w:r w:rsidR="00843816">
        <w:rPr>
          <w:rFonts w:ascii="Times New Roman" w:hAnsi="Times New Roman" w:cs="Times New Roman"/>
        </w:rPr>
        <w:t>was sufficient</w:t>
      </w:r>
      <w:r w:rsidR="00E03917">
        <w:rPr>
          <w:rFonts w:ascii="Times New Roman" w:hAnsi="Times New Roman" w:cs="Times New Roman"/>
        </w:rPr>
        <w:t xml:space="preserve"> (very few doctorate</w:t>
      </w:r>
      <w:r w:rsidR="007B6636">
        <w:rPr>
          <w:rFonts w:ascii="Times New Roman" w:hAnsi="Times New Roman" w:cs="Times New Roman"/>
        </w:rPr>
        <w:t>s</w:t>
      </w:r>
      <w:r w:rsidR="00E03917">
        <w:rPr>
          <w:rFonts w:ascii="Times New Roman" w:hAnsi="Times New Roman" w:cs="Times New Roman"/>
        </w:rPr>
        <w:t xml:space="preserve"> </w:t>
      </w:r>
      <w:r w:rsidR="007B6636">
        <w:rPr>
          <w:rFonts w:ascii="Times New Roman" w:hAnsi="Times New Roman" w:cs="Times New Roman"/>
        </w:rPr>
        <w:t xml:space="preserve">were from the oldest cohorts) </w:t>
      </w:r>
      <w:r w:rsidR="00843816">
        <w:rPr>
          <w:rFonts w:ascii="Times New Roman" w:hAnsi="Times New Roman" w:cs="Times New Roman"/>
        </w:rPr>
        <w:t xml:space="preserve">and that it </w:t>
      </w:r>
      <w:r w:rsidRPr="00D004E8">
        <w:rPr>
          <w:rFonts w:ascii="Times New Roman" w:hAnsi="Times New Roman" w:cs="Times New Roman"/>
        </w:rPr>
        <w:t xml:space="preserve">substantially increased the number of doctoral students </w:t>
      </w:r>
      <w:r w:rsidR="0075156D">
        <w:rPr>
          <w:rFonts w:ascii="Times New Roman" w:hAnsi="Times New Roman" w:cs="Times New Roman"/>
        </w:rPr>
        <w:t xml:space="preserve">returned from the </w:t>
      </w:r>
      <w:r w:rsidRPr="00D004E8">
        <w:rPr>
          <w:rFonts w:ascii="Times New Roman" w:hAnsi="Times New Roman" w:cs="Times New Roman"/>
        </w:rPr>
        <w:t>NSC</w:t>
      </w:r>
      <w:r w:rsidR="0075156D">
        <w:rPr>
          <w:rFonts w:ascii="Times New Roman" w:hAnsi="Times New Roman" w:cs="Times New Roman"/>
        </w:rPr>
        <w:t xml:space="preserve"> data. </w:t>
      </w:r>
      <w:r w:rsidR="008856E6">
        <w:rPr>
          <w:rFonts w:ascii="Times New Roman" w:hAnsi="Times New Roman" w:cs="Times New Roman"/>
        </w:rPr>
        <w:t xml:space="preserve">The new request increased </w:t>
      </w:r>
      <w:r w:rsidR="00F70392">
        <w:rPr>
          <w:rFonts w:ascii="Times New Roman" w:hAnsi="Times New Roman" w:cs="Times New Roman"/>
        </w:rPr>
        <w:t xml:space="preserve">the number of doctoral students overall by 43.1% (from 554,577 to </w:t>
      </w:r>
      <w:r w:rsidR="00A03A18">
        <w:rPr>
          <w:rFonts w:ascii="Times New Roman" w:hAnsi="Times New Roman" w:cs="Times New Roman"/>
        </w:rPr>
        <w:t>793,542 students)</w:t>
      </w:r>
      <w:r w:rsidR="00F70392">
        <w:rPr>
          <w:rFonts w:ascii="Times New Roman" w:hAnsi="Times New Roman" w:cs="Times New Roman"/>
        </w:rPr>
        <w:t xml:space="preserve"> </w:t>
      </w:r>
      <w:r w:rsidR="00A03A18">
        <w:rPr>
          <w:rFonts w:ascii="Times New Roman" w:hAnsi="Times New Roman" w:cs="Times New Roman"/>
        </w:rPr>
        <w:t>and t</w:t>
      </w:r>
      <w:r w:rsidR="008856E6">
        <w:rPr>
          <w:rFonts w:ascii="Times New Roman" w:hAnsi="Times New Roman" w:cs="Times New Roman"/>
        </w:rPr>
        <w:t xml:space="preserve">he number of </w:t>
      </w:r>
      <w:r w:rsidR="003759AC">
        <w:rPr>
          <w:rFonts w:ascii="Times New Roman" w:hAnsi="Times New Roman" w:cs="Times New Roman"/>
        </w:rPr>
        <w:t xml:space="preserve">doctoral students </w:t>
      </w:r>
      <w:r w:rsidR="008856E6">
        <w:rPr>
          <w:rFonts w:ascii="Times New Roman" w:hAnsi="Times New Roman" w:cs="Times New Roman"/>
        </w:rPr>
        <w:t xml:space="preserve">within GSS </w:t>
      </w:r>
      <w:r w:rsidR="00E6220E">
        <w:rPr>
          <w:rFonts w:ascii="Times New Roman" w:hAnsi="Times New Roman" w:cs="Times New Roman"/>
        </w:rPr>
        <w:t>institutions by 31.8%</w:t>
      </w:r>
      <w:r w:rsidR="0050648B">
        <w:rPr>
          <w:rFonts w:ascii="Times New Roman" w:hAnsi="Times New Roman" w:cs="Times New Roman"/>
        </w:rPr>
        <w:t xml:space="preserve"> (from 411,035 to 541,650</w:t>
      </w:r>
      <w:r w:rsidR="00A03A18">
        <w:rPr>
          <w:rFonts w:ascii="Times New Roman" w:hAnsi="Times New Roman" w:cs="Times New Roman"/>
        </w:rPr>
        <w:t xml:space="preserve"> students</w:t>
      </w:r>
      <w:r w:rsidR="0050648B">
        <w:rPr>
          <w:rFonts w:ascii="Times New Roman" w:hAnsi="Times New Roman" w:cs="Times New Roman"/>
        </w:rPr>
        <w:t>)</w:t>
      </w:r>
      <w:r w:rsidRPr="00D004E8">
        <w:rPr>
          <w:rFonts w:ascii="Times New Roman" w:hAnsi="Times New Roman" w:cs="Times New Roman"/>
        </w:rPr>
        <w:t>.</w:t>
      </w:r>
      <w:r w:rsidR="00A03A18">
        <w:rPr>
          <w:rFonts w:ascii="Times New Roman" w:hAnsi="Times New Roman" w:cs="Times New Roman"/>
        </w:rPr>
        <w:t xml:space="preserve"> </w:t>
      </w:r>
      <w:r w:rsidR="005E4CB5">
        <w:rPr>
          <w:rFonts w:ascii="Times New Roman" w:hAnsi="Times New Roman" w:cs="Times New Roman"/>
        </w:rPr>
        <w:t>With the exception of AY</w:t>
      </w:r>
      <w:r w:rsidR="00254C38">
        <w:rPr>
          <w:rFonts w:ascii="Times New Roman" w:hAnsi="Times New Roman" w:cs="Times New Roman"/>
        </w:rPr>
        <w:t xml:space="preserve"> 14-15</w:t>
      </w:r>
      <w:r w:rsidR="00D10035">
        <w:rPr>
          <w:rFonts w:ascii="Times New Roman" w:hAnsi="Times New Roman" w:cs="Times New Roman"/>
        </w:rPr>
        <w:t xml:space="preserve">, the </w:t>
      </w:r>
      <w:r w:rsidRPr="00D004E8">
        <w:rPr>
          <w:rFonts w:ascii="Times New Roman" w:hAnsi="Times New Roman" w:cs="Times New Roman"/>
        </w:rPr>
        <w:t>cohort size</w:t>
      </w:r>
      <w:r w:rsidR="00D10035">
        <w:rPr>
          <w:rFonts w:ascii="Times New Roman" w:hAnsi="Times New Roman" w:cs="Times New Roman"/>
        </w:rPr>
        <w:t xml:space="preserve">s </w:t>
      </w:r>
      <w:r w:rsidR="00A01827">
        <w:rPr>
          <w:rFonts w:ascii="Times New Roman" w:hAnsi="Times New Roman" w:cs="Times New Roman"/>
        </w:rPr>
        <w:t>decline</w:t>
      </w:r>
      <w:r w:rsidR="00335F30">
        <w:rPr>
          <w:rFonts w:ascii="Times New Roman" w:hAnsi="Times New Roman" w:cs="Times New Roman"/>
        </w:rPr>
        <w:t>d</w:t>
      </w:r>
      <w:r w:rsidR="00A01827">
        <w:rPr>
          <w:rFonts w:ascii="Times New Roman" w:hAnsi="Times New Roman" w:cs="Times New Roman"/>
        </w:rPr>
        <w:t xml:space="preserve"> </w:t>
      </w:r>
      <w:r w:rsidRPr="00D004E8">
        <w:rPr>
          <w:rFonts w:ascii="Times New Roman" w:hAnsi="Times New Roman" w:cs="Times New Roman"/>
        </w:rPr>
        <w:t xml:space="preserve">over time </w:t>
      </w:r>
      <w:r w:rsidR="00A01827">
        <w:rPr>
          <w:rFonts w:ascii="Times New Roman" w:hAnsi="Times New Roman" w:cs="Times New Roman"/>
        </w:rPr>
        <w:t xml:space="preserve">as expected </w:t>
      </w:r>
      <w:r w:rsidRPr="00D004E8">
        <w:rPr>
          <w:rFonts w:ascii="Times New Roman" w:hAnsi="Times New Roman" w:cs="Times New Roman"/>
        </w:rPr>
        <w:t>due to graduation and attrition</w:t>
      </w:r>
      <w:r w:rsidR="00A01827">
        <w:rPr>
          <w:rFonts w:ascii="Times New Roman" w:hAnsi="Times New Roman" w:cs="Times New Roman"/>
        </w:rPr>
        <w:t xml:space="preserve">. </w:t>
      </w:r>
      <w:r w:rsidR="00254C38">
        <w:rPr>
          <w:rFonts w:ascii="Times New Roman" w:hAnsi="Times New Roman" w:cs="Times New Roman"/>
        </w:rPr>
        <w:t xml:space="preserve">That </w:t>
      </w:r>
      <w:r w:rsidR="00DB3F74">
        <w:rPr>
          <w:rFonts w:ascii="Times New Roman" w:hAnsi="Times New Roman" w:cs="Times New Roman"/>
        </w:rPr>
        <w:t>more student</w:t>
      </w:r>
      <w:r w:rsidR="00335F30">
        <w:rPr>
          <w:rFonts w:ascii="Times New Roman" w:hAnsi="Times New Roman" w:cs="Times New Roman"/>
        </w:rPr>
        <w:t>s</w:t>
      </w:r>
      <w:r w:rsidR="00DB3F74">
        <w:rPr>
          <w:rFonts w:ascii="Times New Roman" w:hAnsi="Times New Roman" w:cs="Times New Roman"/>
        </w:rPr>
        <w:t xml:space="preserve"> from the </w:t>
      </w:r>
      <w:r w:rsidR="00254C38">
        <w:rPr>
          <w:rFonts w:ascii="Times New Roman" w:hAnsi="Times New Roman" w:cs="Times New Roman"/>
        </w:rPr>
        <w:t xml:space="preserve">AY 14-15 </w:t>
      </w:r>
      <w:r w:rsidR="00DB3F74">
        <w:rPr>
          <w:rFonts w:ascii="Times New Roman" w:hAnsi="Times New Roman" w:cs="Times New Roman"/>
        </w:rPr>
        <w:t xml:space="preserve">cohort were still enrolled in the fall of 2021 than from the </w:t>
      </w:r>
      <w:r w:rsidR="00254C38">
        <w:rPr>
          <w:rFonts w:ascii="Times New Roman" w:hAnsi="Times New Roman" w:cs="Times New Roman"/>
        </w:rPr>
        <w:t xml:space="preserve">AY 15-16 </w:t>
      </w:r>
      <w:r w:rsidR="00DB3F74">
        <w:rPr>
          <w:rFonts w:ascii="Times New Roman" w:hAnsi="Times New Roman" w:cs="Times New Roman"/>
        </w:rPr>
        <w:t>cohort</w:t>
      </w:r>
      <w:r w:rsidR="000C297B">
        <w:rPr>
          <w:rFonts w:ascii="Times New Roman" w:hAnsi="Times New Roman" w:cs="Times New Roman"/>
        </w:rPr>
        <w:t xml:space="preserve"> suggests that there might be an</w:t>
      </w:r>
      <w:r w:rsidR="00BB3B1C">
        <w:rPr>
          <w:rFonts w:ascii="Times New Roman" w:hAnsi="Times New Roman" w:cs="Times New Roman"/>
        </w:rPr>
        <w:t xml:space="preserve"> issue with the </w:t>
      </w:r>
      <w:r w:rsidR="000C297B">
        <w:rPr>
          <w:rFonts w:ascii="Times New Roman" w:hAnsi="Times New Roman" w:cs="Times New Roman"/>
        </w:rPr>
        <w:t>data</w:t>
      </w:r>
      <w:r w:rsidR="0019065C">
        <w:rPr>
          <w:rFonts w:ascii="Times New Roman" w:hAnsi="Times New Roman" w:cs="Times New Roman"/>
        </w:rPr>
        <w:t xml:space="preserve">, but as the majority of the enrollments were from more recent cohorts, this is likely to have limited impact on the analysis. </w:t>
      </w:r>
    </w:p>
    <w:p w:rsidR="00E82244" w:rsidP="00D004E8" w14:paraId="1BE8AD2E" w14:textId="77777777">
      <w:pPr>
        <w:rPr>
          <w:rFonts w:ascii="Times New Roman" w:hAnsi="Times New Roman" w:cs="Times New Roman"/>
        </w:rPr>
      </w:pPr>
    </w:p>
    <w:p w:rsidR="0036778A" w:rsidP="0036778A" w14:paraId="246E1CC9" w14:textId="77777777">
      <w:pPr>
        <w:rPr>
          <w:rFonts w:ascii="Times New Roman" w:hAnsi="Times New Roman" w:cs="Times New Roman"/>
        </w:rPr>
      </w:pPr>
      <w:r>
        <w:rPr>
          <w:rFonts w:ascii="Times New Roman" w:hAnsi="Times New Roman" w:cs="Times New Roman"/>
        </w:rPr>
        <w:t xml:space="preserve">&lt;Table 5 (see attached excel file) &gt; </w:t>
      </w:r>
    </w:p>
    <w:p w:rsidR="0036778A" w:rsidRPr="00D004E8" w:rsidP="00D004E8" w14:paraId="6094E029" w14:textId="77777777">
      <w:pPr>
        <w:rPr>
          <w:rFonts w:ascii="Times New Roman" w:hAnsi="Times New Roman" w:cs="Times New Roman"/>
        </w:rPr>
      </w:pPr>
    </w:p>
    <w:p w:rsidR="00D004E8" w:rsidP="00D004E8" w14:paraId="417A2BB3" w14:textId="4495FC66">
      <w:pPr>
        <w:rPr>
          <w:rFonts w:ascii="Times New Roman" w:hAnsi="Times New Roman" w:cs="Times New Roman"/>
        </w:rPr>
      </w:pPr>
      <w:r>
        <w:rPr>
          <w:rFonts w:ascii="Times New Roman" w:hAnsi="Times New Roman" w:cs="Times New Roman"/>
        </w:rPr>
        <w:t>Another oddity in the data is that 1</w:t>
      </w:r>
      <w:r w:rsidR="00F34BD6">
        <w:rPr>
          <w:rFonts w:ascii="Times New Roman" w:hAnsi="Times New Roman" w:cs="Times New Roman"/>
        </w:rPr>
        <w:t>4.8</w:t>
      </w:r>
      <w:r>
        <w:rPr>
          <w:rFonts w:ascii="Times New Roman" w:hAnsi="Times New Roman" w:cs="Times New Roman"/>
        </w:rPr>
        <w:t xml:space="preserve">% of </w:t>
      </w:r>
      <w:r w:rsidRPr="00D004E8">
        <w:rPr>
          <w:rFonts w:ascii="Times New Roman" w:hAnsi="Times New Roman" w:cs="Times New Roman"/>
        </w:rPr>
        <w:t xml:space="preserve">master's students and </w:t>
      </w:r>
      <w:r w:rsidR="00E24721">
        <w:rPr>
          <w:rFonts w:ascii="Times New Roman" w:hAnsi="Times New Roman" w:cs="Times New Roman"/>
        </w:rPr>
        <w:t>13.8% of those in</w:t>
      </w:r>
      <w:r w:rsidRPr="00D004E8">
        <w:rPr>
          <w:rFonts w:ascii="Times New Roman" w:hAnsi="Times New Roman" w:cs="Times New Roman"/>
        </w:rPr>
        <w:t xml:space="preserve"> other or unknown degree programs </w:t>
      </w:r>
      <w:r w:rsidR="00E62075">
        <w:rPr>
          <w:rFonts w:ascii="Times New Roman" w:hAnsi="Times New Roman" w:cs="Times New Roman"/>
        </w:rPr>
        <w:t xml:space="preserve">first </w:t>
      </w:r>
      <w:r w:rsidRPr="00D004E8">
        <w:rPr>
          <w:rFonts w:ascii="Times New Roman" w:hAnsi="Times New Roman" w:cs="Times New Roman"/>
        </w:rPr>
        <w:t xml:space="preserve">enrolled </w:t>
      </w:r>
      <w:r w:rsidR="00E62075">
        <w:rPr>
          <w:rFonts w:ascii="Times New Roman" w:hAnsi="Times New Roman" w:cs="Times New Roman"/>
        </w:rPr>
        <w:t xml:space="preserve">more than </w:t>
      </w:r>
      <w:r w:rsidRPr="00D004E8">
        <w:rPr>
          <w:rFonts w:ascii="Times New Roman" w:hAnsi="Times New Roman" w:cs="Times New Roman"/>
        </w:rPr>
        <w:t>3 years</w:t>
      </w:r>
      <w:r w:rsidR="00E62075">
        <w:rPr>
          <w:rFonts w:ascii="Times New Roman" w:hAnsi="Times New Roman" w:cs="Times New Roman"/>
        </w:rPr>
        <w:t xml:space="preserve"> prior.</w:t>
      </w:r>
      <w:r w:rsidR="00744C24">
        <w:rPr>
          <w:rFonts w:ascii="Times New Roman" w:hAnsi="Times New Roman" w:cs="Times New Roman"/>
        </w:rPr>
        <w:t xml:space="preserve"> Since most master’s and other certificate programs</w:t>
      </w:r>
      <w:r w:rsidR="003A52C3">
        <w:rPr>
          <w:rFonts w:ascii="Times New Roman" w:hAnsi="Times New Roman" w:cs="Times New Roman"/>
        </w:rPr>
        <w:t xml:space="preserve"> can be completed in 1 or 2 years, this percentage seems high and </w:t>
      </w:r>
      <w:r w:rsidR="00C2694C">
        <w:rPr>
          <w:rFonts w:ascii="Times New Roman" w:hAnsi="Times New Roman" w:cs="Times New Roman"/>
        </w:rPr>
        <w:t xml:space="preserve">suggests that some of these students </w:t>
      </w:r>
      <w:r w:rsidRPr="00D004E8">
        <w:rPr>
          <w:rFonts w:ascii="Times New Roman" w:hAnsi="Times New Roman" w:cs="Times New Roman"/>
        </w:rPr>
        <w:t>may be pursuing multiple degrees or may be in a doctoral pro</w:t>
      </w:r>
      <w:r w:rsidR="006A538D">
        <w:rPr>
          <w:rFonts w:ascii="Times New Roman" w:hAnsi="Times New Roman" w:cs="Times New Roman"/>
        </w:rPr>
        <w:t>g</w:t>
      </w:r>
      <w:r w:rsidRPr="00D004E8">
        <w:rPr>
          <w:rFonts w:ascii="Times New Roman" w:hAnsi="Times New Roman" w:cs="Times New Roman"/>
        </w:rPr>
        <w:t>ram that started as a master's</w:t>
      </w:r>
      <w:r w:rsidR="006A538D">
        <w:rPr>
          <w:rFonts w:ascii="Times New Roman" w:hAnsi="Times New Roman" w:cs="Times New Roman"/>
        </w:rPr>
        <w:t xml:space="preserve"> which is not reflected in the NSC data</w:t>
      </w:r>
      <w:r w:rsidRPr="00D004E8">
        <w:rPr>
          <w:rFonts w:ascii="Times New Roman" w:hAnsi="Times New Roman" w:cs="Times New Roman"/>
        </w:rPr>
        <w:t>.</w:t>
      </w:r>
    </w:p>
    <w:p w:rsidR="00703DED" w:rsidRPr="00D004E8" w:rsidP="00D004E8" w14:paraId="7CA8F643" w14:textId="77777777">
      <w:pPr>
        <w:rPr>
          <w:rFonts w:ascii="Times New Roman" w:hAnsi="Times New Roman" w:cs="Times New Roman"/>
        </w:rPr>
      </w:pPr>
    </w:p>
    <w:p w:rsidR="004C64FB" w:rsidP="00FA3877" w14:paraId="4430DC2F" w14:textId="35131954">
      <w:pPr>
        <w:pStyle w:val="Heading2"/>
      </w:pPr>
      <w:r>
        <w:t>NSC by f</w:t>
      </w:r>
      <w:r w:rsidR="00D15579">
        <w:t xml:space="preserve">ield and </w:t>
      </w:r>
      <w:r w:rsidR="00FA3877">
        <w:t>degree level</w:t>
      </w:r>
    </w:p>
    <w:p w:rsidR="00AC30C5" w:rsidP="00E0289C" w14:paraId="38F8C66D" w14:textId="5AE2D1CF">
      <w:pPr>
        <w:rPr>
          <w:rFonts w:ascii="Times New Roman" w:hAnsi="Times New Roman" w:cs="Times New Roman"/>
        </w:rPr>
      </w:pPr>
      <w:r>
        <w:rPr>
          <w:rFonts w:ascii="Times New Roman" w:hAnsi="Times New Roman" w:cs="Times New Roman"/>
        </w:rPr>
        <w:t xml:space="preserve">Table </w:t>
      </w:r>
      <w:r w:rsidR="0036778A">
        <w:rPr>
          <w:rFonts w:ascii="Times New Roman" w:hAnsi="Times New Roman" w:cs="Times New Roman"/>
        </w:rPr>
        <w:t>6</w:t>
      </w:r>
      <w:r>
        <w:rPr>
          <w:rFonts w:ascii="Times New Roman" w:hAnsi="Times New Roman" w:cs="Times New Roman"/>
        </w:rPr>
        <w:t xml:space="preserve"> </w:t>
      </w:r>
      <w:r w:rsidR="007A47C9">
        <w:rPr>
          <w:rFonts w:ascii="Times New Roman" w:hAnsi="Times New Roman" w:cs="Times New Roman"/>
        </w:rPr>
        <w:t xml:space="preserve">details NSC graduate enrollment in </w:t>
      </w:r>
      <w:r w:rsidR="00575613">
        <w:rPr>
          <w:rFonts w:ascii="Times New Roman" w:hAnsi="Times New Roman" w:cs="Times New Roman"/>
        </w:rPr>
        <w:t xml:space="preserve">AY 21-22 </w:t>
      </w:r>
      <w:r w:rsidR="007A47C9">
        <w:rPr>
          <w:rFonts w:ascii="Times New Roman" w:hAnsi="Times New Roman" w:cs="Times New Roman"/>
        </w:rPr>
        <w:t>by</w:t>
      </w:r>
      <w:r w:rsidR="0088288A">
        <w:rPr>
          <w:rFonts w:ascii="Times New Roman" w:hAnsi="Times New Roman" w:cs="Times New Roman"/>
        </w:rPr>
        <w:t xml:space="preserve"> degree level and </w:t>
      </w:r>
      <w:r w:rsidR="00575613">
        <w:rPr>
          <w:rFonts w:ascii="Times New Roman" w:hAnsi="Times New Roman" w:cs="Times New Roman"/>
        </w:rPr>
        <w:t>GSS field and institution level eligibility</w:t>
      </w:r>
      <w:r w:rsidR="00A54A90">
        <w:rPr>
          <w:rFonts w:ascii="Times New Roman" w:hAnsi="Times New Roman" w:cs="Times New Roman"/>
        </w:rPr>
        <w:t xml:space="preserve"> and </w:t>
      </w:r>
      <w:r w:rsidR="00193926">
        <w:rPr>
          <w:rFonts w:ascii="Times New Roman" w:hAnsi="Times New Roman" w:cs="Times New Roman"/>
        </w:rPr>
        <w:t>shows that the NSC data are much broader than the GSS data</w:t>
      </w:r>
      <w:r w:rsidR="00334517">
        <w:rPr>
          <w:rFonts w:ascii="Times New Roman" w:hAnsi="Times New Roman" w:cs="Times New Roman"/>
        </w:rPr>
        <w:t xml:space="preserve">. If NCSES wants to expand the fame, </w:t>
      </w:r>
      <w:r w:rsidR="004520CF">
        <w:rPr>
          <w:rFonts w:ascii="Times New Roman" w:hAnsi="Times New Roman" w:cs="Times New Roman"/>
        </w:rPr>
        <w:t xml:space="preserve">NSC data </w:t>
      </w:r>
      <w:r w:rsidR="00334517">
        <w:rPr>
          <w:rFonts w:ascii="Times New Roman" w:hAnsi="Times New Roman" w:cs="Times New Roman"/>
        </w:rPr>
        <w:t>could be</w:t>
      </w:r>
      <w:r w:rsidR="004520CF">
        <w:rPr>
          <w:rFonts w:ascii="Times New Roman" w:hAnsi="Times New Roman" w:cs="Times New Roman"/>
        </w:rPr>
        <w:t xml:space="preserve"> useful </w:t>
      </w:r>
      <w:r w:rsidR="00C02D61">
        <w:rPr>
          <w:rFonts w:ascii="Times New Roman" w:hAnsi="Times New Roman" w:cs="Times New Roman"/>
        </w:rPr>
        <w:t>as a frame for a potential graduate student survey</w:t>
      </w:r>
      <w:r w:rsidR="0088288A">
        <w:rPr>
          <w:rFonts w:ascii="Times New Roman" w:hAnsi="Times New Roman" w:cs="Times New Roman"/>
        </w:rPr>
        <w:t xml:space="preserve">. </w:t>
      </w:r>
      <w:bookmarkStart w:id="0" w:name="_Hlk190149261"/>
      <w:r w:rsidR="00735A6B">
        <w:rPr>
          <w:rFonts w:ascii="Times New Roman" w:hAnsi="Times New Roman" w:cs="Times New Roman"/>
        </w:rPr>
        <w:t xml:space="preserve">Note that the overall number of graduate students in this table is slightly higher than </w:t>
      </w:r>
      <w:r w:rsidR="00DD3A16">
        <w:rPr>
          <w:rFonts w:ascii="Times New Roman" w:hAnsi="Times New Roman" w:cs="Times New Roman"/>
        </w:rPr>
        <w:t>in table 4</w:t>
      </w:r>
      <w:r w:rsidR="00335F30">
        <w:rPr>
          <w:rFonts w:ascii="Times New Roman" w:hAnsi="Times New Roman" w:cs="Times New Roman"/>
        </w:rPr>
        <w:t>,</w:t>
      </w:r>
      <w:r w:rsidR="00DD3A16">
        <w:rPr>
          <w:rFonts w:ascii="Times New Roman" w:hAnsi="Times New Roman" w:cs="Times New Roman"/>
        </w:rPr>
        <w:t xml:space="preserve"> </w:t>
      </w:r>
      <w:r w:rsidR="004B1917">
        <w:rPr>
          <w:rFonts w:ascii="Times New Roman" w:hAnsi="Times New Roman" w:cs="Times New Roman"/>
        </w:rPr>
        <w:t>as it includes doctoral student</w:t>
      </w:r>
      <w:r w:rsidR="00334517">
        <w:rPr>
          <w:rFonts w:ascii="Times New Roman" w:hAnsi="Times New Roman" w:cs="Times New Roman"/>
        </w:rPr>
        <w:t>s</w:t>
      </w:r>
      <w:r w:rsidR="004B1917">
        <w:rPr>
          <w:rFonts w:ascii="Times New Roman" w:hAnsi="Times New Roman" w:cs="Times New Roman"/>
        </w:rPr>
        <w:t xml:space="preserve"> enrolled </w:t>
      </w:r>
      <w:r w:rsidR="00FC4FA2">
        <w:rPr>
          <w:rFonts w:ascii="Times New Roman" w:hAnsi="Times New Roman" w:cs="Times New Roman"/>
        </w:rPr>
        <w:t>after the fall</w:t>
      </w:r>
      <w:r w:rsidR="00C77B6A">
        <w:rPr>
          <w:rFonts w:ascii="Times New Roman" w:hAnsi="Times New Roman" w:cs="Times New Roman"/>
        </w:rPr>
        <w:t>—something RTI did not request</w:t>
      </w:r>
      <w:r w:rsidR="00FC4FA2">
        <w:rPr>
          <w:rFonts w:ascii="Times New Roman" w:hAnsi="Times New Roman" w:cs="Times New Roman"/>
        </w:rPr>
        <w:t xml:space="preserve">. </w:t>
      </w:r>
      <w:r w:rsidR="00C77B6A">
        <w:rPr>
          <w:rFonts w:ascii="Times New Roman" w:hAnsi="Times New Roman" w:cs="Times New Roman"/>
        </w:rPr>
        <w:t xml:space="preserve">The failure to adhere to the specifications </w:t>
      </w:r>
      <w:r w:rsidR="00C77B6A">
        <w:rPr>
          <w:rFonts w:ascii="Times New Roman" w:hAnsi="Times New Roman" w:cs="Times New Roman"/>
        </w:rPr>
        <w:t>of the data request</w:t>
      </w:r>
      <w:r w:rsidR="00E16A81">
        <w:rPr>
          <w:rFonts w:ascii="Times New Roman" w:hAnsi="Times New Roman" w:cs="Times New Roman"/>
        </w:rPr>
        <w:t xml:space="preserve"> represents a data quality issue and limits comparability </w:t>
      </w:r>
      <w:r w:rsidR="00181E19">
        <w:rPr>
          <w:rFonts w:ascii="Times New Roman" w:hAnsi="Times New Roman" w:cs="Times New Roman"/>
        </w:rPr>
        <w:t>to the GSS which includes only those enrolled in the fall.</w:t>
      </w:r>
      <w:r w:rsidR="00575613">
        <w:rPr>
          <w:rFonts w:ascii="Times New Roman" w:hAnsi="Times New Roman" w:cs="Times New Roman"/>
        </w:rPr>
        <w:t xml:space="preserve"> </w:t>
      </w:r>
    </w:p>
    <w:bookmarkEnd w:id="0"/>
    <w:p w:rsidR="00AC30C5" w:rsidP="00E0289C" w14:paraId="717BEA10" w14:textId="77777777">
      <w:pPr>
        <w:rPr>
          <w:rFonts w:ascii="Times New Roman" w:hAnsi="Times New Roman" w:cs="Times New Roman"/>
        </w:rPr>
      </w:pPr>
    </w:p>
    <w:p w:rsidR="00AC30C5" w:rsidP="00AC30C5" w14:paraId="39CF6C10" w14:textId="0B8632FE">
      <w:pPr>
        <w:rPr>
          <w:rFonts w:ascii="Times New Roman" w:hAnsi="Times New Roman" w:cs="Times New Roman"/>
        </w:rPr>
      </w:pPr>
      <w:r>
        <w:rPr>
          <w:rFonts w:ascii="Times New Roman" w:hAnsi="Times New Roman" w:cs="Times New Roman"/>
        </w:rPr>
        <w:t xml:space="preserve">&lt;Table </w:t>
      </w:r>
      <w:r w:rsidR="0036778A">
        <w:rPr>
          <w:rFonts w:ascii="Times New Roman" w:hAnsi="Times New Roman" w:cs="Times New Roman"/>
        </w:rPr>
        <w:t>6</w:t>
      </w:r>
      <w:r>
        <w:rPr>
          <w:rFonts w:ascii="Times New Roman" w:hAnsi="Times New Roman" w:cs="Times New Roman"/>
        </w:rPr>
        <w:t xml:space="preserve"> (see attached excel file) &gt; </w:t>
      </w:r>
    </w:p>
    <w:p w:rsidR="00E0289C" w:rsidRPr="00E0289C" w:rsidP="00E0289C" w14:paraId="16641063" w14:textId="6AD110BC">
      <w:pPr>
        <w:rPr>
          <w:rFonts w:ascii="Times New Roman" w:hAnsi="Times New Roman" w:cs="Times New Roman"/>
        </w:rPr>
      </w:pP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p>
    <w:p w:rsidR="00A930A9" w:rsidP="00E0289C" w14:paraId="670E78E7" w14:textId="38AB5D0D">
      <w:pPr>
        <w:rPr>
          <w:rFonts w:ascii="Times New Roman" w:hAnsi="Times New Roman" w:cs="Times New Roman"/>
        </w:rPr>
      </w:pPr>
      <w:r>
        <w:rPr>
          <w:rFonts w:ascii="Times New Roman" w:hAnsi="Times New Roman" w:cs="Times New Roman"/>
        </w:rPr>
        <w:t>In the NSC data, f</w:t>
      </w:r>
      <w:r w:rsidRPr="00E0289C" w:rsidR="00E0289C">
        <w:rPr>
          <w:rFonts w:ascii="Times New Roman" w:hAnsi="Times New Roman" w:cs="Times New Roman"/>
        </w:rPr>
        <w:t>ield of study is available for almost all graduate</w:t>
      </w:r>
      <w:r w:rsidR="00293908">
        <w:rPr>
          <w:rFonts w:ascii="Times New Roman" w:hAnsi="Times New Roman" w:cs="Times New Roman"/>
        </w:rPr>
        <w:t xml:space="preserve"> students</w:t>
      </w:r>
      <w:r w:rsidR="00DC2281">
        <w:rPr>
          <w:rFonts w:ascii="Times New Roman" w:hAnsi="Times New Roman" w:cs="Times New Roman"/>
        </w:rPr>
        <w:t>. M</w:t>
      </w:r>
      <w:r w:rsidRPr="00E0289C" w:rsidR="00E0289C">
        <w:rPr>
          <w:rFonts w:ascii="Times New Roman" w:hAnsi="Times New Roman" w:cs="Times New Roman"/>
        </w:rPr>
        <w:t xml:space="preserve">ost </w:t>
      </w:r>
      <w:r>
        <w:rPr>
          <w:rFonts w:ascii="Times New Roman" w:hAnsi="Times New Roman" w:cs="Times New Roman"/>
        </w:rPr>
        <w:t xml:space="preserve">graduate students </w:t>
      </w:r>
      <w:r w:rsidRPr="00E0289C" w:rsidR="00E0289C">
        <w:rPr>
          <w:rFonts w:ascii="Times New Roman" w:hAnsi="Times New Roman" w:cs="Times New Roman"/>
        </w:rPr>
        <w:t xml:space="preserve">(68.5%) </w:t>
      </w:r>
      <w:r>
        <w:rPr>
          <w:rFonts w:ascii="Times New Roman" w:hAnsi="Times New Roman" w:cs="Times New Roman"/>
        </w:rPr>
        <w:t>were</w:t>
      </w:r>
      <w:r w:rsidRPr="00E0289C" w:rsidR="00E0289C">
        <w:rPr>
          <w:rFonts w:ascii="Times New Roman" w:hAnsi="Times New Roman" w:cs="Times New Roman"/>
        </w:rPr>
        <w:t xml:space="preserve"> pursuing degrees in non-GSS eligible fields</w:t>
      </w:r>
      <w:r w:rsidR="00DC2281">
        <w:rPr>
          <w:rFonts w:ascii="Times New Roman" w:hAnsi="Times New Roman" w:cs="Times New Roman"/>
        </w:rPr>
        <w:t xml:space="preserve">, and </w:t>
      </w:r>
      <w:r w:rsidRPr="00E0289C" w:rsidR="00E0289C">
        <w:rPr>
          <w:rFonts w:ascii="Times New Roman" w:hAnsi="Times New Roman" w:cs="Times New Roman"/>
        </w:rPr>
        <w:t xml:space="preserve">just over half </w:t>
      </w:r>
      <w:r w:rsidR="00F512C5">
        <w:rPr>
          <w:rFonts w:ascii="Times New Roman" w:hAnsi="Times New Roman" w:cs="Times New Roman"/>
        </w:rPr>
        <w:t>(</w:t>
      </w:r>
      <w:r w:rsidRPr="00E0289C" w:rsidR="00E0289C">
        <w:rPr>
          <w:rFonts w:ascii="Times New Roman" w:hAnsi="Times New Roman" w:cs="Times New Roman"/>
        </w:rPr>
        <w:t>2.5 million of the almost 5 million graduate students</w:t>
      </w:r>
      <w:r w:rsidR="00F512C5">
        <w:rPr>
          <w:rFonts w:ascii="Times New Roman" w:hAnsi="Times New Roman" w:cs="Times New Roman"/>
        </w:rPr>
        <w:t xml:space="preserve"> in AY21-22) </w:t>
      </w:r>
      <w:r w:rsidR="001F0836">
        <w:rPr>
          <w:rFonts w:ascii="Times New Roman" w:hAnsi="Times New Roman" w:cs="Times New Roman"/>
        </w:rPr>
        <w:t>we</w:t>
      </w:r>
      <w:r w:rsidRPr="00E0289C" w:rsidR="00E0289C">
        <w:rPr>
          <w:rFonts w:ascii="Times New Roman" w:hAnsi="Times New Roman" w:cs="Times New Roman"/>
        </w:rPr>
        <w:t xml:space="preserve">re pursuing non-SEH </w:t>
      </w:r>
      <w:r w:rsidR="001632CF">
        <w:rPr>
          <w:rFonts w:ascii="Times New Roman" w:hAnsi="Times New Roman" w:cs="Times New Roman"/>
        </w:rPr>
        <w:t xml:space="preserve">related </w:t>
      </w:r>
      <w:r w:rsidRPr="00E0289C" w:rsidR="00E0289C">
        <w:rPr>
          <w:rFonts w:ascii="Times New Roman" w:hAnsi="Times New Roman" w:cs="Times New Roman"/>
        </w:rPr>
        <w:t>degree</w:t>
      </w:r>
      <w:r w:rsidR="00F512C5">
        <w:rPr>
          <w:rFonts w:ascii="Times New Roman" w:hAnsi="Times New Roman" w:cs="Times New Roman"/>
        </w:rPr>
        <w:t>s</w:t>
      </w:r>
      <w:r w:rsidR="00394364">
        <w:rPr>
          <w:rFonts w:ascii="Times New Roman" w:hAnsi="Times New Roman" w:cs="Times New Roman"/>
        </w:rPr>
        <w:t xml:space="preserve">. </w:t>
      </w:r>
      <w:r w:rsidRPr="00E0289C" w:rsidR="00E0289C">
        <w:rPr>
          <w:rFonts w:ascii="Times New Roman" w:hAnsi="Times New Roman" w:cs="Times New Roman"/>
        </w:rPr>
        <w:t xml:space="preserve">Among doctoral students, the majority (57.4%) </w:t>
      </w:r>
      <w:r w:rsidR="001F0836">
        <w:rPr>
          <w:rFonts w:ascii="Times New Roman" w:hAnsi="Times New Roman" w:cs="Times New Roman"/>
        </w:rPr>
        <w:t>wer</w:t>
      </w:r>
      <w:r w:rsidRPr="00E0289C" w:rsidR="00E0289C">
        <w:rPr>
          <w:rFonts w:ascii="Times New Roman" w:hAnsi="Times New Roman" w:cs="Times New Roman"/>
        </w:rPr>
        <w:t xml:space="preserve">e in GSS eligible SEH programs, but only 72.1% of these students </w:t>
      </w:r>
      <w:r w:rsidR="001F0836">
        <w:rPr>
          <w:rFonts w:ascii="Times New Roman" w:hAnsi="Times New Roman" w:cs="Times New Roman"/>
        </w:rPr>
        <w:t>were</w:t>
      </w:r>
      <w:r w:rsidRPr="00E0289C" w:rsidR="00E0289C">
        <w:rPr>
          <w:rFonts w:ascii="Times New Roman" w:hAnsi="Times New Roman" w:cs="Times New Roman"/>
        </w:rPr>
        <w:t xml:space="preserve"> in GSS-eligible institutions. </w:t>
      </w:r>
      <w:r w:rsidR="00097E4D">
        <w:rPr>
          <w:rFonts w:ascii="Times New Roman" w:hAnsi="Times New Roman" w:cs="Times New Roman"/>
        </w:rPr>
        <w:t xml:space="preserve">Among </w:t>
      </w:r>
      <w:r w:rsidR="00335F30">
        <w:rPr>
          <w:rFonts w:ascii="Times New Roman" w:hAnsi="Times New Roman" w:cs="Times New Roman"/>
        </w:rPr>
        <w:t>master’s</w:t>
      </w:r>
      <w:r w:rsidR="00CC77CF">
        <w:rPr>
          <w:rFonts w:ascii="Times New Roman" w:hAnsi="Times New Roman" w:cs="Times New Roman"/>
        </w:rPr>
        <w:t xml:space="preserve"> student</w:t>
      </w:r>
      <w:r w:rsidR="00FB1151">
        <w:rPr>
          <w:rFonts w:ascii="Times New Roman" w:hAnsi="Times New Roman" w:cs="Times New Roman"/>
        </w:rPr>
        <w:t xml:space="preserve">s, these statistics declined to 34.0% and </w:t>
      </w:r>
      <w:r w:rsidR="00B51950">
        <w:rPr>
          <w:rFonts w:ascii="Times New Roman" w:hAnsi="Times New Roman" w:cs="Times New Roman"/>
        </w:rPr>
        <w:t>67.7%.</w:t>
      </w:r>
      <w:r w:rsidR="00DA1E4C">
        <w:rPr>
          <w:rFonts w:ascii="Times New Roman" w:hAnsi="Times New Roman" w:cs="Times New Roman"/>
        </w:rPr>
        <w:t xml:space="preserve"> W</w:t>
      </w:r>
      <w:r w:rsidRPr="00E0289C" w:rsidR="00E0289C">
        <w:rPr>
          <w:rFonts w:ascii="Times New Roman" w:hAnsi="Times New Roman" w:cs="Times New Roman"/>
        </w:rPr>
        <w:t xml:space="preserve">hile it would be useful to look at these data at the institutional level to determine if there are GSS eligible programs outside the GSS institutional universe, it is likely given the frame updating activities undertaken </w:t>
      </w:r>
      <w:r w:rsidR="00DA1E4C">
        <w:rPr>
          <w:rFonts w:ascii="Times New Roman" w:hAnsi="Times New Roman" w:cs="Times New Roman"/>
        </w:rPr>
        <w:t>annually within the GSS</w:t>
      </w:r>
      <w:r w:rsidR="00957ADD">
        <w:rPr>
          <w:rFonts w:ascii="Times New Roman" w:hAnsi="Times New Roman" w:cs="Times New Roman"/>
        </w:rPr>
        <w:t xml:space="preserve"> contract </w:t>
      </w:r>
      <w:r w:rsidRPr="00E0289C" w:rsidR="00E0289C">
        <w:rPr>
          <w:rFonts w:ascii="Times New Roman" w:hAnsi="Times New Roman" w:cs="Times New Roman"/>
        </w:rPr>
        <w:t xml:space="preserve">that the </w:t>
      </w:r>
      <w:r w:rsidR="00957ADD">
        <w:rPr>
          <w:rFonts w:ascii="Times New Roman" w:hAnsi="Times New Roman" w:cs="Times New Roman"/>
        </w:rPr>
        <w:t xml:space="preserve">vast </w:t>
      </w:r>
      <w:r w:rsidRPr="00E0289C" w:rsidR="00E0289C">
        <w:rPr>
          <w:rFonts w:ascii="Times New Roman" w:hAnsi="Times New Roman" w:cs="Times New Roman"/>
        </w:rPr>
        <w:t xml:space="preserve">majority of these doctoral </w:t>
      </w:r>
      <w:r w:rsidR="00957ADD">
        <w:rPr>
          <w:rFonts w:ascii="Times New Roman" w:hAnsi="Times New Roman" w:cs="Times New Roman"/>
        </w:rPr>
        <w:t>and master’s s</w:t>
      </w:r>
      <w:r w:rsidRPr="00E0289C" w:rsidR="00E0289C">
        <w:rPr>
          <w:rFonts w:ascii="Times New Roman" w:hAnsi="Times New Roman" w:cs="Times New Roman"/>
        </w:rPr>
        <w:t xml:space="preserve">tudents are in professional or clinical doctoral programs that are not eligible for the GSS or are in other types of programs that </w:t>
      </w:r>
      <w:r w:rsidR="00957ADD">
        <w:rPr>
          <w:rFonts w:ascii="Times New Roman" w:hAnsi="Times New Roman" w:cs="Times New Roman"/>
        </w:rPr>
        <w:t xml:space="preserve">are misclassified as </w:t>
      </w:r>
      <w:r w:rsidRPr="00E0289C" w:rsidR="00E0289C">
        <w:rPr>
          <w:rFonts w:ascii="Times New Roman" w:hAnsi="Times New Roman" w:cs="Times New Roman"/>
        </w:rPr>
        <w:t xml:space="preserve">research doctoral </w:t>
      </w:r>
      <w:r w:rsidR="00957ADD">
        <w:rPr>
          <w:rFonts w:ascii="Times New Roman" w:hAnsi="Times New Roman" w:cs="Times New Roman"/>
        </w:rPr>
        <w:t xml:space="preserve">or master’s </w:t>
      </w:r>
      <w:r w:rsidRPr="00E0289C" w:rsidR="00E0289C">
        <w:rPr>
          <w:rFonts w:ascii="Times New Roman" w:hAnsi="Times New Roman" w:cs="Times New Roman"/>
        </w:rPr>
        <w:t xml:space="preserve">programs (see table </w:t>
      </w:r>
      <w:r w:rsidR="00FC6D96">
        <w:rPr>
          <w:rFonts w:ascii="Times New Roman" w:hAnsi="Times New Roman" w:cs="Times New Roman"/>
        </w:rPr>
        <w:t xml:space="preserve">3 </w:t>
      </w:r>
      <w:r w:rsidRPr="00E0289C" w:rsidR="00E0289C">
        <w:rPr>
          <w:rFonts w:ascii="Times New Roman" w:hAnsi="Times New Roman" w:cs="Times New Roman"/>
        </w:rPr>
        <w:t>above).</w:t>
      </w:r>
      <w:r w:rsidRPr="00E0289C" w:rsidR="00E0289C">
        <w:rPr>
          <w:rFonts w:ascii="Times New Roman" w:hAnsi="Times New Roman" w:cs="Times New Roman"/>
        </w:rPr>
        <w:tab/>
      </w:r>
      <w:r w:rsidRPr="00E0289C" w:rsidR="00E0289C">
        <w:rPr>
          <w:rFonts w:ascii="Times New Roman" w:hAnsi="Times New Roman" w:cs="Times New Roman"/>
        </w:rPr>
        <w:tab/>
      </w:r>
    </w:p>
    <w:p w:rsidR="006A538D" w:rsidP="00E0289C" w14:paraId="44B4D4EB" w14:textId="6E204546">
      <w:pPr>
        <w:rPr>
          <w:rFonts w:ascii="Times New Roman" w:hAnsi="Times New Roman" w:cs="Times New Roman"/>
        </w:rPr>
      </w:pP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r w:rsidRPr="00E0289C">
        <w:rPr>
          <w:rFonts w:ascii="Times New Roman" w:hAnsi="Times New Roman" w:cs="Times New Roman"/>
        </w:rPr>
        <w:tab/>
      </w:r>
    </w:p>
    <w:p w:rsidR="00A930A9" w:rsidP="00A930A9" w14:paraId="3141141B" w14:textId="7774C5AF">
      <w:pPr>
        <w:pStyle w:val="Heading2"/>
      </w:pPr>
      <w:r>
        <w:t xml:space="preserve">Comparison to GSS </w:t>
      </w:r>
      <w:r w:rsidR="00885C06">
        <w:t xml:space="preserve">by broad </w:t>
      </w:r>
      <w:r>
        <w:t>field</w:t>
      </w:r>
    </w:p>
    <w:p w:rsidR="003A3306" w:rsidP="00F46A7E" w14:paraId="09E18E7D" w14:textId="3FF66A50">
      <w:pPr>
        <w:rPr>
          <w:rFonts w:ascii="Times New Roman" w:hAnsi="Times New Roman" w:cs="Times New Roman"/>
        </w:rPr>
      </w:pPr>
      <w:r>
        <w:rPr>
          <w:rFonts w:ascii="Times New Roman" w:hAnsi="Times New Roman" w:cs="Times New Roman"/>
        </w:rPr>
        <w:t xml:space="preserve">Table 7 </w:t>
      </w:r>
      <w:r w:rsidR="00EB63DB">
        <w:rPr>
          <w:rFonts w:ascii="Times New Roman" w:hAnsi="Times New Roman" w:cs="Times New Roman"/>
        </w:rPr>
        <w:t xml:space="preserve">compares </w:t>
      </w:r>
      <w:r w:rsidR="00F01A24">
        <w:rPr>
          <w:rFonts w:ascii="Times New Roman" w:hAnsi="Times New Roman" w:cs="Times New Roman"/>
        </w:rPr>
        <w:t xml:space="preserve">GSS and NSC </w:t>
      </w:r>
      <w:r w:rsidR="002870B1">
        <w:rPr>
          <w:rFonts w:ascii="Times New Roman" w:hAnsi="Times New Roman" w:cs="Times New Roman"/>
        </w:rPr>
        <w:t xml:space="preserve">doctoral and master’s student enrollment counts </w:t>
      </w:r>
      <w:r w:rsidR="008F35DA">
        <w:rPr>
          <w:rFonts w:ascii="Times New Roman" w:hAnsi="Times New Roman" w:cs="Times New Roman"/>
        </w:rPr>
        <w:t xml:space="preserve">within GSS eligible institutions and GSS eligible fields </w:t>
      </w:r>
      <w:r w:rsidR="002870B1">
        <w:rPr>
          <w:rFonts w:ascii="Times New Roman" w:hAnsi="Times New Roman" w:cs="Times New Roman"/>
        </w:rPr>
        <w:t xml:space="preserve">by broad field. </w:t>
      </w:r>
      <w:r w:rsidR="00F01A24">
        <w:rPr>
          <w:rFonts w:ascii="Times New Roman" w:hAnsi="Times New Roman" w:cs="Times New Roman"/>
        </w:rPr>
        <w:t xml:space="preserve">This analysis uses the </w:t>
      </w:r>
      <w:r w:rsidR="00012599">
        <w:rPr>
          <w:rFonts w:ascii="Times New Roman" w:hAnsi="Times New Roman" w:cs="Times New Roman"/>
        </w:rPr>
        <w:t xml:space="preserve">2021 GSS data </w:t>
      </w:r>
      <w:r w:rsidR="00F01A24">
        <w:rPr>
          <w:rFonts w:ascii="Times New Roman" w:hAnsi="Times New Roman" w:cs="Times New Roman"/>
        </w:rPr>
        <w:t xml:space="preserve">as they </w:t>
      </w:r>
      <w:r w:rsidR="00012599">
        <w:rPr>
          <w:rFonts w:ascii="Times New Roman" w:hAnsi="Times New Roman" w:cs="Times New Roman"/>
        </w:rPr>
        <w:t xml:space="preserve">are most comparable to the NSC data as they reflect </w:t>
      </w:r>
      <w:r w:rsidR="004A7CB4">
        <w:rPr>
          <w:rFonts w:ascii="Times New Roman" w:hAnsi="Times New Roman" w:cs="Times New Roman"/>
        </w:rPr>
        <w:t>Fall 2021 enrollments. As noted abo</w:t>
      </w:r>
      <w:r w:rsidR="00AF09B5">
        <w:rPr>
          <w:rFonts w:ascii="Times New Roman" w:hAnsi="Times New Roman" w:cs="Times New Roman"/>
        </w:rPr>
        <w:t>ve,</w:t>
      </w:r>
      <w:r w:rsidR="004A7CB4">
        <w:rPr>
          <w:rFonts w:ascii="Times New Roman" w:hAnsi="Times New Roman" w:cs="Times New Roman"/>
        </w:rPr>
        <w:t xml:space="preserve"> the NSC enrollment data </w:t>
      </w:r>
      <w:r w:rsidR="000A609E">
        <w:rPr>
          <w:rFonts w:ascii="Times New Roman" w:hAnsi="Times New Roman" w:cs="Times New Roman"/>
        </w:rPr>
        <w:t>includes all enrollments in the 20</w:t>
      </w:r>
      <w:r w:rsidR="005D07D6">
        <w:rPr>
          <w:rFonts w:ascii="Times New Roman" w:hAnsi="Times New Roman" w:cs="Times New Roman"/>
        </w:rPr>
        <w:t>21-22 AY so should be higher than the GSS counts. Wh</w:t>
      </w:r>
      <w:r w:rsidR="002D1D6F">
        <w:rPr>
          <w:rFonts w:ascii="Times New Roman" w:hAnsi="Times New Roman" w:cs="Times New Roman"/>
        </w:rPr>
        <w:t xml:space="preserve">ile this is true </w:t>
      </w:r>
      <w:r w:rsidR="008549E5">
        <w:rPr>
          <w:rFonts w:ascii="Times New Roman" w:hAnsi="Times New Roman" w:cs="Times New Roman"/>
        </w:rPr>
        <w:t xml:space="preserve">for master’s </w:t>
      </w:r>
      <w:r w:rsidR="00966C57">
        <w:rPr>
          <w:rFonts w:ascii="Times New Roman" w:hAnsi="Times New Roman" w:cs="Times New Roman"/>
        </w:rPr>
        <w:t xml:space="preserve">level </w:t>
      </w:r>
      <w:r w:rsidR="00FF4C63">
        <w:rPr>
          <w:rFonts w:ascii="Times New Roman" w:hAnsi="Times New Roman" w:cs="Times New Roman"/>
        </w:rPr>
        <w:t>enrollment,</w:t>
      </w:r>
      <w:r w:rsidR="00EE6D65">
        <w:rPr>
          <w:rFonts w:ascii="Times New Roman" w:hAnsi="Times New Roman" w:cs="Times New Roman"/>
        </w:rPr>
        <w:t xml:space="preserve"> it is </w:t>
      </w:r>
      <w:r w:rsidR="00966C57">
        <w:rPr>
          <w:rFonts w:ascii="Times New Roman" w:hAnsi="Times New Roman" w:cs="Times New Roman"/>
        </w:rPr>
        <w:t xml:space="preserve">only </w:t>
      </w:r>
      <w:r w:rsidR="00EE6D65">
        <w:rPr>
          <w:rFonts w:ascii="Times New Roman" w:hAnsi="Times New Roman" w:cs="Times New Roman"/>
        </w:rPr>
        <w:t xml:space="preserve">true for a few </w:t>
      </w:r>
      <w:r w:rsidR="004F4B14">
        <w:rPr>
          <w:rFonts w:ascii="Times New Roman" w:hAnsi="Times New Roman" w:cs="Times New Roman"/>
        </w:rPr>
        <w:t>doctoral fields</w:t>
      </w:r>
      <w:r w:rsidR="00776E7E">
        <w:rPr>
          <w:rFonts w:ascii="Times New Roman" w:hAnsi="Times New Roman" w:cs="Times New Roman"/>
        </w:rPr>
        <w:t xml:space="preserve">. </w:t>
      </w:r>
      <w:r w:rsidR="00376EDE">
        <w:rPr>
          <w:rFonts w:ascii="Times New Roman" w:hAnsi="Times New Roman" w:cs="Times New Roman"/>
        </w:rPr>
        <w:t xml:space="preserve">That the NSC </w:t>
      </w:r>
      <w:r w:rsidR="00665747">
        <w:rPr>
          <w:rFonts w:ascii="Times New Roman" w:hAnsi="Times New Roman" w:cs="Times New Roman"/>
        </w:rPr>
        <w:t xml:space="preserve">enrollment counts in </w:t>
      </w:r>
      <w:r w:rsidR="00C912B9">
        <w:rPr>
          <w:rFonts w:ascii="Times New Roman" w:hAnsi="Times New Roman" w:cs="Times New Roman"/>
        </w:rPr>
        <w:t xml:space="preserve">psychology and health </w:t>
      </w:r>
      <w:r w:rsidR="00376EDE">
        <w:rPr>
          <w:rFonts w:ascii="Times New Roman" w:hAnsi="Times New Roman" w:cs="Times New Roman"/>
        </w:rPr>
        <w:t>are so much h</w:t>
      </w:r>
      <w:r w:rsidR="00673C48">
        <w:rPr>
          <w:rFonts w:ascii="Times New Roman" w:hAnsi="Times New Roman" w:cs="Times New Roman"/>
        </w:rPr>
        <w:t>i</w:t>
      </w:r>
      <w:r w:rsidR="00376EDE">
        <w:rPr>
          <w:rFonts w:ascii="Times New Roman" w:hAnsi="Times New Roman" w:cs="Times New Roman"/>
        </w:rPr>
        <w:t xml:space="preserve">gher than the GSS counts </w:t>
      </w:r>
      <w:r w:rsidR="00007B31">
        <w:rPr>
          <w:rFonts w:ascii="Times New Roman" w:hAnsi="Times New Roman" w:cs="Times New Roman"/>
        </w:rPr>
        <w:t xml:space="preserve">is </w:t>
      </w:r>
      <w:r w:rsidR="00AD1CDD">
        <w:rPr>
          <w:rFonts w:ascii="Times New Roman" w:hAnsi="Times New Roman" w:cs="Times New Roman"/>
        </w:rPr>
        <w:t>primari</w:t>
      </w:r>
      <w:r w:rsidR="00007B31">
        <w:rPr>
          <w:rFonts w:ascii="Times New Roman" w:hAnsi="Times New Roman" w:cs="Times New Roman"/>
        </w:rPr>
        <w:t xml:space="preserve">ly due to the inclusion of PsyDs and </w:t>
      </w:r>
      <w:r w:rsidR="008343B9">
        <w:rPr>
          <w:rFonts w:ascii="Times New Roman" w:hAnsi="Times New Roman" w:cs="Times New Roman"/>
        </w:rPr>
        <w:t xml:space="preserve">the clinical and professional </w:t>
      </w:r>
      <w:r w:rsidR="00B20323">
        <w:rPr>
          <w:rFonts w:ascii="Times New Roman" w:hAnsi="Times New Roman" w:cs="Times New Roman"/>
        </w:rPr>
        <w:t>health doctorates that are excluded from the GSS.</w:t>
      </w:r>
      <w:r w:rsidR="00FF4C63">
        <w:rPr>
          <w:rFonts w:ascii="Times New Roman" w:hAnsi="Times New Roman" w:cs="Times New Roman"/>
        </w:rPr>
        <w:t xml:space="preserve"> </w:t>
      </w:r>
    </w:p>
    <w:p w:rsidR="00BB59F4" w:rsidP="00BB59F4" w14:paraId="36FF896B" w14:textId="77777777">
      <w:pPr>
        <w:rPr>
          <w:rFonts w:ascii="Times New Roman" w:hAnsi="Times New Roman" w:cs="Times New Roman"/>
        </w:rPr>
      </w:pPr>
    </w:p>
    <w:p w:rsidR="00BB59F4" w:rsidP="00BB59F4" w14:paraId="0447A9BD" w14:textId="70119AB7">
      <w:pPr>
        <w:rPr>
          <w:rFonts w:ascii="Times New Roman" w:hAnsi="Times New Roman" w:cs="Times New Roman"/>
        </w:rPr>
      </w:pPr>
      <w:r>
        <w:rPr>
          <w:rFonts w:ascii="Times New Roman" w:hAnsi="Times New Roman" w:cs="Times New Roman"/>
        </w:rPr>
        <w:t xml:space="preserve">&lt;Table 7 (see attached excel file) &gt; </w:t>
      </w:r>
    </w:p>
    <w:p w:rsidR="003A3306" w:rsidP="00F46A7E" w14:paraId="59525058" w14:textId="77777777">
      <w:pPr>
        <w:rPr>
          <w:rFonts w:ascii="Times New Roman" w:hAnsi="Times New Roman" w:cs="Times New Roman"/>
        </w:rPr>
      </w:pPr>
    </w:p>
    <w:p w:rsidR="00493904" w:rsidP="00F46A7E" w14:paraId="4DBD05B4" w14:textId="711E86BB">
      <w:pPr>
        <w:rPr>
          <w:rFonts w:ascii="Times New Roman" w:hAnsi="Times New Roman" w:cs="Times New Roman"/>
        </w:rPr>
      </w:pPr>
      <w:r>
        <w:rPr>
          <w:rFonts w:ascii="Times New Roman" w:hAnsi="Times New Roman" w:cs="Times New Roman"/>
        </w:rPr>
        <w:t xml:space="preserve">If NSC could exclude those degrees, the </w:t>
      </w:r>
      <w:r w:rsidR="00B16B4D">
        <w:rPr>
          <w:rFonts w:ascii="Times New Roman" w:hAnsi="Times New Roman" w:cs="Times New Roman"/>
        </w:rPr>
        <w:t xml:space="preserve">overall counts would </w:t>
      </w:r>
      <w:r w:rsidR="00AD1CDD">
        <w:rPr>
          <w:rFonts w:ascii="Times New Roman" w:hAnsi="Times New Roman" w:cs="Times New Roman"/>
        </w:rPr>
        <w:t>be</w:t>
      </w:r>
      <w:r w:rsidR="00B16B4D">
        <w:rPr>
          <w:rFonts w:ascii="Times New Roman" w:hAnsi="Times New Roman" w:cs="Times New Roman"/>
        </w:rPr>
        <w:t xml:space="preserve"> much more comparable but still lower than the GSS data. </w:t>
      </w:r>
      <w:r w:rsidR="00A157BB">
        <w:rPr>
          <w:rFonts w:ascii="Times New Roman" w:hAnsi="Times New Roman" w:cs="Times New Roman"/>
        </w:rPr>
        <w:t xml:space="preserve">It could be that some of </w:t>
      </w:r>
      <w:r w:rsidR="006D2B01">
        <w:rPr>
          <w:rFonts w:ascii="Times New Roman" w:hAnsi="Times New Roman" w:cs="Times New Roman"/>
        </w:rPr>
        <w:t xml:space="preserve">doctorates are outside of the </w:t>
      </w:r>
      <w:r w:rsidR="00335F30">
        <w:rPr>
          <w:rFonts w:ascii="Times New Roman" w:hAnsi="Times New Roman" w:cs="Times New Roman"/>
        </w:rPr>
        <w:t>10-year</w:t>
      </w:r>
      <w:r w:rsidR="006D2B01">
        <w:rPr>
          <w:rFonts w:ascii="Times New Roman" w:hAnsi="Times New Roman" w:cs="Times New Roman"/>
        </w:rPr>
        <w:t xml:space="preserve"> window and </w:t>
      </w:r>
      <w:r w:rsidR="00A1037A">
        <w:rPr>
          <w:rFonts w:ascii="Times New Roman" w:hAnsi="Times New Roman" w:cs="Times New Roman"/>
        </w:rPr>
        <w:t>expanding to 15 years would make the counts closer,</w:t>
      </w:r>
      <w:r w:rsidR="00794C07">
        <w:rPr>
          <w:rFonts w:ascii="Times New Roman" w:hAnsi="Times New Roman" w:cs="Times New Roman"/>
        </w:rPr>
        <w:t xml:space="preserve"> but it seems equally likely that some of the students classified as master’s students in the NSC are </w:t>
      </w:r>
      <w:r w:rsidR="00AB1CF1">
        <w:rPr>
          <w:rFonts w:ascii="Times New Roman" w:hAnsi="Times New Roman" w:cs="Times New Roman"/>
        </w:rPr>
        <w:t>classified as doctoral students in the GSS data</w:t>
      </w:r>
      <w:r w:rsidR="00833EAA">
        <w:rPr>
          <w:rFonts w:ascii="Times New Roman" w:hAnsi="Times New Roman" w:cs="Times New Roman"/>
        </w:rPr>
        <w:t xml:space="preserve"> as hypothesized in the cohort level analysis above.</w:t>
      </w:r>
    </w:p>
    <w:p w:rsidR="00B90549" w:rsidP="00F46A7E" w14:paraId="197E1B32" w14:textId="77777777">
      <w:pPr>
        <w:rPr>
          <w:rFonts w:ascii="Times New Roman" w:hAnsi="Times New Roman" w:cs="Times New Roman"/>
        </w:rPr>
      </w:pPr>
    </w:p>
    <w:p w:rsidR="00EF61D0" w:rsidP="00EF61D0" w14:paraId="583B56F9" w14:textId="0EC3FC78">
      <w:pPr>
        <w:pStyle w:val="Heading2"/>
      </w:pPr>
      <w:r>
        <w:t>Comparison to GSS by</w:t>
      </w:r>
      <w:r w:rsidR="00F14BE6">
        <w:t xml:space="preserve"> demographics</w:t>
      </w:r>
      <w:r>
        <w:t xml:space="preserve"> </w:t>
      </w:r>
    </w:p>
    <w:p w:rsidR="00CA233B" w:rsidP="00F46A7E" w14:paraId="5245834B" w14:textId="1058DFC9">
      <w:pPr>
        <w:rPr>
          <w:rFonts w:ascii="Times New Roman" w:hAnsi="Times New Roman" w:cs="Times New Roman"/>
        </w:rPr>
      </w:pPr>
      <w:r>
        <w:rPr>
          <w:rFonts w:ascii="Times New Roman" w:hAnsi="Times New Roman" w:cs="Times New Roman"/>
        </w:rPr>
        <w:t xml:space="preserve">Table 8 provides a comparison of the </w:t>
      </w:r>
      <w:r w:rsidR="00495AEE">
        <w:rPr>
          <w:rFonts w:ascii="Times New Roman" w:hAnsi="Times New Roman" w:cs="Times New Roman"/>
        </w:rPr>
        <w:t xml:space="preserve">counts and distributions of the doctoral students </w:t>
      </w:r>
      <w:r w:rsidR="00593B32">
        <w:rPr>
          <w:rFonts w:ascii="Times New Roman" w:hAnsi="Times New Roman" w:cs="Times New Roman"/>
        </w:rPr>
        <w:t xml:space="preserve">by citizenship, race/ethnicity, and sex </w:t>
      </w:r>
      <w:r w:rsidR="005B0EB6">
        <w:rPr>
          <w:rFonts w:ascii="Times New Roman" w:hAnsi="Times New Roman" w:cs="Times New Roman"/>
        </w:rPr>
        <w:t xml:space="preserve">across the two NSC data requests and the 2021 GSS. </w:t>
      </w:r>
      <w:r w:rsidR="00F02E3A">
        <w:rPr>
          <w:rFonts w:ascii="Times New Roman" w:hAnsi="Times New Roman" w:cs="Times New Roman"/>
        </w:rPr>
        <w:t xml:space="preserve">This table shows that the new data request was successful in </w:t>
      </w:r>
      <w:r w:rsidR="00E32863">
        <w:rPr>
          <w:rFonts w:ascii="Times New Roman" w:hAnsi="Times New Roman" w:cs="Times New Roman"/>
        </w:rPr>
        <w:t xml:space="preserve">substantially reducing or </w:t>
      </w:r>
      <w:r w:rsidR="00C030F4">
        <w:rPr>
          <w:rFonts w:ascii="Times New Roman" w:hAnsi="Times New Roman" w:cs="Times New Roman"/>
        </w:rPr>
        <w:t xml:space="preserve">eliminating the suppression </w:t>
      </w:r>
      <w:r w:rsidR="004C2859">
        <w:rPr>
          <w:rFonts w:ascii="Times New Roman" w:hAnsi="Times New Roman" w:cs="Times New Roman"/>
        </w:rPr>
        <w:t xml:space="preserve">issues in the first NSC data </w:t>
      </w:r>
      <w:r w:rsidR="00C030F4">
        <w:rPr>
          <w:rFonts w:ascii="Times New Roman" w:hAnsi="Times New Roman" w:cs="Times New Roman"/>
        </w:rPr>
        <w:t xml:space="preserve">by requesting these data at </w:t>
      </w:r>
      <w:r w:rsidR="00D126E7">
        <w:rPr>
          <w:rFonts w:ascii="Times New Roman" w:hAnsi="Times New Roman" w:cs="Times New Roman"/>
        </w:rPr>
        <w:t xml:space="preserve">more aggregate level </w:t>
      </w:r>
      <w:r w:rsidR="00193274">
        <w:rPr>
          <w:rFonts w:ascii="Times New Roman" w:hAnsi="Times New Roman" w:cs="Times New Roman"/>
        </w:rPr>
        <w:t xml:space="preserve">(Appendix 3 provides the </w:t>
      </w:r>
      <w:r w:rsidR="00930E7F">
        <w:rPr>
          <w:rFonts w:ascii="Times New Roman" w:hAnsi="Times New Roman" w:cs="Times New Roman"/>
        </w:rPr>
        <w:t xml:space="preserve">raw NSC </w:t>
      </w:r>
      <w:r w:rsidR="00193274">
        <w:rPr>
          <w:rFonts w:ascii="Times New Roman" w:hAnsi="Times New Roman" w:cs="Times New Roman"/>
        </w:rPr>
        <w:t>count</w:t>
      </w:r>
      <w:r w:rsidR="00EB7827">
        <w:rPr>
          <w:rFonts w:ascii="Times New Roman" w:hAnsi="Times New Roman" w:cs="Times New Roman"/>
        </w:rPr>
        <w:t>s</w:t>
      </w:r>
      <w:r w:rsidR="00193274">
        <w:rPr>
          <w:rFonts w:ascii="Times New Roman" w:hAnsi="Times New Roman" w:cs="Times New Roman"/>
        </w:rPr>
        <w:t xml:space="preserve"> by </w:t>
      </w:r>
      <w:r w:rsidR="006F30B4">
        <w:rPr>
          <w:rFonts w:ascii="Times New Roman" w:hAnsi="Times New Roman" w:cs="Times New Roman"/>
        </w:rPr>
        <w:t>degree level</w:t>
      </w:r>
      <w:r w:rsidR="00D126E7">
        <w:rPr>
          <w:rFonts w:ascii="Times New Roman" w:hAnsi="Times New Roman" w:cs="Times New Roman"/>
        </w:rPr>
        <w:t xml:space="preserve"> within </w:t>
      </w:r>
      <w:r w:rsidR="00EB7827">
        <w:rPr>
          <w:rFonts w:ascii="Times New Roman" w:hAnsi="Times New Roman" w:cs="Times New Roman"/>
        </w:rPr>
        <w:t>GSS institutions</w:t>
      </w:r>
      <w:r w:rsidR="00930E7F">
        <w:rPr>
          <w:rFonts w:ascii="Times New Roman" w:hAnsi="Times New Roman" w:cs="Times New Roman"/>
        </w:rPr>
        <w:t xml:space="preserve">). </w:t>
      </w:r>
      <w:r w:rsidR="00EC00F9">
        <w:rPr>
          <w:rFonts w:ascii="Times New Roman" w:hAnsi="Times New Roman" w:cs="Times New Roman"/>
        </w:rPr>
        <w:t>However</w:t>
      </w:r>
      <w:r w:rsidR="004C2859">
        <w:rPr>
          <w:rFonts w:ascii="Times New Roman" w:hAnsi="Times New Roman" w:cs="Times New Roman"/>
        </w:rPr>
        <w:t>,</w:t>
      </w:r>
      <w:r w:rsidR="00EC00F9">
        <w:rPr>
          <w:rFonts w:ascii="Times New Roman" w:hAnsi="Times New Roman" w:cs="Times New Roman"/>
        </w:rPr>
        <w:t xml:space="preserve"> the </w:t>
      </w:r>
      <w:r w:rsidR="007509B4">
        <w:rPr>
          <w:rFonts w:ascii="Times New Roman" w:hAnsi="Times New Roman" w:cs="Times New Roman"/>
        </w:rPr>
        <w:t>revisions to the data request</w:t>
      </w:r>
      <w:r w:rsidR="00DE0A47">
        <w:rPr>
          <w:rFonts w:ascii="Times New Roman" w:hAnsi="Times New Roman" w:cs="Times New Roman"/>
        </w:rPr>
        <w:t xml:space="preserve"> did not address the issues that come from th</w:t>
      </w:r>
      <w:r w:rsidR="00B6012F">
        <w:rPr>
          <w:rFonts w:ascii="Times New Roman" w:hAnsi="Times New Roman" w:cs="Times New Roman"/>
        </w:rPr>
        <w:t>e incompleteness of the citizenship, race/ethnicity, and sex in the NSC</w:t>
      </w:r>
      <w:r w:rsidR="00F14AE0">
        <w:rPr>
          <w:rFonts w:ascii="Times New Roman" w:hAnsi="Times New Roman" w:cs="Times New Roman"/>
        </w:rPr>
        <w:t xml:space="preserve"> data. </w:t>
      </w:r>
      <w:r>
        <w:rPr>
          <w:rFonts w:ascii="Times New Roman" w:hAnsi="Times New Roman" w:cs="Times New Roman"/>
        </w:rPr>
        <w:t xml:space="preserve">More than a quarter </w:t>
      </w:r>
      <w:r w:rsidR="00194A16">
        <w:rPr>
          <w:rFonts w:ascii="Times New Roman" w:hAnsi="Times New Roman" w:cs="Times New Roman"/>
        </w:rPr>
        <w:t>(</w:t>
      </w:r>
      <w:r w:rsidR="00A22EBC">
        <w:rPr>
          <w:rFonts w:ascii="Times New Roman" w:hAnsi="Times New Roman" w:cs="Times New Roman"/>
        </w:rPr>
        <w:t>2</w:t>
      </w:r>
      <w:r w:rsidR="00DD5D49">
        <w:rPr>
          <w:rFonts w:ascii="Times New Roman" w:hAnsi="Times New Roman" w:cs="Times New Roman"/>
        </w:rPr>
        <w:t>6</w:t>
      </w:r>
      <w:r w:rsidR="00A22EBC">
        <w:rPr>
          <w:rFonts w:ascii="Times New Roman" w:hAnsi="Times New Roman" w:cs="Times New Roman"/>
        </w:rPr>
        <w:t>.9%</w:t>
      </w:r>
      <w:r w:rsidR="00194A16">
        <w:rPr>
          <w:rFonts w:ascii="Times New Roman" w:hAnsi="Times New Roman" w:cs="Times New Roman"/>
        </w:rPr>
        <w:t>)</w:t>
      </w:r>
      <w:r w:rsidR="00A22EBC">
        <w:rPr>
          <w:rFonts w:ascii="Times New Roman" w:hAnsi="Times New Roman" w:cs="Times New Roman"/>
        </w:rPr>
        <w:t xml:space="preserve"> of </w:t>
      </w:r>
      <w:r w:rsidR="00E721AB">
        <w:rPr>
          <w:rFonts w:ascii="Times New Roman" w:hAnsi="Times New Roman" w:cs="Times New Roman"/>
        </w:rPr>
        <w:t xml:space="preserve">doctoral </w:t>
      </w:r>
      <w:r w:rsidR="00A22EBC">
        <w:rPr>
          <w:rFonts w:ascii="Times New Roman" w:hAnsi="Times New Roman" w:cs="Times New Roman"/>
        </w:rPr>
        <w:t xml:space="preserve">enrollment </w:t>
      </w:r>
      <w:r w:rsidR="00E721AB">
        <w:rPr>
          <w:rFonts w:ascii="Times New Roman" w:hAnsi="Times New Roman" w:cs="Times New Roman"/>
        </w:rPr>
        <w:t xml:space="preserve">records </w:t>
      </w:r>
      <w:r w:rsidR="00194A16">
        <w:rPr>
          <w:rFonts w:ascii="Times New Roman" w:hAnsi="Times New Roman" w:cs="Times New Roman"/>
        </w:rPr>
        <w:t xml:space="preserve">from </w:t>
      </w:r>
      <w:r w:rsidR="00E721AB">
        <w:rPr>
          <w:rFonts w:ascii="Times New Roman" w:hAnsi="Times New Roman" w:cs="Times New Roman"/>
        </w:rPr>
        <w:t xml:space="preserve">GSS institutions </w:t>
      </w:r>
      <w:r w:rsidR="00194A16">
        <w:rPr>
          <w:rFonts w:ascii="Times New Roman" w:hAnsi="Times New Roman" w:cs="Times New Roman"/>
        </w:rPr>
        <w:t xml:space="preserve">in the NSC data </w:t>
      </w:r>
      <w:r w:rsidR="00A22EBC">
        <w:rPr>
          <w:rFonts w:ascii="Times New Roman" w:hAnsi="Times New Roman" w:cs="Times New Roman"/>
        </w:rPr>
        <w:t>are missing citizenship and race/ethnicity</w:t>
      </w:r>
      <w:r w:rsidR="00E721AB">
        <w:rPr>
          <w:rFonts w:ascii="Times New Roman" w:hAnsi="Times New Roman" w:cs="Times New Roman"/>
        </w:rPr>
        <w:t xml:space="preserve"> in the NSC data</w:t>
      </w:r>
      <w:r w:rsidR="00DD5D49">
        <w:rPr>
          <w:rFonts w:ascii="Times New Roman" w:hAnsi="Times New Roman" w:cs="Times New Roman"/>
        </w:rPr>
        <w:t>;</w:t>
      </w:r>
      <w:r w:rsidR="00DD5D50">
        <w:rPr>
          <w:rFonts w:ascii="Times New Roman" w:hAnsi="Times New Roman" w:cs="Times New Roman"/>
        </w:rPr>
        <w:t xml:space="preserve"> 8.0% are missing </w:t>
      </w:r>
      <w:r>
        <w:rPr>
          <w:rFonts w:ascii="Times New Roman" w:hAnsi="Times New Roman" w:cs="Times New Roman"/>
        </w:rPr>
        <w:t xml:space="preserve">sex. </w:t>
      </w:r>
    </w:p>
    <w:p w:rsidR="00BB59F4" w:rsidP="00BB59F4" w14:paraId="02A827A2" w14:textId="77777777">
      <w:pPr>
        <w:rPr>
          <w:rFonts w:ascii="Times New Roman" w:hAnsi="Times New Roman" w:cs="Times New Roman"/>
        </w:rPr>
      </w:pPr>
    </w:p>
    <w:p w:rsidR="00BB59F4" w:rsidP="00BB59F4" w14:paraId="08052B40" w14:textId="2F5625D3">
      <w:pPr>
        <w:rPr>
          <w:rFonts w:ascii="Times New Roman" w:hAnsi="Times New Roman" w:cs="Times New Roman"/>
        </w:rPr>
      </w:pPr>
      <w:r>
        <w:rPr>
          <w:rFonts w:ascii="Times New Roman" w:hAnsi="Times New Roman" w:cs="Times New Roman"/>
        </w:rPr>
        <w:t xml:space="preserve">&lt;Table 8 (see attached excel file) &gt; </w:t>
      </w:r>
    </w:p>
    <w:p w:rsidR="00A22EBC" w:rsidP="00F46A7E" w14:paraId="37046A25" w14:textId="2428F4D6">
      <w:pPr>
        <w:rPr>
          <w:rFonts w:ascii="Times New Roman" w:hAnsi="Times New Roman" w:cs="Times New Roman"/>
        </w:rPr>
      </w:pPr>
      <w:r>
        <w:rPr>
          <w:rFonts w:ascii="Times New Roman" w:hAnsi="Times New Roman" w:cs="Times New Roman"/>
        </w:rPr>
        <w:t xml:space="preserve"> </w:t>
      </w:r>
      <w:r w:rsidR="00DD5D49">
        <w:rPr>
          <w:rFonts w:ascii="Times New Roman" w:hAnsi="Times New Roman" w:cs="Times New Roman"/>
        </w:rPr>
        <w:t xml:space="preserve"> </w:t>
      </w:r>
    </w:p>
    <w:p w:rsidR="0049552A" w:rsidP="00A06EA8" w14:paraId="4C3363DB" w14:textId="1F1B9732">
      <w:pPr>
        <w:rPr>
          <w:rFonts w:ascii="Times New Roman" w:hAnsi="Times New Roman" w:cs="Times New Roman"/>
        </w:rPr>
      </w:pPr>
      <w:r>
        <w:rPr>
          <w:rFonts w:ascii="Times New Roman" w:hAnsi="Times New Roman" w:cs="Times New Roman"/>
        </w:rPr>
        <w:t>As noted in multiple data collections, h</w:t>
      </w:r>
      <w:r w:rsidR="00FA5E12">
        <w:rPr>
          <w:rFonts w:ascii="Times New Roman" w:hAnsi="Times New Roman" w:cs="Times New Roman"/>
        </w:rPr>
        <w:t xml:space="preserve">igh levels of </w:t>
      </w:r>
      <w:r w:rsidR="00440009">
        <w:rPr>
          <w:rFonts w:ascii="Times New Roman" w:hAnsi="Times New Roman" w:cs="Times New Roman"/>
        </w:rPr>
        <w:t>temporary visa</w:t>
      </w:r>
      <w:r w:rsidR="00FA5E12">
        <w:rPr>
          <w:rFonts w:ascii="Times New Roman" w:hAnsi="Times New Roman" w:cs="Times New Roman"/>
        </w:rPr>
        <w:t xml:space="preserve"> holders </w:t>
      </w:r>
      <w:r w:rsidR="004B7ED5">
        <w:rPr>
          <w:rFonts w:ascii="Times New Roman" w:hAnsi="Times New Roman" w:cs="Times New Roman"/>
        </w:rPr>
        <w:t>and higher proportions of men than women are long</w:t>
      </w:r>
      <w:r w:rsidR="00653D69">
        <w:rPr>
          <w:rFonts w:ascii="Times New Roman" w:hAnsi="Times New Roman" w:cs="Times New Roman"/>
        </w:rPr>
        <w:t>-</w:t>
      </w:r>
      <w:r w:rsidR="00335F30">
        <w:rPr>
          <w:rFonts w:ascii="Times New Roman" w:hAnsi="Times New Roman" w:cs="Times New Roman"/>
        </w:rPr>
        <w:t>standing characteristics</w:t>
      </w:r>
      <w:r w:rsidR="00FA5E12">
        <w:rPr>
          <w:rFonts w:ascii="Times New Roman" w:hAnsi="Times New Roman" w:cs="Times New Roman"/>
        </w:rPr>
        <w:t xml:space="preserve"> of the doctoral popu</w:t>
      </w:r>
      <w:r w:rsidR="00F04FD4">
        <w:rPr>
          <w:rFonts w:ascii="Times New Roman" w:hAnsi="Times New Roman" w:cs="Times New Roman"/>
        </w:rPr>
        <w:t>lation in</w:t>
      </w:r>
      <w:r w:rsidR="00147BF6">
        <w:rPr>
          <w:rFonts w:ascii="Times New Roman" w:hAnsi="Times New Roman" w:cs="Times New Roman"/>
        </w:rPr>
        <w:t xml:space="preserve"> </w:t>
      </w:r>
      <w:r w:rsidR="00F04FD4">
        <w:rPr>
          <w:rFonts w:ascii="Times New Roman" w:hAnsi="Times New Roman" w:cs="Times New Roman"/>
        </w:rPr>
        <w:t xml:space="preserve">the United States. This is reflected in the GSS data, but not the </w:t>
      </w:r>
      <w:r w:rsidR="00ED0DF5">
        <w:rPr>
          <w:rFonts w:ascii="Times New Roman" w:hAnsi="Times New Roman" w:cs="Times New Roman"/>
        </w:rPr>
        <w:t>NSC data</w:t>
      </w:r>
      <w:r w:rsidR="00654837">
        <w:rPr>
          <w:rFonts w:ascii="Times New Roman" w:hAnsi="Times New Roman" w:cs="Times New Roman"/>
        </w:rPr>
        <w:t xml:space="preserve">. </w:t>
      </w:r>
      <w:r w:rsidR="002F20E0">
        <w:rPr>
          <w:rFonts w:ascii="Times New Roman" w:hAnsi="Times New Roman" w:cs="Times New Roman"/>
        </w:rPr>
        <w:t>I</w:t>
      </w:r>
      <w:r w:rsidR="00770559">
        <w:rPr>
          <w:rFonts w:ascii="Times New Roman" w:hAnsi="Times New Roman" w:cs="Times New Roman"/>
        </w:rPr>
        <w:t xml:space="preserve">f all </w:t>
      </w:r>
      <w:r w:rsidR="00B23EBC">
        <w:rPr>
          <w:rFonts w:ascii="Times New Roman" w:hAnsi="Times New Roman" w:cs="Times New Roman"/>
        </w:rPr>
        <w:t xml:space="preserve">the </w:t>
      </w:r>
      <w:r w:rsidR="00770559">
        <w:rPr>
          <w:rFonts w:ascii="Times New Roman" w:hAnsi="Times New Roman" w:cs="Times New Roman"/>
        </w:rPr>
        <w:t xml:space="preserve">doctoral students </w:t>
      </w:r>
      <w:r w:rsidR="007D5243">
        <w:rPr>
          <w:rFonts w:ascii="Times New Roman" w:hAnsi="Times New Roman" w:cs="Times New Roman"/>
        </w:rPr>
        <w:t xml:space="preserve">missing these data </w:t>
      </w:r>
      <w:r w:rsidR="00770559">
        <w:rPr>
          <w:rFonts w:ascii="Times New Roman" w:hAnsi="Times New Roman" w:cs="Times New Roman"/>
        </w:rPr>
        <w:t xml:space="preserve">in the NSC </w:t>
      </w:r>
      <w:r w:rsidR="007D5243">
        <w:rPr>
          <w:rFonts w:ascii="Times New Roman" w:hAnsi="Times New Roman" w:cs="Times New Roman"/>
        </w:rPr>
        <w:t>records were foreign males</w:t>
      </w:r>
      <w:r w:rsidR="002F20E0">
        <w:rPr>
          <w:rFonts w:ascii="Times New Roman" w:hAnsi="Times New Roman" w:cs="Times New Roman"/>
        </w:rPr>
        <w:t xml:space="preserve"> then these distributions would be similar, </w:t>
      </w:r>
      <w:r w:rsidR="0024366D">
        <w:rPr>
          <w:rFonts w:ascii="Times New Roman" w:hAnsi="Times New Roman" w:cs="Times New Roman"/>
        </w:rPr>
        <w:t xml:space="preserve">but this is </w:t>
      </w:r>
      <w:r w:rsidR="00D503B6">
        <w:rPr>
          <w:rFonts w:ascii="Times New Roman" w:hAnsi="Times New Roman" w:cs="Times New Roman"/>
        </w:rPr>
        <w:t xml:space="preserve">implausible. </w:t>
      </w:r>
      <w:r w:rsidR="00377288">
        <w:rPr>
          <w:rFonts w:ascii="Times New Roman" w:hAnsi="Times New Roman" w:cs="Times New Roman"/>
        </w:rPr>
        <w:t>As a result</w:t>
      </w:r>
      <w:r w:rsidR="00CA3DC4">
        <w:rPr>
          <w:rFonts w:ascii="Times New Roman" w:hAnsi="Times New Roman" w:cs="Times New Roman"/>
        </w:rPr>
        <w:t>,</w:t>
      </w:r>
      <w:r w:rsidR="00377288">
        <w:rPr>
          <w:rFonts w:ascii="Times New Roman" w:hAnsi="Times New Roman" w:cs="Times New Roman"/>
        </w:rPr>
        <w:t xml:space="preserve"> it seems likely that the NSC data are missing some of the </w:t>
      </w:r>
      <w:r w:rsidR="00A1104B">
        <w:rPr>
          <w:rFonts w:ascii="Times New Roman" w:hAnsi="Times New Roman" w:cs="Times New Roman"/>
        </w:rPr>
        <w:t>foreign nationals studying in the United States</w:t>
      </w:r>
      <w:r w:rsidR="00CA3DC4">
        <w:rPr>
          <w:rFonts w:ascii="Times New Roman" w:hAnsi="Times New Roman" w:cs="Times New Roman"/>
        </w:rPr>
        <w:t xml:space="preserve"> </w:t>
      </w:r>
      <w:r w:rsidR="00CA3DC4">
        <w:rPr>
          <w:rFonts w:ascii="Times New Roman" w:hAnsi="Times New Roman" w:cs="Times New Roman"/>
        </w:rPr>
        <w:t xml:space="preserve">and this accounts for some of the </w:t>
      </w:r>
      <w:r w:rsidR="00A541D5">
        <w:rPr>
          <w:rFonts w:ascii="Times New Roman" w:hAnsi="Times New Roman" w:cs="Times New Roman"/>
        </w:rPr>
        <w:t xml:space="preserve">discrepancies between the GSS and NSC enrollment counts by </w:t>
      </w:r>
      <w:r w:rsidR="003728C3">
        <w:rPr>
          <w:rFonts w:ascii="Times New Roman" w:hAnsi="Times New Roman" w:cs="Times New Roman"/>
        </w:rPr>
        <w:t xml:space="preserve">within GSS eligible fields in GSS eligible institutions. </w:t>
      </w:r>
    </w:p>
    <w:p w:rsidR="0049552A" w:rsidP="00A06EA8" w14:paraId="6425ED7B" w14:textId="77777777">
      <w:pPr>
        <w:rPr>
          <w:rFonts w:ascii="Times New Roman" w:hAnsi="Times New Roman" w:cs="Times New Roman"/>
        </w:rPr>
      </w:pPr>
    </w:p>
    <w:p w:rsidR="00D73C74" w:rsidRPr="00310A71" w:rsidP="00BB2196" w14:paraId="235EC0F3" w14:textId="0C31209A">
      <w:pPr>
        <w:rPr>
          <w:rFonts w:ascii="Times New Roman" w:hAnsi="Times New Roman" w:cs="Times New Roman"/>
        </w:rPr>
      </w:pPr>
      <w:r>
        <w:rPr>
          <w:rFonts w:ascii="Times New Roman" w:hAnsi="Times New Roman" w:cs="Times New Roman"/>
        </w:rPr>
        <w:t xml:space="preserve">Appendix </w:t>
      </w:r>
      <w:r w:rsidR="00BB59F4">
        <w:rPr>
          <w:rFonts w:ascii="Times New Roman" w:hAnsi="Times New Roman" w:cs="Times New Roman"/>
        </w:rPr>
        <w:t>4</w:t>
      </w:r>
      <w:r>
        <w:rPr>
          <w:rFonts w:ascii="Times New Roman" w:hAnsi="Times New Roman" w:cs="Times New Roman"/>
        </w:rPr>
        <w:t xml:space="preserve"> </w:t>
      </w:r>
      <w:r w:rsidR="008153A0">
        <w:rPr>
          <w:rFonts w:ascii="Times New Roman" w:hAnsi="Times New Roman" w:cs="Times New Roman"/>
        </w:rPr>
        <w:t xml:space="preserve">expands table 7 to show enrollment by </w:t>
      </w:r>
      <w:r>
        <w:rPr>
          <w:rFonts w:ascii="Times New Roman" w:hAnsi="Times New Roman" w:cs="Times New Roman"/>
        </w:rPr>
        <w:t xml:space="preserve">detailed field and adds columns </w:t>
      </w:r>
      <w:r w:rsidR="008153A0">
        <w:rPr>
          <w:rFonts w:ascii="Times New Roman" w:hAnsi="Times New Roman" w:cs="Times New Roman"/>
        </w:rPr>
        <w:t xml:space="preserve">for the </w:t>
      </w:r>
      <w:r>
        <w:rPr>
          <w:rFonts w:ascii="Times New Roman" w:hAnsi="Times New Roman" w:cs="Times New Roman"/>
        </w:rPr>
        <w:t xml:space="preserve">percent female and percent </w:t>
      </w:r>
      <w:r w:rsidR="00403566">
        <w:rPr>
          <w:rFonts w:ascii="Times New Roman" w:hAnsi="Times New Roman" w:cs="Times New Roman"/>
        </w:rPr>
        <w:t>foreign (</w:t>
      </w:r>
      <w:r>
        <w:rPr>
          <w:rFonts w:ascii="Times New Roman" w:hAnsi="Times New Roman" w:cs="Times New Roman"/>
        </w:rPr>
        <w:t>temporary visa</w:t>
      </w:r>
      <w:r w:rsidR="00403566">
        <w:rPr>
          <w:rFonts w:ascii="Times New Roman" w:hAnsi="Times New Roman" w:cs="Times New Roman"/>
        </w:rPr>
        <w:t xml:space="preserve"> holders)</w:t>
      </w:r>
      <w:r w:rsidR="00151E44">
        <w:rPr>
          <w:rFonts w:ascii="Times New Roman" w:hAnsi="Times New Roman" w:cs="Times New Roman"/>
        </w:rPr>
        <w:t xml:space="preserve">. </w:t>
      </w:r>
      <w:r w:rsidR="0049552A">
        <w:rPr>
          <w:rFonts w:ascii="Times New Roman" w:hAnsi="Times New Roman" w:cs="Times New Roman"/>
        </w:rPr>
        <w:t xml:space="preserve">What is striking about this analysis is that </w:t>
      </w:r>
      <w:r w:rsidR="00417430">
        <w:rPr>
          <w:rFonts w:ascii="Times New Roman" w:hAnsi="Times New Roman" w:cs="Times New Roman"/>
        </w:rPr>
        <w:t xml:space="preserve">despite being overrepresented as </w:t>
      </w:r>
      <w:r w:rsidR="00116DE4">
        <w:rPr>
          <w:rFonts w:ascii="Times New Roman" w:hAnsi="Times New Roman" w:cs="Times New Roman"/>
        </w:rPr>
        <w:t xml:space="preserve">among all doctoral students </w:t>
      </w:r>
      <w:r w:rsidR="00417430">
        <w:rPr>
          <w:rFonts w:ascii="Times New Roman" w:hAnsi="Times New Roman" w:cs="Times New Roman"/>
        </w:rPr>
        <w:t>whole in the NSC data,</w:t>
      </w:r>
      <w:r w:rsidR="0029024A">
        <w:rPr>
          <w:rFonts w:ascii="Times New Roman" w:hAnsi="Times New Roman" w:cs="Times New Roman"/>
        </w:rPr>
        <w:t xml:space="preserve"> </w:t>
      </w:r>
      <w:r w:rsidR="00BE25A9">
        <w:rPr>
          <w:rFonts w:ascii="Times New Roman" w:hAnsi="Times New Roman" w:cs="Times New Roman"/>
        </w:rPr>
        <w:t xml:space="preserve">female doctorates the proportions of female </w:t>
      </w:r>
      <w:r w:rsidR="00B45275">
        <w:rPr>
          <w:rFonts w:ascii="Times New Roman" w:hAnsi="Times New Roman" w:cs="Times New Roman"/>
        </w:rPr>
        <w:t xml:space="preserve">students are lower in the NSC data than the GSS </w:t>
      </w:r>
      <w:r w:rsidR="002A6528">
        <w:rPr>
          <w:rFonts w:ascii="Times New Roman" w:hAnsi="Times New Roman" w:cs="Times New Roman"/>
        </w:rPr>
        <w:t>i</w:t>
      </w:r>
      <w:r w:rsidR="00B45275">
        <w:rPr>
          <w:rFonts w:ascii="Times New Roman" w:hAnsi="Times New Roman" w:cs="Times New Roman"/>
        </w:rPr>
        <w:t>n most fields</w:t>
      </w:r>
      <w:r w:rsidR="002A6528">
        <w:rPr>
          <w:rFonts w:ascii="Times New Roman" w:hAnsi="Times New Roman" w:cs="Times New Roman"/>
        </w:rPr>
        <w:t xml:space="preserve"> (see pink </w:t>
      </w:r>
      <w:r w:rsidR="00151E44">
        <w:rPr>
          <w:rFonts w:ascii="Times New Roman" w:hAnsi="Times New Roman" w:cs="Times New Roman"/>
        </w:rPr>
        <w:t>highlight</w:t>
      </w:r>
      <w:r w:rsidR="002A6528">
        <w:rPr>
          <w:rFonts w:ascii="Times New Roman" w:hAnsi="Times New Roman" w:cs="Times New Roman"/>
        </w:rPr>
        <w:t>s</w:t>
      </w:r>
      <w:r w:rsidR="00151E44">
        <w:rPr>
          <w:rFonts w:ascii="Times New Roman" w:hAnsi="Times New Roman" w:cs="Times New Roman"/>
        </w:rPr>
        <w:t xml:space="preserve"> </w:t>
      </w:r>
      <w:r w:rsidR="002A6528">
        <w:rPr>
          <w:rFonts w:ascii="Times New Roman" w:hAnsi="Times New Roman" w:cs="Times New Roman"/>
        </w:rPr>
        <w:t xml:space="preserve">in </w:t>
      </w:r>
      <w:r w:rsidR="00151E44">
        <w:rPr>
          <w:rFonts w:ascii="Times New Roman" w:hAnsi="Times New Roman" w:cs="Times New Roman"/>
        </w:rPr>
        <w:t xml:space="preserve">columns </w:t>
      </w:r>
      <w:r w:rsidR="00B766E5">
        <w:rPr>
          <w:rFonts w:ascii="Times New Roman" w:hAnsi="Times New Roman" w:cs="Times New Roman"/>
        </w:rPr>
        <w:t>M</w:t>
      </w:r>
      <w:r w:rsidR="002A6528">
        <w:rPr>
          <w:rFonts w:ascii="Times New Roman" w:hAnsi="Times New Roman" w:cs="Times New Roman"/>
        </w:rPr>
        <w:t xml:space="preserve"> and</w:t>
      </w:r>
      <w:r w:rsidR="00B766E5">
        <w:rPr>
          <w:rFonts w:ascii="Times New Roman" w:hAnsi="Times New Roman" w:cs="Times New Roman"/>
        </w:rPr>
        <w:t xml:space="preserve"> Z</w:t>
      </w:r>
      <w:r w:rsidR="002A6528">
        <w:rPr>
          <w:rFonts w:ascii="Times New Roman" w:hAnsi="Times New Roman" w:cs="Times New Roman"/>
        </w:rPr>
        <w:t>)</w:t>
      </w:r>
      <w:r w:rsidR="005C7CF1">
        <w:rPr>
          <w:rFonts w:ascii="Times New Roman" w:hAnsi="Times New Roman" w:cs="Times New Roman"/>
        </w:rPr>
        <w:t xml:space="preserve"> and that </w:t>
      </w:r>
      <w:r w:rsidR="00773476">
        <w:rPr>
          <w:rFonts w:ascii="Times New Roman" w:hAnsi="Times New Roman" w:cs="Times New Roman"/>
        </w:rPr>
        <w:t xml:space="preserve">the overrepresentation of women in the NSC data is driven by </w:t>
      </w:r>
      <w:r w:rsidR="008A3A7C">
        <w:rPr>
          <w:rFonts w:ascii="Times New Roman" w:hAnsi="Times New Roman" w:cs="Times New Roman"/>
        </w:rPr>
        <w:t>the large numbers of doctoral and master</w:t>
      </w:r>
      <w:r w:rsidR="00786088">
        <w:rPr>
          <w:rFonts w:ascii="Times New Roman" w:hAnsi="Times New Roman" w:cs="Times New Roman"/>
        </w:rPr>
        <w:t>’</w:t>
      </w:r>
      <w:r w:rsidR="008A3A7C">
        <w:rPr>
          <w:rFonts w:ascii="Times New Roman" w:hAnsi="Times New Roman" w:cs="Times New Roman"/>
        </w:rPr>
        <w:t xml:space="preserve">s students in </w:t>
      </w:r>
      <w:r w:rsidR="00786088">
        <w:rPr>
          <w:rFonts w:ascii="Times New Roman" w:hAnsi="Times New Roman" w:cs="Times New Roman"/>
        </w:rPr>
        <w:t xml:space="preserve">the </w:t>
      </w:r>
      <w:r w:rsidR="0055216A">
        <w:rPr>
          <w:rFonts w:ascii="Times New Roman" w:hAnsi="Times New Roman" w:cs="Times New Roman"/>
        </w:rPr>
        <w:t>health fields</w:t>
      </w:r>
      <w:r w:rsidR="0037484C">
        <w:rPr>
          <w:rFonts w:ascii="Times New Roman" w:hAnsi="Times New Roman" w:cs="Times New Roman"/>
        </w:rPr>
        <w:t>, where many clinical and professional doctoral and master’s degrees are intentionally excluded from the GSS.</w:t>
      </w:r>
      <w:r w:rsidR="00BB2196">
        <w:rPr>
          <w:rFonts w:ascii="Times New Roman" w:hAnsi="Times New Roman" w:cs="Times New Roman"/>
        </w:rPr>
        <w:t xml:space="preserve">  </w:t>
      </w:r>
    </w:p>
    <w:p w:rsidR="00F46A7E" w:rsidP="00693156" w14:paraId="691BB395" w14:textId="77777777">
      <w:pPr>
        <w:rPr>
          <w:rFonts w:ascii="Times New Roman" w:hAnsi="Times New Roman" w:cs="Times New Roman"/>
        </w:rPr>
      </w:pPr>
    </w:p>
    <w:p w:rsidR="0037484C" w:rsidP="00E26599" w14:paraId="7DAA6DF9" w14:textId="0B0DCA07">
      <w:pPr>
        <w:pStyle w:val="Heading1"/>
      </w:pPr>
      <w:r>
        <w:t>Summary</w:t>
      </w:r>
    </w:p>
    <w:p w:rsidR="0037484C" w:rsidRPr="00310A71" w:rsidP="00693156" w14:paraId="6CA82644" w14:textId="32533F9A">
      <w:pPr>
        <w:rPr>
          <w:rFonts w:ascii="Times New Roman" w:hAnsi="Times New Roman" w:cs="Times New Roman"/>
        </w:rPr>
      </w:pPr>
      <w:r>
        <w:rPr>
          <w:rFonts w:ascii="Times New Roman" w:hAnsi="Times New Roman" w:cs="Times New Roman"/>
        </w:rPr>
        <w:t>Based on the analysis above, NSC data are</w:t>
      </w:r>
      <w:r w:rsidR="00131493">
        <w:rPr>
          <w:rFonts w:ascii="Times New Roman" w:hAnsi="Times New Roman" w:cs="Times New Roman"/>
        </w:rPr>
        <w:t xml:space="preserve"> not </w:t>
      </w:r>
      <w:r w:rsidR="007714D0">
        <w:rPr>
          <w:rFonts w:ascii="Times New Roman" w:hAnsi="Times New Roman" w:cs="Times New Roman"/>
        </w:rPr>
        <w:t xml:space="preserve">directly </w:t>
      </w:r>
      <w:r w:rsidR="00131493">
        <w:rPr>
          <w:rFonts w:ascii="Times New Roman" w:hAnsi="Times New Roman" w:cs="Times New Roman"/>
        </w:rPr>
        <w:t>comparable to the current</w:t>
      </w:r>
      <w:r w:rsidR="001938B5">
        <w:rPr>
          <w:rFonts w:ascii="Times New Roman" w:hAnsi="Times New Roman" w:cs="Times New Roman"/>
        </w:rPr>
        <w:t xml:space="preserve"> </w:t>
      </w:r>
      <w:r w:rsidR="007714D0">
        <w:rPr>
          <w:rFonts w:ascii="Times New Roman" w:hAnsi="Times New Roman" w:cs="Times New Roman"/>
        </w:rPr>
        <w:t>GSS. As such</w:t>
      </w:r>
      <w:r>
        <w:rPr>
          <w:rFonts w:ascii="Times New Roman" w:hAnsi="Times New Roman" w:cs="Times New Roman"/>
        </w:rPr>
        <w:t>,</w:t>
      </w:r>
      <w:r w:rsidR="007714D0">
        <w:rPr>
          <w:rFonts w:ascii="Times New Roman" w:hAnsi="Times New Roman" w:cs="Times New Roman"/>
        </w:rPr>
        <w:t xml:space="preserve"> the NSC data </w:t>
      </w:r>
      <w:r w:rsidR="001938B5">
        <w:rPr>
          <w:rFonts w:ascii="Times New Roman" w:hAnsi="Times New Roman" w:cs="Times New Roman"/>
        </w:rPr>
        <w:t xml:space="preserve">do not provide much value for </w:t>
      </w:r>
      <w:r w:rsidR="000D49AC">
        <w:rPr>
          <w:rFonts w:ascii="Times New Roman" w:hAnsi="Times New Roman" w:cs="Times New Roman"/>
        </w:rPr>
        <w:t>validating or imputing the GSS data</w:t>
      </w:r>
      <w:r w:rsidR="007E1A56">
        <w:rPr>
          <w:rFonts w:ascii="Times New Roman" w:hAnsi="Times New Roman" w:cs="Times New Roman"/>
        </w:rPr>
        <w:t xml:space="preserve">. </w:t>
      </w:r>
      <w:r w:rsidR="007714D0">
        <w:rPr>
          <w:rFonts w:ascii="Times New Roman" w:hAnsi="Times New Roman" w:cs="Times New Roman"/>
        </w:rPr>
        <w:t xml:space="preserve">The utility of the NSC data </w:t>
      </w:r>
      <w:r w:rsidR="00501D85">
        <w:rPr>
          <w:rFonts w:ascii="Times New Roman" w:hAnsi="Times New Roman" w:cs="Times New Roman"/>
        </w:rPr>
        <w:t>is currently</w:t>
      </w:r>
      <w:r w:rsidR="007714D0">
        <w:rPr>
          <w:rFonts w:ascii="Times New Roman" w:hAnsi="Times New Roman" w:cs="Times New Roman"/>
        </w:rPr>
        <w:t xml:space="preserve"> limited by the quality issues with the NSC data such as the inclusion of non-research doctorates within the NSC research doctorate enrollment counts as well as missing data rates</w:t>
      </w:r>
      <w:r w:rsidR="00030404">
        <w:rPr>
          <w:rFonts w:ascii="Times New Roman" w:hAnsi="Times New Roman" w:cs="Times New Roman"/>
        </w:rPr>
        <w:t>.</w:t>
      </w:r>
      <w:r w:rsidR="007714D0">
        <w:rPr>
          <w:rFonts w:ascii="Times New Roman" w:hAnsi="Times New Roman" w:cs="Times New Roman"/>
        </w:rPr>
        <w:t xml:space="preserve"> </w:t>
      </w:r>
      <w:r w:rsidR="00BF31E8">
        <w:rPr>
          <w:rFonts w:ascii="Times New Roman" w:hAnsi="Times New Roman" w:cs="Times New Roman"/>
        </w:rPr>
        <w:t>W</w:t>
      </w:r>
      <w:r w:rsidR="007E1A56">
        <w:rPr>
          <w:rFonts w:ascii="Times New Roman" w:hAnsi="Times New Roman" w:cs="Times New Roman"/>
        </w:rPr>
        <w:t xml:space="preserve">hile there could be more </w:t>
      </w:r>
      <w:r w:rsidR="00131089">
        <w:rPr>
          <w:rFonts w:ascii="Times New Roman" w:hAnsi="Times New Roman" w:cs="Times New Roman"/>
        </w:rPr>
        <w:t>value</w:t>
      </w:r>
      <w:r w:rsidR="005E0F00">
        <w:rPr>
          <w:rFonts w:ascii="Times New Roman" w:hAnsi="Times New Roman" w:cs="Times New Roman"/>
        </w:rPr>
        <w:t xml:space="preserve"> </w:t>
      </w:r>
      <w:r w:rsidR="00131089">
        <w:rPr>
          <w:rFonts w:ascii="Times New Roman" w:hAnsi="Times New Roman" w:cs="Times New Roman"/>
        </w:rPr>
        <w:t xml:space="preserve">obtained </w:t>
      </w:r>
      <w:r w:rsidR="005E0F00">
        <w:rPr>
          <w:rFonts w:ascii="Times New Roman" w:hAnsi="Times New Roman" w:cs="Times New Roman"/>
        </w:rPr>
        <w:t xml:space="preserve">from the NSC data if NCSES could get </w:t>
      </w:r>
      <w:r w:rsidR="007714D0">
        <w:rPr>
          <w:rFonts w:ascii="Times New Roman" w:hAnsi="Times New Roman" w:cs="Times New Roman"/>
        </w:rPr>
        <w:t xml:space="preserve">access to </w:t>
      </w:r>
      <w:r w:rsidR="00131089">
        <w:rPr>
          <w:rFonts w:ascii="Times New Roman" w:hAnsi="Times New Roman" w:cs="Times New Roman"/>
        </w:rPr>
        <w:t xml:space="preserve">the NSC data </w:t>
      </w:r>
      <w:r w:rsidR="005E0F00">
        <w:rPr>
          <w:rFonts w:ascii="Times New Roman" w:hAnsi="Times New Roman" w:cs="Times New Roman"/>
        </w:rPr>
        <w:t>at the institutional level,</w:t>
      </w:r>
      <w:r w:rsidR="007714D0">
        <w:rPr>
          <w:rFonts w:ascii="Times New Roman" w:hAnsi="Times New Roman" w:cs="Times New Roman"/>
        </w:rPr>
        <w:t xml:space="preserve"> this </w:t>
      </w:r>
      <w:r w:rsidR="00154AF2">
        <w:rPr>
          <w:rFonts w:ascii="Times New Roman" w:hAnsi="Times New Roman" w:cs="Times New Roman"/>
        </w:rPr>
        <w:t>would still be limited by the data quality issues.</w:t>
      </w:r>
      <w:r w:rsidR="00535AEB">
        <w:rPr>
          <w:rFonts w:ascii="Times New Roman" w:hAnsi="Times New Roman" w:cs="Times New Roman"/>
        </w:rPr>
        <w:t xml:space="preserve"> T</w:t>
      </w:r>
      <w:r w:rsidR="002F0393">
        <w:rPr>
          <w:rFonts w:ascii="Times New Roman" w:hAnsi="Times New Roman" w:cs="Times New Roman"/>
        </w:rPr>
        <w:t>he likelihood of finding</w:t>
      </w:r>
      <w:r w:rsidR="006D1A58">
        <w:rPr>
          <w:rFonts w:ascii="Times New Roman" w:hAnsi="Times New Roman" w:cs="Times New Roman"/>
        </w:rPr>
        <w:t xml:space="preserve"> significant coverage issues in the GSS are </w:t>
      </w:r>
      <w:r w:rsidR="000F4557">
        <w:rPr>
          <w:rFonts w:ascii="Times New Roman" w:hAnsi="Times New Roman" w:cs="Times New Roman"/>
        </w:rPr>
        <w:t xml:space="preserve">low given the annual </w:t>
      </w:r>
      <w:r w:rsidR="00D60799">
        <w:rPr>
          <w:rFonts w:ascii="Times New Roman" w:hAnsi="Times New Roman" w:cs="Times New Roman"/>
        </w:rPr>
        <w:t xml:space="preserve">universe review conducted for the GSS </w:t>
      </w:r>
      <w:r w:rsidR="00154AF2">
        <w:rPr>
          <w:rFonts w:ascii="Times New Roman" w:hAnsi="Times New Roman" w:cs="Times New Roman"/>
        </w:rPr>
        <w:t xml:space="preserve">using IPEDS </w:t>
      </w:r>
      <w:r w:rsidR="00D60799">
        <w:rPr>
          <w:rFonts w:ascii="Times New Roman" w:hAnsi="Times New Roman" w:cs="Times New Roman"/>
        </w:rPr>
        <w:t xml:space="preserve">and the </w:t>
      </w:r>
      <w:r w:rsidR="00B96C1E">
        <w:rPr>
          <w:rFonts w:ascii="Times New Roman" w:hAnsi="Times New Roman" w:cs="Times New Roman"/>
        </w:rPr>
        <w:t>quality control procedures implemente</w:t>
      </w:r>
      <w:r w:rsidR="00D56C82">
        <w:rPr>
          <w:rFonts w:ascii="Times New Roman" w:hAnsi="Times New Roman" w:cs="Times New Roman"/>
        </w:rPr>
        <w:t xml:space="preserve">d as part of the GSS data collection. </w:t>
      </w:r>
    </w:p>
    <w:sectPr w:rsidSect="00CE25B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4265AAC"/>
    <w:multiLevelType w:val="hybridMultilevel"/>
    <w:tmpl w:val="601A501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8F66600"/>
    <w:multiLevelType w:val="hybridMultilevel"/>
    <w:tmpl w:val="C534D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4FE0860"/>
    <w:multiLevelType w:val="hybridMultilevel"/>
    <w:tmpl w:val="F1447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896699E"/>
    <w:multiLevelType w:val="hybridMultilevel"/>
    <w:tmpl w:val="E2E87A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2430A2"/>
    <w:multiLevelType w:val="hybridMultilevel"/>
    <w:tmpl w:val="99920E9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ECA45D6"/>
    <w:multiLevelType w:val="hybridMultilevel"/>
    <w:tmpl w:val="ECE485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47264284">
    <w:abstractNumId w:val="24"/>
  </w:num>
  <w:num w:numId="2" w16cid:durableId="1788424498">
    <w:abstractNumId w:val="14"/>
  </w:num>
  <w:num w:numId="3" w16cid:durableId="1485201597">
    <w:abstractNumId w:val="10"/>
  </w:num>
  <w:num w:numId="4" w16cid:durableId="1381176340">
    <w:abstractNumId w:val="27"/>
  </w:num>
  <w:num w:numId="5" w16cid:durableId="458569944">
    <w:abstractNumId w:val="15"/>
  </w:num>
  <w:num w:numId="6" w16cid:durableId="884559894">
    <w:abstractNumId w:val="18"/>
  </w:num>
  <w:num w:numId="7" w16cid:durableId="172451819">
    <w:abstractNumId w:val="21"/>
  </w:num>
  <w:num w:numId="8" w16cid:durableId="891233602">
    <w:abstractNumId w:val="9"/>
  </w:num>
  <w:num w:numId="9" w16cid:durableId="1623805106">
    <w:abstractNumId w:val="7"/>
  </w:num>
  <w:num w:numId="10" w16cid:durableId="800460203">
    <w:abstractNumId w:val="6"/>
  </w:num>
  <w:num w:numId="11" w16cid:durableId="11343243">
    <w:abstractNumId w:val="5"/>
  </w:num>
  <w:num w:numId="12" w16cid:durableId="2127650035">
    <w:abstractNumId w:val="4"/>
  </w:num>
  <w:num w:numId="13" w16cid:durableId="543253257">
    <w:abstractNumId w:val="8"/>
  </w:num>
  <w:num w:numId="14" w16cid:durableId="1789662406">
    <w:abstractNumId w:val="3"/>
  </w:num>
  <w:num w:numId="15" w16cid:durableId="34430520">
    <w:abstractNumId w:val="2"/>
  </w:num>
  <w:num w:numId="16" w16cid:durableId="1616715789">
    <w:abstractNumId w:val="1"/>
  </w:num>
  <w:num w:numId="17" w16cid:durableId="2059814344">
    <w:abstractNumId w:val="0"/>
  </w:num>
  <w:num w:numId="18" w16cid:durableId="1888452489">
    <w:abstractNumId w:val="16"/>
  </w:num>
  <w:num w:numId="19" w16cid:durableId="1538737052">
    <w:abstractNumId w:val="17"/>
  </w:num>
  <w:num w:numId="20" w16cid:durableId="170923518">
    <w:abstractNumId w:val="25"/>
  </w:num>
  <w:num w:numId="21" w16cid:durableId="941837403">
    <w:abstractNumId w:val="19"/>
  </w:num>
  <w:num w:numId="22" w16cid:durableId="469327632">
    <w:abstractNumId w:val="12"/>
  </w:num>
  <w:num w:numId="23" w16cid:durableId="703168288">
    <w:abstractNumId w:val="28"/>
  </w:num>
  <w:num w:numId="24" w16cid:durableId="1899784332">
    <w:abstractNumId w:val="23"/>
  </w:num>
  <w:num w:numId="25" w16cid:durableId="1974212308">
    <w:abstractNumId w:val="22"/>
  </w:num>
  <w:num w:numId="26" w16cid:durableId="251283269">
    <w:abstractNumId w:val="20"/>
  </w:num>
  <w:num w:numId="27" w16cid:durableId="1575700911">
    <w:abstractNumId w:val="13"/>
  </w:num>
  <w:num w:numId="28" w16cid:durableId="1883592242">
    <w:abstractNumId w:val="26"/>
  </w:num>
  <w:num w:numId="29" w16cid:durableId="877473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71"/>
    <w:rsid w:val="00006057"/>
    <w:rsid w:val="00007B31"/>
    <w:rsid w:val="00012599"/>
    <w:rsid w:val="000166A6"/>
    <w:rsid w:val="000169B0"/>
    <w:rsid w:val="00025565"/>
    <w:rsid w:val="00026ECE"/>
    <w:rsid w:val="00030404"/>
    <w:rsid w:val="000333B0"/>
    <w:rsid w:val="00043644"/>
    <w:rsid w:val="00051D6C"/>
    <w:rsid w:val="00052271"/>
    <w:rsid w:val="0005448B"/>
    <w:rsid w:val="0006297B"/>
    <w:rsid w:val="000774EC"/>
    <w:rsid w:val="00092F5A"/>
    <w:rsid w:val="00094F9E"/>
    <w:rsid w:val="0009733C"/>
    <w:rsid w:val="00097E4D"/>
    <w:rsid w:val="000A0BD6"/>
    <w:rsid w:val="000A3B29"/>
    <w:rsid w:val="000A609E"/>
    <w:rsid w:val="000A618B"/>
    <w:rsid w:val="000A7BB9"/>
    <w:rsid w:val="000B1C39"/>
    <w:rsid w:val="000B28A7"/>
    <w:rsid w:val="000B2C12"/>
    <w:rsid w:val="000C297B"/>
    <w:rsid w:val="000D10D7"/>
    <w:rsid w:val="000D49AC"/>
    <w:rsid w:val="000D512B"/>
    <w:rsid w:val="000D547E"/>
    <w:rsid w:val="000E191A"/>
    <w:rsid w:val="000E380E"/>
    <w:rsid w:val="000E7B79"/>
    <w:rsid w:val="000E7BF4"/>
    <w:rsid w:val="000F0DC4"/>
    <w:rsid w:val="000F3BD0"/>
    <w:rsid w:val="000F4557"/>
    <w:rsid w:val="00106883"/>
    <w:rsid w:val="00107854"/>
    <w:rsid w:val="001160C5"/>
    <w:rsid w:val="00116DE4"/>
    <w:rsid w:val="001178FA"/>
    <w:rsid w:val="00121214"/>
    <w:rsid w:val="00121A51"/>
    <w:rsid w:val="00131089"/>
    <w:rsid w:val="00131493"/>
    <w:rsid w:val="00131B1F"/>
    <w:rsid w:val="001434CE"/>
    <w:rsid w:val="00147BF6"/>
    <w:rsid w:val="00151E44"/>
    <w:rsid w:val="00154AF2"/>
    <w:rsid w:val="001632CF"/>
    <w:rsid w:val="00170E37"/>
    <w:rsid w:val="00170EA4"/>
    <w:rsid w:val="001749CC"/>
    <w:rsid w:val="00175C8B"/>
    <w:rsid w:val="001760C1"/>
    <w:rsid w:val="00181E19"/>
    <w:rsid w:val="0019065C"/>
    <w:rsid w:val="001923DD"/>
    <w:rsid w:val="00193274"/>
    <w:rsid w:val="001938B5"/>
    <w:rsid w:val="00193926"/>
    <w:rsid w:val="00194A16"/>
    <w:rsid w:val="00195B57"/>
    <w:rsid w:val="001A020E"/>
    <w:rsid w:val="001A1C1D"/>
    <w:rsid w:val="001A3108"/>
    <w:rsid w:val="001B6343"/>
    <w:rsid w:val="001B6496"/>
    <w:rsid w:val="001B6AEC"/>
    <w:rsid w:val="001B7374"/>
    <w:rsid w:val="001B767E"/>
    <w:rsid w:val="001B7B5B"/>
    <w:rsid w:val="001C6EE8"/>
    <w:rsid w:val="001D19BB"/>
    <w:rsid w:val="001D26C4"/>
    <w:rsid w:val="001D77D2"/>
    <w:rsid w:val="001E34C2"/>
    <w:rsid w:val="001F0836"/>
    <w:rsid w:val="001F2EA5"/>
    <w:rsid w:val="001F5502"/>
    <w:rsid w:val="00221FF9"/>
    <w:rsid w:val="0022299A"/>
    <w:rsid w:val="0022552C"/>
    <w:rsid w:val="0022679E"/>
    <w:rsid w:val="0023432E"/>
    <w:rsid w:val="0023571C"/>
    <w:rsid w:val="00240CF8"/>
    <w:rsid w:val="0024195D"/>
    <w:rsid w:val="0024366D"/>
    <w:rsid w:val="00244F9F"/>
    <w:rsid w:val="00251047"/>
    <w:rsid w:val="00254C38"/>
    <w:rsid w:val="00257D63"/>
    <w:rsid w:val="00262B0C"/>
    <w:rsid w:val="00271DE9"/>
    <w:rsid w:val="002759EE"/>
    <w:rsid w:val="00277B65"/>
    <w:rsid w:val="00282C29"/>
    <w:rsid w:val="0028381E"/>
    <w:rsid w:val="002870B1"/>
    <w:rsid w:val="0029024A"/>
    <w:rsid w:val="00293908"/>
    <w:rsid w:val="002A2BFC"/>
    <w:rsid w:val="002A6528"/>
    <w:rsid w:val="002A68B3"/>
    <w:rsid w:val="002B302C"/>
    <w:rsid w:val="002B6A78"/>
    <w:rsid w:val="002D1D6F"/>
    <w:rsid w:val="002E18DD"/>
    <w:rsid w:val="002E3574"/>
    <w:rsid w:val="002F0393"/>
    <w:rsid w:val="002F20E0"/>
    <w:rsid w:val="002F27FB"/>
    <w:rsid w:val="003039F8"/>
    <w:rsid w:val="00305B52"/>
    <w:rsid w:val="00310A71"/>
    <w:rsid w:val="00313478"/>
    <w:rsid w:val="00313D7B"/>
    <w:rsid w:val="003172E2"/>
    <w:rsid w:val="003209D6"/>
    <w:rsid w:val="00321497"/>
    <w:rsid w:val="00322E9E"/>
    <w:rsid w:val="003308E5"/>
    <w:rsid w:val="00334517"/>
    <w:rsid w:val="00335F30"/>
    <w:rsid w:val="00336B60"/>
    <w:rsid w:val="003426E5"/>
    <w:rsid w:val="00343197"/>
    <w:rsid w:val="00347473"/>
    <w:rsid w:val="003507DC"/>
    <w:rsid w:val="00350F75"/>
    <w:rsid w:val="00356699"/>
    <w:rsid w:val="00360EBD"/>
    <w:rsid w:val="003640B4"/>
    <w:rsid w:val="00364260"/>
    <w:rsid w:val="0036459D"/>
    <w:rsid w:val="0036778A"/>
    <w:rsid w:val="00367AF7"/>
    <w:rsid w:val="00370E2F"/>
    <w:rsid w:val="003711D0"/>
    <w:rsid w:val="003728C3"/>
    <w:rsid w:val="0037484C"/>
    <w:rsid w:val="003759AC"/>
    <w:rsid w:val="00376EDE"/>
    <w:rsid w:val="00377288"/>
    <w:rsid w:val="00377B4E"/>
    <w:rsid w:val="00380258"/>
    <w:rsid w:val="00394364"/>
    <w:rsid w:val="00394FA4"/>
    <w:rsid w:val="003A0706"/>
    <w:rsid w:val="003A08EA"/>
    <w:rsid w:val="003A3306"/>
    <w:rsid w:val="003A52C3"/>
    <w:rsid w:val="003B0330"/>
    <w:rsid w:val="003B1AA3"/>
    <w:rsid w:val="003B7E24"/>
    <w:rsid w:val="003C0D45"/>
    <w:rsid w:val="003C1CC3"/>
    <w:rsid w:val="003E6245"/>
    <w:rsid w:val="003F3538"/>
    <w:rsid w:val="003F44DB"/>
    <w:rsid w:val="003F5ECB"/>
    <w:rsid w:val="004003E7"/>
    <w:rsid w:val="00403167"/>
    <w:rsid w:val="00403566"/>
    <w:rsid w:val="004058E8"/>
    <w:rsid w:val="004113F9"/>
    <w:rsid w:val="00413D81"/>
    <w:rsid w:val="00417430"/>
    <w:rsid w:val="004209A0"/>
    <w:rsid w:val="0042242A"/>
    <w:rsid w:val="00434D3F"/>
    <w:rsid w:val="00435A21"/>
    <w:rsid w:val="00440009"/>
    <w:rsid w:val="00441CFE"/>
    <w:rsid w:val="004433AF"/>
    <w:rsid w:val="004520CF"/>
    <w:rsid w:val="00453887"/>
    <w:rsid w:val="004562BA"/>
    <w:rsid w:val="00456F06"/>
    <w:rsid w:val="004577C7"/>
    <w:rsid w:val="00466177"/>
    <w:rsid w:val="00470ED2"/>
    <w:rsid w:val="00473E2F"/>
    <w:rsid w:val="00475A68"/>
    <w:rsid w:val="004870AB"/>
    <w:rsid w:val="00493904"/>
    <w:rsid w:val="00494255"/>
    <w:rsid w:val="0049552A"/>
    <w:rsid w:val="00495AEE"/>
    <w:rsid w:val="004A10CF"/>
    <w:rsid w:val="004A2297"/>
    <w:rsid w:val="004A7CB4"/>
    <w:rsid w:val="004B1917"/>
    <w:rsid w:val="004B6BFF"/>
    <w:rsid w:val="004B7ED5"/>
    <w:rsid w:val="004C08F2"/>
    <w:rsid w:val="004C2859"/>
    <w:rsid w:val="004C64FB"/>
    <w:rsid w:val="004C67D6"/>
    <w:rsid w:val="004D1495"/>
    <w:rsid w:val="004D34E9"/>
    <w:rsid w:val="004D37CF"/>
    <w:rsid w:val="004D3C79"/>
    <w:rsid w:val="004D6ED3"/>
    <w:rsid w:val="004E2599"/>
    <w:rsid w:val="004E6866"/>
    <w:rsid w:val="004E7464"/>
    <w:rsid w:val="004E7A2E"/>
    <w:rsid w:val="004F095A"/>
    <w:rsid w:val="004F2626"/>
    <w:rsid w:val="004F4B14"/>
    <w:rsid w:val="004F600E"/>
    <w:rsid w:val="00500338"/>
    <w:rsid w:val="00501D85"/>
    <w:rsid w:val="00501DAA"/>
    <w:rsid w:val="0050648B"/>
    <w:rsid w:val="00511337"/>
    <w:rsid w:val="00513F4E"/>
    <w:rsid w:val="005144B3"/>
    <w:rsid w:val="00517B12"/>
    <w:rsid w:val="00523460"/>
    <w:rsid w:val="005303E3"/>
    <w:rsid w:val="005318C9"/>
    <w:rsid w:val="00535AEB"/>
    <w:rsid w:val="00541783"/>
    <w:rsid w:val="00541C56"/>
    <w:rsid w:val="00541E03"/>
    <w:rsid w:val="00544391"/>
    <w:rsid w:val="005462A7"/>
    <w:rsid w:val="00546548"/>
    <w:rsid w:val="0055216A"/>
    <w:rsid w:val="00556639"/>
    <w:rsid w:val="00563FFE"/>
    <w:rsid w:val="00564CC8"/>
    <w:rsid w:val="005714D2"/>
    <w:rsid w:val="00572601"/>
    <w:rsid w:val="00574835"/>
    <w:rsid w:val="00575613"/>
    <w:rsid w:val="005826AE"/>
    <w:rsid w:val="00586ACC"/>
    <w:rsid w:val="00590DC2"/>
    <w:rsid w:val="00593B32"/>
    <w:rsid w:val="00594BF8"/>
    <w:rsid w:val="005A2CAE"/>
    <w:rsid w:val="005A39E0"/>
    <w:rsid w:val="005A637E"/>
    <w:rsid w:val="005B0EB6"/>
    <w:rsid w:val="005B542A"/>
    <w:rsid w:val="005B5796"/>
    <w:rsid w:val="005C0B15"/>
    <w:rsid w:val="005C1293"/>
    <w:rsid w:val="005C3D2F"/>
    <w:rsid w:val="005C3F14"/>
    <w:rsid w:val="005C4A7A"/>
    <w:rsid w:val="005C7CF1"/>
    <w:rsid w:val="005D07D6"/>
    <w:rsid w:val="005D0CB6"/>
    <w:rsid w:val="005D16A6"/>
    <w:rsid w:val="005D2965"/>
    <w:rsid w:val="005D53C0"/>
    <w:rsid w:val="005E0F00"/>
    <w:rsid w:val="005E4CB5"/>
    <w:rsid w:val="005E6E8A"/>
    <w:rsid w:val="005E7FC6"/>
    <w:rsid w:val="005F0B04"/>
    <w:rsid w:val="005F7E00"/>
    <w:rsid w:val="0060041A"/>
    <w:rsid w:val="00605B68"/>
    <w:rsid w:val="00606DC6"/>
    <w:rsid w:val="00607076"/>
    <w:rsid w:val="0061308B"/>
    <w:rsid w:val="00627496"/>
    <w:rsid w:val="006342EA"/>
    <w:rsid w:val="00634E92"/>
    <w:rsid w:val="006424E1"/>
    <w:rsid w:val="00645252"/>
    <w:rsid w:val="006471DD"/>
    <w:rsid w:val="00652174"/>
    <w:rsid w:val="00653D69"/>
    <w:rsid w:val="00654837"/>
    <w:rsid w:val="00665747"/>
    <w:rsid w:val="006700EF"/>
    <w:rsid w:val="00671D71"/>
    <w:rsid w:val="00673C48"/>
    <w:rsid w:val="00674CF7"/>
    <w:rsid w:val="00677F44"/>
    <w:rsid w:val="0068195B"/>
    <w:rsid w:val="0068757E"/>
    <w:rsid w:val="00693156"/>
    <w:rsid w:val="00695B79"/>
    <w:rsid w:val="0069748D"/>
    <w:rsid w:val="00697BAA"/>
    <w:rsid w:val="006A1D20"/>
    <w:rsid w:val="006A538D"/>
    <w:rsid w:val="006A6B06"/>
    <w:rsid w:val="006A7BD6"/>
    <w:rsid w:val="006C0074"/>
    <w:rsid w:val="006C0E74"/>
    <w:rsid w:val="006C54C4"/>
    <w:rsid w:val="006D1A58"/>
    <w:rsid w:val="006D23E0"/>
    <w:rsid w:val="006D2B01"/>
    <w:rsid w:val="006D3420"/>
    <w:rsid w:val="006D3D74"/>
    <w:rsid w:val="006D5689"/>
    <w:rsid w:val="006D7332"/>
    <w:rsid w:val="006E38E4"/>
    <w:rsid w:val="006E769F"/>
    <w:rsid w:val="006F30B4"/>
    <w:rsid w:val="006F53DA"/>
    <w:rsid w:val="006F667F"/>
    <w:rsid w:val="00702B99"/>
    <w:rsid w:val="00703DED"/>
    <w:rsid w:val="00706DAC"/>
    <w:rsid w:val="00711FB7"/>
    <w:rsid w:val="0071610A"/>
    <w:rsid w:val="007275EA"/>
    <w:rsid w:val="00730268"/>
    <w:rsid w:val="00735A6B"/>
    <w:rsid w:val="00744C24"/>
    <w:rsid w:val="00750665"/>
    <w:rsid w:val="007509B4"/>
    <w:rsid w:val="0075156D"/>
    <w:rsid w:val="00753F9B"/>
    <w:rsid w:val="00760D47"/>
    <w:rsid w:val="0076489B"/>
    <w:rsid w:val="0076516E"/>
    <w:rsid w:val="00765372"/>
    <w:rsid w:val="00765AFC"/>
    <w:rsid w:val="00767ED7"/>
    <w:rsid w:val="00770559"/>
    <w:rsid w:val="007714D0"/>
    <w:rsid w:val="007727AD"/>
    <w:rsid w:val="00773476"/>
    <w:rsid w:val="007768DF"/>
    <w:rsid w:val="00776E7E"/>
    <w:rsid w:val="007824EF"/>
    <w:rsid w:val="00785DCC"/>
    <w:rsid w:val="00786088"/>
    <w:rsid w:val="00790AF9"/>
    <w:rsid w:val="00792555"/>
    <w:rsid w:val="00793736"/>
    <w:rsid w:val="00794C07"/>
    <w:rsid w:val="007959C4"/>
    <w:rsid w:val="007A1E15"/>
    <w:rsid w:val="007A47C9"/>
    <w:rsid w:val="007B2779"/>
    <w:rsid w:val="007B2CB1"/>
    <w:rsid w:val="007B6636"/>
    <w:rsid w:val="007D170D"/>
    <w:rsid w:val="007D5243"/>
    <w:rsid w:val="007E1A56"/>
    <w:rsid w:val="007E6BA4"/>
    <w:rsid w:val="007F43AE"/>
    <w:rsid w:val="0080386E"/>
    <w:rsid w:val="00807EDC"/>
    <w:rsid w:val="008153A0"/>
    <w:rsid w:val="008202A9"/>
    <w:rsid w:val="00822154"/>
    <w:rsid w:val="008243C3"/>
    <w:rsid w:val="00833EAA"/>
    <w:rsid w:val="008343B9"/>
    <w:rsid w:val="00834F33"/>
    <w:rsid w:val="0083569A"/>
    <w:rsid w:val="008370F4"/>
    <w:rsid w:val="008433A8"/>
    <w:rsid w:val="00843816"/>
    <w:rsid w:val="00846B57"/>
    <w:rsid w:val="008533F8"/>
    <w:rsid w:val="0085385C"/>
    <w:rsid w:val="00853DB0"/>
    <w:rsid w:val="008549E5"/>
    <w:rsid w:val="00861BAB"/>
    <w:rsid w:val="00871471"/>
    <w:rsid w:val="00877540"/>
    <w:rsid w:val="0088064C"/>
    <w:rsid w:val="008813E4"/>
    <w:rsid w:val="0088288A"/>
    <w:rsid w:val="008845C4"/>
    <w:rsid w:val="008856E6"/>
    <w:rsid w:val="00885766"/>
    <w:rsid w:val="00885A44"/>
    <w:rsid w:val="00885C06"/>
    <w:rsid w:val="008A2A2E"/>
    <w:rsid w:val="008A3A7C"/>
    <w:rsid w:val="008A71AE"/>
    <w:rsid w:val="008B111A"/>
    <w:rsid w:val="008B4DB5"/>
    <w:rsid w:val="008C5236"/>
    <w:rsid w:val="008D003D"/>
    <w:rsid w:val="008D4E4E"/>
    <w:rsid w:val="008D6B1A"/>
    <w:rsid w:val="008E292F"/>
    <w:rsid w:val="008E3641"/>
    <w:rsid w:val="008E6BFD"/>
    <w:rsid w:val="008F2487"/>
    <w:rsid w:val="008F35DA"/>
    <w:rsid w:val="00900FB7"/>
    <w:rsid w:val="00907B15"/>
    <w:rsid w:val="00913104"/>
    <w:rsid w:val="00916CFF"/>
    <w:rsid w:val="00924AA1"/>
    <w:rsid w:val="0092555C"/>
    <w:rsid w:val="00930E7F"/>
    <w:rsid w:val="00933185"/>
    <w:rsid w:val="00941B90"/>
    <w:rsid w:val="009455C3"/>
    <w:rsid w:val="00955DEB"/>
    <w:rsid w:val="00957ADD"/>
    <w:rsid w:val="009619E2"/>
    <w:rsid w:val="009649AE"/>
    <w:rsid w:val="00966C57"/>
    <w:rsid w:val="00970877"/>
    <w:rsid w:val="00971187"/>
    <w:rsid w:val="0097580B"/>
    <w:rsid w:val="009769EE"/>
    <w:rsid w:val="009829E1"/>
    <w:rsid w:val="00994674"/>
    <w:rsid w:val="00994DAF"/>
    <w:rsid w:val="009A7E6C"/>
    <w:rsid w:val="009B5500"/>
    <w:rsid w:val="009C5350"/>
    <w:rsid w:val="009C704D"/>
    <w:rsid w:val="009D5F1D"/>
    <w:rsid w:val="009D7E42"/>
    <w:rsid w:val="009E63DF"/>
    <w:rsid w:val="009F4CF1"/>
    <w:rsid w:val="009F6AD1"/>
    <w:rsid w:val="00A0072A"/>
    <w:rsid w:val="00A01827"/>
    <w:rsid w:val="00A03A18"/>
    <w:rsid w:val="00A06736"/>
    <w:rsid w:val="00A06EA8"/>
    <w:rsid w:val="00A1037A"/>
    <w:rsid w:val="00A1104B"/>
    <w:rsid w:val="00A1117F"/>
    <w:rsid w:val="00A11874"/>
    <w:rsid w:val="00A157BB"/>
    <w:rsid w:val="00A22EBC"/>
    <w:rsid w:val="00A4423C"/>
    <w:rsid w:val="00A45685"/>
    <w:rsid w:val="00A45E29"/>
    <w:rsid w:val="00A50818"/>
    <w:rsid w:val="00A50C20"/>
    <w:rsid w:val="00A541D5"/>
    <w:rsid w:val="00A54A90"/>
    <w:rsid w:val="00A7005A"/>
    <w:rsid w:val="00A74A2E"/>
    <w:rsid w:val="00A77420"/>
    <w:rsid w:val="00A87AC4"/>
    <w:rsid w:val="00A91E00"/>
    <w:rsid w:val="00A9204E"/>
    <w:rsid w:val="00A930A9"/>
    <w:rsid w:val="00A95E5D"/>
    <w:rsid w:val="00AA1A42"/>
    <w:rsid w:val="00AA5E00"/>
    <w:rsid w:val="00AB1CF1"/>
    <w:rsid w:val="00AB2BBA"/>
    <w:rsid w:val="00AB7396"/>
    <w:rsid w:val="00AB7AD3"/>
    <w:rsid w:val="00AC11FC"/>
    <w:rsid w:val="00AC30C5"/>
    <w:rsid w:val="00AC5146"/>
    <w:rsid w:val="00AD1CDD"/>
    <w:rsid w:val="00AD68A2"/>
    <w:rsid w:val="00AD6E0B"/>
    <w:rsid w:val="00AE6E69"/>
    <w:rsid w:val="00AE7CD4"/>
    <w:rsid w:val="00AF09B5"/>
    <w:rsid w:val="00AF5808"/>
    <w:rsid w:val="00B00E89"/>
    <w:rsid w:val="00B06ED4"/>
    <w:rsid w:val="00B122AD"/>
    <w:rsid w:val="00B16A1D"/>
    <w:rsid w:val="00B16B4D"/>
    <w:rsid w:val="00B20323"/>
    <w:rsid w:val="00B23A55"/>
    <w:rsid w:val="00B23EBC"/>
    <w:rsid w:val="00B27B08"/>
    <w:rsid w:val="00B4237A"/>
    <w:rsid w:val="00B45275"/>
    <w:rsid w:val="00B51950"/>
    <w:rsid w:val="00B542BE"/>
    <w:rsid w:val="00B6012F"/>
    <w:rsid w:val="00B6315B"/>
    <w:rsid w:val="00B63214"/>
    <w:rsid w:val="00B636A6"/>
    <w:rsid w:val="00B74648"/>
    <w:rsid w:val="00B74E5E"/>
    <w:rsid w:val="00B766E5"/>
    <w:rsid w:val="00B8215C"/>
    <w:rsid w:val="00B8377F"/>
    <w:rsid w:val="00B83BB5"/>
    <w:rsid w:val="00B862FF"/>
    <w:rsid w:val="00B90549"/>
    <w:rsid w:val="00B96C1E"/>
    <w:rsid w:val="00BA335B"/>
    <w:rsid w:val="00BA7CA0"/>
    <w:rsid w:val="00BB2196"/>
    <w:rsid w:val="00BB3B1C"/>
    <w:rsid w:val="00BB59F4"/>
    <w:rsid w:val="00BB6D02"/>
    <w:rsid w:val="00BC17C7"/>
    <w:rsid w:val="00BC2C30"/>
    <w:rsid w:val="00BC3836"/>
    <w:rsid w:val="00BD2BB3"/>
    <w:rsid w:val="00BD7279"/>
    <w:rsid w:val="00BE070C"/>
    <w:rsid w:val="00BE1E72"/>
    <w:rsid w:val="00BE25A9"/>
    <w:rsid w:val="00BE2857"/>
    <w:rsid w:val="00BE3E65"/>
    <w:rsid w:val="00BF31E8"/>
    <w:rsid w:val="00BF49E7"/>
    <w:rsid w:val="00BF7F31"/>
    <w:rsid w:val="00C02D61"/>
    <w:rsid w:val="00C030F4"/>
    <w:rsid w:val="00C04B97"/>
    <w:rsid w:val="00C24D46"/>
    <w:rsid w:val="00C2694C"/>
    <w:rsid w:val="00C31DFC"/>
    <w:rsid w:val="00C33FAA"/>
    <w:rsid w:val="00C44925"/>
    <w:rsid w:val="00C44977"/>
    <w:rsid w:val="00C52587"/>
    <w:rsid w:val="00C55CA1"/>
    <w:rsid w:val="00C603BC"/>
    <w:rsid w:val="00C65892"/>
    <w:rsid w:val="00C660AC"/>
    <w:rsid w:val="00C6726B"/>
    <w:rsid w:val="00C67C5A"/>
    <w:rsid w:val="00C70B6C"/>
    <w:rsid w:val="00C77B6A"/>
    <w:rsid w:val="00C86893"/>
    <w:rsid w:val="00C906DC"/>
    <w:rsid w:val="00C912B9"/>
    <w:rsid w:val="00C93473"/>
    <w:rsid w:val="00C94DE0"/>
    <w:rsid w:val="00CA0973"/>
    <w:rsid w:val="00CA233B"/>
    <w:rsid w:val="00CA2899"/>
    <w:rsid w:val="00CA3DC4"/>
    <w:rsid w:val="00CB05BB"/>
    <w:rsid w:val="00CB15EE"/>
    <w:rsid w:val="00CB782D"/>
    <w:rsid w:val="00CC77CF"/>
    <w:rsid w:val="00CE25BF"/>
    <w:rsid w:val="00CE4DBC"/>
    <w:rsid w:val="00CE5DCE"/>
    <w:rsid w:val="00CF13C8"/>
    <w:rsid w:val="00CF18D5"/>
    <w:rsid w:val="00CF2B90"/>
    <w:rsid w:val="00D004E8"/>
    <w:rsid w:val="00D04B0B"/>
    <w:rsid w:val="00D06C5D"/>
    <w:rsid w:val="00D07A1D"/>
    <w:rsid w:val="00D10035"/>
    <w:rsid w:val="00D10B27"/>
    <w:rsid w:val="00D126E7"/>
    <w:rsid w:val="00D13641"/>
    <w:rsid w:val="00D15579"/>
    <w:rsid w:val="00D16A03"/>
    <w:rsid w:val="00D25CF5"/>
    <w:rsid w:val="00D26BC3"/>
    <w:rsid w:val="00D34CCE"/>
    <w:rsid w:val="00D37638"/>
    <w:rsid w:val="00D47A57"/>
    <w:rsid w:val="00D503B6"/>
    <w:rsid w:val="00D510F9"/>
    <w:rsid w:val="00D51A54"/>
    <w:rsid w:val="00D56C82"/>
    <w:rsid w:val="00D571CD"/>
    <w:rsid w:val="00D60799"/>
    <w:rsid w:val="00D64A8E"/>
    <w:rsid w:val="00D679F9"/>
    <w:rsid w:val="00D73C74"/>
    <w:rsid w:val="00D76477"/>
    <w:rsid w:val="00D770CE"/>
    <w:rsid w:val="00D850F9"/>
    <w:rsid w:val="00D85CDF"/>
    <w:rsid w:val="00D87BC8"/>
    <w:rsid w:val="00D90CD3"/>
    <w:rsid w:val="00D94BB7"/>
    <w:rsid w:val="00DA17E6"/>
    <w:rsid w:val="00DA1E4C"/>
    <w:rsid w:val="00DA55A5"/>
    <w:rsid w:val="00DA55CF"/>
    <w:rsid w:val="00DA6105"/>
    <w:rsid w:val="00DA7D5A"/>
    <w:rsid w:val="00DB1E7B"/>
    <w:rsid w:val="00DB2609"/>
    <w:rsid w:val="00DB277F"/>
    <w:rsid w:val="00DB3F74"/>
    <w:rsid w:val="00DB45E9"/>
    <w:rsid w:val="00DC0A23"/>
    <w:rsid w:val="00DC2281"/>
    <w:rsid w:val="00DC63CE"/>
    <w:rsid w:val="00DC6D29"/>
    <w:rsid w:val="00DD1509"/>
    <w:rsid w:val="00DD2E05"/>
    <w:rsid w:val="00DD3A16"/>
    <w:rsid w:val="00DD5D49"/>
    <w:rsid w:val="00DD5D50"/>
    <w:rsid w:val="00DE001B"/>
    <w:rsid w:val="00DE0A47"/>
    <w:rsid w:val="00DF4540"/>
    <w:rsid w:val="00E0289C"/>
    <w:rsid w:val="00E03917"/>
    <w:rsid w:val="00E04A86"/>
    <w:rsid w:val="00E1510D"/>
    <w:rsid w:val="00E156CC"/>
    <w:rsid w:val="00E16A81"/>
    <w:rsid w:val="00E23F03"/>
    <w:rsid w:val="00E24721"/>
    <w:rsid w:val="00E24D21"/>
    <w:rsid w:val="00E26599"/>
    <w:rsid w:val="00E32863"/>
    <w:rsid w:val="00E40359"/>
    <w:rsid w:val="00E41347"/>
    <w:rsid w:val="00E41843"/>
    <w:rsid w:val="00E4528D"/>
    <w:rsid w:val="00E4737A"/>
    <w:rsid w:val="00E5587F"/>
    <w:rsid w:val="00E60E5C"/>
    <w:rsid w:val="00E62075"/>
    <w:rsid w:val="00E6220E"/>
    <w:rsid w:val="00E71B0C"/>
    <w:rsid w:val="00E721AB"/>
    <w:rsid w:val="00E74A72"/>
    <w:rsid w:val="00E77D0C"/>
    <w:rsid w:val="00E807DA"/>
    <w:rsid w:val="00E82244"/>
    <w:rsid w:val="00E910E7"/>
    <w:rsid w:val="00E931A1"/>
    <w:rsid w:val="00E9514E"/>
    <w:rsid w:val="00EA2741"/>
    <w:rsid w:val="00EA4765"/>
    <w:rsid w:val="00EA7B09"/>
    <w:rsid w:val="00EB0150"/>
    <w:rsid w:val="00EB63DB"/>
    <w:rsid w:val="00EB7827"/>
    <w:rsid w:val="00EC00F9"/>
    <w:rsid w:val="00EC1C47"/>
    <w:rsid w:val="00ED0DF5"/>
    <w:rsid w:val="00ED1459"/>
    <w:rsid w:val="00ED40B0"/>
    <w:rsid w:val="00EE3181"/>
    <w:rsid w:val="00EE34D1"/>
    <w:rsid w:val="00EE3550"/>
    <w:rsid w:val="00EE57CC"/>
    <w:rsid w:val="00EE6D65"/>
    <w:rsid w:val="00EF1DBF"/>
    <w:rsid w:val="00EF61D0"/>
    <w:rsid w:val="00F01A24"/>
    <w:rsid w:val="00F02E2B"/>
    <w:rsid w:val="00F02E3A"/>
    <w:rsid w:val="00F030F1"/>
    <w:rsid w:val="00F04FD4"/>
    <w:rsid w:val="00F14AE0"/>
    <w:rsid w:val="00F14BCD"/>
    <w:rsid w:val="00F14BE6"/>
    <w:rsid w:val="00F17C67"/>
    <w:rsid w:val="00F34704"/>
    <w:rsid w:val="00F34BD6"/>
    <w:rsid w:val="00F36170"/>
    <w:rsid w:val="00F43634"/>
    <w:rsid w:val="00F46A7E"/>
    <w:rsid w:val="00F47CAC"/>
    <w:rsid w:val="00F47D1D"/>
    <w:rsid w:val="00F512C5"/>
    <w:rsid w:val="00F51C52"/>
    <w:rsid w:val="00F563EF"/>
    <w:rsid w:val="00F6144C"/>
    <w:rsid w:val="00F6379D"/>
    <w:rsid w:val="00F70392"/>
    <w:rsid w:val="00F774F4"/>
    <w:rsid w:val="00F8208E"/>
    <w:rsid w:val="00F822EC"/>
    <w:rsid w:val="00F8434B"/>
    <w:rsid w:val="00F85CEB"/>
    <w:rsid w:val="00F96E4D"/>
    <w:rsid w:val="00F97462"/>
    <w:rsid w:val="00FA2B94"/>
    <w:rsid w:val="00FA3877"/>
    <w:rsid w:val="00FA4F41"/>
    <w:rsid w:val="00FA5AD6"/>
    <w:rsid w:val="00FA5E12"/>
    <w:rsid w:val="00FB1151"/>
    <w:rsid w:val="00FB3451"/>
    <w:rsid w:val="00FB346F"/>
    <w:rsid w:val="00FB349C"/>
    <w:rsid w:val="00FB5D1C"/>
    <w:rsid w:val="00FC29ED"/>
    <w:rsid w:val="00FC4FA2"/>
    <w:rsid w:val="00FC6D96"/>
    <w:rsid w:val="00FD1B6F"/>
    <w:rsid w:val="00FD2CA7"/>
    <w:rsid w:val="00FE01A7"/>
    <w:rsid w:val="00FE69D6"/>
    <w:rsid w:val="00FE78B6"/>
    <w:rsid w:val="00FF4C6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8765539"/>
  <w15:docId w15:val="{B1C89B19-7101-4F18-AA31-92E9D4AA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76516E"/>
    <w:pPr>
      <w:ind w:left="720"/>
      <w:contextualSpacing/>
    </w:pPr>
  </w:style>
  <w:style w:type="character" w:styleId="UnresolvedMention">
    <w:name w:val="Unresolved Mention"/>
    <w:basedOn w:val="DefaultParagraphFont"/>
    <w:uiPriority w:val="99"/>
    <w:semiHidden/>
    <w:unhideWhenUsed/>
    <w:rsid w:val="00B83BB5"/>
    <w:rPr>
      <w:color w:val="605E5C"/>
      <w:shd w:val="clear" w:color="auto" w:fill="E1DFDD"/>
    </w:rPr>
  </w:style>
  <w:style w:type="paragraph" w:styleId="Revision">
    <w:name w:val="Revision"/>
    <w:hidden/>
    <w:uiPriority w:val="99"/>
    <w:semiHidden/>
    <w:rsid w:val="00E2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scresearchcenter.org/wp-content/uploads/NSC_SCHOOL_CODE_TO_IPEDS_UNIT_ID_XWALK_APR-2023.xlsx"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scresearchcenter.org/wp-content/uploads/CREDENTIALLookup_20240418.xlsx" TargetMode="External" /><Relationship Id="rId8" Type="http://schemas.openxmlformats.org/officeDocument/2006/relationships/hyperlink" Target="https://nscresearchcenter.org/wp-content/uploads/Reporting_of_NSC_Additional_Data_Elements.pdf" TargetMode="External" /><Relationship Id="rId9" Type="http://schemas.openxmlformats.org/officeDocument/2006/relationships/hyperlink" Target="https://view.officeapps.live.com/op/view.aspx?src=https%3A%2F%2Fnscresearchcenter.org%2Fwp-content%2Fuploads%2FEnrollment-Coverage-2017-2022.xlsx&amp;wdOrigin=BROWSELINK"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arbeit\AppData\Local\Microsoft\Office\16.0\DTS\en-US%7B7528B5EF-138B-44E5-8C14-8EFE9575CD21%7D\%7BA97F8F76-5340-4AC9-A28C-7D9016D90885%7Dtf02786999_win3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{A97F8F76-5340-4AC9-A28C-7D9016D90885}tf02786999_win32</Template>
  <TotalTime>11</TotalTime>
  <Pages>6</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 International</dc:creator>
  <cp:lastModifiedBy>Yamaner, Michael I</cp:lastModifiedBy>
  <cp:revision>4</cp:revision>
  <dcterms:created xsi:type="dcterms:W3CDTF">2026-05-28T19:15:00Z</dcterms:created>
  <dcterms:modified xsi:type="dcterms:W3CDTF">2026-06-09T13:50:00Z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ScenarioTags">
    <vt:lpwstr/>
  </property>
</Properties>
</file>