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7C62" w:rsidRPr="00CA1752" w:rsidP="00ED010C" w14:paraId="4898DF17" w14:textId="309446DF">
      <w:pPr>
        <w:rPr>
          <w:rFonts w:eastAsia="Times New Roman" w:cs="Times New Roman"/>
          <w:sz w:val="20"/>
          <w:szCs w:val="20"/>
        </w:rPr>
      </w:pPr>
      <w:r>
        <w:rPr>
          <w:rFonts w:eastAsia="Times New Roman" w:cs="Times New Roman"/>
          <w:sz w:val="20"/>
          <w:szCs w:val="20"/>
        </w:rPr>
        <w:t xml:space="preserve">  </w:t>
      </w:r>
    </w:p>
    <w:p w:rsidR="005F7C62" w:rsidRPr="00CA1752" w:rsidP="00ED010C" w14:paraId="2BB35EA2" w14:textId="77777777">
      <w:pPr>
        <w:rPr>
          <w:rFonts w:eastAsia="Times New Roman" w:cs="Times New Roman"/>
          <w:sz w:val="20"/>
          <w:szCs w:val="20"/>
        </w:rPr>
      </w:pPr>
    </w:p>
    <w:p w:rsidR="005F7C62" w:rsidRPr="00CA1752" w:rsidP="00ED010C" w14:paraId="1B422833" w14:textId="77777777">
      <w:pPr>
        <w:rPr>
          <w:rFonts w:eastAsia="Times New Roman" w:cs="Times New Roman"/>
          <w:sz w:val="20"/>
          <w:szCs w:val="20"/>
        </w:rPr>
      </w:pPr>
    </w:p>
    <w:p w:rsidR="005F7C62" w:rsidRPr="00CA1752" w:rsidP="00ED010C" w14:paraId="540CDA9B" w14:textId="77777777">
      <w:pPr>
        <w:rPr>
          <w:rFonts w:eastAsia="Times New Roman" w:cs="Times New Roman"/>
          <w:sz w:val="20"/>
          <w:szCs w:val="20"/>
        </w:rPr>
      </w:pPr>
    </w:p>
    <w:p w:rsidR="005F7C62" w:rsidRPr="00CA1752" w:rsidP="00342B07" w14:paraId="0C2B615A" w14:textId="77777777">
      <w:pPr>
        <w:rPr>
          <w:rFonts w:eastAsia="Times New Roman" w:cs="Times New Roman"/>
          <w:sz w:val="23"/>
          <w:szCs w:val="23"/>
        </w:rPr>
      </w:pPr>
    </w:p>
    <w:p w:rsidR="00894A54" w:rsidRPr="00CA1752" w:rsidP="00342B07" w14:paraId="77426287" w14:textId="0A795437">
      <w:pPr>
        <w:ind w:right="119"/>
        <w:jc w:val="right"/>
        <w:rPr>
          <w:rFonts w:eastAsia="Times New Roman" w:cs="Times New Roman"/>
          <w:spacing w:val="-22"/>
          <w:sz w:val="56"/>
          <w:szCs w:val="56"/>
        </w:rPr>
      </w:pPr>
      <w:r>
        <w:rPr>
          <w:rFonts w:eastAsia="Times New Roman" w:cs="Times New Roman"/>
          <w:spacing w:val="-22"/>
          <w:sz w:val="56"/>
          <w:szCs w:val="56"/>
        </w:rPr>
        <w:t>202</w:t>
      </w:r>
      <w:r w:rsidR="008C426B">
        <w:rPr>
          <w:rFonts w:eastAsia="Times New Roman" w:cs="Times New Roman"/>
          <w:spacing w:val="-22"/>
          <w:sz w:val="56"/>
          <w:szCs w:val="56"/>
        </w:rPr>
        <w:t>6</w:t>
      </w:r>
      <w:r>
        <w:rPr>
          <w:rFonts w:eastAsia="Times New Roman" w:cs="Times New Roman"/>
          <w:spacing w:val="-22"/>
          <w:sz w:val="56"/>
          <w:szCs w:val="56"/>
        </w:rPr>
        <w:t>-</w:t>
      </w:r>
      <w:r w:rsidR="00114B77">
        <w:rPr>
          <w:rFonts w:eastAsia="Times New Roman" w:cs="Times New Roman"/>
          <w:spacing w:val="-22"/>
          <w:sz w:val="56"/>
          <w:szCs w:val="56"/>
        </w:rPr>
        <w:t>20</w:t>
      </w:r>
      <w:r>
        <w:rPr>
          <w:rFonts w:eastAsia="Times New Roman" w:cs="Times New Roman"/>
          <w:spacing w:val="-22"/>
          <w:sz w:val="56"/>
          <w:szCs w:val="56"/>
        </w:rPr>
        <w:t>2</w:t>
      </w:r>
      <w:r w:rsidR="008C426B">
        <w:rPr>
          <w:rFonts w:eastAsia="Times New Roman" w:cs="Times New Roman"/>
          <w:spacing w:val="-22"/>
          <w:sz w:val="56"/>
          <w:szCs w:val="56"/>
        </w:rPr>
        <w:t>8</w:t>
      </w:r>
    </w:p>
    <w:p w:rsidR="005F7C62" w:rsidRPr="00CA1752" w:rsidP="00342B07" w14:paraId="48CAD505" w14:textId="77777777">
      <w:pPr>
        <w:ind w:right="119"/>
        <w:jc w:val="right"/>
        <w:rPr>
          <w:rFonts w:eastAsia="Times New Roman" w:cs="Times New Roman"/>
          <w:sz w:val="56"/>
          <w:szCs w:val="56"/>
        </w:rPr>
      </w:pPr>
      <w:r w:rsidRPr="00CA1752">
        <w:rPr>
          <w:rFonts w:eastAsia="Times New Roman" w:cs="Times New Roman"/>
          <w:sz w:val="56"/>
          <w:szCs w:val="56"/>
        </w:rPr>
        <w:t>Survey</w:t>
      </w:r>
      <w:r w:rsidRPr="00CA1752">
        <w:rPr>
          <w:rFonts w:eastAsia="Times New Roman" w:cs="Times New Roman"/>
          <w:spacing w:val="-21"/>
          <w:sz w:val="56"/>
          <w:szCs w:val="56"/>
        </w:rPr>
        <w:t xml:space="preserve"> </w:t>
      </w:r>
      <w:r w:rsidRPr="00CA1752">
        <w:rPr>
          <w:rFonts w:eastAsia="Times New Roman" w:cs="Times New Roman"/>
          <w:spacing w:val="-1"/>
          <w:sz w:val="56"/>
          <w:szCs w:val="56"/>
        </w:rPr>
        <w:t>of</w:t>
      </w:r>
      <w:r w:rsidRPr="00CA1752">
        <w:rPr>
          <w:rFonts w:eastAsia="Times New Roman" w:cs="Times New Roman"/>
          <w:spacing w:val="-22"/>
          <w:sz w:val="56"/>
          <w:szCs w:val="56"/>
        </w:rPr>
        <w:t xml:space="preserve"> </w:t>
      </w:r>
      <w:r w:rsidRPr="00CA1752">
        <w:rPr>
          <w:rFonts w:eastAsia="Times New Roman" w:cs="Times New Roman"/>
          <w:spacing w:val="-1"/>
          <w:sz w:val="56"/>
          <w:szCs w:val="56"/>
        </w:rPr>
        <w:t>Graduate</w:t>
      </w:r>
      <w:r w:rsidRPr="00CA1752">
        <w:rPr>
          <w:rFonts w:eastAsia="Times New Roman" w:cs="Times New Roman"/>
          <w:spacing w:val="-21"/>
          <w:sz w:val="56"/>
          <w:szCs w:val="56"/>
        </w:rPr>
        <w:t xml:space="preserve"> </w:t>
      </w:r>
      <w:r w:rsidRPr="00CA1752">
        <w:rPr>
          <w:rFonts w:eastAsia="Times New Roman" w:cs="Times New Roman"/>
          <w:sz w:val="56"/>
          <w:szCs w:val="56"/>
        </w:rPr>
        <w:t>Students</w:t>
      </w:r>
    </w:p>
    <w:p w:rsidR="005F7C62" w:rsidRPr="00CA1752" w:rsidP="00ED010C" w14:paraId="285B03F3" w14:textId="77777777">
      <w:pPr>
        <w:ind w:left="2975" w:right="118" w:firstLine="2070"/>
        <w:jc w:val="right"/>
        <w:rPr>
          <w:rFonts w:eastAsia="Times New Roman" w:cs="Times New Roman"/>
          <w:sz w:val="56"/>
          <w:szCs w:val="56"/>
        </w:rPr>
      </w:pPr>
      <w:r w:rsidRPr="00CA1752">
        <w:rPr>
          <w:spacing w:val="-1"/>
          <w:sz w:val="56"/>
        </w:rPr>
        <w:t>and</w:t>
      </w:r>
      <w:r w:rsidRPr="00CA1752">
        <w:rPr>
          <w:spacing w:val="-41"/>
          <w:sz w:val="56"/>
        </w:rPr>
        <w:t xml:space="preserve"> </w:t>
      </w:r>
      <w:r w:rsidRPr="00CA1752">
        <w:rPr>
          <w:spacing w:val="-1"/>
          <w:sz w:val="56"/>
        </w:rPr>
        <w:t>Postdoctorates</w:t>
      </w:r>
      <w:r w:rsidRPr="00CA1752">
        <w:rPr>
          <w:spacing w:val="27"/>
          <w:w w:val="99"/>
          <w:sz w:val="56"/>
        </w:rPr>
        <w:t xml:space="preserve"> </w:t>
      </w:r>
      <w:r w:rsidRPr="00CA1752">
        <w:rPr>
          <w:sz w:val="56"/>
        </w:rPr>
        <w:t>in</w:t>
      </w:r>
      <w:r w:rsidRPr="00CA1752">
        <w:rPr>
          <w:spacing w:val="-20"/>
          <w:sz w:val="56"/>
        </w:rPr>
        <w:t xml:space="preserve"> </w:t>
      </w:r>
      <w:r w:rsidRPr="00CA1752">
        <w:rPr>
          <w:spacing w:val="-1"/>
          <w:sz w:val="56"/>
        </w:rPr>
        <w:t>Science</w:t>
      </w:r>
      <w:r w:rsidRPr="00CA1752">
        <w:rPr>
          <w:spacing w:val="-19"/>
          <w:sz w:val="56"/>
        </w:rPr>
        <w:t xml:space="preserve"> </w:t>
      </w:r>
      <w:r w:rsidRPr="00CA1752">
        <w:rPr>
          <w:spacing w:val="-1"/>
          <w:sz w:val="56"/>
        </w:rPr>
        <w:t>and</w:t>
      </w:r>
      <w:r w:rsidRPr="00CA1752">
        <w:rPr>
          <w:spacing w:val="-19"/>
          <w:sz w:val="56"/>
        </w:rPr>
        <w:t xml:space="preserve"> </w:t>
      </w:r>
      <w:r w:rsidRPr="00CA1752">
        <w:rPr>
          <w:sz w:val="56"/>
        </w:rPr>
        <w:t>Engineering</w:t>
      </w:r>
    </w:p>
    <w:p w:rsidR="005F7C62" w:rsidRPr="00CA1752" w:rsidP="00342B07" w14:paraId="46B340AB" w14:textId="77777777">
      <w:pPr>
        <w:rPr>
          <w:rFonts w:eastAsia="Times New Roman" w:cs="Times New Roman"/>
          <w:sz w:val="56"/>
          <w:szCs w:val="56"/>
        </w:rPr>
      </w:pPr>
    </w:p>
    <w:p w:rsidR="005F7C62" w:rsidP="003E1136" w14:paraId="65C4AD38" w14:textId="77777777">
      <w:pPr>
        <w:spacing w:after="240"/>
        <w:ind w:right="115"/>
        <w:jc w:val="right"/>
        <w:rPr>
          <w:spacing w:val="-1"/>
          <w:sz w:val="56"/>
        </w:rPr>
      </w:pPr>
      <w:r w:rsidRPr="00CA1752">
        <w:rPr>
          <w:sz w:val="56"/>
        </w:rPr>
        <w:t>OMB</w:t>
      </w:r>
      <w:r w:rsidRPr="00CA1752">
        <w:rPr>
          <w:spacing w:val="-32"/>
          <w:sz w:val="56"/>
        </w:rPr>
        <w:t xml:space="preserve"> </w:t>
      </w:r>
      <w:r w:rsidRPr="00CA1752">
        <w:rPr>
          <w:sz w:val="56"/>
        </w:rPr>
        <w:t>Supporting</w:t>
      </w:r>
      <w:r w:rsidRPr="00CA1752">
        <w:rPr>
          <w:spacing w:val="-31"/>
          <w:sz w:val="56"/>
        </w:rPr>
        <w:t xml:space="preserve"> </w:t>
      </w:r>
      <w:r w:rsidRPr="00CA1752">
        <w:rPr>
          <w:spacing w:val="-1"/>
          <w:sz w:val="56"/>
        </w:rPr>
        <w:t>Statement</w:t>
      </w:r>
    </w:p>
    <w:p w:rsidR="003E1136" w:rsidRPr="00CA1752" w:rsidP="003E1136" w14:paraId="45363A06" w14:textId="77777777">
      <w:pPr>
        <w:spacing w:after="360"/>
        <w:ind w:right="115"/>
        <w:jc w:val="right"/>
        <w:rPr>
          <w:rFonts w:eastAsia="Times New Roman" w:cs="Times New Roman"/>
          <w:sz w:val="56"/>
          <w:szCs w:val="56"/>
        </w:rPr>
      </w:pPr>
      <w:r>
        <w:rPr>
          <w:spacing w:val="-1"/>
          <w:sz w:val="56"/>
        </w:rPr>
        <w:t>Section A</w:t>
      </w:r>
    </w:p>
    <w:p w:rsidR="005F7C62" w:rsidRPr="00CA1752" w:rsidP="00ED010C" w14:paraId="4C5CDB9C" w14:textId="77777777">
      <w:pPr>
        <w:rPr>
          <w:rFonts w:eastAsia="Times New Roman" w:cs="Times New Roman"/>
          <w:sz w:val="56"/>
          <w:szCs w:val="56"/>
        </w:rPr>
      </w:pPr>
    </w:p>
    <w:p w:rsidR="005F7C62" w:rsidRPr="00CA1752" w:rsidP="00ED010C" w14:paraId="2161CAF0" w14:textId="77777777">
      <w:pPr>
        <w:rPr>
          <w:rFonts w:eastAsia="Times New Roman" w:cs="Times New Roman"/>
          <w:sz w:val="56"/>
          <w:szCs w:val="56"/>
        </w:rPr>
      </w:pPr>
    </w:p>
    <w:p w:rsidR="005F7C62" w:rsidRPr="00CA1752" w:rsidP="00ED010C" w14:paraId="3FB315CE" w14:textId="77777777">
      <w:pPr>
        <w:rPr>
          <w:rFonts w:eastAsia="Times New Roman" w:cs="Times New Roman"/>
          <w:sz w:val="56"/>
          <w:szCs w:val="56"/>
        </w:rPr>
      </w:pPr>
    </w:p>
    <w:p w:rsidR="005F7C62" w:rsidRPr="00CA1752" w:rsidP="00ED010C" w14:paraId="545857A7" w14:textId="77777777">
      <w:pPr>
        <w:rPr>
          <w:rFonts w:eastAsia="Times New Roman" w:cs="Times New Roman"/>
          <w:sz w:val="56"/>
          <w:szCs w:val="56"/>
        </w:rPr>
      </w:pPr>
    </w:p>
    <w:p w:rsidR="005F7C62" w:rsidRPr="00CA1752" w:rsidP="00342B07" w14:paraId="5C277703" w14:textId="77777777">
      <w:pPr>
        <w:rPr>
          <w:rFonts w:eastAsia="Times New Roman" w:cs="Times New Roman"/>
          <w:sz w:val="47"/>
          <w:szCs w:val="47"/>
        </w:rPr>
      </w:pPr>
    </w:p>
    <w:p w:rsidR="005F7C62" w:rsidRPr="00CA1752" w:rsidP="00ED010C" w14:paraId="710D83A8" w14:textId="0D79FC50">
      <w:pPr>
        <w:ind w:right="115"/>
        <w:jc w:val="right"/>
        <w:rPr>
          <w:rFonts w:eastAsia="Times New Roman" w:cs="Times New Roman"/>
          <w:sz w:val="36"/>
          <w:szCs w:val="36"/>
        </w:rPr>
      </w:pPr>
      <w:r>
        <w:rPr>
          <w:sz w:val="36"/>
        </w:rPr>
        <w:t>June</w:t>
      </w:r>
      <w:r w:rsidR="008C426B">
        <w:rPr>
          <w:sz w:val="36"/>
        </w:rPr>
        <w:t xml:space="preserve"> </w:t>
      </w:r>
      <w:r w:rsidR="00B47DFF">
        <w:rPr>
          <w:sz w:val="36"/>
        </w:rPr>
        <w:t>202</w:t>
      </w:r>
      <w:r w:rsidR="008C426B">
        <w:rPr>
          <w:sz w:val="36"/>
        </w:rPr>
        <w:t>6</w:t>
      </w:r>
    </w:p>
    <w:p w:rsidR="005F7C62" w:rsidRPr="00CA1752" w:rsidP="00ED010C" w14:paraId="2E80AE81" w14:textId="77777777">
      <w:pPr>
        <w:jc w:val="right"/>
        <w:rPr>
          <w:rFonts w:eastAsia="Times New Roman" w:cs="Times New Roman"/>
          <w:sz w:val="36"/>
          <w:szCs w:val="36"/>
        </w:rPr>
        <w:sectPr w:rsidSect="006465DF">
          <w:footerReference w:type="default" r:id="rId6"/>
          <w:type w:val="oddPage"/>
          <w:pgSz w:w="12240" w:h="15840" w:code="1"/>
          <w:pgMar w:top="1440" w:right="1440" w:bottom="1440" w:left="1440" w:header="720" w:footer="720" w:gutter="0"/>
          <w:cols w:space="720"/>
          <w:titlePg/>
          <w:docGrid w:linePitch="326"/>
        </w:sectPr>
      </w:pPr>
    </w:p>
    <w:p w:rsidR="005F7C62" w:rsidP="00EB2637" w14:paraId="19B3690D" w14:textId="77777777">
      <w:pPr>
        <w:pStyle w:val="TOC0"/>
      </w:pPr>
      <w:bookmarkStart w:id="0" w:name="_Toc488073257"/>
      <w:bookmarkStart w:id="1" w:name="_Toc490122263"/>
      <w:r w:rsidRPr="007044A5">
        <w:t>TABLE OF</w:t>
      </w:r>
      <w:r w:rsidRPr="007044A5">
        <w:rPr>
          <w:spacing w:val="-3"/>
        </w:rPr>
        <w:t xml:space="preserve"> </w:t>
      </w:r>
      <w:r w:rsidRPr="007044A5">
        <w:t>CONTENTS</w:t>
      </w:r>
      <w:bookmarkEnd w:id="0"/>
      <w:bookmarkEnd w:id="1"/>
    </w:p>
    <w:sdt>
      <w:sdtPr>
        <w:rPr>
          <w:rFonts w:eastAsia="Times New Roman"/>
          <w:b w:val="0"/>
          <w:spacing w:val="0"/>
          <w:szCs w:val="24"/>
        </w:rPr>
        <w:id w:val="-230316862"/>
        <w:docPartObj>
          <w:docPartGallery w:val="Table of Contents"/>
          <w:docPartUnique/>
        </w:docPartObj>
      </w:sdtPr>
      <w:sdtEndPr>
        <w:rPr>
          <w:bCs/>
          <w:noProof/>
        </w:rPr>
      </w:sdtEndPr>
      <w:sdtContent>
        <w:p w:rsidR="006465DF" w:rsidP="003E1136" w14:paraId="6C9D2EF8" w14:textId="77777777">
          <w:pPr>
            <w:pStyle w:val="TOCHead"/>
            <w:jc w:val="left"/>
            <w:rPr>
              <w:noProof/>
            </w:rPr>
          </w:pPr>
          <w:r w:rsidRPr="0010487F">
            <w:rPr>
              <w:b w:val="0"/>
              <w:bCs/>
            </w:rPr>
            <w:t>Section</w:t>
          </w:r>
          <w:r>
            <w:fldChar w:fldCharType="begin"/>
          </w:r>
          <w:r w:rsidR="00AA2131">
            <w:instrText xml:space="preserve"> TOC \o "2-9" \h \z \t "Heading 1,1,App Heading 1,1" </w:instrText>
          </w:r>
          <w:r>
            <w:fldChar w:fldCharType="separate"/>
          </w:r>
        </w:p>
        <w:p w:rsidR="006465DF" w:rsidRPr="0010487F" w14:paraId="651FE251" w14:textId="06675EB6">
          <w:pPr>
            <w:pStyle w:val="TOC1"/>
            <w:tabs>
              <w:tab w:val="left" w:pos="1371"/>
              <w:tab w:val="right" w:pos="9980"/>
            </w:tabs>
            <w:rPr>
              <w:rFonts w:asciiTheme="minorHAnsi" w:eastAsiaTheme="minorEastAsia" w:hAnsiTheme="minorHAnsi"/>
              <w:b w:val="0"/>
              <w:bCs/>
              <w:noProof/>
              <w:kern w:val="2"/>
              <w14:ligatures w14:val="standardContextual"/>
            </w:rPr>
          </w:pPr>
          <w:hyperlink w:anchor="_Toc225442519" w:history="1">
            <w:r w:rsidRPr="0010487F">
              <w:rPr>
                <w:rStyle w:val="Hyperlink"/>
                <w:b w:val="0"/>
                <w:bCs/>
                <w:noProof/>
              </w:rPr>
              <w:t>A.</w:t>
            </w:r>
            <w:r w:rsidRPr="0010487F">
              <w:rPr>
                <w:rFonts w:asciiTheme="minorHAnsi" w:eastAsiaTheme="minorEastAsia" w:hAnsiTheme="minorHAnsi"/>
                <w:b w:val="0"/>
                <w:bCs/>
                <w:noProof/>
                <w:kern w:val="2"/>
                <w14:ligatures w14:val="standardContextual"/>
              </w:rPr>
              <w:tab/>
            </w:r>
            <w:r w:rsidRPr="0010487F">
              <w:rPr>
                <w:rStyle w:val="Hyperlink"/>
                <w:b w:val="0"/>
                <w:bCs/>
                <w:noProof/>
              </w:rPr>
              <w:t>JUSTIFICATION</w:t>
            </w:r>
            <w:r w:rsidRPr="0010487F">
              <w:rPr>
                <w:b w:val="0"/>
                <w:bCs/>
                <w:noProof/>
                <w:webHidden/>
              </w:rPr>
              <w:tab/>
            </w:r>
            <w:r w:rsidRPr="0010487F">
              <w:rPr>
                <w:b w:val="0"/>
                <w:bCs/>
                <w:noProof/>
                <w:webHidden/>
              </w:rPr>
              <w:fldChar w:fldCharType="begin"/>
            </w:r>
            <w:r w:rsidRPr="0010487F">
              <w:rPr>
                <w:b w:val="0"/>
                <w:bCs/>
                <w:noProof/>
                <w:webHidden/>
              </w:rPr>
              <w:instrText xml:space="preserve"> PAGEREF _Toc225442519 \h </w:instrText>
            </w:r>
            <w:r w:rsidRPr="0010487F">
              <w:rPr>
                <w:b w:val="0"/>
                <w:bCs/>
                <w:noProof/>
                <w:webHidden/>
              </w:rPr>
              <w:fldChar w:fldCharType="separate"/>
            </w:r>
            <w:r w:rsidRPr="0010487F">
              <w:rPr>
                <w:b w:val="0"/>
                <w:bCs/>
                <w:noProof/>
                <w:webHidden/>
              </w:rPr>
              <w:t>1</w:t>
            </w:r>
            <w:r w:rsidRPr="0010487F">
              <w:rPr>
                <w:b w:val="0"/>
                <w:bCs/>
                <w:noProof/>
                <w:webHidden/>
              </w:rPr>
              <w:fldChar w:fldCharType="end"/>
            </w:r>
          </w:hyperlink>
        </w:p>
        <w:p w:rsidR="006465DF" w14:paraId="133A31F1" w14:textId="630DE64B">
          <w:pPr>
            <w:pStyle w:val="TOC2"/>
            <w:tabs>
              <w:tab w:val="left" w:pos="1371"/>
              <w:tab w:val="right" w:pos="9980"/>
            </w:tabs>
            <w:rPr>
              <w:rFonts w:asciiTheme="minorHAnsi" w:eastAsiaTheme="minorEastAsia" w:hAnsiTheme="minorHAnsi"/>
              <w:noProof/>
              <w:kern w:val="2"/>
              <w14:ligatures w14:val="standardContextual"/>
            </w:rPr>
          </w:pPr>
          <w:hyperlink w:anchor="_Toc225442520" w:history="1">
            <w:r w:rsidRPr="00F31C91">
              <w:rPr>
                <w:rStyle w:val="Hyperlink"/>
                <w:noProof/>
              </w:rPr>
              <w:t>A.1</w:t>
            </w:r>
            <w:r>
              <w:rPr>
                <w:rFonts w:asciiTheme="minorHAnsi" w:eastAsiaTheme="minorEastAsia" w:hAnsiTheme="minorHAnsi"/>
                <w:noProof/>
                <w:kern w:val="2"/>
                <w14:ligatures w14:val="standardContextual"/>
              </w:rPr>
              <w:tab/>
            </w:r>
            <w:r w:rsidRPr="00F31C91">
              <w:rPr>
                <w:rStyle w:val="Hyperlink"/>
                <w:noProof/>
              </w:rPr>
              <w:t>Necessity for Information Collection</w:t>
            </w:r>
            <w:r>
              <w:rPr>
                <w:noProof/>
                <w:webHidden/>
              </w:rPr>
              <w:tab/>
            </w:r>
            <w:r>
              <w:rPr>
                <w:noProof/>
                <w:webHidden/>
              </w:rPr>
              <w:fldChar w:fldCharType="begin"/>
            </w:r>
            <w:r>
              <w:rPr>
                <w:noProof/>
                <w:webHidden/>
              </w:rPr>
              <w:instrText xml:space="preserve"> PAGEREF _Toc225442520 \h </w:instrText>
            </w:r>
            <w:r>
              <w:rPr>
                <w:noProof/>
                <w:webHidden/>
              </w:rPr>
              <w:fldChar w:fldCharType="separate"/>
            </w:r>
            <w:r>
              <w:rPr>
                <w:noProof/>
                <w:webHidden/>
              </w:rPr>
              <w:t>1</w:t>
            </w:r>
            <w:r>
              <w:rPr>
                <w:noProof/>
                <w:webHidden/>
              </w:rPr>
              <w:fldChar w:fldCharType="end"/>
            </w:r>
          </w:hyperlink>
        </w:p>
        <w:p w:rsidR="006465DF" w14:paraId="3A9AAF56" w14:textId="2939EB6F">
          <w:pPr>
            <w:pStyle w:val="TOC2"/>
            <w:tabs>
              <w:tab w:val="left" w:pos="1371"/>
              <w:tab w:val="right" w:pos="9980"/>
            </w:tabs>
            <w:rPr>
              <w:rFonts w:asciiTheme="minorHAnsi" w:eastAsiaTheme="minorEastAsia" w:hAnsiTheme="minorHAnsi"/>
              <w:noProof/>
              <w:kern w:val="2"/>
              <w14:ligatures w14:val="standardContextual"/>
            </w:rPr>
          </w:pPr>
          <w:hyperlink w:anchor="_Toc225442521" w:history="1">
            <w:r w:rsidRPr="00F31C91">
              <w:rPr>
                <w:rStyle w:val="Hyperlink"/>
                <w:noProof/>
              </w:rPr>
              <w:t>A.2</w:t>
            </w:r>
            <w:r>
              <w:rPr>
                <w:rFonts w:asciiTheme="minorHAnsi" w:eastAsiaTheme="minorEastAsia" w:hAnsiTheme="minorHAnsi"/>
                <w:noProof/>
                <w:kern w:val="2"/>
                <w14:ligatures w14:val="standardContextual"/>
              </w:rPr>
              <w:tab/>
            </w:r>
            <w:r w:rsidRPr="00F31C91">
              <w:rPr>
                <w:rStyle w:val="Hyperlink"/>
                <w:noProof/>
              </w:rPr>
              <w:t>Uses of Information</w:t>
            </w:r>
            <w:r>
              <w:rPr>
                <w:noProof/>
                <w:webHidden/>
              </w:rPr>
              <w:tab/>
            </w:r>
            <w:r>
              <w:rPr>
                <w:noProof/>
                <w:webHidden/>
              </w:rPr>
              <w:fldChar w:fldCharType="begin"/>
            </w:r>
            <w:r>
              <w:rPr>
                <w:noProof/>
                <w:webHidden/>
              </w:rPr>
              <w:instrText xml:space="preserve"> PAGEREF _Toc225442521 \h </w:instrText>
            </w:r>
            <w:r>
              <w:rPr>
                <w:noProof/>
                <w:webHidden/>
              </w:rPr>
              <w:fldChar w:fldCharType="separate"/>
            </w:r>
            <w:r>
              <w:rPr>
                <w:noProof/>
                <w:webHidden/>
              </w:rPr>
              <w:t>2</w:t>
            </w:r>
            <w:r>
              <w:rPr>
                <w:noProof/>
                <w:webHidden/>
              </w:rPr>
              <w:fldChar w:fldCharType="end"/>
            </w:r>
          </w:hyperlink>
        </w:p>
        <w:p w:rsidR="006465DF" w14:paraId="5B454657" w14:textId="47277A19">
          <w:pPr>
            <w:pStyle w:val="TOC3"/>
            <w:tabs>
              <w:tab w:val="left" w:pos="2144"/>
              <w:tab w:val="right" w:pos="9980"/>
            </w:tabs>
            <w:rPr>
              <w:rFonts w:asciiTheme="minorHAnsi" w:eastAsiaTheme="minorEastAsia" w:hAnsiTheme="minorHAnsi"/>
              <w:noProof/>
              <w:kern w:val="2"/>
              <w14:ligatures w14:val="standardContextual"/>
            </w:rPr>
          </w:pPr>
          <w:hyperlink w:anchor="_Toc225442522" w:history="1">
            <w:r w:rsidRPr="00F31C91">
              <w:rPr>
                <w:rStyle w:val="Hyperlink"/>
                <w:noProof/>
              </w:rPr>
              <w:t>A.2.1</w:t>
            </w:r>
            <w:r>
              <w:rPr>
                <w:rFonts w:asciiTheme="minorHAnsi" w:eastAsiaTheme="minorEastAsia" w:hAnsiTheme="minorHAnsi"/>
                <w:noProof/>
                <w:kern w:val="2"/>
                <w14:ligatures w14:val="standardContextual"/>
              </w:rPr>
              <w:tab/>
            </w:r>
            <w:r w:rsidRPr="00F31C91">
              <w:rPr>
                <w:rStyle w:val="Hyperlink"/>
                <w:noProof/>
              </w:rPr>
              <w:t>Federal</w:t>
            </w:r>
            <w:r>
              <w:rPr>
                <w:noProof/>
                <w:webHidden/>
              </w:rPr>
              <w:tab/>
            </w:r>
            <w:r>
              <w:rPr>
                <w:noProof/>
                <w:webHidden/>
              </w:rPr>
              <w:fldChar w:fldCharType="begin"/>
            </w:r>
            <w:r>
              <w:rPr>
                <w:noProof/>
                <w:webHidden/>
              </w:rPr>
              <w:instrText xml:space="preserve"> PAGEREF _Toc225442522 \h </w:instrText>
            </w:r>
            <w:r>
              <w:rPr>
                <w:noProof/>
                <w:webHidden/>
              </w:rPr>
              <w:fldChar w:fldCharType="separate"/>
            </w:r>
            <w:r>
              <w:rPr>
                <w:noProof/>
                <w:webHidden/>
              </w:rPr>
              <w:t>3</w:t>
            </w:r>
            <w:r>
              <w:rPr>
                <w:noProof/>
                <w:webHidden/>
              </w:rPr>
              <w:fldChar w:fldCharType="end"/>
            </w:r>
          </w:hyperlink>
        </w:p>
        <w:p w:rsidR="006465DF" w14:paraId="0BA8581E" w14:textId="71C97B08">
          <w:pPr>
            <w:pStyle w:val="TOC3"/>
            <w:tabs>
              <w:tab w:val="right" w:pos="9980"/>
            </w:tabs>
            <w:rPr>
              <w:rFonts w:asciiTheme="minorHAnsi" w:eastAsiaTheme="minorEastAsia" w:hAnsiTheme="minorHAnsi"/>
              <w:noProof/>
              <w:kern w:val="2"/>
              <w14:ligatures w14:val="standardContextual"/>
            </w:rPr>
          </w:pPr>
          <w:hyperlink w:anchor="_Toc225442523" w:history="1">
            <w:r w:rsidRPr="00F31C91">
              <w:rPr>
                <w:rStyle w:val="Hyperlink"/>
                <w:noProof/>
              </w:rPr>
              <w:t>A.2.2 NSF Uses</w:t>
            </w:r>
            <w:r>
              <w:rPr>
                <w:noProof/>
                <w:webHidden/>
              </w:rPr>
              <w:tab/>
            </w:r>
            <w:r>
              <w:rPr>
                <w:noProof/>
                <w:webHidden/>
              </w:rPr>
              <w:fldChar w:fldCharType="begin"/>
            </w:r>
            <w:r>
              <w:rPr>
                <w:noProof/>
                <w:webHidden/>
              </w:rPr>
              <w:instrText xml:space="preserve"> PAGEREF _Toc225442523 \h </w:instrText>
            </w:r>
            <w:r>
              <w:rPr>
                <w:noProof/>
                <w:webHidden/>
              </w:rPr>
              <w:fldChar w:fldCharType="separate"/>
            </w:r>
            <w:r>
              <w:rPr>
                <w:noProof/>
                <w:webHidden/>
              </w:rPr>
              <w:t>3</w:t>
            </w:r>
            <w:r>
              <w:rPr>
                <w:noProof/>
                <w:webHidden/>
              </w:rPr>
              <w:fldChar w:fldCharType="end"/>
            </w:r>
          </w:hyperlink>
        </w:p>
        <w:p w:rsidR="006465DF" w14:paraId="54492893" w14:textId="635F6570">
          <w:pPr>
            <w:pStyle w:val="TOC3"/>
            <w:tabs>
              <w:tab w:val="left" w:pos="2144"/>
              <w:tab w:val="right" w:pos="9980"/>
            </w:tabs>
            <w:rPr>
              <w:rFonts w:asciiTheme="minorHAnsi" w:eastAsiaTheme="minorEastAsia" w:hAnsiTheme="minorHAnsi"/>
              <w:noProof/>
              <w:kern w:val="2"/>
              <w14:ligatures w14:val="standardContextual"/>
            </w:rPr>
          </w:pPr>
          <w:hyperlink w:anchor="_Toc225442524" w:history="1">
            <w:r w:rsidRPr="00F31C91">
              <w:rPr>
                <w:rStyle w:val="Hyperlink"/>
                <w:noProof/>
              </w:rPr>
              <w:t>A.2.3</w:t>
            </w:r>
            <w:r>
              <w:rPr>
                <w:rFonts w:asciiTheme="minorHAnsi" w:eastAsiaTheme="minorEastAsia" w:hAnsiTheme="minorHAnsi"/>
                <w:noProof/>
                <w:kern w:val="2"/>
                <w14:ligatures w14:val="standardContextual"/>
              </w:rPr>
              <w:tab/>
            </w:r>
            <w:r w:rsidRPr="00F31C91">
              <w:rPr>
                <w:rStyle w:val="Hyperlink"/>
                <w:noProof/>
              </w:rPr>
              <w:t>Use by Academic Institutions</w:t>
            </w:r>
            <w:r>
              <w:rPr>
                <w:noProof/>
                <w:webHidden/>
              </w:rPr>
              <w:tab/>
            </w:r>
            <w:r>
              <w:rPr>
                <w:noProof/>
                <w:webHidden/>
              </w:rPr>
              <w:fldChar w:fldCharType="begin"/>
            </w:r>
            <w:r>
              <w:rPr>
                <w:noProof/>
                <w:webHidden/>
              </w:rPr>
              <w:instrText xml:space="preserve"> PAGEREF _Toc225442524 \h </w:instrText>
            </w:r>
            <w:r>
              <w:rPr>
                <w:noProof/>
                <w:webHidden/>
              </w:rPr>
              <w:fldChar w:fldCharType="separate"/>
            </w:r>
            <w:r>
              <w:rPr>
                <w:noProof/>
                <w:webHidden/>
              </w:rPr>
              <w:t>4</w:t>
            </w:r>
            <w:r>
              <w:rPr>
                <w:noProof/>
                <w:webHidden/>
              </w:rPr>
              <w:fldChar w:fldCharType="end"/>
            </w:r>
          </w:hyperlink>
        </w:p>
        <w:p w:rsidR="006465DF" w14:paraId="15A679A7" w14:textId="2A11CC16">
          <w:pPr>
            <w:pStyle w:val="TOC3"/>
            <w:tabs>
              <w:tab w:val="left" w:pos="2144"/>
              <w:tab w:val="right" w:pos="9980"/>
            </w:tabs>
            <w:rPr>
              <w:rFonts w:asciiTheme="minorHAnsi" w:eastAsiaTheme="minorEastAsia" w:hAnsiTheme="minorHAnsi"/>
              <w:noProof/>
              <w:kern w:val="2"/>
              <w14:ligatures w14:val="standardContextual"/>
            </w:rPr>
          </w:pPr>
          <w:hyperlink w:anchor="_Toc225442526" w:history="1">
            <w:r w:rsidRPr="00F31C91">
              <w:rPr>
                <w:rStyle w:val="Hyperlink"/>
                <w:noProof/>
              </w:rPr>
              <w:t>A.2.4</w:t>
            </w:r>
            <w:r>
              <w:rPr>
                <w:rFonts w:asciiTheme="minorHAnsi" w:eastAsiaTheme="minorEastAsia" w:hAnsiTheme="minorHAnsi"/>
                <w:noProof/>
                <w:kern w:val="2"/>
                <w14:ligatures w14:val="standardContextual"/>
              </w:rPr>
              <w:tab/>
            </w:r>
            <w:r w:rsidRPr="00F31C91">
              <w:rPr>
                <w:rStyle w:val="Hyperlink"/>
                <w:noProof/>
              </w:rPr>
              <w:t>Use by the Professional Societies</w:t>
            </w:r>
            <w:r>
              <w:rPr>
                <w:noProof/>
                <w:webHidden/>
              </w:rPr>
              <w:tab/>
            </w:r>
            <w:r>
              <w:rPr>
                <w:noProof/>
                <w:webHidden/>
              </w:rPr>
              <w:fldChar w:fldCharType="begin"/>
            </w:r>
            <w:r>
              <w:rPr>
                <w:noProof/>
                <w:webHidden/>
              </w:rPr>
              <w:instrText xml:space="preserve"> PAGEREF _Toc225442526 \h </w:instrText>
            </w:r>
            <w:r>
              <w:rPr>
                <w:noProof/>
                <w:webHidden/>
              </w:rPr>
              <w:fldChar w:fldCharType="separate"/>
            </w:r>
            <w:r>
              <w:rPr>
                <w:noProof/>
                <w:webHidden/>
              </w:rPr>
              <w:t>4</w:t>
            </w:r>
            <w:r>
              <w:rPr>
                <w:noProof/>
                <w:webHidden/>
              </w:rPr>
              <w:fldChar w:fldCharType="end"/>
            </w:r>
          </w:hyperlink>
        </w:p>
        <w:p w:rsidR="006465DF" w14:paraId="2E95C4E0" w14:textId="331AD134">
          <w:pPr>
            <w:pStyle w:val="TOC3"/>
            <w:tabs>
              <w:tab w:val="left" w:pos="2144"/>
              <w:tab w:val="right" w:pos="9980"/>
            </w:tabs>
            <w:rPr>
              <w:rFonts w:asciiTheme="minorHAnsi" w:eastAsiaTheme="minorEastAsia" w:hAnsiTheme="minorHAnsi"/>
              <w:noProof/>
              <w:kern w:val="2"/>
              <w14:ligatures w14:val="standardContextual"/>
            </w:rPr>
          </w:pPr>
          <w:hyperlink w:anchor="_Toc225442527" w:history="1">
            <w:r w:rsidRPr="00F31C91">
              <w:rPr>
                <w:rStyle w:val="Hyperlink"/>
                <w:noProof/>
              </w:rPr>
              <w:t>A.2.5</w:t>
            </w:r>
            <w:r>
              <w:rPr>
                <w:rFonts w:asciiTheme="minorHAnsi" w:eastAsiaTheme="minorEastAsia" w:hAnsiTheme="minorHAnsi"/>
                <w:noProof/>
                <w:kern w:val="2"/>
                <w14:ligatures w14:val="standardContextual"/>
              </w:rPr>
              <w:tab/>
            </w:r>
            <w:r w:rsidRPr="00F31C91">
              <w:rPr>
                <w:rStyle w:val="Hyperlink"/>
                <w:noProof/>
              </w:rPr>
              <w:t>Use in Research</w:t>
            </w:r>
            <w:r>
              <w:rPr>
                <w:noProof/>
                <w:webHidden/>
              </w:rPr>
              <w:tab/>
            </w:r>
            <w:r>
              <w:rPr>
                <w:noProof/>
                <w:webHidden/>
              </w:rPr>
              <w:fldChar w:fldCharType="begin"/>
            </w:r>
            <w:r>
              <w:rPr>
                <w:noProof/>
                <w:webHidden/>
              </w:rPr>
              <w:instrText xml:space="preserve"> PAGEREF _Toc225442527 \h </w:instrText>
            </w:r>
            <w:r>
              <w:rPr>
                <w:noProof/>
                <w:webHidden/>
              </w:rPr>
              <w:fldChar w:fldCharType="separate"/>
            </w:r>
            <w:r>
              <w:rPr>
                <w:noProof/>
                <w:webHidden/>
              </w:rPr>
              <w:t>5</w:t>
            </w:r>
            <w:r>
              <w:rPr>
                <w:noProof/>
                <w:webHidden/>
              </w:rPr>
              <w:fldChar w:fldCharType="end"/>
            </w:r>
          </w:hyperlink>
        </w:p>
        <w:p w:rsidR="006465DF" w14:paraId="42AE8A9C" w14:textId="58DAD877">
          <w:pPr>
            <w:pStyle w:val="TOC3"/>
            <w:tabs>
              <w:tab w:val="left" w:pos="2144"/>
              <w:tab w:val="right" w:pos="9980"/>
            </w:tabs>
            <w:rPr>
              <w:rFonts w:asciiTheme="minorHAnsi" w:eastAsiaTheme="minorEastAsia" w:hAnsiTheme="minorHAnsi"/>
              <w:noProof/>
              <w:kern w:val="2"/>
              <w14:ligatures w14:val="standardContextual"/>
            </w:rPr>
          </w:pPr>
          <w:hyperlink w:anchor="_Toc225442528" w:history="1">
            <w:r w:rsidRPr="00F31C91">
              <w:rPr>
                <w:rStyle w:val="Hyperlink"/>
                <w:noProof/>
              </w:rPr>
              <w:t>A.2.6</w:t>
            </w:r>
            <w:r>
              <w:rPr>
                <w:rFonts w:asciiTheme="minorHAnsi" w:eastAsiaTheme="minorEastAsia" w:hAnsiTheme="minorHAnsi"/>
                <w:noProof/>
                <w:kern w:val="2"/>
                <w14:ligatures w14:val="standardContextual"/>
              </w:rPr>
              <w:tab/>
            </w:r>
            <w:r w:rsidRPr="00F31C91">
              <w:rPr>
                <w:rStyle w:val="Hyperlink"/>
                <w:noProof/>
              </w:rPr>
              <w:t xml:space="preserve"> Media Uses</w:t>
            </w:r>
            <w:r>
              <w:rPr>
                <w:noProof/>
                <w:webHidden/>
              </w:rPr>
              <w:tab/>
            </w:r>
            <w:r>
              <w:rPr>
                <w:noProof/>
                <w:webHidden/>
              </w:rPr>
              <w:fldChar w:fldCharType="begin"/>
            </w:r>
            <w:r>
              <w:rPr>
                <w:noProof/>
                <w:webHidden/>
              </w:rPr>
              <w:instrText xml:space="preserve"> PAGEREF _Toc225442528 \h </w:instrText>
            </w:r>
            <w:r>
              <w:rPr>
                <w:noProof/>
                <w:webHidden/>
              </w:rPr>
              <w:fldChar w:fldCharType="separate"/>
            </w:r>
            <w:r>
              <w:rPr>
                <w:noProof/>
                <w:webHidden/>
              </w:rPr>
              <w:t>5</w:t>
            </w:r>
            <w:r>
              <w:rPr>
                <w:noProof/>
                <w:webHidden/>
              </w:rPr>
              <w:fldChar w:fldCharType="end"/>
            </w:r>
          </w:hyperlink>
        </w:p>
        <w:p w:rsidR="006465DF" w14:paraId="3D085638" w14:textId="00D98AF3">
          <w:pPr>
            <w:pStyle w:val="TOC2"/>
            <w:tabs>
              <w:tab w:val="left" w:pos="1371"/>
              <w:tab w:val="right" w:pos="9980"/>
            </w:tabs>
            <w:rPr>
              <w:rFonts w:asciiTheme="minorHAnsi" w:eastAsiaTheme="minorEastAsia" w:hAnsiTheme="minorHAnsi"/>
              <w:noProof/>
              <w:kern w:val="2"/>
              <w14:ligatures w14:val="standardContextual"/>
            </w:rPr>
          </w:pPr>
          <w:hyperlink w:anchor="_Toc225442529" w:history="1">
            <w:r w:rsidRPr="00F31C91">
              <w:rPr>
                <w:rStyle w:val="Hyperlink"/>
                <w:noProof/>
              </w:rPr>
              <w:t>A.3</w:t>
            </w:r>
            <w:r>
              <w:rPr>
                <w:rFonts w:asciiTheme="minorHAnsi" w:eastAsiaTheme="minorEastAsia" w:hAnsiTheme="minorHAnsi"/>
                <w:noProof/>
                <w:kern w:val="2"/>
                <w14:ligatures w14:val="standardContextual"/>
              </w:rPr>
              <w:tab/>
            </w:r>
            <w:r w:rsidRPr="00F31C91">
              <w:rPr>
                <w:rStyle w:val="Hyperlink"/>
                <w:noProof/>
              </w:rPr>
              <w:t>Consideration of</w:t>
            </w:r>
            <w:r w:rsidRPr="00F31C91">
              <w:rPr>
                <w:rStyle w:val="Hyperlink"/>
                <w:noProof/>
                <w:spacing w:val="1"/>
              </w:rPr>
              <w:t xml:space="preserve"> </w:t>
            </w:r>
            <w:r w:rsidRPr="00F31C91">
              <w:rPr>
                <w:rStyle w:val="Hyperlink"/>
                <w:noProof/>
              </w:rPr>
              <w:t>Using</w:t>
            </w:r>
            <w:r w:rsidRPr="00F31C91">
              <w:rPr>
                <w:rStyle w:val="Hyperlink"/>
                <w:noProof/>
                <w:spacing w:val="-3"/>
              </w:rPr>
              <w:t xml:space="preserve"> </w:t>
            </w:r>
            <w:r w:rsidRPr="00F31C91">
              <w:rPr>
                <w:rStyle w:val="Hyperlink"/>
                <w:noProof/>
              </w:rPr>
              <w:t>Improved Technology</w:t>
            </w:r>
            <w:r>
              <w:rPr>
                <w:noProof/>
                <w:webHidden/>
              </w:rPr>
              <w:tab/>
            </w:r>
            <w:r>
              <w:rPr>
                <w:noProof/>
                <w:webHidden/>
              </w:rPr>
              <w:fldChar w:fldCharType="begin"/>
            </w:r>
            <w:r>
              <w:rPr>
                <w:noProof/>
                <w:webHidden/>
              </w:rPr>
              <w:instrText xml:space="preserve"> PAGEREF _Toc225442529 \h </w:instrText>
            </w:r>
            <w:r>
              <w:rPr>
                <w:noProof/>
                <w:webHidden/>
              </w:rPr>
              <w:fldChar w:fldCharType="separate"/>
            </w:r>
            <w:r>
              <w:rPr>
                <w:noProof/>
                <w:webHidden/>
              </w:rPr>
              <w:t>5</w:t>
            </w:r>
            <w:r>
              <w:rPr>
                <w:noProof/>
                <w:webHidden/>
              </w:rPr>
              <w:fldChar w:fldCharType="end"/>
            </w:r>
          </w:hyperlink>
        </w:p>
        <w:p w:rsidR="006465DF" w14:paraId="03E06A21" w14:textId="7ECB65A4">
          <w:pPr>
            <w:pStyle w:val="TOC2"/>
            <w:tabs>
              <w:tab w:val="left" w:pos="1371"/>
              <w:tab w:val="right" w:pos="9980"/>
            </w:tabs>
            <w:rPr>
              <w:rFonts w:asciiTheme="minorHAnsi" w:eastAsiaTheme="minorEastAsia" w:hAnsiTheme="minorHAnsi"/>
              <w:noProof/>
              <w:kern w:val="2"/>
              <w14:ligatures w14:val="standardContextual"/>
            </w:rPr>
          </w:pPr>
          <w:hyperlink w:anchor="_Toc225442530" w:history="1">
            <w:r w:rsidRPr="00F31C91">
              <w:rPr>
                <w:rStyle w:val="Hyperlink"/>
                <w:noProof/>
              </w:rPr>
              <w:t>A.4</w:t>
            </w:r>
            <w:r>
              <w:rPr>
                <w:rFonts w:asciiTheme="minorHAnsi" w:eastAsiaTheme="minorEastAsia" w:hAnsiTheme="minorHAnsi"/>
                <w:noProof/>
                <w:kern w:val="2"/>
                <w14:ligatures w14:val="standardContextual"/>
              </w:rPr>
              <w:tab/>
            </w:r>
            <w:r w:rsidRPr="00F31C91">
              <w:rPr>
                <w:rStyle w:val="Hyperlink"/>
                <w:noProof/>
              </w:rPr>
              <w:t>Efforts to Identify</w:t>
            </w:r>
            <w:r w:rsidRPr="00F31C91">
              <w:rPr>
                <w:rStyle w:val="Hyperlink"/>
                <w:noProof/>
                <w:spacing w:val="1"/>
              </w:rPr>
              <w:t xml:space="preserve"> </w:t>
            </w:r>
            <w:r w:rsidRPr="00F31C91">
              <w:rPr>
                <w:rStyle w:val="Hyperlink"/>
                <w:noProof/>
              </w:rPr>
              <w:t>Duplication</w:t>
            </w:r>
            <w:r>
              <w:rPr>
                <w:noProof/>
                <w:webHidden/>
              </w:rPr>
              <w:tab/>
            </w:r>
            <w:r>
              <w:rPr>
                <w:noProof/>
                <w:webHidden/>
              </w:rPr>
              <w:fldChar w:fldCharType="begin"/>
            </w:r>
            <w:r>
              <w:rPr>
                <w:noProof/>
                <w:webHidden/>
              </w:rPr>
              <w:instrText xml:space="preserve"> PAGEREF _Toc225442530 \h </w:instrText>
            </w:r>
            <w:r>
              <w:rPr>
                <w:noProof/>
                <w:webHidden/>
              </w:rPr>
              <w:fldChar w:fldCharType="separate"/>
            </w:r>
            <w:r>
              <w:rPr>
                <w:noProof/>
                <w:webHidden/>
              </w:rPr>
              <w:t>6</w:t>
            </w:r>
            <w:r>
              <w:rPr>
                <w:noProof/>
                <w:webHidden/>
              </w:rPr>
              <w:fldChar w:fldCharType="end"/>
            </w:r>
          </w:hyperlink>
        </w:p>
        <w:p w:rsidR="006465DF" w14:paraId="535427EA" w14:textId="1D5834C5">
          <w:pPr>
            <w:pStyle w:val="TOC2"/>
            <w:tabs>
              <w:tab w:val="left" w:pos="1371"/>
              <w:tab w:val="right" w:pos="9980"/>
            </w:tabs>
            <w:rPr>
              <w:rFonts w:asciiTheme="minorHAnsi" w:eastAsiaTheme="minorEastAsia" w:hAnsiTheme="minorHAnsi"/>
              <w:noProof/>
              <w:kern w:val="2"/>
              <w14:ligatures w14:val="standardContextual"/>
            </w:rPr>
          </w:pPr>
          <w:hyperlink w:anchor="_Toc225442531" w:history="1">
            <w:r w:rsidRPr="00F31C91">
              <w:rPr>
                <w:rStyle w:val="Hyperlink"/>
                <w:noProof/>
              </w:rPr>
              <w:t>A.5</w:t>
            </w:r>
            <w:r>
              <w:rPr>
                <w:rFonts w:asciiTheme="minorHAnsi" w:eastAsiaTheme="minorEastAsia" w:hAnsiTheme="minorHAnsi"/>
                <w:noProof/>
                <w:kern w:val="2"/>
                <w14:ligatures w14:val="standardContextual"/>
              </w:rPr>
              <w:tab/>
            </w:r>
            <w:r w:rsidRPr="00F31C91">
              <w:rPr>
                <w:rStyle w:val="Hyperlink"/>
                <w:noProof/>
              </w:rPr>
              <w:t>Efforts to Minimize Burden on Small Business</w:t>
            </w:r>
            <w:r>
              <w:rPr>
                <w:noProof/>
                <w:webHidden/>
              </w:rPr>
              <w:tab/>
            </w:r>
            <w:r>
              <w:rPr>
                <w:noProof/>
                <w:webHidden/>
              </w:rPr>
              <w:fldChar w:fldCharType="begin"/>
            </w:r>
            <w:r>
              <w:rPr>
                <w:noProof/>
                <w:webHidden/>
              </w:rPr>
              <w:instrText xml:space="preserve"> PAGEREF _Toc225442531 \h </w:instrText>
            </w:r>
            <w:r>
              <w:rPr>
                <w:noProof/>
                <w:webHidden/>
              </w:rPr>
              <w:fldChar w:fldCharType="separate"/>
            </w:r>
            <w:r>
              <w:rPr>
                <w:noProof/>
                <w:webHidden/>
              </w:rPr>
              <w:t>8</w:t>
            </w:r>
            <w:r>
              <w:rPr>
                <w:noProof/>
                <w:webHidden/>
              </w:rPr>
              <w:fldChar w:fldCharType="end"/>
            </w:r>
          </w:hyperlink>
        </w:p>
        <w:p w:rsidR="006465DF" w14:paraId="5E8C1120" w14:textId="34C7866A">
          <w:pPr>
            <w:pStyle w:val="TOC2"/>
            <w:tabs>
              <w:tab w:val="left" w:pos="1371"/>
              <w:tab w:val="right" w:pos="9980"/>
            </w:tabs>
            <w:rPr>
              <w:rFonts w:asciiTheme="minorHAnsi" w:eastAsiaTheme="minorEastAsia" w:hAnsiTheme="minorHAnsi"/>
              <w:noProof/>
              <w:kern w:val="2"/>
              <w14:ligatures w14:val="standardContextual"/>
            </w:rPr>
          </w:pPr>
          <w:hyperlink w:anchor="_Toc225442532" w:history="1">
            <w:r w:rsidRPr="00F31C91">
              <w:rPr>
                <w:rStyle w:val="Hyperlink"/>
                <w:noProof/>
              </w:rPr>
              <w:t>A.6</w:t>
            </w:r>
            <w:r>
              <w:rPr>
                <w:rFonts w:asciiTheme="minorHAnsi" w:eastAsiaTheme="minorEastAsia" w:hAnsiTheme="minorHAnsi"/>
                <w:noProof/>
                <w:kern w:val="2"/>
                <w14:ligatures w14:val="standardContextual"/>
              </w:rPr>
              <w:tab/>
            </w:r>
            <w:r w:rsidRPr="00F31C91">
              <w:rPr>
                <w:rStyle w:val="Hyperlink"/>
                <w:noProof/>
              </w:rPr>
              <w:t>Consequences of</w:t>
            </w:r>
            <w:r w:rsidRPr="00F31C91">
              <w:rPr>
                <w:rStyle w:val="Hyperlink"/>
                <w:noProof/>
                <w:spacing w:val="1"/>
              </w:rPr>
              <w:t xml:space="preserve"> </w:t>
            </w:r>
            <w:r w:rsidRPr="00F31C91">
              <w:rPr>
                <w:rStyle w:val="Hyperlink"/>
                <w:noProof/>
              </w:rPr>
              <w:t>Less Frequent Data Collection</w:t>
            </w:r>
            <w:r>
              <w:rPr>
                <w:noProof/>
                <w:webHidden/>
              </w:rPr>
              <w:tab/>
            </w:r>
            <w:r>
              <w:rPr>
                <w:noProof/>
                <w:webHidden/>
              </w:rPr>
              <w:fldChar w:fldCharType="begin"/>
            </w:r>
            <w:r>
              <w:rPr>
                <w:noProof/>
                <w:webHidden/>
              </w:rPr>
              <w:instrText xml:space="preserve"> PAGEREF _Toc225442532 \h </w:instrText>
            </w:r>
            <w:r>
              <w:rPr>
                <w:noProof/>
                <w:webHidden/>
              </w:rPr>
              <w:fldChar w:fldCharType="separate"/>
            </w:r>
            <w:r>
              <w:rPr>
                <w:noProof/>
                <w:webHidden/>
              </w:rPr>
              <w:t>8</w:t>
            </w:r>
            <w:r>
              <w:rPr>
                <w:noProof/>
                <w:webHidden/>
              </w:rPr>
              <w:fldChar w:fldCharType="end"/>
            </w:r>
          </w:hyperlink>
        </w:p>
        <w:p w:rsidR="006465DF" w14:paraId="3E79DFA7" w14:textId="7213FDF9">
          <w:pPr>
            <w:pStyle w:val="TOC2"/>
            <w:tabs>
              <w:tab w:val="left" w:pos="1371"/>
              <w:tab w:val="right" w:pos="9980"/>
            </w:tabs>
            <w:rPr>
              <w:rFonts w:asciiTheme="minorHAnsi" w:eastAsiaTheme="minorEastAsia" w:hAnsiTheme="minorHAnsi"/>
              <w:noProof/>
              <w:kern w:val="2"/>
              <w14:ligatures w14:val="standardContextual"/>
            </w:rPr>
          </w:pPr>
          <w:hyperlink w:anchor="_Toc225442533" w:history="1">
            <w:r w:rsidRPr="00F31C91">
              <w:rPr>
                <w:rStyle w:val="Hyperlink"/>
                <w:noProof/>
              </w:rPr>
              <w:t>A.7</w:t>
            </w:r>
            <w:r>
              <w:rPr>
                <w:rFonts w:asciiTheme="minorHAnsi" w:eastAsiaTheme="minorEastAsia" w:hAnsiTheme="minorHAnsi"/>
                <w:noProof/>
                <w:kern w:val="2"/>
                <w14:ligatures w14:val="standardContextual"/>
              </w:rPr>
              <w:tab/>
            </w:r>
            <w:r w:rsidRPr="00F31C91">
              <w:rPr>
                <w:rStyle w:val="Hyperlink"/>
                <w:noProof/>
              </w:rPr>
              <w:t>Special Circumstances</w:t>
            </w:r>
            <w:r>
              <w:rPr>
                <w:noProof/>
                <w:webHidden/>
              </w:rPr>
              <w:tab/>
            </w:r>
            <w:r>
              <w:rPr>
                <w:noProof/>
                <w:webHidden/>
              </w:rPr>
              <w:fldChar w:fldCharType="begin"/>
            </w:r>
            <w:r>
              <w:rPr>
                <w:noProof/>
                <w:webHidden/>
              </w:rPr>
              <w:instrText xml:space="preserve"> PAGEREF _Toc225442533 \h </w:instrText>
            </w:r>
            <w:r>
              <w:rPr>
                <w:noProof/>
                <w:webHidden/>
              </w:rPr>
              <w:fldChar w:fldCharType="separate"/>
            </w:r>
            <w:r>
              <w:rPr>
                <w:noProof/>
                <w:webHidden/>
              </w:rPr>
              <w:t>9</w:t>
            </w:r>
            <w:r>
              <w:rPr>
                <w:noProof/>
                <w:webHidden/>
              </w:rPr>
              <w:fldChar w:fldCharType="end"/>
            </w:r>
          </w:hyperlink>
        </w:p>
        <w:p w:rsidR="006465DF" w14:paraId="6485DA24" w14:textId="0AC4FA59">
          <w:pPr>
            <w:pStyle w:val="TOC2"/>
            <w:tabs>
              <w:tab w:val="left" w:pos="1371"/>
              <w:tab w:val="right" w:pos="9980"/>
            </w:tabs>
            <w:rPr>
              <w:rFonts w:asciiTheme="minorHAnsi" w:eastAsiaTheme="minorEastAsia" w:hAnsiTheme="minorHAnsi"/>
              <w:noProof/>
              <w:kern w:val="2"/>
              <w14:ligatures w14:val="standardContextual"/>
            </w:rPr>
          </w:pPr>
          <w:hyperlink w:anchor="_Toc225442534" w:history="1">
            <w:r w:rsidRPr="00F31C91">
              <w:rPr>
                <w:rStyle w:val="Hyperlink"/>
                <w:noProof/>
              </w:rPr>
              <w:t>A.8</w:t>
            </w:r>
            <w:r>
              <w:rPr>
                <w:rFonts w:asciiTheme="minorHAnsi" w:eastAsiaTheme="minorEastAsia" w:hAnsiTheme="minorHAnsi"/>
                <w:noProof/>
                <w:kern w:val="2"/>
                <w14:ligatures w14:val="standardContextual"/>
              </w:rPr>
              <w:tab/>
            </w:r>
            <w:r w:rsidRPr="00F31C91">
              <w:rPr>
                <w:rStyle w:val="Hyperlink"/>
                <w:noProof/>
              </w:rPr>
              <w:t>Federal Register Announcement and Consultations Outside the Agency</w:t>
            </w:r>
            <w:r>
              <w:rPr>
                <w:noProof/>
                <w:webHidden/>
              </w:rPr>
              <w:tab/>
            </w:r>
            <w:r>
              <w:rPr>
                <w:noProof/>
                <w:webHidden/>
              </w:rPr>
              <w:fldChar w:fldCharType="begin"/>
            </w:r>
            <w:r>
              <w:rPr>
                <w:noProof/>
                <w:webHidden/>
              </w:rPr>
              <w:instrText xml:space="preserve"> PAGEREF _Toc225442534 \h </w:instrText>
            </w:r>
            <w:r>
              <w:rPr>
                <w:noProof/>
                <w:webHidden/>
              </w:rPr>
              <w:fldChar w:fldCharType="separate"/>
            </w:r>
            <w:r>
              <w:rPr>
                <w:noProof/>
                <w:webHidden/>
              </w:rPr>
              <w:t>9</w:t>
            </w:r>
            <w:r>
              <w:rPr>
                <w:noProof/>
                <w:webHidden/>
              </w:rPr>
              <w:fldChar w:fldCharType="end"/>
            </w:r>
          </w:hyperlink>
        </w:p>
        <w:p w:rsidR="006465DF" w14:paraId="7E0E7410" w14:textId="3AD4E77B">
          <w:pPr>
            <w:pStyle w:val="TOC3"/>
            <w:tabs>
              <w:tab w:val="left" w:pos="2144"/>
              <w:tab w:val="right" w:pos="9980"/>
            </w:tabs>
            <w:rPr>
              <w:rFonts w:asciiTheme="minorHAnsi" w:eastAsiaTheme="minorEastAsia" w:hAnsiTheme="minorHAnsi"/>
              <w:noProof/>
              <w:kern w:val="2"/>
              <w14:ligatures w14:val="standardContextual"/>
            </w:rPr>
          </w:pPr>
          <w:hyperlink w:anchor="_Toc225442535" w:history="1">
            <w:r w:rsidRPr="00F31C91">
              <w:rPr>
                <w:rStyle w:val="Hyperlink"/>
                <w:noProof/>
              </w:rPr>
              <w:t>A.8.1</w:t>
            </w:r>
            <w:r>
              <w:rPr>
                <w:rFonts w:asciiTheme="minorHAnsi" w:eastAsiaTheme="minorEastAsia" w:hAnsiTheme="minorHAnsi"/>
                <w:noProof/>
                <w:kern w:val="2"/>
                <w14:ligatures w14:val="standardContextual"/>
              </w:rPr>
              <w:tab/>
            </w:r>
            <w:r w:rsidRPr="00F31C91">
              <w:rPr>
                <w:rStyle w:val="Hyperlink"/>
                <w:noProof/>
              </w:rPr>
              <w:t>GSS Institution Site Visits</w:t>
            </w:r>
            <w:r>
              <w:rPr>
                <w:noProof/>
                <w:webHidden/>
              </w:rPr>
              <w:tab/>
            </w:r>
            <w:r>
              <w:rPr>
                <w:noProof/>
                <w:webHidden/>
              </w:rPr>
              <w:fldChar w:fldCharType="begin"/>
            </w:r>
            <w:r>
              <w:rPr>
                <w:noProof/>
                <w:webHidden/>
              </w:rPr>
              <w:instrText xml:space="preserve"> PAGEREF _Toc225442535 \h </w:instrText>
            </w:r>
            <w:r>
              <w:rPr>
                <w:noProof/>
                <w:webHidden/>
              </w:rPr>
              <w:fldChar w:fldCharType="separate"/>
            </w:r>
            <w:r>
              <w:rPr>
                <w:noProof/>
                <w:webHidden/>
              </w:rPr>
              <w:t>9</w:t>
            </w:r>
            <w:r>
              <w:rPr>
                <w:noProof/>
                <w:webHidden/>
              </w:rPr>
              <w:fldChar w:fldCharType="end"/>
            </w:r>
          </w:hyperlink>
        </w:p>
        <w:p w:rsidR="006465DF" w14:paraId="0B87739D" w14:textId="5169DE4B">
          <w:pPr>
            <w:pStyle w:val="TOC3"/>
            <w:tabs>
              <w:tab w:val="left" w:pos="2144"/>
              <w:tab w:val="right" w:pos="9980"/>
            </w:tabs>
            <w:rPr>
              <w:rFonts w:asciiTheme="minorHAnsi" w:eastAsiaTheme="minorEastAsia" w:hAnsiTheme="minorHAnsi"/>
              <w:noProof/>
              <w:kern w:val="2"/>
              <w14:ligatures w14:val="standardContextual"/>
            </w:rPr>
          </w:pPr>
          <w:hyperlink w:anchor="_Toc225442536" w:history="1">
            <w:r w:rsidRPr="00F31C91">
              <w:rPr>
                <w:rStyle w:val="Hyperlink"/>
                <w:noProof/>
              </w:rPr>
              <w:t>A.8.2</w:t>
            </w:r>
            <w:r>
              <w:rPr>
                <w:rFonts w:asciiTheme="minorHAnsi" w:eastAsiaTheme="minorEastAsia" w:hAnsiTheme="minorHAnsi"/>
                <w:noProof/>
                <w:kern w:val="2"/>
                <w14:ligatures w14:val="standardContextual"/>
              </w:rPr>
              <w:tab/>
            </w:r>
            <w:r w:rsidRPr="00F31C91">
              <w:rPr>
                <w:rStyle w:val="Hyperlink"/>
                <w:noProof/>
              </w:rPr>
              <w:t>Other Consultations</w:t>
            </w:r>
            <w:r>
              <w:rPr>
                <w:noProof/>
                <w:webHidden/>
              </w:rPr>
              <w:tab/>
            </w:r>
            <w:r>
              <w:rPr>
                <w:noProof/>
                <w:webHidden/>
              </w:rPr>
              <w:fldChar w:fldCharType="begin"/>
            </w:r>
            <w:r>
              <w:rPr>
                <w:noProof/>
                <w:webHidden/>
              </w:rPr>
              <w:instrText xml:space="preserve"> PAGEREF _Toc225442536 \h </w:instrText>
            </w:r>
            <w:r>
              <w:rPr>
                <w:noProof/>
                <w:webHidden/>
              </w:rPr>
              <w:fldChar w:fldCharType="separate"/>
            </w:r>
            <w:r>
              <w:rPr>
                <w:noProof/>
                <w:webHidden/>
              </w:rPr>
              <w:t>10</w:t>
            </w:r>
            <w:r>
              <w:rPr>
                <w:noProof/>
                <w:webHidden/>
              </w:rPr>
              <w:fldChar w:fldCharType="end"/>
            </w:r>
          </w:hyperlink>
        </w:p>
        <w:p w:rsidR="006465DF" w14:paraId="666B13CB" w14:textId="3D98E2A8">
          <w:pPr>
            <w:pStyle w:val="TOC2"/>
            <w:tabs>
              <w:tab w:val="left" w:pos="1371"/>
              <w:tab w:val="right" w:pos="9980"/>
            </w:tabs>
            <w:rPr>
              <w:rFonts w:asciiTheme="minorHAnsi" w:eastAsiaTheme="minorEastAsia" w:hAnsiTheme="minorHAnsi"/>
              <w:noProof/>
              <w:kern w:val="2"/>
              <w14:ligatures w14:val="standardContextual"/>
            </w:rPr>
          </w:pPr>
          <w:hyperlink w:anchor="_Toc225442537" w:history="1">
            <w:r w:rsidRPr="00F31C91">
              <w:rPr>
                <w:rStyle w:val="Hyperlink"/>
                <w:noProof/>
              </w:rPr>
              <w:t>A.9</w:t>
            </w:r>
            <w:r>
              <w:rPr>
                <w:rFonts w:asciiTheme="minorHAnsi" w:eastAsiaTheme="minorEastAsia" w:hAnsiTheme="minorHAnsi"/>
                <w:noProof/>
                <w:kern w:val="2"/>
                <w14:ligatures w14:val="standardContextual"/>
              </w:rPr>
              <w:tab/>
            </w:r>
            <w:r w:rsidRPr="00F31C91">
              <w:rPr>
                <w:rStyle w:val="Hyperlink"/>
                <w:noProof/>
              </w:rPr>
              <w:t>Payment or Gifts to Respondents</w:t>
            </w:r>
            <w:r>
              <w:rPr>
                <w:noProof/>
                <w:webHidden/>
              </w:rPr>
              <w:tab/>
            </w:r>
            <w:r>
              <w:rPr>
                <w:noProof/>
                <w:webHidden/>
              </w:rPr>
              <w:fldChar w:fldCharType="begin"/>
            </w:r>
            <w:r>
              <w:rPr>
                <w:noProof/>
                <w:webHidden/>
              </w:rPr>
              <w:instrText xml:space="preserve"> PAGEREF _Toc225442537 \h </w:instrText>
            </w:r>
            <w:r>
              <w:rPr>
                <w:noProof/>
                <w:webHidden/>
              </w:rPr>
              <w:fldChar w:fldCharType="separate"/>
            </w:r>
            <w:r>
              <w:rPr>
                <w:noProof/>
                <w:webHidden/>
              </w:rPr>
              <w:t>10</w:t>
            </w:r>
            <w:r>
              <w:rPr>
                <w:noProof/>
                <w:webHidden/>
              </w:rPr>
              <w:fldChar w:fldCharType="end"/>
            </w:r>
          </w:hyperlink>
        </w:p>
        <w:p w:rsidR="006465DF" w14:paraId="34E330B5" w14:textId="74CED350">
          <w:pPr>
            <w:pStyle w:val="TOC2"/>
            <w:tabs>
              <w:tab w:val="left" w:pos="2091"/>
              <w:tab w:val="right" w:pos="9980"/>
            </w:tabs>
            <w:rPr>
              <w:rFonts w:asciiTheme="minorHAnsi" w:eastAsiaTheme="minorEastAsia" w:hAnsiTheme="minorHAnsi"/>
              <w:noProof/>
              <w:kern w:val="2"/>
              <w14:ligatures w14:val="standardContextual"/>
            </w:rPr>
          </w:pPr>
          <w:hyperlink w:anchor="_Toc225442538" w:history="1">
            <w:r w:rsidRPr="00F31C91">
              <w:rPr>
                <w:rStyle w:val="Hyperlink"/>
                <w:noProof/>
              </w:rPr>
              <w:t>A.10</w:t>
            </w:r>
            <w:r>
              <w:rPr>
                <w:rFonts w:asciiTheme="minorHAnsi" w:eastAsiaTheme="minorEastAsia" w:hAnsiTheme="minorHAnsi"/>
                <w:noProof/>
                <w:kern w:val="2"/>
                <w14:ligatures w14:val="standardContextual"/>
              </w:rPr>
              <w:tab/>
            </w:r>
            <w:r w:rsidRPr="00F31C91">
              <w:rPr>
                <w:rStyle w:val="Hyperlink"/>
                <w:noProof/>
              </w:rPr>
              <w:t>Assurance of</w:t>
            </w:r>
            <w:r w:rsidRPr="00F31C91">
              <w:rPr>
                <w:rStyle w:val="Hyperlink"/>
                <w:noProof/>
                <w:spacing w:val="1"/>
              </w:rPr>
              <w:t xml:space="preserve"> </w:t>
            </w:r>
            <w:r w:rsidRPr="00F31C91">
              <w:rPr>
                <w:rStyle w:val="Hyperlink"/>
                <w:noProof/>
              </w:rPr>
              <w:t>Confidentiality</w:t>
            </w:r>
            <w:r>
              <w:rPr>
                <w:noProof/>
                <w:webHidden/>
              </w:rPr>
              <w:tab/>
            </w:r>
            <w:r>
              <w:rPr>
                <w:noProof/>
                <w:webHidden/>
              </w:rPr>
              <w:fldChar w:fldCharType="begin"/>
            </w:r>
            <w:r>
              <w:rPr>
                <w:noProof/>
                <w:webHidden/>
              </w:rPr>
              <w:instrText xml:space="preserve"> PAGEREF _Toc225442538 \h </w:instrText>
            </w:r>
            <w:r>
              <w:rPr>
                <w:noProof/>
                <w:webHidden/>
              </w:rPr>
              <w:fldChar w:fldCharType="separate"/>
            </w:r>
            <w:r>
              <w:rPr>
                <w:noProof/>
                <w:webHidden/>
              </w:rPr>
              <w:t>10</w:t>
            </w:r>
            <w:r>
              <w:rPr>
                <w:noProof/>
                <w:webHidden/>
              </w:rPr>
              <w:fldChar w:fldCharType="end"/>
            </w:r>
          </w:hyperlink>
        </w:p>
        <w:p w:rsidR="006465DF" w14:paraId="0AD0610E" w14:textId="7CAA449E">
          <w:pPr>
            <w:pStyle w:val="TOC2"/>
            <w:tabs>
              <w:tab w:val="left" w:pos="2091"/>
              <w:tab w:val="right" w:pos="9980"/>
            </w:tabs>
            <w:rPr>
              <w:rFonts w:asciiTheme="minorHAnsi" w:eastAsiaTheme="minorEastAsia" w:hAnsiTheme="minorHAnsi"/>
              <w:noProof/>
              <w:kern w:val="2"/>
              <w14:ligatures w14:val="standardContextual"/>
            </w:rPr>
          </w:pPr>
          <w:hyperlink w:anchor="_Toc225442539" w:history="1">
            <w:r w:rsidRPr="00F31C91">
              <w:rPr>
                <w:rStyle w:val="Hyperlink"/>
                <w:noProof/>
              </w:rPr>
              <w:t>A.11</w:t>
            </w:r>
            <w:r>
              <w:rPr>
                <w:rFonts w:asciiTheme="minorHAnsi" w:eastAsiaTheme="minorEastAsia" w:hAnsiTheme="minorHAnsi"/>
                <w:noProof/>
                <w:kern w:val="2"/>
                <w14:ligatures w14:val="standardContextual"/>
              </w:rPr>
              <w:tab/>
            </w:r>
            <w:r w:rsidRPr="00F31C91">
              <w:rPr>
                <w:rStyle w:val="Hyperlink"/>
                <w:noProof/>
              </w:rPr>
              <w:t>Justification for Sensitive Questions</w:t>
            </w:r>
            <w:r>
              <w:rPr>
                <w:noProof/>
                <w:webHidden/>
              </w:rPr>
              <w:tab/>
            </w:r>
            <w:r>
              <w:rPr>
                <w:noProof/>
                <w:webHidden/>
              </w:rPr>
              <w:fldChar w:fldCharType="begin"/>
            </w:r>
            <w:r>
              <w:rPr>
                <w:noProof/>
                <w:webHidden/>
              </w:rPr>
              <w:instrText xml:space="preserve"> PAGEREF _Toc225442539 \h </w:instrText>
            </w:r>
            <w:r>
              <w:rPr>
                <w:noProof/>
                <w:webHidden/>
              </w:rPr>
              <w:fldChar w:fldCharType="separate"/>
            </w:r>
            <w:r>
              <w:rPr>
                <w:noProof/>
                <w:webHidden/>
              </w:rPr>
              <w:t>10</w:t>
            </w:r>
            <w:r>
              <w:rPr>
                <w:noProof/>
                <w:webHidden/>
              </w:rPr>
              <w:fldChar w:fldCharType="end"/>
            </w:r>
          </w:hyperlink>
        </w:p>
        <w:p w:rsidR="006465DF" w14:paraId="77280CA1" w14:textId="3B613EC2">
          <w:pPr>
            <w:pStyle w:val="TOC2"/>
            <w:tabs>
              <w:tab w:val="left" w:pos="2091"/>
              <w:tab w:val="right" w:pos="9980"/>
            </w:tabs>
            <w:rPr>
              <w:rFonts w:asciiTheme="minorHAnsi" w:eastAsiaTheme="minorEastAsia" w:hAnsiTheme="minorHAnsi"/>
              <w:noProof/>
              <w:kern w:val="2"/>
              <w14:ligatures w14:val="standardContextual"/>
            </w:rPr>
          </w:pPr>
          <w:hyperlink w:anchor="_Toc225442540" w:history="1">
            <w:r w:rsidRPr="00F31C91">
              <w:rPr>
                <w:rStyle w:val="Hyperlink"/>
                <w:noProof/>
              </w:rPr>
              <w:t>A.12</w:t>
            </w:r>
            <w:r>
              <w:rPr>
                <w:rFonts w:asciiTheme="minorHAnsi" w:eastAsiaTheme="minorEastAsia" w:hAnsiTheme="minorHAnsi"/>
                <w:noProof/>
                <w:kern w:val="2"/>
                <w14:ligatures w14:val="standardContextual"/>
              </w:rPr>
              <w:tab/>
            </w:r>
            <w:r w:rsidRPr="00F31C91">
              <w:rPr>
                <w:rStyle w:val="Hyperlink"/>
                <w:noProof/>
              </w:rPr>
              <w:t>Estimate of Respondent Burden</w:t>
            </w:r>
            <w:r>
              <w:rPr>
                <w:noProof/>
                <w:webHidden/>
              </w:rPr>
              <w:tab/>
            </w:r>
            <w:r>
              <w:rPr>
                <w:noProof/>
                <w:webHidden/>
              </w:rPr>
              <w:fldChar w:fldCharType="begin"/>
            </w:r>
            <w:r>
              <w:rPr>
                <w:noProof/>
                <w:webHidden/>
              </w:rPr>
              <w:instrText xml:space="preserve"> PAGEREF _Toc225442540 \h </w:instrText>
            </w:r>
            <w:r>
              <w:rPr>
                <w:noProof/>
                <w:webHidden/>
              </w:rPr>
              <w:fldChar w:fldCharType="separate"/>
            </w:r>
            <w:r>
              <w:rPr>
                <w:noProof/>
                <w:webHidden/>
              </w:rPr>
              <w:t>11</w:t>
            </w:r>
            <w:r>
              <w:rPr>
                <w:noProof/>
                <w:webHidden/>
              </w:rPr>
              <w:fldChar w:fldCharType="end"/>
            </w:r>
          </w:hyperlink>
        </w:p>
        <w:p w:rsidR="006465DF" w14:paraId="567985AE" w14:textId="5E9AFDAC">
          <w:pPr>
            <w:pStyle w:val="TOC2"/>
            <w:tabs>
              <w:tab w:val="left" w:pos="2091"/>
              <w:tab w:val="right" w:pos="9980"/>
            </w:tabs>
            <w:rPr>
              <w:rFonts w:asciiTheme="minorHAnsi" w:eastAsiaTheme="minorEastAsia" w:hAnsiTheme="minorHAnsi"/>
              <w:noProof/>
              <w:kern w:val="2"/>
              <w14:ligatures w14:val="standardContextual"/>
            </w:rPr>
          </w:pPr>
          <w:hyperlink w:anchor="_Toc225442541" w:history="1">
            <w:r w:rsidRPr="00F31C91">
              <w:rPr>
                <w:rStyle w:val="Hyperlink"/>
                <w:noProof/>
              </w:rPr>
              <w:t>A.13</w:t>
            </w:r>
            <w:r>
              <w:rPr>
                <w:rFonts w:asciiTheme="minorHAnsi" w:eastAsiaTheme="minorEastAsia" w:hAnsiTheme="minorHAnsi"/>
                <w:noProof/>
                <w:kern w:val="2"/>
                <w14:ligatures w14:val="standardContextual"/>
              </w:rPr>
              <w:tab/>
            </w:r>
            <w:r w:rsidRPr="00F31C91">
              <w:rPr>
                <w:rStyle w:val="Hyperlink"/>
                <w:noProof/>
              </w:rPr>
              <w:t>Cost Burden to Respondents</w:t>
            </w:r>
            <w:r>
              <w:rPr>
                <w:noProof/>
                <w:webHidden/>
              </w:rPr>
              <w:tab/>
            </w:r>
            <w:r>
              <w:rPr>
                <w:noProof/>
                <w:webHidden/>
              </w:rPr>
              <w:fldChar w:fldCharType="begin"/>
            </w:r>
            <w:r>
              <w:rPr>
                <w:noProof/>
                <w:webHidden/>
              </w:rPr>
              <w:instrText xml:space="preserve"> PAGEREF _Toc225442541 \h </w:instrText>
            </w:r>
            <w:r>
              <w:rPr>
                <w:noProof/>
                <w:webHidden/>
              </w:rPr>
              <w:fldChar w:fldCharType="separate"/>
            </w:r>
            <w:r>
              <w:rPr>
                <w:noProof/>
                <w:webHidden/>
              </w:rPr>
              <w:t>15</w:t>
            </w:r>
            <w:r>
              <w:rPr>
                <w:noProof/>
                <w:webHidden/>
              </w:rPr>
              <w:fldChar w:fldCharType="end"/>
            </w:r>
          </w:hyperlink>
        </w:p>
        <w:p w:rsidR="006465DF" w14:paraId="0F0A5488" w14:textId="2FFE316A">
          <w:pPr>
            <w:pStyle w:val="TOC2"/>
            <w:tabs>
              <w:tab w:val="left" w:pos="2091"/>
              <w:tab w:val="right" w:pos="9980"/>
            </w:tabs>
            <w:rPr>
              <w:rFonts w:asciiTheme="minorHAnsi" w:eastAsiaTheme="minorEastAsia" w:hAnsiTheme="minorHAnsi"/>
              <w:noProof/>
              <w:kern w:val="2"/>
              <w14:ligatures w14:val="standardContextual"/>
            </w:rPr>
          </w:pPr>
          <w:hyperlink w:anchor="_Toc225442542" w:history="1">
            <w:r w:rsidRPr="00F31C91">
              <w:rPr>
                <w:rStyle w:val="Hyperlink"/>
                <w:noProof/>
              </w:rPr>
              <w:t>A.14</w:t>
            </w:r>
            <w:r>
              <w:rPr>
                <w:rFonts w:asciiTheme="minorHAnsi" w:eastAsiaTheme="minorEastAsia" w:hAnsiTheme="minorHAnsi"/>
                <w:noProof/>
                <w:kern w:val="2"/>
                <w14:ligatures w14:val="standardContextual"/>
              </w:rPr>
              <w:tab/>
            </w:r>
            <w:r w:rsidRPr="00F31C91">
              <w:rPr>
                <w:rStyle w:val="Hyperlink"/>
                <w:noProof/>
              </w:rPr>
              <w:t>Cost to the Federal Government</w:t>
            </w:r>
            <w:r>
              <w:rPr>
                <w:noProof/>
                <w:webHidden/>
              </w:rPr>
              <w:tab/>
            </w:r>
            <w:r>
              <w:rPr>
                <w:noProof/>
                <w:webHidden/>
              </w:rPr>
              <w:fldChar w:fldCharType="begin"/>
            </w:r>
            <w:r>
              <w:rPr>
                <w:noProof/>
                <w:webHidden/>
              </w:rPr>
              <w:instrText xml:space="preserve"> PAGEREF _Toc225442542 \h </w:instrText>
            </w:r>
            <w:r>
              <w:rPr>
                <w:noProof/>
                <w:webHidden/>
              </w:rPr>
              <w:fldChar w:fldCharType="separate"/>
            </w:r>
            <w:r>
              <w:rPr>
                <w:noProof/>
                <w:webHidden/>
              </w:rPr>
              <w:t>15</w:t>
            </w:r>
            <w:r>
              <w:rPr>
                <w:noProof/>
                <w:webHidden/>
              </w:rPr>
              <w:fldChar w:fldCharType="end"/>
            </w:r>
          </w:hyperlink>
        </w:p>
        <w:p w:rsidR="006465DF" w14:paraId="1A59A399" w14:textId="1E0C05D6">
          <w:pPr>
            <w:pStyle w:val="TOC2"/>
            <w:tabs>
              <w:tab w:val="left" w:pos="2091"/>
              <w:tab w:val="right" w:pos="9980"/>
            </w:tabs>
            <w:rPr>
              <w:rFonts w:asciiTheme="minorHAnsi" w:eastAsiaTheme="minorEastAsia" w:hAnsiTheme="minorHAnsi"/>
              <w:noProof/>
              <w:kern w:val="2"/>
              <w14:ligatures w14:val="standardContextual"/>
            </w:rPr>
          </w:pPr>
          <w:hyperlink w:anchor="_Toc225442543" w:history="1">
            <w:r w:rsidRPr="00F31C91">
              <w:rPr>
                <w:rStyle w:val="Hyperlink"/>
                <w:noProof/>
              </w:rPr>
              <w:t>A.15</w:t>
            </w:r>
            <w:r>
              <w:rPr>
                <w:rFonts w:asciiTheme="minorHAnsi" w:eastAsiaTheme="minorEastAsia" w:hAnsiTheme="minorHAnsi"/>
                <w:noProof/>
                <w:kern w:val="2"/>
                <w14:ligatures w14:val="standardContextual"/>
              </w:rPr>
              <w:tab/>
            </w:r>
            <w:r w:rsidRPr="00F31C91">
              <w:rPr>
                <w:rStyle w:val="Hyperlink"/>
                <w:noProof/>
              </w:rPr>
              <w:t>Program Changes or Adjustments in Burden</w:t>
            </w:r>
            <w:r>
              <w:rPr>
                <w:noProof/>
                <w:webHidden/>
              </w:rPr>
              <w:tab/>
            </w:r>
            <w:r>
              <w:rPr>
                <w:noProof/>
                <w:webHidden/>
              </w:rPr>
              <w:fldChar w:fldCharType="begin"/>
            </w:r>
            <w:r>
              <w:rPr>
                <w:noProof/>
                <w:webHidden/>
              </w:rPr>
              <w:instrText xml:space="preserve"> PAGEREF _Toc225442543 \h </w:instrText>
            </w:r>
            <w:r>
              <w:rPr>
                <w:noProof/>
                <w:webHidden/>
              </w:rPr>
              <w:fldChar w:fldCharType="separate"/>
            </w:r>
            <w:r>
              <w:rPr>
                <w:noProof/>
                <w:webHidden/>
              </w:rPr>
              <w:t>16</w:t>
            </w:r>
            <w:r>
              <w:rPr>
                <w:noProof/>
                <w:webHidden/>
              </w:rPr>
              <w:fldChar w:fldCharType="end"/>
            </w:r>
          </w:hyperlink>
        </w:p>
        <w:p w:rsidR="006465DF" w14:paraId="7BE5F547" w14:textId="553E4B68">
          <w:pPr>
            <w:pStyle w:val="TOC2"/>
            <w:tabs>
              <w:tab w:val="left" w:pos="2091"/>
              <w:tab w:val="right" w:pos="9980"/>
            </w:tabs>
            <w:rPr>
              <w:rFonts w:asciiTheme="minorHAnsi" w:eastAsiaTheme="minorEastAsia" w:hAnsiTheme="minorHAnsi"/>
              <w:noProof/>
              <w:kern w:val="2"/>
              <w14:ligatures w14:val="standardContextual"/>
            </w:rPr>
          </w:pPr>
          <w:hyperlink w:anchor="_Toc225442544" w:history="1">
            <w:r w:rsidRPr="00F31C91">
              <w:rPr>
                <w:rStyle w:val="Hyperlink"/>
                <w:noProof/>
              </w:rPr>
              <w:t>A.16</w:t>
            </w:r>
            <w:r>
              <w:rPr>
                <w:rFonts w:asciiTheme="minorHAnsi" w:eastAsiaTheme="minorEastAsia" w:hAnsiTheme="minorHAnsi"/>
                <w:noProof/>
                <w:kern w:val="2"/>
                <w14:ligatures w14:val="standardContextual"/>
              </w:rPr>
              <w:tab/>
            </w:r>
            <w:r w:rsidRPr="00F31C91">
              <w:rPr>
                <w:rStyle w:val="Hyperlink"/>
                <w:noProof/>
              </w:rPr>
              <w:t>Publication Plan and Project Schedule</w:t>
            </w:r>
            <w:r>
              <w:rPr>
                <w:noProof/>
                <w:webHidden/>
              </w:rPr>
              <w:tab/>
            </w:r>
            <w:r>
              <w:rPr>
                <w:noProof/>
                <w:webHidden/>
              </w:rPr>
              <w:fldChar w:fldCharType="begin"/>
            </w:r>
            <w:r>
              <w:rPr>
                <w:noProof/>
                <w:webHidden/>
              </w:rPr>
              <w:instrText xml:space="preserve"> PAGEREF _Toc225442544 \h </w:instrText>
            </w:r>
            <w:r>
              <w:rPr>
                <w:noProof/>
                <w:webHidden/>
              </w:rPr>
              <w:fldChar w:fldCharType="separate"/>
            </w:r>
            <w:r>
              <w:rPr>
                <w:noProof/>
                <w:webHidden/>
              </w:rPr>
              <w:t>16</w:t>
            </w:r>
            <w:r>
              <w:rPr>
                <w:noProof/>
                <w:webHidden/>
              </w:rPr>
              <w:fldChar w:fldCharType="end"/>
            </w:r>
          </w:hyperlink>
        </w:p>
        <w:p w:rsidR="006465DF" w14:paraId="3FFF96AF" w14:textId="0EB64A5E">
          <w:pPr>
            <w:pStyle w:val="TOC2"/>
            <w:tabs>
              <w:tab w:val="left" w:pos="2091"/>
              <w:tab w:val="right" w:pos="9980"/>
            </w:tabs>
            <w:rPr>
              <w:rFonts w:asciiTheme="minorHAnsi" w:eastAsiaTheme="minorEastAsia" w:hAnsiTheme="minorHAnsi"/>
              <w:noProof/>
              <w:kern w:val="2"/>
              <w14:ligatures w14:val="standardContextual"/>
            </w:rPr>
          </w:pPr>
          <w:hyperlink w:anchor="_Toc225442545" w:history="1">
            <w:r w:rsidRPr="00F31C91">
              <w:rPr>
                <w:rStyle w:val="Hyperlink"/>
                <w:noProof/>
              </w:rPr>
              <w:t>A.17</w:t>
            </w:r>
            <w:r>
              <w:rPr>
                <w:rFonts w:asciiTheme="minorHAnsi" w:eastAsiaTheme="minorEastAsia" w:hAnsiTheme="minorHAnsi"/>
                <w:noProof/>
                <w:kern w:val="2"/>
                <w14:ligatures w14:val="standardContextual"/>
              </w:rPr>
              <w:tab/>
            </w:r>
            <w:r w:rsidRPr="00F31C91">
              <w:rPr>
                <w:rStyle w:val="Hyperlink"/>
                <w:noProof/>
              </w:rPr>
              <w:t>Exceptions to Displaying of OMB Expiration Date</w:t>
            </w:r>
            <w:r>
              <w:rPr>
                <w:noProof/>
                <w:webHidden/>
              </w:rPr>
              <w:tab/>
            </w:r>
            <w:r>
              <w:rPr>
                <w:noProof/>
                <w:webHidden/>
              </w:rPr>
              <w:fldChar w:fldCharType="begin"/>
            </w:r>
            <w:r>
              <w:rPr>
                <w:noProof/>
                <w:webHidden/>
              </w:rPr>
              <w:instrText xml:space="preserve"> PAGEREF _Toc225442545 \h </w:instrText>
            </w:r>
            <w:r>
              <w:rPr>
                <w:noProof/>
                <w:webHidden/>
              </w:rPr>
              <w:fldChar w:fldCharType="separate"/>
            </w:r>
            <w:r>
              <w:rPr>
                <w:noProof/>
                <w:webHidden/>
              </w:rPr>
              <w:t>16</w:t>
            </w:r>
            <w:r>
              <w:rPr>
                <w:noProof/>
                <w:webHidden/>
              </w:rPr>
              <w:fldChar w:fldCharType="end"/>
            </w:r>
          </w:hyperlink>
        </w:p>
        <w:p w:rsidR="006465DF" w14:paraId="4B449502" w14:textId="445E3779">
          <w:pPr>
            <w:pStyle w:val="TOC2"/>
            <w:tabs>
              <w:tab w:val="left" w:pos="2091"/>
              <w:tab w:val="right" w:pos="9980"/>
            </w:tabs>
            <w:rPr>
              <w:rFonts w:asciiTheme="minorHAnsi" w:eastAsiaTheme="minorEastAsia" w:hAnsiTheme="minorHAnsi"/>
              <w:noProof/>
              <w:kern w:val="2"/>
              <w14:ligatures w14:val="standardContextual"/>
            </w:rPr>
          </w:pPr>
          <w:hyperlink w:anchor="_Toc225442546" w:history="1">
            <w:r w:rsidRPr="00F31C91">
              <w:rPr>
                <w:rStyle w:val="Hyperlink"/>
                <w:noProof/>
              </w:rPr>
              <w:t>A.18</w:t>
            </w:r>
            <w:r>
              <w:rPr>
                <w:rFonts w:asciiTheme="minorHAnsi" w:eastAsiaTheme="minorEastAsia" w:hAnsiTheme="minorHAnsi"/>
                <w:noProof/>
                <w:kern w:val="2"/>
                <w14:ligatures w14:val="standardContextual"/>
              </w:rPr>
              <w:tab/>
            </w:r>
            <w:r w:rsidRPr="00F31C91">
              <w:rPr>
                <w:rStyle w:val="Hyperlink"/>
                <w:noProof/>
              </w:rPr>
              <w:t>Exceptions to the Certification Statement</w:t>
            </w:r>
            <w:r>
              <w:rPr>
                <w:noProof/>
                <w:webHidden/>
              </w:rPr>
              <w:tab/>
            </w:r>
            <w:r>
              <w:rPr>
                <w:noProof/>
                <w:webHidden/>
              </w:rPr>
              <w:fldChar w:fldCharType="begin"/>
            </w:r>
            <w:r>
              <w:rPr>
                <w:noProof/>
                <w:webHidden/>
              </w:rPr>
              <w:instrText xml:space="preserve"> PAGEREF _Toc225442546 \h </w:instrText>
            </w:r>
            <w:r>
              <w:rPr>
                <w:noProof/>
                <w:webHidden/>
              </w:rPr>
              <w:fldChar w:fldCharType="separate"/>
            </w:r>
            <w:r>
              <w:rPr>
                <w:noProof/>
                <w:webHidden/>
              </w:rPr>
              <w:t>16</w:t>
            </w:r>
            <w:r>
              <w:rPr>
                <w:noProof/>
                <w:webHidden/>
              </w:rPr>
              <w:fldChar w:fldCharType="end"/>
            </w:r>
          </w:hyperlink>
        </w:p>
        <w:p w:rsidR="00AB54A1" w:rsidRPr="003E1136" w:rsidP="00E53D0E" w14:paraId="69EA155E" w14:textId="77777777">
          <w:pPr>
            <w:pStyle w:val="TOC2"/>
            <w:tabs>
              <w:tab w:val="left" w:pos="2091"/>
              <w:tab w:val="right" w:leader="dot" w:pos="10070"/>
            </w:tabs>
            <w:spacing w:after="120"/>
            <w:ind w:left="0" w:firstLine="0"/>
            <w:rPr>
              <w:rFonts w:asciiTheme="minorHAnsi" w:eastAsiaTheme="minorEastAsia" w:hAnsiTheme="minorHAnsi"/>
              <w:noProof/>
              <w:sz w:val="22"/>
              <w:szCs w:val="22"/>
            </w:rPr>
          </w:pPr>
          <w:r>
            <w:fldChar w:fldCharType="end"/>
          </w:r>
        </w:p>
      </w:sdtContent>
    </w:sdt>
    <w:p w:rsidR="00466CD3" w:rsidRPr="00EB2637" w:rsidP="00EB2637" w14:paraId="5442AD29" w14:textId="77777777">
      <w:pPr>
        <w:pStyle w:val="TOC0"/>
      </w:pPr>
      <w:bookmarkStart w:id="2" w:name="_Toc490122264"/>
      <w:r w:rsidRPr="00EB2637">
        <w:t>EXHIBITS</w:t>
      </w:r>
    </w:p>
    <w:p w:rsidR="00AA3A25" w14:paraId="24DE2108" w14:textId="346B245E">
      <w:pPr>
        <w:pStyle w:val="TableofFigures"/>
        <w:rPr>
          <w:rFonts w:asciiTheme="minorHAnsi" w:eastAsiaTheme="minorEastAsia" w:hAnsiTheme="minorHAnsi"/>
          <w:kern w:val="2"/>
          <w:szCs w:val="24"/>
          <w14:ligatures w14:val="standardContextual"/>
        </w:rPr>
      </w:pPr>
      <w:r>
        <w:fldChar w:fldCharType="begin"/>
      </w:r>
      <w:r>
        <w:instrText xml:space="preserve"> TOC \h \z \t "Table Title" \c </w:instrText>
      </w:r>
      <w:r>
        <w:fldChar w:fldCharType="separate"/>
      </w:r>
      <w:hyperlink w:anchor="_Toc225512739" w:history="1">
        <w:r w:rsidRPr="00AB78D4">
          <w:rPr>
            <w:rStyle w:val="Hyperlink"/>
          </w:rPr>
          <w:t>Exhibit 1.</w:t>
        </w:r>
        <w:r>
          <w:rPr>
            <w:rFonts w:asciiTheme="minorHAnsi" w:eastAsiaTheme="minorEastAsia" w:hAnsiTheme="minorHAnsi"/>
            <w:kern w:val="2"/>
            <w:szCs w:val="24"/>
            <w14:ligatures w14:val="standardContextual"/>
          </w:rPr>
          <w:tab/>
        </w:r>
        <w:r w:rsidRPr="00AB78D4">
          <w:rPr>
            <w:rStyle w:val="Hyperlink"/>
          </w:rPr>
          <w:t xml:space="preserve">GSS </w:t>
        </w:r>
        <w:r w:rsidRPr="00BF0EF4">
          <w:rPr>
            <w:rStyle w:val="Hyperlink"/>
          </w:rPr>
          <w:t>2022-2024</w:t>
        </w:r>
        <w:r w:rsidRPr="00AB78D4">
          <w:rPr>
            <w:rStyle w:val="Hyperlink"/>
          </w:rPr>
          <w:t xml:space="preserve"> Reported Coordinator Burden, by Institutional Reporting Size and Data Provision Method</w:t>
        </w:r>
        <w:r>
          <w:rPr>
            <w:webHidden/>
          </w:rPr>
          <w:tab/>
        </w:r>
        <w:r>
          <w:rPr>
            <w:webHidden/>
          </w:rPr>
          <w:fldChar w:fldCharType="begin"/>
        </w:r>
        <w:r>
          <w:rPr>
            <w:webHidden/>
          </w:rPr>
          <w:instrText xml:space="preserve"> PAGEREF _Toc225512739 \h </w:instrText>
        </w:r>
        <w:r>
          <w:rPr>
            <w:webHidden/>
          </w:rPr>
          <w:fldChar w:fldCharType="separate"/>
        </w:r>
        <w:r>
          <w:rPr>
            <w:webHidden/>
          </w:rPr>
          <w:t>12</w:t>
        </w:r>
        <w:r>
          <w:rPr>
            <w:webHidden/>
          </w:rPr>
          <w:fldChar w:fldCharType="end"/>
        </w:r>
      </w:hyperlink>
    </w:p>
    <w:p w:rsidR="00AA3A25" w14:paraId="78A5FA62" w14:textId="0D68BDC8">
      <w:pPr>
        <w:pStyle w:val="TableofFigures"/>
        <w:rPr>
          <w:rFonts w:asciiTheme="minorHAnsi" w:eastAsiaTheme="minorEastAsia" w:hAnsiTheme="minorHAnsi"/>
          <w:kern w:val="2"/>
          <w:szCs w:val="24"/>
          <w14:ligatures w14:val="standardContextual"/>
        </w:rPr>
      </w:pPr>
      <w:hyperlink w:anchor="_Toc225512740" w:history="1">
        <w:r w:rsidRPr="00AB78D4">
          <w:rPr>
            <w:rStyle w:val="Hyperlink"/>
          </w:rPr>
          <w:t>Exhibit 2.</w:t>
        </w:r>
        <w:r>
          <w:rPr>
            <w:rFonts w:asciiTheme="minorHAnsi" w:eastAsiaTheme="minorEastAsia" w:hAnsiTheme="minorHAnsi"/>
            <w:kern w:val="2"/>
            <w:szCs w:val="24"/>
            <w14:ligatures w14:val="standardContextual"/>
          </w:rPr>
          <w:tab/>
        </w:r>
        <w:r w:rsidRPr="00AB78D4">
          <w:rPr>
            <w:rStyle w:val="Hyperlink"/>
          </w:rPr>
          <w:t xml:space="preserve">GSS </w:t>
        </w:r>
        <w:r w:rsidRPr="00BF0EF4">
          <w:rPr>
            <w:rStyle w:val="Hyperlink"/>
          </w:rPr>
          <w:t>2022-2024</w:t>
        </w:r>
        <w:r w:rsidRPr="00AB78D4">
          <w:rPr>
            <w:rStyle w:val="Hyperlink"/>
          </w:rPr>
          <w:t xml:space="preserve"> Reported Burden for Institutions Using Unit Respondents, by Institutional Reporting Size and Data Provision Method</w:t>
        </w:r>
        <w:r>
          <w:rPr>
            <w:webHidden/>
          </w:rPr>
          <w:tab/>
        </w:r>
        <w:r>
          <w:rPr>
            <w:webHidden/>
          </w:rPr>
          <w:fldChar w:fldCharType="begin"/>
        </w:r>
        <w:r>
          <w:rPr>
            <w:webHidden/>
          </w:rPr>
          <w:instrText xml:space="preserve"> PAGEREF _Toc225512740 \h </w:instrText>
        </w:r>
        <w:r>
          <w:rPr>
            <w:webHidden/>
          </w:rPr>
          <w:fldChar w:fldCharType="separate"/>
        </w:r>
        <w:r>
          <w:rPr>
            <w:webHidden/>
          </w:rPr>
          <w:t>12</w:t>
        </w:r>
        <w:r>
          <w:rPr>
            <w:webHidden/>
          </w:rPr>
          <w:fldChar w:fldCharType="end"/>
        </w:r>
      </w:hyperlink>
    </w:p>
    <w:p w:rsidR="00AA3A25" w14:paraId="12837093" w14:textId="2C1C53D2">
      <w:pPr>
        <w:pStyle w:val="TableofFigures"/>
        <w:rPr>
          <w:rFonts w:asciiTheme="minorHAnsi" w:eastAsiaTheme="minorEastAsia" w:hAnsiTheme="minorHAnsi"/>
          <w:kern w:val="2"/>
          <w:szCs w:val="24"/>
          <w14:ligatures w14:val="standardContextual"/>
        </w:rPr>
      </w:pPr>
      <w:hyperlink w:anchor="_Toc225512741" w:history="1">
        <w:r w:rsidRPr="00AB78D4">
          <w:rPr>
            <w:rStyle w:val="Hyperlink"/>
          </w:rPr>
          <w:t>Exhibit 3.</w:t>
        </w:r>
        <w:r>
          <w:rPr>
            <w:rFonts w:asciiTheme="minorHAnsi" w:eastAsiaTheme="minorEastAsia" w:hAnsiTheme="minorHAnsi"/>
            <w:kern w:val="2"/>
            <w:szCs w:val="24"/>
            <w14:ligatures w14:val="standardContextual"/>
          </w:rPr>
          <w:tab/>
        </w:r>
        <w:r w:rsidRPr="00AB78D4">
          <w:rPr>
            <w:rStyle w:val="Hyperlink"/>
          </w:rPr>
          <w:t xml:space="preserve">GSS </w:t>
        </w:r>
        <w:r w:rsidRPr="00BF0EF4">
          <w:rPr>
            <w:rStyle w:val="Hyperlink"/>
          </w:rPr>
          <w:t>2022-2024</w:t>
        </w:r>
        <w:r w:rsidRPr="00AB78D4">
          <w:rPr>
            <w:rStyle w:val="Hyperlink"/>
          </w:rPr>
          <w:t xml:space="preserve"> Total Burden by Institutional Reporting Size, Data Provision Method, and Unit Respondent Status</w:t>
        </w:r>
        <w:r>
          <w:rPr>
            <w:webHidden/>
          </w:rPr>
          <w:tab/>
        </w:r>
        <w:r>
          <w:rPr>
            <w:webHidden/>
          </w:rPr>
          <w:fldChar w:fldCharType="begin"/>
        </w:r>
        <w:r>
          <w:rPr>
            <w:webHidden/>
          </w:rPr>
          <w:instrText xml:space="preserve"> PAGEREF _Toc225512741 \h </w:instrText>
        </w:r>
        <w:r>
          <w:rPr>
            <w:webHidden/>
          </w:rPr>
          <w:fldChar w:fldCharType="separate"/>
        </w:r>
        <w:r>
          <w:rPr>
            <w:webHidden/>
          </w:rPr>
          <w:t>13</w:t>
        </w:r>
        <w:r>
          <w:rPr>
            <w:webHidden/>
          </w:rPr>
          <w:fldChar w:fldCharType="end"/>
        </w:r>
      </w:hyperlink>
    </w:p>
    <w:p w:rsidR="00AA3A25" w14:paraId="57826B54" w14:textId="3E9A2590">
      <w:pPr>
        <w:pStyle w:val="TableofFigures"/>
        <w:rPr>
          <w:rFonts w:asciiTheme="minorHAnsi" w:eastAsiaTheme="minorEastAsia" w:hAnsiTheme="minorHAnsi"/>
          <w:kern w:val="2"/>
          <w:szCs w:val="24"/>
          <w14:ligatures w14:val="standardContextual"/>
        </w:rPr>
      </w:pPr>
      <w:hyperlink w:anchor="_Toc225512742" w:history="1">
        <w:r w:rsidRPr="00AB78D4">
          <w:rPr>
            <w:rStyle w:val="Hyperlink"/>
          </w:rPr>
          <w:t>Exhibit 4.</w:t>
        </w:r>
        <w:r>
          <w:rPr>
            <w:rFonts w:asciiTheme="minorHAnsi" w:eastAsiaTheme="minorEastAsia" w:hAnsiTheme="minorHAnsi"/>
            <w:kern w:val="2"/>
            <w:szCs w:val="24"/>
            <w14:ligatures w14:val="standardContextual"/>
          </w:rPr>
          <w:tab/>
        </w:r>
        <w:r w:rsidRPr="00AB78D4">
          <w:rPr>
            <w:rStyle w:val="Hyperlink"/>
          </w:rPr>
          <w:t xml:space="preserve">Expected Composition of the </w:t>
        </w:r>
        <w:r w:rsidRPr="00BF0EF4">
          <w:rPr>
            <w:rStyle w:val="Hyperlink"/>
          </w:rPr>
          <w:t>2025</w:t>
        </w:r>
        <w:r w:rsidRPr="00AB78D4">
          <w:rPr>
            <w:rStyle w:val="Hyperlink"/>
          </w:rPr>
          <w:t xml:space="preserve"> GSS Frame, by Institution Size and Reporting </w:t>
        </w:r>
        <w:r>
          <w:rPr>
            <w:rStyle w:val="Hyperlink"/>
          </w:rPr>
          <w:t>M</w:t>
        </w:r>
        <w:r w:rsidRPr="00AB78D4">
          <w:rPr>
            <w:rStyle w:val="Hyperlink"/>
          </w:rPr>
          <w:t>ethod</w:t>
        </w:r>
        <w:r>
          <w:rPr>
            <w:webHidden/>
          </w:rPr>
          <w:tab/>
        </w:r>
        <w:r>
          <w:rPr>
            <w:webHidden/>
          </w:rPr>
          <w:fldChar w:fldCharType="begin"/>
        </w:r>
        <w:r>
          <w:rPr>
            <w:webHidden/>
          </w:rPr>
          <w:instrText xml:space="preserve"> PAGEREF _Toc225512742 \h </w:instrText>
        </w:r>
        <w:r>
          <w:rPr>
            <w:webHidden/>
          </w:rPr>
          <w:fldChar w:fldCharType="separate"/>
        </w:r>
        <w:r>
          <w:rPr>
            <w:webHidden/>
          </w:rPr>
          <w:t>14</w:t>
        </w:r>
        <w:r>
          <w:rPr>
            <w:webHidden/>
          </w:rPr>
          <w:fldChar w:fldCharType="end"/>
        </w:r>
      </w:hyperlink>
    </w:p>
    <w:p w:rsidR="00AA3A25" w14:paraId="415C4AA2" w14:textId="5A02F7D8">
      <w:pPr>
        <w:pStyle w:val="TableofFigures"/>
        <w:rPr>
          <w:rFonts w:asciiTheme="minorHAnsi" w:eastAsiaTheme="minorEastAsia" w:hAnsiTheme="minorHAnsi"/>
          <w:kern w:val="2"/>
          <w:szCs w:val="24"/>
          <w14:ligatures w14:val="standardContextual"/>
        </w:rPr>
      </w:pPr>
      <w:hyperlink w:anchor="_Toc225512743" w:history="1">
        <w:r w:rsidRPr="00AB78D4">
          <w:rPr>
            <w:rStyle w:val="Hyperlink"/>
          </w:rPr>
          <w:t>Exhibit 5.</w:t>
        </w:r>
        <w:r>
          <w:rPr>
            <w:rFonts w:asciiTheme="minorHAnsi" w:eastAsiaTheme="minorEastAsia" w:hAnsiTheme="minorHAnsi"/>
            <w:kern w:val="2"/>
            <w:szCs w:val="24"/>
            <w14:ligatures w14:val="standardContextual"/>
          </w:rPr>
          <w:tab/>
        </w:r>
        <w:r w:rsidRPr="00AB78D4">
          <w:rPr>
            <w:rStyle w:val="Hyperlink"/>
          </w:rPr>
          <w:t xml:space="preserve">Burden Estimates for the </w:t>
        </w:r>
        <w:r w:rsidRPr="00BF0EF4">
          <w:rPr>
            <w:rStyle w:val="Hyperlink"/>
          </w:rPr>
          <w:t>2026</w:t>
        </w:r>
        <w:r w:rsidRPr="00AB78D4">
          <w:rPr>
            <w:rStyle w:val="Hyperlink"/>
          </w:rPr>
          <w:t xml:space="preserve"> GSS</w:t>
        </w:r>
        <w:r>
          <w:rPr>
            <w:webHidden/>
          </w:rPr>
          <w:tab/>
        </w:r>
        <w:r>
          <w:rPr>
            <w:webHidden/>
          </w:rPr>
          <w:fldChar w:fldCharType="begin"/>
        </w:r>
        <w:r>
          <w:rPr>
            <w:webHidden/>
          </w:rPr>
          <w:instrText xml:space="preserve"> PAGEREF _Toc225512743 \h </w:instrText>
        </w:r>
        <w:r>
          <w:rPr>
            <w:webHidden/>
          </w:rPr>
          <w:fldChar w:fldCharType="separate"/>
        </w:r>
        <w:r>
          <w:rPr>
            <w:webHidden/>
          </w:rPr>
          <w:t>14</w:t>
        </w:r>
        <w:r>
          <w:rPr>
            <w:webHidden/>
          </w:rPr>
          <w:fldChar w:fldCharType="end"/>
        </w:r>
      </w:hyperlink>
    </w:p>
    <w:p w:rsidR="00AA3A25" w14:paraId="0CA80FE2" w14:textId="592E30B8">
      <w:pPr>
        <w:pStyle w:val="TableofFigures"/>
        <w:rPr>
          <w:rFonts w:asciiTheme="minorHAnsi" w:eastAsiaTheme="minorEastAsia" w:hAnsiTheme="minorHAnsi"/>
          <w:kern w:val="2"/>
          <w:szCs w:val="24"/>
          <w14:ligatures w14:val="standardContextual"/>
        </w:rPr>
      </w:pPr>
      <w:hyperlink w:anchor="_Toc225512744" w:history="1">
        <w:r w:rsidRPr="00AB78D4">
          <w:rPr>
            <w:rStyle w:val="Hyperlink"/>
          </w:rPr>
          <w:t>Exhibit 6.</w:t>
        </w:r>
        <w:r>
          <w:rPr>
            <w:rFonts w:asciiTheme="minorHAnsi" w:eastAsiaTheme="minorEastAsia" w:hAnsiTheme="minorHAnsi"/>
            <w:kern w:val="2"/>
            <w:szCs w:val="24"/>
            <w14:ligatures w14:val="standardContextual"/>
          </w:rPr>
          <w:tab/>
        </w:r>
        <w:r w:rsidRPr="00AB78D4">
          <w:rPr>
            <w:rStyle w:val="Hyperlink"/>
          </w:rPr>
          <w:t xml:space="preserve">Burden Estimates for the </w:t>
        </w:r>
        <w:r w:rsidRPr="00BF0EF4">
          <w:rPr>
            <w:rStyle w:val="Hyperlink"/>
          </w:rPr>
          <w:t>2027</w:t>
        </w:r>
        <w:r w:rsidRPr="00AB78D4">
          <w:rPr>
            <w:rStyle w:val="Hyperlink"/>
          </w:rPr>
          <w:t xml:space="preserve"> GSS</w:t>
        </w:r>
        <w:r>
          <w:rPr>
            <w:webHidden/>
          </w:rPr>
          <w:tab/>
        </w:r>
        <w:r>
          <w:rPr>
            <w:webHidden/>
          </w:rPr>
          <w:fldChar w:fldCharType="begin"/>
        </w:r>
        <w:r>
          <w:rPr>
            <w:webHidden/>
          </w:rPr>
          <w:instrText xml:space="preserve"> PAGEREF _Toc225512744 \h </w:instrText>
        </w:r>
        <w:r>
          <w:rPr>
            <w:webHidden/>
          </w:rPr>
          <w:fldChar w:fldCharType="separate"/>
        </w:r>
        <w:r>
          <w:rPr>
            <w:webHidden/>
          </w:rPr>
          <w:t>14</w:t>
        </w:r>
        <w:r>
          <w:rPr>
            <w:webHidden/>
          </w:rPr>
          <w:fldChar w:fldCharType="end"/>
        </w:r>
      </w:hyperlink>
    </w:p>
    <w:p w:rsidR="00AA3A25" w14:paraId="2675FB37" w14:textId="6A9CF432">
      <w:pPr>
        <w:pStyle w:val="TableofFigures"/>
        <w:rPr>
          <w:rFonts w:asciiTheme="minorHAnsi" w:eastAsiaTheme="minorEastAsia" w:hAnsiTheme="minorHAnsi"/>
          <w:kern w:val="2"/>
          <w:szCs w:val="24"/>
          <w14:ligatures w14:val="standardContextual"/>
        </w:rPr>
      </w:pPr>
      <w:hyperlink w:anchor="_Toc225512745" w:history="1">
        <w:r w:rsidRPr="00AB78D4">
          <w:rPr>
            <w:rStyle w:val="Hyperlink"/>
          </w:rPr>
          <w:t>Exhibit 7.</w:t>
        </w:r>
        <w:r>
          <w:rPr>
            <w:rFonts w:asciiTheme="minorHAnsi" w:eastAsiaTheme="minorEastAsia" w:hAnsiTheme="minorHAnsi"/>
            <w:kern w:val="2"/>
            <w:szCs w:val="24"/>
            <w14:ligatures w14:val="standardContextual"/>
          </w:rPr>
          <w:tab/>
        </w:r>
        <w:r w:rsidRPr="00AB78D4">
          <w:rPr>
            <w:rStyle w:val="Hyperlink"/>
          </w:rPr>
          <w:t xml:space="preserve">Burden Estimates for the </w:t>
        </w:r>
        <w:r w:rsidRPr="00BF0EF4">
          <w:rPr>
            <w:rStyle w:val="Hyperlink"/>
          </w:rPr>
          <w:t>2028</w:t>
        </w:r>
        <w:r w:rsidRPr="00AB78D4">
          <w:rPr>
            <w:rStyle w:val="Hyperlink"/>
          </w:rPr>
          <w:t xml:space="preserve"> GSS</w:t>
        </w:r>
        <w:r>
          <w:rPr>
            <w:webHidden/>
          </w:rPr>
          <w:tab/>
        </w:r>
        <w:r>
          <w:rPr>
            <w:webHidden/>
          </w:rPr>
          <w:fldChar w:fldCharType="begin"/>
        </w:r>
        <w:r>
          <w:rPr>
            <w:webHidden/>
          </w:rPr>
          <w:instrText xml:space="preserve"> PAGEREF _Toc225512745 \h </w:instrText>
        </w:r>
        <w:r>
          <w:rPr>
            <w:webHidden/>
          </w:rPr>
          <w:fldChar w:fldCharType="separate"/>
        </w:r>
        <w:r>
          <w:rPr>
            <w:webHidden/>
          </w:rPr>
          <w:t>15</w:t>
        </w:r>
        <w:r>
          <w:rPr>
            <w:webHidden/>
          </w:rPr>
          <w:fldChar w:fldCharType="end"/>
        </w:r>
      </w:hyperlink>
    </w:p>
    <w:p w:rsidR="00AA3A25" w14:paraId="1733239B" w14:textId="1CEB29F8">
      <w:pPr>
        <w:pStyle w:val="TableofFigures"/>
        <w:rPr>
          <w:rFonts w:asciiTheme="minorHAnsi" w:eastAsiaTheme="minorEastAsia" w:hAnsiTheme="minorHAnsi"/>
          <w:kern w:val="2"/>
          <w:szCs w:val="24"/>
          <w14:ligatures w14:val="standardContextual"/>
        </w:rPr>
      </w:pPr>
      <w:hyperlink w:anchor="_Toc225512746" w:history="1">
        <w:r w:rsidRPr="00AB78D4">
          <w:rPr>
            <w:rStyle w:val="Hyperlink"/>
          </w:rPr>
          <w:t>Exhibit 8.</w:t>
        </w:r>
        <w:r>
          <w:rPr>
            <w:rFonts w:asciiTheme="minorHAnsi" w:eastAsiaTheme="minorEastAsia" w:hAnsiTheme="minorHAnsi"/>
            <w:kern w:val="2"/>
            <w:szCs w:val="24"/>
            <w14:ligatures w14:val="standardContextual"/>
          </w:rPr>
          <w:tab/>
        </w:r>
        <w:r w:rsidRPr="00AB78D4">
          <w:rPr>
            <w:rStyle w:val="Hyperlink"/>
          </w:rPr>
          <w:t xml:space="preserve">Total Burden Estimates for </w:t>
        </w:r>
        <w:r w:rsidRPr="00BF0EF4">
          <w:rPr>
            <w:rStyle w:val="Hyperlink"/>
          </w:rPr>
          <w:t>2026-2028</w:t>
        </w:r>
        <w:r w:rsidRPr="00AB78D4">
          <w:rPr>
            <w:rStyle w:val="Hyperlink"/>
          </w:rPr>
          <w:t xml:space="preserve"> GSS</w:t>
        </w:r>
        <w:r>
          <w:rPr>
            <w:webHidden/>
          </w:rPr>
          <w:tab/>
        </w:r>
        <w:r>
          <w:rPr>
            <w:webHidden/>
          </w:rPr>
          <w:fldChar w:fldCharType="begin"/>
        </w:r>
        <w:r>
          <w:rPr>
            <w:webHidden/>
          </w:rPr>
          <w:instrText xml:space="preserve"> PAGEREF _Toc225512746 \h </w:instrText>
        </w:r>
        <w:r>
          <w:rPr>
            <w:webHidden/>
          </w:rPr>
          <w:fldChar w:fldCharType="separate"/>
        </w:r>
        <w:r>
          <w:rPr>
            <w:webHidden/>
          </w:rPr>
          <w:t>15</w:t>
        </w:r>
        <w:r>
          <w:rPr>
            <w:webHidden/>
          </w:rPr>
          <w:fldChar w:fldCharType="end"/>
        </w:r>
      </w:hyperlink>
    </w:p>
    <w:p w:rsidR="00AA3A25" w14:paraId="1FE9B4BF" w14:textId="504E9AA9">
      <w:pPr>
        <w:pStyle w:val="TableofFigures"/>
        <w:rPr>
          <w:rFonts w:asciiTheme="minorHAnsi" w:eastAsiaTheme="minorEastAsia" w:hAnsiTheme="minorHAnsi"/>
          <w:kern w:val="2"/>
          <w:szCs w:val="24"/>
          <w14:ligatures w14:val="standardContextual"/>
        </w:rPr>
      </w:pPr>
      <w:hyperlink w:anchor="_Toc225512747" w:history="1">
        <w:r w:rsidRPr="00AB78D4">
          <w:rPr>
            <w:rStyle w:val="Hyperlink"/>
            <w:rFonts w:eastAsia="Calibri"/>
          </w:rPr>
          <w:t>Exhibit 9.</w:t>
        </w:r>
        <w:r>
          <w:rPr>
            <w:rFonts w:asciiTheme="minorHAnsi" w:eastAsiaTheme="minorEastAsia" w:hAnsiTheme="minorHAnsi"/>
            <w:kern w:val="2"/>
            <w:szCs w:val="24"/>
            <w14:ligatures w14:val="standardContextual"/>
          </w:rPr>
          <w:tab/>
        </w:r>
        <w:r w:rsidRPr="00AB78D4">
          <w:rPr>
            <w:rStyle w:val="Hyperlink"/>
            <w:rFonts w:eastAsia="Calibri"/>
          </w:rPr>
          <w:t>Annual GSS Survey Federal Government Estimated Costs</w:t>
        </w:r>
        <w:r>
          <w:rPr>
            <w:webHidden/>
          </w:rPr>
          <w:tab/>
        </w:r>
        <w:r>
          <w:rPr>
            <w:webHidden/>
          </w:rPr>
          <w:fldChar w:fldCharType="begin"/>
        </w:r>
        <w:r>
          <w:rPr>
            <w:webHidden/>
          </w:rPr>
          <w:instrText xml:space="preserve"> PAGEREF _Toc225512747 \h </w:instrText>
        </w:r>
        <w:r>
          <w:rPr>
            <w:webHidden/>
          </w:rPr>
          <w:fldChar w:fldCharType="separate"/>
        </w:r>
        <w:r>
          <w:rPr>
            <w:webHidden/>
          </w:rPr>
          <w:t>16</w:t>
        </w:r>
        <w:r>
          <w:rPr>
            <w:webHidden/>
          </w:rPr>
          <w:fldChar w:fldCharType="end"/>
        </w:r>
      </w:hyperlink>
    </w:p>
    <w:p w:rsidR="00EB2637" w:rsidRPr="002D4A7C" w:rsidP="00EB2637" w14:paraId="5671D1CD" w14:textId="63C7C925">
      <w:pPr>
        <w:pStyle w:val="TOC0"/>
      </w:pPr>
      <w:r>
        <w:fldChar w:fldCharType="end"/>
      </w:r>
    </w:p>
    <w:p w:rsidR="005F7C62" w:rsidRPr="003E1136" w:rsidP="00A92901" w14:paraId="78242E35" w14:textId="77777777">
      <w:pPr>
        <w:pStyle w:val="TOC0"/>
      </w:pPr>
      <w:bookmarkStart w:id="3" w:name="_Toc488073258"/>
      <w:bookmarkStart w:id="4" w:name="_Toc490122265"/>
      <w:bookmarkEnd w:id="2"/>
      <w:r w:rsidRPr="003E1136">
        <w:t>LIST OF</w:t>
      </w:r>
      <w:r w:rsidRPr="003E1136">
        <w:rPr>
          <w:spacing w:val="-3"/>
        </w:rPr>
        <w:t xml:space="preserve"> </w:t>
      </w:r>
      <w:r w:rsidRPr="003E1136">
        <w:t>ATTACHMENTS</w:t>
      </w:r>
      <w:bookmarkEnd w:id="3"/>
      <w:bookmarkEnd w:id="4"/>
    </w:p>
    <w:p w:rsidR="00191E4A" w:rsidP="00FA1C4F" w14:paraId="1F0D9E2B" w14:textId="77777777">
      <w:pPr>
        <w:pStyle w:val="TOC1"/>
        <w:spacing w:before="0" w:after="0" w:line="360" w:lineRule="auto"/>
        <w:ind w:hanging="202"/>
        <w:rPr>
          <w:b w:val="0"/>
        </w:rPr>
      </w:pPr>
      <w:r>
        <w:rPr>
          <w:b w:val="0"/>
        </w:rPr>
        <w:t>Attachment 1.</w:t>
      </w:r>
      <w:r>
        <w:rPr>
          <w:b w:val="0"/>
        </w:rPr>
        <w:tab/>
        <w:t>America COMPETES Reauthorization Act of 2010</w:t>
      </w:r>
    </w:p>
    <w:p w:rsidR="00191E4A" w:rsidP="00FA1C4F" w14:paraId="68799549" w14:textId="2C2D6E10">
      <w:pPr>
        <w:pStyle w:val="TOC1"/>
        <w:spacing w:before="0" w:after="0" w:line="360" w:lineRule="auto"/>
        <w:ind w:hanging="202"/>
        <w:rPr>
          <w:b w:val="0"/>
        </w:rPr>
      </w:pPr>
      <w:r>
        <w:rPr>
          <w:b w:val="0"/>
        </w:rPr>
        <w:t>Attachment 2.</w:t>
      </w:r>
      <w:r>
        <w:rPr>
          <w:b w:val="0"/>
        </w:rPr>
        <w:tab/>
        <w:t>NSF Act of 1950</w:t>
      </w:r>
      <w:r w:rsidR="00E67D1E">
        <w:rPr>
          <w:b w:val="0"/>
        </w:rPr>
        <w:t>, as amended</w:t>
      </w:r>
    </w:p>
    <w:p w:rsidR="005F7C62" w:rsidRPr="003E1136" w:rsidP="00FA1C4F" w14:paraId="1B60FE2B" w14:textId="17BA7519">
      <w:pPr>
        <w:pStyle w:val="TOC1"/>
        <w:spacing w:before="0" w:after="0" w:line="360" w:lineRule="auto"/>
        <w:ind w:hanging="202"/>
        <w:rPr>
          <w:b w:val="0"/>
        </w:rPr>
      </w:pPr>
      <w:r w:rsidRPr="003E1136">
        <w:rPr>
          <w:b w:val="0"/>
        </w:rPr>
        <w:t xml:space="preserve">Attachment </w:t>
      </w:r>
      <w:r w:rsidR="00191E4A">
        <w:rPr>
          <w:b w:val="0"/>
        </w:rPr>
        <w:t>3</w:t>
      </w:r>
      <w:r w:rsidRPr="003E1136">
        <w:rPr>
          <w:b w:val="0"/>
        </w:rPr>
        <w:t>.</w:t>
      </w:r>
      <w:r w:rsidR="00AC7ADA">
        <w:rPr>
          <w:b w:val="0"/>
        </w:rPr>
        <w:tab/>
      </w:r>
      <w:r w:rsidRPr="003E1136">
        <w:rPr>
          <w:b w:val="0"/>
        </w:rPr>
        <w:t xml:space="preserve">GSS </w:t>
      </w:r>
      <w:r w:rsidRPr="003E1136" w:rsidR="00350B3A">
        <w:rPr>
          <w:b w:val="0"/>
        </w:rPr>
        <w:t>Instrument</w:t>
      </w:r>
      <w:r w:rsidRPr="003E1136" w:rsidR="00A21684">
        <w:rPr>
          <w:b w:val="0"/>
        </w:rPr>
        <w:t xml:space="preserve"> Screen</w:t>
      </w:r>
      <w:r w:rsidR="00F60BC9">
        <w:rPr>
          <w:b w:val="0"/>
        </w:rPr>
        <w:t>s</w:t>
      </w:r>
      <w:r w:rsidRPr="003E1136" w:rsidR="00A21684">
        <w:rPr>
          <w:b w:val="0"/>
        </w:rPr>
        <w:t>hots</w:t>
      </w:r>
    </w:p>
    <w:p w:rsidR="005F7C62" w:rsidP="00FA1C4F" w14:paraId="730379A1" w14:textId="672B114D">
      <w:pPr>
        <w:pStyle w:val="TOC1"/>
        <w:spacing w:before="0" w:after="0" w:line="360" w:lineRule="auto"/>
        <w:ind w:left="2160" w:hanging="1620"/>
        <w:rPr>
          <w:b w:val="0"/>
        </w:rPr>
      </w:pPr>
      <w:r w:rsidRPr="003E1136">
        <w:rPr>
          <w:b w:val="0"/>
        </w:rPr>
        <w:t xml:space="preserve">Attachment </w:t>
      </w:r>
      <w:r w:rsidR="00191E4A">
        <w:rPr>
          <w:b w:val="0"/>
        </w:rPr>
        <w:t>4</w:t>
      </w:r>
      <w:r w:rsidRPr="003E1136">
        <w:rPr>
          <w:b w:val="0"/>
        </w:rPr>
        <w:t>.</w:t>
      </w:r>
      <w:r w:rsidR="00AC7ADA">
        <w:rPr>
          <w:b w:val="0"/>
        </w:rPr>
        <w:tab/>
      </w:r>
      <w:r w:rsidRPr="003E1136" w:rsidR="00A21684">
        <w:rPr>
          <w:b w:val="0"/>
        </w:rPr>
        <w:t>Federally Funded Research and Development Center</w:t>
      </w:r>
      <w:r w:rsidR="00932813">
        <w:rPr>
          <w:b w:val="0"/>
        </w:rPr>
        <w:t>s</w:t>
      </w:r>
      <w:r w:rsidRPr="003E1136" w:rsidR="00A21684">
        <w:rPr>
          <w:b w:val="0"/>
        </w:rPr>
        <w:t xml:space="preserve"> (FFRDC</w:t>
      </w:r>
      <w:r w:rsidR="00932813">
        <w:rPr>
          <w:b w:val="0"/>
        </w:rPr>
        <w:t>s</w:t>
      </w:r>
      <w:r w:rsidRPr="003E1136" w:rsidR="00A21684">
        <w:rPr>
          <w:b w:val="0"/>
        </w:rPr>
        <w:t xml:space="preserve">) Postdoc Survey </w:t>
      </w:r>
      <w:r w:rsidRPr="003E1136" w:rsidR="00350B3A">
        <w:rPr>
          <w:b w:val="0"/>
        </w:rPr>
        <w:t xml:space="preserve">Instrument </w:t>
      </w:r>
      <w:r w:rsidRPr="003E1136" w:rsidR="00A21684">
        <w:rPr>
          <w:b w:val="0"/>
        </w:rPr>
        <w:t>Screen</w:t>
      </w:r>
      <w:r w:rsidR="00F60BC9">
        <w:rPr>
          <w:b w:val="0"/>
        </w:rPr>
        <w:t>s</w:t>
      </w:r>
      <w:r w:rsidRPr="003E1136" w:rsidR="00A21684">
        <w:rPr>
          <w:b w:val="0"/>
        </w:rPr>
        <w:t>hots</w:t>
      </w:r>
    </w:p>
    <w:p w:rsidR="00EB65F8" w:rsidP="00FA1C4F" w14:paraId="675E16AA" w14:textId="124191BF">
      <w:pPr>
        <w:pStyle w:val="TOC1"/>
        <w:spacing w:before="0" w:after="0" w:line="360" w:lineRule="auto"/>
        <w:ind w:left="2160" w:hanging="1620"/>
        <w:rPr>
          <w:b w:val="0"/>
        </w:rPr>
      </w:pPr>
      <w:r>
        <w:rPr>
          <w:b w:val="0"/>
        </w:rPr>
        <w:t xml:space="preserve">Attachment </w:t>
      </w:r>
      <w:r w:rsidR="00191E4A">
        <w:rPr>
          <w:b w:val="0"/>
        </w:rPr>
        <w:t>5</w:t>
      </w:r>
      <w:r>
        <w:rPr>
          <w:b w:val="0"/>
        </w:rPr>
        <w:t>.</w:t>
      </w:r>
      <w:r w:rsidR="00AC7ADA">
        <w:rPr>
          <w:b w:val="0"/>
        </w:rPr>
        <w:tab/>
      </w:r>
      <w:r>
        <w:rPr>
          <w:b w:val="0"/>
        </w:rPr>
        <w:t xml:space="preserve">GSS InfoBrief, </w:t>
      </w:r>
      <w:r w:rsidR="00D45516">
        <w:rPr>
          <w:b w:val="0"/>
        </w:rPr>
        <w:t xml:space="preserve">February </w:t>
      </w:r>
      <w:r w:rsidR="00B47DFF">
        <w:rPr>
          <w:b w:val="0"/>
        </w:rPr>
        <w:t>202</w:t>
      </w:r>
      <w:r w:rsidR="00D45516">
        <w:rPr>
          <w:b w:val="0"/>
        </w:rPr>
        <w:t>6</w:t>
      </w:r>
    </w:p>
    <w:p w:rsidR="007F5E15" w:rsidP="00FA1C4F" w14:paraId="1F98574B" w14:textId="7881160A">
      <w:pPr>
        <w:pStyle w:val="TOC1"/>
        <w:spacing w:before="0" w:after="0" w:line="360" w:lineRule="auto"/>
        <w:ind w:left="2160" w:hanging="1620"/>
        <w:rPr>
          <w:b w:val="0"/>
        </w:rPr>
      </w:pPr>
      <w:r>
        <w:rPr>
          <w:b w:val="0"/>
        </w:rPr>
        <w:t>Attachment 6.</w:t>
      </w:r>
      <w:r>
        <w:rPr>
          <w:b w:val="0"/>
        </w:rPr>
        <w:tab/>
        <w:t xml:space="preserve">Research </w:t>
      </w:r>
      <w:r w:rsidR="0066687A">
        <w:rPr>
          <w:b w:val="0"/>
        </w:rPr>
        <w:t>and Media</w:t>
      </w:r>
      <w:r w:rsidR="00D9515A">
        <w:rPr>
          <w:b w:val="0"/>
        </w:rPr>
        <w:t xml:space="preserve"> Usage</w:t>
      </w:r>
    </w:p>
    <w:p w:rsidR="00472231" w:rsidP="00472231" w14:paraId="4D51D0DC" w14:textId="3B8AF712">
      <w:pPr>
        <w:pStyle w:val="TOC1"/>
        <w:spacing w:before="0" w:after="0"/>
        <w:ind w:left="2174" w:hanging="1627"/>
        <w:rPr>
          <w:b w:val="0"/>
        </w:rPr>
      </w:pPr>
      <w:r>
        <w:rPr>
          <w:b w:val="0"/>
        </w:rPr>
        <w:t xml:space="preserve">Attachment 6a.   </w:t>
      </w:r>
      <w:r w:rsidRPr="00472231">
        <w:rPr>
          <w:b w:val="0"/>
        </w:rPr>
        <w:t>Comparison of Graduate Enrollment Data from the NSF-NIH Survey of Graduate Students and Postdoctorates in Science and Engineering (GSS) and the National Student Clearinghouse (NSC) data</w:t>
      </w:r>
    </w:p>
    <w:p w:rsidR="00472231" w:rsidP="00472231" w14:paraId="3E7E0204" w14:textId="77777777">
      <w:pPr>
        <w:pStyle w:val="TOC1"/>
        <w:spacing w:before="0" w:after="0"/>
        <w:ind w:left="2174" w:hanging="1627"/>
        <w:rPr>
          <w:b w:val="0"/>
        </w:rPr>
      </w:pPr>
    </w:p>
    <w:p w:rsidR="00472231" w:rsidP="00472231" w14:paraId="6F52E484" w14:textId="76C53E92">
      <w:pPr>
        <w:pStyle w:val="TOC1"/>
        <w:spacing w:before="0" w:after="0"/>
        <w:ind w:left="2174" w:hanging="1627"/>
        <w:rPr>
          <w:b w:val="0"/>
        </w:rPr>
      </w:pPr>
      <w:r>
        <w:rPr>
          <w:b w:val="0"/>
        </w:rPr>
        <w:t xml:space="preserve">Attachment 6b.   </w:t>
      </w:r>
      <w:r w:rsidR="00467DF5">
        <w:rPr>
          <w:b w:val="0"/>
        </w:rPr>
        <w:t>National Student Clearinghouse Comparison Data Tables and Appendices</w:t>
      </w:r>
    </w:p>
    <w:p w:rsidR="00472231" w:rsidRPr="003E1136" w:rsidP="008A586D" w14:paraId="6C4A5392" w14:textId="77777777">
      <w:pPr>
        <w:pStyle w:val="TOC1"/>
        <w:spacing w:before="0" w:after="0"/>
        <w:ind w:left="2174" w:hanging="1627"/>
        <w:rPr>
          <w:b w:val="0"/>
        </w:rPr>
      </w:pPr>
    </w:p>
    <w:p w:rsidR="005F7C62" w:rsidP="00FA1C4F" w14:paraId="3259A26D" w14:textId="0B376CAE">
      <w:pPr>
        <w:pStyle w:val="TOC1"/>
        <w:spacing w:before="0" w:after="0" w:line="360" w:lineRule="auto"/>
        <w:ind w:hanging="202"/>
        <w:rPr>
          <w:b w:val="0"/>
        </w:rPr>
      </w:pPr>
      <w:r w:rsidRPr="003E1136">
        <w:rPr>
          <w:b w:val="0"/>
        </w:rPr>
        <w:t xml:space="preserve">Attachment </w:t>
      </w:r>
      <w:r w:rsidR="007F5E15">
        <w:rPr>
          <w:b w:val="0"/>
        </w:rPr>
        <w:t>7</w:t>
      </w:r>
      <w:r w:rsidRPr="003E1136">
        <w:rPr>
          <w:b w:val="0"/>
        </w:rPr>
        <w:t>.</w:t>
      </w:r>
      <w:r w:rsidR="00AC7ADA">
        <w:rPr>
          <w:b w:val="0"/>
        </w:rPr>
        <w:tab/>
      </w:r>
      <w:r w:rsidR="006219F9">
        <w:rPr>
          <w:b w:val="0"/>
        </w:rPr>
        <w:t xml:space="preserve">60-Day </w:t>
      </w:r>
      <w:r w:rsidRPr="0009067F" w:rsidR="00A21684">
        <w:rPr>
          <w:b w:val="0"/>
          <w:i/>
          <w:iCs/>
        </w:rPr>
        <w:t>Federal Register</w:t>
      </w:r>
      <w:r w:rsidRPr="003E1136" w:rsidR="00A21684">
        <w:rPr>
          <w:b w:val="0"/>
        </w:rPr>
        <w:t xml:space="preserve"> </w:t>
      </w:r>
      <w:r w:rsidRPr="003E1136" w:rsidR="00961F42">
        <w:rPr>
          <w:b w:val="0"/>
        </w:rPr>
        <w:t>Notice</w:t>
      </w:r>
    </w:p>
    <w:p w:rsidR="005F7C62" w:rsidP="00FA1C4F" w14:paraId="33B902B2" w14:textId="77777777">
      <w:pPr>
        <w:pStyle w:val="TOC1"/>
        <w:spacing w:before="0" w:after="0" w:line="360" w:lineRule="auto"/>
        <w:ind w:hanging="202"/>
        <w:rPr>
          <w:b w:val="0"/>
        </w:rPr>
      </w:pPr>
      <w:r w:rsidRPr="003E1136">
        <w:rPr>
          <w:b w:val="0"/>
        </w:rPr>
        <w:t xml:space="preserve">Attachment </w:t>
      </w:r>
      <w:r w:rsidR="007F5E15">
        <w:rPr>
          <w:b w:val="0"/>
        </w:rPr>
        <w:t>8</w:t>
      </w:r>
      <w:r w:rsidRPr="003E1136">
        <w:rPr>
          <w:b w:val="0"/>
        </w:rPr>
        <w:t>.</w:t>
      </w:r>
      <w:r w:rsidRPr="003E1136">
        <w:rPr>
          <w:b w:val="0"/>
        </w:rPr>
        <w:tab/>
        <w:t>GSS Schedule</w:t>
      </w:r>
    </w:p>
    <w:p w:rsidR="00EB65F8" w:rsidP="00FA1C4F" w14:paraId="5BA92AFF" w14:textId="77777777">
      <w:pPr>
        <w:pStyle w:val="TOC1"/>
        <w:spacing w:before="0" w:after="0" w:line="360" w:lineRule="auto"/>
        <w:ind w:hanging="202"/>
        <w:rPr>
          <w:b w:val="0"/>
        </w:rPr>
      </w:pPr>
      <w:r>
        <w:rPr>
          <w:b w:val="0"/>
        </w:rPr>
        <w:t xml:space="preserve">Attachment </w:t>
      </w:r>
      <w:r w:rsidR="007F5E15">
        <w:rPr>
          <w:b w:val="0"/>
        </w:rPr>
        <w:t>9</w:t>
      </w:r>
      <w:r>
        <w:rPr>
          <w:b w:val="0"/>
        </w:rPr>
        <w:t>.</w:t>
      </w:r>
      <w:r>
        <w:rPr>
          <w:b w:val="0"/>
        </w:rPr>
        <w:tab/>
        <w:t xml:space="preserve">List of Changes During Last Clearance </w:t>
      </w:r>
    </w:p>
    <w:p w:rsidR="00A21684" w:rsidRPr="003E1136" w:rsidP="00FA1C4F" w14:paraId="03E36BA8" w14:textId="68510A2D">
      <w:pPr>
        <w:pStyle w:val="TOC1"/>
        <w:spacing w:before="0" w:after="0" w:line="360" w:lineRule="auto"/>
        <w:ind w:hanging="202"/>
        <w:rPr>
          <w:b w:val="0"/>
          <w:spacing w:val="67"/>
        </w:rPr>
      </w:pPr>
      <w:r w:rsidRPr="003E1136">
        <w:rPr>
          <w:b w:val="0"/>
        </w:rPr>
        <w:t xml:space="preserve">Attachment </w:t>
      </w:r>
      <w:r w:rsidR="007F5E15">
        <w:rPr>
          <w:b w:val="0"/>
        </w:rPr>
        <w:t>10</w:t>
      </w:r>
      <w:r w:rsidRPr="003E1136">
        <w:rPr>
          <w:b w:val="0"/>
        </w:rPr>
        <w:t>.</w:t>
      </w:r>
      <w:r w:rsidR="00AC7ADA">
        <w:rPr>
          <w:b w:val="0"/>
        </w:rPr>
        <w:tab/>
      </w:r>
      <w:r w:rsidRPr="003E1136">
        <w:rPr>
          <w:b w:val="0"/>
        </w:rPr>
        <w:t>GSS Code</w:t>
      </w:r>
      <w:r w:rsidRPr="003E1136">
        <w:rPr>
          <w:b w:val="0"/>
          <w:spacing w:val="1"/>
        </w:rPr>
        <w:t xml:space="preserve"> </w:t>
      </w:r>
      <w:r w:rsidRPr="003E1136">
        <w:rPr>
          <w:b w:val="0"/>
        </w:rPr>
        <w:t>List—Complete</w:t>
      </w:r>
      <w:r w:rsidRPr="003E1136">
        <w:rPr>
          <w:b w:val="0"/>
          <w:spacing w:val="1"/>
        </w:rPr>
        <w:t xml:space="preserve"> </w:t>
      </w:r>
      <w:r w:rsidRPr="003E1136">
        <w:rPr>
          <w:b w:val="0"/>
          <w:spacing w:val="-2"/>
        </w:rPr>
        <w:t>List</w:t>
      </w:r>
      <w:r w:rsidRPr="003E1136">
        <w:rPr>
          <w:b w:val="0"/>
        </w:rPr>
        <w:t xml:space="preserve"> of GSS</w:t>
      </w:r>
      <w:r w:rsidR="00FA1C4F">
        <w:rPr>
          <w:b w:val="0"/>
        </w:rPr>
        <w:t>-</w:t>
      </w:r>
      <w:r w:rsidRPr="003E1136">
        <w:rPr>
          <w:b w:val="0"/>
        </w:rPr>
        <w:t>Eligible</w:t>
      </w:r>
      <w:r w:rsidRPr="003E1136">
        <w:rPr>
          <w:b w:val="0"/>
          <w:spacing w:val="1"/>
        </w:rPr>
        <w:t xml:space="preserve"> </w:t>
      </w:r>
      <w:r w:rsidRPr="003E1136">
        <w:rPr>
          <w:b w:val="0"/>
        </w:rPr>
        <w:t>Fields and Codes</w:t>
      </w:r>
    </w:p>
    <w:p w:rsidR="00ED010C" w:rsidRPr="003E1136" w:rsidP="00FA1C4F" w14:paraId="46A5B88A" w14:textId="77777777">
      <w:pPr>
        <w:pStyle w:val="TOC1"/>
        <w:spacing w:before="0" w:after="0" w:line="360" w:lineRule="auto"/>
        <w:ind w:hanging="202"/>
        <w:rPr>
          <w:b w:val="0"/>
          <w:spacing w:val="43"/>
        </w:rPr>
      </w:pPr>
      <w:r w:rsidRPr="003E1136">
        <w:rPr>
          <w:b w:val="0"/>
        </w:rPr>
        <w:t xml:space="preserve">Attachment </w:t>
      </w:r>
      <w:r w:rsidR="007A7BB3">
        <w:rPr>
          <w:b w:val="0"/>
        </w:rPr>
        <w:t>1</w:t>
      </w:r>
      <w:r w:rsidR="007F5E15">
        <w:rPr>
          <w:b w:val="0"/>
        </w:rPr>
        <w:t>1</w:t>
      </w:r>
      <w:r w:rsidRPr="003E1136">
        <w:rPr>
          <w:b w:val="0"/>
        </w:rPr>
        <w:t>.</w:t>
      </w:r>
      <w:r w:rsidR="00AC7ADA">
        <w:rPr>
          <w:b w:val="0"/>
        </w:rPr>
        <w:tab/>
      </w:r>
      <w:r w:rsidRPr="003E1136">
        <w:rPr>
          <w:b w:val="0"/>
        </w:rPr>
        <w:t>GSS Data Collection Plan</w:t>
      </w:r>
      <w:r w:rsidRPr="003E1136">
        <w:rPr>
          <w:b w:val="0"/>
          <w:spacing w:val="43"/>
        </w:rPr>
        <w:t xml:space="preserve"> </w:t>
      </w:r>
    </w:p>
    <w:p w:rsidR="00A21684" w:rsidP="00FA1C4F" w14:paraId="5EA55BED" w14:textId="77777777">
      <w:pPr>
        <w:pStyle w:val="TOC1"/>
        <w:spacing w:before="0" w:after="0" w:line="360" w:lineRule="auto"/>
        <w:ind w:hanging="202"/>
        <w:rPr>
          <w:b w:val="0"/>
        </w:rPr>
      </w:pPr>
      <w:r w:rsidRPr="003E1136">
        <w:rPr>
          <w:b w:val="0"/>
        </w:rPr>
        <w:t xml:space="preserve">Attachment </w:t>
      </w:r>
      <w:r w:rsidR="007A7BB3">
        <w:rPr>
          <w:b w:val="0"/>
        </w:rPr>
        <w:t>1</w:t>
      </w:r>
      <w:r w:rsidR="007F5E15">
        <w:rPr>
          <w:b w:val="0"/>
        </w:rPr>
        <w:t>2</w:t>
      </w:r>
      <w:r w:rsidRPr="003E1136">
        <w:rPr>
          <w:b w:val="0"/>
        </w:rPr>
        <w:t>.</w:t>
      </w:r>
      <w:r w:rsidR="00AC7ADA">
        <w:rPr>
          <w:b w:val="0"/>
        </w:rPr>
        <w:tab/>
      </w:r>
      <w:r w:rsidRPr="003E1136" w:rsidR="004D6299">
        <w:rPr>
          <w:b w:val="0"/>
        </w:rPr>
        <w:t xml:space="preserve">GSS </w:t>
      </w:r>
      <w:r w:rsidRPr="003E1136" w:rsidR="009C34CC">
        <w:rPr>
          <w:b w:val="0"/>
        </w:rPr>
        <w:t xml:space="preserve">Data </w:t>
      </w:r>
      <w:r w:rsidRPr="003E1136" w:rsidR="00F2446E">
        <w:rPr>
          <w:b w:val="0"/>
        </w:rPr>
        <w:t xml:space="preserve">File </w:t>
      </w:r>
      <w:r w:rsidRPr="003E1136" w:rsidR="002C1698">
        <w:rPr>
          <w:b w:val="0"/>
        </w:rPr>
        <w:t>Upload</w:t>
      </w:r>
      <w:r w:rsidRPr="003E1136" w:rsidR="00F2446E">
        <w:rPr>
          <w:b w:val="0"/>
        </w:rPr>
        <w:t xml:space="preserve"> Template</w:t>
      </w:r>
      <w:r w:rsidRPr="003E1136" w:rsidR="009C34CC">
        <w:rPr>
          <w:b w:val="0"/>
        </w:rPr>
        <w:t>s</w:t>
      </w:r>
    </w:p>
    <w:p w:rsidR="00EB65F8" w:rsidRPr="003E1136" w:rsidP="00FA1C4F" w14:paraId="08C46C1E" w14:textId="77777777">
      <w:pPr>
        <w:pStyle w:val="TOC1"/>
        <w:spacing w:before="0" w:after="0" w:line="360" w:lineRule="auto"/>
        <w:ind w:hanging="202"/>
        <w:rPr>
          <w:b w:val="0"/>
        </w:rPr>
      </w:pPr>
      <w:r w:rsidRPr="003E1136">
        <w:rPr>
          <w:b w:val="0"/>
        </w:rPr>
        <w:t xml:space="preserve">Attachment </w:t>
      </w:r>
      <w:r w:rsidR="007A7BB3">
        <w:rPr>
          <w:b w:val="0"/>
        </w:rPr>
        <w:t>1</w:t>
      </w:r>
      <w:r w:rsidR="007F5E15">
        <w:rPr>
          <w:b w:val="0"/>
        </w:rPr>
        <w:t>3</w:t>
      </w:r>
      <w:r w:rsidRPr="003E1136">
        <w:rPr>
          <w:b w:val="0"/>
        </w:rPr>
        <w:t>.</w:t>
      </w:r>
      <w:r w:rsidR="00AC7ADA">
        <w:rPr>
          <w:b w:val="0"/>
        </w:rPr>
        <w:tab/>
      </w:r>
      <w:r w:rsidRPr="003E1136">
        <w:rPr>
          <w:b w:val="0"/>
        </w:rPr>
        <w:t xml:space="preserve">GSS Worksheet </w:t>
      </w:r>
    </w:p>
    <w:p w:rsidR="008C4FC5" w:rsidP="00FA1C4F" w14:paraId="72746647" w14:textId="77777777">
      <w:pPr>
        <w:pStyle w:val="TOC1"/>
        <w:spacing w:before="0" w:after="0" w:line="360" w:lineRule="auto"/>
        <w:ind w:hanging="202"/>
        <w:rPr>
          <w:b w:val="0"/>
        </w:rPr>
      </w:pPr>
      <w:r w:rsidRPr="003E1136">
        <w:rPr>
          <w:b w:val="0"/>
        </w:rPr>
        <w:t xml:space="preserve">Attachment </w:t>
      </w:r>
      <w:r w:rsidR="007A7BB3">
        <w:rPr>
          <w:b w:val="0"/>
        </w:rPr>
        <w:t>1</w:t>
      </w:r>
      <w:r w:rsidR="007F5E15">
        <w:rPr>
          <w:b w:val="0"/>
        </w:rPr>
        <w:t>4</w:t>
      </w:r>
      <w:r w:rsidRPr="003E1136">
        <w:rPr>
          <w:b w:val="0"/>
        </w:rPr>
        <w:t>.</w:t>
      </w:r>
      <w:r w:rsidR="00AC7ADA">
        <w:rPr>
          <w:b w:val="0"/>
        </w:rPr>
        <w:tab/>
      </w:r>
      <w:r w:rsidR="00EB65F8">
        <w:rPr>
          <w:b w:val="0"/>
        </w:rPr>
        <w:t>Imputation Section from GSS Methodology Report</w:t>
      </w:r>
    </w:p>
    <w:p w:rsidR="00E170C6" w:rsidRPr="003E1136" w:rsidP="00E53D0E" w14:paraId="7684B883" w14:textId="5028B7F2">
      <w:pPr>
        <w:pStyle w:val="TOC1"/>
        <w:spacing w:before="0" w:line="360" w:lineRule="auto"/>
        <w:ind w:hanging="202"/>
        <w:contextualSpacing/>
        <w:rPr>
          <w:b w:val="0"/>
          <w:i/>
          <w:spacing w:val="-1"/>
        </w:rPr>
      </w:pPr>
      <w:r>
        <w:rPr>
          <w:b w:val="0"/>
        </w:rPr>
        <w:t>Attachment 1</w:t>
      </w:r>
      <w:r w:rsidR="007F5E15">
        <w:rPr>
          <w:b w:val="0"/>
        </w:rPr>
        <w:t>5</w:t>
      </w:r>
      <w:r>
        <w:rPr>
          <w:b w:val="0"/>
        </w:rPr>
        <w:t xml:space="preserve">. </w:t>
      </w:r>
      <w:r w:rsidR="000F2BC8">
        <w:rPr>
          <w:b w:val="0"/>
        </w:rPr>
        <w:t xml:space="preserve">  </w:t>
      </w:r>
      <w:r>
        <w:rPr>
          <w:b w:val="0"/>
        </w:rPr>
        <w:t>Nonfaculty Researcher Methodological Study Report</w:t>
      </w:r>
      <w:r w:rsidRPr="003E1136" w:rsidR="000A65EE">
        <w:rPr>
          <w:b w:val="0"/>
        </w:rPr>
        <w:t xml:space="preserve"> </w:t>
      </w:r>
    </w:p>
    <w:p w:rsidR="00E170C6" w:rsidRPr="00CA1752" w:rsidP="009630A5" w14:paraId="5CA76A35" w14:textId="77777777">
      <w:pPr>
        <w:pStyle w:val="BodyText"/>
        <w:tabs>
          <w:tab w:val="left" w:pos="1710"/>
        </w:tabs>
        <w:spacing w:before="120"/>
        <w:ind w:right="40"/>
        <w:rPr>
          <w:spacing w:val="-1"/>
        </w:rPr>
        <w:sectPr w:rsidSect="00CB55F9">
          <w:headerReference w:type="even" r:id="rId7"/>
          <w:headerReference w:type="default" r:id="rId8"/>
          <w:footerReference w:type="even" r:id="rId9"/>
          <w:footerReference w:type="default" r:id="rId10"/>
          <w:headerReference w:type="first" r:id="rId11"/>
          <w:footerReference w:type="first" r:id="rId12"/>
          <w:type w:val="oddPage"/>
          <w:pgSz w:w="12240" w:h="15840" w:code="1"/>
          <w:pgMar w:top="1170" w:right="1260" w:bottom="1260" w:left="990" w:header="720" w:footer="720" w:gutter="0"/>
          <w:pgNumType w:fmt="lowerRoman" w:start="1"/>
          <w:cols w:space="720"/>
        </w:sectPr>
      </w:pPr>
    </w:p>
    <w:p w:rsidR="005F7C62" w:rsidRPr="00542B0B" w:rsidP="00542B0B" w14:paraId="1DA24D65" w14:textId="2C2EA7E4">
      <w:pPr>
        <w:pStyle w:val="Heading1"/>
      </w:pPr>
      <w:bookmarkStart w:id="5" w:name="_Toc488073259"/>
      <w:bookmarkStart w:id="6" w:name="_Toc225442519"/>
      <w:r w:rsidRPr="00542B0B">
        <w:t>A.</w:t>
      </w:r>
      <w:r w:rsidRPr="00542B0B">
        <w:tab/>
      </w:r>
      <w:r w:rsidRPr="00542B0B" w:rsidR="008C752D">
        <w:t>JUSTIFICATION</w:t>
      </w:r>
      <w:bookmarkEnd w:id="5"/>
      <w:bookmarkEnd w:id="6"/>
    </w:p>
    <w:p w:rsidR="005F7C62" w:rsidP="008164C1" w14:paraId="767FE2DF" w14:textId="4B250A84">
      <w:pPr>
        <w:pStyle w:val="BodyText"/>
      </w:pPr>
      <w:r w:rsidRPr="00CA1752">
        <w:t xml:space="preserve">This submission requests a </w:t>
      </w:r>
      <w:r w:rsidRPr="00CA1752" w:rsidR="00C80534">
        <w:t>three-</w:t>
      </w:r>
      <w:r w:rsidRPr="00CA1752">
        <w:t xml:space="preserve">year </w:t>
      </w:r>
      <w:r w:rsidR="009114E2">
        <w:t>renewal</w:t>
      </w:r>
      <w:r w:rsidRPr="00CA1752" w:rsidR="009114E2">
        <w:t xml:space="preserve"> </w:t>
      </w:r>
      <w:r w:rsidRPr="00CA1752">
        <w:t xml:space="preserve">of the previously approved </w:t>
      </w:r>
      <w:r w:rsidR="00B6790A">
        <w:t>Office of Management and Budget (</w:t>
      </w:r>
      <w:r w:rsidRPr="00CA1752">
        <w:t>OMB</w:t>
      </w:r>
      <w:r w:rsidR="00B6790A">
        <w:t>)</w:t>
      </w:r>
      <w:r w:rsidRPr="00CA1752">
        <w:t xml:space="preserve"> clearance for the Survey of Graduate Students and Postdoctorates in Science and Engineering (GSS).</w:t>
      </w:r>
      <w:r w:rsidR="00F14ECF">
        <w:t xml:space="preserve"> The survey is sponsored by the National Center for Science and Engineering Statistics (NCSES) within the </w:t>
      </w:r>
      <w:r w:rsidR="00421E3D">
        <w:t xml:space="preserve">U.S. </w:t>
      </w:r>
      <w:r w:rsidR="00F14ECF">
        <w:t xml:space="preserve">National Science Foundation (NSF) and </w:t>
      </w:r>
      <w:r w:rsidR="00785975">
        <w:t xml:space="preserve">by </w:t>
      </w:r>
      <w:r w:rsidR="00F14ECF">
        <w:t>the National Institutes of Health (NIH).</w:t>
      </w:r>
      <w:r w:rsidRPr="00CA1752">
        <w:t xml:space="preserve"> The GSS is an annual survey that was last conducted in fall </w:t>
      </w:r>
      <w:r w:rsidR="00B140A1">
        <w:t>20</w:t>
      </w:r>
      <w:r w:rsidR="00D3481B">
        <w:t>2</w:t>
      </w:r>
      <w:r w:rsidR="008C426B">
        <w:t>5</w:t>
      </w:r>
      <w:r w:rsidRPr="00CA1752">
        <w:t xml:space="preserve">. The OMB clearance for the GSS will expire on </w:t>
      </w:r>
      <w:r w:rsidR="008C426B">
        <w:t>September 30</w:t>
      </w:r>
      <w:r w:rsidRPr="00CA1752">
        <w:t>, 20</w:t>
      </w:r>
      <w:r w:rsidR="00B140A1">
        <w:t>2</w:t>
      </w:r>
      <w:r w:rsidR="008C426B">
        <w:t>6</w:t>
      </w:r>
      <w:r w:rsidRPr="00CA1752">
        <w:t xml:space="preserve">. NSF requests approval to collect data for the </w:t>
      </w:r>
      <w:r w:rsidR="00B140A1">
        <w:t>202</w:t>
      </w:r>
      <w:r w:rsidR="008C426B">
        <w:t>6</w:t>
      </w:r>
      <w:r w:rsidRPr="00CA1752" w:rsidR="00064321">
        <w:t xml:space="preserve">, </w:t>
      </w:r>
      <w:r w:rsidR="00B140A1">
        <w:t>202</w:t>
      </w:r>
      <w:r w:rsidR="008C426B">
        <w:t>7</w:t>
      </w:r>
      <w:r w:rsidRPr="00CA1752" w:rsidR="00064321">
        <w:t xml:space="preserve">, and </w:t>
      </w:r>
      <w:r w:rsidR="00B140A1">
        <w:t>202</w:t>
      </w:r>
      <w:r w:rsidR="008C426B">
        <w:t>8</w:t>
      </w:r>
      <w:r w:rsidRPr="00CA1752" w:rsidR="00B140A1">
        <w:t xml:space="preserve"> </w:t>
      </w:r>
      <w:r w:rsidRPr="00CA1752">
        <w:t>survey cycles.</w:t>
      </w:r>
    </w:p>
    <w:p w:rsidR="0086461E" w:rsidRPr="00CA1752" w:rsidP="00542B0B" w14:paraId="286024A4" w14:textId="23E82DEC">
      <w:pPr>
        <w:pStyle w:val="BodyText"/>
      </w:pPr>
      <w:r>
        <w:t>There are no statistical, methodological</w:t>
      </w:r>
      <w:r w:rsidR="00F42E6F">
        <w:t>, or operational</w:t>
      </w:r>
      <w:r>
        <w:t xml:space="preserve"> changes to the GSS </w:t>
      </w:r>
      <w:r w:rsidR="00BC51E3">
        <w:t>since the</w:t>
      </w:r>
      <w:r w:rsidR="00711C4D">
        <w:t xml:space="preserve">  </w:t>
      </w:r>
      <w:r w:rsidR="006A2853">
        <w:t xml:space="preserve">previous request for </w:t>
      </w:r>
      <w:r w:rsidR="00EE5051">
        <w:t xml:space="preserve">OMB </w:t>
      </w:r>
      <w:r w:rsidR="006A2853">
        <w:t>clearance</w:t>
      </w:r>
      <w:r w:rsidR="002C597D">
        <w:t>.</w:t>
      </w:r>
      <w:r w:rsidR="00F63420">
        <w:t xml:space="preserve"> </w:t>
      </w:r>
    </w:p>
    <w:p w:rsidR="009D5391" w:rsidRPr="00E55497" w:rsidP="00542B0B" w14:paraId="0B6A69BE" w14:textId="77777777">
      <w:pPr>
        <w:pStyle w:val="Heading2"/>
        <w:rPr>
          <w:i/>
        </w:rPr>
      </w:pPr>
      <w:bookmarkStart w:id="7" w:name="_Toc225442520"/>
      <w:r w:rsidRPr="00E55497">
        <w:t>A.</w:t>
      </w:r>
      <w:r w:rsidRPr="00E55497" w:rsidR="00FD1B33">
        <w:t>1</w:t>
      </w:r>
      <w:r w:rsidRPr="00E55497" w:rsidR="00FD1B33">
        <w:tab/>
        <w:t>Necessity for Information Collection</w:t>
      </w:r>
      <w:bookmarkEnd w:id="7"/>
      <w:r w:rsidRPr="00E55497" w:rsidR="00FD1B33">
        <w:t xml:space="preserve"> </w:t>
      </w:r>
    </w:p>
    <w:p w:rsidR="000B5496" w:rsidRPr="00AA7C78" w:rsidP="004709AC" w14:paraId="0C67606A" w14:textId="458E89F9">
      <w:pPr>
        <w:pStyle w:val="BodyText"/>
      </w:pPr>
      <w:r>
        <w:t xml:space="preserve">Established within NSF by the America COMPETES Reauthorization Act of 2010 </w:t>
      </w:r>
      <w:r w:rsidR="00B6790A">
        <w:t>§ </w:t>
      </w:r>
      <w:r>
        <w:t xml:space="preserve">505, codified in the National Science Foundation Act of 1950, as amended, NCSES serves as a central </w:t>
      </w:r>
      <w:r w:rsidR="00FB36E5">
        <w:t>f</w:t>
      </w:r>
      <w:r>
        <w:t xml:space="preserve">ederal clearinghouse for the collection, interpretation, analysis, and dissemination of objective data on science, engineering, technology, and research and development for use by </w:t>
      </w:r>
      <w:r w:rsidR="00087F4C">
        <w:t xml:space="preserve">policymakers, </w:t>
      </w:r>
      <w:r>
        <w:t>practitioners, researchers, and the public</w:t>
      </w:r>
      <w:r w:rsidR="00785975">
        <w:t>.</w:t>
      </w:r>
      <w:r>
        <w:rPr>
          <w:rStyle w:val="FootnoteReference"/>
        </w:rPr>
        <w:footnoteReference w:id="3"/>
      </w:r>
      <w:r w:rsidRPr="00ED6108">
        <w:t xml:space="preserve"> Information obtained through the </w:t>
      </w:r>
      <w:r>
        <w:t xml:space="preserve">GSS </w:t>
      </w:r>
      <w:r w:rsidRPr="00ED6108">
        <w:t xml:space="preserve">is critically important to </w:t>
      </w:r>
      <w:r>
        <w:t>NCSES</w:t>
      </w:r>
      <w:r w:rsidRPr="00ED6108">
        <w:t>’s ability to measure</w:t>
      </w:r>
      <w:r>
        <w:t xml:space="preserve"> </w:t>
      </w:r>
      <w:r w:rsidRPr="00CA1752">
        <w:t>science</w:t>
      </w:r>
      <w:r w:rsidRPr="00CA1752">
        <w:rPr>
          <w:spacing w:val="1"/>
        </w:rPr>
        <w:t xml:space="preserve"> </w:t>
      </w:r>
      <w:r w:rsidRPr="00CA1752">
        <w:t>and</w:t>
      </w:r>
      <w:r>
        <w:t xml:space="preserve"> </w:t>
      </w:r>
      <w:r w:rsidRPr="00CA1752">
        <w:t>engineering</w:t>
      </w:r>
      <w:r w:rsidRPr="00CA1752">
        <w:rPr>
          <w:spacing w:val="-3"/>
        </w:rPr>
        <w:t xml:space="preserve"> </w:t>
      </w:r>
      <w:r w:rsidRPr="00CA1752">
        <w:t>resources in the United States</w:t>
      </w:r>
      <w:r w:rsidRPr="00ED6108">
        <w:t xml:space="preserve">. Furthermore, the </w:t>
      </w:r>
      <w:r>
        <w:t xml:space="preserve">GSS data serve as </w:t>
      </w:r>
      <w:r w:rsidRPr="00ED6108">
        <w:t>the nation’s only source of comprehensive</w:t>
      </w:r>
      <w:r>
        <w:t xml:space="preserve"> graduate enrollment </w:t>
      </w:r>
      <w:r w:rsidRPr="00ED6108">
        <w:t>information</w:t>
      </w:r>
      <w:r w:rsidRPr="00CA1752">
        <w:t xml:space="preserve"> for specific </w:t>
      </w:r>
      <w:r w:rsidR="00F14ECF">
        <w:t>science, engineering, and hea</w:t>
      </w:r>
      <w:r w:rsidR="00FB36E5">
        <w:t>lth</w:t>
      </w:r>
      <w:r w:rsidR="00F14ECF">
        <w:t xml:space="preserve"> (SEH)</w:t>
      </w:r>
      <w:r w:rsidRPr="00CA1752">
        <w:t xml:space="preserve"> discip</w:t>
      </w:r>
      <w:r>
        <w:t xml:space="preserve">lines at the departmental level. </w:t>
      </w:r>
      <w:r w:rsidRPr="00ED6108">
        <w:t>These</w:t>
      </w:r>
      <w:r>
        <w:t xml:space="preserve"> data are solicited under the authority of the NSF Act of 1950,</w:t>
      </w:r>
      <w:r>
        <w:rPr>
          <w:rStyle w:val="FootnoteReference"/>
        </w:rPr>
        <w:footnoteReference w:id="4"/>
      </w:r>
      <w:r>
        <w:t xml:space="preserve"> as amended, and</w:t>
      </w:r>
      <w:r w:rsidRPr="00ED6108">
        <w:t xml:space="preserve"> are central to the analysis presented in a pair of congressionally mandated reports</w:t>
      </w:r>
      <w:r>
        <w:rPr>
          <w:rStyle w:val="FootnoteReference"/>
        </w:rPr>
        <w:footnoteReference w:id="5"/>
      </w:r>
      <w:r w:rsidRPr="00ED6108">
        <w:rPr>
          <w:vertAlign w:val="superscript"/>
        </w:rPr>
        <w:t>,</w:t>
      </w:r>
      <w:r>
        <w:rPr>
          <w:rStyle w:val="FootnoteReference"/>
        </w:rPr>
        <w:footnoteReference w:id="6"/>
      </w:r>
      <w:r w:rsidRPr="00ED6108">
        <w:t xml:space="preserve"> </w:t>
      </w:r>
      <w:r>
        <w:t xml:space="preserve">the </w:t>
      </w:r>
      <w:r w:rsidRPr="00AA7C78">
        <w:rPr>
          <w:i/>
        </w:rPr>
        <w:t>Science and Engineering Indicators</w:t>
      </w:r>
      <w:r w:rsidRPr="00AA7C78">
        <w:t xml:space="preserve"> </w:t>
      </w:r>
      <w:r>
        <w:t>and t</w:t>
      </w:r>
      <w:r w:rsidRPr="007044A5">
        <w:t xml:space="preserve">he </w:t>
      </w:r>
      <w:r w:rsidR="00DF071B">
        <w:rPr>
          <w:i/>
        </w:rPr>
        <w:t>Characteristics of Scientists and Engineers</w:t>
      </w:r>
      <w:r w:rsidRPr="00AA7C78">
        <w:t>.</w:t>
      </w:r>
      <w:r w:rsidR="00DF071B">
        <w:t xml:space="preserve"> </w:t>
      </w:r>
    </w:p>
    <w:p w:rsidR="005F7C62" w:rsidRPr="00CA1752" w:rsidP="00AF423C" w14:paraId="74EA736F" w14:textId="1D3679DF">
      <w:pPr>
        <w:pStyle w:val="BodyText"/>
      </w:pPr>
      <w:r w:rsidRPr="00CA1752">
        <w:t xml:space="preserve">The GSS is the only annual national survey that collects information on the characteristics of </w:t>
      </w:r>
      <w:r w:rsidR="001B6621">
        <w:t xml:space="preserve">master’s and doctoral student </w:t>
      </w:r>
      <w:r w:rsidRPr="00CA1752">
        <w:t xml:space="preserve">enrollment for specific </w:t>
      </w:r>
      <w:r w:rsidRPr="00CA1752" w:rsidR="00064321">
        <w:t xml:space="preserve">SEH </w:t>
      </w:r>
      <w:r w:rsidRPr="00CA1752">
        <w:t xml:space="preserve">disciplines at the departmental level. It also collects </w:t>
      </w:r>
      <w:r w:rsidRPr="00CA1752" w:rsidR="00CA1752">
        <w:t>information on</w:t>
      </w:r>
      <w:r w:rsidRPr="00CA1752" w:rsidR="00064321">
        <w:t xml:space="preserve"> </w:t>
      </w:r>
      <w:r w:rsidR="001B6621">
        <w:t>master’s and doctoral student</w:t>
      </w:r>
      <w:r w:rsidRPr="00CA1752">
        <w:t xml:space="preserve"> enrollment </w:t>
      </w:r>
      <w:r w:rsidRPr="00CA1752" w:rsidR="00064321">
        <w:t xml:space="preserve">by </w:t>
      </w:r>
      <w:r w:rsidR="00B140A1">
        <w:t xml:space="preserve">degree level, </w:t>
      </w:r>
      <w:r w:rsidRPr="00CA1752">
        <w:t xml:space="preserve">race and ethnicity, citizenship, sex, </w:t>
      </w:r>
      <w:bookmarkStart w:id="8" w:name="_Hlk36025687"/>
      <w:r w:rsidRPr="00CA1752">
        <w:t xml:space="preserve">source of support, and </w:t>
      </w:r>
      <w:r w:rsidR="005316B5">
        <w:t>mechanism</w:t>
      </w:r>
      <w:r w:rsidRPr="00CA1752" w:rsidR="005316B5">
        <w:t xml:space="preserve"> </w:t>
      </w:r>
      <w:r w:rsidRPr="00CA1752">
        <w:t xml:space="preserve">of support; </w:t>
      </w:r>
      <w:bookmarkEnd w:id="8"/>
      <w:r w:rsidRPr="00CA1752">
        <w:t xml:space="preserve">information on </w:t>
      </w:r>
      <w:r w:rsidR="00B6790A">
        <w:t>p</w:t>
      </w:r>
      <w:r w:rsidRPr="00CA1752" w:rsidR="00D90CFE">
        <w:t>ostdoctorates</w:t>
      </w:r>
      <w:r w:rsidRPr="00CA1752">
        <w:t xml:space="preserve"> (postdocs) by citizenship, sex, source of support, </w:t>
      </w:r>
      <w:r w:rsidR="005316B5">
        <w:t xml:space="preserve">mechanism </w:t>
      </w:r>
      <w:r w:rsidR="001B27E7">
        <w:t>of support</w:t>
      </w:r>
      <w:r w:rsidR="001F1C26">
        <w:t>,</w:t>
      </w:r>
      <w:r w:rsidRPr="00CA1752">
        <w:t xml:space="preserve"> and origin of doctoral degree; and information on other doctorate-holding nonfaculty researchers (NFRs)</w:t>
      </w:r>
      <w:r w:rsidR="001B27E7">
        <w:t xml:space="preserve"> by sex and type of doctoral degree</w:t>
      </w:r>
      <w:r w:rsidRPr="00CA1752">
        <w:t xml:space="preserve"> (see Attachment </w:t>
      </w:r>
      <w:r w:rsidR="00034FBD">
        <w:t>3</w:t>
      </w:r>
      <w:r w:rsidRPr="00CA1752">
        <w:t xml:space="preserve"> for screenshots of the GSS</w:t>
      </w:r>
      <w:r w:rsidR="001F1C26">
        <w:t xml:space="preserve"> </w:t>
      </w:r>
      <w:r w:rsidR="000D5992">
        <w:t>w</w:t>
      </w:r>
      <w:r w:rsidR="001F1C26">
        <w:t>eb</w:t>
      </w:r>
      <w:r w:rsidRPr="00CA1752">
        <w:t xml:space="preserve"> instrument). The GSS has been conducted by NCSES annually since 1972.</w:t>
      </w:r>
    </w:p>
    <w:p w:rsidR="00D11F61" w:rsidP="00D11F61" w14:paraId="615B5A9D" w14:textId="1536222D">
      <w:pPr>
        <w:pStyle w:val="BodyText"/>
      </w:pPr>
      <w:r w:rsidRPr="00CA1752">
        <w:t xml:space="preserve">The GSS is a census of all </w:t>
      </w:r>
      <w:r w:rsidRPr="00CA1752" w:rsidR="00C051EE">
        <w:t>organizational “</w:t>
      </w:r>
      <w:r w:rsidRPr="00CA1752">
        <w:t>units</w:t>
      </w:r>
      <w:r w:rsidRPr="00CA1752" w:rsidR="00C051EE">
        <w:t>”</w:t>
      </w:r>
      <w:r w:rsidRPr="00CA1752">
        <w:t xml:space="preserve"> (departments, programs, research centers, and health care facilities) in </w:t>
      </w:r>
      <w:r w:rsidR="00932813">
        <w:t>SEH</w:t>
      </w:r>
      <w:r w:rsidR="0042073B">
        <w:t xml:space="preserve"> </w:t>
      </w:r>
      <w:r w:rsidRPr="00CA1752">
        <w:t>fields within eligible academic institu</w:t>
      </w:r>
      <w:r w:rsidRPr="00CA1752" w:rsidR="00234805">
        <w:t>tions in the United States that grant research-based master’s or doctora</w:t>
      </w:r>
      <w:r w:rsidR="00E72E70">
        <w:t>l</w:t>
      </w:r>
      <w:r w:rsidRPr="00CA1752" w:rsidR="00234805">
        <w:t xml:space="preserve"> degrees</w:t>
      </w:r>
      <w:r w:rsidRPr="00CA1752">
        <w:t xml:space="preserve">. The </w:t>
      </w:r>
      <w:r w:rsidR="006A791E">
        <w:t>survey</w:t>
      </w:r>
      <w:r w:rsidRPr="00CA1752" w:rsidR="006A791E">
        <w:t xml:space="preserve"> </w:t>
      </w:r>
      <w:r w:rsidRPr="00CA1752">
        <w:t>collects information on graduate students enrolled in these units, as well as postdocs and NFRs working within these institutions.</w:t>
      </w:r>
      <w:r w:rsidR="005C0523">
        <w:t xml:space="preserve"> </w:t>
      </w:r>
      <w:r w:rsidR="0042073B">
        <w:t>A</w:t>
      </w:r>
      <w:r w:rsidR="005C0523">
        <w:t xml:space="preserve">s a part of the GSS, NCSES also </w:t>
      </w:r>
      <w:r w:rsidR="00B05F89">
        <w:t xml:space="preserve">biennially </w:t>
      </w:r>
      <w:r w:rsidR="005C0523">
        <w:t>surveys</w:t>
      </w:r>
      <w:r w:rsidR="00444A2A">
        <w:t xml:space="preserve"> </w:t>
      </w:r>
      <w:r w:rsidRPr="00CA1752" w:rsidR="00444A2A">
        <w:t xml:space="preserve">Federally Funded Research and Development Centers (FFRDCs to </w:t>
      </w:r>
      <w:r w:rsidR="00444A2A">
        <w:t xml:space="preserve">collect information on </w:t>
      </w:r>
      <w:r w:rsidR="00D228B7">
        <w:t>postdocs</w:t>
      </w:r>
      <w:r>
        <w:t>.</w:t>
      </w:r>
      <w:r w:rsidR="00444A2A">
        <w:t xml:space="preserve"> </w:t>
      </w:r>
      <w:r>
        <w:t xml:space="preserve">The FFRDC </w:t>
      </w:r>
      <w:r w:rsidR="00FB36E5">
        <w:t>P</w:t>
      </w:r>
      <w:r>
        <w:t xml:space="preserve">ostdoc </w:t>
      </w:r>
      <w:r w:rsidR="00FB36E5">
        <w:t>S</w:t>
      </w:r>
      <w:r>
        <w:t>urvey is an extension of the GSS targeted to the 4</w:t>
      </w:r>
      <w:r w:rsidR="007E1204">
        <w:t>1</w:t>
      </w:r>
      <w:r>
        <w:t xml:space="preserve"> federally funded research centers. Unlike the GSS, data for </w:t>
      </w:r>
      <w:r w:rsidR="00374D77">
        <w:t xml:space="preserve">the </w:t>
      </w:r>
      <w:r>
        <w:t>FFRDC</w:t>
      </w:r>
      <w:r w:rsidR="00374D77">
        <w:t xml:space="preserve"> </w:t>
      </w:r>
      <w:r w:rsidR="00FB36E5">
        <w:t>P</w:t>
      </w:r>
      <w:r w:rsidR="00374D77">
        <w:t xml:space="preserve">ostdoc </w:t>
      </w:r>
      <w:r w:rsidR="00FB36E5">
        <w:t>S</w:t>
      </w:r>
      <w:r w:rsidR="00374D77">
        <w:t>urvey</w:t>
      </w:r>
      <w:r>
        <w:t xml:space="preserve"> is collected at the center level as opposed to individual departments (in other words</w:t>
      </w:r>
      <w:r w:rsidR="00785975">
        <w:t>,</w:t>
      </w:r>
      <w:r>
        <w:t xml:space="preserve"> each FFRDC constitutes a single organizational unit). Similar to the GSS, the FFRDC </w:t>
      </w:r>
      <w:r w:rsidR="00E97F67">
        <w:t>P</w:t>
      </w:r>
      <w:r w:rsidR="00374D77">
        <w:t xml:space="preserve">ostdoc </w:t>
      </w:r>
      <w:r w:rsidR="00E97F67">
        <w:t>S</w:t>
      </w:r>
      <w:r>
        <w:t>urvey collects data on postdoctoral researcher</w:t>
      </w:r>
      <w:r w:rsidRPr="00D11F61">
        <w:t xml:space="preserve"> </w:t>
      </w:r>
      <w:r w:rsidRPr="00CA1752">
        <w:t>race</w:t>
      </w:r>
      <w:r w:rsidR="00313660">
        <w:t xml:space="preserve"> and</w:t>
      </w:r>
      <w:r w:rsidR="006E4E65">
        <w:t xml:space="preserve"> </w:t>
      </w:r>
      <w:r w:rsidRPr="00CA1752">
        <w:t>ethnicity, sex, citizenship, sour</w:t>
      </w:r>
      <w:r>
        <w:t>ce of support and area of research</w:t>
      </w:r>
      <w:r w:rsidRPr="00CA1752">
        <w:t xml:space="preserve"> (see Attachment </w:t>
      </w:r>
      <w:r>
        <w:t>4</w:t>
      </w:r>
      <w:r w:rsidRPr="00CA1752">
        <w:t xml:space="preserve"> for screenshots of the FFRDC Postdoc Survey </w:t>
      </w:r>
      <w:r>
        <w:t xml:space="preserve">web </w:t>
      </w:r>
      <w:r w:rsidRPr="00CA1752">
        <w:t>instrument).</w:t>
      </w:r>
      <w:r>
        <w:t xml:space="preserve"> Historically</w:t>
      </w:r>
      <w:r w:rsidR="00E97F67">
        <w:t>,</w:t>
      </w:r>
      <w:r>
        <w:t xml:space="preserve"> only approximately 50% of centers have postdocs to report.</w:t>
      </w:r>
    </w:p>
    <w:p w:rsidR="005F7C62" w:rsidP="008B2E43" w14:paraId="08B02B74" w14:textId="77777777">
      <w:pPr>
        <w:pStyle w:val="Heading2"/>
      </w:pPr>
      <w:bookmarkStart w:id="9" w:name="_Toc488073261"/>
      <w:bookmarkStart w:id="10" w:name="_Toc225442521"/>
      <w:r>
        <w:t>A.</w:t>
      </w:r>
      <w:r w:rsidRPr="00CA1752" w:rsidR="00510E99">
        <w:t>2</w:t>
      </w:r>
      <w:r w:rsidRPr="00CA1752" w:rsidR="00510E99">
        <w:tab/>
      </w:r>
      <w:r w:rsidR="008B2E43">
        <w:t>Uses of</w:t>
      </w:r>
      <w:r w:rsidRPr="00CA1752" w:rsidR="008C752D">
        <w:t xml:space="preserve"> Information</w:t>
      </w:r>
      <w:bookmarkEnd w:id="9"/>
      <w:bookmarkEnd w:id="10"/>
    </w:p>
    <w:p w:rsidR="00D14465" w:rsidP="00D14465" w14:paraId="697FC2A0" w14:textId="1297B6F2">
      <w:pPr>
        <w:pStyle w:val="BodyText"/>
      </w:pPr>
      <w:r w:rsidRPr="00CA1752">
        <w:t>Data from the</w:t>
      </w:r>
      <w:r w:rsidRPr="00CA1752">
        <w:rPr>
          <w:spacing w:val="1"/>
        </w:rPr>
        <w:t xml:space="preserve"> </w:t>
      </w:r>
      <w:r w:rsidRPr="00CA1752">
        <w:t xml:space="preserve">GSS </w:t>
      </w:r>
      <w:r w:rsidR="00D11F61">
        <w:t xml:space="preserve">and </w:t>
      </w:r>
      <w:r w:rsidR="00785975">
        <w:t xml:space="preserve">the </w:t>
      </w:r>
      <w:r w:rsidR="00D11F61">
        <w:t xml:space="preserve">FFRDC </w:t>
      </w:r>
      <w:r w:rsidR="00E97F67">
        <w:t>P</w:t>
      </w:r>
      <w:r w:rsidR="00374D77">
        <w:t xml:space="preserve">ostdoc </w:t>
      </w:r>
      <w:r w:rsidR="00E97F67">
        <w:t>S</w:t>
      </w:r>
      <w:r w:rsidR="00785975">
        <w:t xml:space="preserve">urvey </w:t>
      </w:r>
      <w:r w:rsidRPr="00CA1752">
        <w:t>are available as public use</w:t>
      </w:r>
      <w:r w:rsidRPr="00CA1752">
        <w:rPr>
          <w:spacing w:val="1"/>
        </w:rPr>
        <w:t xml:space="preserve"> </w:t>
      </w:r>
      <w:r w:rsidRPr="00CA1752">
        <w:t>files</w:t>
      </w:r>
      <w:r w:rsidR="003F49CA">
        <w:t xml:space="preserve"> (</w:t>
      </w:r>
      <w:r w:rsidRPr="003F49CA" w:rsidR="003F49CA">
        <w:t>https://ncses.nsf.gov/explore-data/microdata/graduate-students-postdoctorates-s-e</w:t>
      </w:r>
      <w:r w:rsidR="003F49CA">
        <w:t>)</w:t>
      </w:r>
      <w:r w:rsidRPr="00CA1752">
        <w:t>, and</w:t>
      </w:r>
      <w:r w:rsidR="00D80046">
        <w:t xml:space="preserve"> the GSS data </w:t>
      </w:r>
      <w:r w:rsidR="00E97F67">
        <w:t xml:space="preserve">are </w:t>
      </w:r>
      <w:r w:rsidR="00D80046">
        <w:t>also available</w:t>
      </w:r>
      <w:r w:rsidRPr="00CA1752">
        <w:t xml:space="preserve"> through </w:t>
      </w:r>
      <w:r w:rsidRPr="00CA1752" w:rsidR="009105BD">
        <w:t>th</w:t>
      </w:r>
      <w:r w:rsidR="009105BD">
        <w:t xml:space="preserve">e </w:t>
      </w:r>
      <w:r w:rsidR="00785975">
        <w:t xml:space="preserve">NCSES </w:t>
      </w:r>
      <w:r w:rsidR="001F522B">
        <w:t xml:space="preserve">Table Builder </w:t>
      </w:r>
      <w:r w:rsidR="004C12C8">
        <w:t>Application</w:t>
      </w:r>
      <w:r>
        <w:t xml:space="preserve"> </w:t>
      </w:r>
      <w:r w:rsidRPr="00CA1752">
        <w:t>(</w:t>
      </w:r>
      <w:hyperlink r:id="rId13" w:history="1">
        <w:r w:rsidRPr="00E93BAD" w:rsidR="004C12C8">
          <w:rPr>
            <w:rStyle w:val="Hyperlink"/>
          </w:rPr>
          <w:t>https://ncsesdata.nsf.gov/builder/welcome?type=table</w:t>
        </w:r>
      </w:hyperlink>
      <w:r w:rsidR="004C12C8">
        <w:t>)</w:t>
      </w:r>
      <w:r w:rsidRPr="00CA1752">
        <w:t xml:space="preserve">. </w:t>
      </w:r>
      <w:r>
        <w:t>The Interactive Data Tool</w:t>
      </w:r>
      <w:r w:rsidRPr="00CA1752">
        <w:t xml:space="preserve"> contains institutional and</w:t>
      </w:r>
      <w:r w:rsidRPr="00CA1752">
        <w:rPr>
          <w:spacing w:val="-3"/>
        </w:rPr>
        <w:t xml:space="preserve"> </w:t>
      </w:r>
      <w:r w:rsidRPr="00CA1752">
        <w:t>summary</w:t>
      </w:r>
      <w:r w:rsidRPr="00CA1752">
        <w:rPr>
          <w:spacing w:val="-5"/>
        </w:rPr>
        <w:t xml:space="preserve"> </w:t>
      </w:r>
      <w:r w:rsidRPr="00CA1752">
        <w:t>data from</w:t>
      </w:r>
      <w:r w:rsidRPr="00CA1752">
        <w:rPr>
          <w:spacing w:val="2"/>
        </w:rPr>
        <w:t xml:space="preserve"> </w:t>
      </w:r>
      <w:r w:rsidRPr="00CA1752">
        <w:t xml:space="preserve">all </w:t>
      </w:r>
      <w:r>
        <w:t xml:space="preserve">of </w:t>
      </w:r>
      <w:r w:rsidRPr="00CA1752">
        <w:t>N</w:t>
      </w:r>
      <w:r>
        <w:t>CSES’s</w:t>
      </w:r>
      <w:r w:rsidRPr="00CA1752">
        <w:rPr>
          <w:spacing w:val="-2"/>
        </w:rPr>
        <w:t xml:space="preserve"> </w:t>
      </w:r>
      <w:r w:rsidRPr="00CA1752">
        <w:t>academic sector surveys</w:t>
      </w:r>
      <w:r w:rsidRPr="00CA1752">
        <w:rPr>
          <w:spacing w:val="2"/>
        </w:rPr>
        <w:t xml:space="preserve"> </w:t>
      </w:r>
      <w:r w:rsidRPr="00CA1752">
        <w:t>for all institutions</w:t>
      </w:r>
      <w:r>
        <w:t xml:space="preserve"> </w:t>
      </w:r>
      <w:r w:rsidRPr="00CA1752">
        <w:t>offering graduate-level instruction and/or maintaining</w:t>
      </w:r>
      <w:r w:rsidRPr="00CA1752">
        <w:rPr>
          <w:spacing w:val="-3"/>
        </w:rPr>
        <w:t xml:space="preserve"> </w:t>
      </w:r>
      <w:r w:rsidRPr="00CA1752">
        <w:t>research and development</w:t>
      </w:r>
      <w:r w:rsidRPr="00CA1752">
        <w:rPr>
          <w:spacing w:val="2"/>
        </w:rPr>
        <w:t xml:space="preserve"> </w:t>
      </w:r>
      <w:r w:rsidRPr="00CA1752">
        <w:t>(R&amp;D) activity</w:t>
      </w:r>
      <w:r w:rsidRPr="00CA1752">
        <w:rPr>
          <w:spacing w:val="-5"/>
        </w:rPr>
        <w:t xml:space="preserve"> </w:t>
      </w:r>
      <w:r w:rsidRPr="00CA1752">
        <w:t xml:space="preserve">in </w:t>
      </w:r>
      <w:r>
        <w:t>SEH f</w:t>
      </w:r>
      <w:r w:rsidRPr="00CA1752">
        <w:t>ields.</w:t>
      </w:r>
      <w:bookmarkStart w:id="11" w:name="_Hlk222134037"/>
      <w:r>
        <w:t xml:space="preserve"> </w:t>
      </w:r>
      <w:r w:rsidRPr="0043438F">
        <w:t>In calendar year 202</w:t>
      </w:r>
      <w:r w:rsidRPr="0009067F" w:rsidR="0043438F">
        <w:t>5</w:t>
      </w:r>
      <w:r w:rsidRPr="0043438F">
        <w:t xml:space="preserve"> (the most recent year available), Google Analytics data showed a total of </w:t>
      </w:r>
      <w:r w:rsidRPr="0009067F" w:rsidR="0043438F">
        <w:t>6,054</w:t>
      </w:r>
      <w:r w:rsidRPr="0043438F">
        <w:t>3 unique page</w:t>
      </w:r>
      <w:r w:rsidR="00E97F67">
        <w:t xml:space="preserve"> </w:t>
      </w:r>
      <w:r w:rsidRPr="0043438F">
        <w:t xml:space="preserve">views of GSS in the Interactive Data Tool by web users external to NCSES. </w:t>
      </w:r>
      <w:r w:rsidRPr="0043438F" w:rsidR="00DB6929">
        <w:t>Between 1 January 202</w:t>
      </w:r>
      <w:r w:rsidRPr="0009067F" w:rsidR="0043438F">
        <w:t>3</w:t>
      </w:r>
      <w:r w:rsidRPr="0043438F" w:rsidR="00DB6929">
        <w:t xml:space="preserve"> and 31 December 202</w:t>
      </w:r>
      <w:r w:rsidRPr="0009067F" w:rsidR="0043438F">
        <w:t>5</w:t>
      </w:r>
      <w:r w:rsidRPr="0043438F">
        <w:t xml:space="preserve">, GSS public use data files were downloaded </w:t>
      </w:r>
      <w:r w:rsidRPr="0009067F" w:rsidR="0043438F">
        <w:t>3,451</w:t>
      </w:r>
      <w:r w:rsidRPr="0043438F">
        <w:t xml:space="preserve"> times by users.</w:t>
      </w:r>
    </w:p>
    <w:bookmarkEnd w:id="11"/>
    <w:p w:rsidR="00D14465" w:rsidRPr="00CA1752" w:rsidP="00D14465" w14:paraId="655A6AE2" w14:textId="7BA21E47">
      <w:pPr>
        <w:pStyle w:val="BodyText"/>
      </w:pPr>
      <w:r>
        <w:t>After each survey round, major findings from the GSS and</w:t>
      </w:r>
      <w:r w:rsidR="00374D77">
        <w:t xml:space="preserve"> the</w:t>
      </w:r>
      <w:r>
        <w:t xml:space="preserve"> FFRDC </w:t>
      </w:r>
      <w:r w:rsidR="00E97F67">
        <w:t>P</w:t>
      </w:r>
      <w:r w:rsidR="00374D77">
        <w:t xml:space="preserve">ostdoc </w:t>
      </w:r>
      <w:r w:rsidR="00E97F67">
        <w:t>S</w:t>
      </w:r>
      <w:r w:rsidR="00374D77">
        <w:t xml:space="preserve">urvey </w:t>
      </w:r>
      <w:r>
        <w:t xml:space="preserve">are published in an InfoBrief.  The most recent GSS InfoBrief, </w:t>
      </w:r>
      <w:r w:rsidRPr="00245AA8">
        <w:rPr>
          <w:i/>
          <w:iCs/>
        </w:rPr>
        <w:t>202</w:t>
      </w:r>
      <w:r w:rsidR="000F20C3">
        <w:rPr>
          <w:i/>
          <w:iCs/>
        </w:rPr>
        <w:t>4</w:t>
      </w:r>
      <w:r w:rsidRPr="00245AA8">
        <w:rPr>
          <w:i/>
          <w:iCs/>
        </w:rPr>
        <w:t xml:space="preserve"> </w:t>
      </w:r>
      <w:r w:rsidRPr="000F20C3" w:rsidR="000F20C3">
        <w:rPr>
          <w:i/>
          <w:iCs/>
        </w:rPr>
        <w:t xml:space="preserve">Postdoctoral Appointments </w:t>
      </w:r>
      <w:r w:rsidRPr="000F20C3" w:rsidR="000F20C3">
        <w:rPr>
          <w:i/>
          <w:iCs/>
        </w:rPr>
        <w:t>Rise While Graduate Enrollment Slows</w:t>
      </w:r>
      <w:r>
        <w:t>, and the most recent FFRDC</w:t>
      </w:r>
      <w:r w:rsidR="00374D77">
        <w:t xml:space="preserve"> </w:t>
      </w:r>
      <w:r w:rsidR="00E97F67">
        <w:t>P</w:t>
      </w:r>
      <w:r w:rsidR="00374D77">
        <w:t xml:space="preserve">ostdoc </w:t>
      </w:r>
      <w:r w:rsidR="00E97F67">
        <w:t>S</w:t>
      </w:r>
      <w:r w:rsidR="00374D77">
        <w:t>urvey</w:t>
      </w:r>
      <w:r>
        <w:t xml:space="preserve"> InfoBrief, </w:t>
      </w:r>
      <w:r w:rsidRPr="000F20C3" w:rsidR="000F20C3">
        <w:rPr>
          <w:i/>
          <w:iCs/>
        </w:rPr>
        <w:t>Ongoing Changes in the Demographic Composition of Postdoctoral Researchers at Federally Funded Research and Development Centers: 2023</w:t>
      </w:r>
      <w:r w:rsidR="00E97F67">
        <w:t xml:space="preserve">, </w:t>
      </w:r>
      <w:r>
        <w:t xml:space="preserve">are both available on the NCSES website (GSS: </w:t>
      </w:r>
      <w:r w:rsidRPr="0053723C" w:rsidR="0053723C">
        <w:t>https://ncses.nsf.gov/pubs/nsf26308#</w:t>
      </w:r>
      <w:r w:rsidR="0053723C">
        <w:t>;</w:t>
      </w:r>
      <w:r>
        <w:t xml:space="preserve"> FFRDC</w:t>
      </w:r>
      <w:r w:rsidR="00374D77">
        <w:t xml:space="preserve"> </w:t>
      </w:r>
      <w:r w:rsidR="00E97F67">
        <w:t>P</w:t>
      </w:r>
      <w:r w:rsidR="00374D77">
        <w:t xml:space="preserve">ostdoc </w:t>
      </w:r>
      <w:r w:rsidR="00E97F67">
        <w:t>S</w:t>
      </w:r>
      <w:r w:rsidR="00374D77">
        <w:t>urvey</w:t>
      </w:r>
      <w:r>
        <w:t xml:space="preserve">: </w:t>
      </w:r>
      <w:r w:rsidRPr="000F20C3" w:rsidR="000F20C3">
        <w:t>https://ncses.nsf.gov/pubs/nsf24339</w:t>
      </w:r>
      <w:r>
        <w:t>)</w:t>
      </w:r>
      <w:r w:rsidR="00374D77">
        <w:t xml:space="preserve"> </w:t>
      </w:r>
      <w:r>
        <w:t xml:space="preserve">and are also included in this document </w:t>
      </w:r>
      <w:r w:rsidRPr="00686D9D">
        <w:t>as Attachment 5.</w:t>
      </w:r>
      <w:r>
        <w:t xml:space="preserve"> </w:t>
      </w:r>
    </w:p>
    <w:p w:rsidR="005F7C62" w:rsidRPr="00542B0B" w:rsidP="00542B0B" w14:paraId="59BFC89A" w14:textId="77777777">
      <w:pPr>
        <w:pStyle w:val="Heading3"/>
      </w:pPr>
      <w:bookmarkStart w:id="12" w:name="_Toc225442522"/>
      <w:bookmarkStart w:id="13" w:name="_Toc488073262"/>
      <w:bookmarkStart w:id="14" w:name="_Hlk129261672"/>
      <w:r w:rsidRPr="00542B0B">
        <w:t>A.</w:t>
      </w:r>
      <w:r w:rsidRPr="00542B0B" w:rsidR="00510E99">
        <w:t>2.</w:t>
      </w:r>
      <w:r w:rsidRPr="00542B0B" w:rsidR="009D5391">
        <w:t>1</w:t>
      </w:r>
      <w:r w:rsidRPr="00542B0B" w:rsidR="00510E99">
        <w:tab/>
      </w:r>
      <w:r w:rsidRPr="00542B0B" w:rsidR="008C752D">
        <w:t>Federal</w:t>
      </w:r>
      <w:bookmarkEnd w:id="12"/>
      <w:r w:rsidRPr="00542B0B" w:rsidR="008C752D">
        <w:t xml:space="preserve"> </w:t>
      </w:r>
      <w:bookmarkEnd w:id="13"/>
    </w:p>
    <w:p w:rsidR="00173A21" w:rsidP="004F0B32" w14:paraId="624A688F" w14:textId="31E4633A">
      <w:pPr>
        <w:pStyle w:val="BodyText"/>
        <w:spacing w:after="0"/>
      </w:pPr>
      <w:r w:rsidRPr="00CA1752">
        <w:rPr>
          <w:rFonts w:cs="Times New Roman"/>
          <w:spacing w:val="-1"/>
        </w:rPr>
        <w:t>Data derived</w:t>
      </w:r>
      <w:r w:rsidRPr="00CA1752">
        <w:rPr>
          <w:rFonts w:cs="Times New Roman"/>
        </w:rPr>
        <w:t xml:space="preserve"> </w:t>
      </w:r>
      <w:r w:rsidRPr="00CA1752">
        <w:rPr>
          <w:rFonts w:cs="Times New Roman"/>
          <w:spacing w:val="-1"/>
        </w:rPr>
        <w:t>from</w:t>
      </w:r>
      <w:r w:rsidRPr="00CA1752">
        <w:rPr>
          <w:rFonts w:cs="Times New Roman"/>
        </w:rPr>
        <w:t xml:space="preserve"> the</w:t>
      </w:r>
      <w:r w:rsidRPr="00CA1752">
        <w:rPr>
          <w:rFonts w:cs="Times New Roman"/>
          <w:spacing w:val="-1"/>
        </w:rPr>
        <w:t xml:space="preserve"> </w:t>
      </w:r>
      <w:r w:rsidRPr="00CA1752">
        <w:rPr>
          <w:rFonts w:cs="Times New Roman"/>
        </w:rPr>
        <w:t>GSS</w:t>
      </w:r>
      <w:r w:rsidR="00D80046">
        <w:rPr>
          <w:rFonts w:cs="Times New Roman"/>
        </w:rPr>
        <w:t xml:space="preserve"> and </w:t>
      </w:r>
      <w:r w:rsidR="00374D77">
        <w:rPr>
          <w:rFonts w:cs="Times New Roman"/>
        </w:rPr>
        <w:t xml:space="preserve">the </w:t>
      </w:r>
      <w:r w:rsidR="00D80046">
        <w:rPr>
          <w:rFonts w:cs="Times New Roman"/>
        </w:rPr>
        <w:t xml:space="preserve">FFRDC </w:t>
      </w:r>
      <w:r w:rsidR="00E97F67">
        <w:rPr>
          <w:rFonts w:cs="Times New Roman"/>
        </w:rPr>
        <w:t>P</w:t>
      </w:r>
      <w:r w:rsidR="00374D77">
        <w:rPr>
          <w:rFonts w:cs="Times New Roman"/>
        </w:rPr>
        <w:t xml:space="preserve">ostdoc </w:t>
      </w:r>
      <w:r w:rsidR="00E97F67">
        <w:rPr>
          <w:rFonts w:cs="Times New Roman"/>
        </w:rPr>
        <w:t>S</w:t>
      </w:r>
      <w:r w:rsidR="00D80046">
        <w:rPr>
          <w:rFonts w:cs="Times New Roman"/>
        </w:rPr>
        <w:t>urvey</w:t>
      </w:r>
      <w:r w:rsidRPr="00CA1752">
        <w:rPr>
          <w:rFonts w:cs="Times New Roman"/>
        </w:rPr>
        <w:t xml:space="preserve"> </w:t>
      </w:r>
      <w:r w:rsidRPr="00CA1752">
        <w:rPr>
          <w:rFonts w:cs="Times New Roman"/>
          <w:spacing w:val="-1"/>
        </w:rPr>
        <w:t xml:space="preserve">are </w:t>
      </w:r>
      <w:r w:rsidRPr="00CA1752">
        <w:rPr>
          <w:rFonts w:cs="Times New Roman"/>
        </w:rPr>
        <w:t>routinely</w:t>
      </w:r>
      <w:r w:rsidR="00BF6C06">
        <w:rPr>
          <w:rFonts w:cs="Times New Roman"/>
        </w:rPr>
        <w:t xml:space="preserve"> used by</w:t>
      </w:r>
      <w:r w:rsidRPr="00CA1752">
        <w:rPr>
          <w:rFonts w:cs="Times New Roman"/>
        </w:rPr>
        <w:t xml:space="preserve"> various </w:t>
      </w:r>
      <w:r w:rsidRPr="00CA1752">
        <w:rPr>
          <w:rFonts w:cs="Times New Roman"/>
          <w:spacing w:val="-1"/>
        </w:rPr>
        <w:t>agencies</w:t>
      </w:r>
      <w:r w:rsidRPr="00CA1752">
        <w:rPr>
          <w:rFonts w:cs="Times New Roman"/>
        </w:rPr>
        <w:t xml:space="preserve"> </w:t>
      </w:r>
      <w:r w:rsidRPr="00CA1752">
        <w:rPr>
          <w:rFonts w:cs="Times New Roman"/>
          <w:spacing w:val="1"/>
        </w:rPr>
        <w:t>of</w:t>
      </w:r>
      <w:r w:rsidR="007A0231">
        <w:rPr>
          <w:rFonts w:cs="Times New Roman"/>
          <w:spacing w:val="51"/>
        </w:rPr>
        <w:t xml:space="preserve"> </w:t>
      </w:r>
      <w:r w:rsidRPr="00CA1752">
        <w:rPr>
          <w:rFonts w:cs="Times New Roman"/>
        </w:rPr>
        <w:t>the</w:t>
      </w:r>
      <w:r w:rsidRPr="00CA1752">
        <w:rPr>
          <w:rFonts w:cs="Times New Roman"/>
          <w:spacing w:val="-1"/>
        </w:rPr>
        <w:t xml:space="preserve"> Executive</w:t>
      </w:r>
      <w:r w:rsidR="003E0F26">
        <w:rPr>
          <w:rFonts w:cs="Times New Roman"/>
          <w:spacing w:val="-1"/>
        </w:rPr>
        <w:t xml:space="preserve"> and Legislative</w:t>
      </w:r>
      <w:r w:rsidRPr="00CA1752">
        <w:rPr>
          <w:rFonts w:cs="Times New Roman"/>
          <w:spacing w:val="-1"/>
        </w:rPr>
        <w:t xml:space="preserve"> Branch</w:t>
      </w:r>
      <w:r w:rsidR="003E0F26">
        <w:rPr>
          <w:rFonts w:cs="Times New Roman"/>
          <w:spacing w:val="-1"/>
        </w:rPr>
        <w:t>es</w:t>
      </w:r>
      <w:r w:rsidR="00426B67">
        <w:rPr>
          <w:rFonts w:cs="Times New Roman"/>
          <w:spacing w:val="-1"/>
        </w:rPr>
        <w:t xml:space="preserve"> and </w:t>
      </w:r>
      <w:r w:rsidR="00843DE0">
        <w:rPr>
          <w:rFonts w:cs="Times New Roman"/>
          <w:spacing w:val="-1"/>
        </w:rPr>
        <w:t>by</w:t>
      </w:r>
      <w:r w:rsidR="00426B67">
        <w:rPr>
          <w:rFonts w:cs="Times New Roman"/>
          <w:spacing w:val="-1"/>
        </w:rPr>
        <w:t xml:space="preserve"> Congress</w:t>
      </w:r>
      <w:r w:rsidRPr="00CA1752">
        <w:rPr>
          <w:rFonts w:cs="Times New Roman"/>
          <w:spacing w:val="-1"/>
        </w:rPr>
        <w:t>.</w:t>
      </w:r>
      <w:r w:rsidR="00B71901">
        <w:rPr>
          <w:rFonts w:cs="Times New Roman"/>
          <w:spacing w:val="-1"/>
        </w:rPr>
        <w:t xml:space="preserve"> For example, in 2023 NCSES presented GSS data on postdoctorate employment trends (demographics, funding sources, and funding mechanisms) in biological and biomedical sciences and health to the National Institutes of Health Working Committee on Postdocs. </w:t>
      </w:r>
      <w:r w:rsidRPr="00CA1752">
        <w:rPr>
          <w:rFonts w:cs="Times New Roman"/>
        </w:rPr>
        <w:t xml:space="preserve"> </w:t>
      </w:r>
      <w:r w:rsidR="000D2B3E">
        <w:rPr>
          <w:rFonts w:cs="Times New Roman"/>
        </w:rPr>
        <w:t xml:space="preserve">Additionally, the Government Accountability Office (GAO) used </w:t>
      </w:r>
      <w:r w:rsidR="00480C8B">
        <w:rPr>
          <w:rFonts w:cs="Times New Roman"/>
        </w:rPr>
        <w:t xml:space="preserve">GSS data extensively in their </w:t>
      </w:r>
      <w:r w:rsidR="00EA0275">
        <w:rPr>
          <w:rFonts w:cs="Times New Roman"/>
        </w:rPr>
        <w:t>report on g</w:t>
      </w:r>
      <w:r w:rsidRPr="00EA0275" w:rsidR="00EA0275">
        <w:rPr>
          <w:rFonts w:cs="Times New Roman"/>
        </w:rPr>
        <w:t xml:space="preserve">raduate </w:t>
      </w:r>
      <w:r w:rsidR="00EA0275">
        <w:rPr>
          <w:rFonts w:cs="Times New Roman"/>
        </w:rPr>
        <w:t>r</w:t>
      </w:r>
      <w:r w:rsidRPr="00EA0275" w:rsidR="00EA0275">
        <w:rPr>
          <w:rFonts w:cs="Times New Roman"/>
        </w:rPr>
        <w:t xml:space="preserve">esearcher and </w:t>
      </w:r>
      <w:r w:rsidR="00EA0275">
        <w:rPr>
          <w:rFonts w:cs="Times New Roman"/>
        </w:rPr>
        <w:t>p</w:t>
      </w:r>
      <w:r w:rsidRPr="00EA0275" w:rsidR="00EA0275">
        <w:rPr>
          <w:rFonts w:cs="Times New Roman"/>
        </w:rPr>
        <w:t xml:space="preserve">ostdoctoral </w:t>
      </w:r>
      <w:r w:rsidR="00EA0275">
        <w:rPr>
          <w:rFonts w:cs="Times New Roman"/>
        </w:rPr>
        <w:t>s</w:t>
      </w:r>
      <w:r w:rsidRPr="00EA0275" w:rsidR="00EA0275">
        <w:rPr>
          <w:rFonts w:cs="Times New Roman"/>
        </w:rPr>
        <w:t xml:space="preserve">cholar </w:t>
      </w:r>
      <w:r w:rsidR="00EA0275">
        <w:rPr>
          <w:rFonts w:cs="Times New Roman"/>
        </w:rPr>
        <w:t>c</w:t>
      </w:r>
      <w:r w:rsidRPr="00EA0275" w:rsidR="00EA0275">
        <w:rPr>
          <w:rFonts w:cs="Times New Roman"/>
        </w:rPr>
        <w:t>ompensation</w:t>
      </w:r>
      <w:r w:rsidR="00EA0275">
        <w:rPr>
          <w:rFonts w:cs="Times New Roman"/>
        </w:rPr>
        <w:t>.</w:t>
      </w:r>
    </w:p>
    <w:p w:rsidR="00AE77F5" w:rsidRPr="00CA1752" w:rsidP="00EE75A4" w14:paraId="00B89408" w14:textId="1A25FA86">
      <w:pPr>
        <w:pStyle w:val="BodyText"/>
        <w:spacing w:after="0"/>
        <w:ind w:firstLine="0"/>
      </w:pPr>
      <w:r w:rsidRPr="00CA1752">
        <w:rPr>
          <w:rFonts w:cs="Times New Roman"/>
        </w:rPr>
        <w:t>Special tabulations from</w:t>
      </w:r>
      <w:r w:rsidRPr="00CA1752">
        <w:rPr>
          <w:rFonts w:cs="Times New Roman"/>
          <w:spacing w:val="2"/>
        </w:rPr>
        <w:t xml:space="preserve"> </w:t>
      </w:r>
      <w:r w:rsidRPr="00CA1752">
        <w:rPr>
          <w:rFonts w:cs="Times New Roman"/>
        </w:rPr>
        <w:t>the GSS data constitute a key</w:t>
      </w:r>
      <w:r w:rsidRPr="00CA1752">
        <w:rPr>
          <w:rFonts w:cs="Times New Roman"/>
          <w:spacing w:val="-3"/>
        </w:rPr>
        <w:t xml:space="preserve"> </w:t>
      </w:r>
      <w:r w:rsidRPr="00CA1752">
        <w:rPr>
          <w:rFonts w:cs="Times New Roman"/>
        </w:rPr>
        <w:t>resource in meeting policy</w:t>
      </w:r>
      <w:r w:rsidRPr="00CA1752">
        <w:rPr>
          <w:rFonts w:cs="Times New Roman"/>
          <w:spacing w:val="-5"/>
        </w:rPr>
        <w:t xml:space="preserve"> </w:t>
      </w:r>
      <w:r w:rsidRPr="00CA1752">
        <w:rPr>
          <w:rFonts w:cs="Times New Roman"/>
        </w:rPr>
        <w:t>and</w:t>
      </w:r>
      <w:r w:rsidR="006060FE">
        <w:rPr>
          <w:rFonts w:cs="Times New Roman"/>
        </w:rPr>
        <w:t xml:space="preserve"> </w:t>
      </w:r>
      <w:r w:rsidRPr="00CA1752">
        <w:rPr>
          <w:rFonts w:cs="Times New Roman"/>
        </w:rPr>
        <w:t>program information needs of the</w:t>
      </w:r>
      <w:r w:rsidR="00E2394A">
        <w:rPr>
          <w:rFonts w:cs="Times New Roman"/>
        </w:rPr>
        <w:t xml:space="preserve"> federal government.</w:t>
      </w:r>
    </w:p>
    <w:p w:rsidR="005F7C62" w:rsidRPr="00CA1752" w:rsidP="00AA7262" w14:paraId="5B9A10FC" w14:textId="69172ED2">
      <w:pPr>
        <w:pStyle w:val="BodyText"/>
        <w:rPr>
          <w:rFonts w:cs="Times New Roman"/>
        </w:rPr>
      </w:pPr>
      <w:r>
        <w:rPr>
          <w:rFonts w:cs="Times New Roman"/>
          <w:spacing w:val="-1"/>
        </w:rPr>
        <w:t xml:space="preserve">NCSES </w:t>
      </w:r>
      <w:r w:rsidR="00D228B7">
        <w:rPr>
          <w:rFonts w:cs="Times New Roman"/>
          <w:spacing w:val="-1"/>
        </w:rPr>
        <w:t xml:space="preserve">and </w:t>
      </w:r>
      <w:r w:rsidR="00E97F67">
        <w:rPr>
          <w:rFonts w:cs="Times New Roman"/>
          <w:spacing w:val="-1"/>
        </w:rPr>
        <w:t xml:space="preserve">the </w:t>
      </w:r>
      <w:r w:rsidR="00D228B7">
        <w:rPr>
          <w:rFonts w:cs="Times New Roman"/>
          <w:spacing w:val="-1"/>
        </w:rPr>
        <w:t>NIH extensively use the i</w:t>
      </w:r>
      <w:r w:rsidRPr="00CA1752" w:rsidR="008C752D">
        <w:rPr>
          <w:rFonts w:cs="Times New Roman"/>
          <w:spacing w:val="-1"/>
        </w:rPr>
        <w:t>nformation</w:t>
      </w:r>
      <w:r w:rsidRPr="00CA1752" w:rsidR="008C752D">
        <w:rPr>
          <w:rFonts w:cs="Times New Roman"/>
        </w:rPr>
        <w:t xml:space="preserve"> on the</w:t>
      </w:r>
      <w:r w:rsidRPr="00CA1752" w:rsidR="008C752D">
        <w:rPr>
          <w:rFonts w:cs="Times New Roman"/>
          <w:spacing w:val="-1"/>
        </w:rPr>
        <w:t xml:space="preserve"> </w:t>
      </w:r>
      <w:r w:rsidRPr="00CA1752" w:rsidR="008C752D">
        <w:rPr>
          <w:rFonts w:cs="Times New Roman"/>
        </w:rPr>
        <w:t>number</w:t>
      </w:r>
      <w:r w:rsidRPr="00CA1752" w:rsidR="008C752D">
        <w:rPr>
          <w:rFonts w:cs="Times New Roman"/>
          <w:spacing w:val="-1"/>
        </w:rPr>
        <w:t xml:space="preserve"> and</w:t>
      </w:r>
      <w:r w:rsidRPr="00CA1752" w:rsidR="008C752D">
        <w:rPr>
          <w:rFonts w:cs="Times New Roman"/>
        </w:rPr>
        <w:t xml:space="preserve"> </w:t>
      </w:r>
      <w:r w:rsidRPr="00CA1752" w:rsidR="008C752D">
        <w:rPr>
          <w:rFonts w:cs="Times New Roman"/>
          <w:spacing w:val="-1"/>
        </w:rPr>
        <w:t>characteristics</w:t>
      </w:r>
      <w:r w:rsidRPr="00CA1752" w:rsidR="008C752D">
        <w:rPr>
          <w:rFonts w:cs="Times New Roman"/>
        </w:rPr>
        <w:t xml:space="preserve"> of</w:t>
      </w:r>
      <w:r w:rsidRPr="00CA1752" w:rsidR="008C752D">
        <w:rPr>
          <w:rFonts w:cs="Times New Roman"/>
          <w:spacing w:val="-1"/>
        </w:rPr>
        <w:t xml:space="preserve"> </w:t>
      </w:r>
      <w:r w:rsidRPr="00CA1752" w:rsidR="008C752D">
        <w:rPr>
          <w:rFonts w:cs="Times New Roman"/>
        </w:rPr>
        <w:t>students currently</w:t>
      </w:r>
      <w:r w:rsidRPr="00CA1752" w:rsidR="008C752D">
        <w:rPr>
          <w:rFonts w:cs="Times New Roman"/>
          <w:spacing w:val="-5"/>
        </w:rPr>
        <w:t xml:space="preserve"> </w:t>
      </w:r>
      <w:r w:rsidRPr="00CA1752" w:rsidR="008C752D">
        <w:rPr>
          <w:rFonts w:cs="Times New Roman"/>
        </w:rPr>
        <w:t xml:space="preserve">enrolled in </w:t>
      </w:r>
      <w:r w:rsidRPr="00CA1752" w:rsidR="008C752D">
        <w:rPr>
          <w:rFonts w:cs="Times New Roman"/>
          <w:spacing w:val="-1"/>
        </w:rPr>
        <w:t>graduat</w:t>
      </w:r>
      <w:r w:rsidR="00AB2BC9">
        <w:rPr>
          <w:rFonts w:cs="Times New Roman"/>
          <w:spacing w:val="-1"/>
        </w:rPr>
        <w:t xml:space="preserve">e </w:t>
      </w:r>
      <w:r w:rsidRPr="00CA1752" w:rsidR="008C752D">
        <w:rPr>
          <w:rFonts w:cs="Times New Roman"/>
          <w:spacing w:val="-1"/>
        </w:rPr>
        <w:t>SEH programs</w:t>
      </w:r>
      <w:r w:rsidRPr="00CA1752" w:rsidR="008C752D">
        <w:rPr>
          <w:rFonts w:cs="Times New Roman"/>
        </w:rPr>
        <w:t xml:space="preserve"> </w:t>
      </w:r>
      <w:r w:rsidRPr="00CA1752" w:rsidR="008C752D">
        <w:rPr>
          <w:rFonts w:cs="Times New Roman"/>
          <w:spacing w:val="-1"/>
        </w:rPr>
        <w:t>and</w:t>
      </w:r>
      <w:r w:rsidRPr="00CA1752" w:rsidR="008C752D">
        <w:rPr>
          <w:rFonts w:cs="Times New Roman"/>
        </w:rPr>
        <w:t xml:space="preserve"> of</w:t>
      </w:r>
      <w:r w:rsidRPr="00CA1752" w:rsidR="008C752D">
        <w:rPr>
          <w:rFonts w:cs="Times New Roman"/>
          <w:spacing w:val="-1"/>
        </w:rPr>
        <w:t xml:space="preserve"> </w:t>
      </w:r>
      <w:r w:rsidRPr="00CA1752" w:rsidR="008C752D">
        <w:rPr>
          <w:rFonts w:cs="Times New Roman"/>
        </w:rPr>
        <w:t xml:space="preserve">persons </w:t>
      </w:r>
      <w:r w:rsidRPr="00CA1752" w:rsidR="008C752D">
        <w:rPr>
          <w:rFonts w:cs="Times New Roman"/>
          <w:spacing w:val="-1"/>
        </w:rPr>
        <w:t>engaged</w:t>
      </w:r>
      <w:r w:rsidRPr="00CA1752" w:rsidR="008C752D">
        <w:rPr>
          <w:rFonts w:cs="Times New Roman"/>
        </w:rPr>
        <w:t xml:space="preserve"> in </w:t>
      </w:r>
      <w:r w:rsidRPr="00CA1752" w:rsidR="008C752D">
        <w:rPr>
          <w:rFonts w:cs="Times New Roman"/>
          <w:spacing w:val="-1"/>
        </w:rPr>
        <w:t>postdoctoral</w:t>
      </w:r>
      <w:r w:rsidRPr="00CA1752" w:rsidR="008C752D">
        <w:rPr>
          <w:rFonts w:cs="Times New Roman"/>
        </w:rPr>
        <w:t xml:space="preserve"> </w:t>
      </w:r>
      <w:r w:rsidRPr="00CA1752" w:rsidR="008C752D">
        <w:rPr>
          <w:rFonts w:cs="Times New Roman"/>
          <w:spacing w:val="-1"/>
        </w:rPr>
        <w:t>programs</w:t>
      </w:r>
      <w:r w:rsidRPr="00CA1752" w:rsidR="008C752D">
        <w:rPr>
          <w:rFonts w:cs="Times New Roman"/>
        </w:rPr>
        <w:t xml:space="preserve"> to </w:t>
      </w:r>
      <w:r w:rsidRPr="00CA1752" w:rsidR="008C752D">
        <w:rPr>
          <w:rFonts w:cs="Times New Roman"/>
          <w:spacing w:val="-1"/>
        </w:rPr>
        <w:t>assess</w:t>
      </w:r>
      <w:r w:rsidRPr="00CA1752" w:rsidR="008C752D">
        <w:rPr>
          <w:rFonts w:cs="Times New Roman"/>
        </w:rPr>
        <w:t xml:space="preserve"> </w:t>
      </w:r>
      <w:r w:rsidR="00833718">
        <w:rPr>
          <w:rFonts w:cs="Times New Roman"/>
        </w:rPr>
        <w:t xml:space="preserve">the </w:t>
      </w:r>
      <w:r w:rsidRPr="00CA1752" w:rsidR="008C752D">
        <w:rPr>
          <w:rFonts w:cs="Times New Roman"/>
        </w:rPr>
        <w:t>future</w:t>
      </w:r>
      <w:r w:rsidRPr="00CA1752" w:rsidR="008C752D">
        <w:rPr>
          <w:rFonts w:cs="Times New Roman"/>
          <w:spacing w:val="-1"/>
        </w:rPr>
        <w:t xml:space="preserve"> </w:t>
      </w:r>
      <w:r w:rsidRPr="00CA1752" w:rsidR="008C752D">
        <w:rPr>
          <w:rFonts w:cs="Times New Roman"/>
        </w:rPr>
        <w:t>stock of</w:t>
      </w:r>
      <w:r w:rsidRPr="00CA1752" w:rsidR="008C752D">
        <w:rPr>
          <w:rFonts w:cs="Times New Roman"/>
          <w:spacing w:val="-1"/>
        </w:rPr>
        <w:t xml:space="preserve"> trained</w:t>
      </w:r>
      <w:r w:rsidRPr="00CA1752" w:rsidR="008C752D">
        <w:rPr>
          <w:rFonts w:cs="Times New Roman"/>
        </w:rPr>
        <w:t xml:space="preserve"> </w:t>
      </w:r>
      <w:r w:rsidRPr="00CA1752" w:rsidR="008C752D">
        <w:rPr>
          <w:rFonts w:cs="Times New Roman"/>
          <w:spacing w:val="-1"/>
        </w:rPr>
        <w:t xml:space="preserve">SEH </w:t>
      </w:r>
      <w:r w:rsidRPr="00CA1752" w:rsidR="008C752D">
        <w:rPr>
          <w:rFonts w:cs="Times New Roman"/>
        </w:rPr>
        <w:t>personnel. A</w:t>
      </w:r>
      <w:r w:rsidRPr="00CA1752" w:rsidR="008C752D">
        <w:rPr>
          <w:rFonts w:cs="Times New Roman"/>
          <w:spacing w:val="-1"/>
        </w:rPr>
        <w:t xml:space="preserve"> </w:t>
      </w:r>
      <w:r w:rsidRPr="00CA1752" w:rsidR="008C752D">
        <w:rPr>
          <w:rFonts w:cs="Times New Roman"/>
        </w:rPr>
        <w:t>variety</w:t>
      </w:r>
      <w:r w:rsidRPr="00CA1752" w:rsidR="008C752D">
        <w:rPr>
          <w:rFonts w:cs="Times New Roman"/>
          <w:spacing w:val="-5"/>
        </w:rPr>
        <w:t xml:space="preserve"> </w:t>
      </w:r>
      <w:r w:rsidRPr="00CA1752" w:rsidR="008C752D">
        <w:rPr>
          <w:rFonts w:cs="Times New Roman"/>
        </w:rPr>
        <w:t>of</w:t>
      </w:r>
      <w:r w:rsidRPr="00CA1752" w:rsidR="008C752D">
        <w:rPr>
          <w:rFonts w:cs="Times New Roman"/>
          <w:spacing w:val="-1"/>
        </w:rPr>
        <w:t xml:space="preserve"> </w:t>
      </w:r>
      <w:r w:rsidRPr="00CA1752" w:rsidR="008C752D">
        <w:rPr>
          <w:rFonts w:cs="Times New Roman"/>
        </w:rPr>
        <w:t>more</w:t>
      </w:r>
      <w:r w:rsidRPr="00CA1752" w:rsidR="008C752D">
        <w:rPr>
          <w:rFonts w:cs="Times New Roman"/>
          <w:spacing w:val="1"/>
        </w:rPr>
        <w:t xml:space="preserve"> </w:t>
      </w:r>
      <w:r w:rsidRPr="00CA1752" w:rsidR="008C752D">
        <w:rPr>
          <w:rFonts w:cs="Times New Roman"/>
          <w:spacing w:val="-1"/>
        </w:rPr>
        <w:t>general</w:t>
      </w:r>
      <w:r w:rsidRPr="00CA1752" w:rsidR="008C752D">
        <w:rPr>
          <w:rFonts w:cs="Times New Roman"/>
        </w:rPr>
        <w:t xml:space="preserve"> </w:t>
      </w:r>
      <w:r w:rsidRPr="00CA1752" w:rsidR="008C752D">
        <w:rPr>
          <w:rFonts w:cs="Times New Roman"/>
          <w:spacing w:val="-1"/>
        </w:rPr>
        <w:t>information</w:t>
      </w:r>
      <w:r w:rsidRPr="00CA1752" w:rsidR="008C752D">
        <w:rPr>
          <w:rFonts w:cs="Times New Roman"/>
        </w:rPr>
        <w:t xml:space="preserve"> need</w:t>
      </w:r>
      <w:r w:rsidR="008B2E43">
        <w:rPr>
          <w:rFonts w:cs="Times New Roman"/>
        </w:rPr>
        <w:t xml:space="preserve">s </w:t>
      </w:r>
      <w:r w:rsidRPr="00CA1752" w:rsidR="008C752D">
        <w:rPr>
          <w:rFonts w:cs="Times New Roman"/>
          <w:spacing w:val="-1"/>
        </w:rPr>
        <w:t>are met</w:t>
      </w:r>
      <w:r w:rsidRPr="00CA1752" w:rsidR="008C752D">
        <w:rPr>
          <w:rFonts w:cs="Times New Roman"/>
        </w:rPr>
        <w:t xml:space="preserve"> </w:t>
      </w:r>
      <w:r w:rsidRPr="00CA1752" w:rsidR="008C752D">
        <w:rPr>
          <w:rFonts w:cs="Times New Roman"/>
          <w:spacing w:val="-1"/>
        </w:rPr>
        <w:t>through</w:t>
      </w:r>
      <w:r w:rsidRPr="00CA1752" w:rsidR="008C752D">
        <w:rPr>
          <w:rFonts w:cs="Times New Roman"/>
        </w:rPr>
        <w:t xml:space="preserve"> the</w:t>
      </w:r>
      <w:r w:rsidRPr="00CA1752" w:rsidR="008C752D">
        <w:rPr>
          <w:rFonts w:cs="Times New Roman"/>
          <w:spacing w:val="1"/>
        </w:rPr>
        <w:t xml:space="preserve"> </w:t>
      </w:r>
      <w:r w:rsidRPr="00CA1752" w:rsidR="008C752D">
        <w:rPr>
          <w:rFonts w:cs="Times New Roman"/>
        </w:rPr>
        <w:t xml:space="preserve">annual </w:t>
      </w:r>
      <w:r w:rsidRPr="00CA1752" w:rsidR="008C752D">
        <w:rPr>
          <w:rFonts w:cs="Times New Roman"/>
          <w:spacing w:val="-1"/>
        </w:rPr>
        <w:t xml:space="preserve">release </w:t>
      </w:r>
      <w:r w:rsidRPr="00CA1752" w:rsidR="008C752D">
        <w:rPr>
          <w:rFonts w:cs="Times New Roman"/>
        </w:rPr>
        <w:t>of</w:t>
      </w:r>
      <w:r w:rsidRPr="00CA1752" w:rsidR="008C752D">
        <w:rPr>
          <w:rFonts w:cs="Times New Roman"/>
          <w:spacing w:val="-1"/>
        </w:rPr>
        <w:t xml:space="preserve"> </w:t>
      </w:r>
      <w:r w:rsidRPr="00CA1752" w:rsidR="008C752D">
        <w:rPr>
          <w:rFonts w:cs="Times New Roman"/>
        </w:rPr>
        <w:t>data</w:t>
      </w:r>
      <w:r w:rsidRPr="00CA1752" w:rsidR="008C752D">
        <w:rPr>
          <w:rFonts w:cs="Times New Roman"/>
          <w:spacing w:val="-1"/>
        </w:rPr>
        <w:t xml:space="preserve"> </w:t>
      </w:r>
      <w:r w:rsidRPr="00CA1752" w:rsidR="008C752D">
        <w:rPr>
          <w:rFonts w:cs="Times New Roman"/>
        </w:rPr>
        <w:t xml:space="preserve">in </w:t>
      </w:r>
      <w:r w:rsidRPr="00CA1752" w:rsidR="008C752D">
        <w:rPr>
          <w:rFonts w:cs="Times New Roman"/>
          <w:spacing w:val="-1"/>
        </w:rPr>
        <w:t>electronic format.</w:t>
      </w:r>
      <w:r w:rsidRPr="00CA1752" w:rsidR="008C752D">
        <w:rPr>
          <w:rFonts w:cs="Times New Roman"/>
        </w:rPr>
        <w:t xml:space="preserve"> </w:t>
      </w:r>
      <w:r>
        <w:rPr>
          <w:rFonts w:cs="Times New Roman"/>
        </w:rPr>
        <w:t>NCSES</w:t>
      </w:r>
      <w:r w:rsidRPr="00CA1752">
        <w:rPr>
          <w:rFonts w:cs="Times New Roman"/>
          <w:spacing w:val="-2"/>
        </w:rPr>
        <w:t xml:space="preserve"> </w:t>
      </w:r>
      <w:r w:rsidRPr="00CA1752" w:rsidR="008C752D">
        <w:rPr>
          <w:rFonts w:cs="Times New Roman"/>
          <w:spacing w:val="-1"/>
        </w:rPr>
        <w:t>publishes</w:t>
      </w:r>
      <w:r w:rsidRPr="00CA1752" w:rsidR="008C752D">
        <w:rPr>
          <w:rFonts w:cs="Times New Roman"/>
        </w:rPr>
        <w:t xml:space="preserve"> a</w:t>
      </w:r>
      <w:r w:rsidRPr="00CA1752" w:rsidR="008C752D">
        <w:rPr>
          <w:rFonts w:cs="Times New Roman"/>
          <w:spacing w:val="-1"/>
        </w:rPr>
        <w:t xml:space="preserve"> short</w:t>
      </w:r>
      <w:r w:rsidRPr="00CA1752" w:rsidR="008C752D">
        <w:rPr>
          <w:rFonts w:cs="Times New Roman"/>
          <w:spacing w:val="2"/>
        </w:rPr>
        <w:t xml:space="preserve"> </w:t>
      </w:r>
      <w:r w:rsidRPr="00CA1752" w:rsidR="008C752D">
        <w:rPr>
          <w:rFonts w:cs="Times New Roman"/>
          <w:spacing w:val="-1"/>
        </w:rPr>
        <w:t>InfoBrie</w:t>
      </w:r>
      <w:r w:rsidRPr="00CA1752" w:rsidR="00AA7262">
        <w:rPr>
          <w:rFonts w:cs="Times New Roman"/>
          <w:spacing w:val="-1"/>
        </w:rPr>
        <w:t xml:space="preserve">f </w:t>
      </w:r>
      <w:r w:rsidRPr="00CA1752" w:rsidR="008C752D">
        <w:rPr>
          <w:rFonts w:cs="Times New Roman"/>
          <w:spacing w:val="-1"/>
        </w:rPr>
        <w:t>and</w:t>
      </w:r>
      <w:r w:rsidRPr="00CA1752" w:rsidR="008C752D">
        <w:rPr>
          <w:rFonts w:cs="Times New Roman"/>
        </w:rPr>
        <w:t xml:space="preserve"> a</w:t>
      </w:r>
      <w:r w:rsidRPr="00CA1752" w:rsidR="008C752D">
        <w:rPr>
          <w:rFonts w:cs="Times New Roman"/>
          <w:spacing w:val="-1"/>
        </w:rPr>
        <w:t xml:space="preserve"> set</w:t>
      </w:r>
      <w:r w:rsidRPr="00CA1752" w:rsidR="008C752D">
        <w:rPr>
          <w:rFonts w:cs="Times New Roman"/>
        </w:rPr>
        <w:t xml:space="preserve"> of</w:t>
      </w:r>
      <w:r w:rsidRPr="00CA1752" w:rsidR="00BE2258">
        <w:rPr>
          <w:rFonts w:cs="Times New Roman"/>
          <w:spacing w:val="-1"/>
        </w:rPr>
        <w:t xml:space="preserve"> </w:t>
      </w:r>
      <w:r w:rsidRPr="00CA1752" w:rsidR="008C752D">
        <w:rPr>
          <w:rFonts w:cs="Times New Roman"/>
          <w:spacing w:val="-1"/>
        </w:rPr>
        <w:t>statistical</w:t>
      </w:r>
      <w:r w:rsidRPr="00CA1752" w:rsidR="008C752D">
        <w:rPr>
          <w:rFonts w:cs="Times New Roman"/>
        </w:rPr>
        <w:t xml:space="preserve"> </w:t>
      </w:r>
      <w:r w:rsidRPr="00CA1752" w:rsidR="008C752D">
        <w:rPr>
          <w:rFonts w:cs="Times New Roman"/>
          <w:spacing w:val="-1"/>
        </w:rPr>
        <w:t>tables,</w:t>
      </w:r>
      <w:r w:rsidRPr="00CA1752" w:rsidR="008C752D">
        <w:rPr>
          <w:rFonts w:cs="Times New Roman"/>
        </w:rPr>
        <w:t xml:space="preserve"> </w:t>
      </w:r>
      <w:r w:rsidRPr="00CA1752" w:rsidR="00BE2258">
        <w:rPr>
          <w:rFonts w:cs="Times New Roman"/>
          <w:i/>
        </w:rPr>
        <w:t>Survey of</w:t>
      </w:r>
      <w:r w:rsidRPr="00CA1752" w:rsidR="00BE2258">
        <w:rPr>
          <w:rFonts w:cs="Times New Roman"/>
        </w:rPr>
        <w:t xml:space="preserve"> </w:t>
      </w:r>
      <w:r w:rsidRPr="00CA1752" w:rsidR="008C752D">
        <w:rPr>
          <w:rFonts w:cs="Times New Roman"/>
          <w:i/>
          <w:spacing w:val="-1"/>
        </w:rPr>
        <w:t xml:space="preserve">Graduate </w:t>
      </w:r>
      <w:r w:rsidRPr="00CA1752" w:rsidR="008C752D">
        <w:rPr>
          <w:rFonts w:cs="Times New Roman"/>
          <w:i/>
        </w:rPr>
        <w:t xml:space="preserve">Students and </w:t>
      </w:r>
      <w:r w:rsidRPr="00CA1752" w:rsidR="008C752D">
        <w:rPr>
          <w:rFonts w:cs="Times New Roman"/>
          <w:i/>
          <w:spacing w:val="-1"/>
        </w:rPr>
        <w:t>Postdoctorate</w:t>
      </w:r>
      <w:r w:rsidRPr="00CA1752" w:rsidR="00AA7262">
        <w:rPr>
          <w:rFonts w:cs="Times New Roman"/>
          <w:i/>
          <w:spacing w:val="-1"/>
        </w:rPr>
        <w:t xml:space="preserve">s </w:t>
      </w:r>
      <w:r w:rsidRPr="00CA1752" w:rsidR="008C752D">
        <w:rPr>
          <w:rFonts w:cs="Times New Roman"/>
          <w:i/>
        </w:rPr>
        <w:t xml:space="preserve">in </w:t>
      </w:r>
      <w:r w:rsidRPr="00CA1752" w:rsidR="008C752D">
        <w:rPr>
          <w:rFonts w:cs="Times New Roman"/>
          <w:i/>
          <w:spacing w:val="-1"/>
        </w:rPr>
        <w:t xml:space="preserve">Science </w:t>
      </w:r>
      <w:r w:rsidRPr="00CA1752" w:rsidR="008C752D">
        <w:rPr>
          <w:rFonts w:cs="Times New Roman"/>
          <w:i/>
        </w:rPr>
        <w:t>and Engineering</w:t>
      </w:r>
      <w:r w:rsidRPr="00CA1752" w:rsidR="00BE2258">
        <w:rPr>
          <w:rFonts w:cs="Times New Roman"/>
          <w:i/>
        </w:rPr>
        <w:t xml:space="preserve"> Data Tables</w:t>
      </w:r>
      <w:r w:rsidRPr="00CA1752" w:rsidR="00BE2258">
        <w:rPr>
          <w:rFonts w:cs="Times New Roman"/>
        </w:rPr>
        <w:t>, available on the NCSES website.</w:t>
      </w:r>
    </w:p>
    <w:p w:rsidR="005F7C62" w:rsidRPr="00542B0B" w:rsidP="00542B0B" w14:paraId="408A87FC" w14:textId="77777777">
      <w:pPr>
        <w:pStyle w:val="Heading3"/>
      </w:pPr>
      <w:bookmarkStart w:id="15" w:name="_Toc225442523"/>
      <w:r w:rsidRPr="00542B0B">
        <w:t>A.2.2 NSF</w:t>
      </w:r>
      <w:r w:rsidRPr="00542B0B" w:rsidR="008C752D">
        <w:t xml:space="preserve"> Uses</w:t>
      </w:r>
      <w:bookmarkEnd w:id="15"/>
    </w:p>
    <w:p w:rsidR="005F7C62" w:rsidP="008164C1" w14:paraId="2CC85DCB" w14:textId="61E2E70E">
      <w:pPr>
        <w:pStyle w:val="BodyText"/>
        <w:rPr>
          <w:rFonts w:cs="Times New Roman"/>
        </w:rPr>
      </w:pPr>
      <w:r w:rsidRPr="00CA1752">
        <w:rPr>
          <w:rFonts w:cs="Times New Roman"/>
        </w:rPr>
        <w:t xml:space="preserve">The GSS is one of four </w:t>
      </w:r>
      <w:r w:rsidR="00725E47">
        <w:rPr>
          <w:rFonts w:cs="Times New Roman"/>
        </w:rPr>
        <w:t>NCSES</w:t>
      </w:r>
      <w:r w:rsidRPr="00CA1752">
        <w:rPr>
          <w:rFonts w:cs="Times New Roman"/>
          <w:spacing w:val="-2"/>
        </w:rPr>
        <w:t xml:space="preserve"> </w:t>
      </w:r>
      <w:r w:rsidRPr="00CA1752">
        <w:rPr>
          <w:rFonts w:cs="Times New Roman"/>
        </w:rPr>
        <w:t>surveys whose microdata are combined into an integrated</w:t>
      </w:r>
      <w:r w:rsidRPr="00CA1752">
        <w:rPr>
          <w:rFonts w:cs="Times New Roman"/>
          <w:spacing w:val="63"/>
        </w:rPr>
        <w:t xml:space="preserve"> </w:t>
      </w:r>
      <w:r w:rsidRPr="00CA1752">
        <w:rPr>
          <w:rFonts w:cs="Times New Roman"/>
        </w:rPr>
        <w:t xml:space="preserve">database to produce the </w:t>
      </w:r>
      <w:r w:rsidRPr="00CA1752">
        <w:rPr>
          <w:rFonts w:cs="Times New Roman"/>
          <w:i/>
        </w:rPr>
        <w:t>Academic</w:t>
      </w:r>
      <w:r w:rsidRPr="00CA1752">
        <w:rPr>
          <w:rFonts w:cs="Times New Roman"/>
          <w:i/>
          <w:spacing w:val="1"/>
        </w:rPr>
        <w:t xml:space="preserve"> </w:t>
      </w:r>
      <w:r w:rsidRPr="00CA1752">
        <w:rPr>
          <w:rFonts w:cs="Times New Roman"/>
          <w:i/>
        </w:rPr>
        <w:t>Institution Profiles</w:t>
      </w:r>
      <w:r w:rsidR="004D062E">
        <w:rPr>
          <w:rFonts w:cs="Times New Roman"/>
          <w:i/>
        </w:rPr>
        <w:t xml:space="preserve"> </w:t>
      </w:r>
      <w:r w:rsidRPr="009630A5" w:rsidR="004D062E">
        <w:rPr>
          <w:rFonts w:cs="Times New Roman"/>
          <w:iCs/>
        </w:rPr>
        <w:t>published on the NCSES website</w:t>
      </w:r>
      <w:r w:rsidR="00422B1D">
        <w:rPr>
          <w:rFonts w:cs="Times New Roman"/>
          <w:iCs/>
        </w:rPr>
        <w:t xml:space="preserve"> (</w:t>
      </w:r>
      <w:hyperlink r:id="rId14" w:history="1">
        <w:r w:rsidRPr="00CC5C1E" w:rsidR="00AB2BC9">
          <w:rPr>
            <w:rStyle w:val="Hyperlink"/>
            <w:rFonts w:cs="Times New Roman"/>
            <w:iCs/>
          </w:rPr>
          <w:t>https://ncsesdata.nsf.gov/profiles/</w:t>
        </w:r>
      </w:hyperlink>
      <w:r w:rsidR="00422B1D">
        <w:rPr>
          <w:rFonts w:cs="Times New Roman"/>
          <w:iCs/>
        </w:rPr>
        <w:t>)</w:t>
      </w:r>
      <w:r w:rsidRPr="004D062E">
        <w:rPr>
          <w:rFonts w:cs="Times New Roman"/>
          <w:iCs/>
        </w:rPr>
        <w:t>.</w:t>
      </w:r>
      <w:r w:rsidR="00AB2BC9">
        <w:rPr>
          <w:rFonts w:cs="Times New Roman"/>
          <w:iCs/>
        </w:rPr>
        <w:t xml:space="preserve"> </w:t>
      </w:r>
      <w:r w:rsidRPr="00CA1752">
        <w:rPr>
          <w:rFonts w:cs="Times New Roman"/>
        </w:rPr>
        <w:t>The other three surveys are</w:t>
      </w:r>
      <w:r w:rsidRPr="00CA1752" w:rsidR="00510E99">
        <w:rPr>
          <w:rFonts w:cs="Times New Roman"/>
        </w:rPr>
        <w:t xml:space="preserve"> </w:t>
      </w:r>
      <w:r w:rsidRPr="00CA1752" w:rsidR="00216D35">
        <w:rPr>
          <w:rFonts w:cs="Times New Roman"/>
        </w:rPr>
        <w:t xml:space="preserve">(1) </w:t>
      </w:r>
      <w:r w:rsidRPr="00CA1752">
        <w:rPr>
          <w:rFonts w:cs="Times New Roman"/>
        </w:rPr>
        <w:t>the</w:t>
      </w:r>
      <w:r w:rsidR="006246DA">
        <w:rPr>
          <w:rFonts w:cs="Times New Roman"/>
        </w:rPr>
        <w:t xml:space="preserve"> Survey of Earned Doctorates (</w:t>
      </w:r>
      <w:r w:rsidRPr="00CA1752">
        <w:rPr>
          <w:rFonts w:cs="Times New Roman"/>
        </w:rPr>
        <w:t>SED</w:t>
      </w:r>
      <w:r w:rsidR="006246DA">
        <w:rPr>
          <w:rFonts w:cs="Times New Roman"/>
        </w:rPr>
        <w:t>)</w:t>
      </w:r>
      <w:r w:rsidRPr="00CA1752">
        <w:rPr>
          <w:rFonts w:cs="Times New Roman"/>
        </w:rPr>
        <w:t>; (2) the Higher Education Research</w:t>
      </w:r>
      <w:r w:rsidRPr="00CA1752">
        <w:rPr>
          <w:rFonts w:cs="Times New Roman"/>
          <w:spacing w:val="2"/>
        </w:rPr>
        <w:t xml:space="preserve"> </w:t>
      </w:r>
      <w:r w:rsidRPr="00CA1752">
        <w:rPr>
          <w:rFonts w:cs="Times New Roman"/>
        </w:rPr>
        <w:t>and Development</w:t>
      </w:r>
      <w:r w:rsidRPr="00CA1752" w:rsidR="00D254EE">
        <w:rPr>
          <w:rFonts w:cs="Times New Roman"/>
        </w:rPr>
        <w:t xml:space="preserve"> </w:t>
      </w:r>
      <w:r w:rsidRPr="00CA1752">
        <w:rPr>
          <w:rFonts w:cs="Times New Roman"/>
        </w:rPr>
        <w:t>(HERD) Survey; and</w:t>
      </w:r>
      <w:r w:rsidRPr="00CA1752">
        <w:rPr>
          <w:rFonts w:cs="Times New Roman"/>
          <w:spacing w:val="2"/>
        </w:rPr>
        <w:t xml:space="preserve"> </w:t>
      </w:r>
      <w:r w:rsidRPr="00CA1752">
        <w:rPr>
          <w:rFonts w:cs="Times New Roman"/>
        </w:rPr>
        <w:t>(3)</w:t>
      </w:r>
      <w:r w:rsidRPr="00CA1752">
        <w:rPr>
          <w:rFonts w:cs="Times New Roman"/>
          <w:spacing w:val="1"/>
        </w:rPr>
        <w:t xml:space="preserve"> </w:t>
      </w:r>
      <w:r w:rsidRPr="00CA1752">
        <w:rPr>
          <w:rFonts w:cs="Times New Roman"/>
        </w:rPr>
        <w:t xml:space="preserve">the </w:t>
      </w:r>
      <w:r w:rsidR="000260C8">
        <w:t xml:space="preserve">Survey of Science and Engineering </w:t>
      </w:r>
      <w:r w:rsidR="005B4295">
        <w:t>Research Facilities</w:t>
      </w:r>
      <w:r w:rsidRPr="00CA1752">
        <w:rPr>
          <w:rFonts w:cs="Times New Roman"/>
        </w:rPr>
        <w:t xml:space="preserve">. As explained in the next section, these data are </w:t>
      </w:r>
      <w:r w:rsidR="00712438">
        <w:rPr>
          <w:rFonts w:cs="Times New Roman"/>
        </w:rPr>
        <w:t xml:space="preserve">further </w:t>
      </w:r>
      <w:r w:rsidRPr="006A1418" w:rsidR="00CA1752">
        <w:rPr>
          <w:rFonts w:cs="Times New Roman"/>
        </w:rPr>
        <w:t>integrated</w:t>
      </w:r>
      <w:r w:rsidRPr="006A1418">
        <w:rPr>
          <w:rFonts w:cs="Times New Roman"/>
        </w:rPr>
        <w:t xml:space="preserve"> with institutional data from other N</w:t>
      </w:r>
      <w:r w:rsidRPr="006A1418" w:rsidR="00FC7D56">
        <w:rPr>
          <w:rFonts w:cs="Times New Roman"/>
        </w:rPr>
        <w:t>CSES</w:t>
      </w:r>
      <w:r w:rsidRPr="006A1418">
        <w:rPr>
          <w:rFonts w:cs="Times New Roman"/>
        </w:rPr>
        <w:t xml:space="preserve"> surveys and with surveys</w:t>
      </w:r>
      <w:r w:rsidRPr="006A1418">
        <w:rPr>
          <w:rFonts w:cs="Times New Roman"/>
          <w:spacing w:val="2"/>
        </w:rPr>
        <w:t xml:space="preserve"> </w:t>
      </w:r>
      <w:r w:rsidRPr="006A1418">
        <w:rPr>
          <w:rFonts w:cs="Times New Roman"/>
        </w:rPr>
        <w:t xml:space="preserve">conducted </w:t>
      </w:r>
      <w:r w:rsidRPr="006A1418">
        <w:rPr>
          <w:rFonts w:cs="Times New Roman"/>
          <w:spacing w:val="2"/>
        </w:rPr>
        <w:t>by</w:t>
      </w:r>
      <w:r w:rsidR="00422B1D">
        <w:rPr>
          <w:rFonts w:cs="Times New Roman"/>
          <w:spacing w:val="2"/>
        </w:rPr>
        <w:t xml:space="preserve"> the National Center for Education Statistics (</w:t>
      </w:r>
      <w:r w:rsidRPr="00CA1752" w:rsidR="00FC7D56">
        <w:rPr>
          <w:rFonts w:cs="Times New Roman"/>
        </w:rPr>
        <w:t>NCES</w:t>
      </w:r>
      <w:r w:rsidR="00422B1D">
        <w:rPr>
          <w:rFonts w:cs="Times New Roman"/>
        </w:rPr>
        <w:t>)</w:t>
      </w:r>
      <w:r w:rsidRPr="00CA1752">
        <w:rPr>
          <w:rFonts w:cs="Times New Roman"/>
        </w:rPr>
        <w:t>. Together</w:t>
      </w:r>
      <w:r w:rsidR="00E007FD">
        <w:rPr>
          <w:rFonts w:cs="Times New Roman"/>
        </w:rPr>
        <w:t>,</w:t>
      </w:r>
      <w:r w:rsidRPr="00CA1752">
        <w:rPr>
          <w:rFonts w:cs="Times New Roman"/>
        </w:rPr>
        <w:t xml:space="preserve"> these data </w:t>
      </w:r>
      <w:r w:rsidRPr="00CA1752">
        <w:rPr>
          <w:rFonts w:cs="Times New Roman"/>
        </w:rPr>
        <w:t>provide policymakers with information on the role</w:t>
      </w:r>
      <w:r w:rsidR="00712438">
        <w:rPr>
          <w:rFonts w:cs="Times New Roman"/>
        </w:rPr>
        <w:t xml:space="preserve"> </w:t>
      </w:r>
      <w:r w:rsidRPr="00CA1752">
        <w:rPr>
          <w:rFonts w:cs="Times New Roman"/>
        </w:rPr>
        <w:t>of higher education in the context of the national R&amp;D effort.</w:t>
      </w:r>
    </w:p>
    <w:p w:rsidR="0006292A" w:rsidP="0006292A" w14:paraId="1DC2EE85" w14:textId="58C701D0">
      <w:pPr>
        <w:pStyle w:val="BodyText"/>
        <w:rPr>
          <w:rFonts w:cs="Times New Roman"/>
        </w:rPr>
      </w:pPr>
      <w:r w:rsidRPr="00CA1752">
        <w:rPr>
          <w:rFonts w:cs="Times New Roman"/>
        </w:rPr>
        <w:t>Special tabulations from</w:t>
      </w:r>
      <w:r w:rsidRPr="00CA1752">
        <w:rPr>
          <w:rFonts w:cs="Times New Roman"/>
          <w:spacing w:val="2"/>
        </w:rPr>
        <w:t xml:space="preserve"> </w:t>
      </w:r>
      <w:r w:rsidRPr="00CA1752">
        <w:rPr>
          <w:rFonts w:cs="Times New Roman"/>
        </w:rPr>
        <w:t>the GSS data constitute a key</w:t>
      </w:r>
      <w:r w:rsidRPr="00CA1752">
        <w:rPr>
          <w:rFonts w:cs="Times New Roman"/>
          <w:spacing w:val="-3"/>
        </w:rPr>
        <w:t xml:space="preserve"> </w:t>
      </w:r>
      <w:r w:rsidRPr="00CA1752">
        <w:rPr>
          <w:rFonts w:cs="Times New Roman"/>
        </w:rPr>
        <w:t>resource in meeting policy</w:t>
      </w:r>
      <w:r w:rsidRPr="00CA1752">
        <w:rPr>
          <w:rFonts w:cs="Times New Roman"/>
          <w:spacing w:val="-5"/>
        </w:rPr>
        <w:t xml:space="preserve"> </w:t>
      </w:r>
      <w:r w:rsidRPr="00CA1752">
        <w:rPr>
          <w:rFonts w:cs="Times New Roman"/>
        </w:rPr>
        <w:t>and</w:t>
      </w:r>
      <w:r w:rsidRPr="00CA1752">
        <w:rPr>
          <w:rFonts w:cs="Times New Roman"/>
          <w:spacing w:val="79"/>
        </w:rPr>
        <w:t xml:space="preserve"> </w:t>
      </w:r>
      <w:r w:rsidRPr="00CA1752">
        <w:rPr>
          <w:rFonts w:cs="Times New Roman"/>
        </w:rPr>
        <w:t xml:space="preserve">program information needs of </w:t>
      </w:r>
      <w:r w:rsidR="00D460FC">
        <w:rPr>
          <w:rFonts w:cs="Times New Roman"/>
        </w:rPr>
        <w:t>NSF</w:t>
      </w:r>
      <w:r w:rsidRPr="00CA1752">
        <w:rPr>
          <w:rFonts w:cs="Times New Roman"/>
        </w:rPr>
        <w:t xml:space="preserve">. </w:t>
      </w:r>
      <w:r w:rsidRPr="00CA1752" w:rsidR="002C597D">
        <w:rPr>
          <w:rFonts w:cs="Times New Roman"/>
        </w:rPr>
        <w:t>Primary</w:t>
      </w:r>
      <w:r w:rsidRPr="00CA1752" w:rsidR="002C597D">
        <w:rPr>
          <w:rFonts w:cs="Times New Roman"/>
          <w:spacing w:val="-5"/>
        </w:rPr>
        <w:t xml:space="preserve"> </w:t>
      </w:r>
      <w:r w:rsidRPr="00CA1752" w:rsidR="002C597D">
        <w:rPr>
          <w:rFonts w:cs="Times New Roman"/>
        </w:rPr>
        <w:t xml:space="preserve">uses of the GSS data </w:t>
      </w:r>
      <w:r w:rsidR="002C597D">
        <w:rPr>
          <w:rFonts w:cs="Times New Roman"/>
        </w:rPr>
        <w:t xml:space="preserve">also </w:t>
      </w:r>
      <w:r w:rsidRPr="00CA1752" w:rsidR="00BA4CB9">
        <w:rPr>
          <w:rFonts w:cs="Times New Roman"/>
        </w:rPr>
        <w:t>include</w:t>
      </w:r>
      <w:r w:rsidRPr="00CA1752" w:rsidR="002C597D">
        <w:rPr>
          <w:rFonts w:cs="Times New Roman"/>
        </w:rPr>
        <w:t xml:space="preserve"> </w:t>
      </w:r>
      <w:r w:rsidR="002C597D">
        <w:rPr>
          <w:rFonts w:cs="Times New Roman"/>
        </w:rPr>
        <w:t>reviewing</w:t>
      </w:r>
      <w:r w:rsidRPr="00CA1752" w:rsidR="002C597D">
        <w:rPr>
          <w:rFonts w:cs="Times New Roman"/>
        </w:rPr>
        <w:t xml:space="preserve"> changing</w:t>
      </w:r>
      <w:r w:rsidRPr="00CA1752" w:rsidR="002C597D">
        <w:rPr>
          <w:rFonts w:cs="Times New Roman"/>
          <w:spacing w:val="-3"/>
        </w:rPr>
        <w:t xml:space="preserve"> </w:t>
      </w:r>
      <w:r w:rsidRPr="00CA1752" w:rsidR="002C597D">
        <w:rPr>
          <w:rFonts w:cs="Times New Roman"/>
        </w:rPr>
        <w:t>enrollment levels to assess the effects of</w:t>
      </w:r>
      <w:r w:rsidRPr="00CA1752" w:rsidR="002C597D">
        <w:rPr>
          <w:rFonts w:cs="Times New Roman"/>
          <w:spacing w:val="1"/>
        </w:rPr>
        <w:t xml:space="preserve"> </w:t>
      </w:r>
      <w:r w:rsidRPr="00CA1752" w:rsidR="002C597D">
        <w:rPr>
          <w:rFonts w:cs="Times New Roman"/>
        </w:rPr>
        <w:t>NSF initiatives; track</w:t>
      </w:r>
      <w:r w:rsidR="002C597D">
        <w:rPr>
          <w:rFonts w:cs="Times New Roman"/>
        </w:rPr>
        <w:t>ing</w:t>
      </w:r>
      <w:r w:rsidRPr="00CA1752" w:rsidR="002C597D">
        <w:rPr>
          <w:rFonts w:cs="Times New Roman"/>
        </w:rPr>
        <w:t xml:space="preserve"> student support patterns; and </w:t>
      </w:r>
      <w:r w:rsidR="002C597D">
        <w:rPr>
          <w:rFonts w:cs="Times New Roman"/>
        </w:rPr>
        <w:t>analyzing</w:t>
      </w:r>
      <w:r w:rsidRPr="00CA1752" w:rsidR="002C597D">
        <w:rPr>
          <w:rFonts w:cs="Times New Roman"/>
        </w:rPr>
        <w:t xml:space="preserve"> participation in SEH fields </w:t>
      </w:r>
      <w:r w:rsidRPr="00CA1752" w:rsidR="002C597D">
        <w:rPr>
          <w:rFonts w:cs="Times New Roman"/>
          <w:spacing w:val="1"/>
        </w:rPr>
        <w:t>by</w:t>
      </w:r>
      <w:r w:rsidRPr="00CA1752" w:rsidR="002C597D">
        <w:rPr>
          <w:rFonts w:cs="Times New Roman"/>
          <w:spacing w:val="-5"/>
        </w:rPr>
        <w:t xml:space="preserve"> </w:t>
      </w:r>
      <w:r w:rsidRPr="00CA1752" w:rsidR="002C597D">
        <w:rPr>
          <w:rFonts w:cs="Times New Roman"/>
        </w:rPr>
        <w:t>targeted</w:t>
      </w:r>
      <w:r w:rsidRPr="00CA1752" w:rsidR="002C597D">
        <w:rPr>
          <w:rFonts w:cs="Times New Roman"/>
          <w:spacing w:val="2"/>
        </w:rPr>
        <w:t xml:space="preserve"> </w:t>
      </w:r>
      <w:r w:rsidRPr="00CA1752" w:rsidR="002C597D">
        <w:rPr>
          <w:rFonts w:cs="Times New Roman"/>
        </w:rPr>
        <w:t>groups</w:t>
      </w:r>
      <w:r w:rsidRPr="00CA1752" w:rsidR="002C597D">
        <w:rPr>
          <w:rFonts w:cs="Times New Roman"/>
          <w:spacing w:val="2"/>
        </w:rPr>
        <w:t xml:space="preserve"> </w:t>
      </w:r>
      <w:r w:rsidRPr="00CA1752" w:rsidR="002C597D">
        <w:rPr>
          <w:rFonts w:cs="Times New Roman"/>
        </w:rPr>
        <w:t>for all disciplines</w:t>
      </w:r>
      <w:r w:rsidRPr="00CA1752" w:rsidR="002C597D">
        <w:rPr>
          <w:rFonts w:cs="Times New Roman"/>
          <w:spacing w:val="2"/>
        </w:rPr>
        <w:t xml:space="preserve"> </w:t>
      </w:r>
      <w:r w:rsidRPr="00CA1752" w:rsidR="002C597D">
        <w:rPr>
          <w:rFonts w:cs="Times New Roman"/>
        </w:rPr>
        <w:t xml:space="preserve">or for selected disciplines and for selected groups </w:t>
      </w:r>
      <w:r w:rsidRPr="00CA1752" w:rsidR="002C597D">
        <w:rPr>
          <w:rFonts w:cs="Times New Roman"/>
          <w:spacing w:val="1"/>
        </w:rPr>
        <w:t>of</w:t>
      </w:r>
      <w:r w:rsidRPr="00CA1752" w:rsidR="002C597D">
        <w:rPr>
          <w:rFonts w:cs="Times New Roman"/>
        </w:rPr>
        <w:t xml:space="preserve"> institutions. </w:t>
      </w:r>
      <w:r w:rsidR="00414081">
        <w:rPr>
          <w:rFonts w:cs="Times New Roman"/>
        </w:rPr>
        <w:t xml:space="preserve">NSF </w:t>
      </w:r>
      <w:r w:rsidRPr="00CA1752" w:rsidR="002C597D">
        <w:rPr>
          <w:rFonts w:cs="Times New Roman"/>
        </w:rPr>
        <w:t xml:space="preserve">Program </w:t>
      </w:r>
      <w:r w:rsidR="00414081">
        <w:rPr>
          <w:rFonts w:cs="Times New Roman"/>
        </w:rPr>
        <w:t>O</w:t>
      </w:r>
      <w:r w:rsidRPr="00CA1752" w:rsidR="002C597D">
        <w:rPr>
          <w:rFonts w:cs="Times New Roman"/>
        </w:rPr>
        <w:t>fficers check departmental and institutional records, including</w:t>
      </w:r>
      <w:r w:rsidR="002C597D">
        <w:rPr>
          <w:rFonts w:cs="Times New Roman"/>
        </w:rPr>
        <w:t xml:space="preserve"> </w:t>
      </w:r>
      <w:r w:rsidRPr="00CA1752" w:rsidR="002C597D">
        <w:rPr>
          <w:rFonts w:cs="Times New Roman"/>
        </w:rPr>
        <w:t xml:space="preserve">data from the GSS and </w:t>
      </w:r>
      <w:r w:rsidR="00616BF7">
        <w:rPr>
          <w:rFonts w:cs="Times New Roman"/>
        </w:rPr>
        <w:t>NCES’s Integrated Postseconda</w:t>
      </w:r>
      <w:r w:rsidR="00BA4CB9">
        <w:rPr>
          <w:rFonts w:cs="Times New Roman"/>
        </w:rPr>
        <w:t>r</w:t>
      </w:r>
      <w:r w:rsidR="00616BF7">
        <w:rPr>
          <w:rFonts w:cs="Times New Roman"/>
        </w:rPr>
        <w:t>y Education Data System (</w:t>
      </w:r>
      <w:r w:rsidRPr="00CA1752" w:rsidR="002C597D">
        <w:rPr>
          <w:rFonts w:cs="Times New Roman"/>
          <w:spacing w:val="-2"/>
        </w:rPr>
        <w:t>IPEDS</w:t>
      </w:r>
      <w:r w:rsidR="00616BF7">
        <w:rPr>
          <w:rFonts w:cs="Times New Roman"/>
        </w:rPr>
        <w:t>)</w:t>
      </w:r>
      <w:r w:rsidRPr="00CA1752" w:rsidR="002C597D">
        <w:rPr>
          <w:rFonts w:cs="Times New Roman"/>
        </w:rPr>
        <w:t>, to determine department eligibility</w:t>
      </w:r>
      <w:r w:rsidRPr="00CA1752" w:rsidR="002C597D">
        <w:rPr>
          <w:rFonts w:cs="Times New Roman"/>
          <w:spacing w:val="-8"/>
        </w:rPr>
        <w:t xml:space="preserve"> </w:t>
      </w:r>
      <w:r w:rsidRPr="00CA1752" w:rsidR="002C597D">
        <w:rPr>
          <w:rFonts w:cs="Times New Roman"/>
        </w:rPr>
        <w:t>for NSF</w:t>
      </w:r>
      <w:r w:rsidR="002C597D">
        <w:rPr>
          <w:rFonts w:cs="Times New Roman"/>
        </w:rPr>
        <w:t xml:space="preserve"> </w:t>
      </w:r>
      <w:r w:rsidRPr="00CA1752" w:rsidR="002C597D">
        <w:rPr>
          <w:rFonts w:cs="Times New Roman"/>
        </w:rPr>
        <w:t>programs targeted to special populations or instructional programs.</w:t>
      </w:r>
    </w:p>
    <w:p w:rsidR="005F7C62" w:rsidRPr="00CA1752" w:rsidP="001D398B" w14:paraId="5A451984" w14:textId="77777777">
      <w:pPr>
        <w:pStyle w:val="Heading3"/>
        <w:rPr>
          <w:bCs/>
          <w:color w:val="auto"/>
        </w:rPr>
      </w:pPr>
      <w:bookmarkStart w:id="16" w:name="_Toc488073263"/>
      <w:bookmarkStart w:id="17" w:name="_Toc225442524"/>
      <w:r w:rsidRPr="00CA1752">
        <w:rPr>
          <w:color w:val="auto"/>
        </w:rPr>
        <w:t>A.2.</w:t>
      </w:r>
      <w:r w:rsidR="000F7CE7">
        <w:rPr>
          <w:color w:val="auto"/>
        </w:rPr>
        <w:t>3</w:t>
      </w:r>
      <w:r w:rsidRPr="00CA1752">
        <w:rPr>
          <w:color w:val="auto"/>
        </w:rPr>
        <w:tab/>
      </w:r>
      <w:r w:rsidRPr="00CA1752" w:rsidR="008C752D">
        <w:rPr>
          <w:color w:val="auto"/>
        </w:rPr>
        <w:t>Use by Academic Institutions</w:t>
      </w:r>
      <w:bookmarkEnd w:id="16"/>
      <w:bookmarkEnd w:id="17"/>
    </w:p>
    <w:p w:rsidR="005F7C62" w:rsidRPr="00CA1752" w:rsidP="008164C1" w14:paraId="27F0B572" w14:textId="10CCAC8D">
      <w:pPr>
        <w:pStyle w:val="BodyText"/>
      </w:pPr>
      <w:r w:rsidRPr="00CA1752">
        <w:t>The surveyed institutions themselves are major users of GSS data. Institutions use</w:t>
      </w:r>
      <w:r w:rsidRPr="00CA1752">
        <w:rPr>
          <w:spacing w:val="103"/>
        </w:rPr>
        <w:t xml:space="preserve"> </w:t>
      </w:r>
      <w:r w:rsidRPr="00CA1752">
        <w:t>N</w:t>
      </w:r>
      <w:r w:rsidR="00725E47">
        <w:t>CSES</w:t>
      </w:r>
      <w:r w:rsidRPr="00CA1752">
        <w:t>’</w:t>
      </w:r>
      <w:r w:rsidR="00422B1D">
        <w:t>s</w:t>
      </w:r>
      <w:r w:rsidRPr="00CA1752">
        <w:t xml:space="preserve"> GSS data reports or</w:t>
      </w:r>
      <w:r w:rsidR="00CC707F">
        <w:t xml:space="preserve"> </w:t>
      </w:r>
      <w:r w:rsidR="00150BC1">
        <w:t xml:space="preserve">the </w:t>
      </w:r>
      <w:r w:rsidR="00A53C9C">
        <w:t>Table Builder</w:t>
      </w:r>
      <w:r w:rsidR="00DC2BCA">
        <w:t xml:space="preserve"> Application </w:t>
      </w:r>
      <w:r w:rsidRPr="00CA1752">
        <w:t>to study</w:t>
      </w:r>
      <w:r w:rsidRPr="00CA1752">
        <w:rPr>
          <w:spacing w:val="-5"/>
        </w:rPr>
        <w:t xml:space="preserve"> </w:t>
      </w:r>
      <w:r w:rsidRPr="00CA1752">
        <w:t>selected</w:t>
      </w:r>
      <w:r w:rsidRPr="00CA1752">
        <w:rPr>
          <w:spacing w:val="2"/>
        </w:rPr>
        <w:t xml:space="preserve"> </w:t>
      </w:r>
      <w:r w:rsidRPr="00CA1752">
        <w:t>groups of peer</w:t>
      </w:r>
      <w:r w:rsidRPr="00CA1752">
        <w:rPr>
          <w:spacing w:val="65"/>
        </w:rPr>
        <w:t xml:space="preserve"> </w:t>
      </w:r>
      <w:r w:rsidRPr="00CA1752">
        <w:t>institutions for planning</w:t>
      </w:r>
      <w:r w:rsidRPr="00CA1752">
        <w:rPr>
          <w:spacing w:val="-3"/>
        </w:rPr>
        <w:t xml:space="preserve"> </w:t>
      </w:r>
      <w:r w:rsidRPr="00CA1752">
        <w:t>and comparative purposes. They</w:t>
      </w:r>
      <w:r w:rsidRPr="00CA1752">
        <w:rPr>
          <w:spacing w:val="-3"/>
        </w:rPr>
        <w:t xml:space="preserve"> </w:t>
      </w:r>
      <w:r w:rsidRPr="00CA1752">
        <w:t>combine the N</w:t>
      </w:r>
      <w:r w:rsidR="00725E47">
        <w:t>CSES</w:t>
      </w:r>
      <w:r w:rsidRPr="00CA1752">
        <w:t xml:space="preserve"> data with information</w:t>
      </w:r>
      <w:r w:rsidR="00725E47">
        <w:t xml:space="preserve"> </w:t>
      </w:r>
      <w:r w:rsidRPr="00CA1752">
        <w:t>from state and local governments on institutions in</w:t>
      </w:r>
      <w:r w:rsidRPr="00CA1752">
        <w:rPr>
          <w:spacing w:val="-3"/>
        </w:rPr>
        <w:t xml:space="preserve"> </w:t>
      </w:r>
      <w:r w:rsidRPr="00CA1752">
        <w:t>their geographic areas.</w:t>
      </w:r>
      <w:r w:rsidRPr="00CA1752">
        <w:rPr>
          <w:spacing w:val="2"/>
        </w:rPr>
        <w:t xml:space="preserve"> </w:t>
      </w:r>
      <w:r w:rsidRPr="00CA1752">
        <w:t>Institutions also use the</w:t>
      </w:r>
      <w:r w:rsidR="00725E47">
        <w:t xml:space="preserve"> </w:t>
      </w:r>
      <w:r w:rsidRPr="00CA1752">
        <w:t>comparative data to review the strength of their own programs on the basis of factors such as</w:t>
      </w:r>
      <w:r w:rsidR="00712438">
        <w:t xml:space="preserve"> </w:t>
      </w:r>
      <w:r w:rsidRPr="00CA1752">
        <w:t xml:space="preserve">support of students </w:t>
      </w:r>
      <w:r w:rsidRPr="00CA1752">
        <w:rPr>
          <w:spacing w:val="1"/>
        </w:rPr>
        <w:t>by</w:t>
      </w:r>
      <w:r w:rsidRPr="00CA1752">
        <w:rPr>
          <w:spacing w:val="-5"/>
        </w:rPr>
        <w:t xml:space="preserve"> </w:t>
      </w:r>
      <w:r w:rsidRPr="00CA1752">
        <w:t>various federal agencies and progress in reaching</w:t>
      </w:r>
      <w:r w:rsidRPr="00CA1752">
        <w:rPr>
          <w:spacing w:val="-3"/>
        </w:rPr>
        <w:t xml:space="preserve"> </w:t>
      </w:r>
      <w:r w:rsidRPr="00CA1752">
        <w:t>special target</w:t>
      </w:r>
      <w:r w:rsidR="00712438">
        <w:t xml:space="preserve"> </w:t>
      </w:r>
      <w:r w:rsidRPr="00CA1752">
        <w:t>populations.</w:t>
      </w:r>
    </w:p>
    <w:p w:rsidR="005F7C62" w:rsidRPr="00CA1752" w:rsidP="001D398B" w14:paraId="1EA2C1EB" w14:textId="540EDBF1">
      <w:pPr>
        <w:pStyle w:val="Heading3"/>
        <w:rPr>
          <w:bCs/>
          <w:color w:val="auto"/>
        </w:rPr>
      </w:pPr>
      <w:bookmarkStart w:id="18" w:name="_Toc488073265"/>
      <w:bookmarkStart w:id="19" w:name="_Toc225442526"/>
      <w:r>
        <w:rPr>
          <w:color w:val="auto"/>
        </w:rPr>
        <w:t>A.</w:t>
      </w:r>
      <w:r w:rsidR="009D5391">
        <w:rPr>
          <w:color w:val="auto"/>
        </w:rPr>
        <w:t>2</w:t>
      </w:r>
      <w:r w:rsidR="005074FC">
        <w:rPr>
          <w:color w:val="auto"/>
        </w:rPr>
        <w:t>.</w:t>
      </w:r>
      <w:r w:rsidR="00FF1C8A">
        <w:rPr>
          <w:color w:val="auto"/>
        </w:rPr>
        <w:t>4</w:t>
      </w:r>
      <w:r w:rsidR="00542B0B">
        <w:rPr>
          <w:color w:val="auto"/>
        </w:rPr>
        <w:tab/>
      </w:r>
      <w:r w:rsidRPr="00CA1752" w:rsidR="00864C2D">
        <w:rPr>
          <w:color w:val="auto"/>
        </w:rPr>
        <w:t xml:space="preserve">Use by the </w:t>
      </w:r>
      <w:r w:rsidRPr="00CA1752" w:rsidR="008C752D">
        <w:rPr>
          <w:color w:val="auto"/>
        </w:rPr>
        <w:t>Professional Societies</w:t>
      </w:r>
      <w:bookmarkEnd w:id="18"/>
      <w:bookmarkEnd w:id="19"/>
    </w:p>
    <w:p w:rsidR="005F7C62" w:rsidRPr="00CA1752" w:rsidP="0061211F" w14:paraId="64F612C9" w14:textId="77777777">
      <w:pPr>
        <w:pStyle w:val="BodyText"/>
        <w:spacing w:after="0"/>
      </w:pPr>
      <w:r w:rsidRPr="00CA1752">
        <w:t>D</w:t>
      </w:r>
      <w:r w:rsidRPr="00CA1752" w:rsidR="008C752D">
        <w:t>ata users</w:t>
      </w:r>
      <w:r w:rsidRPr="00CA1752" w:rsidR="008C752D">
        <w:rPr>
          <w:spacing w:val="2"/>
        </w:rPr>
        <w:t xml:space="preserve"> </w:t>
      </w:r>
      <w:r w:rsidRPr="00CA1752" w:rsidR="008C752D">
        <w:t>include</w:t>
      </w:r>
      <w:r w:rsidRPr="00CA1752" w:rsidR="008C752D">
        <w:rPr>
          <w:spacing w:val="1"/>
        </w:rPr>
        <w:t xml:space="preserve"> </w:t>
      </w:r>
      <w:r w:rsidR="000510F5">
        <w:rPr>
          <w:spacing w:val="1"/>
        </w:rPr>
        <w:t xml:space="preserve">the </w:t>
      </w:r>
      <w:r w:rsidRPr="00CA1752" w:rsidR="008C752D">
        <w:t>American Association of</w:t>
      </w:r>
      <w:r w:rsidRPr="00CA1752" w:rsidR="008C752D">
        <w:rPr>
          <w:spacing w:val="1"/>
        </w:rPr>
        <w:t xml:space="preserve"> </w:t>
      </w:r>
      <w:r w:rsidRPr="00CA1752" w:rsidR="008C752D">
        <w:t>Colleges of</w:t>
      </w:r>
      <w:r w:rsidR="00712438">
        <w:t xml:space="preserve"> </w:t>
      </w:r>
      <w:r w:rsidRPr="00CA1752" w:rsidR="008C752D">
        <w:t>Nursing, American Association of Universities, American Chemical Society,</w:t>
      </w:r>
      <w:r w:rsidRPr="00CA1752" w:rsidR="008C752D">
        <w:rPr>
          <w:spacing w:val="2"/>
        </w:rPr>
        <w:t xml:space="preserve"> </w:t>
      </w:r>
      <w:r w:rsidRPr="00CA1752" w:rsidR="008C752D">
        <w:t>American Council</w:t>
      </w:r>
      <w:r w:rsidR="008B2E43">
        <w:t xml:space="preserve"> </w:t>
      </w:r>
      <w:r w:rsidRPr="00CA1752" w:rsidR="008C752D">
        <w:t>of Education, American</w:t>
      </w:r>
      <w:r w:rsidRPr="00CA1752" w:rsidR="008C752D">
        <w:rPr>
          <w:spacing w:val="2"/>
        </w:rPr>
        <w:t xml:space="preserve"> </w:t>
      </w:r>
      <w:r w:rsidRPr="00CA1752" w:rsidR="008C752D">
        <w:t>Geological Society, American</w:t>
      </w:r>
      <w:r w:rsidRPr="00CA1752" w:rsidR="008C752D">
        <w:rPr>
          <w:spacing w:val="2"/>
        </w:rPr>
        <w:t xml:space="preserve"> </w:t>
      </w:r>
      <w:r w:rsidRPr="00CA1752" w:rsidR="008C752D">
        <w:t>Institute of Physics,</w:t>
      </w:r>
      <w:r w:rsidRPr="00CA1752" w:rsidR="008C752D">
        <w:rPr>
          <w:spacing w:val="2"/>
        </w:rPr>
        <w:t xml:space="preserve"> </w:t>
      </w:r>
      <w:r w:rsidRPr="00CA1752" w:rsidR="00AC0BC4">
        <w:rPr>
          <w:spacing w:val="2"/>
        </w:rPr>
        <w:t xml:space="preserve">American Physical Society, </w:t>
      </w:r>
      <w:r w:rsidRPr="00CA1752" w:rsidR="008C752D">
        <w:t>American Society</w:t>
      </w:r>
      <w:r w:rsidRPr="00CA1752" w:rsidR="008C752D">
        <w:rPr>
          <w:spacing w:val="-3"/>
        </w:rPr>
        <w:t xml:space="preserve"> </w:t>
      </w:r>
      <w:r w:rsidR="008B2E43">
        <w:t xml:space="preserve">for </w:t>
      </w:r>
      <w:r w:rsidRPr="00CA1752" w:rsidR="008C752D">
        <w:t>Engineering</w:t>
      </w:r>
      <w:r w:rsidRPr="00CA1752" w:rsidR="008C752D">
        <w:rPr>
          <w:spacing w:val="-3"/>
        </w:rPr>
        <w:t xml:space="preserve"> </w:t>
      </w:r>
      <w:r w:rsidRPr="00CA1752" w:rsidR="008C752D">
        <w:t>Education, Association of American</w:t>
      </w:r>
      <w:r w:rsidRPr="00CA1752" w:rsidR="008C752D">
        <w:rPr>
          <w:spacing w:val="2"/>
        </w:rPr>
        <w:t xml:space="preserve"> </w:t>
      </w:r>
      <w:r w:rsidRPr="00CA1752" w:rsidR="008C752D">
        <w:t>Medical Colleges,</w:t>
      </w:r>
      <w:r w:rsidRPr="00CA1752" w:rsidR="00AC0BC4">
        <w:t xml:space="preserve"> Association of International Educators,</w:t>
      </w:r>
      <w:r w:rsidR="008B2E43">
        <w:t xml:space="preserve"> </w:t>
      </w:r>
      <w:r w:rsidRPr="00CA1752" w:rsidR="008C752D">
        <w:t>Commission on</w:t>
      </w:r>
      <w:r w:rsidR="008B2E43">
        <w:t xml:space="preserve"> </w:t>
      </w:r>
      <w:r w:rsidRPr="00CA1752" w:rsidR="008C752D">
        <w:t>Professionals in Science</w:t>
      </w:r>
      <w:r w:rsidRPr="00CA1752" w:rsidR="008C752D">
        <w:rPr>
          <w:spacing w:val="1"/>
        </w:rPr>
        <w:t xml:space="preserve"> </w:t>
      </w:r>
      <w:r w:rsidRPr="00CA1752" w:rsidR="008C752D">
        <w:t>and Technology, Computing</w:t>
      </w:r>
      <w:r w:rsidRPr="00CA1752" w:rsidR="008C752D">
        <w:rPr>
          <w:spacing w:val="-3"/>
        </w:rPr>
        <w:t xml:space="preserve"> </w:t>
      </w:r>
      <w:r w:rsidRPr="00CA1752" w:rsidR="008C752D">
        <w:t>Research</w:t>
      </w:r>
      <w:r w:rsidRPr="00CA1752" w:rsidR="008C752D">
        <w:rPr>
          <w:spacing w:val="2"/>
        </w:rPr>
        <w:t xml:space="preserve"> </w:t>
      </w:r>
      <w:r w:rsidRPr="00CA1752" w:rsidR="008C752D">
        <w:t>Association, Council of Graduat</w:t>
      </w:r>
      <w:r w:rsidR="008B2E43">
        <w:t xml:space="preserve">e </w:t>
      </w:r>
      <w:r w:rsidRPr="00CA1752" w:rsidR="008C752D">
        <w:t>Schools, Federation of American Societies for Experimental Biology, and the Nation</w:t>
      </w:r>
      <w:r w:rsidR="008B2E43">
        <w:t>al P</w:t>
      </w:r>
      <w:r w:rsidRPr="00CA1752" w:rsidR="008C752D">
        <w:t xml:space="preserve">ostdoctoral Association. </w:t>
      </w:r>
      <w:r w:rsidR="00BA4CB9">
        <w:t>Generally</w:t>
      </w:r>
      <w:r w:rsidR="00CE0C6A">
        <w:t>, a</w:t>
      </w:r>
      <w:r w:rsidRPr="00CA1752" w:rsidR="008C752D">
        <w:t xml:space="preserve">ssociations use GSS data to monitor trends in enrollment </w:t>
      </w:r>
      <w:r w:rsidRPr="00CA1752" w:rsidR="008C752D">
        <w:rPr>
          <w:spacing w:val="1"/>
        </w:rPr>
        <w:t>by</w:t>
      </w:r>
      <w:r w:rsidRPr="00CA1752" w:rsidR="008C752D">
        <w:rPr>
          <w:spacing w:val="-5"/>
        </w:rPr>
        <w:t xml:space="preserve"> </w:t>
      </w:r>
      <w:r w:rsidRPr="00CA1752" w:rsidR="008C752D">
        <w:t>field o</w:t>
      </w:r>
      <w:r w:rsidR="008B2E43">
        <w:t>f s</w:t>
      </w:r>
      <w:r w:rsidRPr="00CA1752" w:rsidR="008C752D">
        <w:t>tudy, and many</w:t>
      </w:r>
      <w:r w:rsidRPr="00CA1752" w:rsidR="008C752D">
        <w:rPr>
          <w:spacing w:val="-3"/>
        </w:rPr>
        <w:t xml:space="preserve"> </w:t>
      </w:r>
      <w:r w:rsidRPr="00CA1752" w:rsidR="008C752D">
        <w:t>are</w:t>
      </w:r>
      <w:r w:rsidRPr="00CA1752" w:rsidR="008C752D">
        <w:rPr>
          <w:spacing w:val="1"/>
        </w:rPr>
        <w:t xml:space="preserve"> </w:t>
      </w:r>
      <w:r w:rsidRPr="00CA1752" w:rsidR="008C752D">
        <w:t>also interested in tracking</w:t>
      </w:r>
      <w:r w:rsidRPr="00CA1752" w:rsidR="008C752D">
        <w:rPr>
          <w:spacing w:val="-3"/>
        </w:rPr>
        <w:t xml:space="preserve"> </w:t>
      </w:r>
      <w:r w:rsidRPr="00CA1752" w:rsidR="008C752D">
        <w:t>the</w:t>
      </w:r>
      <w:r w:rsidRPr="00CA1752" w:rsidR="008C752D">
        <w:rPr>
          <w:spacing w:val="1"/>
        </w:rPr>
        <w:t xml:space="preserve"> </w:t>
      </w:r>
      <w:r w:rsidRPr="00CA1752" w:rsidR="008C752D">
        <w:t>numbers of postdoc</w:t>
      </w:r>
      <w:r w:rsidR="00501058">
        <w:t>s</w:t>
      </w:r>
      <w:r w:rsidRPr="00CA1752" w:rsidR="008C752D">
        <w:t xml:space="preserve"> and</w:t>
      </w:r>
      <w:r w:rsidRPr="00CA1752" w:rsidR="008C752D">
        <w:rPr>
          <w:spacing w:val="2"/>
        </w:rPr>
        <w:t xml:space="preserve"> </w:t>
      </w:r>
      <w:r w:rsidRPr="00CA1752" w:rsidR="008C752D">
        <w:t>NFRs.</w:t>
      </w:r>
    </w:p>
    <w:p w:rsidR="004C1AD2" w:rsidRPr="00CA1752" w:rsidP="001D398B" w14:paraId="4F3B9D02" w14:textId="59189D04">
      <w:pPr>
        <w:pStyle w:val="Heading3"/>
        <w:rPr>
          <w:color w:val="auto"/>
        </w:rPr>
      </w:pPr>
      <w:bookmarkStart w:id="20" w:name="_Toc488073266"/>
      <w:bookmarkStart w:id="21" w:name="_Toc225442527"/>
      <w:r>
        <w:rPr>
          <w:color w:val="auto"/>
        </w:rPr>
        <w:t>A.2.</w:t>
      </w:r>
      <w:r w:rsidR="00FF1C8A">
        <w:rPr>
          <w:color w:val="auto"/>
        </w:rPr>
        <w:t>5</w:t>
      </w:r>
      <w:r w:rsidR="00542B0B">
        <w:rPr>
          <w:color w:val="auto"/>
        </w:rPr>
        <w:tab/>
      </w:r>
      <w:r>
        <w:rPr>
          <w:color w:val="auto"/>
        </w:rPr>
        <w:t>Use</w:t>
      </w:r>
      <w:r w:rsidRPr="00CA1752">
        <w:rPr>
          <w:color w:val="auto"/>
        </w:rPr>
        <w:t xml:space="preserve"> in Research</w:t>
      </w:r>
      <w:bookmarkEnd w:id="20"/>
      <w:bookmarkEnd w:id="21"/>
      <w:r w:rsidRPr="00CA1752">
        <w:rPr>
          <w:color w:val="auto"/>
        </w:rPr>
        <w:t xml:space="preserve"> </w:t>
      </w:r>
    </w:p>
    <w:p w:rsidR="00BF1D85" w:rsidP="003A5408" w14:paraId="3D033676" w14:textId="3D54AEAF">
      <w:pPr>
        <w:pStyle w:val="BodyText"/>
        <w:tabs>
          <w:tab w:val="left" w:pos="720"/>
        </w:tabs>
        <w:ind w:right="30"/>
      </w:pPr>
      <w:r w:rsidRPr="004E39AC">
        <w:t xml:space="preserve">Researchers studying </w:t>
      </w:r>
      <w:r>
        <w:t xml:space="preserve">a diverse range of </w:t>
      </w:r>
      <w:r w:rsidRPr="004E39AC">
        <w:t>policy issues relating to the SEH labor pipeline</w:t>
      </w:r>
      <w:r>
        <w:t xml:space="preserve"> have used GSS data. From 20</w:t>
      </w:r>
      <w:r w:rsidR="00DE1EE8">
        <w:t>2</w:t>
      </w:r>
      <w:r w:rsidR="00FB105B">
        <w:t>3</w:t>
      </w:r>
      <w:r w:rsidR="00E007FD">
        <w:t xml:space="preserve"> to </w:t>
      </w:r>
      <w:r>
        <w:t>20</w:t>
      </w:r>
      <w:r w:rsidR="00DE1EE8">
        <w:t>2</w:t>
      </w:r>
      <w:r w:rsidR="00FB105B">
        <w:t>5</w:t>
      </w:r>
      <w:r>
        <w:t xml:space="preserve">, at least </w:t>
      </w:r>
      <w:r w:rsidR="00FB105B">
        <w:t xml:space="preserve">44 </w:t>
      </w:r>
      <w:r w:rsidR="00CF24A2">
        <w:t xml:space="preserve">journal articles, </w:t>
      </w:r>
      <w:r w:rsidR="00FB105B">
        <w:t xml:space="preserve">12 dissertations, </w:t>
      </w:r>
      <w:r w:rsidR="00E007FD">
        <w:t>eight</w:t>
      </w:r>
      <w:r w:rsidR="00FB105B">
        <w:t xml:space="preserve"> reports, </w:t>
      </w:r>
      <w:r w:rsidR="00E007FD">
        <w:t>five </w:t>
      </w:r>
      <w:r w:rsidR="00FB105B">
        <w:t xml:space="preserve">conference papers, 12 monographs, </w:t>
      </w:r>
      <w:r w:rsidR="00E007FD">
        <w:t>four</w:t>
      </w:r>
      <w:r w:rsidR="00FB105B">
        <w:t xml:space="preserve"> book chapters, and </w:t>
      </w:r>
      <w:r w:rsidR="00E007FD">
        <w:t>three</w:t>
      </w:r>
      <w:r w:rsidR="00FB105B">
        <w:t xml:space="preserve"> working papers</w:t>
      </w:r>
      <w:r>
        <w:t xml:space="preserve"> using GSS data were published</w:t>
      </w:r>
      <w:r w:rsidR="00787481">
        <w:t xml:space="preserve"> (see Attachment 6)</w:t>
      </w:r>
      <w:r w:rsidRPr="004E39AC">
        <w:t xml:space="preserve">. </w:t>
      </w:r>
      <w:r>
        <w:t>Topics included visa policies for international students wanting to work in the United States, work-life balance for postdoctoral researchers, discipline</w:t>
      </w:r>
      <w:r w:rsidR="00E007FD">
        <w:t>-</w:t>
      </w:r>
      <w:r>
        <w:t xml:space="preserve">specific pipeline issues, </w:t>
      </w:r>
      <w:r w:rsidR="00D77464">
        <w:t xml:space="preserve">and </w:t>
      </w:r>
      <w:r w:rsidR="00E47994">
        <w:t>mentorship</w:t>
      </w:r>
      <w:r w:rsidR="00CF24A2">
        <w:t xml:space="preserve"> in </w:t>
      </w:r>
      <w:r w:rsidR="00E007FD">
        <w:t>science, technology, engineering, and mathematics (STEM)</w:t>
      </w:r>
      <w:r w:rsidRPr="004E39AC">
        <w:t>.</w:t>
      </w:r>
    </w:p>
    <w:p w:rsidR="005F7C62" w:rsidRPr="00CA1752" w:rsidP="001D398B" w14:paraId="3F4D1373" w14:textId="74BE4058">
      <w:pPr>
        <w:pStyle w:val="Heading3"/>
        <w:rPr>
          <w:bCs/>
          <w:color w:val="auto"/>
        </w:rPr>
      </w:pPr>
      <w:bookmarkStart w:id="22" w:name="_Toc488073267"/>
      <w:bookmarkStart w:id="23" w:name="_Toc225442528"/>
      <w:bookmarkStart w:id="24" w:name="_Hlk26276195"/>
      <w:bookmarkEnd w:id="14"/>
      <w:r>
        <w:rPr>
          <w:color w:val="auto"/>
        </w:rPr>
        <w:t>A.</w:t>
      </w:r>
      <w:r w:rsidRPr="00CA1752" w:rsidR="00510E99">
        <w:rPr>
          <w:color w:val="auto"/>
        </w:rPr>
        <w:t>2.</w:t>
      </w:r>
      <w:r w:rsidR="00FF1C8A">
        <w:rPr>
          <w:color w:val="auto"/>
        </w:rPr>
        <w:t>6</w:t>
      </w:r>
      <w:r w:rsidRPr="00CA1752" w:rsidR="00510E99">
        <w:rPr>
          <w:color w:val="auto"/>
        </w:rPr>
        <w:tab/>
      </w:r>
      <w:r>
        <w:rPr>
          <w:color w:val="auto"/>
        </w:rPr>
        <w:t xml:space="preserve"> </w:t>
      </w:r>
      <w:r w:rsidRPr="00CA1752" w:rsidR="008C752D">
        <w:rPr>
          <w:color w:val="auto"/>
        </w:rPr>
        <w:t>Media Uses</w:t>
      </w:r>
      <w:bookmarkEnd w:id="22"/>
      <w:bookmarkEnd w:id="23"/>
    </w:p>
    <w:p w:rsidR="005F7C62" w:rsidRPr="00CA1752" w:rsidP="008164C1" w14:paraId="0AF000AB" w14:textId="7675F858">
      <w:pPr>
        <w:pStyle w:val="BodyText"/>
      </w:pPr>
      <w:r w:rsidRPr="003B1C78">
        <w:t xml:space="preserve">Enrollment of graduate students in </w:t>
      </w:r>
      <w:r w:rsidR="00FB36E5">
        <w:t>science and engineering</w:t>
      </w:r>
      <w:r w:rsidRPr="003B1C78">
        <w:rPr>
          <w:spacing w:val="-3"/>
        </w:rPr>
        <w:t xml:space="preserve"> </w:t>
      </w:r>
      <w:r w:rsidRPr="003B1C78">
        <w:t>fields</w:t>
      </w:r>
      <w:r w:rsidRPr="003B1C78" w:rsidR="00171B29">
        <w:t xml:space="preserve"> </w:t>
      </w:r>
      <w:r w:rsidR="00E007FD">
        <w:t>is</w:t>
      </w:r>
      <w:r w:rsidRPr="003B1C78" w:rsidR="00E007FD">
        <w:t xml:space="preserve"> </w:t>
      </w:r>
      <w:r w:rsidRPr="003B1C78">
        <w:t xml:space="preserve">reported </w:t>
      </w:r>
      <w:r w:rsidRPr="003B1C78">
        <w:rPr>
          <w:spacing w:val="2"/>
        </w:rPr>
        <w:t>by</w:t>
      </w:r>
      <w:r w:rsidRPr="003B1C78">
        <w:rPr>
          <w:spacing w:val="-5"/>
        </w:rPr>
        <w:t xml:space="preserve"> </w:t>
      </w:r>
      <w:r w:rsidRPr="003B1C78">
        <w:t>the</w:t>
      </w:r>
      <w:r w:rsidRPr="003B1C78">
        <w:rPr>
          <w:spacing w:val="1"/>
        </w:rPr>
        <w:t xml:space="preserve"> </w:t>
      </w:r>
      <w:r w:rsidRPr="003B1C78">
        <w:t>press, including</w:t>
      </w:r>
      <w:r w:rsidRPr="003B1C78">
        <w:rPr>
          <w:spacing w:val="-3"/>
        </w:rPr>
        <w:t xml:space="preserve"> </w:t>
      </w:r>
      <w:r w:rsidRPr="003B1C78" w:rsidR="00171B29">
        <w:rPr>
          <w:rFonts w:cs="Times New Roman"/>
          <w:i/>
        </w:rPr>
        <w:t>Forbes</w:t>
      </w:r>
      <w:r w:rsidRPr="003B1C78">
        <w:rPr>
          <w:i/>
        </w:rPr>
        <w:t>,</w:t>
      </w:r>
      <w:r w:rsidRPr="003B1C78">
        <w:t xml:space="preserve"> </w:t>
      </w:r>
      <w:r w:rsidR="0020760C">
        <w:rPr>
          <w:i/>
        </w:rPr>
        <w:t>Inside</w:t>
      </w:r>
      <w:r w:rsidRPr="003B1C78">
        <w:rPr>
          <w:rFonts w:cs="Times New Roman"/>
          <w:i/>
        </w:rPr>
        <w:t xml:space="preserve"> Higher Ed</w:t>
      </w:r>
      <w:r w:rsidRPr="003B1C78" w:rsidR="00171B29">
        <w:rPr>
          <w:rFonts w:cs="Times New Roman"/>
          <w:i/>
        </w:rPr>
        <w:t xml:space="preserve">, </w:t>
      </w:r>
      <w:r w:rsidR="0020760C">
        <w:rPr>
          <w:rFonts w:cs="Times New Roman"/>
          <w:i/>
        </w:rPr>
        <w:t xml:space="preserve">Statnews, </w:t>
      </w:r>
      <w:r w:rsidRPr="003B1C78" w:rsidR="00171B29">
        <w:rPr>
          <w:rFonts w:cs="Times New Roman"/>
        </w:rPr>
        <w:t xml:space="preserve">and </w:t>
      </w:r>
      <w:r w:rsidRPr="003B1C78" w:rsidR="00171B29">
        <w:rPr>
          <w:rFonts w:cs="Times New Roman"/>
          <w:i/>
        </w:rPr>
        <w:t>Science</w:t>
      </w:r>
      <w:r w:rsidRPr="003B1C78" w:rsidR="00171B29">
        <w:rPr>
          <w:rFonts w:cs="Times New Roman"/>
        </w:rPr>
        <w:t xml:space="preserve"> </w:t>
      </w:r>
      <w:r w:rsidR="007F5E15">
        <w:t>(see Attachment 6)</w:t>
      </w:r>
      <w:r w:rsidRPr="009630A5" w:rsidR="0046478F">
        <w:t>.</w:t>
      </w:r>
    </w:p>
    <w:p w:rsidR="005F7C62" w:rsidRPr="00CA1752" w:rsidP="005734B7" w14:paraId="34564416" w14:textId="77777777">
      <w:pPr>
        <w:pStyle w:val="Heading2"/>
        <w:spacing w:before="360"/>
        <w:rPr>
          <w:bCs/>
        </w:rPr>
      </w:pPr>
      <w:bookmarkStart w:id="25" w:name="_Ref476041678"/>
      <w:bookmarkStart w:id="26" w:name="_Toc488073268"/>
      <w:bookmarkStart w:id="27" w:name="_Toc225442529"/>
      <w:bookmarkEnd w:id="24"/>
      <w:r>
        <w:t>A.</w:t>
      </w:r>
      <w:r w:rsidRPr="00CA1752" w:rsidR="00510E99">
        <w:t>3</w:t>
      </w:r>
      <w:r w:rsidRPr="00CA1752" w:rsidR="00510E99">
        <w:tab/>
      </w:r>
      <w:r w:rsidRPr="00CA1752" w:rsidR="008C752D">
        <w:t>Consideration of</w:t>
      </w:r>
      <w:r w:rsidRPr="00CA1752" w:rsidR="008C752D">
        <w:rPr>
          <w:spacing w:val="1"/>
        </w:rPr>
        <w:t xml:space="preserve"> </w:t>
      </w:r>
      <w:r w:rsidRPr="00CA1752" w:rsidR="008C752D">
        <w:t>Using</w:t>
      </w:r>
      <w:r w:rsidRPr="00CA1752" w:rsidR="008C752D">
        <w:rPr>
          <w:spacing w:val="-3"/>
        </w:rPr>
        <w:t xml:space="preserve"> </w:t>
      </w:r>
      <w:r w:rsidRPr="00CA1752" w:rsidR="008C752D">
        <w:t>Improved Technology</w:t>
      </w:r>
      <w:bookmarkEnd w:id="25"/>
      <w:bookmarkEnd w:id="26"/>
      <w:bookmarkEnd w:id="27"/>
    </w:p>
    <w:p w:rsidR="00883345" w:rsidP="00972911" w14:paraId="6C7EE106" w14:textId="3C34BC7B">
      <w:pPr>
        <w:pStyle w:val="BodyText"/>
        <w:spacing w:after="60"/>
      </w:pPr>
      <w:r w:rsidRPr="00CA1752">
        <w:t>N</w:t>
      </w:r>
      <w:r w:rsidRPr="00CA1752" w:rsidR="00FC7D56">
        <w:t>CSES</w:t>
      </w:r>
      <w:r w:rsidRPr="00CA1752">
        <w:t xml:space="preserve"> has engaged in a process of </w:t>
      </w:r>
      <w:r w:rsidR="006246DA">
        <w:t xml:space="preserve">continuous </w:t>
      </w:r>
      <w:r w:rsidRPr="00CA1752">
        <w:t>improvement</w:t>
      </w:r>
      <w:r w:rsidR="006246DA">
        <w:t xml:space="preserve"> for</w:t>
      </w:r>
      <w:r w:rsidRPr="00CA1752" w:rsidR="00AA1470">
        <w:t xml:space="preserve"> </w:t>
      </w:r>
      <w:r w:rsidR="000D5992">
        <w:t xml:space="preserve">the </w:t>
      </w:r>
      <w:r w:rsidRPr="00CA1752">
        <w:t>GSS, involving technical innovation</w:t>
      </w:r>
      <w:r w:rsidRPr="00CA1752" w:rsidR="00AA1470">
        <w:t>s</w:t>
      </w:r>
      <w:r w:rsidRPr="00CA1752">
        <w:t xml:space="preserve"> to increase the utility of the data co</w:t>
      </w:r>
      <w:r w:rsidRPr="00CA1752" w:rsidR="00BB670B">
        <w:t xml:space="preserve">llected and reduce </w:t>
      </w:r>
      <w:r w:rsidR="00083913">
        <w:t>respondent burden</w:t>
      </w:r>
      <w:r w:rsidRPr="00CA1752">
        <w:t>.</w:t>
      </w:r>
      <w:r w:rsidR="00E35C37">
        <w:t xml:space="preserve"> In 2017, </w:t>
      </w:r>
      <w:r w:rsidRPr="00CA1752" w:rsidR="009114EA">
        <w:t>NCSES leverage</w:t>
      </w:r>
      <w:r w:rsidR="00083913">
        <w:t>d</w:t>
      </w:r>
      <w:r w:rsidRPr="00CA1752" w:rsidR="009114EA">
        <w:t xml:space="preserve"> these technical innovations </w:t>
      </w:r>
      <w:r w:rsidR="00E35C37">
        <w:t xml:space="preserve">to implement </w:t>
      </w:r>
      <w:r w:rsidRPr="009E66C1" w:rsidR="00E35C37">
        <w:rPr>
          <w:bCs/>
          <w:iCs/>
        </w:rPr>
        <w:t>Electronic Data Interchange (EDI)</w:t>
      </w:r>
      <w:r w:rsidR="00E35C37">
        <w:rPr>
          <w:bCs/>
          <w:iCs/>
        </w:rPr>
        <w:t xml:space="preserve"> as the primary method of reporting GSS </w:t>
      </w:r>
      <w:r w:rsidRPr="00E70ED2" w:rsidR="00E35C37">
        <w:rPr>
          <w:bCs/>
          <w:iCs/>
        </w:rPr>
        <w:t xml:space="preserve">data. </w:t>
      </w:r>
      <w:r w:rsidRPr="00E70ED2" w:rsidR="00E35C37">
        <w:t>Since 2017</w:t>
      </w:r>
      <w:r w:rsidRPr="00E70ED2" w:rsidR="005A04A8">
        <w:t>,</w:t>
      </w:r>
      <w:r w:rsidRPr="00E70ED2">
        <w:t xml:space="preserve"> </w:t>
      </w:r>
      <w:r w:rsidRPr="00E70ED2" w:rsidR="00972911">
        <w:t xml:space="preserve">all schools </w:t>
      </w:r>
      <w:r w:rsidRPr="00E70ED2" w:rsidR="003338B2">
        <w:t>are</w:t>
      </w:r>
      <w:r w:rsidRPr="00CA1752" w:rsidR="00972911">
        <w:t xml:space="preserve"> asked to use one of the </w:t>
      </w:r>
      <w:r w:rsidR="00B372DF">
        <w:t>three</w:t>
      </w:r>
      <w:r w:rsidRPr="00CA1752" w:rsidR="00B372DF">
        <w:t xml:space="preserve"> </w:t>
      </w:r>
      <w:r w:rsidR="00972911">
        <w:t xml:space="preserve">following data </w:t>
      </w:r>
      <w:r w:rsidR="00B372DF">
        <w:t>reporting</w:t>
      </w:r>
      <w:r w:rsidRPr="00CA1752" w:rsidR="00B372DF">
        <w:t xml:space="preserve"> </w:t>
      </w:r>
      <w:r w:rsidRPr="00CA1752" w:rsidR="00972911">
        <w:t>options</w:t>
      </w:r>
      <w:r>
        <w:t>:</w:t>
      </w:r>
    </w:p>
    <w:p w:rsidR="00847B4C" w:rsidRPr="00542B0B" w:rsidP="00EB2637" w14:paraId="5A8B85A2" w14:textId="11EBCFA8">
      <w:pPr>
        <w:pStyle w:val="ListBullet"/>
      </w:pPr>
      <w:r w:rsidRPr="00542B0B">
        <w:t>U</w:t>
      </w:r>
      <w:r w:rsidRPr="00542B0B" w:rsidR="004929CE">
        <w:t xml:space="preserve">pload a file containing deidentified individual records that the </w:t>
      </w:r>
      <w:r w:rsidR="00E007FD">
        <w:t>w</w:t>
      </w:r>
      <w:r w:rsidRPr="00542B0B" w:rsidR="00E007FD">
        <w:t xml:space="preserve">eb </w:t>
      </w:r>
      <w:r w:rsidRPr="00542B0B" w:rsidR="004929CE">
        <w:t xml:space="preserve">system automatically aggregates to the unit-level format and then populates the appropriate cells in the GSS </w:t>
      </w:r>
      <w:r w:rsidRPr="00542B0B" w:rsidR="004A7A6A">
        <w:t xml:space="preserve">web </w:t>
      </w:r>
      <w:r w:rsidRPr="00542B0B" w:rsidR="004929CE">
        <w:t>survey</w:t>
      </w:r>
      <w:r w:rsidRPr="00542B0B" w:rsidR="004A7A6A">
        <w:t xml:space="preserve"> questionnaire</w:t>
      </w:r>
      <w:r w:rsidRPr="00542B0B" w:rsidR="004929CE">
        <w:t xml:space="preserve">. </w:t>
      </w:r>
    </w:p>
    <w:p w:rsidR="00833985" w:rsidP="00EB2637" w14:paraId="35928BC4" w14:textId="1E8A2292">
      <w:pPr>
        <w:pStyle w:val="ListBullet"/>
      </w:pPr>
      <w:r w:rsidRPr="00542B0B">
        <w:t xml:space="preserve">Upload a file </w:t>
      </w:r>
      <w:r w:rsidRPr="00542B0B" w:rsidR="00F8259C">
        <w:t>resulting from an</w:t>
      </w:r>
      <w:r w:rsidRPr="00542B0B">
        <w:t xml:space="preserve"> Excel macro program that aggregates </w:t>
      </w:r>
      <w:r w:rsidRPr="00542B0B" w:rsidR="004929CE">
        <w:t>individual-level data into unit-level data</w:t>
      </w:r>
      <w:r w:rsidRPr="00542B0B" w:rsidR="004A7A6A">
        <w:t xml:space="preserve"> directly on the respondent’s computer</w:t>
      </w:r>
      <w:r w:rsidRPr="00542B0B" w:rsidR="004929CE">
        <w:t xml:space="preserve">. This option is available for </w:t>
      </w:r>
      <w:r w:rsidRPr="00542B0B" w:rsidR="00083913">
        <w:t xml:space="preserve">respondents </w:t>
      </w:r>
      <w:r w:rsidRPr="00542B0B" w:rsidR="004929CE">
        <w:t xml:space="preserve">who do not wish to </w:t>
      </w:r>
      <w:r w:rsidRPr="00542B0B" w:rsidR="0098527E">
        <w:t xml:space="preserve">provide </w:t>
      </w:r>
      <w:r w:rsidRPr="00542B0B" w:rsidR="004929CE">
        <w:t xml:space="preserve">individual-level data over the </w:t>
      </w:r>
      <w:r w:rsidR="00FB36E5">
        <w:t>i</w:t>
      </w:r>
      <w:r w:rsidRPr="00542B0B" w:rsidR="004929CE">
        <w:t xml:space="preserve">nternet.  </w:t>
      </w:r>
    </w:p>
    <w:p w:rsidR="00B372DF" w:rsidRPr="00542B0B" w:rsidP="00EB2637" w14:paraId="5B6D1E6F" w14:textId="5C30F787">
      <w:pPr>
        <w:pStyle w:val="ListBullet"/>
      </w:pPr>
      <w:r>
        <w:t>Manually enter unit-level counts directly into the GSS web instrument.</w:t>
      </w:r>
    </w:p>
    <w:p w:rsidR="004929CE" w:rsidP="00542B0B" w14:paraId="5208B7F7" w14:textId="55933190">
      <w:pPr>
        <w:pStyle w:val="BodyTextSpaceAfter"/>
      </w:pPr>
      <w:r>
        <w:t>Based on analys</w:t>
      </w:r>
      <w:r w:rsidR="003338B2">
        <w:t>e</w:t>
      </w:r>
      <w:r>
        <w:t>s of respondent behavior in the 2017</w:t>
      </w:r>
      <w:r w:rsidR="003338B2">
        <w:t xml:space="preserve"> </w:t>
      </w:r>
      <w:r w:rsidR="001827F5">
        <w:t xml:space="preserve">survey </w:t>
      </w:r>
      <w:r w:rsidR="003338B2">
        <w:t xml:space="preserve">and </w:t>
      </w:r>
      <w:r w:rsidR="00E35C37">
        <w:t xml:space="preserve">subsequent </w:t>
      </w:r>
      <w:r>
        <w:t>data collection</w:t>
      </w:r>
      <w:r w:rsidR="003338B2">
        <w:t>s</w:t>
      </w:r>
      <w:r>
        <w:t xml:space="preserve">, the expansion of available upload options has led to </w:t>
      </w:r>
      <w:r w:rsidR="00AE3D45">
        <w:t>a large</w:t>
      </w:r>
      <w:r w:rsidRPr="00CA1752">
        <w:t xml:space="preserve"> increase </w:t>
      </w:r>
      <w:r>
        <w:t xml:space="preserve">in </w:t>
      </w:r>
      <w:r w:rsidRPr="00CA1752">
        <w:t xml:space="preserve">the number of </w:t>
      </w:r>
      <w:r>
        <w:t>respondents</w:t>
      </w:r>
      <w:r w:rsidRPr="00CA1752">
        <w:t xml:space="preserve"> that supply GSS data through file uploads and </w:t>
      </w:r>
      <w:r>
        <w:t>has led to a reduction in</w:t>
      </w:r>
      <w:r w:rsidRPr="00CA1752">
        <w:t xml:space="preserve"> the overall burden of completing the survey through the </w:t>
      </w:r>
      <w:r w:rsidR="00F81EB2">
        <w:t>w</w:t>
      </w:r>
      <w:r w:rsidRPr="00CA1752">
        <w:t xml:space="preserve">eb instrument. </w:t>
      </w:r>
    </w:p>
    <w:p w:rsidR="00D80046" w:rsidRPr="00CA1752" w:rsidP="008164C1" w14:paraId="33866FCC" w14:textId="6DEBFBF7">
      <w:pPr>
        <w:pStyle w:val="BodyText"/>
      </w:pPr>
      <w:r>
        <w:t>Because FFRDC respondents only report on a single organizational unit</w:t>
      </w:r>
      <w:r w:rsidR="00FB36E5">
        <w:t>,</w:t>
      </w:r>
      <w:r>
        <w:t xml:space="preserve"> there is little efficiency to be gained from EDI. Consequently, the FFRDC</w:t>
      </w:r>
      <w:r w:rsidR="00374D77">
        <w:t xml:space="preserve"> </w:t>
      </w:r>
      <w:r w:rsidR="00FB36E5">
        <w:t>P</w:t>
      </w:r>
      <w:r w:rsidR="00374D77">
        <w:t xml:space="preserve">ostdoc </w:t>
      </w:r>
      <w:r w:rsidR="00FB36E5">
        <w:t>S</w:t>
      </w:r>
      <w:r w:rsidR="00374D77">
        <w:t>urvey</w:t>
      </w:r>
      <w:r>
        <w:t xml:space="preserve"> continues to rely on manual data entry on a web</w:t>
      </w:r>
      <w:r w:rsidR="00374D77">
        <w:t>-</w:t>
      </w:r>
      <w:r>
        <w:t>based survey instrument.</w:t>
      </w:r>
    </w:p>
    <w:p w:rsidR="005F7C62" w:rsidRPr="00CA1752" w:rsidP="001D398B" w14:paraId="477BC29F" w14:textId="77777777">
      <w:pPr>
        <w:pStyle w:val="Heading2"/>
        <w:rPr>
          <w:bCs/>
        </w:rPr>
      </w:pPr>
      <w:bookmarkStart w:id="28" w:name="_Toc488073269"/>
      <w:bookmarkStart w:id="29" w:name="_Toc225442530"/>
      <w:r>
        <w:t>A.</w:t>
      </w:r>
      <w:r w:rsidRPr="00CA1752" w:rsidR="00510E99">
        <w:t>4</w:t>
      </w:r>
      <w:r w:rsidRPr="00CA1752" w:rsidR="00510E99">
        <w:tab/>
      </w:r>
      <w:r w:rsidR="0061211F">
        <w:t xml:space="preserve">Efforts to </w:t>
      </w:r>
      <w:r w:rsidRPr="00CA1752" w:rsidR="008C752D">
        <w:t>Identif</w:t>
      </w:r>
      <w:r w:rsidR="0061211F">
        <w:t>y</w:t>
      </w:r>
      <w:r w:rsidRPr="00CA1752" w:rsidR="008C752D">
        <w:rPr>
          <w:spacing w:val="1"/>
        </w:rPr>
        <w:t xml:space="preserve"> </w:t>
      </w:r>
      <w:r w:rsidRPr="00CA1752" w:rsidR="008C752D">
        <w:t>Duplication</w:t>
      </w:r>
      <w:bookmarkEnd w:id="28"/>
      <w:bookmarkEnd w:id="29"/>
    </w:p>
    <w:p w:rsidR="005F7C62" w:rsidRPr="00CA1752" w:rsidP="008164C1" w14:paraId="71E61B9C" w14:textId="40C6B9E1">
      <w:pPr>
        <w:pStyle w:val="BodyText"/>
      </w:pPr>
      <w:r w:rsidRPr="00CA1752">
        <w:t>N</w:t>
      </w:r>
      <w:r w:rsidRPr="00CA1752" w:rsidR="00FC7D56">
        <w:t>CSES</w:t>
      </w:r>
      <w:r w:rsidRPr="00CA1752">
        <w:rPr>
          <w:spacing w:val="-2"/>
        </w:rPr>
        <w:t xml:space="preserve"> </w:t>
      </w:r>
      <w:r w:rsidRPr="00CA1752">
        <w:t>staff</w:t>
      </w:r>
      <w:r w:rsidRPr="00CA1752">
        <w:rPr>
          <w:spacing w:val="1"/>
        </w:rPr>
        <w:t xml:space="preserve"> </w:t>
      </w:r>
      <w:r w:rsidRPr="00CA1752" w:rsidR="009105BD">
        <w:t>consult</w:t>
      </w:r>
      <w:r w:rsidRPr="00CA1752">
        <w:t xml:space="preserve"> regularly</w:t>
      </w:r>
      <w:r w:rsidRPr="00CA1752">
        <w:rPr>
          <w:spacing w:val="-5"/>
        </w:rPr>
        <w:t xml:space="preserve"> </w:t>
      </w:r>
      <w:r w:rsidRPr="00CA1752">
        <w:t>with other</w:t>
      </w:r>
      <w:r w:rsidRPr="00CA1752">
        <w:rPr>
          <w:spacing w:val="1"/>
        </w:rPr>
        <w:t xml:space="preserve"> </w:t>
      </w:r>
      <w:r w:rsidRPr="00CA1752">
        <w:t>federal agencies and private organizations to</w:t>
      </w:r>
      <w:r w:rsidRPr="00CA1752">
        <w:rPr>
          <w:spacing w:val="87"/>
        </w:rPr>
        <w:t xml:space="preserve"> </w:t>
      </w:r>
      <w:r w:rsidRPr="00CA1752">
        <w:t>prevent duplication of data collection activities and to stay</w:t>
      </w:r>
      <w:r w:rsidRPr="00CA1752">
        <w:rPr>
          <w:spacing w:val="-5"/>
        </w:rPr>
        <w:t xml:space="preserve"> </w:t>
      </w:r>
      <w:r w:rsidRPr="00CA1752">
        <w:t>abreast of</w:t>
      </w:r>
      <w:r w:rsidRPr="00CA1752">
        <w:rPr>
          <w:spacing w:val="1"/>
        </w:rPr>
        <w:t xml:space="preserve"> </w:t>
      </w:r>
      <w:r w:rsidRPr="00CA1752">
        <w:t xml:space="preserve">changes in other </w:t>
      </w:r>
      <w:r w:rsidRPr="00CA1752" w:rsidR="00D662C4">
        <w:t>surveys</w:t>
      </w:r>
      <w:r w:rsidRPr="00CA1752">
        <w:rPr>
          <w:spacing w:val="105"/>
        </w:rPr>
        <w:t xml:space="preserve"> </w:t>
      </w:r>
      <w:r w:rsidRPr="00CA1752">
        <w:t xml:space="preserve">Such consultations take place with </w:t>
      </w:r>
      <w:r w:rsidR="00DD4D0E">
        <w:t>NIH</w:t>
      </w:r>
      <w:r w:rsidRPr="00CA1752" w:rsidR="001F48E3">
        <w:t xml:space="preserve">, the Council of Graduate </w:t>
      </w:r>
      <w:r w:rsidRPr="00CA1752">
        <w:t>Schools (CGS), and others. Specific surveys</w:t>
      </w:r>
      <w:r w:rsidRPr="00CA1752">
        <w:rPr>
          <w:spacing w:val="2"/>
        </w:rPr>
        <w:t xml:space="preserve"> </w:t>
      </w:r>
      <w:r w:rsidRPr="00CA1752">
        <w:t xml:space="preserve">conducted </w:t>
      </w:r>
      <w:r w:rsidRPr="00CA1752">
        <w:rPr>
          <w:spacing w:val="2"/>
        </w:rPr>
        <w:t>by</w:t>
      </w:r>
      <w:r w:rsidRPr="00CA1752">
        <w:rPr>
          <w:spacing w:val="-5"/>
        </w:rPr>
        <w:t xml:space="preserve"> </w:t>
      </w:r>
      <w:r w:rsidRPr="00CA1752">
        <w:t>these</w:t>
      </w:r>
      <w:r w:rsidRPr="00CA1752">
        <w:rPr>
          <w:spacing w:val="1"/>
        </w:rPr>
        <w:t xml:space="preserve"> </w:t>
      </w:r>
      <w:r w:rsidRPr="00CA1752">
        <w:t>groups</w:t>
      </w:r>
      <w:r w:rsidRPr="00CA1752">
        <w:rPr>
          <w:spacing w:val="2"/>
        </w:rPr>
        <w:t xml:space="preserve"> </w:t>
      </w:r>
      <w:r w:rsidRPr="00CA1752">
        <w:t>will be discussed below. The routine data uses of the</w:t>
      </w:r>
      <w:r w:rsidRPr="00CA1752">
        <w:rPr>
          <w:spacing w:val="1"/>
        </w:rPr>
        <w:t xml:space="preserve"> </w:t>
      </w:r>
      <w:r w:rsidRPr="00CA1752">
        <w:t>federal agencies described in Section A.2</w:t>
      </w:r>
      <w:r w:rsidRPr="00CA1752" w:rsidR="00EA6682">
        <w:t>.1</w:t>
      </w:r>
      <w:r w:rsidRPr="00CA1752">
        <w:t xml:space="preserve"> have</w:t>
      </w:r>
      <w:r w:rsidRPr="00CA1752" w:rsidR="001F48E3">
        <w:t xml:space="preserve"> </w:t>
      </w:r>
      <w:r w:rsidRPr="00CA1752">
        <w:t>largely</w:t>
      </w:r>
      <w:r w:rsidRPr="00CA1752">
        <w:rPr>
          <w:spacing w:val="-5"/>
        </w:rPr>
        <w:t xml:space="preserve"> </w:t>
      </w:r>
      <w:r w:rsidRPr="00CA1752">
        <w:t xml:space="preserve">determined the content of the </w:t>
      </w:r>
      <w:r w:rsidRPr="00CA1752" w:rsidR="00AA1470">
        <w:t xml:space="preserve">GSS </w:t>
      </w:r>
      <w:r w:rsidRPr="00CA1752">
        <w:t>questionnaire.</w:t>
      </w:r>
    </w:p>
    <w:p w:rsidR="004829CE" w:rsidRPr="00542B0B" w:rsidP="00542B0B" w14:paraId="23BE2550" w14:textId="77777777">
      <w:pPr>
        <w:pStyle w:val="BodyText"/>
      </w:pPr>
      <w:r w:rsidRPr="00542B0B">
        <w:t>Only the GSS collects the following information at the level of detailed SEH fields of study:</w:t>
      </w:r>
    </w:p>
    <w:p w:rsidR="005F7C62" w:rsidRPr="00EB2637" w:rsidP="00EB2637" w14:paraId="50AA286E" w14:textId="77777777">
      <w:pPr>
        <w:pStyle w:val="ListBullet"/>
      </w:pPr>
      <w:r w:rsidRPr="00EB2637">
        <w:t xml:space="preserve">For full-time </w:t>
      </w:r>
      <w:r w:rsidRPr="00EB2637" w:rsidR="00EE70A9">
        <w:t>master’s and doctorate students</w:t>
      </w:r>
      <w:r w:rsidRPr="00EB2637">
        <w:t>, aggregate counts by</w:t>
      </w:r>
    </w:p>
    <w:p w:rsidR="005F7C62" w:rsidRPr="00CA1752" w:rsidP="004D185C" w14:paraId="2ADDF0E9" w14:textId="77777777">
      <w:pPr>
        <w:pStyle w:val="ListBullet2"/>
      </w:pPr>
      <w:r>
        <w:t>s</w:t>
      </w:r>
      <w:r w:rsidRPr="00CA1752" w:rsidR="008C752D">
        <w:t>ources of major</w:t>
      </w:r>
      <w:r w:rsidRPr="00CA1752" w:rsidR="008C752D">
        <w:rPr>
          <w:spacing w:val="1"/>
        </w:rPr>
        <w:t xml:space="preserve"> </w:t>
      </w:r>
      <w:r w:rsidRPr="00CA1752" w:rsidR="008C752D">
        <w:t>financial support (federal agencies, institutions, self-support, etc.)</w:t>
      </w:r>
    </w:p>
    <w:p w:rsidR="005F7C62" w:rsidRPr="004D185C" w:rsidP="004D185C" w14:paraId="1F6FD22B" w14:textId="77777777">
      <w:pPr>
        <w:pStyle w:val="ListBullet2"/>
      </w:pPr>
      <w:r w:rsidRPr="004D185C">
        <w:t>m</w:t>
      </w:r>
      <w:r w:rsidRPr="004D185C" w:rsidR="008C752D">
        <w:t>echanisms of major financial support (fellowships, teaching assistantships, etc.)</w:t>
      </w:r>
    </w:p>
    <w:p w:rsidR="005F7C62" w:rsidRPr="00CA1752" w:rsidP="004D185C" w14:paraId="1FDE85F4" w14:textId="2A043B79">
      <w:pPr>
        <w:pStyle w:val="ListBullet2"/>
      </w:pPr>
      <w:r>
        <w:t>sex</w:t>
      </w:r>
    </w:p>
    <w:p w:rsidR="005F7C62" w:rsidRPr="00CA1752" w:rsidP="004D185C" w14:paraId="36C59C4F" w14:textId="77777777">
      <w:pPr>
        <w:pStyle w:val="ListBullet2"/>
      </w:pPr>
      <w:r w:rsidRPr="00CA1752">
        <w:t>citizenship</w:t>
      </w:r>
    </w:p>
    <w:p w:rsidR="005F7C62" w:rsidRPr="00CA1752" w:rsidP="004D185C" w14:paraId="560A6527" w14:textId="7F6A560A">
      <w:pPr>
        <w:pStyle w:val="ListBullet2"/>
      </w:pPr>
      <w:r w:rsidRPr="00CA1752">
        <w:t>enrollment status (full-time or part-time; first</w:t>
      </w:r>
      <w:r w:rsidR="001E4FDD">
        <w:t>-</w:t>
      </w:r>
      <w:r w:rsidRPr="00CA1752">
        <w:t>time)</w:t>
      </w:r>
    </w:p>
    <w:p w:rsidR="005F7C62" w:rsidRPr="00CA1752" w:rsidP="004D185C" w14:paraId="67D77CEE" w14:textId="2D73A99B">
      <w:pPr>
        <w:pStyle w:val="ListBullet2"/>
      </w:pPr>
      <w:r w:rsidRPr="00CA1752">
        <w:t>race</w:t>
      </w:r>
      <w:r w:rsidR="00264D46">
        <w:t xml:space="preserve"> and </w:t>
      </w:r>
      <w:r w:rsidRPr="00CA1752">
        <w:t>ethnicity</w:t>
      </w:r>
      <w:r w:rsidRPr="00CA1752">
        <w:rPr>
          <w:spacing w:val="-5"/>
        </w:rPr>
        <w:t xml:space="preserve"> </w:t>
      </w:r>
      <w:r w:rsidRPr="00CA1752">
        <w:t>background of U.S. citizens</w:t>
      </w:r>
    </w:p>
    <w:p w:rsidR="005F7C62" w:rsidRPr="00EB2637" w:rsidP="00EB2637" w14:paraId="50E0A8A7" w14:textId="77777777">
      <w:pPr>
        <w:pStyle w:val="ListBullet"/>
      </w:pPr>
      <w:r w:rsidRPr="00EB2637">
        <w:t xml:space="preserve">For part-time </w:t>
      </w:r>
      <w:r w:rsidRPr="00EB2637" w:rsidR="00EE70A9">
        <w:t xml:space="preserve">master’s and doctorate </w:t>
      </w:r>
      <w:r w:rsidRPr="00EB2637" w:rsidR="00BA4CB9">
        <w:t>students,</w:t>
      </w:r>
      <w:r w:rsidRPr="00EB2637">
        <w:t xml:space="preserve"> aggregate counts by</w:t>
      </w:r>
    </w:p>
    <w:p w:rsidR="005F7C62" w:rsidRPr="00CA1752" w:rsidP="004D185C" w14:paraId="55B2E19D" w14:textId="493E6F68">
      <w:pPr>
        <w:pStyle w:val="ListBullet2"/>
      </w:pPr>
      <w:r>
        <w:t>sex</w:t>
      </w:r>
    </w:p>
    <w:p w:rsidR="005F7C62" w:rsidRPr="00CA1752" w:rsidP="004D185C" w14:paraId="4A8620CC" w14:textId="77777777">
      <w:pPr>
        <w:pStyle w:val="ListBullet2"/>
      </w:pPr>
      <w:r w:rsidRPr="00CA1752">
        <w:t>citizenship</w:t>
      </w:r>
    </w:p>
    <w:p w:rsidR="005F7C62" w:rsidRPr="00CA1752" w:rsidP="004D185C" w14:paraId="16A50702" w14:textId="7B44C949">
      <w:pPr>
        <w:pStyle w:val="ListBullet2"/>
      </w:pPr>
      <w:r w:rsidRPr="00CA1752">
        <w:t>race</w:t>
      </w:r>
      <w:r w:rsidR="00264D46">
        <w:t xml:space="preserve"> and </w:t>
      </w:r>
      <w:r w:rsidRPr="00CA1752">
        <w:t>ethnicity</w:t>
      </w:r>
      <w:r w:rsidRPr="00CA1752">
        <w:rPr>
          <w:spacing w:val="-5"/>
        </w:rPr>
        <w:t xml:space="preserve"> </w:t>
      </w:r>
      <w:r w:rsidRPr="00CA1752">
        <w:t>background of U.S. citizens</w:t>
      </w:r>
    </w:p>
    <w:p w:rsidR="005F7C62" w:rsidRPr="00EB2637" w:rsidP="00EB2637" w14:paraId="540A837C" w14:textId="77777777">
      <w:pPr>
        <w:pStyle w:val="ListBullet"/>
      </w:pPr>
      <w:r w:rsidRPr="00EB2637">
        <w:t>For postdocs, aggregate counts by</w:t>
      </w:r>
    </w:p>
    <w:p w:rsidR="005F7C62" w:rsidRPr="00CA1752" w:rsidP="004D185C" w14:paraId="326308E2" w14:textId="77777777">
      <w:pPr>
        <w:pStyle w:val="ListBullet2"/>
      </w:pPr>
      <w:r w:rsidRPr="00CA1752">
        <w:rPr>
          <w:spacing w:val="-1"/>
        </w:rPr>
        <w:t>sources</w:t>
      </w:r>
      <w:r w:rsidRPr="00CA1752">
        <w:t xml:space="preserve"> of</w:t>
      </w:r>
      <w:r w:rsidRPr="00CA1752">
        <w:rPr>
          <w:spacing w:val="-1"/>
        </w:rPr>
        <w:t xml:space="preserve"> </w:t>
      </w:r>
      <w:r w:rsidRPr="00CA1752">
        <w:t>major</w:t>
      </w:r>
      <w:r w:rsidRPr="00CA1752">
        <w:rPr>
          <w:spacing w:val="-1"/>
        </w:rPr>
        <w:t xml:space="preserve"> </w:t>
      </w:r>
      <w:r w:rsidRPr="00CA1752">
        <w:t xml:space="preserve">financial </w:t>
      </w:r>
      <w:r w:rsidRPr="00CA1752">
        <w:rPr>
          <w:spacing w:val="-1"/>
        </w:rPr>
        <w:t>support</w:t>
      </w:r>
    </w:p>
    <w:p w:rsidR="005F7C62" w:rsidRPr="00CA1752" w:rsidP="004D185C" w14:paraId="1C58A1F7" w14:textId="77777777">
      <w:pPr>
        <w:pStyle w:val="ListBullet2"/>
      </w:pPr>
      <w:r>
        <w:t>m</w:t>
      </w:r>
      <w:r w:rsidRPr="00CA1752" w:rsidR="008C752D">
        <w:t>echanism of major financial support</w:t>
      </w:r>
    </w:p>
    <w:p w:rsidR="005F7C62" w:rsidRPr="00CA1752" w:rsidP="004D185C" w14:paraId="0F4A4EBC" w14:textId="18EAF3ED">
      <w:pPr>
        <w:pStyle w:val="ListBullet2"/>
      </w:pPr>
      <w:r>
        <w:t>sex</w:t>
      </w:r>
    </w:p>
    <w:p w:rsidR="005F7C62" w:rsidRPr="00CA1752" w:rsidP="004D185C" w14:paraId="30BB3925" w14:textId="77777777">
      <w:pPr>
        <w:pStyle w:val="ListBullet2"/>
      </w:pPr>
      <w:r w:rsidRPr="00CA1752">
        <w:t>citizenship</w:t>
      </w:r>
    </w:p>
    <w:p w:rsidR="005F7C62" w:rsidRPr="00CA1752" w:rsidP="004D185C" w14:paraId="198C18C9" w14:textId="77777777">
      <w:pPr>
        <w:pStyle w:val="ListBullet2"/>
      </w:pPr>
      <w:r w:rsidRPr="00CA1752">
        <w:t>type of doctoral degree</w:t>
      </w:r>
    </w:p>
    <w:p w:rsidR="005F7C62" w:rsidRPr="00CA1752" w:rsidP="004D185C" w14:paraId="2E9F906A" w14:textId="77777777">
      <w:pPr>
        <w:pStyle w:val="ListBullet2"/>
      </w:pPr>
      <w:r w:rsidRPr="00CA1752">
        <w:t>doctoral degree origin</w:t>
      </w:r>
    </w:p>
    <w:p w:rsidR="005F7C62" w:rsidRPr="00CA1752" w:rsidP="00EB2637" w14:paraId="3A741198" w14:textId="77777777">
      <w:pPr>
        <w:pStyle w:val="ListBullet"/>
      </w:pPr>
      <w:r w:rsidRPr="00CA1752">
        <w:t xml:space="preserve">For NFRs, aggregate counts </w:t>
      </w:r>
      <w:r w:rsidRPr="00CA1752">
        <w:rPr>
          <w:spacing w:val="1"/>
        </w:rPr>
        <w:t>by</w:t>
      </w:r>
    </w:p>
    <w:p w:rsidR="005F7C62" w:rsidRPr="00CA1752" w:rsidP="004D185C" w14:paraId="11D3BAF4" w14:textId="089C8F10">
      <w:pPr>
        <w:pStyle w:val="ListBullet2"/>
      </w:pPr>
      <w:r>
        <w:t>sex</w:t>
      </w:r>
    </w:p>
    <w:p w:rsidR="005F7C62" w:rsidRPr="00CA1752" w:rsidP="004D185C" w14:paraId="02B7E81A" w14:textId="77777777">
      <w:pPr>
        <w:pStyle w:val="ListBullet2"/>
      </w:pPr>
      <w:r w:rsidRPr="00CA1752">
        <w:t>type of doctoral degree</w:t>
      </w:r>
    </w:p>
    <w:p w:rsidR="005F7C62" w:rsidRPr="004D185C" w:rsidP="004D185C" w14:paraId="644FEF88" w14:textId="0B48E038">
      <w:pPr>
        <w:pStyle w:val="BodyTextSpaceAfter"/>
        <w:spacing w:before="240"/>
      </w:pPr>
      <w:r w:rsidRPr="004D185C">
        <w:t>Because the data are collected from all eligible institutions with graduate SEH departments, data are available at the detailed field of study by institutional characteristics, such as highest degree granted, geographical location, type of control (public or private), or any other special grouping (medical schools, historically black colleges and universities, land-grant</w:t>
      </w:r>
      <w:r w:rsidRPr="004D185C" w:rsidR="0051759E">
        <w:t xml:space="preserve"> </w:t>
      </w:r>
      <w:r w:rsidRPr="004D185C">
        <w:t>institutions, etc.) as well as by rankings on various characteristics (foreign enrollment, minority enrollment, field-specific enrollment, etc.)</w:t>
      </w:r>
      <w:r w:rsidR="001E4FDD">
        <w:t>.</w:t>
      </w:r>
    </w:p>
    <w:p w:rsidR="005F7C62" w:rsidRPr="00CA1752" w:rsidP="003A5408" w14:paraId="69A51630" w14:textId="44430067">
      <w:pPr>
        <w:pStyle w:val="BodyText"/>
      </w:pPr>
      <w:r w:rsidRPr="00CA1752">
        <w:t>Some graduate enrollment data are</w:t>
      </w:r>
      <w:r w:rsidRPr="00CA1752">
        <w:rPr>
          <w:spacing w:val="1"/>
        </w:rPr>
        <w:t xml:space="preserve"> </w:t>
      </w:r>
      <w:r w:rsidRPr="00CA1752">
        <w:t xml:space="preserve">collected </w:t>
      </w:r>
      <w:r w:rsidRPr="00CA1752">
        <w:rPr>
          <w:spacing w:val="2"/>
        </w:rPr>
        <w:t>by</w:t>
      </w:r>
      <w:r w:rsidRPr="00CA1752">
        <w:rPr>
          <w:spacing w:val="-5"/>
        </w:rPr>
        <w:t xml:space="preserve"> </w:t>
      </w:r>
      <w:r w:rsidRPr="00CA1752">
        <w:t>other organizations, either</w:t>
      </w:r>
      <w:r w:rsidRPr="00CA1752">
        <w:rPr>
          <w:spacing w:val="1"/>
        </w:rPr>
        <w:t xml:space="preserve"> </w:t>
      </w:r>
      <w:r w:rsidRPr="00CA1752">
        <w:t>federal o</w:t>
      </w:r>
      <w:r w:rsidR="00AA7CF0">
        <w:t>r private</w:t>
      </w:r>
      <w:r w:rsidRPr="00CA1752">
        <w:t>, but none of the other data collection efforts</w:t>
      </w:r>
      <w:r w:rsidR="004A7A6A">
        <w:t xml:space="preserve"> both</w:t>
      </w:r>
      <w:r w:rsidRPr="00CA1752">
        <w:t xml:space="preserve"> contain the detailed field distribution that</w:t>
      </w:r>
      <w:r w:rsidR="00AA7CF0">
        <w:t xml:space="preserve"> is required</w:t>
      </w:r>
      <w:r w:rsidRPr="00CA1752">
        <w:t xml:space="preserve"> for analyses and</w:t>
      </w:r>
      <w:r w:rsidRPr="00CA1752">
        <w:rPr>
          <w:spacing w:val="2"/>
        </w:rPr>
        <w:t xml:space="preserve"> </w:t>
      </w:r>
      <w:r w:rsidRPr="00CA1752">
        <w:t>provide the necessary</w:t>
      </w:r>
      <w:r w:rsidRPr="00CA1752">
        <w:rPr>
          <w:spacing w:val="-5"/>
        </w:rPr>
        <w:t xml:space="preserve"> </w:t>
      </w:r>
      <w:r w:rsidRPr="00CA1752">
        <w:t xml:space="preserve">data for </w:t>
      </w:r>
      <w:r w:rsidR="00616BF7">
        <w:t>NCSES</w:t>
      </w:r>
      <w:r w:rsidRPr="00CA1752" w:rsidR="00616BF7">
        <w:rPr>
          <w:spacing w:val="-2"/>
        </w:rPr>
        <w:t xml:space="preserve"> </w:t>
      </w:r>
      <w:r w:rsidRPr="00CA1752">
        <w:t xml:space="preserve">and </w:t>
      </w:r>
      <w:r w:rsidR="001E4FDD">
        <w:t xml:space="preserve">the </w:t>
      </w:r>
      <w:r w:rsidRPr="00CA1752">
        <w:t>NIH.</w:t>
      </w:r>
      <w:r w:rsidRPr="00CA1752">
        <w:rPr>
          <w:spacing w:val="2"/>
        </w:rPr>
        <w:t xml:space="preserve"> </w:t>
      </w:r>
      <w:r w:rsidRPr="00CA1752">
        <w:t>IPEDS, for example,</w:t>
      </w:r>
      <w:r w:rsidRPr="00CA1752">
        <w:rPr>
          <w:spacing w:val="2"/>
        </w:rPr>
        <w:t xml:space="preserve"> </w:t>
      </w:r>
      <w:r w:rsidRPr="00CA1752">
        <w:t>collects race and</w:t>
      </w:r>
      <w:r w:rsidRPr="00CA1752">
        <w:rPr>
          <w:spacing w:val="2"/>
        </w:rPr>
        <w:t xml:space="preserve"> </w:t>
      </w:r>
      <w:r w:rsidRPr="00CA1752">
        <w:t>ethnicity</w:t>
      </w:r>
      <w:r w:rsidRPr="00CA1752">
        <w:rPr>
          <w:spacing w:val="-3"/>
        </w:rPr>
        <w:t xml:space="preserve"> </w:t>
      </w:r>
      <w:r w:rsidRPr="00CA1752">
        <w:t>data every</w:t>
      </w:r>
      <w:r w:rsidRPr="00CA1752">
        <w:rPr>
          <w:spacing w:val="-5"/>
        </w:rPr>
        <w:t xml:space="preserve"> </w:t>
      </w:r>
      <w:r w:rsidR="001E4FDD">
        <w:t>two</w:t>
      </w:r>
      <w:r w:rsidRPr="00CA1752" w:rsidR="001E4FDD">
        <w:rPr>
          <w:spacing w:val="4"/>
        </w:rPr>
        <w:t xml:space="preserve"> </w:t>
      </w:r>
      <w:r w:rsidRPr="00CA1752">
        <w:rPr>
          <w:spacing w:val="-2"/>
        </w:rPr>
        <w:t>years</w:t>
      </w:r>
      <w:r w:rsidRPr="00CA1752">
        <w:t xml:space="preserve"> for </w:t>
      </w:r>
      <w:r w:rsidRPr="00CA1752" w:rsidR="00AA1470">
        <w:t xml:space="preserve">only </w:t>
      </w:r>
      <w:r w:rsidRPr="00CA1752">
        <w:t>nine select</w:t>
      </w:r>
      <w:r w:rsidR="00AA7CF0">
        <w:t xml:space="preserve"> </w:t>
      </w:r>
      <w:r w:rsidRPr="00CA1752">
        <w:t>fields</w:t>
      </w:r>
      <w:r w:rsidR="004A7A6A">
        <w:t xml:space="preserve"> of study</w:t>
      </w:r>
      <w:r w:rsidRPr="00CA1752" w:rsidR="00AA1470">
        <w:t xml:space="preserve"> (</w:t>
      </w:r>
      <w:r w:rsidRPr="00CA1752">
        <w:t>of which four are</w:t>
      </w:r>
      <w:r w:rsidRPr="00CA1752">
        <w:rPr>
          <w:spacing w:val="1"/>
        </w:rPr>
        <w:t xml:space="preserve"> </w:t>
      </w:r>
      <w:r w:rsidRPr="00CA1752">
        <w:t xml:space="preserve">within the </w:t>
      </w:r>
      <w:r w:rsidR="00616BF7">
        <w:t>NCSES</w:t>
      </w:r>
      <w:r w:rsidRPr="00CA1752" w:rsidR="00616BF7">
        <w:rPr>
          <w:spacing w:val="-2"/>
        </w:rPr>
        <w:t xml:space="preserve"> </w:t>
      </w:r>
      <w:r w:rsidRPr="00CA1752">
        <w:t>definition of science and engineering</w:t>
      </w:r>
      <w:r w:rsidRPr="00CA1752" w:rsidR="00AA1470">
        <w:t xml:space="preserve"> but are</w:t>
      </w:r>
      <w:r w:rsidRPr="00AA7CF0" w:rsidR="00222F3C">
        <w:t xml:space="preserve"> </w:t>
      </w:r>
      <w:r w:rsidR="00222F3C">
        <w:t xml:space="preserve">at </w:t>
      </w:r>
      <w:r w:rsidR="009105BD">
        <w:t>a more</w:t>
      </w:r>
      <w:r w:rsidRPr="00AA7CF0" w:rsidR="00222F3C">
        <w:t xml:space="preserve"> </w:t>
      </w:r>
      <w:r w:rsidR="00222F3C">
        <w:t>general level</w:t>
      </w:r>
      <w:r w:rsidRPr="00CA1752">
        <w:t xml:space="preserve"> than is collected for </w:t>
      </w:r>
      <w:r w:rsidR="00616BF7">
        <w:t xml:space="preserve">the </w:t>
      </w:r>
      <w:r w:rsidRPr="00CA1752">
        <w:t>GSS). The</w:t>
      </w:r>
      <w:r w:rsidRPr="00CA1752">
        <w:rPr>
          <w:spacing w:val="3"/>
        </w:rPr>
        <w:t xml:space="preserve"> </w:t>
      </w:r>
      <w:r w:rsidRPr="00CA1752">
        <w:t>IPEDS annual fall enrollment</w:t>
      </w:r>
      <w:r w:rsidRPr="00CA1752">
        <w:rPr>
          <w:spacing w:val="2"/>
        </w:rPr>
        <w:t xml:space="preserve"> </w:t>
      </w:r>
      <w:r w:rsidRPr="00CA1752">
        <w:t xml:space="preserve">data collected </w:t>
      </w:r>
      <w:r w:rsidRPr="00CA1752">
        <w:rPr>
          <w:spacing w:val="2"/>
        </w:rPr>
        <w:t>by</w:t>
      </w:r>
      <w:r w:rsidRPr="00CA1752">
        <w:rPr>
          <w:spacing w:val="-3"/>
        </w:rPr>
        <w:t xml:space="preserve"> </w:t>
      </w:r>
      <w:r w:rsidRPr="00CA1752">
        <w:t>race</w:t>
      </w:r>
      <w:r w:rsidRPr="00AA7CF0" w:rsidR="00222F3C">
        <w:t xml:space="preserve"> </w:t>
      </w:r>
      <w:r w:rsidR="00222F3C">
        <w:t>and</w:t>
      </w:r>
      <w:r w:rsidRPr="00CA1752">
        <w:t xml:space="preserve"> ethnicity</w:t>
      </w:r>
      <w:r w:rsidRPr="00CA1752">
        <w:rPr>
          <w:spacing w:val="-3"/>
        </w:rPr>
        <w:t xml:space="preserve"> </w:t>
      </w:r>
      <w:r w:rsidRPr="00CA1752">
        <w:t>category</w:t>
      </w:r>
      <w:r w:rsidRPr="00CA1752">
        <w:rPr>
          <w:spacing w:val="-5"/>
        </w:rPr>
        <w:t xml:space="preserve"> </w:t>
      </w:r>
      <w:r w:rsidRPr="00CA1752">
        <w:t xml:space="preserve">are not reported </w:t>
      </w:r>
      <w:r w:rsidRPr="00CA1752">
        <w:rPr>
          <w:spacing w:val="2"/>
        </w:rPr>
        <w:t>by</w:t>
      </w:r>
      <w:r w:rsidRPr="00CA1752">
        <w:rPr>
          <w:spacing w:val="-5"/>
        </w:rPr>
        <w:t xml:space="preserve"> </w:t>
      </w:r>
      <w:r w:rsidRPr="00CA1752">
        <w:t>the field</w:t>
      </w:r>
      <w:r w:rsidR="00FD7C77">
        <w:t>,</w:t>
      </w:r>
      <w:r w:rsidRPr="00CA1752">
        <w:t xml:space="preserve"> and hence</w:t>
      </w:r>
      <w:r w:rsidR="00FD7C77">
        <w:t>, they</w:t>
      </w:r>
      <w:r w:rsidRPr="00CA1752">
        <w:t xml:space="preserve"> do not provide a viable substitut</w:t>
      </w:r>
      <w:r w:rsidR="001D398B">
        <w:t>e for</w:t>
      </w:r>
      <w:r w:rsidRPr="00CA1752">
        <w:t xml:space="preserve"> the race</w:t>
      </w:r>
      <w:r w:rsidRPr="00CA1752">
        <w:rPr>
          <w:spacing w:val="1"/>
        </w:rPr>
        <w:t xml:space="preserve"> </w:t>
      </w:r>
      <w:r w:rsidRPr="00CA1752">
        <w:t>and ethnicity</w:t>
      </w:r>
      <w:r w:rsidRPr="00CA1752">
        <w:rPr>
          <w:spacing w:val="-3"/>
        </w:rPr>
        <w:t xml:space="preserve"> </w:t>
      </w:r>
      <w:r w:rsidRPr="00CA1752">
        <w:t>data collected in the</w:t>
      </w:r>
      <w:r w:rsidRPr="00CA1752">
        <w:rPr>
          <w:spacing w:val="1"/>
        </w:rPr>
        <w:t xml:space="preserve"> </w:t>
      </w:r>
      <w:r w:rsidRPr="00CA1752">
        <w:t>GSS. No data are</w:t>
      </w:r>
      <w:r w:rsidRPr="00CA1752">
        <w:rPr>
          <w:spacing w:val="1"/>
        </w:rPr>
        <w:t xml:space="preserve"> </w:t>
      </w:r>
      <w:r w:rsidRPr="00CA1752">
        <w:t>collected</w:t>
      </w:r>
      <w:r w:rsidRPr="00CA1752">
        <w:rPr>
          <w:spacing w:val="2"/>
        </w:rPr>
        <w:t xml:space="preserve"> </w:t>
      </w:r>
      <w:r w:rsidR="00501058">
        <w:rPr>
          <w:spacing w:val="2"/>
        </w:rPr>
        <w:t xml:space="preserve">elsewhere </w:t>
      </w:r>
      <w:r w:rsidRPr="00CA1752">
        <w:t>on source of suppor</w:t>
      </w:r>
      <w:r w:rsidR="00AA7CF0">
        <w:t xml:space="preserve">t </w:t>
      </w:r>
      <w:r w:rsidR="00501058">
        <w:t>f</w:t>
      </w:r>
      <w:r w:rsidR="00AA7CF0">
        <w:t>or post</w:t>
      </w:r>
      <w:r w:rsidRPr="00CA1752">
        <w:t>docs</w:t>
      </w:r>
      <w:r w:rsidR="005B1256">
        <w:t>.</w:t>
      </w:r>
      <w:r w:rsidRPr="00CA1752">
        <w:t xml:space="preserve"> </w:t>
      </w:r>
    </w:p>
    <w:p w:rsidR="005F7C62" w:rsidP="008164C1" w14:paraId="7D5121D9" w14:textId="5E655B86">
      <w:pPr>
        <w:pStyle w:val="BodyText"/>
      </w:pPr>
      <w:r w:rsidRPr="00CA1752">
        <w:t>CGS conducts an annual survey</w:t>
      </w:r>
      <w:r w:rsidRPr="00CA1752">
        <w:rPr>
          <w:spacing w:val="-5"/>
        </w:rPr>
        <w:t xml:space="preserve"> </w:t>
      </w:r>
      <w:r w:rsidRPr="00CA1752">
        <w:t>of</w:t>
      </w:r>
      <w:r w:rsidRPr="00CA1752">
        <w:rPr>
          <w:spacing w:val="1"/>
        </w:rPr>
        <w:t xml:space="preserve"> </w:t>
      </w:r>
      <w:r w:rsidRPr="00CA1752">
        <w:t>graduate</w:t>
      </w:r>
      <w:r w:rsidRPr="00CA1752">
        <w:rPr>
          <w:spacing w:val="1"/>
        </w:rPr>
        <w:t xml:space="preserve"> </w:t>
      </w:r>
      <w:r w:rsidRPr="00CA1752">
        <w:t>enrollment in cooperation</w:t>
      </w:r>
      <w:r w:rsidRPr="00CA1752">
        <w:rPr>
          <w:spacing w:val="2"/>
        </w:rPr>
        <w:t xml:space="preserve"> </w:t>
      </w:r>
      <w:r w:rsidRPr="00CA1752">
        <w:t>with the</w:t>
      </w:r>
      <w:r w:rsidRPr="00CA1752">
        <w:rPr>
          <w:spacing w:val="73"/>
        </w:rPr>
        <w:t xml:space="preserve"> </w:t>
      </w:r>
      <w:r w:rsidRPr="00CA1752">
        <w:t xml:space="preserve">Graduate Record Examinations (GRE) Board, </w:t>
      </w:r>
      <w:r w:rsidR="00FD1A6C">
        <w:t xml:space="preserve">most recently </w:t>
      </w:r>
      <w:r w:rsidRPr="00CA1752">
        <w:t>surveying</w:t>
      </w:r>
      <w:r w:rsidRPr="00CA1752">
        <w:rPr>
          <w:spacing w:val="-3"/>
        </w:rPr>
        <w:t xml:space="preserve"> </w:t>
      </w:r>
      <w:r w:rsidR="005D61D2">
        <w:t>760</w:t>
      </w:r>
      <w:r w:rsidRPr="00CA1752" w:rsidR="005D61D2">
        <w:t xml:space="preserve"> </w:t>
      </w:r>
      <w:r w:rsidRPr="00CA1752">
        <w:t xml:space="preserve">institutions in </w:t>
      </w:r>
      <w:r w:rsidR="00B33501">
        <w:t>20</w:t>
      </w:r>
      <w:r w:rsidR="00FD1A6C">
        <w:t>2</w:t>
      </w:r>
      <w:r w:rsidR="005D61D2">
        <w:t>4</w:t>
      </w:r>
      <w:r w:rsidRPr="00CA1752" w:rsidR="00B33501">
        <w:t xml:space="preserve"> </w:t>
      </w:r>
      <w:r w:rsidRPr="00CA1752">
        <w:t>that were</w:t>
      </w:r>
      <w:r w:rsidR="0053723C">
        <w:rPr>
          <w:spacing w:val="67"/>
        </w:rPr>
        <w:t xml:space="preserve"> </w:t>
      </w:r>
      <w:r w:rsidRPr="00CA1752">
        <w:t>members of the CGS or</w:t>
      </w:r>
      <w:r w:rsidRPr="00CA1752">
        <w:rPr>
          <w:spacing w:val="1"/>
        </w:rPr>
        <w:t xml:space="preserve"> </w:t>
      </w:r>
      <w:r w:rsidRPr="00CA1752">
        <w:t>one of the four regional</w:t>
      </w:r>
      <w:r w:rsidRPr="00CA1752">
        <w:rPr>
          <w:spacing w:val="2"/>
        </w:rPr>
        <w:t xml:space="preserve"> </w:t>
      </w:r>
      <w:r w:rsidRPr="00CA1752">
        <w:t xml:space="preserve">graduate school </w:t>
      </w:r>
      <w:r w:rsidRPr="00CA1752" w:rsidR="006F7B2F">
        <w:t xml:space="preserve">associations, </w:t>
      </w:r>
      <w:r w:rsidRPr="00CA1752">
        <w:t>the Conference of</w:t>
      </w:r>
      <w:r w:rsidR="00144811">
        <w:t xml:space="preserve"> </w:t>
      </w:r>
      <w:r w:rsidRPr="00CA1752">
        <w:t>Southern Graduate Schools, the Midwestern Association of Gr</w:t>
      </w:r>
      <w:r w:rsidRPr="00CA1752" w:rsidR="001F48E3">
        <w:t>aduate Schools, the Northeastern A</w:t>
      </w:r>
      <w:r w:rsidRPr="00CA1752">
        <w:t>ssociation of Graduate</w:t>
      </w:r>
      <w:r w:rsidRPr="00CA1752">
        <w:rPr>
          <w:spacing w:val="1"/>
        </w:rPr>
        <w:t xml:space="preserve"> </w:t>
      </w:r>
      <w:r w:rsidRPr="00CA1752">
        <w:t>Schools, and the Western Association of Graduate</w:t>
      </w:r>
      <w:r w:rsidRPr="00CA1752">
        <w:rPr>
          <w:spacing w:val="1"/>
        </w:rPr>
        <w:t xml:space="preserve"> </w:t>
      </w:r>
      <w:r w:rsidRPr="00CA1752" w:rsidR="001F48E3">
        <w:t>Schools. The survey h</w:t>
      </w:r>
      <w:r w:rsidRPr="00CA1752">
        <w:t xml:space="preserve">ad a response rate of </w:t>
      </w:r>
      <w:r w:rsidR="002D098D">
        <w:t>7</w:t>
      </w:r>
      <w:r w:rsidR="005D61D2">
        <w:t>1</w:t>
      </w:r>
      <w:r w:rsidRPr="00CA1752">
        <w:t xml:space="preserve">%, with </w:t>
      </w:r>
      <w:r w:rsidR="002D098D">
        <w:t>5</w:t>
      </w:r>
      <w:r w:rsidR="005D61D2">
        <w:t>36</w:t>
      </w:r>
      <w:r w:rsidRPr="00CA1752" w:rsidR="002D098D">
        <w:t xml:space="preserve"> </w:t>
      </w:r>
      <w:r w:rsidRPr="00CA1752">
        <w:t>schools responding. The survey</w:t>
      </w:r>
      <w:r w:rsidRPr="00CA1752">
        <w:rPr>
          <w:spacing w:val="-5"/>
        </w:rPr>
        <w:t xml:space="preserve"> </w:t>
      </w:r>
      <w:r w:rsidRPr="00CA1752">
        <w:t xml:space="preserve">collects data </w:t>
      </w:r>
      <w:r w:rsidRPr="00CA1752">
        <w:rPr>
          <w:spacing w:val="2"/>
        </w:rPr>
        <w:t>by</w:t>
      </w:r>
      <w:r w:rsidR="005D61D2">
        <w:rPr>
          <w:spacing w:val="2"/>
        </w:rPr>
        <w:t xml:space="preserve"> 11 broad fields and </w:t>
      </w:r>
      <w:r w:rsidRPr="00CA1752" w:rsidR="007E6373">
        <w:t xml:space="preserve">51 </w:t>
      </w:r>
      <w:r w:rsidRPr="00CA1752">
        <w:t>fine fields of study</w:t>
      </w:r>
      <w:r w:rsidRPr="00CA1752">
        <w:rPr>
          <w:spacing w:val="-5"/>
        </w:rPr>
        <w:t xml:space="preserve"> </w:t>
      </w:r>
      <w:r w:rsidRPr="00CA1752">
        <w:t>using the GRE discipline codes</w:t>
      </w:r>
      <w:r w:rsidRPr="00CA1752">
        <w:rPr>
          <w:spacing w:val="2"/>
        </w:rPr>
        <w:t xml:space="preserve"> </w:t>
      </w:r>
      <w:r w:rsidRPr="00CA1752">
        <w:t>as its taxonomy, type of</w:t>
      </w:r>
      <w:r w:rsidRPr="00CA1752">
        <w:rPr>
          <w:spacing w:val="1"/>
        </w:rPr>
        <w:t xml:space="preserve"> </w:t>
      </w:r>
      <w:r w:rsidRPr="00CA1752" w:rsidR="001F48E3">
        <w:t>institutional control, a</w:t>
      </w:r>
      <w:r w:rsidRPr="00CA1752">
        <w:t xml:space="preserve">nd highest level of degree offered, but has no data on source </w:t>
      </w:r>
      <w:r w:rsidRPr="00CA1752">
        <w:rPr>
          <w:spacing w:val="1"/>
        </w:rPr>
        <w:t>of</w:t>
      </w:r>
      <w:r w:rsidRPr="00CA1752">
        <w:t xml:space="preserve"> financial support.</w:t>
      </w:r>
      <w:r w:rsidRPr="00CA1752">
        <w:rPr>
          <w:spacing w:val="2"/>
        </w:rPr>
        <w:t xml:space="preserve"> </w:t>
      </w:r>
      <w:r w:rsidR="00501058">
        <w:rPr>
          <w:spacing w:val="-3"/>
        </w:rPr>
        <w:t>CGS</w:t>
      </w:r>
      <w:r w:rsidRPr="00CA1752" w:rsidR="00501058">
        <w:rPr>
          <w:spacing w:val="2"/>
        </w:rPr>
        <w:t xml:space="preserve"> </w:t>
      </w:r>
      <w:r w:rsidRPr="00CA1752" w:rsidR="001F48E3">
        <w:t xml:space="preserve">also collects </w:t>
      </w:r>
      <w:r w:rsidRPr="00CA1752">
        <w:t>information on postbaccalaureate</w:t>
      </w:r>
      <w:r w:rsidRPr="00CA1752">
        <w:rPr>
          <w:spacing w:val="1"/>
        </w:rPr>
        <w:t xml:space="preserve"> </w:t>
      </w:r>
      <w:r w:rsidRPr="00CA1752">
        <w:t>and post-master’s certifica</w:t>
      </w:r>
      <w:r w:rsidRPr="00CA1752" w:rsidR="001F48E3">
        <w:t xml:space="preserve">tes and applications to graduate </w:t>
      </w:r>
      <w:r w:rsidRPr="00CA1752">
        <w:t>schools. Only</w:t>
      </w:r>
      <w:r w:rsidRPr="00CA1752">
        <w:rPr>
          <w:spacing w:val="-5"/>
        </w:rPr>
        <w:t xml:space="preserve"> </w:t>
      </w:r>
      <w:r w:rsidRPr="00CA1752">
        <w:t>the GSS maintains detailed data</w:t>
      </w:r>
      <w:r w:rsidRPr="00CA1752">
        <w:rPr>
          <w:spacing w:val="1"/>
        </w:rPr>
        <w:t xml:space="preserve"> </w:t>
      </w:r>
      <w:r w:rsidRPr="00CA1752">
        <w:t xml:space="preserve">grouped </w:t>
      </w:r>
      <w:r w:rsidRPr="00BB5659">
        <w:t xml:space="preserve">into </w:t>
      </w:r>
      <w:r w:rsidRPr="00BB5659" w:rsidR="00BB5659">
        <w:t>21 broad and 108</w:t>
      </w:r>
      <w:r w:rsidRPr="00BB5659" w:rsidR="002D098D">
        <w:t xml:space="preserve"> </w:t>
      </w:r>
      <w:r w:rsidRPr="00BB5659">
        <w:t>fine fields</w:t>
      </w:r>
      <w:r w:rsidRPr="00CA1752">
        <w:t xml:space="preserve"> of study</w:t>
      </w:r>
      <w:r w:rsidRPr="00CA1752">
        <w:rPr>
          <w:spacing w:val="-5"/>
        </w:rPr>
        <w:t xml:space="preserve"> </w:t>
      </w:r>
      <w:r w:rsidRPr="00CA1752">
        <w:t>o</w:t>
      </w:r>
      <w:r w:rsidRPr="00CA1752" w:rsidR="001F48E3">
        <w:t>n a</w:t>
      </w:r>
      <w:r w:rsidRPr="00CA1752">
        <w:t>ll SEH degree</w:t>
      </w:r>
      <w:r w:rsidRPr="00CA1752">
        <w:rPr>
          <w:spacing w:val="1"/>
        </w:rPr>
        <w:t xml:space="preserve"> </w:t>
      </w:r>
      <w:r w:rsidRPr="00CA1752">
        <w:t>field</w:t>
      </w:r>
      <w:r w:rsidRPr="00CA1752" w:rsidR="000B3961">
        <w:t>s</w:t>
      </w:r>
      <w:r w:rsidRPr="00CA1752">
        <w:t xml:space="preserve"> at all eligible institutions and institution-provided data on source of</w:t>
      </w:r>
      <w:r w:rsidRPr="00CA1752">
        <w:rPr>
          <w:spacing w:val="1"/>
        </w:rPr>
        <w:t xml:space="preserve"> </w:t>
      </w:r>
      <w:r w:rsidRPr="00CA1752">
        <w:t>financia</w:t>
      </w:r>
      <w:r w:rsidRPr="00CA1752" w:rsidR="001F48E3">
        <w:t>l s</w:t>
      </w:r>
      <w:r w:rsidRPr="00CA1752">
        <w:t>upport.</w:t>
      </w:r>
      <w:r w:rsidR="00334AC7">
        <w:t xml:space="preserve"> Additionally, GSS utilizes imputation to address missing data from respondents, while CGS does not employ these techniques.</w:t>
      </w:r>
    </w:p>
    <w:p w:rsidR="003C2D97" w:rsidRPr="00CA1752" w:rsidP="008164C1" w14:paraId="06E39FE1" w14:textId="6A1AC8C0">
      <w:pPr>
        <w:pStyle w:val="BodyText"/>
      </w:pPr>
      <w:r>
        <w:t xml:space="preserve">The National Student Clearinghouse (NSC) collects enrollment data on undergraduate and graduate students, including demographics and field of study. However, the data collection was originally intended to assist institutions of higher education for compliance with federal financial aid requirements (ensuring that students receiving federal financial aid were appropriately enrolled in higher education degree programs) and to verify when students were no longer enrolled so they could be placed into loan repayment plans. NSC does not produce a public-use data file, nor does it release enrollment data by institution. NCSES undertook a methodological study to compare the nature and quality of NSC data to GSS. The 2025 report (Attachment </w:t>
      </w:r>
      <w:r w:rsidR="00EC7D0B">
        <w:t>6a</w:t>
      </w:r>
      <w:r w:rsidR="00247D96">
        <w:t xml:space="preserve"> and 6b</w:t>
      </w:r>
      <w:r w:rsidR="00EC7D0B">
        <w:t xml:space="preserve">) noted that while NSC and GSS coverage of institutions of higher education are similar, NSC data had more missingness among demographic variables, included many non-research doctorates (e.g. Doctor of Education or other practitioner-oriented degrees), and appeared to miss a portion of the foreign doctoral population. </w:t>
      </w:r>
    </w:p>
    <w:p w:rsidR="001E4FDD" w:rsidP="008164C1" w14:paraId="240FF898" w14:textId="77777777">
      <w:pPr>
        <w:pStyle w:val="BodyText"/>
      </w:pPr>
      <w:r w:rsidRPr="00CA1752">
        <w:t>A number of surveys are</w:t>
      </w:r>
      <w:r w:rsidRPr="00CA1752">
        <w:rPr>
          <w:spacing w:val="1"/>
        </w:rPr>
        <w:t xml:space="preserve"> </w:t>
      </w:r>
      <w:r w:rsidRPr="00CA1752">
        <w:t xml:space="preserve">conducted </w:t>
      </w:r>
      <w:r w:rsidRPr="00CA1752">
        <w:rPr>
          <w:spacing w:val="2"/>
        </w:rPr>
        <w:t>by</w:t>
      </w:r>
      <w:r w:rsidRPr="00CA1752">
        <w:rPr>
          <w:spacing w:val="-5"/>
        </w:rPr>
        <w:t xml:space="preserve"> </w:t>
      </w:r>
      <w:r w:rsidRPr="00CA1752">
        <w:t xml:space="preserve">other professional societies or </w:t>
      </w:r>
      <w:r w:rsidRPr="00CA1752">
        <w:rPr>
          <w:spacing w:val="1"/>
        </w:rPr>
        <w:t>by</w:t>
      </w:r>
      <w:r w:rsidRPr="00CA1752">
        <w:rPr>
          <w:spacing w:val="-3"/>
        </w:rPr>
        <w:t xml:space="preserve"> </w:t>
      </w:r>
      <w:r w:rsidRPr="00CA1752">
        <w:t>groups of</w:t>
      </w:r>
      <w:r w:rsidRPr="00CA1752">
        <w:rPr>
          <w:spacing w:val="56"/>
        </w:rPr>
        <w:t xml:space="preserve"> </w:t>
      </w:r>
      <w:r w:rsidRPr="00CA1752" w:rsidR="008737B8">
        <w:t>institutions and</w:t>
      </w:r>
      <w:r w:rsidRPr="00CA1752">
        <w:t xml:space="preserve"> are limited to a single</w:t>
      </w:r>
      <w:r w:rsidRPr="00CA1752">
        <w:rPr>
          <w:spacing w:val="1"/>
        </w:rPr>
        <w:t xml:space="preserve"> </w:t>
      </w:r>
      <w:r w:rsidRPr="00CA1752">
        <w:t>field or</w:t>
      </w:r>
      <w:r w:rsidRPr="00CA1752">
        <w:rPr>
          <w:spacing w:val="1"/>
        </w:rPr>
        <w:t xml:space="preserve"> </w:t>
      </w:r>
      <w:r w:rsidRPr="00CA1752">
        <w:t>group of related</w:t>
      </w:r>
      <w:r w:rsidRPr="00CA1752">
        <w:rPr>
          <w:spacing w:val="2"/>
        </w:rPr>
        <w:t xml:space="preserve"> </w:t>
      </w:r>
      <w:r w:rsidRPr="00CA1752">
        <w:t>fields or to institutions that are</w:t>
      </w:r>
      <w:r w:rsidRPr="00CA1752">
        <w:rPr>
          <w:spacing w:val="55"/>
        </w:rPr>
        <w:t xml:space="preserve"> </w:t>
      </w:r>
      <w:r w:rsidRPr="00CA1752">
        <w:t xml:space="preserve">members of the organization. These surveys </w:t>
      </w:r>
      <w:r w:rsidRPr="00CA1752">
        <w:rPr>
          <w:spacing w:val="1"/>
        </w:rPr>
        <w:t>may</w:t>
      </w:r>
      <w:r w:rsidRPr="00CA1752">
        <w:rPr>
          <w:spacing w:val="-3"/>
        </w:rPr>
        <w:t xml:space="preserve"> </w:t>
      </w:r>
      <w:r w:rsidRPr="00CA1752">
        <w:t>collect far more detailed data on the fields of</w:t>
      </w:r>
      <w:r w:rsidRPr="00CA1752">
        <w:rPr>
          <w:spacing w:val="59"/>
        </w:rPr>
        <w:t xml:space="preserve"> </w:t>
      </w:r>
      <w:r w:rsidRPr="00CA1752">
        <w:t>interest to the organization conducting</w:t>
      </w:r>
      <w:r w:rsidRPr="00CA1752">
        <w:rPr>
          <w:spacing w:val="-3"/>
        </w:rPr>
        <w:t xml:space="preserve"> </w:t>
      </w:r>
      <w:r w:rsidRPr="00CA1752">
        <w:t xml:space="preserve">the </w:t>
      </w:r>
      <w:r w:rsidRPr="00CA1752" w:rsidR="001670EC">
        <w:t>survey and</w:t>
      </w:r>
      <w:r w:rsidRPr="00CA1752">
        <w:t xml:space="preserve"> </w:t>
      </w:r>
      <w:r w:rsidRPr="00CA1752">
        <w:rPr>
          <w:spacing w:val="1"/>
        </w:rPr>
        <w:t>may</w:t>
      </w:r>
      <w:r w:rsidRPr="00CA1752">
        <w:rPr>
          <w:spacing w:val="-5"/>
        </w:rPr>
        <w:t xml:space="preserve"> </w:t>
      </w:r>
      <w:r w:rsidRPr="00CA1752">
        <w:t>even</w:t>
      </w:r>
      <w:r w:rsidRPr="00CA1752">
        <w:rPr>
          <w:spacing w:val="2"/>
        </w:rPr>
        <w:t xml:space="preserve"> </w:t>
      </w:r>
      <w:r w:rsidRPr="00CA1752">
        <w:t>collect data on topics not</w:t>
      </w:r>
      <w:r w:rsidRPr="00CA1752">
        <w:rPr>
          <w:spacing w:val="85"/>
        </w:rPr>
        <w:t xml:space="preserve"> </w:t>
      </w:r>
      <w:r w:rsidRPr="00CA1752">
        <w:t xml:space="preserve">covered </w:t>
      </w:r>
      <w:r w:rsidRPr="00CA1752">
        <w:rPr>
          <w:spacing w:val="2"/>
        </w:rPr>
        <w:t>by</w:t>
      </w:r>
      <w:r w:rsidRPr="00CA1752">
        <w:rPr>
          <w:spacing w:val="-5"/>
        </w:rPr>
        <w:t xml:space="preserve"> </w:t>
      </w:r>
      <w:r w:rsidRPr="00CA1752">
        <w:t>the GSS (e.g., on undergraduate enrollment), but they</w:t>
      </w:r>
      <w:r w:rsidRPr="00CA1752">
        <w:rPr>
          <w:spacing w:val="-5"/>
        </w:rPr>
        <w:t xml:space="preserve"> </w:t>
      </w:r>
      <w:r w:rsidRPr="00CA1752">
        <w:t>do not provide compatible data</w:t>
      </w:r>
      <w:r w:rsidRPr="00CA1752" w:rsidR="004829CE">
        <w:t xml:space="preserve"> </w:t>
      </w:r>
      <w:r w:rsidRPr="00CA1752">
        <w:t>on all SEH fields, nor do they</w:t>
      </w:r>
      <w:r w:rsidRPr="00CA1752">
        <w:rPr>
          <w:spacing w:val="-5"/>
        </w:rPr>
        <w:t xml:space="preserve"> </w:t>
      </w:r>
      <w:r w:rsidRPr="00CA1752">
        <w:t>often address the issue of sources</w:t>
      </w:r>
      <w:r w:rsidR="005316B5">
        <w:t xml:space="preserve"> and mechanisms</w:t>
      </w:r>
      <w:r w:rsidRPr="00CA1752">
        <w:t xml:space="preserve"> </w:t>
      </w:r>
      <w:r w:rsidRPr="00CA1752">
        <w:rPr>
          <w:spacing w:val="1"/>
        </w:rPr>
        <w:t>of</w:t>
      </w:r>
      <w:r w:rsidRPr="00CA1752" w:rsidR="00375086">
        <w:t xml:space="preserve"> financial support for g</w:t>
      </w:r>
      <w:r w:rsidRPr="00CA1752">
        <w:t>raduate students.</w:t>
      </w:r>
    </w:p>
    <w:p w:rsidR="005F7C62" w:rsidRPr="00CA1752" w:rsidP="008164C1" w14:paraId="2C8C900C" w14:textId="0A54746C">
      <w:pPr>
        <w:pStyle w:val="BodyText"/>
      </w:pPr>
      <w:r>
        <w:t xml:space="preserve">NCSES is unaware of any other survey efforts similar to the FFRDC </w:t>
      </w:r>
      <w:r w:rsidR="001E4FDD">
        <w:t>P</w:t>
      </w:r>
      <w:r>
        <w:t xml:space="preserve">ostdoc </w:t>
      </w:r>
      <w:r w:rsidR="001E4FDD">
        <w:t>S</w:t>
      </w:r>
      <w:r>
        <w:t>urvey.</w:t>
      </w:r>
    </w:p>
    <w:p w:rsidR="005F7C62" w:rsidRPr="00CA1752" w:rsidP="00510E99" w14:paraId="277EECE9" w14:textId="77777777">
      <w:pPr>
        <w:pStyle w:val="Heading2"/>
        <w:rPr>
          <w:bCs/>
        </w:rPr>
      </w:pPr>
      <w:bookmarkStart w:id="30" w:name="_Toc488073270"/>
      <w:bookmarkStart w:id="31" w:name="_Toc225442531"/>
      <w:r>
        <w:t>A.</w:t>
      </w:r>
      <w:r w:rsidRPr="00CA1752" w:rsidR="008164C1">
        <w:t>5</w:t>
      </w:r>
      <w:r w:rsidRPr="00CA1752" w:rsidR="008164C1">
        <w:tab/>
      </w:r>
      <w:r w:rsidR="00BD77E3">
        <w:t xml:space="preserve">Efforts to Minimize Burden on </w:t>
      </w:r>
      <w:r w:rsidRPr="00CA1752" w:rsidR="008C752D">
        <w:t>Small Business</w:t>
      </w:r>
      <w:bookmarkEnd w:id="30"/>
      <w:bookmarkEnd w:id="31"/>
    </w:p>
    <w:p w:rsidR="005F7C62" w:rsidRPr="00CA1752" w:rsidP="003A5408" w14:paraId="4B53643C" w14:textId="0FFD0255">
      <w:pPr>
        <w:spacing w:after="120"/>
        <w:ind w:firstLine="720"/>
      </w:pPr>
      <w:r>
        <w:t>The GSS</w:t>
      </w:r>
      <w:r w:rsidR="00851126">
        <w:t xml:space="preserve"> and FFRDC</w:t>
      </w:r>
      <w:r>
        <w:t xml:space="preserve"> </w:t>
      </w:r>
      <w:r w:rsidR="001E4FDD">
        <w:t>P</w:t>
      </w:r>
      <w:r w:rsidR="00374D77">
        <w:t xml:space="preserve">ostdoc </w:t>
      </w:r>
      <w:r w:rsidR="001E4FDD">
        <w:t>S</w:t>
      </w:r>
      <w:r w:rsidR="00374D77">
        <w:t xml:space="preserve">urvey </w:t>
      </w:r>
      <w:r>
        <w:t>do not collect inf</w:t>
      </w:r>
      <w:r w:rsidR="0061211F">
        <w:t>ormation from small businesses.</w:t>
      </w:r>
    </w:p>
    <w:p w:rsidR="005F7C62" w:rsidRPr="00CA1752" w:rsidP="001D398B" w14:paraId="59393779" w14:textId="77777777">
      <w:pPr>
        <w:pStyle w:val="Heading2"/>
        <w:spacing w:before="360"/>
        <w:rPr>
          <w:bCs/>
        </w:rPr>
      </w:pPr>
      <w:bookmarkStart w:id="32" w:name="_Toc488073271"/>
      <w:bookmarkStart w:id="33" w:name="_Toc225442532"/>
      <w:r>
        <w:t>A.</w:t>
      </w:r>
      <w:r w:rsidRPr="00CA1752" w:rsidR="008164C1">
        <w:t>6</w:t>
      </w:r>
      <w:r w:rsidRPr="00CA1752" w:rsidR="008164C1">
        <w:tab/>
      </w:r>
      <w:r w:rsidRPr="00CA1752" w:rsidR="008C752D">
        <w:t>Consequences of</w:t>
      </w:r>
      <w:r w:rsidRPr="00CA1752" w:rsidR="008C752D">
        <w:rPr>
          <w:spacing w:val="1"/>
        </w:rPr>
        <w:t xml:space="preserve"> </w:t>
      </w:r>
      <w:r w:rsidRPr="00CA1752" w:rsidR="008C752D">
        <w:t xml:space="preserve">Less Frequent </w:t>
      </w:r>
      <w:r w:rsidR="00BD77E3">
        <w:t>Data Collection</w:t>
      </w:r>
      <w:bookmarkEnd w:id="32"/>
      <w:bookmarkEnd w:id="33"/>
    </w:p>
    <w:p w:rsidR="00FD7C77" w:rsidP="00FD7C77" w14:paraId="03120975" w14:textId="77777777">
      <w:pPr>
        <w:pStyle w:val="BodyText"/>
      </w:pPr>
      <w:r w:rsidRPr="00CA1752">
        <w:t>A less frequent survey</w:t>
      </w:r>
      <w:r w:rsidRPr="00CA1752">
        <w:rPr>
          <w:spacing w:val="-5"/>
        </w:rPr>
        <w:t xml:space="preserve"> </w:t>
      </w:r>
      <w:r w:rsidRPr="00CA1752">
        <w:t>cycle</w:t>
      </w:r>
      <w:r w:rsidR="00851126">
        <w:t xml:space="preserve"> for the GSS</w:t>
      </w:r>
      <w:r w:rsidRPr="00CA1752">
        <w:t xml:space="preserve"> would have several serious consequences. </w:t>
      </w:r>
      <w:r>
        <w:t xml:space="preserve">First, there would be </w:t>
      </w:r>
      <w:r w:rsidRPr="00CA1752">
        <w:t>the loss of information. Because</w:t>
      </w:r>
      <w:r w:rsidRPr="00CA1752">
        <w:rPr>
          <w:spacing w:val="1"/>
        </w:rPr>
        <w:t xml:space="preserve"> </w:t>
      </w:r>
      <w:r w:rsidRPr="00CA1752">
        <w:t>of the data uses described previously, biennia</w:t>
      </w:r>
      <w:r w:rsidR="00222F3C">
        <w:t>l</w:t>
      </w:r>
      <w:r w:rsidRPr="00AA7CF0" w:rsidR="00222F3C">
        <w:t xml:space="preserve"> </w:t>
      </w:r>
      <w:r w:rsidRPr="00CA1752">
        <w:t xml:space="preserve">or less frequent </w:t>
      </w:r>
      <w:r>
        <w:t>collection</w:t>
      </w:r>
      <w:r w:rsidRPr="00CA1752">
        <w:rPr>
          <w:spacing w:val="2"/>
        </w:rPr>
        <w:t xml:space="preserve"> </w:t>
      </w:r>
      <w:r w:rsidRPr="00CA1752">
        <w:t>means that data users would be unable to access curren</w:t>
      </w:r>
      <w:r w:rsidR="00BA4CB9">
        <w:t xml:space="preserve">t </w:t>
      </w:r>
      <w:r w:rsidRPr="00CA1752">
        <w:t>information. Collecting</w:t>
      </w:r>
      <w:r w:rsidRPr="00CA1752">
        <w:rPr>
          <w:spacing w:val="-3"/>
        </w:rPr>
        <w:t xml:space="preserve"> </w:t>
      </w:r>
      <w:r w:rsidRPr="00CA1752">
        <w:t>the GSS annually</w:t>
      </w:r>
      <w:r>
        <w:t xml:space="preserve"> also</w:t>
      </w:r>
      <w:r w:rsidRPr="00CA1752">
        <w:rPr>
          <w:spacing w:val="-5"/>
        </w:rPr>
        <w:t xml:space="preserve"> </w:t>
      </w:r>
      <w:r w:rsidRPr="00CA1752">
        <w:t xml:space="preserve">increases the value </w:t>
      </w:r>
      <w:r w:rsidRPr="00CA1752">
        <w:rPr>
          <w:spacing w:val="1"/>
        </w:rPr>
        <w:t>of</w:t>
      </w:r>
      <w:r w:rsidRPr="00CA1752">
        <w:t xml:space="preserve"> the data for monitoring trends,</w:t>
      </w:r>
      <w:r w:rsidRPr="00CA1752">
        <w:rPr>
          <w:spacing w:val="85"/>
        </w:rPr>
        <w:t xml:space="preserve"> </w:t>
      </w:r>
      <w:r w:rsidRPr="00CA1752">
        <w:t>particularly</w:t>
      </w:r>
      <w:r w:rsidRPr="00CA1752">
        <w:rPr>
          <w:spacing w:val="-5"/>
        </w:rPr>
        <w:t xml:space="preserve"> </w:t>
      </w:r>
      <w:r w:rsidRPr="00CA1752">
        <w:t>the effects of</w:t>
      </w:r>
      <w:r w:rsidRPr="00CA1752">
        <w:rPr>
          <w:spacing w:val="1"/>
        </w:rPr>
        <w:t xml:space="preserve"> </w:t>
      </w:r>
      <w:r w:rsidRPr="00CA1752">
        <w:t>dramatic changes in the</w:t>
      </w:r>
      <w:r w:rsidRPr="00CA1752">
        <w:rPr>
          <w:spacing w:val="1"/>
        </w:rPr>
        <w:t xml:space="preserve"> </w:t>
      </w:r>
      <w:r w:rsidRPr="00CA1752">
        <w:t>larger</w:t>
      </w:r>
      <w:r w:rsidRPr="00CA1752">
        <w:rPr>
          <w:spacing w:val="1"/>
        </w:rPr>
        <w:t xml:space="preserve"> </w:t>
      </w:r>
      <w:r w:rsidRPr="00CA1752">
        <w:t xml:space="preserve">context. Minor shifts in enrollment </w:t>
      </w:r>
      <w:r w:rsidRPr="00CA1752">
        <w:t>trends are</w:t>
      </w:r>
      <w:r w:rsidRPr="00CA1752">
        <w:rPr>
          <w:spacing w:val="1"/>
        </w:rPr>
        <w:t xml:space="preserve"> </w:t>
      </w:r>
      <w:r w:rsidRPr="00CA1752">
        <w:t>monitored as early</w:t>
      </w:r>
      <w:r w:rsidRPr="00CA1752">
        <w:rPr>
          <w:spacing w:val="-5"/>
        </w:rPr>
        <w:t xml:space="preserve"> </w:t>
      </w:r>
      <w:r w:rsidRPr="00CA1752">
        <w:t>indicators of likely</w:t>
      </w:r>
      <w:r w:rsidRPr="00CA1752">
        <w:rPr>
          <w:spacing w:val="-5"/>
        </w:rPr>
        <w:t xml:space="preserve"> </w:t>
      </w:r>
      <w:r w:rsidRPr="00CA1752">
        <w:t>futur</w:t>
      </w:r>
      <w:r w:rsidR="00222F3C">
        <w:t>e</w:t>
      </w:r>
      <w:r w:rsidRPr="00AA7CF0" w:rsidR="00222F3C">
        <w:t xml:space="preserve"> </w:t>
      </w:r>
      <w:r w:rsidRPr="00CA1752">
        <w:t>changes in the supply</w:t>
      </w:r>
      <w:r w:rsidRPr="00CA1752">
        <w:rPr>
          <w:spacing w:val="-5"/>
        </w:rPr>
        <w:t xml:space="preserve"> </w:t>
      </w:r>
      <w:r w:rsidRPr="00CA1752">
        <w:t>of</w:t>
      </w:r>
      <w:r w:rsidRPr="00CA1752">
        <w:rPr>
          <w:spacing w:val="1"/>
        </w:rPr>
        <w:t xml:space="preserve"> </w:t>
      </w:r>
      <w:r w:rsidRPr="00CA1752">
        <w:t>SEH professionals.</w:t>
      </w:r>
      <w:r>
        <w:t xml:space="preserve"> </w:t>
      </w:r>
    </w:p>
    <w:p w:rsidR="005F7C62" w:rsidRPr="00CA1752" w:rsidP="00FD7C77" w14:paraId="66018194" w14:textId="4059C056">
      <w:pPr>
        <w:pStyle w:val="BodyText"/>
      </w:pPr>
      <w:r>
        <w:t>Other e</w:t>
      </w:r>
      <w:r w:rsidRPr="00CA1752" w:rsidR="008C752D">
        <w:t>xamples</w:t>
      </w:r>
      <w:r>
        <w:t xml:space="preserve"> of trend monitoring</w:t>
      </w:r>
      <w:r w:rsidRPr="00CA1752" w:rsidR="008C752D">
        <w:t xml:space="preserve"> are</w:t>
      </w:r>
      <w:r w:rsidRPr="00CA1752" w:rsidR="008C752D">
        <w:rPr>
          <w:spacing w:val="1"/>
        </w:rPr>
        <w:t xml:space="preserve"> </w:t>
      </w:r>
      <w:r w:rsidRPr="00CA1752" w:rsidR="008C752D">
        <w:t>changes in</w:t>
      </w:r>
      <w:r w:rsidRPr="00CA1752" w:rsidR="00894A54">
        <w:t xml:space="preserve"> </w:t>
      </w:r>
      <w:r w:rsidRPr="00CA1752" w:rsidR="0097032C">
        <w:t xml:space="preserve">the </w:t>
      </w:r>
      <w:r w:rsidRPr="00CA1752" w:rsidR="001F48E3">
        <w:t xml:space="preserve">foreign graduate student </w:t>
      </w:r>
      <w:r w:rsidRPr="00CA1752" w:rsidR="008C752D">
        <w:t>enrollment</w:t>
      </w:r>
      <w:r w:rsidRPr="00CA1752" w:rsidR="00894A54">
        <w:t xml:space="preserve"> and postdoc employment</w:t>
      </w:r>
      <w:r w:rsidRPr="00CA1752" w:rsidR="0097032C">
        <w:t xml:space="preserve"> counts</w:t>
      </w:r>
      <w:r w:rsidRPr="00CA1752" w:rsidR="008C752D">
        <w:t xml:space="preserve"> that correspond to the events </w:t>
      </w:r>
      <w:r w:rsidRPr="00CA1752" w:rsidR="0097032C">
        <w:t xml:space="preserve">such as </w:t>
      </w:r>
      <w:r w:rsidRPr="00CA1752" w:rsidR="008C752D">
        <w:t>September 11, 2001</w:t>
      </w:r>
      <w:r w:rsidR="00AA04B9">
        <w:t>;</w:t>
      </w:r>
      <w:r w:rsidRPr="00CA1752" w:rsidR="008C752D">
        <w:t xml:space="preserve"> the 200</w:t>
      </w:r>
      <w:r w:rsidRPr="00CA1752" w:rsidR="0097032C">
        <w:t>7-2009 Great Recession</w:t>
      </w:r>
      <w:r w:rsidR="00AA04B9">
        <w:t>;</w:t>
      </w:r>
      <w:r w:rsidR="00202249">
        <w:t xml:space="preserve"> the Covid pandemic</w:t>
      </w:r>
      <w:r w:rsidR="00AA04B9">
        <w:t>;</w:t>
      </w:r>
      <w:r w:rsidRPr="00CA1752" w:rsidR="00AC6703">
        <w:t xml:space="preserve"> immigration policy</w:t>
      </w:r>
      <w:r w:rsidRPr="00CA1752" w:rsidR="0097032C">
        <w:t xml:space="preserve"> changes</w:t>
      </w:r>
      <w:r w:rsidR="00AA04B9">
        <w:t>;</w:t>
      </w:r>
      <w:r w:rsidR="00256823">
        <w:t xml:space="preserve"> and </w:t>
      </w:r>
      <w:r w:rsidR="0029238E">
        <w:t>changes in federal funding priorities</w:t>
      </w:r>
      <w:r w:rsidRPr="00CA1752" w:rsidR="008C752D">
        <w:t>.</w:t>
      </w:r>
      <w:r w:rsidRPr="00CA1752" w:rsidR="008C752D">
        <w:rPr>
          <w:spacing w:val="2"/>
        </w:rPr>
        <w:t xml:space="preserve"> </w:t>
      </w:r>
      <w:r w:rsidRPr="00CA1752" w:rsidR="008C752D">
        <w:t>Less</w:t>
      </w:r>
      <w:r w:rsidR="00AA04B9">
        <w:t>-</w:t>
      </w:r>
      <w:r w:rsidRPr="00CA1752" w:rsidR="008C752D">
        <w:t>than</w:t>
      </w:r>
      <w:r w:rsidR="00AA04B9">
        <w:t>-</w:t>
      </w:r>
      <w:r w:rsidRPr="00CA1752" w:rsidR="008C752D">
        <w:t>annual</w:t>
      </w:r>
      <w:r w:rsidRPr="00CA1752" w:rsidR="008C752D">
        <w:rPr>
          <w:spacing w:val="2"/>
        </w:rPr>
        <w:t xml:space="preserve"> </w:t>
      </w:r>
      <w:r w:rsidRPr="00CA1752" w:rsidR="008C752D">
        <w:t xml:space="preserve">data collection </w:t>
      </w:r>
      <w:r w:rsidRPr="00CA1752" w:rsidR="008C752D">
        <w:rPr>
          <w:spacing w:val="1"/>
        </w:rPr>
        <w:t>may</w:t>
      </w:r>
      <w:r w:rsidRPr="00CA1752" w:rsidR="008C752D">
        <w:rPr>
          <w:spacing w:val="-5"/>
        </w:rPr>
        <w:t xml:space="preserve"> </w:t>
      </w:r>
      <w:r w:rsidRPr="00CA1752" w:rsidR="008C752D">
        <w:t>not capture such</w:t>
      </w:r>
      <w:r w:rsidRPr="00CA1752" w:rsidR="008C752D">
        <w:rPr>
          <w:spacing w:val="2"/>
        </w:rPr>
        <w:t xml:space="preserve"> </w:t>
      </w:r>
      <w:r w:rsidRPr="00CA1752" w:rsidR="001F48E3">
        <w:t>changes o</w:t>
      </w:r>
      <w:r w:rsidRPr="00CA1752" w:rsidR="008C752D">
        <w:t>r reveal the inflection point of a changing</w:t>
      </w:r>
      <w:r w:rsidRPr="00CA1752" w:rsidR="008C752D">
        <w:rPr>
          <w:spacing w:val="-3"/>
        </w:rPr>
        <w:t xml:space="preserve"> </w:t>
      </w:r>
      <w:r w:rsidRPr="00CA1752" w:rsidR="008C752D">
        <w:t>trend.</w:t>
      </w:r>
      <w:r w:rsidRPr="00CA1752" w:rsidR="008C752D">
        <w:rPr>
          <w:spacing w:val="2"/>
        </w:rPr>
        <w:t xml:space="preserve"> </w:t>
      </w:r>
      <w:r w:rsidRPr="00CA1752" w:rsidR="008C752D">
        <w:t>Fo</w:t>
      </w:r>
      <w:r w:rsidRPr="00CA1752" w:rsidR="00894A54">
        <w:t xml:space="preserve">llowing </w:t>
      </w:r>
      <w:r w:rsidRPr="00CA1752" w:rsidR="0097032C">
        <w:t xml:space="preserve">the </w:t>
      </w:r>
      <w:r w:rsidR="00202249">
        <w:t xml:space="preserve">Covid outbreak in 2020, </w:t>
      </w:r>
      <w:r w:rsidRPr="00CA1752" w:rsidR="008C752D">
        <w:t>the release of the</w:t>
      </w:r>
      <w:r w:rsidRPr="00CA1752" w:rsidR="008C752D">
        <w:rPr>
          <w:spacing w:val="1"/>
        </w:rPr>
        <w:t xml:space="preserve"> </w:t>
      </w:r>
      <w:r w:rsidRPr="00CA1752" w:rsidR="008C752D">
        <w:t>GS</w:t>
      </w:r>
      <w:r w:rsidRPr="00CA1752" w:rsidR="001F48E3">
        <w:t>S f</w:t>
      </w:r>
      <w:r w:rsidRPr="00CA1752" w:rsidR="008C752D">
        <w:t xml:space="preserve">all enrollment data </w:t>
      </w:r>
      <w:r w:rsidRPr="00CA1752" w:rsidR="00894A54">
        <w:t>was</w:t>
      </w:r>
      <w:r w:rsidRPr="00CA1752" w:rsidR="008C752D">
        <w:t xml:space="preserve"> </w:t>
      </w:r>
      <w:r w:rsidR="00E70ED2">
        <w:t>used</w:t>
      </w:r>
      <w:r w:rsidRPr="00CA1752" w:rsidR="008C752D">
        <w:t xml:space="preserve"> </w:t>
      </w:r>
      <w:r w:rsidRPr="00CA1752" w:rsidR="0097032C">
        <w:t xml:space="preserve">to examine </w:t>
      </w:r>
      <w:r w:rsidRPr="00CA1752" w:rsidR="008C752D">
        <w:t>trends in SEH</w:t>
      </w:r>
      <w:r w:rsidRPr="00CA1752" w:rsidR="008C752D">
        <w:rPr>
          <w:spacing w:val="1"/>
        </w:rPr>
        <w:t xml:space="preserve"> </w:t>
      </w:r>
      <w:r w:rsidRPr="00CA1752" w:rsidR="008C752D">
        <w:t xml:space="preserve">graduate enrollment </w:t>
      </w:r>
      <w:r w:rsidR="000D4CBC">
        <w:t>of</w:t>
      </w:r>
      <w:r w:rsidRPr="00CA1752" w:rsidR="000D4CBC">
        <w:t xml:space="preserve"> </w:t>
      </w:r>
      <w:r w:rsidR="00202249">
        <w:t xml:space="preserve">U.S. citizens, permanent residents, and </w:t>
      </w:r>
      <w:r w:rsidRPr="00CA1752" w:rsidR="008C752D">
        <w:t xml:space="preserve">foreign visa holders. </w:t>
      </w:r>
      <w:r w:rsidRPr="00CA1752" w:rsidR="00894A54">
        <w:t xml:space="preserve">Foreign </w:t>
      </w:r>
      <w:r w:rsidR="00726036">
        <w:t xml:space="preserve">full-time master’s </w:t>
      </w:r>
      <w:r w:rsidRPr="00CA1752" w:rsidR="00894A54">
        <w:t>student en</w:t>
      </w:r>
      <w:r w:rsidRPr="00CA1752" w:rsidR="008C752D">
        <w:t>rollment</w:t>
      </w:r>
      <w:r w:rsidR="00726036">
        <w:t xml:space="preserve"> dropped 24% from 2019 to 2020 and then rebounded in 2021 with a 42% increase. </w:t>
      </w:r>
      <w:r w:rsidR="003344C1">
        <w:t>The</w:t>
      </w:r>
      <w:r w:rsidR="00256823">
        <w:t xml:space="preserve"> impacts on graduate student enrollment and funding patterns of support for graduate students and postdoctoral researchers </w:t>
      </w:r>
      <w:r w:rsidR="00E75674">
        <w:t>resulting from</w:t>
      </w:r>
      <w:r w:rsidR="00256823">
        <w:t xml:space="preserve"> changes in federal research policies </w:t>
      </w:r>
      <w:r w:rsidR="00E75674">
        <w:t xml:space="preserve">or societal changes </w:t>
      </w:r>
      <w:r w:rsidR="00256823">
        <w:t>would be much more difficult to discern</w:t>
      </w:r>
      <w:r w:rsidRPr="00CA1752" w:rsidR="008C752D">
        <w:t xml:space="preserve"> if the data </w:t>
      </w:r>
      <w:r w:rsidR="00AA04B9">
        <w:t>are</w:t>
      </w:r>
      <w:r w:rsidR="00256823">
        <w:t xml:space="preserve"> not</w:t>
      </w:r>
      <w:r w:rsidRPr="00CA1752" w:rsidR="008C752D">
        <w:t xml:space="preserve"> collected</w:t>
      </w:r>
      <w:r w:rsidRPr="00CA1752" w:rsidR="008C752D">
        <w:rPr>
          <w:spacing w:val="2"/>
        </w:rPr>
        <w:t xml:space="preserve"> </w:t>
      </w:r>
      <w:r w:rsidRPr="00CA1752" w:rsidR="008C752D">
        <w:t>every</w:t>
      </w:r>
      <w:r w:rsidRPr="00CA1752" w:rsidR="00AC6703">
        <w:t xml:space="preserve"> </w:t>
      </w:r>
      <w:r w:rsidRPr="00CA1752" w:rsidR="008C752D">
        <w:t>year.</w:t>
      </w:r>
    </w:p>
    <w:p w:rsidR="005F7C62" w:rsidRPr="00CA1752" w:rsidP="008164C1" w14:paraId="62D4EDD2" w14:textId="4E347B6F">
      <w:pPr>
        <w:pStyle w:val="BodyText"/>
      </w:pPr>
      <w:r>
        <w:t xml:space="preserve">Annual collection </w:t>
      </w:r>
      <w:r w:rsidR="00851126">
        <w:t xml:space="preserve">of the GSS </w:t>
      </w:r>
      <w:r>
        <w:t>also helps redu</w:t>
      </w:r>
      <w:r w:rsidR="004E4274">
        <w:t>c</w:t>
      </w:r>
      <w:r>
        <w:t xml:space="preserve">e respondent burden. </w:t>
      </w:r>
      <w:r w:rsidRPr="00CA1752" w:rsidR="008C752D">
        <w:t>Most colleges</w:t>
      </w:r>
      <w:r w:rsidRPr="00CA1752" w:rsidR="008C752D">
        <w:rPr>
          <w:spacing w:val="2"/>
        </w:rPr>
        <w:t xml:space="preserve"> </w:t>
      </w:r>
      <w:r w:rsidRPr="00CA1752" w:rsidR="008C752D">
        <w:t>and universities have automated recordkeeping</w:t>
      </w:r>
      <w:r w:rsidRPr="00CA1752" w:rsidR="008C752D">
        <w:rPr>
          <w:spacing w:val="-3"/>
        </w:rPr>
        <w:t xml:space="preserve"> </w:t>
      </w:r>
      <w:r w:rsidRPr="00CA1752" w:rsidR="008C752D">
        <w:t>systems, facilitating</w:t>
      </w:r>
      <w:r w:rsidRPr="00CA1752" w:rsidR="008C752D">
        <w:rPr>
          <w:spacing w:val="-3"/>
        </w:rPr>
        <w:t xml:space="preserve"> </w:t>
      </w:r>
      <w:r w:rsidRPr="00CA1752" w:rsidR="008C752D">
        <w:t>th</w:t>
      </w:r>
      <w:r w:rsidR="00AA7CF0">
        <w:t>eir ability</w:t>
      </w:r>
      <w:r w:rsidRPr="00CA1752" w:rsidR="008C752D">
        <w:rPr>
          <w:spacing w:val="-5"/>
        </w:rPr>
        <w:t xml:space="preserve"> </w:t>
      </w:r>
      <w:r w:rsidRPr="00CA1752" w:rsidR="008C752D">
        <w:t>to respond to the</w:t>
      </w:r>
      <w:r w:rsidRPr="00CA1752" w:rsidR="008C752D">
        <w:rPr>
          <w:spacing w:val="1"/>
        </w:rPr>
        <w:t xml:space="preserve"> </w:t>
      </w:r>
      <w:r w:rsidRPr="00CA1752" w:rsidR="008C752D">
        <w:t>GSS on an annual cycle.</w:t>
      </w:r>
      <w:r w:rsidRPr="00CA1752" w:rsidR="008C752D">
        <w:rPr>
          <w:spacing w:val="2"/>
        </w:rPr>
        <w:t xml:space="preserve"> </w:t>
      </w:r>
      <w:r w:rsidRPr="00CA1752" w:rsidR="008C752D">
        <w:t>These automated</w:t>
      </w:r>
      <w:r w:rsidRPr="00CA1752" w:rsidR="008C752D">
        <w:rPr>
          <w:spacing w:val="2"/>
        </w:rPr>
        <w:t xml:space="preserve"> </w:t>
      </w:r>
      <w:r w:rsidRPr="00CA1752" w:rsidR="008C752D">
        <w:t>record</w:t>
      </w:r>
      <w:r w:rsidRPr="00CA1752" w:rsidR="008C752D">
        <w:rPr>
          <w:spacing w:val="2"/>
        </w:rPr>
        <w:t xml:space="preserve"> </w:t>
      </w:r>
      <w:r w:rsidRPr="00CA1752" w:rsidR="008C752D">
        <w:t>systems considerably</w:t>
      </w:r>
      <w:r w:rsidR="001D398B">
        <w:t xml:space="preserve"> reduce</w:t>
      </w:r>
      <w:r w:rsidRPr="00CA1752" w:rsidR="008C752D">
        <w:t xml:space="preserve"> the time required</w:t>
      </w:r>
      <w:r w:rsidRPr="00CA1752" w:rsidR="008C752D">
        <w:rPr>
          <w:spacing w:val="2"/>
        </w:rPr>
        <w:t xml:space="preserve"> </w:t>
      </w:r>
      <w:r w:rsidRPr="00CA1752" w:rsidR="008C752D">
        <w:t>to assemble and report information needed for the</w:t>
      </w:r>
      <w:r w:rsidRPr="00CA1752" w:rsidR="008C752D">
        <w:rPr>
          <w:spacing w:val="1"/>
        </w:rPr>
        <w:t xml:space="preserve"> </w:t>
      </w:r>
      <w:r w:rsidRPr="00CA1752" w:rsidR="008C752D">
        <w:t>GSS related to</w:t>
      </w:r>
      <w:r w:rsidRPr="00CA1752" w:rsidR="00EA6682">
        <w:t xml:space="preserve"> </w:t>
      </w:r>
      <w:r w:rsidRPr="00CA1752" w:rsidR="008C752D">
        <w:t>graduate</w:t>
      </w:r>
      <w:r w:rsidRPr="00CA1752" w:rsidR="008C752D">
        <w:rPr>
          <w:spacing w:val="1"/>
        </w:rPr>
        <w:t xml:space="preserve"> </w:t>
      </w:r>
      <w:r w:rsidRPr="00CA1752" w:rsidR="008C752D">
        <w:t xml:space="preserve">enrollment </w:t>
      </w:r>
      <w:r w:rsidRPr="00CA1752" w:rsidR="008C752D">
        <w:rPr>
          <w:spacing w:val="2"/>
        </w:rPr>
        <w:t>by</w:t>
      </w:r>
      <w:r w:rsidRPr="00CA1752" w:rsidR="008C752D">
        <w:rPr>
          <w:spacing w:val="-5"/>
        </w:rPr>
        <w:t xml:space="preserve"> </w:t>
      </w:r>
      <w:r w:rsidRPr="00CA1752" w:rsidR="008C752D">
        <w:t xml:space="preserve">field, </w:t>
      </w:r>
      <w:r w:rsidRPr="00CA1752" w:rsidR="00894A54">
        <w:t xml:space="preserve">demographics, </w:t>
      </w:r>
      <w:r w:rsidRPr="00CA1752" w:rsidR="008C752D">
        <w:t>postdoctoral appointments, and sources</w:t>
      </w:r>
      <w:r w:rsidRPr="00CA1752" w:rsidR="008C752D">
        <w:rPr>
          <w:spacing w:val="2"/>
        </w:rPr>
        <w:t xml:space="preserve"> </w:t>
      </w:r>
      <w:r w:rsidRPr="00CA1752" w:rsidR="008C752D">
        <w:t>and</w:t>
      </w:r>
      <w:r w:rsidRPr="00CA1752" w:rsidR="008C752D">
        <w:rPr>
          <w:spacing w:val="2"/>
        </w:rPr>
        <w:t xml:space="preserve"> </w:t>
      </w:r>
      <w:r w:rsidRPr="00CA1752" w:rsidR="008C752D">
        <w:t>mechanisms of suppor</w:t>
      </w:r>
      <w:r w:rsidRPr="00CA1752" w:rsidR="001F48E3">
        <w:t>t, e</w:t>
      </w:r>
      <w:r w:rsidRPr="00CA1752" w:rsidR="008C752D">
        <w:t>tc. Thus, because the database and software are retained, kept current, and</w:t>
      </w:r>
      <w:r w:rsidRPr="00CA1752" w:rsidR="008C752D">
        <w:rPr>
          <w:spacing w:val="2"/>
        </w:rPr>
        <w:t xml:space="preserve"> </w:t>
      </w:r>
      <w:r w:rsidRPr="00CA1752" w:rsidR="008C752D">
        <w:t>easily</w:t>
      </w:r>
      <w:r w:rsidRPr="00CA1752" w:rsidR="008C752D">
        <w:rPr>
          <w:spacing w:val="-3"/>
        </w:rPr>
        <w:t xml:space="preserve"> </w:t>
      </w:r>
      <w:r w:rsidRPr="00CA1752" w:rsidR="008C752D">
        <w:t>accessed</w:t>
      </w:r>
      <w:r w:rsidRPr="00CA1752" w:rsidR="001F48E3">
        <w:t>, co</w:t>
      </w:r>
      <w:r w:rsidRPr="00CA1752" w:rsidR="008C752D">
        <w:t>llecting consistent data</w:t>
      </w:r>
      <w:r w:rsidRPr="00CA1752" w:rsidR="008C752D">
        <w:rPr>
          <w:spacing w:val="1"/>
        </w:rPr>
        <w:t xml:space="preserve"> </w:t>
      </w:r>
      <w:r w:rsidRPr="00CA1752" w:rsidR="008C752D">
        <w:t>annually</w:t>
      </w:r>
      <w:r w:rsidRPr="00CA1752" w:rsidR="008C752D">
        <w:rPr>
          <w:spacing w:val="-3"/>
        </w:rPr>
        <w:t xml:space="preserve"> </w:t>
      </w:r>
      <w:r w:rsidRPr="00CA1752" w:rsidR="008C752D">
        <w:t>considerably</w:t>
      </w:r>
      <w:r w:rsidRPr="00CA1752" w:rsidR="008C752D">
        <w:rPr>
          <w:spacing w:val="-3"/>
        </w:rPr>
        <w:t xml:space="preserve"> </w:t>
      </w:r>
      <w:r w:rsidRPr="00CA1752" w:rsidR="008C752D">
        <w:t>reduces respondent burden</w:t>
      </w:r>
      <w:r w:rsidRPr="00CA1752" w:rsidR="008C752D">
        <w:rPr>
          <w:spacing w:val="2"/>
        </w:rPr>
        <w:t xml:space="preserve"> </w:t>
      </w:r>
      <w:r w:rsidRPr="00CA1752" w:rsidR="008C752D">
        <w:t>for academic</w:t>
      </w:r>
      <w:r w:rsidRPr="00CA1752" w:rsidR="001F48E3">
        <w:t xml:space="preserve"> i</w:t>
      </w:r>
      <w:r w:rsidRPr="00CA1752" w:rsidR="008C752D">
        <w:t>nstitutions with automated data systems.</w:t>
      </w:r>
    </w:p>
    <w:p w:rsidR="005F7C62" w:rsidRPr="00CA1752" w:rsidP="008164C1" w14:paraId="1DB48714" w14:textId="704B6D80">
      <w:pPr>
        <w:pStyle w:val="BodyText"/>
      </w:pPr>
      <w:r w:rsidRPr="00CA1752">
        <w:t>Annual collection</w:t>
      </w:r>
      <w:r w:rsidR="00851126">
        <w:t xml:space="preserve"> (or biennially for the FFRDC </w:t>
      </w:r>
      <w:r w:rsidR="00AA04B9">
        <w:t>P</w:t>
      </w:r>
      <w:r w:rsidR="00374D77">
        <w:t xml:space="preserve">ostdoc </w:t>
      </w:r>
      <w:r w:rsidR="00AA04B9">
        <w:t>S</w:t>
      </w:r>
      <w:r w:rsidR="00851126">
        <w:t>urvey)</w:t>
      </w:r>
      <w:r w:rsidRPr="00CA1752">
        <w:t xml:space="preserve"> also </w:t>
      </w:r>
      <w:r w:rsidR="00222F3C">
        <w:t xml:space="preserve">helps </w:t>
      </w:r>
      <w:r w:rsidR="00145C52">
        <w:t>to</w:t>
      </w:r>
      <w:r w:rsidR="00222F3C">
        <w:t xml:space="preserve"> maintain</w:t>
      </w:r>
      <w:r w:rsidRPr="00AA7CF0" w:rsidR="00222F3C">
        <w:t xml:space="preserve"> </w:t>
      </w:r>
      <w:r w:rsidRPr="00CA1752">
        <w:t>contacts with the</w:t>
      </w:r>
      <w:r w:rsidR="0091593C">
        <w:t xml:space="preserve"> </w:t>
      </w:r>
      <w:r w:rsidR="00382B2F">
        <w:t xml:space="preserve">coordinators </w:t>
      </w:r>
      <w:r w:rsidRPr="00CA1752">
        <w:t>withi</w:t>
      </w:r>
      <w:r w:rsidRPr="00CA1752" w:rsidR="001F48E3">
        <w:t>n i</w:t>
      </w:r>
      <w:r w:rsidRPr="00CA1752">
        <w:t>nstitutions</w:t>
      </w:r>
      <w:r w:rsidR="00851126">
        <w:t xml:space="preserve"> and FFRDCs</w:t>
      </w:r>
      <w:r w:rsidRPr="00CA1752">
        <w:t>. Having</w:t>
      </w:r>
      <w:r w:rsidRPr="00CA1752">
        <w:rPr>
          <w:spacing w:val="-3"/>
        </w:rPr>
        <w:t xml:space="preserve"> </w:t>
      </w:r>
      <w:r w:rsidRPr="00CA1752">
        <w:t>this</w:t>
      </w:r>
      <w:r w:rsidRPr="00CA1752">
        <w:rPr>
          <w:spacing w:val="-3"/>
        </w:rPr>
        <w:t xml:space="preserve"> </w:t>
      </w:r>
      <w:r w:rsidRPr="00CA1752">
        <w:t>continuity</w:t>
      </w:r>
      <w:r w:rsidRPr="00CA1752">
        <w:rPr>
          <w:spacing w:val="-5"/>
        </w:rPr>
        <w:t xml:space="preserve"> </w:t>
      </w:r>
      <w:r w:rsidRPr="00CA1752">
        <w:t xml:space="preserve">helps the </w:t>
      </w:r>
      <w:r w:rsidR="0091593C">
        <w:t>coordinator</w:t>
      </w:r>
      <w:r w:rsidRPr="00CA1752" w:rsidR="00894A54">
        <w:t>s</w:t>
      </w:r>
      <w:r w:rsidRPr="00CA1752">
        <w:t xml:space="preserve"> maintain their databases</w:t>
      </w:r>
      <w:r w:rsidRPr="00CA1752">
        <w:rPr>
          <w:spacing w:val="2"/>
        </w:rPr>
        <w:t xml:space="preserve"> </w:t>
      </w:r>
      <w:r w:rsidRPr="00CA1752">
        <w:t xml:space="preserve">and </w:t>
      </w:r>
      <w:r w:rsidRPr="00CA1752" w:rsidR="00AA04B9">
        <w:t>there</w:t>
      </w:r>
      <w:r w:rsidR="00AA04B9">
        <w:t>by</w:t>
      </w:r>
      <w:r w:rsidRPr="00CA1752">
        <w:t xml:space="preserve"> maintain</w:t>
      </w:r>
      <w:r w:rsidRPr="00CA1752" w:rsidR="001F48E3">
        <w:t xml:space="preserve"> the</w:t>
      </w:r>
      <w:r w:rsidRPr="00CA1752">
        <w:t xml:space="preserve"> quality</w:t>
      </w:r>
      <w:r w:rsidRPr="00CA1752">
        <w:rPr>
          <w:spacing w:val="-5"/>
        </w:rPr>
        <w:t xml:space="preserve"> </w:t>
      </w:r>
      <w:r w:rsidRPr="00CA1752">
        <w:t>of the data.</w:t>
      </w:r>
    </w:p>
    <w:p w:rsidR="005F7C62" w:rsidRPr="00CA1752" w:rsidP="003A5408" w14:paraId="31AED26C" w14:textId="77777777">
      <w:pPr>
        <w:pStyle w:val="Heading2"/>
        <w:rPr>
          <w:bCs/>
        </w:rPr>
      </w:pPr>
      <w:bookmarkStart w:id="34" w:name="_Toc488073272"/>
      <w:bookmarkStart w:id="35" w:name="_Toc225442533"/>
      <w:r>
        <w:t>A.</w:t>
      </w:r>
      <w:r w:rsidRPr="00CA1752" w:rsidR="009C1E93">
        <w:t>7</w:t>
      </w:r>
      <w:r w:rsidRPr="00CA1752" w:rsidR="009C1E93">
        <w:tab/>
      </w:r>
      <w:r w:rsidRPr="00CA1752" w:rsidR="008C752D">
        <w:t>Special Circumstances</w:t>
      </w:r>
      <w:bookmarkEnd w:id="34"/>
      <w:bookmarkEnd w:id="35"/>
    </w:p>
    <w:p w:rsidR="00BD77E3" w:rsidRPr="00BD77E3" w:rsidP="00C477F1" w14:paraId="1ACB5001" w14:textId="18B4CBE7">
      <w:pPr>
        <w:pStyle w:val="BodyText"/>
      </w:pPr>
      <w:r>
        <w:t>These</w:t>
      </w:r>
      <w:r w:rsidRPr="00BD77E3">
        <w:t xml:space="preserve"> </w:t>
      </w:r>
      <w:r w:rsidRPr="00BD77E3" w:rsidR="002C597D">
        <w:t>data collection</w:t>
      </w:r>
      <w:r>
        <w:t>s</w:t>
      </w:r>
      <w:r w:rsidRPr="00BD77E3" w:rsidR="002C597D">
        <w:t xml:space="preserve"> do not require any of the reporting requirements listed.</w:t>
      </w:r>
      <w:bookmarkStart w:id="36" w:name="_Toc488073273"/>
    </w:p>
    <w:p w:rsidR="005F7C62" w:rsidRPr="00CA1752" w:rsidP="003A5408" w14:paraId="04C8F6E1" w14:textId="77777777">
      <w:pPr>
        <w:pStyle w:val="Heading2"/>
        <w:spacing w:before="360"/>
        <w:rPr>
          <w:bCs/>
        </w:rPr>
      </w:pPr>
      <w:bookmarkStart w:id="37" w:name="_Toc225442534"/>
      <w:r>
        <w:t>A.</w:t>
      </w:r>
      <w:r w:rsidRPr="00CA1752" w:rsidR="009C1E93">
        <w:t>8</w:t>
      </w:r>
      <w:r w:rsidRPr="00CA1752" w:rsidR="009C1E93">
        <w:tab/>
      </w:r>
      <w:r w:rsidRPr="0009067F" w:rsidR="008C752D">
        <w:rPr>
          <w:i/>
          <w:iCs/>
        </w:rPr>
        <w:t>Federal Register</w:t>
      </w:r>
      <w:r w:rsidRPr="00CA1752" w:rsidR="008C752D">
        <w:t xml:space="preserve"> </w:t>
      </w:r>
      <w:r w:rsidR="00BD77E3">
        <w:t>Announcement and</w:t>
      </w:r>
      <w:r w:rsidRPr="00CA1752" w:rsidR="008C752D">
        <w:t xml:space="preserve"> Consultations </w:t>
      </w:r>
      <w:r w:rsidR="00BD77E3">
        <w:t>Ou</w:t>
      </w:r>
      <w:r w:rsidRPr="00CA1752" w:rsidR="008C752D">
        <w:t>tside the Agency</w:t>
      </w:r>
      <w:bookmarkEnd w:id="36"/>
      <w:bookmarkEnd w:id="37"/>
    </w:p>
    <w:p w:rsidR="00494A45" w:rsidRPr="0043342E" w:rsidP="004D185C" w14:paraId="2CB3D847" w14:textId="303E5D3C">
      <w:pPr>
        <w:pStyle w:val="BodyText"/>
        <w:rPr>
          <w:rFonts w:cstheme="minorHAnsi"/>
        </w:rPr>
      </w:pPr>
      <w:r w:rsidRPr="00CA1752">
        <w:rPr>
          <w:spacing w:val="-1"/>
        </w:rPr>
        <w:t xml:space="preserve">The </w:t>
      </w:r>
      <w:r w:rsidRPr="0009067F">
        <w:rPr>
          <w:i/>
          <w:iCs/>
          <w:spacing w:val="-1"/>
        </w:rPr>
        <w:t>Federal</w:t>
      </w:r>
      <w:r w:rsidRPr="0009067F">
        <w:rPr>
          <w:i/>
          <w:iCs/>
        </w:rPr>
        <w:t xml:space="preserve"> </w:t>
      </w:r>
      <w:r w:rsidRPr="0009067F">
        <w:rPr>
          <w:i/>
          <w:iCs/>
          <w:spacing w:val="-1"/>
        </w:rPr>
        <w:t>Register</w:t>
      </w:r>
      <w:r w:rsidRPr="00CA1752">
        <w:rPr>
          <w:spacing w:val="-1"/>
        </w:rPr>
        <w:t xml:space="preserve"> notice was</w:t>
      </w:r>
      <w:r w:rsidRPr="00CA1752">
        <w:t xml:space="preserve"> </w:t>
      </w:r>
      <w:r w:rsidRPr="00CA1752">
        <w:rPr>
          <w:spacing w:val="-1"/>
        </w:rPr>
        <w:t>published</w:t>
      </w:r>
      <w:r w:rsidRPr="00CA1752">
        <w:t xml:space="preserve"> on</w:t>
      </w:r>
      <w:r w:rsidR="001859A6">
        <w:t xml:space="preserve"> </w:t>
      </w:r>
      <w:r w:rsidR="00256823">
        <w:t xml:space="preserve">9 </w:t>
      </w:r>
      <w:r w:rsidR="000662E8">
        <w:t>March</w:t>
      </w:r>
      <w:r w:rsidR="001670EC">
        <w:t xml:space="preserve"> 202</w:t>
      </w:r>
      <w:r w:rsidR="00256823">
        <w:t>6</w:t>
      </w:r>
      <w:r w:rsidR="001859A6">
        <w:t xml:space="preserve"> (</w:t>
      </w:r>
      <w:r w:rsidR="00256823">
        <w:t>91</w:t>
      </w:r>
      <w:r w:rsidR="001859A6">
        <w:t xml:space="preserve"> FR 1</w:t>
      </w:r>
      <w:r w:rsidR="00256823">
        <w:t>1340</w:t>
      </w:r>
      <w:r w:rsidR="001859A6">
        <w:t>)</w:t>
      </w:r>
      <w:r w:rsidRPr="00CA1752">
        <w:t xml:space="preserve"> </w:t>
      </w:r>
      <w:r w:rsidRPr="00CA1752">
        <w:rPr>
          <w:spacing w:val="-1"/>
        </w:rPr>
        <w:t xml:space="preserve">(see </w:t>
      </w:r>
      <w:r w:rsidRPr="00CA1752">
        <w:t xml:space="preserve">Attachment </w:t>
      </w:r>
      <w:r w:rsidR="007F5E15">
        <w:t>7</w:t>
      </w:r>
      <w:r w:rsidRPr="00CA1752" w:rsidR="00E767B0">
        <w:rPr>
          <w:spacing w:val="-1"/>
        </w:rPr>
        <w:t>).</w:t>
      </w:r>
      <w:r w:rsidRPr="006F39D5" w:rsidR="002C597D">
        <w:rPr>
          <w:rFonts w:cstheme="minorHAnsi"/>
        </w:rPr>
        <w:t xml:space="preserve"> </w:t>
      </w:r>
      <w:r w:rsidRPr="00F42E6F" w:rsidR="002C597D">
        <w:rPr>
          <w:rFonts w:cstheme="minorHAnsi"/>
        </w:rPr>
        <w:t xml:space="preserve">NCSES received </w:t>
      </w:r>
      <w:r w:rsidRPr="00F42E6F" w:rsidR="00374D77">
        <w:rPr>
          <w:rFonts w:cstheme="minorHAnsi"/>
        </w:rPr>
        <w:t>n</w:t>
      </w:r>
      <w:r w:rsidRPr="00F42E6F" w:rsidR="009105BD">
        <w:rPr>
          <w:rFonts w:cstheme="minorHAnsi"/>
        </w:rPr>
        <w:t xml:space="preserve">o </w:t>
      </w:r>
      <w:r w:rsidRPr="00F42E6F" w:rsidR="002C597D">
        <w:rPr>
          <w:rFonts w:cstheme="minorHAnsi"/>
        </w:rPr>
        <w:t xml:space="preserve">comments. </w:t>
      </w:r>
    </w:p>
    <w:p w:rsidR="005D64E0" w:rsidRPr="00CA1752" w:rsidP="006F39D5" w14:paraId="0A7CDAA9" w14:textId="77777777">
      <w:pPr>
        <w:pStyle w:val="BodyText"/>
      </w:pPr>
      <w:r>
        <w:t>As described in the next sections, i</w:t>
      </w:r>
      <w:r w:rsidRPr="00CA1752">
        <w:t xml:space="preserve">n the past three years, </w:t>
      </w:r>
      <w:r>
        <w:t>several</w:t>
      </w:r>
      <w:r w:rsidRPr="00CA1752">
        <w:t xml:space="preserve"> </w:t>
      </w:r>
      <w:r>
        <w:t>consultations with the respondents</w:t>
      </w:r>
      <w:r w:rsidRPr="00CA1752">
        <w:t xml:space="preserve"> have </w:t>
      </w:r>
      <w:r>
        <w:t xml:space="preserve">taken place to </w:t>
      </w:r>
      <w:r w:rsidRPr="00CA1752">
        <w:t xml:space="preserve">examine different aspects of the GSS data collection </w:t>
      </w:r>
      <w:r>
        <w:t>and to inform</w:t>
      </w:r>
      <w:r w:rsidRPr="00CA1752">
        <w:t xml:space="preserve"> the </w:t>
      </w:r>
      <w:r>
        <w:t>changes introduced in 2017</w:t>
      </w:r>
      <w:r w:rsidRPr="00CA1752">
        <w:t>.</w:t>
      </w:r>
      <w:r>
        <w:t xml:space="preserve">  </w:t>
      </w:r>
    </w:p>
    <w:p w:rsidR="00CE0446" w:rsidP="00CE0446" w14:paraId="72DD4814" w14:textId="77777777">
      <w:pPr>
        <w:pStyle w:val="Heading3"/>
        <w:spacing w:before="120"/>
        <w:rPr>
          <w:color w:val="auto"/>
        </w:rPr>
      </w:pPr>
      <w:bookmarkStart w:id="38" w:name="_Toc225442535"/>
      <w:bookmarkStart w:id="39" w:name="_Toc488074626"/>
      <w:r>
        <w:rPr>
          <w:color w:val="auto"/>
        </w:rPr>
        <w:t>A.</w:t>
      </w:r>
      <w:r w:rsidRPr="00FE1F34" w:rsidR="005D64E0">
        <w:rPr>
          <w:color w:val="auto"/>
        </w:rPr>
        <w:t>8.</w:t>
      </w:r>
      <w:r>
        <w:rPr>
          <w:color w:val="auto"/>
        </w:rPr>
        <w:t>1</w:t>
      </w:r>
      <w:r w:rsidRPr="00FE1F34" w:rsidR="005D64E0">
        <w:rPr>
          <w:color w:val="auto"/>
        </w:rPr>
        <w:tab/>
        <w:t>GSS Institution Site Visits</w:t>
      </w:r>
      <w:bookmarkEnd w:id="38"/>
    </w:p>
    <w:p w:rsidR="00E16E20" w:rsidP="009630A5" w14:paraId="2E231A6F" w14:textId="5DF798AC">
      <w:pPr>
        <w:pStyle w:val="NormalSS"/>
        <w:spacing w:before="120" w:line="360" w:lineRule="auto"/>
        <w:ind w:firstLine="720"/>
        <w:jc w:val="left"/>
        <w:rPr>
          <w:bCs/>
          <w:iCs/>
        </w:rPr>
      </w:pPr>
      <w:bookmarkStart w:id="40" w:name="_Hlk130799128"/>
      <w:r w:rsidRPr="009E66C1">
        <w:rPr>
          <w:bCs/>
          <w:iCs/>
        </w:rPr>
        <w:t xml:space="preserve">NCSES routinely conducts site </w:t>
      </w:r>
      <w:r w:rsidRPr="009E66C1" w:rsidR="00F440D1">
        <w:rPr>
          <w:bCs/>
          <w:iCs/>
        </w:rPr>
        <w:t xml:space="preserve">visits </w:t>
      </w:r>
      <w:r w:rsidRPr="009E66C1">
        <w:rPr>
          <w:bCs/>
          <w:iCs/>
        </w:rPr>
        <w:t xml:space="preserve">to better understand the </w:t>
      </w:r>
      <w:r w:rsidRPr="009E66C1" w:rsidR="00F440D1">
        <w:rPr>
          <w:bCs/>
          <w:iCs/>
        </w:rPr>
        <w:t xml:space="preserve">reporting experiences </w:t>
      </w:r>
      <w:r w:rsidRPr="009E66C1">
        <w:rPr>
          <w:bCs/>
          <w:iCs/>
        </w:rPr>
        <w:t>of institutions that participate in the GSS</w:t>
      </w:r>
      <w:r w:rsidR="00374D77">
        <w:rPr>
          <w:bCs/>
          <w:iCs/>
        </w:rPr>
        <w:t>.</w:t>
      </w:r>
      <w:r w:rsidR="00170655">
        <w:rPr>
          <w:bCs/>
          <w:iCs/>
        </w:rPr>
        <w:t xml:space="preserve"> </w:t>
      </w:r>
      <w:r w:rsidR="00DD1678">
        <w:rPr>
          <w:bCs/>
          <w:iCs/>
        </w:rPr>
        <w:t>F</w:t>
      </w:r>
      <w:r w:rsidRPr="009E66C1" w:rsidR="0075702A">
        <w:rPr>
          <w:bCs/>
          <w:iCs/>
        </w:rPr>
        <w:t>rom 20</w:t>
      </w:r>
      <w:r w:rsidR="00170655">
        <w:rPr>
          <w:bCs/>
          <w:iCs/>
        </w:rPr>
        <w:t>2</w:t>
      </w:r>
      <w:r w:rsidR="00DD1678">
        <w:rPr>
          <w:bCs/>
          <w:iCs/>
        </w:rPr>
        <w:t>3</w:t>
      </w:r>
      <w:r w:rsidRPr="009E66C1" w:rsidR="0075702A">
        <w:rPr>
          <w:bCs/>
          <w:iCs/>
        </w:rPr>
        <w:t xml:space="preserve"> to 20</w:t>
      </w:r>
      <w:r w:rsidR="00170655">
        <w:rPr>
          <w:bCs/>
          <w:iCs/>
        </w:rPr>
        <w:t>2</w:t>
      </w:r>
      <w:r w:rsidR="00DD1678">
        <w:rPr>
          <w:bCs/>
          <w:iCs/>
        </w:rPr>
        <w:t>5</w:t>
      </w:r>
      <w:r w:rsidRPr="009E66C1" w:rsidR="0075702A">
        <w:rPr>
          <w:bCs/>
          <w:iCs/>
        </w:rPr>
        <w:t xml:space="preserve">, NCSES </w:t>
      </w:r>
      <w:r w:rsidRPr="00411AE5" w:rsidR="0075702A">
        <w:rPr>
          <w:bCs/>
          <w:iCs/>
        </w:rPr>
        <w:t xml:space="preserve">conducted </w:t>
      </w:r>
      <w:r w:rsidR="00AA04B9">
        <w:rPr>
          <w:bCs/>
          <w:iCs/>
        </w:rPr>
        <w:t>eight</w:t>
      </w:r>
      <w:r w:rsidRPr="00411AE5" w:rsidR="0075702A">
        <w:rPr>
          <w:bCs/>
          <w:iCs/>
        </w:rPr>
        <w:t xml:space="preserve"> </w:t>
      </w:r>
      <w:r w:rsidR="008056A4">
        <w:rPr>
          <w:bCs/>
          <w:iCs/>
        </w:rPr>
        <w:t>face-to-fac</w:t>
      </w:r>
      <w:r w:rsidR="0053723C">
        <w:rPr>
          <w:bCs/>
          <w:iCs/>
        </w:rPr>
        <w:t>e</w:t>
      </w:r>
      <w:r w:rsidR="007B2A33">
        <w:rPr>
          <w:bCs/>
          <w:iCs/>
        </w:rPr>
        <w:t xml:space="preserve"> </w:t>
      </w:r>
      <w:r w:rsidR="000D4CBC">
        <w:rPr>
          <w:bCs/>
          <w:iCs/>
        </w:rPr>
        <w:t>meetings</w:t>
      </w:r>
      <w:r w:rsidRPr="009E66C1" w:rsidR="0075702A">
        <w:rPr>
          <w:bCs/>
          <w:iCs/>
        </w:rPr>
        <w:t xml:space="preserve"> </w:t>
      </w:r>
      <w:r w:rsidR="00AA04B9">
        <w:rPr>
          <w:bCs/>
          <w:iCs/>
        </w:rPr>
        <w:t>with</w:t>
      </w:r>
      <w:r w:rsidRPr="009E66C1" w:rsidR="00AA04B9">
        <w:rPr>
          <w:bCs/>
          <w:iCs/>
        </w:rPr>
        <w:t xml:space="preserve"> </w:t>
      </w:r>
      <w:r w:rsidRPr="00411AE5" w:rsidR="0075702A">
        <w:rPr>
          <w:bCs/>
          <w:iCs/>
        </w:rPr>
        <w:t>institutions of various size</w:t>
      </w:r>
      <w:r w:rsidR="00AA04B9">
        <w:rPr>
          <w:bCs/>
          <w:iCs/>
        </w:rPr>
        <w:t>s</w:t>
      </w:r>
      <w:r w:rsidRPr="00411AE5" w:rsidR="0075702A">
        <w:rPr>
          <w:bCs/>
          <w:iCs/>
        </w:rPr>
        <w:t xml:space="preserve"> and reporting capacit</w:t>
      </w:r>
      <w:r w:rsidR="00AA04B9">
        <w:rPr>
          <w:bCs/>
          <w:iCs/>
        </w:rPr>
        <w:t>ies</w:t>
      </w:r>
      <w:r w:rsidRPr="00411AE5" w:rsidR="0075702A">
        <w:rPr>
          <w:bCs/>
          <w:iCs/>
        </w:rPr>
        <w:t xml:space="preserve">. The </w:t>
      </w:r>
      <w:r w:rsidR="000D4CBC">
        <w:rPr>
          <w:bCs/>
          <w:iCs/>
        </w:rPr>
        <w:t>meetings</w:t>
      </w:r>
      <w:r w:rsidRPr="00411AE5" w:rsidR="0075702A">
        <w:rPr>
          <w:bCs/>
          <w:iCs/>
        </w:rPr>
        <w:t xml:space="preserve"> focused on data availability, </w:t>
      </w:r>
      <w:r w:rsidR="00411AE5">
        <w:rPr>
          <w:bCs/>
          <w:iCs/>
        </w:rPr>
        <w:t xml:space="preserve">quality, </w:t>
      </w:r>
      <w:r w:rsidR="00AA04B9">
        <w:rPr>
          <w:bCs/>
          <w:iCs/>
        </w:rPr>
        <w:t xml:space="preserve">and </w:t>
      </w:r>
      <w:r w:rsidRPr="00411AE5" w:rsidR="0075702A">
        <w:rPr>
          <w:bCs/>
          <w:iCs/>
        </w:rPr>
        <w:t xml:space="preserve">barriers to </w:t>
      </w:r>
      <w:r w:rsidRPr="00411AE5" w:rsidR="008809CF">
        <w:rPr>
          <w:bCs/>
          <w:iCs/>
        </w:rPr>
        <w:t>using EDI</w:t>
      </w:r>
      <w:r w:rsidRPr="00411AE5" w:rsidR="0075702A">
        <w:rPr>
          <w:bCs/>
          <w:iCs/>
        </w:rPr>
        <w:t xml:space="preserve"> and </w:t>
      </w:r>
      <w:r w:rsidR="00AA04B9">
        <w:rPr>
          <w:bCs/>
          <w:iCs/>
        </w:rPr>
        <w:t xml:space="preserve">on </w:t>
      </w:r>
      <w:r w:rsidRPr="00411AE5" w:rsidR="0075702A">
        <w:rPr>
          <w:bCs/>
          <w:iCs/>
        </w:rPr>
        <w:t xml:space="preserve">assisting coordinators in making the transition from manual entry to </w:t>
      </w:r>
      <w:r w:rsidRPr="00411AE5" w:rsidR="008809CF">
        <w:rPr>
          <w:bCs/>
          <w:iCs/>
        </w:rPr>
        <w:t>EDI</w:t>
      </w:r>
      <w:r w:rsidRPr="00411AE5" w:rsidR="0075702A">
        <w:rPr>
          <w:bCs/>
          <w:iCs/>
        </w:rPr>
        <w:t xml:space="preserve">. </w:t>
      </w:r>
      <w:r w:rsidR="008056A4">
        <w:rPr>
          <w:bCs/>
          <w:iCs/>
        </w:rPr>
        <w:t>C</w:t>
      </w:r>
      <w:r w:rsidRPr="00411AE5" w:rsidR="0075702A">
        <w:rPr>
          <w:bCs/>
          <w:iCs/>
        </w:rPr>
        <w:t xml:space="preserve">oordinators </w:t>
      </w:r>
      <w:r w:rsidR="008056A4">
        <w:rPr>
          <w:bCs/>
          <w:iCs/>
        </w:rPr>
        <w:t xml:space="preserve">using manual data entry </w:t>
      </w:r>
      <w:r w:rsidRPr="00411AE5" w:rsidR="0075702A">
        <w:rPr>
          <w:bCs/>
          <w:iCs/>
        </w:rPr>
        <w:t>expressed an interest in uploading but did not fully understand the benefits, work required, or potential to reduce burden in the subsequent years. The</w:t>
      </w:r>
      <w:r w:rsidRPr="00411AE5">
        <w:rPr>
          <w:bCs/>
          <w:iCs/>
        </w:rPr>
        <w:t xml:space="preserve"> information</w:t>
      </w:r>
      <w:r w:rsidRPr="00411AE5" w:rsidR="0075702A">
        <w:rPr>
          <w:bCs/>
          <w:iCs/>
        </w:rPr>
        <w:t xml:space="preserve"> gathered</w:t>
      </w:r>
      <w:r w:rsidRPr="00411AE5">
        <w:rPr>
          <w:bCs/>
          <w:iCs/>
        </w:rPr>
        <w:t xml:space="preserve"> </w:t>
      </w:r>
      <w:r w:rsidRPr="00411AE5" w:rsidR="0075702A">
        <w:rPr>
          <w:bCs/>
          <w:iCs/>
        </w:rPr>
        <w:t xml:space="preserve">in these </w:t>
      </w:r>
      <w:r w:rsidR="000D4CBC">
        <w:rPr>
          <w:bCs/>
          <w:iCs/>
        </w:rPr>
        <w:t>meetings</w:t>
      </w:r>
      <w:r w:rsidRPr="00411AE5" w:rsidR="000D4CBC">
        <w:rPr>
          <w:bCs/>
          <w:iCs/>
        </w:rPr>
        <w:t xml:space="preserve"> </w:t>
      </w:r>
      <w:r w:rsidRPr="00411AE5" w:rsidR="0075702A">
        <w:rPr>
          <w:bCs/>
          <w:iCs/>
        </w:rPr>
        <w:t>also</w:t>
      </w:r>
      <w:r w:rsidRPr="00411AE5">
        <w:rPr>
          <w:bCs/>
          <w:iCs/>
        </w:rPr>
        <w:t xml:space="preserve"> inform data collection procedures </w:t>
      </w:r>
      <w:r w:rsidRPr="00411AE5" w:rsidR="0075702A">
        <w:rPr>
          <w:bCs/>
          <w:iCs/>
        </w:rPr>
        <w:t>to</w:t>
      </w:r>
      <w:r w:rsidRPr="00411AE5">
        <w:rPr>
          <w:bCs/>
          <w:iCs/>
        </w:rPr>
        <w:t xml:space="preserve"> better </w:t>
      </w:r>
      <w:r w:rsidR="00AA04B9">
        <w:rPr>
          <w:bCs/>
          <w:iCs/>
        </w:rPr>
        <w:t>help</w:t>
      </w:r>
      <w:r w:rsidRPr="00411AE5" w:rsidR="00AA04B9">
        <w:rPr>
          <w:bCs/>
          <w:iCs/>
        </w:rPr>
        <w:t xml:space="preserve"> </w:t>
      </w:r>
      <w:r w:rsidRPr="00411AE5" w:rsidR="0075702A">
        <w:rPr>
          <w:bCs/>
          <w:iCs/>
        </w:rPr>
        <w:t>other</w:t>
      </w:r>
      <w:r w:rsidRPr="00411AE5">
        <w:rPr>
          <w:bCs/>
          <w:iCs/>
        </w:rPr>
        <w:t xml:space="preserve"> </w:t>
      </w:r>
      <w:r w:rsidRPr="00411AE5" w:rsidR="0075702A">
        <w:rPr>
          <w:bCs/>
          <w:iCs/>
        </w:rPr>
        <w:t xml:space="preserve">coordinators </w:t>
      </w:r>
      <w:r w:rsidRPr="00411AE5">
        <w:rPr>
          <w:bCs/>
          <w:iCs/>
        </w:rPr>
        <w:t>complet</w:t>
      </w:r>
      <w:r w:rsidRPr="00411AE5" w:rsidR="0075702A">
        <w:rPr>
          <w:bCs/>
          <w:iCs/>
        </w:rPr>
        <w:t xml:space="preserve">e </w:t>
      </w:r>
      <w:r w:rsidRPr="00411AE5">
        <w:rPr>
          <w:bCs/>
          <w:iCs/>
        </w:rPr>
        <w:t>the survey.</w:t>
      </w:r>
      <w:r w:rsidRPr="009E66C1">
        <w:rPr>
          <w:bCs/>
          <w:iCs/>
        </w:rPr>
        <w:t xml:space="preserve"> </w:t>
      </w:r>
      <w:bookmarkEnd w:id="39"/>
    </w:p>
    <w:p w:rsidR="00851126" w:rsidRPr="00430C99" w:rsidP="009630A5" w14:paraId="13B9CED9" w14:textId="62E65D08">
      <w:pPr>
        <w:pStyle w:val="NormalSS"/>
        <w:spacing w:before="120" w:line="360" w:lineRule="auto"/>
        <w:ind w:firstLine="720"/>
        <w:jc w:val="left"/>
      </w:pPr>
      <w:r>
        <w:rPr>
          <w:bCs/>
          <w:iCs/>
        </w:rPr>
        <w:t xml:space="preserve">While no in-person site visits or virtual meetings with FFRDCs occurred during the previous clearance cycle, NCSES will on occasion visit FFRDCs to explore issues of data availability and quality. The last such site visit was </w:t>
      </w:r>
      <w:r w:rsidR="00AA04B9">
        <w:rPr>
          <w:bCs/>
          <w:iCs/>
        </w:rPr>
        <w:t xml:space="preserve">in </w:t>
      </w:r>
      <w:r w:rsidR="003A6BCD">
        <w:rPr>
          <w:bCs/>
          <w:iCs/>
        </w:rPr>
        <w:t>January</w:t>
      </w:r>
      <w:r>
        <w:rPr>
          <w:bCs/>
          <w:iCs/>
        </w:rPr>
        <w:t xml:space="preserve"> </w:t>
      </w:r>
      <w:r w:rsidR="003A6BCD">
        <w:rPr>
          <w:bCs/>
          <w:iCs/>
        </w:rPr>
        <w:t>2020</w:t>
      </w:r>
      <w:r>
        <w:rPr>
          <w:bCs/>
          <w:iCs/>
        </w:rPr>
        <w:t>.</w:t>
      </w:r>
      <w:r w:rsidR="00CE62EB">
        <w:rPr>
          <w:bCs/>
          <w:iCs/>
        </w:rPr>
        <w:t xml:space="preserve"> As we experienced no major data collection issues with FFRDCs in 2021 or 2023, we have not conducted any in-person site visits recently.</w:t>
      </w:r>
    </w:p>
    <w:p w:rsidR="00A13A20" w:rsidRPr="00CA1752" w:rsidP="009630A5" w14:paraId="5A4108FD" w14:textId="77777777">
      <w:pPr>
        <w:pStyle w:val="Heading3"/>
        <w:spacing w:before="120" w:after="100" w:afterAutospacing="1"/>
        <w:ind w:left="0" w:firstLine="0"/>
        <w:rPr>
          <w:bCs/>
          <w:color w:val="auto"/>
        </w:rPr>
      </w:pPr>
      <w:bookmarkStart w:id="41" w:name="_Toc225442536"/>
      <w:bookmarkEnd w:id="40"/>
      <w:r>
        <w:rPr>
          <w:color w:val="auto"/>
        </w:rPr>
        <w:t>A.8</w:t>
      </w:r>
      <w:r w:rsidRPr="00CA1752">
        <w:rPr>
          <w:color w:val="auto"/>
        </w:rPr>
        <w:t>.</w:t>
      </w:r>
      <w:r>
        <w:rPr>
          <w:color w:val="auto"/>
        </w:rPr>
        <w:t>2</w:t>
      </w:r>
      <w:r w:rsidRPr="00CA1752">
        <w:rPr>
          <w:color w:val="auto"/>
        </w:rPr>
        <w:tab/>
      </w:r>
      <w:r>
        <w:rPr>
          <w:color w:val="auto"/>
        </w:rPr>
        <w:t>Other Consultations</w:t>
      </w:r>
      <w:bookmarkEnd w:id="41"/>
    </w:p>
    <w:p w:rsidR="004539D1" w:rsidP="00156971" w14:paraId="0C02A78F" w14:textId="4FA0D898">
      <w:pPr>
        <w:pStyle w:val="BodyText"/>
        <w:spacing w:after="0"/>
        <w:ind w:right="30"/>
      </w:pPr>
      <w:r w:rsidRPr="00CA1752">
        <w:rPr>
          <w:spacing w:val="-1"/>
        </w:rPr>
        <w:t>N</w:t>
      </w:r>
      <w:r w:rsidRPr="00CA1752" w:rsidR="00BB6BD2">
        <w:rPr>
          <w:spacing w:val="-1"/>
        </w:rPr>
        <w:t>CSES</w:t>
      </w:r>
      <w:r w:rsidRPr="00CA1752">
        <w:rPr>
          <w:spacing w:val="-2"/>
        </w:rPr>
        <w:t xml:space="preserve"> </w:t>
      </w:r>
      <w:r w:rsidRPr="00CA1752">
        <w:rPr>
          <w:spacing w:val="-1"/>
        </w:rPr>
        <w:t>regularly</w:t>
      </w:r>
      <w:r w:rsidRPr="00CA1752">
        <w:rPr>
          <w:spacing w:val="-3"/>
        </w:rPr>
        <w:t xml:space="preserve"> </w:t>
      </w:r>
      <w:r w:rsidRPr="00CA1752">
        <w:rPr>
          <w:spacing w:val="-1"/>
        </w:rPr>
        <w:t>consults</w:t>
      </w:r>
      <w:r w:rsidRPr="00CA1752">
        <w:t xml:space="preserve"> </w:t>
      </w:r>
      <w:r w:rsidRPr="00CA1752">
        <w:rPr>
          <w:spacing w:val="-1"/>
        </w:rPr>
        <w:t>with</w:t>
      </w:r>
      <w:r w:rsidRPr="00CA1752">
        <w:t xml:space="preserve"> the</w:t>
      </w:r>
      <w:r w:rsidRPr="00CA1752">
        <w:rPr>
          <w:spacing w:val="-1"/>
        </w:rPr>
        <w:t xml:space="preserve"> Department</w:t>
      </w:r>
      <w:r w:rsidRPr="00CA1752">
        <w:t xml:space="preserve"> of</w:t>
      </w:r>
      <w:r w:rsidRPr="00CA1752">
        <w:rPr>
          <w:spacing w:val="-1"/>
        </w:rPr>
        <w:t xml:space="preserve"> Education’s</w:t>
      </w:r>
      <w:r w:rsidRPr="00CA1752">
        <w:t xml:space="preserve"> </w:t>
      </w:r>
      <w:r w:rsidRPr="00CA1752">
        <w:rPr>
          <w:spacing w:val="-1"/>
        </w:rPr>
        <w:t>NCES</w:t>
      </w:r>
      <w:r w:rsidRPr="00CA1752">
        <w:t xml:space="preserve"> </w:t>
      </w:r>
      <w:r w:rsidRPr="00CA1752">
        <w:rPr>
          <w:spacing w:val="-1"/>
        </w:rPr>
        <w:t>and</w:t>
      </w:r>
      <w:r w:rsidRPr="00CA1752">
        <w:t xml:space="preserve"> other</w:t>
      </w:r>
      <w:r w:rsidRPr="00CA1752">
        <w:rPr>
          <w:spacing w:val="-1"/>
        </w:rPr>
        <w:t xml:space="preserve"> federal</w:t>
      </w:r>
      <w:r w:rsidRPr="00CA1752">
        <w:rPr>
          <w:spacing w:val="87"/>
        </w:rPr>
        <w:t xml:space="preserve"> </w:t>
      </w:r>
      <w:r w:rsidRPr="00CA1752">
        <w:rPr>
          <w:spacing w:val="-1"/>
        </w:rPr>
        <w:t>agencies</w:t>
      </w:r>
      <w:r w:rsidRPr="00CA1752">
        <w:t xml:space="preserve"> such </w:t>
      </w:r>
      <w:r w:rsidRPr="00CA1752">
        <w:rPr>
          <w:spacing w:val="-1"/>
        </w:rPr>
        <w:t>as</w:t>
      </w:r>
      <w:r w:rsidRPr="00CA1752">
        <w:t xml:space="preserve"> </w:t>
      </w:r>
      <w:r w:rsidR="00AA04B9">
        <w:t xml:space="preserve">the </w:t>
      </w:r>
      <w:r w:rsidRPr="00CA1752">
        <w:rPr>
          <w:spacing w:val="-1"/>
        </w:rPr>
        <w:t>NIH,</w:t>
      </w:r>
      <w:r w:rsidRPr="00CA1752">
        <w:t xml:space="preserve"> </w:t>
      </w:r>
      <w:r w:rsidRPr="00CA1752">
        <w:rPr>
          <w:spacing w:val="-1"/>
        </w:rPr>
        <w:t>professional</w:t>
      </w:r>
      <w:r w:rsidRPr="00CA1752">
        <w:t xml:space="preserve"> </w:t>
      </w:r>
      <w:r w:rsidRPr="00CA1752">
        <w:rPr>
          <w:spacing w:val="-1"/>
        </w:rPr>
        <w:t>societies,</w:t>
      </w:r>
      <w:r w:rsidRPr="00CA1752">
        <w:t xml:space="preserve"> </w:t>
      </w:r>
      <w:r w:rsidRPr="00CA1752">
        <w:rPr>
          <w:spacing w:val="-1"/>
        </w:rPr>
        <w:t>and</w:t>
      </w:r>
      <w:r w:rsidRPr="00CA1752">
        <w:rPr>
          <w:spacing w:val="2"/>
        </w:rPr>
        <w:t xml:space="preserve"> </w:t>
      </w:r>
      <w:r w:rsidRPr="00CA1752" w:rsidR="00BB6BD2">
        <w:t>institutions</w:t>
      </w:r>
      <w:r w:rsidRPr="00CA1752">
        <w:rPr>
          <w:spacing w:val="-1"/>
        </w:rPr>
        <w:t>.</w:t>
      </w:r>
      <w:r w:rsidRPr="00CA1752">
        <w:t xml:space="preserve"> </w:t>
      </w:r>
      <w:r w:rsidRPr="00CA1752">
        <w:rPr>
          <w:spacing w:val="-1"/>
        </w:rPr>
        <w:t>N</w:t>
      </w:r>
      <w:r w:rsidRPr="00CA1752" w:rsidR="00BB6BD2">
        <w:rPr>
          <w:spacing w:val="-1"/>
        </w:rPr>
        <w:t>CSES</w:t>
      </w:r>
      <w:r w:rsidRPr="00CA1752">
        <w:rPr>
          <w:spacing w:val="-2"/>
        </w:rPr>
        <w:t xml:space="preserve"> </w:t>
      </w:r>
      <w:r w:rsidRPr="00CA1752">
        <w:t>staff</w:t>
      </w:r>
      <w:r w:rsidRPr="00CA1752">
        <w:rPr>
          <w:spacing w:val="-1"/>
        </w:rPr>
        <w:t xml:space="preserve"> members</w:t>
      </w:r>
      <w:r w:rsidRPr="00CA1752">
        <w:t xml:space="preserve"> </w:t>
      </w:r>
      <w:r w:rsidRPr="00CA1752">
        <w:rPr>
          <w:spacing w:val="-1"/>
        </w:rPr>
        <w:t>maintain</w:t>
      </w:r>
      <w:r w:rsidRPr="00CA1752">
        <w:rPr>
          <w:spacing w:val="95"/>
        </w:rPr>
        <w:t xml:space="preserve"> </w:t>
      </w:r>
      <w:r w:rsidRPr="00CA1752">
        <w:rPr>
          <w:spacing w:val="-1"/>
        </w:rPr>
        <w:t>frequent</w:t>
      </w:r>
      <w:r w:rsidRPr="00CA1752">
        <w:rPr>
          <w:spacing w:val="2"/>
        </w:rPr>
        <w:t xml:space="preserve"> </w:t>
      </w:r>
      <w:r w:rsidRPr="00CA1752">
        <w:rPr>
          <w:spacing w:val="-1"/>
        </w:rPr>
        <w:t>contact</w:t>
      </w:r>
      <w:r w:rsidRPr="00CA1752">
        <w:t xml:space="preserve"> </w:t>
      </w:r>
      <w:r w:rsidRPr="00CA1752">
        <w:rPr>
          <w:spacing w:val="-1"/>
        </w:rPr>
        <w:t>with</w:t>
      </w:r>
      <w:r w:rsidRPr="00CA1752">
        <w:t xml:space="preserve"> </w:t>
      </w:r>
      <w:r w:rsidRPr="00CA1752">
        <w:rPr>
          <w:spacing w:val="-1"/>
        </w:rPr>
        <w:t>members</w:t>
      </w:r>
      <w:r w:rsidRPr="00CA1752">
        <w:t xml:space="preserve"> of</w:t>
      </w:r>
      <w:r w:rsidRPr="00CA1752">
        <w:rPr>
          <w:spacing w:val="-1"/>
        </w:rPr>
        <w:t xml:space="preserve"> </w:t>
      </w:r>
      <w:r w:rsidRPr="00CA1752">
        <w:t>the</w:t>
      </w:r>
      <w:r w:rsidRPr="00CA1752">
        <w:rPr>
          <w:spacing w:val="-1"/>
        </w:rPr>
        <w:t xml:space="preserve"> data-using</w:t>
      </w:r>
      <w:r w:rsidRPr="00CA1752">
        <w:t xml:space="preserve"> community</w:t>
      </w:r>
      <w:r w:rsidRPr="00CA1752">
        <w:rPr>
          <w:spacing w:val="-5"/>
        </w:rPr>
        <w:t xml:space="preserve"> </w:t>
      </w:r>
      <w:r w:rsidRPr="00CA1752">
        <w:rPr>
          <w:spacing w:val="-1"/>
        </w:rPr>
        <w:t>as</w:t>
      </w:r>
      <w:r w:rsidRPr="00CA1752">
        <w:t xml:space="preserve"> </w:t>
      </w:r>
      <w:r w:rsidRPr="00CA1752">
        <w:rPr>
          <w:spacing w:val="-1"/>
        </w:rPr>
        <w:t>well</w:t>
      </w:r>
      <w:r w:rsidRPr="00CA1752">
        <w:t xml:space="preserve"> </w:t>
      </w:r>
      <w:r w:rsidRPr="00CA1752">
        <w:rPr>
          <w:spacing w:val="-1"/>
        </w:rPr>
        <w:t>as</w:t>
      </w:r>
      <w:r w:rsidRPr="00CA1752">
        <w:t xml:space="preserve"> with </w:t>
      </w:r>
      <w:r w:rsidRPr="00CA1752">
        <w:rPr>
          <w:spacing w:val="-1"/>
        </w:rPr>
        <w:t>major academic data</w:t>
      </w:r>
      <w:r w:rsidRPr="00CA1752">
        <w:rPr>
          <w:spacing w:val="95"/>
        </w:rPr>
        <w:t xml:space="preserve"> </w:t>
      </w:r>
      <w:r w:rsidRPr="00CA1752">
        <w:rPr>
          <w:spacing w:val="-1"/>
        </w:rPr>
        <w:t>providers</w:t>
      </w:r>
      <w:r w:rsidRPr="00CA1752">
        <w:t xml:space="preserve"> </w:t>
      </w:r>
      <w:r w:rsidRPr="00CA1752">
        <w:rPr>
          <w:spacing w:val="-1"/>
        </w:rPr>
        <w:t>through</w:t>
      </w:r>
      <w:r w:rsidRPr="00CA1752">
        <w:t xml:space="preserve"> </w:t>
      </w:r>
      <w:r w:rsidRPr="00CA1752">
        <w:rPr>
          <w:spacing w:val="-1"/>
        </w:rPr>
        <w:t>attendance</w:t>
      </w:r>
      <w:r w:rsidRPr="00CA1752">
        <w:rPr>
          <w:spacing w:val="1"/>
        </w:rPr>
        <w:t xml:space="preserve"> </w:t>
      </w:r>
      <w:r w:rsidRPr="00CA1752">
        <w:rPr>
          <w:spacing w:val="-1"/>
        </w:rPr>
        <w:t>at</w:t>
      </w:r>
      <w:r w:rsidRPr="00CA1752">
        <w:t xml:space="preserve"> </w:t>
      </w:r>
      <w:r w:rsidRPr="00CA1752">
        <w:rPr>
          <w:spacing w:val="-1"/>
        </w:rPr>
        <w:t>professional</w:t>
      </w:r>
      <w:r w:rsidRPr="00CA1752">
        <w:t xml:space="preserve"> society</w:t>
      </w:r>
      <w:r w:rsidRPr="00CA1752">
        <w:rPr>
          <w:spacing w:val="-5"/>
        </w:rPr>
        <w:t xml:space="preserve"> </w:t>
      </w:r>
      <w:r w:rsidRPr="00CA1752">
        <w:rPr>
          <w:spacing w:val="-1"/>
        </w:rPr>
        <w:t>meetings</w:t>
      </w:r>
      <w:r w:rsidRPr="00CA1752">
        <w:rPr>
          <w:spacing w:val="2"/>
        </w:rPr>
        <w:t xml:space="preserve"> </w:t>
      </w:r>
      <w:r w:rsidRPr="00CA1752">
        <w:rPr>
          <w:spacing w:val="-1"/>
        </w:rPr>
        <w:t>and</w:t>
      </w:r>
      <w:r w:rsidRPr="00CA1752">
        <w:t xml:space="preserve"> consultation </w:t>
      </w:r>
      <w:r w:rsidRPr="00CA1752">
        <w:rPr>
          <w:spacing w:val="-1"/>
        </w:rPr>
        <w:t>with</w:t>
      </w:r>
      <w:r w:rsidRPr="00CA1752">
        <w:t xml:space="preserve"> </w:t>
      </w:r>
      <w:r w:rsidRPr="00CA1752">
        <w:rPr>
          <w:spacing w:val="-1"/>
        </w:rPr>
        <w:t>institutional</w:t>
      </w:r>
      <w:r w:rsidRPr="00CA1752">
        <w:rPr>
          <w:spacing w:val="101"/>
        </w:rPr>
        <w:t xml:space="preserve"> </w:t>
      </w:r>
      <w:r w:rsidRPr="00CA1752">
        <w:rPr>
          <w:spacing w:val="-1"/>
        </w:rPr>
        <w:t>and</w:t>
      </w:r>
      <w:r w:rsidRPr="00CA1752">
        <w:t xml:space="preserve"> agency</w:t>
      </w:r>
      <w:r w:rsidRPr="00CA1752">
        <w:rPr>
          <w:spacing w:val="-5"/>
        </w:rPr>
        <w:t xml:space="preserve"> </w:t>
      </w:r>
      <w:r w:rsidRPr="00CA1752">
        <w:rPr>
          <w:spacing w:val="-1"/>
        </w:rPr>
        <w:t>officials.</w:t>
      </w:r>
      <w:r w:rsidRPr="00CA1752">
        <w:t xml:space="preserve"> </w:t>
      </w:r>
      <w:r w:rsidRPr="00CA1752">
        <w:rPr>
          <w:spacing w:val="-1"/>
        </w:rPr>
        <w:t>GSS</w:t>
      </w:r>
      <w:r w:rsidRPr="00CA1752">
        <w:t xml:space="preserve"> </w:t>
      </w:r>
      <w:r w:rsidRPr="00CA1752">
        <w:rPr>
          <w:spacing w:val="-1"/>
        </w:rPr>
        <w:t>sessions</w:t>
      </w:r>
      <w:r w:rsidRPr="00CA1752">
        <w:t xml:space="preserve"> </w:t>
      </w:r>
      <w:r w:rsidRPr="00CA1752">
        <w:rPr>
          <w:spacing w:val="-1"/>
        </w:rPr>
        <w:t>are typically</w:t>
      </w:r>
      <w:r w:rsidRPr="00CA1752">
        <w:rPr>
          <w:spacing w:val="-5"/>
        </w:rPr>
        <w:t xml:space="preserve"> </w:t>
      </w:r>
      <w:r w:rsidRPr="00CA1752">
        <w:t xml:space="preserve">held </w:t>
      </w:r>
      <w:r w:rsidRPr="00CA1752">
        <w:rPr>
          <w:spacing w:val="-1"/>
        </w:rPr>
        <w:t>at</w:t>
      </w:r>
      <w:r w:rsidRPr="00CA1752">
        <w:t xml:space="preserve"> the</w:t>
      </w:r>
      <w:r w:rsidRPr="00CA1752">
        <w:rPr>
          <w:spacing w:val="-1"/>
        </w:rPr>
        <w:t xml:space="preserve"> Association</w:t>
      </w:r>
      <w:r w:rsidRPr="00CA1752">
        <w:t xml:space="preserve"> </w:t>
      </w:r>
      <w:r w:rsidRPr="00CA1752">
        <w:rPr>
          <w:spacing w:val="-1"/>
        </w:rPr>
        <w:t>for</w:t>
      </w:r>
      <w:r w:rsidRPr="00CA1752">
        <w:rPr>
          <w:spacing w:val="4"/>
        </w:rPr>
        <w:t xml:space="preserve"> </w:t>
      </w:r>
      <w:r w:rsidRPr="00CA1752">
        <w:rPr>
          <w:spacing w:val="-1"/>
        </w:rPr>
        <w:t>Institutional</w:t>
      </w:r>
      <w:r w:rsidRPr="00CA1752">
        <w:rPr>
          <w:spacing w:val="97"/>
        </w:rPr>
        <w:t xml:space="preserve"> </w:t>
      </w:r>
      <w:r w:rsidRPr="00CA1752">
        <w:rPr>
          <w:spacing w:val="-1"/>
        </w:rPr>
        <w:t>Researcher</w:t>
      </w:r>
      <w:r w:rsidRPr="00CA1752">
        <w:t xml:space="preserve"> </w:t>
      </w:r>
      <w:r w:rsidRPr="00CA1752">
        <w:rPr>
          <w:spacing w:val="-1"/>
        </w:rPr>
        <w:t xml:space="preserve">(AIR) </w:t>
      </w:r>
      <w:r w:rsidRPr="00CA1752">
        <w:t xml:space="preserve">Annual </w:t>
      </w:r>
      <w:r w:rsidRPr="00CA1752">
        <w:rPr>
          <w:spacing w:val="-1"/>
        </w:rPr>
        <w:t>Forum</w:t>
      </w:r>
      <w:r w:rsidRPr="00CA1752">
        <w:t xml:space="preserve"> </w:t>
      </w:r>
      <w:r w:rsidRPr="00CA1752" w:rsidR="00A851BB">
        <w:t xml:space="preserve">and the CGS Annual Meeting </w:t>
      </w:r>
      <w:r w:rsidRPr="00CA1752">
        <w:rPr>
          <w:spacing w:val="-1"/>
        </w:rPr>
        <w:t>each</w:t>
      </w:r>
      <w:r w:rsidRPr="00CA1752">
        <w:rPr>
          <w:spacing w:val="4"/>
        </w:rPr>
        <w:t xml:space="preserve"> </w:t>
      </w:r>
      <w:r w:rsidRPr="00CA1752">
        <w:rPr>
          <w:spacing w:val="-2"/>
        </w:rPr>
        <w:t>year</w:t>
      </w:r>
      <w:r w:rsidRPr="00CA1752">
        <w:rPr>
          <w:spacing w:val="-1"/>
        </w:rPr>
        <w:t xml:space="preserve"> </w:t>
      </w:r>
      <w:r w:rsidRPr="00CA1752">
        <w:t xml:space="preserve">to obtain </w:t>
      </w:r>
      <w:r w:rsidRPr="00CA1752">
        <w:rPr>
          <w:spacing w:val="-1"/>
        </w:rPr>
        <w:t>respondent</w:t>
      </w:r>
      <w:r w:rsidRPr="00CA1752">
        <w:t xml:space="preserve"> input.</w:t>
      </w:r>
      <w:r w:rsidR="008056A4">
        <w:t xml:space="preserve"> In 2024, NCSES presented a session at the AIR Forum on how to use GSS data to identify trends in postdoctoral employment and funding support. The presentation </w:t>
      </w:r>
      <w:r w:rsidR="008056A4">
        <w:t xml:space="preserve">included opportunities for institutions to suggest ways that GSS data could be improved to provide more utility to </w:t>
      </w:r>
      <w:r w:rsidR="006C0BAA">
        <w:t>researchers.</w:t>
      </w:r>
      <w:r>
        <w:t xml:space="preserve"> </w:t>
      </w:r>
    </w:p>
    <w:p w:rsidR="005F7C62" w:rsidRPr="00A92901" w:rsidP="00A92901" w14:paraId="5CE2BDAA" w14:textId="77777777">
      <w:pPr>
        <w:pStyle w:val="Heading2"/>
      </w:pPr>
      <w:bookmarkStart w:id="42" w:name="_Toc488073274"/>
      <w:bookmarkStart w:id="43" w:name="_Toc225442537"/>
      <w:r w:rsidRPr="00A92901">
        <w:t>A.</w:t>
      </w:r>
      <w:r w:rsidRPr="00A92901" w:rsidR="009C1E93">
        <w:t>9</w:t>
      </w:r>
      <w:r w:rsidRPr="00A92901" w:rsidR="009C1E93">
        <w:tab/>
      </w:r>
      <w:r w:rsidRPr="00A92901" w:rsidR="008C752D">
        <w:t xml:space="preserve">Payment or Gifts to </w:t>
      </w:r>
      <w:r w:rsidRPr="00A92901" w:rsidR="00BD77E3">
        <w:t>R</w:t>
      </w:r>
      <w:r w:rsidRPr="00A92901" w:rsidR="008C752D">
        <w:t>espondents</w:t>
      </w:r>
      <w:bookmarkEnd w:id="42"/>
      <w:bookmarkEnd w:id="43"/>
    </w:p>
    <w:p w:rsidR="005F7C62" w:rsidRPr="00CA1752" w:rsidP="009C1E93" w14:paraId="0192FCC0" w14:textId="309C241C">
      <w:pPr>
        <w:pStyle w:val="BodyText"/>
      </w:pPr>
      <w:r w:rsidRPr="00CA1752">
        <w:t>There</w:t>
      </w:r>
      <w:r w:rsidRPr="00CA1752">
        <w:rPr>
          <w:spacing w:val="1"/>
        </w:rPr>
        <w:t xml:space="preserve"> </w:t>
      </w:r>
      <w:r w:rsidRPr="00CA1752">
        <w:t>are</w:t>
      </w:r>
      <w:r w:rsidRPr="00CA1752">
        <w:rPr>
          <w:spacing w:val="1"/>
        </w:rPr>
        <w:t xml:space="preserve"> </w:t>
      </w:r>
      <w:r w:rsidRPr="00CA1752">
        <w:t>no payments</w:t>
      </w:r>
      <w:r w:rsidR="00C80947">
        <w:t xml:space="preserve"> or gifts</w:t>
      </w:r>
      <w:r w:rsidRPr="00CA1752">
        <w:t xml:space="preserve"> to GSS</w:t>
      </w:r>
      <w:r w:rsidR="003A6BCD">
        <w:t xml:space="preserve"> or FFRDC</w:t>
      </w:r>
      <w:r w:rsidRPr="00CA1752">
        <w:t xml:space="preserve"> </w:t>
      </w:r>
      <w:r w:rsidR="00AA04B9">
        <w:t>Postdoc S</w:t>
      </w:r>
      <w:r w:rsidR="00374D77">
        <w:t xml:space="preserve">urvey </w:t>
      </w:r>
      <w:r w:rsidRPr="00CA1752">
        <w:t>respondents.</w:t>
      </w:r>
    </w:p>
    <w:p w:rsidR="005F7C62" w:rsidRPr="00CA1752" w:rsidP="001D398B" w14:paraId="7EF70AFE" w14:textId="77777777">
      <w:pPr>
        <w:pStyle w:val="Heading2"/>
        <w:rPr>
          <w:bCs/>
        </w:rPr>
      </w:pPr>
      <w:bookmarkStart w:id="44" w:name="_Toc488073275"/>
      <w:bookmarkStart w:id="45" w:name="_Toc225442538"/>
      <w:bookmarkStart w:id="46" w:name="_Hlk37245576"/>
      <w:r>
        <w:t>A.</w:t>
      </w:r>
      <w:r w:rsidRPr="00CA1752" w:rsidR="009C1E93">
        <w:t>10</w:t>
      </w:r>
      <w:r w:rsidRPr="00CA1752" w:rsidR="009C1E93">
        <w:tab/>
      </w:r>
      <w:r w:rsidRPr="00CA1752" w:rsidR="008C752D">
        <w:t>Assurance of</w:t>
      </w:r>
      <w:r w:rsidRPr="00CA1752" w:rsidR="008C752D">
        <w:rPr>
          <w:spacing w:val="1"/>
        </w:rPr>
        <w:t xml:space="preserve"> </w:t>
      </w:r>
      <w:r w:rsidRPr="00CA1752" w:rsidR="008C752D">
        <w:t>Confidentiality</w:t>
      </w:r>
      <w:bookmarkEnd w:id="44"/>
      <w:bookmarkEnd w:id="45"/>
    </w:p>
    <w:p w:rsidR="005F7C62" w:rsidRPr="00CA1752" w:rsidP="008164C1" w14:paraId="666DA9C9" w14:textId="43AED639">
      <w:pPr>
        <w:pStyle w:val="BodyText"/>
      </w:pPr>
      <w:r w:rsidRPr="00CA1752">
        <w:t>No pledge of</w:t>
      </w:r>
      <w:r w:rsidRPr="00CA1752">
        <w:rPr>
          <w:spacing w:val="1"/>
        </w:rPr>
        <w:t xml:space="preserve"> </w:t>
      </w:r>
      <w:r w:rsidRPr="00CA1752">
        <w:t>confidentiality</w:t>
      </w:r>
      <w:r w:rsidRPr="00CA1752">
        <w:rPr>
          <w:spacing w:val="-8"/>
        </w:rPr>
        <w:t xml:space="preserve"> </w:t>
      </w:r>
      <w:r w:rsidRPr="00CA1752">
        <w:t>is</w:t>
      </w:r>
      <w:r w:rsidRPr="00CA1752">
        <w:rPr>
          <w:spacing w:val="2"/>
        </w:rPr>
        <w:t xml:space="preserve"> </w:t>
      </w:r>
      <w:r w:rsidRPr="00CA1752">
        <w:t>given to institutions providing</w:t>
      </w:r>
      <w:r w:rsidRPr="00CA1752">
        <w:rPr>
          <w:spacing w:val="-3"/>
        </w:rPr>
        <w:t xml:space="preserve"> </w:t>
      </w:r>
      <w:r w:rsidRPr="00CA1752">
        <w:t>data to the</w:t>
      </w:r>
      <w:r w:rsidRPr="00CA1752">
        <w:rPr>
          <w:spacing w:val="1"/>
        </w:rPr>
        <w:t xml:space="preserve"> </w:t>
      </w:r>
      <w:r w:rsidRPr="00CA1752">
        <w:t>GSS</w:t>
      </w:r>
      <w:r w:rsidR="00144811">
        <w:t xml:space="preserve"> </w:t>
      </w:r>
      <w:r w:rsidR="003A6BCD">
        <w:t xml:space="preserve">or </w:t>
      </w:r>
      <w:r w:rsidR="00374D77">
        <w:t xml:space="preserve">the </w:t>
      </w:r>
      <w:r w:rsidR="003A6BCD">
        <w:t>FFRDC</w:t>
      </w:r>
      <w:r w:rsidR="00374D77">
        <w:t xml:space="preserve"> </w:t>
      </w:r>
      <w:r w:rsidR="00AA04B9">
        <w:t>P</w:t>
      </w:r>
      <w:r w:rsidR="00374D77">
        <w:t xml:space="preserve">ostdoc </w:t>
      </w:r>
      <w:r w:rsidR="00AA04B9">
        <w:t>S</w:t>
      </w:r>
      <w:r w:rsidR="00374D77">
        <w:t>urvey</w:t>
      </w:r>
      <w:r w:rsidR="003A6BCD">
        <w:t xml:space="preserve"> </w:t>
      </w:r>
      <w:r w:rsidR="00144811">
        <w:t>because all d</w:t>
      </w:r>
      <w:r w:rsidRPr="00CA1752">
        <w:t>ata</w:t>
      </w:r>
      <w:r w:rsidR="00144811">
        <w:t xml:space="preserve"> </w:t>
      </w:r>
      <w:r w:rsidRPr="00CA1752">
        <w:t>collected are</w:t>
      </w:r>
      <w:r w:rsidRPr="00CA1752">
        <w:rPr>
          <w:spacing w:val="1"/>
        </w:rPr>
        <w:t xml:space="preserve"> </w:t>
      </w:r>
      <w:r w:rsidRPr="00CA1752">
        <w:t>aggregate counts of students, postdocs, and NFRs.</w:t>
      </w:r>
      <w:r w:rsidRPr="00CA1752">
        <w:rPr>
          <w:spacing w:val="2"/>
        </w:rPr>
        <w:t xml:space="preserve"> </w:t>
      </w:r>
      <w:r w:rsidRPr="00CA1752">
        <w:t>Data are published</w:t>
      </w:r>
      <w:r w:rsidR="00144811">
        <w:t xml:space="preserve"> </w:t>
      </w:r>
      <w:r w:rsidRPr="00CA1752">
        <w:t>only</w:t>
      </w:r>
      <w:r w:rsidRPr="00CA1752">
        <w:rPr>
          <w:spacing w:val="-5"/>
        </w:rPr>
        <w:t xml:space="preserve"> </w:t>
      </w:r>
      <w:r w:rsidRPr="00CA1752">
        <w:t>at the departmental</w:t>
      </w:r>
      <w:r w:rsidRPr="00CA1752">
        <w:rPr>
          <w:spacing w:val="2"/>
        </w:rPr>
        <w:t xml:space="preserve"> </w:t>
      </w:r>
      <w:r w:rsidRPr="00CA1752">
        <w:t>summary</w:t>
      </w:r>
      <w:r w:rsidRPr="00CA1752">
        <w:rPr>
          <w:spacing w:val="-5"/>
        </w:rPr>
        <w:t xml:space="preserve"> </w:t>
      </w:r>
      <w:r w:rsidRPr="00CA1752">
        <w:t>level.</w:t>
      </w:r>
    </w:p>
    <w:p w:rsidR="005F7C62" w:rsidRPr="00A92901" w:rsidP="00A92901" w14:paraId="18175E9C" w14:textId="77777777">
      <w:pPr>
        <w:pStyle w:val="Heading2"/>
      </w:pPr>
      <w:bookmarkStart w:id="47" w:name="_Toc488073276"/>
      <w:bookmarkStart w:id="48" w:name="_Toc225442539"/>
      <w:bookmarkEnd w:id="46"/>
      <w:r w:rsidRPr="00A92901">
        <w:t>A.</w:t>
      </w:r>
      <w:r w:rsidRPr="00A92901" w:rsidR="009C1E93">
        <w:t>11</w:t>
      </w:r>
      <w:r w:rsidRPr="00A92901" w:rsidR="009C1E93">
        <w:tab/>
      </w:r>
      <w:r w:rsidRPr="00A92901" w:rsidR="00BD77E3">
        <w:t xml:space="preserve">Justification for </w:t>
      </w:r>
      <w:r w:rsidRPr="00A92901" w:rsidR="008C752D">
        <w:t>Sensitive Questions</w:t>
      </w:r>
      <w:bookmarkEnd w:id="47"/>
      <w:bookmarkEnd w:id="48"/>
    </w:p>
    <w:p w:rsidR="005F7C62" w:rsidRPr="00CA1752" w:rsidP="005C241E" w14:paraId="5395514D" w14:textId="77777777">
      <w:pPr>
        <w:pStyle w:val="BodyText"/>
        <w:spacing w:after="0"/>
      </w:pPr>
      <w:r w:rsidRPr="00CA1752">
        <w:t>The survey</w:t>
      </w:r>
      <w:r w:rsidRPr="00CA1752">
        <w:rPr>
          <w:spacing w:val="-5"/>
        </w:rPr>
        <w:t xml:space="preserve"> </w:t>
      </w:r>
      <w:r w:rsidRPr="00CA1752">
        <w:t xml:space="preserve">does not contain </w:t>
      </w:r>
      <w:r w:rsidRPr="00CA1752">
        <w:rPr>
          <w:spacing w:val="1"/>
        </w:rPr>
        <w:t>any</w:t>
      </w:r>
      <w:r w:rsidRPr="00CA1752">
        <w:rPr>
          <w:spacing w:val="-5"/>
        </w:rPr>
        <w:t xml:space="preserve"> </w:t>
      </w:r>
      <w:r w:rsidRPr="00CA1752">
        <w:t>questions of a sensitive nature.</w:t>
      </w:r>
    </w:p>
    <w:p w:rsidR="0052750A" w:rsidRPr="006465DF" w:rsidP="006465DF" w14:paraId="7C511DDB" w14:textId="77777777">
      <w:pPr>
        <w:pStyle w:val="Heading2"/>
      </w:pPr>
      <w:bookmarkStart w:id="49" w:name="_Toc225442540"/>
      <w:bookmarkStart w:id="50" w:name="_Toc488073277"/>
      <w:r w:rsidRPr="006465DF">
        <w:t>A.12</w:t>
      </w:r>
      <w:r w:rsidRPr="006465DF">
        <w:tab/>
        <w:t>Estimate of Respondent Burden</w:t>
      </w:r>
      <w:bookmarkEnd w:id="49"/>
    </w:p>
    <w:p w:rsidR="0052750A" w:rsidRPr="003876EC" w:rsidP="004D185C" w14:paraId="4EF344CE" w14:textId="03DED3B2">
      <w:pPr>
        <w:pStyle w:val="BodyText"/>
        <w:rPr>
          <w:b/>
          <w:bCs/>
        </w:rPr>
      </w:pPr>
      <w:r>
        <w:t>During e</w:t>
      </w:r>
      <w:r w:rsidRPr="003876EC">
        <w:t>ach</w:t>
      </w:r>
      <w:r w:rsidRPr="003876EC">
        <w:rPr>
          <w:spacing w:val="4"/>
        </w:rPr>
        <w:t xml:space="preserve"> </w:t>
      </w:r>
      <w:r w:rsidRPr="003876EC">
        <w:rPr>
          <w:spacing w:val="-2"/>
        </w:rPr>
        <w:t>survey cycle</w:t>
      </w:r>
      <w:r>
        <w:rPr>
          <w:spacing w:val="-2"/>
        </w:rPr>
        <w:t>,</w:t>
      </w:r>
      <w:r w:rsidRPr="003876EC">
        <w:t xml:space="preserve"> when respondents reach the end of the</w:t>
      </w:r>
      <w:r w:rsidRPr="003876EC">
        <w:rPr>
          <w:spacing w:val="1"/>
        </w:rPr>
        <w:t xml:space="preserve"> GSS </w:t>
      </w:r>
      <w:r w:rsidRPr="003876EC">
        <w:t>web instrument, they</w:t>
      </w:r>
      <w:r w:rsidRPr="003876EC">
        <w:rPr>
          <w:spacing w:val="-5"/>
        </w:rPr>
        <w:t xml:space="preserve"> </w:t>
      </w:r>
      <w:r w:rsidRPr="003876EC">
        <w:t>are</w:t>
      </w:r>
      <w:r w:rsidRPr="003876EC">
        <w:rPr>
          <w:spacing w:val="1"/>
        </w:rPr>
        <w:t xml:space="preserve"> </w:t>
      </w:r>
      <w:r w:rsidRPr="003876EC">
        <w:t>asked to report how long</w:t>
      </w:r>
      <w:r w:rsidRPr="003876EC">
        <w:rPr>
          <w:spacing w:val="-3"/>
        </w:rPr>
        <w:t xml:space="preserve"> </w:t>
      </w:r>
      <w:r w:rsidRPr="003876EC">
        <w:t xml:space="preserve">it took them to complete the data collection. Reported burden to complete the GSS varies considerably across respondents. Factors impacting burden include the number of organizational units at the institution; the degree to which requested data can be queried from centralized institutional databases or whether the GSS survey coordinator relies on the </w:t>
      </w:r>
      <w:r w:rsidR="00CE0C92">
        <w:t>u</w:t>
      </w:r>
      <w:r w:rsidRPr="003876EC">
        <w:t xml:space="preserve">nit </w:t>
      </w:r>
      <w:r w:rsidR="00CE0C92">
        <w:t>r</w:t>
      </w:r>
      <w:r w:rsidRPr="003876EC">
        <w:t>espondents (URs) in various organizational units (e.g., academic departments or research centers) for some of the requested data; and whether the respondent uploads their data electronically or manually enters it into the GSS web instrument. When those factors are considered</w:t>
      </w:r>
      <w:r>
        <w:t>,</w:t>
      </w:r>
      <w:r w:rsidRPr="003876EC">
        <w:t xml:space="preserve"> the average reported burden per coordinator over the past three cycles (20</w:t>
      </w:r>
      <w:r w:rsidRPr="00732BDC">
        <w:t>22</w:t>
      </w:r>
      <w:r w:rsidRPr="003876EC">
        <w:t>-202</w:t>
      </w:r>
      <w:r>
        <w:t>4</w:t>
      </w:r>
      <w:r w:rsidRPr="003876EC">
        <w:t>), was 1</w:t>
      </w:r>
      <w:r w:rsidRPr="00732BDC">
        <w:t>8.</w:t>
      </w:r>
      <w:r>
        <w:t>7</w:t>
      </w:r>
      <w:r w:rsidRPr="003876EC">
        <w:t xml:space="preserve"> hours, based on </w:t>
      </w:r>
      <w:r w:rsidR="00593A4D">
        <w:t xml:space="preserve">the </w:t>
      </w:r>
      <w:r w:rsidRPr="00732BDC">
        <w:t>60</w:t>
      </w:r>
      <w:r w:rsidRPr="003876EC">
        <w:t xml:space="preserve">% of coordinators and </w:t>
      </w:r>
      <w:r w:rsidRPr="00732BDC">
        <w:t>51</w:t>
      </w:r>
      <w:r w:rsidRPr="003876EC">
        <w:t>% of URs who provided burden estimates.</w:t>
      </w:r>
      <w:r w:rsidR="008520AD">
        <w:t xml:space="preserve"> Because this 18.7 hour value is based on </w:t>
      </w:r>
      <w:r w:rsidR="000E2073">
        <w:t xml:space="preserve">a limited number of respondents, we </w:t>
      </w:r>
      <w:r w:rsidR="00352A11">
        <w:t xml:space="preserve">use the reported data to </w:t>
      </w:r>
      <w:r w:rsidR="00976176">
        <w:t>estimate</w:t>
      </w:r>
      <w:r w:rsidR="00352A11">
        <w:t xml:space="preserve"> the </w:t>
      </w:r>
      <w:r w:rsidR="00976176">
        <w:t>missingness based on institutional reporting characteristics. Our process for estimation is described below.</w:t>
      </w:r>
    </w:p>
    <w:p w:rsidR="0052750A" w:rsidP="004D185C" w14:paraId="4CD454C2" w14:textId="63AE1238">
      <w:pPr>
        <w:pStyle w:val="BodyText"/>
      </w:pPr>
      <w:r w:rsidRPr="003876EC">
        <w:t>The use of URs has the largest impact on respondent burden</w:t>
      </w:r>
      <w:r w:rsidR="00AA04B9">
        <w:t>,</w:t>
      </w:r>
      <w:r w:rsidRPr="003876EC">
        <w:t xml:space="preserve"> as this practice requires the use of multiple individuals at the department level to assist with the data collection. Exhibit</w:t>
      </w:r>
      <w:r w:rsidR="00AA04B9">
        <w:t> </w:t>
      </w:r>
      <w:r w:rsidRPr="003876EC">
        <w:t>1 and Exhibit</w:t>
      </w:r>
      <w:r w:rsidR="00AA04B9">
        <w:t> </w:t>
      </w:r>
      <w:r w:rsidRPr="003876EC">
        <w:t xml:space="preserve">2 demonstrate the variance in reported burden when coordinators that utilize URs and those who do not are separated. The average reported burden per year to complete the GSS </w:t>
      </w:r>
      <w:r w:rsidRPr="003876EC">
        <w:t xml:space="preserve">at a school without </w:t>
      </w:r>
      <w:r w:rsidR="00CE0C92">
        <w:t>URs</w:t>
      </w:r>
      <w:r w:rsidRPr="003876EC">
        <w:t xml:space="preserve"> was 1</w:t>
      </w:r>
      <w:r w:rsidRPr="00283BF5">
        <w:t>8.6</w:t>
      </w:r>
      <w:r w:rsidRPr="003876EC">
        <w:t xml:space="preserve"> hours</w:t>
      </w:r>
      <w:r w:rsidRPr="0053723C">
        <w:t xml:space="preserve">. </w:t>
      </w:r>
      <w:r w:rsidR="005B4053">
        <w:t xml:space="preserve">For </w:t>
      </w:r>
      <w:r w:rsidRPr="0053723C">
        <w:t>2022</w:t>
      </w:r>
      <w:r w:rsidR="005B4053">
        <w:t>, 2023,</w:t>
      </w:r>
      <w:r w:rsidRPr="0053723C">
        <w:t xml:space="preserve"> and 2024, the average reported burden for individual </w:t>
      </w:r>
      <w:r w:rsidR="00CE0C92">
        <w:t>URs</w:t>
      </w:r>
      <w:r w:rsidRPr="0053723C">
        <w:t xml:space="preserve"> was 2.5 hours, 3.1 hours, and 2.9 hours, respectively. </w:t>
      </w:r>
      <w:r w:rsidRPr="003876EC">
        <w:t xml:space="preserve">The average reported burden for institutions that that used </w:t>
      </w:r>
      <w:r w:rsidR="00CE0C92">
        <w:t>URs</w:t>
      </w:r>
      <w:r w:rsidRPr="003876EC">
        <w:t xml:space="preserve"> was </w:t>
      </w:r>
      <w:r w:rsidRPr="00283BF5">
        <w:t>25.4</w:t>
      </w:r>
      <w:r w:rsidRPr="003876EC">
        <w:t xml:space="preserve"> hours.</w:t>
      </w:r>
    </w:p>
    <w:p w:rsidR="00CE0C92" w:rsidRPr="004D185C" w:rsidP="004D185C" w14:paraId="4BC5CBAA" w14:textId="77777777">
      <w:pPr>
        <w:pStyle w:val="BodyText"/>
      </w:pPr>
    </w:p>
    <w:tbl>
      <w:tblPr>
        <w:tblpPr w:leftFromText="180" w:rightFromText="180" w:vertAnchor="text" w:tblpY="1"/>
        <w:tblOverlap w:val="never"/>
        <w:tblW w:w="9360" w:type="dxa"/>
        <w:tblLook w:val="04A0"/>
      </w:tblPr>
      <w:tblGrid>
        <w:gridCol w:w="2135"/>
        <w:gridCol w:w="626"/>
        <w:gridCol w:w="1074"/>
        <w:gridCol w:w="626"/>
        <w:gridCol w:w="1071"/>
        <w:gridCol w:w="649"/>
        <w:gridCol w:w="1081"/>
        <w:gridCol w:w="838"/>
        <w:gridCol w:w="1260"/>
      </w:tblGrid>
      <w:tr w14:paraId="70E7FE2F" w14:textId="77777777" w:rsidTr="004D185C">
        <w:tblPrEx>
          <w:tblW w:w="9360" w:type="dxa"/>
          <w:tblLook w:val="04A0"/>
        </w:tblPrEx>
        <w:trPr>
          <w:trHeight w:val="315"/>
        </w:trPr>
        <w:tc>
          <w:tcPr>
            <w:tcW w:w="9360" w:type="dxa"/>
            <w:gridSpan w:val="9"/>
            <w:tcBorders>
              <w:top w:val="nil"/>
              <w:left w:val="nil"/>
              <w:bottom w:val="single" w:sz="4" w:space="0" w:color="auto"/>
              <w:right w:val="nil"/>
            </w:tcBorders>
            <w:noWrap/>
            <w:vAlign w:val="center"/>
            <w:hideMark/>
          </w:tcPr>
          <w:p w:rsidR="0052750A" w:rsidRPr="004D185C" w:rsidP="00CE0C92" w14:paraId="08C461C8" w14:textId="29828C0B">
            <w:pPr>
              <w:pStyle w:val="TableTitle"/>
              <w:keepNext/>
              <w:framePr w:hSpace="0" w:wrap="auto" w:vAnchor="margin" w:yAlign="inline"/>
              <w:suppressOverlap w:val="0"/>
            </w:pPr>
            <w:bookmarkStart w:id="51" w:name="_Toc225512739"/>
            <w:r w:rsidRPr="004D185C">
              <w:t>Exhibit 1.</w:t>
            </w:r>
            <w:r w:rsidRPr="004D185C" w:rsidR="004D185C">
              <w:tab/>
            </w:r>
            <w:r w:rsidRPr="004D185C">
              <w:t xml:space="preserve">GSS 2022-2024 </w:t>
            </w:r>
            <w:r w:rsidR="00CE0C92">
              <w:t>R</w:t>
            </w:r>
            <w:r w:rsidRPr="004D185C">
              <w:t xml:space="preserve">eported </w:t>
            </w:r>
            <w:r w:rsidR="00CE0C92">
              <w:t>C</w:t>
            </w:r>
            <w:r w:rsidRPr="004D185C">
              <w:t xml:space="preserve">oordinator </w:t>
            </w:r>
            <w:r w:rsidR="00CE0C92">
              <w:t>B</w:t>
            </w:r>
            <w:r w:rsidRPr="004D185C">
              <w:t xml:space="preserve">urden, by </w:t>
            </w:r>
            <w:r w:rsidR="00CE0C92">
              <w:t>I</w:t>
            </w:r>
            <w:r w:rsidRPr="004D185C">
              <w:t xml:space="preserve">nstitutional </w:t>
            </w:r>
            <w:r w:rsidR="00CE0C92">
              <w:t>R</w:t>
            </w:r>
            <w:r w:rsidRPr="004D185C">
              <w:t xml:space="preserve">eporting </w:t>
            </w:r>
            <w:r w:rsidR="00CE0C92">
              <w:t>S</w:t>
            </w:r>
            <w:r w:rsidRPr="004D185C">
              <w:t xml:space="preserve">ize and </w:t>
            </w:r>
            <w:r w:rsidR="00CE0C92">
              <w:t>D</w:t>
            </w:r>
            <w:r w:rsidRPr="004D185C">
              <w:t xml:space="preserve">ata </w:t>
            </w:r>
            <w:r w:rsidR="00CE0C92">
              <w:t>P</w:t>
            </w:r>
            <w:r w:rsidRPr="004D185C">
              <w:t xml:space="preserve">rovision </w:t>
            </w:r>
            <w:r w:rsidR="00CE0C92">
              <w:t>M</w:t>
            </w:r>
            <w:r w:rsidRPr="004D185C">
              <w:t>ethod</w:t>
            </w:r>
            <w:bookmarkEnd w:id="51"/>
            <w:r w:rsidRPr="004D185C">
              <w:t xml:space="preserve"> </w:t>
            </w:r>
          </w:p>
        </w:tc>
      </w:tr>
      <w:tr w14:paraId="76F62F56" w14:textId="77777777" w:rsidTr="008D132A">
        <w:tblPrEx>
          <w:tblW w:w="9360" w:type="dxa"/>
          <w:tblLook w:val="04A0"/>
        </w:tblPrEx>
        <w:tc>
          <w:tcPr>
            <w:tcW w:w="2135" w:type="dxa"/>
            <w:tcBorders>
              <w:top w:val="nil"/>
              <w:left w:val="single" w:sz="4" w:space="0" w:color="auto"/>
              <w:right w:val="single" w:sz="4" w:space="0" w:color="auto"/>
            </w:tcBorders>
            <w:noWrap/>
            <w:vAlign w:val="bottom"/>
            <w:hideMark/>
          </w:tcPr>
          <w:p w:rsidR="0052750A" w:rsidRPr="003876EC" w:rsidP="00CE0C92" w14:paraId="0F0F4AB0" w14:textId="77777777">
            <w:pPr>
              <w:keepNext/>
              <w:rPr>
                <w:rFonts w:eastAsia="Times New Roman" w:cs="Times New Roman"/>
                <w:color w:val="000000"/>
              </w:rPr>
            </w:pPr>
            <w:r w:rsidRPr="003876EC">
              <w:rPr>
                <w:rFonts w:eastAsia="Times New Roman" w:cs="Times New Roman"/>
                <w:color w:val="000000"/>
              </w:rPr>
              <w:t> </w:t>
            </w:r>
          </w:p>
        </w:tc>
        <w:tc>
          <w:tcPr>
            <w:tcW w:w="1700" w:type="dxa"/>
            <w:gridSpan w:val="2"/>
            <w:tcBorders>
              <w:top w:val="single" w:sz="4" w:space="0" w:color="auto"/>
              <w:left w:val="nil"/>
              <w:right w:val="single" w:sz="4" w:space="0" w:color="auto"/>
            </w:tcBorders>
            <w:noWrap/>
            <w:vAlign w:val="bottom"/>
            <w:hideMark/>
          </w:tcPr>
          <w:p w:rsidR="0052750A" w:rsidRPr="003876EC" w:rsidP="00CE0C92" w14:paraId="58B0EDEB" w14:textId="77777777">
            <w:pPr>
              <w:keepNext/>
              <w:jc w:val="center"/>
              <w:rPr>
                <w:rFonts w:eastAsia="Times New Roman" w:cs="Times New Roman"/>
                <w:b/>
                <w:bCs/>
                <w:color w:val="000000"/>
              </w:rPr>
            </w:pPr>
            <w:r w:rsidRPr="003876EC">
              <w:rPr>
                <w:rFonts w:eastAsia="Times New Roman" w:cs="Times New Roman"/>
                <w:b/>
                <w:bCs/>
                <w:color w:val="000000"/>
              </w:rPr>
              <w:t>20</w:t>
            </w:r>
            <w:r>
              <w:rPr>
                <w:rFonts w:eastAsia="Times New Roman" w:cs="Times New Roman"/>
                <w:b/>
                <w:bCs/>
                <w:color w:val="000000"/>
              </w:rPr>
              <w:t>22</w:t>
            </w:r>
          </w:p>
        </w:tc>
        <w:tc>
          <w:tcPr>
            <w:tcW w:w="1697" w:type="dxa"/>
            <w:gridSpan w:val="2"/>
            <w:tcBorders>
              <w:top w:val="single" w:sz="4" w:space="0" w:color="auto"/>
              <w:left w:val="single" w:sz="8" w:space="0" w:color="auto"/>
              <w:right w:val="single" w:sz="8" w:space="0" w:color="000000"/>
            </w:tcBorders>
            <w:noWrap/>
            <w:vAlign w:val="bottom"/>
            <w:hideMark/>
          </w:tcPr>
          <w:p w:rsidR="0052750A" w:rsidRPr="003876EC" w:rsidP="00CE0C92" w14:paraId="16A4421D" w14:textId="77777777">
            <w:pPr>
              <w:keepNext/>
              <w:jc w:val="center"/>
              <w:rPr>
                <w:rFonts w:eastAsia="Times New Roman" w:cs="Times New Roman"/>
                <w:b/>
                <w:bCs/>
                <w:color w:val="000000"/>
              </w:rPr>
            </w:pPr>
            <w:r w:rsidRPr="003876EC">
              <w:rPr>
                <w:rFonts w:eastAsia="Times New Roman" w:cs="Times New Roman"/>
                <w:b/>
                <w:bCs/>
                <w:color w:val="000000"/>
              </w:rPr>
              <w:t>202</w:t>
            </w:r>
            <w:r>
              <w:rPr>
                <w:rFonts w:eastAsia="Times New Roman" w:cs="Times New Roman"/>
                <w:b/>
                <w:bCs/>
                <w:color w:val="000000"/>
              </w:rPr>
              <w:t>3</w:t>
            </w:r>
          </w:p>
        </w:tc>
        <w:tc>
          <w:tcPr>
            <w:tcW w:w="1730" w:type="dxa"/>
            <w:gridSpan w:val="2"/>
            <w:tcBorders>
              <w:top w:val="single" w:sz="4" w:space="0" w:color="auto"/>
              <w:left w:val="nil"/>
              <w:right w:val="single" w:sz="8" w:space="0" w:color="000000"/>
            </w:tcBorders>
            <w:noWrap/>
            <w:vAlign w:val="bottom"/>
            <w:hideMark/>
          </w:tcPr>
          <w:p w:rsidR="0052750A" w:rsidRPr="003876EC" w:rsidP="00CE0C92" w14:paraId="36892209" w14:textId="77777777">
            <w:pPr>
              <w:keepNext/>
              <w:jc w:val="center"/>
              <w:rPr>
                <w:rFonts w:eastAsia="Times New Roman" w:cs="Times New Roman"/>
                <w:b/>
                <w:bCs/>
                <w:color w:val="000000"/>
              </w:rPr>
            </w:pPr>
            <w:r w:rsidRPr="003876EC">
              <w:rPr>
                <w:rFonts w:eastAsia="Times New Roman" w:cs="Times New Roman"/>
                <w:b/>
                <w:bCs/>
                <w:color w:val="000000"/>
              </w:rPr>
              <w:t>202</w:t>
            </w:r>
            <w:r>
              <w:rPr>
                <w:rFonts w:eastAsia="Times New Roman" w:cs="Times New Roman"/>
                <w:b/>
                <w:bCs/>
                <w:color w:val="000000"/>
              </w:rPr>
              <w:t>4</w:t>
            </w:r>
          </w:p>
        </w:tc>
        <w:tc>
          <w:tcPr>
            <w:tcW w:w="2098" w:type="dxa"/>
            <w:gridSpan w:val="2"/>
            <w:tcBorders>
              <w:top w:val="single" w:sz="4" w:space="0" w:color="auto"/>
              <w:left w:val="nil"/>
              <w:right w:val="single" w:sz="4" w:space="0" w:color="000000"/>
            </w:tcBorders>
            <w:vAlign w:val="bottom"/>
            <w:hideMark/>
          </w:tcPr>
          <w:p w:rsidR="0052750A" w:rsidRPr="003876EC" w:rsidP="00CE0C92" w14:paraId="45EB8265" w14:textId="77777777">
            <w:pPr>
              <w:keepNext/>
              <w:jc w:val="center"/>
              <w:rPr>
                <w:rFonts w:eastAsia="Times New Roman" w:cs="Times New Roman"/>
                <w:b/>
                <w:bCs/>
                <w:color w:val="000000"/>
              </w:rPr>
            </w:pPr>
            <w:r w:rsidRPr="003876EC">
              <w:rPr>
                <w:rFonts w:eastAsia="Times New Roman" w:cs="Times New Roman"/>
                <w:b/>
                <w:bCs/>
                <w:color w:val="000000"/>
              </w:rPr>
              <w:t>20</w:t>
            </w:r>
            <w:r>
              <w:rPr>
                <w:rFonts w:eastAsia="Times New Roman" w:cs="Times New Roman"/>
                <w:b/>
                <w:bCs/>
                <w:color w:val="000000"/>
              </w:rPr>
              <w:t>22</w:t>
            </w:r>
            <w:r w:rsidRPr="003876EC">
              <w:rPr>
                <w:rFonts w:eastAsia="Times New Roman" w:cs="Times New Roman"/>
                <w:b/>
                <w:bCs/>
                <w:color w:val="000000"/>
              </w:rPr>
              <w:t>-202</w:t>
            </w:r>
            <w:r>
              <w:rPr>
                <w:rFonts w:eastAsia="Times New Roman" w:cs="Times New Roman"/>
                <w:b/>
                <w:bCs/>
                <w:color w:val="000000"/>
              </w:rPr>
              <w:t>4</w:t>
            </w:r>
          </w:p>
        </w:tc>
      </w:tr>
      <w:tr w14:paraId="1E927204" w14:textId="77777777" w:rsidTr="008D132A">
        <w:tblPrEx>
          <w:tblW w:w="9360" w:type="dxa"/>
          <w:tblLook w:val="04A0"/>
        </w:tblPrEx>
        <w:trPr>
          <w:cantSplit/>
        </w:trPr>
        <w:tc>
          <w:tcPr>
            <w:tcW w:w="2135" w:type="dxa"/>
            <w:tcBorders>
              <w:top w:val="nil"/>
              <w:left w:val="single" w:sz="4" w:space="0" w:color="auto"/>
              <w:bottom w:val="single" w:sz="4" w:space="0" w:color="auto"/>
              <w:right w:val="single" w:sz="4" w:space="0" w:color="auto"/>
            </w:tcBorders>
            <w:noWrap/>
            <w:vAlign w:val="bottom"/>
            <w:hideMark/>
          </w:tcPr>
          <w:p w:rsidR="004D185C" w:rsidRPr="003876EC" w:rsidP="00C92A58" w14:paraId="5D82DD7E" w14:textId="621D73B0">
            <w:pPr>
              <w:rPr>
                <w:rFonts w:eastAsia="Times New Roman" w:cs="Times New Roman"/>
                <w:color w:val="000000"/>
              </w:rPr>
            </w:pPr>
            <w:r w:rsidRPr="003876EC">
              <w:rPr>
                <w:rFonts w:eastAsia="Times New Roman" w:cs="Times New Roman"/>
                <w:color w:val="000000"/>
              </w:rPr>
              <w:t> </w:t>
            </w:r>
          </w:p>
        </w:tc>
        <w:tc>
          <w:tcPr>
            <w:tcW w:w="626" w:type="dxa"/>
            <w:tcBorders>
              <w:top w:val="nil"/>
              <w:left w:val="nil"/>
              <w:bottom w:val="single" w:sz="4" w:space="0" w:color="auto"/>
              <w:right w:val="nil"/>
            </w:tcBorders>
            <w:vAlign w:val="bottom"/>
            <w:hideMark/>
          </w:tcPr>
          <w:p w:rsidR="004D185C" w:rsidRPr="003876EC" w:rsidP="00635056" w14:paraId="5CBF1196" w14:textId="77777777">
            <w:pPr>
              <w:jc w:val="center"/>
              <w:rPr>
                <w:rFonts w:eastAsia="Times New Roman" w:cs="Times New Roman"/>
                <w:b/>
                <w:bCs/>
                <w:color w:val="000000"/>
              </w:rPr>
            </w:pPr>
            <w:r w:rsidRPr="003876EC">
              <w:rPr>
                <w:rFonts w:eastAsia="Times New Roman" w:cs="Times New Roman"/>
                <w:b/>
                <w:bCs/>
                <w:color w:val="000000"/>
              </w:rPr>
              <w:t> </w:t>
            </w:r>
          </w:p>
          <w:p w:rsidR="004D185C" w:rsidRPr="003876EC" w:rsidP="004D185C" w14:paraId="0078104E" w14:textId="5707E987">
            <w:pPr>
              <w:jc w:val="center"/>
              <w:rPr>
                <w:rFonts w:eastAsia="Times New Roman" w:cs="Times New Roman"/>
                <w:b/>
                <w:bCs/>
                <w:color w:val="000000"/>
              </w:rPr>
            </w:pPr>
            <w:r w:rsidRPr="003876EC">
              <w:rPr>
                <w:rFonts w:eastAsia="Times New Roman" w:cs="Times New Roman"/>
                <w:b/>
                <w:bCs/>
                <w:color w:val="000000"/>
              </w:rPr>
              <w:t>n</w:t>
            </w:r>
          </w:p>
        </w:tc>
        <w:tc>
          <w:tcPr>
            <w:tcW w:w="1074" w:type="dxa"/>
            <w:tcBorders>
              <w:top w:val="nil"/>
              <w:left w:val="nil"/>
              <w:bottom w:val="single" w:sz="4" w:space="0" w:color="auto"/>
              <w:right w:val="single" w:sz="8" w:space="0" w:color="auto"/>
            </w:tcBorders>
            <w:vAlign w:val="bottom"/>
            <w:hideMark/>
          </w:tcPr>
          <w:p w:rsidR="004D185C" w:rsidRPr="003876EC" w:rsidP="00635056" w14:paraId="02D97EEF" w14:textId="77777777">
            <w:pPr>
              <w:jc w:val="center"/>
              <w:rPr>
                <w:rFonts w:eastAsia="Times New Roman" w:cs="Times New Roman"/>
                <w:b/>
                <w:bCs/>
                <w:color w:val="000000"/>
              </w:rPr>
            </w:pPr>
            <w:r w:rsidRPr="003876EC">
              <w:rPr>
                <w:rFonts w:eastAsia="Times New Roman" w:cs="Times New Roman"/>
                <w:b/>
                <w:bCs/>
                <w:color w:val="000000"/>
              </w:rPr>
              <w:t>Average</w:t>
            </w:r>
          </w:p>
          <w:p w:rsidR="004D185C" w:rsidRPr="003876EC" w:rsidP="00635056" w14:paraId="6CE75503" w14:textId="77777777">
            <w:pPr>
              <w:jc w:val="center"/>
              <w:rPr>
                <w:rFonts w:eastAsia="Times New Roman" w:cs="Times New Roman"/>
                <w:b/>
                <w:bCs/>
                <w:color w:val="000000"/>
              </w:rPr>
            </w:pPr>
            <w:r w:rsidRPr="003876EC">
              <w:rPr>
                <w:rFonts w:eastAsia="Times New Roman" w:cs="Times New Roman"/>
                <w:b/>
                <w:bCs/>
                <w:color w:val="000000"/>
              </w:rPr>
              <w:t>Burden</w:t>
            </w:r>
          </w:p>
          <w:p w:rsidR="004D185C" w:rsidRPr="003876EC" w:rsidP="00AC41D5" w14:paraId="19163889" w14:textId="01B54B28">
            <w:pPr>
              <w:jc w:val="center"/>
              <w:rPr>
                <w:rFonts w:eastAsia="Times New Roman" w:cs="Times New Roman"/>
                <w:b/>
                <w:bCs/>
                <w:color w:val="000000"/>
              </w:rPr>
            </w:pPr>
            <w:r w:rsidRPr="003876EC">
              <w:rPr>
                <w:rFonts w:eastAsia="Times New Roman" w:cs="Times New Roman"/>
                <w:b/>
                <w:bCs/>
                <w:color w:val="000000"/>
              </w:rPr>
              <w:t>(hours)</w:t>
            </w:r>
          </w:p>
        </w:tc>
        <w:tc>
          <w:tcPr>
            <w:tcW w:w="626" w:type="dxa"/>
            <w:tcBorders>
              <w:top w:val="nil"/>
              <w:left w:val="nil"/>
              <w:bottom w:val="single" w:sz="4" w:space="0" w:color="auto"/>
              <w:right w:val="nil"/>
            </w:tcBorders>
            <w:vAlign w:val="bottom"/>
            <w:hideMark/>
          </w:tcPr>
          <w:p w:rsidR="004D185C" w:rsidRPr="003876EC" w:rsidP="00635056" w14:paraId="16D99D15" w14:textId="77777777">
            <w:pPr>
              <w:jc w:val="center"/>
              <w:rPr>
                <w:rFonts w:eastAsia="Times New Roman" w:cs="Times New Roman"/>
                <w:b/>
                <w:bCs/>
                <w:color w:val="000000"/>
              </w:rPr>
            </w:pPr>
            <w:r w:rsidRPr="003876EC">
              <w:rPr>
                <w:rFonts w:eastAsia="Times New Roman" w:cs="Times New Roman"/>
                <w:b/>
                <w:bCs/>
                <w:color w:val="000000"/>
              </w:rPr>
              <w:t> </w:t>
            </w:r>
          </w:p>
          <w:p w:rsidR="004D185C" w:rsidRPr="003876EC" w:rsidP="004D185C" w14:paraId="04839C18" w14:textId="5109629B">
            <w:pPr>
              <w:jc w:val="center"/>
              <w:rPr>
                <w:rFonts w:eastAsia="Times New Roman" w:cs="Times New Roman"/>
                <w:b/>
                <w:bCs/>
                <w:color w:val="000000"/>
              </w:rPr>
            </w:pPr>
            <w:r w:rsidRPr="003876EC">
              <w:rPr>
                <w:rFonts w:eastAsia="Times New Roman" w:cs="Times New Roman"/>
                <w:b/>
                <w:bCs/>
                <w:color w:val="000000"/>
              </w:rPr>
              <w:t>n</w:t>
            </w:r>
          </w:p>
        </w:tc>
        <w:tc>
          <w:tcPr>
            <w:tcW w:w="1071" w:type="dxa"/>
            <w:tcBorders>
              <w:top w:val="nil"/>
              <w:left w:val="nil"/>
              <w:bottom w:val="single" w:sz="4" w:space="0" w:color="auto"/>
              <w:right w:val="single" w:sz="8" w:space="0" w:color="auto"/>
            </w:tcBorders>
            <w:vAlign w:val="bottom"/>
            <w:hideMark/>
          </w:tcPr>
          <w:p w:rsidR="004D185C" w:rsidRPr="003876EC" w:rsidP="00635056" w14:paraId="0644DFFA" w14:textId="77777777">
            <w:pPr>
              <w:jc w:val="center"/>
              <w:rPr>
                <w:rFonts w:eastAsia="Times New Roman" w:cs="Times New Roman"/>
                <w:b/>
                <w:bCs/>
                <w:color w:val="000000"/>
              </w:rPr>
            </w:pPr>
            <w:r w:rsidRPr="003876EC">
              <w:rPr>
                <w:rFonts w:eastAsia="Times New Roman" w:cs="Times New Roman"/>
                <w:b/>
                <w:bCs/>
                <w:color w:val="000000"/>
              </w:rPr>
              <w:t>Average</w:t>
            </w:r>
          </w:p>
          <w:p w:rsidR="004D185C" w:rsidRPr="003876EC" w:rsidP="00635056" w14:paraId="1B513A69" w14:textId="77777777">
            <w:pPr>
              <w:jc w:val="center"/>
              <w:rPr>
                <w:rFonts w:eastAsia="Times New Roman" w:cs="Times New Roman"/>
                <w:b/>
                <w:bCs/>
                <w:color w:val="000000"/>
              </w:rPr>
            </w:pPr>
            <w:r w:rsidRPr="003876EC">
              <w:rPr>
                <w:rFonts w:eastAsia="Times New Roman" w:cs="Times New Roman"/>
                <w:b/>
                <w:bCs/>
                <w:color w:val="000000"/>
              </w:rPr>
              <w:t>Burden</w:t>
            </w:r>
          </w:p>
          <w:p w:rsidR="004D185C" w:rsidRPr="003876EC" w:rsidP="00806CE3" w14:paraId="4807E5CD" w14:textId="163A97A7">
            <w:pPr>
              <w:jc w:val="center"/>
              <w:rPr>
                <w:rFonts w:eastAsia="Times New Roman" w:cs="Times New Roman"/>
                <w:b/>
                <w:bCs/>
                <w:color w:val="000000"/>
              </w:rPr>
            </w:pPr>
            <w:r w:rsidRPr="003876EC">
              <w:rPr>
                <w:rFonts w:eastAsia="Times New Roman" w:cs="Times New Roman"/>
                <w:b/>
                <w:bCs/>
                <w:color w:val="000000"/>
              </w:rPr>
              <w:t>(hours)</w:t>
            </w:r>
          </w:p>
        </w:tc>
        <w:tc>
          <w:tcPr>
            <w:tcW w:w="649" w:type="dxa"/>
            <w:tcBorders>
              <w:top w:val="nil"/>
              <w:left w:val="nil"/>
              <w:bottom w:val="single" w:sz="4" w:space="0" w:color="auto"/>
              <w:right w:val="nil"/>
            </w:tcBorders>
            <w:vAlign w:val="bottom"/>
            <w:hideMark/>
          </w:tcPr>
          <w:p w:rsidR="004D185C" w:rsidRPr="003876EC" w:rsidP="00635056" w14:paraId="39C011B3" w14:textId="77777777">
            <w:pPr>
              <w:jc w:val="center"/>
              <w:rPr>
                <w:rFonts w:eastAsia="Times New Roman" w:cs="Times New Roman"/>
                <w:b/>
                <w:bCs/>
                <w:color w:val="000000"/>
              </w:rPr>
            </w:pPr>
            <w:r w:rsidRPr="003876EC">
              <w:rPr>
                <w:rFonts w:eastAsia="Times New Roman" w:cs="Times New Roman"/>
                <w:b/>
                <w:bCs/>
                <w:color w:val="000000"/>
              </w:rPr>
              <w:t> </w:t>
            </w:r>
          </w:p>
          <w:p w:rsidR="004D185C" w:rsidRPr="003876EC" w:rsidP="004D185C" w14:paraId="7207B795" w14:textId="3D322EDF">
            <w:pPr>
              <w:jc w:val="center"/>
              <w:rPr>
                <w:rFonts w:eastAsia="Times New Roman" w:cs="Times New Roman"/>
                <w:b/>
                <w:bCs/>
                <w:color w:val="000000"/>
              </w:rPr>
            </w:pPr>
            <w:r w:rsidRPr="003876EC">
              <w:rPr>
                <w:rFonts w:eastAsia="Times New Roman" w:cs="Times New Roman"/>
                <w:b/>
                <w:bCs/>
                <w:color w:val="000000"/>
              </w:rPr>
              <w:t>n</w:t>
            </w:r>
          </w:p>
        </w:tc>
        <w:tc>
          <w:tcPr>
            <w:tcW w:w="1081" w:type="dxa"/>
            <w:tcBorders>
              <w:top w:val="nil"/>
              <w:left w:val="nil"/>
              <w:bottom w:val="single" w:sz="4" w:space="0" w:color="auto"/>
              <w:right w:val="single" w:sz="8" w:space="0" w:color="auto"/>
            </w:tcBorders>
            <w:vAlign w:val="bottom"/>
            <w:hideMark/>
          </w:tcPr>
          <w:p w:rsidR="004D185C" w:rsidRPr="003876EC" w:rsidP="00635056" w14:paraId="2640EC0F" w14:textId="77777777">
            <w:pPr>
              <w:jc w:val="center"/>
              <w:rPr>
                <w:rFonts w:eastAsia="Times New Roman" w:cs="Times New Roman"/>
                <w:b/>
                <w:bCs/>
                <w:color w:val="000000"/>
              </w:rPr>
            </w:pPr>
            <w:r w:rsidRPr="003876EC">
              <w:rPr>
                <w:rFonts w:eastAsia="Times New Roman" w:cs="Times New Roman"/>
                <w:b/>
                <w:bCs/>
                <w:color w:val="000000"/>
              </w:rPr>
              <w:t>Average</w:t>
            </w:r>
          </w:p>
          <w:p w:rsidR="004D185C" w:rsidRPr="003876EC" w:rsidP="00635056" w14:paraId="23ACB5AC" w14:textId="77777777">
            <w:pPr>
              <w:jc w:val="center"/>
              <w:rPr>
                <w:rFonts w:eastAsia="Times New Roman" w:cs="Times New Roman"/>
                <w:b/>
                <w:bCs/>
                <w:color w:val="000000"/>
              </w:rPr>
            </w:pPr>
            <w:r w:rsidRPr="003876EC">
              <w:rPr>
                <w:rFonts w:eastAsia="Times New Roman" w:cs="Times New Roman"/>
                <w:b/>
                <w:bCs/>
                <w:color w:val="000000"/>
              </w:rPr>
              <w:t>Burden</w:t>
            </w:r>
          </w:p>
          <w:p w:rsidR="004D185C" w:rsidRPr="003876EC" w:rsidP="0000493B" w14:paraId="2D1ACA03" w14:textId="33C24022">
            <w:pPr>
              <w:jc w:val="center"/>
              <w:rPr>
                <w:rFonts w:eastAsia="Times New Roman" w:cs="Times New Roman"/>
                <w:b/>
                <w:bCs/>
                <w:color w:val="000000"/>
              </w:rPr>
            </w:pPr>
            <w:r w:rsidRPr="003876EC">
              <w:rPr>
                <w:rFonts w:eastAsia="Times New Roman" w:cs="Times New Roman"/>
                <w:b/>
                <w:bCs/>
                <w:color w:val="000000"/>
              </w:rPr>
              <w:t>(hours)</w:t>
            </w:r>
          </w:p>
        </w:tc>
        <w:tc>
          <w:tcPr>
            <w:tcW w:w="838" w:type="dxa"/>
            <w:tcBorders>
              <w:top w:val="nil"/>
              <w:left w:val="nil"/>
              <w:bottom w:val="single" w:sz="4" w:space="0" w:color="auto"/>
              <w:right w:val="nil"/>
            </w:tcBorders>
            <w:vAlign w:val="bottom"/>
            <w:hideMark/>
          </w:tcPr>
          <w:p w:rsidR="004D185C" w:rsidRPr="003876EC" w:rsidP="00635056" w14:paraId="304BA1CC" w14:textId="77777777">
            <w:pPr>
              <w:jc w:val="center"/>
              <w:rPr>
                <w:rFonts w:eastAsia="Times New Roman" w:cs="Times New Roman"/>
                <w:b/>
                <w:bCs/>
                <w:color w:val="000000"/>
              </w:rPr>
            </w:pPr>
            <w:r w:rsidRPr="003876EC">
              <w:rPr>
                <w:rFonts w:eastAsia="Times New Roman" w:cs="Times New Roman"/>
                <w:b/>
                <w:bCs/>
                <w:color w:val="000000"/>
              </w:rPr>
              <w:t> </w:t>
            </w:r>
          </w:p>
          <w:p w:rsidR="004D185C" w:rsidRPr="003876EC" w:rsidP="004D185C" w14:paraId="77C4AABB" w14:textId="2D54177B">
            <w:pPr>
              <w:jc w:val="center"/>
              <w:rPr>
                <w:rFonts w:eastAsia="Times New Roman" w:cs="Times New Roman"/>
                <w:b/>
                <w:bCs/>
                <w:color w:val="000000"/>
              </w:rPr>
            </w:pPr>
            <w:r w:rsidRPr="003876EC">
              <w:rPr>
                <w:rFonts w:eastAsia="Times New Roman" w:cs="Times New Roman"/>
                <w:b/>
                <w:bCs/>
                <w:color w:val="000000"/>
              </w:rPr>
              <w:t>n</w:t>
            </w:r>
          </w:p>
        </w:tc>
        <w:tc>
          <w:tcPr>
            <w:tcW w:w="1260" w:type="dxa"/>
            <w:tcBorders>
              <w:top w:val="nil"/>
              <w:left w:val="nil"/>
              <w:bottom w:val="single" w:sz="4" w:space="0" w:color="auto"/>
              <w:right w:val="single" w:sz="4" w:space="0" w:color="auto"/>
            </w:tcBorders>
            <w:vAlign w:val="bottom"/>
            <w:hideMark/>
          </w:tcPr>
          <w:p w:rsidR="004D185C" w:rsidRPr="003876EC" w:rsidP="00635056" w14:paraId="3A12FC07" w14:textId="77777777">
            <w:pPr>
              <w:jc w:val="center"/>
              <w:rPr>
                <w:rFonts w:eastAsia="Times New Roman" w:cs="Times New Roman"/>
                <w:b/>
                <w:bCs/>
                <w:color w:val="000000"/>
              </w:rPr>
            </w:pPr>
            <w:r w:rsidRPr="003876EC">
              <w:rPr>
                <w:rFonts w:eastAsia="Times New Roman" w:cs="Times New Roman"/>
                <w:b/>
                <w:bCs/>
                <w:color w:val="000000"/>
              </w:rPr>
              <w:t>Weighted Average</w:t>
            </w:r>
          </w:p>
          <w:p w:rsidR="004D185C" w:rsidRPr="003876EC" w:rsidP="00635056" w14:paraId="055B7E86" w14:textId="77777777">
            <w:pPr>
              <w:jc w:val="center"/>
              <w:rPr>
                <w:rFonts w:eastAsia="Times New Roman" w:cs="Times New Roman"/>
                <w:b/>
                <w:bCs/>
                <w:color w:val="000000"/>
              </w:rPr>
            </w:pPr>
            <w:r w:rsidRPr="003876EC">
              <w:rPr>
                <w:rFonts w:eastAsia="Times New Roman" w:cs="Times New Roman"/>
                <w:b/>
                <w:bCs/>
                <w:color w:val="000000"/>
              </w:rPr>
              <w:t>Burden</w:t>
            </w:r>
          </w:p>
          <w:p w:rsidR="004D185C" w:rsidRPr="003876EC" w:rsidP="00924989" w14:paraId="4ED6B960" w14:textId="22119653">
            <w:pPr>
              <w:jc w:val="center"/>
              <w:rPr>
                <w:rFonts w:eastAsia="Times New Roman" w:cs="Times New Roman"/>
                <w:b/>
                <w:bCs/>
                <w:color w:val="000000"/>
              </w:rPr>
            </w:pPr>
            <w:r w:rsidRPr="003876EC">
              <w:rPr>
                <w:rFonts w:eastAsia="Times New Roman" w:cs="Times New Roman"/>
                <w:b/>
                <w:bCs/>
                <w:color w:val="000000"/>
              </w:rPr>
              <w:t>(hours)</w:t>
            </w:r>
          </w:p>
        </w:tc>
      </w:tr>
      <w:tr w14:paraId="777329A2" w14:textId="77777777" w:rsidTr="008D132A">
        <w:tblPrEx>
          <w:tblW w:w="9360" w:type="dxa"/>
          <w:tblLook w:val="04A0"/>
        </w:tblPrEx>
        <w:trPr>
          <w:trHeight w:val="315"/>
        </w:trPr>
        <w:tc>
          <w:tcPr>
            <w:tcW w:w="2135" w:type="dxa"/>
            <w:tcBorders>
              <w:top w:val="single" w:sz="4" w:space="0" w:color="auto"/>
              <w:left w:val="single" w:sz="4" w:space="0" w:color="auto"/>
              <w:bottom w:val="single" w:sz="4" w:space="0" w:color="auto"/>
              <w:right w:val="single" w:sz="4" w:space="0" w:color="auto"/>
            </w:tcBorders>
            <w:vAlign w:val="center"/>
            <w:hideMark/>
          </w:tcPr>
          <w:p w:rsidR="0052750A" w:rsidRPr="003876EC" w:rsidP="00635056" w14:paraId="3AFC23D2" w14:textId="77777777">
            <w:pPr>
              <w:rPr>
                <w:rFonts w:eastAsia="Times New Roman" w:cs="Times New Roman"/>
                <w:color w:val="000000"/>
              </w:rPr>
            </w:pPr>
            <w:r w:rsidRPr="003876EC">
              <w:rPr>
                <w:rFonts w:eastAsia="Times New Roman" w:cs="Times New Roman"/>
                <w:color w:val="000000"/>
              </w:rPr>
              <w:t>More than 15 units, EDI</w:t>
            </w:r>
          </w:p>
        </w:tc>
        <w:tc>
          <w:tcPr>
            <w:tcW w:w="626" w:type="dxa"/>
            <w:tcBorders>
              <w:top w:val="single" w:sz="4" w:space="0" w:color="auto"/>
              <w:left w:val="nil"/>
              <w:bottom w:val="single" w:sz="4" w:space="0" w:color="auto"/>
              <w:right w:val="single" w:sz="4" w:space="0" w:color="auto"/>
            </w:tcBorders>
            <w:noWrap/>
            <w:hideMark/>
          </w:tcPr>
          <w:p w:rsidR="0052750A" w:rsidRPr="003876EC" w:rsidP="00635056" w14:paraId="75F6F0EC" w14:textId="77777777">
            <w:pPr>
              <w:jc w:val="center"/>
              <w:rPr>
                <w:rFonts w:eastAsia="Times New Roman" w:cs="Times New Roman"/>
                <w:color w:val="000000"/>
              </w:rPr>
            </w:pPr>
            <w:r w:rsidRPr="00283BF5">
              <w:rPr>
                <w:rFonts w:cs="Times New Roman"/>
              </w:rPr>
              <w:t>194</w:t>
            </w:r>
          </w:p>
        </w:tc>
        <w:tc>
          <w:tcPr>
            <w:tcW w:w="1074" w:type="dxa"/>
            <w:tcBorders>
              <w:top w:val="single" w:sz="4" w:space="0" w:color="auto"/>
              <w:left w:val="nil"/>
              <w:bottom w:val="single" w:sz="4" w:space="0" w:color="auto"/>
              <w:right w:val="nil"/>
            </w:tcBorders>
            <w:noWrap/>
            <w:hideMark/>
          </w:tcPr>
          <w:p w:rsidR="0052750A" w:rsidRPr="003876EC" w:rsidP="00635056" w14:paraId="1D85926F" w14:textId="77777777">
            <w:pPr>
              <w:jc w:val="center"/>
              <w:rPr>
                <w:rFonts w:eastAsia="Times New Roman" w:cs="Times New Roman"/>
                <w:color w:val="000000"/>
              </w:rPr>
            </w:pPr>
            <w:r w:rsidRPr="00283BF5">
              <w:rPr>
                <w:rFonts w:cs="Times New Roman"/>
              </w:rPr>
              <w:t>32.5</w:t>
            </w:r>
          </w:p>
        </w:tc>
        <w:tc>
          <w:tcPr>
            <w:tcW w:w="626" w:type="dxa"/>
            <w:tcBorders>
              <w:top w:val="single" w:sz="4" w:space="0" w:color="auto"/>
              <w:left w:val="single" w:sz="8" w:space="0" w:color="auto"/>
              <w:bottom w:val="single" w:sz="4" w:space="0" w:color="auto"/>
              <w:right w:val="single" w:sz="4" w:space="0" w:color="auto"/>
            </w:tcBorders>
            <w:noWrap/>
            <w:hideMark/>
          </w:tcPr>
          <w:p w:rsidR="0052750A" w:rsidRPr="003876EC" w:rsidP="00635056" w14:paraId="284F7A2D" w14:textId="77777777">
            <w:pPr>
              <w:jc w:val="center"/>
              <w:rPr>
                <w:rFonts w:eastAsia="Times New Roman" w:cs="Times New Roman"/>
                <w:color w:val="000000"/>
              </w:rPr>
            </w:pPr>
            <w:r w:rsidRPr="00283BF5">
              <w:rPr>
                <w:rFonts w:cs="Times New Roman"/>
              </w:rPr>
              <w:t>211</w:t>
            </w:r>
          </w:p>
        </w:tc>
        <w:tc>
          <w:tcPr>
            <w:tcW w:w="1071" w:type="dxa"/>
            <w:tcBorders>
              <w:top w:val="single" w:sz="4" w:space="0" w:color="auto"/>
              <w:left w:val="nil"/>
              <w:bottom w:val="single" w:sz="4" w:space="0" w:color="auto"/>
              <w:right w:val="single" w:sz="8" w:space="0" w:color="auto"/>
            </w:tcBorders>
            <w:noWrap/>
            <w:hideMark/>
          </w:tcPr>
          <w:p w:rsidR="0052750A" w:rsidRPr="003876EC" w:rsidP="00635056" w14:paraId="0C0EDFA0" w14:textId="77777777">
            <w:pPr>
              <w:jc w:val="center"/>
              <w:rPr>
                <w:rFonts w:eastAsia="Times New Roman" w:cs="Times New Roman"/>
                <w:color w:val="000000"/>
              </w:rPr>
            </w:pPr>
            <w:r w:rsidRPr="00283BF5">
              <w:rPr>
                <w:rFonts w:cs="Times New Roman"/>
              </w:rPr>
              <w:t>34.8</w:t>
            </w:r>
          </w:p>
        </w:tc>
        <w:tc>
          <w:tcPr>
            <w:tcW w:w="649" w:type="dxa"/>
            <w:tcBorders>
              <w:top w:val="single" w:sz="4" w:space="0" w:color="auto"/>
              <w:left w:val="nil"/>
              <w:bottom w:val="single" w:sz="4" w:space="0" w:color="auto"/>
              <w:right w:val="single" w:sz="4" w:space="0" w:color="auto"/>
            </w:tcBorders>
            <w:noWrap/>
            <w:hideMark/>
          </w:tcPr>
          <w:p w:rsidR="0052750A" w:rsidRPr="003876EC" w:rsidP="00635056" w14:paraId="31A5B758" w14:textId="77777777">
            <w:pPr>
              <w:jc w:val="center"/>
              <w:rPr>
                <w:rFonts w:eastAsia="Times New Roman" w:cs="Times New Roman"/>
                <w:color w:val="000000"/>
              </w:rPr>
            </w:pPr>
            <w:r w:rsidRPr="00283BF5">
              <w:rPr>
                <w:rFonts w:cs="Times New Roman"/>
              </w:rPr>
              <w:t>201</w:t>
            </w:r>
          </w:p>
        </w:tc>
        <w:tc>
          <w:tcPr>
            <w:tcW w:w="1081" w:type="dxa"/>
            <w:tcBorders>
              <w:top w:val="single" w:sz="4" w:space="0" w:color="auto"/>
              <w:left w:val="nil"/>
              <w:bottom w:val="single" w:sz="4" w:space="0" w:color="auto"/>
              <w:right w:val="single" w:sz="8" w:space="0" w:color="auto"/>
            </w:tcBorders>
            <w:noWrap/>
            <w:hideMark/>
          </w:tcPr>
          <w:p w:rsidR="0052750A" w:rsidRPr="003876EC" w:rsidP="00635056" w14:paraId="3D7789FA" w14:textId="77777777">
            <w:pPr>
              <w:jc w:val="center"/>
              <w:rPr>
                <w:rFonts w:eastAsia="Times New Roman" w:cs="Times New Roman"/>
                <w:color w:val="000000"/>
              </w:rPr>
            </w:pPr>
            <w:r w:rsidRPr="00283BF5">
              <w:rPr>
                <w:rFonts w:cs="Times New Roman"/>
              </w:rPr>
              <w:t>29.2</w:t>
            </w:r>
          </w:p>
        </w:tc>
        <w:tc>
          <w:tcPr>
            <w:tcW w:w="838" w:type="dxa"/>
            <w:tcBorders>
              <w:top w:val="single" w:sz="4" w:space="0" w:color="auto"/>
              <w:left w:val="nil"/>
              <w:bottom w:val="single" w:sz="4" w:space="0" w:color="auto"/>
              <w:right w:val="single" w:sz="4" w:space="0" w:color="auto"/>
            </w:tcBorders>
            <w:noWrap/>
            <w:hideMark/>
          </w:tcPr>
          <w:p w:rsidR="0052750A" w:rsidRPr="003876EC" w:rsidP="00635056" w14:paraId="2DF521F3" w14:textId="77777777">
            <w:pPr>
              <w:jc w:val="center"/>
              <w:rPr>
                <w:rFonts w:eastAsia="Times New Roman" w:cs="Times New Roman"/>
                <w:color w:val="000000"/>
              </w:rPr>
            </w:pPr>
            <w:r w:rsidRPr="00283BF5">
              <w:rPr>
                <w:rFonts w:cs="Times New Roman"/>
              </w:rPr>
              <w:t>606</w:t>
            </w:r>
          </w:p>
        </w:tc>
        <w:tc>
          <w:tcPr>
            <w:tcW w:w="1260" w:type="dxa"/>
            <w:tcBorders>
              <w:top w:val="single" w:sz="4" w:space="0" w:color="auto"/>
              <w:left w:val="nil"/>
              <w:bottom w:val="single" w:sz="4" w:space="0" w:color="auto"/>
              <w:right w:val="single" w:sz="4" w:space="0" w:color="auto"/>
            </w:tcBorders>
            <w:noWrap/>
            <w:hideMark/>
          </w:tcPr>
          <w:p w:rsidR="0052750A" w:rsidRPr="003876EC" w:rsidP="00635056" w14:paraId="302430DC" w14:textId="77777777">
            <w:pPr>
              <w:jc w:val="center"/>
              <w:rPr>
                <w:rFonts w:eastAsia="Times New Roman" w:cs="Times New Roman"/>
                <w:color w:val="000000"/>
              </w:rPr>
            </w:pPr>
            <w:r w:rsidRPr="00283BF5">
              <w:rPr>
                <w:rFonts w:cs="Times New Roman"/>
              </w:rPr>
              <w:t>32.2</w:t>
            </w:r>
          </w:p>
        </w:tc>
      </w:tr>
      <w:tr w14:paraId="648768D6" w14:textId="77777777" w:rsidTr="004D185C">
        <w:tblPrEx>
          <w:tblW w:w="9360" w:type="dxa"/>
          <w:tblLook w:val="04A0"/>
        </w:tblPrEx>
        <w:trPr>
          <w:trHeight w:val="315"/>
        </w:trPr>
        <w:tc>
          <w:tcPr>
            <w:tcW w:w="2135" w:type="dxa"/>
            <w:tcBorders>
              <w:top w:val="nil"/>
              <w:left w:val="single" w:sz="4" w:space="0" w:color="auto"/>
              <w:bottom w:val="single" w:sz="4" w:space="0" w:color="auto"/>
              <w:right w:val="single" w:sz="4" w:space="0" w:color="auto"/>
            </w:tcBorders>
            <w:vAlign w:val="center"/>
            <w:hideMark/>
          </w:tcPr>
          <w:p w:rsidR="0052750A" w:rsidRPr="003876EC" w:rsidP="00635056" w14:paraId="18111128" w14:textId="10434CED">
            <w:pPr>
              <w:rPr>
                <w:rFonts w:eastAsia="Times New Roman" w:cs="Times New Roman"/>
                <w:color w:val="000000"/>
              </w:rPr>
            </w:pPr>
            <w:r w:rsidRPr="003876EC">
              <w:rPr>
                <w:rFonts w:eastAsia="Times New Roman" w:cs="Times New Roman"/>
                <w:color w:val="000000"/>
              </w:rPr>
              <w:t xml:space="preserve">More than 15 units, </w:t>
            </w:r>
            <w:r w:rsidR="00CE0C92">
              <w:rPr>
                <w:rFonts w:eastAsia="Times New Roman" w:cs="Times New Roman"/>
                <w:color w:val="000000"/>
              </w:rPr>
              <w:t>m</w:t>
            </w:r>
            <w:r w:rsidRPr="003876EC" w:rsidR="00CE0C92">
              <w:rPr>
                <w:rFonts w:eastAsia="Times New Roman" w:cs="Times New Roman"/>
                <w:color w:val="000000"/>
              </w:rPr>
              <w:t xml:space="preserve">anual </w:t>
            </w:r>
            <w:r w:rsidRPr="003876EC">
              <w:rPr>
                <w:rFonts w:eastAsia="Times New Roman" w:cs="Times New Roman"/>
                <w:color w:val="000000"/>
              </w:rPr>
              <w:t>data entry</w:t>
            </w:r>
          </w:p>
        </w:tc>
        <w:tc>
          <w:tcPr>
            <w:tcW w:w="626" w:type="dxa"/>
            <w:tcBorders>
              <w:top w:val="nil"/>
              <w:left w:val="nil"/>
              <w:bottom w:val="single" w:sz="4" w:space="0" w:color="auto"/>
              <w:right w:val="single" w:sz="4" w:space="0" w:color="auto"/>
            </w:tcBorders>
            <w:noWrap/>
            <w:hideMark/>
          </w:tcPr>
          <w:p w:rsidR="0052750A" w:rsidRPr="003876EC" w:rsidP="00635056" w14:paraId="61CBF52F" w14:textId="77777777">
            <w:pPr>
              <w:jc w:val="center"/>
              <w:rPr>
                <w:rFonts w:eastAsia="Times New Roman" w:cs="Times New Roman"/>
                <w:color w:val="000000"/>
              </w:rPr>
            </w:pPr>
            <w:r w:rsidRPr="00283BF5">
              <w:rPr>
                <w:rFonts w:cs="Times New Roman"/>
              </w:rPr>
              <w:t>12</w:t>
            </w:r>
          </w:p>
        </w:tc>
        <w:tc>
          <w:tcPr>
            <w:tcW w:w="1074" w:type="dxa"/>
            <w:tcBorders>
              <w:top w:val="nil"/>
              <w:left w:val="nil"/>
              <w:bottom w:val="single" w:sz="4" w:space="0" w:color="auto"/>
              <w:right w:val="nil"/>
            </w:tcBorders>
            <w:noWrap/>
            <w:hideMark/>
          </w:tcPr>
          <w:p w:rsidR="0052750A" w:rsidRPr="003876EC" w:rsidP="00635056" w14:paraId="6889FB1E" w14:textId="77777777">
            <w:pPr>
              <w:jc w:val="center"/>
              <w:rPr>
                <w:rFonts w:eastAsia="Times New Roman" w:cs="Times New Roman"/>
                <w:color w:val="000000"/>
              </w:rPr>
            </w:pPr>
            <w:r w:rsidRPr="00283BF5">
              <w:rPr>
                <w:rFonts w:cs="Times New Roman"/>
              </w:rPr>
              <w:t>31.6</w:t>
            </w:r>
          </w:p>
        </w:tc>
        <w:tc>
          <w:tcPr>
            <w:tcW w:w="626" w:type="dxa"/>
            <w:tcBorders>
              <w:top w:val="nil"/>
              <w:left w:val="single" w:sz="8" w:space="0" w:color="auto"/>
              <w:bottom w:val="single" w:sz="4" w:space="0" w:color="auto"/>
              <w:right w:val="single" w:sz="4" w:space="0" w:color="auto"/>
            </w:tcBorders>
            <w:noWrap/>
            <w:hideMark/>
          </w:tcPr>
          <w:p w:rsidR="0052750A" w:rsidRPr="003876EC" w:rsidP="00635056" w14:paraId="10738F15" w14:textId="77777777">
            <w:pPr>
              <w:jc w:val="center"/>
              <w:rPr>
                <w:rFonts w:eastAsia="Times New Roman" w:cs="Times New Roman"/>
                <w:color w:val="000000"/>
              </w:rPr>
            </w:pPr>
            <w:r w:rsidRPr="00283BF5">
              <w:rPr>
                <w:rFonts w:cs="Times New Roman"/>
              </w:rPr>
              <w:t>11</w:t>
            </w:r>
          </w:p>
        </w:tc>
        <w:tc>
          <w:tcPr>
            <w:tcW w:w="1071" w:type="dxa"/>
            <w:tcBorders>
              <w:top w:val="nil"/>
              <w:left w:val="nil"/>
              <w:bottom w:val="single" w:sz="4" w:space="0" w:color="auto"/>
              <w:right w:val="single" w:sz="8" w:space="0" w:color="auto"/>
            </w:tcBorders>
            <w:noWrap/>
            <w:hideMark/>
          </w:tcPr>
          <w:p w:rsidR="0052750A" w:rsidRPr="003876EC" w:rsidP="00635056" w14:paraId="3C44E2A9" w14:textId="77777777">
            <w:pPr>
              <w:jc w:val="center"/>
              <w:rPr>
                <w:rFonts w:eastAsia="Times New Roman" w:cs="Times New Roman"/>
                <w:color w:val="000000"/>
              </w:rPr>
            </w:pPr>
            <w:r w:rsidRPr="00283BF5">
              <w:rPr>
                <w:rFonts w:cs="Times New Roman"/>
              </w:rPr>
              <w:t>25.6</w:t>
            </w:r>
          </w:p>
        </w:tc>
        <w:tc>
          <w:tcPr>
            <w:tcW w:w="649" w:type="dxa"/>
            <w:tcBorders>
              <w:top w:val="nil"/>
              <w:left w:val="nil"/>
              <w:bottom w:val="single" w:sz="4" w:space="0" w:color="auto"/>
              <w:right w:val="single" w:sz="4" w:space="0" w:color="auto"/>
            </w:tcBorders>
            <w:noWrap/>
            <w:hideMark/>
          </w:tcPr>
          <w:p w:rsidR="0052750A" w:rsidRPr="003876EC" w:rsidP="00635056" w14:paraId="39B8328E" w14:textId="77777777">
            <w:pPr>
              <w:jc w:val="center"/>
              <w:rPr>
                <w:rFonts w:eastAsia="Times New Roman" w:cs="Times New Roman"/>
                <w:color w:val="000000"/>
              </w:rPr>
            </w:pPr>
            <w:r w:rsidRPr="00283BF5">
              <w:rPr>
                <w:rFonts w:cs="Times New Roman"/>
              </w:rPr>
              <w:t>9</w:t>
            </w:r>
          </w:p>
        </w:tc>
        <w:tc>
          <w:tcPr>
            <w:tcW w:w="1081" w:type="dxa"/>
            <w:tcBorders>
              <w:top w:val="nil"/>
              <w:left w:val="nil"/>
              <w:bottom w:val="single" w:sz="4" w:space="0" w:color="auto"/>
              <w:right w:val="single" w:sz="8" w:space="0" w:color="auto"/>
            </w:tcBorders>
            <w:noWrap/>
            <w:hideMark/>
          </w:tcPr>
          <w:p w:rsidR="0052750A" w:rsidRPr="003876EC" w:rsidP="00635056" w14:paraId="6A783E29" w14:textId="77777777">
            <w:pPr>
              <w:jc w:val="center"/>
              <w:rPr>
                <w:rFonts w:eastAsia="Times New Roman" w:cs="Times New Roman"/>
                <w:color w:val="000000"/>
              </w:rPr>
            </w:pPr>
            <w:r w:rsidRPr="00283BF5">
              <w:rPr>
                <w:rFonts w:cs="Times New Roman"/>
              </w:rPr>
              <w:t>16.4</w:t>
            </w:r>
          </w:p>
        </w:tc>
        <w:tc>
          <w:tcPr>
            <w:tcW w:w="838" w:type="dxa"/>
            <w:tcBorders>
              <w:top w:val="nil"/>
              <w:left w:val="nil"/>
              <w:bottom w:val="single" w:sz="4" w:space="0" w:color="auto"/>
              <w:right w:val="single" w:sz="4" w:space="0" w:color="auto"/>
            </w:tcBorders>
            <w:noWrap/>
            <w:hideMark/>
          </w:tcPr>
          <w:p w:rsidR="0052750A" w:rsidRPr="003876EC" w:rsidP="00635056" w14:paraId="21F59D2A" w14:textId="77777777">
            <w:pPr>
              <w:jc w:val="center"/>
              <w:rPr>
                <w:rFonts w:eastAsia="Times New Roman" w:cs="Times New Roman"/>
                <w:color w:val="000000"/>
              </w:rPr>
            </w:pPr>
            <w:r w:rsidRPr="00283BF5">
              <w:rPr>
                <w:rFonts w:cs="Times New Roman"/>
              </w:rPr>
              <w:t>32</w:t>
            </w:r>
          </w:p>
        </w:tc>
        <w:tc>
          <w:tcPr>
            <w:tcW w:w="1260" w:type="dxa"/>
            <w:tcBorders>
              <w:top w:val="nil"/>
              <w:left w:val="nil"/>
              <w:bottom w:val="single" w:sz="4" w:space="0" w:color="auto"/>
              <w:right w:val="single" w:sz="4" w:space="0" w:color="auto"/>
            </w:tcBorders>
            <w:noWrap/>
            <w:hideMark/>
          </w:tcPr>
          <w:p w:rsidR="0052750A" w:rsidRPr="003876EC" w:rsidP="00635056" w14:paraId="669B07CE" w14:textId="77777777">
            <w:pPr>
              <w:jc w:val="center"/>
              <w:rPr>
                <w:rFonts w:eastAsia="Times New Roman" w:cs="Times New Roman"/>
                <w:color w:val="000000"/>
              </w:rPr>
            </w:pPr>
            <w:r w:rsidRPr="00283BF5">
              <w:rPr>
                <w:rFonts w:cs="Times New Roman"/>
              </w:rPr>
              <w:t>25.3</w:t>
            </w:r>
          </w:p>
        </w:tc>
      </w:tr>
      <w:tr w14:paraId="5B1DB5C7" w14:textId="77777777" w:rsidTr="004D185C">
        <w:tblPrEx>
          <w:tblW w:w="9360" w:type="dxa"/>
          <w:tblLook w:val="04A0"/>
        </w:tblPrEx>
        <w:trPr>
          <w:trHeight w:val="315"/>
        </w:trPr>
        <w:tc>
          <w:tcPr>
            <w:tcW w:w="2135" w:type="dxa"/>
            <w:tcBorders>
              <w:top w:val="nil"/>
              <w:left w:val="single" w:sz="4" w:space="0" w:color="auto"/>
              <w:bottom w:val="single" w:sz="4" w:space="0" w:color="auto"/>
              <w:right w:val="single" w:sz="4" w:space="0" w:color="auto"/>
            </w:tcBorders>
            <w:vAlign w:val="center"/>
            <w:hideMark/>
          </w:tcPr>
          <w:p w:rsidR="0052750A" w:rsidRPr="003876EC" w:rsidP="00635056" w14:paraId="39CDD560" w14:textId="77777777">
            <w:pPr>
              <w:rPr>
                <w:rFonts w:eastAsia="Times New Roman" w:cs="Times New Roman"/>
                <w:color w:val="000000"/>
              </w:rPr>
            </w:pPr>
            <w:r w:rsidRPr="003876EC">
              <w:rPr>
                <w:rFonts w:eastAsia="Times New Roman" w:cs="Times New Roman"/>
                <w:color w:val="000000"/>
              </w:rPr>
              <w:t>15 or fewer units, EDI</w:t>
            </w:r>
          </w:p>
        </w:tc>
        <w:tc>
          <w:tcPr>
            <w:tcW w:w="626" w:type="dxa"/>
            <w:tcBorders>
              <w:top w:val="nil"/>
              <w:left w:val="nil"/>
              <w:bottom w:val="single" w:sz="4" w:space="0" w:color="auto"/>
              <w:right w:val="single" w:sz="4" w:space="0" w:color="auto"/>
            </w:tcBorders>
            <w:noWrap/>
            <w:hideMark/>
          </w:tcPr>
          <w:p w:rsidR="0052750A" w:rsidRPr="003876EC" w:rsidP="00635056" w14:paraId="287F927A" w14:textId="77777777">
            <w:pPr>
              <w:jc w:val="center"/>
              <w:rPr>
                <w:rFonts w:eastAsia="Times New Roman" w:cs="Times New Roman"/>
                <w:color w:val="000000"/>
              </w:rPr>
            </w:pPr>
            <w:r w:rsidRPr="00283BF5">
              <w:rPr>
                <w:rFonts w:cs="Times New Roman"/>
              </w:rPr>
              <w:t>216</w:t>
            </w:r>
          </w:p>
        </w:tc>
        <w:tc>
          <w:tcPr>
            <w:tcW w:w="1074" w:type="dxa"/>
            <w:tcBorders>
              <w:top w:val="nil"/>
              <w:left w:val="nil"/>
              <w:bottom w:val="single" w:sz="4" w:space="0" w:color="auto"/>
              <w:right w:val="nil"/>
            </w:tcBorders>
            <w:noWrap/>
            <w:hideMark/>
          </w:tcPr>
          <w:p w:rsidR="0052750A" w:rsidRPr="003876EC" w:rsidP="00635056" w14:paraId="41231A8D" w14:textId="77777777">
            <w:pPr>
              <w:jc w:val="center"/>
              <w:rPr>
                <w:rFonts w:eastAsia="Times New Roman" w:cs="Times New Roman"/>
                <w:color w:val="000000"/>
              </w:rPr>
            </w:pPr>
            <w:r w:rsidRPr="00283BF5">
              <w:rPr>
                <w:rFonts w:cs="Times New Roman"/>
              </w:rPr>
              <w:t>7.9</w:t>
            </w:r>
          </w:p>
        </w:tc>
        <w:tc>
          <w:tcPr>
            <w:tcW w:w="626" w:type="dxa"/>
            <w:tcBorders>
              <w:top w:val="nil"/>
              <w:left w:val="single" w:sz="8" w:space="0" w:color="auto"/>
              <w:bottom w:val="single" w:sz="4" w:space="0" w:color="auto"/>
              <w:right w:val="single" w:sz="4" w:space="0" w:color="auto"/>
            </w:tcBorders>
            <w:noWrap/>
            <w:hideMark/>
          </w:tcPr>
          <w:p w:rsidR="0052750A" w:rsidRPr="003876EC" w:rsidP="00635056" w14:paraId="7ABE70F4" w14:textId="77777777">
            <w:pPr>
              <w:jc w:val="center"/>
              <w:rPr>
                <w:rFonts w:eastAsia="Times New Roman" w:cs="Times New Roman"/>
                <w:color w:val="000000"/>
              </w:rPr>
            </w:pPr>
            <w:r w:rsidRPr="00283BF5">
              <w:rPr>
                <w:rFonts w:cs="Times New Roman"/>
              </w:rPr>
              <w:t>227</w:t>
            </w:r>
          </w:p>
        </w:tc>
        <w:tc>
          <w:tcPr>
            <w:tcW w:w="1071" w:type="dxa"/>
            <w:tcBorders>
              <w:top w:val="nil"/>
              <w:left w:val="nil"/>
              <w:bottom w:val="single" w:sz="4" w:space="0" w:color="auto"/>
              <w:right w:val="single" w:sz="8" w:space="0" w:color="auto"/>
            </w:tcBorders>
            <w:noWrap/>
            <w:hideMark/>
          </w:tcPr>
          <w:p w:rsidR="0052750A" w:rsidRPr="003876EC" w:rsidP="00635056" w14:paraId="770049C2" w14:textId="77777777">
            <w:pPr>
              <w:jc w:val="center"/>
              <w:rPr>
                <w:rFonts w:eastAsia="Times New Roman" w:cs="Times New Roman"/>
                <w:color w:val="000000"/>
              </w:rPr>
            </w:pPr>
            <w:r w:rsidRPr="00283BF5">
              <w:rPr>
                <w:rFonts w:cs="Times New Roman"/>
              </w:rPr>
              <w:t>8.7</w:t>
            </w:r>
          </w:p>
        </w:tc>
        <w:tc>
          <w:tcPr>
            <w:tcW w:w="649" w:type="dxa"/>
            <w:tcBorders>
              <w:top w:val="nil"/>
              <w:left w:val="nil"/>
              <w:bottom w:val="single" w:sz="4" w:space="0" w:color="auto"/>
              <w:right w:val="single" w:sz="4" w:space="0" w:color="auto"/>
            </w:tcBorders>
            <w:noWrap/>
            <w:hideMark/>
          </w:tcPr>
          <w:p w:rsidR="0052750A" w:rsidRPr="003876EC" w:rsidP="00635056" w14:paraId="611A80E6" w14:textId="77777777">
            <w:pPr>
              <w:jc w:val="center"/>
              <w:rPr>
                <w:rFonts w:eastAsia="Times New Roman" w:cs="Times New Roman"/>
                <w:color w:val="000000"/>
              </w:rPr>
            </w:pPr>
            <w:r w:rsidRPr="00283BF5">
              <w:rPr>
                <w:rFonts w:cs="Times New Roman"/>
              </w:rPr>
              <w:t>184</w:t>
            </w:r>
          </w:p>
        </w:tc>
        <w:tc>
          <w:tcPr>
            <w:tcW w:w="1081" w:type="dxa"/>
            <w:tcBorders>
              <w:top w:val="nil"/>
              <w:left w:val="nil"/>
              <w:bottom w:val="single" w:sz="4" w:space="0" w:color="auto"/>
              <w:right w:val="single" w:sz="8" w:space="0" w:color="auto"/>
            </w:tcBorders>
            <w:noWrap/>
            <w:hideMark/>
          </w:tcPr>
          <w:p w:rsidR="0052750A" w:rsidRPr="003876EC" w:rsidP="00635056" w14:paraId="50CFE746" w14:textId="77777777">
            <w:pPr>
              <w:jc w:val="center"/>
              <w:rPr>
                <w:rFonts w:eastAsia="Times New Roman" w:cs="Times New Roman"/>
                <w:color w:val="000000"/>
              </w:rPr>
            </w:pPr>
            <w:r w:rsidRPr="00283BF5">
              <w:rPr>
                <w:rFonts w:cs="Times New Roman"/>
              </w:rPr>
              <w:t>7.8</w:t>
            </w:r>
          </w:p>
        </w:tc>
        <w:tc>
          <w:tcPr>
            <w:tcW w:w="838" w:type="dxa"/>
            <w:tcBorders>
              <w:top w:val="nil"/>
              <w:left w:val="nil"/>
              <w:bottom w:val="single" w:sz="4" w:space="0" w:color="auto"/>
              <w:right w:val="single" w:sz="4" w:space="0" w:color="auto"/>
            </w:tcBorders>
            <w:noWrap/>
            <w:hideMark/>
          </w:tcPr>
          <w:p w:rsidR="0052750A" w:rsidRPr="003876EC" w:rsidP="00635056" w14:paraId="52E83B99" w14:textId="77777777">
            <w:pPr>
              <w:jc w:val="center"/>
              <w:rPr>
                <w:rFonts w:eastAsia="Times New Roman" w:cs="Times New Roman"/>
                <w:color w:val="000000"/>
              </w:rPr>
            </w:pPr>
            <w:r w:rsidRPr="00283BF5">
              <w:rPr>
                <w:rFonts w:cs="Times New Roman"/>
              </w:rPr>
              <w:t>627</w:t>
            </w:r>
          </w:p>
        </w:tc>
        <w:tc>
          <w:tcPr>
            <w:tcW w:w="1260" w:type="dxa"/>
            <w:tcBorders>
              <w:top w:val="nil"/>
              <w:left w:val="nil"/>
              <w:bottom w:val="single" w:sz="4" w:space="0" w:color="auto"/>
              <w:right w:val="single" w:sz="4" w:space="0" w:color="auto"/>
            </w:tcBorders>
            <w:noWrap/>
            <w:hideMark/>
          </w:tcPr>
          <w:p w:rsidR="0052750A" w:rsidRPr="003876EC" w:rsidP="00635056" w14:paraId="32434E40" w14:textId="77777777">
            <w:pPr>
              <w:jc w:val="center"/>
              <w:rPr>
                <w:rFonts w:eastAsia="Times New Roman" w:cs="Times New Roman"/>
                <w:color w:val="000000"/>
              </w:rPr>
            </w:pPr>
            <w:r w:rsidRPr="00283BF5">
              <w:rPr>
                <w:rFonts w:cs="Times New Roman"/>
              </w:rPr>
              <w:t>8.1</w:t>
            </w:r>
          </w:p>
        </w:tc>
      </w:tr>
      <w:tr w14:paraId="356DF8BF" w14:textId="77777777" w:rsidTr="004D185C">
        <w:tblPrEx>
          <w:tblW w:w="9360" w:type="dxa"/>
          <w:tblLook w:val="04A0"/>
        </w:tblPrEx>
        <w:trPr>
          <w:trHeight w:val="315"/>
        </w:trPr>
        <w:tc>
          <w:tcPr>
            <w:tcW w:w="2135" w:type="dxa"/>
            <w:tcBorders>
              <w:top w:val="nil"/>
              <w:left w:val="single" w:sz="4" w:space="0" w:color="auto"/>
              <w:bottom w:val="single" w:sz="4" w:space="0" w:color="auto"/>
              <w:right w:val="single" w:sz="4" w:space="0" w:color="auto"/>
            </w:tcBorders>
            <w:vAlign w:val="center"/>
            <w:hideMark/>
          </w:tcPr>
          <w:p w:rsidR="0052750A" w:rsidRPr="003876EC" w:rsidP="00635056" w14:paraId="1DD38CE7" w14:textId="00EAEC27">
            <w:pPr>
              <w:rPr>
                <w:rFonts w:eastAsia="Times New Roman" w:cs="Times New Roman"/>
                <w:color w:val="000000"/>
              </w:rPr>
            </w:pPr>
            <w:r w:rsidRPr="003876EC">
              <w:rPr>
                <w:rFonts w:eastAsia="Times New Roman" w:cs="Times New Roman"/>
                <w:color w:val="000000"/>
              </w:rPr>
              <w:t xml:space="preserve">15 or fewer units, </w:t>
            </w:r>
            <w:r w:rsidR="00CE0C92">
              <w:rPr>
                <w:rFonts w:eastAsia="Times New Roman" w:cs="Times New Roman"/>
                <w:color w:val="000000"/>
              </w:rPr>
              <w:t>m</w:t>
            </w:r>
            <w:r w:rsidRPr="003876EC" w:rsidR="00CE0C92">
              <w:rPr>
                <w:rFonts w:eastAsia="Times New Roman" w:cs="Times New Roman"/>
                <w:color w:val="000000"/>
              </w:rPr>
              <w:t xml:space="preserve">anual </w:t>
            </w:r>
            <w:r w:rsidRPr="003876EC">
              <w:rPr>
                <w:rFonts w:eastAsia="Times New Roman" w:cs="Times New Roman"/>
                <w:color w:val="000000"/>
              </w:rPr>
              <w:t>data entry</w:t>
            </w:r>
          </w:p>
        </w:tc>
        <w:tc>
          <w:tcPr>
            <w:tcW w:w="626" w:type="dxa"/>
            <w:tcBorders>
              <w:top w:val="nil"/>
              <w:left w:val="nil"/>
              <w:bottom w:val="single" w:sz="4" w:space="0" w:color="auto"/>
              <w:right w:val="single" w:sz="4" w:space="0" w:color="auto"/>
            </w:tcBorders>
            <w:noWrap/>
            <w:hideMark/>
          </w:tcPr>
          <w:p w:rsidR="0052750A" w:rsidRPr="003876EC" w:rsidP="00635056" w14:paraId="57D14C30" w14:textId="77777777">
            <w:pPr>
              <w:jc w:val="center"/>
              <w:rPr>
                <w:rFonts w:eastAsia="Times New Roman" w:cs="Times New Roman"/>
                <w:color w:val="000000"/>
              </w:rPr>
            </w:pPr>
            <w:r w:rsidRPr="00283BF5">
              <w:rPr>
                <w:rFonts w:cs="Times New Roman"/>
              </w:rPr>
              <w:t>62</w:t>
            </w:r>
          </w:p>
        </w:tc>
        <w:tc>
          <w:tcPr>
            <w:tcW w:w="1074" w:type="dxa"/>
            <w:tcBorders>
              <w:top w:val="nil"/>
              <w:left w:val="nil"/>
              <w:bottom w:val="single" w:sz="4" w:space="0" w:color="auto"/>
              <w:right w:val="nil"/>
            </w:tcBorders>
            <w:noWrap/>
            <w:hideMark/>
          </w:tcPr>
          <w:p w:rsidR="0052750A" w:rsidRPr="003876EC" w:rsidP="00635056" w14:paraId="1364B837" w14:textId="77777777">
            <w:pPr>
              <w:jc w:val="center"/>
              <w:rPr>
                <w:rFonts w:eastAsia="Times New Roman" w:cs="Times New Roman"/>
                <w:color w:val="000000"/>
              </w:rPr>
            </w:pPr>
            <w:r w:rsidRPr="00283BF5">
              <w:rPr>
                <w:rFonts w:cs="Times New Roman"/>
              </w:rPr>
              <w:t>5.8</w:t>
            </w:r>
          </w:p>
        </w:tc>
        <w:tc>
          <w:tcPr>
            <w:tcW w:w="626" w:type="dxa"/>
            <w:tcBorders>
              <w:top w:val="nil"/>
              <w:left w:val="single" w:sz="8" w:space="0" w:color="auto"/>
              <w:bottom w:val="single" w:sz="4" w:space="0" w:color="auto"/>
              <w:right w:val="single" w:sz="4" w:space="0" w:color="auto"/>
            </w:tcBorders>
            <w:noWrap/>
            <w:hideMark/>
          </w:tcPr>
          <w:p w:rsidR="0052750A" w:rsidRPr="003876EC" w:rsidP="00635056" w14:paraId="19FBC33D" w14:textId="77777777">
            <w:pPr>
              <w:jc w:val="center"/>
              <w:rPr>
                <w:rFonts w:eastAsia="Times New Roman" w:cs="Times New Roman"/>
                <w:color w:val="000000"/>
              </w:rPr>
            </w:pPr>
            <w:r w:rsidRPr="00283BF5">
              <w:rPr>
                <w:rFonts w:cs="Times New Roman"/>
              </w:rPr>
              <w:t>55</w:t>
            </w:r>
          </w:p>
        </w:tc>
        <w:tc>
          <w:tcPr>
            <w:tcW w:w="1071" w:type="dxa"/>
            <w:tcBorders>
              <w:top w:val="nil"/>
              <w:left w:val="nil"/>
              <w:bottom w:val="single" w:sz="4" w:space="0" w:color="auto"/>
              <w:right w:val="single" w:sz="8" w:space="0" w:color="auto"/>
            </w:tcBorders>
            <w:noWrap/>
            <w:hideMark/>
          </w:tcPr>
          <w:p w:rsidR="0052750A" w:rsidRPr="003876EC" w:rsidP="00635056" w14:paraId="6A7DC9E8" w14:textId="77777777">
            <w:pPr>
              <w:jc w:val="center"/>
              <w:rPr>
                <w:rFonts w:eastAsia="Times New Roman" w:cs="Times New Roman"/>
                <w:color w:val="000000"/>
              </w:rPr>
            </w:pPr>
            <w:r w:rsidRPr="00283BF5">
              <w:rPr>
                <w:rFonts w:cs="Times New Roman"/>
              </w:rPr>
              <w:t>7.3</w:t>
            </w:r>
          </w:p>
        </w:tc>
        <w:tc>
          <w:tcPr>
            <w:tcW w:w="649" w:type="dxa"/>
            <w:tcBorders>
              <w:top w:val="nil"/>
              <w:left w:val="nil"/>
              <w:bottom w:val="single" w:sz="4" w:space="0" w:color="auto"/>
              <w:right w:val="single" w:sz="4" w:space="0" w:color="auto"/>
            </w:tcBorders>
            <w:noWrap/>
            <w:hideMark/>
          </w:tcPr>
          <w:p w:rsidR="0052750A" w:rsidRPr="003876EC" w:rsidP="00635056" w14:paraId="76B7C5CF" w14:textId="77777777">
            <w:pPr>
              <w:jc w:val="center"/>
              <w:rPr>
                <w:rFonts w:eastAsia="Times New Roman" w:cs="Times New Roman"/>
                <w:color w:val="000000"/>
              </w:rPr>
            </w:pPr>
            <w:r w:rsidRPr="00283BF5">
              <w:rPr>
                <w:rFonts w:cs="Times New Roman"/>
              </w:rPr>
              <w:t>46</w:t>
            </w:r>
          </w:p>
        </w:tc>
        <w:tc>
          <w:tcPr>
            <w:tcW w:w="1081" w:type="dxa"/>
            <w:tcBorders>
              <w:top w:val="nil"/>
              <w:left w:val="nil"/>
              <w:bottom w:val="single" w:sz="4" w:space="0" w:color="auto"/>
              <w:right w:val="single" w:sz="8" w:space="0" w:color="auto"/>
            </w:tcBorders>
            <w:noWrap/>
            <w:hideMark/>
          </w:tcPr>
          <w:p w:rsidR="0052750A" w:rsidRPr="003876EC" w:rsidP="00635056" w14:paraId="032C920F" w14:textId="77777777">
            <w:pPr>
              <w:jc w:val="center"/>
              <w:rPr>
                <w:rFonts w:eastAsia="Times New Roman" w:cs="Times New Roman"/>
                <w:color w:val="000000"/>
              </w:rPr>
            </w:pPr>
            <w:r w:rsidRPr="00283BF5">
              <w:rPr>
                <w:rFonts w:cs="Times New Roman"/>
              </w:rPr>
              <w:t>7.6</w:t>
            </w:r>
          </w:p>
        </w:tc>
        <w:tc>
          <w:tcPr>
            <w:tcW w:w="838" w:type="dxa"/>
            <w:tcBorders>
              <w:top w:val="nil"/>
              <w:left w:val="nil"/>
              <w:bottom w:val="single" w:sz="4" w:space="0" w:color="auto"/>
              <w:right w:val="single" w:sz="4" w:space="0" w:color="auto"/>
            </w:tcBorders>
            <w:noWrap/>
            <w:hideMark/>
          </w:tcPr>
          <w:p w:rsidR="0052750A" w:rsidRPr="003876EC" w:rsidP="00635056" w14:paraId="5FEC06AA" w14:textId="77777777">
            <w:pPr>
              <w:jc w:val="center"/>
              <w:rPr>
                <w:rFonts w:eastAsia="Times New Roman" w:cs="Times New Roman"/>
                <w:color w:val="000000"/>
              </w:rPr>
            </w:pPr>
            <w:r w:rsidRPr="00283BF5">
              <w:rPr>
                <w:rFonts w:cs="Times New Roman"/>
              </w:rPr>
              <w:t>163</w:t>
            </w:r>
          </w:p>
        </w:tc>
        <w:tc>
          <w:tcPr>
            <w:tcW w:w="1260" w:type="dxa"/>
            <w:tcBorders>
              <w:top w:val="nil"/>
              <w:left w:val="nil"/>
              <w:bottom w:val="single" w:sz="4" w:space="0" w:color="auto"/>
              <w:right w:val="single" w:sz="4" w:space="0" w:color="auto"/>
            </w:tcBorders>
            <w:noWrap/>
            <w:hideMark/>
          </w:tcPr>
          <w:p w:rsidR="0052750A" w:rsidRPr="003876EC" w:rsidP="00635056" w14:paraId="7CC890F5" w14:textId="77777777">
            <w:pPr>
              <w:jc w:val="center"/>
              <w:rPr>
                <w:rFonts w:eastAsia="Times New Roman" w:cs="Times New Roman"/>
                <w:color w:val="000000"/>
              </w:rPr>
            </w:pPr>
            <w:r w:rsidRPr="00283BF5">
              <w:rPr>
                <w:rFonts w:cs="Times New Roman"/>
              </w:rPr>
              <w:t>6.8</w:t>
            </w:r>
          </w:p>
        </w:tc>
      </w:tr>
      <w:tr w14:paraId="22ADADC0" w14:textId="77777777" w:rsidTr="004D185C">
        <w:tblPrEx>
          <w:tblW w:w="9360" w:type="dxa"/>
          <w:tblLook w:val="04A0"/>
        </w:tblPrEx>
        <w:trPr>
          <w:trHeight w:val="315"/>
        </w:trPr>
        <w:tc>
          <w:tcPr>
            <w:tcW w:w="2135" w:type="dxa"/>
            <w:tcBorders>
              <w:top w:val="nil"/>
              <w:left w:val="single" w:sz="4" w:space="0" w:color="auto"/>
              <w:bottom w:val="single" w:sz="4" w:space="0" w:color="auto"/>
              <w:right w:val="single" w:sz="4" w:space="0" w:color="auto"/>
            </w:tcBorders>
            <w:vAlign w:val="center"/>
            <w:hideMark/>
          </w:tcPr>
          <w:p w:rsidR="0052750A" w:rsidRPr="003876EC" w:rsidP="00635056" w14:paraId="56EC8709" w14:textId="77777777">
            <w:pPr>
              <w:rPr>
                <w:rFonts w:eastAsia="Times New Roman" w:cs="Times New Roman"/>
                <w:i/>
                <w:iCs/>
                <w:color w:val="000000"/>
              </w:rPr>
            </w:pPr>
            <w:r w:rsidRPr="003876EC">
              <w:rPr>
                <w:rFonts w:eastAsia="Times New Roman" w:cs="Times New Roman"/>
                <w:i/>
                <w:iCs/>
                <w:color w:val="000000"/>
              </w:rPr>
              <w:t>Estimated total</w:t>
            </w:r>
          </w:p>
        </w:tc>
        <w:tc>
          <w:tcPr>
            <w:tcW w:w="626" w:type="dxa"/>
            <w:tcBorders>
              <w:top w:val="nil"/>
              <w:left w:val="nil"/>
              <w:bottom w:val="single" w:sz="4" w:space="0" w:color="auto"/>
              <w:right w:val="single" w:sz="4" w:space="0" w:color="auto"/>
            </w:tcBorders>
            <w:noWrap/>
            <w:hideMark/>
          </w:tcPr>
          <w:p w:rsidR="0052750A" w:rsidRPr="003876EC" w:rsidP="00635056" w14:paraId="4B054155" w14:textId="77777777">
            <w:pPr>
              <w:jc w:val="center"/>
              <w:rPr>
                <w:rFonts w:eastAsia="Times New Roman" w:cs="Times New Roman"/>
                <w:i/>
                <w:iCs/>
                <w:color w:val="000000"/>
              </w:rPr>
            </w:pPr>
            <w:r w:rsidRPr="00FA740E">
              <w:rPr>
                <w:rFonts w:cs="Times New Roman"/>
                <w:i/>
                <w:iCs/>
              </w:rPr>
              <w:t>484</w:t>
            </w:r>
          </w:p>
        </w:tc>
        <w:tc>
          <w:tcPr>
            <w:tcW w:w="1074" w:type="dxa"/>
            <w:tcBorders>
              <w:top w:val="nil"/>
              <w:left w:val="nil"/>
              <w:bottom w:val="single" w:sz="4" w:space="0" w:color="auto"/>
              <w:right w:val="nil"/>
            </w:tcBorders>
            <w:noWrap/>
            <w:hideMark/>
          </w:tcPr>
          <w:p w:rsidR="0052750A" w:rsidRPr="003876EC" w:rsidP="00635056" w14:paraId="23A82449" w14:textId="77777777">
            <w:pPr>
              <w:jc w:val="center"/>
              <w:rPr>
                <w:rFonts w:eastAsia="Times New Roman" w:cs="Times New Roman"/>
                <w:i/>
                <w:iCs/>
                <w:color w:val="000000"/>
              </w:rPr>
            </w:pPr>
            <w:r w:rsidRPr="00FA740E">
              <w:rPr>
                <w:rFonts w:cs="Times New Roman"/>
                <w:i/>
                <w:iCs/>
              </w:rPr>
              <w:t>18.1</w:t>
            </w:r>
          </w:p>
        </w:tc>
        <w:tc>
          <w:tcPr>
            <w:tcW w:w="626" w:type="dxa"/>
            <w:tcBorders>
              <w:top w:val="nil"/>
              <w:left w:val="single" w:sz="8" w:space="0" w:color="auto"/>
              <w:bottom w:val="single" w:sz="4" w:space="0" w:color="auto"/>
              <w:right w:val="single" w:sz="4" w:space="0" w:color="auto"/>
            </w:tcBorders>
            <w:noWrap/>
            <w:hideMark/>
          </w:tcPr>
          <w:p w:rsidR="0052750A" w:rsidRPr="003876EC" w:rsidP="00635056" w14:paraId="0484C629" w14:textId="77777777">
            <w:pPr>
              <w:jc w:val="center"/>
              <w:rPr>
                <w:rFonts w:eastAsia="Times New Roman" w:cs="Times New Roman"/>
                <w:i/>
                <w:iCs/>
                <w:color w:val="000000"/>
              </w:rPr>
            </w:pPr>
            <w:r w:rsidRPr="00FA740E">
              <w:rPr>
                <w:rFonts w:cs="Times New Roman"/>
                <w:i/>
                <w:iCs/>
              </w:rPr>
              <w:t>504</w:t>
            </w:r>
          </w:p>
        </w:tc>
        <w:tc>
          <w:tcPr>
            <w:tcW w:w="1071" w:type="dxa"/>
            <w:tcBorders>
              <w:top w:val="nil"/>
              <w:left w:val="nil"/>
              <w:bottom w:val="single" w:sz="4" w:space="0" w:color="auto"/>
              <w:right w:val="single" w:sz="8" w:space="0" w:color="auto"/>
            </w:tcBorders>
            <w:noWrap/>
            <w:hideMark/>
          </w:tcPr>
          <w:p w:rsidR="0052750A" w:rsidRPr="003876EC" w:rsidP="00635056" w14:paraId="74B2CADD" w14:textId="77777777">
            <w:pPr>
              <w:jc w:val="center"/>
              <w:rPr>
                <w:rFonts w:eastAsia="Times New Roman" w:cs="Times New Roman"/>
                <w:i/>
                <w:iCs/>
                <w:color w:val="000000"/>
              </w:rPr>
            </w:pPr>
            <w:r w:rsidRPr="00FA740E">
              <w:rPr>
                <w:rFonts w:cs="Times New Roman"/>
                <w:i/>
                <w:iCs/>
              </w:rPr>
              <w:t>19.8</w:t>
            </w:r>
          </w:p>
        </w:tc>
        <w:tc>
          <w:tcPr>
            <w:tcW w:w="649" w:type="dxa"/>
            <w:tcBorders>
              <w:top w:val="nil"/>
              <w:left w:val="nil"/>
              <w:bottom w:val="single" w:sz="4" w:space="0" w:color="auto"/>
              <w:right w:val="single" w:sz="4" w:space="0" w:color="auto"/>
            </w:tcBorders>
            <w:noWrap/>
            <w:hideMark/>
          </w:tcPr>
          <w:p w:rsidR="0052750A" w:rsidRPr="003876EC" w:rsidP="00635056" w14:paraId="0A1D746D" w14:textId="77777777">
            <w:pPr>
              <w:jc w:val="center"/>
              <w:rPr>
                <w:rFonts w:eastAsia="Times New Roman" w:cs="Times New Roman"/>
                <w:i/>
                <w:iCs/>
                <w:color w:val="000000"/>
              </w:rPr>
            </w:pPr>
            <w:r w:rsidRPr="00FA740E">
              <w:rPr>
                <w:rFonts w:cs="Times New Roman"/>
                <w:i/>
                <w:iCs/>
              </w:rPr>
              <w:t>440</w:t>
            </w:r>
          </w:p>
        </w:tc>
        <w:tc>
          <w:tcPr>
            <w:tcW w:w="1081" w:type="dxa"/>
            <w:tcBorders>
              <w:top w:val="nil"/>
              <w:left w:val="nil"/>
              <w:bottom w:val="single" w:sz="4" w:space="0" w:color="auto"/>
              <w:right w:val="single" w:sz="8" w:space="0" w:color="auto"/>
            </w:tcBorders>
            <w:noWrap/>
            <w:hideMark/>
          </w:tcPr>
          <w:p w:rsidR="0052750A" w:rsidRPr="003876EC" w:rsidP="00635056" w14:paraId="2708420E" w14:textId="77777777">
            <w:pPr>
              <w:jc w:val="center"/>
              <w:rPr>
                <w:rFonts w:eastAsia="Times New Roman" w:cs="Times New Roman"/>
                <w:i/>
                <w:iCs/>
                <w:color w:val="000000"/>
              </w:rPr>
            </w:pPr>
            <w:r w:rsidRPr="00FA740E">
              <w:rPr>
                <w:rFonts w:cs="Times New Roman"/>
                <w:i/>
                <w:iCs/>
              </w:rPr>
              <w:t>17.7</w:t>
            </w:r>
          </w:p>
        </w:tc>
        <w:tc>
          <w:tcPr>
            <w:tcW w:w="838" w:type="dxa"/>
            <w:tcBorders>
              <w:top w:val="nil"/>
              <w:left w:val="nil"/>
              <w:bottom w:val="single" w:sz="4" w:space="0" w:color="auto"/>
              <w:right w:val="single" w:sz="4" w:space="0" w:color="auto"/>
            </w:tcBorders>
            <w:noWrap/>
            <w:hideMark/>
          </w:tcPr>
          <w:p w:rsidR="0052750A" w:rsidRPr="003876EC" w:rsidP="00635056" w14:paraId="02DADF5E" w14:textId="77777777">
            <w:pPr>
              <w:jc w:val="center"/>
              <w:rPr>
                <w:rFonts w:eastAsia="Times New Roman" w:cs="Times New Roman"/>
                <w:i/>
                <w:iCs/>
                <w:color w:val="000000"/>
              </w:rPr>
            </w:pPr>
            <w:r w:rsidRPr="00FA740E">
              <w:rPr>
                <w:rFonts w:cs="Times New Roman"/>
                <w:i/>
                <w:iCs/>
              </w:rPr>
              <w:t>1,428</w:t>
            </w:r>
          </w:p>
        </w:tc>
        <w:tc>
          <w:tcPr>
            <w:tcW w:w="1260" w:type="dxa"/>
            <w:tcBorders>
              <w:top w:val="nil"/>
              <w:left w:val="nil"/>
              <w:bottom w:val="single" w:sz="4" w:space="0" w:color="auto"/>
              <w:right w:val="single" w:sz="4" w:space="0" w:color="auto"/>
            </w:tcBorders>
            <w:noWrap/>
            <w:hideMark/>
          </w:tcPr>
          <w:p w:rsidR="0052750A" w:rsidRPr="003876EC" w:rsidP="00635056" w14:paraId="21B7C92E" w14:textId="77777777">
            <w:pPr>
              <w:jc w:val="center"/>
              <w:rPr>
                <w:rFonts w:eastAsia="Times New Roman" w:cs="Times New Roman"/>
                <w:i/>
                <w:iCs/>
                <w:color w:val="000000"/>
              </w:rPr>
            </w:pPr>
            <w:r w:rsidRPr="00FA740E">
              <w:rPr>
                <w:rFonts w:cs="Times New Roman"/>
                <w:i/>
                <w:iCs/>
              </w:rPr>
              <w:t>18.6</w:t>
            </w:r>
          </w:p>
        </w:tc>
      </w:tr>
    </w:tbl>
    <w:p w:rsidR="0052750A" w:rsidRPr="003876EC" w:rsidP="0052750A" w14:paraId="7BEF6687" w14:textId="77777777">
      <w:pPr>
        <w:spacing w:after="120" w:line="360" w:lineRule="auto"/>
        <w:ind w:firstLine="720"/>
        <w:rPr>
          <w:rFonts w:eastAsia="Times New Roman" w:cs="Times New Roman"/>
        </w:rPr>
      </w:pPr>
    </w:p>
    <w:tbl>
      <w:tblPr>
        <w:tblW w:w="9360" w:type="dxa"/>
        <w:tblLook w:val="04A0"/>
      </w:tblPr>
      <w:tblGrid>
        <w:gridCol w:w="9360"/>
      </w:tblGrid>
      <w:tr w14:paraId="0C4106DC" w14:textId="77777777" w:rsidTr="008D132A">
        <w:tblPrEx>
          <w:tblW w:w="9360" w:type="dxa"/>
          <w:tblLook w:val="04A0"/>
        </w:tblPrEx>
        <w:trPr>
          <w:trHeight w:val="315"/>
        </w:trPr>
        <w:tc>
          <w:tcPr>
            <w:tcW w:w="9360" w:type="dxa"/>
            <w:tcBorders>
              <w:top w:val="nil"/>
              <w:left w:val="nil"/>
              <w:bottom w:val="single" w:sz="4" w:space="0" w:color="auto"/>
              <w:right w:val="nil"/>
            </w:tcBorders>
            <w:noWrap/>
            <w:vAlign w:val="center"/>
            <w:hideMark/>
          </w:tcPr>
          <w:p w:rsidR="0052750A" w:rsidRPr="003876EC" w:rsidP="00113470" w14:paraId="2A3D49B2" w14:textId="08FC196C">
            <w:pPr>
              <w:pStyle w:val="TableTitle"/>
              <w:framePr w:wrap="around"/>
            </w:pPr>
            <w:bookmarkStart w:id="52" w:name="_Toc225512740"/>
            <w:r w:rsidRPr="003876EC">
              <w:t>Exhibit 2.</w:t>
            </w:r>
            <w:r w:rsidR="004D185C">
              <w:tab/>
            </w:r>
            <w:r w:rsidRPr="003876EC">
              <w:t>GSS 20</w:t>
            </w:r>
            <w:r>
              <w:t>22</w:t>
            </w:r>
            <w:r w:rsidRPr="003876EC">
              <w:t>-202</w:t>
            </w:r>
            <w:r>
              <w:t>4</w:t>
            </w:r>
            <w:r w:rsidRPr="003876EC">
              <w:t xml:space="preserve"> </w:t>
            </w:r>
            <w:r w:rsidR="00CE0C92">
              <w:t>R</w:t>
            </w:r>
            <w:r w:rsidRPr="003876EC" w:rsidR="00CE0C92">
              <w:t xml:space="preserve">eported </w:t>
            </w:r>
            <w:r w:rsidR="00CE0C92">
              <w:t>B</w:t>
            </w:r>
            <w:r w:rsidRPr="003876EC">
              <w:t xml:space="preserve">urden for </w:t>
            </w:r>
            <w:r w:rsidR="00CE0C92">
              <w:t>I</w:t>
            </w:r>
            <w:r w:rsidRPr="003876EC">
              <w:t xml:space="preserve">nstitutions </w:t>
            </w:r>
            <w:r w:rsidR="00CE0C92">
              <w:t>U</w:t>
            </w:r>
            <w:r w:rsidRPr="003876EC">
              <w:t xml:space="preserve">sing </w:t>
            </w:r>
            <w:r w:rsidR="00CE0C92">
              <w:t>U</w:t>
            </w:r>
            <w:r w:rsidRPr="003876EC">
              <w:t xml:space="preserve">nit </w:t>
            </w:r>
            <w:r w:rsidR="00CE0C92">
              <w:t>R</w:t>
            </w:r>
            <w:r w:rsidRPr="003876EC">
              <w:t xml:space="preserve">espondents, by </w:t>
            </w:r>
            <w:r w:rsidR="00CE0C92">
              <w:t>I</w:t>
            </w:r>
            <w:r w:rsidRPr="003876EC">
              <w:t xml:space="preserve">nstitutional </w:t>
            </w:r>
            <w:r w:rsidR="00CE0C92">
              <w:t>R</w:t>
            </w:r>
            <w:r w:rsidRPr="003876EC">
              <w:t xml:space="preserve">eporting </w:t>
            </w:r>
            <w:r w:rsidR="00CE0C92">
              <w:t>S</w:t>
            </w:r>
            <w:r w:rsidRPr="003876EC">
              <w:t xml:space="preserve">ize and </w:t>
            </w:r>
            <w:r w:rsidR="00CE0C92">
              <w:t>D</w:t>
            </w:r>
            <w:r w:rsidRPr="003876EC">
              <w:t xml:space="preserve">ata </w:t>
            </w:r>
            <w:r w:rsidR="00CE0C92">
              <w:t>P</w:t>
            </w:r>
            <w:r w:rsidRPr="003876EC">
              <w:t xml:space="preserve">rovision </w:t>
            </w:r>
            <w:r w:rsidR="00CE0C92">
              <w:t>M</w:t>
            </w:r>
            <w:r w:rsidRPr="003876EC">
              <w:t>ethod</w:t>
            </w:r>
            <w:bookmarkEnd w:id="52"/>
            <w:r w:rsidRPr="003876EC">
              <w:t xml:space="preserve"> </w:t>
            </w:r>
          </w:p>
        </w:tc>
      </w:tr>
    </w:tbl>
    <w:tbl>
      <w:tblPr>
        <w:tblW w:w="9355" w:type="dxa"/>
        <w:tblLayout w:type="fixed"/>
        <w:tblLook w:val="04A0"/>
      </w:tblPr>
      <w:tblGrid>
        <w:gridCol w:w="2155"/>
        <w:gridCol w:w="540"/>
        <w:gridCol w:w="1080"/>
        <w:gridCol w:w="630"/>
        <w:gridCol w:w="1170"/>
        <w:gridCol w:w="630"/>
        <w:gridCol w:w="1080"/>
        <w:gridCol w:w="810"/>
        <w:gridCol w:w="1260"/>
      </w:tblGrid>
      <w:tr w14:paraId="2E846E45" w14:textId="77777777" w:rsidTr="008D132A">
        <w:tblPrEx>
          <w:tblW w:w="9355" w:type="dxa"/>
          <w:tblLayout w:type="fixed"/>
          <w:tblLook w:val="04A0"/>
        </w:tblPrEx>
        <w:trPr>
          <w:trHeight w:val="315"/>
        </w:trPr>
        <w:tc>
          <w:tcPr>
            <w:tcW w:w="2155" w:type="dxa"/>
            <w:tcBorders>
              <w:top w:val="nil"/>
              <w:left w:val="single" w:sz="4" w:space="0" w:color="auto"/>
              <w:right w:val="single" w:sz="4" w:space="0" w:color="auto"/>
            </w:tcBorders>
            <w:noWrap/>
            <w:vAlign w:val="bottom"/>
            <w:hideMark/>
          </w:tcPr>
          <w:p w:rsidR="0052750A" w:rsidRPr="003876EC" w:rsidP="00635056" w14:paraId="35B0ED8E" w14:textId="77777777">
            <w:pPr>
              <w:rPr>
                <w:rFonts w:eastAsia="Times New Roman" w:cs="Times New Roman"/>
                <w:color w:val="000000"/>
              </w:rPr>
            </w:pPr>
            <w:r w:rsidRPr="003876EC">
              <w:rPr>
                <w:rFonts w:eastAsia="Times New Roman" w:cs="Times New Roman"/>
                <w:color w:val="000000"/>
              </w:rPr>
              <w:t> </w:t>
            </w:r>
          </w:p>
        </w:tc>
        <w:tc>
          <w:tcPr>
            <w:tcW w:w="1620" w:type="dxa"/>
            <w:gridSpan w:val="2"/>
            <w:tcBorders>
              <w:top w:val="single" w:sz="4" w:space="0" w:color="auto"/>
              <w:left w:val="nil"/>
              <w:right w:val="single" w:sz="4" w:space="0" w:color="auto"/>
            </w:tcBorders>
            <w:noWrap/>
            <w:vAlign w:val="bottom"/>
            <w:hideMark/>
          </w:tcPr>
          <w:p w:rsidR="0052750A" w:rsidRPr="003876EC" w:rsidP="00635056" w14:paraId="5F962CF0" w14:textId="77777777">
            <w:pPr>
              <w:jc w:val="center"/>
              <w:rPr>
                <w:rFonts w:eastAsia="Times New Roman" w:cs="Times New Roman"/>
                <w:b/>
                <w:bCs/>
                <w:color w:val="000000"/>
              </w:rPr>
            </w:pPr>
            <w:r w:rsidRPr="003876EC">
              <w:rPr>
                <w:rFonts w:eastAsia="Times New Roman" w:cs="Times New Roman"/>
                <w:b/>
                <w:bCs/>
                <w:color w:val="000000"/>
              </w:rPr>
              <w:t>20</w:t>
            </w:r>
            <w:r>
              <w:rPr>
                <w:rFonts w:eastAsia="Times New Roman" w:cs="Times New Roman"/>
                <w:b/>
                <w:bCs/>
                <w:color w:val="000000"/>
              </w:rPr>
              <w:t>22</w:t>
            </w:r>
          </w:p>
        </w:tc>
        <w:tc>
          <w:tcPr>
            <w:tcW w:w="1800" w:type="dxa"/>
            <w:gridSpan w:val="2"/>
            <w:tcBorders>
              <w:top w:val="single" w:sz="4" w:space="0" w:color="auto"/>
              <w:left w:val="single" w:sz="8" w:space="0" w:color="auto"/>
              <w:right w:val="single" w:sz="8" w:space="0" w:color="000000"/>
            </w:tcBorders>
            <w:noWrap/>
            <w:vAlign w:val="bottom"/>
            <w:hideMark/>
          </w:tcPr>
          <w:p w:rsidR="0052750A" w:rsidRPr="003876EC" w:rsidP="00635056" w14:paraId="1F46D08D" w14:textId="77777777">
            <w:pPr>
              <w:jc w:val="center"/>
              <w:rPr>
                <w:rFonts w:eastAsia="Times New Roman" w:cs="Times New Roman"/>
                <w:b/>
                <w:bCs/>
                <w:color w:val="000000"/>
              </w:rPr>
            </w:pPr>
            <w:r w:rsidRPr="003876EC">
              <w:rPr>
                <w:rFonts w:eastAsia="Times New Roman" w:cs="Times New Roman"/>
                <w:b/>
                <w:bCs/>
                <w:color w:val="000000"/>
              </w:rPr>
              <w:t>202</w:t>
            </w:r>
            <w:r>
              <w:rPr>
                <w:rFonts w:eastAsia="Times New Roman" w:cs="Times New Roman"/>
                <w:b/>
                <w:bCs/>
                <w:color w:val="000000"/>
              </w:rPr>
              <w:t>3</w:t>
            </w:r>
          </w:p>
        </w:tc>
        <w:tc>
          <w:tcPr>
            <w:tcW w:w="1710" w:type="dxa"/>
            <w:gridSpan w:val="2"/>
            <w:tcBorders>
              <w:top w:val="single" w:sz="4" w:space="0" w:color="auto"/>
              <w:left w:val="nil"/>
              <w:right w:val="single" w:sz="8" w:space="0" w:color="000000"/>
            </w:tcBorders>
            <w:noWrap/>
            <w:vAlign w:val="bottom"/>
            <w:hideMark/>
          </w:tcPr>
          <w:p w:rsidR="0052750A" w:rsidRPr="003876EC" w:rsidP="00635056" w14:paraId="7ABB7122" w14:textId="77777777">
            <w:pPr>
              <w:jc w:val="center"/>
              <w:rPr>
                <w:rFonts w:eastAsia="Times New Roman" w:cs="Times New Roman"/>
                <w:b/>
                <w:bCs/>
                <w:color w:val="000000"/>
              </w:rPr>
            </w:pPr>
            <w:r w:rsidRPr="003876EC">
              <w:rPr>
                <w:rFonts w:eastAsia="Times New Roman" w:cs="Times New Roman"/>
                <w:b/>
                <w:bCs/>
                <w:color w:val="000000"/>
              </w:rPr>
              <w:t>202</w:t>
            </w:r>
            <w:r>
              <w:rPr>
                <w:rFonts w:eastAsia="Times New Roman" w:cs="Times New Roman"/>
                <w:b/>
                <w:bCs/>
                <w:color w:val="000000"/>
              </w:rPr>
              <w:t>4</w:t>
            </w:r>
          </w:p>
        </w:tc>
        <w:tc>
          <w:tcPr>
            <w:tcW w:w="2070" w:type="dxa"/>
            <w:gridSpan w:val="2"/>
            <w:tcBorders>
              <w:top w:val="single" w:sz="4" w:space="0" w:color="auto"/>
              <w:left w:val="nil"/>
              <w:right w:val="single" w:sz="4" w:space="0" w:color="000000"/>
            </w:tcBorders>
            <w:vAlign w:val="bottom"/>
            <w:hideMark/>
          </w:tcPr>
          <w:p w:rsidR="0052750A" w:rsidRPr="003876EC" w:rsidP="00635056" w14:paraId="03F0233C" w14:textId="77777777">
            <w:pPr>
              <w:jc w:val="center"/>
              <w:rPr>
                <w:rFonts w:eastAsia="Times New Roman" w:cs="Times New Roman"/>
                <w:b/>
                <w:bCs/>
                <w:color w:val="000000"/>
              </w:rPr>
            </w:pPr>
            <w:r w:rsidRPr="003876EC">
              <w:rPr>
                <w:rFonts w:eastAsia="Times New Roman" w:cs="Times New Roman"/>
                <w:b/>
                <w:bCs/>
                <w:color w:val="000000"/>
              </w:rPr>
              <w:t>20</w:t>
            </w:r>
            <w:r>
              <w:rPr>
                <w:rFonts w:eastAsia="Times New Roman" w:cs="Times New Roman"/>
                <w:b/>
                <w:bCs/>
                <w:color w:val="000000"/>
              </w:rPr>
              <w:t>22</w:t>
            </w:r>
            <w:r w:rsidRPr="003876EC">
              <w:rPr>
                <w:rFonts w:eastAsia="Times New Roman" w:cs="Times New Roman"/>
                <w:b/>
                <w:bCs/>
                <w:color w:val="000000"/>
              </w:rPr>
              <w:t>-202</w:t>
            </w:r>
            <w:r>
              <w:rPr>
                <w:rFonts w:eastAsia="Times New Roman" w:cs="Times New Roman"/>
                <w:b/>
                <w:bCs/>
                <w:color w:val="000000"/>
              </w:rPr>
              <w:t>4</w:t>
            </w:r>
          </w:p>
        </w:tc>
      </w:tr>
      <w:tr w14:paraId="2287355A" w14:textId="77777777" w:rsidTr="008D132A">
        <w:tblPrEx>
          <w:tblW w:w="9355" w:type="dxa"/>
          <w:tblLayout w:type="fixed"/>
          <w:tblLook w:val="04A0"/>
        </w:tblPrEx>
        <w:trPr>
          <w:cantSplit/>
        </w:trPr>
        <w:tc>
          <w:tcPr>
            <w:tcW w:w="2155" w:type="dxa"/>
            <w:tcBorders>
              <w:top w:val="nil"/>
              <w:left w:val="single" w:sz="4" w:space="0" w:color="auto"/>
              <w:bottom w:val="single" w:sz="4" w:space="0" w:color="auto"/>
              <w:right w:val="single" w:sz="4" w:space="0" w:color="auto"/>
            </w:tcBorders>
            <w:noWrap/>
            <w:vAlign w:val="bottom"/>
            <w:hideMark/>
          </w:tcPr>
          <w:p w:rsidR="008D132A" w:rsidRPr="003876EC" w:rsidP="00635056" w14:paraId="29870CC2" w14:textId="3530D08E">
            <w:pPr>
              <w:rPr>
                <w:rFonts w:eastAsia="Times New Roman" w:cs="Times New Roman"/>
                <w:color w:val="000000"/>
              </w:rPr>
            </w:pPr>
          </w:p>
        </w:tc>
        <w:tc>
          <w:tcPr>
            <w:tcW w:w="540" w:type="dxa"/>
            <w:tcBorders>
              <w:top w:val="nil"/>
              <w:left w:val="nil"/>
              <w:bottom w:val="single" w:sz="4" w:space="0" w:color="auto"/>
              <w:right w:val="nil"/>
            </w:tcBorders>
            <w:vAlign w:val="bottom"/>
            <w:hideMark/>
          </w:tcPr>
          <w:p w:rsidR="008D132A" w:rsidRPr="003876EC" w:rsidP="00635056" w14:paraId="2080E45C" w14:textId="77777777">
            <w:pPr>
              <w:jc w:val="center"/>
              <w:rPr>
                <w:rFonts w:eastAsia="Times New Roman" w:cs="Times New Roman"/>
                <w:b/>
                <w:bCs/>
                <w:color w:val="000000"/>
              </w:rPr>
            </w:pPr>
            <w:r w:rsidRPr="003876EC">
              <w:rPr>
                <w:rFonts w:eastAsia="Times New Roman" w:cs="Times New Roman"/>
                <w:b/>
                <w:bCs/>
                <w:color w:val="000000"/>
              </w:rPr>
              <w:t> </w:t>
            </w:r>
          </w:p>
          <w:p w:rsidR="008D132A" w:rsidRPr="003876EC" w:rsidP="008D132A" w14:paraId="3D013117" w14:textId="50046215">
            <w:pPr>
              <w:jc w:val="center"/>
              <w:rPr>
                <w:rFonts w:eastAsia="Times New Roman" w:cs="Times New Roman"/>
                <w:b/>
                <w:bCs/>
                <w:color w:val="000000"/>
              </w:rPr>
            </w:pPr>
            <w:r>
              <w:rPr>
                <w:rFonts w:eastAsia="Times New Roman" w:cs="Times New Roman"/>
                <w:b/>
                <w:bCs/>
                <w:color w:val="000000"/>
              </w:rPr>
              <w:t>n</w:t>
            </w:r>
          </w:p>
        </w:tc>
        <w:tc>
          <w:tcPr>
            <w:tcW w:w="1080" w:type="dxa"/>
            <w:tcBorders>
              <w:top w:val="nil"/>
              <w:left w:val="nil"/>
              <w:bottom w:val="single" w:sz="4" w:space="0" w:color="auto"/>
              <w:right w:val="single" w:sz="8" w:space="0" w:color="auto"/>
            </w:tcBorders>
            <w:vAlign w:val="bottom"/>
            <w:hideMark/>
          </w:tcPr>
          <w:p w:rsidR="008D132A" w:rsidRPr="003876EC" w:rsidP="00635056" w14:paraId="0762852B" w14:textId="77777777">
            <w:pPr>
              <w:jc w:val="center"/>
              <w:rPr>
                <w:rFonts w:eastAsia="Times New Roman" w:cs="Times New Roman"/>
                <w:b/>
                <w:bCs/>
                <w:color w:val="000000"/>
              </w:rPr>
            </w:pPr>
            <w:r w:rsidRPr="003876EC">
              <w:rPr>
                <w:rFonts w:eastAsia="Times New Roman" w:cs="Times New Roman"/>
                <w:b/>
                <w:bCs/>
                <w:color w:val="000000"/>
              </w:rPr>
              <w:t>Average</w:t>
            </w:r>
          </w:p>
          <w:p w:rsidR="008D132A" w:rsidRPr="003876EC" w:rsidP="00635056" w14:paraId="699B6EC0" w14:textId="77777777">
            <w:pPr>
              <w:jc w:val="center"/>
              <w:rPr>
                <w:rFonts w:eastAsia="Times New Roman" w:cs="Times New Roman"/>
                <w:b/>
                <w:bCs/>
                <w:color w:val="000000"/>
              </w:rPr>
            </w:pPr>
            <w:r w:rsidRPr="003876EC">
              <w:rPr>
                <w:rFonts w:eastAsia="Times New Roman" w:cs="Times New Roman"/>
                <w:b/>
                <w:bCs/>
                <w:color w:val="000000"/>
              </w:rPr>
              <w:t>Burden</w:t>
            </w:r>
          </w:p>
          <w:p w:rsidR="008D132A" w:rsidRPr="003876EC" w:rsidP="00635056" w14:paraId="71C50530" w14:textId="0AF4BB6E">
            <w:pPr>
              <w:jc w:val="center"/>
              <w:rPr>
                <w:rFonts w:eastAsia="Times New Roman" w:cs="Times New Roman"/>
                <w:b/>
                <w:bCs/>
                <w:color w:val="000000"/>
              </w:rPr>
            </w:pPr>
            <w:r w:rsidRPr="003876EC">
              <w:rPr>
                <w:rFonts w:eastAsia="Times New Roman" w:cs="Times New Roman"/>
                <w:b/>
                <w:bCs/>
                <w:color w:val="000000"/>
              </w:rPr>
              <w:t>(hours)</w:t>
            </w:r>
          </w:p>
        </w:tc>
        <w:tc>
          <w:tcPr>
            <w:tcW w:w="630" w:type="dxa"/>
            <w:tcBorders>
              <w:top w:val="nil"/>
              <w:left w:val="nil"/>
              <w:bottom w:val="single" w:sz="4" w:space="0" w:color="auto"/>
              <w:right w:val="nil"/>
            </w:tcBorders>
            <w:vAlign w:val="bottom"/>
            <w:hideMark/>
          </w:tcPr>
          <w:p w:rsidR="008D132A" w:rsidRPr="003876EC" w:rsidP="00635056" w14:paraId="7010F3E1" w14:textId="77777777">
            <w:pPr>
              <w:jc w:val="center"/>
              <w:rPr>
                <w:rFonts w:eastAsia="Times New Roman" w:cs="Times New Roman"/>
                <w:b/>
                <w:bCs/>
                <w:color w:val="000000"/>
              </w:rPr>
            </w:pPr>
            <w:r w:rsidRPr="003876EC">
              <w:rPr>
                <w:rFonts w:eastAsia="Times New Roman" w:cs="Times New Roman"/>
                <w:b/>
                <w:bCs/>
                <w:color w:val="000000"/>
              </w:rPr>
              <w:t> </w:t>
            </w:r>
          </w:p>
          <w:p w:rsidR="008D132A" w:rsidRPr="003876EC" w:rsidP="008D132A" w14:paraId="2E64E75E" w14:textId="7A084E18">
            <w:pPr>
              <w:jc w:val="center"/>
              <w:rPr>
                <w:rFonts w:eastAsia="Times New Roman" w:cs="Times New Roman"/>
                <w:b/>
                <w:bCs/>
                <w:color w:val="000000"/>
              </w:rPr>
            </w:pPr>
            <w:r w:rsidRPr="003876EC">
              <w:rPr>
                <w:rFonts w:eastAsia="Times New Roman" w:cs="Times New Roman"/>
                <w:b/>
                <w:bCs/>
                <w:color w:val="000000"/>
              </w:rPr>
              <w:t>N</w:t>
            </w:r>
          </w:p>
        </w:tc>
        <w:tc>
          <w:tcPr>
            <w:tcW w:w="1170" w:type="dxa"/>
            <w:tcBorders>
              <w:top w:val="nil"/>
              <w:left w:val="nil"/>
              <w:bottom w:val="single" w:sz="4" w:space="0" w:color="auto"/>
              <w:right w:val="single" w:sz="8" w:space="0" w:color="auto"/>
            </w:tcBorders>
            <w:vAlign w:val="bottom"/>
            <w:hideMark/>
          </w:tcPr>
          <w:p w:rsidR="008D132A" w:rsidRPr="003876EC" w:rsidP="00635056" w14:paraId="1447A7AE" w14:textId="77777777">
            <w:pPr>
              <w:jc w:val="center"/>
              <w:rPr>
                <w:rFonts w:eastAsia="Times New Roman" w:cs="Times New Roman"/>
                <w:b/>
                <w:bCs/>
                <w:color w:val="000000"/>
              </w:rPr>
            </w:pPr>
            <w:r w:rsidRPr="003876EC">
              <w:rPr>
                <w:rFonts w:eastAsia="Times New Roman" w:cs="Times New Roman"/>
                <w:b/>
                <w:bCs/>
                <w:color w:val="000000"/>
              </w:rPr>
              <w:t>Average</w:t>
            </w:r>
          </w:p>
          <w:p w:rsidR="008D132A" w:rsidRPr="003876EC" w:rsidP="00635056" w14:paraId="1BF8852C" w14:textId="77777777">
            <w:pPr>
              <w:jc w:val="center"/>
              <w:rPr>
                <w:rFonts w:eastAsia="Times New Roman" w:cs="Times New Roman"/>
                <w:b/>
                <w:bCs/>
                <w:color w:val="000000"/>
              </w:rPr>
            </w:pPr>
            <w:r w:rsidRPr="003876EC">
              <w:rPr>
                <w:rFonts w:eastAsia="Times New Roman" w:cs="Times New Roman"/>
                <w:b/>
                <w:bCs/>
                <w:color w:val="000000"/>
              </w:rPr>
              <w:t>Burden</w:t>
            </w:r>
          </w:p>
          <w:p w:rsidR="008D132A" w:rsidRPr="003876EC" w:rsidP="00635056" w14:paraId="700CCE66" w14:textId="28199CFD">
            <w:pPr>
              <w:jc w:val="center"/>
              <w:rPr>
                <w:rFonts w:eastAsia="Times New Roman" w:cs="Times New Roman"/>
                <w:b/>
                <w:bCs/>
                <w:color w:val="000000"/>
              </w:rPr>
            </w:pPr>
            <w:r w:rsidRPr="003876EC">
              <w:rPr>
                <w:rFonts w:eastAsia="Times New Roman" w:cs="Times New Roman"/>
                <w:b/>
                <w:bCs/>
                <w:color w:val="000000"/>
              </w:rPr>
              <w:t>(hours)</w:t>
            </w:r>
          </w:p>
        </w:tc>
        <w:tc>
          <w:tcPr>
            <w:tcW w:w="630" w:type="dxa"/>
            <w:tcBorders>
              <w:top w:val="nil"/>
              <w:left w:val="nil"/>
              <w:bottom w:val="single" w:sz="4" w:space="0" w:color="auto"/>
              <w:right w:val="nil"/>
            </w:tcBorders>
            <w:vAlign w:val="bottom"/>
            <w:hideMark/>
          </w:tcPr>
          <w:p w:rsidR="008D132A" w:rsidRPr="003876EC" w:rsidP="00635056" w14:paraId="6C6A7148" w14:textId="77777777">
            <w:pPr>
              <w:jc w:val="center"/>
              <w:rPr>
                <w:rFonts w:eastAsia="Times New Roman" w:cs="Times New Roman"/>
                <w:b/>
                <w:bCs/>
                <w:color w:val="000000"/>
              </w:rPr>
            </w:pPr>
            <w:r w:rsidRPr="003876EC">
              <w:rPr>
                <w:rFonts w:eastAsia="Times New Roman" w:cs="Times New Roman"/>
                <w:b/>
                <w:bCs/>
                <w:color w:val="000000"/>
              </w:rPr>
              <w:t> </w:t>
            </w:r>
          </w:p>
          <w:p w:rsidR="008D132A" w:rsidRPr="003876EC" w:rsidP="008D132A" w14:paraId="3657034F" w14:textId="134338BF">
            <w:pPr>
              <w:jc w:val="center"/>
              <w:rPr>
                <w:rFonts w:eastAsia="Times New Roman" w:cs="Times New Roman"/>
                <w:b/>
                <w:bCs/>
                <w:color w:val="000000"/>
              </w:rPr>
            </w:pPr>
            <w:r w:rsidRPr="003876EC">
              <w:rPr>
                <w:rFonts w:eastAsia="Times New Roman" w:cs="Times New Roman"/>
                <w:b/>
                <w:bCs/>
                <w:color w:val="000000"/>
              </w:rPr>
              <w:t>N</w:t>
            </w:r>
          </w:p>
        </w:tc>
        <w:tc>
          <w:tcPr>
            <w:tcW w:w="1080" w:type="dxa"/>
            <w:tcBorders>
              <w:top w:val="nil"/>
              <w:left w:val="nil"/>
              <w:bottom w:val="single" w:sz="4" w:space="0" w:color="auto"/>
              <w:right w:val="single" w:sz="8" w:space="0" w:color="auto"/>
            </w:tcBorders>
            <w:vAlign w:val="bottom"/>
            <w:hideMark/>
          </w:tcPr>
          <w:p w:rsidR="008D132A" w:rsidRPr="003876EC" w:rsidP="00635056" w14:paraId="535ED848" w14:textId="77777777">
            <w:pPr>
              <w:jc w:val="center"/>
              <w:rPr>
                <w:rFonts w:eastAsia="Times New Roman" w:cs="Times New Roman"/>
                <w:b/>
                <w:bCs/>
                <w:color w:val="000000"/>
              </w:rPr>
            </w:pPr>
            <w:r w:rsidRPr="003876EC">
              <w:rPr>
                <w:rFonts w:eastAsia="Times New Roman" w:cs="Times New Roman"/>
                <w:b/>
                <w:bCs/>
                <w:color w:val="000000"/>
              </w:rPr>
              <w:t>Average</w:t>
            </w:r>
          </w:p>
          <w:p w:rsidR="008D132A" w:rsidRPr="003876EC" w:rsidP="00635056" w14:paraId="789C1B51" w14:textId="77777777">
            <w:pPr>
              <w:jc w:val="center"/>
              <w:rPr>
                <w:rFonts w:eastAsia="Times New Roman" w:cs="Times New Roman"/>
                <w:b/>
                <w:bCs/>
                <w:color w:val="000000"/>
              </w:rPr>
            </w:pPr>
            <w:r w:rsidRPr="003876EC">
              <w:rPr>
                <w:rFonts w:eastAsia="Times New Roman" w:cs="Times New Roman"/>
                <w:b/>
                <w:bCs/>
                <w:color w:val="000000"/>
              </w:rPr>
              <w:t>Burden</w:t>
            </w:r>
          </w:p>
          <w:p w:rsidR="008D132A" w:rsidRPr="003876EC" w:rsidP="00635056" w14:paraId="4326C909" w14:textId="17D0F87A">
            <w:pPr>
              <w:jc w:val="center"/>
              <w:rPr>
                <w:rFonts w:eastAsia="Times New Roman" w:cs="Times New Roman"/>
                <w:b/>
                <w:bCs/>
                <w:color w:val="000000"/>
              </w:rPr>
            </w:pPr>
            <w:r w:rsidRPr="003876EC">
              <w:rPr>
                <w:rFonts w:eastAsia="Times New Roman" w:cs="Times New Roman"/>
                <w:b/>
                <w:bCs/>
                <w:color w:val="000000"/>
              </w:rPr>
              <w:t>(hours)</w:t>
            </w:r>
          </w:p>
        </w:tc>
        <w:tc>
          <w:tcPr>
            <w:tcW w:w="810" w:type="dxa"/>
            <w:tcBorders>
              <w:top w:val="nil"/>
              <w:left w:val="nil"/>
              <w:bottom w:val="single" w:sz="4" w:space="0" w:color="auto"/>
              <w:right w:val="nil"/>
            </w:tcBorders>
            <w:vAlign w:val="bottom"/>
            <w:hideMark/>
          </w:tcPr>
          <w:p w:rsidR="008D132A" w:rsidRPr="003876EC" w:rsidP="00635056" w14:paraId="0C2FC27F" w14:textId="77777777">
            <w:pPr>
              <w:jc w:val="center"/>
              <w:rPr>
                <w:rFonts w:eastAsia="Times New Roman" w:cs="Times New Roman"/>
                <w:b/>
                <w:bCs/>
                <w:color w:val="000000"/>
              </w:rPr>
            </w:pPr>
            <w:r w:rsidRPr="003876EC">
              <w:rPr>
                <w:rFonts w:eastAsia="Times New Roman" w:cs="Times New Roman"/>
                <w:b/>
                <w:bCs/>
                <w:color w:val="000000"/>
              </w:rPr>
              <w:t> </w:t>
            </w:r>
          </w:p>
          <w:p w:rsidR="008D132A" w:rsidRPr="003876EC" w:rsidP="008D132A" w14:paraId="41FB4838" w14:textId="3E9B06BA">
            <w:pPr>
              <w:jc w:val="center"/>
              <w:rPr>
                <w:rFonts w:eastAsia="Times New Roman" w:cs="Times New Roman"/>
                <w:b/>
                <w:bCs/>
                <w:color w:val="000000"/>
              </w:rPr>
            </w:pPr>
            <w:r w:rsidRPr="003876EC">
              <w:rPr>
                <w:rFonts w:eastAsia="Times New Roman" w:cs="Times New Roman"/>
                <w:b/>
                <w:bCs/>
                <w:color w:val="000000"/>
              </w:rPr>
              <w:t>n</w:t>
            </w:r>
          </w:p>
        </w:tc>
        <w:tc>
          <w:tcPr>
            <w:tcW w:w="1260" w:type="dxa"/>
            <w:tcBorders>
              <w:top w:val="nil"/>
              <w:left w:val="nil"/>
              <w:bottom w:val="single" w:sz="4" w:space="0" w:color="auto"/>
              <w:right w:val="single" w:sz="4" w:space="0" w:color="auto"/>
            </w:tcBorders>
            <w:vAlign w:val="bottom"/>
            <w:hideMark/>
          </w:tcPr>
          <w:p w:rsidR="008D132A" w:rsidRPr="003876EC" w:rsidP="00635056" w14:paraId="5C2D0F26" w14:textId="77777777">
            <w:pPr>
              <w:jc w:val="center"/>
              <w:rPr>
                <w:rFonts w:eastAsia="Times New Roman" w:cs="Times New Roman"/>
                <w:b/>
                <w:bCs/>
                <w:color w:val="000000"/>
              </w:rPr>
            </w:pPr>
            <w:r w:rsidRPr="003876EC">
              <w:rPr>
                <w:rFonts w:eastAsia="Times New Roman" w:cs="Times New Roman"/>
                <w:b/>
                <w:bCs/>
                <w:color w:val="000000"/>
              </w:rPr>
              <w:t>Weighted Average</w:t>
            </w:r>
          </w:p>
          <w:p w:rsidR="008D132A" w:rsidRPr="003876EC" w:rsidP="00635056" w14:paraId="47AB02FD" w14:textId="77777777">
            <w:pPr>
              <w:jc w:val="center"/>
              <w:rPr>
                <w:rFonts w:eastAsia="Times New Roman" w:cs="Times New Roman"/>
                <w:b/>
                <w:bCs/>
                <w:color w:val="000000"/>
              </w:rPr>
            </w:pPr>
            <w:r w:rsidRPr="003876EC">
              <w:rPr>
                <w:rFonts w:eastAsia="Times New Roman" w:cs="Times New Roman"/>
                <w:b/>
                <w:bCs/>
                <w:color w:val="000000"/>
              </w:rPr>
              <w:t>Burden</w:t>
            </w:r>
          </w:p>
          <w:p w:rsidR="008D132A" w:rsidRPr="003876EC" w:rsidP="00635056" w14:paraId="600E6009" w14:textId="069E8A1E">
            <w:pPr>
              <w:jc w:val="center"/>
              <w:rPr>
                <w:rFonts w:eastAsia="Times New Roman" w:cs="Times New Roman"/>
                <w:b/>
                <w:bCs/>
                <w:color w:val="000000"/>
              </w:rPr>
            </w:pPr>
            <w:r w:rsidRPr="003876EC">
              <w:rPr>
                <w:rFonts w:eastAsia="Times New Roman" w:cs="Times New Roman"/>
                <w:b/>
                <w:bCs/>
                <w:color w:val="000000"/>
              </w:rPr>
              <w:t>(hours)</w:t>
            </w:r>
          </w:p>
        </w:tc>
      </w:tr>
      <w:tr w14:paraId="550FD94B" w14:textId="77777777" w:rsidTr="008D132A">
        <w:tblPrEx>
          <w:tblW w:w="9355" w:type="dxa"/>
          <w:tblLayout w:type="fixed"/>
          <w:tblLook w:val="04A0"/>
        </w:tblPrEx>
        <w:trPr>
          <w:trHeight w:val="315"/>
        </w:trPr>
        <w:tc>
          <w:tcPr>
            <w:tcW w:w="2155" w:type="dxa"/>
            <w:tcBorders>
              <w:top w:val="single" w:sz="4" w:space="0" w:color="auto"/>
              <w:left w:val="single" w:sz="4" w:space="0" w:color="auto"/>
              <w:bottom w:val="single" w:sz="4" w:space="0" w:color="auto"/>
              <w:right w:val="single" w:sz="4" w:space="0" w:color="auto"/>
            </w:tcBorders>
            <w:vAlign w:val="center"/>
            <w:hideMark/>
          </w:tcPr>
          <w:p w:rsidR="0052750A" w:rsidRPr="003876EC" w:rsidP="00635056" w14:paraId="401286C5" w14:textId="77777777">
            <w:pPr>
              <w:rPr>
                <w:rFonts w:eastAsia="Times New Roman" w:cs="Times New Roman"/>
                <w:color w:val="000000"/>
              </w:rPr>
            </w:pPr>
            <w:r w:rsidRPr="003876EC">
              <w:rPr>
                <w:rFonts w:eastAsia="Times New Roman" w:cs="Times New Roman"/>
                <w:color w:val="000000"/>
              </w:rPr>
              <w:t>More than 15 units, EDI</w:t>
            </w:r>
          </w:p>
        </w:tc>
        <w:tc>
          <w:tcPr>
            <w:tcW w:w="540" w:type="dxa"/>
            <w:tcBorders>
              <w:top w:val="single" w:sz="4" w:space="0" w:color="auto"/>
              <w:left w:val="single" w:sz="4" w:space="0" w:color="auto"/>
              <w:bottom w:val="single" w:sz="4" w:space="0" w:color="auto"/>
              <w:right w:val="single" w:sz="4" w:space="0" w:color="auto"/>
            </w:tcBorders>
            <w:noWrap/>
            <w:vAlign w:val="bottom"/>
            <w:hideMark/>
          </w:tcPr>
          <w:p w:rsidR="0052750A" w:rsidRPr="003876EC" w:rsidP="008D132A" w14:paraId="21C91354" w14:textId="77777777">
            <w:pPr>
              <w:jc w:val="center"/>
              <w:rPr>
                <w:rFonts w:eastAsia="Times New Roman" w:cs="Times New Roman"/>
                <w:color w:val="000000"/>
              </w:rPr>
            </w:pPr>
            <w:r w:rsidRPr="00FA740E">
              <w:rPr>
                <w:rFonts w:cs="Times New Roman"/>
                <w:color w:val="000000"/>
              </w:rPr>
              <w:t>2</w:t>
            </w:r>
          </w:p>
        </w:tc>
        <w:tc>
          <w:tcPr>
            <w:tcW w:w="1080" w:type="dxa"/>
            <w:tcBorders>
              <w:top w:val="single" w:sz="4" w:space="0" w:color="auto"/>
              <w:left w:val="nil"/>
              <w:bottom w:val="single" w:sz="4" w:space="0" w:color="auto"/>
              <w:right w:val="single" w:sz="4" w:space="0" w:color="auto"/>
            </w:tcBorders>
            <w:noWrap/>
            <w:vAlign w:val="bottom"/>
            <w:hideMark/>
          </w:tcPr>
          <w:p w:rsidR="0052750A" w:rsidRPr="003876EC" w:rsidP="008D132A" w14:paraId="39F7363D" w14:textId="77777777">
            <w:pPr>
              <w:jc w:val="center"/>
              <w:rPr>
                <w:rFonts w:eastAsia="Times New Roman" w:cs="Times New Roman"/>
                <w:color w:val="000000"/>
              </w:rPr>
            </w:pPr>
            <w:r w:rsidRPr="00FA740E">
              <w:rPr>
                <w:rFonts w:cs="Times New Roman"/>
                <w:color w:val="000000"/>
              </w:rPr>
              <w:t>62.5</w:t>
            </w:r>
          </w:p>
        </w:tc>
        <w:tc>
          <w:tcPr>
            <w:tcW w:w="630" w:type="dxa"/>
            <w:tcBorders>
              <w:top w:val="single" w:sz="4" w:space="0" w:color="auto"/>
              <w:left w:val="nil"/>
              <w:bottom w:val="single" w:sz="4" w:space="0" w:color="auto"/>
              <w:right w:val="single" w:sz="4" w:space="0" w:color="auto"/>
            </w:tcBorders>
            <w:noWrap/>
            <w:vAlign w:val="bottom"/>
            <w:hideMark/>
          </w:tcPr>
          <w:p w:rsidR="0052750A" w:rsidRPr="003876EC" w:rsidP="008D132A" w14:paraId="5BE888E4" w14:textId="77777777">
            <w:pPr>
              <w:jc w:val="center"/>
              <w:rPr>
                <w:rFonts w:eastAsia="Times New Roman" w:cs="Times New Roman"/>
                <w:color w:val="000000"/>
              </w:rPr>
            </w:pPr>
            <w:r w:rsidRPr="00FA740E">
              <w:rPr>
                <w:rFonts w:cs="Times New Roman"/>
                <w:color w:val="000000"/>
              </w:rPr>
              <w:t>4</w:t>
            </w:r>
          </w:p>
        </w:tc>
        <w:tc>
          <w:tcPr>
            <w:tcW w:w="1170" w:type="dxa"/>
            <w:tcBorders>
              <w:top w:val="single" w:sz="4" w:space="0" w:color="auto"/>
              <w:left w:val="nil"/>
              <w:bottom w:val="single" w:sz="4" w:space="0" w:color="auto"/>
              <w:right w:val="single" w:sz="4" w:space="0" w:color="auto"/>
            </w:tcBorders>
            <w:noWrap/>
            <w:vAlign w:val="bottom"/>
            <w:hideMark/>
          </w:tcPr>
          <w:p w:rsidR="0052750A" w:rsidRPr="003876EC" w:rsidP="008D132A" w14:paraId="02D87EA7" w14:textId="77777777">
            <w:pPr>
              <w:jc w:val="center"/>
              <w:rPr>
                <w:rFonts w:eastAsia="Times New Roman" w:cs="Times New Roman"/>
                <w:color w:val="000000"/>
              </w:rPr>
            </w:pPr>
            <w:r w:rsidRPr="00FA740E">
              <w:rPr>
                <w:rFonts w:cs="Times New Roman"/>
                <w:color w:val="000000"/>
              </w:rPr>
              <w:t>31.3</w:t>
            </w:r>
          </w:p>
        </w:tc>
        <w:tc>
          <w:tcPr>
            <w:tcW w:w="630" w:type="dxa"/>
            <w:tcBorders>
              <w:top w:val="single" w:sz="4" w:space="0" w:color="auto"/>
              <w:left w:val="nil"/>
              <w:bottom w:val="single" w:sz="4" w:space="0" w:color="auto"/>
              <w:right w:val="single" w:sz="4" w:space="0" w:color="auto"/>
            </w:tcBorders>
            <w:noWrap/>
            <w:vAlign w:val="bottom"/>
            <w:hideMark/>
          </w:tcPr>
          <w:p w:rsidR="0052750A" w:rsidRPr="003876EC" w:rsidP="008D132A" w14:paraId="467F8EC1" w14:textId="77777777">
            <w:pPr>
              <w:jc w:val="center"/>
              <w:rPr>
                <w:rFonts w:eastAsia="Times New Roman" w:cs="Times New Roman"/>
                <w:color w:val="000000"/>
              </w:rPr>
            </w:pPr>
            <w:r w:rsidRPr="00FA740E">
              <w:rPr>
                <w:rFonts w:cs="Times New Roman"/>
                <w:color w:val="000000"/>
              </w:rPr>
              <w:t>3</w:t>
            </w:r>
          </w:p>
        </w:tc>
        <w:tc>
          <w:tcPr>
            <w:tcW w:w="1080" w:type="dxa"/>
            <w:tcBorders>
              <w:top w:val="single" w:sz="4" w:space="0" w:color="auto"/>
              <w:left w:val="nil"/>
              <w:bottom w:val="single" w:sz="4" w:space="0" w:color="auto"/>
              <w:right w:val="single" w:sz="4" w:space="0" w:color="auto"/>
            </w:tcBorders>
            <w:noWrap/>
            <w:vAlign w:val="bottom"/>
            <w:hideMark/>
          </w:tcPr>
          <w:p w:rsidR="0052750A" w:rsidRPr="003876EC" w:rsidP="008D132A" w14:paraId="269463E6" w14:textId="77777777">
            <w:pPr>
              <w:jc w:val="center"/>
              <w:rPr>
                <w:rFonts w:eastAsia="Times New Roman" w:cs="Times New Roman"/>
                <w:color w:val="000000"/>
              </w:rPr>
            </w:pPr>
            <w:r w:rsidRPr="00FA740E">
              <w:rPr>
                <w:rFonts w:cs="Times New Roman"/>
                <w:color w:val="000000"/>
              </w:rPr>
              <w:t>40.0</w:t>
            </w:r>
          </w:p>
        </w:tc>
        <w:tc>
          <w:tcPr>
            <w:tcW w:w="810" w:type="dxa"/>
            <w:tcBorders>
              <w:top w:val="single" w:sz="4" w:space="0" w:color="auto"/>
              <w:left w:val="nil"/>
              <w:bottom w:val="single" w:sz="4" w:space="0" w:color="auto"/>
              <w:right w:val="single" w:sz="4" w:space="0" w:color="auto"/>
            </w:tcBorders>
            <w:noWrap/>
            <w:vAlign w:val="bottom"/>
            <w:hideMark/>
          </w:tcPr>
          <w:p w:rsidR="0052750A" w:rsidRPr="003876EC" w:rsidP="008D132A" w14:paraId="25C93A9C" w14:textId="77777777">
            <w:pPr>
              <w:jc w:val="center"/>
              <w:rPr>
                <w:rFonts w:eastAsia="Times New Roman" w:cs="Times New Roman"/>
                <w:color w:val="000000"/>
              </w:rPr>
            </w:pPr>
            <w:r w:rsidRPr="00FA740E">
              <w:rPr>
                <w:rFonts w:cs="Times New Roman"/>
                <w:color w:val="000000"/>
              </w:rPr>
              <w:t>9</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52750A" w:rsidRPr="003876EC" w:rsidP="008D132A" w14:paraId="33DA3429" w14:textId="77777777">
            <w:pPr>
              <w:jc w:val="center"/>
              <w:rPr>
                <w:rFonts w:eastAsia="Times New Roman" w:cs="Times New Roman"/>
                <w:color w:val="000000"/>
              </w:rPr>
            </w:pPr>
            <w:r w:rsidRPr="00FA740E">
              <w:rPr>
                <w:rFonts w:cs="Times New Roman"/>
                <w:color w:val="000000"/>
              </w:rPr>
              <w:t>41.1</w:t>
            </w:r>
          </w:p>
        </w:tc>
      </w:tr>
      <w:tr w14:paraId="55203227" w14:textId="77777777" w:rsidTr="008D132A">
        <w:tblPrEx>
          <w:tblW w:w="9355" w:type="dxa"/>
          <w:tblLayout w:type="fixed"/>
          <w:tblLook w:val="04A0"/>
        </w:tblPrEx>
        <w:trPr>
          <w:trHeight w:val="630"/>
        </w:trPr>
        <w:tc>
          <w:tcPr>
            <w:tcW w:w="2155" w:type="dxa"/>
            <w:tcBorders>
              <w:top w:val="nil"/>
              <w:left w:val="single" w:sz="4" w:space="0" w:color="auto"/>
              <w:bottom w:val="single" w:sz="4" w:space="0" w:color="auto"/>
              <w:right w:val="single" w:sz="4" w:space="0" w:color="auto"/>
            </w:tcBorders>
            <w:vAlign w:val="center"/>
            <w:hideMark/>
          </w:tcPr>
          <w:p w:rsidR="0052750A" w:rsidRPr="003876EC" w:rsidP="00635056" w14:paraId="5C0FE843" w14:textId="4A67E86D">
            <w:pPr>
              <w:rPr>
                <w:rFonts w:eastAsia="Times New Roman" w:cs="Times New Roman"/>
                <w:color w:val="000000"/>
              </w:rPr>
            </w:pPr>
            <w:r w:rsidRPr="003876EC">
              <w:rPr>
                <w:rFonts w:eastAsia="Times New Roman" w:cs="Times New Roman"/>
                <w:color w:val="000000"/>
              </w:rPr>
              <w:t xml:space="preserve">More than 15 units, </w:t>
            </w:r>
            <w:r w:rsidR="00CE0C92">
              <w:rPr>
                <w:rFonts w:eastAsia="Times New Roman" w:cs="Times New Roman"/>
                <w:color w:val="000000"/>
              </w:rPr>
              <w:t>m</w:t>
            </w:r>
            <w:r w:rsidRPr="003876EC" w:rsidR="00CE0C92">
              <w:rPr>
                <w:rFonts w:eastAsia="Times New Roman" w:cs="Times New Roman"/>
                <w:color w:val="000000"/>
              </w:rPr>
              <w:t xml:space="preserve">anual </w:t>
            </w:r>
            <w:r w:rsidRPr="003876EC">
              <w:rPr>
                <w:rFonts w:eastAsia="Times New Roman" w:cs="Times New Roman"/>
                <w:color w:val="000000"/>
              </w:rPr>
              <w:t>data entry</w:t>
            </w:r>
          </w:p>
        </w:tc>
        <w:tc>
          <w:tcPr>
            <w:tcW w:w="540" w:type="dxa"/>
            <w:tcBorders>
              <w:top w:val="nil"/>
              <w:left w:val="single" w:sz="4" w:space="0" w:color="auto"/>
              <w:bottom w:val="single" w:sz="4" w:space="0" w:color="auto"/>
              <w:right w:val="single" w:sz="4" w:space="0" w:color="auto"/>
            </w:tcBorders>
            <w:noWrap/>
            <w:vAlign w:val="bottom"/>
            <w:hideMark/>
          </w:tcPr>
          <w:p w:rsidR="0052750A" w:rsidRPr="003876EC" w:rsidP="008D132A" w14:paraId="694E4042" w14:textId="77777777">
            <w:pPr>
              <w:jc w:val="center"/>
              <w:rPr>
                <w:rFonts w:eastAsia="Times New Roman" w:cs="Times New Roman"/>
                <w:color w:val="000000"/>
              </w:rPr>
            </w:pPr>
            <w:r w:rsidRPr="00FA740E">
              <w:rPr>
                <w:rFonts w:cs="Times New Roman"/>
                <w:color w:val="000000"/>
              </w:rPr>
              <w:t>3</w:t>
            </w:r>
          </w:p>
        </w:tc>
        <w:tc>
          <w:tcPr>
            <w:tcW w:w="1080" w:type="dxa"/>
            <w:tcBorders>
              <w:top w:val="nil"/>
              <w:left w:val="nil"/>
              <w:bottom w:val="single" w:sz="4" w:space="0" w:color="auto"/>
              <w:right w:val="single" w:sz="4" w:space="0" w:color="auto"/>
            </w:tcBorders>
            <w:noWrap/>
            <w:vAlign w:val="bottom"/>
            <w:hideMark/>
          </w:tcPr>
          <w:p w:rsidR="0052750A" w:rsidRPr="003876EC" w:rsidP="008D132A" w14:paraId="7A040FB8" w14:textId="77777777">
            <w:pPr>
              <w:jc w:val="center"/>
              <w:rPr>
                <w:rFonts w:eastAsia="Times New Roman" w:cs="Times New Roman"/>
                <w:color w:val="000000"/>
              </w:rPr>
            </w:pPr>
            <w:r w:rsidRPr="00FA740E">
              <w:rPr>
                <w:rFonts w:cs="Times New Roman"/>
                <w:color w:val="000000"/>
              </w:rPr>
              <w:t>36.2</w:t>
            </w:r>
          </w:p>
        </w:tc>
        <w:tc>
          <w:tcPr>
            <w:tcW w:w="630" w:type="dxa"/>
            <w:tcBorders>
              <w:top w:val="nil"/>
              <w:left w:val="nil"/>
              <w:bottom w:val="single" w:sz="4" w:space="0" w:color="auto"/>
              <w:right w:val="single" w:sz="4" w:space="0" w:color="auto"/>
            </w:tcBorders>
            <w:noWrap/>
            <w:vAlign w:val="bottom"/>
            <w:hideMark/>
          </w:tcPr>
          <w:p w:rsidR="0052750A" w:rsidRPr="003876EC" w:rsidP="008D132A" w14:paraId="08DC0DB1" w14:textId="77777777">
            <w:pPr>
              <w:jc w:val="center"/>
              <w:rPr>
                <w:rFonts w:eastAsia="Times New Roman" w:cs="Times New Roman"/>
                <w:color w:val="000000"/>
              </w:rPr>
            </w:pPr>
            <w:r w:rsidRPr="00FA740E">
              <w:rPr>
                <w:rFonts w:cs="Times New Roman"/>
                <w:color w:val="000000"/>
              </w:rPr>
              <w:t>2</w:t>
            </w:r>
          </w:p>
        </w:tc>
        <w:tc>
          <w:tcPr>
            <w:tcW w:w="1170" w:type="dxa"/>
            <w:tcBorders>
              <w:top w:val="nil"/>
              <w:left w:val="nil"/>
              <w:bottom w:val="single" w:sz="4" w:space="0" w:color="auto"/>
              <w:right w:val="single" w:sz="4" w:space="0" w:color="auto"/>
            </w:tcBorders>
            <w:noWrap/>
            <w:vAlign w:val="bottom"/>
            <w:hideMark/>
          </w:tcPr>
          <w:p w:rsidR="0052750A" w:rsidRPr="003876EC" w:rsidP="008D132A" w14:paraId="7D05FEE9" w14:textId="77777777">
            <w:pPr>
              <w:jc w:val="center"/>
              <w:rPr>
                <w:rFonts w:eastAsia="Times New Roman" w:cs="Times New Roman"/>
                <w:color w:val="000000"/>
              </w:rPr>
            </w:pPr>
            <w:r w:rsidRPr="00FA740E">
              <w:rPr>
                <w:rFonts w:cs="Times New Roman"/>
                <w:color w:val="000000"/>
              </w:rPr>
              <w:t>39.0</w:t>
            </w:r>
          </w:p>
        </w:tc>
        <w:tc>
          <w:tcPr>
            <w:tcW w:w="630" w:type="dxa"/>
            <w:tcBorders>
              <w:top w:val="nil"/>
              <w:left w:val="nil"/>
              <w:bottom w:val="single" w:sz="4" w:space="0" w:color="auto"/>
              <w:right w:val="single" w:sz="4" w:space="0" w:color="auto"/>
            </w:tcBorders>
            <w:noWrap/>
            <w:vAlign w:val="bottom"/>
            <w:hideMark/>
          </w:tcPr>
          <w:p w:rsidR="0052750A" w:rsidRPr="003876EC" w:rsidP="008D132A" w14:paraId="6A113903" w14:textId="77777777">
            <w:pPr>
              <w:jc w:val="center"/>
              <w:rPr>
                <w:rFonts w:eastAsia="Times New Roman" w:cs="Times New Roman"/>
                <w:color w:val="000000"/>
              </w:rPr>
            </w:pPr>
            <w:r w:rsidRPr="00FA740E">
              <w:rPr>
                <w:rFonts w:cs="Times New Roman"/>
                <w:color w:val="000000"/>
              </w:rPr>
              <w:t>3</w:t>
            </w:r>
          </w:p>
        </w:tc>
        <w:tc>
          <w:tcPr>
            <w:tcW w:w="1080" w:type="dxa"/>
            <w:tcBorders>
              <w:top w:val="nil"/>
              <w:left w:val="nil"/>
              <w:bottom w:val="single" w:sz="4" w:space="0" w:color="auto"/>
              <w:right w:val="single" w:sz="4" w:space="0" w:color="auto"/>
            </w:tcBorders>
            <w:noWrap/>
            <w:vAlign w:val="bottom"/>
            <w:hideMark/>
          </w:tcPr>
          <w:p w:rsidR="0052750A" w:rsidRPr="003876EC" w:rsidP="008D132A" w14:paraId="31C51869" w14:textId="77777777">
            <w:pPr>
              <w:jc w:val="center"/>
              <w:rPr>
                <w:rFonts w:eastAsia="Times New Roman" w:cs="Times New Roman"/>
                <w:color w:val="000000"/>
              </w:rPr>
            </w:pPr>
            <w:r w:rsidRPr="00FA740E">
              <w:rPr>
                <w:rFonts w:cs="Times New Roman"/>
                <w:color w:val="000000"/>
              </w:rPr>
              <w:t>36.7</w:t>
            </w:r>
          </w:p>
        </w:tc>
        <w:tc>
          <w:tcPr>
            <w:tcW w:w="810" w:type="dxa"/>
            <w:tcBorders>
              <w:top w:val="nil"/>
              <w:left w:val="nil"/>
              <w:bottom w:val="single" w:sz="4" w:space="0" w:color="auto"/>
              <w:right w:val="single" w:sz="4" w:space="0" w:color="auto"/>
            </w:tcBorders>
            <w:noWrap/>
            <w:vAlign w:val="bottom"/>
            <w:hideMark/>
          </w:tcPr>
          <w:p w:rsidR="0052750A" w:rsidRPr="003876EC" w:rsidP="008D132A" w14:paraId="71463255" w14:textId="77777777">
            <w:pPr>
              <w:jc w:val="center"/>
              <w:rPr>
                <w:rFonts w:eastAsia="Times New Roman" w:cs="Times New Roman"/>
                <w:color w:val="000000"/>
              </w:rPr>
            </w:pPr>
            <w:r w:rsidRPr="00FA740E">
              <w:rPr>
                <w:rFonts w:cs="Times New Roman"/>
                <w:color w:val="000000"/>
              </w:rPr>
              <w:t>8</w:t>
            </w:r>
          </w:p>
        </w:tc>
        <w:tc>
          <w:tcPr>
            <w:tcW w:w="1260" w:type="dxa"/>
            <w:tcBorders>
              <w:top w:val="nil"/>
              <w:left w:val="single" w:sz="4" w:space="0" w:color="auto"/>
              <w:bottom w:val="single" w:sz="4" w:space="0" w:color="auto"/>
              <w:right w:val="single" w:sz="4" w:space="0" w:color="auto"/>
            </w:tcBorders>
            <w:noWrap/>
            <w:vAlign w:val="bottom"/>
            <w:hideMark/>
          </w:tcPr>
          <w:p w:rsidR="0052750A" w:rsidRPr="003876EC" w:rsidP="008D132A" w14:paraId="2D05DDF1" w14:textId="77777777">
            <w:pPr>
              <w:jc w:val="center"/>
              <w:rPr>
                <w:rFonts w:eastAsia="Times New Roman" w:cs="Times New Roman"/>
                <w:color w:val="000000"/>
              </w:rPr>
            </w:pPr>
            <w:r w:rsidRPr="00FA740E">
              <w:rPr>
                <w:rFonts w:cs="Times New Roman"/>
                <w:color w:val="000000"/>
              </w:rPr>
              <w:t>37.1</w:t>
            </w:r>
          </w:p>
        </w:tc>
      </w:tr>
      <w:tr w14:paraId="646940DB" w14:textId="77777777" w:rsidTr="008D132A">
        <w:tblPrEx>
          <w:tblW w:w="9355" w:type="dxa"/>
          <w:tblLayout w:type="fixed"/>
          <w:tblLook w:val="04A0"/>
        </w:tblPrEx>
        <w:trPr>
          <w:trHeight w:val="315"/>
        </w:trPr>
        <w:tc>
          <w:tcPr>
            <w:tcW w:w="2155" w:type="dxa"/>
            <w:tcBorders>
              <w:top w:val="nil"/>
              <w:left w:val="single" w:sz="4" w:space="0" w:color="auto"/>
              <w:bottom w:val="single" w:sz="4" w:space="0" w:color="auto"/>
              <w:right w:val="single" w:sz="4" w:space="0" w:color="auto"/>
            </w:tcBorders>
            <w:vAlign w:val="center"/>
            <w:hideMark/>
          </w:tcPr>
          <w:p w:rsidR="0052750A" w:rsidRPr="003876EC" w:rsidP="00635056" w14:paraId="4F30E692" w14:textId="77777777">
            <w:pPr>
              <w:rPr>
                <w:rFonts w:eastAsia="Times New Roman" w:cs="Times New Roman"/>
                <w:color w:val="000000"/>
              </w:rPr>
            </w:pPr>
            <w:r w:rsidRPr="003876EC">
              <w:rPr>
                <w:rFonts w:eastAsia="Times New Roman" w:cs="Times New Roman"/>
                <w:color w:val="000000"/>
              </w:rPr>
              <w:t>15 or fewer units, EDI</w:t>
            </w:r>
          </w:p>
        </w:tc>
        <w:tc>
          <w:tcPr>
            <w:tcW w:w="540" w:type="dxa"/>
            <w:tcBorders>
              <w:top w:val="nil"/>
              <w:left w:val="single" w:sz="4" w:space="0" w:color="auto"/>
              <w:bottom w:val="single" w:sz="4" w:space="0" w:color="auto"/>
              <w:right w:val="single" w:sz="4" w:space="0" w:color="auto"/>
            </w:tcBorders>
            <w:noWrap/>
            <w:vAlign w:val="bottom"/>
            <w:hideMark/>
          </w:tcPr>
          <w:p w:rsidR="0052750A" w:rsidRPr="003876EC" w:rsidP="008D132A" w14:paraId="220A582A" w14:textId="77777777">
            <w:pPr>
              <w:jc w:val="center"/>
              <w:rPr>
                <w:rFonts w:eastAsia="Times New Roman" w:cs="Times New Roman"/>
                <w:color w:val="000000"/>
              </w:rPr>
            </w:pPr>
            <w:r w:rsidRPr="00FA740E">
              <w:rPr>
                <w:rFonts w:cs="Times New Roman"/>
                <w:color w:val="000000"/>
              </w:rPr>
              <w:t>3</w:t>
            </w:r>
          </w:p>
        </w:tc>
        <w:tc>
          <w:tcPr>
            <w:tcW w:w="1080" w:type="dxa"/>
            <w:tcBorders>
              <w:top w:val="nil"/>
              <w:left w:val="nil"/>
              <w:bottom w:val="single" w:sz="4" w:space="0" w:color="auto"/>
              <w:right w:val="single" w:sz="4" w:space="0" w:color="auto"/>
            </w:tcBorders>
            <w:noWrap/>
            <w:vAlign w:val="bottom"/>
            <w:hideMark/>
          </w:tcPr>
          <w:p w:rsidR="0052750A" w:rsidRPr="003876EC" w:rsidP="008D132A" w14:paraId="01E51708" w14:textId="77777777">
            <w:pPr>
              <w:jc w:val="center"/>
              <w:rPr>
                <w:rFonts w:eastAsia="Times New Roman" w:cs="Times New Roman"/>
                <w:color w:val="000000"/>
              </w:rPr>
            </w:pPr>
            <w:r w:rsidRPr="00FA740E">
              <w:rPr>
                <w:rFonts w:cs="Times New Roman"/>
                <w:color w:val="000000"/>
              </w:rPr>
              <w:t>12.3</w:t>
            </w:r>
          </w:p>
        </w:tc>
        <w:tc>
          <w:tcPr>
            <w:tcW w:w="630" w:type="dxa"/>
            <w:tcBorders>
              <w:top w:val="nil"/>
              <w:left w:val="nil"/>
              <w:bottom w:val="single" w:sz="4" w:space="0" w:color="auto"/>
              <w:right w:val="single" w:sz="4" w:space="0" w:color="auto"/>
            </w:tcBorders>
            <w:noWrap/>
            <w:vAlign w:val="bottom"/>
            <w:hideMark/>
          </w:tcPr>
          <w:p w:rsidR="0052750A" w:rsidRPr="003876EC" w:rsidP="008D132A" w14:paraId="4CB1443B" w14:textId="77777777">
            <w:pPr>
              <w:jc w:val="center"/>
              <w:rPr>
                <w:rFonts w:eastAsia="Times New Roman" w:cs="Times New Roman"/>
                <w:color w:val="000000"/>
              </w:rPr>
            </w:pPr>
            <w:r w:rsidRPr="00FA740E">
              <w:rPr>
                <w:rFonts w:cs="Times New Roman"/>
                <w:color w:val="000000"/>
              </w:rPr>
              <w:t>1</w:t>
            </w:r>
          </w:p>
        </w:tc>
        <w:tc>
          <w:tcPr>
            <w:tcW w:w="1170" w:type="dxa"/>
            <w:tcBorders>
              <w:top w:val="nil"/>
              <w:left w:val="nil"/>
              <w:bottom w:val="single" w:sz="4" w:space="0" w:color="auto"/>
              <w:right w:val="single" w:sz="4" w:space="0" w:color="auto"/>
            </w:tcBorders>
            <w:noWrap/>
            <w:vAlign w:val="bottom"/>
            <w:hideMark/>
          </w:tcPr>
          <w:p w:rsidR="0052750A" w:rsidRPr="003876EC" w:rsidP="008D132A" w14:paraId="4793595C" w14:textId="77777777">
            <w:pPr>
              <w:jc w:val="center"/>
              <w:rPr>
                <w:rFonts w:eastAsia="Times New Roman" w:cs="Times New Roman"/>
                <w:color w:val="000000"/>
              </w:rPr>
            </w:pPr>
            <w:r w:rsidRPr="00FA740E">
              <w:rPr>
                <w:rFonts w:cs="Times New Roman"/>
                <w:color w:val="000000"/>
              </w:rPr>
              <w:t>36.0</w:t>
            </w:r>
          </w:p>
        </w:tc>
        <w:tc>
          <w:tcPr>
            <w:tcW w:w="630" w:type="dxa"/>
            <w:tcBorders>
              <w:top w:val="nil"/>
              <w:left w:val="nil"/>
              <w:bottom w:val="single" w:sz="4" w:space="0" w:color="auto"/>
              <w:right w:val="single" w:sz="4" w:space="0" w:color="auto"/>
            </w:tcBorders>
            <w:noWrap/>
            <w:vAlign w:val="bottom"/>
            <w:hideMark/>
          </w:tcPr>
          <w:p w:rsidR="0052750A" w:rsidRPr="003876EC" w:rsidP="008D132A" w14:paraId="7AD80BAA" w14:textId="77777777">
            <w:pPr>
              <w:jc w:val="center"/>
              <w:rPr>
                <w:rFonts w:eastAsia="Times New Roman" w:cs="Times New Roman"/>
                <w:color w:val="000000"/>
              </w:rPr>
            </w:pPr>
            <w:r w:rsidRPr="00FA740E">
              <w:rPr>
                <w:rFonts w:cs="Times New Roman"/>
                <w:color w:val="000000"/>
              </w:rPr>
              <w:t>3</w:t>
            </w:r>
          </w:p>
        </w:tc>
        <w:tc>
          <w:tcPr>
            <w:tcW w:w="1080" w:type="dxa"/>
            <w:tcBorders>
              <w:top w:val="nil"/>
              <w:left w:val="nil"/>
              <w:bottom w:val="single" w:sz="4" w:space="0" w:color="auto"/>
              <w:right w:val="single" w:sz="4" w:space="0" w:color="auto"/>
            </w:tcBorders>
            <w:noWrap/>
            <w:vAlign w:val="bottom"/>
            <w:hideMark/>
          </w:tcPr>
          <w:p w:rsidR="0052750A" w:rsidRPr="003876EC" w:rsidP="008D132A" w14:paraId="4D447284" w14:textId="77777777">
            <w:pPr>
              <w:jc w:val="center"/>
              <w:rPr>
                <w:rFonts w:eastAsia="Times New Roman" w:cs="Times New Roman"/>
                <w:color w:val="000000"/>
              </w:rPr>
            </w:pPr>
            <w:r w:rsidRPr="00FA740E">
              <w:rPr>
                <w:rFonts w:cs="Times New Roman"/>
                <w:color w:val="000000"/>
              </w:rPr>
              <w:t>10.0</w:t>
            </w:r>
          </w:p>
        </w:tc>
        <w:tc>
          <w:tcPr>
            <w:tcW w:w="810" w:type="dxa"/>
            <w:tcBorders>
              <w:top w:val="nil"/>
              <w:left w:val="nil"/>
              <w:bottom w:val="single" w:sz="4" w:space="0" w:color="auto"/>
              <w:right w:val="single" w:sz="4" w:space="0" w:color="auto"/>
            </w:tcBorders>
            <w:noWrap/>
            <w:vAlign w:val="bottom"/>
            <w:hideMark/>
          </w:tcPr>
          <w:p w:rsidR="0052750A" w:rsidRPr="003876EC" w:rsidP="008D132A" w14:paraId="55EA123C" w14:textId="77777777">
            <w:pPr>
              <w:jc w:val="center"/>
              <w:rPr>
                <w:rFonts w:eastAsia="Times New Roman" w:cs="Times New Roman"/>
                <w:color w:val="000000"/>
              </w:rPr>
            </w:pPr>
            <w:r w:rsidRPr="00FA740E">
              <w:rPr>
                <w:rFonts w:cs="Times New Roman"/>
                <w:color w:val="000000"/>
              </w:rPr>
              <w:t>7</w:t>
            </w:r>
          </w:p>
        </w:tc>
        <w:tc>
          <w:tcPr>
            <w:tcW w:w="1260" w:type="dxa"/>
            <w:tcBorders>
              <w:top w:val="nil"/>
              <w:left w:val="single" w:sz="4" w:space="0" w:color="auto"/>
              <w:bottom w:val="single" w:sz="4" w:space="0" w:color="auto"/>
              <w:right w:val="single" w:sz="4" w:space="0" w:color="auto"/>
            </w:tcBorders>
            <w:noWrap/>
            <w:vAlign w:val="bottom"/>
            <w:hideMark/>
          </w:tcPr>
          <w:p w:rsidR="0052750A" w:rsidRPr="003876EC" w:rsidP="008D132A" w14:paraId="0FCA714D" w14:textId="77777777">
            <w:pPr>
              <w:jc w:val="center"/>
              <w:rPr>
                <w:rFonts w:eastAsia="Times New Roman" w:cs="Times New Roman"/>
                <w:color w:val="000000"/>
              </w:rPr>
            </w:pPr>
            <w:r w:rsidRPr="00FA740E">
              <w:rPr>
                <w:rFonts w:cs="Times New Roman"/>
                <w:color w:val="000000"/>
              </w:rPr>
              <w:t>14.7</w:t>
            </w:r>
          </w:p>
        </w:tc>
      </w:tr>
      <w:tr w14:paraId="5A5B2AF5" w14:textId="77777777" w:rsidTr="008D132A">
        <w:tblPrEx>
          <w:tblW w:w="9355" w:type="dxa"/>
          <w:tblLayout w:type="fixed"/>
          <w:tblLook w:val="04A0"/>
        </w:tblPrEx>
        <w:trPr>
          <w:trHeight w:val="315"/>
        </w:trPr>
        <w:tc>
          <w:tcPr>
            <w:tcW w:w="2155" w:type="dxa"/>
            <w:tcBorders>
              <w:top w:val="nil"/>
              <w:left w:val="single" w:sz="4" w:space="0" w:color="auto"/>
              <w:bottom w:val="single" w:sz="4" w:space="0" w:color="auto"/>
              <w:right w:val="single" w:sz="4" w:space="0" w:color="auto"/>
            </w:tcBorders>
            <w:vAlign w:val="center"/>
            <w:hideMark/>
          </w:tcPr>
          <w:p w:rsidR="0052750A" w:rsidRPr="003876EC" w:rsidP="00635056" w14:paraId="34EA0001" w14:textId="0F4C6D2D">
            <w:pPr>
              <w:rPr>
                <w:rFonts w:eastAsia="Times New Roman" w:cs="Times New Roman"/>
                <w:color w:val="000000"/>
              </w:rPr>
            </w:pPr>
            <w:r w:rsidRPr="003876EC">
              <w:rPr>
                <w:rFonts w:eastAsia="Times New Roman" w:cs="Times New Roman"/>
                <w:color w:val="000000"/>
              </w:rPr>
              <w:t xml:space="preserve">15 or fewer units, </w:t>
            </w:r>
            <w:r w:rsidR="00CE0C92">
              <w:rPr>
                <w:rFonts w:eastAsia="Times New Roman" w:cs="Times New Roman"/>
                <w:color w:val="000000"/>
              </w:rPr>
              <w:t>m</w:t>
            </w:r>
            <w:r w:rsidRPr="003876EC" w:rsidR="00CE0C92">
              <w:rPr>
                <w:rFonts w:eastAsia="Times New Roman" w:cs="Times New Roman"/>
                <w:color w:val="000000"/>
              </w:rPr>
              <w:t xml:space="preserve">anual </w:t>
            </w:r>
            <w:r w:rsidRPr="003876EC">
              <w:rPr>
                <w:rFonts w:eastAsia="Times New Roman" w:cs="Times New Roman"/>
                <w:color w:val="000000"/>
              </w:rPr>
              <w:t>data entry</w:t>
            </w:r>
          </w:p>
        </w:tc>
        <w:tc>
          <w:tcPr>
            <w:tcW w:w="540" w:type="dxa"/>
            <w:tcBorders>
              <w:top w:val="nil"/>
              <w:left w:val="single" w:sz="4" w:space="0" w:color="auto"/>
              <w:bottom w:val="single" w:sz="4" w:space="0" w:color="auto"/>
              <w:right w:val="single" w:sz="4" w:space="0" w:color="auto"/>
            </w:tcBorders>
            <w:noWrap/>
            <w:vAlign w:val="bottom"/>
            <w:hideMark/>
          </w:tcPr>
          <w:p w:rsidR="0052750A" w:rsidRPr="003876EC" w:rsidP="008D132A" w14:paraId="100EF62A" w14:textId="77777777">
            <w:pPr>
              <w:jc w:val="center"/>
              <w:rPr>
                <w:rFonts w:eastAsia="Times New Roman" w:cs="Times New Roman"/>
                <w:color w:val="000000"/>
              </w:rPr>
            </w:pPr>
            <w:r w:rsidRPr="00FA740E">
              <w:rPr>
                <w:rFonts w:cs="Times New Roman"/>
                <w:color w:val="000000"/>
              </w:rPr>
              <w:t>2</w:t>
            </w:r>
          </w:p>
        </w:tc>
        <w:tc>
          <w:tcPr>
            <w:tcW w:w="1080" w:type="dxa"/>
            <w:tcBorders>
              <w:top w:val="nil"/>
              <w:left w:val="nil"/>
              <w:bottom w:val="single" w:sz="4" w:space="0" w:color="auto"/>
              <w:right w:val="single" w:sz="4" w:space="0" w:color="auto"/>
            </w:tcBorders>
            <w:noWrap/>
            <w:vAlign w:val="bottom"/>
            <w:hideMark/>
          </w:tcPr>
          <w:p w:rsidR="0052750A" w:rsidRPr="003876EC" w:rsidP="008D132A" w14:paraId="29066DE5" w14:textId="77777777">
            <w:pPr>
              <w:jc w:val="center"/>
              <w:rPr>
                <w:rFonts w:eastAsia="Times New Roman" w:cs="Times New Roman"/>
                <w:color w:val="000000"/>
              </w:rPr>
            </w:pPr>
            <w:r w:rsidRPr="00FA740E">
              <w:rPr>
                <w:rFonts w:cs="Times New Roman"/>
                <w:color w:val="000000"/>
              </w:rPr>
              <w:t>9.0</w:t>
            </w:r>
          </w:p>
        </w:tc>
        <w:tc>
          <w:tcPr>
            <w:tcW w:w="630" w:type="dxa"/>
            <w:tcBorders>
              <w:top w:val="nil"/>
              <w:left w:val="nil"/>
              <w:bottom w:val="single" w:sz="4" w:space="0" w:color="auto"/>
              <w:right w:val="single" w:sz="4" w:space="0" w:color="auto"/>
            </w:tcBorders>
            <w:noWrap/>
            <w:vAlign w:val="bottom"/>
            <w:hideMark/>
          </w:tcPr>
          <w:p w:rsidR="0052750A" w:rsidRPr="003876EC" w:rsidP="008D132A" w14:paraId="76B2AC5A" w14:textId="77777777">
            <w:pPr>
              <w:jc w:val="center"/>
              <w:rPr>
                <w:rFonts w:eastAsia="Times New Roman" w:cs="Times New Roman"/>
                <w:color w:val="000000"/>
              </w:rPr>
            </w:pPr>
            <w:r w:rsidRPr="00FA740E">
              <w:rPr>
                <w:rFonts w:cs="Times New Roman"/>
                <w:color w:val="000000"/>
              </w:rPr>
              <w:t>4</w:t>
            </w:r>
          </w:p>
        </w:tc>
        <w:tc>
          <w:tcPr>
            <w:tcW w:w="1170" w:type="dxa"/>
            <w:tcBorders>
              <w:top w:val="nil"/>
              <w:left w:val="nil"/>
              <w:bottom w:val="single" w:sz="4" w:space="0" w:color="auto"/>
              <w:right w:val="single" w:sz="4" w:space="0" w:color="auto"/>
            </w:tcBorders>
            <w:noWrap/>
            <w:vAlign w:val="bottom"/>
            <w:hideMark/>
          </w:tcPr>
          <w:p w:rsidR="0052750A" w:rsidRPr="003876EC" w:rsidP="008D132A" w14:paraId="3F8AE172" w14:textId="77777777">
            <w:pPr>
              <w:jc w:val="center"/>
              <w:rPr>
                <w:rFonts w:eastAsia="Times New Roman" w:cs="Times New Roman"/>
                <w:color w:val="000000"/>
              </w:rPr>
            </w:pPr>
            <w:r w:rsidRPr="00FA740E">
              <w:rPr>
                <w:rFonts w:cs="Times New Roman"/>
                <w:color w:val="000000"/>
              </w:rPr>
              <w:t>4.9</w:t>
            </w:r>
          </w:p>
        </w:tc>
        <w:tc>
          <w:tcPr>
            <w:tcW w:w="630" w:type="dxa"/>
            <w:tcBorders>
              <w:top w:val="nil"/>
              <w:left w:val="nil"/>
              <w:bottom w:val="single" w:sz="4" w:space="0" w:color="auto"/>
              <w:right w:val="single" w:sz="4" w:space="0" w:color="auto"/>
            </w:tcBorders>
            <w:noWrap/>
            <w:vAlign w:val="bottom"/>
            <w:hideMark/>
          </w:tcPr>
          <w:p w:rsidR="0052750A" w:rsidRPr="003876EC" w:rsidP="008D132A" w14:paraId="4DF7A9DB" w14:textId="77777777">
            <w:pPr>
              <w:jc w:val="center"/>
              <w:rPr>
                <w:rFonts w:eastAsia="Times New Roman" w:cs="Times New Roman"/>
                <w:color w:val="000000"/>
              </w:rPr>
            </w:pPr>
            <w:r w:rsidRPr="00FA740E">
              <w:rPr>
                <w:rFonts w:cs="Times New Roman"/>
                <w:color w:val="000000"/>
              </w:rPr>
              <w:t>2</w:t>
            </w:r>
          </w:p>
        </w:tc>
        <w:tc>
          <w:tcPr>
            <w:tcW w:w="1080" w:type="dxa"/>
            <w:tcBorders>
              <w:top w:val="nil"/>
              <w:left w:val="nil"/>
              <w:bottom w:val="single" w:sz="4" w:space="0" w:color="auto"/>
              <w:right w:val="single" w:sz="4" w:space="0" w:color="auto"/>
            </w:tcBorders>
            <w:noWrap/>
            <w:vAlign w:val="bottom"/>
            <w:hideMark/>
          </w:tcPr>
          <w:p w:rsidR="0052750A" w:rsidRPr="003876EC" w:rsidP="008D132A" w14:paraId="313C0F6D" w14:textId="77777777">
            <w:pPr>
              <w:jc w:val="center"/>
              <w:rPr>
                <w:rFonts w:eastAsia="Times New Roman" w:cs="Times New Roman"/>
                <w:color w:val="000000"/>
              </w:rPr>
            </w:pPr>
            <w:r w:rsidRPr="00FA740E">
              <w:rPr>
                <w:rFonts w:cs="Times New Roman"/>
                <w:color w:val="000000"/>
              </w:rPr>
              <w:t>2.8</w:t>
            </w:r>
          </w:p>
        </w:tc>
        <w:tc>
          <w:tcPr>
            <w:tcW w:w="810" w:type="dxa"/>
            <w:tcBorders>
              <w:top w:val="nil"/>
              <w:left w:val="nil"/>
              <w:bottom w:val="single" w:sz="4" w:space="0" w:color="auto"/>
              <w:right w:val="single" w:sz="4" w:space="0" w:color="auto"/>
            </w:tcBorders>
            <w:noWrap/>
            <w:vAlign w:val="bottom"/>
            <w:hideMark/>
          </w:tcPr>
          <w:p w:rsidR="0052750A" w:rsidRPr="003876EC" w:rsidP="008D132A" w14:paraId="68288C68" w14:textId="77777777">
            <w:pPr>
              <w:jc w:val="center"/>
              <w:rPr>
                <w:rFonts w:eastAsia="Times New Roman" w:cs="Times New Roman"/>
                <w:color w:val="000000"/>
              </w:rPr>
            </w:pPr>
            <w:r w:rsidRPr="00FA740E">
              <w:rPr>
                <w:rFonts w:cs="Times New Roman"/>
                <w:color w:val="000000"/>
              </w:rPr>
              <w:t>8</w:t>
            </w:r>
          </w:p>
        </w:tc>
        <w:tc>
          <w:tcPr>
            <w:tcW w:w="1260" w:type="dxa"/>
            <w:tcBorders>
              <w:top w:val="nil"/>
              <w:left w:val="single" w:sz="4" w:space="0" w:color="auto"/>
              <w:bottom w:val="single" w:sz="4" w:space="0" w:color="auto"/>
              <w:right w:val="single" w:sz="4" w:space="0" w:color="auto"/>
            </w:tcBorders>
            <w:noWrap/>
            <w:vAlign w:val="bottom"/>
            <w:hideMark/>
          </w:tcPr>
          <w:p w:rsidR="0052750A" w:rsidRPr="003876EC" w:rsidP="008D132A" w14:paraId="769F5A61" w14:textId="77777777">
            <w:pPr>
              <w:jc w:val="center"/>
              <w:rPr>
                <w:rFonts w:eastAsia="Times New Roman" w:cs="Times New Roman"/>
                <w:color w:val="000000"/>
              </w:rPr>
            </w:pPr>
            <w:r w:rsidRPr="00FA740E">
              <w:rPr>
                <w:rFonts w:cs="Times New Roman"/>
                <w:color w:val="000000"/>
              </w:rPr>
              <w:t>5.4</w:t>
            </w:r>
          </w:p>
        </w:tc>
      </w:tr>
      <w:tr w14:paraId="1C825850" w14:textId="77777777" w:rsidTr="008D132A">
        <w:tblPrEx>
          <w:tblW w:w="9355" w:type="dxa"/>
          <w:tblLayout w:type="fixed"/>
          <w:tblLook w:val="04A0"/>
        </w:tblPrEx>
        <w:trPr>
          <w:trHeight w:val="315"/>
        </w:trPr>
        <w:tc>
          <w:tcPr>
            <w:tcW w:w="2155" w:type="dxa"/>
            <w:tcBorders>
              <w:top w:val="nil"/>
              <w:left w:val="single" w:sz="4" w:space="0" w:color="auto"/>
              <w:bottom w:val="single" w:sz="4" w:space="0" w:color="auto"/>
              <w:right w:val="single" w:sz="4" w:space="0" w:color="auto"/>
            </w:tcBorders>
            <w:vAlign w:val="center"/>
            <w:hideMark/>
          </w:tcPr>
          <w:p w:rsidR="0052750A" w:rsidRPr="003876EC" w:rsidP="00635056" w14:paraId="768BCC3F" w14:textId="77777777">
            <w:pPr>
              <w:rPr>
                <w:rFonts w:eastAsia="Times New Roman" w:cs="Times New Roman"/>
                <w:i/>
                <w:iCs/>
                <w:color w:val="000000"/>
              </w:rPr>
            </w:pPr>
            <w:r w:rsidRPr="003876EC">
              <w:rPr>
                <w:rFonts w:eastAsia="Times New Roman" w:cs="Times New Roman"/>
                <w:i/>
                <w:iCs/>
                <w:color w:val="000000"/>
              </w:rPr>
              <w:t>Estimated total</w:t>
            </w:r>
          </w:p>
        </w:tc>
        <w:tc>
          <w:tcPr>
            <w:tcW w:w="540" w:type="dxa"/>
            <w:tcBorders>
              <w:top w:val="nil"/>
              <w:left w:val="single" w:sz="4" w:space="0" w:color="auto"/>
              <w:bottom w:val="single" w:sz="4" w:space="0" w:color="auto"/>
              <w:right w:val="single" w:sz="4" w:space="0" w:color="auto"/>
            </w:tcBorders>
            <w:noWrap/>
            <w:vAlign w:val="bottom"/>
            <w:hideMark/>
          </w:tcPr>
          <w:p w:rsidR="0052750A" w:rsidRPr="003876EC" w:rsidP="008D132A" w14:paraId="6C278585" w14:textId="77777777">
            <w:pPr>
              <w:jc w:val="center"/>
              <w:rPr>
                <w:rFonts w:eastAsia="Times New Roman" w:cs="Times New Roman"/>
                <w:color w:val="000000"/>
              </w:rPr>
            </w:pPr>
            <w:r w:rsidRPr="00FA740E">
              <w:rPr>
                <w:rFonts w:cs="Times New Roman"/>
                <w:i/>
                <w:iCs/>
                <w:color w:val="000000"/>
              </w:rPr>
              <w:t>10</w:t>
            </w:r>
          </w:p>
        </w:tc>
        <w:tc>
          <w:tcPr>
            <w:tcW w:w="1080" w:type="dxa"/>
            <w:tcBorders>
              <w:top w:val="nil"/>
              <w:left w:val="nil"/>
              <w:bottom w:val="single" w:sz="4" w:space="0" w:color="auto"/>
              <w:right w:val="single" w:sz="4" w:space="0" w:color="auto"/>
            </w:tcBorders>
            <w:noWrap/>
            <w:vAlign w:val="bottom"/>
            <w:hideMark/>
          </w:tcPr>
          <w:p w:rsidR="0052750A" w:rsidRPr="003876EC" w:rsidP="008D132A" w14:paraId="433A2A3D" w14:textId="77777777">
            <w:pPr>
              <w:jc w:val="center"/>
              <w:rPr>
                <w:rFonts w:eastAsia="Times New Roman" w:cs="Times New Roman"/>
                <w:color w:val="000000"/>
              </w:rPr>
            </w:pPr>
            <w:r w:rsidRPr="00FA740E">
              <w:rPr>
                <w:rFonts w:cs="Times New Roman"/>
                <w:i/>
                <w:iCs/>
                <w:color w:val="000000"/>
              </w:rPr>
              <w:t>28.9</w:t>
            </w:r>
          </w:p>
        </w:tc>
        <w:tc>
          <w:tcPr>
            <w:tcW w:w="630" w:type="dxa"/>
            <w:tcBorders>
              <w:top w:val="nil"/>
              <w:left w:val="nil"/>
              <w:bottom w:val="single" w:sz="4" w:space="0" w:color="auto"/>
              <w:right w:val="single" w:sz="4" w:space="0" w:color="auto"/>
            </w:tcBorders>
            <w:noWrap/>
            <w:vAlign w:val="bottom"/>
            <w:hideMark/>
          </w:tcPr>
          <w:p w:rsidR="0052750A" w:rsidRPr="003876EC" w:rsidP="008D132A" w14:paraId="297347CB" w14:textId="77777777">
            <w:pPr>
              <w:jc w:val="center"/>
              <w:rPr>
                <w:rFonts w:eastAsia="Times New Roman" w:cs="Times New Roman"/>
                <w:color w:val="000000"/>
              </w:rPr>
            </w:pPr>
            <w:r w:rsidRPr="00FA740E">
              <w:rPr>
                <w:rFonts w:cs="Times New Roman"/>
                <w:i/>
                <w:iCs/>
                <w:color w:val="000000"/>
              </w:rPr>
              <w:t>11</w:t>
            </w:r>
          </w:p>
        </w:tc>
        <w:tc>
          <w:tcPr>
            <w:tcW w:w="1170" w:type="dxa"/>
            <w:tcBorders>
              <w:top w:val="nil"/>
              <w:left w:val="nil"/>
              <w:bottom w:val="single" w:sz="4" w:space="0" w:color="auto"/>
              <w:right w:val="single" w:sz="4" w:space="0" w:color="auto"/>
            </w:tcBorders>
            <w:noWrap/>
            <w:vAlign w:val="bottom"/>
            <w:hideMark/>
          </w:tcPr>
          <w:p w:rsidR="0052750A" w:rsidRPr="003876EC" w:rsidP="008D132A" w14:paraId="46960439" w14:textId="77777777">
            <w:pPr>
              <w:jc w:val="center"/>
              <w:rPr>
                <w:rFonts w:eastAsia="Times New Roman" w:cs="Times New Roman"/>
                <w:color w:val="000000"/>
              </w:rPr>
            </w:pPr>
            <w:r w:rsidRPr="00FA740E">
              <w:rPr>
                <w:rFonts w:cs="Times New Roman"/>
                <w:i/>
                <w:iCs/>
                <w:color w:val="000000"/>
              </w:rPr>
              <w:t>23.5</w:t>
            </w:r>
          </w:p>
        </w:tc>
        <w:tc>
          <w:tcPr>
            <w:tcW w:w="630" w:type="dxa"/>
            <w:tcBorders>
              <w:top w:val="nil"/>
              <w:left w:val="nil"/>
              <w:bottom w:val="single" w:sz="4" w:space="0" w:color="auto"/>
              <w:right w:val="single" w:sz="4" w:space="0" w:color="auto"/>
            </w:tcBorders>
            <w:noWrap/>
            <w:vAlign w:val="bottom"/>
            <w:hideMark/>
          </w:tcPr>
          <w:p w:rsidR="0052750A" w:rsidRPr="003876EC" w:rsidP="008D132A" w14:paraId="042CD182" w14:textId="77777777">
            <w:pPr>
              <w:jc w:val="center"/>
              <w:rPr>
                <w:rFonts w:eastAsia="Times New Roman" w:cs="Times New Roman"/>
                <w:color w:val="000000"/>
              </w:rPr>
            </w:pPr>
            <w:r w:rsidRPr="00FA740E">
              <w:rPr>
                <w:rFonts w:cs="Times New Roman"/>
                <w:i/>
                <w:iCs/>
                <w:color w:val="000000"/>
              </w:rPr>
              <w:t>11</w:t>
            </w:r>
          </w:p>
        </w:tc>
        <w:tc>
          <w:tcPr>
            <w:tcW w:w="1080" w:type="dxa"/>
            <w:tcBorders>
              <w:top w:val="nil"/>
              <w:left w:val="nil"/>
              <w:bottom w:val="single" w:sz="4" w:space="0" w:color="auto"/>
              <w:right w:val="single" w:sz="4" w:space="0" w:color="auto"/>
            </w:tcBorders>
            <w:noWrap/>
            <w:vAlign w:val="bottom"/>
            <w:hideMark/>
          </w:tcPr>
          <w:p w:rsidR="0052750A" w:rsidRPr="003876EC" w:rsidP="008D132A" w14:paraId="466E10B0" w14:textId="77777777">
            <w:pPr>
              <w:jc w:val="center"/>
              <w:rPr>
                <w:rFonts w:eastAsia="Times New Roman" w:cs="Times New Roman"/>
                <w:color w:val="000000"/>
              </w:rPr>
            </w:pPr>
            <w:r w:rsidRPr="00FA740E">
              <w:rPr>
                <w:rFonts w:cs="Times New Roman"/>
                <w:i/>
                <w:iCs/>
                <w:color w:val="000000"/>
              </w:rPr>
              <w:t>24.1</w:t>
            </w:r>
          </w:p>
        </w:tc>
        <w:tc>
          <w:tcPr>
            <w:tcW w:w="810" w:type="dxa"/>
            <w:tcBorders>
              <w:top w:val="single" w:sz="4" w:space="0" w:color="auto"/>
              <w:left w:val="nil"/>
              <w:bottom w:val="single" w:sz="4" w:space="0" w:color="auto"/>
              <w:right w:val="single" w:sz="4" w:space="0" w:color="auto"/>
            </w:tcBorders>
            <w:noWrap/>
            <w:vAlign w:val="bottom"/>
            <w:hideMark/>
          </w:tcPr>
          <w:p w:rsidR="0052750A" w:rsidRPr="003876EC" w:rsidP="008D132A" w14:paraId="07830D14" w14:textId="77777777">
            <w:pPr>
              <w:jc w:val="center"/>
              <w:rPr>
                <w:rFonts w:eastAsia="Times New Roman" w:cs="Times New Roman"/>
                <w:color w:val="000000"/>
              </w:rPr>
            </w:pPr>
            <w:r w:rsidRPr="00FA740E">
              <w:rPr>
                <w:rFonts w:cs="Times New Roman"/>
                <w:i/>
                <w:iCs/>
                <w:color w:val="000000"/>
              </w:rPr>
              <w:t>32</w:t>
            </w:r>
          </w:p>
        </w:tc>
        <w:tc>
          <w:tcPr>
            <w:tcW w:w="1260" w:type="dxa"/>
            <w:tcBorders>
              <w:top w:val="nil"/>
              <w:left w:val="nil"/>
              <w:bottom w:val="single" w:sz="4" w:space="0" w:color="auto"/>
              <w:right w:val="single" w:sz="4" w:space="0" w:color="auto"/>
            </w:tcBorders>
            <w:noWrap/>
            <w:vAlign w:val="bottom"/>
            <w:hideMark/>
          </w:tcPr>
          <w:p w:rsidR="0052750A" w:rsidRPr="003876EC" w:rsidP="008D132A" w14:paraId="49996346" w14:textId="77777777">
            <w:pPr>
              <w:jc w:val="center"/>
              <w:rPr>
                <w:rFonts w:eastAsia="Times New Roman" w:cs="Times New Roman"/>
                <w:color w:val="000000"/>
              </w:rPr>
            </w:pPr>
            <w:r w:rsidRPr="00FA740E">
              <w:rPr>
                <w:rFonts w:cs="Times New Roman"/>
                <w:i/>
                <w:iCs/>
                <w:color w:val="000000"/>
              </w:rPr>
              <w:t>25.4</w:t>
            </w:r>
          </w:p>
        </w:tc>
      </w:tr>
    </w:tbl>
    <w:p w:rsidR="0052750A" w:rsidP="008D132A" w14:paraId="63435F66" w14:textId="1103ADFE">
      <w:pPr>
        <w:pStyle w:val="BodyTextSpaceAfter"/>
        <w:spacing w:before="240"/>
        <w:rPr>
          <w:rFonts w:eastAsia="Calibri"/>
        </w:rPr>
      </w:pPr>
      <w:r w:rsidRPr="003876EC">
        <w:rPr>
          <w:rFonts w:eastAsia="Calibri"/>
        </w:rPr>
        <w:t>As mentioned above, the response rate</w:t>
      </w:r>
      <w:r w:rsidR="00FB36E5">
        <w:rPr>
          <w:rFonts w:eastAsia="Calibri"/>
        </w:rPr>
        <w:t>s</w:t>
      </w:r>
      <w:r w:rsidRPr="003876EC">
        <w:rPr>
          <w:rFonts w:eastAsia="Calibri"/>
        </w:rPr>
        <w:t xml:space="preserve"> for coordinator and UR burden </w:t>
      </w:r>
      <w:r w:rsidR="00FB36E5">
        <w:rPr>
          <w:rFonts w:eastAsia="Calibri"/>
        </w:rPr>
        <w:t>were</w:t>
      </w:r>
      <w:r w:rsidRPr="003876EC" w:rsidR="00FB36E5">
        <w:rPr>
          <w:rFonts w:eastAsia="Calibri"/>
        </w:rPr>
        <w:t xml:space="preserve"> </w:t>
      </w:r>
      <w:r w:rsidRPr="003876EC">
        <w:rPr>
          <w:rFonts w:eastAsia="Calibri"/>
        </w:rPr>
        <w:t xml:space="preserve">only </w:t>
      </w:r>
      <w:r w:rsidRPr="00444290">
        <w:rPr>
          <w:rFonts w:eastAsia="Calibri"/>
        </w:rPr>
        <w:t>60</w:t>
      </w:r>
      <w:r w:rsidRPr="003876EC">
        <w:rPr>
          <w:rFonts w:eastAsia="Calibri"/>
        </w:rPr>
        <w:t xml:space="preserve">% and </w:t>
      </w:r>
      <w:r w:rsidRPr="00444290">
        <w:rPr>
          <w:rFonts w:eastAsia="Calibri"/>
        </w:rPr>
        <w:t>51</w:t>
      </w:r>
      <w:r w:rsidRPr="003876EC">
        <w:rPr>
          <w:rFonts w:eastAsia="Calibri"/>
        </w:rPr>
        <w:t>%</w:t>
      </w:r>
      <w:r w:rsidR="00CE0C92">
        <w:rPr>
          <w:rFonts w:eastAsia="Calibri"/>
        </w:rPr>
        <w:t>,</w:t>
      </w:r>
      <w:r w:rsidRPr="003876EC">
        <w:rPr>
          <w:rFonts w:eastAsia="Calibri"/>
        </w:rPr>
        <w:t xml:space="preserve"> respectively</w:t>
      </w:r>
      <w:r w:rsidR="00CE0C92">
        <w:rPr>
          <w:rFonts w:eastAsia="Calibri"/>
        </w:rPr>
        <w:t>,</w:t>
      </w:r>
      <w:r w:rsidRPr="003876EC">
        <w:rPr>
          <w:rFonts w:eastAsia="Calibri"/>
        </w:rPr>
        <w:t xml:space="preserve"> over the three-year period. To address low response rates, the following </w:t>
      </w:r>
      <w:r w:rsidRPr="003876EC">
        <w:rPr>
          <w:rFonts w:eastAsia="Calibri"/>
        </w:rPr>
        <w:t>technique was used to impute the burden for nonresponding coordinators. First, for both groups</w:t>
      </w:r>
      <w:r w:rsidR="00CE0C92">
        <w:rPr>
          <w:rFonts w:eastAsia="Calibri"/>
        </w:rPr>
        <w:t>,</w:t>
      </w:r>
      <w:r w:rsidRPr="003876EC">
        <w:rPr>
          <w:rFonts w:eastAsia="Calibri"/>
        </w:rPr>
        <w:t xml:space="preserve"> outliers defined as </w:t>
      </w:r>
      <w:r w:rsidR="00CE0C92">
        <w:rPr>
          <w:rFonts w:eastAsia="Calibri"/>
        </w:rPr>
        <w:t>three</w:t>
      </w:r>
      <w:r w:rsidRPr="003876EC">
        <w:rPr>
          <w:rFonts w:eastAsia="Calibri"/>
        </w:rPr>
        <w:t xml:space="preserve"> standard deviations above the mean were removed. Next, missing data </w:t>
      </w:r>
      <w:r w:rsidR="00CE0C92">
        <w:rPr>
          <w:rFonts w:eastAsia="Calibri"/>
        </w:rPr>
        <w:t>were</w:t>
      </w:r>
      <w:r w:rsidRPr="003876EC" w:rsidR="00CE0C92">
        <w:rPr>
          <w:rFonts w:eastAsia="Calibri"/>
        </w:rPr>
        <w:t xml:space="preserve"> </w:t>
      </w:r>
      <w:r w:rsidRPr="003876EC">
        <w:rPr>
          <w:rFonts w:eastAsia="Calibri"/>
        </w:rPr>
        <w:t xml:space="preserve">replaced with the mean of the analysis group. Finally, </w:t>
      </w:r>
      <w:r w:rsidR="00CE0C92">
        <w:rPr>
          <w:rFonts w:eastAsia="Calibri"/>
        </w:rPr>
        <w:t>UR</w:t>
      </w:r>
      <w:r w:rsidRPr="003876EC">
        <w:rPr>
          <w:rFonts w:eastAsia="Calibri"/>
        </w:rPr>
        <w:t xml:space="preserve"> burden was calculated and included with the coordinator’s burden. This calculation is necessary because</w:t>
      </w:r>
      <w:r w:rsidR="00CE0C92">
        <w:rPr>
          <w:rFonts w:eastAsia="Calibri"/>
        </w:rPr>
        <w:t>,</w:t>
      </w:r>
      <w:r w:rsidRPr="003876EC">
        <w:rPr>
          <w:rFonts w:eastAsia="Calibri"/>
        </w:rPr>
        <w:t xml:space="preserve"> when a school utilizes URs, the coordinators’ burden is minimal</w:t>
      </w:r>
      <w:r w:rsidR="00CE0C92">
        <w:rPr>
          <w:rFonts w:eastAsia="Calibri"/>
        </w:rPr>
        <w:t>,</w:t>
      </w:r>
      <w:r w:rsidRPr="003876EC">
        <w:rPr>
          <w:rFonts w:eastAsia="Calibri"/>
        </w:rPr>
        <w:t xml:space="preserve"> while the response burden falls to individual URs. Average UR burden was applied to all units at schools utilizing URs and was then added to the coordinator’s burden. Burden estimates were weighted by use of </w:t>
      </w:r>
      <w:r w:rsidR="00CE0C92">
        <w:rPr>
          <w:rFonts w:eastAsia="Calibri"/>
        </w:rPr>
        <w:t>URs</w:t>
      </w:r>
      <w:r w:rsidRPr="003876EC">
        <w:rPr>
          <w:rFonts w:eastAsia="Calibri"/>
        </w:rPr>
        <w:t>, size of institution, and data provision method over the three-year period and are presented in Exhibit 3. The weighted average burden hours in Exhibit 3 represent the total effort required to complete the survey and are the basis for the 202</w:t>
      </w:r>
      <w:r>
        <w:rPr>
          <w:rFonts w:eastAsia="Calibri"/>
        </w:rPr>
        <w:t>6</w:t>
      </w:r>
      <w:r w:rsidRPr="003876EC">
        <w:rPr>
          <w:rFonts w:eastAsia="Calibri"/>
        </w:rPr>
        <w:t>, 202</w:t>
      </w:r>
      <w:r>
        <w:rPr>
          <w:rFonts w:eastAsia="Calibri"/>
        </w:rPr>
        <w:t>7</w:t>
      </w:r>
      <w:r w:rsidRPr="003876EC">
        <w:rPr>
          <w:rFonts w:eastAsia="Calibri"/>
        </w:rPr>
        <w:t>, and 202</w:t>
      </w:r>
      <w:r>
        <w:rPr>
          <w:rFonts w:eastAsia="Calibri"/>
        </w:rPr>
        <w:t>8</w:t>
      </w:r>
      <w:r w:rsidRPr="003876EC">
        <w:rPr>
          <w:rFonts w:eastAsia="Calibri"/>
        </w:rPr>
        <w:t xml:space="preserve"> burden estimates.</w:t>
      </w:r>
    </w:p>
    <w:p w:rsidR="0052750A" w:rsidRPr="00E874A6" w:rsidP="00113470" w14:paraId="607C67C3" w14:textId="3C9A347B">
      <w:pPr>
        <w:pStyle w:val="TableTitle"/>
        <w:framePr w:wrap="around"/>
        <w:rPr>
          <w:rFonts w:eastAsia="Calibri"/>
        </w:rPr>
      </w:pPr>
      <w:bookmarkStart w:id="53" w:name="_Toc225512741"/>
      <w:r w:rsidRPr="00E874A6">
        <w:t>Exhibit 3.</w:t>
      </w:r>
      <w:r w:rsidR="008D132A">
        <w:tab/>
      </w:r>
      <w:r w:rsidRPr="00E874A6">
        <w:t>GSS 2022-2024 Total Burden by Institutional Reporting Size, Data Provision Method, and Unit Respondent Status</w:t>
      </w:r>
      <w:bookmarkEnd w:id="53"/>
    </w:p>
    <w:tbl>
      <w:tblPr>
        <w:tblW w:w="9360" w:type="dxa"/>
        <w:tblInd w:w="-5" w:type="dxa"/>
        <w:tblLook w:val="04A0"/>
      </w:tblPr>
      <w:tblGrid>
        <w:gridCol w:w="2135"/>
        <w:gridCol w:w="925"/>
        <w:gridCol w:w="1350"/>
        <w:gridCol w:w="1080"/>
        <w:gridCol w:w="1440"/>
        <w:gridCol w:w="1080"/>
        <w:gridCol w:w="1350"/>
      </w:tblGrid>
      <w:tr w14:paraId="458CB2EB" w14:textId="77777777" w:rsidTr="00113470">
        <w:tblPrEx>
          <w:tblW w:w="9360" w:type="dxa"/>
          <w:tblInd w:w="-5" w:type="dxa"/>
          <w:tblLook w:val="04A0"/>
        </w:tblPrEx>
        <w:trPr>
          <w:cantSplit/>
        </w:trPr>
        <w:tc>
          <w:tcPr>
            <w:tcW w:w="2135" w:type="dxa"/>
            <w:vMerge w:val="restart"/>
            <w:tcBorders>
              <w:top w:val="single" w:sz="4" w:space="0" w:color="auto"/>
              <w:left w:val="single" w:sz="4" w:space="0" w:color="auto"/>
              <w:bottom w:val="single" w:sz="4" w:space="0" w:color="000000"/>
              <w:right w:val="single" w:sz="4" w:space="0" w:color="auto"/>
            </w:tcBorders>
            <w:vAlign w:val="bottom"/>
            <w:hideMark/>
          </w:tcPr>
          <w:p w:rsidR="0052750A" w:rsidRPr="003876EC" w:rsidP="00635056" w14:paraId="1FA57EBB" w14:textId="77777777">
            <w:pPr>
              <w:jc w:val="center"/>
              <w:rPr>
                <w:rFonts w:eastAsia="Times New Roman" w:cs="Times New Roman"/>
                <w:b/>
                <w:bCs/>
                <w:color w:val="000000"/>
              </w:rPr>
            </w:pPr>
            <w:r w:rsidRPr="003876EC">
              <w:rPr>
                <w:rFonts w:eastAsia="Times New Roman" w:cs="Times New Roman"/>
                <w:b/>
                <w:bCs/>
                <w:color w:val="000000"/>
              </w:rPr>
              <w:t>Institution Type</w:t>
            </w:r>
          </w:p>
        </w:tc>
        <w:tc>
          <w:tcPr>
            <w:tcW w:w="2275" w:type="dxa"/>
            <w:gridSpan w:val="2"/>
            <w:tcBorders>
              <w:top w:val="single" w:sz="4" w:space="0" w:color="auto"/>
              <w:left w:val="nil"/>
              <w:bottom w:val="single" w:sz="4" w:space="0" w:color="auto"/>
              <w:right w:val="single" w:sz="4" w:space="0" w:color="000000"/>
            </w:tcBorders>
            <w:vAlign w:val="bottom"/>
            <w:hideMark/>
          </w:tcPr>
          <w:p w:rsidR="0052750A" w:rsidRPr="003876EC" w:rsidP="00635056" w14:paraId="2AFB8C13" w14:textId="77777777">
            <w:pPr>
              <w:jc w:val="center"/>
              <w:rPr>
                <w:rFonts w:eastAsia="Times New Roman" w:cs="Times New Roman"/>
                <w:b/>
                <w:bCs/>
                <w:color w:val="000000"/>
              </w:rPr>
            </w:pPr>
            <w:r w:rsidRPr="003876EC">
              <w:rPr>
                <w:rFonts w:eastAsia="Times New Roman" w:cs="Times New Roman"/>
                <w:b/>
                <w:bCs/>
                <w:color w:val="000000"/>
              </w:rPr>
              <w:t>Do Not Use URs</w:t>
            </w:r>
          </w:p>
        </w:tc>
        <w:tc>
          <w:tcPr>
            <w:tcW w:w="2520" w:type="dxa"/>
            <w:gridSpan w:val="2"/>
            <w:tcBorders>
              <w:top w:val="single" w:sz="4" w:space="0" w:color="auto"/>
              <w:left w:val="nil"/>
              <w:bottom w:val="single" w:sz="4" w:space="0" w:color="auto"/>
              <w:right w:val="single" w:sz="4" w:space="0" w:color="000000"/>
            </w:tcBorders>
            <w:vAlign w:val="bottom"/>
            <w:hideMark/>
          </w:tcPr>
          <w:p w:rsidR="0052750A" w:rsidRPr="003876EC" w:rsidP="00635056" w14:paraId="0F397AF7" w14:textId="77777777">
            <w:pPr>
              <w:jc w:val="center"/>
              <w:rPr>
                <w:rFonts w:eastAsia="Times New Roman" w:cs="Times New Roman"/>
                <w:b/>
                <w:bCs/>
                <w:color w:val="000000"/>
              </w:rPr>
            </w:pPr>
            <w:r w:rsidRPr="003876EC">
              <w:rPr>
                <w:rFonts w:eastAsia="Times New Roman" w:cs="Times New Roman"/>
                <w:b/>
                <w:bCs/>
                <w:color w:val="000000"/>
              </w:rPr>
              <w:t>Uses URs</w:t>
            </w:r>
          </w:p>
        </w:tc>
        <w:tc>
          <w:tcPr>
            <w:tcW w:w="2430" w:type="dxa"/>
            <w:gridSpan w:val="2"/>
            <w:tcBorders>
              <w:top w:val="single" w:sz="4" w:space="0" w:color="auto"/>
              <w:left w:val="nil"/>
              <w:bottom w:val="single" w:sz="4" w:space="0" w:color="auto"/>
              <w:right w:val="single" w:sz="4" w:space="0" w:color="000000"/>
            </w:tcBorders>
            <w:vAlign w:val="bottom"/>
            <w:hideMark/>
          </w:tcPr>
          <w:p w:rsidR="0052750A" w:rsidRPr="003876EC" w:rsidP="00635056" w14:paraId="2B2F02D7" w14:textId="77777777">
            <w:pPr>
              <w:jc w:val="center"/>
              <w:rPr>
                <w:rFonts w:eastAsia="Times New Roman" w:cs="Times New Roman"/>
                <w:b/>
                <w:bCs/>
                <w:color w:val="000000"/>
              </w:rPr>
            </w:pPr>
            <w:r w:rsidRPr="003876EC">
              <w:rPr>
                <w:rFonts w:eastAsia="Times New Roman" w:cs="Times New Roman"/>
                <w:b/>
                <w:bCs/>
                <w:color w:val="000000"/>
              </w:rPr>
              <w:t>All Coordinators</w:t>
            </w:r>
          </w:p>
        </w:tc>
      </w:tr>
      <w:tr w14:paraId="63996725" w14:textId="77777777" w:rsidTr="00113470">
        <w:tblPrEx>
          <w:tblW w:w="9360" w:type="dxa"/>
          <w:tblInd w:w="-5" w:type="dxa"/>
          <w:tblLook w:val="04A0"/>
        </w:tblPrEx>
        <w:trPr>
          <w:cantSplit/>
        </w:trPr>
        <w:tc>
          <w:tcPr>
            <w:tcW w:w="2135" w:type="dxa"/>
            <w:vMerge/>
            <w:tcBorders>
              <w:top w:val="single" w:sz="4" w:space="0" w:color="auto"/>
              <w:left w:val="single" w:sz="4" w:space="0" w:color="auto"/>
              <w:bottom w:val="single" w:sz="4" w:space="0" w:color="000000"/>
              <w:right w:val="single" w:sz="4" w:space="0" w:color="auto"/>
            </w:tcBorders>
            <w:vAlign w:val="bottom"/>
            <w:hideMark/>
          </w:tcPr>
          <w:p w:rsidR="0052750A" w:rsidRPr="003876EC" w:rsidP="00635056" w14:paraId="41B8BFC8" w14:textId="77777777">
            <w:pPr>
              <w:rPr>
                <w:rFonts w:eastAsia="Times New Roman" w:cs="Times New Roman"/>
                <w:b/>
                <w:bCs/>
                <w:color w:val="000000"/>
              </w:rPr>
            </w:pPr>
          </w:p>
        </w:tc>
        <w:tc>
          <w:tcPr>
            <w:tcW w:w="925" w:type="dxa"/>
            <w:tcBorders>
              <w:top w:val="nil"/>
              <w:left w:val="nil"/>
              <w:bottom w:val="nil"/>
              <w:right w:val="single" w:sz="4" w:space="0" w:color="auto"/>
            </w:tcBorders>
            <w:vAlign w:val="bottom"/>
            <w:hideMark/>
          </w:tcPr>
          <w:p w:rsidR="0052750A" w:rsidRPr="003876EC" w:rsidP="00635056" w14:paraId="67A23066" w14:textId="77777777">
            <w:pPr>
              <w:jc w:val="center"/>
              <w:rPr>
                <w:rFonts w:eastAsia="Times New Roman" w:cs="Times New Roman"/>
                <w:b/>
                <w:bCs/>
                <w:color w:val="000000"/>
              </w:rPr>
            </w:pPr>
            <w:r w:rsidRPr="003876EC">
              <w:rPr>
                <w:rFonts w:eastAsia="Times New Roman" w:cs="Times New Roman"/>
                <w:b/>
                <w:bCs/>
                <w:color w:val="000000"/>
              </w:rPr>
              <w:t>Avg.</w:t>
            </w:r>
          </w:p>
        </w:tc>
        <w:tc>
          <w:tcPr>
            <w:tcW w:w="1350" w:type="dxa"/>
            <w:tcBorders>
              <w:top w:val="nil"/>
              <w:left w:val="nil"/>
              <w:bottom w:val="nil"/>
              <w:right w:val="single" w:sz="4" w:space="0" w:color="auto"/>
            </w:tcBorders>
            <w:vAlign w:val="bottom"/>
            <w:hideMark/>
          </w:tcPr>
          <w:p w:rsidR="0052750A" w:rsidRPr="003876EC" w:rsidP="00635056" w14:paraId="5427A39A" w14:textId="77777777">
            <w:pPr>
              <w:jc w:val="center"/>
              <w:rPr>
                <w:rFonts w:eastAsia="Times New Roman" w:cs="Times New Roman"/>
                <w:b/>
                <w:bCs/>
                <w:color w:val="000000"/>
              </w:rPr>
            </w:pPr>
            <w:r w:rsidRPr="003876EC">
              <w:rPr>
                <w:rFonts w:eastAsia="Times New Roman" w:cs="Times New Roman"/>
                <w:b/>
                <w:bCs/>
                <w:color w:val="000000"/>
              </w:rPr>
              <w:t>Year-Weighted</w:t>
            </w:r>
          </w:p>
        </w:tc>
        <w:tc>
          <w:tcPr>
            <w:tcW w:w="1080" w:type="dxa"/>
            <w:tcBorders>
              <w:top w:val="nil"/>
              <w:left w:val="nil"/>
              <w:bottom w:val="nil"/>
              <w:right w:val="single" w:sz="4" w:space="0" w:color="auto"/>
            </w:tcBorders>
            <w:vAlign w:val="bottom"/>
            <w:hideMark/>
          </w:tcPr>
          <w:p w:rsidR="0052750A" w:rsidRPr="003876EC" w:rsidP="00635056" w14:paraId="0FBC3007" w14:textId="77777777">
            <w:pPr>
              <w:jc w:val="center"/>
              <w:rPr>
                <w:rFonts w:eastAsia="Times New Roman" w:cs="Times New Roman"/>
                <w:b/>
                <w:bCs/>
                <w:color w:val="000000"/>
              </w:rPr>
            </w:pPr>
            <w:r w:rsidRPr="003876EC">
              <w:rPr>
                <w:rFonts w:eastAsia="Times New Roman" w:cs="Times New Roman"/>
                <w:b/>
                <w:bCs/>
                <w:color w:val="000000"/>
              </w:rPr>
              <w:t>Avg.</w:t>
            </w:r>
          </w:p>
        </w:tc>
        <w:tc>
          <w:tcPr>
            <w:tcW w:w="1440" w:type="dxa"/>
            <w:tcBorders>
              <w:top w:val="nil"/>
              <w:left w:val="nil"/>
              <w:bottom w:val="nil"/>
              <w:right w:val="single" w:sz="4" w:space="0" w:color="auto"/>
            </w:tcBorders>
            <w:vAlign w:val="bottom"/>
            <w:hideMark/>
          </w:tcPr>
          <w:p w:rsidR="0052750A" w:rsidRPr="003876EC" w:rsidP="00635056" w14:paraId="418B314B" w14:textId="77777777">
            <w:pPr>
              <w:jc w:val="center"/>
              <w:rPr>
                <w:rFonts w:eastAsia="Times New Roman" w:cs="Times New Roman"/>
                <w:b/>
                <w:bCs/>
                <w:color w:val="000000"/>
              </w:rPr>
            </w:pPr>
            <w:r w:rsidRPr="003876EC">
              <w:rPr>
                <w:rFonts w:eastAsia="Times New Roman" w:cs="Times New Roman"/>
                <w:b/>
                <w:bCs/>
                <w:color w:val="000000"/>
              </w:rPr>
              <w:t>Year-Weighted</w:t>
            </w:r>
          </w:p>
        </w:tc>
        <w:tc>
          <w:tcPr>
            <w:tcW w:w="1080" w:type="dxa"/>
            <w:tcBorders>
              <w:top w:val="nil"/>
              <w:left w:val="nil"/>
              <w:bottom w:val="nil"/>
              <w:right w:val="single" w:sz="4" w:space="0" w:color="auto"/>
            </w:tcBorders>
            <w:vAlign w:val="bottom"/>
            <w:hideMark/>
          </w:tcPr>
          <w:p w:rsidR="0052750A" w:rsidRPr="003876EC" w:rsidP="00635056" w14:paraId="13EEDF4B" w14:textId="77777777">
            <w:pPr>
              <w:jc w:val="center"/>
              <w:rPr>
                <w:rFonts w:eastAsia="Times New Roman" w:cs="Times New Roman"/>
                <w:b/>
                <w:bCs/>
                <w:color w:val="000000"/>
              </w:rPr>
            </w:pPr>
            <w:r w:rsidRPr="003876EC">
              <w:rPr>
                <w:rFonts w:eastAsia="Times New Roman" w:cs="Times New Roman"/>
                <w:b/>
                <w:bCs/>
                <w:color w:val="000000"/>
              </w:rPr>
              <w:t>Avg.</w:t>
            </w:r>
          </w:p>
        </w:tc>
        <w:tc>
          <w:tcPr>
            <w:tcW w:w="1350" w:type="dxa"/>
            <w:tcBorders>
              <w:top w:val="nil"/>
              <w:left w:val="nil"/>
              <w:bottom w:val="nil"/>
              <w:right w:val="single" w:sz="4" w:space="0" w:color="auto"/>
            </w:tcBorders>
            <w:vAlign w:val="bottom"/>
            <w:hideMark/>
          </w:tcPr>
          <w:p w:rsidR="0052750A" w:rsidRPr="003876EC" w:rsidP="00635056" w14:paraId="4DF8F9F1" w14:textId="77777777">
            <w:pPr>
              <w:jc w:val="center"/>
              <w:rPr>
                <w:rFonts w:eastAsia="Times New Roman" w:cs="Times New Roman"/>
                <w:b/>
                <w:bCs/>
                <w:color w:val="000000"/>
              </w:rPr>
            </w:pPr>
            <w:r w:rsidRPr="003876EC">
              <w:rPr>
                <w:rFonts w:eastAsia="Times New Roman" w:cs="Times New Roman"/>
                <w:b/>
                <w:bCs/>
                <w:color w:val="000000"/>
              </w:rPr>
              <w:t>Year-Weighted</w:t>
            </w:r>
          </w:p>
        </w:tc>
      </w:tr>
      <w:tr w14:paraId="102812FE" w14:textId="77777777" w:rsidTr="00113470">
        <w:tblPrEx>
          <w:tblW w:w="9360" w:type="dxa"/>
          <w:tblInd w:w="-5" w:type="dxa"/>
          <w:tblLook w:val="04A0"/>
        </w:tblPrEx>
        <w:trPr>
          <w:cantSplit/>
        </w:trPr>
        <w:tc>
          <w:tcPr>
            <w:tcW w:w="2135" w:type="dxa"/>
            <w:vMerge/>
            <w:tcBorders>
              <w:top w:val="single" w:sz="4" w:space="0" w:color="auto"/>
              <w:left w:val="single" w:sz="4" w:space="0" w:color="auto"/>
              <w:bottom w:val="single" w:sz="4" w:space="0" w:color="000000"/>
              <w:right w:val="single" w:sz="4" w:space="0" w:color="auto"/>
            </w:tcBorders>
            <w:vAlign w:val="bottom"/>
            <w:hideMark/>
          </w:tcPr>
          <w:p w:rsidR="0052750A" w:rsidRPr="003876EC" w:rsidP="00635056" w14:paraId="0F16D30E" w14:textId="77777777">
            <w:pPr>
              <w:rPr>
                <w:rFonts w:eastAsia="Times New Roman" w:cs="Times New Roman"/>
                <w:b/>
                <w:bCs/>
                <w:color w:val="000000"/>
              </w:rPr>
            </w:pPr>
          </w:p>
        </w:tc>
        <w:tc>
          <w:tcPr>
            <w:tcW w:w="925" w:type="dxa"/>
            <w:tcBorders>
              <w:top w:val="nil"/>
              <w:left w:val="nil"/>
              <w:bottom w:val="single" w:sz="4" w:space="0" w:color="auto"/>
              <w:right w:val="single" w:sz="4" w:space="0" w:color="auto"/>
            </w:tcBorders>
            <w:vAlign w:val="bottom"/>
            <w:hideMark/>
          </w:tcPr>
          <w:p w:rsidR="0052750A" w:rsidRPr="003876EC" w:rsidP="00635056" w14:paraId="79AB870A" w14:textId="77777777">
            <w:pPr>
              <w:jc w:val="center"/>
              <w:rPr>
                <w:rFonts w:eastAsia="Times New Roman" w:cs="Times New Roman"/>
                <w:b/>
                <w:bCs/>
                <w:color w:val="000000"/>
              </w:rPr>
            </w:pPr>
            <w:r w:rsidRPr="003876EC">
              <w:rPr>
                <w:rFonts w:eastAsia="Times New Roman" w:cs="Times New Roman"/>
                <w:b/>
                <w:bCs/>
                <w:color w:val="000000"/>
              </w:rPr>
              <w:t>n</w:t>
            </w:r>
          </w:p>
        </w:tc>
        <w:tc>
          <w:tcPr>
            <w:tcW w:w="1350" w:type="dxa"/>
            <w:tcBorders>
              <w:top w:val="nil"/>
              <w:left w:val="nil"/>
              <w:bottom w:val="single" w:sz="4" w:space="0" w:color="auto"/>
              <w:right w:val="single" w:sz="4" w:space="0" w:color="auto"/>
            </w:tcBorders>
            <w:vAlign w:val="bottom"/>
            <w:hideMark/>
          </w:tcPr>
          <w:p w:rsidR="0052750A" w:rsidRPr="003876EC" w:rsidP="00635056" w14:paraId="44688B5C" w14:textId="77A1C68B">
            <w:pPr>
              <w:jc w:val="center"/>
              <w:rPr>
                <w:rFonts w:eastAsia="Times New Roman" w:cs="Times New Roman"/>
                <w:b/>
                <w:bCs/>
                <w:color w:val="000000"/>
              </w:rPr>
            </w:pPr>
            <w:r w:rsidRPr="003876EC">
              <w:rPr>
                <w:rFonts w:eastAsia="Times New Roman" w:cs="Times New Roman"/>
                <w:b/>
                <w:bCs/>
                <w:color w:val="000000"/>
              </w:rPr>
              <w:t>Avg. Burden (hours)</w:t>
            </w:r>
          </w:p>
        </w:tc>
        <w:tc>
          <w:tcPr>
            <w:tcW w:w="1080" w:type="dxa"/>
            <w:tcBorders>
              <w:top w:val="nil"/>
              <w:left w:val="nil"/>
              <w:bottom w:val="single" w:sz="4" w:space="0" w:color="auto"/>
              <w:right w:val="single" w:sz="4" w:space="0" w:color="auto"/>
            </w:tcBorders>
            <w:vAlign w:val="bottom"/>
            <w:hideMark/>
          </w:tcPr>
          <w:p w:rsidR="0052750A" w:rsidRPr="003876EC" w:rsidP="00635056" w14:paraId="79B724A8" w14:textId="77777777">
            <w:pPr>
              <w:jc w:val="center"/>
              <w:rPr>
                <w:rFonts w:eastAsia="Times New Roman" w:cs="Times New Roman"/>
                <w:b/>
                <w:bCs/>
                <w:color w:val="000000"/>
              </w:rPr>
            </w:pPr>
            <w:r w:rsidRPr="003876EC">
              <w:rPr>
                <w:rFonts w:eastAsia="Times New Roman" w:cs="Times New Roman"/>
                <w:b/>
                <w:bCs/>
                <w:color w:val="000000"/>
              </w:rPr>
              <w:t>n</w:t>
            </w:r>
          </w:p>
        </w:tc>
        <w:tc>
          <w:tcPr>
            <w:tcW w:w="1440" w:type="dxa"/>
            <w:tcBorders>
              <w:top w:val="nil"/>
              <w:left w:val="nil"/>
              <w:bottom w:val="single" w:sz="4" w:space="0" w:color="auto"/>
              <w:right w:val="single" w:sz="4" w:space="0" w:color="auto"/>
            </w:tcBorders>
            <w:vAlign w:val="bottom"/>
            <w:hideMark/>
          </w:tcPr>
          <w:p w:rsidR="0052750A" w:rsidRPr="003876EC" w:rsidP="00635056" w14:paraId="020631E1" w14:textId="22436975">
            <w:pPr>
              <w:jc w:val="center"/>
              <w:rPr>
                <w:rFonts w:eastAsia="Times New Roman" w:cs="Times New Roman"/>
                <w:b/>
                <w:bCs/>
                <w:color w:val="000000"/>
              </w:rPr>
            </w:pPr>
            <w:r w:rsidRPr="003876EC">
              <w:rPr>
                <w:rFonts w:eastAsia="Times New Roman" w:cs="Times New Roman"/>
                <w:b/>
                <w:bCs/>
                <w:color w:val="000000"/>
              </w:rPr>
              <w:t>Avg. Burden (hours)</w:t>
            </w:r>
          </w:p>
        </w:tc>
        <w:tc>
          <w:tcPr>
            <w:tcW w:w="1080" w:type="dxa"/>
            <w:tcBorders>
              <w:top w:val="nil"/>
              <w:left w:val="nil"/>
              <w:bottom w:val="single" w:sz="4" w:space="0" w:color="auto"/>
              <w:right w:val="single" w:sz="4" w:space="0" w:color="auto"/>
            </w:tcBorders>
            <w:vAlign w:val="bottom"/>
            <w:hideMark/>
          </w:tcPr>
          <w:p w:rsidR="0052750A" w:rsidRPr="003876EC" w:rsidP="00635056" w14:paraId="42B42721" w14:textId="77777777">
            <w:pPr>
              <w:jc w:val="center"/>
              <w:rPr>
                <w:rFonts w:eastAsia="Times New Roman" w:cs="Times New Roman"/>
                <w:b/>
                <w:bCs/>
                <w:color w:val="000000"/>
              </w:rPr>
            </w:pPr>
            <w:r w:rsidRPr="003876EC">
              <w:rPr>
                <w:rFonts w:eastAsia="Times New Roman" w:cs="Times New Roman"/>
                <w:b/>
                <w:bCs/>
                <w:color w:val="000000"/>
              </w:rPr>
              <w:t>n</w:t>
            </w:r>
          </w:p>
        </w:tc>
        <w:tc>
          <w:tcPr>
            <w:tcW w:w="1350" w:type="dxa"/>
            <w:tcBorders>
              <w:top w:val="nil"/>
              <w:left w:val="nil"/>
              <w:bottom w:val="single" w:sz="4" w:space="0" w:color="auto"/>
              <w:right w:val="single" w:sz="4" w:space="0" w:color="auto"/>
            </w:tcBorders>
            <w:vAlign w:val="bottom"/>
            <w:hideMark/>
          </w:tcPr>
          <w:p w:rsidR="0052750A" w:rsidRPr="003876EC" w:rsidP="00635056" w14:paraId="144E0525" w14:textId="027BD595">
            <w:pPr>
              <w:jc w:val="center"/>
              <w:rPr>
                <w:rFonts w:eastAsia="Times New Roman" w:cs="Times New Roman"/>
                <w:b/>
                <w:bCs/>
                <w:color w:val="000000"/>
              </w:rPr>
            </w:pPr>
            <w:r w:rsidRPr="003876EC">
              <w:rPr>
                <w:rFonts w:eastAsia="Times New Roman" w:cs="Times New Roman"/>
                <w:b/>
                <w:bCs/>
                <w:color w:val="000000"/>
              </w:rPr>
              <w:t>Avg. Burden (hours)</w:t>
            </w:r>
          </w:p>
        </w:tc>
      </w:tr>
      <w:tr w14:paraId="4851CCA2" w14:textId="77777777" w:rsidTr="00113470">
        <w:tblPrEx>
          <w:tblW w:w="9360" w:type="dxa"/>
          <w:tblInd w:w="-5" w:type="dxa"/>
          <w:tblLook w:val="04A0"/>
        </w:tblPrEx>
        <w:trPr>
          <w:trHeight w:val="315"/>
        </w:trPr>
        <w:tc>
          <w:tcPr>
            <w:tcW w:w="2135" w:type="dxa"/>
            <w:tcBorders>
              <w:top w:val="nil"/>
              <w:left w:val="single" w:sz="4" w:space="0" w:color="auto"/>
              <w:bottom w:val="single" w:sz="4" w:space="0" w:color="auto"/>
              <w:right w:val="single" w:sz="4" w:space="0" w:color="auto"/>
            </w:tcBorders>
            <w:vAlign w:val="center"/>
            <w:hideMark/>
          </w:tcPr>
          <w:p w:rsidR="0052750A" w:rsidRPr="003876EC" w:rsidP="00635056" w14:paraId="6C6D56BD" w14:textId="77777777">
            <w:pPr>
              <w:rPr>
                <w:rFonts w:eastAsia="Times New Roman" w:cs="Times New Roman"/>
                <w:color w:val="000000"/>
              </w:rPr>
            </w:pPr>
            <w:r w:rsidRPr="003876EC">
              <w:rPr>
                <w:rFonts w:eastAsia="Times New Roman" w:cs="Times New Roman"/>
                <w:color w:val="000000"/>
              </w:rPr>
              <w:t>More than 15 units, EDI</w:t>
            </w:r>
          </w:p>
        </w:tc>
        <w:tc>
          <w:tcPr>
            <w:tcW w:w="925" w:type="dxa"/>
            <w:tcBorders>
              <w:top w:val="nil"/>
              <w:left w:val="nil"/>
              <w:bottom w:val="single" w:sz="4" w:space="0" w:color="auto"/>
              <w:right w:val="single" w:sz="4" w:space="0" w:color="auto"/>
            </w:tcBorders>
            <w:vAlign w:val="bottom"/>
            <w:hideMark/>
          </w:tcPr>
          <w:p w:rsidR="0052750A" w:rsidRPr="003876EC" w:rsidP="00635056" w14:paraId="39A580E7" w14:textId="77777777">
            <w:pPr>
              <w:jc w:val="center"/>
              <w:rPr>
                <w:rFonts w:eastAsia="Times New Roman" w:cs="Times New Roman"/>
                <w:color w:val="000000"/>
              </w:rPr>
            </w:pPr>
            <w:r w:rsidRPr="00444290">
              <w:rPr>
                <w:rFonts w:cs="Times New Roman"/>
                <w:color w:val="000000"/>
              </w:rPr>
              <w:t>332</w:t>
            </w:r>
          </w:p>
        </w:tc>
        <w:tc>
          <w:tcPr>
            <w:tcW w:w="1350" w:type="dxa"/>
            <w:tcBorders>
              <w:top w:val="nil"/>
              <w:left w:val="nil"/>
              <w:bottom w:val="single" w:sz="4" w:space="0" w:color="auto"/>
              <w:right w:val="single" w:sz="4" w:space="0" w:color="auto"/>
            </w:tcBorders>
            <w:vAlign w:val="bottom"/>
            <w:hideMark/>
          </w:tcPr>
          <w:p w:rsidR="0052750A" w:rsidRPr="003876EC" w:rsidP="00635056" w14:paraId="1D4EFBA8" w14:textId="77777777">
            <w:pPr>
              <w:jc w:val="center"/>
              <w:rPr>
                <w:rFonts w:eastAsia="Times New Roman" w:cs="Times New Roman"/>
                <w:color w:val="000000"/>
              </w:rPr>
            </w:pPr>
            <w:r w:rsidRPr="00444290">
              <w:rPr>
                <w:rFonts w:cs="Times New Roman"/>
                <w:color w:val="000000"/>
              </w:rPr>
              <w:t>32.2</w:t>
            </w:r>
          </w:p>
        </w:tc>
        <w:tc>
          <w:tcPr>
            <w:tcW w:w="1080" w:type="dxa"/>
            <w:tcBorders>
              <w:top w:val="nil"/>
              <w:left w:val="nil"/>
              <w:bottom w:val="single" w:sz="4" w:space="0" w:color="auto"/>
              <w:right w:val="single" w:sz="4" w:space="0" w:color="auto"/>
            </w:tcBorders>
            <w:vAlign w:val="bottom"/>
            <w:hideMark/>
          </w:tcPr>
          <w:p w:rsidR="0052750A" w:rsidRPr="003876EC" w:rsidP="00635056" w14:paraId="7A19186C" w14:textId="77777777">
            <w:pPr>
              <w:jc w:val="center"/>
              <w:rPr>
                <w:rFonts w:eastAsia="Times New Roman" w:cs="Times New Roman"/>
                <w:color w:val="000000"/>
              </w:rPr>
            </w:pPr>
            <w:r w:rsidRPr="00444290">
              <w:rPr>
                <w:rFonts w:cs="Times New Roman"/>
                <w:color w:val="000000"/>
              </w:rPr>
              <w:t>10</w:t>
            </w:r>
          </w:p>
        </w:tc>
        <w:tc>
          <w:tcPr>
            <w:tcW w:w="1440" w:type="dxa"/>
            <w:tcBorders>
              <w:top w:val="nil"/>
              <w:left w:val="nil"/>
              <w:bottom w:val="single" w:sz="4" w:space="0" w:color="auto"/>
              <w:right w:val="single" w:sz="4" w:space="0" w:color="auto"/>
            </w:tcBorders>
            <w:vAlign w:val="bottom"/>
            <w:hideMark/>
          </w:tcPr>
          <w:p w:rsidR="0052750A" w:rsidRPr="003876EC" w:rsidP="00635056" w14:paraId="2FCAD083" w14:textId="77777777">
            <w:pPr>
              <w:jc w:val="center"/>
              <w:rPr>
                <w:rFonts w:eastAsia="Times New Roman" w:cs="Times New Roman"/>
                <w:color w:val="000000"/>
              </w:rPr>
            </w:pPr>
            <w:r w:rsidRPr="00444290">
              <w:rPr>
                <w:rFonts w:cs="Times New Roman"/>
                <w:color w:val="000000"/>
              </w:rPr>
              <w:t>171.1</w:t>
            </w:r>
          </w:p>
        </w:tc>
        <w:tc>
          <w:tcPr>
            <w:tcW w:w="1080" w:type="dxa"/>
            <w:tcBorders>
              <w:top w:val="nil"/>
              <w:left w:val="nil"/>
              <w:bottom w:val="single" w:sz="4" w:space="0" w:color="auto"/>
              <w:right w:val="single" w:sz="4" w:space="0" w:color="auto"/>
            </w:tcBorders>
            <w:vAlign w:val="bottom"/>
            <w:hideMark/>
          </w:tcPr>
          <w:p w:rsidR="0052750A" w:rsidRPr="003876EC" w:rsidP="00635056" w14:paraId="12ADED03" w14:textId="77777777">
            <w:pPr>
              <w:jc w:val="center"/>
              <w:rPr>
                <w:rFonts w:eastAsia="Times New Roman" w:cs="Times New Roman"/>
                <w:color w:val="000000"/>
              </w:rPr>
            </w:pPr>
            <w:r w:rsidRPr="00444290">
              <w:rPr>
                <w:rFonts w:cs="Times New Roman"/>
                <w:color w:val="000000"/>
              </w:rPr>
              <w:t>342</w:t>
            </w:r>
          </w:p>
        </w:tc>
        <w:tc>
          <w:tcPr>
            <w:tcW w:w="1350" w:type="dxa"/>
            <w:tcBorders>
              <w:top w:val="nil"/>
              <w:left w:val="nil"/>
              <w:bottom w:val="single" w:sz="4" w:space="0" w:color="auto"/>
              <w:right w:val="single" w:sz="4" w:space="0" w:color="auto"/>
            </w:tcBorders>
            <w:shd w:val="clear" w:color="000000" w:fill="D0CECE"/>
            <w:vAlign w:val="bottom"/>
            <w:hideMark/>
          </w:tcPr>
          <w:p w:rsidR="0052750A" w:rsidRPr="003876EC" w:rsidP="00635056" w14:paraId="356A4124" w14:textId="77777777">
            <w:pPr>
              <w:jc w:val="center"/>
              <w:rPr>
                <w:rFonts w:eastAsia="Times New Roman" w:cs="Times New Roman"/>
                <w:color w:val="000000"/>
              </w:rPr>
            </w:pPr>
            <w:r w:rsidRPr="00444290">
              <w:rPr>
                <w:rFonts w:cs="Times New Roman"/>
                <w:color w:val="000000"/>
              </w:rPr>
              <w:t>36.1</w:t>
            </w:r>
          </w:p>
        </w:tc>
      </w:tr>
      <w:tr w14:paraId="7AC03C75" w14:textId="77777777" w:rsidTr="00113470">
        <w:tblPrEx>
          <w:tblW w:w="9360" w:type="dxa"/>
          <w:tblInd w:w="-5" w:type="dxa"/>
          <w:tblLook w:val="04A0"/>
        </w:tblPrEx>
        <w:trPr>
          <w:trHeight w:val="630"/>
        </w:trPr>
        <w:tc>
          <w:tcPr>
            <w:tcW w:w="2135" w:type="dxa"/>
            <w:tcBorders>
              <w:top w:val="nil"/>
              <w:left w:val="single" w:sz="4" w:space="0" w:color="auto"/>
              <w:bottom w:val="single" w:sz="4" w:space="0" w:color="auto"/>
              <w:right w:val="single" w:sz="4" w:space="0" w:color="auto"/>
            </w:tcBorders>
            <w:vAlign w:val="center"/>
            <w:hideMark/>
          </w:tcPr>
          <w:p w:rsidR="0052750A" w:rsidRPr="003876EC" w:rsidP="00635056" w14:paraId="0524326E" w14:textId="5536B540">
            <w:pPr>
              <w:rPr>
                <w:rFonts w:eastAsia="Times New Roman" w:cs="Times New Roman"/>
                <w:color w:val="000000"/>
              </w:rPr>
            </w:pPr>
            <w:r w:rsidRPr="003876EC">
              <w:rPr>
                <w:rFonts w:eastAsia="Times New Roman" w:cs="Times New Roman"/>
                <w:color w:val="000000"/>
              </w:rPr>
              <w:t xml:space="preserve">More than 15 units, </w:t>
            </w:r>
            <w:r w:rsidR="00CE0C92">
              <w:rPr>
                <w:rFonts w:eastAsia="Times New Roman" w:cs="Times New Roman"/>
                <w:color w:val="000000"/>
              </w:rPr>
              <w:t>m</w:t>
            </w:r>
            <w:r w:rsidRPr="003876EC" w:rsidR="00CE0C92">
              <w:rPr>
                <w:rFonts w:eastAsia="Times New Roman" w:cs="Times New Roman"/>
                <w:color w:val="000000"/>
              </w:rPr>
              <w:t xml:space="preserve">anual </w:t>
            </w:r>
            <w:r w:rsidRPr="003876EC">
              <w:rPr>
                <w:rFonts w:eastAsia="Times New Roman" w:cs="Times New Roman"/>
                <w:color w:val="000000"/>
              </w:rPr>
              <w:t>data entry</w:t>
            </w:r>
          </w:p>
        </w:tc>
        <w:tc>
          <w:tcPr>
            <w:tcW w:w="925" w:type="dxa"/>
            <w:tcBorders>
              <w:top w:val="nil"/>
              <w:left w:val="nil"/>
              <w:bottom w:val="single" w:sz="4" w:space="0" w:color="auto"/>
              <w:right w:val="single" w:sz="4" w:space="0" w:color="auto"/>
            </w:tcBorders>
            <w:vAlign w:val="bottom"/>
            <w:hideMark/>
          </w:tcPr>
          <w:p w:rsidR="0052750A" w:rsidRPr="003876EC" w:rsidP="00635056" w14:paraId="58AF55B0" w14:textId="77777777">
            <w:pPr>
              <w:jc w:val="center"/>
              <w:rPr>
                <w:rFonts w:eastAsia="Times New Roman" w:cs="Times New Roman"/>
                <w:color w:val="000000"/>
              </w:rPr>
            </w:pPr>
            <w:r w:rsidRPr="00444290">
              <w:rPr>
                <w:rFonts w:cs="Times New Roman"/>
                <w:color w:val="000000"/>
              </w:rPr>
              <w:t>20</w:t>
            </w:r>
          </w:p>
        </w:tc>
        <w:tc>
          <w:tcPr>
            <w:tcW w:w="1350" w:type="dxa"/>
            <w:tcBorders>
              <w:top w:val="nil"/>
              <w:left w:val="nil"/>
              <w:bottom w:val="single" w:sz="4" w:space="0" w:color="auto"/>
              <w:right w:val="single" w:sz="4" w:space="0" w:color="auto"/>
            </w:tcBorders>
            <w:vAlign w:val="bottom"/>
            <w:hideMark/>
          </w:tcPr>
          <w:p w:rsidR="0052750A" w:rsidRPr="003876EC" w:rsidP="00635056" w14:paraId="597735D3" w14:textId="77777777">
            <w:pPr>
              <w:jc w:val="center"/>
              <w:rPr>
                <w:rFonts w:eastAsia="Times New Roman" w:cs="Times New Roman"/>
                <w:color w:val="000000"/>
              </w:rPr>
            </w:pPr>
            <w:r w:rsidRPr="00444290">
              <w:rPr>
                <w:rFonts w:cs="Times New Roman"/>
                <w:color w:val="000000"/>
              </w:rPr>
              <w:t>25.8</w:t>
            </w:r>
          </w:p>
        </w:tc>
        <w:tc>
          <w:tcPr>
            <w:tcW w:w="1080" w:type="dxa"/>
            <w:tcBorders>
              <w:top w:val="nil"/>
              <w:left w:val="nil"/>
              <w:bottom w:val="single" w:sz="4" w:space="0" w:color="auto"/>
              <w:right w:val="single" w:sz="4" w:space="0" w:color="auto"/>
            </w:tcBorders>
            <w:vAlign w:val="bottom"/>
            <w:hideMark/>
          </w:tcPr>
          <w:p w:rsidR="0052750A" w:rsidRPr="003876EC" w:rsidP="00635056" w14:paraId="4D58C747" w14:textId="77777777">
            <w:pPr>
              <w:jc w:val="center"/>
              <w:rPr>
                <w:rFonts w:eastAsia="Times New Roman" w:cs="Times New Roman"/>
                <w:color w:val="000000"/>
              </w:rPr>
            </w:pPr>
            <w:r w:rsidRPr="00444290">
              <w:rPr>
                <w:rFonts w:cs="Times New Roman"/>
                <w:color w:val="000000"/>
              </w:rPr>
              <w:t>8</w:t>
            </w:r>
          </w:p>
        </w:tc>
        <w:tc>
          <w:tcPr>
            <w:tcW w:w="1440" w:type="dxa"/>
            <w:tcBorders>
              <w:top w:val="nil"/>
              <w:left w:val="nil"/>
              <w:bottom w:val="single" w:sz="4" w:space="0" w:color="auto"/>
              <w:right w:val="single" w:sz="4" w:space="0" w:color="auto"/>
            </w:tcBorders>
            <w:vAlign w:val="bottom"/>
            <w:hideMark/>
          </w:tcPr>
          <w:p w:rsidR="0052750A" w:rsidRPr="003876EC" w:rsidP="00635056" w14:paraId="61E1D0A6" w14:textId="77777777">
            <w:pPr>
              <w:jc w:val="center"/>
              <w:rPr>
                <w:rFonts w:eastAsia="Times New Roman" w:cs="Times New Roman"/>
                <w:color w:val="000000"/>
              </w:rPr>
            </w:pPr>
            <w:r w:rsidRPr="00444290">
              <w:rPr>
                <w:rFonts w:cs="Times New Roman"/>
                <w:color w:val="000000"/>
              </w:rPr>
              <w:t>78.5</w:t>
            </w:r>
          </w:p>
        </w:tc>
        <w:tc>
          <w:tcPr>
            <w:tcW w:w="1080" w:type="dxa"/>
            <w:tcBorders>
              <w:top w:val="nil"/>
              <w:left w:val="nil"/>
              <w:bottom w:val="single" w:sz="4" w:space="0" w:color="auto"/>
              <w:right w:val="single" w:sz="4" w:space="0" w:color="auto"/>
            </w:tcBorders>
            <w:vAlign w:val="bottom"/>
            <w:hideMark/>
          </w:tcPr>
          <w:p w:rsidR="0052750A" w:rsidRPr="003876EC" w:rsidP="00635056" w14:paraId="2F0E52B0" w14:textId="77777777">
            <w:pPr>
              <w:jc w:val="center"/>
              <w:rPr>
                <w:rFonts w:eastAsia="Times New Roman" w:cs="Times New Roman"/>
                <w:color w:val="000000"/>
              </w:rPr>
            </w:pPr>
            <w:r w:rsidRPr="00444290">
              <w:rPr>
                <w:rFonts w:cs="Times New Roman"/>
                <w:color w:val="000000"/>
              </w:rPr>
              <w:t>28</w:t>
            </w:r>
          </w:p>
        </w:tc>
        <w:tc>
          <w:tcPr>
            <w:tcW w:w="1350" w:type="dxa"/>
            <w:tcBorders>
              <w:top w:val="nil"/>
              <w:left w:val="nil"/>
              <w:bottom w:val="single" w:sz="4" w:space="0" w:color="auto"/>
              <w:right w:val="single" w:sz="4" w:space="0" w:color="auto"/>
            </w:tcBorders>
            <w:shd w:val="clear" w:color="000000" w:fill="D0CECE"/>
            <w:vAlign w:val="bottom"/>
            <w:hideMark/>
          </w:tcPr>
          <w:p w:rsidR="0052750A" w:rsidRPr="003876EC" w:rsidP="00635056" w14:paraId="5386F05F" w14:textId="77777777">
            <w:pPr>
              <w:jc w:val="center"/>
              <w:rPr>
                <w:rFonts w:eastAsia="Times New Roman" w:cs="Times New Roman"/>
                <w:color w:val="000000"/>
              </w:rPr>
            </w:pPr>
            <w:r w:rsidRPr="00444290">
              <w:rPr>
                <w:rFonts w:cs="Times New Roman"/>
                <w:color w:val="000000"/>
              </w:rPr>
              <w:t>40.3</w:t>
            </w:r>
          </w:p>
        </w:tc>
      </w:tr>
      <w:tr w14:paraId="212C463A" w14:textId="77777777" w:rsidTr="00113470">
        <w:tblPrEx>
          <w:tblW w:w="9360" w:type="dxa"/>
          <w:tblInd w:w="-5" w:type="dxa"/>
          <w:tblLook w:val="04A0"/>
        </w:tblPrEx>
        <w:trPr>
          <w:trHeight w:val="315"/>
        </w:trPr>
        <w:tc>
          <w:tcPr>
            <w:tcW w:w="2135" w:type="dxa"/>
            <w:tcBorders>
              <w:top w:val="nil"/>
              <w:left w:val="single" w:sz="4" w:space="0" w:color="auto"/>
              <w:bottom w:val="single" w:sz="4" w:space="0" w:color="auto"/>
              <w:right w:val="single" w:sz="4" w:space="0" w:color="auto"/>
            </w:tcBorders>
            <w:vAlign w:val="center"/>
            <w:hideMark/>
          </w:tcPr>
          <w:p w:rsidR="0052750A" w:rsidRPr="003876EC" w:rsidP="00635056" w14:paraId="3BDC4D70" w14:textId="77777777">
            <w:pPr>
              <w:rPr>
                <w:rFonts w:eastAsia="Times New Roman" w:cs="Times New Roman"/>
                <w:color w:val="000000"/>
              </w:rPr>
            </w:pPr>
            <w:r w:rsidRPr="003876EC">
              <w:rPr>
                <w:rFonts w:eastAsia="Times New Roman" w:cs="Times New Roman"/>
                <w:color w:val="000000"/>
              </w:rPr>
              <w:t>15 or fewer units, EDI</w:t>
            </w:r>
          </w:p>
        </w:tc>
        <w:tc>
          <w:tcPr>
            <w:tcW w:w="925" w:type="dxa"/>
            <w:tcBorders>
              <w:top w:val="nil"/>
              <w:left w:val="nil"/>
              <w:bottom w:val="single" w:sz="4" w:space="0" w:color="auto"/>
              <w:right w:val="single" w:sz="4" w:space="0" w:color="auto"/>
            </w:tcBorders>
            <w:vAlign w:val="bottom"/>
            <w:hideMark/>
          </w:tcPr>
          <w:p w:rsidR="0052750A" w:rsidRPr="003876EC" w:rsidP="00635056" w14:paraId="0D93A220" w14:textId="77777777">
            <w:pPr>
              <w:jc w:val="center"/>
              <w:rPr>
                <w:rFonts w:eastAsia="Times New Roman" w:cs="Times New Roman"/>
                <w:color w:val="000000"/>
              </w:rPr>
            </w:pPr>
            <w:r w:rsidRPr="00444290">
              <w:rPr>
                <w:rFonts w:cs="Times New Roman"/>
                <w:color w:val="000000"/>
              </w:rPr>
              <w:t>320</w:t>
            </w:r>
          </w:p>
        </w:tc>
        <w:tc>
          <w:tcPr>
            <w:tcW w:w="1350" w:type="dxa"/>
            <w:tcBorders>
              <w:top w:val="nil"/>
              <w:left w:val="nil"/>
              <w:bottom w:val="single" w:sz="4" w:space="0" w:color="auto"/>
              <w:right w:val="single" w:sz="4" w:space="0" w:color="auto"/>
            </w:tcBorders>
            <w:vAlign w:val="bottom"/>
            <w:hideMark/>
          </w:tcPr>
          <w:p w:rsidR="0052750A" w:rsidRPr="003876EC" w:rsidP="00635056" w14:paraId="73BF5055" w14:textId="77777777">
            <w:pPr>
              <w:jc w:val="center"/>
              <w:rPr>
                <w:rFonts w:eastAsia="Times New Roman" w:cs="Times New Roman"/>
                <w:color w:val="000000"/>
              </w:rPr>
            </w:pPr>
            <w:r w:rsidRPr="00444290">
              <w:rPr>
                <w:rFonts w:cs="Times New Roman"/>
                <w:color w:val="000000"/>
              </w:rPr>
              <w:t>8.2</w:t>
            </w:r>
          </w:p>
        </w:tc>
        <w:tc>
          <w:tcPr>
            <w:tcW w:w="1080" w:type="dxa"/>
            <w:tcBorders>
              <w:top w:val="nil"/>
              <w:left w:val="nil"/>
              <w:bottom w:val="single" w:sz="4" w:space="0" w:color="auto"/>
              <w:right w:val="single" w:sz="4" w:space="0" w:color="auto"/>
            </w:tcBorders>
            <w:vAlign w:val="bottom"/>
            <w:hideMark/>
          </w:tcPr>
          <w:p w:rsidR="0052750A" w:rsidRPr="003876EC" w:rsidP="00635056" w14:paraId="0D79BB40" w14:textId="77777777">
            <w:pPr>
              <w:jc w:val="center"/>
              <w:rPr>
                <w:rFonts w:eastAsia="Times New Roman" w:cs="Times New Roman"/>
                <w:color w:val="000000"/>
              </w:rPr>
            </w:pPr>
            <w:r w:rsidRPr="00444290">
              <w:rPr>
                <w:rFonts w:cs="Times New Roman"/>
                <w:color w:val="000000"/>
              </w:rPr>
              <w:t>3</w:t>
            </w:r>
          </w:p>
        </w:tc>
        <w:tc>
          <w:tcPr>
            <w:tcW w:w="1440" w:type="dxa"/>
            <w:tcBorders>
              <w:top w:val="nil"/>
              <w:left w:val="nil"/>
              <w:bottom w:val="single" w:sz="4" w:space="0" w:color="auto"/>
              <w:right w:val="single" w:sz="4" w:space="0" w:color="auto"/>
            </w:tcBorders>
            <w:vAlign w:val="bottom"/>
            <w:hideMark/>
          </w:tcPr>
          <w:p w:rsidR="0052750A" w:rsidRPr="003876EC" w:rsidP="00635056" w14:paraId="12114F29" w14:textId="77777777">
            <w:pPr>
              <w:jc w:val="center"/>
              <w:rPr>
                <w:rFonts w:eastAsia="Times New Roman" w:cs="Times New Roman"/>
                <w:color w:val="000000"/>
              </w:rPr>
            </w:pPr>
            <w:r w:rsidRPr="00444290">
              <w:rPr>
                <w:rFonts w:cs="Times New Roman"/>
                <w:color w:val="000000"/>
              </w:rPr>
              <w:t>30.2</w:t>
            </w:r>
          </w:p>
        </w:tc>
        <w:tc>
          <w:tcPr>
            <w:tcW w:w="1080" w:type="dxa"/>
            <w:tcBorders>
              <w:top w:val="nil"/>
              <w:left w:val="nil"/>
              <w:bottom w:val="single" w:sz="4" w:space="0" w:color="auto"/>
              <w:right w:val="single" w:sz="4" w:space="0" w:color="auto"/>
            </w:tcBorders>
            <w:vAlign w:val="bottom"/>
            <w:hideMark/>
          </w:tcPr>
          <w:p w:rsidR="0052750A" w:rsidRPr="003876EC" w:rsidP="00635056" w14:paraId="3D168141" w14:textId="001FE1E1">
            <w:pPr>
              <w:jc w:val="center"/>
              <w:rPr>
                <w:rFonts w:eastAsia="Times New Roman" w:cs="Times New Roman"/>
                <w:color w:val="000000"/>
              </w:rPr>
            </w:pPr>
            <w:r w:rsidRPr="00444290">
              <w:rPr>
                <w:rFonts w:cs="Times New Roman"/>
                <w:color w:val="000000"/>
              </w:rPr>
              <w:t>322</w:t>
            </w:r>
          </w:p>
        </w:tc>
        <w:tc>
          <w:tcPr>
            <w:tcW w:w="1350" w:type="dxa"/>
            <w:tcBorders>
              <w:top w:val="nil"/>
              <w:left w:val="nil"/>
              <w:bottom w:val="single" w:sz="4" w:space="0" w:color="auto"/>
              <w:right w:val="single" w:sz="4" w:space="0" w:color="auto"/>
            </w:tcBorders>
            <w:shd w:val="clear" w:color="000000" w:fill="D0CECE"/>
            <w:vAlign w:val="bottom"/>
            <w:hideMark/>
          </w:tcPr>
          <w:p w:rsidR="0052750A" w:rsidRPr="003876EC" w:rsidP="00635056" w14:paraId="23697EA5" w14:textId="77777777">
            <w:pPr>
              <w:jc w:val="center"/>
              <w:rPr>
                <w:rFonts w:eastAsia="Times New Roman" w:cs="Times New Roman"/>
                <w:color w:val="000000"/>
              </w:rPr>
            </w:pPr>
            <w:r w:rsidRPr="00444290">
              <w:rPr>
                <w:rFonts w:cs="Times New Roman"/>
                <w:color w:val="000000"/>
              </w:rPr>
              <w:t>8.3</w:t>
            </w:r>
          </w:p>
        </w:tc>
      </w:tr>
      <w:tr w14:paraId="4E81B20C" w14:textId="77777777" w:rsidTr="00113470">
        <w:tblPrEx>
          <w:tblW w:w="9360" w:type="dxa"/>
          <w:tblInd w:w="-5" w:type="dxa"/>
          <w:tblLook w:val="04A0"/>
        </w:tblPrEx>
        <w:trPr>
          <w:trHeight w:val="630"/>
        </w:trPr>
        <w:tc>
          <w:tcPr>
            <w:tcW w:w="2135" w:type="dxa"/>
            <w:tcBorders>
              <w:top w:val="nil"/>
              <w:left w:val="single" w:sz="4" w:space="0" w:color="auto"/>
              <w:bottom w:val="single" w:sz="4" w:space="0" w:color="auto"/>
              <w:right w:val="single" w:sz="4" w:space="0" w:color="auto"/>
            </w:tcBorders>
            <w:vAlign w:val="center"/>
            <w:hideMark/>
          </w:tcPr>
          <w:p w:rsidR="0052750A" w:rsidRPr="003876EC" w:rsidP="00635056" w14:paraId="3A8EE115" w14:textId="2ED43922">
            <w:pPr>
              <w:rPr>
                <w:rFonts w:eastAsia="Times New Roman" w:cs="Times New Roman"/>
                <w:color w:val="000000"/>
              </w:rPr>
            </w:pPr>
            <w:r w:rsidRPr="003876EC">
              <w:rPr>
                <w:rFonts w:eastAsia="Times New Roman" w:cs="Times New Roman"/>
                <w:color w:val="000000"/>
              </w:rPr>
              <w:t xml:space="preserve">15 or fewer units, </w:t>
            </w:r>
            <w:r w:rsidR="00CE0C92">
              <w:rPr>
                <w:rFonts w:eastAsia="Times New Roman" w:cs="Times New Roman"/>
                <w:color w:val="000000"/>
              </w:rPr>
              <w:t>m</w:t>
            </w:r>
            <w:r w:rsidRPr="003876EC" w:rsidR="00CE0C92">
              <w:rPr>
                <w:rFonts w:eastAsia="Times New Roman" w:cs="Times New Roman"/>
                <w:color w:val="000000"/>
              </w:rPr>
              <w:t xml:space="preserve">anual </w:t>
            </w:r>
            <w:r w:rsidRPr="003876EC">
              <w:rPr>
                <w:rFonts w:eastAsia="Times New Roman" w:cs="Times New Roman"/>
                <w:color w:val="000000"/>
              </w:rPr>
              <w:t>data entry</w:t>
            </w:r>
          </w:p>
        </w:tc>
        <w:tc>
          <w:tcPr>
            <w:tcW w:w="925" w:type="dxa"/>
            <w:tcBorders>
              <w:top w:val="nil"/>
              <w:left w:val="nil"/>
              <w:bottom w:val="single" w:sz="4" w:space="0" w:color="auto"/>
              <w:right w:val="single" w:sz="4" w:space="0" w:color="auto"/>
            </w:tcBorders>
            <w:vAlign w:val="bottom"/>
            <w:hideMark/>
          </w:tcPr>
          <w:p w:rsidR="0052750A" w:rsidRPr="003876EC" w:rsidP="00635056" w14:paraId="165DBD72" w14:textId="77777777">
            <w:pPr>
              <w:jc w:val="center"/>
              <w:rPr>
                <w:rFonts w:eastAsia="Times New Roman" w:cs="Times New Roman"/>
                <w:color w:val="000000"/>
              </w:rPr>
            </w:pPr>
            <w:r w:rsidRPr="00444290">
              <w:rPr>
                <w:rFonts w:cs="Times New Roman"/>
                <w:color w:val="000000"/>
              </w:rPr>
              <w:t>125</w:t>
            </w:r>
          </w:p>
        </w:tc>
        <w:tc>
          <w:tcPr>
            <w:tcW w:w="1350" w:type="dxa"/>
            <w:tcBorders>
              <w:top w:val="nil"/>
              <w:left w:val="nil"/>
              <w:bottom w:val="single" w:sz="4" w:space="0" w:color="auto"/>
              <w:right w:val="single" w:sz="4" w:space="0" w:color="auto"/>
            </w:tcBorders>
            <w:vAlign w:val="bottom"/>
            <w:hideMark/>
          </w:tcPr>
          <w:p w:rsidR="0052750A" w:rsidRPr="003876EC" w:rsidP="00635056" w14:paraId="25397796" w14:textId="77777777">
            <w:pPr>
              <w:jc w:val="center"/>
              <w:rPr>
                <w:rFonts w:eastAsia="Times New Roman" w:cs="Times New Roman"/>
                <w:color w:val="000000"/>
              </w:rPr>
            </w:pPr>
            <w:r w:rsidRPr="00444290">
              <w:rPr>
                <w:rFonts w:cs="Times New Roman"/>
                <w:color w:val="000000"/>
              </w:rPr>
              <w:t>6.8</w:t>
            </w:r>
          </w:p>
        </w:tc>
        <w:tc>
          <w:tcPr>
            <w:tcW w:w="1080" w:type="dxa"/>
            <w:tcBorders>
              <w:top w:val="nil"/>
              <w:left w:val="nil"/>
              <w:bottom w:val="single" w:sz="4" w:space="0" w:color="auto"/>
              <w:right w:val="single" w:sz="4" w:space="0" w:color="auto"/>
            </w:tcBorders>
            <w:vAlign w:val="bottom"/>
            <w:hideMark/>
          </w:tcPr>
          <w:p w:rsidR="0052750A" w:rsidRPr="003876EC" w:rsidP="00635056" w14:paraId="28AD7FAC" w14:textId="77777777">
            <w:pPr>
              <w:jc w:val="center"/>
              <w:rPr>
                <w:rFonts w:eastAsia="Times New Roman" w:cs="Times New Roman"/>
                <w:color w:val="000000"/>
              </w:rPr>
            </w:pPr>
            <w:r w:rsidRPr="00444290">
              <w:rPr>
                <w:rFonts w:cs="Times New Roman"/>
                <w:color w:val="000000"/>
              </w:rPr>
              <w:t>8</w:t>
            </w:r>
          </w:p>
        </w:tc>
        <w:tc>
          <w:tcPr>
            <w:tcW w:w="1440" w:type="dxa"/>
            <w:tcBorders>
              <w:top w:val="nil"/>
              <w:left w:val="nil"/>
              <w:bottom w:val="single" w:sz="4" w:space="0" w:color="auto"/>
              <w:right w:val="single" w:sz="4" w:space="0" w:color="auto"/>
            </w:tcBorders>
            <w:vAlign w:val="bottom"/>
            <w:hideMark/>
          </w:tcPr>
          <w:p w:rsidR="0052750A" w:rsidRPr="003876EC" w:rsidP="00635056" w14:paraId="2307BC95" w14:textId="77777777">
            <w:pPr>
              <w:jc w:val="center"/>
              <w:rPr>
                <w:rFonts w:eastAsia="Times New Roman" w:cs="Times New Roman"/>
                <w:color w:val="000000"/>
              </w:rPr>
            </w:pPr>
            <w:r w:rsidRPr="00444290">
              <w:rPr>
                <w:rFonts w:cs="Times New Roman"/>
                <w:color w:val="000000"/>
              </w:rPr>
              <w:t>16.1</w:t>
            </w:r>
          </w:p>
        </w:tc>
        <w:tc>
          <w:tcPr>
            <w:tcW w:w="1080" w:type="dxa"/>
            <w:tcBorders>
              <w:top w:val="nil"/>
              <w:left w:val="nil"/>
              <w:bottom w:val="single" w:sz="4" w:space="0" w:color="auto"/>
              <w:right w:val="single" w:sz="4" w:space="0" w:color="auto"/>
            </w:tcBorders>
            <w:vAlign w:val="bottom"/>
            <w:hideMark/>
          </w:tcPr>
          <w:p w:rsidR="0052750A" w:rsidRPr="003876EC" w:rsidP="00635056" w14:paraId="7ADA6476" w14:textId="77777777">
            <w:pPr>
              <w:jc w:val="center"/>
              <w:rPr>
                <w:rFonts w:eastAsia="Times New Roman" w:cs="Times New Roman"/>
                <w:color w:val="000000"/>
              </w:rPr>
            </w:pPr>
            <w:r w:rsidRPr="00444290">
              <w:rPr>
                <w:rFonts w:cs="Times New Roman"/>
                <w:color w:val="000000"/>
              </w:rPr>
              <w:t>133</w:t>
            </w:r>
          </w:p>
        </w:tc>
        <w:tc>
          <w:tcPr>
            <w:tcW w:w="1350" w:type="dxa"/>
            <w:tcBorders>
              <w:top w:val="nil"/>
              <w:left w:val="nil"/>
              <w:bottom w:val="single" w:sz="4" w:space="0" w:color="auto"/>
              <w:right w:val="single" w:sz="4" w:space="0" w:color="auto"/>
            </w:tcBorders>
            <w:shd w:val="clear" w:color="000000" w:fill="D0CECE"/>
            <w:vAlign w:val="bottom"/>
            <w:hideMark/>
          </w:tcPr>
          <w:p w:rsidR="0052750A" w:rsidRPr="003876EC" w:rsidP="00635056" w14:paraId="274CF5E2" w14:textId="77777777">
            <w:pPr>
              <w:jc w:val="center"/>
              <w:rPr>
                <w:rFonts w:eastAsia="Times New Roman" w:cs="Times New Roman"/>
                <w:color w:val="000000"/>
              </w:rPr>
            </w:pPr>
            <w:r w:rsidRPr="00444290">
              <w:rPr>
                <w:rFonts w:cs="Times New Roman"/>
                <w:color w:val="000000"/>
              </w:rPr>
              <w:t>7.4</w:t>
            </w:r>
          </w:p>
        </w:tc>
      </w:tr>
      <w:tr w14:paraId="7B11D696" w14:textId="77777777" w:rsidTr="00113470">
        <w:tblPrEx>
          <w:tblW w:w="9360" w:type="dxa"/>
          <w:tblInd w:w="-5" w:type="dxa"/>
          <w:tblLook w:val="04A0"/>
        </w:tblPrEx>
        <w:trPr>
          <w:trHeight w:val="315"/>
        </w:trPr>
        <w:tc>
          <w:tcPr>
            <w:tcW w:w="2135" w:type="dxa"/>
            <w:tcBorders>
              <w:top w:val="nil"/>
              <w:left w:val="single" w:sz="4" w:space="0" w:color="auto"/>
              <w:bottom w:val="single" w:sz="4" w:space="0" w:color="auto"/>
              <w:right w:val="single" w:sz="4" w:space="0" w:color="auto"/>
            </w:tcBorders>
            <w:vAlign w:val="center"/>
            <w:hideMark/>
          </w:tcPr>
          <w:p w:rsidR="0052750A" w:rsidRPr="003876EC" w:rsidP="00635056" w14:paraId="6098531E" w14:textId="136EBDA8">
            <w:pPr>
              <w:rPr>
                <w:rFonts w:eastAsia="Times New Roman" w:cs="Times New Roman"/>
                <w:i/>
                <w:iCs/>
                <w:color w:val="000000"/>
              </w:rPr>
            </w:pPr>
            <w:r w:rsidRPr="003876EC">
              <w:rPr>
                <w:rFonts w:eastAsia="Times New Roman" w:cs="Times New Roman"/>
                <w:i/>
                <w:iCs/>
                <w:color w:val="000000"/>
              </w:rPr>
              <w:t xml:space="preserve">Average </w:t>
            </w:r>
            <w:r w:rsidR="00CE0C92">
              <w:rPr>
                <w:rFonts w:eastAsia="Times New Roman" w:cs="Times New Roman"/>
                <w:i/>
                <w:iCs/>
                <w:color w:val="000000"/>
              </w:rPr>
              <w:t>e</w:t>
            </w:r>
            <w:r w:rsidRPr="003876EC" w:rsidR="00CE0C92">
              <w:rPr>
                <w:rFonts w:eastAsia="Times New Roman" w:cs="Times New Roman"/>
                <w:i/>
                <w:iCs/>
                <w:color w:val="000000"/>
              </w:rPr>
              <w:t xml:space="preserve">stimated </w:t>
            </w:r>
            <w:r w:rsidR="00CE0C92">
              <w:rPr>
                <w:rFonts w:eastAsia="Times New Roman" w:cs="Times New Roman"/>
                <w:i/>
                <w:iCs/>
                <w:color w:val="000000"/>
              </w:rPr>
              <w:t>t</w:t>
            </w:r>
            <w:r w:rsidRPr="003876EC" w:rsidR="00CE0C92">
              <w:rPr>
                <w:rFonts w:eastAsia="Times New Roman" w:cs="Times New Roman"/>
                <w:i/>
                <w:iCs/>
                <w:color w:val="000000"/>
              </w:rPr>
              <w:t>otal</w:t>
            </w:r>
          </w:p>
        </w:tc>
        <w:tc>
          <w:tcPr>
            <w:tcW w:w="925" w:type="dxa"/>
            <w:tcBorders>
              <w:top w:val="nil"/>
              <w:left w:val="nil"/>
              <w:bottom w:val="single" w:sz="4" w:space="0" w:color="auto"/>
              <w:right w:val="single" w:sz="4" w:space="0" w:color="auto"/>
            </w:tcBorders>
            <w:vAlign w:val="bottom"/>
            <w:hideMark/>
          </w:tcPr>
          <w:p w:rsidR="0052750A" w:rsidRPr="003876EC" w:rsidP="00635056" w14:paraId="4EB9A128" w14:textId="1A6EA11D">
            <w:pPr>
              <w:jc w:val="center"/>
              <w:rPr>
                <w:rFonts w:eastAsia="Times New Roman" w:cs="Times New Roman"/>
                <w:i/>
                <w:iCs/>
                <w:color w:val="000000"/>
              </w:rPr>
            </w:pPr>
            <w:r w:rsidRPr="00444290">
              <w:rPr>
                <w:rFonts w:cs="Times New Roman"/>
                <w:i/>
                <w:iCs/>
                <w:color w:val="000000"/>
              </w:rPr>
              <w:t>79</w:t>
            </w:r>
            <w:r w:rsidR="00E37E0D">
              <w:rPr>
                <w:rFonts w:cs="Times New Roman"/>
                <w:i/>
                <w:iCs/>
                <w:color w:val="000000"/>
              </w:rPr>
              <w:t>7</w:t>
            </w:r>
          </w:p>
        </w:tc>
        <w:tc>
          <w:tcPr>
            <w:tcW w:w="1350" w:type="dxa"/>
            <w:tcBorders>
              <w:top w:val="nil"/>
              <w:left w:val="nil"/>
              <w:bottom w:val="single" w:sz="4" w:space="0" w:color="auto"/>
              <w:right w:val="single" w:sz="4" w:space="0" w:color="auto"/>
            </w:tcBorders>
            <w:vAlign w:val="bottom"/>
            <w:hideMark/>
          </w:tcPr>
          <w:p w:rsidR="0052750A" w:rsidRPr="003876EC" w:rsidP="00635056" w14:paraId="42684DA7" w14:textId="77777777">
            <w:pPr>
              <w:jc w:val="center"/>
              <w:rPr>
                <w:rFonts w:eastAsia="Times New Roman" w:cs="Times New Roman"/>
                <w:i/>
                <w:iCs/>
                <w:color w:val="000000"/>
              </w:rPr>
            </w:pPr>
            <w:r w:rsidRPr="00444290">
              <w:rPr>
                <w:rFonts w:cs="Times New Roman"/>
                <w:i/>
                <w:iCs/>
                <w:color w:val="000000"/>
              </w:rPr>
              <w:t>18.4</w:t>
            </w:r>
          </w:p>
        </w:tc>
        <w:tc>
          <w:tcPr>
            <w:tcW w:w="1080" w:type="dxa"/>
            <w:tcBorders>
              <w:top w:val="nil"/>
              <w:left w:val="nil"/>
              <w:bottom w:val="single" w:sz="4" w:space="0" w:color="auto"/>
              <w:right w:val="single" w:sz="4" w:space="0" w:color="auto"/>
            </w:tcBorders>
            <w:vAlign w:val="bottom"/>
            <w:hideMark/>
          </w:tcPr>
          <w:p w:rsidR="0052750A" w:rsidRPr="003876EC" w:rsidP="00635056" w14:paraId="3677DC81" w14:textId="2127892A">
            <w:pPr>
              <w:jc w:val="center"/>
              <w:rPr>
                <w:rFonts w:eastAsia="Times New Roman" w:cs="Times New Roman"/>
                <w:i/>
                <w:iCs/>
                <w:color w:val="000000"/>
              </w:rPr>
            </w:pPr>
            <w:r w:rsidRPr="00444290">
              <w:rPr>
                <w:rFonts w:cs="Times New Roman"/>
                <w:i/>
                <w:iCs/>
                <w:color w:val="000000"/>
              </w:rPr>
              <w:t>2</w:t>
            </w:r>
            <w:r w:rsidR="00E37E0D">
              <w:rPr>
                <w:rFonts w:cs="Times New Roman"/>
                <w:i/>
                <w:iCs/>
                <w:color w:val="000000"/>
              </w:rPr>
              <w:t>9</w:t>
            </w:r>
          </w:p>
        </w:tc>
        <w:tc>
          <w:tcPr>
            <w:tcW w:w="1440" w:type="dxa"/>
            <w:tcBorders>
              <w:top w:val="nil"/>
              <w:left w:val="nil"/>
              <w:bottom w:val="single" w:sz="4" w:space="0" w:color="auto"/>
              <w:right w:val="single" w:sz="4" w:space="0" w:color="auto"/>
            </w:tcBorders>
            <w:vAlign w:val="bottom"/>
            <w:hideMark/>
          </w:tcPr>
          <w:p w:rsidR="0052750A" w:rsidRPr="003876EC" w:rsidP="00635056" w14:paraId="2F531CBA" w14:textId="77777777">
            <w:pPr>
              <w:jc w:val="center"/>
              <w:rPr>
                <w:rFonts w:eastAsia="Times New Roman" w:cs="Times New Roman"/>
                <w:i/>
                <w:iCs/>
                <w:color w:val="000000"/>
              </w:rPr>
            </w:pPr>
            <w:r w:rsidRPr="00444290">
              <w:rPr>
                <w:rFonts w:cs="Times New Roman"/>
                <w:i/>
                <w:iCs/>
                <w:color w:val="000000"/>
              </w:rPr>
              <w:t>88.9</w:t>
            </w:r>
          </w:p>
        </w:tc>
        <w:tc>
          <w:tcPr>
            <w:tcW w:w="1080" w:type="dxa"/>
            <w:tcBorders>
              <w:top w:val="nil"/>
              <w:left w:val="nil"/>
              <w:bottom w:val="single" w:sz="4" w:space="0" w:color="auto"/>
              <w:right w:val="single" w:sz="4" w:space="0" w:color="auto"/>
            </w:tcBorders>
            <w:vAlign w:val="bottom"/>
            <w:hideMark/>
          </w:tcPr>
          <w:p w:rsidR="0052750A" w:rsidRPr="003876EC" w:rsidP="00635056" w14:paraId="2281D993" w14:textId="42616575">
            <w:pPr>
              <w:jc w:val="center"/>
              <w:rPr>
                <w:rFonts w:eastAsia="Times New Roman" w:cs="Times New Roman"/>
                <w:i/>
                <w:iCs/>
                <w:color w:val="000000"/>
              </w:rPr>
            </w:pPr>
            <w:r w:rsidRPr="00444290">
              <w:rPr>
                <w:rFonts w:cs="Times New Roman"/>
                <w:i/>
                <w:iCs/>
                <w:color w:val="000000"/>
              </w:rPr>
              <w:t>825</w:t>
            </w:r>
          </w:p>
        </w:tc>
        <w:tc>
          <w:tcPr>
            <w:tcW w:w="1350" w:type="dxa"/>
            <w:tcBorders>
              <w:top w:val="nil"/>
              <w:left w:val="nil"/>
              <w:bottom w:val="single" w:sz="4" w:space="0" w:color="auto"/>
              <w:right w:val="single" w:sz="4" w:space="0" w:color="auto"/>
            </w:tcBorders>
            <w:shd w:val="clear" w:color="000000" w:fill="D0CECE"/>
            <w:vAlign w:val="bottom"/>
            <w:hideMark/>
          </w:tcPr>
          <w:p w:rsidR="0052750A" w:rsidRPr="003876EC" w:rsidP="00635056" w14:paraId="6A84933F" w14:textId="77777777">
            <w:pPr>
              <w:jc w:val="center"/>
              <w:rPr>
                <w:rFonts w:eastAsia="Times New Roman" w:cs="Times New Roman"/>
                <w:i/>
                <w:iCs/>
                <w:color w:val="000000"/>
              </w:rPr>
            </w:pPr>
            <w:r w:rsidRPr="00444290">
              <w:rPr>
                <w:rFonts w:cs="Times New Roman"/>
                <w:i/>
                <w:iCs/>
                <w:color w:val="000000"/>
              </w:rPr>
              <w:t>20.8</w:t>
            </w:r>
          </w:p>
        </w:tc>
      </w:tr>
    </w:tbl>
    <w:p w:rsidR="0052750A" w:rsidRPr="003876EC" w:rsidP="0052750A" w14:paraId="76623E9C" w14:textId="465C1B64">
      <w:pPr>
        <w:rPr>
          <w:rFonts w:eastAsia="Calibri" w:cs="Times New Roman"/>
          <w:b/>
          <w:bCs/>
        </w:rPr>
      </w:pPr>
      <w:r w:rsidRPr="003876EC">
        <w:rPr>
          <w:rFonts w:eastAsia="Calibri" w:cs="Times New Roman"/>
          <w:sz w:val="20"/>
          <w:szCs w:val="18"/>
        </w:rPr>
        <w:t xml:space="preserve">*All Coordinators column may not add up to </w:t>
      </w:r>
      <w:r w:rsidR="00CE0C92">
        <w:rPr>
          <w:rFonts w:eastAsia="Calibri" w:cs="Times New Roman"/>
          <w:sz w:val="20"/>
          <w:szCs w:val="18"/>
        </w:rPr>
        <w:t>“D</w:t>
      </w:r>
      <w:r w:rsidRPr="003876EC">
        <w:rPr>
          <w:rFonts w:eastAsia="Calibri" w:cs="Times New Roman"/>
          <w:sz w:val="20"/>
          <w:szCs w:val="18"/>
        </w:rPr>
        <w:t xml:space="preserve">o </w:t>
      </w:r>
      <w:r w:rsidR="00CE0C92">
        <w:rPr>
          <w:rFonts w:eastAsia="Calibri" w:cs="Times New Roman"/>
          <w:sz w:val="20"/>
          <w:szCs w:val="18"/>
        </w:rPr>
        <w:t>N</w:t>
      </w:r>
      <w:r w:rsidRPr="003876EC">
        <w:rPr>
          <w:rFonts w:eastAsia="Calibri" w:cs="Times New Roman"/>
          <w:sz w:val="20"/>
          <w:szCs w:val="18"/>
        </w:rPr>
        <w:t xml:space="preserve">ot </w:t>
      </w:r>
      <w:r w:rsidR="00CE0C92">
        <w:rPr>
          <w:rFonts w:eastAsia="Calibri" w:cs="Times New Roman"/>
          <w:sz w:val="20"/>
          <w:szCs w:val="18"/>
        </w:rPr>
        <w:t>U</w:t>
      </w:r>
      <w:r w:rsidRPr="003876EC">
        <w:rPr>
          <w:rFonts w:eastAsia="Calibri" w:cs="Times New Roman"/>
          <w:sz w:val="20"/>
          <w:szCs w:val="18"/>
        </w:rPr>
        <w:t>se URs</w:t>
      </w:r>
      <w:r w:rsidR="00CE0C92">
        <w:rPr>
          <w:rFonts w:eastAsia="Calibri" w:cs="Times New Roman"/>
          <w:sz w:val="20"/>
          <w:szCs w:val="18"/>
        </w:rPr>
        <w:t>”</w:t>
      </w:r>
      <w:r w:rsidRPr="003876EC">
        <w:rPr>
          <w:rFonts w:eastAsia="Calibri" w:cs="Times New Roman"/>
          <w:sz w:val="20"/>
          <w:szCs w:val="18"/>
        </w:rPr>
        <w:t xml:space="preserve"> and </w:t>
      </w:r>
      <w:r w:rsidR="00CE0C92">
        <w:rPr>
          <w:rFonts w:eastAsia="Calibri" w:cs="Times New Roman"/>
          <w:sz w:val="20"/>
          <w:szCs w:val="18"/>
        </w:rPr>
        <w:t>“</w:t>
      </w:r>
      <w:r w:rsidRPr="003876EC">
        <w:rPr>
          <w:rFonts w:eastAsia="Calibri" w:cs="Times New Roman"/>
          <w:sz w:val="20"/>
          <w:szCs w:val="18"/>
        </w:rPr>
        <w:t>Uses URs</w:t>
      </w:r>
      <w:r w:rsidR="00CE0C92">
        <w:rPr>
          <w:rFonts w:eastAsia="Calibri" w:cs="Times New Roman"/>
          <w:sz w:val="20"/>
          <w:szCs w:val="18"/>
        </w:rPr>
        <w:t>”</w:t>
      </w:r>
      <w:r w:rsidRPr="003876EC">
        <w:rPr>
          <w:rFonts w:eastAsia="Calibri" w:cs="Times New Roman"/>
          <w:sz w:val="20"/>
          <w:szCs w:val="18"/>
        </w:rPr>
        <w:t xml:space="preserve"> columns due to rounding.</w:t>
      </w:r>
    </w:p>
    <w:p w:rsidR="0052750A" w:rsidRPr="003876EC" w:rsidP="00113470" w14:paraId="1B5CE7D0" w14:textId="127D4AFD">
      <w:pPr>
        <w:pStyle w:val="BodyTextSpaceAfter"/>
        <w:spacing w:before="240"/>
      </w:pPr>
      <w:r w:rsidRPr="003876EC">
        <w:t xml:space="preserve">Having taken into account the number of institutions utilizing </w:t>
      </w:r>
      <w:r w:rsidR="00CE0C92">
        <w:t>URs</w:t>
      </w:r>
      <w:r w:rsidRPr="003876EC">
        <w:t xml:space="preserve"> in the above calculations, to estimate burden for the next three data collection cycles</w:t>
      </w:r>
      <w:r w:rsidR="00CE0C92">
        <w:t>,</w:t>
      </w:r>
      <w:r w:rsidRPr="003876EC">
        <w:t xml:space="preserve"> the GSS frame is split by response method (EDI or manual entry) and the number of organizational units reported by the institution (more than 15 units are large reporters and 15 or fewer units are small reporters). Based on the 202</w:t>
      </w:r>
      <w:r>
        <w:t>4</w:t>
      </w:r>
      <w:r w:rsidRPr="003876EC">
        <w:t xml:space="preserve"> GSS, </w:t>
      </w:r>
      <w:r>
        <w:t>43.7</w:t>
      </w:r>
      <w:r w:rsidRPr="003876EC">
        <w:t xml:space="preserve">% of schools were large uploaders, </w:t>
      </w:r>
      <w:r>
        <w:t>3.4</w:t>
      </w:r>
      <w:r w:rsidRPr="003876EC">
        <w:t>% were large manual</w:t>
      </w:r>
      <w:r w:rsidR="00FB36E5">
        <w:t>-</w:t>
      </w:r>
      <w:r w:rsidRPr="003876EC">
        <w:t>entry</w:t>
      </w:r>
      <w:r w:rsidR="00FB36E5">
        <w:t xml:space="preserve"> reporters</w:t>
      </w:r>
      <w:r w:rsidRPr="003876EC">
        <w:t xml:space="preserve">, </w:t>
      </w:r>
      <w:r>
        <w:t>36.2</w:t>
      </w:r>
      <w:r w:rsidRPr="003876EC">
        <w:t>% were small uploaders, and 1</w:t>
      </w:r>
      <w:r>
        <w:t>6</w:t>
      </w:r>
      <w:r w:rsidRPr="003876EC">
        <w:t>.</w:t>
      </w:r>
      <w:r>
        <w:t>8</w:t>
      </w:r>
      <w:r w:rsidRPr="003876EC">
        <w:t>% were small manual</w:t>
      </w:r>
      <w:r w:rsidR="00231158">
        <w:t>-</w:t>
      </w:r>
      <w:r w:rsidRPr="003876EC">
        <w:t>entry</w:t>
      </w:r>
      <w:r w:rsidR="00231158">
        <w:t xml:space="preserve"> reporters</w:t>
      </w:r>
      <w:r w:rsidRPr="003876EC">
        <w:t>.</w:t>
      </w:r>
    </w:p>
    <w:p w:rsidR="0052750A" w:rsidRPr="003876EC" w:rsidP="00113470" w14:paraId="6B15B676" w14:textId="2F500866">
      <w:pPr>
        <w:pStyle w:val="BodyText"/>
      </w:pPr>
      <w:r w:rsidRPr="003876EC">
        <w:t xml:space="preserve"> The expected frame for the 202</w:t>
      </w:r>
      <w:r w:rsidRPr="00A55656">
        <w:t>5</w:t>
      </w:r>
      <w:r w:rsidRPr="003876EC">
        <w:t xml:space="preserve"> GSS includes </w:t>
      </w:r>
      <w:r w:rsidRPr="00A55656">
        <w:t>640</w:t>
      </w:r>
      <w:r w:rsidRPr="003876EC">
        <w:t xml:space="preserve"> institutions comprising 7</w:t>
      </w:r>
      <w:r w:rsidRPr="00A55656">
        <w:t>20</w:t>
      </w:r>
      <w:r w:rsidRPr="003876EC">
        <w:t xml:space="preserve"> schools with </w:t>
      </w:r>
      <w:r w:rsidRPr="00A55656">
        <w:t>788</w:t>
      </w:r>
      <w:r w:rsidRPr="003876EC">
        <w:t xml:space="preserve"> total respondents. The estimates provided below assume a steady state in the use of URs and the data reporting method (EDI or manual entry). </w:t>
      </w:r>
      <w:r w:rsidR="000D5DB5">
        <w:t>We are estimating a</w:t>
      </w:r>
      <w:r w:rsidRPr="003876EC">
        <w:t xml:space="preserve">n additional </w:t>
      </w:r>
      <w:r w:rsidR="00CE0C92">
        <w:t>five</w:t>
      </w:r>
      <w:r w:rsidRPr="003876EC">
        <w:t xml:space="preserve"> small institutions reporting data manually in each data cycle (202</w:t>
      </w:r>
      <w:r w:rsidRPr="00216463">
        <w:t>6</w:t>
      </w:r>
      <w:r w:rsidRPr="003876EC">
        <w:t>, 202</w:t>
      </w:r>
      <w:r w:rsidRPr="00216463">
        <w:t>7</w:t>
      </w:r>
      <w:r w:rsidRPr="003876EC">
        <w:t>, and 202</w:t>
      </w:r>
      <w:r w:rsidRPr="00216463">
        <w:t>8</w:t>
      </w:r>
      <w:r w:rsidRPr="003876EC">
        <w:t>)</w:t>
      </w:r>
      <w:r w:rsidR="00231158">
        <w:t>,</w:t>
      </w:r>
      <w:r w:rsidRPr="003876EC">
        <w:t xml:space="preserve"> based on organic growth in the census frame, resulting in 3</w:t>
      </w:r>
      <w:r w:rsidRPr="00216463">
        <w:t>44</w:t>
      </w:r>
      <w:r w:rsidRPr="003876EC">
        <w:t xml:space="preserve"> large uploaders, 2</w:t>
      </w:r>
      <w:r w:rsidRPr="00216463">
        <w:t>7</w:t>
      </w:r>
      <w:r w:rsidRPr="003876EC">
        <w:t xml:space="preserve"> large manual</w:t>
      </w:r>
      <w:r w:rsidR="00FB36E5">
        <w:t>-</w:t>
      </w:r>
      <w:r w:rsidRPr="003876EC">
        <w:t>entry</w:t>
      </w:r>
      <w:r w:rsidR="00FB36E5">
        <w:t xml:space="preserve"> reporters</w:t>
      </w:r>
      <w:r w:rsidRPr="003876EC">
        <w:t xml:space="preserve">, </w:t>
      </w:r>
      <w:r w:rsidRPr="00216463">
        <w:t>285</w:t>
      </w:r>
      <w:r w:rsidRPr="003876EC">
        <w:t xml:space="preserve"> small uploaders, and 1</w:t>
      </w:r>
      <w:r w:rsidRPr="00216463">
        <w:t>32</w:t>
      </w:r>
      <w:r w:rsidRPr="003876EC">
        <w:t xml:space="preserve"> small manual</w:t>
      </w:r>
      <w:r w:rsidR="00231158">
        <w:t>-</w:t>
      </w:r>
      <w:r w:rsidRPr="003876EC">
        <w:t>entry reporters expected in the 202</w:t>
      </w:r>
      <w:r w:rsidRPr="00216463">
        <w:t>5</w:t>
      </w:r>
      <w:r w:rsidRPr="003876EC">
        <w:t xml:space="preserve"> GSS (Exhibit 4). Given the historically high levels of participation, a 100</w:t>
      </w:r>
      <w:r w:rsidR="00231158">
        <w:t>%</w:t>
      </w:r>
      <w:r w:rsidRPr="003876EC" w:rsidR="00231158">
        <w:t xml:space="preserve"> </w:t>
      </w:r>
      <w:r w:rsidRPr="003876EC">
        <w:t xml:space="preserve">school response rate is used in these estimates. This methodology is the same </w:t>
      </w:r>
      <w:r w:rsidR="00231158">
        <w:t>as that</w:t>
      </w:r>
      <w:r w:rsidRPr="003876EC">
        <w:t xml:space="preserve"> used to project burden for the GSS 20</w:t>
      </w:r>
      <w:r w:rsidRPr="00216463">
        <w:t>22</w:t>
      </w:r>
      <w:r w:rsidRPr="003876EC">
        <w:t>-202</w:t>
      </w:r>
      <w:r w:rsidRPr="00216463">
        <w:t>5</w:t>
      </w:r>
      <w:r w:rsidRPr="003876EC">
        <w:t xml:space="preserve"> OMB submission. </w:t>
      </w:r>
    </w:p>
    <w:tbl>
      <w:tblPr>
        <w:tblW w:w="8010" w:type="dxa"/>
        <w:tblLook w:val="04A0"/>
      </w:tblPr>
      <w:tblGrid>
        <w:gridCol w:w="8010"/>
      </w:tblGrid>
      <w:tr w14:paraId="68C9DB03" w14:textId="77777777" w:rsidTr="00113470">
        <w:tblPrEx>
          <w:tblW w:w="8010" w:type="dxa"/>
          <w:tblLook w:val="04A0"/>
        </w:tblPrEx>
        <w:trPr>
          <w:cantSplit/>
        </w:trPr>
        <w:tc>
          <w:tcPr>
            <w:tcW w:w="8010" w:type="dxa"/>
            <w:tcBorders>
              <w:top w:val="nil"/>
              <w:left w:val="nil"/>
              <w:bottom w:val="nil"/>
              <w:right w:val="nil"/>
            </w:tcBorders>
            <w:noWrap/>
            <w:vAlign w:val="center"/>
            <w:hideMark/>
          </w:tcPr>
          <w:p w:rsidR="0052750A" w:rsidRPr="00113470" w:rsidP="00113470" w14:paraId="3B05CE58" w14:textId="79BD006D">
            <w:pPr>
              <w:pStyle w:val="TableTitle"/>
              <w:framePr w:wrap="around"/>
            </w:pPr>
            <w:bookmarkStart w:id="54" w:name="_Toc225512742"/>
            <w:r w:rsidRPr="00113470">
              <w:t>Exhibit 4.</w:t>
            </w:r>
            <w:r w:rsidRPr="00113470" w:rsidR="00113470">
              <w:tab/>
            </w:r>
            <w:r w:rsidRPr="00113470">
              <w:t xml:space="preserve">Expected </w:t>
            </w:r>
            <w:r w:rsidR="00AA3A25">
              <w:t>C</w:t>
            </w:r>
            <w:r w:rsidRPr="00113470">
              <w:t xml:space="preserve">omposition of the 2025 GSS </w:t>
            </w:r>
            <w:r w:rsidR="00AA3A25">
              <w:t>F</w:t>
            </w:r>
            <w:r w:rsidRPr="00113470">
              <w:t xml:space="preserve">rame, by </w:t>
            </w:r>
            <w:r w:rsidR="00AA3A25">
              <w:t>I</w:t>
            </w:r>
            <w:r w:rsidRPr="00113470">
              <w:t xml:space="preserve">nstitution </w:t>
            </w:r>
            <w:r w:rsidR="00AA3A25">
              <w:t>S</w:t>
            </w:r>
            <w:r w:rsidRPr="00113470">
              <w:t xml:space="preserve">ize and </w:t>
            </w:r>
            <w:r w:rsidR="00AA3A25">
              <w:t>R</w:t>
            </w:r>
            <w:r w:rsidRPr="00113470">
              <w:t xml:space="preserve">eporting </w:t>
            </w:r>
            <w:r w:rsidR="00AA3A25">
              <w:t>M</w:t>
            </w:r>
            <w:r w:rsidRPr="00113470">
              <w:t>ethod</w:t>
            </w:r>
            <w:bookmarkEnd w:id="54"/>
          </w:p>
        </w:tc>
      </w:tr>
    </w:tbl>
    <w:tbl>
      <w:tblPr>
        <w:tblW w:w="8005" w:type="dxa"/>
        <w:tblLook w:val="04A0"/>
      </w:tblPr>
      <w:tblGrid>
        <w:gridCol w:w="4813"/>
        <w:gridCol w:w="1551"/>
        <w:gridCol w:w="1641"/>
      </w:tblGrid>
      <w:tr w14:paraId="075A7815" w14:textId="77777777" w:rsidTr="00113470">
        <w:tblPrEx>
          <w:tblW w:w="8005" w:type="dxa"/>
          <w:tblLook w:val="04A0"/>
        </w:tblPrEx>
        <w:trPr>
          <w:cantSplit/>
        </w:trPr>
        <w:tc>
          <w:tcPr>
            <w:tcW w:w="4813" w:type="dxa"/>
            <w:tcBorders>
              <w:top w:val="single" w:sz="4" w:space="0" w:color="auto"/>
              <w:left w:val="single" w:sz="4" w:space="0" w:color="auto"/>
              <w:bottom w:val="single" w:sz="4" w:space="0" w:color="auto"/>
              <w:right w:val="single" w:sz="4" w:space="0" w:color="auto"/>
            </w:tcBorders>
            <w:noWrap/>
            <w:vAlign w:val="bottom"/>
            <w:hideMark/>
          </w:tcPr>
          <w:p w:rsidR="0052750A" w:rsidRPr="003876EC" w:rsidP="00635056" w14:paraId="22E3E226" w14:textId="587E2669">
            <w:pPr>
              <w:rPr>
                <w:rFonts w:eastAsia="Times New Roman" w:cs="Times New Roman"/>
                <w:b/>
                <w:bCs/>
                <w:color w:val="000000"/>
              </w:rPr>
            </w:pPr>
            <w:r w:rsidRPr="003876EC">
              <w:rPr>
                <w:rFonts w:eastAsia="Times New Roman" w:cs="Times New Roman"/>
                <w:b/>
                <w:bCs/>
                <w:color w:val="000000"/>
              </w:rPr>
              <w:t xml:space="preserve">Institution </w:t>
            </w:r>
            <w:r w:rsidR="00EC6349">
              <w:rPr>
                <w:rFonts w:eastAsia="Times New Roman" w:cs="Times New Roman"/>
                <w:b/>
                <w:bCs/>
                <w:color w:val="000000"/>
              </w:rPr>
              <w:t>S</w:t>
            </w:r>
            <w:r w:rsidRPr="003876EC">
              <w:rPr>
                <w:rFonts w:eastAsia="Times New Roman" w:cs="Times New Roman"/>
                <w:b/>
                <w:bCs/>
                <w:color w:val="000000"/>
              </w:rPr>
              <w:t xml:space="preserve">ize </w:t>
            </w:r>
            <w:r w:rsidR="00EC6349">
              <w:rPr>
                <w:rFonts w:eastAsia="Times New Roman" w:cs="Times New Roman"/>
                <w:b/>
                <w:bCs/>
                <w:color w:val="000000"/>
              </w:rPr>
              <w:t>a</w:t>
            </w:r>
            <w:r w:rsidRPr="003876EC">
              <w:rPr>
                <w:rFonts w:eastAsia="Times New Roman" w:cs="Times New Roman"/>
                <w:b/>
                <w:bCs/>
                <w:color w:val="000000"/>
              </w:rPr>
              <w:t xml:space="preserve">nd </w:t>
            </w:r>
            <w:r w:rsidR="00EC6349">
              <w:rPr>
                <w:rFonts w:eastAsia="Times New Roman" w:cs="Times New Roman"/>
                <w:b/>
                <w:bCs/>
                <w:color w:val="000000"/>
              </w:rPr>
              <w:t>R</w:t>
            </w:r>
            <w:r w:rsidRPr="003876EC">
              <w:rPr>
                <w:rFonts w:eastAsia="Times New Roman" w:cs="Times New Roman"/>
                <w:b/>
                <w:bCs/>
                <w:color w:val="000000"/>
              </w:rPr>
              <w:t xml:space="preserve">eporting </w:t>
            </w:r>
            <w:r w:rsidR="00EC6349">
              <w:rPr>
                <w:rFonts w:eastAsia="Times New Roman" w:cs="Times New Roman"/>
                <w:b/>
                <w:bCs/>
                <w:color w:val="000000"/>
              </w:rPr>
              <w:t>M</w:t>
            </w:r>
            <w:r w:rsidRPr="003876EC">
              <w:rPr>
                <w:rFonts w:eastAsia="Times New Roman" w:cs="Times New Roman"/>
                <w:b/>
                <w:bCs/>
                <w:color w:val="000000"/>
              </w:rPr>
              <w:t>ethod</w:t>
            </w:r>
          </w:p>
        </w:tc>
        <w:tc>
          <w:tcPr>
            <w:tcW w:w="1551" w:type="dxa"/>
            <w:tcBorders>
              <w:top w:val="single" w:sz="4" w:space="0" w:color="auto"/>
              <w:left w:val="nil"/>
              <w:bottom w:val="single" w:sz="4" w:space="0" w:color="auto"/>
              <w:right w:val="single" w:sz="4" w:space="0" w:color="auto"/>
            </w:tcBorders>
            <w:vAlign w:val="bottom"/>
            <w:hideMark/>
          </w:tcPr>
          <w:p w:rsidR="0052750A" w:rsidRPr="003876EC" w:rsidP="00113470" w14:paraId="1B67A067" w14:textId="77777777">
            <w:pPr>
              <w:jc w:val="center"/>
              <w:rPr>
                <w:rFonts w:eastAsia="Times New Roman" w:cs="Times New Roman"/>
                <w:b/>
                <w:bCs/>
                <w:color w:val="000000"/>
              </w:rPr>
            </w:pPr>
            <w:r w:rsidRPr="003876EC">
              <w:rPr>
                <w:rFonts w:eastAsia="Times New Roman" w:cs="Times New Roman"/>
                <w:b/>
                <w:bCs/>
                <w:color w:val="000000"/>
              </w:rPr>
              <w:t xml:space="preserve"># of </w:t>
            </w:r>
            <w:r>
              <w:rPr>
                <w:rFonts w:eastAsia="Times New Roman" w:cs="Times New Roman"/>
                <w:b/>
                <w:bCs/>
                <w:color w:val="000000"/>
              </w:rPr>
              <w:t>Respondents</w:t>
            </w:r>
          </w:p>
        </w:tc>
        <w:tc>
          <w:tcPr>
            <w:tcW w:w="1641" w:type="dxa"/>
            <w:tcBorders>
              <w:top w:val="single" w:sz="4" w:space="0" w:color="auto"/>
              <w:left w:val="nil"/>
              <w:bottom w:val="single" w:sz="4" w:space="0" w:color="auto"/>
              <w:right w:val="single" w:sz="4" w:space="0" w:color="auto"/>
            </w:tcBorders>
            <w:noWrap/>
            <w:vAlign w:val="bottom"/>
            <w:hideMark/>
          </w:tcPr>
          <w:p w:rsidR="0052750A" w:rsidRPr="003876EC" w:rsidP="00113470" w14:paraId="718145AA" w14:textId="77777777">
            <w:pPr>
              <w:jc w:val="center"/>
              <w:rPr>
                <w:rFonts w:eastAsia="Times New Roman" w:cs="Times New Roman"/>
                <w:b/>
                <w:bCs/>
                <w:color w:val="000000"/>
              </w:rPr>
            </w:pPr>
            <w:r w:rsidRPr="003876EC">
              <w:rPr>
                <w:rFonts w:eastAsia="Times New Roman" w:cs="Times New Roman"/>
                <w:b/>
                <w:bCs/>
                <w:color w:val="000000"/>
              </w:rPr>
              <w:t>Percent</w:t>
            </w:r>
          </w:p>
        </w:tc>
      </w:tr>
      <w:tr w14:paraId="75E10ABF" w14:textId="77777777" w:rsidTr="00113470">
        <w:tblPrEx>
          <w:tblW w:w="8005" w:type="dxa"/>
          <w:tblLook w:val="04A0"/>
        </w:tblPrEx>
        <w:trPr>
          <w:cantSplit/>
        </w:trPr>
        <w:tc>
          <w:tcPr>
            <w:tcW w:w="4813" w:type="dxa"/>
            <w:tcBorders>
              <w:top w:val="nil"/>
              <w:left w:val="single" w:sz="4" w:space="0" w:color="auto"/>
              <w:bottom w:val="single" w:sz="4" w:space="0" w:color="auto"/>
              <w:right w:val="single" w:sz="4" w:space="0" w:color="auto"/>
            </w:tcBorders>
            <w:noWrap/>
            <w:vAlign w:val="center"/>
            <w:hideMark/>
          </w:tcPr>
          <w:p w:rsidR="0052750A" w:rsidRPr="003876EC" w:rsidP="00635056" w14:paraId="34BD71B5" w14:textId="77777777">
            <w:pPr>
              <w:rPr>
                <w:rFonts w:eastAsia="Times New Roman" w:cs="Times New Roman"/>
                <w:color w:val="000000"/>
              </w:rPr>
            </w:pPr>
            <w:r w:rsidRPr="003876EC">
              <w:rPr>
                <w:rFonts w:eastAsia="Times New Roman" w:cs="Times New Roman"/>
                <w:color w:val="000000"/>
              </w:rPr>
              <w:t>More than 15 units, EDI</w:t>
            </w:r>
          </w:p>
        </w:tc>
        <w:tc>
          <w:tcPr>
            <w:tcW w:w="1551" w:type="dxa"/>
            <w:tcBorders>
              <w:top w:val="nil"/>
              <w:left w:val="nil"/>
              <w:bottom w:val="single" w:sz="4" w:space="0" w:color="auto"/>
              <w:right w:val="single" w:sz="4" w:space="0" w:color="auto"/>
            </w:tcBorders>
            <w:noWrap/>
            <w:vAlign w:val="bottom"/>
            <w:hideMark/>
          </w:tcPr>
          <w:p w:rsidR="0052750A" w:rsidRPr="003876EC" w:rsidP="00113470" w14:paraId="62BFE972" w14:textId="77777777">
            <w:pPr>
              <w:jc w:val="center"/>
              <w:rPr>
                <w:rFonts w:eastAsia="Times New Roman" w:cs="Times New Roman"/>
                <w:color w:val="000000"/>
              </w:rPr>
            </w:pPr>
            <w:r w:rsidRPr="00216463">
              <w:rPr>
                <w:rFonts w:cs="Times New Roman"/>
                <w:color w:val="000000"/>
              </w:rPr>
              <w:t>344</w:t>
            </w:r>
          </w:p>
        </w:tc>
        <w:tc>
          <w:tcPr>
            <w:tcW w:w="1641" w:type="dxa"/>
            <w:tcBorders>
              <w:top w:val="nil"/>
              <w:left w:val="nil"/>
              <w:bottom w:val="single" w:sz="4" w:space="0" w:color="auto"/>
              <w:right w:val="single" w:sz="4" w:space="0" w:color="auto"/>
            </w:tcBorders>
            <w:noWrap/>
            <w:vAlign w:val="bottom"/>
            <w:hideMark/>
          </w:tcPr>
          <w:p w:rsidR="0052750A" w:rsidRPr="003876EC" w:rsidP="00113470" w14:paraId="776B9932" w14:textId="77777777">
            <w:pPr>
              <w:jc w:val="center"/>
              <w:rPr>
                <w:rFonts w:eastAsia="Times New Roman" w:cs="Times New Roman"/>
                <w:color w:val="000000"/>
              </w:rPr>
            </w:pPr>
            <w:r w:rsidRPr="00216463">
              <w:rPr>
                <w:rFonts w:cs="Times New Roman"/>
                <w:color w:val="000000"/>
              </w:rPr>
              <w:t>43.7%</w:t>
            </w:r>
          </w:p>
        </w:tc>
      </w:tr>
      <w:tr w14:paraId="4AA59AE5" w14:textId="77777777" w:rsidTr="00113470">
        <w:tblPrEx>
          <w:tblW w:w="8005" w:type="dxa"/>
          <w:tblLook w:val="04A0"/>
        </w:tblPrEx>
        <w:trPr>
          <w:cantSplit/>
        </w:trPr>
        <w:tc>
          <w:tcPr>
            <w:tcW w:w="4813" w:type="dxa"/>
            <w:tcBorders>
              <w:top w:val="nil"/>
              <w:left w:val="single" w:sz="4" w:space="0" w:color="auto"/>
              <w:bottom w:val="single" w:sz="4" w:space="0" w:color="auto"/>
              <w:right w:val="single" w:sz="4" w:space="0" w:color="auto"/>
            </w:tcBorders>
            <w:noWrap/>
            <w:vAlign w:val="center"/>
            <w:hideMark/>
          </w:tcPr>
          <w:p w:rsidR="0052750A" w:rsidRPr="003876EC" w:rsidP="00635056" w14:paraId="55663DB1" w14:textId="7A946328">
            <w:pPr>
              <w:rPr>
                <w:rFonts w:eastAsia="Times New Roman" w:cs="Times New Roman"/>
                <w:color w:val="000000"/>
              </w:rPr>
            </w:pPr>
            <w:r w:rsidRPr="003876EC">
              <w:rPr>
                <w:rFonts w:eastAsia="Times New Roman" w:cs="Times New Roman"/>
                <w:color w:val="000000"/>
              </w:rPr>
              <w:t xml:space="preserve">More than 15 units, </w:t>
            </w:r>
            <w:r w:rsidR="00231158">
              <w:rPr>
                <w:rFonts w:eastAsia="Times New Roman" w:cs="Times New Roman"/>
                <w:color w:val="000000"/>
              </w:rPr>
              <w:t>m</w:t>
            </w:r>
            <w:r w:rsidRPr="003876EC">
              <w:rPr>
                <w:rFonts w:eastAsia="Times New Roman" w:cs="Times New Roman"/>
                <w:color w:val="000000"/>
              </w:rPr>
              <w:t>anual data entry</w:t>
            </w:r>
          </w:p>
        </w:tc>
        <w:tc>
          <w:tcPr>
            <w:tcW w:w="1551" w:type="dxa"/>
            <w:tcBorders>
              <w:top w:val="nil"/>
              <w:left w:val="nil"/>
              <w:bottom w:val="single" w:sz="4" w:space="0" w:color="auto"/>
              <w:right w:val="single" w:sz="4" w:space="0" w:color="auto"/>
            </w:tcBorders>
            <w:noWrap/>
            <w:vAlign w:val="bottom"/>
            <w:hideMark/>
          </w:tcPr>
          <w:p w:rsidR="0052750A" w:rsidRPr="003876EC" w:rsidP="00113470" w14:paraId="4E599654" w14:textId="77777777">
            <w:pPr>
              <w:jc w:val="center"/>
              <w:rPr>
                <w:rFonts w:eastAsia="Times New Roman" w:cs="Times New Roman"/>
                <w:color w:val="000000"/>
              </w:rPr>
            </w:pPr>
            <w:r w:rsidRPr="00216463">
              <w:rPr>
                <w:rFonts w:cs="Times New Roman"/>
                <w:color w:val="000000"/>
              </w:rPr>
              <w:t>27</w:t>
            </w:r>
          </w:p>
        </w:tc>
        <w:tc>
          <w:tcPr>
            <w:tcW w:w="1641" w:type="dxa"/>
            <w:tcBorders>
              <w:top w:val="nil"/>
              <w:left w:val="nil"/>
              <w:bottom w:val="single" w:sz="4" w:space="0" w:color="auto"/>
              <w:right w:val="single" w:sz="4" w:space="0" w:color="auto"/>
            </w:tcBorders>
            <w:noWrap/>
            <w:vAlign w:val="bottom"/>
            <w:hideMark/>
          </w:tcPr>
          <w:p w:rsidR="0052750A" w:rsidRPr="003876EC" w:rsidP="00113470" w14:paraId="5DE8E4FD" w14:textId="77777777">
            <w:pPr>
              <w:jc w:val="center"/>
              <w:rPr>
                <w:rFonts w:eastAsia="Times New Roman" w:cs="Times New Roman"/>
                <w:color w:val="000000"/>
              </w:rPr>
            </w:pPr>
            <w:r w:rsidRPr="00216463">
              <w:rPr>
                <w:rFonts w:cs="Times New Roman"/>
                <w:color w:val="000000"/>
              </w:rPr>
              <w:t>3.4%</w:t>
            </w:r>
          </w:p>
        </w:tc>
      </w:tr>
      <w:tr w14:paraId="1FF6C7F3" w14:textId="77777777" w:rsidTr="00113470">
        <w:tblPrEx>
          <w:tblW w:w="8005" w:type="dxa"/>
          <w:tblLook w:val="04A0"/>
        </w:tblPrEx>
        <w:trPr>
          <w:cantSplit/>
        </w:trPr>
        <w:tc>
          <w:tcPr>
            <w:tcW w:w="4813" w:type="dxa"/>
            <w:tcBorders>
              <w:top w:val="nil"/>
              <w:left w:val="single" w:sz="4" w:space="0" w:color="auto"/>
              <w:bottom w:val="single" w:sz="4" w:space="0" w:color="auto"/>
              <w:right w:val="single" w:sz="4" w:space="0" w:color="auto"/>
            </w:tcBorders>
            <w:noWrap/>
            <w:vAlign w:val="center"/>
            <w:hideMark/>
          </w:tcPr>
          <w:p w:rsidR="0052750A" w:rsidRPr="003876EC" w:rsidP="00635056" w14:paraId="4E342CFD" w14:textId="77777777">
            <w:pPr>
              <w:rPr>
                <w:rFonts w:eastAsia="Times New Roman" w:cs="Times New Roman"/>
                <w:color w:val="000000"/>
              </w:rPr>
            </w:pPr>
            <w:r w:rsidRPr="003876EC">
              <w:rPr>
                <w:rFonts w:eastAsia="Times New Roman" w:cs="Times New Roman"/>
                <w:color w:val="000000"/>
              </w:rPr>
              <w:t>15 or fewer units, EDI</w:t>
            </w:r>
          </w:p>
        </w:tc>
        <w:tc>
          <w:tcPr>
            <w:tcW w:w="1551" w:type="dxa"/>
            <w:tcBorders>
              <w:top w:val="nil"/>
              <w:left w:val="nil"/>
              <w:bottom w:val="single" w:sz="4" w:space="0" w:color="auto"/>
              <w:right w:val="single" w:sz="4" w:space="0" w:color="auto"/>
            </w:tcBorders>
            <w:noWrap/>
            <w:vAlign w:val="bottom"/>
            <w:hideMark/>
          </w:tcPr>
          <w:p w:rsidR="0052750A" w:rsidRPr="003876EC" w:rsidP="00113470" w14:paraId="42AED208" w14:textId="77777777">
            <w:pPr>
              <w:jc w:val="center"/>
              <w:rPr>
                <w:rFonts w:eastAsia="Times New Roman" w:cs="Times New Roman"/>
                <w:color w:val="000000"/>
              </w:rPr>
            </w:pPr>
            <w:r w:rsidRPr="00216463">
              <w:rPr>
                <w:rFonts w:cs="Times New Roman"/>
                <w:color w:val="000000"/>
              </w:rPr>
              <w:t>285</w:t>
            </w:r>
          </w:p>
        </w:tc>
        <w:tc>
          <w:tcPr>
            <w:tcW w:w="1641" w:type="dxa"/>
            <w:tcBorders>
              <w:top w:val="nil"/>
              <w:left w:val="nil"/>
              <w:bottom w:val="single" w:sz="4" w:space="0" w:color="auto"/>
              <w:right w:val="single" w:sz="4" w:space="0" w:color="auto"/>
            </w:tcBorders>
            <w:noWrap/>
            <w:vAlign w:val="bottom"/>
            <w:hideMark/>
          </w:tcPr>
          <w:p w:rsidR="0052750A" w:rsidRPr="003876EC" w:rsidP="00113470" w14:paraId="47BC5ADE" w14:textId="77777777">
            <w:pPr>
              <w:jc w:val="center"/>
              <w:rPr>
                <w:rFonts w:eastAsia="Times New Roman" w:cs="Times New Roman"/>
                <w:color w:val="000000"/>
              </w:rPr>
            </w:pPr>
            <w:r w:rsidRPr="00216463">
              <w:rPr>
                <w:rFonts w:cs="Times New Roman"/>
                <w:color w:val="000000"/>
              </w:rPr>
              <w:t>36.2%</w:t>
            </w:r>
          </w:p>
        </w:tc>
      </w:tr>
      <w:tr w14:paraId="1936E7B0" w14:textId="77777777" w:rsidTr="00113470">
        <w:tblPrEx>
          <w:tblW w:w="8005" w:type="dxa"/>
          <w:tblLook w:val="04A0"/>
        </w:tblPrEx>
        <w:trPr>
          <w:cantSplit/>
        </w:trPr>
        <w:tc>
          <w:tcPr>
            <w:tcW w:w="4813" w:type="dxa"/>
            <w:tcBorders>
              <w:top w:val="nil"/>
              <w:left w:val="single" w:sz="4" w:space="0" w:color="auto"/>
              <w:bottom w:val="single" w:sz="4" w:space="0" w:color="auto"/>
              <w:right w:val="single" w:sz="4" w:space="0" w:color="auto"/>
            </w:tcBorders>
            <w:noWrap/>
            <w:vAlign w:val="center"/>
            <w:hideMark/>
          </w:tcPr>
          <w:p w:rsidR="0052750A" w:rsidRPr="003876EC" w:rsidP="00635056" w14:paraId="59616BD3" w14:textId="29ACEDA5">
            <w:pPr>
              <w:rPr>
                <w:rFonts w:eastAsia="Times New Roman" w:cs="Times New Roman"/>
                <w:color w:val="000000"/>
              </w:rPr>
            </w:pPr>
            <w:r w:rsidRPr="003876EC">
              <w:rPr>
                <w:rFonts w:eastAsia="Times New Roman" w:cs="Times New Roman"/>
                <w:color w:val="000000"/>
              </w:rPr>
              <w:t xml:space="preserve">15 or fewer units, </w:t>
            </w:r>
            <w:r w:rsidR="00231158">
              <w:rPr>
                <w:rFonts w:eastAsia="Times New Roman" w:cs="Times New Roman"/>
                <w:color w:val="000000"/>
              </w:rPr>
              <w:t>m</w:t>
            </w:r>
            <w:r w:rsidRPr="003876EC">
              <w:rPr>
                <w:rFonts w:eastAsia="Times New Roman" w:cs="Times New Roman"/>
                <w:color w:val="000000"/>
              </w:rPr>
              <w:t>anual data entry</w:t>
            </w:r>
          </w:p>
        </w:tc>
        <w:tc>
          <w:tcPr>
            <w:tcW w:w="1551" w:type="dxa"/>
            <w:tcBorders>
              <w:top w:val="nil"/>
              <w:left w:val="nil"/>
              <w:bottom w:val="single" w:sz="4" w:space="0" w:color="auto"/>
              <w:right w:val="single" w:sz="4" w:space="0" w:color="auto"/>
            </w:tcBorders>
            <w:noWrap/>
            <w:vAlign w:val="bottom"/>
            <w:hideMark/>
          </w:tcPr>
          <w:p w:rsidR="0052750A" w:rsidRPr="003876EC" w:rsidP="00113470" w14:paraId="0972607D" w14:textId="77777777">
            <w:pPr>
              <w:jc w:val="center"/>
              <w:rPr>
                <w:rFonts w:eastAsia="Times New Roman" w:cs="Times New Roman"/>
                <w:color w:val="000000"/>
              </w:rPr>
            </w:pPr>
            <w:r w:rsidRPr="00216463">
              <w:rPr>
                <w:rFonts w:cs="Times New Roman"/>
                <w:color w:val="000000"/>
              </w:rPr>
              <w:t>132</w:t>
            </w:r>
          </w:p>
        </w:tc>
        <w:tc>
          <w:tcPr>
            <w:tcW w:w="1641" w:type="dxa"/>
            <w:tcBorders>
              <w:top w:val="nil"/>
              <w:left w:val="nil"/>
              <w:bottom w:val="single" w:sz="4" w:space="0" w:color="auto"/>
              <w:right w:val="single" w:sz="4" w:space="0" w:color="auto"/>
            </w:tcBorders>
            <w:noWrap/>
            <w:vAlign w:val="bottom"/>
            <w:hideMark/>
          </w:tcPr>
          <w:p w:rsidR="0052750A" w:rsidRPr="003876EC" w:rsidP="00113470" w14:paraId="03EC3EEE" w14:textId="77777777">
            <w:pPr>
              <w:jc w:val="center"/>
              <w:rPr>
                <w:rFonts w:eastAsia="Times New Roman" w:cs="Times New Roman"/>
                <w:color w:val="000000"/>
              </w:rPr>
            </w:pPr>
            <w:r w:rsidRPr="00216463">
              <w:rPr>
                <w:rFonts w:cs="Times New Roman"/>
                <w:color w:val="000000"/>
              </w:rPr>
              <w:t>16.8%</w:t>
            </w:r>
          </w:p>
        </w:tc>
      </w:tr>
      <w:tr w14:paraId="0D44063D" w14:textId="77777777" w:rsidTr="00113470">
        <w:tblPrEx>
          <w:tblW w:w="8005" w:type="dxa"/>
          <w:tblLook w:val="04A0"/>
        </w:tblPrEx>
        <w:trPr>
          <w:cantSplit/>
        </w:trPr>
        <w:tc>
          <w:tcPr>
            <w:tcW w:w="4813" w:type="dxa"/>
            <w:tcBorders>
              <w:top w:val="nil"/>
              <w:left w:val="single" w:sz="4" w:space="0" w:color="auto"/>
              <w:bottom w:val="single" w:sz="4" w:space="0" w:color="auto"/>
              <w:right w:val="single" w:sz="4" w:space="0" w:color="auto"/>
            </w:tcBorders>
            <w:noWrap/>
            <w:vAlign w:val="center"/>
            <w:hideMark/>
          </w:tcPr>
          <w:p w:rsidR="0052750A" w:rsidRPr="004A29A3" w:rsidP="00635056" w14:paraId="6A62F964" w14:textId="77777777">
            <w:pPr>
              <w:rPr>
                <w:rFonts w:eastAsia="Times New Roman" w:cs="Times New Roman"/>
                <w:i/>
                <w:iCs/>
                <w:color w:val="000000"/>
              </w:rPr>
            </w:pPr>
            <w:r w:rsidRPr="004A29A3">
              <w:rPr>
                <w:rFonts w:eastAsia="Times New Roman" w:cs="Times New Roman"/>
                <w:i/>
                <w:iCs/>
                <w:color w:val="000000"/>
              </w:rPr>
              <w:t>Total</w:t>
            </w:r>
          </w:p>
        </w:tc>
        <w:tc>
          <w:tcPr>
            <w:tcW w:w="1551" w:type="dxa"/>
            <w:tcBorders>
              <w:top w:val="nil"/>
              <w:left w:val="nil"/>
              <w:bottom w:val="single" w:sz="4" w:space="0" w:color="auto"/>
              <w:right w:val="single" w:sz="4" w:space="0" w:color="auto"/>
            </w:tcBorders>
            <w:noWrap/>
            <w:vAlign w:val="bottom"/>
            <w:hideMark/>
          </w:tcPr>
          <w:p w:rsidR="0052750A" w:rsidRPr="004A29A3" w:rsidP="00113470" w14:paraId="720662D7" w14:textId="77777777">
            <w:pPr>
              <w:jc w:val="center"/>
              <w:rPr>
                <w:rFonts w:eastAsia="Times New Roman" w:cs="Times New Roman"/>
                <w:i/>
                <w:iCs/>
                <w:color w:val="000000"/>
              </w:rPr>
            </w:pPr>
            <w:r w:rsidRPr="004A29A3">
              <w:rPr>
                <w:rFonts w:cs="Times New Roman"/>
                <w:i/>
                <w:iCs/>
                <w:color w:val="000000"/>
              </w:rPr>
              <w:t>788</w:t>
            </w:r>
          </w:p>
        </w:tc>
        <w:tc>
          <w:tcPr>
            <w:tcW w:w="1641" w:type="dxa"/>
            <w:tcBorders>
              <w:top w:val="nil"/>
              <w:left w:val="nil"/>
              <w:bottom w:val="single" w:sz="4" w:space="0" w:color="auto"/>
              <w:right w:val="single" w:sz="4" w:space="0" w:color="auto"/>
            </w:tcBorders>
            <w:noWrap/>
            <w:vAlign w:val="bottom"/>
            <w:hideMark/>
          </w:tcPr>
          <w:p w:rsidR="0052750A" w:rsidRPr="004A29A3" w:rsidP="00113470" w14:paraId="7A0AD96C" w14:textId="77777777">
            <w:pPr>
              <w:jc w:val="center"/>
              <w:rPr>
                <w:rFonts w:eastAsia="Times New Roman" w:cs="Times New Roman"/>
                <w:i/>
                <w:iCs/>
                <w:color w:val="000000"/>
              </w:rPr>
            </w:pPr>
            <w:r w:rsidRPr="004A29A3">
              <w:rPr>
                <w:rFonts w:cs="Times New Roman"/>
                <w:i/>
                <w:iCs/>
                <w:color w:val="000000"/>
              </w:rPr>
              <w:t>100.0%</w:t>
            </w:r>
          </w:p>
        </w:tc>
      </w:tr>
    </w:tbl>
    <w:p w:rsidR="0052750A" w:rsidP="00113470" w14:paraId="61B6C08B" w14:textId="2464BE70">
      <w:pPr>
        <w:pStyle w:val="BodyTextSpaceAfter"/>
        <w:spacing w:before="240"/>
      </w:pPr>
      <w:r w:rsidRPr="003876EC">
        <w:t>In addition to the regular GSS data collection, the 202</w:t>
      </w:r>
      <w:r>
        <w:t>7</w:t>
      </w:r>
      <w:r w:rsidRPr="003876EC">
        <w:t xml:space="preserve"> survey cycle will include a biennial FFRDC</w:t>
      </w:r>
      <w:r w:rsidR="00231158">
        <w:t xml:space="preserve"> Postdoc Survey</w:t>
      </w:r>
      <w:r w:rsidRPr="003876EC">
        <w:t xml:space="preserve">. </w:t>
      </w:r>
      <w:r w:rsidRPr="00B4711B">
        <w:t>Response burden for the FFRDCs is estimated based on the 202</w:t>
      </w:r>
      <w:r w:rsidRPr="00B4711B" w:rsidR="00483A2A">
        <w:t>3</w:t>
      </w:r>
      <w:r w:rsidRPr="00B4711B">
        <w:t xml:space="preserve"> data collection in which FFRDCs reported an average of 2.1 hours per center to complete the information request. Of the 43 FFRDC coordinators</w:t>
      </w:r>
      <w:r w:rsidR="0013661B">
        <w:t xml:space="preserve"> that participated in the 2023 FFRDC Postdocs Survey</w:t>
      </w:r>
      <w:r w:rsidRPr="00B4711B">
        <w:t>, 33 provided burden</w:t>
      </w:r>
      <w:r w:rsidR="009026F0">
        <w:t xml:space="preserve"> estimates</w:t>
      </w:r>
      <w:r w:rsidR="00231158">
        <w:t>,</w:t>
      </w:r>
      <w:r w:rsidRPr="00B4711B">
        <w:t xml:space="preserve"> resulting in a response rate of 76.7%.</w:t>
      </w:r>
      <w:r w:rsidR="004A29A3">
        <w:t xml:space="preserve"> Burden estimates for the 2026-28 GSS cycles are presented in Exhibits 5-7 below.</w:t>
      </w:r>
    </w:p>
    <w:tbl>
      <w:tblPr>
        <w:tblW w:w="9450" w:type="dxa"/>
        <w:tblLook w:val="04A0"/>
      </w:tblPr>
      <w:tblGrid>
        <w:gridCol w:w="9450"/>
      </w:tblGrid>
      <w:tr w14:paraId="6348E1FF" w14:textId="77777777" w:rsidTr="00113470">
        <w:tblPrEx>
          <w:tblW w:w="9450" w:type="dxa"/>
          <w:tblLook w:val="04A0"/>
        </w:tblPrEx>
        <w:trPr>
          <w:trHeight w:val="315"/>
        </w:trPr>
        <w:tc>
          <w:tcPr>
            <w:tcW w:w="9450" w:type="dxa"/>
            <w:tcBorders>
              <w:top w:val="nil"/>
              <w:left w:val="nil"/>
              <w:bottom w:val="single" w:sz="4" w:space="0" w:color="auto"/>
              <w:right w:val="nil"/>
            </w:tcBorders>
            <w:noWrap/>
            <w:vAlign w:val="center"/>
            <w:hideMark/>
          </w:tcPr>
          <w:p w:rsidR="00113470" w:rsidRPr="00113470" w:rsidP="00113470" w14:paraId="500ECFDB" w14:textId="4FEB446B">
            <w:pPr>
              <w:pStyle w:val="TableTitle"/>
              <w:framePr w:wrap="around"/>
            </w:pPr>
            <w:bookmarkStart w:id="55" w:name="_Toc225512743"/>
            <w:r w:rsidRPr="003876EC">
              <w:t>Exhibit 5.</w:t>
            </w:r>
            <w:r>
              <w:tab/>
            </w:r>
            <w:r w:rsidRPr="003876EC">
              <w:t>Burden Estimates for the 202</w:t>
            </w:r>
            <w:r>
              <w:t>6</w:t>
            </w:r>
            <w:r w:rsidRPr="003876EC">
              <w:t xml:space="preserve"> GSS</w:t>
            </w:r>
            <w:bookmarkEnd w:id="55"/>
          </w:p>
        </w:tc>
      </w:tr>
    </w:tbl>
    <w:tbl>
      <w:tblPr>
        <w:tblW w:w="9445" w:type="dxa"/>
        <w:tblLook w:val="04A0"/>
      </w:tblPr>
      <w:tblGrid>
        <w:gridCol w:w="3736"/>
        <w:gridCol w:w="1940"/>
        <w:gridCol w:w="1816"/>
        <w:gridCol w:w="1953"/>
      </w:tblGrid>
      <w:tr w14:paraId="60879339" w14:textId="77777777" w:rsidTr="009C2D08">
        <w:tblPrEx>
          <w:tblW w:w="9445" w:type="dxa"/>
          <w:tblLook w:val="04A0"/>
        </w:tblPrEx>
        <w:trPr>
          <w:trHeight w:val="630"/>
        </w:trPr>
        <w:tc>
          <w:tcPr>
            <w:tcW w:w="3736" w:type="dxa"/>
            <w:tcBorders>
              <w:top w:val="nil"/>
              <w:left w:val="single" w:sz="4" w:space="0" w:color="auto"/>
              <w:bottom w:val="single" w:sz="4" w:space="0" w:color="auto"/>
              <w:right w:val="single" w:sz="4" w:space="0" w:color="auto"/>
            </w:tcBorders>
            <w:vAlign w:val="bottom"/>
            <w:hideMark/>
          </w:tcPr>
          <w:p w:rsidR="00113470" w:rsidRPr="003876EC" w:rsidP="00E178C6" w14:paraId="7E12D185" w14:textId="77777777">
            <w:pPr>
              <w:jc w:val="center"/>
              <w:rPr>
                <w:rFonts w:eastAsia="Times New Roman" w:cs="Times New Roman"/>
                <w:b/>
                <w:bCs/>
                <w:color w:val="000000"/>
              </w:rPr>
            </w:pPr>
            <w:r w:rsidRPr="003876EC">
              <w:rPr>
                <w:rFonts w:eastAsia="Times New Roman" w:cs="Times New Roman"/>
                <w:b/>
                <w:bCs/>
                <w:color w:val="000000"/>
              </w:rPr>
              <w:t>Institution Type</w:t>
            </w:r>
          </w:p>
        </w:tc>
        <w:tc>
          <w:tcPr>
            <w:tcW w:w="1940" w:type="dxa"/>
            <w:tcBorders>
              <w:top w:val="nil"/>
              <w:left w:val="nil"/>
              <w:bottom w:val="single" w:sz="4" w:space="0" w:color="auto"/>
              <w:right w:val="single" w:sz="4" w:space="0" w:color="auto"/>
            </w:tcBorders>
            <w:vAlign w:val="bottom"/>
            <w:hideMark/>
          </w:tcPr>
          <w:p w:rsidR="00113470" w:rsidRPr="003876EC" w:rsidP="00E178C6" w14:paraId="32FCCC02" w14:textId="61BED13F">
            <w:pPr>
              <w:jc w:val="center"/>
              <w:rPr>
                <w:rFonts w:eastAsia="Times New Roman" w:cs="Times New Roman"/>
                <w:b/>
                <w:bCs/>
                <w:color w:val="000000"/>
              </w:rPr>
            </w:pPr>
            <w:r w:rsidRPr="003876EC">
              <w:rPr>
                <w:rFonts w:eastAsia="Times New Roman" w:cs="Times New Roman"/>
                <w:b/>
                <w:bCs/>
                <w:color w:val="000000"/>
              </w:rPr>
              <w:t xml:space="preserve">Respondents </w:t>
            </w:r>
            <w:r>
              <w:rPr>
                <w:rFonts w:eastAsia="Times New Roman" w:cs="Times New Roman"/>
                <w:b/>
                <w:bCs/>
                <w:color w:val="000000"/>
              </w:rPr>
              <w:br/>
            </w:r>
            <w:r w:rsidRPr="003876EC">
              <w:rPr>
                <w:rFonts w:eastAsia="Times New Roman" w:cs="Times New Roman"/>
                <w:b/>
                <w:bCs/>
                <w:color w:val="000000"/>
              </w:rPr>
              <w:t>(# of schools)</w:t>
            </w:r>
          </w:p>
        </w:tc>
        <w:tc>
          <w:tcPr>
            <w:tcW w:w="1816" w:type="dxa"/>
            <w:tcBorders>
              <w:top w:val="nil"/>
              <w:left w:val="nil"/>
              <w:bottom w:val="single" w:sz="4" w:space="0" w:color="auto"/>
              <w:right w:val="single" w:sz="4" w:space="0" w:color="auto"/>
            </w:tcBorders>
            <w:vAlign w:val="bottom"/>
            <w:hideMark/>
          </w:tcPr>
          <w:p w:rsidR="00113470" w:rsidRPr="003876EC" w:rsidP="00E178C6" w14:paraId="272B49C3" w14:textId="77777777">
            <w:pPr>
              <w:jc w:val="center"/>
              <w:rPr>
                <w:rFonts w:eastAsia="Times New Roman" w:cs="Times New Roman"/>
                <w:b/>
                <w:bCs/>
                <w:color w:val="000000"/>
              </w:rPr>
            </w:pPr>
            <w:r w:rsidRPr="003876EC">
              <w:rPr>
                <w:rFonts w:eastAsia="Times New Roman" w:cs="Times New Roman"/>
                <w:b/>
                <w:bCs/>
                <w:color w:val="000000"/>
              </w:rPr>
              <w:t>Average Burden (hours)</w:t>
            </w:r>
          </w:p>
        </w:tc>
        <w:tc>
          <w:tcPr>
            <w:tcW w:w="1953" w:type="dxa"/>
            <w:tcBorders>
              <w:top w:val="nil"/>
              <w:left w:val="nil"/>
              <w:bottom w:val="single" w:sz="4" w:space="0" w:color="auto"/>
              <w:right w:val="single" w:sz="4" w:space="0" w:color="auto"/>
            </w:tcBorders>
            <w:vAlign w:val="bottom"/>
            <w:hideMark/>
          </w:tcPr>
          <w:p w:rsidR="00113470" w:rsidRPr="003876EC" w:rsidP="00E178C6" w14:paraId="42B979EF" w14:textId="77777777">
            <w:pPr>
              <w:jc w:val="center"/>
              <w:rPr>
                <w:rFonts w:eastAsia="Times New Roman" w:cs="Times New Roman"/>
                <w:b/>
                <w:bCs/>
                <w:color w:val="000000"/>
              </w:rPr>
            </w:pPr>
            <w:r w:rsidRPr="003876EC">
              <w:rPr>
                <w:rFonts w:eastAsia="Times New Roman" w:cs="Times New Roman"/>
                <w:b/>
                <w:bCs/>
                <w:color w:val="000000"/>
              </w:rPr>
              <w:t>Total Burden (hours)</w:t>
            </w:r>
          </w:p>
        </w:tc>
      </w:tr>
      <w:tr w14:paraId="11683AEC" w14:textId="77777777" w:rsidTr="00113470">
        <w:tblPrEx>
          <w:tblW w:w="9445"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113470" w:rsidRPr="003876EC" w:rsidP="00E178C6" w14:paraId="4C27E3E6" w14:textId="34362187">
            <w:pPr>
              <w:rPr>
                <w:rFonts w:eastAsia="Times New Roman" w:cs="Times New Roman"/>
                <w:color w:val="000000"/>
              </w:rPr>
            </w:pPr>
            <w:r w:rsidRPr="003876EC">
              <w:rPr>
                <w:rFonts w:eastAsia="Times New Roman" w:cs="Times New Roman"/>
                <w:color w:val="000000"/>
              </w:rPr>
              <w:t xml:space="preserve">More than 15 units, </w:t>
            </w:r>
            <w:r w:rsidR="00231158">
              <w:rPr>
                <w:rFonts w:eastAsia="Times New Roman" w:cs="Times New Roman"/>
                <w:color w:val="000000"/>
              </w:rPr>
              <w:t>u</w:t>
            </w:r>
            <w:r w:rsidRPr="003876EC">
              <w:rPr>
                <w:rFonts w:eastAsia="Times New Roman" w:cs="Times New Roman"/>
                <w:color w:val="000000"/>
              </w:rPr>
              <w:t>ploading</w:t>
            </w:r>
          </w:p>
        </w:tc>
        <w:tc>
          <w:tcPr>
            <w:tcW w:w="1940" w:type="dxa"/>
            <w:tcBorders>
              <w:top w:val="nil"/>
              <w:left w:val="nil"/>
              <w:bottom w:val="single" w:sz="4" w:space="0" w:color="auto"/>
              <w:right w:val="single" w:sz="4" w:space="0" w:color="auto"/>
            </w:tcBorders>
            <w:vAlign w:val="center"/>
            <w:hideMark/>
          </w:tcPr>
          <w:p w:rsidR="00113470" w:rsidRPr="003876EC" w:rsidP="00E178C6" w14:paraId="315EC180" w14:textId="77777777">
            <w:pPr>
              <w:jc w:val="center"/>
              <w:rPr>
                <w:rFonts w:eastAsia="Times New Roman" w:cs="Times New Roman"/>
                <w:color w:val="000000"/>
              </w:rPr>
            </w:pPr>
            <w:r w:rsidRPr="00AC5F6F">
              <w:rPr>
                <w:rFonts w:cs="Times New Roman"/>
                <w:color w:val="000000"/>
              </w:rPr>
              <w:t>344</w:t>
            </w:r>
          </w:p>
        </w:tc>
        <w:tc>
          <w:tcPr>
            <w:tcW w:w="1816" w:type="dxa"/>
            <w:tcBorders>
              <w:top w:val="nil"/>
              <w:left w:val="nil"/>
              <w:bottom w:val="single" w:sz="4" w:space="0" w:color="auto"/>
              <w:right w:val="single" w:sz="4" w:space="0" w:color="auto"/>
            </w:tcBorders>
            <w:vAlign w:val="center"/>
            <w:hideMark/>
          </w:tcPr>
          <w:p w:rsidR="00113470" w:rsidRPr="003876EC" w:rsidP="00E178C6" w14:paraId="1B322844" w14:textId="77777777">
            <w:pPr>
              <w:jc w:val="center"/>
              <w:rPr>
                <w:rFonts w:eastAsia="Times New Roman" w:cs="Times New Roman"/>
                <w:color w:val="000000"/>
              </w:rPr>
            </w:pPr>
            <w:r w:rsidRPr="00AC5F6F">
              <w:rPr>
                <w:rFonts w:cs="Times New Roman"/>
                <w:color w:val="000000"/>
              </w:rPr>
              <w:t>36.1</w:t>
            </w:r>
          </w:p>
        </w:tc>
        <w:tc>
          <w:tcPr>
            <w:tcW w:w="1953" w:type="dxa"/>
            <w:tcBorders>
              <w:top w:val="nil"/>
              <w:left w:val="nil"/>
              <w:bottom w:val="single" w:sz="4" w:space="0" w:color="auto"/>
              <w:right w:val="single" w:sz="4" w:space="0" w:color="auto"/>
            </w:tcBorders>
            <w:vAlign w:val="center"/>
            <w:hideMark/>
          </w:tcPr>
          <w:p w:rsidR="00113470" w:rsidRPr="003876EC" w:rsidP="00E178C6" w14:paraId="6E3F673B" w14:textId="77777777">
            <w:pPr>
              <w:jc w:val="center"/>
              <w:rPr>
                <w:rFonts w:eastAsia="Times New Roman" w:cs="Times New Roman"/>
                <w:color w:val="000000"/>
              </w:rPr>
            </w:pPr>
            <w:r w:rsidRPr="00AC5F6F">
              <w:rPr>
                <w:rFonts w:cs="Times New Roman"/>
                <w:color w:val="000000"/>
              </w:rPr>
              <w:t>12,</w:t>
            </w:r>
            <w:r>
              <w:rPr>
                <w:rFonts w:cs="Times New Roman"/>
                <w:color w:val="000000"/>
              </w:rPr>
              <w:t>418</w:t>
            </w:r>
          </w:p>
        </w:tc>
      </w:tr>
      <w:tr w14:paraId="1876858D" w14:textId="77777777" w:rsidTr="00113470">
        <w:tblPrEx>
          <w:tblW w:w="9445"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113470" w:rsidRPr="003876EC" w:rsidP="00E178C6" w14:paraId="66A92635" w14:textId="6F6D2649">
            <w:pPr>
              <w:rPr>
                <w:rFonts w:eastAsia="Times New Roman" w:cs="Times New Roman"/>
                <w:color w:val="000000"/>
              </w:rPr>
            </w:pPr>
            <w:r w:rsidRPr="003876EC">
              <w:rPr>
                <w:rFonts w:eastAsia="Times New Roman" w:cs="Times New Roman"/>
                <w:color w:val="000000"/>
              </w:rPr>
              <w:t xml:space="preserve">More than 15 units, </w:t>
            </w:r>
            <w:r w:rsidR="00231158">
              <w:rPr>
                <w:rFonts w:eastAsia="Times New Roman" w:cs="Times New Roman"/>
                <w:color w:val="000000"/>
              </w:rPr>
              <w:t>m</w:t>
            </w:r>
            <w:r w:rsidRPr="003876EC">
              <w:rPr>
                <w:rFonts w:eastAsia="Times New Roman" w:cs="Times New Roman"/>
                <w:color w:val="000000"/>
              </w:rPr>
              <w:t xml:space="preserve">anually </w:t>
            </w:r>
            <w:r w:rsidR="00231158">
              <w:rPr>
                <w:rFonts w:eastAsia="Times New Roman" w:cs="Times New Roman"/>
                <w:color w:val="000000"/>
              </w:rPr>
              <w:t>e</w:t>
            </w:r>
            <w:r w:rsidRPr="003876EC">
              <w:rPr>
                <w:rFonts w:eastAsia="Times New Roman" w:cs="Times New Roman"/>
                <w:color w:val="000000"/>
              </w:rPr>
              <w:t>nter</w:t>
            </w:r>
          </w:p>
        </w:tc>
        <w:tc>
          <w:tcPr>
            <w:tcW w:w="1940" w:type="dxa"/>
            <w:tcBorders>
              <w:top w:val="nil"/>
              <w:left w:val="nil"/>
              <w:bottom w:val="single" w:sz="4" w:space="0" w:color="auto"/>
              <w:right w:val="single" w:sz="4" w:space="0" w:color="auto"/>
            </w:tcBorders>
            <w:vAlign w:val="center"/>
            <w:hideMark/>
          </w:tcPr>
          <w:p w:rsidR="00113470" w:rsidRPr="003876EC" w:rsidP="00E178C6" w14:paraId="022B9B1F" w14:textId="77777777">
            <w:pPr>
              <w:jc w:val="center"/>
              <w:rPr>
                <w:rFonts w:eastAsia="Times New Roman" w:cs="Times New Roman"/>
                <w:color w:val="000000"/>
              </w:rPr>
            </w:pPr>
            <w:r w:rsidRPr="00AC5F6F">
              <w:rPr>
                <w:rFonts w:cs="Times New Roman"/>
                <w:color w:val="000000"/>
              </w:rPr>
              <w:t>27</w:t>
            </w:r>
          </w:p>
        </w:tc>
        <w:tc>
          <w:tcPr>
            <w:tcW w:w="1816" w:type="dxa"/>
            <w:tcBorders>
              <w:top w:val="nil"/>
              <w:left w:val="nil"/>
              <w:bottom w:val="single" w:sz="4" w:space="0" w:color="auto"/>
              <w:right w:val="single" w:sz="4" w:space="0" w:color="auto"/>
            </w:tcBorders>
            <w:vAlign w:val="center"/>
            <w:hideMark/>
          </w:tcPr>
          <w:p w:rsidR="00113470" w:rsidRPr="003876EC" w:rsidP="00E178C6" w14:paraId="5DEA9BE6" w14:textId="77777777">
            <w:pPr>
              <w:jc w:val="center"/>
              <w:rPr>
                <w:rFonts w:eastAsia="Times New Roman" w:cs="Times New Roman"/>
                <w:color w:val="000000"/>
              </w:rPr>
            </w:pPr>
            <w:r w:rsidRPr="00AC5F6F">
              <w:rPr>
                <w:rFonts w:cs="Times New Roman"/>
                <w:color w:val="000000"/>
              </w:rPr>
              <w:t>40.3</w:t>
            </w:r>
          </w:p>
        </w:tc>
        <w:tc>
          <w:tcPr>
            <w:tcW w:w="1953" w:type="dxa"/>
            <w:tcBorders>
              <w:top w:val="nil"/>
              <w:left w:val="nil"/>
              <w:bottom w:val="single" w:sz="4" w:space="0" w:color="auto"/>
              <w:right w:val="single" w:sz="4" w:space="0" w:color="auto"/>
            </w:tcBorders>
            <w:vAlign w:val="center"/>
            <w:hideMark/>
          </w:tcPr>
          <w:p w:rsidR="00113470" w:rsidRPr="003876EC" w:rsidP="00E178C6" w14:paraId="0C6BA3C5" w14:textId="77777777">
            <w:pPr>
              <w:jc w:val="center"/>
              <w:rPr>
                <w:rFonts w:eastAsia="Times New Roman" w:cs="Times New Roman"/>
                <w:color w:val="000000"/>
              </w:rPr>
            </w:pPr>
            <w:r w:rsidRPr="00AC5F6F">
              <w:rPr>
                <w:rFonts w:cs="Times New Roman"/>
                <w:color w:val="000000"/>
              </w:rPr>
              <w:t>1,08</w:t>
            </w:r>
            <w:r>
              <w:rPr>
                <w:rFonts w:cs="Times New Roman"/>
                <w:color w:val="000000"/>
              </w:rPr>
              <w:t>8</w:t>
            </w:r>
          </w:p>
        </w:tc>
      </w:tr>
      <w:tr w14:paraId="1A6BA536" w14:textId="77777777" w:rsidTr="00113470">
        <w:tblPrEx>
          <w:tblW w:w="9445"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113470" w:rsidRPr="003876EC" w:rsidP="00E178C6" w14:paraId="15EE228E" w14:textId="4962AA6B">
            <w:pPr>
              <w:rPr>
                <w:rFonts w:eastAsia="Times New Roman" w:cs="Times New Roman"/>
                <w:color w:val="000000"/>
              </w:rPr>
            </w:pPr>
            <w:r w:rsidRPr="003876EC">
              <w:rPr>
                <w:rFonts w:eastAsia="Times New Roman" w:cs="Times New Roman"/>
                <w:color w:val="000000"/>
              </w:rPr>
              <w:t xml:space="preserve">15 or fewer units, </w:t>
            </w:r>
            <w:r w:rsidR="00231158">
              <w:rPr>
                <w:rFonts w:eastAsia="Times New Roman" w:cs="Times New Roman"/>
                <w:color w:val="000000"/>
              </w:rPr>
              <w:t>u</w:t>
            </w:r>
            <w:r w:rsidRPr="003876EC">
              <w:rPr>
                <w:rFonts w:eastAsia="Times New Roman" w:cs="Times New Roman"/>
                <w:color w:val="000000"/>
              </w:rPr>
              <w:t>ploading</w:t>
            </w:r>
          </w:p>
        </w:tc>
        <w:tc>
          <w:tcPr>
            <w:tcW w:w="1940" w:type="dxa"/>
            <w:tcBorders>
              <w:top w:val="nil"/>
              <w:left w:val="nil"/>
              <w:bottom w:val="single" w:sz="4" w:space="0" w:color="auto"/>
              <w:right w:val="single" w:sz="4" w:space="0" w:color="auto"/>
            </w:tcBorders>
            <w:vAlign w:val="center"/>
            <w:hideMark/>
          </w:tcPr>
          <w:p w:rsidR="00113470" w:rsidRPr="003876EC" w:rsidP="00E178C6" w14:paraId="6BB05B21" w14:textId="77777777">
            <w:pPr>
              <w:jc w:val="center"/>
              <w:rPr>
                <w:rFonts w:eastAsia="Times New Roman" w:cs="Times New Roman"/>
                <w:color w:val="000000"/>
              </w:rPr>
            </w:pPr>
            <w:r w:rsidRPr="00AC5F6F">
              <w:rPr>
                <w:rFonts w:cs="Times New Roman"/>
                <w:color w:val="000000"/>
              </w:rPr>
              <w:t>285</w:t>
            </w:r>
          </w:p>
        </w:tc>
        <w:tc>
          <w:tcPr>
            <w:tcW w:w="1816" w:type="dxa"/>
            <w:tcBorders>
              <w:top w:val="nil"/>
              <w:left w:val="nil"/>
              <w:bottom w:val="single" w:sz="4" w:space="0" w:color="auto"/>
              <w:right w:val="single" w:sz="4" w:space="0" w:color="auto"/>
            </w:tcBorders>
            <w:vAlign w:val="center"/>
            <w:hideMark/>
          </w:tcPr>
          <w:p w:rsidR="00113470" w:rsidRPr="003876EC" w:rsidP="00E178C6" w14:paraId="67A4EE02" w14:textId="77777777">
            <w:pPr>
              <w:jc w:val="center"/>
              <w:rPr>
                <w:rFonts w:eastAsia="Times New Roman" w:cs="Times New Roman"/>
                <w:color w:val="000000"/>
              </w:rPr>
            </w:pPr>
            <w:r w:rsidRPr="00AC5F6F">
              <w:rPr>
                <w:rFonts w:cs="Times New Roman"/>
                <w:color w:val="000000"/>
              </w:rPr>
              <w:t>8.3</w:t>
            </w:r>
          </w:p>
        </w:tc>
        <w:tc>
          <w:tcPr>
            <w:tcW w:w="1953" w:type="dxa"/>
            <w:tcBorders>
              <w:top w:val="nil"/>
              <w:left w:val="nil"/>
              <w:bottom w:val="single" w:sz="4" w:space="0" w:color="auto"/>
              <w:right w:val="single" w:sz="4" w:space="0" w:color="auto"/>
            </w:tcBorders>
            <w:vAlign w:val="center"/>
            <w:hideMark/>
          </w:tcPr>
          <w:p w:rsidR="00113470" w:rsidRPr="003876EC" w:rsidP="00E178C6" w14:paraId="3D4BA7A8" w14:textId="77777777">
            <w:pPr>
              <w:jc w:val="center"/>
              <w:rPr>
                <w:rFonts w:eastAsia="Times New Roman" w:cs="Times New Roman"/>
                <w:color w:val="000000"/>
              </w:rPr>
            </w:pPr>
            <w:r w:rsidRPr="00AC5F6F">
              <w:rPr>
                <w:rFonts w:cs="Times New Roman"/>
                <w:color w:val="000000"/>
              </w:rPr>
              <w:t>2,3</w:t>
            </w:r>
            <w:r>
              <w:rPr>
                <w:rFonts w:cs="Times New Roman"/>
                <w:color w:val="000000"/>
              </w:rPr>
              <w:t>66</w:t>
            </w:r>
          </w:p>
        </w:tc>
      </w:tr>
      <w:tr w14:paraId="22BF3944" w14:textId="77777777" w:rsidTr="00113470">
        <w:tblPrEx>
          <w:tblW w:w="9445"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113470" w:rsidRPr="003876EC" w:rsidP="00E178C6" w14:paraId="2EADBF8A" w14:textId="07A7C8C3">
            <w:pPr>
              <w:rPr>
                <w:rFonts w:eastAsia="Times New Roman" w:cs="Times New Roman"/>
                <w:color w:val="000000"/>
              </w:rPr>
            </w:pPr>
            <w:r w:rsidRPr="003876EC">
              <w:rPr>
                <w:rFonts w:eastAsia="Times New Roman" w:cs="Times New Roman"/>
                <w:color w:val="000000"/>
              </w:rPr>
              <w:t xml:space="preserve">15 or fewer units, </w:t>
            </w:r>
            <w:r w:rsidR="00231158">
              <w:rPr>
                <w:rFonts w:eastAsia="Times New Roman" w:cs="Times New Roman"/>
                <w:color w:val="000000"/>
              </w:rPr>
              <w:t>m</w:t>
            </w:r>
            <w:r w:rsidRPr="003876EC">
              <w:rPr>
                <w:rFonts w:eastAsia="Times New Roman" w:cs="Times New Roman"/>
                <w:color w:val="000000"/>
              </w:rPr>
              <w:t xml:space="preserve">anually </w:t>
            </w:r>
            <w:r w:rsidR="00231158">
              <w:rPr>
                <w:rFonts w:eastAsia="Times New Roman" w:cs="Times New Roman"/>
                <w:color w:val="000000"/>
              </w:rPr>
              <w:t>e</w:t>
            </w:r>
            <w:r w:rsidRPr="003876EC">
              <w:rPr>
                <w:rFonts w:eastAsia="Times New Roman" w:cs="Times New Roman"/>
                <w:color w:val="000000"/>
              </w:rPr>
              <w:t>nter</w:t>
            </w:r>
          </w:p>
        </w:tc>
        <w:tc>
          <w:tcPr>
            <w:tcW w:w="1940" w:type="dxa"/>
            <w:tcBorders>
              <w:top w:val="nil"/>
              <w:left w:val="nil"/>
              <w:bottom w:val="single" w:sz="4" w:space="0" w:color="auto"/>
              <w:right w:val="single" w:sz="4" w:space="0" w:color="auto"/>
            </w:tcBorders>
            <w:vAlign w:val="center"/>
            <w:hideMark/>
          </w:tcPr>
          <w:p w:rsidR="00113470" w:rsidRPr="003876EC" w:rsidP="00E178C6" w14:paraId="5A99F071" w14:textId="77777777">
            <w:pPr>
              <w:jc w:val="center"/>
              <w:rPr>
                <w:rFonts w:eastAsia="Times New Roman" w:cs="Times New Roman"/>
                <w:color w:val="000000"/>
              </w:rPr>
            </w:pPr>
            <w:r w:rsidRPr="00AC5F6F">
              <w:rPr>
                <w:rFonts w:cs="Times New Roman"/>
                <w:color w:val="000000"/>
              </w:rPr>
              <w:t>137</w:t>
            </w:r>
          </w:p>
        </w:tc>
        <w:tc>
          <w:tcPr>
            <w:tcW w:w="1816" w:type="dxa"/>
            <w:tcBorders>
              <w:top w:val="nil"/>
              <w:left w:val="nil"/>
              <w:bottom w:val="single" w:sz="4" w:space="0" w:color="auto"/>
              <w:right w:val="single" w:sz="4" w:space="0" w:color="auto"/>
            </w:tcBorders>
            <w:vAlign w:val="center"/>
            <w:hideMark/>
          </w:tcPr>
          <w:p w:rsidR="00113470" w:rsidRPr="003876EC" w:rsidP="00E178C6" w14:paraId="5EA9FAB0" w14:textId="77777777">
            <w:pPr>
              <w:jc w:val="center"/>
              <w:rPr>
                <w:rFonts w:eastAsia="Times New Roman" w:cs="Times New Roman"/>
                <w:color w:val="000000"/>
              </w:rPr>
            </w:pPr>
            <w:r w:rsidRPr="00AC5F6F">
              <w:rPr>
                <w:rFonts w:cs="Times New Roman"/>
                <w:color w:val="000000"/>
              </w:rPr>
              <w:t>7.4</w:t>
            </w:r>
          </w:p>
        </w:tc>
        <w:tc>
          <w:tcPr>
            <w:tcW w:w="1953" w:type="dxa"/>
            <w:tcBorders>
              <w:top w:val="nil"/>
              <w:left w:val="nil"/>
              <w:bottom w:val="single" w:sz="4" w:space="0" w:color="auto"/>
              <w:right w:val="single" w:sz="4" w:space="0" w:color="auto"/>
            </w:tcBorders>
            <w:vAlign w:val="center"/>
            <w:hideMark/>
          </w:tcPr>
          <w:p w:rsidR="00113470" w:rsidRPr="003876EC" w:rsidP="00E178C6" w14:paraId="3A031166" w14:textId="77777777">
            <w:pPr>
              <w:jc w:val="center"/>
              <w:rPr>
                <w:rFonts w:eastAsia="Times New Roman" w:cs="Times New Roman"/>
                <w:color w:val="000000"/>
              </w:rPr>
            </w:pPr>
            <w:r w:rsidRPr="00AC5F6F">
              <w:rPr>
                <w:rFonts w:cs="Times New Roman"/>
                <w:color w:val="000000"/>
              </w:rPr>
              <w:t>1,0</w:t>
            </w:r>
            <w:r>
              <w:rPr>
                <w:rFonts w:cs="Times New Roman"/>
                <w:color w:val="000000"/>
              </w:rPr>
              <w:t>14</w:t>
            </w:r>
          </w:p>
        </w:tc>
      </w:tr>
      <w:tr w14:paraId="11282A44" w14:textId="77777777" w:rsidTr="00113470">
        <w:tblPrEx>
          <w:tblW w:w="9445"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113470" w:rsidRPr="003876EC" w:rsidP="00E178C6" w14:paraId="1D04BCEC" w14:textId="77777777">
            <w:pPr>
              <w:rPr>
                <w:rFonts w:eastAsia="Times New Roman" w:cs="Times New Roman"/>
                <w:color w:val="000000"/>
              </w:rPr>
            </w:pPr>
            <w:r w:rsidRPr="003876EC">
              <w:rPr>
                <w:rFonts w:eastAsia="Times New Roman" w:cs="Times New Roman"/>
                <w:color w:val="000000"/>
              </w:rPr>
              <w:t>Estimated total</w:t>
            </w:r>
          </w:p>
        </w:tc>
        <w:tc>
          <w:tcPr>
            <w:tcW w:w="1940" w:type="dxa"/>
            <w:tcBorders>
              <w:top w:val="nil"/>
              <w:left w:val="nil"/>
              <w:bottom w:val="single" w:sz="4" w:space="0" w:color="auto"/>
              <w:right w:val="single" w:sz="4" w:space="0" w:color="auto"/>
            </w:tcBorders>
            <w:vAlign w:val="center"/>
            <w:hideMark/>
          </w:tcPr>
          <w:p w:rsidR="00113470" w:rsidRPr="003876EC" w:rsidP="00E178C6" w14:paraId="59D06DB1" w14:textId="77777777">
            <w:pPr>
              <w:jc w:val="center"/>
              <w:rPr>
                <w:rFonts w:eastAsia="Times New Roman" w:cs="Times New Roman"/>
                <w:color w:val="000000"/>
              </w:rPr>
            </w:pPr>
            <w:r w:rsidRPr="00AC5F6F">
              <w:rPr>
                <w:rFonts w:cs="Times New Roman"/>
                <w:color w:val="000000"/>
              </w:rPr>
              <w:t>793</w:t>
            </w:r>
          </w:p>
        </w:tc>
        <w:tc>
          <w:tcPr>
            <w:tcW w:w="1816" w:type="dxa"/>
            <w:tcBorders>
              <w:top w:val="nil"/>
              <w:left w:val="nil"/>
              <w:bottom w:val="single" w:sz="4" w:space="0" w:color="auto"/>
              <w:right w:val="single" w:sz="4" w:space="0" w:color="auto"/>
            </w:tcBorders>
            <w:vAlign w:val="center"/>
            <w:hideMark/>
          </w:tcPr>
          <w:p w:rsidR="00113470" w:rsidRPr="003876EC" w:rsidP="00E178C6" w14:paraId="2C0D15D7" w14:textId="77777777">
            <w:pPr>
              <w:jc w:val="center"/>
              <w:rPr>
                <w:rFonts w:eastAsia="Times New Roman" w:cs="Times New Roman"/>
                <w:color w:val="000000"/>
              </w:rPr>
            </w:pPr>
          </w:p>
        </w:tc>
        <w:tc>
          <w:tcPr>
            <w:tcW w:w="1953" w:type="dxa"/>
            <w:tcBorders>
              <w:top w:val="nil"/>
              <w:left w:val="nil"/>
              <w:bottom w:val="single" w:sz="4" w:space="0" w:color="auto"/>
              <w:right w:val="single" w:sz="4" w:space="0" w:color="auto"/>
            </w:tcBorders>
            <w:vAlign w:val="center"/>
            <w:hideMark/>
          </w:tcPr>
          <w:p w:rsidR="00113470" w:rsidRPr="003876EC" w:rsidP="00E178C6" w14:paraId="0D0B9A39" w14:textId="77777777">
            <w:pPr>
              <w:jc w:val="center"/>
              <w:rPr>
                <w:rFonts w:eastAsia="Times New Roman" w:cs="Times New Roman"/>
                <w:color w:val="000000"/>
              </w:rPr>
            </w:pPr>
            <w:r w:rsidRPr="00AC5F6F">
              <w:rPr>
                <w:rFonts w:cs="Times New Roman"/>
                <w:color w:val="000000"/>
              </w:rPr>
              <w:t>16,</w:t>
            </w:r>
            <w:r>
              <w:rPr>
                <w:rFonts w:cs="Times New Roman"/>
                <w:color w:val="000000"/>
              </w:rPr>
              <w:t>886</w:t>
            </w:r>
          </w:p>
        </w:tc>
      </w:tr>
    </w:tbl>
    <w:p w:rsidR="0052750A" w:rsidP="00113470" w14:paraId="512A4EC3" w14:textId="77777777"/>
    <w:p w:rsidR="00C95E33" w:rsidP="00113470" w14:paraId="58DCF041" w14:textId="77777777"/>
    <w:p w:rsidR="00C95E33" w:rsidRPr="003876EC" w:rsidP="00113470" w14:paraId="04FD38CB" w14:textId="77777777"/>
    <w:tbl>
      <w:tblPr>
        <w:tblW w:w="9450" w:type="dxa"/>
        <w:tblLook w:val="04A0"/>
      </w:tblPr>
      <w:tblGrid>
        <w:gridCol w:w="9450"/>
      </w:tblGrid>
      <w:tr w14:paraId="5B91B7CA" w14:textId="77777777" w:rsidTr="008C79F3">
        <w:tblPrEx>
          <w:tblW w:w="9450" w:type="dxa"/>
          <w:tblLook w:val="04A0"/>
        </w:tblPrEx>
        <w:trPr>
          <w:trHeight w:val="315"/>
        </w:trPr>
        <w:tc>
          <w:tcPr>
            <w:tcW w:w="9450" w:type="dxa"/>
            <w:tcBorders>
              <w:top w:val="nil"/>
              <w:left w:val="nil"/>
              <w:bottom w:val="single" w:sz="4" w:space="0" w:color="auto"/>
              <w:right w:val="nil"/>
            </w:tcBorders>
            <w:noWrap/>
            <w:vAlign w:val="center"/>
            <w:hideMark/>
          </w:tcPr>
          <w:p w:rsidR="00113470" w:rsidRPr="00113470" w:rsidP="00113470" w14:paraId="2D9C2DB1" w14:textId="49256D7F">
            <w:pPr>
              <w:pStyle w:val="TableTitle"/>
              <w:framePr w:wrap="around"/>
            </w:pPr>
            <w:bookmarkStart w:id="56" w:name="_Toc225512744"/>
            <w:r w:rsidRPr="003876EC">
              <w:t>Exhibit 6.</w:t>
            </w:r>
            <w:r w:rsidR="009C2D08">
              <w:tab/>
            </w:r>
            <w:r w:rsidRPr="003876EC">
              <w:t>Burden Estimates for the 202</w:t>
            </w:r>
            <w:r>
              <w:t>7</w:t>
            </w:r>
            <w:r w:rsidRPr="003876EC">
              <w:t xml:space="preserve"> GSS</w:t>
            </w:r>
            <w:bookmarkEnd w:id="56"/>
          </w:p>
        </w:tc>
      </w:tr>
    </w:tbl>
    <w:tbl>
      <w:tblPr>
        <w:tblW w:w="9450" w:type="dxa"/>
        <w:tblLook w:val="04A0"/>
      </w:tblPr>
      <w:tblGrid>
        <w:gridCol w:w="3736"/>
        <w:gridCol w:w="1940"/>
        <w:gridCol w:w="1816"/>
        <w:gridCol w:w="1958"/>
      </w:tblGrid>
      <w:tr w14:paraId="0CA9FE31" w14:textId="77777777" w:rsidTr="009C2D08">
        <w:tblPrEx>
          <w:tblW w:w="9450" w:type="dxa"/>
          <w:tblLook w:val="04A0"/>
        </w:tblPrEx>
        <w:trPr>
          <w:trHeight w:val="630"/>
        </w:trPr>
        <w:tc>
          <w:tcPr>
            <w:tcW w:w="3736" w:type="dxa"/>
            <w:tcBorders>
              <w:top w:val="nil"/>
              <w:left w:val="single" w:sz="4" w:space="0" w:color="auto"/>
              <w:bottom w:val="single" w:sz="4" w:space="0" w:color="auto"/>
              <w:right w:val="single" w:sz="4" w:space="0" w:color="auto"/>
            </w:tcBorders>
            <w:vAlign w:val="bottom"/>
            <w:hideMark/>
          </w:tcPr>
          <w:p w:rsidR="0052750A" w:rsidRPr="003876EC" w:rsidP="00635056" w14:paraId="0044AE15" w14:textId="77777777">
            <w:pPr>
              <w:jc w:val="center"/>
              <w:rPr>
                <w:rFonts w:eastAsia="Times New Roman" w:cs="Times New Roman"/>
                <w:b/>
                <w:bCs/>
                <w:color w:val="000000"/>
              </w:rPr>
            </w:pPr>
            <w:r w:rsidRPr="003876EC">
              <w:rPr>
                <w:rFonts w:eastAsia="Times New Roman" w:cs="Times New Roman"/>
                <w:b/>
                <w:bCs/>
                <w:color w:val="000000"/>
              </w:rPr>
              <w:t>Institution Type</w:t>
            </w:r>
          </w:p>
        </w:tc>
        <w:tc>
          <w:tcPr>
            <w:tcW w:w="1940" w:type="dxa"/>
            <w:tcBorders>
              <w:top w:val="nil"/>
              <w:left w:val="nil"/>
              <w:bottom w:val="single" w:sz="4" w:space="0" w:color="auto"/>
              <w:right w:val="single" w:sz="4" w:space="0" w:color="auto"/>
            </w:tcBorders>
            <w:vAlign w:val="bottom"/>
            <w:hideMark/>
          </w:tcPr>
          <w:p w:rsidR="0052750A" w:rsidRPr="003876EC" w:rsidP="00635056" w14:paraId="65D70C1B" w14:textId="28CADD2D">
            <w:pPr>
              <w:jc w:val="center"/>
              <w:rPr>
                <w:rFonts w:eastAsia="Times New Roman" w:cs="Times New Roman"/>
                <w:b/>
                <w:bCs/>
                <w:color w:val="000000"/>
              </w:rPr>
            </w:pPr>
            <w:r w:rsidRPr="003876EC">
              <w:rPr>
                <w:rFonts w:eastAsia="Times New Roman" w:cs="Times New Roman"/>
                <w:b/>
                <w:bCs/>
                <w:color w:val="000000"/>
              </w:rPr>
              <w:t xml:space="preserve">Respondents </w:t>
            </w:r>
            <w:r w:rsidR="009C2D08">
              <w:rPr>
                <w:rFonts w:eastAsia="Times New Roman" w:cs="Times New Roman"/>
                <w:b/>
                <w:bCs/>
                <w:color w:val="000000"/>
              </w:rPr>
              <w:br/>
            </w:r>
            <w:r w:rsidRPr="003876EC">
              <w:rPr>
                <w:rFonts w:eastAsia="Times New Roman" w:cs="Times New Roman"/>
                <w:b/>
                <w:bCs/>
                <w:color w:val="000000"/>
              </w:rPr>
              <w:t>(# of schools)</w:t>
            </w:r>
          </w:p>
        </w:tc>
        <w:tc>
          <w:tcPr>
            <w:tcW w:w="1816" w:type="dxa"/>
            <w:tcBorders>
              <w:top w:val="nil"/>
              <w:left w:val="nil"/>
              <w:bottom w:val="single" w:sz="4" w:space="0" w:color="auto"/>
              <w:right w:val="single" w:sz="4" w:space="0" w:color="auto"/>
            </w:tcBorders>
            <w:vAlign w:val="bottom"/>
            <w:hideMark/>
          </w:tcPr>
          <w:p w:rsidR="0052750A" w:rsidRPr="003876EC" w:rsidP="00635056" w14:paraId="05F855A9" w14:textId="77777777">
            <w:pPr>
              <w:jc w:val="center"/>
              <w:rPr>
                <w:rFonts w:eastAsia="Times New Roman" w:cs="Times New Roman"/>
                <w:b/>
                <w:bCs/>
                <w:color w:val="000000"/>
              </w:rPr>
            </w:pPr>
            <w:r w:rsidRPr="003876EC">
              <w:rPr>
                <w:rFonts w:eastAsia="Times New Roman" w:cs="Times New Roman"/>
                <w:b/>
                <w:bCs/>
                <w:color w:val="000000"/>
              </w:rPr>
              <w:t>Average Burden (hours)</w:t>
            </w:r>
          </w:p>
        </w:tc>
        <w:tc>
          <w:tcPr>
            <w:tcW w:w="1958" w:type="dxa"/>
            <w:tcBorders>
              <w:top w:val="nil"/>
              <w:left w:val="nil"/>
              <w:bottom w:val="single" w:sz="4" w:space="0" w:color="auto"/>
              <w:right w:val="single" w:sz="4" w:space="0" w:color="auto"/>
            </w:tcBorders>
            <w:vAlign w:val="bottom"/>
            <w:hideMark/>
          </w:tcPr>
          <w:p w:rsidR="0052750A" w:rsidRPr="003876EC" w:rsidP="00635056" w14:paraId="22FADAD6" w14:textId="77777777">
            <w:pPr>
              <w:jc w:val="center"/>
              <w:rPr>
                <w:rFonts w:eastAsia="Times New Roman" w:cs="Times New Roman"/>
                <w:b/>
                <w:bCs/>
                <w:color w:val="000000"/>
              </w:rPr>
            </w:pPr>
            <w:r w:rsidRPr="003876EC">
              <w:rPr>
                <w:rFonts w:eastAsia="Times New Roman" w:cs="Times New Roman"/>
                <w:b/>
                <w:bCs/>
                <w:color w:val="000000"/>
              </w:rPr>
              <w:t>Total Burden (hours)</w:t>
            </w:r>
          </w:p>
        </w:tc>
      </w:tr>
      <w:tr w14:paraId="52061614" w14:textId="77777777" w:rsidTr="00113470">
        <w:tblPrEx>
          <w:tblW w:w="9450"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52750A" w:rsidRPr="003876EC" w:rsidP="00635056" w14:paraId="708944FC" w14:textId="4ACD9643">
            <w:pPr>
              <w:rPr>
                <w:rFonts w:eastAsia="Times New Roman" w:cs="Times New Roman"/>
                <w:color w:val="000000"/>
              </w:rPr>
            </w:pPr>
            <w:r w:rsidRPr="003876EC">
              <w:rPr>
                <w:rFonts w:eastAsia="Times New Roman" w:cs="Times New Roman"/>
                <w:color w:val="000000"/>
              </w:rPr>
              <w:t xml:space="preserve">More than 15 units, </w:t>
            </w:r>
            <w:r w:rsidR="00231158">
              <w:rPr>
                <w:rFonts w:eastAsia="Times New Roman" w:cs="Times New Roman"/>
                <w:color w:val="000000"/>
              </w:rPr>
              <w:t>u</w:t>
            </w:r>
            <w:r w:rsidRPr="003876EC">
              <w:rPr>
                <w:rFonts w:eastAsia="Times New Roman" w:cs="Times New Roman"/>
                <w:color w:val="000000"/>
              </w:rPr>
              <w:t>ploading</w:t>
            </w:r>
          </w:p>
        </w:tc>
        <w:tc>
          <w:tcPr>
            <w:tcW w:w="1940" w:type="dxa"/>
            <w:tcBorders>
              <w:top w:val="nil"/>
              <w:left w:val="nil"/>
              <w:bottom w:val="single" w:sz="4" w:space="0" w:color="auto"/>
              <w:right w:val="single" w:sz="4" w:space="0" w:color="auto"/>
            </w:tcBorders>
            <w:vAlign w:val="center"/>
            <w:hideMark/>
          </w:tcPr>
          <w:p w:rsidR="0052750A" w:rsidRPr="003876EC" w:rsidP="00635056" w14:paraId="5D2877AC" w14:textId="77777777">
            <w:pPr>
              <w:jc w:val="center"/>
              <w:rPr>
                <w:rFonts w:eastAsia="Times New Roman" w:cs="Times New Roman"/>
                <w:color w:val="000000"/>
              </w:rPr>
            </w:pPr>
            <w:r w:rsidRPr="00AC5F6F">
              <w:rPr>
                <w:rFonts w:cs="Times New Roman"/>
                <w:color w:val="000000"/>
              </w:rPr>
              <w:t>344</w:t>
            </w:r>
          </w:p>
        </w:tc>
        <w:tc>
          <w:tcPr>
            <w:tcW w:w="1816" w:type="dxa"/>
            <w:tcBorders>
              <w:top w:val="nil"/>
              <w:left w:val="nil"/>
              <w:bottom w:val="single" w:sz="4" w:space="0" w:color="auto"/>
              <w:right w:val="single" w:sz="4" w:space="0" w:color="auto"/>
            </w:tcBorders>
            <w:vAlign w:val="center"/>
            <w:hideMark/>
          </w:tcPr>
          <w:p w:rsidR="0052750A" w:rsidRPr="003876EC" w:rsidP="00635056" w14:paraId="7483F2B3" w14:textId="77777777">
            <w:pPr>
              <w:jc w:val="center"/>
              <w:rPr>
                <w:rFonts w:eastAsia="Times New Roman" w:cs="Times New Roman"/>
                <w:color w:val="000000"/>
              </w:rPr>
            </w:pPr>
            <w:r w:rsidRPr="00AC5F6F">
              <w:rPr>
                <w:rFonts w:cs="Times New Roman"/>
                <w:color w:val="000000"/>
              </w:rPr>
              <w:t>36.1</w:t>
            </w:r>
          </w:p>
        </w:tc>
        <w:tc>
          <w:tcPr>
            <w:tcW w:w="1958" w:type="dxa"/>
            <w:tcBorders>
              <w:top w:val="nil"/>
              <w:left w:val="nil"/>
              <w:bottom w:val="single" w:sz="4" w:space="0" w:color="auto"/>
              <w:right w:val="single" w:sz="4" w:space="0" w:color="auto"/>
            </w:tcBorders>
            <w:vAlign w:val="center"/>
            <w:hideMark/>
          </w:tcPr>
          <w:p w:rsidR="0052750A" w:rsidRPr="003876EC" w:rsidP="00635056" w14:paraId="0502A87A" w14:textId="77777777">
            <w:pPr>
              <w:jc w:val="center"/>
              <w:rPr>
                <w:rFonts w:eastAsia="Times New Roman" w:cs="Times New Roman"/>
                <w:color w:val="000000"/>
              </w:rPr>
            </w:pPr>
            <w:r w:rsidRPr="00AC5F6F">
              <w:rPr>
                <w:rFonts w:cs="Times New Roman"/>
                <w:color w:val="000000"/>
              </w:rPr>
              <w:t>12,</w:t>
            </w:r>
            <w:r>
              <w:rPr>
                <w:rFonts w:cs="Times New Roman"/>
                <w:color w:val="000000"/>
              </w:rPr>
              <w:t>418</w:t>
            </w:r>
          </w:p>
        </w:tc>
      </w:tr>
      <w:tr w14:paraId="19D70E1D" w14:textId="77777777" w:rsidTr="00113470">
        <w:tblPrEx>
          <w:tblW w:w="9450"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52750A" w:rsidRPr="003876EC" w:rsidP="00635056" w14:paraId="4E89DB3A" w14:textId="48538EA1">
            <w:pPr>
              <w:rPr>
                <w:rFonts w:eastAsia="Times New Roman" w:cs="Times New Roman"/>
                <w:color w:val="000000"/>
              </w:rPr>
            </w:pPr>
            <w:r w:rsidRPr="003876EC">
              <w:rPr>
                <w:rFonts w:eastAsia="Times New Roman" w:cs="Times New Roman"/>
                <w:color w:val="000000"/>
              </w:rPr>
              <w:t xml:space="preserve">More than 15 units, </w:t>
            </w:r>
            <w:r w:rsidR="00231158">
              <w:rPr>
                <w:rFonts w:eastAsia="Times New Roman" w:cs="Times New Roman"/>
                <w:color w:val="000000"/>
              </w:rPr>
              <w:t>m</w:t>
            </w:r>
            <w:r w:rsidRPr="003876EC">
              <w:rPr>
                <w:rFonts w:eastAsia="Times New Roman" w:cs="Times New Roman"/>
                <w:color w:val="000000"/>
              </w:rPr>
              <w:t xml:space="preserve">anually </w:t>
            </w:r>
            <w:r w:rsidR="00231158">
              <w:rPr>
                <w:rFonts w:eastAsia="Times New Roman" w:cs="Times New Roman"/>
                <w:color w:val="000000"/>
              </w:rPr>
              <w:t>e</w:t>
            </w:r>
            <w:r w:rsidRPr="003876EC">
              <w:rPr>
                <w:rFonts w:eastAsia="Times New Roman" w:cs="Times New Roman"/>
                <w:color w:val="000000"/>
              </w:rPr>
              <w:t>nter</w:t>
            </w:r>
          </w:p>
        </w:tc>
        <w:tc>
          <w:tcPr>
            <w:tcW w:w="1940" w:type="dxa"/>
            <w:tcBorders>
              <w:top w:val="nil"/>
              <w:left w:val="nil"/>
              <w:bottom w:val="single" w:sz="4" w:space="0" w:color="auto"/>
              <w:right w:val="single" w:sz="4" w:space="0" w:color="auto"/>
            </w:tcBorders>
            <w:vAlign w:val="center"/>
            <w:hideMark/>
          </w:tcPr>
          <w:p w:rsidR="0052750A" w:rsidRPr="003876EC" w:rsidP="00635056" w14:paraId="19AC115F" w14:textId="77777777">
            <w:pPr>
              <w:jc w:val="center"/>
              <w:rPr>
                <w:rFonts w:eastAsia="Times New Roman" w:cs="Times New Roman"/>
                <w:color w:val="000000"/>
              </w:rPr>
            </w:pPr>
            <w:r w:rsidRPr="00AC5F6F">
              <w:rPr>
                <w:rFonts w:cs="Times New Roman"/>
                <w:color w:val="000000"/>
              </w:rPr>
              <w:t>27</w:t>
            </w:r>
          </w:p>
        </w:tc>
        <w:tc>
          <w:tcPr>
            <w:tcW w:w="1816" w:type="dxa"/>
            <w:tcBorders>
              <w:top w:val="nil"/>
              <w:left w:val="nil"/>
              <w:bottom w:val="single" w:sz="4" w:space="0" w:color="auto"/>
              <w:right w:val="single" w:sz="4" w:space="0" w:color="auto"/>
            </w:tcBorders>
            <w:vAlign w:val="center"/>
            <w:hideMark/>
          </w:tcPr>
          <w:p w:rsidR="0052750A" w:rsidRPr="003876EC" w:rsidP="00635056" w14:paraId="7923200E" w14:textId="77777777">
            <w:pPr>
              <w:jc w:val="center"/>
              <w:rPr>
                <w:rFonts w:eastAsia="Times New Roman" w:cs="Times New Roman"/>
                <w:color w:val="000000"/>
              </w:rPr>
            </w:pPr>
            <w:r w:rsidRPr="00AC5F6F">
              <w:rPr>
                <w:rFonts w:cs="Times New Roman"/>
                <w:color w:val="000000"/>
              </w:rPr>
              <w:t>40.3</w:t>
            </w:r>
          </w:p>
        </w:tc>
        <w:tc>
          <w:tcPr>
            <w:tcW w:w="1958" w:type="dxa"/>
            <w:tcBorders>
              <w:top w:val="nil"/>
              <w:left w:val="nil"/>
              <w:bottom w:val="single" w:sz="4" w:space="0" w:color="auto"/>
              <w:right w:val="single" w:sz="4" w:space="0" w:color="auto"/>
            </w:tcBorders>
            <w:vAlign w:val="center"/>
            <w:hideMark/>
          </w:tcPr>
          <w:p w:rsidR="0052750A" w:rsidRPr="003876EC" w:rsidP="00635056" w14:paraId="5391C247" w14:textId="77777777">
            <w:pPr>
              <w:jc w:val="center"/>
              <w:rPr>
                <w:rFonts w:eastAsia="Times New Roman" w:cs="Times New Roman"/>
                <w:color w:val="000000"/>
              </w:rPr>
            </w:pPr>
            <w:r w:rsidRPr="00AC5F6F">
              <w:rPr>
                <w:rFonts w:cs="Times New Roman"/>
                <w:color w:val="000000"/>
              </w:rPr>
              <w:t>1,0</w:t>
            </w:r>
            <w:r>
              <w:rPr>
                <w:rFonts w:cs="Times New Roman"/>
                <w:color w:val="000000"/>
              </w:rPr>
              <w:t>8</w:t>
            </w:r>
            <w:r w:rsidRPr="00AC5F6F">
              <w:rPr>
                <w:rFonts w:cs="Times New Roman"/>
                <w:color w:val="000000"/>
              </w:rPr>
              <w:t>8</w:t>
            </w:r>
          </w:p>
        </w:tc>
      </w:tr>
      <w:tr w14:paraId="712C95E9" w14:textId="77777777" w:rsidTr="00113470">
        <w:tblPrEx>
          <w:tblW w:w="9450"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52750A" w:rsidRPr="003876EC" w:rsidP="00635056" w14:paraId="6A452CB9" w14:textId="48938E74">
            <w:pPr>
              <w:rPr>
                <w:rFonts w:eastAsia="Times New Roman" w:cs="Times New Roman"/>
                <w:color w:val="000000"/>
              </w:rPr>
            </w:pPr>
            <w:r w:rsidRPr="003876EC">
              <w:rPr>
                <w:rFonts w:eastAsia="Times New Roman" w:cs="Times New Roman"/>
                <w:color w:val="000000"/>
              </w:rPr>
              <w:t xml:space="preserve">15 or fewer units, </w:t>
            </w:r>
            <w:r w:rsidR="00231158">
              <w:rPr>
                <w:rFonts w:eastAsia="Times New Roman" w:cs="Times New Roman"/>
                <w:color w:val="000000"/>
              </w:rPr>
              <w:t>u</w:t>
            </w:r>
            <w:r w:rsidRPr="003876EC">
              <w:rPr>
                <w:rFonts w:eastAsia="Times New Roman" w:cs="Times New Roman"/>
                <w:color w:val="000000"/>
              </w:rPr>
              <w:t>ploading</w:t>
            </w:r>
          </w:p>
        </w:tc>
        <w:tc>
          <w:tcPr>
            <w:tcW w:w="1940" w:type="dxa"/>
            <w:tcBorders>
              <w:top w:val="nil"/>
              <w:left w:val="nil"/>
              <w:bottom w:val="single" w:sz="4" w:space="0" w:color="auto"/>
              <w:right w:val="single" w:sz="4" w:space="0" w:color="auto"/>
            </w:tcBorders>
            <w:vAlign w:val="center"/>
            <w:hideMark/>
          </w:tcPr>
          <w:p w:rsidR="0052750A" w:rsidRPr="003876EC" w:rsidP="00635056" w14:paraId="7AD1AC44" w14:textId="77777777">
            <w:pPr>
              <w:jc w:val="center"/>
              <w:rPr>
                <w:rFonts w:eastAsia="Times New Roman" w:cs="Times New Roman"/>
                <w:color w:val="000000"/>
              </w:rPr>
            </w:pPr>
            <w:r w:rsidRPr="00AC5F6F">
              <w:rPr>
                <w:rFonts w:cs="Times New Roman"/>
                <w:color w:val="000000"/>
              </w:rPr>
              <w:t>285</w:t>
            </w:r>
          </w:p>
        </w:tc>
        <w:tc>
          <w:tcPr>
            <w:tcW w:w="1816" w:type="dxa"/>
            <w:tcBorders>
              <w:top w:val="nil"/>
              <w:left w:val="nil"/>
              <w:bottom w:val="single" w:sz="4" w:space="0" w:color="auto"/>
              <w:right w:val="single" w:sz="4" w:space="0" w:color="auto"/>
            </w:tcBorders>
            <w:vAlign w:val="center"/>
            <w:hideMark/>
          </w:tcPr>
          <w:p w:rsidR="0052750A" w:rsidRPr="003876EC" w:rsidP="00635056" w14:paraId="58CA9E98" w14:textId="77777777">
            <w:pPr>
              <w:jc w:val="center"/>
              <w:rPr>
                <w:rFonts w:eastAsia="Times New Roman" w:cs="Times New Roman"/>
                <w:color w:val="000000"/>
              </w:rPr>
            </w:pPr>
            <w:r w:rsidRPr="00AC5F6F">
              <w:rPr>
                <w:rFonts w:cs="Times New Roman"/>
                <w:color w:val="000000"/>
              </w:rPr>
              <w:t>8.3</w:t>
            </w:r>
          </w:p>
        </w:tc>
        <w:tc>
          <w:tcPr>
            <w:tcW w:w="1958" w:type="dxa"/>
            <w:tcBorders>
              <w:top w:val="nil"/>
              <w:left w:val="nil"/>
              <w:bottom w:val="single" w:sz="4" w:space="0" w:color="auto"/>
              <w:right w:val="single" w:sz="4" w:space="0" w:color="auto"/>
            </w:tcBorders>
            <w:vAlign w:val="center"/>
            <w:hideMark/>
          </w:tcPr>
          <w:p w:rsidR="0052750A" w:rsidRPr="003876EC" w:rsidP="00635056" w14:paraId="70330AA7" w14:textId="77777777">
            <w:pPr>
              <w:jc w:val="center"/>
              <w:rPr>
                <w:rFonts w:eastAsia="Times New Roman" w:cs="Times New Roman"/>
                <w:color w:val="000000"/>
              </w:rPr>
            </w:pPr>
            <w:r w:rsidRPr="00AC5F6F">
              <w:rPr>
                <w:rFonts w:cs="Times New Roman"/>
                <w:color w:val="000000"/>
              </w:rPr>
              <w:t>2,3</w:t>
            </w:r>
            <w:r>
              <w:rPr>
                <w:rFonts w:cs="Times New Roman"/>
                <w:color w:val="000000"/>
              </w:rPr>
              <w:t>66</w:t>
            </w:r>
          </w:p>
        </w:tc>
      </w:tr>
      <w:tr w14:paraId="59C7EF10" w14:textId="77777777" w:rsidTr="00113470">
        <w:tblPrEx>
          <w:tblW w:w="9450"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52750A" w:rsidRPr="003876EC" w:rsidP="00635056" w14:paraId="5680058D" w14:textId="510A8B8F">
            <w:pPr>
              <w:rPr>
                <w:rFonts w:eastAsia="Times New Roman" w:cs="Times New Roman"/>
                <w:color w:val="000000"/>
              </w:rPr>
            </w:pPr>
            <w:r w:rsidRPr="003876EC">
              <w:rPr>
                <w:rFonts w:eastAsia="Times New Roman" w:cs="Times New Roman"/>
                <w:color w:val="000000"/>
              </w:rPr>
              <w:t xml:space="preserve">15 or fewer units, </w:t>
            </w:r>
            <w:r w:rsidR="00231158">
              <w:rPr>
                <w:rFonts w:eastAsia="Times New Roman" w:cs="Times New Roman"/>
                <w:color w:val="000000"/>
              </w:rPr>
              <w:t>m</w:t>
            </w:r>
            <w:r w:rsidRPr="003876EC">
              <w:rPr>
                <w:rFonts w:eastAsia="Times New Roman" w:cs="Times New Roman"/>
                <w:color w:val="000000"/>
              </w:rPr>
              <w:t xml:space="preserve">anually </w:t>
            </w:r>
            <w:r w:rsidR="00231158">
              <w:rPr>
                <w:rFonts w:eastAsia="Times New Roman" w:cs="Times New Roman"/>
                <w:color w:val="000000"/>
              </w:rPr>
              <w:t>e</w:t>
            </w:r>
            <w:r w:rsidRPr="003876EC">
              <w:rPr>
                <w:rFonts w:eastAsia="Times New Roman" w:cs="Times New Roman"/>
                <w:color w:val="000000"/>
              </w:rPr>
              <w:t>nter</w:t>
            </w:r>
          </w:p>
        </w:tc>
        <w:tc>
          <w:tcPr>
            <w:tcW w:w="1940" w:type="dxa"/>
            <w:tcBorders>
              <w:top w:val="nil"/>
              <w:left w:val="nil"/>
              <w:bottom w:val="single" w:sz="4" w:space="0" w:color="auto"/>
              <w:right w:val="single" w:sz="4" w:space="0" w:color="auto"/>
            </w:tcBorders>
            <w:vAlign w:val="center"/>
            <w:hideMark/>
          </w:tcPr>
          <w:p w:rsidR="0052750A" w:rsidRPr="003876EC" w:rsidP="00635056" w14:paraId="0861E072" w14:textId="77777777">
            <w:pPr>
              <w:jc w:val="center"/>
              <w:rPr>
                <w:rFonts w:eastAsia="Times New Roman" w:cs="Times New Roman"/>
                <w:color w:val="000000"/>
              </w:rPr>
            </w:pPr>
            <w:r w:rsidRPr="00AC5F6F">
              <w:rPr>
                <w:rFonts w:cs="Times New Roman"/>
                <w:color w:val="000000"/>
              </w:rPr>
              <w:t>142</w:t>
            </w:r>
          </w:p>
        </w:tc>
        <w:tc>
          <w:tcPr>
            <w:tcW w:w="1816" w:type="dxa"/>
            <w:tcBorders>
              <w:top w:val="nil"/>
              <w:left w:val="nil"/>
              <w:bottom w:val="single" w:sz="4" w:space="0" w:color="auto"/>
              <w:right w:val="single" w:sz="4" w:space="0" w:color="auto"/>
            </w:tcBorders>
            <w:vAlign w:val="center"/>
            <w:hideMark/>
          </w:tcPr>
          <w:p w:rsidR="0052750A" w:rsidRPr="003876EC" w:rsidP="00635056" w14:paraId="2DEC304F" w14:textId="77777777">
            <w:pPr>
              <w:jc w:val="center"/>
              <w:rPr>
                <w:rFonts w:eastAsia="Times New Roman" w:cs="Times New Roman"/>
                <w:color w:val="000000"/>
              </w:rPr>
            </w:pPr>
            <w:r w:rsidRPr="00AC5F6F">
              <w:rPr>
                <w:rFonts w:cs="Times New Roman"/>
                <w:color w:val="000000"/>
              </w:rPr>
              <w:t>7.4</w:t>
            </w:r>
          </w:p>
        </w:tc>
        <w:tc>
          <w:tcPr>
            <w:tcW w:w="1958" w:type="dxa"/>
            <w:tcBorders>
              <w:top w:val="nil"/>
              <w:left w:val="nil"/>
              <w:bottom w:val="single" w:sz="4" w:space="0" w:color="auto"/>
              <w:right w:val="single" w:sz="4" w:space="0" w:color="auto"/>
            </w:tcBorders>
            <w:vAlign w:val="center"/>
            <w:hideMark/>
          </w:tcPr>
          <w:p w:rsidR="0052750A" w:rsidRPr="003876EC" w:rsidP="00635056" w14:paraId="590617B2" w14:textId="77777777">
            <w:pPr>
              <w:jc w:val="center"/>
              <w:rPr>
                <w:rFonts w:eastAsia="Times New Roman" w:cs="Times New Roman"/>
                <w:color w:val="000000"/>
              </w:rPr>
            </w:pPr>
            <w:r w:rsidRPr="00AC5F6F">
              <w:rPr>
                <w:rFonts w:cs="Times New Roman"/>
                <w:color w:val="000000"/>
              </w:rPr>
              <w:t>1,0</w:t>
            </w:r>
            <w:r>
              <w:rPr>
                <w:rFonts w:cs="Times New Roman"/>
                <w:color w:val="000000"/>
              </w:rPr>
              <w:t>51</w:t>
            </w:r>
          </w:p>
        </w:tc>
      </w:tr>
      <w:tr w14:paraId="7BFDC37E" w14:textId="77777777" w:rsidTr="00113470">
        <w:tblPrEx>
          <w:tblW w:w="9450" w:type="dxa"/>
          <w:tblLook w:val="04A0"/>
        </w:tblPrEx>
        <w:trPr>
          <w:trHeight w:val="315"/>
        </w:trPr>
        <w:tc>
          <w:tcPr>
            <w:tcW w:w="3736" w:type="dxa"/>
            <w:tcBorders>
              <w:top w:val="nil"/>
              <w:left w:val="single" w:sz="4" w:space="0" w:color="auto"/>
              <w:bottom w:val="single" w:sz="4" w:space="0" w:color="auto"/>
              <w:right w:val="single" w:sz="4" w:space="0" w:color="auto"/>
            </w:tcBorders>
            <w:vAlign w:val="center"/>
          </w:tcPr>
          <w:p w:rsidR="0052750A" w:rsidRPr="003876EC" w:rsidP="00635056" w14:paraId="662B2C20" w14:textId="77777777">
            <w:pPr>
              <w:rPr>
                <w:rFonts w:eastAsia="Times New Roman" w:cs="Times New Roman"/>
                <w:color w:val="000000"/>
              </w:rPr>
            </w:pPr>
            <w:r w:rsidRPr="003876EC">
              <w:rPr>
                <w:rFonts w:eastAsia="Times New Roman" w:cs="Times New Roman"/>
                <w:color w:val="000000"/>
              </w:rPr>
              <w:t>FFRDCs</w:t>
            </w:r>
          </w:p>
        </w:tc>
        <w:tc>
          <w:tcPr>
            <w:tcW w:w="1940" w:type="dxa"/>
            <w:tcBorders>
              <w:top w:val="nil"/>
              <w:left w:val="nil"/>
              <w:bottom w:val="single" w:sz="4" w:space="0" w:color="auto"/>
              <w:right w:val="single" w:sz="4" w:space="0" w:color="auto"/>
            </w:tcBorders>
            <w:vAlign w:val="center"/>
          </w:tcPr>
          <w:p w:rsidR="0052750A" w:rsidRPr="00AC5F6F" w:rsidP="00635056" w14:paraId="2148B65F" w14:textId="77777777">
            <w:pPr>
              <w:jc w:val="center"/>
              <w:rPr>
                <w:rFonts w:eastAsia="Times New Roman" w:cs="Times New Roman"/>
                <w:color w:val="000000"/>
              </w:rPr>
            </w:pPr>
            <w:r w:rsidRPr="00AC5F6F">
              <w:rPr>
                <w:rFonts w:cs="Times New Roman"/>
                <w:color w:val="000000"/>
              </w:rPr>
              <w:t>4</w:t>
            </w:r>
            <w:r>
              <w:rPr>
                <w:rFonts w:cs="Times New Roman"/>
                <w:color w:val="000000"/>
              </w:rPr>
              <w:t>1</w:t>
            </w:r>
          </w:p>
        </w:tc>
        <w:tc>
          <w:tcPr>
            <w:tcW w:w="1816" w:type="dxa"/>
            <w:tcBorders>
              <w:top w:val="nil"/>
              <w:left w:val="nil"/>
              <w:bottom w:val="single" w:sz="4" w:space="0" w:color="auto"/>
              <w:right w:val="single" w:sz="4" w:space="0" w:color="auto"/>
            </w:tcBorders>
            <w:vAlign w:val="center"/>
          </w:tcPr>
          <w:p w:rsidR="0052750A" w:rsidRPr="00AC5F6F" w:rsidP="00635056" w14:paraId="7D891FD1" w14:textId="77777777">
            <w:pPr>
              <w:jc w:val="center"/>
              <w:rPr>
                <w:rFonts w:eastAsia="Times New Roman" w:cs="Times New Roman"/>
                <w:color w:val="000000"/>
              </w:rPr>
            </w:pPr>
            <w:r w:rsidRPr="00AC5F6F">
              <w:rPr>
                <w:rFonts w:cs="Times New Roman"/>
                <w:color w:val="000000"/>
              </w:rPr>
              <w:t>2.1</w:t>
            </w:r>
          </w:p>
        </w:tc>
        <w:tc>
          <w:tcPr>
            <w:tcW w:w="1958" w:type="dxa"/>
            <w:tcBorders>
              <w:top w:val="nil"/>
              <w:left w:val="nil"/>
              <w:bottom w:val="single" w:sz="4" w:space="0" w:color="auto"/>
              <w:right w:val="single" w:sz="4" w:space="0" w:color="auto"/>
            </w:tcBorders>
            <w:vAlign w:val="center"/>
          </w:tcPr>
          <w:p w:rsidR="0052750A" w:rsidRPr="00AC5F6F" w:rsidP="00635056" w14:paraId="109695CE" w14:textId="77777777">
            <w:pPr>
              <w:jc w:val="center"/>
              <w:rPr>
                <w:rFonts w:eastAsia="Times New Roman" w:cs="Times New Roman"/>
                <w:color w:val="000000"/>
              </w:rPr>
            </w:pPr>
            <w:r>
              <w:rPr>
                <w:rFonts w:cs="Times New Roman"/>
                <w:color w:val="000000"/>
              </w:rPr>
              <w:t>86</w:t>
            </w:r>
          </w:p>
        </w:tc>
      </w:tr>
      <w:tr w14:paraId="442ACA44" w14:textId="77777777" w:rsidTr="00113470">
        <w:tblPrEx>
          <w:tblW w:w="9450"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52750A" w:rsidRPr="003876EC" w:rsidP="00635056" w14:paraId="5141B9CD" w14:textId="77777777">
            <w:pPr>
              <w:rPr>
                <w:rFonts w:eastAsia="Times New Roman" w:cs="Times New Roman"/>
                <w:color w:val="000000"/>
              </w:rPr>
            </w:pPr>
            <w:r w:rsidRPr="003876EC">
              <w:rPr>
                <w:rFonts w:eastAsia="Times New Roman" w:cs="Times New Roman"/>
                <w:color w:val="000000"/>
              </w:rPr>
              <w:t>Estimated total</w:t>
            </w:r>
          </w:p>
        </w:tc>
        <w:tc>
          <w:tcPr>
            <w:tcW w:w="1940" w:type="dxa"/>
            <w:tcBorders>
              <w:top w:val="nil"/>
              <w:left w:val="nil"/>
              <w:bottom w:val="single" w:sz="4" w:space="0" w:color="auto"/>
              <w:right w:val="single" w:sz="4" w:space="0" w:color="auto"/>
            </w:tcBorders>
            <w:vAlign w:val="center"/>
            <w:hideMark/>
          </w:tcPr>
          <w:p w:rsidR="0052750A" w:rsidRPr="003876EC" w:rsidP="00635056" w14:paraId="6181BF38" w14:textId="1C98D82D">
            <w:pPr>
              <w:jc w:val="center"/>
              <w:rPr>
                <w:rFonts w:eastAsia="Times New Roman" w:cs="Times New Roman"/>
                <w:color w:val="000000"/>
              </w:rPr>
            </w:pPr>
            <w:r w:rsidRPr="00AC5F6F">
              <w:rPr>
                <w:rFonts w:cs="Times New Roman"/>
                <w:color w:val="000000"/>
              </w:rPr>
              <w:t>8</w:t>
            </w:r>
            <w:r>
              <w:rPr>
                <w:rFonts w:cs="Times New Roman"/>
                <w:color w:val="000000"/>
              </w:rPr>
              <w:t>39</w:t>
            </w:r>
          </w:p>
        </w:tc>
        <w:tc>
          <w:tcPr>
            <w:tcW w:w="1816" w:type="dxa"/>
            <w:tcBorders>
              <w:top w:val="nil"/>
              <w:left w:val="nil"/>
              <w:bottom w:val="single" w:sz="4" w:space="0" w:color="auto"/>
              <w:right w:val="single" w:sz="4" w:space="0" w:color="auto"/>
            </w:tcBorders>
            <w:vAlign w:val="center"/>
            <w:hideMark/>
          </w:tcPr>
          <w:p w:rsidR="0052750A" w:rsidRPr="003876EC" w:rsidP="00635056" w14:paraId="4991A7B4" w14:textId="77777777">
            <w:pPr>
              <w:jc w:val="center"/>
              <w:rPr>
                <w:rFonts w:eastAsia="Times New Roman" w:cs="Times New Roman"/>
                <w:color w:val="000000"/>
              </w:rPr>
            </w:pPr>
          </w:p>
        </w:tc>
        <w:tc>
          <w:tcPr>
            <w:tcW w:w="1958" w:type="dxa"/>
            <w:tcBorders>
              <w:top w:val="nil"/>
              <w:left w:val="nil"/>
              <w:bottom w:val="single" w:sz="4" w:space="0" w:color="auto"/>
              <w:right w:val="single" w:sz="4" w:space="0" w:color="auto"/>
            </w:tcBorders>
            <w:vAlign w:val="center"/>
            <w:hideMark/>
          </w:tcPr>
          <w:p w:rsidR="0052750A" w:rsidRPr="003876EC" w:rsidP="00635056" w14:paraId="73DB6E7E" w14:textId="77777777">
            <w:pPr>
              <w:jc w:val="center"/>
              <w:rPr>
                <w:rFonts w:eastAsia="Times New Roman" w:cs="Times New Roman"/>
                <w:color w:val="000000"/>
              </w:rPr>
            </w:pPr>
            <w:r w:rsidRPr="00AC5F6F">
              <w:rPr>
                <w:rFonts w:cs="Times New Roman"/>
                <w:color w:val="000000"/>
              </w:rPr>
              <w:t>17,0</w:t>
            </w:r>
            <w:r>
              <w:rPr>
                <w:rFonts w:cs="Times New Roman"/>
                <w:color w:val="000000"/>
              </w:rPr>
              <w:t>09</w:t>
            </w:r>
          </w:p>
        </w:tc>
      </w:tr>
    </w:tbl>
    <w:p w:rsidR="0052750A" w:rsidRPr="003876EC" w:rsidP="009C2D08" w14:paraId="033F6E61" w14:textId="77777777"/>
    <w:tbl>
      <w:tblPr>
        <w:tblW w:w="9450" w:type="dxa"/>
        <w:tblLook w:val="04A0"/>
      </w:tblPr>
      <w:tblGrid>
        <w:gridCol w:w="9450"/>
      </w:tblGrid>
      <w:tr w14:paraId="0C57E65C" w14:textId="77777777" w:rsidTr="009C2D08">
        <w:tblPrEx>
          <w:tblW w:w="9450" w:type="dxa"/>
          <w:tblLook w:val="04A0"/>
        </w:tblPrEx>
        <w:trPr>
          <w:trHeight w:val="315"/>
        </w:trPr>
        <w:tc>
          <w:tcPr>
            <w:tcW w:w="9450" w:type="dxa"/>
            <w:tcBorders>
              <w:top w:val="nil"/>
              <w:left w:val="nil"/>
              <w:bottom w:val="single" w:sz="4" w:space="0" w:color="auto"/>
              <w:right w:val="nil"/>
            </w:tcBorders>
            <w:noWrap/>
            <w:vAlign w:val="center"/>
            <w:hideMark/>
          </w:tcPr>
          <w:p w:rsidR="009C2D08" w:rsidRPr="009C2D08" w:rsidP="00677036" w14:paraId="1489FA66" w14:textId="2DEE8146">
            <w:pPr>
              <w:pStyle w:val="TableTitle"/>
              <w:framePr w:wrap="around"/>
            </w:pPr>
            <w:bookmarkStart w:id="57" w:name="_Toc225512745"/>
            <w:r w:rsidRPr="003876EC">
              <w:t>Exhibit 7.</w:t>
            </w:r>
            <w:r w:rsidR="00677036">
              <w:tab/>
            </w:r>
            <w:r w:rsidRPr="003876EC">
              <w:t>Burden Estimates for the 202</w:t>
            </w:r>
            <w:r>
              <w:t>8</w:t>
            </w:r>
            <w:r w:rsidRPr="003876EC">
              <w:t xml:space="preserve"> GSS</w:t>
            </w:r>
            <w:bookmarkEnd w:id="57"/>
          </w:p>
        </w:tc>
      </w:tr>
    </w:tbl>
    <w:tbl>
      <w:tblPr>
        <w:tblW w:w="9450" w:type="dxa"/>
        <w:tblLook w:val="04A0"/>
      </w:tblPr>
      <w:tblGrid>
        <w:gridCol w:w="3736"/>
        <w:gridCol w:w="1940"/>
        <w:gridCol w:w="1816"/>
        <w:gridCol w:w="1958"/>
      </w:tblGrid>
      <w:tr w14:paraId="1DC92529" w14:textId="77777777" w:rsidTr="009C2D08">
        <w:tblPrEx>
          <w:tblW w:w="9450" w:type="dxa"/>
          <w:tblLook w:val="04A0"/>
        </w:tblPrEx>
        <w:trPr>
          <w:trHeight w:val="630"/>
        </w:trPr>
        <w:tc>
          <w:tcPr>
            <w:tcW w:w="3736" w:type="dxa"/>
            <w:tcBorders>
              <w:top w:val="nil"/>
              <w:left w:val="single" w:sz="4" w:space="0" w:color="auto"/>
              <w:bottom w:val="single" w:sz="4" w:space="0" w:color="auto"/>
              <w:right w:val="single" w:sz="4" w:space="0" w:color="auto"/>
            </w:tcBorders>
            <w:vAlign w:val="bottom"/>
            <w:hideMark/>
          </w:tcPr>
          <w:p w:rsidR="0052750A" w:rsidRPr="003876EC" w:rsidP="00635056" w14:paraId="232D1FF4" w14:textId="77777777">
            <w:pPr>
              <w:jc w:val="center"/>
              <w:rPr>
                <w:rFonts w:eastAsia="Times New Roman" w:cs="Times New Roman"/>
                <w:b/>
                <w:bCs/>
                <w:color w:val="000000"/>
              </w:rPr>
            </w:pPr>
            <w:r w:rsidRPr="003876EC">
              <w:rPr>
                <w:rFonts w:eastAsia="Times New Roman" w:cs="Times New Roman"/>
                <w:b/>
                <w:bCs/>
                <w:color w:val="000000"/>
              </w:rPr>
              <w:t>Institution Type</w:t>
            </w:r>
          </w:p>
        </w:tc>
        <w:tc>
          <w:tcPr>
            <w:tcW w:w="1940" w:type="dxa"/>
            <w:tcBorders>
              <w:top w:val="nil"/>
              <w:left w:val="nil"/>
              <w:bottom w:val="single" w:sz="4" w:space="0" w:color="auto"/>
              <w:right w:val="single" w:sz="4" w:space="0" w:color="auto"/>
            </w:tcBorders>
            <w:vAlign w:val="bottom"/>
            <w:hideMark/>
          </w:tcPr>
          <w:p w:rsidR="0052750A" w:rsidRPr="003876EC" w:rsidP="00635056" w14:paraId="152FA6E4" w14:textId="1B235104">
            <w:pPr>
              <w:jc w:val="center"/>
              <w:rPr>
                <w:rFonts w:eastAsia="Times New Roman" w:cs="Times New Roman"/>
                <w:b/>
                <w:bCs/>
                <w:color w:val="000000"/>
              </w:rPr>
            </w:pPr>
            <w:r w:rsidRPr="003876EC">
              <w:rPr>
                <w:rFonts w:eastAsia="Times New Roman" w:cs="Times New Roman"/>
                <w:b/>
                <w:bCs/>
                <w:color w:val="000000"/>
              </w:rPr>
              <w:t xml:space="preserve">Respondents </w:t>
            </w:r>
            <w:r w:rsidR="009C2D08">
              <w:rPr>
                <w:rFonts w:eastAsia="Times New Roman" w:cs="Times New Roman"/>
                <w:b/>
                <w:bCs/>
                <w:color w:val="000000"/>
              </w:rPr>
              <w:br/>
            </w:r>
            <w:r w:rsidRPr="003876EC">
              <w:rPr>
                <w:rFonts w:eastAsia="Times New Roman" w:cs="Times New Roman"/>
                <w:b/>
                <w:bCs/>
                <w:color w:val="000000"/>
              </w:rPr>
              <w:t>(# of schools)</w:t>
            </w:r>
          </w:p>
        </w:tc>
        <w:tc>
          <w:tcPr>
            <w:tcW w:w="1816" w:type="dxa"/>
            <w:tcBorders>
              <w:top w:val="nil"/>
              <w:left w:val="nil"/>
              <w:bottom w:val="single" w:sz="4" w:space="0" w:color="auto"/>
              <w:right w:val="single" w:sz="4" w:space="0" w:color="auto"/>
            </w:tcBorders>
            <w:vAlign w:val="bottom"/>
            <w:hideMark/>
          </w:tcPr>
          <w:p w:rsidR="0052750A" w:rsidRPr="003876EC" w:rsidP="00635056" w14:paraId="602224BC" w14:textId="77777777">
            <w:pPr>
              <w:jc w:val="center"/>
              <w:rPr>
                <w:rFonts w:eastAsia="Times New Roman" w:cs="Times New Roman"/>
                <w:b/>
                <w:bCs/>
                <w:color w:val="000000"/>
              </w:rPr>
            </w:pPr>
            <w:r w:rsidRPr="003876EC">
              <w:rPr>
                <w:rFonts w:eastAsia="Times New Roman" w:cs="Times New Roman"/>
                <w:b/>
                <w:bCs/>
                <w:color w:val="000000"/>
              </w:rPr>
              <w:t>Average Burden (hours)</w:t>
            </w:r>
          </w:p>
        </w:tc>
        <w:tc>
          <w:tcPr>
            <w:tcW w:w="1958" w:type="dxa"/>
            <w:tcBorders>
              <w:top w:val="nil"/>
              <w:left w:val="nil"/>
              <w:bottom w:val="single" w:sz="4" w:space="0" w:color="auto"/>
              <w:right w:val="single" w:sz="4" w:space="0" w:color="auto"/>
            </w:tcBorders>
            <w:vAlign w:val="bottom"/>
            <w:hideMark/>
          </w:tcPr>
          <w:p w:rsidR="0052750A" w:rsidRPr="003876EC" w:rsidP="00635056" w14:paraId="18E82B13" w14:textId="77777777">
            <w:pPr>
              <w:jc w:val="center"/>
              <w:rPr>
                <w:rFonts w:eastAsia="Times New Roman" w:cs="Times New Roman"/>
                <w:b/>
                <w:bCs/>
                <w:color w:val="000000"/>
              </w:rPr>
            </w:pPr>
            <w:r w:rsidRPr="003876EC">
              <w:rPr>
                <w:rFonts w:eastAsia="Times New Roman" w:cs="Times New Roman"/>
                <w:b/>
                <w:bCs/>
                <w:color w:val="000000"/>
              </w:rPr>
              <w:t>Total Burden (hours)</w:t>
            </w:r>
          </w:p>
        </w:tc>
      </w:tr>
      <w:tr w14:paraId="503AA892" w14:textId="77777777" w:rsidTr="009C2D08">
        <w:tblPrEx>
          <w:tblW w:w="9450"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52750A" w:rsidRPr="003876EC" w:rsidP="00635056" w14:paraId="48A364A5" w14:textId="2EA9E70D">
            <w:pPr>
              <w:rPr>
                <w:rFonts w:eastAsia="Times New Roman" w:cs="Times New Roman"/>
                <w:color w:val="000000"/>
              </w:rPr>
            </w:pPr>
            <w:r w:rsidRPr="003876EC">
              <w:rPr>
                <w:rFonts w:eastAsia="Times New Roman" w:cs="Times New Roman"/>
                <w:color w:val="000000"/>
              </w:rPr>
              <w:t xml:space="preserve">More than 15 units, </w:t>
            </w:r>
            <w:r w:rsidR="00231158">
              <w:rPr>
                <w:rFonts w:eastAsia="Times New Roman" w:cs="Times New Roman"/>
                <w:color w:val="000000"/>
              </w:rPr>
              <w:t>up</w:t>
            </w:r>
            <w:r w:rsidRPr="003876EC">
              <w:rPr>
                <w:rFonts w:eastAsia="Times New Roman" w:cs="Times New Roman"/>
                <w:color w:val="000000"/>
              </w:rPr>
              <w:t>loading</w:t>
            </w:r>
          </w:p>
        </w:tc>
        <w:tc>
          <w:tcPr>
            <w:tcW w:w="1940" w:type="dxa"/>
            <w:tcBorders>
              <w:top w:val="nil"/>
              <w:left w:val="nil"/>
              <w:bottom w:val="single" w:sz="4" w:space="0" w:color="auto"/>
              <w:right w:val="single" w:sz="4" w:space="0" w:color="auto"/>
            </w:tcBorders>
            <w:vAlign w:val="center"/>
            <w:hideMark/>
          </w:tcPr>
          <w:p w:rsidR="0052750A" w:rsidRPr="003876EC" w:rsidP="00635056" w14:paraId="3F58E41C" w14:textId="77777777">
            <w:pPr>
              <w:jc w:val="center"/>
              <w:rPr>
                <w:rFonts w:eastAsia="Times New Roman" w:cs="Times New Roman"/>
                <w:color w:val="000000"/>
              </w:rPr>
            </w:pPr>
            <w:r w:rsidRPr="00AC5F6F">
              <w:rPr>
                <w:rFonts w:cs="Times New Roman"/>
                <w:color w:val="000000"/>
              </w:rPr>
              <w:t>344</w:t>
            </w:r>
          </w:p>
        </w:tc>
        <w:tc>
          <w:tcPr>
            <w:tcW w:w="1816" w:type="dxa"/>
            <w:tcBorders>
              <w:top w:val="nil"/>
              <w:left w:val="nil"/>
              <w:bottom w:val="single" w:sz="4" w:space="0" w:color="auto"/>
              <w:right w:val="single" w:sz="4" w:space="0" w:color="auto"/>
            </w:tcBorders>
            <w:vAlign w:val="center"/>
            <w:hideMark/>
          </w:tcPr>
          <w:p w:rsidR="0052750A" w:rsidRPr="003876EC" w:rsidP="00635056" w14:paraId="5033DBAA" w14:textId="77777777">
            <w:pPr>
              <w:jc w:val="center"/>
              <w:rPr>
                <w:rFonts w:eastAsia="Times New Roman" w:cs="Times New Roman"/>
                <w:color w:val="000000"/>
              </w:rPr>
            </w:pPr>
            <w:r w:rsidRPr="00AC5F6F">
              <w:rPr>
                <w:rFonts w:cs="Times New Roman"/>
                <w:color w:val="000000"/>
              </w:rPr>
              <w:t>36.1</w:t>
            </w:r>
          </w:p>
        </w:tc>
        <w:tc>
          <w:tcPr>
            <w:tcW w:w="1958" w:type="dxa"/>
            <w:tcBorders>
              <w:top w:val="nil"/>
              <w:left w:val="nil"/>
              <w:bottom w:val="single" w:sz="4" w:space="0" w:color="auto"/>
              <w:right w:val="single" w:sz="4" w:space="0" w:color="auto"/>
            </w:tcBorders>
            <w:vAlign w:val="center"/>
            <w:hideMark/>
          </w:tcPr>
          <w:p w:rsidR="0052750A" w:rsidRPr="003876EC" w:rsidP="00635056" w14:paraId="707EEC43" w14:textId="77777777">
            <w:pPr>
              <w:jc w:val="center"/>
              <w:rPr>
                <w:rFonts w:eastAsia="Times New Roman" w:cs="Times New Roman"/>
                <w:color w:val="000000"/>
              </w:rPr>
            </w:pPr>
            <w:r w:rsidRPr="00AC5F6F">
              <w:rPr>
                <w:rFonts w:cs="Times New Roman"/>
                <w:color w:val="000000"/>
              </w:rPr>
              <w:t>12,</w:t>
            </w:r>
            <w:r>
              <w:rPr>
                <w:rFonts w:cs="Times New Roman"/>
                <w:color w:val="000000"/>
              </w:rPr>
              <w:t>418</w:t>
            </w:r>
          </w:p>
        </w:tc>
      </w:tr>
      <w:tr w14:paraId="4E72F843" w14:textId="77777777" w:rsidTr="009C2D08">
        <w:tblPrEx>
          <w:tblW w:w="9450"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52750A" w:rsidRPr="003876EC" w:rsidP="00635056" w14:paraId="7561C7F8" w14:textId="0E1D9C97">
            <w:pPr>
              <w:rPr>
                <w:rFonts w:eastAsia="Times New Roman" w:cs="Times New Roman"/>
                <w:color w:val="000000"/>
              </w:rPr>
            </w:pPr>
            <w:r w:rsidRPr="003876EC">
              <w:rPr>
                <w:rFonts w:eastAsia="Times New Roman" w:cs="Times New Roman"/>
                <w:color w:val="000000"/>
              </w:rPr>
              <w:t xml:space="preserve">More than 15 units, </w:t>
            </w:r>
            <w:r w:rsidR="00231158">
              <w:rPr>
                <w:rFonts w:eastAsia="Times New Roman" w:cs="Times New Roman"/>
                <w:color w:val="000000"/>
              </w:rPr>
              <w:t>m</w:t>
            </w:r>
            <w:r w:rsidRPr="003876EC">
              <w:rPr>
                <w:rFonts w:eastAsia="Times New Roman" w:cs="Times New Roman"/>
                <w:color w:val="000000"/>
              </w:rPr>
              <w:t xml:space="preserve">anually </w:t>
            </w:r>
            <w:r w:rsidR="00231158">
              <w:rPr>
                <w:rFonts w:eastAsia="Times New Roman" w:cs="Times New Roman"/>
                <w:color w:val="000000"/>
              </w:rPr>
              <w:t>e</w:t>
            </w:r>
            <w:r w:rsidRPr="003876EC">
              <w:rPr>
                <w:rFonts w:eastAsia="Times New Roman" w:cs="Times New Roman"/>
                <w:color w:val="000000"/>
              </w:rPr>
              <w:t>nter</w:t>
            </w:r>
          </w:p>
        </w:tc>
        <w:tc>
          <w:tcPr>
            <w:tcW w:w="1940" w:type="dxa"/>
            <w:tcBorders>
              <w:top w:val="nil"/>
              <w:left w:val="nil"/>
              <w:bottom w:val="single" w:sz="4" w:space="0" w:color="auto"/>
              <w:right w:val="single" w:sz="4" w:space="0" w:color="auto"/>
            </w:tcBorders>
            <w:vAlign w:val="center"/>
            <w:hideMark/>
          </w:tcPr>
          <w:p w:rsidR="0052750A" w:rsidRPr="003876EC" w:rsidP="00635056" w14:paraId="43417A9E" w14:textId="77777777">
            <w:pPr>
              <w:jc w:val="center"/>
              <w:rPr>
                <w:rFonts w:eastAsia="Times New Roman" w:cs="Times New Roman"/>
                <w:color w:val="000000"/>
              </w:rPr>
            </w:pPr>
            <w:r w:rsidRPr="00AC5F6F">
              <w:rPr>
                <w:rFonts w:cs="Times New Roman"/>
                <w:color w:val="000000"/>
              </w:rPr>
              <w:t>27</w:t>
            </w:r>
          </w:p>
        </w:tc>
        <w:tc>
          <w:tcPr>
            <w:tcW w:w="1816" w:type="dxa"/>
            <w:tcBorders>
              <w:top w:val="nil"/>
              <w:left w:val="nil"/>
              <w:bottom w:val="single" w:sz="4" w:space="0" w:color="auto"/>
              <w:right w:val="single" w:sz="4" w:space="0" w:color="auto"/>
            </w:tcBorders>
            <w:vAlign w:val="center"/>
            <w:hideMark/>
          </w:tcPr>
          <w:p w:rsidR="0052750A" w:rsidRPr="003876EC" w:rsidP="00635056" w14:paraId="4209CD40" w14:textId="77777777">
            <w:pPr>
              <w:jc w:val="center"/>
              <w:rPr>
                <w:rFonts w:eastAsia="Times New Roman" w:cs="Times New Roman"/>
                <w:color w:val="000000"/>
              </w:rPr>
            </w:pPr>
            <w:r w:rsidRPr="00AC5F6F">
              <w:rPr>
                <w:rFonts w:cs="Times New Roman"/>
                <w:color w:val="000000"/>
              </w:rPr>
              <w:t>40.3</w:t>
            </w:r>
          </w:p>
        </w:tc>
        <w:tc>
          <w:tcPr>
            <w:tcW w:w="1958" w:type="dxa"/>
            <w:tcBorders>
              <w:top w:val="nil"/>
              <w:left w:val="nil"/>
              <w:bottom w:val="single" w:sz="4" w:space="0" w:color="auto"/>
              <w:right w:val="single" w:sz="4" w:space="0" w:color="auto"/>
            </w:tcBorders>
            <w:vAlign w:val="center"/>
            <w:hideMark/>
          </w:tcPr>
          <w:p w:rsidR="0052750A" w:rsidRPr="003876EC" w:rsidP="00635056" w14:paraId="0D13DF87" w14:textId="77777777">
            <w:pPr>
              <w:jc w:val="center"/>
              <w:rPr>
                <w:rFonts w:eastAsia="Times New Roman" w:cs="Times New Roman"/>
                <w:color w:val="000000"/>
              </w:rPr>
            </w:pPr>
            <w:r w:rsidRPr="00AC5F6F">
              <w:rPr>
                <w:rFonts w:cs="Times New Roman"/>
                <w:color w:val="000000"/>
              </w:rPr>
              <w:t>1,0</w:t>
            </w:r>
            <w:r>
              <w:rPr>
                <w:rFonts w:cs="Times New Roman"/>
                <w:color w:val="000000"/>
              </w:rPr>
              <w:t>88</w:t>
            </w:r>
          </w:p>
        </w:tc>
      </w:tr>
      <w:tr w14:paraId="487CBEB7" w14:textId="77777777" w:rsidTr="009C2D08">
        <w:tblPrEx>
          <w:tblW w:w="9450"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52750A" w:rsidRPr="003876EC" w:rsidP="00635056" w14:paraId="2BAB015A" w14:textId="210D0D39">
            <w:pPr>
              <w:rPr>
                <w:rFonts w:eastAsia="Times New Roman" w:cs="Times New Roman"/>
                <w:color w:val="000000"/>
              </w:rPr>
            </w:pPr>
            <w:r w:rsidRPr="003876EC">
              <w:rPr>
                <w:rFonts w:eastAsia="Times New Roman" w:cs="Times New Roman"/>
                <w:color w:val="000000"/>
              </w:rPr>
              <w:t xml:space="preserve">15 or fewer units, </w:t>
            </w:r>
            <w:r w:rsidR="00231158">
              <w:rPr>
                <w:rFonts w:eastAsia="Times New Roman" w:cs="Times New Roman"/>
                <w:color w:val="000000"/>
              </w:rPr>
              <w:t>u</w:t>
            </w:r>
            <w:r w:rsidRPr="003876EC">
              <w:rPr>
                <w:rFonts w:eastAsia="Times New Roman" w:cs="Times New Roman"/>
                <w:color w:val="000000"/>
              </w:rPr>
              <w:t>ploading</w:t>
            </w:r>
          </w:p>
        </w:tc>
        <w:tc>
          <w:tcPr>
            <w:tcW w:w="1940" w:type="dxa"/>
            <w:tcBorders>
              <w:top w:val="nil"/>
              <w:left w:val="nil"/>
              <w:bottom w:val="single" w:sz="4" w:space="0" w:color="auto"/>
              <w:right w:val="single" w:sz="4" w:space="0" w:color="auto"/>
            </w:tcBorders>
            <w:vAlign w:val="center"/>
            <w:hideMark/>
          </w:tcPr>
          <w:p w:rsidR="0052750A" w:rsidRPr="003876EC" w:rsidP="00635056" w14:paraId="5A5F9975" w14:textId="77777777">
            <w:pPr>
              <w:jc w:val="center"/>
              <w:rPr>
                <w:rFonts w:eastAsia="Times New Roman" w:cs="Times New Roman"/>
                <w:color w:val="000000"/>
              </w:rPr>
            </w:pPr>
            <w:r w:rsidRPr="00AC5F6F">
              <w:rPr>
                <w:rFonts w:cs="Times New Roman"/>
                <w:color w:val="000000"/>
              </w:rPr>
              <w:t>285</w:t>
            </w:r>
          </w:p>
        </w:tc>
        <w:tc>
          <w:tcPr>
            <w:tcW w:w="1816" w:type="dxa"/>
            <w:tcBorders>
              <w:top w:val="nil"/>
              <w:left w:val="nil"/>
              <w:bottom w:val="single" w:sz="4" w:space="0" w:color="auto"/>
              <w:right w:val="single" w:sz="4" w:space="0" w:color="auto"/>
            </w:tcBorders>
            <w:vAlign w:val="center"/>
            <w:hideMark/>
          </w:tcPr>
          <w:p w:rsidR="0052750A" w:rsidRPr="003876EC" w:rsidP="00635056" w14:paraId="208F0D73" w14:textId="77777777">
            <w:pPr>
              <w:jc w:val="center"/>
              <w:rPr>
                <w:rFonts w:eastAsia="Times New Roman" w:cs="Times New Roman"/>
                <w:color w:val="000000"/>
              </w:rPr>
            </w:pPr>
            <w:r w:rsidRPr="00AC5F6F">
              <w:rPr>
                <w:rFonts w:cs="Times New Roman"/>
                <w:color w:val="000000"/>
              </w:rPr>
              <w:t>8.3</w:t>
            </w:r>
          </w:p>
        </w:tc>
        <w:tc>
          <w:tcPr>
            <w:tcW w:w="1958" w:type="dxa"/>
            <w:tcBorders>
              <w:top w:val="nil"/>
              <w:left w:val="nil"/>
              <w:bottom w:val="single" w:sz="4" w:space="0" w:color="auto"/>
              <w:right w:val="single" w:sz="4" w:space="0" w:color="auto"/>
            </w:tcBorders>
            <w:vAlign w:val="center"/>
            <w:hideMark/>
          </w:tcPr>
          <w:p w:rsidR="0052750A" w:rsidRPr="003876EC" w:rsidP="00635056" w14:paraId="2B03B67E" w14:textId="77777777">
            <w:pPr>
              <w:jc w:val="center"/>
              <w:rPr>
                <w:rFonts w:eastAsia="Times New Roman" w:cs="Times New Roman"/>
                <w:color w:val="000000"/>
              </w:rPr>
            </w:pPr>
            <w:r w:rsidRPr="00AC5F6F">
              <w:rPr>
                <w:rFonts w:cs="Times New Roman"/>
                <w:color w:val="000000"/>
              </w:rPr>
              <w:t>2,3</w:t>
            </w:r>
            <w:r>
              <w:rPr>
                <w:rFonts w:cs="Times New Roman"/>
                <w:color w:val="000000"/>
              </w:rPr>
              <w:t>66</w:t>
            </w:r>
          </w:p>
        </w:tc>
      </w:tr>
      <w:tr w14:paraId="439BB7B9" w14:textId="77777777" w:rsidTr="009C2D08">
        <w:tblPrEx>
          <w:tblW w:w="9450"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52750A" w:rsidRPr="003876EC" w:rsidP="00635056" w14:paraId="74AD3C22" w14:textId="6202B5CE">
            <w:pPr>
              <w:rPr>
                <w:rFonts w:eastAsia="Times New Roman" w:cs="Times New Roman"/>
                <w:color w:val="000000"/>
              </w:rPr>
            </w:pPr>
            <w:r w:rsidRPr="003876EC">
              <w:rPr>
                <w:rFonts w:eastAsia="Times New Roman" w:cs="Times New Roman"/>
                <w:color w:val="000000"/>
              </w:rPr>
              <w:t xml:space="preserve">15 or fewer units, </w:t>
            </w:r>
            <w:r w:rsidR="00231158">
              <w:rPr>
                <w:rFonts w:eastAsia="Times New Roman" w:cs="Times New Roman"/>
                <w:color w:val="000000"/>
              </w:rPr>
              <w:t>m</w:t>
            </w:r>
            <w:r w:rsidRPr="003876EC">
              <w:rPr>
                <w:rFonts w:eastAsia="Times New Roman" w:cs="Times New Roman"/>
                <w:color w:val="000000"/>
              </w:rPr>
              <w:t xml:space="preserve">anually </w:t>
            </w:r>
            <w:r w:rsidR="00231158">
              <w:rPr>
                <w:rFonts w:eastAsia="Times New Roman" w:cs="Times New Roman"/>
                <w:color w:val="000000"/>
              </w:rPr>
              <w:t>e</w:t>
            </w:r>
            <w:r w:rsidRPr="003876EC">
              <w:rPr>
                <w:rFonts w:eastAsia="Times New Roman" w:cs="Times New Roman"/>
                <w:color w:val="000000"/>
              </w:rPr>
              <w:t>nter</w:t>
            </w:r>
          </w:p>
        </w:tc>
        <w:tc>
          <w:tcPr>
            <w:tcW w:w="1940" w:type="dxa"/>
            <w:tcBorders>
              <w:top w:val="nil"/>
              <w:left w:val="nil"/>
              <w:bottom w:val="single" w:sz="4" w:space="0" w:color="auto"/>
              <w:right w:val="single" w:sz="4" w:space="0" w:color="auto"/>
            </w:tcBorders>
            <w:vAlign w:val="center"/>
            <w:hideMark/>
          </w:tcPr>
          <w:p w:rsidR="0052750A" w:rsidRPr="003876EC" w:rsidP="00635056" w14:paraId="34E8D365" w14:textId="77777777">
            <w:pPr>
              <w:jc w:val="center"/>
              <w:rPr>
                <w:rFonts w:eastAsia="Times New Roman" w:cs="Times New Roman"/>
                <w:color w:val="000000"/>
              </w:rPr>
            </w:pPr>
            <w:r w:rsidRPr="00AC5F6F">
              <w:rPr>
                <w:rFonts w:cs="Times New Roman"/>
                <w:color w:val="000000"/>
              </w:rPr>
              <w:t>147</w:t>
            </w:r>
          </w:p>
        </w:tc>
        <w:tc>
          <w:tcPr>
            <w:tcW w:w="1816" w:type="dxa"/>
            <w:tcBorders>
              <w:top w:val="nil"/>
              <w:left w:val="nil"/>
              <w:bottom w:val="single" w:sz="4" w:space="0" w:color="auto"/>
              <w:right w:val="single" w:sz="4" w:space="0" w:color="auto"/>
            </w:tcBorders>
            <w:vAlign w:val="center"/>
            <w:hideMark/>
          </w:tcPr>
          <w:p w:rsidR="0052750A" w:rsidRPr="003876EC" w:rsidP="00635056" w14:paraId="6302AB05" w14:textId="77777777">
            <w:pPr>
              <w:jc w:val="center"/>
              <w:rPr>
                <w:rFonts w:eastAsia="Times New Roman" w:cs="Times New Roman"/>
                <w:color w:val="000000"/>
              </w:rPr>
            </w:pPr>
            <w:r w:rsidRPr="00AC5F6F">
              <w:rPr>
                <w:rFonts w:cs="Times New Roman"/>
                <w:color w:val="000000"/>
              </w:rPr>
              <w:t>7.4</w:t>
            </w:r>
          </w:p>
        </w:tc>
        <w:tc>
          <w:tcPr>
            <w:tcW w:w="1958" w:type="dxa"/>
            <w:tcBorders>
              <w:top w:val="nil"/>
              <w:left w:val="nil"/>
              <w:bottom w:val="single" w:sz="4" w:space="0" w:color="auto"/>
              <w:right w:val="single" w:sz="4" w:space="0" w:color="auto"/>
            </w:tcBorders>
            <w:vAlign w:val="center"/>
            <w:hideMark/>
          </w:tcPr>
          <w:p w:rsidR="0052750A" w:rsidRPr="003876EC" w:rsidP="00635056" w14:paraId="7867DD24" w14:textId="77777777">
            <w:pPr>
              <w:jc w:val="center"/>
              <w:rPr>
                <w:rFonts w:eastAsia="Times New Roman" w:cs="Times New Roman"/>
                <w:color w:val="000000"/>
              </w:rPr>
            </w:pPr>
            <w:r w:rsidRPr="00AC5F6F">
              <w:rPr>
                <w:rFonts w:cs="Times New Roman"/>
                <w:color w:val="000000"/>
              </w:rPr>
              <w:t>1,08</w:t>
            </w:r>
            <w:r>
              <w:rPr>
                <w:rFonts w:cs="Times New Roman"/>
                <w:color w:val="000000"/>
              </w:rPr>
              <w:t>8</w:t>
            </w:r>
          </w:p>
        </w:tc>
      </w:tr>
      <w:tr w14:paraId="2E5EF33E" w14:textId="77777777" w:rsidTr="009C2D08">
        <w:tblPrEx>
          <w:tblW w:w="9450" w:type="dxa"/>
          <w:tblLook w:val="04A0"/>
        </w:tblPrEx>
        <w:trPr>
          <w:trHeight w:val="315"/>
        </w:trPr>
        <w:tc>
          <w:tcPr>
            <w:tcW w:w="3736" w:type="dxa"/>
            <w:tcBorders>
              <w:top w:val="nil"/>
              <w:left w:val="single" w:sz="4" w:space="0" w:color="auto"/>
              <w:bottom w:val="single" w:sz="4" w:space="0" w:color="auto"/>
              <w:right w:val="single" w:sz="4" w:space="0" w:color="auto"/>
            </w:tcBorders>
            <w:vAlign w:val="center"/>
            <w:hideMark/>
          </w:tcPr>
          <w:p w:rsidR="0052750A" w:rsidRPr="003876EC" w:rsidP="00635056" w14:paraId="47E4019C" w14:textId="77777777">
            <w:pPr>
              <w:rPr>
                <w:rFonts w:eastAsia="Times New Roman" w:cs="Times New Roman"/>
                <w:color w:val="000000"/>
              </w:rPr>
            </w:pPr>
            <w:r w:rsidRPr="003876EC">
              <w:rPr>
                <w:rFonts w:eastAsia="Times New Roman" w:cs="Times New Roman"/>
                <w:color w:val="000000"/>
              </w:rPr>
              <w:t>Estimated total</w:t>
            </w:r>
          </w:p>
        </w:tc>
        <w:tc>
          <w:tcPr>
            <w:tcW w:w="1940" w:type="dxa"/>
            <w:tcBorders>
              <w:top w:val="nil"/>
              <w:left w:val="nil"/>
              <w:bottom w:val="single" w:sz="4" w:space="0" w:color="auto"/>
              <w:right w:val="single" w:sz="4" w:space="0" w:color="auto"/>
            </w:tcBorders>
            <w:vAlign w:val="center"/>
            <w:hideMark/>
          </w:tcPr>
          <w:p w:rsidR="0052750A" w:rsidRPr="003876EC" w:rsidP="00635056" w14:paraId="111E8981" w14:textId="77777777">
            <w:pPr>
              <w:jc w:val="center"/>
              <w:rPr>
                <w:rFonts w:eastAsia="Times New Roman" w:cs="Times New Roman"/>
                <w:color w:val="000000"/>
              </w:rPr>
            </w:pPr>
            <w:r w:rsidRPr="00AC5F6F">
              <w:rPr>
                <w:rFonts w:cs="Times New Roman"/>
                <w:color w:val="000000"/>
              </w:rPr>
              <w:t>803</w:t>
            </w:r>
          </w:p>
        </w:tc>
        <w:tc>
          <w:tcPr>
            <w:tcW w:w="1816" w:type="dxa"/>
            <w:tcBorders>
              <w:top w:val="nil"/>
              <w:left w:val="nil"/>
              <w:bottom w:val="single" w:sz="4" w:space="0" w:color="auto"/>
              <w:right w:val="single" w:sz="4" w:space="0" w:color="auto"/>
            </w:tcBorders>
            <w:vAlign w:val="center"/>
            <w:hideMark/>
          </w:tcPr>
          <w:p w:rsidR="0052750A" w:rsidRPr="003876EC" w:rsidP="00635056" w14:paraId="5B8DC672" w14:textId="77777777">
            <w:pPr>
              <w:jc w:val="center"/>
              <w:rPr>
                <w:rFonts w:eastAsia="Times New Roman" w:cs="Times New Roman"/>
                <w:color w:val="000000"/>
              </w:rPr>
            </w:pPr>
          </w:p>
        </w:tc>
        <w:tc>
          <w:tcPr>
            <w:tcW w:w="1958" w:type="dxa"/>
            <w:tcBorders>
              <w:top w:val="nil"/>
              <w:left w:val="nil"/>
              <w:bottom w:val="single" w:sz="4" w:space="0" w:color="auto"/>
              <w:right w:val="single" w:sz="4" w:space="0" w:color="auto"/>
            </w:tcBorders>
            <w:vAlign w:val="center"/>
            <w:hideMark/>
          </w:tcPr>
          <w:p w:rsidR="0052750A" w:rsidRPr="003876EC" w:rsidP="00635056" w14:paraId="6902E02C" w14:textId="77777777">
            <w:pPr>
              <w:jc w:val="center"/>
              <w:rPr>
                <w:rFonts w:eastAsia="Times New Roman" w:cs="Times New Roman"/>
                <w:color w:val="000000"/>
              </w:rPr>
            </w:pPr>
            <w:r w:rsidRPr="00AC5F6F">
              <w:rPr>
                <w:rFonts w:cs="Times New Roman"/>
                <w:color w:val="000000"/>
              </w:rPr>
              <w:t>16,9</w:t>
            </w:r>
            <w:r>
              <w:rPr>
                <w:rFonts w:cs="Times New Roman"/>
                <w:color w:val="000000"/>
              </w:rPr>
              <w:t>60</w:t>
            </w:r>
          </w:p>
        </w:tc>
      </w:tr>
    </w:tbl>
    <w:p w:rsidR="0052750A" w:rsidRPr="003876EC" w:rsidP="009C2D08" w14:paraId="09498DC8" w14:textId="10773B44">
      <w:pPr>
        <w:pStyle w:val="BodyTextSpaceAfter"/>
        <w:spacing w:before="240"/>
        <w:rPr>
          <w:rFonts w:eastAsia="Calibri"/>
        </w:rPr>
      </w:pPr>
      <w:r w:rsidRPr="0053723C">
        <w:rPr>
          <w:rFonts w:eastAsia="Calibri"/>
          <w:bCs/>
          <w:iCs/>
          <w:szCs w:val="18"/>
        </w:rPr>
        <w:t>The annual burden estimates are presented in Exhibit 8, along with the cost burden estimate for respondents.</w:t>
      </w:r>
      <w:r w:rsidRPr="0053723C">
        <w:rPr>
          <w:rFonts w:eastAsia="Calibri"/>
        </w:rPr>
        <w:t xml:space="preserve"> At an estimated cost of $39.</w:t>
      </w:r>
      <w:r w:rsidRPr="004A29A3" w:rsidR="00211DCE">
        <w:rPr>
          <w:rFonts w:eastAsia="Calibri"/>
        </w:rPr>
        <w:t>83</w:t>
      </w:r>
      <w:r w:rsidRPr="0053723C">
        <w:rPr>
          <w:rFonts w:eastAsia="Calibri"/>
        </w:rPr>
        <w:t xml:space="preserve"> per hour (based on the Bureau of Labor Statistics May 202</w:t>
      </w:r>
      <w:r w:rsidRPr="004A29A3" w:rsidR="00211DCE">
        <w:rPr>
          <w:rFonts w:eastAsia="Calibri"/>
        </w:rPr>
        <w:t>4</w:t>
      </w:r>
      <w:r w:rsidRPr="0053723C">
        <w:rPr>
          <w:rFonts w:eastAsia="Calibri"/>
        </w:rPr>
        <w:t xml:space="preserve"> median hourly wages for “Management Analysts,” within NAICS 611300 - Colleges, Universities, and Professional Schools, accessed on February 4, 2026, at </w:t>
      </w:r>
      <w:hyperlink r:id="rId15" w:history="1">
        <w:r w:rsidRPr="0053723C">
          <w:rPr>
            <w:rFonts w:eastAsia="Calibri"/>
            <w:color w:val="0000FF"/>
            <w:u w:val="single"/>
          </w:rPr>
          <w:t>http://data.bls.gov/oes/</w:t>
        </w:r>
      </w:hyperlink>
      <w:r w:rsidRPr="0053723C">
        <w:rPr>
          <w:rFonts w:eastAsia="Calibri"/>
        </w:rPr>
        <w:t>), the average annual cost to respondent institutions is $</w:t>
      </w:r>
      <w:r w:rsidRPr="004A29A3">
        <w:rPr>
          <w:rFonts w:eastAsia="Calibri"/>
        </w:rPr>
        <w:t>690,807</w:t>
      </w:r>
      <w:r w:rsidRPr="0053723C">
        <w:rPr>
          <w:rFonts w:eastAsia="Calibri"/>
        </w:rPr>
        <w:t xml:space="preserve"> ($8</w:t>
      </w:r>
      <w:r w:rsidRPr="004A29A3">
        <w:rPr>
          <w:rFonts w:eastAsia="Calibri"/>
        </w:rPr>
        <w:t>51</w:t>
      </w:r>
      <w:r w:rsidRPr="0053723C">
        <w:rPr>
          <w:rFonts w:eastAsia="Calibri"/>
        </w:rPr>
        <w:t xml:space="preserve"> per respondent). In addition, the burden estimate includes 2,000 hours for conducting GSS site visits, methodological testing, and other survey improvements.</w:t>
      </w:r>
    </w:p>
    <w:tbl>
      <w:tblPr>
        <w:tblW w:w="9360" w:type="dxa"/>
        <w:tblLayout w:type="fixed"/>
        <w:tblLook w:val="04A0"/>
      </w:tblPr>
      <w:tblGrid>
        <w:gridCol w:w="9360"/>
      </w:tblGrid>
      <w:tr w14:paraId="6446C46B" w14:textId="77777777" w:rsidTr="009C2D08">
        <w:tblPrEx>
          <w:tblW w:w="9360" w:type="dxa"/>
          <w:tblLayout w:type="fixed"/>
          <w:tblLook w:val="04A0"/>
        </w:tblPrEx>
        <w:trPr>
          <w:trHeight w:val="330"/>
        </w:trPr>
        <w:tc>
          <w:tcPr>
            <w:tcW w:w="9360" w:type="dxa"/>
            <w:tcBorders>
              <w:top w:val="nil"/>
              <w:left w:val="nil"/>
              <w:bottom w:val="nil"/>
              <w:right w:val="nil"/>
            </w:tcBorders>
            <w:noWrap/>
            <w:vAlign w:val="center"/>
            <w:hideMark/>
          </w:tcPr>
          <w:p w:rsidR="009C2D08" w:rsidRPr="003876EC" w:rsidP="009C2D08" w14:paraId="5256BABD" w14:textId="5DB303FA">
            <w:pPr>
              <w:pStyle w:val="TableTitle"/>
              <w:framePr w:wrap="around"/>
              <w:rPr>
                <w:sz w:val="20"/>
                <w:szCs w:val="20"/>
              </w:rPr>
            </w:pPr>
            <w:bookmarkStart w:id="58" w:name="_Toc225512746"/>
            <w:r w:rsidRPr="003876EC">
              <w:t>Exhibit 8.</w:t>
            </w:r>
            <w:r>
              <w:tab/>
            </w:r>
            <w:r w:rsidRPr="003876EC">
              <w:t>Total Burden Estimates for 202</w:t>
            </w:r>
            <w:r>
              <w:t>6</w:t>
            </w:r>
            <w:r w:rsidRPr="003876EC">
              <w:t>-202</w:t>
            </w:r>
            <w:r>
              <w:t>8</w:t>
            </w:r>
            <w:r w:rsidRPr="003876EC">
              <w:t xml:space="preserve"> GSS</w:t>
            </w:r>
            <w:bookmarkEnd w:id="58"/>
          </w:p>
        </w:tc>
      </w:tr>
    </w:tbl>
    <w:tbl>
      <w:tblPr>
        <w:tblW w:w="9360" w:type="dxa"/>
        <w:tblLayout w:type="fixed"/>
        <w:tblLook w:val="04A0"/>
      </w:tblPr>
      <w:tblGrid>
        <w:gridCol w:w="2790"/>
        <w:gridCol w:w="1620"/>
        <w:gridCol w:w="1260"/>
        <w:gridCol w:w="1710"/>
        <w:gridCol w:w="1980"/>
      </w:tblGrid>
      <w:tr w14:paraId="53B158D6" w14:textId="77777777" w:rsidTr="009C2D08">
        <w:tblPrEx>
          <w:tblW w:w="9360" w:type="dxa"/>
          <w:tblLayout w:type="fixed"/>
          <w:tblLook w:val="04A0"/>
        </w:tblPrEx>
        <w:tc>
          <w:tcPr>
            <w:tcW w:w="2790" w:type="dxa"/>
            <w:tcBorders>
              <w:top w:val="single" w:sz="8" w:space="0" w:color="auto"/>
              <w:left w:val="single" w:sz="8" w:space="0" w:color="auto"/>
              <w:bottom w:val="single" w:sz="8" w:space="0" w:color="auto"/>
              <w:right w:val="single" w:sz="8" w:space="0" w:color="auto"/>
            </w:tcBorders>
            <w:vAlign w:val="bottom"/>
            <w:hideMark/>
          </w:tcPr>
          <w:p w:rsidR="0052750A" w:rsidRPr="003876EC" w:rsidP="00635056" w14:paraId="09EA1BF5" w14:textId="77777777">
            <w:pPr>
              <w:jc w:val="center"/>
              <w:rPr>
                <w:rFonts w:eastAsia="Times New Roman" w:cs="Times New Roman"/>
                <w:b/>
                <w:bCs/>
                <w:color w:val="000000"/>
              </w:rPr>
            </w:pPr>
            <w:r w:rsidRPr="003876EC">
              <w:rPr>
                <w:rFonts w:eastAsia="Times New Roman" w:cs="Times New Roman"/>
                <w:b/>
                <w:bCs/>
                <w:color w:val="000000"/>
              </w:rPr>
              <w:t>Survey Cycle</w:t>
            </w:r>
          </w:p>
        </w:tc>
        <w:tc>
          <w:tcPr>
            <w:tcW w:w="1620" w:type="dxa"/>
            <w:tcBorders>
              <w:top w:val="single" w:sz="8" w:space="0" w:color="auto"/>
              <w:left w:val="nil"/>
              <w:bottom w:val="single" w:sz="8" w:space="0" w:color="auto"/>
              <w:right w:val="single" w:sz="8" w:space="0" w:color="auto"/>
            </w:tcBorders>
            <w:vAlign w:val="bottom"/>
            <w:hideMark/>
          </w:tcPr>
          <w:p w:rsidR="0052750A" w:rsidRPr="003876EC" w:rsidP="00635056" w14:paraId="753F4CBC" w14:textId="733234AD">
            <w:pPr>
              <w:jc w:val="center"/>
              <w:rPr>
                <w:rFonts w:eastAsia="Times New Roman" w:cs="Times New Roman"/>
                <w:b/>
                <w:bCs/>
                <w:color w:val="000000"/>
              </w:rPr>
            </w:pPr>
            <w:r w:rsidRPr="003876EC">
              <w:rPr>
                <w:rFonts w:eastAsia="Times New Roman" w:cs="Times New Roman"/>
                <w:b/>
                <w:bCs/>
                <w:color w:val="000000"/>
              </w:rPr>
              <w:t>Respondents</w:t>
            </w:r>
            <w:r w:rsidR="009C2D08">
              <w:rPr>
                <w:rFonts w:eastAsia="Times New Roman" w:cs="Times New Roman"/>
                <w:b/>
                <w:bCs/>
                <w:color w:val="000000"/>
              </w:rPr>
              <w:br/>
            </w:r>
            <w:r w:rsidRPr="003876EC">
              <w:rPr>
                <w:rFonts w:eastAsia="Times New Roman" w:cs="Times New Roman"/>
                <w:b/>
                <w:bCs/>
                <w:color w:val="000000"/>
              </w:rPr>
              <w:t>(# of coordinators)</w:t>
            </w:r>
          </w:p>
        </w:tc>
        <w:tc>
          <w:tcPr>
            <w:tcW w:w="1260" w:type="dxa"/>
            <w:tcBorders>
              <w:top w:val="single" w:sz="8" w:space="0" w:color="auto"/>
              <w:left w:val="nil"/>
              <w:bottom w:val="single" w:sz="8" w:space="0" w:color="auto"/>
              <w:right w:val="single" w:sz="8" w:space="0" w:color="auto"/>
            </w:tcBorders>
            <w:vAlign w:val="bottom"/>
            <w:hideMark/>
          </w:tcPr>
          <w:p w:rsidR="0052750A" w:rsidRPr="003876EC" w:rsidP="00635056" w14:paraId="186FB41F" w14:textId="77777777">
            <w:pPr>
              <w:jc w:val="center"/>
              <w:rPr>
                <w:rFonts w:eastAsia="Times New Roman" w:cs="Times New Roman"/>
                <w:b/>
                <w:bCs/>
                <w:color w:val="000000"/>
              </w:rPr>
            </w:pPr>
            <w:r w:rsidRPr="003876EC">
              <w:rPr>
                <w:rFonts w:eastAsia="Times New Roman" w:cs="Times New Roman"/>
                <w:b/>
                <w:bCs/>
                <w:color w:val="000000"/>
              </w:rPr>
              <w:t>Total Burden (hours)</w:t>
            </w:r>
          </w:p>
        </w:tc>
        <w:tc>
          <w:tcPr>
            <w:tcW w:w="1710" w:type="dxa"/>
            <w:tcBorders>
              <w:top w:val="single" w:sz="8" w:space="0" w:color="auto"/>
              <w:left w:val="nil"/>
              <w:bottom w:val="single" w:sz="8" w:space="0" w:color="auto"/>
              <w:right w:val="single" w:sz="8" w:space="0" w:color="auto"/>
            </w:tcBorders>
            <w:vAlign w:val="bottom"/>
            <w:hideMark/>
          </w:tcPr>
          <w:p w:rsidR="0052750A" w:rsidRPr="003876EC" w:rsidP="00635056" w14:paraId="105DCB6D" w14:textId="77777777">
            <w:pPr>
              <w:jc w:val="center"/>
              <w:rPr>
                <w:rFonts w:eastAsia="Times New Roman" w:cs="Times New Roman"/>
                <w:b/>
                <w:bCs/>
                <w:color w:val="000000"/>
              </w:rPr>
            </w:pPr>
            <w:r w:rsidRPr="003876EC">
              <w:rPr>
                <w:rFonts w:eastAsia="Times New Roman" w:cs="Times New Roman"/>
                <w:b/>
                <w:bCs/>
                <w:color w:val="000000"/>
              </w:rPr>
              <w:t>Total Annual Cost to Coordinators</w:t>
            </w:r>
          </w:p>
        </w:tc>
        <w:tc>
          <w:tcPr>
            <w:tcW w:w="1980" w:type="dxa"/>
            <w:tcBorders>
              <w:top w:val="single" w:sz="8" w:space="0" w:color="auto"/>
              <w:left w:val="nil"/>
              <w:bottom w:val="single" w:sz="8" w:space="0" w:color="auto"/>
              <w:right w:val="single" w:sz="8" w:space="0" w:color="auto"/>
            </w:tcBorders>
            <w:vAlign w:val="bottom"/>
            <w:hideMark/>
          </w:tcPr>
          <w:p w:rsidR="0052750A" w:rsidRPr="003876EC" w:rsidP="00635056" w14:paraId="7951D6FB" w14:textId="77777777">
            <w:pPr>
              <w:jc w:val="center"/>
              <w:rPr>
                <w:rFonts w:eastAsia="Times New Roman" w:cs="Times New Roman"/>
                <w:b/>
                <w:bCs/>
                <w:color w:val="000000"/>
              </w:rPr>
            </w:pPr>
            <w:r w:rsidRPr="003876EC">
              <w:rPr>
                <w:rFonts w:eastAsia="Times New Roman" w:cs="Times New Roman"/>
                <w:b/>
                <w:bCs/>
                <w:color w:val="000000"/>
              </w:rPr>
              <w:t>Annual Cost per Coordinator</w:t>
            </w:r>
          </w:p>
        </w:tc>
      </w:tr>
      <w:tr w14:paraId="2EC26C55" w14:textId="77777777" w:rsidTr="009C2D08">
        <w:tblPrEx>
          <w:tblW w:w="9360" w:type="dxa"/>
          <w:tblLayout w:type="fixed"/>
          <w:tblLook w:val="04A0"/>
        </w:tblPrEx>
        <w:trPr>
          <w:cantSplit/>
        </w:trPr>
        <w:tc>
          <w:tcPr>
            <w:tcW w:w="2790" w:type="dxa"/>
            <w:tcBorders>
              <w:top w:val="nil"/>
              <w:left w:val="single" w:sz="8" w:space="0" w:color="auto"/>
              <w:bottom w:val="single" w:sz="8" w:space="0" w:color="auto"/>
              <w:right w:val="single" w:sz="8" w:space="0" w:color="auto"/>
            </w:tcBorders>
            <w:vAlign w:val="center"/>
            <w:hideMark/>
          </w:tcPr>
          <w:p w:rsidR="0052750A" w:rsidRPr="003876EC" w:rsidP="00635056" w14:paraId="55A9FB1C" w14:textId="77777777">
            <w:pPr>
              <w:rPr>
                <w:rFonts w:eastAsia="Times New Roman" w:cs="Times New Roman"/>
                <w:color w:val="000000"/>
              </w:rPr>
            </w:pPr>
            <w:r w:rsidRPr="003876EC">
              <w:rPr>
                <w:rFonts w:eastAsia="Times New Roman" w:cs="Times New Roman"/>
                <w:color w:val="000000"/>
              </w:rPr>
              <w:t>202</w:t>
            </w:r>
            <w:r>
              <w:rPr>
                <w:rFonts w:eastAsia="Times New Roman" w:cs="Times New Roman"/>
                <w:color w:val="000000"/>
              </w:rPr>
              <w:t>6</w:t>
            </w:r>
            <w:r w:rsidRPr="003876EC">
              <w:rPr>
                <w:rFonts w:eastAsia="Times New Roman" w:cs="Times New Roman"/>
                <w:color w:val="000000"/>
              </w:rPr>
              <w:t xml:space="preserve"> GSS</w:t>
            </w:r>
          </w:p>
        </w:tc>
        <w:tc>
          <w:tcPr>
            <w:tcW w:w="1620" w:type="dxa"/>
            <w:tcBorders>
              <w:top w:val="nil"/>
              <w:left w:val="nil"/>
              <w:bottom w:val="single" w:sz="8" w:space="0" w:color="auto"/>
              <w:right w:val="single" w:sz="8" w:space="0" w:color="auto"/>
            </w:tcBorders>
            <w:vAlign w:val="center"/>
          </w:tcPr>
          <w:p w:rsidR="0052750A" w:rsidRPr="003876EC" w:rsidP="009C2D08" w14:paraId="75133431" w14:textId="77777777">
            <w:pPr>
              <w:jc w:val="center"/>
              <w:rPr>
                <w:rFonts w:eastAsia="Times New Roman" w:cs="Times New Roman"/>
                <w:color w:val="000000"/>
              </w:rPr>
            </w:pPr>
            <w:r w:rsidRPr="00AC5F6F">
              <w:rPr>
                <w:rFonts w:cs="Times New Roman"/>
                <w:color w:val="000000"/>
              </w:rPr>
              <w:t>793</w:t>
            </w:r>
          </w:p>
        </w:tc>
        <w:tc>
          <w:tcPr>
            <w:tcW w:w="1260" w:type="dxa"/>
            <w:tcBorders>
              <w:top w:val="nil"/>
              <w:left w:val="nil"/>
              <w:bottom w:val="single" w:sz="8" w:space="0" w:color="auto"/>
              <w:right w:val="single" w:sz="8" w:space="0" w:color="auto"/>
            </w:tcBorders>
            <w:vAlign w:val="center"/>
          </w:tcPr>
          <w:p w:rsidR="0052750A" w:rsidRPr="003876EC" w:rsidP="009C2D08" w14:paraId="7CC61F87" w14:textId="77777777">
            <w:pPr>
              <w:jc w:val="center"/>
              <w:rPr>
                <w:rFonts w:eastAsia="Times New Roman" w:cs="Times New Roman"/>
                <w:color w:val="000000"/>
              </w:rPr>
            </w:pPr>
            <w:r>
              <w:rPr>
                <w:rFonts w:cs="Times New Roman"/>
                <w:color w:val="000000"/>
              </w:rPr>
              <w:t>16,886</w:t>
            </w:r>
          </w:p>
        </w:tc>
        <w:tc>
          <w:tcPr>
            <w:tcW w:w="1710" w:type="dxa"/>
            <w:tcBorders>
              <w:top w:val="nil"/>
              <w:left w:val="nil"/>
              <w:bottom w:val="single" w:sz="8" w:space="0" w:color="auto"/>
              <w:right w:val="single" w:sz="8" w:space="0" w:color="auto"/>
            </w:tcBorders>
            <w:vAlign w:val="center"/>
          </w:tcPr>
          <w:p w:rsidR="0052750A" w:rsidRPr="003876EC" w:rsidP="009C2D08" w14:paraId="57B47541" w14:textId="5306CAC2">
            <w:pPr>
              <w:jc w:val="center"/>
              <w:rPr>
                <w:rFonts w:eastAsia="Times New Roman" w:cs="Times New Roman"/>
                <w:color w:val="000000"/>
              </w:rPr>
            </w:pPr>
            <w:r w:rsidRPr="00AC5F6F">
              <w:rPr>
                <w:rFonts w:cs="Times New Roman"/>
                <w:color w:val="000000"/>
              </w:rPr>
              <w:t>$</w:t>
            </w:r>
            <w:r w:rsidR="00211DCE">
              <w:rPr>
                <w:rFonts w:cs="Times New Roman"/>
                <w:color w:val="000000"/>
              </w:rPr>
              <w:t>672,569</w:t>
            </w:r>
          </w:p>
        </w:tc>
        <w:tc>
          <w:tcPr>
            <w:tcW w:w="1980" w:type="dxa"/>
            <w:tcBorders>
              <w:top w:val="nil"/>
              <w:left w:val="nil"/>
              <w:bottom w:val="single" w:sz="8" w:space="0" w:color="auto"/>
              <w:right w:val="single" w:sz="8" w:space="0" w:color="auto"/>
            </w:tcBorders>
            <w:vAlign w:val="center"/>
          </w:tcPr>
          <w:p w:rsidR="0052750A" w:rsidRPr="003876EC" w:rsidP="009C2D08" w14:paraId="41031827" w14:textId="1ECEE8B3">
            <w:pPr>
              <w:jc w:val="center"/>
              <w:rPr>
                <w:rFonts w:eastAsia="Times New Roman" w:cs="Times New Roman"/>
                <w:color w:val="000000"/>
              </w:rPr>
            </w:pPr>
            <w:r w:rsidRPr="00AC5F6F">
              <w:rPr>
                <w:rFonts w:cs="Times New Roman"/>
                <w:color w:val="000000"/>
              </w:rPr>
              <w:t>$</w:t>
            </w:r>
            <w:r w:rsidR="002154C7">
              <w:rPr>
                <w:rFonts w:cs="Times New Roman"/>
                <w:color w:val="000000"/>
              </w:rPr>
              <w:t>848</w:t>
            </w:r>
          </w:p>
        </w:tc>
      </w:tr>
      <w:tr w14:paraId="457E52B1" w14:textId="77777777" w:rsidTr="009C2D08">
        <w:tblPrEx>
          <w:tblW w:w="9360" w:type="dxa"/>
          <w:tblLayout w:type="fixed"/>
          <w:tblLook w:val="04A0"/>
        </w:tblPrEx>
        <w:trPr>
          <w:cantSplit/>
        </w:trPr>
        <w:tc>
          <w:tcPr>
            <w:tcW w:w="2790" w:type="dxa"/>
            <w:tcBorders>
              <w:top w:val="nil"/>
              <w:left w:val="single" w:sz="8" w:space="0" w:color="auto"/>
              <w:bottom w:val="single" w:sz="8" w:space="0" w:color="auto"/>
              <w:right w:val="single" w:sz="8" w:space="0" w:color="auto"/>
            </w:tcBorders>
            <w:vAlign w:val="center"/>
            <w:hideMark/>
          </w:tcPr>
          <w:p w:rsidR="0052750A" w:rsidRPr="003876EC" w:rsidP="00635056" w14:paraId="73C2BC63" w14:textId="77777777">
            <w:pPr>
              <w:rPr>
                <w:rFonts w:eastAsia="Times New Roman" w:cs="Times New Roman"/>
                <w:color w:val="000000"/>
              </w:rPr>
            </w:pPr>
            <w:r w:rsidRPr="003876EC">
              <w:rPr>
                <w:rFonts w:eastAsia="Times New Roman" w:cs="Times New Roman"/>
                <w:color w:val="000000"/>
              </w:rPr>
              <w:t>202</w:t>
            </w:r>
            <w:r>
              <w:rPr>
                <w:rFonts w:eastAsia="Times New Roman" w:cs="Times New Roman"/>
                <w:color w:val="000000"/>
              </w:rPr>
              <w:t>7</w:t>
            </w:r>
            <w:r w:rsidRPr="003876EC">
              <w:rPr>
                <w:rFonts w:eastAsia="Times New Roman" w:cs="Times New Roman"/>
                <w:color w:val="000000"/>
              </w:rPr>
              <w:t xml:space="preserve"> GSS</w:t>
            </w:r>
          </w:p>
        </w:tc>
        <w:tc>
          <w:tcPr>
            <w:tcW w:w="1620" w:type="dxa"/>
            <w:tcBorders>
              <w:top w:val="nil"/>
              <w:left w:val="nil"/>
              <w:bottom w:val="single" w:sz="8" w:space="0" w:color="auto"/>
              <w:right w:val="single" w:sz="8" w:space="0" w:color="auto"/>
            </w:tcBorders>
            <w:vAlign w:val="center"/>
          </w:tcPr>
          <w:p w:rsidR="0052750A" w:rsidRPr="003876EC" w:rsidP="009C2D08" w14:paraId="10C2150F" w14:textId="77777777">
            <w:pPr>
              <w:jc w:val="center"/>
              <w:rPr>
                <w:rFonts w:eastAsia="Times New Roman" w:cs="Times New Roman"/>
                <w:color w:val="000000"/>
              </w:rPr>
            </w:pPr>
            <w:r w:rsidRPr="00AC5F6F">
              <w:rPr>
                <w:rFonts w:cs="Times New Roman"/>
                <w:color w:val="000000"/>
              </w:rPr>
              <w:t>839</w:t>
            </w:r>
          </w:p>
        </w:tc>
        <w:tc>
          <w:tcPr>
            <w:tcW w:w="1260" w:type="dxa"/>
            <w:tcBorders>
              <w:top w:val="nil"/>
              <w:left w:val="nil"/>
              <w:bottom w:val="single" w:sz="8" w:space="0" w:color="auto"/>
              <w:right w:val="single" w:sz="8" w:space="0" w:color="auto"/>
            </w:tcBorders>
            <w:vAlign w:val="center"/>
          </w:tcPr>
          <w:p w:rsidR="0052750A" w:rsidRPr="003876EC" w:rsidP="009C2D08" w14:paraId="00AE93EE" w14:textId="77777777">
            <w:pPr>
              <w:jc w:val="center"/>
              <w:rPr>
                <w:rFonts w:eastAsia="Times New Roman" w:cs="Times New Roman"/>
                <w:color w:val="000000"/>
              </w:rPr>
            </w:pPr>
            <w:r>
              <w:rPr>
                <w:rFonts w:cs="Times New Roman"/>
                <w:color w:val="000000"/>
              </w:rPr>
              <w:t>17,009</w:t>
            </w:r>
          </w:p>
        </w:tc>
        <w:tc>
          <w:tcPr>
            <w:tcW w:w="1710" w:type="dxa"/>
            <w:tcBorders>
              <w:top w:val="nil"/>
              <w:left w:val="nil"/>
              <w:bottom w:val="single" w:sz="8" w:space="0" w:color="auto"/>
              <w:right w:val="single" w:sz="8" w:space="0" w:color="auto"/>
            </w:tcBorders>
            <w:vAlign w:val="center"/>
          </w:tcPr>
          <w:p w:rsidR="0052750A" w:rsidRPr="003876EC" w:rsidP="009C2D08" w14:paraId="446DBCC5" w14:textId="627D611E">
            <w:pPr>
              <w:jc w:val="center"/>
              <w:rPr>
                <w:rFonts w:eastAsia="Times New Roman" w:cs="Times New Roman"/>
                <w:color w:val="000000"/>
              </w:rPr>
            </w:pPr>
            <w:r w:rsidRPr="00AC5F6F">
              <w:rPr>
                <w:rFonts w:cs="Times New Roman"/>
                <w:color w:val="000000"/>
              </w:rPr>
              <w:t>$</w:t>
            </w:r>
            <w:r w:rsidR="00211DCE">
              <w:rPr>
                <w:rFonts w:cs="Times New Roman"/>
                <w:color w:val="000000"/>
              </w:rPr>
              <w:t>677,468</w:t>
            </w:r>
          </w:p>
        </w:tc>
        <w:tc>
          <w:tcPr>
            <w:tcW w:w="1980" w:type="dxa"/>
            <w:tcBorders>
              <w:top w:val="nil"/>
              <w:left w:val="nil"/>
              <w:bottom w:val="single" w:sz="8" w:space="0" w:color="auto"/>
              <w:right w:val="single" w:sz="8" w:space="0" w:color="auto"/>
            </w:tcBorders>
            <w:vAlign w:val="center"/>
          </w:tcPr>
          <w:p w:rsidR="0052750A" w:rsidRPr="003876EC" w:rsidP="009C2D08" w14:paraId="40EFAAF5" w14:textId="48D08E1C">
            <w:pPr>
              <w:jc w:val="center"/>
              <w:rPr>
                <w:rFonts w:eastAsia="Times New Roman" w:cs="Times New Roman"/>
                <w:color w:val="000000"/>
              </w:rPr>
            </w:pPr>
            <w:r w:rsidRPr="00AC5F6F">
              <w:rPr>
                <w:rFonts w:cs="Times New Roman"/>
                <w:color w:val="000000"/>
              </w:rPr>
              <w:t>$</w:t>
            </w:r>
            <w:r w:rsidR="002154C7">
              <w:rPr>
                <w:rFonts w:cs="Times New Roman"/>
                <w:color w:val="000000"/>
              </w:rPr>
              <w:t>807</w:t>
            </w:r>
          </w:p>
        </w:tc>
      </w:tr>
      <w:tr w14:paraId="4C871F08" w14:textId="77777777" w:rsidTr="009C2D08">
        <w:tblPrEx>
          <w:tblW w:w="9360" w:type="dxa"/>
          <w:tblLayout w:type="fixed"/>
          <w:tblLook w:val="04A0"/>
        </w:tblPrEx>
        <w:trPr>
          <w:cantSplit/>
        </w:trPr>
        <w:tc>
          <w:tcPr>
            <w:tcW w:w="2790" w:type="dxa"/>
            <w:tcBorders>
              <w:top w:val="nil"/>
              <w:left w:val="single" w:sz="8" w:space="0" w:color="auto"/>
              <w:bottom w:val="single" w:sz="8" w:space="0" w:color="auto"/>
              <w:right w:val="single" w:sz="8" w:space="0" w:color="auto"/>
            </w:tcBorders>
            <w:vAlign w:val="center"/>
          </w:tcPr>
          <w:p w:rsidR="0052750A" w:rsidRPr="003876EC" w:rsidP="009C2D08" w14:paraId="1A373A67" w14:textId="03E89F9E">
            <w:pPr>
              <w:ind w:left="255"/>
              <w:rPr>
                <w:rFonts w:eastAsia="Times New Roman" w:cs="Times New Roman"/>
                <w:color w:val="000000"/>
              </w:rPr>
            </w:pPr>
            <w:r w:rsidRPr="003876EC">
              <w:rPr>
                <w:rFonts w:eastAsia="Times New Roman" w:cs="Times New Roman"/>
                <w:color w:val="000000"/>
              </w:rPr>
              <w:t xml:space="preserve">GSS </w:t>
            </w:r>
            <w:r w:rsidR="0070768A">
              <w:rPr>
                <w:rFonts w:eastAsia="Times New Roman" w:cs="Times New Roman"/>
                <w:color w:val="000000"/>
              </w:rPr>
              <w:t>c</w:t>
            </w:r>
            <w:r w:rsidRPr="003876EC">
              <w:rPr>
                <w:rFonts w:eastAsia="Times New Roman" w:cs="Times New Roman"/>
                <w:color w:val="000000"/>
              </w:rPr>
              <w:t>oordinators</w:t>
            </w:r>
          </w:p>
        </w:tc>
        <w:tc>
          <w:tcPr>
            <w:tcW w:w="1620" w:type="dxa"/>
            <w:tcBorders>
              <w:top w:val="nil"/>
              <w:left w:val="nil"/>
              <w:bottom w:val="single" w:sz="8" w:space="0" w:color="auto"/>
              <w:right w:val="single" w:sz="8" w:space="0" w:color="auto"/>
            </w:tcBorders>
            <w:vAlign w:val="center"/>
          </w:tcPr>
          <w:p w:rsidR="0052750A" w:rsidRPr="00AC5F6F" w:rsidP="009C2D08" w14:paraId="53C83CAF" w14:textId="77777777">
            <w:pPr>
              <w:jc w:val="center"/>
              <w:rPr>
                <w:rFonts w:eastAsia="Times New Roman" w:cs="Times New Roman"/>
                <w:color w:val="000000"/>
              </w:rPr>
            </w:pPr>
            <w:r w:rsidRPr="00AC5F6F">
              <w:rPr>
                <w:rFonts w:cs="Times New Roman"/>
                <w:color w:val="000000"/>
              </w:rPr>
              <w:t>798</w:t>
            </w:r>
          </w:p>
        </w:tc>
        <w:tc>
          <w:tcPr>
            <w:tcW w:w="1260" w:type="dxa"/>
            <w:tcBorders>
              <w:top w:val="nil"/>
              <w:left w:val="nil"/>
              <w:bottom w:val="single" w:sz="8" w:space="0" w:color="auto"/>
              <w:right w:val="single" w:sz="8" w:space="0" w:color="auto"/>
            </w:tcBorders>
            <w:vAlign w:val="center"/>
          </w:tcPr>
          <w:p w:rsidR="0052750A" w:rsidRPr="00AC5F6F" w:rsidP="009C2D08" w14:paraId="43CCF96A" w14:textId="77777777">
            <w:pPr>
              <w:jc w:val="center"/>
              <w:rPr>
                <w:rFonts w:eastAsia="Times New Roman" w:cs="Times New Roman"/>
                <w:color w:val="000000"/>
              </w:rPr>
            </w:pPr>
            <w:r>
              <w:rPr>
                <w:rFonts w:cs="Times New Roman"/>
                <w:color w:val="000000"/>
              </w:rPr>
              <w:t>16,923</w:t>
            </w:r>
          </w:p>
        </w:tc>
        <w:tc>
          <w:tcPr>
            <w:tcW w:w="1710" w:type="dxa"/>
            <w:tcBorders>
              <w:top w:val="nil"/>
              <w:left w:val="nil"/>
              <w:bottom w:val="single" w:sz="8" w:space="0" w:color="auto"/>
              <w:right w:val="single" w:sz="8" w:space="0" w:color="auto"/>
            </w:tcBorders>
            <w:vAlign w:val="center"/>
          </w:tcPr>
          <w:p w:rsidR="0052750A" w:rsidRPr="00AC5F6F" w:rsidP="009C2D08" w14:paraId="29892A4E" w14:textId="4D87BBBA">
            <w:pPr>
              <w:jc w:val="center"/>
              <w:rPr>
                <w:rFonts w:eastAsia="Times New Roman" w:cs="Times New Roman"/>
                <w:color w:val="000000"/>
              </w:rPr>
            </w:pPr>
            <w:r w:rsidRPr="00AC5F6F">
              <w:rPr>
                <w:rFonts w:cs="Times New Roman"/>
                <w:color w:val="000000"/>
              </w:rPr>
              <w:t>$</w:t>
            </w:r>
            <w:r w:rsidR="00211DCE">
              <w:rPr>
                <w:rFonts w:cs="Times New Roman"/>
                <w:color w:val="000000"/>
              </w:rPr>
              <w:t>674,043</w:t>
            </w:r>
          </w:p>
        </w:tc>
        <w:tc>
          <w:tcPr>
            <w:tcW w:w="1980" w:type="dxa"/>
            <w:tcBorders>
              <w:top w:val="nil"/>
              <w:left w:val="nil"/>
              <w:bottom w:val="single" w:sz="8" w:space="0" w:color="auto"/>
              <w:right w:val="single" w:sz="8" w:space="0" w:color="auto"/>
            </w:tcBorders>
            <w:vAlign w:val="center"/>
          </w:tcPr>
          <w:p w:rsidR="0052750A" w:rsidRPr="00AC5F6F" w:rsidP="009C2D08" w14:paraId="0E28C12A" w14:textId="2034DC57">
            <w:pPr>
              <w:jc w:val="center"/>
              <w:rPr>
                <w:rFonts w:eastAsia="Times New Roman" w:cs="Times New Roman"/>
                <w:color w:val="000000"/>
              </w:rPr>
            </w:pPr>
            <w:r w:rsidRPr="00AC5F6F">
              <w:rPr>
                <w:rFonts w:cs="Times New Roman"/>
                <w:color w:val="000000"/>
              </w:rPr>
              <w:t>$</w:t>
            </w:r>
            <w:r w:rsidR="002154C7">
              <w:rPr>
                <w:rFonts w:cs="Times New Roman"/>
                <w:color w:val="000000"/>
              </w:rPr>
              <w:t>845</w:t>
            </w:r>
          </w:p>
        </w:tc>
      </w:tr>
      <w:tr w14:paraId="3D5D3E7F" w14:textId="77777777" w:rsidTr="009C2D08">
        <w:tblPrEx>
          <w:tblW w:w="9360" w:type="dxa"/>
          <w:tblLayout w:type="fixed"/>
          <w:tblLook w:val="04A0"/>
        </w:tblPrEx>
        <w:trPr>
          <w:cantSplit/>
        </w:trPr>
        <w:tc>
          <w:tcPr>
            <w:tcW w:w="2790" w:type="dxa"/>
            <w:tcBorders>
              <w:top w:val="nil"/>
              <w:left w:val="single" w:sz="8" w:space="0" w:color="auto"/>
              <w:bottom w:val="single" w:sz="8" w:space="0" w:color="auto"/>
              <w:right w:val="single" w:sz="8" w:space="0" w:color="auto"/>
            </w:tcBorders>
            <w:vAlign w:val="center"/>
          </w:tcPr>
          <w:p w:rsidR="0052750A" w:rsidRPr="003876EC" w:rsidP="009C2D08" w14:paraId="76BE4746" w14:textId="26F5C8DA">
            <w:pPr>
              <w:ind w:left="255"/>
              <w:rPr>
                <w:rFonts w:eastAsia="Times New Roman" w:cs="Times New Roman"/>
                <w:color w:val="000000"/>
              </w:rPr>
            </w:pPr>
            <w:r w:rsidRPr="003876EC">
              <w:rPr>
                <w:rFonts w:eastAsia="Times New Roman" w:cs="Times New Roman"/>
                <w:color w:val="000000"/>
              </w:rPr>
              <w:t xml:space="preserve">FFRDC </w:t>
            </w:r>
            <w:r w:rsidR="0070768A">
              <w:rPr>
                <w:rFonts w:eastAsia="Times New Roman" w:cs="Times New Roman"/>
                <w:color w:val="000000"/>
              </w:rPr>
              <w:t>c</w:t>
            </w:r>
            <w:r w:rsidRPr="003876EC">
              <w:rPr>
                <w:rFonts w:eastAsia="Times New Roman" w:cs="Times New Roman"/>
                <w:color w:val="000000"/>
              </w:rPr>
              <w:t>oordinators</w:t>
            </w:r>
          </w:p>
        </w:tc>
        <w:tc>
          <w:tcPr>
            <w:tcW w:w="1620" w:type="dxa"/>
            <w:tcBorders>
              <w:top w:val="nil"/>
              <w:left w:val="nil"/>
              <w:bottom w:val="single" w:sz="8" w:space="0" w:color="auto"/>
              <w:right w:val="single" w:sz="8" w:space="0" w:color="auto"/>
            </w:tcBorders>
            <w:vAlign w:val="center"/>
          </w:tcPr>
          <w:p w:rsidR="0052750A" w:rsidRPr="00AC5F6F" w:rsidP="009C2D08" w14:paraId="7CC152AB" w14:textId="77777777">
            <w:pPr>
              <w:jc w:val="center"/>
              <w:rPr>
                <w:rFonts w:eastAsia="Times New Roman" w:cs="Times New Roman"/>
                <w:color w:val="000000"/>
              </w:rPr>
            </w:pPr>
            <w:r w:rsidRPr="00AC5F6F">
              <w:rPr>
                <w:rFonts w:cs="Times New Roman"/>
                <w:color w:val="000000"/>
              </w:rPr>
              <w:t>41</w:t>
            </w:r>
          </w:p>
        </w:tc>
        <w:tc>
          <w:tcPr>
            <w:tcW w:w="1260" w:type="dxa"/>
            <w:tcBorders>
              <w:top w:val="nil"/>
              <w:left w:val="nil"/>
              <w:bottom w:val="single" w:sz="8" w:space="0" w:color="auto"/>
              <w:right w:val="single" w:sz="8" w:space="0" w:color="auto"/>
            </w:tcBorders>
            <w:vAlign w:val="center"/>
          </w:tcPr>
          <w:p w:rsidR="0052750A" w:rsidRPr="00AC5F6F" w:rsidP="009C2D08" w14:paraId="1F8D6F45" w14:textId="77777777">
            <w:pPr>
              <w:jc w:val="center"/>
              <w:rPr>
                <w:rFonts w:eastAsia="Times New Roman" w:cs="Times New Roman"/>
                <w:color w:val="000000"/>
              </w:rPr>
            </w:pPr>
            <w:r>
              <w:rPr>
                <w:rFonts w:cs="Times New Roman"/>
                <w:color w:val="000000"/>
              </w:rPr>
              <w:t>86</w:t>
            </w:r>
          </w:p>
        </w:tc>
        <w:tc>
          <w:tcPr>
            <w:tcW w:w="1710" w:type="dxa"/>
            <w:tcBorders>
              <w:top w:val="nil"/>
              <w:left w:val="nil"/>
              <w:bottom w:val="single" w:sz="8" w:space="0" w:color="auto"/>
              <w:right w:val="single" w:sz="8" w:space="0" w:color="auto"/>
            </w:tcBorders>
            <w:vAlign w:val="center"/>
          </w:tcPr>
          <w:p w:rsidR="0052750A" w:rsidRPr="00AC5F6F" w:rsidP="009C2D08" w14:paraId="0FF27B5E" w14:textId="7ED53100">
            <w:pPr>
              <w:jc w:val="center"/>
              <w:rPr>
                <w:rFonts w:eastAsia="Times New Roman" w:cs="Times New Roman"/>
                <w:color w:val="000000"/>
              </w:rPr>
            </w:pPr>
            <w:r w:rsidRPr="00AC5F6F">
              <w:rPr>
                <w:rFonts w:cs="Times New Roman"/>
                <w:color w:val="000000"/>
              </w:rPr>
              <w:t>$</w:t>
            </w:r>
            <w:r w:rsidR="00211DCE">
              <w:rPr>
                <w:rFonts w:cs="Times New Roman"/>
                <w:color w:val="000000"/>
              </w:rPr>
              <w:t>3,425</w:t>
            </w:r>
          </w:p>
        </w:tc>
        <w:tc>
          <w:tcPr>
            <w:tcW w:w="1980" w:type="dxa"/>
            <w:tcBorders>
              <w:top w:val="nil"/>
              <w:left w:val="nil"/>
              <w:bottom w:val="single" w:sz="8" w:space="0" w:color="auto"/>
              <w:right w:val="single" w:sz="8" w:space="0" w:color="auto"/>
            </w:tcBorders>
            <w:vAlign w:val="center"/>
          </w:tcPr>
          <w:p w:rsidR="0052750A" w:rsidRPr="00AC5F6F" w:rsidP="009C2D08" w14:paraId="64737BB2" w14:textId="53C5C6FB">
            <w:pPr>
              <w:jc w:val="center"/>
              <w:rPr>
                <w:rFonts w:eastAsia="Times New Roman" w:cs="Times New Roman"/>
                <w:color w:val="000000"/>
              </w:rPr>
            </w:pPr>
            <w:r w:rsidRPr="00AC5F6F">
              <w:rPr>
                <w:rFonts w:cs="Times New Roman"/>
                <w:color w:val="000000"/>
              </w:rPr>
              <w:t>$</w:t>
            </w:r>
            <w:r w:rsidR="002154C7">
              <w:rPr>
                <w:rFonts w:cs="Times New Roman"/>
                <w:color w:val="000000"/>
              </w:rPr>
              <w:t>84</w:t>
            </w:r>
          </w:p>
        </w:tc>
      </w:tr>
      <w:tr w14:paraId="2F252461" w14:textId="77777777" w:rsidTr="009C2D08">
        <w:tblPrEx>
          <w:tblW w:w="9360" w:type="dxa"/>
          <w:tblLayout w:type="fixed"/>
          <w:tblLook w:val="04A0"/>
        </w:tblPrEx>
        <w:trPr>
          <w:cantSplit/>
        </w:trPr>
        <w:tc>
          <w:tcPr>
            <w:tcW w:w="2790" w:type="dxa"/>
            <w:tcBorders>
              <w:top w:val="nil"/>
              <w:left w:val="single" w:sz="8" w:space="0" w:color="auto"/>
              <w:bottom w:val="single" w:sz="8" w:space="0" w:color="auto"/>
              <w:right w:val="single" w:sz="8" w:space="0" w:color="auto"/>
            </w:tcBorders>
            <w:vAlign w:val="center"/>
            <w:hideMark/>
          </w:tcPr>
          <w:p w:rsidR="0052750A" w:rsidRPr="003876EC" w:rsidP="00635056" w14:paraId="3D335804" w14:textId="77777777">
            <w:pPr>
              <w:rPr>
                <w:rFonts w:eastAsia="Times New Roman" w:cs="Times New Roman"/>
                <w:color w:val="000000"/>
              </w:rPr>
            </w:pPr>
            <w:r w:rsidRPr="003876EC">
              <w:rPr>
                <w:rFonts w:eastAsia="Times New Roman" w:cs="Times New Roman"/>
                <w:color w:val="000000"/>
              </w:rPr>
              <w:t>202</w:t>
            </w:r>
            <w:r>
              <w:rPr>
                <w:rFonts w:eastAsia="Times New Roman" w:cs="Times New Roman"/>
                <w:color w:val="000000"/>
              </w:rPr>
              <w:t>8</w:t>
            </w:r>
            <w:r w:rsidRPr="003876EC">
              <w:rPr>
                <w:rFonts w:eastAsia="Times New Roman" w:cs="Times New Roman"/>
                <w:color w:val="000000"/>
              </w:rPr>
              <w:t xml:space="preserve"> GSS</w:t>
            </w:r>
          </w:p>
        </w:tc>
        <w:tc>
          <w:tcPr>
            <w:tcW w:w="1620" w:type="dxa"/>
            <w:tcBorders>
              <w:top w:val="nil"/>
              <w:left w:val="nil"/>
              <w:bottom w:val="single" w:sz="8" w:space="0" w:color="auto"/>
              <w:right w:val="single" w:sz="8" w:space="0" w:color="auto"/>
            </w:tcBorders>
            <w:vAlign w:val="center"/>
          </w:tcPr>
          <w:p w:rsidR="0052750A" w:rsidRPr="003876EC" w:rsidP="009C2D08" w14:paraId="75C46F09" w14:textId="77777777">
            <w:pPr>
              <w:jc w:val="center"/>
              <w:rPr>
                <w:rFonts w:eastAsia="Times New Roman" w:cs="Times New Roman"/>
                <w:color w:val="000000"/>
              </w:rPr>
            </w:pPr>
            <w:r w:rsidRPr="00AC5F6F">
              <w:rPr>
                <w:rFonts w:cs="Times New Roman"/>
                <w:color w:val="000000"/>
              </w:rPr>
              <w:t>803</w:t>
            </w:r>
          </w:p>
        </w:tc>
        <w:tc>
          <w:tcPr>
            <w:tcW w:w="1260" w:type="dxa"/>
            <w:tcBorders>
              <w:top w:val="nil"/>
              <w:left w:val="nil"/>
              <w:bottom w:val="single" w:sz="8" w:space="0" w:color="auto"/>
              <w:right w:val="single" w:sz="8" w:space="0" w:color="auto"/>
            </w:tcBorders>
            <w:vAlign w:val="center"/>
          </w:tcPr>
          <w:p w:rsidR="0052750A" w:rsidRPr="003876EC" w:rsidP="009C2D08" w14:paraId="0BE4A775" w14:textId="77777777">
            <w:pPr>
              <w:jc w:val="center"/>
              <w:rPr>
                <w:rFonts w:eastAsia="Times New Roman" w:cs="Times New Roman"/>
                <w:color w:val="000000"/>
              </w:rPr>
            </w:pPr>
            <w:r>
              <w:rPr>
                <w:rFonts w:cs="Times New Roman"/>
                <w:color w:val="000000"/>
              </w:rPr>
              <w:t>16,960</w:t>
            </w:r>
          </w:p>
        </w:tc>
        <w:tc>
          <w:tcPr>
            <w:tcW w:w="1710" w:type="dxa"/>
            <w:tcBorders>
              <w:top w:val="nil"/>
              <w:left w:val="nil"/>
              <w:bottom w:val="single" w:sz="8" w:space="0" w:color="auto"/>
              <w:right w:val="single" w:sz="8" w:space="0" w:color="auto"/>
            </w:tcBorders>
            <w:vAlign w:val="center"/>
          </w:tcPr>
          <w:p w:rsidR="0052750A" w:rsidRPr="003876EC" w:rsidP="009C2D08" w14:paraId="5DF8D84B" w14:textId="14BAEE87">
            <w:pPr>
              <w:jc w:val="center"/>
              <w:rPr>
                <w:rFonts w:eastAsia="Times New Roman" w:cs="Times New Roman"/>
                <w:color w:val="000000"/>
              </w:rPr>
            </w:pPr>
            <w:r w:rsidRPr="00AC5F6F">
              <w:rPr>
                <w:rFonts w:cs="Times New Roman"/>
                <w:color w:val="000000"/>
              </w:rPr>
              <w:t>$</w:t>
            </w:r>
            <w:r w:rsidR="00211DCE">
              <w:rPr>
                <w:rFonts w:cs="Times New Roman"/>
                <w:color w:val="000000"/>
              </w:rPr>
              <w:t>675,5</w:t>
            </w:r>
            <w:r w:rsidR="002154C7">
              <w:rPr>
                <w:rFonts w:cs="Times New Roman"/>
                <w:color w:val="000000"/>
              </w:rPr>
              <w:t>17</w:t>
            </w:r>
          </w:p>
        </w:tc>
        <w:tc>
          <w:tcPr>
            <w:tcW w:w="1980" w:type="dxa"/>
            <w:tcBorders>
              <w:top w:val="nil"/>
              <w:left w:val="nil"/>
              <w:bottom w:val="single" w:sz="8" w:space="0" w:color="auto"/>
              <w:right w:val="single" w:sz="8" w:space="0" w:color="auto"/>
            </w:tcBorders>
            <w:vAlign w:val="center"/>
          </w:tcPr>
          <w:p w:rsidR="0052750A" w:rsidRPr="003876EC" w:rsidP="009C2D08" w14:paraId="2E8E9634" w14:textId="36E12AA6">
            <w:pPr>
              <w:jc w:val="center"/>
              <w:rPr>
                <w:rFonts w:eastAsia="Times New Roman" w:cs="Times New Roman"/>
                <w:color w:val="000000"/>
              </w:rPr>
            </w:pPr>
            <w:r w:rsidRPr="00AC5F6F">
              <w:rPr>
                <w:rFonts w:cs="Times New Roman"/>
                <w:color w:val="000000"/>
              </w:rPr>
              <w:t>$</w:t>
            </w:r>
            <w:r w:rsidR="002154C7">
              <w:rPr>
                <w:rFonts w:cs="Times New Roman"/>
                <w:color w:val="000000"/>
              </w:rPr>
              <w:t>841</w:t>
            </w:r>
          </w:p>
        </w:tc>
      </w:tr>
      <w:tr w14:paraId="159DBFC7" w14:textId="77777777" w:rsidTr="009C2D08">
        <w:tblPrEx>
          <w:tblW w:w="9360" w:type="dxa"/>
          <w:tblLayout w:type="fixed"/>
          <w:tblLook w:val="04A0"/>
        </w:tblPrEx>
        <w:trPr>
          <w:cantSplit/>
        </w:trPr>
        <w:tc>
          <w:tcPr>
            <w:tcW w:w="2790" w:type="dxa"/>
            <w:tcBorders>
              <w:top w:val="nil"/>
              <w:left w:val="single" w:sz="8" w:space="0" w:color="auto"/>
              <w:bottom w:val="single" w:sz="8" w:space="0" w:color="auto"/>
              <w:right w:val="single" w:sz="8" w:space="0" w:color="auto"/>
            </w:tcBorders>
            <w:vAlign w:val="center"/>
            <w:hideMark/>
          </w:tcPr>
          <w:p w:rsidR="0052750A" w:rsidRPr="003876EC" w:rsidP="00635056" w14:paraId="3EF16EC3" w14:textId="772E0402">
            <w:pPr>
              <w:rPr>
                <w:rFonts w:eastAsia="Times New Roman" w:cs="Times New Roman"/>
                <w:color w:val="000000"/>
              </w:rPr>
            </w:pPr>
            <w:r w:rsidRPr="003876EC">
              <w:rPr>
                <w:rFonts w:eastAsia="Times New Roman" w:cs="Times New Roman"/>
                <w:color w:val="000000"/>
              </w:rPr>
              <w:t xml:space="preserve">Future methodological testing (all </w:t>
            </w:r>
            <w:r w:rsidR="00FB36E5">
              <w:rPr>
                <w:rFonts w:eastAsia="Times New Roman" w:cs="Times New Roman"/>
                <w:color w:val="000000"/>
              </w:rPr>
              <w:t>three</w:t>
            </w:r>
            <w:r w:rsidRPr="003876EC">
              <w:rPr>
                <w:rFonts w:eastAsia="Times New Roman" w:cs="Times New Roman"/>
                <w:color w:val="000000"/>
              </w:rPr>
              <w:t xml:space="preserve"> years)</w:t>
            </w:r>
          </w:p>
        </w:tc>
        <w:tc>
          <w:tcPr>
            <w:tcW w:w="1620" w:type="dxa"/>
            <w:tcBorders>
              <w:top w:val="nil"/>
              <w:left w:val="nil"/>
              <w:bottom w:val="single" w:sz="8" w:space="0" w:color="auto"/>
              <w:right w:val="single" w:sz="8" w:space="0" w:color="auto"/>
            </w:tcBorders>
            <w:vAlign w:val="center"/>
          </w:tcPr>
          <w:p w:rsidR="0052750A" w:rsidRPr="003876EC" w:rsidP="009C2D08" w14:paraId="4F32FA4B" w14:textId="77777777">
            <w:pPr>
              <w:jc w:val="center"/>
              <w:rPr>
                <w:rFonts w:eastAsia="Times New Roman" w:cs="Times New Roman"/>
                <w:color w:val="000000"/>
              </w:rPr>
            </w:pPr>
            <w:r w:rsidRPr="00AC5F6F">
              <w:rPr>
                <w:rFonts w:cs="Times New Roman"/>
                <w:color w:val="000000"/>
              </w:rPr>
              <w:t>--</w:t>
            </w:r>
          </w:p>
        </w:tc>
        <w:tc>
          <w:tcPr>
            <w:tcW w:w="1260" w:type="dxa"/>
            <w:tcBorders>
              <w:top w:val="nil"/>
              <w:left w:val="nil"/>
              <w:bottom w:val="single" w:sz="8" w:space="0" w:color="auto"/>
              <w:right w:val="single" w:sz="8" w:space="0" w:color="auto"/>
            </w:tcBorders>
            <w:vAlign w:val="center"/>
          </w:tcPr>
          <w:p w:rsidR="0052750A" w:rsidRPr="003876EC" w:rsidP="009C2D08" w14:paraId="71B8E5B6" w14:textId="77777777">
            <w:pPr>
              <w:jc w:val="center"/>
              <w:rPr>
                <w:rFonts w:eastAsia="Times New Roman" w:cs="Times New Roman"/>
                <w:color w:val="000000"/>
              </w:rPr>
            </w:pPr>
            <w:r w:rsidRPr="00AC5F6F">
              <w:rPr>
                <w:rFonts w:cs="Times New Roman"/>
                <w:color w:val="000000"/>
              </w:rPr>
              <w:t>2,000</w:t>
            </w:r>
          </w:p>
        </w:tc>
        <w:tc>
          <w:tcPr>
            <w:tcW w:w="1710" w:type="dxa"/>
            <w:tcBorders>
              <w:top w:val="nil"/>
              <w:left w:val="nil"/>
              <w:bottom w:val="single" w:sz="8" w:space="0" w:color="auto"/>
              <w:right w:val="single" w:sz="8" w:space="0" w:color="auto"/>
            </w:tcBorders>
            <w:vAlign w:val="center"/>
          </w:tcPr>
          <w:p w:rsidR="0052750A" w:rsidRPr="003876EC" w:rsidP="009C2D08" w14:paraId="5D51687B" w14:textId="3B5CBB89">
            <w:pPr>
              <w:jc w:val="center"/>
              <w:rPr>
                <w:rFonts w:eastAsia="Times New Roman" w:cs="Times New Roman"/>
                <w:color w:val="000000"/>
              </w:rPr>
            </w:pPr>
            <w:r w:rsidRPr="00AC5F6F">
              <w:rPr>
                <w:rFonts w:cs="Times New Roman"/>
                <w:color w:val="000000"/>
              </w:rPr>
              <w:t>$</w:t>
            </w:r>
            <w:r w:rsidR="002154C7">
              <w:rPr>
                <w:rFonts w:cs="Times New Roman"/>
                <w:color w:val="000000"/>
              </w:rPr>
              <w:t>79,660</w:t>
            </w:r>
          </w:p>
        </w:tc>
        <w:tc>
          <w:tcPr>
            <w:tcW w:w="1980" w:type="dxa"/>
            <w:tcBorders>
              <w:top w:val="nil"/>
              <w:left w:val="nil"/>
              <w:bottom w:val="single" w:sz="8" w:space="0" w:color="auto"/>
              <w:right w:val="single" w:sz="8" w:space="0" w:color="auto"/>
            </w:tcBorders>
            <w:vAlign w:val="center"/>
          </w:tcPr>
          <w:p w:rsidR="0052750A" w:rsidRPr="003876EC" w:rsidP="009C2D08" w14:paraId="17223025" w14:textId="77777777">
            <w:pPr>
              <w:jc w:val="center"/>
              <w:rPr>
                <w:rFonts w:eastAsia="Times New Roman" w:cs="Times New Roman"/>
                <w:color w:val="000000"/>
              </w:rPr>
            </w:pPr>
            <w:r w:rsidRPr="00AC5F6F">
              <w:rPr>
                <w:rFonts w:cs="Times New Roman"/>
                <w:color w:val="000000"/>
              </w:rPr>
              <w:t>NA</w:t>
            </w:r>
          </w:p>
        </w:tc>
      </w:tr>
      <w:tr w14:paraId="37ABEFF3" w14:textId="77777777" w:rsidTr="009C2D08">
        <w:tblPrEx>
          <w:tblW w:w="9360" w:type="dxa"/>
          <w:tblLayout w:type="fixed"/>
          <w:tblLook w:val="04A0"/>
        </w:tblPrEx>
        <w:trPr>
          <w:cantSplit/>
        </w:trPr>
        <w:tc>
          <w:tcPr>
            <w:tcW w:w="2790" w:type="dxa"/>
            <w:tcBorders>
              <w:top w:val="nil"/>
              <w:left w:val="single" w:sz="8" w:space="0" w:color="auto"/>
              <w:bottom w:val="single" w:sz="8" w:space="0" w:color="auto"/>
              <w:right w:val="single" w:sz="8" w:space="0" w:color="auto"/>
            </w:tcBorders>
            <w:vAlign w:val="center"/>
            <w:hideMark/>
          </w:tcPr>
          <w:p w:rsidR="0052750A" w:rsidRPr="003876EC" w:rsidP="00635056" w14:paraId="5FD301F1" w14:textId="77777777">
            <w:pPr>
              <w:rPr>
                <w:rFonts w:eastAsia="Times New Roman" w:cs="Times New Roman"/>
                <w:color w:val="000000"/>
              </w:rPr>
            </w:pPr>
            <w:r w:rsidRPr="003876EC">
              <w:rPr>
                <w:rFonts w:eastAsia="Times New Roman" w:cs="Times New Roman"/>
                <w:color w:val="000000"/>
              </w:rPr>
              <w:t>Total estimated burden</w:t>
            </w:r>
          </w:p>
        </w:tc>
        <w:tc>
          <w:tcPr>
            <w:tcW w:w="1620" w:type="dxa"/>
            <w:tcBorders>
              <w:top w:val="nil"/>
              <w:left w:val="nil"/>
              <w:bottom w:val="single" w:sz="8" w:space="0" w:color="auto"/>
              <w:right w:val="single" w:sz="8" w:space="0" w:color="auto"/>
            </w:tcBorders>
            <w:vAlign w:val="center"/>
          </w:tcPr>
          <w:p w:rsidR="0052750A" w:rsidRPr="003876EC" w:rsidP="009C2D08" w14:paraId="3CFE73C9" w14:textId="77777777">
            <w:pPr>
              <w:jc w:val="center"/>
              <w:rPr>
                <w:rFonts w:eastAsia="Times New Roman" w:cs="Times New Roman"/>
                <w:color w:val="000000"/>
              </w:rPr>
            </w:pPr>
            <w:r w:rsidRPr="00AC5F6F">
              <w:rPr>
                <w:rFonts w:cs="Times New Roman"/>
                <w:color w:val="000000"/>
              </w:rPr>
              <w:t>2,435</w:t>
            </w:r>
          </w:p>
        </w:tc>
        <w:tc>
          <w:tcPr>
            <w:tcW w:w="1260" w:type="dxa"/>
            <w:tcBorders>
              <w:top w:val="nil"/>
              <w:left w:val="nil"/>
              <w:bottom w:val="single" w:sz="8" w:space="0" w:color="auto"/>
              <w:right w:val="single" w:sz="8" w:space="0" w:color="auto"/>
            </w:tcBorders>
            <w:vAlign w:val="center"/>
          </w:tcPr>
          <w:p w:rsidR="0052750A" w:rsidRPr="003876EC" w:rsidP="009C2D08" w14:paraId="08ACBBD1" w14:textId="77777777">
            <w:pPr>
              <w:jc w:val="center"/>
              <w:rPr>
                <w:rFonts w:eastAsia="Times New Roman" w:cs="Times New Roman"/>
                <w:color w:val="000000"/>
              </w:rPr>
            </w:pPr>
            <w:r>
              <w:rPr>
                <w:rFonts w:cs="Times New Roman"/>
                <w:color w:val="000000"/>
              </w:rPr>
              <w:t>52,855</w:t>
            </w:r>
          </w:p>
        </w:tc>
        <w:tc>
          <w:tcPr>
            <w:tcW w:w="1710" w:type="dxa"/>
            <w:tcBorders>
              <w:top w:val="nil"/>
              <w:left w:val="nil"/>
              <w:bottom w:val="single" w:sz="8" w:space="0" w:color="auto"/>
              <w:right w:val="single" w:sz="8" w:space="0" w:color="auto"/>
            </w:tcBorders>
            <w:vAlign w:val="center"/>
          </w:tcPr>
          <w:p w:rsidR="0052750A" w:rsidRPr="003876EC" w:rsidP="009C2D08" w14:paraId="65ADF393" w14:textId="7FDED57B">
            <w:pPr>
              <w:jc w:val="center"/>
              <w:rPr>
                <w:rFonts w:eastAsia="Times New Roman" w:cs="Times New Roman"/>
                <w:color w:val="000000"/>
              </w:rPr>
            </w:pPr>
            <w:r w:rsidRPr="00AC5F6F">
              <w:rPr>
                <w:rFonts w:cs="Times New Roman"/>
                <w:color w:val="000000"/>
              </w:rPr>
              <w:t>$</w:t>
            </w:r>
            <w:r w:rsidR="002154C7">
              <w:rPr>
                <w:rFonts w:cs="Times New Roman"/>
                <w:color w:val="000000"/>
              </w:rPr>
              <w:t>2,105,214</w:t>
            </w:r>
          </w:p>
        </w:tc>
        <w:tc>
          <w:tcPr>
            <w:tcW w:w="1980" w:type="dxa"/>
            <w:tcBorders>
              <w:top w:val="nil"/>
              <w:left w:val="nil"/>
              <w:bottom w:val="single" w:sz="8" w:space="0" w:color="auto"/>
              <w:right w:val="single" w:sz="8" w:space="0" w:color="auto"/>
            </w:tcBorders>
            <w:vAlign w:val="center"/>
          </w:tcPr>
          <w:p w:rsidR="0052750A" w:rsidRPr="003876EC" w:rsidP="009C2D08" w14:paraId="5D664683" w14:textId="73831073">
            <w:pPr>
              <w:jc w:val="center"/>
              <w:rPr>
                <w:rFonts w:eastAsia="Times New Roman" w:cs="Times New Roman"/>
                <w:color w:val="000000"/>
              </w:rPr>
            </w:pPr>
            <w:r w:rsidRPr="00AC5F6F">
              <w:rPr>
                <w:rFonts w:cs="Times New Roman"/>
                <w:color w:val="000000"/>
              </w:rPr>
              <w:t>$</w:t>
            </w:r>
            <w:r w:rsidR="002154C7">
              <w:rPr>
                <w:rFonts w:cs="Times New Roman"/>
                <w:color w:val="000000"/>
              </w:rPr>
              <w:t>865</w:t>
            </w:r>
          </w:p>
        </w:tc>
      </w:tr>
      <w:tr w14:paraId="0B79816E" w14:textId="77777777" w:rsidTr="009C2D08">
        <w:tblPrEx>
          <w:tblW w:w="9360" w:type="dxa"/>
          <w:tblLayout w:type="fixed"/>
          <w:tblLook w:val="04A0"/>
        </w:tblPrEx>
        <w:trPr>
          <w:cantSplit/>
        </w:trPr>
        <w:tc>
          <w:tcPr>
            <w:tcW w:w="2790" w:type="dxa"/>
            <w:tcBorders>
              <w:top w:val="nil"/>
              <w:left w:val="single" w:sz="8" w:space="0" w:color="auto"/>
              <w:bottom w:val="single" w:sz="8" w:space="0" w:color="auto"/>
              <w:right w:val="single" w:sz="8" w:space="0" w:color="auto"/>
            </w:tcBorders>
            <w:vAlign w:val="center"/>
            <w:hideMark/>
          </w:tcPr>
          <w:p w:rsidR="0052750A" w:rsidRPr="003876EC" w:rsidP="00635056" w14:paraId="5A210761" w14:textId="77777777">
            <w:pPr>
              <w:rPr>
                <w:rFonts w:eastAsia="Times New Roman" w:cs="Times New Roman"/>
                <w:color w:val="000000"/>
              </w:rPr>
            </w:pPr>
            <w:r w:rsidRPr="003876EC">
              <w:rPr>
                <w:rFonts w:eastAsia="Times New Roman" w:cs="Times New Roman"/>
                <w:color w:val="000000"/>
              </w:rPr>
              <w:t>Estimated average annual burden</w:t>
            </w:r>
          </w:p>
        </w:tc>
        <w:tc>
          <w:tcPr>
            <w:tcW w:w="1620" w:type="dxa"/>
            <w:tcBorders>
              <w:top w:val="nil"/>
              <w:left w:val="nil"/>
              <w:bottom w:val="single" w:sz="8" w:space="0" w:color="auto"/>
              <w:right w:val="single" w:sz="8" w:space="0" w:color="auto"/>
            </w:tcBorders>
            <w:vAlign w:val="center"/>
          </w:tcPr>
          <w:p w:rsidR="0052750A" w:rsidRPr="003876EC" w:rsidP="009C2D08" w14:paraId="402506BB" w14:textId="77777777">
            <w:pPr>
              <w:jc w:val="center"/>
              <w:rPr>
                <w:rFonts w:eastAsia="Times New Roman" w:cs="Times New Roman"/>
                <w:color w:val="000000"/>
              </w:rPr>
            </w:pPr>
            <w:r w:rsidRPr="00AC5F6F">
              <w:rPr>
                <w:rFonts w:cs="Times New Roman"/>
                <w:color w:val="000000"/>
              </w:rPr>
              <w:t>812</w:t>
            </w:r>
          </w:p>
        </w:tc>
        <w:tc>
          <w:tcPr>
            <w:tcW w:w="1260" w:type="dxa"/>
            <w:tcBorders>
              <w:top w:val="nil"/>
              <w:left w:val="nil"/>
              <w:bottom w:val="single" w:sz="8" w:space="0" w:color="auto"/>
              <w:right w:val="single" w:sz="8" w:space="0" w:color="auto"/>
            </w:tcBorders>
            <w:vAlign w:val="center"/>
          </w:tcPr>
          <w:p w:rsidR="0052750A" w:rsidRPr="003876EC" w:rsidP="009C2D08" w14:paraId="677FFC63" w14:textId="77777777">
            <w:pPr>
              <w:jc w:val="center"/>
              <w:rPr>
                <w:rFonts w:eastAsia="Times New Roman" w:cs="Times New Roman"/>
                <w:color w:val="000000"/>
              </w:rPr>
            </w:pPr>
            <w:r>
              <w:rPr>
                <w:rFonts w:cs="Times New Roman"/>
                <w:color w:val="000000"/>
              </w:rPr>
              <w:t>17,618</w:t>
            </w:r>
          </w:p>
        </w:tc>
        <w:tc>
          <w:tcPr>
            <w:tcW w:w="1710" w:type="dxa"/>
            <w:tcBorders>
              <w:top w:val="nil"/>
              <w:left w:val="nil"/>
              <w:bottom w:val="single" w:sz="8" w:space="0" w:color="auto"/>
              <w:right w:val="single" w:sz="8" w:space="0" w:color="auto"/>
            </w:tcBorders>
            <w:vAlign w:val="center"/>
          </w:tcPr>
          <w:p w:rsidR="0052750A" w:rsidRPr="003876EC" w:rsidP="009C2D08" w14:paraId="3402549B" w14:textId="57B881B8">
            <w:pPr>
              <w:jc w:val="center"/>
              <w:rPr>
                <w:rFonts w:eastAsia="Times New Roman" w:cs="Times New Roman"/>
                <w:color w:val="000000"/>
              </w:rPr>
            </w:pPr>
            <w:r w:rsidRPr="00AC5F6F">
              <w:rPr>
                <w:rFonts w:cs="Times New Roman"/>
                <w:color w:val="000000"/>
              </w:rPr>
              <w:t>$</w:t>
            </w:r>
            <w:r w:rsidR="002154C7">
              <w:rPr>
                <w:rFonts w:cs="Times New Roman"/>
                <w:color w:val="000000"/>
              </w:rPr>
              <w:t>701,327</w:t>
            </w:r>
          </w:p>
        </w:tc>
        <w:tc>
          <w:tcPr>
            <w:tcW w:w="1980" w:type="dxa"/>
            <w:tcBorders>
              <w:top w:val="nil"/>
              <w:left w:val="nil"/>
              <w:bottom w:val="single" w:sz="8" w:space="0" w:color="auto"/>
              <w:right w:val="single" w:sz="8" w:space="0" w:color="auto"/>
            </w:tcBorders>
            <w:vAlign w:val="center"/>
          </w:tcPr>
          <w:p w:rsidR="0052750A" w:rsidRPr="003876EC" w:rsidP="009C2D08" w14:paraId="587494B3" w14:textId="4FD0268C">
            <w:pPr>
              <w:jc w:val="center"/>
              <w:rPr>
                <w:rFonts w:eastAsia="Times New Roman" w:cs="Times New Roman"/>
                <w:color w:val="000000"/>
              </w:rPr>
            </w:pPr>
            <w:r w:rsidRPr="00AC5F6F">
              <w:rPr>
                <w:rFonts w:cs="Times New Roman"/>
                <w:color w:val="000000"/>
              </w:rPr>
              <w:t>$</w:t>
            </w:r>
            <w:r w:rsidR="002154C7">
              <w:rPr>
                <w:rFonts w:cs="Times New Roman"/>
                <w:color w:val="000000"/>
              </w:rPr>
              <w:t>864</w:t>
            </w:r>
          </w:p>
        </w:tc>
      </w:tr>
    </w:tbl>
    <w:p w:rsidR="0052750A" w:rsidRPr="003876EC" w:rsidP="009C2D08" w14:paraId="4F6709BD" w14:textId="56CB274C">
      <w:pPr>
        <w:pStyle w:val="Heading2"/>
        <w:rPr>
          <w:bCs/>
        </w:rPr>
      </w:pPr>
      <w:bookmarkStart w:id="59" w:name="_Toc225442541"/>
      <w:r w:rsidRPr="003876EC">
        <w:t>A.13</w:t>
      </w:r>
      <w:r w:rsidRPr="003876EC">
        <w:tab/>
        <w:t>Cost Burden to Respondents</w:t>
      </w:r>
      <w:bookmarkEnd w:id="59"/>
    </w:p>
    <w:p w:rsidR="0052750A" w:rsidRPr="003876EC" w:rsidP="009C2D08" w14:paraId="3EED7B04" w14:textId="7F63A013">
      <w:pPr>
        <w:pStyle w:val="BodyText"/>
      </w:pPr>
      <w:r w:rsidRPr="003876EC">
        <w:t>This survey</w:t>
      </w:r>
      <w:r w:rsidRPr="003876EC">
        <w:rPr>
          <w:spacing w:val="-5"/>
        </w:rPr>
        <w:t xml:space="preserve"> </w:t>
      </w:r>
      <w:r w:rsidRPr="003876EC">
        <w:t>does not require the purchase of</w:t>
      </w:r>
      <w:r w:rsidRPr="003876EC">
        <w:rPr>
          <w:spacing w:val="1"/>
        </w:rPr>
        <w:t xml:space="preserve"> </w:t>
      </w:r>
      <w:r w:rsidRPr="003876EC">
        <w:t xml:space="preserve">equipment, software, </w:t>
      </w:r>
      <w:r w:rsidRPr="003876EC">
        <w:rPr>
          <w:spacing w:val="1"/>
        </w:rPr>
        <w:t>or</w:t>
      </w:r>
      <w:r w:rsidRPr="003876EC">
        <w:t xml:space="preserve"> services beyond</w:t>
      </w:r>
      <w:r w:rsidRPr="003876EC">
        <w:rPr>
          <w:spacing w:val="63"/>
        </w:rPr>
        <w:t xml:space="preserve"> </w:t>
      </w:r>
      <w:r w:rsidRPr="003876EC">
        <w:t>those normally</w:t>
      </w:r>
      <w:r w:rsidRPr="003876EC">
        <w:rPr>
          <w:spacing w:val="-5"/>
        </w:rPr>
        <w:t xml:space="preserve"> </w:t>
      </w:r>
      <w:r w:rsidRPr="003876EC">
        <w:t>used in universities as part of</w:t>
      </w:r>
      <w:r w:rsidRPr="003876EC">
        <w:rPr>
          <w:spacing w:val="1"/>
        </w:rPr>
        <w:t xml:space="preserve"> </w:t>
      </w:r>
      <w:r w:rsidRPr="003876EC">
        <w:t>customary</w:t>
      </w:r>
      <w:r w:rsidRPr="003876EC">
        <w:rPr>
          <w:spacing w:val="-3"/>
        </w:rPr>
        <w:t xml:space="preserve"> </w:t>
      </w:r>
      <w:r w:rsidRPr="003876EC">
        <w:t xml:space="preserve">and usual business. See </w:t>
      </w:r>
      <w:r w:rsidRPr="003876EC" w:rsidR="0053723C">
        <w:t>Exhibit</w:t>
      </w:r>
      <w:r w:rsidRPr="003876EC">
        <w:t xml:space="preserve"> 8 for annual respondent personnel costs.</w:t>
      </w:r>
    </w:p>
    <w:p w:rsidR="0052750A" w:rsidRPr="009C2D08" w:rsidP="009C2D08" w14:paraId="37951CC0" w14:textId="77777777">
      <w:pPr>
        <w:pStyle w:val="Heading2"/>
      </w:pPr>
      <w:bookmarkStart w:id="60" w:name="_Toc225442542"/>
      <w:r w:rsidRPr="009C2D08">
        <w:t>A.14</w:t>
      </w:r>
      <w:r w:rsidRPr="009C2D08">
        <w:tab/>
        <w:t>Cost to the Federal Government</w:t>
      </w:r>
      <w:bookmarkEnd w:id="60"/>
    </w:p>
    <w:p w:rsidR="0052750A" w:rsidRPr="003876EC" w:rsidP="009C2D08" w14:paraId="6E7CB27C" w14:textId="345829DF">
      <w:pPr>
        <w:pStyle w:val="BodyText"/>
      </w:pPr>
      <w:r w:rsidRPr="003876EC">
        <w:t>The average cost per cycle of conducting the GSS is $1.9</w:t>
      </w:r>
      <w:r w:rsidRPr="00AE2B27">
        <w:t>4</w:t>
      </w:r>
      <w:r w:rsidRPr="003876EC">
        <w:t>M based on the total estimated value</w:t>
      </w:r>
      <w:r w:rsidRPr="003876EC">
        <w:rPr>
          <w:spacing w:val="1"/>
        </w:rPr>
        <w:t xml:space="preserve"> </w:t>
      </w:r>
      <w:r w:rsidRPr="003876EC">
        <w:t>of the current contract ($7.</w:t>
      </w:r>
      <w:r w:rsidRPr="00AE2B27">
        <w:t>76</w:t>
      </w:r>
      <w:r w:rsidRPr="003876EC">
        <w:t xml:space="preserve">M) to conduct four cycles, 2022-25. The estimated total cost of the GSS to the federal government is approximately </w:t>
      </w:r>
      <w:r w:rsidRPr="00BF0EF4">
        <w:t>$</w:t>
      </w:r>
      <w:r w:rsidRPr="00BF0EF4" w:rsidR="00FD4439">
        <w:t>2.3</w:t>
      </w:r>
      <w:r w:rsidRPr="00BF0EF4">
        <w:t xml:space="preserve">M per cycle. </w:t>
      </w:r>
      <w:r w:rsidRPr="003876EC">
        <w:t xml:space="preserve">Exhibit </w:t>
      </w:r>
      <w:r w:rsidR="00CC367B">
        <w:t>9</w:t>
      </w:r>
      <w:r w:rsidRPr="003876EC" w:rsidR="00CC367B">
        <w:t xml:space="preserve"> </w:t>
      </w:r>
      <w:r w:rsidRPr="003876EC">
        <w:t>presents</w:t>
      </w:r>
      <w:r w:rsidRPr="003876EC">
        <w:rPr>
          <w:spacing w:val="67"/>
        </w:rPr>
        <w:t xml:space="preserve"> </w:t>
      </w:r>
      <w:r w:rsidRPr="003876EC">
        <w:t>more detailed information on this estimate.</w:t>
      </w:r>
    </w:p>
    <w:p w:rsidR="0052750A" w:rsidRPr="003876EC" w:rsidP="009C2D08" w14:paraId="40D83CDA" w14:textId="586B9EA4">
      <w:pPr>
        <w:pStyle w:val="TableTitle"/>
        <w:framePr w:wrap="around"/>
        <w:rPr>
          <w:rFonts w:eastAsia="Calibri"/>
        </w:rPr>
      </w:pPr>
      <w:bookmarkStart w:id="61" w:name="_Toc225512747"/>
      <w:r w:rsidRPr="003876EC">
        <w:rPr>
          <w:rFonts w:eastAsia="Calibri"/>
        </w:rPr>
        <w:t>Exhibit 9.</w:t>
      </w:r>
      <w:r w:rsidR="009C2D08">
        <w:rPr>
          <w:rFonts w:eastAsia="Calibri"/>
        </w:rPr>
        <w:tab/>
      </w:r>
      <w:r w:rsidRPr="003876EC">
        <w:rPr>
          <w:rFonts w:eastAsia="Calibri"/>
        </w:rPr>
        <w:t>Annual GSS Survey Federal Government Estimated Costs</w:t>
      </w:r>
      <w:bookmarkEnd w:id="61"/>
    </w:p>
    <w:tbl>
      <w:tblPr>
        <w:tblStyle w:val="OMB"/>
        <w:tblW w:w="9360" w:type="dxa"/>
        <w:tblLayout w:type="fixed"/>
        <w:tblCellMar>
          <w:left w:w="115" w:type="dxa"/>
          <w:right w:w="115" w:type="dxa"/>
        </w:tblCellMar>
        <w:tblLook w:val="01E0"/>
      </w:tblPr>
      <w:tblGrid>
        <w:gridCol w:w="7000"/>
        <w:gridCol w:w="2360"/>
      </w:tblGrid>
      <w:tr w14:paraId="324CDB41" w14:textId="77777777" w:rsidTr="00635056">
        <w:tblPrEx>
          <w:tblW w:w="9360" w:type="dxa"/>
          <w:tblLayout w:type="fixed"/>
          <w:tblCellMar>
            <w:left w:w="115" w:type="dxa"/>
            <w:right w:w="115" w:type="dxa"/>
          </w:tblCellMar>
          <w:tblLook w:val="01E0"/>
        </w:tblPrEx>
        <w:trPr>
          <w:cantSplit/>
        </w:trPr>
        <w:tc>
          <w:tcPr>
            <w:tcW w:w="7000" w:type="dxa"/>
            <w:tcBorders>
              <w:right w:val="single" w:sz="4" w:space="0" w:color="auto"/>
            </w:tcBorders>
            <w:vAlign w:val="bottom"/>
          </w:tcPr>
          <w:p w:rsidR="0052750A" w:rsidRPr="003876EC" w:rsidP="009C2D08" w14:paraId="42A35023" w14:textId="77777777">
            <w:pPr>
              <w:keepNext/>
              <w:keepLines/>
              <w:jc w:val="center"/>
              <w:rPr>
                <w:rFonts w:eastAsia="Times New Roman" w:cs="Times New Roman"/>
                <w:b/>
                <w:bCs/>
              </w:rPr>
            </w:pPr>
            <w:r w:rsidRPr="003876EC">
              <w:rPr>
                <w:rFonts w:eastAsia="Calibri" w:cs="Times New Roman"/>
                <w:b/>
                <w:bCs/>
              </w:rPr>
              <w:t>GSS Resources and</w:t>
            </w:r>
            <w:r w:rsidRPr="003876EC">
              <w:rPr>
                <w:rFonts w:eastAsia="Calibri" w:cs="Times New Roman"/>
                <w:b/>
                <w:bCs/>
                <w:spacing w:val="2"/>
              </w:rPr>
              <w:t xml:space="preserve"> </w:t>
            </w:r>
            <w:r w:rsidRPr="003876EC">
              <w:rPr>
                <w:rFonts w:eastAsia="Calibri" w:cs="Times New Roman"/>
                <w:b/>
                <w:bCs/>
              </w:rPr>
              <w:t>Activities</w:t>
            </w:r>
          </w:p>
        </w:tc>
        <w:tc>
          <w:tcPr>
            <w:tcW w:w="2360" w:type="dxa"/>
            <w:tcBorders>
              <w:left w:val="single" w:sz="4" w:space="0" w:color="auto"/>
            </w:tcBorders>
            <w:vAlign w:val="bottom"/>
          </w:tcPr>
          <w:p w:rsidR="0052750A" w:rsidRPr="003876EC" w:rsidP="009C2D08" w14:paraId="0E46197F" w14:textId="77777777">
            <w:pPr>
              <w:keepNext/>
              <w:keepLines/>
              <w:jc w:val="center"/>
              <w:rPr>
                <w:rFonts w:eastAsia="Times New Roman" w:cs="Times New Roman"/>
                <w:b/>
                <w:bCs/>
              </w:rPr>
            </w:pPr>
            <w:r w:rsidRPr="003876EC">
              <w:rPr>
                <w:rFonts w:eastAsia="Calibri" w:cs="Times New Roman"/>
                <w:b/>
                <w:bCs/>
              </w:rPr>
              <w:t>Total ($)</w:t>
            </w:r>
          </w:p>
        </w:tc>
      </w:tr>
      <w:tr w14:paraId="76637375" w14:textId="77777777" w:rsidTr="00635056">
        <w:tblPrEx>
          <w:tblW w:w="9360" w:type="dxa"/>
          <w:tblLayout w:type="fixed"/>
          <w:tblCellMar>
            <w:left w:w="115" w:type="dxa"/>
            <w:right w:w="115" w:type="dxa"/>
          </w:tblCellMar>
          <w:tblLook w:val="01E0"/>
        </w:tblPrEx>
        <w:trPr>
          <w:cantSplit/>
        </w:trPr>
        <w:tc>
          <w:tcPr>
            <w:tcW w:w="7000" w:type="dxa"/>
            <w:tcBorders>
              <w:right w:val="single" w:sz="4" w:space="0" w:color="auto"/>
            </w:tcBorders>
          </w:tcPr>
          <w:p w:rsidR="0052750A" w:rsidRPr="003876EC" w:rsidP="00EB2637" w14:paraId="49841658" w14:textId="77777777">
            <w:pPr>
              <w:rPr>
                <w:rFonts w:eastAsia="Times New Roman" w:cs="Times New Roman"/>
                <w:spacing w:val="-1"/>
              </w:rPr>
            </w:pPr>
            <w:r w:rsidRPr="003876EC">
              <w:rPr>
                <w:rFonts w:eastAsia="Calibri" w:cs="Times New Roman"/>
                <w:spacing w:val="-1"/>
              </w:rPr>
              <w:t>Data collection and processing</w:t>
            </w:r>
            <w:r w:rsidRPr="003876EC">
              <w:rPr>
                <w:rFonts w:eastAsia="Calibri" w:cs="Times New Roman"/>
                <w:spacing w:val="-3"/>
              </w:rPr>
              <w:t xml:space="preserve"> </w:t>
            </w:r>
            <w:r w:rsidRPr="003876EC">
              <w:rPr>
                <w:rFonts w:eastAsia="Calibri" w:cs="Times New Roman"/>
                <w:spacing w:val="-1"/>
              </w:rPr>
              <w:t>contract</w:t>
            </w:r>
          </w:p>
        </w:tc>
        <w:tc>
          <w:tcPr>
            <w:tcW w:w="2360" w:type="dxa"/>
            <w:tcBorders>
              <w:left w:val="single" w:sz="4" w:space="0" w:color="auto"/>
            </w:tcBorders>
          </w:tcPr>
          <w:p w:rsidR="0052750A" w:rsidRPr="003876EC" w:rsidP="00EB2637" w14:paraId="6B59FD9D" w14:textId="354B1FD0">
            <w:pPr>
              <w:tabs>
                <w:tab w:val="decimal" w:pos="1555"/>
              </w:tabs>
              <w:jc w:val="center"/>
              <w:rPr>
                <w:rFonts w:eastAsia="Times New Roman" w:cs="Times New Roman"/>
                <w:spacing w:val="-1"/>
              </w:rPr>
            </w:pPr>
            <w:r>
              <w:rPr>
                <w:rFonts w:eastAsia="Calibri" w:cs="Times New Roman"/>
                <w:spacing w:val="-1"/>
              </w:rPr>
              <w:t>1,940,000</w:t>
            </w:r>
          </w:p>
        </w:tc>
      </w:tr>
      <w:tr w14:paraId="1E76412A" w14:textId="77777777" w:rsidTr="00635056">
        <w:tblPrEx>
          <w:tblW w:w="9360" w:type="dxa"/>
          <w:tblLayout w:type="fixed"/>
          <w:tblCellMar>
            <w:left w:w="115" w:type="dxa"/>
            <w:right w:w="115" w:type="dxa"/>
          </w:tblCellMar>
          <w:tblLook w:val="01E0"/>
        </w:tblPrEx>
        <w:trPr>
          <w:cantSplit/>
        </w:trPr>
        <w:tc>
          <w:tcPr>
            <w:tcW w:w="7000" w:type="dxa"/>
            <w:tcBorders>
              <w:right w:val="single" w:sz="4" w:space="0" w:color="auto"/>
            </w:tcBorders>
          </w:tcPr>
          <w:p w:rsidR="0052750A" w:rsidRPr="003876EC" w:rsidP="00EB2637" w14:paraId="6051406B" w14:textId="77777777">
            <w:pPr>
              <w:rPr>
                <w:rFonts w:eastAsia="Times New Roman" w:cs="Times New Roman"/>
                <w:spacing w:val="-1"/>
              </w:rPr>
            </w:pPr>
            <w:r w:rsidRPr="003876EC">
              <w:rPr>
                <w:rFonts w:eastAsia="Calibri" w:cs="Times New Roman"/>
                <w:spacing w:val="-1"/>
              </w:rPr>
              <w:t>GSS survey</w:t>
            </w:r>
            <w:r w:rsidRPr="003876EC">
              <w:rPr>
                <w:rFonts w:eastAsia="Calibri" w:cs="Times New Roman"/>
                <w:spacing w:val="-5"/>
              </w:rPr>
              <w:t xml:space="preserve"> </w:t>
            </w:r>
            <w:r w:rsidRPr="003876EC">
              <w:rPr>
                <w:rFonts w:eastAsia="Calibri" w:cs="Times New Roman"/>
                <w:spacing w:val="-1"/>
              </w:rPr>
              <w:t>manager</w:t>
            </w:r>
            <w:r w:rsidRPr="003876EC">
              <w:rPr>
                <w:rFonts w:eastAsia="Calibri" w:cs="Times New Roman"/>
                <w:spacing w:val="1"/>
              </w:rPr>
              <w:t xml:space="preserve"> </w:t>
            </w:r>
            <w:r w:rsidRPr="003876EC">
              <w:rPr>
                <w:rFonts w:eastAsia="Calibri" w:cs="Times New Roman"/>
                <w:spacing w:val="-1"/>
              </w:rPr>
              <w:t>(1.0-person</w:t>
            </w:r>
            <w:r w:rsidRPr="003876EC">
              <w:rPr>
                <w:rFonts w:eastAsia="Calibri" w:cs="Times New Roman"/>
                <w:spacing w:val="4"/>
              </w:rPr>
              <w:t xml:space="preserve"> </w:t>
            </w:r>
            <w:r w:rsidRPr="003876EC">
              <w:rPr>
                <w:rFonts w:eastAsia="Calibri" w:cs="Times New Roman"/>
                <w:spacing w:val="-2"/>
              </w:rPr>
              <w:t>year)</w:t>
            </w:r>
          </w:p>
        </w:tc>
        <w:tc>
          <w:tcPr>
            <w:tcW w:w="2360" w:type="dxa"/>
            <w:tcBorders>
              <w:left w:val="single" w:sz="4" w:space="0" w:color="auto"/>
            </w:tcBorders>
          </w:tcPr>
          <w:p w:rsidR="0052750A" w:rsidRPr="003876EC" w:rsidP="00EB2637" w14:paraId="28213EE3" w14:textId="1E103333">
            <w:pPr>
              <w:tabs>
                <w:tab w:val="decimal" w:pos="1555"/>
              </w:tabs>
              <w:jc w:val="center"/>
              <w:rPr>
                <w:rFonts w:eastAsia="Times New Roman" w:cs="Times New Roman"/>
                <w:spacing w:val="-1"/>
                <w:highlight w:val="yellow"/>
              </w:rPr>
            </w:pPr>
            <w:r w:rsidRPr="00BF0EF4">
              <w:rPr>
                <w:rFonts w:eastAsia="Calibri" w:cs="Times New Roman"/>
                <w:spacing w:val="-1"/>
              </w:rPr>
              <w:t>155,000</w:t>
            </w:r>
          </w:p>
        </w:tc>
      </w:tr>
      <w:tr w14:paraId="36553207" w14:textId="77777777" w:rsidTr="00635056">
        <w:tblPrEx>
          <w:tblW w:w="9360" w:type="dxa"/>
          <w:tblLayout w:type="fixed"/>
          <w:tblCellMar>
            <w:left w:w="115" w:type="dxa"/>
            <w:right w:w="115" w:type="dxa"/>
          </w:tblCellMar>
          <w:tblLook w:val="01E0"/>
        </w:tblPrEx>
        <w:trPr>
          <w:cantSplit/>
        </w:trPr>
        <w:tc>
          <w:tcPr>
            <w:tcW w:w="7000" w:type="dxa"/>
            <w:tcBorders>
              <w:right w:val="single" w:sz="4" w:space="0" w:color="auto"/>
            </w:tcBorders>
          </w:tcPr>
          <w:p w:rsidR="0052750A" w:rsidRPr="003876EC" w:rsidP="00EB2637" w14:paraId="39AEB2AA" w14:textId="77777777">
            <w:pPr>
              <w:rPr>
                <w:rFonts w:eastAsia="Times New Roman" w:cs="Times New Roman"/>
                <w:spacing w:val="-1"/>
              </w:rPr>
            </w:pPr>
            <w:r w:rsidRPr="003876EC">
              <w:rPr>
                <w:rFonts w:eastAsia="Calibri" w:cs="Times New Roman"/>
                <w:spacing w:val="-1"/>
              </w:rPr>
              <w:t>Other NCSES staff (program manager, statistician, editor, etc.)</w:t>
            </w:r>
          </w:p>
        </w:tc>
        <w:tc>
          <w:tcPr>
            <w:tcW w:w="2360" w:type="dxa"/>
            <w:tcBorders>
              <w:left w:val="single" w:sz="4" w:space="0" w:color="auto"/>
            </w:tcBorders>
          </w:tcPr>
          <w:p w:rsidR="0052750A" w:rsidRPr="003876EC" w:rsidP="00EB2637" w14:paraId="7E08E564" w14:textId="6E88EDB0">
            <w:pPr>
              <w:tabs>
                <w:tab w:val="decimal" w:pos="1555"/>
              </w:tabs>
              <w:jc w:val="center"/>
              <w:rPr>
                <w:rFonts w:eastAsia="Times New Roman" w:cs="Times New Roman"/>
                <w:spacing w:val="-1"/>
              </w:rPr>
            </w:pPr>
            <w:r>
              <w:rPr>
                <w:rFonts w:eastAsia="Calibri" w:cs="Times New Roman"/>
                <w:spacing w:val="-1"/>
              </w:rPr>
              <w:t>200,000</w:t>
            </w:r>
          </w:p>
        </w:tc>
      </w:tr>
      <w:tr w14:paraId="0CAA9577" w14:textId="77777777" w:rsidTr="00635056">
        <w:tblPrEx>
          <w:tblW w:w="9360" w:type="dxa"/>
          <w:tblLayout w:type="fixed"/>
          <w:tblCellMar>
            <w:left w:w="115" w:type="dxa"/>
            <w:right w:w="115" w:type="dxa"/>
          </w:tblCellMar>
          <w:tblLook w:val="01E0"/>
        </w:tblPrEx>
        <w:trPr>
          <w:cantSplit/>
        </w:trPr>
        <w:tc>
          <w:tcPr>
            <w:tcW w:w="1" w:type="dxa"/>
            <w:tcBorders>
              <w:bottom w:val="single" w:sz="4" w:space="0" w:color="auto"/>
              <w:right w:val="single" w:sz="4" w:space="0" w:color="auto"/>
            </w:tcBorders>
          </w:tcPr>
          <w:p w:rsidR="0052750A" w:rsidRPr="003876EC" w:rsidP="00EB2637" w14:paraId="7D6D0464" w14:textId="161361B1">
            <w:pPr>
              <w:rPr>
                <w:rFonts w:eastAsia="Times New Roman" w:cs="Times New Roman"/>
                <w:spacing w:val="-1"/>
              </w:rPr>
            </w:pPr>
            <w:r w:rsidRPr="003876EC">
              <w:rPr>
                <w:rFonts w:eastAsia="Calibri" w:cs="Times New Roman"/>
                <w:spacing w:val="-1"/>
              </w:rPr>
              <w:t xml:space="preserve">Publication </w:t>
            </w:r>
            <w:r w:rsidR="0070768A">
              <w:rPr>
                <w:rFonts w:eastAsia="Calibri" w:cs="Times New Roman"/>
                <w:spacing w:val="-1"/>
              </w:rPr>
              <w:t>w</w:t>
            </w:r>
            <w:r w:rsidRPr="003876EC">
              <w:rPr>
                <w:rFonts w:eastAsia="Calibri" w:cs="Times New Roman"/>
                <w:spacing w:val="-1"/>
              </w:rPr>
              <w:t>eb posting, printing</w:t>
            </w:r>
            <w:r w:rsidRPr="003876EC">
              <w:rPr>
                <w:rFonts w:eastAsia="Calibri" w:cs="Times New Roman"/>
                <w:spacing w:val="-3"/>
              </w:rPr>
              <w:t xml:space="preserve"> </w:t>
            </w:r>
            <w:r w:rsidRPr="003876EC">
              <w:rPr>
                <w:rFonts w:eastAsia="Calibri" w:cs="Times New Roman"/>
                <w:spacing w:val="-1"/>
              </w:rPr>
              <w:t>and mailing</w:t>
            </w:r>
            <w:r w:rsidRPr="003876EC">
              <w:rPr>
                <w:rFonts w:eastAsia="Calibri" w:cs="Times New Roman"/>
                <w:spacing w:val="-3"/>
              </w:rPr>
              <w:t xml:space="preserve"> </w:t>
            </w:r>
            <w:r w:rsidRPr="003876EC">
              <w:rPr>
                <w:rFonts w:eastAsia="Calibri" w:cs="Times New Roman"/>
                <w:spacing w:val="-1"/>
              </w:rPr>
              <w:t>costs</w:t>
            </w:r>
          </w:p>
        </w:tc>
        <w:tc>
          <w:tcPr>
            <w:tcW w:w="1" w:type="dxa"/>
            <w:tcBorders>
              <w:left w:val="single" w:sz="4" w:space="0" w:color="auto"/>
              <w:bottom w:val="single" w:sz="4" w:space="0" w:color="auto"/>
            </w:tcBorders>
          </w:tcPr>
          <w:p w:rsidR="0052750A" w:rsidRPr="003876EC" w:rsidP="00EB2637" w14:paraId="5A4E65F7" w14:textId="00977462">
            <w:pPr>
              <w:tabs>
                <w:tab w:val="decimal" w:pos="1555"/>
              </w:tabs>
              <w:jc w:val="center"/>
              <w:rPr>
                <w:rFonts w:eastAsia="Times New Roman" w:cs="Times New Roman"/>
                <w:spacing w:val="-1"/>
              </w:rPr>
            </w:pPr>
            <w:r>
              <w:rPr>
                <w:rFonts w:eastAsia="Calibri" w:cs="Times New Roman"/>
                <w:spacing w:val="-1"/>
              </w:rPr>
              <w:t>1,050</w:t>
            </w:r>
          </w:p>
        </w:tc>
      </w:tr>
      <w:tr w14:paraId="5EA6E71B" w14:textId="77777777" w:rsidTr="00635056">
        <w:tblPrEx>
          <w:tblW w:w="9360" w:type="dxa"/>
          <w:tblLayout w:type="fixed"/>
          <w:tblCellMar>
            <w:left w:w="115" w:type="dxa"/>
            <w:right w:w="115" w:type="dxa"/>
          </w:tblCellMar>
          <w:tblLook w:val="01E0"/>
        </w:tblPrEx>
        <w:trPr>
          <w:cantSplit/>
        </w:trPr>
        <w:tc>
          <w:tcPr>
            <w:tcW w:w="1" w:type="dxa"/>
            <w:tcBorders>
              <w:top w:val="single" w:sz="4" w:space="0" w:color="auto"/>
              <w:bottom w:val="single" w:sz="12" w:space="0" w:color="auto"/>
              <w:right w:val="single" w:sz="4" w:space="0" w:color="auto"/>
            </w:tcBorders>
          </w:tcPr>
          <w:p w:rsidR="0052750A" w:rsidRPr="003876EC" w:rsidP="00EB2637" w14:paraId="0734BCD1" w14:textId="77777777">
            <w:pPr>
              <w:rPr>
                <w:rFonts w:eastAsia="Times New Roman" w:cs="Times New Roman"/>
                <w:spacing w:val="-1"/>
              </w:rPr>
            </w:pPr>
            <w:r w:rsidRPr="003876EC">
              <w:rPr>
                <w:rFonts w:eastAsia="Calibri" w:cs="Times New Roman"/>
                <w:spacing w:val="-1"/>
              </w:rPr>
              <w:t>Estimated total</w:t>
            </w:r>
          </w:p>
        </w:tc>
        <w:tc>
          <w:tcPr>
            <w:tcW w:w="1" w:type="dxa"/>
            <w:tcBorders>
              <w:top w:val="single" w:sz="4" w:space="0" w:color="auto"/>
              <w:left w:val="single" w:sz="4" w:space="0" w:color="auto"/>
              <w:bottom w:val="single" w:sz="12" w:space="0" w:color="auto"/>
            </w:tcBorders>
          </w:tcPr>
          <w:p w:rsidR="0052750A" w:rsidRPr="003876EC" w:rsidP="00EB2637" w14:paraId="0D3C5573" w14:textId="4D58861A">
            <w:pPr>
              <w:tabs>
                <w:tab w:val="decimal" w:pos="1555"/>
              </w:tabs>
              <w:jc w:val="center"/>
              <w:rPr>
                <w:rFonts w:eastAsia="Times New Roman" w:cs="Times New Roman"/>
                <w:spacing w:val="-1"/>
              </w:rPr>
            </w:pPr>
            <w:r>
              <w:rPr>
                <w:rFonts w:eastAsia="Calibri" w:cs="Times New Roman"/>
                <w:spacing w:val="-1"/>
              </w:rPr>
              <w:t>2,296,050</w:t>
            </w:r>
          </w:p>
        </w:tc>
      </w:tr>
    </w:tbl>
    <w:p w:rsidR="0052750A" w:rsidRPr="003876EC" w:rsidP="00EB2637" w14:paraId="55F1358F" w14:textId="1EC33892">
      <w:pPr>
        <w:pStyle w:val="BodyTextSpaceAfter"/>
        <w:spacing w:before="240"/>
      </w:pPr>
      <w:r w:rsidRPr="00BF0EF4">
        <w:t xml:space="preserve">For the 2025 GSS, </w:t>
      </w:r>
      <w:r w:rsidRPr="00BF0EF4" w:rsidR="0070768A">
        <w:t xml:space="preserve">the </w:t>
      </w:r>
      <w:r w:rsidRPr="00BF0EF4">
        <w:t>NIH</w:t>
      </w:r>
      <w:r w:rsidRPr="00BF0EF4">
        <w:rPr>
          <w:spacing w:val="1"/>
        </w:rPr>
        <w:t xml:space="preserve"> </w:t>
      </w:r>
      <w:r w:rsidRPr="00BF0EF4">
        <w:t>contributed $44</w:t>
      </w:r>
      <w:r w:rsidRPr="00BF0EF4" w:rsidR="00122D78">
        <w:t>0</w:t>
      </w:r>
      <w:r w:rsidRPr="00BF0EF4">
        <w:t>,</w:t>
      </w:r>
      <w:r w:rsidRPr="00BF0EF4" w:rsidR="00C57D7F">
        <w:t>337</w:t>
      </w:r>
      <w:r w:rsidRPr="00BF0EF4">
        <w:t xml:space="preserve"> (2</w:t>
      </w:r>
      <w:r w:rsidRPr="00BF0EF4" w:rsidR="00C57D7F">
        <w:t>2</w:t>
      </w:r>
      <w:r w:rsidRPr="00BF0EF4">
        <w:t>%) o</w:t>
      </w:r>
      <w:r w:rsidRPr="003876EC">
        <w:t>f the annual contract</w:t>
      </w:r>
      <w:r w:rsidRPr="003876EC">
        <w:rPr>
          <w:spacing w:val="2"/>
        </w:rPr>
        <w:t xml:space="preserve"> </w:t>
      </w:r>
      <w:r w:rsidRPr="003876EC">
        <w:t>costs.</w:t>
      </w:r>
      <w:r w:rsidRPr="003876EC">
        <w:rPr>
          <w:spacing w:val="2"/>
        </w:rPr>
        <w:t xml:space="preserve"> </w:t>
      </w:r>
      <w:r w:rsidRPr="003876EC">
        <w:rPr>
          <w:spacing w:val="-3"/>
        </w:rPr>
        <w:t>It</w:t>
      </w:r>
      <w:r w:rsidRPr="003876EC">
        <w:t xml:space="preserve"> is</w:t>
      </w:r>
      <w:r w:rsidRPr="003876EC">
        <w:rPr>
          <w:spacing w:val="57"/>
        </w:rPr>
        <w:t xml:space="preserve"> </w:t>
      </w:r>
      <w:r w:rsidRPr="003876EC">
        <w:t xml:space="preserve">assumed that </w:t>
      </w:r>
      <w:r w:rsidR="0070768A">
        <w:t xml:space="preserve">the </w:t>
      </w:r>
      <w:r w:rsidRPr="003876EC">
        <w:t>NIH will continue that level of support. NCSES</w:t>
      </w:r>
      <w:r w:rsidRPr="003876EC">
        <w:rPr>
          <w:spacing w:val="-2"/>
        </w:rPr>
        <w:t xml:space="preserve"> </w:t>
      </w:r>
      <w:r w:rsidRPr="003876EC">
        <w:t>funds the</w:t>
      </w:r>
      <w:r w:rsidRPr="003876EC">
        <w:rPr>
          <w:spacing w:val="1"/>
        </w:rPr>
        <w:t xml:space="preserve"> </w:t>
      </w:r>
      <w:r w:rsidRPr="003876EC">
        <w:t>remainder of the</w:t>
      </w:r>
      <w:r w:rsidRPr="003876EC">
        <w:rPr>
          <w:spacing w:val="1"/>
        </w:rPr>
        <w:t xml:space="preserve"> </w:t>
      </w:r>
      <w:r w:rsidRPr="003876EC">
        <w:t>annual costs to the federal</w:t>
      </w:r>
      <w:r w:rsidRPr="003876EC">
        <w:rPr>
          <w:spacing w:val="2"/>
        </w:rPr>
        <w:t xml:space="preserve"> </w:t>
      </w:r>
      <w:r w:rsidRPr="003876EC">
        <w:t>government.</w:t>
      </w:r>
    </w:p>
    <w:p w:rsidR="005F7C62" w:rsidRPr="00C20E4A" w:rsidP="009630A5" w14:paraId="2229440F" w14:textId="77777777">
      <w:pPr>
        <w:pStyle w:val="Heading2"/>
        <w:ind w:left="0" w:firstLine="0"/>
        <w:rPr>
          <w:bCs/>
        </w:rPr>
      </w:pPr>
      <w:bookmarkStart w:id="62" w:name="_Toc488073280"/>
      <w:bookmarkStart w:id="63" w:name="_Toc225442543"/>
      <w:bookmarkEnd w:id="50"/>
      <w:r>
        <w:t>A.</w:t>
      </w:r>
      <w:r w:rsidRPr="00C20E4A" w:rsidR="003E5565">
        <w:t>15</w:t>
      </w:r>
      <w:r w:rsidRPr="00C20E4A" w:rsidR="003E5565">
        <w:tab/>
      </w:r>
      <w:r w:rsidRPr="00C20E4A" w:rsidR="00507DAD">
        <w:t xml:space="preserve">Program </w:t>
      </w:r>
      <w:r w:rsidRPr="00C20E4A" w:rsidR="008C752D">
        <w:t xml:space="preserve">Changes </w:t>
      </w:r>
      <w:r w:rsidRPr="00C20E4A" w:rsidR="00507DAD">
        <w:t>or Adjustment</w:t>
      </w:r>
      <w:r w:rsidRPr="00C20E4A" w:rsidR="006B6EC4">
        <w:t>s</w:t>
      </w:r>
      <w:r w:rsidRPr="00C20E4A" w:rsidR="00507DAD">
        <w:t xml:space="preserve"> </w:t>
      </w:r>
      <w:r w:rsidRPr="00C20E4A" w:rsidR="008C752D">
        <w:t>in Burden</w:t>
      </w:r>
      <w:bookmarkEnd w:id="62"/>
      <w:bookmarkEnd w:id="63"/>
    </w:p>
    <w:p w:rsidR="003E1A2A" w:rsidRPr="00C20E4A" w:rsidP="008164C1" w14:paraId="2424B7F0" w14:textId="526FF411">
      <w:pPr>
        <w:pStyle w:val="BodyText"/>
      </w:pPr>
      <w:r>
        <w:t xml:space="preserve">Burden estimates have been lowered from </w:t>
      </w:r>
      <w:r w:rsidR="00FD4439">
        <w:t xml:space="preserve">the </w:t>
      </w:r>
      <w:r>
        <w:t xml:space="preserve">previous </w:t>
      </w:r>
      <w:r w:rsidR="00833706">
        <w:t>clearance.</w:t>
      </w:r>
      <w:r>
        <w:t xml:space="preserve"> </w:t>
      </w:r>
      <w:r w:rsidR="00FD4439">
        <w:t xml:space="preserve">This reflects increases in the number of institutions using EDI, and lower reported response burdens for </w:t>
      </w:r>
      <w:r w:rsidR="00AA2D30">
        <w:t>all types of respondents.</w:t>
      </w:r>
      <w:r w:rsidR="009922EA">
        <w:t xml:space="preserve"> </w:t>
      </w:r>
    </w:p>
    <w:p w:rsidR="005F7C62" w:rsidRPr="00C20E4A" w:rsidP="009630A5" w14:paraId="2FB1266A" w14:textId="77777777">
      <w:pPr>
        <w:pStyle w:val="Heading2"/>
        <w:ind w:left="0" w:firstLine="0"/>
        <w:rPr>
          <w:bCs/>
        </w:rPr>
      </w:pPr>
      <w:bookmarkStart w:id="64" w:name="_Toc225442544"/>
      <w:bookmarkStart w:id="65" w:name="_Toc488073281"/>
      <w:r>
        <w:t>A.</w:t>
      </w:r>
      <w:r w:rsidRPr="00C20E4A" w:rsidR="003E5565">
        <w:t>16</w:t>
      </w:r>
      <w:r w:rsidRPr="00C20E4A" w:rsidR="003E5565">
        <w:tab/>
      </w:r>
      <w:r w:rsidRPr="00C20E4A" w:rsidR="006B6EC4">
        <w:t xml:space="preserve">Publication Plan and </w:t>
      </w:r>
      <w:r w:rsidRPr="00C20E4A" w:rsidR="008C752D">
        <w:t>Project Schedule</w:t>
      </w:r>
      <w:bookmarkEnd w:id="64"/>
      <w:r w:rsidRPr="00C20E4A" w:rsidR="008C752D">
        <w:t xml:space="preserve"> </w:t>
      </w:r>
      <w:bookmarkEnd w:id="65"/>
    </w:p>
    <w:p w:rsidR="00771CF4" w:rsidP="008164C1" w14:paraId="3A1B7B23" w14:textId="701DD897">
      <w:pPr>
        <w:pStyle w:val="BodyText"/>
      </w:pPr>
      <w:r w:rsidRPr="00C20E4A">
        <w:t xml:space="preserve">The </w:t>
      </w:r>
      <w:r w:rsidR="009F4BE5">
        <w:t>GSS</w:t>
      </w:r>
      <w:r w:rsidR="002804AE">
        <w:t xml:space="preserve"> and FFRDC</w:t>
      </w:r>
      <w:r w:rsidR="009F4BE5">
        <w:t xml:space="preserve"> </w:t>
      </w:r>
      <w:r w:rsidR="0070768A">
        <w:t>P</w:t>
      </w:r>
      <w:r w:rsidR="00374D77">
        <w:t xml:space="preserve">ostdoc </w:t>
      </w:r>
      <w:r w:rsidR="0070768A">
        <w:t>S</w:t>
      </w:r>
      <w:r w:rsidR="00374D77">
        <w:t xml:space="preserve">urvey </w:t>
      </w:r>
      <w:r w:rsidRPr="00C20E4A">
        <w:t xml:space="preserve">project </w:t>
      </w:r>
      <w:r w:rsidRPr="00686D9D">
        <w:t>schedule</w:t>
      </w:r>
      <w:r w:rsidR="002804AE">
        <w:t>s</w:t>
      </w:r>
      <w:r w:rsidRPr="00686D9D">
        <w:t xml:space="preserve"> (Attachment </w:t>
      </w:r>
      <w:r w:rsidR="007F5E15">
        <w:t>8</w:t>
      </w:r>
      <w:r w:rsidRPr="00686D9D">
        <w:t>) for the entire</w:t>
      </w:r>
      <w:r w:rsidRPr="00686D9D">
        <w:rPr>
          <w:spacing w:val="1"/>
        </w:rPr>
        <w:t xml:space="preserve"> </w:t>
      </w:r>
      <w:r w:rsidRPr="00686D9D">
        <w:t>project from design to</w:t>
      </w:r>
      <w:r w:rsidRPr="00686D9D" w:rsidR="006C4365">
        <w:t xml:space="preserve"> </w:t>
      </w:r>
      <w:r w:rsidRPr="00686D9D">
        <w:t xml:space="preserve">final publication </w:t>
      </w:r>
      <w:r w:rsidR="0070768A">
        <w:t>are</w:t>
      </w:r>
      <w:r w:rsidRPr="00686D9D" w:rsidR="0070768A">
        <w:t xml:space="preserve"> </w:t>
      </w:r>
      <w:r w:rsidRPr="00686D9D">
        <w:t>similar each</w:t>
      </w:r>
      <w:r w:rsidRPr="00686D9D">
        <w:rPr>
          <w:spacing w:val="4"/>
        </w:rPr>
        <w:t xml:space="preserve"> </w:t>
      </w:r>
      <w:r w:rsidRPr="00686D9D">
        <w:t>year.</w:t>
      </w:r>
      <w:r w:rsidRPr="00686D9D">
        <w:rPr>
          <w:spacing w:val="2"/>
        </w:rPr>
        <w:t xml:space="preserve"> </w:t>
      </w:r>
      <w:r w:rsidR="002804AE">
        <w:rPr>
          <w:spacing w:val="2"/>
        </w:rPr>
        <w:t xml:space="preserve">For the GSS, </w:t>
      </w:r>
      <w:r w:rsidR="002804AE">
        <w:t>i</w:t>
      </w:r>
      <w:r w:rsidRPr="00686D9D">
        <w:t xml:space="preserve">nstitutions are contacted to confirm the </w:t>
      </w:r>
      <w:r w:rsidRPr="00686D9D" w:rsidR="002A54E2">
        <w:t>s</w:t>
      </w:r>
      <w:r w:rsidRPr="00686D9D" w:rsidR="00F85C0D">
        <w:t>urvey</w:t>
      </w:r>
      <w:r w:rsidRPr="00686D9D" w:rsidR="002A54E2">
        <w:t xml:space="preserve"> </w:t>
      </w:r>
      <w:r w:rsidRPr="00686D9D" w:rsidR="00F85C0D">
        <w:t xml:space="preserve">coordinators </w:t>
      </w:r>
      <w:r w:rsidRPr="00686D9D">
        <w:t>in September,</w:t>
      </w:r>
      <w:r w:rsidRPr="00686D9D" w:rsidR="00375086">
        <w:t xml:space="preserve"> </w:t>
      </w:r>
      <w:r w:rsidRPr="00686D9D">
        <w:t>and the survey</w:t>
      </w:r>
      <w:r w:rsidRPr="00686D9D">
        <w:rPr>
          <w:spacing w:val="-5"/>
        </w:rPr>
        <w:t xml:space="preserve"> </w:t>
      </w:r>
      <w:r w:rsidRPr="00686D9D">
        <w:t xml:space="preserve">is launched in October, with a final closeout date in </w:t>
      </w:r>
      <w:r w:rsidRPr="00686D9D" w:rsidR="004639E2">
        <w:t xml:space="preserve">April </w:t>
      </w:r>
      <w:r w:rsidRPr="00686D9D">
        <w:t>of</w:t>
      </w:r>
      <w:r w:rsidRPr="00686D9D">
        <w:rPr>
          <w:spacing w:val="1"/>
        </w:rPr>
        <w:t xml:space="preserve"> </w:t>
      </w:r>
      <w:r w:rsidRPr="00686D9D">
        <w:t>the following</w:t>
      </w:r>
      <w:r w:rsidRPr="00686D9D">
        <w:rPr>
          <w:spacing w:val="2"/>
        </w:rPr>
        <w:t xml:space="preserve"> </w:t>
      </w:r>
      <w:r w:rsidRPr="00686D9D" w:rsidR="00637CE2">
        <w:rPr>
          <w:spacing w:val="-2"/>
        </w:rPr>
        <w:t xml:space="preserve">year. The most recent InfoBrief was </w:t>
      </w:r>
      <w:r w:rsidRPr="00686D9D" w:rsidR="00637CE2">
        <w:rPr>
          <w:spacing w:val="-2"/>
        </w:rPr>
        <w:t xml:space="preserve">published in </w:t>
      </w:r>
      <w:r w:rsidR="00B4711B">
        <w:rPr>
          <w:spacing w:val="-2"/>
        </w:rPr>
        <w:t>February 2026</w:t>
      </w:r>
      <w:r w:rsidRPr="00686D9D" w:rsidR="00867B8D">
        <w:rPr>
          <w:spacing w:val="-2"/>
        </w:rPr>
        <w:t xml:space="preserve"> </w:t>
      </w:r>
      <w:r w:rsidRPr="00686D9D" w:rsidR="00C75A66">
        <w:rPr>
          <w:spacing w:val="-2"/>
        </w:rPr>
        <w:t>along with the</w:t>
      </w:r>
      <w:r w:rsidRPr="00686D9D" w:rsidR="00C75A66">
        <w:t xml:space="preserve"> d</w:t>
      </w:r>
      <w:r w:rsidRPr="00686D9D">
        <w:t xml:space="preserve">etailed data tables </w:t>
      </w:r>
      <w:r w:rsidRPr="00686D9D" w:rsidR="000E352A">
        <w:t>and</w:t>
      </w:r>
      <w:r w:rsidRPr="00686D9D">
        <w:t xml:space="preserve"> a description of </w:t>
      </w:r>
      <w:r w:rsidRPr="00686D9D" w:rsidR="006A744C">
        <w:t>the survey</w:t>
      </w:r>
      <w:r w:rsidRPr="00686D9D">
        <w:rPr>
          <w:spacing w:val="-5"/>
        </w:rPr>
        <w:t xml:space="preserve"> </w:t>
      </w:r>
      <w:r w:rsidRPr="00686D9D">
        <w:t>methodology</w:t>
      </w:r>
      <w:r w:rsidR="00686D9D">
        <w:rPr>
          <w:spacing w:val="49"/>
        </w:rPr>
        <w:t xml:space="preserve"> </w:t>
      </w:r>
      <w:r w:rsidRPr="00686D9D" w:rsidR="00B26FB9">
        <w:t>(</w:t>
      </w:r>
      <w:r w:rsidRPr="00686D9D" w:rsidR="0093383C">
        <w:t xml:space="preserve">see Attachment </w:t>
      </w:r>
      <w:r w:rsidRPr="00686D9D" w:rsidR="00034FBD">
        <w:t>5</w:t>
      </w:r>
      <w:r w:rsidRPr="00686D9D">
        <w:t>)</w:t>
      </w:r>
      <w:r w:rsidRPr="00686D9D" w:rsidR="00C75A66">
        <w:t>.</w:t>
      </w:r>
      <w:r w:rsidRPr="00686D9D" w:rsidR="00375086">
        <w:t xml:space="preserve"> </w:t>
      </w:r>
    </w:p>
    <w:p w:rsidR="002804AE" w:rsidRPr="00C20E4A" w:rsidP="008164C1" w14:paraId="4B4FC442" w14:textId="4330DAE1">
      <w:pPr>
        <w:pStyle w:val="BodyText"/>
      </w:pPr>
      <w:r>
        <w:t xml:space="preserve">The biennial FFRDC </w:t>
      </w:r>
      <w:r w:rsidR="0070768A">
        <w:t>P</w:t>
      </w:r>
      <w:r w:rsidR="00374D77">
        <w:t xml:space="preserve">ostdoc </w:t>
      </w:r>
      <w:r w:rsidR="0070768A">
        <w:t>S</w:t>
      </w:r>
      <w:r>
        <w:t xml:space="preserve">urvey is conducted over a three-month period spanning February to April of a given survey year. Coordinator confirmation activities begin in early January, data collection begins </w:t>
      </w:r>
      <w:r w:rsidR="0070768A">
        <w:t xml:space="preserve">in </w:t>
      </w:r>
      <w:r>
        <w:t>mid-February, and the survey deadline is the end of March. The 202</w:t>
      </w:r>
      <w:r w:rsidR="00B4711B">
        <w:t>3</w:t>
      </w:r>
      <w:r>
        <w:t xml:space="preserve"> FFRDC</w:t>
      </w:r>
      <w:r w:rsidR="00374D77">
        <w:t xml:space="preserve"> </w:t>
      </w:r>
      <w:r w:rsidR="00FB36E5">
        <w:t>P</w:t>
      </w:r>
      <w:r w:rsidR="00374D77">
        <w:t xml:space="preserve">ostdoc </w:t>
      </w:r>
      <w:r w:rsidR="00FB36E5">
        <w:t>S</w:t>
      </w:r>
      <w:r w:rsidR="00374D77">
        <w:t>urvey</w:t>
      </w:r>
      <w:r>
        <w:t xml:space="preserve"> InfoBrief was published October 202</w:t>
      </w:r>
      <w:r w:rsidR="00B4711B">
        <w:t>4</w:t>
      </w:r>
      <w:r>
        <w:t xml:space="preserve">. </w:t>
      </w:r>
    </w:p>
    <w:p w:rsidR="005F7C62" w:rsidRPr="00C20E4A" w:rsidP="003A5408" w14:paraId="4E28E9F3" w14:textId="77777777">
      <w:pPr>
        <w:pStyle w:val="Heading2"/>
        <w:spacing w:after="180"/>
        <w:rPr>
          <w:bCs/>
        </w:rPr>
      </w:pPr>
      <w:bookmarkStart w:id="66" w:name="_Toc488073282"/>
      <w:bookmarkStart w:id="67" w:name="_Toc225442545"/>
      <w:r>
        <w:t>A.</w:t>
      </w:r>
      <w:r w:rsidRPr="00C20E4A" w:rsidR="003E5565">
        <w:t>17</w:t>
      </w:r>
      <w:r w:rsidRPr="00C20E4A" w:rsidR="003E5565">
        <w:tab/>
      </w:r>
      <w:r w:rsidR="001B0030">
        <w:t xml:space="preserve">Exceptions to </w:t>
      </w:r>
      <w:r w:rsidRPr="00C20E4A" w:rsidR="008C752D">
        <w:t>Display</w:t>
      </w:r>
      <w:r w:rsidR="001B0030">
        <w:t>ing</w:t>
      </w:r>
      <w:r w:rsidRPr="00C20E4A" w:rsidR="006B6EC4">
        <w:t xml:space="preserve"> of</w:t>
      </w:r>
      <w:r w:rsidRPr="00C20E4A" w:rsidR="008C752D">
        <w:t xml:space="preserve"> OMB Expiration Date</w:t>
      </w:r>
      <w:bookmarkEnd w:id="66"/>
      <w:bookmarkEnd w:id="67"/>
    </w:p>
    <w:p w:rsidR="005F7C62" w:rsidRPr="00C20E4A" w:rsidP="008164C1" w14:paraId="12A3DE2E" w14:textId="5EA42222">
      <w:pPr>
        <w:pStyle w:val="BodyText"/>
      </w:pPr>
      <w:r>
        <w:t xml:space="preserve"> </w:t>
      </w:r>
      <w:r w:rsidR="001B0030">
        <w:t xml:space="preserve">Not applicable. </w:t>
      </w:r>
      <w:r w:rsidRPr="00C20E4A" w:rsidR="008C752D">
        <w:t xml:space="preserve">The OMB </w:t>
      </w:r>
      <w:r>
        <w:t xml:space="preserve">control number and </w:t>
      </w:r>
      <w:r w:rsidRPr="00C20E4A" w:rsidR="008C752D">
        <w:t>expiration d</w:t>
      </w:r>
      <w:r>
        <w:t>ate will be displayed</w:t>
      </w:r>
      <w:r w:rsidRPr="00C20E4A" w:rsidR="008C752D">
        <w:t xml:space="preserve"> on the GSS </w:t>
      </w:r>
      <w:r w:rsidR="002804AE">
        <w:t xml:space="preserve">and FFRDC </w:t>
      </w:r>
      <w:r w:rsidR="001B0030">
        <w:t>w</w:t>
      </w:r>
      <w:r w:rsidRPr="00C20E4A" w:rsidR="008C752D">
        <w:t>eb survey</w:t>
      </w:r>
      <w:r w:rsidRPr="00C20E4A" w:rsidR="008C752D">
        <w:rPr>
          <w:spacing w:val="-5"/>
        </w:rPr>
        <w:t xml:space="preserve"> </w:t>
      </w:r>
      <w:r w:rsidRPr="00C20E4A" w:rsidR="008C752D">
        <w:t>login page</w:t>
      </w:r>
      <w:r w:rsidR="002804AE">
        <w:t>s</w:t>
      </w:r>
      <w:r w:rsidRPr="00C20E4A" w:rsidR="008C752D">
        <w:t xml:space="preserve"> and</w:t>
      </w:r>
      <w:r w:rsidRPr="00C20E4A" w:rsidR="008C752D">
        <w:rPr>
          <w:spacing w:val="2"/>
        </w:rPr>
        <w:t xml:space="preserve"> </w:t>
      </w:r>
      <w:r w:rsidRPr="00C20E4A" w:rsidR="008C752D">
        <w:t xml:space="preserve">on </w:t>
      </w:r>
      <w:r w:rsidRPr="00C20E4A" w:rsidR="00C75A66">
        <w:t>GSS</w:t>
      </w:r>
      <w:r w:rsidR="002804AE">
        <w:t xml:space="preserve"> and FFRDC</w:t>
      </w:r>
      <w:r w:rsidRPr="00C20E4A" w:rsidR="00C75A66">
        <w:t xml:space="preserve"> </w:t>
      </w:r>
      <w:r w:rsidR="00FB36E5">
        <w:t>P</w:t>
      </w:r>
      <w:r w:rsidR="00374D77">
        <w:t xml:space="preserve">ostdoc </w:t>
      </w:r>
      <w:r w:rsidR="00FB36E5">
        <w:t>S</w:t>
      </w:r>
      <w:r w:rsidR="00374D77">
        <w:t xml:space="preserve">urvey </w:t>
      </w:r>
      <w:r w:rsidRPr="00C20E4A" w:rsidR="008C752D">
        <w:t>worksheet</w:t>
      </w:r>
      <w:r w:rsidRPr="00C20E4A" w:rsidR="00375086">
        <w:t>s p</w:t>
      </w:r>
      <w:r w:rsidRPr="00C20E4A" w:rsidR="008C752D">
        <w:t xml:space="preserve">rovided to respondents for reference purposes (worksheets are no longer used for </w:t>
      </w:r>
      <w:r w:rsidRPr="00C20E4A" w:rsidR="001F2DE8">
        <w:t xml:space="preserve">actual </w:t>
      </w:r>
      <w:r w:rsidRPr="00C20E4A" w:rsidR="008C752D">
        <w:t>dat</w:t>
      </w:r>
      <w:r w:rsidRPr="00C20E4A" w:rsidR="00375086">
        <w:t>a s</w:t>
      </w:r>
      <w:r w:rsidRPr="00C20E4A" w:rsidR="008C752D">
        <w:t>ubmission).</w:t>
      </w:r>
    </w:p>
    <w:p w:rsidR="005F7C62" w:rsidRPr="00C20E4A" w:rsidP="003A5408" w14:paraId="338F4874" w14:textId="77777777">
      <w:pPr>
        <w:pStyle w:val="Heading2"/>
        <w:spacing w:after="180"/>
        <w:rPr>
          <w:bCs/>
        </w:rPr>
      </w:pPr>
      <w:bookmarkStart w:id="68" w:name="_Toc488073283"/>
      <w:bookmarkStart w:id="69" w:name="_Toc225442546"/>
      <w:r>
        <w:t>A.</w:t>
      </w:r>
      <w:r w:rsidRPr="00C20E4A" w:rsidR="003E5565">
        <w:t>18</w:t>
      </w:r>
      <w:r w:rsidRPr="00C20E4A" w:rsidR="003E5565">
        <w:tab/>
      </w:r>
      <w:r w:rsidRPr="00C20E4A" w:rsidR="008C752D">
        <w:t>Exceptions</w:t>
      </w:r>
      <w:r w:rsidRPr="00C20E4A" w:rsidR="006B6EC4">
        <w:t xml:space="preserve"> to the Certification Statement</w:t>
      </w:r>
      <w:bookmarkEnd w:id="68"/>
      <w:bookmarkEnd w:id="69"/>
    </w:p>
    <w:p w:rsidR="00CF2CBC" w:rsidRPr="00CA1752" w:rsidP="003E1136" w14:paraId="1ADB5765" w14:textId="77777777">
      <w:pPr>
        <w:pStyle w:val="BodyText"/>
      </w:pPr>
      <w:r w:rsidRPr="00C20E4A">
        <w:t xml:space="preserve"> </w:t>
      </w:r>
      <w:r w:rsidR="006840DA">
        <w:t>No exceptions to the certification statement are being sought.</w:t>
      </w:r>
    </w:p>
    <w:sectPr w:rsidSect="001D398B">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9660038"/>
      <w:docPartObj>
        <w:docPartGallery w:val="Page Numbers (Bottom of Page)"/>
        <w:docPartUnique/>
      </w:docPartObj>
    </w:sdtPr>
    <w:sdtEndPr>
      <w:rPr>
        <w:noProof/>
      </w:rPr>
    </w:sdtEndPr>
    <w:sdtContent>
      <w:p w:rsidR="00A0787C" w:rsidP="006465DF" w14:paraId="5DF94C1A" w14:textId="722620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7C" w14:paraId="4D09D7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3679841"/>
      <w:docPartObj>
        <w:docPartGallery w:val="Page Numbers (Bottom of Page)"/>
        <w:docPartUnique/>
      </w:docPartObj>
    </w:sdtPr>
    <w:sdtEndPr>
      <w:rPr>
        <w:noProof/>
      </w:rPr>
    </w:sdtEndPr>
    <w:sdtContent>
      <w:p w:rsidR="006465DF" w14:paraId="701003FD" w14:textId="139D4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E0874" w:rsidP="00A0787C" w14:paraId="26854CB2" w14:textId="4FEDC79F">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7C" w14:paraId="2782CFA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7C" w14:paraId="432EED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0386122"/>
      <w:docPartObj>
        <w:docPartGallery w:val="Page Numbers (Bottom of Page)"/>
        <w:docPartUnique/>
      </w:docPartObj>
    </w:sdtPr>
    <w:sdtEndPr>
      <w:rPr>
        <w:noProof/>
      </w:rPr>
    </w:sdtEndPr>
    <w:sdtContent>
      <w:p w:rsidR="000D2A85" w14:paraId="29801CC9" w14:textId="6785CC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787C" w:rsidP="00A0787C" w14:paraId="5126C40D" w14:textId="42289244">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7C" w14:paraId="78A58C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71DF" w14:paraId="39A8F077" w14:textId="77777777">
      <w:r>
        <w:separator/>
      </w:r>
    </w:p>
  </w:footnote>
  <w:footnote w:type="continuationSeparator" w:id="1">
    <w:p w:rsidR="006A71DF" w14:paraId="136DB6EB" w14:textId="77777777">
      <w:r>
        <w:continuationSeparator/>
      </w:r>
    </w:p>
  </w:footnote>
  <w:footnote w:type="continuationNotice" w:id="2">
    <w:p w:rsidR="006A71DF" w14:paraId="256E2081" w14:textId="77777777"/>
  </w:footnote>
  <w:footnote w:id="3">
    <w:p w:rsidR="00EE0874" w:rsidRPr="00FF1F7D" w:rsidP="000B5496" w14:paraId="53255C80" w14:textId="01AABDC3">
      <w:pPr>
        <w:pStyle w:val="NormalSS"/>
        <w:ind w:firstLine="0"/>
        <w:jc w:val="left"/>
        <w:rPr>
          <w:sz w:val="22"/>
          <w:szCs w:val="22"/>
        </w:rPr>
      </w:pPr>
      <w:r w:rsidRPr="0054776F">
        <w:rPr>
          <w:rStyle w:val="FootnoteReference"/>
          <w:sz w:val="22"/>
          <w:szCs w:val="22"/>
        </w:rPr>
        <w:footnoteRef/>
      </w:r>
      <w:r w:rsidRPr="0054776F">
        <w:rPr>
          <w:sz w:val="22"/>
          <w:szCs w:val="22"/>
        </w:rPr>
        <w:t xml:space="preserve"> </w:t>
      </w:r>
      <w:r w:rsidRPr="00FF1F7D">
        <w:rPr>
          <w:sz w:val="22"/>
          <w:szCs w:val="22"/>
        </w:rPr>
        <w:t>Section 505, Pub. L. No. 111-358. See Attachment 1</w:t>
      </w:r>
      <w:r w:rsidR="00B6790A">
        <w:rPr>
          <w:sz w:val="22"/>
          <w:szCs w:val="22"/>
        </w:rPr>
        <w:t>.</w:t>
      </w:r>
    </w:p>
  </w:footnote>
  <w:footnote w:id="4">
    <w:p w:rsidR="00EE0874" w14:paraId="5B5A880B" w14:textId="77777777">
      <w:pPr>
        <w:pStyle w:val="FootnoteText"/>
      </w:pPr>
      <w:r w:rsidRPr="00FF1F7D">
        <w:rPr>
          <w:rStyle w:val="FootnoteReference"/>
        </w:rPr>
        <w:footnoteRef/>
      </w:r>
      <w:r w:rsidRPr="00FF1F7D">
        <w:t xml:space="preserve"> See Attachment 2.</w:t>
      </w:r>
    </w:p>
  </w:footnote>
  <w:footnote w:id="5">
    <w:p w:rsidR="00EE0874" w:rsidRPr="0054776F" w:rsidP="000B5496" w14:paraId="3B21FD44" w14:textId="77777777">
      <w:pPr>
        <w:pStyle w:val="NormalSS"/>
        <w:ind w:firstLine="0"/>
        <w:jc w:val="left"/>
        <w:rPr>
          <w:sz w:val="22"/>
          <w:szCs w:val="22"/>
        </w:rPr>
      </w:pPr>
      <w:r w:rsidRPr="0054776F">
        <w:rPr>
          <w:rStyle w:val="FootnoteReference"/>
          <w:sz w:val="22"/>
          <w:szCs w:val="22"/>
        </w:rPr>
        <w:footnoteRef/>
      </w:r>
      <w:r w:rsidRPr="0054776F">
        <w:rPr>
          <w:sz w:val="22"/>
          <w:szCs w:val="22"/>
        </w:rPr>
        <w:t xml:space="preserve"> 42 U.S. Code § 1863(j)(1)</w:t>
      </w:r>
    </w:p>
  </w:footnote>
  <w:footnote w:id="6">
    <w:p w:rsidR="00EE0874" w:rsidP="000B5496" w14:paraId="21FDE96E" w14:textId="77777777">
      <w:pPr>
        <w:pStyle w:val="NormalSS"/>
        <w:ind w:firstLine="0"/>
        <w:jc w:val="left"/>
      </w:pPr>
      <w:r w:rsidRPr="0054776F">
        <w:rPr>
          <w:rStyle w:val="FootnoteReference"/>
          <w:sz w:val="22"/>
          <w:szCs w:val="22"/>
        </w:rPr>
        <w:footnoteRef/>
      </w:r>
      <w:r w:rsidRPr="0054776F">
        <w:rPr>
          <w:sz w:val="22"/>
          <w:szCs w:val="22"/>
        </w:rPr>
        <w:t xml:space="preserve"> 42 U.S. Code § 1885(a), 1885(d)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7C" w14:paraId="4CBE9A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7C" w:rsidP="00A0787C" w14:paraId="7F4C116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7C" w14:paraId="2F757F7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7C" w14:paraId="29B42BC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7C" w:rsidP="00A0787C" w14:paraId="3A82605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87C" w14:paraId="32EBB1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116BB2C"/>
    <w:lvl w:ilvl="0">
      <w:start w:val="1"/>
      <w:numFmt w:val="decimal"/>
      <w:lvlText w:val="%1."/>
      <w:lvlJc w:val="left"/>
      <w:pPr>
        <w:tabs>
          <w:tab w:val="num" w:pos="1800"/>
        </w:tabs>
        <w:ind w:left="1800" w:hanging="360"/>
      </w:pPr>
    </w:lvl>
  </w:abstractNum>
  <w:abstractNum w:abstractNumId="1">
    <w:nsid w:val="FFFFFF7D"/>
    <w:multiLevelType w:val="singleLevel"/>
    <w:tmpl w:val="4A32ED52"/>
    <w:lvl w:ilvl="0">
      <w:start w:val="1"/>
      <w:numFmt w:val="decimal"/>
      <w:lvlText w:val="%1."/>
      <w:lvlJc w:val="left"/>
      <w:pPr>
        <w:tabs>
          <w:tab w:val="num" w:pos="1440"/>
        </w:tabs>
        <w:ind w:left="1440" w:hanging="360"/>
      </w:pPr>
    </w:lvl>
  </w:abstractNum>
  <w:abstractNum w:abstractNumId="2">
    <w:nsid w:val="FFFFFF7E"/>
    <w:multiLevelType w:val="singleLevel"/>
    <w:tmpl w:val="38A442A0"/>
    <w:lvl w:ilvl="0">
      <w:start w:val="1"/>
      <w:numFmt w:val="decimal"/>
      <w:lvlText w:val="%1."/>
      <w:lvlJc w:val="left"/>
      <w:pPr>
        <w:tabs>
          <w:tab w:val="num" w:pos="1080"/>
        </w:tabs>
        <w:ind w:left="1080" w:hanging="360"/>
      </w:pPr>
    </w:lvl>
  </w:abstractNum>
  <w:abstractNum w:abstractNumId="3">
    <w:nsid w:val="FFFFFF7F"/>
    <w:multiLevelType w:val="singleLevel"/>
    <w:tmpl w:val="AB1615A8"/>
    <w:lvl w:ilvl="0">
      <w:start w:val="1"/>
      <w:numFmt w:val="decimal"/>
      <w:lvlText w:val="%1."/>
      <w:lvlJc w:val="left"/>
      <w:pPr>
        <w:tabs>
          <w:tab w:val="num" w:pos="720"/>
        </w:tabs>
        <w:ind w:left="720" w:hanging="360"/>
      </w:pPr>
    </w:lvl>
  </w:abstractNum>
  <w:abstractNum w:abstractNumId="4">
    <w:nsid w:val="FFFFFF80"/>
    <w:multiLevelType w:val="singleLevel"/>
    <w:tmpl w:val="0BD2C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5456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C01A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887566"/>
    <w:lvl w:ilvl="0">
      <w:start w:val="1"/>
      <w:numFmt w:val="bullet"/>
      <w:pStyle w:val="ListBullet2"/>
      <w:lvlText w:val="–"/>
      <w:lvlJc w:val="left"/>
      <w:pPr>
        <w:ind w:left="720" w:hanging="360"/>
      </w:pPr>
      <w:rPr>
        <w:rFonts w:ascii="Times New Roman" w:eastAsia="Times New Roman" w:hAnsi="Times New Roman" w:hint="default"/>
        <w:sz w:val="24"/>
        <w:szCs w:val="24"/>
      </w:rPr>
    </w:lvl>
  </w:abstractNum>
  <w:abstractNum w:abstractNumId="8">
    <w:nsid w:val="FFFFFF88"/>
    <w:multiLevelType w:val="singleLevel"/>
    <w:tmpl w:val="2E06EADA"/>
    <w:lvl w:ilvl="0">
      <w:start w:val="1"/>
      <w:numFmt w:val="decimal"/>
      <w:lvlText w:val="%1."/>
      <w:lvlJc w:val="left"/>
      <w:pPr>
        <w:tabs>
          <w:tab w:val="num" w:pos="360"/>
        </w:tabs>
        <w:ind w:left="360" w:hanging="360"/>
      </w:pPr>
    </w:lvl>
  </w:abstractNum>
  <w:abstractNum w:abstractNumId="9">
    <w:nsid w:val="FFFFFF89"/>
    <w:multiLevelType w:val="singleLevel"/>
    <w:tmpl w:val="C658A7D8"/>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02718A5"/>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11">
    <w:nsid w:val="006B3CCA"/>
    <w:multiLevelType w:val="hybridMultilevel"/>
    <w:tmpl w:val="81B46D00"/>
    <w:lvl w:ilvl="0">
      <w:start w:val="1"/>
      <w:numFmt w:val="bullet"/>
      <w:lvlText w:val=""/>
      <w:lvlJc w:val="left"/>
      <w:pPr>
        <w:ind w:left="1102" w:hanging="272"/>
      </w:pPr>
      <w:rPr>
        <w:rFonts w:ascii="Symbol" w:eastAsia="Symbol" w:hAnsi="Symbol" w:hint="default"/>
        <w:sz w:val="16"/>
        <w:szCs w:val="16"/>
      </w:rPr>
    </w:lvl>
    <w:lvl w:ilvl="1">
      <w:start w:val="1"/>
      <w:numFmt w:val="bullet"/>
      <w:lvlText w:val="•"/>
      <w:lvlJc w:val="left"/>
      <w:pPr>
        <w:ind w:left="1958" w:hanging="272"/>
      </w:pPr>
      <w:rPr>
        <w:rFonts w:hint="default"/>
      </w:rPr>
    </w:lvl>
    <w:lvl w:ilvl="2">
      <w:start w:val="1"/>
      <w:numFmt w:val="bullet"/>
      <w:lvlText w:val="•"/>
      <w:lvlJc w:val="left"/>
      <w:pPr>
        <w:ind w:left="2813" w:hanging="272"/>
      </w:pPr>
      <w:rPr>
        <w:rFonts w:hint="default"/>
      </w:rPr>
    </w:lvl>
    <w:lvl w:ilvl="3">
      <w:start w:val="1"/>
      <w:numFmt w:val="bullet"/>
      <w:lvlText w:val="•"/>
      <w:lvlJc w:val="left"/>
      <w:pPr>
        <w:ind w:left="3669" w:hanging="272"/>
      </w:pPr>
      <w:rPr>
        <w:rFonts w:hint="default"/>
      </w:rPr>
    </w:lvl>
    <w:lvl w:ilvl="4">
      <w:start w:val="1"/>
      <w:numFmt w:val="bullet"/>
      <w:lvlText w:val="•"/>
      <w:lvlJc w:val="left"/>
      <w:pPr>
        <w:ind w:left="4525" w:hanging="272"/>
      </w:pPr>
      <w:rPr>
        <w:rFonts w:hint="default"/>
      </w:rPr>
    </w:lvl>
    <w:lvl w:ilvl="5">
      <w:start w:val="1"/>
      <w:numFmt w:val="bullet"/>
      <w:lvlText w:val="•"/>
      <w:lvlJc w:val="left"/>
      <w:pPr>
        <w:ind w:left="5381" w:hanging="272"/>
      </w:pPr>
      <w:rPr>
        <w:rFonts w:hint="default"/>
      </w:rPr>
    </w:lvl>
    <w:lvl w:ilvl="6">
      <w:start w:val="1"/>
      <w:numFmt w:val="bullet"/>
      <w:lvlText w:val="•"/>
      <w:lvlJc w:val="left"/>
      <w:pPr>
        <w:ind w:left="6236" w:hanging="272"/>
      </w:pPr>
      <w:rPr>
        <w:rFonts w:hint="default"/>
      </w:rPr>
    </w:lvl>
    <w:lvl w:ilvl="7">
      <w:start w:val="1"/>
      <w:numFmt w:val="bullet"/>
      <w:lvlText w:val="•"/>
      <w:lvlJc w:val="left"/>
      <w:pPr>
        <w:ind w:left="7092" w:hanging="272"/>
      </w:pPr>
      <w:rPr>
        <w:rFonts w:hint="default"/>
      </w:rPr>
    </w:lvl>
    <w:lvl w:ilvl="8">
      <w:start w:val="1"/>
      <w:numFmt w:val="bullet"/>
      <w:lvlText w:val="•"/>
      <w:lvlJc w:val="left"/>
      <w:pPr>
        <w:ind w:left="7948" w:hanging="272"/>
      </w:pPr>
      <w:rPr>
        <w:rFonts w:hint="default"/>
      </w:rPr>
    </w:lvl>
  </w:abstractNum>
  <w:abstractNum w:abstractNumId="12">
    <w:nsid w:val="0A466379"/>
    <w:multiLevelType w:val="hybridMultilevel"/>
    <w:tmpl w:val="BEE85B8A"/>
    <w:lvl w:ilvl="0">
      <w:start w:val="1"/>
      <w:numFmt w:val="decimal"/>
      <w:lvlText w:val="(%1)"/>
      <w:lvlJc w:val="left"/>
      <w:pPr>
        <w:ind w:left="191" w:hanging="339"/>
      </w:pPr>
      <w:rPr>
        <w:rFonts w:ascii="Times New Roman" w:eastAsia="Times New Roman" w:hAnsi="Times New Roman" w:hint="default"/>
        <w:spacing w:val="-1"/>
        <w:sz w:val="24"/>
        <w:szCs w:val="24"/>
      </w:rPr>
    </w:lvl>
    <w:lvl w:ilvl="1">
      <w:start w:val="1"/>
      <w:numFmt w:val="bullet"/>
      <w:lvlText w:val=""/>
      <w:lvlJc w:val="left"/>
      <w:pPr>
        <w:ind w:left="1271" w:hanging="360"/>
      </w:pPr>
      <w:rPr>
        <w:rFonts w:ascii="Symbol" w:hAnsi="Symbol" w:hint="default"/>
        <w:sz w:val="22"/>
        <w:szCs w:val="22"/>
      </w:rPr>
    </w:lvl>
    <w:lvl w:ilvl="2">
      <w:start w:val="1"/>
      <w:numFmt w:val="bullet"/>
      <w:lvlText w:val="•"/>
      <w:lvlJc w:val="left"/>
      <w:pPr>
        <w:ind w:left="2212" w:hanging="360"/>
      </w:pPr>
      <w:rPr>
        <w:rFonts w:hint="default"/>
      </w:rPr>
    </w:lvl>
    <w:lvl w:ilvl="3">
      <w:start w:val="1"/>
      <w:numFmt w:val="bullet"/>
      <w:lvlText w:val="•"/>
      <w:lvlJc w:val="left"/>
      <w:pPr>
        <w:ind w:left="3153" w:hanging="360"/>
      </w:pPr>
      <w:rPr>
        <w:rFonts w:hint="default"/>
      </w:rPr>
    </w:lvl>
    <w:lvl w:ilvl="4">
      <w:start w:val="1"/>
      <w:numFmt w:val="bullet"/>
      <w:lvlText w:val="•"/>
      <w:lvlJc w:val="left"/>
      <w:pPr>
        <w:ind w:left="4094" w:hanging="360"/>
      </w:pPr>
      <w:rPr>
        <w:rFonts w:hint="default"/>
      </w:rPr>
    </w:lvl>
    <w:lvl w:ilvl="5">
      <w:start w:val="1"/>
      <w:numFmt w:val="bullet"/>
      <w:lvlText w:val="•"/>
      <w:lvlJc w:val="left"/>
      <w:pPr>
        <w:ind w:left="5035" w:hanging="360"/>
      </w:pPr>
      <w:rPr>
        <w:rFonts w:hint="default"/>
      </w:rPr>
    </w:lvl>
    <w:lvl w:ilvl="6">
      <w:start w:val="1"/>
      <w:numFmt w:val="bullet"/>
      <w:lvlText w:val="•"/>
      <w:lvlJc w:val="left"/>
      <w:pPr>
        <w:ind w:left="5976" w:hanging="360"/>
      </w:pPr>
      <w:rPr>
        <w:rFonts w:hint="default"/>
      </w:rPr>
    </w:lvl>
    <w:lvl w:ilvl="7">
      <w:start w:val="1"/>
      <w:numFmt w:val="bullet"/>
      <w:lvlText w:val="•"/>
      <w:lvlJc w:val="left"/>
      <w:pPr>
        <w:ind w:left="6917" w:hanging="360"/>
      </w:pPr>
      <w:rPr>
        <w:rFonts w:hint="default"/>
      </w:rPr>
    </w:lvl>
    <w:lvl w:ilvl="8">
      <w:start w:val="1"/>
      <w:numFmt w:val="bullet"/>
      <w:lvlText w:val="•"/>
      <w:lvlJc w:val="left"/>
      <w:pPr>
        <w:ind w:left="7858" w:hanging="360"/>
      </w:pPr>
      <w:rPr>
        <w:rFonts w:hint="default"/>
      </w:rPr>
    </w:lvl>
  </w:abstractNum>
  <w:abstractNum w:abstractNumId="13">
    <w:nsid w:val="0DC20F94"/>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4">
    <w:nsid w:val="0E0037C5"/>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5">
    <w:nsid w:val="0F747B30"/>
    <w:multiLevelType w:val="hybridMultilevel"/>
    <w:tmpl w:val="73760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93027E"/>
    <w:multiLevelType w:val="hybridMultilevel"/>
    <w:tmpl w:val="784C81EC"/>
    <w:lvl w:ilvl="0">
      <w:start w:val="1"/>
      <w:numFmt w:val="bullet"/>
      <w:lvlText w:val=""/>
      <w:lvlJc w:val="left"/>
      <w:pPr>
        <w:ind w:left="851" w:hanging="360"/>
      </w:pPr>
      <w:rPr>
        <w:rFonts w:ascii="Symbol" w:hAnsi="Symbol" w:hint="default"/>
      </w:rPr>
    </w:lvl>
    <w:lvl w:ilvl="1" w:tentative="1">
      <w:start w:val="1"/>
      <w:numFmt w:val="bullet"/>
      <w:lvlText w:val="o"/>
      <w:lvlJc w:val="left"/>
      <w:pPr>
        <w:ind w:left="1571" w:hanging="360"/>
      </w:pPr>
      <w:rPr>
        <w:rFonts w:ascii="Courier New" w:hAnsi="Courier New" w:cs="Courier New" w:hint="default"/>
      </w:rPr>
    </w:lvl>
    <w:lvl w:ilvl="2" w:tentative="1">
      <w:start w:val="1"/>
      <w:numFmt w:val="bullet"/>
      <w:lvlText w:val=""/>
      <w:lvlJc w:val="left"/>
      <w:pPr>
        <w:ind w:left="2291" w:hanging="360"/>
      </w:pPr>
      <w:rPr>
        <w:rFonts w:ascii="Wingdings" w:hAnsi="Wingdings" w:hint="default"/>
      </w:rPr>
    </w:lvl>
    <w:lvl w:ilvl="3" w:tentative="1">
      <w:start w:val="1"/>
      <w:numFmt w:val="bullet"/>
      <w:lvlText w:val=""/>
      <w:lvlJc w:val="left"/>
      <w:pPr>
        <w:ind w:left="3011" w:hanging="360"/>
      </w:pPr>
      <w:rPr>
        <w:rFonts w:ascii="Symbol" w:hAnsi="Symbol" w:hint="default"/>
      </w:rPr>
    </w:lvl>
    <w:lvl w:ilvl="4" w:tentative="1">
      <w:start w:val="1"/>
      <w:numFmt w:val="bullet"/>
      <w:lvlText w:val="o"/>
      <w:lvlJc w:val="left"/>
      <w:pPr>
        <w:ind w:left="3731" w:hanging="360"/>
      </w:pPr>
      <w:rPr>
        <w:rFonts w:ascii="Courier New" w:hAnsi="Courier New" w:cs="Courier New" w:hint="default"/>
      </w:rPr>
    </w:lvl>
    <w:lvl w:ilvl="5" w:tentative="1">
      <w:start w:val="1"/>
      <w:numFmt w:val="bullet"/>
      <w:lvlText w:val=""/>
      <w:lvlJc w:val="left"/>
      <w:pPr>
        <w:ind w:left="4451" w:hanging="360"/>
      </w:pPr>
      <w:rPr>
        <w:rFonts w:ascii="Wingdings" w:hAnsi="Wingdings" w:hint="default"/>
      </w:rPr>
    </w:lvl>
    <w:lvl w:ilvl="6" w:tentative="1">
      <w:start w:val="1"/>
      <w:numFmt w:val="bullet"/>
      <w:lvlText w:val=""/>
      <w:lvlJc w:val="left"/>
      <w:pPr>
        <w:ind w:left="5171" w:hanging="360"/>
      </w:pPr>
      <w:rPr>
        <w:rFonts w:ascii="Symbol" w:hAnsi="Symbol" w:hint="default"/>
      </w:rPr>
    </w:lvl>
    <w:lvl w:ilvl="7" w:tentative="1">
      <w:start w:val="1"/>
      <w:numFmt w:val="bullet"/>
      <w:lvlText w:val="o"/>
      <w:lvlJc w:val="left"/>
      <w:pPr>
        <w:ind w:left="5891" w:hanging="360"/>
      </w:pPr>
      <w:rPr>
        <w:rFonts w:ascii="Courier New" w:hAnsi="Courier New" w:cs="Courier New" w:hint="default"/>
      </w:rPr>
    </w:lvl>
    <w:lvl w:ilvl="8" w:tentative="1">
      <w:start w:val="1"/>
      <w:numFmt w:val="bullet"/>
      <w:lvlText w:val=""/>
      <w:lvlJc w:val="left"/>
      <w:pPr>
        <w:ind w:left="6611" w:hanging="360"/>
      </w:pPr>
      <w:rPr>
        <w:rFonts w:ascii="Wingdings" w:hAnsi="Wingdings" w:hint="default"/>
      </w:rPr>
    </w:lvl>
  </w:abstractNum>
  <w:abstractNum w:abstractNumId="17">
    <w:nsid w:val="149D0679"/>
    <w:multiLevelType w:val="hybridMultilevel"/>
    <w:tmpl w:val="AB9ABE50"/>
    <w:lvl w:ilvl="0">
      <w:start w:val="1"/>
      <w:numFmt w:val="bullet"/>
      <w:lvlText w:val=""/>
      <w:lvlJc w:val="left"/>
      <w:pPr>
        <w:ind w:left="459" w:hanging="360"/>
      </w:pPr>
      <w:rPr>
        <w:rFonts w:ascii="Symbol" w:hAnsi="Symbol" w:hint="default"/>
        <w:sz w:val="22"/>
        <w:szCs w:val="22"/>
      </w:rPr>
    </w:lvl>
    <w:lvl w:ilvl="1">
      <w:start w:val="1"/>
      <w:numFmt w:val="bullet"/>
      <w:lvlText w:val="–"/>
      <w:lvlJc w:val="left"/>
      <w:pPr>
        <w:ind w:left="819" w:hanging="360"/>
      </w:pPr>
      <w:rPr>
        <w:rFonts w:ascii="Times New Roman" w:eastAsia="Times New Roman" w:hAnsi="Times New Roman" w:hint="default"/>
        <w:sz w:val="24"/>
        <w:szCs w:val="24"/>
      </w:rPr>
    </w:lvl>
    <w:lvl w:ilvl="2">
      <w:start w:val="1"/>
      <w:numFmt w:val="bullet"/>
      <w:lvlText w:val="•"/>
      <w:lvlJc w:val="left"/>
      <w:pPr>
        <w:ind w:left="1720" w:hanging="360"/>
      </w:pPr>
      <w:rPr>
        <w:rFonts w:hint="default"/>
      </w:rPr>
    </w:lvl>
    <w:lvl w:ilvl="3">
      <w:start w:val="1"/>
      <w:numFmt w:val="bullet"/>
      <w:lvlText w:val="•"/>
      <w:lvlJc w:val="left"/>
      <w:pPr>
        <w:ind w:left="2621" w:hanging="360"/>
      </w:pPr>
      <w:rPr>
        <w:rFonts w:hint="default"/>
      </w:rPr>
    </w:lvl>
    <w:lvl w:ilvl="4">
      <w:start w:val="1"/>
      <w:numFmt w:val="bullet"/>
      <w:lvlText w:val="•"/>
      <w:lvlJc w:val="left"/>
      <w:pPr>
        <w:ind w:left="3522" w:hanging="360"/>
      </w:pPr>
      <w:rPr>
        <w:rFonts w:hint="default"/>
      </w:rPr>
    </w:lvl>
    <w:lvl w:ilvl="5">
      <w:start w:val="1"/>
      <w:numFmt w:val="bullet"/>
      <w:lvlText w:val="•"/>
      <w:lvlJc w:val="left"/>
      <w:pPr>
        <w:ind w:left="4423" w:hanging="360"/>
      </w:pPr>
      <w:rPr>
        <w:rFonts w:hint="default"/>
      </w:rPr>
    </w:lvl>
    <w:lvl w:ilvl="6">
      <w:start w:val="1"/>
      <w:numFmt w:val="bullet"/>
      <w:lvlText w:val="•"/>
      <w:lvlJc w:val="left"/>
      <w:pPr>
        <w:ind w:left="5324" w:hanging="360"/>
      </w:pPr>
      <w:rPr>
        <w:rFonts w:hint="default"/>
      </w:rPr>
    </w:lvl>
    <w:lvl w:ilvl="7">
      <w:start w:val="1"/>
      <w:numFmt w:val="bullet"/>
      <w:lvlText w:val="•"/>
      <w:lvlJc w:val="left"/>
      <w:pPr>
        <w:ind w:left="6225" w:hanging="360"/>
      </w:pPr>
      <w:rPr>
        <w:rFonts w:hint="default"/>
      </w:rPr>
    </w:lvl>
    <w:lvl w:ilvl="8">
      <w:start w:val="1"/>
      <w:numFmt w:val="bullet"/>
      <w:lvlText w:val="•"/>
      <w:lvlJc w:val="left"/>
      <w:pPr>
        <w:ind w:left="7126" w:hanging="360"/>
      </w:pPr>
      <w:rPr>
        <w:rFonts w:hint="default"/>
      </w:rPr>
    </w:lvl>
  </w:abstractNum>
  <w:abstractNum w:abstractNumId="18">
    <w:nsid w:val="19E22497"/>
    <w:multiLevelType w:val="multilevel"/>
    <w:tmpl w:val="5FEEAF80"/>
    <w:numStyleLink w:val="Exhibits"/>
  </w:abstractNum>
  <w:abstractNum w:abstractNumId="19">
    <w:nsid w:val="1BC748A9"/>
    <w:multiLevelType w:val="hybridMultilevel"/>
    <w:tmpl w:val="8384E982"/>
    <w:lvl w:ilvl="0">
      <w:start w:val="1"/>
      <w:numFmt w:val="bullet"/>
      <w:lvlText w:val="•"/>
      <w:lvlJc w:val="left"/>
      <w:pPr>
        <w:ind w:left="540" w:hanging="360"/>
      </w:pPr>
      <w:rPr>
        <w:rFonts w:ascii="Times New Roman" w:eastAsia="Times New Roman" w:hAnsi="Times New Roman" w:hint="default"/>
        <w:sz w:val="22"/>
        <w:szCs w:val="22"/>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0">
    <w:nsid w:val="1D615C1D"/>
    <w:multiLevelType w:val="hybridMultilevel"/>
    <w:tmpl w:val="09F45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3C14E2"/>
    <w:multiLevelType w:val="hybridMultilevel"/>
    <w:tmpl w:val="F8DCD4E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ECB61F5"/>
    <w:multiLevelType w:val="multilevel"/>
    <w:tmpl w:val="5FEEAF80"/>
    <w:styleLink w:val="Exhibits"/>
    <w:lvl w:ilvl="0">
      <w:start w:val="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F075CD2"/>
    <w:multiLevelType w:val="hybridMultilevel"/>
    <w:tmpl w:val="6A34E4A6"/>
    <w:lvl w:ilvl="0">
      <w:start w:val="1"/>
      <w:numFmt w:val="bullet"/>
      <w:lvlText w:val="•"/>
      <w:lvlJc w:val="left"/>
      <w:pPr>
        <w:ind w:left="1291" w:hanging="360"/>
      </w:pPr>
      <w:rPr>
        <w:rFonts w:ascii="Times New Roman" w:eastAsia="Times New Roman" w:hAnsi="Times New Roman" w:hint="default"/>
        <w:sz w:val="22"/>
        <w:szCs w:val="22"/>
      </w:rPr>
    </w:lvl>
    <w:lvl w:ilvl="1">
      <w:start w:val="1"/>
      <w:numFmt w:val="bullet"/>
      <w:lvlText w:val="•"/>
      <w:lvlJc w:val="left"/>
      <w:pPr>
        <w:ind w:left="2150" w:hanging="360"/>
      </w:pPr>
      <w:rPr>
        <w:rFonts w:hint="default"/>
      </w:rPr>
    </w:lvl>
    <w:lvl w:ilvl="2">
      <w:start w:val="1"/>
      <w:numFmt w:val="bullet"/>
      <w:lvlText w:val="•"/>
      <w:lvlJc w:val="left"/>
      <w:pPr>
        <w:ind w:left="3008" w:hanging="360"/>
      </w:pPr>
      <w:rPr>
        <w:rFonts w:hint="default"/>
      </w:rPr>
    </w:lvl>
    <w:lvl w:ilvl="3">
      <w:start w:val="1"/>
      <w:numFmt w:val="bullet"/>
      <w:lvlText w:val="•"/>
      <w:lvlJc w:val="left"/>
      <w:pPr>
        <w:ind w:left="3867" w:hanging="360"/>
      </w:pPr>
      <w:rPr>
        <w:rFonts w:hint="default"/>
      </w:rPr>
    </w:lvl>
    <w:lvl w:ilvl="4">
      <w:start w:val="1"/>
      <w:numFmt w:val="bullet"/>
      <w:lvlText w:val="•"/>
      <w:lvlJc w:val="left"/>
      <w:pPr>
        <w:ind w:left="4726" w:hanging="360"/>
      </w:pPr>
      <w:rPr>
        <w:rFonts w:hint="default"/>
      </w:rPr>
    </w:lvl>
    <w:lvl w:ilvl="5">
      <w:start w:val="1"/>
      <w:numFmt w:val="bullet"/>
      <w:lvlText w:val="•"/>
      <w:lvlJc w:val="left"/>
      <w:pPr>
        <w:ind w:left="5585" w:hanging="360"/>
      </w:pPr>
      <w:rPr>
        <w:rFonts w:hint="default"/>
      </w:rPr>
    </w:lvl>
    <w:lvl w:ilvl="6">
      <w:start w:val="1"/>
      <w:numFmt w:val="bullet"/>
      <w:lvlText w:val="•"/>
      <w:lvlJc w:val="left"/>
      <w:pPr>
        <w:ind w:left="6444" w:hanging="360"/>
      </w:pPr>
      <w:rPr>
        <w:rFonts w:hint="default"/>
      </w:rPr>
    </w:lvl>
    <w:lvl w:ilvl="7">
      <w:start w:val="1"/>
      <w:numFmt w:val="bullet"/>
      <w:lvlText w:val="•"/>
      <w:lvlJc w:val="left"/>
      <w:pPr>
        <w:ind w:left="7303" w:hanging="360"/>
      </w:pPr>
      <w:rPr>
        <w:rFonts w:hint="default"/>
      </w:rPr>
    </w:lvl>
    <w:lvl w:ilvl="8">
      <w:start w:val="1"/>
      <w:numFmt w:val="bullet"/>
      <w:lvlText w:val="•"/>
      <w:lvlJc w:val="left"/>
      <w:pPr>
        <w:ind w:left="8162" w:hanging="360"/>
      </w:pPr>
      <w:rPr>
        <w:rFonts w:hint="default"/>
      </w:rPr>
    </w:lvl>
  </w:abstractNum>
  <w:abstractNum w:abstractNumId="24">
    <w:nsid w:val="2F3E2715"/>
    <w:multiLevelType w:val="multilevel"/>
    <w:tmpl w:val="484E3414"/>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31"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25">
    <w:nsid w:val="31036FD4"/>
    <w:multiLevelType w:val="hybridMultilevel"/>
    <w:tmpl w:val="570832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4B12211"/>
    <w:multiLevelType w:val="hybridMultilevel"/>
    <w:tmpl w:val="2FDEC180"/>
    <w:lvl w:ilvl="0">
      <w:start w:val="1"/>
      <w:numFmt w:val="bullet"/>
      <w:lvlText w:val=""/>
      <w:lvlJc w:val="left"/>
      <w:pPr>
        <w:ind w:left="830" w:hanging="360"/>
      </w:pPr>
      <w:rPr>
        <w:rFonts w:ascii="Symbol" w:hAnsi="Symbol" w:hint="default"/>
      </w:rPr>
    </w:lvl>
    <w:lvl w:ilvl="1" w:tentative="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7">
    <w:nsid w:val="35055214"/>
    <w:multiLevelType w:val="hybridMultilevel"/>
    <w:tmpl w:val="2B70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6547AC8"/>
    <w:multiLevelType w:val="hybridMultilevel"/>
    <w:tmpl w:val="44EC903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3A4938C8"/>
    <w:multiLevelType w:val="multilevel"/>
    <w:tmpl w:val="04744EFE"/>
    <w:lvl w:ilvl="0">
      <w:start w:val="1"/>
      <w:numFmt w:val="upperLetter"/>
      <w:lvlText w:val="%1."/>
      <w:lvlJc w:val="left"/>
      <w:pPr>
        <w:ind w:left="742" w:hanging="452"/>
      </w:pPr>
      <w:rPr>
        <w:rFonts w:ascii="Times New Roman" w:eastAsia="Times New Roman" w:hAnsi="Times New Roman" w:hint="default"/>
        <w:spacing w:val="-1"/>
        <w:sz w:val="24"/>
        <w:szCs w:val="24"/>
      </w:rPr>
    </w:lvl>
    <w:lvl w:ilvl="1">
      <w:start w:val="1"/>
      <w:numFmt w:val="decimal"/>
      <w:lvlText w:val="%1.%2"/>
      <w:lvlJc w:val="left"/>
      <w:pPr>
        <w:ind w:left="1371" w:hanging="629"/>
      </w:pPr>
      <w:rPr>
        <w:rFonts w:ascii="Times New Roman" w:eastAsia="Times New Roman" w:hAnsi="Times New Roman" w:hint="default"/>
        <w:spacing w:val="-1"/>
        <w:sz w:val="24"/>
        <w:szCs w:val="24"/>
      </w:rPr>
    </w:lvl>
    <w:lvl w:ilvl="2">
      <w:start w:val="1"/>
      <w:numFmt w:val="decimal"/>
      <w:lvlText w:val="%1.%2.%3"/>
      <w:lvlJc w:val="left"/>
      <w:pPr>
        <w:ind w:left="2091" w:hanging="720"/>
      </w:pPr>
      <w:rPr>
        <w:rFonts w:ascii="Times New Roman" w:eastAsia="Times New Roman" w:hAnsi="Times New Roman" w:hint="default"/>
        <w:spacing w:val="-1"/>
        <w:sz w:val="24"/>
        <w:szCs w:val="24"/>
      </w:rPr>
    </w:lvl>
    <w:lvl w:ilvl="3">
      <w:start w:val="1"/>
      <w:numFmt w:val="bullet"/>
      <w:lvlText w:val="•"/>
      <w:lvlJc w:val="left"/>
      <w:pPr>
        <w:ind w:left="2091" w:hanging="720"/>
      </w:pPr>
      <w:rPr>
        <w:rFonts w:hint="default"/>
      </w:rPr>
    </w:lvl>
    <w:lvl w:ilvl="4">
      <w:start w:val="1"/>
      <w:numFmt w:val="bullet"/>
      <w:lvlText w:val="•"/>
      <w:lvlJc w:val="left"/>
      <w:pPr>
        <w:ind w:left="3135" w:hanging="720"/>
      </w:pPr>
      <w:rPr>
        <w:rFonts w:hint="default"/>
      </w:rPr>
    </w:lvl>
    <w:lvl w:ilvl="5">
      <w:start w:val="1"/>
      <w:numFmt w:val="bullet"/>
      <w:lvlText w:val="•"/>
      <w:lvlJc w:val="left"/>
      <w:pPr>
        <w:ind w:left="4179" w:hanging="720"/>
      </w:pPr>
      <w:rPr>
        <w:rFonts w:hint="default"/>
      </w:rPr>
    </w:lvl>
    <w:lvl w:ilvl="6">
      <w:start w:val="1"/>
      <w:numFmt w:val="bullet"/>
      <w:lvlText w:val="•"/>
      <w:lvlJc w:val="left"/>
      <w:pPr>
        <w:ind w:left="5223" w:hanging="720"/>
      </w:pPr>
      <w:rPr>
        <w:rFonts w:hint="default"/>
      </w:rPr>
    </w:lvl>
    <w:lvl w:ilvl="7">
      <w:start w:val="1"/>
      <w:numFmt w:val="bullet"/>
      <w:lvlText w:val="•"/>
      <w:lvlJc w:val="left"/>
      <w:pPr>
        <w:ind w:left="6267" w:hanging="720"/>
      </w:pPr>
      <w:rPr>
        <w:rFonts w:hint="default"/>
      </w:rPr>
    </w:lvl>
    <w:lvl w:ilvl="8">
      <w:start w:val="1"/>
      <w:numFmt w:val="bullet"/>
      <w:lvlText w:val="•"/>
      <w:lvlJc w:val="left"/>
      <w:pPr>
        <w:ind w:left="7311" w:hanging="720"/>
      </w:pPr>
      <w:rPr>
        <w:rFonts w:hint="default"/>
      </w:rPr>
    </w:lvl>
  </w:abstractNum>
  <w:abstractNum w:abstractNumId="30">
    <w:nsid w:val="3E0A4A2D"/>
    <w:multiLevelType w:val="hybridMultilevel"/>
    <w:tmpl w:val="A98E5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1855F05"/>
    <w:multiLevelType w:val="multilevel"/>
    <w:tmpl w:val="E53E2A0A"/>
    <w:lvl w:ilvl="0">
      <w:start w:val="1"/>
      <w:numFmt w:val="upperLetter"/>
      <w:lvlText w:val="%1"/>
      <w:lvlJc w:val="left"/>
      <w:pPr>
        <w:ind w:left="851" w:hanging="720"/>
      </w:pPr>
      <w:rPr>
        <w:rFonts w:hint="default"/>
      </w:rPr>
    </w:lvl>
    <w:lvl w:ilvl="1">
      <w:start w:val="13"/>
      <w:numFmt w:val="decimal"/>
      <w:lvlText w:val="%1.%2"/>
      <w:lvlJc w:val="left"/>
      <w:pPr>
        <w:ind w:left="851" w:hanging="720"/>
      </w:pPr>
      <w:rPr>
        <w:rFonts w:ascii="Times New Roman" w:eastAsia="Times New Roman" w:hAnsi="Times New Roman" w:hint="default"/>
        <w:b/>
        <w:bCs/>
        <w:spacing w:val="-1"/>
        <w:sz w:val="24"/>
        <w:szCs w:val="24"/>
      </w:rPr>
    </w:lvl>
    <w:lvl w:ilvl="2">
      <w:start w:val="1"/>
      <w:numFmt w:val="bullet"/>
      <w:lvlText w:val="•"/>
      <w:lvlJc w:val="left"/>
      <w:pPr>
        <w:ind w:left="2608" w:hanging="720"/>
      </w:pPr>
      <w:rPr>
        <w:rFonts w:hint="default"/>
      </w:rPr>
    </w:lvl>
    <w:lvl w:ilvl="3">
      <w:start w:val="1"/>
      <w:numFmt w:val="bullet"/>
      <w:lvlText w:val="•"/>
      <w:lvlJc w:val="left"/>
      <w:pPr>
        <w:ind w:left="3487" w:hanging="720"/>
      </w:pPr>
      <w:rPr>
        <w:rFonts w:hint="default"/>
      </w:rPr>
    </w:lvl>
    <w:lvl w:ilvl="4">
      <w:start w:val="1"/>
      <w:numFmt w:val="bullet"/>
      <w:lvlText w:val="•"/>
      <w:lvlJc w:val="left"/>
      <w:pPr>
        <w:ind w:left="4366"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7003" w:hanging="720"/>
      </w:pPr>
      <w:rPr>
        <w:rFonts w:hint="default"/>
      </w:rPr>
    </w:lvl>
    <w:lvl w:ilvl="8">
      <w:start w:val="1"/>
      <w:numFmt w:val="bullet"/>
      <w:lvlText w:val="•"/>
      <w:lvlJc w:val="left"/>
      <w:pPr>
        <w:ind w:left="7882" w:hanging="720"/>
      </w:pPr>
      <w:rPr>
        <w:rFonts w:hint="default"/>
      </w:rPr>
    </w:lvl>
  </w:abstractNum>
  <w:abstractNum w:abstractNumId="32">
    <w:nsid w:val="41F64013"/>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33">
    <w:nsid w:val="425443B9"/>
    <w:multiLevelType w:val="hybridMultilevel"/>
    <w:tmpl w:val="BCB042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4">
    <w:nsid w:val="426A2E01"/>
    <w:multiLevelType w:val="hybridMultilevel"/>
    <w:tmpl w:val="4DEA592C"/>
    <w:lvl w:ilvl="0">
      <w:start w:val="1"/>
      <w:numFmt w:val="bullet"/>
      <w:lvlText w:val=""/>
      <w:lvlJc w:val="left"/>
      <w:pPr>
        <w:ind w:left="459" w:hanging="360"/>
      </w:pPr>
      <w:rPr>
        <w:rFonts w:ascii="Symbol" w:hAnsi="Symbol" w:hint="default"/>
        <w:sz w:val="22"/>
        <w:szCs w:val="22"/>
      </w:rPr>
    </w:lvl>
    <w:lvl w:ilvl="1">
      <w:start w:val="1"/>
      <w:numFmt w:val="bullet"/>
      <w:lvlText w:val="–"/>
      <w:lvlJc w:val="left"/>
      <w:pPr>
        <w:ind w:left="819" w:hanging="360"/>
      </w:pPr>
      <w:rPr>
        <w:rFonts w:ascii="Times New Roman" w:eastAsia="Times New Roman" w:hAnsi="Times New Roman" w:hint="default"/>
        <w:sz w:val="24"/>
        <w:szCs w:val="24"/>
      </w:rPr>
    </w:lvl>
    <w:lvl w:ilvl="2">
      <w:start w:val="1"/>
      <w:numFmt w:val="bullet"/>
      <w:lvlText w:val="•"/>
      <w:lvlJc w:val="left"/>
      <w:pPr>
        <w:ind w:left="1720" w:hanging="360"/>
      </w:pPr>
      <w:rPr>
        <w:rFonts w:hint="default"/>
      </w:rPr>
    </w:lvl>
    <w:lvl w:ilvl="3">
      <w:start w:val="1"/>
      <w:numFmt w:val="bullet"/>
      <w:lvlText w:val="•"/>
      <w:lvlJc w:val="left"/>
      <w:pPr>
        <w:ind w:left="2621" w:hanging="360"/>
      </w:pPr>
      <w:rPr>
        <w:rFonts w:hint="default"/>
      </w:rPr>
    </w:lvl>
    <w:lvl w:ilvl="4">
      <w:start w:val="1"/>
      <w:numFmt w:val="bullet"/>
      <w:lvlText w:val="•"/>
      <w:lvlJc w:val="left"/>
      <w:pPr>
        <w:ind w:left="3522" w:hanging="360"/>
      </w:pPr>
      <w:rPr>
        <w:rFonts w:hint="default"/>
      </w:rPr>
    </w:lvl>
    <w:lvl w:ilvl="5">
      <w:start w:val="1"/>
      <w:numFmt w:val="bullet"/>
      <w:lvlText w:val="•"/>
      <w:lvlJc w:val="left"/>
      <w:pPr>
        <w:ind w:left="4423" w:hanging="360"/>
      </w:pPr>
      <w:rPr>
        <w:rFonts w:hint="default"/>
      </w:rPr>
    </w:lvl>
    <w:lvl w:ilvl="6">
      <w:start w:val="1"/>
      <w:numFmt w:val="bullet"/>
      <w:lvlText w:val="•"/>
      <w:lvlJc w:val="left"/>
      <w:pPr>
        <w:ind w:left="5324" w:hanging="360"/>
      </w:pPr>
      <w:rPr>
        <w:rFonts w:hint="default"/>
      </w:rPr>
    </w:lvl>
    <w:lvl w:ilvl="7">
      <w:start w:val="1"/>
      <w:numFmt w:val="bullet"/>
      <w:lvlText w:val="•"/>
      <w:lvlJc w:val="left"/>
      <w:pPr>
        <w:ind w:left="6225" w:hanging="360"/>
      </w:pPr>
      <w:rPr>
        <w:rFonts w:hint="default"/>
      </w:rPr>
    </w:lvl>
    <w:lvl w:ilvl="8">
      <w:start w:val="1"/>
      <w:numFmt w:val="bullet"/>
      <w:lvlText w:val="•"/>
      <w:lvlJc w:val="left"/>
      <w:pPr>
        <w:ind w:left="7126" w:hanging="360"/>
      </w:pPr>
      <w:rPr>
        <w:rFonts w:hint="default"/>
      </w:rPr>
    </w:lvl>
  </w:abstractNum>
  <w:abstractNum w:abstractNumId="35">
    <w:nsid w:val="42D94DD0"/>
    <w:multiLevelType w:val="hybridMultilevel"/>
    <w:tmpl w:val="65BC5FC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54B7FD4"/>
    <w:multiLevelType w:val="hybridMultilevel"/>
    <w:tmpl w:val="8448661A"/>
    <w:lvl w:ilvl="0">
      <w:start w:val="1"/>
      <w:numFmt w:val="decimal"/>
      <w:lvlText w:val="(%1)"/>
      <w:lvlJc w:val="left"/>
      <w:pPr>
        <w:ind w:left="191" w:hanging="339"/>
      </w:pPr>
      <w:rPr>
        <w:rFonts w:ascii="Times New Roman" w:eastAsia="Times New Roman" w:hAnsi="Times New Roman" w:hint="default"/>
        <w:spacing w:val="-1"/>
        <w:sz w:val="24"/>
        <w:szCs w:val="24"/>
      </w:rPr>
    </w:lvl>
    <w:lvl w:ilvl="1">
      <w:start w:val="1"/>
      <w:numFmt w:val="bullet"/>
      <w:lvlText w:val="•"/>
      <w:lvlJc w:val="left"/>
      <w:pPr>
        <w:ind w:left="1271" w:hanging="360"/>
      </w:pPr>
      <w:rPr>
        <w:rFonts w:ascii="Times New Roman" w:eastAsia="Times New Roman" w:hAnsi="Times New Roman" w:hint="default"/>
        <w:sz w:val="22"/>
        <w:szCs w:val="22"/>
      </w:rPr>
    </w:lvl>
    <w:lvl w:ilvl="2">
      <w:start w:val="1"/>
      <w:numFmt w:val="bullet"/>
      <w:lvlText w:val="•"/>
      <w:lvlJc w:val="left"/>
      <w:pPr>
        <w:ind w:left="2212" w:hanging="360"/>
      </w:pPr>
      <w:rPr>
        <w:rFonts w:hint="default"/>
      </w:rPr>
    </w:lvl>
    <w:lvl w:ilvl="3">
      <w:start w:val="1"/>
      <w:numFmt w:val="bullet"/>
      <w:lvlText w:val="•"/>
      <w:lvlJc w:val="left"/>
      <w:pPr>
        <w:ind w:left="3153" w:hanging="360"/>
      </w:pPr>
      <w:rPr>
        <w:rFonts w:hint="default"/>
      </w:rPr>
    </w:lvl>
    <w:lvl w:ilvl="4">
      <w:start w:val="1"/>
      <w:numFmt w:val="bullet"/>
      <w:lvlText w:val="•"/>
      <w:lvlJc w:val="left"/>
      <w:pPr>
        <w:ind w:left="4094" w:hanging="360"/>
      </w:pPr>
      <w:rPr>
        <w:rFonts w:hint="default"/>
      </w:rPr>
    </w:lvl>
    <w:lvl w:ilvl="5">
      <w:start w:val="1"/>
      <w:numFmt w:val="bullet"/>
      <w:lvlText w:val="•"/>
      <w:lvlJc w:val="left"/>
      <w:pPr>
        <w:ind w:left="5035" w:hanging="360"/>
      </w:pPr>
      <w:rPr>
        <w:rFonts w:hint="default"/>
      </w:rPr>
    </w:lvl>
    <w:lvl w:ilvl="6">
      <w:start w:val="1"/>
      <w:numFmt w:val="bullet"/>
      <w:lvlText w:val="•"/>
      <w:lvlJc w:val="left"/>
      <w:pPr>
        <w:ind w:left="5976" w:hanging="360"/>
      </w:pPr>
      <w:rPr>
        <w:rFonts w:hint="default"/>
      </w:rPr>
    </w:lvl>
    <w:lvl w:ilvl="7">
      <w:start w:val="1"/>
      <w:numFmt w:val="bullet"/>
      <w:lvlText w:val="•"/>
      <w:lvlJc w:val="left"/>
      <w:pPr>
        <w:ind w:left="6917" w:hanging="360"/>
      </w:pPr>
      <w:rPr>
        <w:rFonts w:hint="default"/>
      </w:rPr>
    </w:lvl>
    <w:lvl w:ilvl="8">
      <w:start w:val="1"/>
      <w:numFmt w:val="bullet"/>
      <w:lvlText w:val="•"/>
      <w:lvlJc w:val="left"/>
      <w:pPr>
        <w:ind w:left="7858" w:hanging="360"/>
      </w:pPr>
      <w:rPr>
        <w:rFonts w:hint="default"/>
      </w:rPr>
    </w:lvl>
  </w:abstractNum>
  <w:abstractNum w:abstractNumId="37">
    <w:nsid w:val="46B54E4E"/>
    <w:multiLevelType w:val="hybridMultilevel"/>
    <w:tmpl w:val="A4DE4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95C1E73"/>
    <w:multiLevelType w:val="hybridMultilevel"/>
    <w:tmpl w:val="CBB22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B9A0673"/>
    <w:multiLevelType w:val="hybridMultilevel"/>
    <w:tmpl w:val="80AA791E"/>
    <w:lvl w:ilvl="0">
      <w:start w:val="1"/>
      <w:numFmt w:val="bullet"/>
      <w:lvlText w:val=""/>
      <w:lvlJc w:val="left"/>
      <w:pPr>
        <w:ind w:left="1551" w:hanging="360"/>
      </w:pPr>
      <w:rPr>
        <w:rFonts w:ascii="Symbol" w:hAnsi="Symbol" w:hint="default"/>
      </w:rPr>
    </w:lvl>
    <w:lvl w:ilvl="1" w:tentative="1">
      <w:start w:val="1"/>
      <w:numFmt w:val="bullet"/>
      <w:lvlText w:val="o"/>
      <w:lvlJc w:val="left"/>
      <w:pPr>
        <w:ind w:left="2271" w:hanging="360"/>
      </w:pPr>
      <w:rPr>
        <w:rFonts w:ascii="Courier New" w:hAnsi="Courier New" w:cs="Courier New" w:hint="default"/>
      </w:rPr>
    </w:lvl>
    <w:lvl w:ilvl="2" w:tentative="1">
      <w:start w:val="1"/>
      <w:numFmt w:val="bullet"/>
      <w:lvlText w:val=""/>
      <w:lvlJc w:val="left"/>
      <w:pPr>
        <w:ind w:left="2991" w:hanging="360"/>
      </w:pPr>
      <w:rPr>
        <w:rFonts w:ascii="Wingdings" w:hAnsi="Wingdings" w:hint="default"/>
      </w:rPr>
    </w:lvl>
    <w:lvl w:ilvl="3" w:tentative="1">
      <w:start w:val="1"/>
      <w:numFmt w:val="bullet"/>
      <w:lvlText w:val=""/>
      <w:lvlJc w:val="left"/>
      <w:pPr>
        <w:ind w:left="3711" w:hanging="360"/>
      </w:pPr>
      <w:rPr>
        <w:rFonts w:ascii="Symbol" w:hAnsi="Symbol" w:hint="default"/>
      </w:rPr>
    </w:lvl>
    <w:lvl w:ilvl="4" w:tentative="1">
      <w:start w:val="1"/>
      <w:numFmt w:val="bullet"/>
      <w:lvlText w:val="o"/>
      <w:lvlJc w:val="left"/>
      <w:pPr>
        <w:ind w:left="4431" w:hanging="360"/>
      </w:pPr>
      <w:rPr>
        <w:rFonts w:ascii="Courier New" w:hAnsi="Courier New" w:cs="Courier New" w:hint="default"/>
      </w:rPr>
    </w:lvl>
    <w:lvl w:ilvl="5" w:tentative="1">
      <w:start w:val="1"/>
      <w:numFmt w:val="bullet"/>
      <w:lvlText w:val=""/>
      <w:lvlJc w:val="left"/>
      <w:pPr>
        <w:ind w:left="5151" w:hanging="360"/>
      </w:pPr>
      <w:rPr>
        <w:rFonts w:ascii="Wingdings" w:hAnsi="Wingdings" w:hint="default"/>
      </w:rPr>
    </w:lvl>
    <w:lvl w:ilvl="6" w:tentative="1">
      <w:start w:val="1"/>
      <w:numFmt w:val="bullet"/>
      <w:lvlText w:val=""/>
      <w:lvlJc w:val="left"/>
      <w:pPr>
        <w:ind w:left="5871" w:hanging="360"/>
      </w:pPr>
      <w:rPr>
        <w:rFonts w:ascii="Symbol" w:hAnsi="Symbol" w:hint="default"/>
      </w:rPr>
    </w:lvl>
    <w:lvl w:ilvl="7" w:tentative="1">
      <w:start w:val="1"/>
      <w:numFmt w:val="bullet"/>
      <w:lvlText w:val="o"/>
      <w:lvlJc w:val="left"/>
      <w:pPr>
        <w:ind w:left="6591" w:hanging="360"/>
      </w:pPr>
      <w:rPr>
        <w:rFonts w:ascii="Courier New" w:hAnsi="Courier New" w:cs="Courier New" w:hint="default"/>
      </w:rPr>
    </w:lvl>
    <w:lvl w:ilvl="8" w:tentative="1">
      <w:start w:val="1"/>
      <w:numFmt w:val="bullet"/>
      <w:lvlText w:val=""/>
      <w:lvlJc w:val="left"/>
      <w:pPr>
        <w:ind w:left="7311" w:hanging="360"/>
      </w:pPr>
      <w:rPr>
        <w:rFonts w:ascii="Wingdings" w:hAnsi="Wingdings" w:hint="default"/>
      </w:rPr>
    </w:lvl>
  </w:abstractNum>
  <w:abstractNum w:abstractNumId="40">
    <w:nsid w:val="4CA63229"/>
    <w:multiLevelType w:val="hybridMultilevel"/>
    <w:tmpl w:val="1ECE2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0371863"/>
    <w:multiLevelType w:val="hybridMultilevel"/>
    <w:tmpl w:val="763C7E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3D4436C"/>
    <w:multiLevelType w:val="hybridMultilevel"/>
    <w:tmpl w:val="FE8E4B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4080E33"/>
    <w:multiLevelType w:val="multilevel"/>
    <w:tmpl w:val="50424FF4"/>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6"/>
      <w:numFmt w:val="decimal"/>
      <w:lvlText w:val="%1.%2.%3"/>
      <w:lvlJc w:val="left"/>
      <w:pPr>
        <w:ind w:left="1350" w:hanging="720"/>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abstractNum w:abstractNumId="44">
    <w:nsid w:val="54A87662"/>
    <w:multiLevelType w:val="multilevel"/>
    <w:tmpl w:val="BA143146"/>
    <w:lvl w:ilvl="0">
      <w:start w:val="2"/>
      <w:numFmt w:val="upperLetter"/>
      <w:lvlText w:val="%1."/>
      <w:lvlJc w:val="left"/>
      <w:pPr>
        <w:ind w:left="831" w:hanging="720"/>
      </w:pPr>
      <w:rPr>
        <w:rFonts w:ascii="Times New Roman" w:eastAsia="Times New Roman" w:hAnsi="Times New Roman" w:hint="default"/>
        <w:b/>
        <w:bCs/>
        <w:sz w:val="24"/>
        <w:szCs w:val="24"/>
      </w:rPr>
    </w:lvl>
    <w:lvl w:ilvl="1">
      <w:start w:val="2"/>
      <w:numFmt w:val="decimal"/>
      <w:lvlText w:val="%1.%2"/>
      <w:lvlJc w:val="left"/>
      <w:pPr>
        <w:ind w:left="831" w:hanging="720"/>
      </w:pPr>
      <w:rPr>
        <w:rFonts w:ascii="Times New Roman" w:eastAsia="Times New Roman" w:hAnsi="Times New Roman" w:hint="default"/>
        <w:b/>
        <w:bCs/>
        <w:sz w:val="24"/>
        <w:szCs w:val="24"/>
      </w:rPr>
    </w:lvl>
    <w:lvl w:ilvl="2">
      <w:start w:val="2"/>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5">
    <w:nsid w:val="54C41EB5"/>
    <w:multiLevelType w:val="multilevel"/>
    <w:tmpl w:val="5FEEAF80"/>
    <w:numStyleLink w:val="Exhibits"/>
  </w:abstractNum>
  <w:abstractNum w:abstractNumId="46">
    <w:nsid w:val="57F9254E"/>
    <w:multiLevelType w:val="hybridMultilevel"/>
    <w:tmpl w:val="B43860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7">
    <w:nsid w:val="584B7792"/>
    <w:multiLevelType w:val="hybridMultilevel"/>
    <w:tmpl w:val="1A14C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B7B495F"/>
    <w:multiLevelType w:val="hybridMultilevel"/>
    <w:tmpl w:val="2014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C545DEF"/>
    <w:multiLevelType w:val="hybridMultilevel"/>
    <w:tmpl w:val="AE267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FF03DF7"/>
    <w:multiLevelType w:val="hybridMultilevel"/>
    <w:tmpl w:val="C142AB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627E576A"/>
    <w:multiLevelType w:val="hybridMultilevel"/>
    <w:tmpl w:val="746CD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4FE2D0B"/>
    <w:multiLevelType w:val="multilevel"/>
    <w:tmpl w:val="AABC6532"/>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10"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53">
    <w:nsid w:val="6640024E"/>
    <w:multiLevelType w:val="hybridMultilevel"/>
    <w:tmpl w:val="2E1C354A"/>
    <w:lvl w:ilvl="0">
      <w:start w:val="1"/>
      <w:numFmt w:val="bullet"/>
      <w:lvlText w:val=""/>
      <w:lvlJc w:val="left"/>
      <w:pPr>
        <w:ind w:left="1551" w:hanging="360"/>
      </w:pPr>
      <w:rPr>
        <w:rFonts w:ascii="Symbol" w:hAnsi="Symbol" w:hint="default"/>
      </w:rPr>
    </w:lvl>
    <w:lvl w:ilvl="1" w:tentative="1">
      <w:start w:val="1"/>
      <w:numFmt w:val="bullet"/>
      <w:lvlText w:val="o"/>
      <w:lvlJc w:val="left"/>
      <w:pPr>
        <w:ind w:left="2271" w:hanging="360"/>
      </w:pPr>
      <w:rPr>
        <w:rFonts w:ascii="Courier New" w:hAnsi="Courier New" w:cs="Courier New" w:hint="default"/>
      </w:rPr>
    </w:lvl>
    <w:lvl w:ilvl="2" w:tentative="1">
      <w:start w:val="1"/>
      <w:numFmt w:val="bullet"/>
      <w:lvlText w:val=""/>
      <w:lvlJc w:val="left"/>
      <w:pPr>
        <w:ind w:left="2991" w:hanging="360"/>
      </w:pPr>
      <w:rPr>
        <w:rFonts w:ascii="Wingdings" w:hAnsi="Wingdings" w:hint="default"/>
      </w:rPr>
    </w:lvl>
    <w:lvl w:ilvl="3" w:tentative="1">
      <w:start w:val="1"/>
      <w:numFmt w:val="bullet"/>
      <w:lvlText w:val=""/>
      <w:lvlJc w:val="left"/>
      <w:pPr>
        <w:ind w:left="3711" w:hanging="360"/>
      </w:pPr>
      <w:rPr>
        <w:rFonts w:ascii="Symbol" w:hAnsi="Symbol" w:hint="default"/>
      </w:rPr>
    </w:lvl>
    <w:lvl w:ilvl="4" w:tentative="1">
      <w:start w:val="1"/>
      <w:numFmt w:val="bullet"/>
      <w:lvlText w:val="o"/>
      <w:lvlJc w:val="left"/>
      <w:pPr>
        <w:ind w:left="4431" w:hanging="360"/>
      </w:pPr>
      <w:rPr>
        <w:rFonts w:ascii="Courier New" w:hAnsi="Courier New" w:cs="Courier New" w:hint="default"/>
      </w:rPr>
    </w:lvl>
    <w:lvl w:ilvl="5" w:tentative="1">
      <w:start w:val="1"/>
      <w:numFmt w:val="bullet"/>
      <w:lvlText w:val=""/>
      <w:lvlJc w:val="left"/>
      <w:pPr>
        <w:ind w:left="5151" w:hanging="360"/>
      </w:pPr>
      <w:rPr>
        <w:rFonts w:ascii="Wingdings" w:hAnsi="Wingdings" w:hint="default"/>
      </w:rPr>
    </w:lvl>
    <w:lvl w:ilvl="6" w:tentative="1">
      <w:start w:val="1"/>
      <w:numFmt w:val="bullet"/>
      <w:lvlText w:val=""/>
      <w:lvlJc w:val="left"/>
      <w:pPr>
        <w:ind w:left="5871" w:hanging="360"/>
      </w:pPr>
      <w:rPr>
        <w:rFonts w:ascii="Symbol" w:hAnsi="Symbol" w:hint="default"/>
      </w:rPr>
    </w:lvl>
    <w:lvl w:ilvl="7" w:tentative="1">
      <w:start w:val="1"/>
      <w:numFmt w:val="bullet"/>
      <w:lvlText w:val="o"/>
      <w:lvlJc w:val="left"/>
      <w:pPr>
        <w:ind w:left="6591" w:hanging="360"/>
      </w:pPr>
      <w:rPr>
        <w:rFonts w:ascii="Courier New" w:hAnsi="Courier New" w:cs="Courier New" w:hint="default"/>
      </w:rPr>
    </w:lvl>
    <w:lvl w:ilvl="8" w:tentative="1">
      <w:start w:val="1"/>
      <w:numFmt w:val="bullet"/>
      <w:lvlText w:val=""/>
      <w:lvlJc w:val="left"/>
      <w:pPr>
        <w:ind w:left="7311" w:hanging="360"/>
      </w:pPr>
      <w:rPr>
        <w:rFonts w:ascii="Wingdings" w:hAnsi="Wingdings" w:hint="default"/>
      </w:rPr>
    </w:lvl>
  </w:abstractNum>
  <w:abstractNum w:abstractNumId="54">
    <w:nsid w:val="67667588"/>
    <w:multiLevelType w:val="hybridMultilevel"/>
    <w:tmpl w:val="6B1EB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6C778DF"/>
    <w:multiLevelType w:val="multilevel"/>
    <w:tmpl w:val="3216CB7E"/>
    <w:lvl w:ilvl="0">
      <w:start w:val="1"/>
      <w:numFmt w:val="upperLetter"/>
      <w:lvlText w:val="%1"/>
      <w:lvlJc w:val="left"/>
      <w:pPr>
        <w:ind w:left="831" w:hanging="720"/>
      </w:pPr>
      <w:rPr>
        <w:rFonts w:hint="default"/>
      </w:rPr>
    </w:lvl>
    <w:lvl w:ilvl="1">
      <w:start w:val="3"/>
      <w:numFmt w:val="decimal"/>
      <w:lvlText w:val="%1.%2"/>
      <w:lvlJc w:val="left"/>
      <w:pPr>
        <w:ind w:left="831" w:hanging="720"/>
      </w:pPr>
      <w:rPr>
        <w:rFonts w:ascii="Times New Roman" w:eastAsia="Times New Roman" w:hAnsi="Times New Roman" w:hint="default"/>
        <w:b/>
        <w:bCs/>
        <w:spacing w:val="-1"/>
        <w:sz w:val="24"/>
        <w:szCs w:val="24"/>
      </w:rPr>
    </w:lvl>
    <w:lvl w:ilvl="2">
      <w:start w:val="1"/>
      <w:numFmt w:val="bullet"/>
      <w:lvlText w:val="•"/>
      <w:lvlJc w:val="left"/>
      <w:pPr>
        <w:ind w:left="2596" w:hanging="720"/>
      </w:pPr>
      <w:rPr>
        <w:rFonts w:hint="default"/>
      </w:rPr>
    </w:lvl>
    <w:lvl w:ilvl="3">
      <w:start w:val="1"/>
      <w:numFmt w:val="bullet"/>
      <w:lvlText w:val="•"/>
      <w:lvlJc w:val="left"/>
      <w:pPr>
        <w:ind w:left="3479" w:hanging="720"/>
      </w:pPr>
      <w:rPr>
        <w:rFonts w:hint="default"/>
      </w:rPr>
    </w:lvl>
    <w:lvl w:ilvl="4">
      <w:start w:val="1"/>
      <w:numFmt w:val="bullet"/>
      <w:lvlText w:val="•"/>
      <w:lvlJc w:val="left"/>
      <w:pPr>
        <w:ind w:left="4362"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94" w:hanging="720"/>
      </w:pPr>
      <w:rPr>
        <w:rFonts w:hint="default"/>
      </w:rPr>
    </w:lvl>
  </w:abstractNum>
  <w:abstractNum w:abstractNumId="56">
    <w:nsid w:val="778A4A77"/>
    <w:multiLevelType w:val="hybridMultilevel"/>
    <w:tmpl w:val="E3F4A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FB34316"/>
    <w:multiLevelType w:val="multilevel"/>
    <w:tmpl w:val="45EAA21E"/>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1"/>
      <w:numFmt w:val="decimal"/>
      <w:lvlText w:val="%1.%2.%3"/>
      <w:lvlJc w:val="left"/>
      <w:pPr>
        <w:ind w:left="1350" w:hanging="720"/>
        <w:jc w:val="right"/>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num w:numId="1" w16cid:durableId="2135514103">
    <w:abstractNumId w:val="31"/>
  </w:num>
  <w:num w:numId="2" w16cid:durableId="639698967">
    <w:abstractNumId w:val="17"/>
  </w:num>
  <w:num w:numId="3" w16cid:durableId="2000115850">
    <w:abstractNumId w:val="34"/>
  </w:num>
  <w:num w:numId="4" w16cid:durableId="1751852488">
    <w:abstractNumId w:val="55"/>
  </w:num>
  <w:num w:numId="5" w16cid:durableId="885484236">
    <w:abstractNumId w:val="36"/>
  </w:num>
  <w:num w:numId="6" w16cid:durableId="557478122">
    <w:abstractNumId w:val="57"/>
  </w:num>
  <w:num w:numId="7" w16cid:durableId="2089113247">
    <w:abstractNumId w:val="13"/>
  </w:num>
  <w:num w:numId="8" w16cid:durableId="903179105">
    <w:abstractNumId w:val="29"/>
  </w:num>
  <w:num w:numId="9" w16cid:durableId="440028957">
    <w:abstractNumId w:val="43"/>
  </w:num>
  <w:num w:numId="10" w16cid:durableId="2070419709">
    <w:abstractNumId w:val="47"/>
  </w:num>
  <w:num w:numId="11" w16cid:durableId="177740492">
    <w:abstractNumId w:val="27"/>
  </w:num>
  <w:num w:numId="12" w16cid:durableId="1364675946">
    <w:abstractNumId w:val="49"/>
  </w:num>
  <w:num w:numId="13" w16cid:durableId="1756314829">
    <w:abstractNumId w:val="12"/>
  </w:num>
  <w:num w:numId="14" w16cid:durableId="385766957">
    <w:abstractNumId w:val="9"/>
  </w:num>
  <w:num w:numId="15" w16cid:durableId="1738279057">
    <w:abstractNumId w:val="7"/>
  </w:num>
  <w:num w:numId="16" w16cid:durableId="434176629">
    <w:abstractNumId w:val="6"/>
  </w:num>
  <w:num w:numId="17" w16cid:durableId="83112767">
    <w:abstractNumId w:val="5"/>
  </w:num>
  <w:num w:numId="18" w16cid:durableId="640817306">
    <w:abstractNumId w:val="4"/>
  </w:num>
  <w:num w:numId="19" w16cid:durableId="2119252691">
    <w:abstractNumId w:val="8"/>
  </w:num>
  <w:num w:numId="20" w16cid:durableId="1574773815">
    <w:abstractNumId w:val="3"/>
  </w:num>
  <w:num w:numId="21" w16cid:durableId="1402943057">
    <w:abstractNumId w:val="2"/>
  </w:num>
  <w:num w:numId="22" w16cid:durableId="119804381">
    <w:abstractNumId w:val="1"/>
  </w:num>
  <w:num w:numId="23" w16cid:durableId="1793590691">
    <w:abstractNumId w:val="0"/>
  </w:num>
  <w:num w:numId="24" w16cid:durableId="133450830">
    <w:abstractNumId w:val="9"/>
    <w:lvlOverride w:ilvl="0">
      <w:startOverride w:val="1"/>
    </w:lvlOverride>
  </w:num>
  <w:num w:numId="25" w16cid:durableId="1863275260">
    <w:abstractNumId w:val="14"/>
  </w:num>
  <w:num w:numId="26" w16cid:durableId="1954709473">
    <w:abstractNumId w:val="23"/>
  </w:num>
  <w:num w:numId="27" w16cid:durableId="1998410964">
    <w:abstractNumId w:val="11"/>
  </w:num>
  <w:num w:numId="28" w16cid:durableId="755132166">
    <w:abstractNumId w:val="32"/>
  </w:num>
  <w:num w:numId="29" w16cid:durableId="997466288">
    <w:abstractNumId w:val="51"/>
  </w:num>
  <w:num w:numId="30" w16cid:durableId="1291210676">
    <w:abstractNumId w:val="19"/>
  </w:num>
  <w:num w:numId="31" w16cid:durableId="2051882782">
    <w:abstractNumId w:val="56"/>
  </w:num>
  <w:num w:numId="32" w16cid:durableId="1644920798">
    <w:abstractNumId w:val="20"/>
  </w:num>
  <w:num w:numId="33" w16cid:durableId="2061005223">
    <w:abstractNumId w:val="53"/>
  </w:num>
  <w:num w:numId="34" w16cid:durableId="463625519">
    <w:abstractNumId w:val="39"/>
  </w:num>
  <w:num w:numId="35" w16cid:durableId="887230402">
    <w:abstractNumId w:val="38"/>
  </w:num>
  <w:num w:numId="36" w16cid:durableId="868684240">
    <w:abstractNumId w:val="37"/>
  </w:num>
  <w:num w:numId="37" w16cid:durableId="1517502766">
    <w:abstractNumId w:val="16"/>
  </w:num>
  <w:num w:numId="38" w16cid:durableId="415596008">
    <w:abstractNumId w:val="10"/>
  </w:num>
  <w:num w:numId="39" w16cid:durableId="1967542053">
    <w:abstractNumId w:val="25"/>
  </w:num>
  <w:num w:numId="40" w16cid:durableId="344676170">
    <w:abstractNumId w:val="52"/>
  </w:num>
  <w:num w:numId="41" w16cid:durableId="1805611468">
    <w:abstractNumId w:val="30"/>
  </w:num>
  <w:num w:numId="42" w16cid:durableId="877352261">
    <w:abstractNumId w:val="44"/>
  </w:num>
  <w:num w:numId="43" w16cid:durableId="1780173993">
    <w:abstractNumId w:val="40"/>
  </w:num>
  <w:num w:numId="44" w16cid:durableId="927925902">
    <w:abstractNumId w:val="22"/>
  </w:num>
  <w:num w:numId="45" w16cid:durableId="984430419">
    <w:abstractNumId w:val="18"/>
  </w:num>
  <w:num w:numId="46" w16cid:durableId="1285963849">
    <w:abstractNumId w:val="45"/>
  </w:num>
  <w:num w:numId="47" w16cid:durableId="108790766">
    <w:abstractNumId w:val="24"/>
  </w:num>
  <w:num w:numId="48" w16cid:durableId="1108617952">
    <w:abstractNumId w:val="50"/>
  </w:num>
  <w:num w:numId="49" w16cid:durableId="253906216">
    <w:abstractNumId w:val="35"/>
  </w:num>
  <w:num w:numId="50" w16cid:durableId="1358043469">
    <w:abstractNumId w:val="15"/>
  </w:num>
  <w:num w:numId="51" w16cid:durableId="142889547">
    <w:abstractNumId w:val="21"/>
  </w:num>
  <w:num w:numId="52" w16cid:durableId="2008244362">
    <w:abstractNumId w:val="41"/>
  </w:num>
  <w:num w:numId="53" w16cid:durableId="311369563">
    <w:abstractNumId w:val="26"/>
  </w:num>
  <w:num w:numId="54" w16cid:durableId="25375235">
    <w:abstractNumId w:val="54"/>
  </w:num>
  <w:num w:numId="55" w16cid:durableId="1100679678">
    <w:abstractNumId w:val="48"/>
  </w:num>
  <w:num w:numId="56" w16cid:durableId="1667853475">
    <w:abstractNumId w:val="42"/>
  </w:num>
  <w:num w:numId="57" w16cid:durableId="736319632">
    <w:abstractNumId w:val="46"/>
  </w:num>
  <w:num w:numId="58" w16cid:durableId="739055992">
    <w:abstractNumId w:val="28"/>
  </w:num>
  <w:num w:numId="59" w16cid:durableId="1789161304">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62"/>
    <w:rsid w:val="00000734"/>
    <w:rsid w:val="0000250A"/>
    <w:rsid w:val="000029E8"/>
    <w:rsid w:val="00002F3C"/>
    <w:rsid w:val="0000493B"/>
    <w:rsid w:val="00011095"/>
    <w:rsid w:val="0001423C"/>
    <w:rsid w:val="00016759"/>
    <w:rsid w:val="00021E7A"/>
    <w:rsid w:val="00023B08"/>
    <w:rsid w:val="00025BA6"/>
    <w:rsid w:val="000260C8"/>
    <w:rsid w:val="00027572"/>
    <w:rsid w:val="000326D7"/>
    <w:rsid w:val="00034FBD"/>
    <w:rsid w:val="00037820"/>
    <w:rsid w:val="0004040B"/>
    <w:rsid w:val="00041352"/>
    <w:rsid w:val="00044100"/>
    <w:rsid w:val="00046CA0"/>
    <w:rsid w:val="000508F0"/>
    <w:rsid w:val="000510F5"/>
    <w:rsid w:val="00055502"/>
    <w:rsid w:val="000628AC"/>
    <w:rsid w:val="0006292A"/>
    <w:rsid w:val="00064321"/>
    <w:rsid w:val="00064FE4"/>
    <w:rsid w:val="000654D0"/>
    <w:rsid w:val="00065BD7"/>
    <w:rsid w:val="000662E8"/>
    <w:rsid w:val="000664E3"/>
    <w:rsid w:val="00072CF7"/>
    <w:rsid w:val="00076237"/>
    <w:rsid w:val="0007670B"/>
    <w:rsid w:val="00081A5A"/>
    <w:rsid w:val="00083913"/>
    <w:rsid w:val="00083BE3"/>
    <w:rsid w:val="00085F1D"/>
    <w:rsid w:val="00087D22"/>
    <w:rsid w:val="00087F4C"/>
    <w:rsid w:val="0009015F"/>
    <w:rsid w:val="0009067F"/>
    <w:rsid w:val="00091742"/>
    <w:rsid w:val="000941DC"/>
    <w:rsid w:val="000942FC"/>
    <w:rsid w:val="000A2521"/>
    <w:rsid w:val="000A6116"/>
    <w:rsid w:val="000A65EE"/>
    <w:rsid w:val="000B2101"/>
    <w:rsid w:val="000B3961"/>
    <w:rsid w:val="000B5496"/>
    <w:rsid w:val="000C022F"/>
    <w:rsid w:val="000C04CA"/>
    <w:rsid w:val="000C14FD"/>
    <w:rsid w:val="000C2CF7"/>
    <w:rsid w:val="000C31C5"/>
    <w:rsid w:val="000D0385"/>
    <w:rsid w:val="000D2A85"/>
    <w:rsid w:val="000D2B3E"/>
    <w:rsid w:val="000D3D6B"/>
    <w:rsid w:val="000D3F18"/>
    <w:rsid w:val="000D4CBC"/>
    <w:rsid w:val="000D5992"/>
    <w:rsid w:val="000D5DB5"/>
    <w:rsid w:val="000E142B"/>
    <w:rsid w:val="000E2073"/>
    <w:rsid w:val="000E352A"/>
    <w:rsid w:val="000E5AE9"/>
    <w:rsid w:val="000F08AD"/>
    <w:rsid w:val="000F0ED9"/>
    <w:rsid w:val="000F1814"/>
    <w:rsid w:val="000F20C3"/>
    <w:rsid w:val="000F2BC8"/>
    <w:rsid w:val="000F7CE7"/>
    <w:rsid w:val="0010487F"/>
    <w:rsid w:val="0010534E"/>
    <w:rsid w:val="00106EA7"/>
    <w:rsid w:val="001104BC"/>
    <w:rsid w:val="00110A35"/>
    <w:rsid w:val="00110A4E"/>
    <w:rsid w:val="00112681"/>
    <w:rsid w:val="00113470"/>
    <w:rsid w:val="00114B77"/>
    <w:rsid w:val="00116A79"/>
    <w:rsid w:val="00116B15"/>
    <w:rsid w:val="00116B8C"/>
    <w:rsid w:val="0011714B"/>
    <w:rsid w:val="001179F9"/>
    <w:rsid w:val="00117FA8"/>
    <w:rsid w:val="001213AA"/>
    <w:rsid w:val="00122D78"/>
    <w:rsid w:val="001230B6"/>
    <w:rsid w:val="00123689"/>
    <w:rsid w:val="00131AA0"/>
    <w:rsid w:val="0013661B"/>
    <w:rsid w:val="001368E6"/>
    <w:rsid w:val="00136A1D"/>
    <w:rsid w:val="00137E7A"/>
    <w:rsid w:val="001403E5"/>
    <w:rsid w:val="00141C8B"/>
    <w:rsid w:val="00144811"/>
    <w:rsid w:val="00145C52"/>
    <w:rsid w:val="00146691"/>
    <w:rsid w:val="00150BC1"/>
    <w:rsid w:val="00150F75"/>
    <w:rsid w:val="00155F65"/>
    <w:rsid w:val="001563CF"/>
    <w:rsid w:val="00156971"/>
    <w:rsid w:val="0016085D"/>
    <w:rsid w:val="00161A69"/>
    <w:rsid w:val="001624E8"/>
    <w:rsid w:val="00164349"/>
    <w:rsid w:val="00166A7C"/>
    <w:rsid w:val="001670EC"/>
    <w:rsid w:val="00170655"/>
    <w:rsid w:val="00171B29"/>
    <w:rsid w:val="00172663"/>
    <w:rsid w:val="00173A21"/>
    <w:rsid w:val="00175BDA"/>
    <w:rsid w:val="0017639B"/>
    <w:rsid w:val="00176A9C"/>
    <w:rsid w:val="001772B8"/>
    <w:rsid w:val="00181114"/>
    <w:rsid w:val="001827F5"/>
    <w:rsid w:val="001859A6"/>
    <w:rsid w:val="00191E4A"/>
    <w:rsid w:val="00194447"/>
    <w:rsid w:val="001954A4"/>
    <w:rsid w:val="001A23D2"/>
    <w:rsid w:val="001A42BB"/>
    <w:rsid w:val="001A6466"/>
    <w:rsid w:val="001B0030"/>
    <w:rsid w:val="001B059B"/>
    <w:rsid w:val="001B0D80"/>
    <w:rsid w:val="001B27E7"/>
    <w:rsid w:val="001B2826"/>
    <w:rsid w:val="001B30CA"/>
    <w:rsid w:val="001B5539"/>
    <w:rsid w:val="001B5748"/>
    <w:rsid w:val="001B6621"/>
    <w:rsid w:val="001C0BD0"/>
    <w:rsid w:val="001C0F11"/>
    <w:rsid w:val="001C1730"/>
    <w:rsid w:val="001C1EAC"/>
    <w:rsid w:val="001C2644"/>
    <w:rsid w:val="001C3B1C"/>
    <w:rsid w:val="001C3F80"/>
    <w:rsid w:val="001C7178"/>
    <w:rsid w:val="001D398B"/>
    <w:rsid w:val="001D3CF4"/>
    <w:rsid w:val="001D483A"/>
    <w:rsid w:val="001E30A5"/>
    <w:rsid w:val="001E4E97"/>
    <w:rsid w:val="001E4FDD"/>
    <w:rsid w:val="001E7C0C"/>
    <w:rsid w:val="001F1C26"/>
    <w:rsid w:val="001F2DE8"/>
    <w:rsid w:val="001F4117"/>
    <w:rsid w:val="001F48E3"/>
    <w:rsid w:val="001F522B"/>
    <w:rsid w:val="001F5825"/>
    <w:rsid w:val="001F5A82"/>
    <w:rsid w:val="001F5E5E"/>
    <w:rsid w:val="00200350"/>
    <w:rsid w:val="00201FFA"/>
    <w:rsid w:val="00202249"/>
    <w:rsid w:val="00205907"/>
    <w:rsid w:val="0020760C"/>
    <w:rsid w:val="00207E84"/>
    <w:rsid w:val="002101B9"/>
    <w:rsid w:val="00211DCE"/>
    <w:rsid w:val="002123A7"/>
    <w:rsid w:val="00212583"/>
    <w:rsid w:val="00214B78"/>
    <w:rsid w:val="00215424"/>
    <w:rsid w:val="002154C7"/>
    <w:rsid w:val="00216463"/>
    <w:rsid w:val="002169C6"/>
    <w:rsid w:val="00216D35"/>
    <w:rsid w:val="00221AA2"/>
    <w:rsid w:val="00222F3C"/>
    <w:rsid w:val="002235FF"/>
    <w:rsid w:val="00223CED"/>
    <w:rsid w:val="0022580F"/>
    <w:rsid w:val="00225895"/>
    <w:rsid w:val="00231158"/>
    <w:rsid w:val="00231F7E"/>
    <w:rsid w:val="00233C6D"/>
    <w:rsid w:val="00234805"/>
    <w:rsid w:val="00235DE2"/>
    <w:rsid w:val="00242287"/>
    <w:rsid w:val="0024247E"/>
    <w:rsid w:val="002442B8"/>
    <w:rsid w:val="0024460D"/>
    <w:rsid w:val="002451C9"/>
    <w:rsid w:val="00245AA8"/>
    <w:rsid w:val="00247D96"/>
    <w:rsid w:val="0025047C"/>
    <w:rsid w:val="00251BE0"/>
    <w:rsid w:val="002538A9"/>
    <w:rsid w:val="0025430D"/>
    <w:rsid w:val="00254E18"/>
    <w:rsid w:val="00256823"/>
    <w:rsid w:val="002608D4"/>
    <w:rsid w:val="00261264"/>
    <w:rsid w:val="00264044"/>
    <w:rsid w:val="00264125"/>
    <w:rsid w:val="00264BA0"/>
    <w:rsid w:val="00264D46"/>
    <w:rsid w:val="00265597"/>
    <w:rsid w:val="0026593B"/>
    <w:rsid w:val="00266B67"/>
    <w:rsid w:val="002702FE"/>
    <w:rsid w:val="002705A2"/>
    <w:rsid w:val="0027273A"/>
    <w:rsid w:val="00272D0A"/>
    <w:rsid w:val="00277142"/>
    <w:rsid w:val="002804AE"/>
    <w:rsid w:val="00283BF5"/>
    <w:rsid w:val="002866EA"/>
    <w:rsid w:val="00287D72"/>
    <w:rsid w:val="00287DC4"/>
    <w:rsid w:val="00291C11"/>
    <w:rsid w:val="00292251"/>
    <w:rsid w:val="0029238E"/>
    <w:rsid w:val="00293F9E"/>
    <w:rsid w:val="002944F4"/>
    <w:rsid w:val="0029460A"/>
    <w:rsid w:val="00297638"/>
    <w:rsid w:val="002A1037"/>
    <w:rsid w:val="002A149B"/>
    <w:rsid w:val="002A36D8"/>
    <w:rsid w:val="002A54E2"/>
    <w:rsid w:val="002B0857"/>
    <w:rsid w:val="002B30AD"/>
    <w:rsid w:val="002B3ED9"/>
    <w:rsid w:val="002C1325"/>
    <w:rsid w:val="002C1698"/>
    <w:rsid w:val="002C418A"/>
    <w:rsid w:val="002C424B"/>
    <w:rsid w:val="002C53E8"/>
    <w:rsid w:val="002C597D"/>
    <w:rsid w:val="002C611E"/>
    <w:rsid w:val="002C74FC"/>
    <w:rsid w:val="002C7D5D"/>
    <w:rsid w:val="002D098D"/>
    <w:rsid w:val="002D0CE9"/>
    <w:rsid w:val="002D177D"/>
    <w:rsid w:val="002D2B72"/>
    <w:rsid w:val="002D32E7"/>
    <w:rsid w:val="002D4A7C"/>
    <w:rsid w:val="002D4E8A"/>
    <w:rsid w:val="002D6DF5"/>
    <w:rsid w:val="002D7AC5"/>
    <w:rsid w:val="002E0958"/>
    <w:rsid w:val="002E1002"/>
    <w:rsid w:val="002F2F6F"/>
    <w:rsid w:val="002F37A6"/>
    <w:rsid w:val="002F692C"/>
    <w:rsid w:val="003000D6"/>
    <w:rsid w:val="003010C1"/>
    <w:rsid w:val="00306664"/>
    <w:rsid w:val="00306B83"/>
    <w:rsid w:val="00310B3E"/>
    <w:rsid w:val="00311AEB"/>
    <w:rsid w:val="00312068"/>
    <w:rsid w:val="00313660"/>
    <w:rsid w:val="003165CB"/>
    <w:rsid w:val="00316B58"/>
    <w:rsid w:val="00317288"/>
    <w:rsid w:val="00317EE0"/>
    <w:rsid w:val="0033017A"/>
    <w:rsid w:val="003338B2"/>
    <w:rsid w:val="00333B50"/>
    <w:rsid w:val="003344C1"/>
    <w:rsid w:val="00334AC7"/>
    <w:rsid w:val="00335805"/>
    <w:rsid w:val="00336206"/>
    <w:rsid w:val="003429B6"/>
    <w:rsid w:val="00342B07"/>
    <w:rsid w:val="00343278"/>
    <w:rsid w:val="00343CB6"/>
    <w:rsid w:val="0034508F"/>
    <w:rsid w:val="0034531A"/>
    <w:rsid w:val="0035026F"/>
    <w:rsid w:val="00350365"/>
    <w:rsid w:val="00350B3A"/>
    <w:rsid w:val="003519DE"/>
    <w:rsid w:val="00352A11"/>
    <w:rsid w:val="0035375F"/>
    <w:rsid w:val="0035494E"/>
    <w:rsid w:val="00356A29"/>
    <w:rsid w:val="00356F84"/>
    <w:rsid w:val="00361B0A"/>
    <w:rsid w:val="00362D12"/>
    <w:rsid w:val="00363A08"/>
    <w:rsid w:val="00364871"/>
    <w:rsid w:val="00365D81"/>
    <w:rsid w:val="003737E0"/>
    <w:rsid w:val="00374D77"/>
    <w:rsid w:val="00375086"/>
    <w:rsid w:val="00375DA7"/>
    <w:rsid w:val="00381F74"/>
    <w:rsid w:val="00382B2F"/>
    <w:rsid w:val="00382E80"/>
    <w:rsid w:val="003845C1"/>
    <w:rsid w:val="00385BC9"/>
    <w:rsid w:val="003865FF"/>
    <w:rsid w:val="003873BF"/>
    <w:rsid w:val="003876EC"/>
    <w:rsid w:val="00393B33"/>
    <w:rsid w:val="003A3B84"/>
    <w:rsid w:val="003A4539"/>
    <w:rsid w:val="003A5408"/>
    <w:rsid w:val="003A6BCD"/>
    <w:rsid w:val="003A72CA"/>
    <w:rsid w:val="003A78E4"/>
    <w:rsid w:val="003B0670"/>
    <w:rsid w:val="003B1C78"/>
    <w:rsid w:val="003B209C"/>
    <w:rsid w:val="003B54C8"/>
    <w:rsid w:val="003B714E"/>
    <w:rsid w:val="003C08AF"/>
    <w:rsid w:val="003C0D59"/>
    <w:rsid w:val="003C2508"/>
    <w:rsid w:val="003C2D97"/>
    <w:rsid w:val="003C3FFD"/>
    <w:rsid w:val="003C44D6"/>
    <w:rsid w:val="003C4EEA"/>
    <w:rsid w:val="003C6398"/>
    <w:rsid w:val="003C649F"/>
    <w:rsid w:val="003C7A47"/>
    <w:rsid w:val="003D78DE"/>
    <w:rsid w:val="003E01A5"/>
    <w:rsid w:val="003E0C1D"/>
    <w:rsid w:val="003E0F26"/>
    <w:rsid w:val="003E1136"/>
    <w:rsid w:val="003E1A2A"/>
    <w:rsid w:val="003E20E2"/>
    <w:rsid w:val="003E44E2"/>
    <w:rsid w:val="003E5565"/>
    <w:rsid w:val="003E565E"/>
    <w:rsid w:val="003E6CF8"/>
    <w:rsid w:val="003F172B"/>
    <w:rsid w:val="003F270C"/>
    <w:rsid w:val="003F279A"/>
    <w:rsid w:val="003F3343"/>
    <w:rsid w:val="003F49CA"/>
    <w:rsid w:val="003F7441"/>
    <w:rsid w:val="0040164C"/>
    <w:rsid w:val="00404FE1"/>
    <w:rsid w:val="00410DAE"/>
    <w:rsid w:val="00410F0C"/>
    <w:rsid w:val="00411AE5"/>
    <w:rsid w:val="00413EFD"/>
    <w:rsid w:val="00414081"/>
    <w:rsid w:val="004155FA"/>
    <w:rsid w:val="00415B85"/>
    <w:rsid w:val="0042072B"/>
    <w:rsid w:val="0042073B"/>
    <w:rsid w:val="00420C69"/>
    <w:rsid w:val="0042122A"/>
    <w:rsid w:val="00421E3D"/>
    <w:rsid w:val="00422B1D"/>
    <w:rsid w:val="004249AF"/>
    <w:rsid w:val="00426B67"/>
    <w:rsid w:val="00430C99"/>
    <w:rsid w:val="00431287"/>
    <w:rsid w:val="004332FC"/>
    <w:rsid w:val="0043342E"/>
    <w:rsid w:val="0043438F"/>
    <w:rsid w:val="00434E2D"/>
    <w:rsid w:val="00435B7B"/>
    <w:rsid w:val="00436EFE"/>
    <w:rsid w:val="004424A8"/>
    <w:rsid w:val="00442D7B"/>
    <w:rsid w:val="00444290"/>
    <w:rsid w:val="00444A2A"/>
    <w:rsid w:val="004459B7"/>
    <w:rsid w:val="004539D1"/>
    <w:rsid w:val="00454149"/>
    <w:rsid w:val="004570D7"/>
    <w:rsid w:val="00457C85"/>
    <w:rsid w:val="0046398D"/>
    <w:rsid w:val="004639E2"/>
    <w:rsid w:val="0046478F"/>
    <w:rsid w:val="00466CD3"/>
    <w:rsid w:val="00467DF5"/>
    <w:rsid w:val="004709AC"/>
    <w:rsid w:val="00470B16"/>
    <w:rsid w:val="00471944"/>
    <w:rsid w:val="00471C38"/>
    <w:rsid w:val="00471EF7"/>
    <w:rsid w:val="00472231"/>
    <w:rsid w:val="004775C0"/>
    <w:rsid w:val="00477B2C"/>
    <w:rsid w:val="0048069D"/>
    <w:rsid w:val="00480C8B"/>
    <w:rsid w:val="00481765"/>
    <w:rsid w:val="004829CE"/>
    <w:rsid w:val="00482DB4"/>
    <w:rsid w:val="00483A2A"/>
    <w:rsid w:val="0048564B"/>
    <w:rsid w:val="00487750"/>
    <w:rsid w:val="004929CE"/>
    <w:rsid w:val="00493D6D"/>
    <w:rsid w:val="00494A45"/>
    <w:rsid w:val="004956E0"/>
    <w:rsid w:val="00497223"/>
    <w:rsid w:val="00497EEF"/>
    <w:rsid w:val="004A23D6"/>
    <w:rsid w:val="004A29A3"/>
    <w:rsid w:val="004A5A52"/>
    <w:rsid w:val="004A673B"/>
    <w:rsid w:val="004A7A6A"/>
    <w:rsid w:val="004A7FD4"/>
    <w:rsid w:val="004B1362"/>
    <w:rsid w:val="004B41E9"/>
    <w:rsid w:val="004B749C"/>
    <w:rsid w:val="004C0F5F"/>
    <w:rsid w:val="004C12C8"/>
    <w:rsid w:val="004C1AD2"/>
    <w:rsid w:val="004C2165"/>
    <w:rsid w:val="004C29C6"/>
    <w:rsid w:val="004C4022"/>
    <w:rsid w:val="004C4E43"/>
    <w:rsid w:val="004C5D86"/>
    <w:rsid w:val="004C6402"/>
    <w:rsid w:val="004C647C"/>
    <w:rsid w:val="004D062E"/>
    <w:rsid w:val="004D185C"/>
    <w:rsid w:val="004D6299"/>
    <w:rsid w:val="004D7AA3"/>
    <w:rsid w:val="004E1571"/>
    <w:rsid w:val="004E39AC"/>
    <w:rsid w:val="004E4274"/>
    <w:rsid w:val="004E5206"/>
    <w:rsid w:val="004E5EC1"/>
    <w:rsid w:val="004E618B"/>
    <w:rsid w:val="004F0B32"/>
    <w:rsid w:val="004F4517"/>
    <w:rsid w:val="004F5736"/>
    <w:rsid w:val="00501058"/>
    <w:rsid w:val="00504E98"/>
    <w:rsid w:val="005074FC"/>
    <w:rsid w:val="00507DAD"/>
    <w:rsid w:val="00510E99"/>
    <w:rsid w:val="0051155A"/>
    <w:rsid w:val="0051344A"/>
    <w:rsid w:val="005158DA"/>
    <w:rsid w:val="0051759E"/>
    <w:rsid w:val="0052177D"/>
    <w:rsid w:val="00524C51"/>
    <w:rsid w:val="00526FE9"/>
    <w:rsid w:val="0052750A"/>
    <w:rsid w:val="00530F4E"/>
    <w:rsid w:val="005316B5"/>
    <w:rsid w:val="00531E4E"/>
    <w:rsid w:val="005356AE"/>
    <w:rsid w:val="0053723C"/>
    <w:rsid w:val="00540CED"/>
    <w:rsid w:val="0054143B"/>
    <w:rsid w:val="00542B0B"/>
    <w:rsid w:val="0054470E"/>
    <w:rsid w:val="005464E4"/>
    <w:rsid w:val="0054776F"/>
    <w:rsid w:val="00547C8C"/>
    <w:rsid w:val="00552A35"/>
    <w:rsid w:val="005530F0"/>
    <w:rsid w:val="00554A81"/>
    <w:rsid w:val="005576BA"/>
    <w:rsid w:val="00560879"/>
    <w:rsid w:val="00566EF9"/>
    <w:rsid w:val="00570647"/>
    <w:rsid w:val="0057193A"/>
    <w:rsid w:val="005733D5"/>
    <w:rsid w:val="005734B7"/>
    <w:rsid w:val="0057353B"/>
    <w:rsid w:val="00584879"/>
    <w:rsid w:val="0058490F"/>
    <w:rsid w:val="00587AAE"/>
    <w:rsid w:val="00593A4D"/>
    <w:rsid w:val="00596937"/>
    <w:rsid w:val="005A04A8"/>
    <w:rsid w:val="005A7FC8"/>
    <w:rsid w:val="005B0508"/>
    <w:rsid w:val="005B1256"/>
    <w:rsid w:val="005B31E4"/>
    <w:rsid w:val="005B3D40"/>
    <w:rsid w:val="005B4053"/>
    <w:rsid w:val="005B4295"/>
    <w:rsid w:val="005B476E"/>
    <w:rsid w:val="005B4C3C"/>
    <w:rsid w:val="005B54D0"/>
    <w:rsid w:val="005B5C2D"/>
    <w:rsid w:val="005B6CEB"/>
    <w:rsid w:val="005C0523"/>
    <w:rsid w:val="005C241E"/>
    <w:rsid w:val="005C42F6"/>
    <w:rsid w:val="005D244F"/>
    <w:rsid w:val="005D61D2"/>
    <w:rsid w:val="005D64E0"/>
    <w:rsid w:val="005E389A"/>
    <w:rsid w:val="005E6445"/>
    <w:rsid w:val="005F006B"/>
    <w:rsid w:val="005F0264"/>
    <w:rsid w:val="005F28D4"/>
    <w:rsid w:val="005F6667"/>
    <w:rsid w:val="005F7455"/>
    <w:rsid w:val="005F7C62"/>
    <w:rsid w:val="00600F23"/>
    <w:rsid w:val="006014F0"/>
    <w:rsid w:val="006059CE"/>
    <w:rsid w:val="006060FE"/>
    <w:rsid w:val="00607D0E"/>
    <w:rsid w:val="006106DD"/>
    <w:rsid w:val="0061211F"/>
    <w:rsid w:val="00616BF7"/>
    <w:rsid w:val="00617155"/>
    <w:rsid w:val="00620BCC"/>
    <w:rsid w:val="006219F9"/>
    <w:rsid w:val="006246DA"/>
    <w:rsid w:val="006251DF"/>
    <w:rsid w:val="00633641"/>
    <w:rsid w:val="006344F1"/>
    <w:rsid w:val="00635056"/>
    <w:rsid w:val="0063584D"/>
    <w:rsid w:val="006366CC"/>
    <w:rsid w:val="0063765E"/>
    <w:rsid w:val="00637CE2"/>
    <w:rsid w:val="00637DDB"/>
    <w:rsid w:val="00641D33"/>
    <w:rsid w:val="0064208F"/>
    <w:rsid w:val="0064288C"/>
    <w:rsid w:val="006465DF"/>
    <w:rsid w:val="00646834"/>
    <w:rsid w:val="00650893"/>
    <w:rsid w:val="00651F1A"/>
    <w:rsid w:val="006525B7"/>
    <w:rsid w:val="00652FCF"/>
    <w:rsid w:val="00660515"/>
    <w:rsid w:val="006605BB"/>
    <w:rsid w:val="00662DD8"/>
    <w:rsid w:val="006647D8"/>
    <w:rsid w:val="006659A4"/>
    <w:rsid w:val="0066687A"/>
    <w:rsid w:val="00672B29"/>
    <w:rsid w:val="0067400A"/>
    <w:rsid w:val="006745A7"/>
    <w:rsid w:val="00675621"/>
    <w:rsid w:val="00677036"/>
    <w:rsid w:val="00677440"/>
    <w:rsid w:val="00682840"/>
    <w:rsid w:val="00682F59"/>
    <w:rsid w:val="006837C7"/>
    <w:rsid w:val="0068380B"/>
    <w:rsid w:val="006840DA"/>
    <w:rsid w:val="00684562"/>
    <w:rsid w:val="00684772"/>
    <w:rsid w:val="006851CA"/>
    <w:rsid w:val="00686D9D"/>
    <w:rsid w:val="006975E8"/>
    <w:rsid w:val="006976DA"/>
    <w:rsid w:val="006A1418"/>
    <w:rsid w:val="006A2853"/>
    <w:rsid w:val="006A2F41"/>
    <w:rsid w:val="006A657C"/>
    <w:rsid w:val="006A71DF"/>
    <w:rsid w:val="006A744C"/>
    <w:rsid w:val="006A791E"/>
    <w:rsid w:val="006A7DF5"/>
    <w:rsid w:val="006B5E66"/>
    <w:rsid w:val="006B609E"/>
    <w:rsid w:val="006B6EC4"/>
    <w:rsid w:val="006C0BAA"/>
    <w:rsid w:val="006C0C2B"/>
    <w:rsid w:val="006C3291"/>
    <w:rsid w:val="006C4365"/>
    <w:rsid w:val="006C4D39"/>
    <w:rsid w:val="006C5505"/>
    <w:rsid w:val="006D1A0F"/>
    <w:rsid w:val="006D5CFB"/>
    <w:rsid w:val="006E0EC0"/>
    <w:rsid w:val="006E102D"/>
    <w:rsid w:val="006E4E65"/>
    <w:rsid w:val="006E5F6A"/>
    <w:rsid w:val="006E76AA"/>
    <w:rsid w:val="006E7B43"/>
    <w:rsid w:val="006F0E0D"/>
    <w:rsid w:val="006F3877"/>
    <w:rsid w:val="006F39D5"/>
    <w:rsid w:val="006F62F8"/>
    <w:rsid w:val="006F6B9C"/>
    <w:rsid w:val="006F71AC"/>
    <w:rsid w:val="006F7B2F"/>
    <w:rsid w:val="00701A76"/>
    <w:rsid w:val="0070211B"/>
    <w:rsid w:val="00702674"/>
    <w:rsid w:val="007044A5"/>
    <w:rsid w:val="00705C32"/>
    <w:rsid w:val="0070722D"/>
    <w:rsid w:val="0070768A"/>
    <w:rsid w:val="00710499"/>
    <w:rsid w:val="00711C4D"/>
    <w:rsid w:val="00712438"/>
    <w:rsid w:val="00714B8B"/>
    <w:rsid w:val="00716059"/>
    <w:rsid w:val="007161B1"/>
    <w:rsid w:val="007169F2"/>
    <w:rsid w:val="00720084"/>
    <w:rsid w:val="00721C79"/>
    <w:rsid w:val="007221FA"/>
    <w:rsid w:val="00725E47"/>
    <w:rsid w:val="00726036"/>
    <w:rsid w:val="00726351"/>
    <w:rsid w:val="00730194"/>
    <w:rsid w:val="00730F1F"/>
    <w:rsid w:val="00732BDC"/>
    <w:rsid w:val="00732D4D"/>
    <w:rsid w:val="00734A8F"/>
    <w:rsid w:val="00734C52"/>
    <w:rsid w:val="007353DE"/>
    <w:rsid w:val="00736E48"/>
    <w:rsid w:val="00740CC5"/>
    <w:rsid w:val="007434F7"/>
    <w:rsid w:val="00743F80"/>
    <w:rsid w:val="007446C2"/>
    <w:rsid w:val="0074490B"/>
    <w:rsid w:val="00746320"/>
    <w:rsid w:val="007505BE"/>
    <w:rsid w:val="0075140D"/>
    <w:rsid w:val="00752361"/>
    <w:rsid w:val="00753D4D"/>
    <w:rsid w:val="00753E5E"/>
    <w:rsid w:val="007546E2"/>
    <w:rsid w:val="00754759"/>
    <w:rsid w:val="0075702A"/>
    <w:rsid w:val="007575DB"/>
    <w:rsid w:val="00757B12"/>
    <w:rsid w:val="0076410B"/>
    <w:rsid w:val="007660DA"/>
    <w:rsid w:val="00771CF4"/>
    <w:rsid w:val="0077451B"/>
    <w:rsid w:val="00776676"/>
    <w:rsid w:val="00777EFD"/>
    <w:rsid w:val="00780046"/>
    <w:rsid w:val="0078216B"/>
    <w:rsid w:val="00785975"/>
    <w:rsid w:val="00787481"/>
    <w:rsid w:val="0079023B"/>
    <w:rsid w:val="0079061E"/>
    <w:rsid w:val="00792CDF"/>
    <w:rsid w:val="00796893"/>
    <w:rsid w:val="007A0231"/>
    <w:rsid w:val="007A0BCC"/>
    <w:rsid w:val="007A0EF3"/>
    <w:rsid w:val="007A1417"/>
    <w:rsid w:val="007A1926"/>
    <w:rsid w:val="007A1EED"/>
    <w:rsid w:val="007A3774"/>
    <w:rsid w:val="007A7BB3"/>
    <w:rsid w:val="007B0E91"/>
    <w:rsid w:val="007B2A33"/>
    <w:rsid w:val="007B450F"/>
    <w:rsid w:val="007C3DAD"/>
    <w:rsid w:val="007C41DC"/>
    <w:rsid w:val="007D16F9"/>
    <w:rsid w:val="007D1ACD"/>
    <w:rsid w:val="007D250B"/>
    <w:rsid w:val="007D2BCB"/>
    <w:rsid w:val="007D7E1C"/>
    <w:rsid w:val="007E0467"/>
    <w:rsid w:val="007E1204"/>
    <w:rsid w:val="007E1555"/>
    <w:rsid w:val="007E1F4E"/>
    <w:rsid w:val="007E2D11"/>
    <w:rsid w:val="007E38CA"/>
    <w:rsid w:val="007E433D"/>
    <w:rsid w:val="007E4C45"/>
    <w:rsid w:val="007E6373"/>
    <w:rsid w:val="007F11A7"/>
    <w:rsid w:val="007F1E3A"/>
    <w:rsid w:val="007F2EF6"/>
    <w:rsid w:val="007F3808"/>
    <w:rsid w:val="007F3B17"/>
    <w:rsid w:val="007F5E15"/>
    <w:rsid w:val="008004AA"/>
    <w:rsid w:val="00800A48"/>
    <w:rsid w:val="00801F2C"/>
    <w:rsid w:val="008020E0"/>
    <w:rsid w:val="008038AE"/>
    <w:rsid w:val="008049D9"/>
    <w:rsid w:val="008054A8"/>
    <w:rsid w:val="008056A4"/>
    <w:rsid w:val="008058E8"/>
    <w:rsid w:val="00806CE3"/>
    <w:rsid w:val="00807E9E"/>
    <w:rsid w:val="008118FF"/>
    <w:rsid w:val="00812842"/>
    <w:rsid w:val="008136FF"/>
    <w:rsid w:val="00814108"/>
    <w:rsid w:val="008145E4"/>
    <w:rsid w:val="00815F28"/>
    <w:rsid w:val="008164C1"/>
    <w:rsid w:val="008214C8"/>
    <w:rsid w:val="0082338B"/>
    <w:rsid w:val="0082448D"/>
    <w:rsid w:val="00832370"/>
    <w:rsid w:val="00833706"/>
    <w:rsid w:val="00833718"/>
    <w:rsid w:val="00833985"/>
    <w:rsid w:val="0083451D"/>
    <w:rsid w:val="0083589F"/>
    <w:rsid w:val="00835A81"/>
    <w:rsid w:val="008430B7"/>
    <w:rsid w:val="00843DE0"/>
    <w:rsid w:val="00847B4C"/>
    <w:rsid w:val="00851126"/>
    <w:rsid w:val="00851990"/>
    <w:rsid w:val="008520AD"/>
    <w:rsid w:val="00855F5B"/>
    <w:rsid w:val="00856431"/>
    <w:rsid w:val="008605CE"/>
    <w:rsid w:val="008607BF"/>
    <w:rsid w:val="00861657"/>
    <w:rsid w:val="008637A9"/>
    <w:rsid w:val="0086461E"/>
    <w:rsid w:val="00864C2D"/>
    <w:rsid w:val="00864ECB"/>
    <w:rsid w:val="00866823"/>
    <w:rsid w:val="00867615"/>
    <w:rsid w:val="00867B8D"/>
    <w:rsid w:val="008737B8"/>
    <w:rsid w:val="00875F51"/>
    <w:rsid w:val="008762D3"/>
    <w:rsid w:val="008809CF"/>
    <w:rsid w:val="008810BE"/>
    <w:rsid w:val="00882B02"/>
    <w:rsid w:val="00883345"/>
    <w:rsid w:val="0088428C"/>
    <w:rsid w:val="008849F1"/>
    <w:rsid w:val="00886519"/>
    <w:rsid w:val="00890EEB"/>
    <w:rsid w:val="00891143"/>
    <w:rsid w:val="00891CC7"/>
    <w:rsid w:val="008930F8"/>
    <w:rsid w:val="008939E3"/>
    <w:rsid w:val="00894A54"/>
    <w:rsid w:val="008A1CF1"/>
    <w:rsid w:val="008A3D4D"/>
    <w:rsid w:val="008A586D"/>
    <w:rsid w:val="008B082F"/>
    <w:rsid w:val="008B1032"/>
    <w:rsid w:val="008B2E43"/>
    <w:rsid w:val="008B4060"/>
    <w:rsid w:val="008B472A"/>
    <w:rsid w:val="008B4B49"/>
    <w:rsid w:val="008B4DB5"/>
    <w:rsid w:val="008B5C12"/>
    <w:rsid w:val="008C21ED"/>
    <w:rsid w:val="008C28D9"/>
    <w:rsid w:val="008C327F"/>
    <w:rsid w:val="008C426B"/>
    <w:rsid w:val="008C4CEC"/>
    <w:rsid w:val="008C4FC5"/>
    <w:rsid w:val="008C6DCC"/>
    <w:rsid w:val="008C7340"/>
    <w:rsid w:val="008C752D"/>
    <w:rsid w:val="008C7AF5"/>
    <w:rsid w:val="008D0167"/>
    <w:rsid w:val="008D132A"/>
    <w:rsid w:val="008D1E97"/>
    <w:rsid w:val="008D25E0"/>
    <w:rsid w:val="008D4782"/>
    <w:rsid w:val="008D6B19"/>
    <w:rsid w:val="008D6E4B"/>
    <w:rsid w:val="008D76A2"/>
    <w:rsid w:val="008E022C"/>
    <w:rsid w:val="008E0CB6"/>
    <w:rsid w:val="008E2CD1"/>
    <w:rsid w:val="008E5BF0"/>
    <w:rsid w:val="008E7FDA"/>
    <w:rsid w:val="008F15FE"/>
    <w:rsid w:val="00900AB4"/>
    <w:rsid w:val="0090108A"/>
    <w:rsid w:val="00901EFF"/>
    <w:rsid w:val="009026F0"/>
    <w:rsid w:val="00904C99"/>
    <w:rsid w:val="00905E85"/>
    <w:rsid w:val="009079F0"/>
    <w:rsid w:val="009105BD"/>
    <w:rsid w:val="009114E2"/>
    <w:rsid w:val="009114EA"/>
    <w:rsid w:val="009118D1"/>
    <w:rsid w:val="009132B6"/>
    <w:rsid w:val="0091593C"/>
    <w:rsid w:val="0091605A"/>
    <w:rsid w:val="009205AF"/>
    <w:rsid w:val="00921BE5"/>
    <w:rsid w:val="00924989"/>
    <w:rsid w:val="00925638"/>
    <w:rsid w:val="00930B3C"/>
    <w:rsid w:val="00930E31"/>
    <w:rsid w:val="0093181C"/>
    <w:rsid w:val="00932813"/>
    <w:rsid w:val="009331E9"/>
    <w:rsid w:val="0093383C"/>
    <w:rsid w:val="00933AC8"/>
    <w:rsid w:val="009452FB"/>
    <w:rsid w:val="00947FDF"/>
    <w:rsid w:val="00954360"/>
    <w:rsid w:val="00957AEC"/>
    <w:rsid w:val="00961F42"/>
    <w:rsid w:val="009630A5"/>
    <w:rsid w:val="00963206"/>
    <w:rsid w:val="00967B92"/>
    <w:rsid w:val="0097032C"/>
    <w:rsid w:val="00972911"/>
    <w:rsid w:val="0097374A"/>
    <w:rsid w:val="00973970"/>
    <w:rsid w:val="00976176"/>
    <w:rsid w:val="00976921"/>
    <w:rsid w:val="00982D6E"/>
    <w:rsid w:val="0098527E"/>
    <w:rsid w:val="00986E0A"/>
    <w:rsid w:val="009922EA"/>
    <w:rsid w:val="00993CDC"/>
    <w:rsid w:val="0099460F"/>
    <w:rsid w:val="00994D5F"/>
    <w:rsid w:val="00996504"/>
    <w:rsid w:val="00996596"/>
    <w:rsid w:val="009A0735"/>
    <w:rsid w:val="009A0B0C"/>
    <w:rsid w:val="009A205C"/>
    <w:rsid w:val="009A2847"/>
    <w:rsid w:val="009A3E60"/>
    <w:rsid w:val="009B0091"/>
    <w:rsid w:val="009B3611"/>
    <w:rsid w:val="009B5B0C"/>
    <w:rsid w:val="009C08E1"/>
    <w:rsid w:val="009C1E93"/>
    <w:rsid w:val="009C2D08"/>
    <w:rsid w:val="009C34CC"/>
    <w:rsid w:val="009C4D98"/>
    <w:rsid w:val="009C4EFC"/>
    <w:rsid w:val="009D254F"/>
    <w:rsid w:val="009D28AF"/>
    <w:rsid w:val="009D4C90"/>
    <w:rsid w:val="009D5391"/>
    <w:rsid w:val="009D5F76"/>
    <w:rsid w:val="009D627D"/>
    <w:rsid w:val="009E318F"/>
    <w:rsid w:val="009E56FE"/>
    <w:rsid w:val="009E66C1"/>
    <w:rsid w:val="009E697B"/>
    <w:rsid w:val="009F1D22"/>
    <w:rsid w:val="009F4BE5"/>
    <w:rsid w:val="009F770D"/>
    <w:rsid w:val="009F7A6C"/>
    <w:rsid w:val="00A01628"/>
    <w:rsid w:val="00A023FE"/>
    <w:rsid w:val="00A0787C"/>
    <w:rsid w:val="00A07FEE"/>
    <w:rsid w:val="00A110C5"/>
    <w:rsid w:val="00A12705"/>
    <w:rsid w:val="00A1352C"/>
    <w:rsid w:val="00A13A20"/>
    <w:rsid w:val="00A21684"/>
    <w:rsid w:val="00A242E3"/>
    <w:rsid w:val="00A33CDE"/>
    <w:rsid w:val="00A4195B"/>
    <w:rsid w:val="00A43A4D"/>
    <w:rsid w:val="00A43C92"/>
    <w:rsid w:val="00A47C05"/>
    <w:rsid w:val="00A53C9C"/>
    <w:rsid w:val="00A54505"/>
    <w:rsid w:val="00A55656"/>
    <w:rsid w:val="00A56568"/>
    <w:rsid w:val="00A571A6"/>
    <w:rsid w:val="00A608AE"/>
    <w:rsid w:val="00A60EF3"/>
    <w:rsid w:val="00A62CFB"/>
    <w:rsid w:val="00A63F1A"/>
    <w:rsid w:val="00A640CF"/>
    <w:rsid w:val="00A65414"/>
    <w:rsid w:val="00A67AD3"/>
    <w:rsid w:val="00A70079"/>
    <w:rsid w:val="00A70F9E"/>
    <w:rsid w:val="00A72CD2"/>
    <w:rsid w:val="00A73901"/>
    <w:rsid w:val="00A75DA8"/>
    <w:rsid w:val="00A75EE4"/>
    <w:rsid w:val="00A766D4"/>
    <w:rsid w:val="00A768DA"/>
    <w:rsid w:val="00A77014"/>
    <w:rsid w:val="00A772E0"/>
    <w:rsid w:val="00A80FD8"/>
    <w:rsid w:val="00A833FF"/>
    <w:rsid w:val="00A84C0E"/>
    <w:rsid w:val="00A851BB"/>
    <w:rsid w:val="00A9136E"/>
    <w:rsid w:val="00A92901"/>
    <w:rsid w:val="00A93A1C"/>
    <w:rsid w:val="00A97321"/>
    <w:rsid w:val="00A97C5A"/>
    <w:rsid w:val="00A97E02"/>
    <w:rsid w:val="00AA04B9"/>
    <w:rsid w:val="00AA1470"/>
    <w:rsid w:val="00AA1AF5"/>
    <w:rsid w:val="00AA2131"/>
    <w:rsid w:val="00AA2D30"/>
    <w:rsid w:val="00AA3A25"/>
    <w:rsid w:val="00AA51D6"/>
    <w:rsid w:val="00AA7262"/>
    <w:rsid w:val="00AA7C78"/>
    <w:rsid w:val="00AA7CF0"/>
    <w:rsid w:val="00AB18E3"/>
    <w:rsid w:val="00AB2BC9"/>
    <w:rsid w:val="00AB2C7B"/>
    <w:rsid w:val="00AB2C8B"/>
    <w:rsid w:val="00AB39FF"/>
    <w:rsid w:val="00AB54A1"/>
    <w:rsid w:val="00AB5B89"/>
    <w:rsid w:val="00AB6679"/>
    <w:rsid w:val="00AB7162"/>
    <w:rsid w:val="00AB78D4"/>
    <w:rsid w:val="00AC0BC4"/>
    <w:rsid w:val="00AC164E"/>
    <w:rsid w:val="00AC2227"/>
    <w:rsid w:val="00AC41D5"/>
    <w:rsid w:val="00AC444E"/>
    <w:rsid w:val="00AC5A4D"/>
    <w:rsid w:val="00AC5F6F"/>
    <w:rsid w:val="00AC62E0"/>
    <w:rsid w:val="00AC6703"/>
    <w:rsid w:val="00AC7ADA"/>
    <w:rsid w:val="00AD19ED"/>
    <w:rsid w:val="00AD2005"/>
    <w:rsid w:val="00AD424C"/>
    <w:rsid w:val="00AD7205"/>
    <w:rsid w:val="00AE00A2"/>
    <w:rsid w:val="00AE0272"/>
    <w:rsid w:val="00AE2B27"/>
    <w:rsid w:val="00AE3D45"/>
    <w:rsid w:val="00AE77F5"/>
    <w:rsid w:val="00AF1B93"/>
    <w:rsid w:val="00AF30C6"/>
    <w:rsid w:val="00AF423C"/>
    <w:rsid w:val="00AF473B"/>
    <w:rsid w:val="00AF58AA"/>
    <w:rsid w:val="00AF6A56"/>
    <w:rsid w:val="00AF6F8A"/>
    <w:rsid w:val="00B05394"/>
    <w:rsid w:val="00B05F89"/>
    <w:rsid w:val="00B07C35"/>
    <w:rsid w:val="00B10FAF"/>
    <w:rsid w:val="00B12571"/>
    <w:rsid w:val="00B140A1"/>
    <w:rsid w:val="00B1562B"/>
    <w:rsid w:val="00B165EA"/>
    <w:rsid w:val="00B228E7"/>
    <w:rsid w:val="00B22ECD"/>
    <w:rsid w:val="00B25E73"/>
    <w:rsid w:val="00B26626"/>
    <w:rsid w:val="00B26FB9"/>
    <w:rsid w:val="00B27628"/>
    <w:rsid w:val="00B33501"/>
    <w:rsid w:val="00B367FD"/>
    <w:rsid w:val="00B372DF"/>
    <w:rsid w:val="00B42920"/>
    <w:rsid w:val="00B44820"/>
    <w:rsid w:val="00B45A35"/>
    <w:rsid w:val="00B4711B"/>
    <w:rsid w:val="00B47DFF"/>
    <w:rsid w:val="00B5255A"/>
    <w:rsid w:val="00B52794"/>
    <w:rsid w:val="00B5495D"/>
    <w:rsid w:val="00B565A3"/>
    <w:rsid w:val="00B56936"/>
    <w:rsid w:val="00B60411"/>
    <w:rsid w:val="00B63ED7"/>
    <w:rsid w:val="00B6434C"/>
    <w:rsid w:val="00B64FA5"/>
    <w:rsid w:val="00B65F06"/>
    <w:rsid w:val="00B6790A"/>
    <w:rsid w:val="00B67CBC"/>
    <w:rsid w:val="00B7028B"/>
    <w:rsid w:val="00B70A3A"/>
    <w:rsid w:val="00B715D2"/>
    <w:rsid w:val="00B71901"/>
    <w:rsid w:val="00B71A9A"/>
    <w:rsid w:val="00B74912"/>
    <w:rsid w:val="00B74BF6"/>
    <w:rsid w:val="00B75B6D"/>
    <w:rsid w:val="00B80F97"/>
    <w:rsid w:val="00B83004"/>
    <w:rsid w:val="00B83DC7"/>
    <w:rsid w:val="00B860C5"/>
    <w:rsid w:val="00B86F97"/>
    <w:rsid w:val="00B9692E"/>
    <w:rsid w:val="00BA145C"/>
    <w:rsid w:val="00BA316D"/>
    <w:rsid w:val="00BA4CB9"/>
    <w:rsid w:val="00BA650B"/>
    <w:rsid w:val="00BB27CC"/>
    <w:rsid w:val="00BB4FD6"/>
    <w:rsid w:val="00BB5659"/>
    <w:rsid w:val="00BB6687"/>
    <w:rsid w:val="00BB670B"/>
    <w:rsid w:val="00BB6916"/>
    <w:rsid w:val="00BB6BD2"/>
    <w:rsid w:val="00BB753D"/>
    <w:rsid w:val="00BC2DA0"/>
    <w:rsid w:val="00BC5012"/>
    <w:rsid w:val="00BC51E3"/>
    <w:rsid w:val="00BD12A2"/>
    <w:rsid w:val="00BD18CA"/>
    <w:rsid w:val="00BD4727"/>
    <w:rsid w:val="00BD725A"/>
    <w:rsid w:val="00BD77E3"/>
    <w:rsid w:val="00BD7911"/>
    <w:rsid w:val="00BD7B40"/>
    <w:rsid w:val="00BE2258"/>
    <w:rsid w:val="00BE2F63"/>
    <w:rsid w:val="00BE344C"/>
    <w:rsid w:val="00BF0EF4"/>
    <w:rsid w:val="00BF1D85"/>
    <w:rsid w:val="00BF3DA1"/>
    <w:rsid w:val="00BF6C06"/>
    <w:rsid w:val="00C03F00"/>
    <w:rsid w:val="00C051EE"/>
    <w:rsid w:val="00C056D1"/>
    <w:rsid w:val="00C1034D"/>
    <w:rsid w:val="00C10C26"/>
    <w:rsid w:val="00C1117E"/>
    <w:rsid w:val="00C11C4D"/>
    <w:rsid w:val="00C15D1D"/>
    <w:rsid w:val="00C175D6"/>
    <w:rsid w:val="00C17B4E"/>
    <w:rsid w:val="00C20E4A"/>
    <w:rsid w:val="00C26E03"/>
    <w:rsid w:val="00C30144"/>
    <w:rsid w:val="00C31173"/>
    <w:rsid w:val="00C42509"/>
    <w:rsid w:val="00C43349"/>
    <w:rsid w:val="00C44203"/>
    <w:rsid w:val="00C45A91"/>
    <w:rsid w:val="00C45DDE"/>
    <w:rsid w:val="00C477C6"/>
    <w:rsid w:val="00C477F1"/>
    <w:rsid w:val="00C47BF2"/>
    <w:rsid w:val="00C5465B"/>
    <w:rsid w:val="00C56CD4"/>
    <w:rsid w:val="00C57D7F"/>
    <w:rsid w:val="00C70DBA"/>
    <w:rsid w:val="00C71075"/>
    <w:rsid w:val="00C71E32"/>
    <w:rsid w:val="00C75A66"/>
    <w:rsid w:val="00C80534"/>
    <w:rsid w:val="00C80947"/>
    <w:rsid w:val="00C842FD"/>
    <w:rsid w:val="00C84569"/>
    <w:rsid w:val="00C85EB3"/>
    <w:rsid w:val="00C918C9"/>
    <w:rsid w:val="00C92A58"/>
    <w:rsid w:val="00C95D57"/>
    <w:rsid w:val="00C95E33"/>
    <w:rsid w:val="00C97DC4"/>
    <w:rsid w:val="00CA0C5D"/>
    <w:rsid w:val="00CA1752"/>
    <w:rsid w:val="00CA58CA"/>
    <w:rsid w:val="00CA5E0F"/>
    <w:rsid w:val="00CA6A6E"/>
    <w:rsid w:val="00CB44C9"/>
    <w:rsid w:val="00CB55F9"/>
    <w:rsid w:val="00CC2CFE"/>
    <w:rsid w:val="00CC367B"/>
    <w:rsid w:val="00CC3E09"/>
    <w:rsid w:val="00CC5C1E"/>
    <w:rsid w:val="00CC707F"/>
    <w:rsid w:val="00CC7F21"/>
    <w:rsid w:val="00CD065F"/>
    <w:rsid w:val="00CD4BFA"/>
    <w:rsid w:val="00CD5B14"/>
    <w:rsid w:val="00CD66A9"/>
    <w:rsid w:val="00CD7B4A"/>
    <w:rsid w:val="00CE0446"/>
    <w:rsid w:val="00CE0C6A"/>
    <w:rsid w:val="00CE0C92"/>
    <w:rsid w:val="00CE2DB6"/>
    <w:rsid w:val="00CE2DCC"/>
    <w:rsid w:val="00CE62EB"/>
    <w:rsid w:val="00CE7F0B"/>
    <w:rsid w:val="00CF24A2"/>
    <w:rsid w:val="00CF2CBC"/>
    <w:rsid w:val="00CF400B"/>
    <w:rsid w:val="00CF4A12"/>
    <w:rsid w:val="00CF4EE6"/>
    <w:rsid w:val="00D028C1"/>
    <w:rsid w:val="00D03B03"/>
    <w:rsid w:val="00D04A9F"/>
    <w:rsid w:val="00D04D06"/>
    <w:rsid w:val="00D04F40"/>
    <w:rsid w:val="00D11CF9"/>
    <w:rsid w:val="00D11F61"/>
    <w:rsid w:val="00D14465"/>
    <w:rsid w:val="00D15FD6"/>
    <w:rsid w:val="00D16F1F"/>
    <w:rsid w:val="00D1769B"/>
    <w:rsid w:val="00D17AB1"/>
    <w:rsid w:val="00D228B7"/>
    <w:rsid w:val="00D254EE"/>
    <w:rsid w:val="00D25801"/>
    <w:rsid w:val="00D26BD4"/>
    <w:rsid w:val="00D32099"/>
    <w:rsid w:val="00D3481B"/>
    <w:rsid w:val="00D430C3"/>
    <w:rsid w:val="00D43628"/>
    <w:rsid w:val="00D45516"/>
    <w:rsid w:val="00D460CB"/>
    <w:rsid w:val="00D460FC"/>
    <w:rsid w:val="00D478A8"/>
    <w:rsid w:val="00D47AE8"/>
    <w:rsid w:val="00D50514"/>
    <w:rsid w:val="00D545F3"/>
    <w:rsid w:val="00D577E3"/>
    <w:rsid w:val="00D60196"/>
    <w:rsid w:val="00D60583"/>
    <w:rsid w:val="00D62A40"/>
    <w:rsid w:val="00D65702"/>
    <w:rsid w:val="00D662C4"/>
    <w:rsid w:val="00D7134C"/>
    <w:rsid w:val="00D72619"/>
    <w:rsid w:val="00D73FD5"/>
    <w:rsid w:val="00D75CCB"/>
    <w:rsid w:val="00D77464"/>
    <w:rsid w:val="00D80046"/>
    <w:rsid w:val="00D85CCE"/>
    <w:rsid w:val="00D85E24"/>
    <w:rsid w:val="00D86009"/>
    <w:rsid w:val="00D8712B"/>
    <w:rsid w:val="00D90CFE"/>
    <w:rsid w:val="00D92965"/>
    <w:rsid w:val="00D944FB"/>
    <w:rsid w:val="00D9515A"/>
    <w:rsid w:val="00D96B42"/>
    <w:rsid w:val="00D97C87"/>
    <w:rsid w:val="00DA115A"/>
    <w:rsid w:val="00DA162B"/>
    <w:rsid w:val="00DA1DF0"/>
    <w:rsid w:val="00DA2989"/>
    <w:rsid w:val="00DA35D8"/>
    <w:rsid w:val="00DA43DC"/>
    <w:rsid w:val="00DA43E1"/>
    <w:rsid w:val="00DA792E"/>
    <w:rsid w:val="00DB4190"/>
    <w:rsid w:val="00DB42F1"/>
    <w:rsid w:val="00DB4EC1"/>
    <w:rsid w:val="00DB635C"/>
    <w:rsid w:val="00DB6929"/>
    <w:rsid w:val="00DB77E4"/>
    <w:rsid w:val="00DC0FF2"/>
    <w:rsid w:val="00DC2BCA"/>
    <w:rsid w:val="00DC3D23"/>
    <w:rsid w:val="00DC455B"/>
    <w:rsid w:val="00DC4E81"/>
    <w:rsid w:val="00DC5D68"/>
    <w:rsid w:val="00DC695A"/>
    <w:rsid w:val="00DD0933"/>
    <w:rsid w:val="00DD0BD3"/>
    <w:rsid w:val="00DD1678"/>
    <w:rsid w:val="00DD236B"/>
    <w:rsid w:val="00DD37D8"/>
    <w:rsid w:val="00DD4D0E"/>
    <w:rsid w:val="00DD5288"/>
    <w:rsid w:val="00DD594E"/>
    <w:rsid w:val="00DD697E"/>
    <w:rsid w:val="00DD6C7A"/>
    <w:rsid w:val="00DE1EE8"/>
    <w:rsid w:val="00DE274B"/>
    <w:rsid w:val="00DE309C"/>
    <w:rsid w:val="00DE320E"/>
    <w:rsid w:val="00DE37EA"/>
    <w:rsid w:val="00DE3F68"/>
    <w:rsid w:val="00DE5FD4"/>
    <w:rsid w:val="00DF071B"/>
    <w:rsid w:val="00DF0BB5"/>
    <w:rsid w:val="00DF459A"/>
    <w:rsid w:val="00DF4E11"/>
    <w:rsid w:val="00DF681C"/>
    <w:rsid w:val="00E00779"/>
    <w:rsid w:val="00E007FD"/>
    <w:rsid w:val="00E01E31"/>
    <w:rsid w:val="00E042FA"/>
    <w:rsid w:val="00E07FBB"/>
    <w:rsid w:val="00E10963"/>
    <w:rsid w:val="00E11B0C"/>
    <w:rsid w:val="00E16E20"/>
    <w:rsid w:val="00E170C6"/>
    <w:rsid w:val="00E178C6"/>
    <w:rsid w:val="00E206CF"/>
    <w:rsid w:val="00E20E1C"/>
    <w:rsid w:val="00E21054"/>
    <w:rsid w:val="00E21C0A"/>
    <w:rsid w:val="00E2394A"/>
    <w:rsid w:val="00E24612"/>
    <w:rsid w:val="00E25A42"/>
    <w:rsid w:val="00E30C7F"/>
    <w:rsid w:val="00E31A49"/>
    <w:rsid w:val="00E33A72"/>
    <w:rsid w:val="00E3546B"/>
    <w:rsid w:val="00E35C37"/>
    <w:rsid w:val="00E37E0D"/>
    <w:rsid w:val="00E42FB8"/>
    <w:rsid w:val="00E440E3"/>
    <w:rsid w:val="00E46B07"/>
    <w:rsid w:val="00E47994"/>
    <w:rsid w:val="00E515C6"/>
    <w:rsid w:val="00E52387"/>
    <w:rsid w:val="00E53D0E"/>
    <w:rsid w:val="00E54DC6"/>
    <w:rsid w:val="00E55497"/>
    <w:rsid w:val="00E563AB"/>
    <w:rsid w:val="00E572BF"/>
    <w:rsid w:val="00E60674"/>
    <w:rsid w:val="00E623E5"/>
    <w:rsid w:val="00E62B60"/>
    <w:rsid w:val="00E658B7"/>
    <w:rsid w:val="00E668D4"/>
    <w:rsid w:val="00E67D1E"/>
    <w:rsid w:val="00E67F71"/>
    <w:rsid w:val="00E70166"/>
    <w:rsid w:val="00E70D51"/>
    <w:rsid w:val="00E70ED2"/>
    <w:rsid w:val="00E70F4E"/>
    <w:rsid w:val="00E72E70"/>
    <w:rsid w:val="00E738BA"/>
    <w:rsid w:val="00E74B95"/>
    <w:rsid w:val="00E75674"/>
    <w:rsid w:val="00E767B0"/>
    <w:rsid w:val="00E76881"/>
    <w:rsid w:val="00E77BE5"/>
    <w:rsid w:val="00E829AB"/>
    <w:rsid w:val="00E837EA"/>
    <w:rsid w:val="00E84D52"/>
    <w:rsid w:val="00E874A6"/>
    <w:rsid w:val="00E90CBD"/>
    <w:rsid w:val="00E91824"/>
    <w:rsid w:val="00E921B6"/>
    <w:rsid w:val="00E9225B"/>
    <w:rsid w:val="00E92358"/>
    <w:rsid w:val="00E93BAD"/>
    <w:rsid w:val="00E95DD5"/>
    <w:rsid w:val="00E97B58"/>
    <w:rsid w:val="00E97F67"/>
    <w:rsid w:val="00EA0275"/>
    <w:rsid w:val="00EA0874"/>
    <w:rsid w:val="00EA2355"/>
    <w:rsid w:val="00EA2953"/>
    <w:rsid w:val="00EA4C18"/>
    <w:rsid w:val="00EA65DE"/>
    <w:rsid w:val="00EA65F2"/>
    <w:rsid w:val="00EA6682"/>
    <w:rsid w:val="00EA6860"/>
    <w:rsid w:val="00EA6941"/>
    <w:rsid w:val="00EB1571"/>
    <w:rsid w:val="00EB2365"/>
    <w:rsid w:val="00EB2637"/>
    <w:rsid w:val="00EB3A35"/>
    <w:rsid w:val="00EB45B8"/>
    <w:rsid w:val="00EB65F8"/>
    <w:rsid w:val="00EB731C"/>
    <w:rsid w:val="00EC15F5"/>
    <w:rsid w:val="00EC3B39"/>
    <w:rsid w:val="00EC4312"/>
    <w:rsid w:val="00EC6349"/>
    <w:rsid w:val="00EC7D0B"/>
    <w:rsid w:val="00ED010C"/>
    <w:rsid w:val="00ED3651"/>
    <w:rsid w:val="00ED3B99"/>
    <w:rsid w:val="00ED56C2"/>
    <w:rsid w:val="00ED6108"/>
    <w:rsid w:val="00EE0058"/>
    <w:rsid w:val="00EE0874"/>
    <w:rsid w:val="00EE107B"/>
    <w:rsid w:val="00EE2674"/>
    <w:rsid w:val="00EE2FC0"/>
    <w:rsid w:val="00EE3C5D"/>
    <w:rsid w:val="00EE5051"/>
    <w:rsid w:val="00EE70A9"/>
    <w:rsid w:val="00EE75A4"/>
    <w:rsid w:val="00EF0696"/>
    <w:rsid w:val="00EF1A29"/>
    <w:rsid w:val="00EF2426"/>
    <w:rsid w:val="00EF3553"/>
    <w:rsid w:val="00EF6D40"/>
    <w:rsid w:val="00F024F3"/>
    <w:rsid w:val="00F0524A"/>
    <w:rsid w:val="00F06643"/>
    <w:rsid w:val="00F06D44"/>
    <w:rsid w:val="00F07079"/>
    <w:rsid w:val="00F12CE2"/>
    <w:rsid w:val="00F12F68"/>
    <w:rsid w:val="00F14ECF"/>
    <w:rsid w:val="00F2262F"/>
    <w:rsid w:val="00F22C36"/>
    <w:rsid w:val="00F2446E"/>
    <w:rsid w:val="00F24484"/>
    <w:rsid w:val="00F259A2"/>
    <w:rsid w:val="00F26A58"/>
    <w:rsid w:val="00F305C3"/>
    <w:rsid w:val="00F31C91"/>
    <w:rsid w:val="00F31D05"/>
    <w:rsid w:val="00F31DD9"/>
    <w:rsid w:val="00F32C6E"/>
    <w:rsid w:val="00F33A31"/>
    <w:rsid w:val="00F3429E"/>
    <w:rsid w:val="00F35FDF"/>
    <w:rsid w:val="00F36D35"/>
    <w:rsid w:val="00F40BA1"/>
    <w:rsid w:val="00F420CB"/>
    <w:rsid w:val="00F42681"/>
    <w:rsid w:val="00F42E6F"/>
    <w:rsid w:val="00F4319F"/>
    <w:rsid w:val="00F440D1"/>
    <w:rsid w:val="00F44B99"/>
    <w:rsid w:val="00F44BDB"/>
    <w:rsid w:val="00F474F4"/>
    <w:rsid w:val="00F53AD1"/>
    <w:rsid w:val="00F55221"/>
    <w:rsid w:val="00F55F89"/>
    <w:rsid w:val="00F571B9"/>
    <w:rsid w:val="00F575C0"/>
    <w:rsid w:val="00F57A29"/>
    <w:rsid w:val="00F57F70"/>
    <w:rsid w:val="00F60BC9"/>
    <w:rsid w:val="00F61AB5"/>
    <w:rsid w:val="00F62C3D"/>
    <w:rsid w:val="00F63420"/>
    <w:rsid w:val="00F63C71"/>
    <w:rsid w:val="00F63FEE"/>
    <w:rsid w:val="00F64691"/>
    <w:rsid w:val="00F674DE"/>
    <w:rsid w:val="00F71705"/>
    <w:rsid w:val="00F743C3"/>
    <w:rsid w:val="00F77F72"/>
    <w:rsid w:val="00F80856"/>
    <w:rsid w:val="00F81EB2"/>
    <w:rsid w:val="00F8259C"/>
    <w:rsid w:val="00F8484B"/>
    <w:rsid w:val="00F848A3"/>
    <w:rsid w:val="00F85C0D"/>
    <w:rsid w:val="00F905DA"/>
    <w:rsid w:val="00F92193"/>
    <w:rsid w:val="00F9563B"/>
    <w:rsid w:val="00F95C17"/>
    <w:rsid w:val="00F95EE3"/>
    <w:rsid w:val="00F97C42"/>
    <w:rsid w:val="00FA1C4F"/>
    <w:rsid w:val="00FA740E"/>
    <w:rsid w:val="00FB08E4"/>
    <w:rsid w:val="00FB105B"/>
    <w:rsid w:val="00FB15AB"/>
    <w:rsid w:val="00FB36E5"/>
    <w:rsid w:val="00FB694C"/>
    <w:rsid w:val="00FB6BC3"/>
    <w:rsid w:val="00FB73BB"/>
    <w:rsid w:val="00FB7EF1"/>
    <w:rsid w:val="00FC2B29"/>
    <w:rsid w:val="00FC2B65"/>
    <w:rsid w:val="00FC790A"/>
    <w:rsid w:val="00FC7D56"/>
    <w:rsid w:val="00FD1A6C"/>
    <w:rsid w:val="00FD1B33"/>
    <w:rsid w:val="00FD1C57"/>
    <w:rsid w:val="00FD2663"/>
    <w:rsid w:val="00FD4439"/>
    <w:rsid w:val="00FD50F5"/>
    <w:rsid w:val="00FD7876"/>
    <w:rsid w:val="00FD7C77"/>
    <w:rsid w:val="00FE0287"/>
    <w:rsid w:val="00FE1F34"/>
    <w:rsid w:val="00FE39C4"/>
    <w:rsid w:val="00FE5549"/>
    <w:rsid w:val="00FE5EC1"/>
    <w:rsid w:val="00FE62A2"/>
    <w:rsid w:val="00FE6547"/>
    <w:rsid w:val="00FF1049"/>
    <w:rsid w:val="00FF1C43"/>
    <w:rsid w:val="00FF1C8A"/>
    <w:rsid w:val="00FF1CE2"/>
    <w:rsid w:val="00FF1F7D"/>
    <w:rsid w:val="00FF2E9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B99C7E1"/>
  <w15:docId w15:val="{9B871323-1FA4-4850-BEEF-82FD3244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1"/>
    <w:qFormat/>
    <w:rsid w:val="00E170C6"/>
    <w:pPr>
      <w:widowControl/>
    </w:pPr>
    <w:rPr>
      <w:rFonts w:ascii="Times New Roman" w:hAnsi="Times New Roman"/>
      <w:sz w:val="24"/>
    </w:rPr>
  </w:style>
  <w:style w:type="paragraph" w:styleId="Heading1">
    <w:name w:val="heading 1"/>
    <w:basedOn w:val="Normal"/>
    <w:link w:val="Heading1Char"/>
    <w:uiPriority w:val="1"/>
    <w:qFormat/>
    <w:rsid w:val="00E170C6"/>
    <w:pPr>
      <w:keepNext/>
      <w:spacing w:after="240"/>
      <w:ind w:left="720" w:hanging="720"/>
      <w:outlineLvl w:val="0"/>
    </w:pPr>
    <w:rPr>
      <w:rFonts w:ascii="Times New Roman Bold" w:eastAsia="Times New Roman" w:hAnsi="Times New Roman Bold"/>
      <w:b/>
      <w:bCs/>
      <w:caps/>
      <w:szCs w:val="24"/>
    </w:rPr>
  </w:style>
  <w:style w:type="paragraph" w:styleId="Heading2">
    <w:name w:val="heading 2"/>
    <w:basedOn w:val="Normal"/>
    <w:next w:val="Normal"/>
    <w:link w:val="Heading2Char"/>
    <w:uiPriority w:val="9"/>
    <w:unhideWhenUsed/>
    <w:qFormat/>
    <w:rsid w:val="00E170C6"/>
    <w:pPr>
      <w:keepNext/>
      <w:keepLines/>
      <w:spacing w:before="240" w:after="240"/>
      <w:ind w:left="720"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0E99"/>
    <w:pPr>
      <w:keepNext/>
      <w:keepLines/>
      <w:spacing w:before="240" w:after="240"/>
      <w:ind w:left="720" w:hanging="720"/>
      <w:outlineLvl w:val="2"/>
    </w:pPr>
    <w:rPr>
      <w:rFonts w:eastAsiaTheme="majorEastAsia" w:cstheme="majorBidi"/>
      <w:b/>
      <w:i/>
      <w:color w:val="243F60" w:themeColor="accent1" w:themeShade="7F"/>
      <w:szCs w:val="24"/>
    </w:rPr>
  </w:style>
  <w:style w:type="paragraph" w:styleId="Heading4">
    <w:name w:val="heading 4"/>
    <w:basedOn w:val="Normal"/>
    <w:next w:val="Normal"/>
    <w:link w:val="Heading4Char"/>
    <w:uiPriority w:val="9"/>
    <w:unhideWhenUsed/>
    <w:qFormat/>
    <w:rsid w:val="00E170C6"/>
    <w:pPr>
      <w:keepNext/>
      <w:keepLines/>
      <w:spacing w:before="120" w:after="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A162B"/>
    <w:pPr>
      <w:spacing w:before="120" w:after="120"/>
      <w:ind w:left="742" w:hanging="451"/>
    </w:pPr>
    <w:rPr>
      <w:rFonts w:eastAsia="Times New Roman"/>
      <w:b/>
      <w:szCs w:val="24"/>
    </w:rPr>
  </w:style>
  <w:style w:type="paragraph" w:styleId="TOC2">
    <w:name w:val="toc 2"/>
    <w:basedOn w:val="Normal"/>
    <w:uiPriority w:val="39"/>
    <w:qFormat/>
    <w:rsid w:val="00DA162B"/>
    <w:pPr>
      <w:ind w:left="1371" w:hanging="629"/>
    </w:pPr>
    <w:rPr>
      <w:rFonts w:eastAsia="Times New Roman"/>
      <w:szCs w:val="24"/>
    </w:rPr>
  </w:style>
  <w:style w:type="paragraph" w:styleId="TOC3">
    <w:name w:val="toc 3"/>
    <w:basedOn w:val="Normal"/>
    <w:uiPriority w:val="39"/>
    <w:qFormat/>
    <w:rsid w:val="00DA162B"/>
    <w:pPr>
      <w:ind w:left="2091" w:hanging="720"/>
    </w:pPr>
    <w:rPr>
      <w:rFonts w:eastAsia="Times New Roman"/>
      <w:szCs w:val="24"/>
    </w:rPr>
  </w:style>
  <w:style w:type="paragraph" w:styleId="BodyText">
    <w:name w:val="Body Text"/>
    <w:basedOn w:val="Normal"/>
    <w:link w:val="BodyTextChar"/>
    <w:uiPriority w:val="1"/>
    <w:qFormat/>
    <w:rsid w:val="00172663"/>
    <w:pPr>
      <w:spacing w:after="120" w:line="360" w:lineRule="auto"/>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0196"/>
    <w:rPr>
      <w:color w:val="0000FF" w:themeColor="hyperlink"/>
      <w:u w:val="single"/>
    </w:rPr>
  </w:style>
  <w:style w:type="character" w:styleId="CommentReference">
    <w:name w:val="annotation reference"/>
    <w:basedOn w:val="DefaultParagraphFont"/>
    <w:uiPriority w:val="99"/>
    <w:semiHidden/>
    <w:unhideWhenUsed/>
    <w:rsid w:val="008C752D"/>
    <w:rPr>
      <w:sz w:val="16"/>
      <w:szCs w:val="16"/>
    </w:rPr>
  </w:style>
  <w:style w:type="paragraph" w:styleId="CommentText">
    <w:name w:val="annotation text"/>
    <w:basedOn w:val="Normal"/>
    <w:link w:val="CommentTextChar"/>
    <w:uiPriority w:val="99"/>
    <w:unhideWhenUsed/>
    <w:rsid w:val="008C752D"/>
    <w:rPr>
      <w:sz w:val="20"/>
      <w:szCs w:val="20"/>
    </w:rPr>
  </w:style>
  <w:style w:type="character" w:customStyle="1" w:styleId="CommentTextChar">
    <w:name w:val="Comment Text Char"/>
    <w:basedOn w:val="DefaultParagraphFont"/>
    <w:link w:val="CommentText"/>
    <w:uiPriority w:val="99"/>
    <w:rsid w:val="008C752D"/>
    <w:rPr>
      <w:sz w:val="20"/>
      <w:szCs w:val="20"/>
    </w:rPr>
  </w:style>
  <w:style w:type="paragraph" w:styleId="CommentSubject">
    <w:name w:val="annotation subject"/>
    <w:basedOn w:val="CommentText"/>
    <w:next w:val="CommentText"/>
    <w:link w:val="CommentSubjectChar"/>
    <w:uiPriority w:val="99"/>
    <w:semiHidden/>
    <w:unhideWhenUsed/>
    <w:rsid w:val="008C752D"/>
    <w:rPr>
      <w:b/>
      <w:bCs/>
    </w:rPr>
  </w:style>
  <w:style w:type="character" w:customStyle="1" w:styleId="CommentSubjectChar">
    <w:name w:val="Comment Subject Char"/>
    <w:basedOn w:val="CommentTextChar"/>
    <w:link w:val="CommentSubject"/>
    <w:uiPriority w:val="99"/>
    <w:semiHidden/>
    <w:rsid w:val="008C752D"/>
    <w:rPr>
      <w:b/>
      <w:bCs/>
      <w:sz w:val="20"/>
      <w:szCs w:val="20"/>
    </w:rPr>
  </w:style>
  <w:style w:type="paragraph" w:styleId="BalloonText">
    <w:name w:val="Balloon Text"/>
    <w:basedOn w:val="Normal"/>
    <w:link w:val="BalloonTextChar"/>
    <w:uiPriority w:val="99"/>
    <w:semiHidden/>
    <w:unhideWhenUsed/>
    <w:rsid w:val="008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2D"/>
    <w:rPr>
      <w:rFonts w:ascii="Segoe UI" w:hAnsi="Segoe UI" w:cs="Segoe UI"/>
      <w:sz w:val="18"/>
      <w:szCs w:val="18"/>
    </w:rPr>
  </w:style>
  <w:style w:type="character" w:styleId="FollowedHyperlink">
    <w:name w:val="FollowedHyperlink"/>
    <w:basedOn w:val="DefaultParagraphFont"/>
    <w:uiPriority w:val="99"/>
    <w:semiHidden/>
    <w:unhideWhenUsed/>
    <w:rsid w:val="00A571A6"/>
    <w:rPr>
      <w:color w:val="800080" w:themeColor="followedHyperlink"/>
      <w:u w:val="single"/>
    </w:rPr>
  </w:style>
  <w:style w:type="paragraph" w:styleId="HTMLPreformatted">
    <w:name w:val="HTML Preformatted"/>
    <w:basedOn w:val="Normal"/>
    <w:link w:val="HTMLPreformattedChar"/>
    <w:uiPriority w:val="99"/>
    <w:semiHidden/>
    <w:unhideWhenUsed/>
    <w:rsid w:val="00A5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1A6"/>
    <w:rPr>
      <w:rFonts w:ascii="Courier New" w:eastAsia="Times New Roman" w:hAnsi="Courier New" w:cs="Courier New"/>
      <w:sz w:val="20"/>
      <w:szCs w:val="20"/>
    </w:rPr>
  </w:style>
  <w:style w:type="paragraph" w:customStyle="1" w:styleId="statutory-body-1em">
    <w:name w:val="statutory-body-1em"/>
    <w:basedOn w:val="Normal"/>
    <w:rsid w:val="009A3E60"/>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510E99"/>
    <w:pPr>
      <w:ind w:left="187" w:hanging="187"/>
    </w:pPr>
    <w:rPr>
      <w:sz w:val="20"/>
      <w:szCs w:val="20"/>
    </w:rPr>
  </w:style>
  <w:style w:type="character" w:customStyle="1" w:styleId="FootnoteTextChar">
    <w:name w:val="Footnote Text Char"/>
    <w:basedOn w:val="DefaultParagraphFont"/>
    <w:link w:val="FootnoteText"/>
    <w:uiPriority w:val="99"/>
    <w:rsid w:val="00510E99"/>
    <w:rPr>
      <w:rFonts w:ascii="Times New Roman" w:hAnsi="Times New Roman"/>
      <w:sz w:val="20"/>
      <w:szCs w:val="20"/>
    </w:rPr>
  </w:style>
  <w:style w:type="character" w:styleId="FootnoteReference">
    <w:name w:val="footnote reference"/>
    <w:basedOn w:val="DefaultParagraphFont"/>
    <w:uiPriority w:val="99"/>
    <w:unhideWhenUsed/>
    <w:rsid w:val="000F08AD"/>
    <w:rPr>
      <w:vertAlign w:val="superscript"/>
    </w:rPr>
  </w:style>
  <w:style w:type="paragraph" w:styleId="Caption">
    <w:name w:val="caption"/>
    <w:basedOn w:val="Normal"/>
    <w:next w:val="Normal"/>
    <w:uiPriority w:val="35"/>
    <w:unhideWhenUsed/>
    <w:qFormat/>
    <w:rsid w:val="00B10FAF"/>
    <w:pPr>
      <w:keepNext/>
      <w:spacing w:before="240" w:after="120"/>
    </w:pPr>
    <w:rPr>
      <w:b/>
      <w:iCs/>
      <w:color w:val="1F497D" w:themeColor="text2"/>
      <w:szCs w:val="18"/>
    </w:rPr>
  </w:style>
  <w:style w:type="character" w:customStyle="1" w:styleId="Heading1Char">
    <w:name w:val="Heading 1 Char"/>
    <w:basedOn w:val="DefaultParagraphFont"/>
    <w:link w:val="Heading1"/>
    <w:uiPriority w:val="1"/>
    <w:rsid w:val="00E170C6"/>
    <w:rPr>
      <w:rFonts w:ascii="Times New Roman Bold" w:eastAsia="Times New Roman" w:hAnsi="Times New Roman Bold"/>
      <w:b/>
      <w:bCs/>
      <w:caps/>
      <w:sz w:val="24"/>
      <w:szCs w:val="24"/>
    </w:rPr>
  </w:style>
  <w:style w:type="character" w:customStyle="1" w:styleId="BodyTextChar">
    <w:name w:val="Body Text Char"/>
    <w:basedOn w:val="DefaultParagraphFont"/>
    <w:link w:val="BodyText"/>
    <w:uiPriority w:val="1"/>
    <w:rsid w:val="00172663"/>
    <w:rPr>
      <w:rFonts w:ascii="Times New Roman" w:eastAsia="Times New Roman" w:hAnsi="Times New Roman"/>
      <w:sz w:val="24"/>
      <w:szCs w:val="24"/>
    </w:rPr>
  </w:style>
  <w:style w:type="paragraph" w:styleId="Revision">
    <w:name w:val="Revision"/>
    <w:hidden/>
    <w:uiPriority w:val="99"/>
    <w:semiHidden/>
    <w:rsid w:val="00ED010C"/>
    <w:pPr>
      <w:widowControl/>
    </w:pPr>
  </w:style>
  <w:style w:type="character" w:customStyle="1" w:styleId="Mention1">
    <w:name w:val="Mention1"/>
    <w:basedOn w:val="DefaultParagraphFont"/>
    <w:uiPriority w:val="99"/>
    <w:semiHidden/>
    <w:unhideWhenUsed/>
    <w:rsid w:val="00E206CF"/>
    <w:rPr>
      <w:color w:val="2B579A"/>
      <w:shd w:val="clear" w:color="auto" w:fill="E6E6E6"/>
    </w:rPr>
  </w:style>
  <w:style w:type="paragraph" w:styleId="Header">
    <w:name w:val="header"/>
    <w:basedOn w:val="Normal"/>
    <w:link w:val="HeaderChar"/>
    <w:uiPriority w:val="99"/>
    <w:unhideWhenUsed/>
    <w:rsid w:val="00E206CF"/>
    <w:pPr>
      <w:tabs>
        <w:tab w:val="center" w:pos="4680"/>
        <w:tab w:val="right" w:pos="9360"/>
      </w:tabs>
    </w:pPr>
  </w:style>
  <w:style w:type="character" w:customStyle="1" w:styleId="HeaderChar">
    <w:name w:val="Header Char"/>
    <w:basedOn w:val="DefaultParagraphFont"/>
    <w:link w:val="Header"/>
    <w:uiPriority w:val="99"/>
    <w:rsid w:val="00E206CF"/>
  </w:style>
  <w:style w:type="paragraph" w:styleId="Footer">
    <w:name w:val="footer"/>
    <w:basedOn w:val="Normal"/>
    <w:link w:val="FooterChar"/>
    <w:uiPriority w:val="99"/>
    <w:unhideWhenUsed/>
    <w:rsid w:val="00E206CF"/>
    <w:pPr>
      <w:tabs>
        <w:tab w:val="center" w:pos="4680"/>
        <w:tab w:val="right" w:pos="9360"/>
      </w:tabs>
    </w:pPr>
  </w:style>
  <w:style w:type="character" w:customStyle="1" w:styleId="FooterChar">
    <w:name w:val="Footer Char"/>
    <w:basedOn w:val="DefaultParagraphFont"/>
    <w:link w:val="Footer"/>
    <w:uiPriority w:val="99"/>
    <w:rsid w:val="00E206CF"/>
  </w:style>
  <w:style w:type="character" w:customStyle="1" w:styleId="Heading2Char">
    <w:name w:val="Heading 2 Char"/>
    <w:basedOn w:val="DefaultParagraphFont"/>
    <w:link w:val="Heading2"/>
    <w:uiPriority w:val="9"/>
    <w:rsid w:val="00E170C6"/>
    <w:rPr>
      <w:rFonts w:ascii="Times New Roman" w:hAnsi="Times New Roman" w:eastAsiaTheme="majorEastAsia" w:cstheme="majorBidi"/>
      <w:b/>
      <w:sz w:val="24"/>
      <w:szCs w:val="26"/>
    </w:rPr>
  </w:style>
  <w:style w:type="paragraph" w:styleId="ListBullet">
    <w:name w:val="List Bullet"/>
    <w:basedOn w:val="Normal"/>
    <w:uiPriority w:val="99"/>
    <w:unhideWhenUsed/>
    <w:rsid w:val="00EB2637"/>
    <w:pPr>
      <w:numPr>
        <w:numId w:val="14"/>
      </w:numPr>
      <w:tabs>
        <w:tab w:val="num" w:pos="720"/>
        <w:tab w:val="clear" w:pos="1080"/>
      </w:tabs>
      <w:spacing w:before="120" w:after="40" w:line="360" w:lineRule="auto"/>
      <w:ind w:left="720"/>
    </w:pPr>
  </w:style>
  <w:style w:type="paragraph" w:styleId="BodyTextIndent">
    <w:name w:val="Body Text Indent"/>
    <w:basedOn w:val="Normal"/>
    <w:link w:val="BodyTextIndentChar"/>
    <w:uiPriority w:val="99"/>
    <w:unhideWhenUsed/>
    <w:rsid w:val="00510E99"/>
    <w:pPr>
      <w:spacing w:after="120"/>
      <w:ind w:left="720"/>
    </w:pPr>
  </w:style>
  <w:style w:type="character" w:customStyle="1" w:styleId="BodyTextIndentChar">
    <w:name w:val="Body Text Indent Char"/>
    <w:basedOn w:val="DefaultParagraphFont"/>
    <w:link w:val="BodyTextIndent"/>
    <w:uiPriority w:val="99"/>
    <w:rsid w:val="00510E99"/>
    <w:rPr>
      <w:rFonts w:ascii="Times New Roman" w:hAnsi="Times New Roman"/>
      <w:sz w:val="24"/>
    </w:rPr>
  </w:style>
  <w:style w:type="paragraph" w:styleId="BodyTextIndent2">
    <w:name w:val="Body Text Indent 2"/>
    <w:basedOn w:val="Normal"/>
    <w:link w:val="BodyTextIndent2Char"/>
    <w:uiPriority w:val="99"/>
    <w:unhideWhenUsed/>
    <w:rsid w:val="00510E99"/>
    <w:pPr>
      <w:spacing w:after="120"/>
      <w:ind w:left="1080"/>
    </w:pPr>
  </w:style>
  <w:style w:type="character" w:customStyle="1" w:styleId="BodyTextIndent2Char">
    <w:name w:val="Body Text Indent 2 Char"/>
    <w:basedOn w:val="DefaultParagraphFont"/>
    <w:link w:val="BodyTextIndent2"/>
    <w:uiPriority w:val="99"/>
    <w:rsid w:val="00510E99"/>
    <w:rPr>
      <w:rFonts w:ascii="Times New Roman" w:hAnsi="Times New Roman"/>
      <w:sz w:val="24"/>
    </w:rPr>
  </w:style>
  <w:style w:type="paragraph" w:styleId="BodyTextIndent3">
    <w:name w:val="Body Text Indent 3"/>
    <w:basedOn w:val="Normal"/>
    <w:link w:val="BodyTextIndent3Char"/>
    <w:uiPriority w:val="99"/>
    <w:unhideWhenUsed/>
    <w:rsid w:val="00510E99"/>
    <w:pPr>
      <w:spacing w:after="120"/>
      <w:ind w:left="1440"/>
    </w:pPr>
    <w:rPr>
      <w:szCs w:val="16"/>
    </w:rPr>
  </w:style>
  <w:style w:type="character" w:customStyle="1" w:styleId="BodyTextIndent3Char">
    <w:name w:val="Body Text Indent 3 Char"/>
    <w:basedOn w:val="DefaultParagraphFont"/>
    <w:link w:val="BodyTextIndent3"/>
    <w:uiPriority w:val="99"/>
    <w:rsid w:val="00510E99"/>
    <w:rPr>
      <w:rFonts w:ascii="Times New Roman" w:hAnsi="Times New Roman"/>
      <w:sz w:val="24"/>
      <w:szCs w:val="16"/>
    </w:rPr>
  </w:style>
  <w:style w:type="character" w:customStyle="1" w:styleId="Heading3Char">
    <w:name w:val="Heading 3 Char"/>
    <w:basedOn w:val="DefaultParagraphFont"/>
    <w:link w:val="Heading3"/>
    <w:uiPriority w:val="9"/>
    <w:rsid w:val="00510E99"/>
    <w:rPr>
      <w:rFonts w:ascii="Times New Roman" w:hAnsi="Times New Roman" w:eastAsiaTheme="majorEastAsia" w:cstheme="majorBidi"/>
      <w:b/>
      <w:i/>
      <w:color w:val="243F60" w:themeColor="accent1" w:themeShade="7F"/>
      <w:sz w:val="24"/>
      <w:szCs w:val="24"/>
    </w:rPr>
  </w:style>
  <w:style w:type="character" w:customStyle="1" w:styleId="Heading4Char">
    <w:name w:val="Heading 4 Char"/>
    <w:basedOn w:val="DefaultParagraphFont"/>
    <w:link w:val="Heading4"/>
    <w:uiPriority w:val="9"/>
    <w:rsid w:val="00E170C6"/>
    <w:rPr>
      <w:rFonts w:ascii="Times New Roman" w:hAnsi="Times New Roman" w:eastAsiaTheme="majorEastAsia" w:cstheme="majorBidi"/>
      <w:i/>
      <w:iCs/>
      <w:sz w:val="24"/>
    </w:rPr>
  </w:style>
  <w:style w:type="paragraph" w:styleId="ListBullet2">
    <w:name w:val="List Bullet 2"/>
    <w:basedOn w:val="Normal"/>
    <w:uiPriority w:val="99"/>
    <w:unhideWhenUsed/>
    <w:rsid w:val="004D185C"/>
    <w:pPr>
      <w:numPr>
        <w:numId w:val="15"/>
      </w:numPr>
      <w:spacing w:after="60"/>
      <w:ind w:left="1080"/>
    </w:pPr>
  </w:style>
  <w:style w:type="paragraph" w:customStyle="1" w:styleId="TableTitle">
    <w:name w:val="Table Title"/>
    <w:basedOn w:val="Normal"/>
    <w:uiPriority w:val="1"/>
    <w:qFormat/>
    <w:rsid w:val="00113470"/>
    <w:pPr>
      <w:framePr w:hSpace="180" w:wrap="around" w:vAnchor="text" w:hAnchor="text" w:y="1"/>
      <w:tabs>
        <w:tab w:val="left" w:pos="1155"/>
      </w:tabs>
      <w:spacing w:after="80"/>
      <w:ind w:left="1152" w:right="706" w:hanging="1152"/>
      <w:suppressOverlap/>
    </w:pPr>
    <w:rPr>
      <w:rFonts w:eastAsia="Times New Roman" w:cs="Times New Roman"/>
      <w:b/>
      <w:bCs/>
      <w:color w:val="000000"/>
    </w:rPr>
  </w:style>
  <w:style w:type="paragraph" w:customStyle="1" w:styleId="TableFigureSource">
    <w:name w:val="Table/Figure Source"/>
    <w:basedOn w:val="Normal"/>
    <w:uiPriority w:val="1"/>
    <w:qFormat/>
    <w:rsid w:val="00675621"/>
    <w:pPr>
      <w:spacing w:before="120" w:after="240"/>
      <w:ind w:left="216" w:hanging="216"/>
      <w:contextualSpacing/>
    </w:pPr>
  </w:style>
  <w:style w:type="table" w:styleId="PlainTable2">
    <w:name w:val="Plain Table 2"/>
    <w:basedOn w:val="TableNormal"/>
    <w:uiPriority w:val="42"/>
    <w:rsid w:val="00B10F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
    <w:name w:val="OMB"/>
    <w:basedOn w:val="TableNormal"/>
    <w:uiPriority w:val="99"/>
    <w:rsid w:val="00477B2C"/>
    <w:pPr>
      <w:widowControl/>
    </w:pPr>
    <w:rPr>
      <w:rFonts w:ascii="Times New Roman" w:hAnsi="Times New Roman"/>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er">
    <w:name w:val="Table Header"/>
    <w:basedOn w:val="TableParagraph"/>
    <w:uiPriority w:val="1"/>
    <w:qFormat/>
    <w:rsid w:val="00477B2C"/>
    <w:pPr>
      <w:keepNext/>
      <w:keepLines/>
      <w:spacing w:before="80" w:after="80"/>
      <w:jc w:val="center"/>
    </w:pPr>
    <w:rPr>
      <w:b/>
      <w:bCs/>
    </w:rPr>
  </w:style>
  <w:style w:type="paragraph" w:customStyle="1" w:styleId="Tabletext1">
    <w:name w:val="Table text1"/>
    <w:basedOn w:val="TableParagraph"/>
    <w:uiPriority w:val="1"/>
    <w:qFormat/>
    <w:rsid w:val="00675621"/>
    <w:pPr>
      <w:spacing w:before="60" w:after="60"/>
    </w:pPr>
    <w:rPr>
      <w:spacing w:val="-1"/>
    </w:rPr>
  </w:style>
  <w:style w:type="paragraph" w:customStyle="1" w:styleId="Tabletextindent1">
    <w:name w:val="Table text indent1"/>
    <w:basedOn w:val="Tabletext1"/>
    <w:uiPriority w:val="1"/>
    <w:qFormat/>
    <w:rsid w:val="00675621"/>
    <w:pPr>
      <w:ind w:left="216"/>
    </w:pPr>
  </w:style>
  <w:style w:type="paragraph" w:customStyle="1" w:styleId="AppHeading1">
    <w:name w:val="App Heading 1"/>
    <w:basedOn w:val="Heading1"/>
    <w:uiPriority w:val="1"/>
    <w:qFormat/>
    <w:rsid w:val="00E170C6"/>
    <w:pPr>
      <w:spacing w:before="240"/>
      <w:ind w:left="0" w:firstLine="0"/>
      <w:jc w:val="center"/>
    </w:pPr>
    <w:rPr>
      <w:spacing w:val="-1"/>
    </w:rPr>
  </w:style>
  <w:style w:type="paragraph" w:customStyle="1" w:styleId="TOCHead">
    <w:name w:val="TOC Head"/>
    <w:basedOn w:val="Normal"/>
    <w:uiPriority w:val="1"/>
    <w:qFormat/>
    <w:rsid w:val="00E170C6"/>
    <w:pPr>
      <w:keepNext/>
      <w:tabs>
        <w:tab w:val="left" w:pos="8868"/>
      </w:tabs>
      <w:spacing w:before="120" w:after="240"/>
      <w:jc w:val="center"/>
    </w:pPr>
    <w:rPr>
      <w:b/>
      <w:spacing w:val="-1"/>
    </w:rPr>
  </w:style>
  <w:style w:type="paragraph" w:customStyle="1" w:styleId="TOC0">
    <w:name w:val="TOC 0"/>
    <w:basedOn w:val="AppHeading1"/>
    <w:uiPriority w:val="1"/>
    <w:qFormat/>
    <w:rsid w:val="00EB2637"/>
  </w:style>
  <w:style w:type="paragraph" w:styleId="TableofFigures">
    <w:name w:val="table of figures"/>
    <w:basedOn w:val="Normal"/>
    <w:next w:val="Normal"/>
    <w:uiPriority w:val="99"/>
    <w:unhideWhenUsed/>
    <w:rsid w:val="00EB2637"/>
    <w:pPr>
      <w:tabs>
        <w:tab w:val="left" w:pos="1440"/>
        <w:tab w:val="right" w:leader="dot" w:pos="9990"/>
      </w:tabs>
      <w:ind w:left="1440" w:hanging="1166"/>
    </w:pPr>
    <w:rPr>
      <w:noProof/>
    </w:rPr>
  </w:style>
  <w:style w:type="numbering" w:customStyle="1" w:styleId="Exhibits">
    <w:name w:val="Exhibits"/>
    <w:uiPriority w:val="99"/>
    <w:rsid w:val="00CF2CBC"/>
    <w:pPr>
      <w:numPr>
        <w:numId w:val="44"/>
      </w:numPr>
    </w:pPr>
  </w:style>
  <w:style w:type="paragraph" w:customStyle="1" w:styleId="NormalSS">
    <w:name w:val="NormalSS"/>
    <w:basedOn w:val="Normal"/>
    <w:qFormat/>
    <w:rsid w:val="00FF1049"/>
    <w:pPr>
      <w:tabs>
        <w:tab w:val="left" w:pos="432"/>
      </w:tabs>
      <w:ind w:firstLine="432"/>
      <w:jc w:val="both"/>
    </w:pPr>
    <w:rPr>
      <w:rFonts w:eastAsia="Times New Roman" w:cs="Times New Roman"/>
      <w:szCs w:val="20"/>
    </w:rPr>
  </w:style>
  <w:style w:type="character" w:styleId="Mention">
    <w:name w:val="Mention"/>
    <w:basedOn w:val="DefaultParagraphFont"/>
    <w:uiPriority w:val="99"/>
    <w:semiHidden/>
    <w:unhideWhenUsed/>
    <w:rsid w:val="00B228E7"/>
    <w:rPr>
      <w:color w:val="2B579A"/>
      <w:shd w:val="clear" w:color="auto" w:fill="E6E6E6"/>
    </w:rPr>
  </w:style>
  <w:style w:type="paragraph" w:styleId="TOCHeading">
    <w:name w:val="TOC Heading"/>
    <w:basedOn w:val="Heading1"/>
    <w:next w:val="Normal"/>
    <w:uiPriority w:val="39"/>
    <w:unhideWhenUsed/>
    <w:qFormat/>
    <w:rsid w:val="00AB54A1"/>
    <w:pPr>
      <w:keepLines/>
      <w:spacing w:before="240" w:after="0" w:line="259" w:lineRule="auto"/>
      <w:ind w:left="0" w:firstLine="0"/>
      <w:outlineLvl w:val="9"/>
    </w:pPr>
    <w:rPr>
      <w:rFonts w:asciiTheme="majorHAnsi" w:eastAsiaTheme="majorEastAsia" w:hAnsiTheme="majorHAnsi" w:cstheme="majorBidi"/>
      <w:b w:val="0"/>
      <w:bCs w:val="0"/>
      <w:caps w:val="0"/>
      <w:color w:val="365F91" w:themeColor="accent1" w:themeShade="BF"/>
      <w:sz w:val="32"/>
      <w:szCs w:val="32"/>
    </w:rPr>
  </w:style>
  <w:style w:type="paragraph" w:styleId="TOC4">
    <w:name w:val="toc 4"/>
    <w:basedOn w:val="Normal"/>
    <w:next w:val="Normal"/>
    <w:autoRedefine/>
    <w:uiPriority w:val="39"/>
    <w:unhideWhenUsed/>
    <w:rsid w:val="003E1136"/>
    <w:pPr>
      <w:tabs>
        <w:tab w:val="right" w:leader="dot" w:pos="10070"/>
      </w:tabs>
      <w:spacing w:after="120"/>
      <w:ind w:left="720" w:firstLine="1350"/>
    </w:pPr>
  </w:style>
  <w:style w:type="character" w:styleId="UnresolvedMention">
    <w:name w:val="Unresolved Mention"/>
    <w:basedOn w:val="DefaultParagraphFont"/>
    <w:uiPriority w:val="99"/>
    <w:semiHidden/>
    <w:unhideWhenUsed/>
    <w:rsid w:val="00D944FB"/>
    <w:rPr>
      <w:color w:val="605E5C"/>
      <w:shd w:val="clear" w:color="auto" w:fill="E1DFDD"/>
    </w:rPr>
  </w:style>
  <w:style w:type="paragraph" w:customStyle="1" w:styleId="Default">
    <w:name w:val="Default"/>
    <w:rsid w:val="002D2B72"/>
    <w:pPr>
      <w:widowControl/>
      <w:autoSpaceDE w:val="0"/>
      <w:autoSpaceDN w:val="0"/>
      <w:adjustRightInd w:val="0"/>
    </w:pPr>
    <w:rPr>
      <w:rFonts w:ascii="Times New Roman" w:hAnsi="Times New Roman" w:cs="Times New Roman"/>
      <w:color w:val="000000"/>
      <w:sz w:val="24"/>
      <w:szCs w:val="24"/>
    </w:rPr>
  </w:style>
  <w:style w:type="character" w:customStyle="1" w:styleId="e-04">
    <w:name w:val="e-04"/>
    <w:basedOn w:val="DefaultParagraphFont"/>
    <w:rsid w:val="00494A45"/>
  </w:style>
  <w:style w:type="character" w:customStyle="1" w:styleId="c-bibliographic-informationvalue">
    <w:name w:val="c-bibliographic-information__value"/>
    <w:basedOn w:val="DefaultParagraphFont"/>
    <w:rsid w:val="00CF24A2"/>
  </w:style>
  <w:style w:type="paragraph" w:customStyle="1" w:styleId="BodyTextSpaceAfter">
    <w:name w:val="Body Text Space After"/>
    <w:basedOn w:val="BodyText"/>
    <w:uiPriority w:val="1"/>
    <w:qFormat/>
    <w:rsid w:val="00542B0B"/>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footer" Target="footer4.xml" /><Relationship Id="rId13" Type="http://schemas.openxmlformats.org/officeDocument/2006/relationships/hyperlink" Target="https://ncsesdata.nsf.gov/builder/welcome?type=table" TargetMode="External" /><Relationship Id="rId14" Type="http://schemas.openxmlformats.org/officeDocument/2006/relationships/hyperlink" Target="https://ncsesdata.nsf.gov/profiles/" TargetMode="External" /><Relationship Id="rId15" Type="http://schemas.openxmlformats.org/officeDocument/2006/relationships/hyperlink" Target="http://data.bls.gov/oes/"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settings" Target="settings.xml" /><Relationship Id="rId20" Type="http://schemas.openxmlformats.org/officeDocument/2006/relationships/header" Target="header6.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F2518-5B57-468B-9C6F-CDD9F369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6032</Words>
  <Characters>34387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Yamaner, Michael I</dc:creator>
  <cp:lastModifiedBy>Beck, Jennifer L</cp:lastModifiedBy>
  <cp:revision>43</cp:revision>
  <cp:lastPrinted>2020-03-06T20:06:00Z</cp:lastPrinted>
  <dcterms:created xsi:type="dcterms:W3CDTF">2026-06-09T12:05:00Z</dcterms:created>
  <dcterms:modified xsi:type="dcterms:W3CDTF">2026-06-15T16:04:00Z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reated">
    <vt:filetime>2014-08-01T00:00:00Z</vt:filetime>
  </property>
  <property fmtid="{D5CDD505-2E9C-101B-9397-08002B2CF9AE}" pid="4" name="LastSaved">
    <vt:filetime>2017-01-05T00:00:00Z</vt:filetime>
  </property>
  <property fmtid="{D5CDD505-2E9C-101B-9397-08002B2CF9AE}" pid="5" name="TitusGUID">
    <vt:lpwstr>68b9645a-2951-4665-8282-4e7b3e1b6525</vt:lpwstr>
  </property>
</Properties>
</file>