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7C62" w:rsidRPr="00CA1752" w:rsidP="00ED010C" w14:paraId="0F26D18A" w14:textId="77777777">
      <w:pPr>
        <w:rPr>
          <w:rFonts w:eastAsia="Times New Roman" w:cs="Times New Roman"/>
          <w:sz w:val="20"/>
          <w:szCs w:val="20"/>
        </w:rPr>
      </w:pPr>
    </w:p>
    <w:p w:rsidR="005F7C62" w:rsidRPr="00CA1752" w:rsidP="00ED010C" w14:paraId="5F414E28" w14:textId="77777777">
      <w:pPr>
        <w:rPr>
          <w:rFonts w:eastAsia="Times New Roman" w:cs="Times New Roman"/>
          <w:sz w:val="20"/>
          <w:szCs w:val="20"/>
        </w:rPr>
      </w:pPr>
    </w:p>
    <w:p w:rsidR="005F7C62" w:rsidRPr="00CA1752" w:rsidP="00ED010C" w14:paraId="6760491E" w14:textId="77777777">
      <w:pPr>
        <w:rPr>
          <w:rFonts w:eastAsia="Times New Roman" w:cs="Times New Roman"/>
          <w:sz w:val="20"/>
          <w:szCs w:val="20"/>
        </w:rPr>
      </w:pPr>
    </w:p>
    <w:p w:rsidR="005F7C62" w:rsidRPr="00CA1752" w:rsidP="00ED010C" w14:paraId="73E1F603" w14:textId="77777777">
      <w:pPr>
        <w:rPr>
          <w:rFonts w:eastAsia="Times New Roman" w:cs="Times New Roman"/>
          <w:sz w:val="20"/>
          <w:szCs w:val="20"/>
        </w:rPr>
      </w:pPr>
    </w:p>
    <w:p w:rsidR="005F7C62" w:rsidRPr="00CA1752" w:rsidP="00342B07" w14:paraId="3EA7C36E" w14:textId="77777777">
      <w:pPr>
        <w:rPr>
          <w:rFonts w:eastAsia="Times New Roman" w:cs="Times New Roman"/>
          <w:sz w:val="23"/>
          <w:szCs w:val="23"/>
        </w:rPr>
      </w:pPr>
    </w:p>
    <w:p w:rsidR="00894A54" w:rsidRPr="00CA1752" w:rsidP="00342B07" w14:paraId="450133FE" w14:textId="0FB5D56D">
      <w:pPr>
        <w:ind w:right="119"/>
        <w:jc w:val="right"/>
        <w:rPr>
          <w:rFonts w:eastAsia="Times New Roman" w:cs="Times New Roman"/>
          <w:spacing w:val="-22"/>
          <w:sz w:val="56"/>
          <w:szCs w:val="56"/>
        </w:rPr>
      </w:pPr>
      <w:r w:rsidRPr="00CA1752">
        <w:rPr>
          <w:rFonts w:eastAsia="Times New Roman" w:cs="Times New Roman"/>
          <w:spacing w:val="-1"/>
          <w:sz w:val="56"/>
          <w:szCs w:val="56"/>
        </w:rPr>
        <w:t>20</w:t>
      </w:r>
      <w:r w:rsidR="00941411">
        <w:rPr>
          <w:rFonts w:eastAsia="Times New Roman" w:cs="Times New Roman"/>
          <w:spacing w:val="-1"/>
          <w:sz w:val="56"/>
          <w:szCs w:val="56"/>
        </w:rPr>
        <w:t>2</w:t>
      </w:r>
      <w:r>
        <w:rPr>
          <w:rFonts w:eastAsia="Times New Roman" w:cs="Times New Roman"/>
          <w:spacing w:val="-1"/>
          <w:sz w:val="56"/>
          <w:szCs w:val="56"/>
        </w:rPr>
        <w:t>6</w:t>
      </w:r>
      <w:r w:rsidR="00444AAF">
        <w:rPr>
          <w:rFonts w:eastAsia="Times New Roman" w:cs="Times New Roman"/>
          <w:spacing w:val="-1"/>
          <w:sz w:val="56"/>
          <w:szCs w:val="56"/>
        </w:rPr>
        <w:t>-</w:t>
      </w:r>
      <w:r w:rsidRPr="00CA1752">
        <w:rPr>
          <w:rFonts w:eastAsia="Times New Roman" w:cs="Times New Roman"/>
          <w:spacing w:val="-1"/>
          <w:sz w:val="56"/>
          <w:szCs w:val="56"/>
        </w:rPr>
        <w:t>20</w:t>
      </w:r>
      <w:r w:rsidR="00941411">
        <w:rPr>
          <w:rFonts w:eastAsia="Times New Roman" w:cs="Times New Roman"/>
          <w:spacing w:val="-1"/>
          <w:sz w:val="56"/>
          <w:szCs w:val="56"/>
        </w:rPr>
        <w:t>2</w:t>
      </w:r>
      <w:r>
        <w:rPr>
          <w:rFonts w:eastAsia="Times New Roman" w:cs="Times New Roman"/>
          <w:spacing w:val="-1"/>
          <w:sz w:val="56"/>
          <w:szCs w:val="56"/>
        </w:rPr>
        <w:t>8</w:t>
      </w:r>
      <w:r w:rsidRPr="00CA1752">
        <w:rPr>
          <w:rFonts w:eastAsia="Times New Roman" w:cs="Times New Roman"/>
          <w:spacing w:val="-22"/>
          <w:sz w:val="56"/>
          <w:szCs w:val="56"/>
        </w:rPr>
        <w:t xml:space="preserve"> </w:t>
      </w:r>
    </w:p>
    <w:p w:rsidR="005F7C62" w:rsidRPr="00CA1752" w:rsidP="00342B07" w14:paraId="5A3479BA" w14:textId="77777777">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rsidR="005F7C62" w:rsidRPr="00CA1752" w:rsidP="00ED010C" w14:paraId="2A2EC856" w14:textId="77777777">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rsidR="005F7C62" w:rsidRPr="00CA1752" w:rsidP="00342B07" w14:paraId="5FC85711" w14:textId="77777777">
      <w:pPr>
        <w:rPr>
          <w:rFonts w:eastAsia="Times New Roman" w:cs="Times New Roman"/>
          <w:sz w:val="56"/>
          <w:szCs w:val="56"/>
        </w:rPr>
      </w:pPr>
    </w:p>
    <w:p w:rsidR="00F3270F" w:rsidP="00F3270F" w14:paraId="23C1207D" w14:textId="77777777">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rsidR="00F3270F" w:rsidRPr="00CA1752" w:rsidP="00F3270F" w14:paraId="430811CF" w14:textId="77777777">
      <w:pPr>
        <w:spacing w:after="360"/>
        <w:ind w:right="115"/>
        <w:jc w:val="right"/>
        <w:rPr>
          <w:rFonts w:eastAsia="Times New Roman" w:cs="Times New Roman"/>
          <w:sz w:val="56"/>
          <w:szCs w:val="56"/>
        </w:rPr>
      </w:pPr>
      <w:r>
        <w:rPr>
          <w:spacing w:val="-1"/>
          <w:sz w:val="56"/>
        </w:rPr>
        <w:t>Section B</w:t>
      </w:r>
    </w:p>
    <w:p w:rsidR="005F7C62" w:rsidRPr="00CA1752" w:rsidP="00ED010C" w14:paraId="27A00718" w14:textId="77777777">
      <w:pPr>
        <w:rPr>
          <w:rFonts w:eastAsia="Times New Roman" w:cs="Times New Roman"/>
          <w:sz w:val="56"/>
          <w:szCs w:val="56"/>
        </w:rPr>
      </w:pPr>
    </w:p>
    <w:p w:rsidR="005F7C62" w:rsidRPr="00CA1752" w:rsidP="00ED010C" w14:paraId="413CF5D7" w14:textId="77777777">
      <w:pPr>
        <w:rPr>
          <w:rFonts w:eastAsia="Times New Roman" w:cs="Times New Roman"/>
          <w:sz w:val="56"/>
          <w:szCs w:val="56"/>
        </w:rPr>
      </w:pPr>
    </w:p>
    <w:p w:rsidR="005F7C62" w:rsidRPr="00CA1752" w:rsidP="00ED010C" w14:paraId="5AB015F1" w14:textId="77777777">
      <w:pPr>
        <w:rPr>
          <w:rFonts w:eastAsia="Times New Roman" w:cs="Times New Roman"/>
          <w:sz w:val="56"/>
          <w:szCs w:val="56"/>
        </w:rPr>
      </w:pPr>
    </w:p>
    <w:p w:rsidR="005F7C62" w:rsidRPr="00CA1752" w:rsidP="00ED010C" w14:paraId="30469A6A" w14:textId="77777777">
      <w:pPr>
        <w:rPr>
          <w:rFonts w:eastAsia="Times New Roman" w:cs="Times New Roman"/>
          <w:sz w:val="56"/>
          <w:szCs w:val="56"/>
        </w:rPr>
      </w:pPr>
    </w:p>
    <w:p w:rsidR="005F7C62" w:rsidRPr="00CA1752" w:rsidP="00342B07" w14:paraId="1F9EA283" w14:textId="77777777">
      <w:pPr>
        <w:rPr>
          <w:rFonts w:eastAsia="Times New Roman" w:cs="Times New Roman"/>
          <w:sz w:val="47"/>
          <w:szCs w:val="47"/>
        </w:rPr>
      </w:pPr>
    </w:p>
    <w:p w:rsidR="005F7C62" w:rsidRPr="00CA1752" w:rsidP="00ED010C" w14:paraId="23CD3270" w14:textId="5A2F7B32">
      <w:pPr>
        <w:ind w:right="115"/>
        <w:jc w:val="right"/>
        <w:rPr>
          <w:rFonts w:eastAsia="Times New Roman" w:cs="Times New Roman"/>
          <w:sz w:val="36"/>
          <w:szCs w:val="36"/>
        </w:rPr>
      </w:pPr>
      <w:r>
        <w:rPr>
          <w:spacing w:val="-1"/>
          <w:sz w:val="36"/>
        </w:rPr>
        <w:t>June</w:t>
      </w:r>
      <w:r w:rsidR="00F26FFA">
        <w:rPr>
          <w:spacing w:val="-1"/>
          <w:sz w:val="36"/>
        </w:rPr>
        <w:t xml:space="preserve"> </w:t>
      </w:r>
      <w:r w:rsidR="003A37B6">
        <w:rPr>
          <w:spacing w:val="-1"/>
          <w:sz w:val="36"/>
        </w:rPr>
        <w:t>202</w:t>
      </w:r>
      <w:r w:rsidR="00F26FFA">
        <w:rPr>
          <w:spacing w:val="-1"/>
          <w:sz w:val="36"/>
        </w:rPr>
        <w:t>6</w:t>
      </w:r>
    </w:p>
    <w:p w:rsidR="00E15374" w:rsidRPr="00CA1752" w:rsidP="00E15374" w14:paraId="1214CB08" w14:textId="77777777">
      <w:pPr>
        <w:rPr>
          <w:rFonts w:eastAsia="Times New Roman" w:cs="Times New Roman"/>
          <w:sz w:val="36"/>
          <w:szCs w:val="36"/>
        </w:rPr>
        <w:sectPr w:rsidSect="00682185">
          <w:type w:val="oddPage"/>
          <w:pgSz w:w="12240" w:h="15840" w:code="1"/>
          <w:pgMar w:top="1440" w:right="1440" w:bottom="1440" w:left="1440" w:header="720" w:footer="720" w:gutter="0"/>
          <w:cols w:space="720"/>
          <w:docGrid w:linePitch="326"/>
        </w:sectPr>
      </w:pPr>
    </w:p>
    <w:p w:rsidR="001F0F0E" w:rsidP="0075650A" w14:paraId="0A9406D9" w14:textId="447AA7D1">
      <w:pPr>
        <w:pStyle w:val="TOC0"/>
        <w:spacing w:before="120" w:after="0"/>
        <w:rPr>
          <w:noProof/>
        </w:rPr>
      </w:pPr>
      <w:bookmarkStart w:id="0" w:name="_Toc490122264"/>
      <w:r w:rsidRPr="00E15374">
        <w:t>Table of Contents</w:t>
      </w:r>
    </w:p>
    <w:p w:rsidR="001F0F0E" w:rsidP="00E15374" w14:paraId="00DD52C5" w14:textId="14C87837">
      <w:pPr>
        <w:rPr>
          <w:noProof/>
        </w:rPr>
      </w:pPr>
      <w:r w:rsidRPr="00E15374">
        <w:rPr>
          <w:b/>
          <w:bCs/>
        </w:rPr>
        <w:t>Section</w:t>
      </w:r>
    </w:p>
    <w:p w:rsidR="00884095" w14:paraId="1AE623E7" w14:textId="245E55E2">
      <w:pPr>
        <w:pStyle w:val="TOC1"/>
        <w:rPr>
          <w:rFonts w:asciiTheme="minorHAnsi" w:eastAsiaTheme="minorEastAsia" w:hAnsiTheme="minorHAnsi"/>
          <w:b w:val="0"/>
          <w:kern w:val="2"/>
          <w:szCs w:val="24"/>
          <w14:ligatures w14:val="standardContextual"/>
        </w:rPr>
      </w:pPr>
      <w:r>
        <w:fldChar w:fldCharType="begin"/>
      </w:r>
      <w:r>
        <w:instrText xml:space="preserve"> TOC \o "2-3" \h \z \u \t "Heading 1,1" </w:instrText>
      </w:r>
      <w:r>
        <w:fldChar w:fldCharType="separate"/>
      </w:r>
      <w:hyperlink w:anchor="_Toc232083010" w:history="1">
        <w:r w:rsidRPr="001461B7">
          <w:rPr>
            <w:rStyle w:val="Hyperlink"/>
          </w:rPr>
          <w:t>B.</w:t>
        </w:r>
        <w:r>
          <w:rPr>
            <w:rFonts w:asciiTheme="minorHAnsi" w:eastAsiaTheme="minorEastAsia" w:hAnsiTheme="minorHAnsi"/>
            <w:b w:val="0"/>
            <w:kern w:val="2"/>
            <w:szCs w:val="24"/>
            <w14:ligatures w14:val="standardContextual"/>
          </w:rPr>
          <w:tab/>
        </w:r>
        <w:r w:rsidRPr="001461B7">
          <w:rPr>
            <w:rStyle w:val="Hyperlink"/>
          </w:rPr>
          <w:t>COLLECTION OF</w:t>
        </w:r>
        <w:r w:rsidRPr="001461B7">
          <w:rPr>
            <w:rStyle w:val="Hyperlink"/>
            <w:spacing w:val="-3"/>
          </w:rPr>
          <w:t xml:space="preserve"> </w:t>
        </w:r>
        <w:r w:rsidRPr="001461B7">
          <w:rPr>
            <w:rStyle w:val="Hyperlink"/>
          </w:rPr>
          <w:t>INFORMATION EMPLOYING</w:t>
        </w:r>
        <w:r w:rsidRPr="001461B7">
          <w:rPr>
            <w:rStyle w:val="Hyperlink"/>
            <w:spacing w:val="-2"/>
          </w:rPr>
          <w:t xml:space="preserve"> </w:t>
        </w:r>
        <w:r w:rsidRPr="001461B7">
          <w:rPr>
            <w:rStyle w:val="Hyperlink"/>
          </w:rPr>
          <w:t>STATISTICAL METHODS</w:t>
        </w:r>
        <w:r>
          <w:rPr>
            <w:webHidden/>
          </w:rPr>
          <w:tab/>
        </w:r>
        <w:r>
          <w:rPr>
            <w:webHidden/>
          </w:rPr>
          <w:fldChar w:fldCharType="begin"/>
        </w:r>
        <w:r>
          <w:rPr>
            <w:webHidden/>
          </w:rPr>
          <w:instrText xml:space="preserve"> PAGEREF _Toc232083010 \h </w:instrText>
        </w:r>
        <w:r>
          <w:rPr>
            <w:webHidden/>
          </w:rPr>
          <w:fldChar w:fldCharType="separate"/>
        </w:r>
        <w:r>
          <w:rPr>
            <w:webHidden/>
          </w:rPr>
          <w:t>1</w:t>
        </w:r>
        <w:r>
          <w:rPr>
            <w:webHidden/>
          </w:rPr>
          <w:fldChar w:fldCharType="end"/>
        </w:r>
      </w:hyperlink>
    </w:p>
    <w:p w:rsidR="00884095" w14:paraId="09FC1908" w14:textId="06D1F67D">
      <w:pPr>
        <w:pStyle w:val="TOC2"/>
        <w:rPr>
          <w:rFonts w:asciiTheme="minorHAnsi" w:eastAsiaTheme="minorEastAsia" w:hAnsiTheme="minorHAnsi"/>
          <w:kern w:val="2"/>
          <w14:ligatures w14:val="standardContextual"/>
        </w:rPr>
      </w:pPr>
      <w:hyperlink w:anchor="_Toc232083011" w:history="1">
        <w:r w:rsidRPr="001461B7">
          <w:rPr>
            <w:rStyle w:val="Hyperlink"/>
          </w:rPr>
          <w:t>B.1</w:t>
        </w:r>
        <w:r>
          <w:rPr>
            <w:rFonts w:asciiTheme="minorHAnsi" w:eastAsiaTheme="minorEastAsia" w:hAnsiTheme="minorHAnsi"/>
            <w:kern w:val="2"/>
            <w14:ligatures w14:val="standardContextual"/>
          </w:rPr>
          <w:tab/>
        </w:r>
        <w:r w:rsidRPr="001461B7">
          <w:rPr>
            <w:rStyle w:val="Hyperlink"/>
          </w:rPr>
          <w:t>Universe and Sampling Description</w:t>
        </w:r>
        <w:r>
          <w:rPr>
            <w:webHidden/>
          </w:rPr>
          <w:tab/>
        </w:r>
        <w:r>
          <w:rPr>
            <w:webHidden/>
          </w:rPr>
          <w:fldChar w:fldCharType="begin"/>
        </w:r>
        <w:r>
          <w:rPr>
            <w:webHidden/>
          </w:rPr>
          <w:instrText xml:space="preserve"> PAGEREF _Toc232083011 \h </w:instrText>
        </w:r>
        <w:r>
          <w:rPr>
            <w:webHidden/>
          </w:rPr>
          <w:fldChar w:fldCharType="separate"/>
        </w:r>
        <w:r>
          <w:rPr>
            <w:webHidden/>
          </w:rPr>
          <w:t>1</w:t>
        </w:r>
        <w:r>
          <w:rPr>
            <w:webHidden/>
          </w:rPr>
          <w:fldChar w:fldCharType="end"/>
        </w:r>
      </w:hyperlink>
    </w:p>
    <w:p w:rsidR="00884095" w14:paraId="2758FFA8" w14:textId="05778862">
      <w:pPr>
        <w:pStyle w:val="TOC3"/>
        <w:rPr>
          <w:rFonts w:asciiTheme="minorHAnsi" w:eastAsiaTheme="minorEastAsia" w:hAnsiTheme="minorHAnsi"/>
          <w:kern w:val="2"/>
          <w14:ligatures w14:val="standardContextual"/>
        </w:rPr>
      </w:pPr>
      <w:hyperlink w:anchor="_Toc232083012" w:history="1">
        <w:r w:rsidRPr="001461B7">
          <w:rPr>
            <w:rStyle w:val="Hyperlink"/>
          </w:rPr>
          <w:t>B.1.1</w:t>
        </w:r>
        <w:r>
          <w:rPr>
            <w:rFonts w:asciiTheme="minorHAnsi" w:eastAsiaTheme="minorEastAsia" w:hAnsiTheme="minorHAnsi"/>
            <w:kern w:val="2"/>
            <w14:ligatures w14:val="standardContextual"/>
          </w:rPr>
          <w:tab/>
        </w:r>
        <w:r w:rsidRPr="001461B7">
          <w:rPr>
            <w:rStyle w:val="Hyperlink"/>
          </w:rPr>
          <w:t>Discussion of Institutional Frame</w:t>
        </w:r>
        <w:r>
          <w:rPr>
            <w:webHidden/>
          </w:rPr>
          <w:tab/>
        </w:r>
        <w:r>
          <w:rPr>
            <w:webHidden/>
          </w:rPr>
          <w:fldChar w:fldCharType="begin"/>
        </w:r>
        <w:r>
          <w:rPr>
            <w:webHidden/>
          </w:rPr>
          <w:instrText xml:space="preserve"> PAGEREF _Toc232083012 \h </w:instrText>
        </w:r>
        <w:r>
          <w:rPr>
            <w:webHidden/>
          </w:rPr>
          <w:fldChar w:fldCharType="separate"/>
        </w:r>
        <w:r>
          <w:rPr>
            <w:webHidden/>
          </w:rPr>
          <w:t>1</w:t>
        </w:r>
        <w:r>
          <w:rPr>
            <w:webHidden/>
          </w:rPr>
          <w:fldChar w:fldCharType="end"/>
        </w:r>
      </w:hyperlink>
    </w:p>
    <w:p w:rsidR="00884095" w14:paraId="1C5488E8" w14:textId="09A2B129">
      <w:pPr>
        <w:pStyle w:val="TOC3"/>
        <w:rPr>
          <w:rFonts w:asciiTheme="minorHAnsi" w:eastAsiaTheme="minorEastAsia" w:hAnsiTheme="minorHAnsi"/>
          <w:kern w:val="2"/>
          <w14:ligatures w14:val="standardContextual"/>
        </w:rPr>
      </w:pPr>
      <w:hyperlink w:anchor="_Toc232083013" w:history="1">
        <w:r w:rsidRPr="001461B7">
          <w:rPr>
            <w:rStyle w:val="Hyperlink"/>
          </w:rPr>
          <w:t>B.1.2</w:t>
        </w:r>
        <w:r>
          <w:rPr>
            <w:rFonts w:asciiTheme="minorHAnsi" w:eastAsiaTheme="minorEastAsia" w:hAnsiTheme="minorHAnsi"/>
            <w:kern w:val="2"/>
            <w14:ligatures w14:val="standardContextual"/>
          </w:rPr>
          <w:tab/>
        </w:r>
        <w:r w:rsidRPr="001461B7">
          <w:rPr>
            <w:rStyle w:val="Hyperlink"/>
          </w:rPr>
          <w:t>Response Rates</w:t>
        </w:r>
        <w:r>
          <w:rPr>
            <w:webHidden/>
          </w:rPr>
          <w:tab/>
        </w:r>
        <w:r>
          <w:rPr>
            <w:webHidden/>
          </w:rPr>
          <w:fldChar w:fldCharType="begin"/>
        </w:r>
        <w:r>
          <w:rPr>
            <w:webHidden/>
          </w:rPr>
          <w:instrText xml:space="preserve"> PAGEREF _Toc232083013 \h </w:instrText>
        </w:r>
        <w:r>
          <w:rPr>
            <w:webHidden/>
          </w:rPr>
          <w:fldChar w:fldCharType="separate"/>
        </w:r>
        <w:r>
          <w:rPr>
            <w:webHidden/>
          </w:rPr>
          <w:t>2</w:t>
        </w:r>
        <w:r>
          <w:rPr>
            <w:webHidden/>
          </w:rPr>
          <w:fldChar w:fldCharType="end"/>
        </w:r>
      </w:hyperlink>
    </w:p>
    <w:p w:rsidR="00884095" w14:paraId="7214DA96" w14:textId="7BDA633F">
      <w:pPr>
        <w:pStyle w:val="TOC2"/>
        <w:rPr>
          <w:rFonts w:asciiTheme="minorHAnsi" w:eastAsiaTheme="minorEastAsia" w:hAnsiTheme="minorHAnsi"/>
          <w:kern w:val="2"/>
          <w14:ligatures w14:val="standardContextual"/>
        </w:rPr>
      </w:pPr>
      <w:hyperlink w:anchor="_Toc232083014" w:history="1">
        <w:r w:rsidRPr="001461B7">
          <w:rPr>
            <w:rStyle w:val="Hyperlink"/>
          </w:rPr>
          <w:t>B.2</w:t>
        </w:r>
        <w:r>
          <w:rPr>
            <w:rFonts w:asciiTheme="minorHAnsi" w:eastAsiaTheme="minorEastAsia" w:hAnsiTheme="minorHAnsi"/>
            <w:kern w:val="2"/>
            <w14:ligatures w14:val="standardContextual"/>
          </w:rPr>
          <w:tab/>
        </w:r>
        <w:r w:rsidRPr="001461B7">
          <w:rPr>
            <w:rStyle w:val="Hyperlink"/>
          </w:rPr>
          <w:t>Information Collection</w:t>
        </w:r>
        <w:r>
          <w:rPr>
            <w:webHidden/>
          </w:rPr>
          <w:tab/>
        </w:r>
        <w:r>
          <w:rPr>
            <w:webHidden/>
          </w:rPr>
          <w:fldChar w:fldCharType="begin"/>
        </w:r>
        <w:r>
          <w:rPr>
            <w:webHidden/>
          </w:rPr>
          <w:instrText xml:space="preserve"> PAGEREF _Toc232083014 \h </w:instrText>
        </w:r>
        <w:r>
          <w:rPr>
            <w:webHidden/>
          </w:rPr>
          <w:fldChar w:fldCharType="separate"/>
        </w:r>
        <w:r>
          <w:rPr>
            <w:webHidden/>
          </w:rPr>
          <w:t>3</w:t>
        </w:r>
        <w:r>
          <w:rPr>
            <w:webHidden/>
          </w:rPr>
          <w:fldChar w:fldCharType="end"/>
        </w:r>
      </w:hyperlink>
    </w:p>
    <w:p w:rsidR="00884095" w14:paraId="25129013" w14:textId="1C4FDA55">
      <w:pPr>
        <w:pStyle w:val="TOC3"/>
        <w:rPr>
          <w:rFonts w:asciiTheme="minorHAnsi" w:eastAsiaTheme="minorEastAsia" w:hAnsiTheme="minorHAnsi"/>
          <w:kern w:val="2"/>
          <w14:ligatures w14:val="standardContextual"/>
        </w:rPr>
      </w:pPr>
      <w:hyperlink w:anchor="_Toc232083015" w:history="1">
        <w:r w:rsidRPr="001461B7">
          <w:rPr>
            <w:rStyle w:val="Hyperlink"/>
          </w:rPr>
          <w:t xml:space="preserve">B.2.1. </w:t>
        </w:r>
        <w:r>
          <w:rPr>
            <w:rFonts w:asciiTheme="minorHAnsi" w:eastAsiaTheme="minorEastAsia" w:hAnsiTheme="minorHAnsi"/>
            <w:kern w:val="2"/>
            <w14:ligatures w14:val="standardContextual"/>
          </w:rPr>
          <w:tab/>
        </w:r>
        <w:r w:rsidRPr="001461B7">
          <w:rPr>
            <w:rStyle w:val="Hyperlink"/>
          </w:rPr>
          <w:t>Collection of Data Based on Updated CIP Codes</w:t>
        </w:r>
        <w:r>
          <w:rPr>
            <w:webHidden/>
          </w:rPr>
          <w:tab/>
        </w:r>
        <w:r>
          <w:rPr>
            <w:webHidden/>
          </w:rPr>
          <w:fldChar w:fldCharType="begin"/>
        </w:r>
        <w:r>
          <w:rPr>
            <w:webHidden/>
          </w:rPr>
          <w:instrText xml:space="preserve"> PAGEREF _Toc232083015 \h </w:instrText>
        </w:r>
        <w:r>
          <w:rPr>
            <w:webHidden/>
          </w:rPr>
          <w:fldChar w:fldCharType="separate"/>
        </w:r>
        <w:r>
          <w:rPr>
            <w:webHidden/>
          </w:rPr>
          <w:t>4</w:t>
        </w:r>
        <w:r>
          <w:rPr>
            <w:webHidden/>
          </w:rPr>
          <w:fldChar w:fldCharType="end"/>
        </w:r>
      </w:hyperlink>
    </w:p>
    <w:p w:rsidR="00884095" w14:paraId="542DEBD0" w14:textId="0E882FA4">
      <w:pPr>
        <w:pStyle w:val="TOC2"/>
        <w:rPr>
          <w:rFonts w:asciiTheme="minorHAnsi" w:eastAsiaTheme="minorEastAsia" w:hAnsiTheme="minorHAnsi"/>
          <w:kern w:val="2"/>
          <w14:ligatures w14:val="standardContextual"/>
        </w:rPr>
      </w:pPr>
      <w:hyperlink w:anchor="_Toc232083016" w:history="1">
        <w:r w:rsidRPr="001461B7">
          <w:rPr>
            <w:rStyle w:val="Hyperlink"/>
          </w:rPr>
          <w:t>B.3</w:t>
        </w:r>
        <w:r>
          <w:rPr>
            <w:rFonts w:asciiTheme="minorHAnsi" w:eastAsiaTheme="minorEastAsia" w:hAnsiTheme="minorHAnsi"/>
            <w:kern w:val="2"/>
            <w14:ligatures w14:val="standardContextual"/>
          </w:rPr>
          <w:tab/>
        </w:r>
        <w:r w:rsidRPr="001461B7">
          <w:rPr>
            <w:rStyle w:val="Hyperlink"/>
          </w:rPr>
          <w:t>Statistical Accuracy of the Collection</w:t>
        </w:r>
        <w:r>
          <w:rPr>
            <w:webHidden/>
          </w:rPr>
          <w:tab/>
        </w:r>
        <w:r>
          <w:rPr>
            <w:webHidden/>
          </w:rPr>
          <w:fldChar w:fldCharType="begin"/>
        </w:r>
        <w:r>
          <w:rPr>
            <w:webHidden/>
          </w:rPr>
          <w:instrText xml:space="preserve"> PAGEREF _Toc232083016 \h </w:instrText>
        </w:r>
        <w:r>
          <w:rPr>
            <w:webHidden/>
          </w:rPr>
          <w:fldChar w:fldCharType="separate"/>
        </w:r>
        <w:r>
          <w:rPr>
            <w:webHidden/>
          </w:rPr>
          <w:t>4</w:t>
        </w:r>
        <w:r>
          <w:rPr>
            <w:webHidden/>
          </w:rPr>
          <w:fldChar w:fldCharType="end"/>
        </w:r>
      </w:hyperlink>
    </w:p>
    <w:p w:rsidR="00884095" w14:paraId="00BC6C46" w14:textId="03454DF6">
      <w:pPr>
        <w:pStyle w:val="TOC3"/>
        <w:rPr>
          <w:rFonts w:asciiTheme="minorHAnsi" w:eastAsiaTheme="minorEastAsia" w:hAnsiTheme="minorHAnsi"/>
          <w:kern w:val="2"/>
          <w14:ligatures w14:val="standardContextual"/>
        </w:rPr>
      </w:pPr>
      <w:hyperlink w:anchor="_Toc232083017" w:history="1">
        <w:r w:rsidRPr="001461B7">
          <w:rPr>
            <w:rStyle w:val="Hyperlink"/>
          </w:rPr>
          <w:t>B.3.1</w:t>
        </w:r>
        <w:r>
          <w:rPr>
            <w:rFonts w:asciiTheme="minorHAnsi" w:eastAsiaTheme="minorEastAsia" w:hAnsiTheme="minorHAnsi"/>
            <w:kern w:val="2"/>
            <w14:ligatures w14:val="standardContextual"/>
          </w:rPr>
          <w:tab/>
        </w:r>
        <w:r w:rsidRPr="001461B7">
          <w:rPr>
            <w:rStyle w:val="Hyperlink"/>
          </w:rPr>
          <w:t>Methods Used to Maximize Response Rates</w:t>
        </w:r>
        <w:r>
          <w:rPr>
            <w:webHidden/>
          </w:rPr>
          <w:tab/>
        </w:r>
        <w:r>
          <w:rPr>
            <w:webHidden/>
          </w:rPr>
          <w:fldChar w:fldCharType="begin"/>
        </w:r>
        <w:r>
          <w:rPr>
            <w:webHidden/>
          </w:rPr>
          <w:instrText xml:space="preserve"> PAGEREF _Toc232083017 \h </w:instrText>
        </w:r>
        <w:r>
          <w:rPr>
            <w:webHidden/>
          </w:rPr>
          <w:fldChar w:fldCharType="separate"/>
        </w:r>
        <w:r>
          <w:rPr>
            <w:webHidden/>
          </w:rPr>
          <w:t>4</w:t>
        </w:r>
        <w:r>
          <w:rPr>
            <w:webHidden/>
          </w:rPr>
          <w:fldChar w:fldCharType="end"/>
        </w:r>
      </w:hyperlink>
    </w:p>
    <w:p w:rsidR="00884095" w14:paraId="57926782" w14:textId="076642E9">
      <w:pPr>
        <w:pStyle w:val="TOC3"/>
        <w:rPr>
          <w:rFonts w:asciiTheme="minorHAnsi" w:eastAsiaTheme="minorEastAsia" w:hAnsiTheme="minorHAnsi"/>
          <w:kern w:val="2"/>
          <w14:ligatures w14:val="standardContextual"/>
        </w:rPr>
      </w:pPr>
      <w:hyperlink w:anchor="_Toc232083018" w:history="1">
        <w:r w:rsidRPr="001461B7">
          <w:rPr>
            <w:rStyle w:val="Hyperlink"/>
          </w:rPr>
          <w:t>B.3.2</w:t>
        </w:r>
        <w:r>
          <w:rPr>
            <w:rFonts w:asciiTheme="minorHAnsi" w:eastAsiaTheme="minorEastAsia" w:hAnsiTheme="minorHAnsi"/>
            <w:kern w:val="2"/>
            <w14:ligatures w14:val="standardContextual"/>
          </w:rPr>
          <w:tab/>
        </w:r>
        <w:r w:rsidRPr="001461B7">
          <w:rPr>
            <w:rStyle w:val="Hyperlink"/>
          </w:rPr>
          <w:t>Imputation Methods for Unit and Item</w:t>
        </w:r>
        <w:r w:rsidRPr="001461B7">
          <w:rPr>
            <w:rStyle w:val="Hyperlink"/>
            <w:spacing w:val="-4"/>
          </w:rPr>
          <w:t xml:space="preserve"> </w:t>
        </w:r>
        <w:r w:rsidRPr="001461B7">
          <w:rPr>
            <w:rStyle w:val="Hyperlink"/>
          </w:rPr>
          <w:t>Nonresponse</w:t>
        </w:r>
        <w:r>
          <w:rPr>
            <w:webHidden/>
          </w:rPr>
          <w:tab/>
        </w:r>
        <w:r>
          <w:rPr>
            <w:webHidden/>
          </w:rPr>
          <w:fldChar w:fldCharType="begin"/>
        </w:r>
        <w:r>
          <w:rPr>
            <w:webHidden/>
          </w:rPr>
          <w:instrText xml:space="preserve"> PAGEREF _Toc232083018 \h </w:instrText>
        </w:r>
        <w:r>
          <w:rPr>
            <w:webHidden/>
          </w:rPr>
          <w:fldChar w:fldCharType="separate"/>
        </w:r>
        <w:r>
          <w:rPr>
            <w:webHidden/>
          </w:rPr>
          <w:t>5</w:t>
        </w:r>
        <w:r>
          <w:rPr>
            <w:webHidden/>
          </w:rPr>
          <w:fldChar w:fldCharType="end"/>
        </w:r>
      </w:hyperlink>
    </w:p>
    <w:p w:rsidR="00884095" w14:paraId="2699DB45" w14:textId="1B5F51B5">
      <w:pPr>
        <w:pStyle w:val="TOC3"/>
        <w:rPr>
          <w:rFonts w:asciiTheme="minorHAnsi" w:eastAsiaTheme="minorEastAsia" w:hAnsiTheme="minorHAnsi"/>
          <w:kern w:val="2"/>
          <w14:ligatures w14:val="standardContextual"/>
        </w:rPr>
      </w:pPr>
      <w:hyperlink w:anchor="_Toc232083019" w:history="1">
        <w:r w:rsidRPr="001461B7">
          <w:rPr>
            <w:rStyle w:val="Hyperlink"/>
          </w:rPr>
          <w:t>B.3.3</w:t>
        </w:r>
        <w:r>
          <w:rPr>
            <w:rFonts w:asciiTheme="minorHAnsi" w:eastAsiaTheme="minorEastAsia" w:hAnsiTheme="minorHAnsi"/>
            <w:kern w:val="2"/>
            <w14:ligatures w14:val="standardContextual"/>
          </w:rPr>
          <w:tab/>
        </w:r>
        <w:r w:rsidRPr="001461B7">
          <w:rPr>
            <w:rStyle w:val="Hyperlink"/>
          </w:rPr>
          <w:t>Accuracy and Reliability of Data</w:t>
        </w:r>
        <w:r>
          <w:rPr>
            <w:webHidden/>
          </w:rPr>
          <w:tab/>
        </w:r>
        <w:r>
          <w:rPr>
            <w:webHidden/>
          </w:rPr>
          <w:fldChar w:fldCharType="begin"/>
        </w:r>
        <w:r>
          <w:rPr>
            <w:webHidden/>
          </w:rPr>
          <w:instrText xml:space="preserve"> PAGEREF _Toc232083019 \h </w:instrText>
        </w:r>
        <w:r>
          <w:rPr>
            <w:webHidden/>
          </w:rPr>
          <w:fldChar w:fldCharType="separate"/>
        </w:r>
        <w:r>
          <w:rPr>
            <w:webHidden/>
          </w:rPr>
          <w:t>7</w:t>
        </w:r>
        <w:r>
          <w:rPr>
            <w:webHidden/>
          </w:rPr>
          <w:fldChar w:fldCharType="end"/>
        </w:r>
      </w:hyperlink>
    </w:p>
    <w:p w:rsidR="00884095" w14:paraId="777D9A5D" w14:textId="31993A08">
      <w:pPr>
        <w:pStyle w:val="TOC2"/>
        <w:rPr>
          <w:rFonts w:asciiTheme="minorHAnsi" w:eastAsiaTheme="minorEastAsia" w:hAnsiTheme="minorHAnsi"/>
          <w:kern w:val="2"/>
          <w14:ligatures w14:val="standardContextual"/>
        </w:rPr>
      </w:pPr>
      <w:hyperlink w:anchor="_Toc232083020" w:history="1">
        <w:r w:rsidRPr="001461B7">
          <w:rPr>
            <w:rStyle w:val="Hyperlink"/>
          </w:rPr>
          <w:t>B.4</w:t>
        </w:r>
        <w:r>
          <w:rPr>
            <w:rFonts w:asciiTheme="minorHAnsi" w:eastAsiaTheme="minorEastAsia" w:hAnsiTheme="minorHAnsi"/>
            <w:kern w:val="2"/>
            <w14:ligatures w14:val="standardContextual"/>
          </w:rPr>
          <w:tab/>
        </w:r>
        <w:r w:rsidRPr="001461B7">
          <w:rPr>
            <w:rStyle w:val="Hyperlink"/>
          </w:rPr>
          <w:t>Testing of</w:t>
        </w:r>
        <w:r w:rsidRPr="001461B7">
          <w:rPr>
            <w:rStyle w:val="Hyperlink"/>
            <w:spacing w:val="1"/>
          </w:rPr>
          <w:t xml:space="preserve"> </w:t>
        </w:r>
        <w:r w:rsidRPr="001461B7">
          <w:rPr>
            <w:rStyle w:val="Hyperlink"/>
          </w:rPr>
          <w:t>Procedures</w:t>
        </w:r>
        <w:r>
          <w:rPr>
            <w:webHidden/>
          </w:rPr>
          <w:tab/>
        </w:r>
        <w:r>
          <w:rPr>
            <w:webHidden/>
          </w:rPr>
          <w:fldChar w:fldCharType="begin"/>
        </w:r>
        <w:r>
          <w:rPr>
            <w:webHidden/>
          </w:rPr>
          <w:instrText xml:space="preserve"> PAGEREF _Toc232083020 \h </w:instrText>
        </w:r>
        <w:r>
          <w:rPr>
            <w:webHidden/>
          </w:rPr>
          <w:fldChar w:fldCharType="separate"/>
        </w:r>
        <w:r>
          <w:rPr>
            <w:webHidden/>
          </w:rPr>
          <w:t>10</w:t>
        </w:r>
        <w:r>
          <w:rPr>
            <w:webHidden/>
          </w:rPr>
          <w:fldChar w:fldCharType="end"/>
        </w:r>
      </w:hyperlink>
    </w:p>
    <w:p w:rsidR="00884095" w14:paraId="2897D9BF" w14:textId="5B859E8F">
      <w:pPr>
        <w:pStyle w:val="TOC2"/>
        <w:rPr>
          <w:rFonts w:asciiTheme="minorHAnsi" w:eastAsiaTheme="minorEastAsia" w:hAnsiTheme="minorHAnsi"/>
          <w:kern w:val="2"/>
          <w14:ligatures w14:val="standardContextual"/>
        </w:rPr>
      </w:pPr>
      <w:hyperlink w:anchor="_Toc232083021" w:history="1">
        <w:r w:rsidRPr="001461B7">
          <w:rPr>
            <w:rStyle w:val="Hyperlink"/>
          </w:rPr>
          <w:t>B.5</w:t>
        </w:r>
        <w:r>
          <w:rPr>
            <w:rFonts w:asciiTheme="minorHAnsi" w:eastAsiaTheme="minorEastAsia" w:hAnsiTheme="minorHAnsi"/>
            <w:kern w:val="2"/>
            <w14:ligatures w14:val="standardContextual"/>
          </w:rPr>
          <w:tab/>
        </w:r>
        <w:r w:rsidRPr="001461B7">
          <w:rPr>
            <w:rStyle w:val="Hyperlink"/>
          </w:rPr>
          <w:t>Individuals</w:t>
        </w:r>
        <w:r w:rsidRPr="001461B7">
          <w:rPr>
            <w:rStyle w:val="Hyperlink"/>
            <w:spacing w:val="-3"/>
          </w:rPr>
          <w:t xml:space="preserve"> </w:t>
        </w:r>
        <w:r w:rsidRPr="001461B7">
          <w:rPr>
            <w:rStyle w:val="Hyperlink"/>
          </w:rPr>
          <w:t>Consulted</w:t>
        </w:r>
        <w:r>
          <w:rPr>
            <w:webHidden/>
          </w:rPr>
          <w:tab/>
        </w:r>
        <w:r>
          <w:rPr>
            <w:webHidden/>
          </w:rPr>
          <w:fldChar w:fldCharType="begin"/>
        </w:r>
        <w:r>
          <w:rPr>
            <w:webHidden/>
          </w:rPr>
          <w:instrText xml:space="preserve"> PAGEREF _Toc232083021 \h </w:instrText>
        </w:r>
        <w:r>
          <w:rPr>
            <w:webHidden/>
          </w:rPr>
          <w:fldChar w:fldCharType="separate"/>
        </w:r>
        <w:r>
          <w:rPr>
            <w:webHidden/>
          </w:rPr>
          <w:t>11</w:t>
        </w:r>
        <w:r>
          <w:rPr>
            <w:webHidden/>
          </w:rPr>
          <w:fldChar w:fldCharType="end"/>
        </w:r>
      </w:hyperlink>
    </w:p>
    <w:p w:rsidR="001F0F0E" w:rsidP="001F0F0E" w14:paraId="7EC31352" w14:textId="648946E2">
      <w:pPr>
        <w:rPr>
          <w:noProof/>
        </w:rPr>
      </w:pPr>
      <w:r>
        <w:rPr>
          <w:rFonts w:eastAsia="Times New Roman"/>
          <w:b/>
          <w:szCs w:val="24"/>
        </w:rPr>
        <w:fldChar w:fldCharType="end"/>
      </w:r>
    </w:p>
    <w:p w:rsidR="00453D8C" w:rsidP="00921378" w14:paraId="5E28CDCD" w14:textId="6384418B">
      <w:pPr>
        <w:pStyle w:val="TOC0"/>
        <w:spacing w:before="0"/>
      </w:pPr>
      <w:r w:rsidRPr="00E15374">
        <w:t>EXHIBIT</w:t>
      </w:r>
      <w:bookmarkEnd w:id="0"/>
      <w:r w:rsidRPr="00E15374" w:rsidR="00294E0A">
        <w:t>S</w:t>
      </w:r>
      <w:r w:rsidRPr="00E15374">
        <w:t xml:space="preserve"> </w:t>
      </w:r>
    </w:p>
    <w:p w:rsidR="00884095" w14:paraId="006534D5" w14:textId="21E70059">
      <w:pPr>
        <w:pStyle w:val="TableofFigures"/>
        <w:rPr>
          <w:rFonts w:asciiTheme="minorHAnsi" w:eastAsiaTheme="minorEastAsia" w:hAnsiTheme="minorHAnsi"/>
          <w:kern w:val="2"/>
          <w:szCs w:val="24"/>
          <w14:ligatures w14:val="standardContextual"/>
        </w:rPr>
      </w:pPr>
      <w:r>
        <w:fldChar w:fldCharType="begin"/>
      </w:r>
      <w:r>
        <w:instrText xml:space="preserve"> TOC \h \z \t "Exhibit Title" \c </w:instrText>
      </w:r>
      <w:r>
        <w:fldChar w:fldCharType="separate"/>
      </w:r>
      <w:hyperlink w:anchor="_Toc232083022" w:history="1">
        <w:r w:rsidRPr="00B33CD3">
          <w:rPr>
            <w:rStyle w:val="Hyperlink"/>
          </w:rPr>
          <w:t>Exhibit 10.</w:t>
        </w:r>
        <w:r>
          <w:rPr>
            <w:rFonts w:asciiTheme="minorHAnsi" w:eastAsiaTheme="minorEastAsia" w:hAnsiTheme="minorHAnsi"/>
            <w:kern w:val="2"/>
            <w:szCs w:val="24"/>
            <w14:ligatures w14:val="standardContextual"/>
          </w:rPr>
          <w:tab/>
        </w:r>
        <w:r w:rsidRPr="00B33CD3">
          <w:rPr>
            <w:rStyle w:val="Hyperlink"/>
          </w:rPr>
          <w:t>Number of GSS Institutions, Schools, Units, and Enrollment, 2022-2024</w:t>
        </w:r>
        <w:r>
          <w:rPr>
            <w:webHidden/>
          </w:rPr>
          <w:tab/>
        </w:r>
        <w:r>
          <w:rPr>
            <w:webHidden/>
          </w:rPr>
          <w:fldChar w:fldCharType="begin"/>
        </w:r>
        <w:r>
          <w:rPr>
            <w:webHidden/>
          </w:rPr>
          <w:instrText xml:space="preserve"> PAGEREF _Toc232083022 \h </w:instrText>
        </w:r>
        <w:r>
          <w:rPr>
            <w:webHidden/>
          </w:rPr>
          <w:fldChar w:fldCharType="separate"/>
        </w:r>
        <w:r>
          <w:rPr>
            <w:webHidden/>
          </w:rPr>
          <w:t>2</w:t>
        </w:r>
        <w:r>
          <w:rPr>
            <w:webHidden/>
          </w:rPr>
          <w:fldChar w:fldCharType="end"/>
        </w:r>
      </w:hyperlink>
    </w:p>
    <w:p w:rsidR="00884095" w14:paraId="45A874FE" w14:textId="7E49EE58">
      <w:pPr>
        <w:pStyle w:val="TableofFigures"/>
        <w:rPr>
          <w:rFonts w:asciiTheme="minorHAnsi" w:eastAsiaTheme="minorEastAsia" w:hAnsiTheme="minorHAnsi"/>
          <w:kern w:val="2"/>
          <w:szCs w:val="24"/>
          <w14:ligatures w14:val="standardContextual"/>
        </w:rPr>
      </w:pPr>
      <w:hyperlink w:anchor="_Toc232083023" w:history="1">
        <w:r w:rsidRPr="00B33CD3">
          <w:rPr>
            <w:rStyle w:val="Hyperlink"/>
          </w:rPr>
          <w:t>Exhibit 11.</w:t>
        </w:r>
        <w:r>
          <w:rPr>
            <w:rFonts w:asciiTheme="minorHAnsi" w:eastAsiaTheme="minorEastAsia" w:hAnsiTheme="minorHAnsi"/>
            <w:kern w:val="2"/>
            <w:szCs w:val="24"/>
            <w14:ligatures w14:val="standardContextual"/>
          </w:rPr>
          <w:tab/>
        </w:r>
        <w:r w:rsidRPr="00B33CD3">
          <w:rPr>
            <w:rStyle w:val="Hyperlink"/>
          </w:rPr>
          <w:t>GSS Institution, School, and Unit Response Rates: 2022-2024</w:t>
        </w:r>
        <w:r>
          <w:rPr>
            <w:webHidden/>
          </w:rPr>
          <w:tab/>
        </w:r>
        <w:r>
          <w:rPr>
            <w:webHidden/>
          </w:rPr>
          <w:fldChar w:fldCharType="begin"/>
        </w:r>
        <w:r>
          <w:rPr>
            <w:webHidden/>
          </w:rPr>
          <w:instrText xml:space="preserve"> PAGEREF _Toc232083023 \h </w:instrText>
        </w:r>
        <w:r>
          <w:rPr>
            <w:webHidden/>
          </w:rPr>
          <w:fldChar w:fldCharType="separate"/>
        </w:r>
        <w:r>
          <w:rPr>
            <w:webHidden/>
          </w:rPr>
          <w:t>3</w:t>
        </w:r>
        <w:r>
          <w:rPr>
            <w:webHidden/>
          </w:rPr>
          <w:fldChar w:fldCharType="end"/>
        </w:r>
      </w:hyperlink>
    </w:p>
    <w:p w:rsidR="00884095" w14:paraId="6A9D1528" w14:textId="267B6C18">
      <w:pPr>
        <w:pStyle w:val="TableofFigures"/>
        <w:rPr>
          <w:rFonts w:asciiTheme="minorHAnsi" w:eastAsiaTheme="minorEastAsia" w:hAnsiTheme="minorHAnsi"/>
          <w:kern w:val="2"/>
          <w:szCs w:val="24"/>
          <w14:ligatures w14:val="standardContextual"/>
        </w:rPr>
      </w:pPr>
      <w:hyperlink w:anchor="_Toc232083024" w:history="1">
        <w:r w:rsidRPr="00B33CD3">
          <w:rPr>
            <w:rStyle w:val="Hyperlink"/>
          </w:rPr>
          <w:t>Exhibit 12.</w:t>
        </w:r>
        <w:r>
          <w:rPr>
            <w:rFonts w:asciiTheme="minorHAnsi" w:eastAsiaTheme="minorEastAsia" w:hAnsiTheme="minorHAnsi"/>
            <w:kern w:val="2"/>
            <w:szCs w:val="24"/>
            <w14:ligatures w14:val="standardContextual"/>
          </w:rPr>
          <w:tab/>
        </w:r>
        <w:r w:rsidRPr="00B33CD3">
          <w:rPr>
            <w:rStyle w:val="Hyperlink"/>
          </w:rPr>
          <w:t>Unit Response Rates: 2020-24 (Percent)</w:t>
        </w:r>
        <w:r>
          <w:rPr>
            <w:webHidden/>
          </w:rPr>
          <w:tab/>
        </w:r>
        <w:r>
          <w:rPr>
            <w:webHidden/>
          </w:rPr>
          <w:fldChar w:fldCharType="begin"/>
        </w:r>
        <w:r>
          <w:rPr>
            <w:webHidden/>
          </w:rPr>
          <w:instrText xml:space="preserve"> PAGEREF _Toc232083024 \h </w:instrText>
        </w:r>
        <w:r>
          <w:rPr>
            <w:webHidden/>
          </w:rPr>
          <w:fldChar w:fldCharType="separate"/>
        </w:r>
        <w:r>
          <w:rPr>
            <w:webHidden/>
          </w:rPr>
          <w:t>6</w:t>
        </w:r>
        <w:r>
          <w:rPr>
            <w:webHidden/>
          </w:rPr>
          <w:fldChar w:fldCharType="end"/>
        </w:r>
      </w:hyperlink>
    </w:p>
    <w:p w:rsidR="00884095" w14:paraId="27418270" w14:textId="47D15678">
      <w:pPr>
        <w:pStyle w:val="TableofFigures"/>
        <w:rPr>
          <w:rFonts w:asciiTheme="minorHAnsi" w:eastAsiaTheme="minorEastAsia" w:hAnsiTheme="minorHAnsi"/>
          <w:kern w:val="2"/>
          <w:szCs w:val="24"/>
          <w14:ligatures w14:val="standardContextual"/>
        </w:rPr>
      </w:pPr>
      <w:hyperlink w:anchor="_Toc232083025" w:history="1">
        <w:r w:rsidRPr="00B33CD3">
          <w:rPr>
            <w:rStyle w:val="Hyperlink"/>
          </w:rPr>
          <w:t>Exhibit 13.</w:t>
        </w:r>
        <w:r>
          <w:rPr>
            <w:rFonts w:asciiTheme="minorHAnsi" w:eastAsiaTheme="minorEastAsia" w:hAnsiTheme="minorHAnsi"/>
            <w:kern w:val="2"/>
            <w:szCs w:val="24"/>
            <w14:ligatures w14:val="standardContextual"/>
          </w:rPr>
          <w:tab/>
        </w:r>
        <w:r w:rsidRPr="00B33CD3">
          <w:rPr>
            <w:rStyle w:val="Hyperlink"/>
          </w:rPr>
          <w:t>Item Imputation Rates for Part-Time or Full-Time Graduate Students, Postdoctorates, and Nonfaculty Researcher Items: 2024 (Number and Percent)</w:t>
        </w:r>
        <w:r>
          <w:rPr>
            <w:webHidden/>
          </w:rPr>
          <w:tab/>
        </w:r>
        <w:r>
          <w:rPr>
            <w:webHidden/>
          </w:rPr>
          <w:fldChar w:fldCharType="begin"/>
        </w:r>
        <w:r>
          <w:rPr>
            <w:webHidden/>
          </w:rPr>
          <w:instrText xml:space="preserve"> PAGEREF _Toc232083025 \h </w:instrText>
        </w:r>
        <w:r>
          <w:rPr>
            <w:webHidden/>
          </w:rPr>
          <w:fldChar w:fldCharType="separate"/>
        </w:r>
        <w:r>
          <w:rPr>
            <w:webHidden/>
          </w:rPr>
          <w:t>7</w:t>
        </w:r>
        <w:r>
          <w:rPr>
            <w:webHidden/>
          </w:rPr>
          <w:fldChar w:fldCharType="end"/>
        </w:r>
      </w:hyperlink>
    </w:p>
    <w:p w:rsidR="00E47629" w:rsidP="00921378" w14:paraId="6229D715" w14:textId="18E3AFA8">
      <w:pPr>
        <w:pStyle w:val="TableofFigures"/>
      </w:pPr>
      <w:r>
        <w:fldChar w:fldCharType="end"/>
      </w:r>
    </w:p>
    <w:p w:rsidR="005F7C62" w:rsidP="00921378" w14:paraId="7A2D263A" w14:textId="7252BB3B">
      <w:pPr>
        <w:pStyle w:val="TOC0"/>
        <w:spacing w:before="0"/>
        <w:contextualSpacing/>
      </w:pPr>
      <w:bookmarkStart w:id="1" w:name="_Toc488073258"/>
      <w:bookmarkStart w:id="2" w:name="_Toc490122265"/>
      <w:r w:rsidRPr="00CA1752">
        <w:t>LIST OF</w:t>
      </w:r>
      <w:r w:rsidRPr="00CA1752">
        <w:rPr>
          <w:spacing w:val="-3"/>
        </w:rPr>
        <w:t xml:space="preserve"> </w:t>
      </w:r>
      <w:r w:rsidRPr="00CA1752">
        <w:t>ATTACHMENTS</w:t>
      </w:r>
      <w:bookmarkEnd w:id="1"/>
      <w:bookmarkEnd w:id="2"/>
      <w:r w:rsidR="00B803F1">
        <w:t xml:space="preserve"> </w:t>
      </w:r>
    </w:p>
    <w:p w:rsidR="00166F38" w:rsidRPr="00921378" w:rsidP="00921378" w14:paraId="31208AF6" w14:textId="77777777">
      <w:pPr>
        <w:pStyle w:val="TableofFigures"/>
      </w:pPr>
      <w:r w:rsidRPr="00921378">
        <w:t>Attachment 1.</w:t>
      </w:r>
      <w:r w:rsidRPr="00921378">
        <w:tab/>
        <w:t>America COMPETES Reauthorization Act of 2010</w:t>
      </w:r>
    </w:p>
    <w:p w:rsidR="00166F38" w:rsidP="00921378" w14:paraId="487FDE00" w14:textId="77777777">
      <w:pPr>
        <w:pStyle w:val="TableofFigures"/>
        <w:rPr>
          <w:b/>
        </w:rPr>
      </w:pPr>
      <w:r>
        <w:t>Attachment 2.</w:t>
      </w:r>
      <w:r>
        <w:tab/>
        <w:t>NSF Act of 1950</w:t>
      </w:r>
    </w:p>
    <w:p w:rsidR="00166F38" w:rsidRPr="003E1136" w:rsidP="00921378" w14:paraId="6C748FA6" w14:textId="2839C851">
      <w:pPr>
        <w:pStyle w:val="TableofFigures"/>
        <w:rPr>
          <w:b/>
        </w:rPr>
      </w:pPr>
      <w:r w:rsidRPr="003E1136">
        <w:t xml:space="preserve">Attachment </w:t>
      </w:r>
      <w:r>
        <w:t>3</w:t>
      </w:r>
      <w:r w:rsidRPr="003E1136">
        <w:t>.</w:t>
      </w:r>
      <w:r>
        <w:tab/>
      </w:r>
      <w:r w:rsidRPr="003E1136">
        <w:t>GSS Instrument Screen</w:t>
      </w:r>
      <w:r w:rsidR="00C37BD1">
        <w:t>s</w:t>
      </w:r>
      <w:r w:rsidRPr="003E1136">
        <w:t>hots</w:t>
      </w:r>
    </w:p>
    <w:p w:rsidR="00166F38" w:rsidRPr="008B7573" w:rsidP="00921378" w14:paraId="4EB7B17D" w14:textId="4BC69767">
      <w:pPr>
        <w:pStyle w:val="TableofFigures"/>
      </w:pPr>
      <w:r w:rsidRPr="008B7573">
        <w:t>Attachment 4.</w:t>
      </w:r>
      <w:r w:rsidRPr="008B7573">
        <w:tab/>
        <w:t>Federally Funded Research and Development Centers (FFRDCs) Postdoc Survey Instrument Screen</w:t>
      </w:r>
      <w:r w:rsidR="00C37BD1">
        <w:t>s</w:t>
      </w:r>
      <w:r w:rsidRPr="008B7573">
        <w:t>hots</w:t>
      </w:r>
    </w:p>
    <w:p w:rsidR="00166F38" w:rsidRPr="003E1136" w:rsidP="00921378" w14:paraId="7820EEAF" w14:textId="6DA8FD7D">
      <w:pPr>
        <w:pStyle w:val="TableofFigures"/>
        <w:rPr>
          <w:b/>
        </w:rPr>
      </w:pPr>
      <w:r>
        <w:t>Attachment 5.</w:t>
      </w:r>
      <w:r>
        <w:tab/>
        <w:t xml:space="preserve">GSS InfoBrief, </w:t>
      </w:r>
      <w:r w:rsidR="00CD4A5A">
        <w:t xml:space="preserve">February </w:t>
      </w:r>
      <w:r>
        <w:t>202</w:t>
      </w:r>
      <w:r w:rsidR="00CD4A5A">
        <w:t>6</w:t>
      </w:r>
    </w:p>
    <w:p w:rsidR="00166F38" w:rsidRPr="00EE4D02" w:rsidP="00921378" w14:paraId="2271AD75" w14:textId="77777777">
      <w:pPr>
        <w:pStyle w:val="TableofFigures"/>
      </w:pPr>
      <w:r w:rsidRPr="00EE4D02">
        <w:t>Attachment 6.</w:t>
      </w:r>
      <w:r w:rsidRPr="00EE4D02">
        <w:tab/>
      </w:r>
      <w:r w:rsidRPr="00EE4D02" w:rsidR="00032F78">
        <w:t>Research and Media Usage</w:t>
      </w:r>
    </w:p>
    <w:p w:rsidR="00104E59" w:rsidP="00921378" w14:paraId="5BC5F6E9" w14:textId="0AB6C334">
      <w:pPr>
        <w:pStyle w:val="TableofFigures"/>
        <w:ind w:right="144"/>
      </w:pPr>
      <w:r>
        <w:t>Attachment 6a.</w:t>
      </w:r>
      <w:r w:rsidR="00921378">
        <w:tab/>
      </w:r>
      <w:r>
        <w:t>Comparison of Graduate Enrollment Data from the NSF-NIH Survey of Graduate Students and Postdoctorates in Science and Engineering (GSS) and the National Student Clearinghouse (NSC) data</w:t>
      </w:r>
    </w:p>
    <w:p w:rsidR="00104E59" w:rsidP="00921378" w14:paraId="719D6BED" w14:textId="29A71AAA">
      <w:pPr>
        <w:pStyle w:val="TableofFigures"/>
      </w:pPr>
      <w:r>
        <w:t>Attachment 6b.</w:t>
      </w:r>
      <w:r w:rsidR="00921378">
        <w:tab/>
      </w:r>
      <w:r>
        <w:t>National Student Clearinghouse Comparison Data Tables and Appendices</w:t>
      </w:r>
    </w:p>
    <w:p w:rsidR="00166F38" w:rsidP="00921378" w14:paraId="7E181AF8" w14:textId="16C07D8E">
      <w:pPr>
        <w:pStyle w:val="TableofFigures"/>
        <w:rPr>
          <w:b/>
        </w:rPr>
      </w:pPr>
      <w:r w:rsidRPr="003E1136">
        <w:t xml:space="preserve">Attachment </w:t>
      </w:r>
      <w:r w:rsidR="0062463E">
        <w:t>7</w:t>
      </w:r>
      <w:r w:rsidRPr="003E1136">
        <w:t>.</w:t>
      </w:r>
      <w:r w:rsidRPr="003E1136">
        <w:tab/>
      </w:r>
      <w:r w:rsidR="00032F78">
        <w:t xml:space="preserve">First </w:t>
      </w:r>
      <w:r w:rsidRPr="00D74A58" w:rsidR="00032F78">
        <w:rPr>
          <w:i/>
          <w:iCs/>
        </w:rPr>
        <w:t>Federal Register</w:t>
      </w:r>
      <w:r w:rsidR="00032F78">
        <w:t xml:space="preserve"> Notice</w:t>
      </w:r>
    </w:p>
    <w:p w:rsidR="00166F38" w:rsidRPr="0062463E" w:rsidP="00921378" w14:paraId="7DCFA882" w14:textId="77777777">
      <w:pPr>
        <w:pStyle w:val="TableofFigures"/>
        <w:rPr>
          <w:b/>
        </w:rPr>
      </w:pPr>
      <w:r>
        <w:t xml:space="preserve">Attachment </w:t>
      </w:r>
      <w:r w:rsidR="0062463E">
        <w:t>8</w:t>
      </w:r>
      <w:r>
        <w:t>.</w:t>
      </w:r>
      <w:r>
        <w:tab/>
      </w:r>
      <w:r w:rsidR="00032F78">
        <w:t>GSS Schedule</w:t>
      </w:r>
    </w:p>
    <w:p w:rsidR="00166F38" w:rsidRPr="003E1136" w:rsidP="00921378" w14:paraId="22806C5A" w14:textId="77777777">
      <w:pPr>
        <w:pStyle w:val="TableofFigures"/>
        <w:rPr>
          <w:b/>
          <w:spacing w:val="67"/>
        </w:rPr>
      </w:pPr>
      <w:r w:rsidRPr="003E1136">
        <w:t xml:space="preserve">Attachment </w:t>
      </w:r>
      <w:r w:rsidR="0062463E">
        <w:t>9</w:t>
      </w:r>
      <w:r w:rsidRPr="003E1136">
        <w:t>.</w:t>
      </w:r>
      <w:r>
        <w:tab/>
      </w:r>
      <w:r w:rsidR="00032F78">
        <w:t>List of Changes During Last Clearance</w:t>
      </w:r>
    </w:p>
    <w:p w:rsidR="00166F38" w:rsidRPr="003E1136" w:rsidP="00921378" w14:paraId="33C98C8B" w14:textId="4A43F406">
      <w:pPr>
        <w:pStyle w:val="TableofFigures"/>
        <w:rPr>
          <w:b/>
          <w:spacing w:val="43"/>
        </w:rPr>
      </w:pPr>
      <w:r w:rsidRPr="003E1136">
        <w:t xml:space="preserve">Attachment </w:t>
      </w:r>
      <w:r w:rsidR="0062463E">
        <w:t>10</w:t>
      </w:r>
      <w:r w:rsidRPr="003E1136">
        <w:t>.</w:t>
      </w:r>
      <w:r>
        <w:tab/>
      </w:r>
      <w:bookmarkStart w:id="3" w:name="_Hlk141337559"/>
      <w:r w:rsidR="00032F78">
        <w:t>GSS Code List</w:t>
      </w:r>
      <w:r w:rsidR="008B7573">
        <w:t>—</w:t>
      </w:r>
      <w:r w:rsidR="00032F78">
        <w:t>Complete List of GSS</w:t>
      </w:r>
      <w:r w:rsidR="008B7573">
        <w:t>-</w:t>
      </w:r>
      <w:r w:rsidR="00032F78">
        <w:t>Eligible Fields and Codes</w:t>
      </w:r>
      <w:r w:rsidRPr="003E1136">
        <w:rPr>
          <w:spacing w:val="43"/>
        </w:rPr>
        <w:t xml:space="preserve"> </w:t>
      </w:r>
      <w:bookmarkEnd w:id="3"/>
    </w:p>
    <w:p w:rsidR="00166F38" w:rsidP="00921378" w14:paraId="56216DC9" w14:textId="77777777">
      <w:pPr>
        <w:pStyle w:val="TableofFigures"/>
        <w:rPr>
          <w:b/>
        </w:rPr>
      </w:pPr>
      <w:r w:rsidRPr="003E1136">
        <w:t xml:space="preserve">Attachment </w:t>
      </w:r>
      <w:r w:rsidR="0062463E">
        <w:t>11</w:t>
      </w:r>
      <w:r w:rsidRPr="003E1136">
        <w:t>.</w:t>
      </w:r>
      <w:r>
        <w:tab/>
      </w:r>
      <w:r w:rsidRPr="003E1136" w:rsidR="00032F78">
        <w:t>GSS Data Collection Plan</w:t>
      </w:r>
    </w:p>
    <w:p w:rsidR="00166F38" w:rsidRPr="003E1136" w:rsidP="00921378" w14:paraId="5B7DA830" w14:textId="77777777">
      <w:pPr>
        <w:pStyle w:val="TableofFigures"/>
        <w:rPr>
          <w:b/>
        </w:rPr>
      </w:pPr>
      <w:r w:rsidRPr="003E1136">
        <w:t xml:space="preserve">Attachment </w:t>
      </w:r>
      <w:r w:rsidR="0062463E">
        <w:t>12</w:t>
      </w:r>
      <w:r w:rsidRPr="003E1136">
        <w:t>.</w:t>
      </w:r>
      <w:r>
        <w:tab/>
      </w:r>
      <w:r w:rsidRPr="003E1136">
        <w:t xml:space="preserve">GSS </w:t>
      </w:r>
      <w:r w:rsidRPr="003E1136" w:rsidR="005536C6">
        <w:t>Data File Upload Templates</w:t>
      </w:r>
    </w:p>
    <w:p w:rsidR="00166F38" w:rsidP="00921378" w14:paraId="7EAA100D" w14:textId="77777777">
      <w:pPr>
        <w:pStyle w:val="TableofFigures"/>
        <w:rPr>
          <w:b/>
        </w:rPr>
      </w:pPr>
      <w:r w:rsidRPr="003E1136">
        <w:t xml:space="preserve">Attachment </w:t>
      </w:r>
      <w:r w:rsidR="0062463E">
        <w:t>13</w:t>
      </w:r>
      <w:r w:rsidRPr="003E1136">
        <w:t>.</w:t>
      </w:r>
      <w:r>
        <w:tab/>
      </w:r>
      <w:r w:rsidRPr="003E1136" w:rsidR="005536C6">
        <w:t>GSS Worksheet</w:t>
      </w:r>
    </w:p>
    <w:p w:rsidR="005536C6" w:rsidP="00921378" w14:paraId="5D36C206" w14:textId="26AC999B">
      <w:pPr>
        <w:pStyle w:val="TableofFigures"/>
        <w:rPr>
          <w:b/>
        </w:rPr>
      </w:pPr>
      <w:r>
        <w:t>Attachment 14.</w:t>
      </w:r>
      <w:r w:rsidR="008B7573">
        <w:tab/>
      </w:r>
      <w:r>
        <w:t>Imputation Section from GSS Methodology Report</w:t>
      </w:r>
    </w:p>
    <w:p w:rsidR="00166F38" w:rsidRPr="007B18AC" w:rsidP="00921378" w14:paraId="18BE5166" w14:textId="4196882E">
      <w:pPr>
        <w:pStyle w:val="TableofFigures"/>
        <w:rPr>
          <w:b/>
          <w:bCs/>
        </w:rPr>
      </w:pPr>
      <w:r>
        <w:t>Attachment 1</w:t>
      </w:r>
      <w:r w:rsidR="005536C6">
        <w:t>5</w:t>
      </w:r>
      <w:r>
        <w:t>.</w:t>
      </w:r>
      <w:r w:rsidR="008B7573">
        <w:tab/>
      </w:r>
      <w:r>
        <w:t>Nonfaculty Researcher Methodological Study Report</w:t>
      </w:r>
      <w:r w:rsidRPr="003E1136">
        <w:t xml:space="preserve"> </w:t>
      </w:r>
    </w:p>
    <w:p w:rsidR="005536C6" w:rsidRPr="00264605" w:rsidP="00921378" w14:paraId="2A15D528" w14:textId="05223356"/>
    <w:p w:rsidR="00264605" w:rsidRPr="00CA1752" w:rsidP="00444A0A" w14:paraId="7C91D9AF" w14:textId="2BF56B23">
      <w:pPr>
        <w:pStyle w:val="BodyText"/>
        <w:sectPr w:rsidSect="00682185">
          <w:headerReference w:type="even" r:id="rId6"/>
          <w:headerReference w:type="default" r:id="rId7"/>
          <w:footerReference w:type="even" r:id="rId8"/>
          <w:footerReference w:type="default" r:id="rId9"/>
          <w:headerReference w:type="first" r:id="rId10"/>
          <w:footerReference w:type="first" r:id="rId11"/>
          <w:type w:val="oddPage"/>
          <w:pgSz w:w="12240" w:h="15840" w:code="1"/>
          <w:pgMar w:top="1170" w:right="1260" w:bottom="1260" w:left="900" w:header="720" w:footer="720" w:gutter="0"/>
          <w:pgNumType w:fmt="lowerRoman" w:start="1"/>
          <w:cols w:space="720"/>
        </w:sectPr>
      </w:pPr>
    </w:p>
    <w:p w:rsidR="00CF2CBC" w:rsidP="00444A0A" w14:paraId="025904F7" w14:textId="77777777">
      <w:pPr>
        <w:pStyle w:val="Heading1"/>
      </w:pPr>
      <w:bookmarkStart w:id="4" w:name="_Toc488074616"/>
      <w:bookmarkStart w:id="5" w:name="_Toc490123777"/>
      <w:bookmarkStart w:id="6" w:name="_Toc232083010"/>
      <w:r w:rsidRPr="00F3270F">
        <w:t>B.</w:t>
      </w:r>
      <w:r w:rsidRPr="00F3270F">
        <w:tab/>
        <w:t>COLLECTION OF</w:t>
      </w:r>
      <w:r w:rsidRPr="00F3270F">
        <w:rPr>
          <w:spacing w:val="-3"/>
        </w:rPr>
        <w:t xml:space="preserve"> </w:t>
      </w:r>
      <w:r w:rsidRPr="00F3270F">
        <w:t>INFORMATION EMPLOYING</w:t>
      </w:r>
      <w:r w:rsidRPr="00F3270F">
        <w:rPr>
          <w:spacing w:val="-2"/>
        </w:rPr>
        <w:t xml:space="preserve"> </w:t>
      </w:r>
      <w:r w:rsidRPr="00F3270F">
        <w:t>STATISTICAL METHODS</w:t>
      </w:r>
      <w:bookmarkEnd w:id="4"/>
      <w:bookmarkEnd w:id="5"/>
      <w:bookmarkEnd w:id="6"/>
    </w:p>
    <w:p w:rsidR="00B35967" w:rsidRPr="0054259D" w:rsidP="0054259D" w14:paraId="2C202AE8" w14:textId="2743E1BB">
      <w:pPr>
        <w:widowControl w:val="0"/>
        <w:spacing w:after="120" w:line="360" w:lineRule="auto"/>
        <w:ind w:firstLine="720"/>
        <w:rPr>
          <w:bCs/>
        </w:rPr>
      </w:pPr>
      <w:r>
        <w:rPr>
          <w:bCs/>
        </w:rPr>
        <w:t>The</w:t>
      </w:r>
      <w:r w:rsidR="00381A0F">
        <w:rPr>
          <w:bCs/>
        </w:rPr>
        <w:t>re are no</w:t>
      </w:r>
      <w:r>
        <w:rPr>
          <w:bCs/>
        </w:rPr>
        <w:t xml:space="preserve"> proposed </w:t>
      </w:r>
      <w:r w:rsidR="007E352A">
        <w:rPr>
          <w:bCs/>
        </w:rPr>
        <w:t xml:space="preserve">statistical, methodological, or operational </w:t>
      </w:r>
      <w:r w:rsidR="00381A0F">
        <w:rPr>
          <w:bCs/>
        </w:rPr>
        <w:t>changes</w:t>
      </w:r>
      <w:r w:rsidR="00816372">
        <w:rPr>
          <w:bCs/>
        </w:rPr>
        <w:t xml:space="preserve"> </w:t>
      </w:r>
      <w:r w:rsidR="00AE6B9A">
        <w:rPr>
          <w:bCs/>
        </w:rPr>
        <w:t xml:space="preserve">to </w:t>
      </w:r>
      <w:r w:rsidRPr="00CA1752" w:rsidR="008B7573">
        <w:t>the Survey of Graduate Students and Postdoctorates in Science and Engineering (GSS</w:t>
      </w:r>
      <w:r w:rsidR="008B7573">
        <w:t>)</w:t>
      </w:r>
      <w:r w:rsidR="008B7573">
        <w:rPr>
          <w:bCs/>
        </w:rPr>
        <w:t xml:space="preserve"> </w:t>
      </w:r>
      <w:r>
        <w:rPr>
          <w:bCs/>
        </w:rPr>
        <w:t>202</w:t>
      </w:r>
      <w:r w:rsidR="005323C7">
        <w:rPr>
          <w:bCs/>
        </w:rPr>
        <w:t>6</w:t>
      </w:r>
      <w:r>
        <w:rPr>
          <w:bCs/>
        </w:rPr>
        <w:t>-202</w:t>
      </w:r>
      <w:r w:rsidR="005323C7">
        <w:rPr>
          <w:bCs/>
        </w:rPr>
        <w:t>8</w:t>
      </w:r>
      <w:r w:rsidR="00007658">
        <w:rPr>
          <w:bCs/>
        </w:rPr>
        <w:t xml:space="preserve"> or </w:t>
      </w:r>
      <w:r w:rsidR="008B7573">
        <w:rPr>
          <w:bCs/>
        </w:rPr>
        <w:t xml:space="preserve">the </w:t>
      </w:r>
      <w:r w:rsidR="005E1070">
        <w:rPr>
          <w:bCs/>
        </w:rPr>
        <w:t xml:space="preserve">2027 </w:t>
      </w:r>
      <w:r w:rsidR="008B7573">
        <w:t xml:space="preserve">Survey on Postdocs at </w:t>
      </w:r>
      <w:r w:rsidRPr="00CA1752" w:rsidR="008B7573">
        <w:t>Federally Funded Research and Development Center</w:t>
      </w:r>
      <w:r w:rsidR="008B7573">
        <w:t>s (</w:t>
      </w:r>
      <w:r w:rsidR="00007658">
        <w:rPr>
          <w:bCs/>
        </w:rPr>
        <w:t xml:space="preserve">FFRDC </w:t>
      </w:r>
      <w:r w:rsidR="008B7573">
        <w:rPr>
          <w:bCs/>
        </w:rPr>
        <w:t>Postdoc Survey)</w:t>
      </w:r>
      <w:r w:rsidR="00D671EE">
        <w:rPr>
          <w:bCs/>
        </w:rPr>
        <w:t xml:space="preserve">. </w:t>
      </w:r>
      <w:r>
        <w:rPr>
          <w:bCs/>
        </w:rPr>
        <w:t xml:space="preserve">The procedures and methodology described in </w:t>
      </w:r>
      <w:r w:rsidR="007D0F9A">
        <w:rPr>
          <w:bCs/>
        </w:rPr>
        <w:t>other</w:t>
      </w:r>
      <w:r>
        <w:rPr>
          <w:bCs/>
        </w:rPr>
        <w:t xml:space="preserve"> section</w:t>
      </w:r>
      <w:r w:rsidR="007D0F9A">
        <w:rPr>
          <w:bCs/>
        </w:rPr>
        <w:t>s</w:t>
      </w:r>
      <w:r>
        <w:rPr>
          <w:bCs/>
        </w:rPr>
        <w:t xml:space="preserve"> are in current use on </w:t>
      </w:r>
      <w:r w:rsidR="0023468E">
        <w:rPr>
          <w:bCs/>
        </w:rPr>
        <w:t xml:space="preserve">the </w:t>
      </w:r>
      <w:r>
        <w:rPr>
          <w:bCs/>
        </w:rPr>
        <w:t xml:space="preserve">GSS </w:t>
      </w:r>
      <w:r w:rsidR="00007658">
        <w:rPr>
          <w:bCs/>
        </w:rPr>
        <w:t xml:space="preserve">and </w:t>
      </w:r>
      <w:r w:rsidR="0023468E">
        <w:rPr>
          <w:bCs/>
        </w:rPr>
        <w:t xml:space="preserve">the </w:t>
      </w:r>
      <w:r w:rsidR="00007658">
        <w:rPr>
          <w:bCs/>
        </w:rPr>
        <w:t>FFRDC</w:t>
      </w:r>
      <w:r w:rsidR="0023468E">
        <w:rPr>
          <w:bCs/>
        </w:rPr>
        <w:t xml:space="preserve"> </w:t>
      </w:r>
      <w:r w:rsidR="008B7573">
        <w:rPr>
          <w:bCs/>
        </w:rPr>
        <w:t>P</w:t>
      </w:r>
      <w:r w:rsidR="0023468E">
        <w:rPr>
          <w:bCs/>
        </w:rPr>
        <w:t xml:space="preserve">ostdoc </w:t>
      </w:r>
      <w:r w:rsidR="008B7573">
        <w:rPr>
          <w:bCs/>
        </w:rPr>
        <w:t>S</w:t>
      </w:r>
      <w:r w:rsidR="0023468E">
        <w:rPr>
          <w:bCs/>
        </w:rPr>
        <w:t xml:space="preserve">urvey </w:t>
      </w:r>
      <w:r>
        <w:rPr>
          <w:bCs/>
        </w:rPr>
        <w:t>and will be continued without change.</w:t>
      </w:r>
      <w:r w:rsidR="00775FD1">
        <w:rPr>
          <w:bCs/>
        </w:rPr>
        <w:t xml:space="preserve"> </w:t>
      </w:r>
      <w:r w:rsidRPr="00E47629" w:rsidR="00775FD1">
        <w:rPr>
          <w:bCs/>
        </w:rPr>
        <w:t xml:space="preserve">Attachment </w:t>
      </w:r>
      <w:r w:rsidR="00360096">
        <w:rPr>
          <w:bCs/>
        </w:rPr>
        <w:t>9</w:t>
      </w:r>
      <w:r w:rsidRPr="00E47629" w:rsidR="00360096">
        <w:rPr>
          <w:bCs/>
        </w:rPr>
        <w:t xml:space="preserve"> </w:t>
      </w:r>
      <w:r w:rsidRPr="00E47629" w:rsidR="00775FD1">
        <w:rPr>
          <w:bCs/>
        </w:rPr>
        <w:t>d</w:t>
      </w:r>
      <w:r w:rsidRPr="00E47629" w:rsidR="00381A0F">
        <w:rPr>
          <w:bCs/>
        </w:rPr>
        <w:t>ocuments</w:t>
      </w:r>
      <w:r w:rsidR="00381A0F">
        <w:rPr>
          <w:bCs/>
        </w:rPr>
        <w:t xml:space="preserve"> </w:t>
      </w:r>
      <w:r w:rsidR="00775FD1">
        <w:rPr>
          <w:bCs/>
        </w:rPr>
        <w:t xml:space="preserve">changes </w:t>
      </w:r>
      <w:r w:rsidR="00381A0F">
        <w:rPr>
          <w:bCs/>
        </w:rPr>
        <w:t>implemented</w:t>
      </w:r>
      <w:r w:rsidR="0023468E">
        <w:rPr>
          <w:bCs/>
        </w:rPr>
        <w:t xml:space="preserve"> in the past over the</w:t>
      </w:r>
      <w:r w:rsidR="005323C7">
        <w:rPr>
          <w:bCs/>
        </w:rPr>
        <w:t xml:space="preserve"> </w:t>
      </w:r>
      <w:r w:rsidR="00775FD1">
        <w:rPr>
          <w:bCs/>
        </w:rPr>
        <w:t>20</w:t>
      </w:r>
      <w:r w:rsidR="005E2015">
        <w:rPr>
          <w:bCs/>
        </w:rPr>
        <w:t>2</w:t>
      </w:r>
      <w:r w:rsidR="005323C7">
        <w:rPr>
          <w:bCs/>
        </w:rPr>
        <w:t>3</w:t>
      </w:r>
      <w:r w:rsidR="005E2015">
        <w:rPr>
          <w:bCs/>
        </w:rPr>
        <w:t>-2</w:t>
      </w:r>
      <w:r w:rsidR="005323C7">
        <w:rPr>
          <w:bCs/>
        </w:rPr>
        <w:t>5</w:t>
      </w:r>
      <w:r w:rsidR="0023468E">
        <w:rPr>
          <w:bCs/>
        </w:rPr>
        <w:t xml:space="preserve"> survey cycles</w:t>
      </w:r>
      <w:r w:rsidR="002E5542">
        <w:rPr>
          <w:bCs/>
        </w:rPr>
        <w:t>.</w:t>
      </w:r>
    </w:p>
    <w:p w:rsidR="00CF2CBC" w:rsidRPr="00444A0A" w:rsidP="00444A0A" w14:paraId="691AE271" w14:textId="77777777">
      <w:pPr>
        <w:pStyle w:val="Heading2"/>
      </w:pPr>
      <w:bookmarkStart w:id="7" w:name="_Toc488074617"/>
      <w:bookmarkStart w:id="8" w:name="_Toc232083011"/>
      <w:r w:rsidRPr="00444A0A">
        <w:t>B.1</w:t>
      </w:r>
      <w:r w:rsidRPr="00444A0A">
        <w:tab/>
        <w:t xml:space="preserve">Universe and Sampling </w:t>
      </w:r>
      <w:r w:rsidRPr="00444A0A" w:rsidR="00C12A0B">
        <w:t>Description</w:t>
      </w:r>
      <w:bookmarkEnd w:id="7"/>
      <w:bookmarkEnd w:id="8"/>
    </w:p>
    <w:p w:rsidR="00CF2CBC" w:rsidRPr="00444A0A" w:rsidP="00444A0A" w14:paraId="476E09ED" w14:textId="59FF0FAE">
      <w:pPr>
        <w:pStyle w:val="BodyText"/>
      </w:pPr>
      <w:r w:rsidRPr="00444A0A">
        <w:t>The GSS is an annual census of eligible institutions. The</w:t>
      </w:r>
      <w:r w:rsidRPr="00444A0A" w:rsidR="001F2DE8">
        <w:t xml:space="preserve"> GSS</w:t>
      </w:r>
      <w:r w:rsidRPr="00444A0A">
        <w:t xml:space="preserve"> universe is intended to cover</w:t>
      </w:r>
      <w:r w:rsidRPr="00444A0A" w:rsidR="0063584D">
        <w:t xml:space="preserve"> </w:t>
      </w:r>
      <w:r w:rsidRPr="00444A0A">
        <w:t>all academic institutions in the United States and its territories that grant research-oriented master</w:t>
      </w:r>
      <w:r w:rsidRPr="00444A0A" w:rsidR="0023468E">
        <w:t>’</w:t>
      </w:r>
      <w:r w:rsidRPr="00444A0A">
        <w:t xml:space="preserve">s degrees or doctorates, appoint postdocs, or employ nonfaculty researchers (NFRs) in </w:t>
      </w:r>
      <w:r w:rsidRPr="00444A0A" w:rsidR="001F2DE8">
        <w:t>s</w:t>
      </w:r>
      <w:r w:rsidRPr="00444A0A">
        <w:t xml:space="preserve">cience, </w:t>
      </w:r>
      <w:r w:rsidRPr="00444A0A" w:rsidR="001F2DE8">
        <w:t>e</w:t>
      </w:r>
      <w:r w:rsidRPr="00444A0A">
        <w:t xml:space="preserve">ngineering, and </w:t>
      </w:r>
      <w:r w:rsidRPr="00444A0A" w:rsidR="001F2DE8">
        <w:t>h</w:t>
      </w:r>
      <w:r w:rsidRPr="00444A0A">
        <w:t>ealth (SEH) fields as of the fall term. An institution is considered eligible for the GSS if it grants at least one master’s or doctoral degree in at least one program l</w:t>
      </w:r>
      <w:r w:rsidRPr="00444A0A" w:rsidR="00360DD5">
        <w:t>isted in a GSS-eligible field (s</w:t>
      </w:r>
      <w:r w:rsidRPr="00444A0A">
        <w:t xml:space="preserve">ee Attachment </w:t>
      </w:r>
      <w:r w:rsidR="00360096">
        <w:t>10</w:t>
      </w:r>
      <w:r w:rsidRPr="00444A0A" w:rsidR="00360096">
        <w:t xml:space="preserve"> </w:t>
      </w:r>
      <w:r w:rsidRPr="00444A0A">
        <w:t>for the list of GSS fields).</w:t>
      </w:r>
      <w:r w:rsidRPr="00444A0A" w:rsidR="00365006">
        <w:t xml:space="preserve"> </w:t>
      </w:r>
    </w:p>
    <w:p w:rsidR="00365006" w:rsidRPr="00C20E4A" w:rsidP="00444A0A" w14:paraId="637FB31F" w14:textId="024DD5E6">
      <w:pPr>
        <w:pStyle w:val="BodyText"/>
      </w:pPr>
      <w:r>
        <w:t xml:space="preserve">The FFRDC </w:t>
      </w:r>
      <w:r w:rsidR="00EE4D02">
        <w:t>P</w:t>
      </w:r>
      <w:r w:rsidR="0023468E">
        <w:t xml:space="preserve">ostdoc </w:t>
      </w:r>
      <w:r w:rsidR="00EE4D02">
        <w:t>S</w:t>
      </w:r>
      <w:r w:rsidR="0023468E">
        <w:t xml:space="preserve">urvey </w:t>
      </w:r>
      <w:r>
        <w:t xml:space="preserve">is a biennial census of all federally funded research and development centers. All FFRDCs recognized by the </w:t>
      </w:r>
      <w:r w:rsidR="00D27C72">
        <w:t xml:space="preserve">U.S. </w:t>
      </w:r>
      <w:r>
        <w:t xml:space="preserve">National Science Foundation </w:t>
      </w:r>
      <w:r w:rsidR="00EE4D02">
        <w:t xml:space="preserve">(NSF) </w:t>
      </w:r>
      <w:r>
        <w:t>are considered part of the survey universe</w:t>
      </w:r>
      <w:r w:rsidR="00D671EE">
        <w:t xml:space="preserve">. </w:t>
      </w:r>
      <w:r>
        <w:t xml:space="preserve">Coordinators are instructed to </w:t>
      </w:r>
      <w:r>
        <w:t>report</w:t>
      </w:r>
      <w:r>
        <w:t xml:space="preserve"> all employed postdocs in eligible SEH fields.</w:t>
      </w:r>
    </w:p>
    <w:p w:rsidR="00CF2CBC" w:rsidRPr="00444A0A" w:rsidP="00444A0A" w14:paraId="350786ED" w14:textId="77777777">
      <w:pPr>
        <w:pStyle w:val="Heading3"/>
      </w:pPr>
      <w:bookmarkStart w:id="9" w:name="_Toc488074618"/>
      <w:bookmarkStart w:id="10" w:name="_Toc232083012"/>
      <w:r w:rsidRPr="00444A0A">
        <w:t>B.1.</w:t>
      </w:r>
      <w:r w:rsidRPr="00444A0A" w:rsidR="00003B74">
        <w:t>1</w:t>
      </w:r>
      <w:r w:rsidRPr="00444A0A">
        <w:tab/>
        <w:t>Discussion of Institutional Frame</w:t>
      </w:r>
      <w:bookmarkEnd w:id="9"/>
      <w:bookmarkEnd w:id="10"/>
    </w:p>
    <w:p w:rsidR="00444A0A" w:rsidP="005E1070" w14:paraId="3F391387" w14:textId="5C3485DD">
      <w:pPr>
        <w:pStyle w:val="BodyText"/>
      </w:pPr>
      <w:r>
        <w:t>T</w:t>
      </w:r>
      <w:r w:rsidR="00941411">
        <w:t xml:space="preserve">he </w:t>
      </w:r>
      <w:r w:rsidR="0023468E">
        <w:t xml:space="preserve">GSS </w:t>
      </w:r>
      <w:r w:rsidR="00941411">
        <w:t xml:space="preserve">frame is updated annually in advance of data collection. </w:t>
      </w:r>
      <w:r w:rsidR="005D6226">
        <w:t>The Integrated Postsecondary Education Data System (</w:t>
      </w:r>
      <w:r w:rsidR="00941411">
        <w:t>IPEDS</w:t>
      </w:r>
      <w:r w:rsidR="005D6226">
        <w:t>)</w:t>
      </w:r>
      <w:r w:rsidR="00941411">
        <w:t xml:space="preserve"> and other sources are used to identify new institutions and</w:t>
      </w:r>
      <w:r w:rsidR="00532655">
        <w:t xml:space="preserve"> existing</w:t>
      </w:r>
      <w:r w:rsidR="00941411">
        <w:t xml:space="preserve"> institutions that now offer </w:t>
      </w:r>
      <w:r w:rsidR="00532655">
        <w:t xml:space="preserve">graduate </w:t>
      </w:r>
      <w:r w:rsidR="00941411">
        <w:t>degrees in GSS-eligible fields</w:t>
      </w:r>
      <w:r w:rsidR="00532655">
        <w:t>.</w:t>
      </w:r>
      <w:r w:rsidRPr="00DA5CEA">
        <w:t xml:space="preserve"> </w:t>
      </w:r>
      <w:r w:rsidRPr="00C20E4A">
        <w:t xml:space="preserve">See </w:t>
      </w:r>
      <w:r w:rsidRPr="00592608">
        <w:t xml:space="preserve">Exhibit </w:t>
      </w:r>
      <w:r w:rsidR="006B3752">
        <w:t>10</w:t>
      </w:r>
      <w:r w:rsidRPr="00592608" w:rsidR="006B3752">
        <w:t xml:space="preserve"> </w:t>
      </w:r>
      <w:r w:rsidRPr="00592608">
        <w:t>for</w:t>
      </w:r>
      <w:r w:rsidRPr="00C20E4A">
        <w:t xml:space="preserve"> a comparison of the number of GSS institutions, schools, units, and enrollment in 20</w:t>
      </w:r>
      <w:r w:rsidR="00434FBB">
        <w:t>22</w:t>
      </w:r>
      <w:r w:rsidRPr="00C20E4A">
        <w:t>-20</w:t>
      </w:r>
      <w:r w:rsidR="00381A0F">
        <w:t>2</w:t>
      </w:r>
      <w:r w:rsidR="00434FBB">
        <w:t>4</w:t>
      </w:r>
      <w:r w:rsidRPr="00C20E4A">
        <w:t>.</w:t>
      </w:r>
      <w:r>
        <w:t xml:space="preserve"> </w:t>
      </w:r>
      <w:r w:rsidR="00544684">
        <w:t xml:space="preserve">A more comprehensive eligibility review is conducted approximately once every four years. During these reviews, the GSS project team examines institutions currently in the GSS frame with six or fewer organizational units to determine </w:t>
      </w:r>
      <w:r w:rsidR="00EE4D02">
        <w:t>whether</w:t>
      </w:r>
      <w:r w:rsidR="00544684">
        <w:t xml:space="preserve"> these institutions should remain eligible. The review involves a close examination of institutional and departmental websites to determine whether the degrees offered are research rather than practitioner based, as well as direct correspondence with the institutions when warranted. The most recent review was </w:t>
      </w:r>
      <w:r w:rsidR="00544684">
        <w:t xml:space="preserve">conducted in summer 2024. In examining the 2023 GSS frame, </w:t>
      </w:r>
      <w:r w:rsidR="00EE4D02">
        <w:t>the National Center for Science and Engineering Statistics (</w:t>
      </w:r>
      <w:r w:rsidR="00544684">
        <w:t>NCSES</w:t>
      </w:r>
      <w:r w:rsidR="00EE4D02">
        <w:t>)</w:t>
      </w:r>
      <w:r w:rsidR="00544684">
        <w:t xml:space="preserve"> determined that 53 institutions were no longer offering research-based master’s or doctoral programs in GSS fields and were thus no longer eligible. In 2023, these 53 institutions reported 0.8% of graduate students, including 1.3% of master’s students, under 0.1% of doctoral students, postdoctoral appointees, and doctorate-holding NFRs.</w:t>
      </w:r>
      <w:r w:rsidRPr="009C083C" w:rsidR="00544684">
        <w:t xml:space="preserve"> </w:t>
      </w:r>
      <w:r w:rsidR="00544684">
        <w:t xml:space="preserve">For more information on the eligibility review, see the InfoBrief </w:t>
      </w:r>
      <w:hyperlink r:id="rId12" w:history="1">
        <w:r w:rsidRPr="003850B5" w:rsidR="00544684">
          <w:rPr>
            <w:rStyle w:val="Hyperlink"/>
            <w:i/>
            <w:iCs/>
          </w:rPr>
          <w:t>Impact of the 2024 GSS Institutional Eligibility Review on Counts of GSS Master’s Students</w:t>
        </w:r>
      </w:hyperlink>
      <w:r w:rsidR="00544684">
        <w:rPr>
          <w:i/>
          <w:iCs/>
        </w:rPr>
        <w:t xml:space="preserve"> </w:t>
      </w:r>
      <w:r w:rsidR="00544684">
        <w:t>(NSF 25-346). T</w:t>
      </w:r>
      <w:r w:rsidRPr="00007658" w:rsidR="00007658">
        <w:t xml:space="preserve">he frame for the FFRDC Postdoc Survey derives from the FFRDC Master List, which NSF has maintained since 1967 (available at </w:t>
      </w:r>
      <w:hyperlink r:id="rId13" w:history="1">
        <w:r w:rsidRPr="005E1070" w:rsidR="005E1070">
          <w:rPr>
            <w:rStyle w:val="Hyperlink"/>
          </w:rPr>
          <w:t>https://ncses.nsf.gov/resource/master-gov-lists-ffrdc</w:t>
        </w:r>
      </w:hyperlink>
      <w:r w:rsidRPr="00007658" w:rsidR="00007658">
        <w:t>).</w:t>
      </w:r>
    </w:p>
    <w:p w:rsidR="008E1E65" w:rsidRPr="001401DA" w:rsidP="008E1E65" w14:paraId="62773D13" w14:textId="77777777">
      <w:pPr>
        <w:pStyle w:val="ExhibitTitle"/>
      </w:pPr>
      <w:bookmarkStart w:id="11" w:name="_Toc232083022"/>
      <w:bookmarkStart w:id="12" w:name="_Ref476061336"/>
      <w:r w:rsidRPr="001401DA">
        <w:t>Exhibit 10.</w:t>
      </w:r>
      <w:r w:rsidRPr="001401DA">
        <w:tab/>
        <w:t>Number of GSS Institutions, Schools, Units, and Enrollment, 2022-2024</w:t>
      </w:r>
      <w:bookmarkEnd w:id="11"/>
    </w:p>
    <w:tbl>
      <w:tblPr>
        <w:tblW w:w="9360" w:type="dxa"/>
        <w:tblLayout w:type="fixed"/>
        <w:tblLook w:val="04A0"/>
      </w:tblPr>
      <w:tblGrid>
        <w:gridCol w:w="888"/>
        <w:gridCol w:w="1404"/>
        <w:gridCol w:w="48"/>
        <w:gridCol w:w="990"/>
        <w:gridCol w:w="15"/>
        <w:gridCol w:w="1176"/>
        <w:gridCol w:w="1613"/>
        <w:gridCol w:w="1613"/>
        <w:gridCol w:w="1613"/>
      </w:tblGrid>
      <w:tr w14:paraId="0E696E66" w14:textId="77777777" w:rsidTr="008E1E65">
        <w:tblPrEx>
          <w:tblW w:w="9360" w:type="dxa"/>
          <w:tblLayout w:type="fixed"/>
          <w:tblLook w:val="04A0"/>
        </w:tblPrEx>
        <w:trPr>
          <w:cantSplit/>
          <w:tblHeader/>
        </w:trPr>
        <w:tc>
          <w:tcPr>
            <w:tcW w:w="888" w:type="dxa"/>
            <w:tcBorders>
              <w:top w:val="single" w:sz="4" w:space="0" w:color="auto"/>
              <w:left w:val="single" w:sz="4" w:space="0" w:color="auto"/>
              <w:bottom w:val="nil"/>
              <w:right w:val="nil"/>
            </w:tcBorders>
            <w:noWrap/>
            <w:vAlign w:val="bottom"/>
            <w:hideMark/>
          </w:tcPr>
          <w:p w:rsidR="00285D5B" w:rsidRPr="0054259D" w:rsidP="00D74A58" w14:paraId="23EA8290" w14:textId="30B4ADDF">
            <w:pPr>
              <w:jc w:val="center"/>
              <w:rPr>
                <w:rFonts w:eastAsia="Times New Roman" w:cs="Times New Roman"/>
                <w:color w:val="000000"/>
                <w:szCs w:val="24"/>
              </w:rPr>
            </w:pPr>
          </w:p>
        </w:tc>
        <w:tc>
          <w:tcPr>
            <w:tcW w:w="1452" w:type="dxa"/>
            <w:gridSpan w:val="2"/>
            <w:tcBorders>
              <w:top w:val="single" w:sz="4" w:space="0" w:color="auto"/>
              <w:left w:val="nil"/>
              <w:bottom w:val="nil"/>
              <w:right w:val="nil"/>
            </w:tcBorders>
            <w:noWrap/>
            <w:vAlign w:val="bottom"/>
            <w:hideMark/>
          </w:tcPr>
          <w:p w:rsidR="00285D5B" w:rsidRPr="0054259D" w:rsidP="00285D5B" w14:paraId="769F818F" w14:textId="77777777">
            <w:pPr>
              <w:rPr>
                <w:rFonts w:eastAsia="Times New Roman" w:cs="Times New Roman"/>
                <w:color w:val="000000"/>
                <w:szCs w:val="24"/>
              </w:rPr>
            </w:pPr>
            <w:r w:rsidRPr="0054259D">
              <w:rPr>
                <w:rFonts w:eastAsia="Times New Roman" w:cs="Times New Roman"/>
                <w:color w:val="000000"/>
                <w:szCs w:val="24"/>
              </w:rPr>
              <w:t> </w:t>
            </w:r>
          </w:p>
        </w:tc>
        <w:tc>
          <w:tcPr>
            <w:tcW w:w="990" w:type="dxa"/>
            <w:tcBorders>
              <w:top w:val="single" w:sz="4" w:space="0" w:color="auto"/>
              <w:left w:val="nil"/>
              <w:bottom w:val="nil"/>
              <w:right w:val="nil"/>
            </w:tcBorders>
            <w:noWrap/>
            <w:vAlign w:val="bottom"/>
            <w:hideMark/>
          </w:tcPr>
          <w:p w:rsidR="00285D5B" w:rsidRPr="0054259D" w:rsidP="00285D5B" w14:paraId="603A5471" w14:textId="77777777">
            <w:pPr>
              <w:rPr>
                <w:rFonts w:eastAsia="Times New Roman" w:cs="Times New Roman"/>
                <w:color w:val="000000"/>
                <w:szCs w:val="24"/>
              </w:rPr>
            </w:pPr>
            <w:r w:rsidRPr="0054259D">
              <w:rPr>
                <w:rFonts w:eastAsia="Times New Roman" w:cs="Times New Roman"/>
                <w:color w:val="000000"/>
                <w:szCs w:val="24"/>
              </w:rPr>
              <w:t> </w:t>
            </w:r>
          </w:p>
        </w:tc>
        <w:tc>
          <w:tcPr>
            <w:tcW w:w="1191" w:type="dxa"/>
            <w:gridSpan w:val="2"/>
            <w:tcBorders>
              <w:top w:val="single" w:sz="4" w:space="0" w:color="auto"/>
              <w:left w:val="nil"/>
              <w:bottom w:val="nil"/>
              <w:right w:val="nil"/>
            </w:tcBorders>
            <w:noWrap/>
            <w:vAlign w:val="bottom"/>
            <w:hideMark/>
          </w:tcPr>
          <w:p w:rsidR="00285D5B" w:rsidRPr="0054259D" w:rsidP="00285D5B" w14:paraId="38C658E1" w14:textId="77777777">
            <w:pPr>
              <w:rPr>
                <w:rFonts w:eastAsia="Times New Roman" w:cs="Times New Roman"/>
                <w:color w:val="000000"/>
                <w:szCs w:val="24"/>
              </w:rPr>
            </w:pPr>
            <w:r w:rsidRPr="0054259D">
              <w:rPr>
                <w:rFonts w:eastAsia="Times New Roman" w:cs="Times New Roman"/>
                <w:color w:val="000000"/>
                <w:szCs w:val="24"/>
              </w:rPr>
              <w:t> </w:t>
            </w:r>
          </w:p>
        </w:tc>
        <w:tc>
          <w:tcPr>
            <w:tcW w:w="4839" w:type="dxa"/>
            <w:gridSpan w:val="3"/>
            <w:tcBorders>
              <w:top w:val="single" w:sz="4" w:space="0" w:color="auto"/>
              <w:left w:val="nil"/>
              <w:bottom w:val="nil"/>
              <w:right w:val="single" w:sz="4" w:space="0" w:color="000000"/>
            </w:tcBorders>
            <w:noWrap/>
            <w:vAlign w:val="bottom"/>
            <w:hideMark/>
          </w:tcPr>
          <w:p w:rsidR="00285D5B" w:rsidRPr="0054259D" w:rsidP="00E47629" w14:paraId="2C4C83CF" w14:textId="3A33C807">
            <w:pPr>
              <w:jc w:val="center"/>
              <w:rPr>
                <w:rFonts w:eastAsia="Times New Roman" w:cs="Times New Roman"/>
                <w:b/>
                <w:bCs/>
                <w:color w:val="000000"/>
                <w:szCs w:val="24"/>
              </w:rPr>
            </w:pPr>
            <w:r w:rsidRPr="0054259D">
              <w:rPr>
                <w:rFonts w:eastAsia="Times New Roman" w:cs="Times New Roman"/>
                <w:b/>
                <w:bCs/>
                <w:color w:val="000000"/>
                <w:szCs w:val="24"/>
              </w:rPr>
              <w:t xml:space="preserve">Graduate </w:t>
            </w:r>
            <w:r w:rsidR="00444AAF">
              <w:rPr>
                <w:rFonts w:eastAsia="Times New Roman" w:cs="Times New Roman"/>
                <w:b/>
                <w:bCs/>
                <w:color w:val="000000"/>
                <w:szCs w:val="24"/>
              </w:rPr>
              <w:t>E</w:t>
            </w:r>
            <w:r w:rsidRPr="0054259D">
              <w:rPr>
                <w:rFonts w:eastAsia="Times New Roman" w:cs="Times New Roman"/>
                <w:b/>
                <w:bCs/>
                <w:color w:val="000000"/>
                <w:szCs w:val="24"/>
              </w:rPr>
              <w:t xml:space="preserve">nrollment by </w:t>
            </w:r>
            <w:r w:rsidR="00444AAF">
              <w:rPr>
                <w:rFonts w:eastAsia="Times New Roman" w:cs="Times New Roman"/>
                <w:b/>
                <w:bCs/>
                <w:color w:val="000000"/>
                <w:szCs w:val="24"/>
              </w:rPr>
              <w:t>D</w:t>
            </w:r>
            <w:r w:rsidRPr="0054259D">
              <w:rPr>
                <w:rFonts w:eastAsia="Times New Roman" w:cs="Times New Roman"/>
                <w:b/>
                <w:bCs/>
                <w:color w:val="000000"/>
                <w:szCs w:val="24"/>
              </w:rPr>
              <w:t xml:space="preserve">egree </w:t>
            </w:r>
            <w:r w:rsidR="00444AAF">
              <w:rPr>
                <w:rFonts w:eastAsia="Times New Roman" w:cs="Times New Roman"/>
                <w:b/>
                <w:bCs/>
                <w:color w:val="000000"/>
                <w:szCs w:val="24"/>
              </w:rPr>
              <w:t>L</w:t>
            </w:r>
            <w:r w:rsidRPr="0054259D">
              <w:rPr>
                <w:rFonts w:eastAsia="Times New Roman" w:cs="Times New Roman"/>
                <w:b/>
                <w:bCs/>
                <w:color w:val="000000"/>
                <w:szCs w:val="24"/>
              </w:rPr>
              <w:t>evel</w:t>
            </w:r>
          </w:p>
        </w:tc>
      </w:tr>
      <w:tr w14:paraId="536BDBA4" w14:textId="77777777" w:rsidTr="008E1E65">
        <w:tblPrEx>
          <w:tblW w:w="9360" w:type="dxa"/>
          <w:tblLayout w:type="fixed"/>
          <w:tblLook w:val="04A0"/>
        </w:tblPrEx>
        <w:trPr>
          <w:cantSplit/>
          <w:tblHeader/>
        </w:trPr>
        <w:tc>
          <w:tcPr>
            <w:tcW w:w="888" w:type="dxa"/>
            <w:tcBorders>
              <w:top w:val="single" w:sz="4" w:space="0" w:color="auto"/>
              <w:left w:val="single" w:sz="4" w:space="0" w:color="auto"/>
              <w:bottom w:val="single" w:sz="4" w:space="0" w:color="auto"/>
              <w:right w:val="nil"/>
            </w:tcBorders>
            <w:noWrap/>
            <w:vAlign w:val="bottom"/>
            <w:hideMark/>
          </w:tcPr>
          <w:p w:rsidR="00285D5B" w:rsidRPr="0054259D" w:rsidP="00D74A58" w14:paraId="7DBCFC7E" w14:textId="77777777">
            <w:pPr>
              <w:jc w:val="center"/>
              <w:rPr>
                <w:rFonts w:eastAsia="Times New Roman" w:cs="Times New Roman"/>
                <w:b/>
                <w:bCs/>
                <w:color w:val="000000"/>
                <w:szCs w:val="24"/>
              </w:rPr>
            </w:pPr>
            <w:r w:rsidRPr="0054259D">
              <w:rPr>
                <w:rFonts w:eastAsia="Times New Roman" w:cs="Times New Roman"/>
                <w:b/>
                <w:bCs/>
                <w:color w:val="000000"/>
                <w:szCs w:val="24"/>
              </w:rPr>
              <w:t>Year</w:t>
            </w:r>
          </w:p>
        </w:tc>
        <w:tc>
          <w:tcPr>
            <w:tcW w:w="1404" w:type="dxa"/>
            <w:tcBorders>
              <w:top w:val="single" w:sz="4" w:space="0" w:color="auto"/>
              <w:left w:val="single" w:sz="4" w:space="0" w:color="auto"/>
              <w:bottom w:val="single" w:sz="4" w:space="0" w:color="auto"/>
              <w:right w:val="nil"/>
            </w:tcBorders>
            <w:noWrap/>
            <w:vAlign w:val="bottom"/>
            <w:hideMark/>
          </w:tcPr>
          <w:p w:rsidR="00285D5B" w:rsidRPr="0054259D" w:rsidP="00E47629" w14:paraId="562F6BE0" w14:textId="77777777">
            <w:pPr>
              <w:jc w:val="center"/>
              <w:rPr>
                <w:rFonts w:eastAsia="Times New Roman" w:cs="Times New Roman"/>
                <w:b/>
                <w:bCs/>
                <w:color w:val="000000"/>
                <w:szCs w:val="24"/>
              </w:rPr>
            </w:pPr>
            <w:r w:rsidRPr="0054259D">
              <w:rPr>
                <w:rFonts w:eastAsia="Times New Roman" w:cs="Times New Roman"/>
                <w:b/>
                <w:bCs/>
                <w:color w:val="000000"/>
                <w:szCs w:val="24"/>
              </w:rPr>
              <w:t>Institutions</w:t>
            </w:r>
          </w:p>
        </w:tc>
        <w:tc>
          <w:tcPr>
            <w:tcW w:w="1053" w:type="dxa"/>
            <w:gridSpan w:val="3"/>
            <w:tcBorders>
              <w:top w:val="single" w:sz="4" w:space="0" w:color="auto"/>
              <w:left w:val="nil"/>
              <w:bottom w:val="single" w:sz="4" w:space="0" w:color="auto"/>
              <w:right w:val="nil"/>
            </w:tcBorders>
            <w:noWrap/>
            <w:vAlign w:val="bottom"/>
            <w:hideMark/>
          </w:tcPr>
          <w:p w:rsidR="00285D5B" w:rsidRPr="0054259D" w:rsidP="00E47629" w14:paraId="744A652F" w14:textId="77777777">
            <w:pPr>
              <w:jc w:val="center"/>
              <w:rPr>
                <w:rFonts w:eastAsia="Times New Roman" w:cs="Times New Roman"/>
                <w:b/>
                <w:bCs/>
                <w:color w:val="000000"/>
                <w:szCs w:val="24"/>
              </w:rPr>
            </w:pPr>
            <w:r w:rsidRPr="0054259D">
              <w:rPr>
                <w:rFonts w:eastAsia="Times New Roman" w:cs="Times New Roman"/>
                <w:b/>
                <w:bCs/>
                <w:color w:val="000000"/>
                <w:szCs w:val="24"/>
              </w:rPr>
              <w:t>Schools</w:t>
            </w:r>
          </w:p>
        </w:tc>
        <w:tc>
          <w:tcPr>
            <w:tcW w:w="1176" w:type="dxa"/>
            <w:tcBorders>
              <w:top w:val="single" w:sz="4" w:space="0" w:color="auto"/>
              <w:left w:val="nil"/>
              <w:bottom w:val="single" w:sz="4" w:space="0" w:color="auto"/>
              <w:right w:val="single" w:sz="4" w:space="0" w:color="auto"/>
            </w:tcBorders>
            <w:noWrap/>
            <w:vAlign w:val="bottom"/>
            <w:hideMark/>
          </w:tcPr>
          <w:p w:rsidR="00285D5B" w:rsidRPr="0054259D" w:rsidP="00E47629" w14:paraId="6518C318" w14:textId="77777777">
            <w:pPr>
              <w:jc w:val="center"/>
              <w:rPr>
                <w:rFonts w:eastAsia="Times New Roman" w:cs="Times New Roman"/>
                <w:b/>
                <w:bCs/>
                <w:color w:val="000000"/>
                <w:szCs w:val="24"/>
              </w:rPr>
            </w:pPr>
            <w:r w:rsidRPr="0054259D">
              <w:rPr>
                <w:rFonts w:eastAsia="Times New Roman" w:cs="Times New Roman"/>
                <w:b/>
                <w:bCs/>
                <w:color w:val="000000"/>
                <w:szCs w:val="24"/>
              </w:rPr>
              <w:t>Units</w:t>
            </w:r>
          </w:p>
        </w:tc>
        <w:tc>
          <w:tcPr>
            <w:tcW w:w="1613" w:type="dxa"/>
            <w:tcBorders>
              <w:top w:val="single" w:sz="4" w:space="0" w:color="auto"/>
              <w:left w:val="nil"/>
              <w:bottom w:val="single" w:sz="4" w:space="0" w:color="auto"/>
              <w:right w:val="nil"/>
            </w:tcBorders>
            <w:noWrap/>
            <w:vAlign w:val="bottom"/>
            <w:hideMark/>
          </w:tcPr>
          <w:p w:rsidR="00285D5B" w:rsidRPr="0054259D" w:rsidP="00E47629" w14:paraId="020155DA" w14:textId="77777777">
            <w:pPr>
              <w:jc w:val="center"/>
              <w:rPr>
                <w:rFonts w:eastAsia="Times New Roman" w:cs="Times New Roman"/>
                <w:b/>
                <w:bCs/>
                <w:color w:val="000000"/>
                <w:szCs w:val="24"/>
              </w:rPr>
            </w:pPr>
            <w:r w:rsidRPr="0054259D">
              <w:rPr>
                <w:rFonts w:eastAsia="Times New Roman" w:cs="Times New Roman"/>
                <w:b/>
                <w:bCs/>
                <w:color w:val="000000"/>
                <w:szCs w:val="24"/>
              </w:rPr>
              <w:t>Total</w:t>
            </w:r>
          </w:p>
        </w:tc>
        <w:tc>
          <w:tcPr>
            <w:tcW w:w="1613" w:type="dxa"/>
            <w:tcBorders>
              <w:top w:val="single" w:sz="4" w:space="0" w:color="auto"/>
              <w:left w:val="nil"/>
              <w:bottom w:val="single" w:sz="4" w:space="0" w:color="auto"/>
              <w:right w:val="nil"/>
            </w:tcBorders>
            <w:noWrap/>
            <w:vAlign w:val="bottom"/>
            <w:hideMark/>
          </w:tcPr>
          <w:p w:rsidR="00285D5B" w:rsidRPr="0054259D" w:rsidP="00E47629" w14:paraId="08472F6A" w14:textId="68FF3AC0">
            <w:pPr>
              <w:jc w:val="center"/>
              <w:rPr>
                <w:rFonts w:eastAsia="Times New Roman" w:cs="Times New Roman"/>
                <w:b/>
                <w:bCs/>
                <w:color w:val="000000"/>
                <w:szCs w:val="24"/>
              </w:rPr>
            </w:pPr>
            <w:r w:rsidRPr="0054259D">
              <w:rPr>
                <w:rFonts w:eastAsia="Times New Roman" w:cs="Times New Roman"/>
                <w:b/>
                <w:bCs/>
                <w:color w:val="000000"/>
                <w:szCs w:val="24"/>
              </w:rPr>
              <w:t>Master</w:t>
            </w:r>
            <w:r w:rsidR="006B3752">
              <w:rPr>
                <w:rFonts w:eastAsia="Times New Roman" w:cs="Times New Roman"/>
                <w:b/>
                <w:bCs/>
                <w:color w:val="000000"/>
                <w:szCs w:val="24"/>
              </w:rPr>
              <w:t>’</w:t>
            </w:r>
            <w:r w:rsidRPr="0054259D">
              <w:rPr>
                <w:rFonts w:eastAsia="Times New Roman" w:cs="Times New Roman"/>
                <w:b/>
                <w:bCs/>
                <w:color w:val="000000"/>
                <w:szCs w:val="24"/>
              </w:rPr>
              <w:t>s</w:t>
            </w:r>
          </w:p>
        </w:tc>
        <w:tc>
          <w:tcPr>
            <w:tcW w:w="1613" w:type="dxa"/>
            <w:tcBorders>
              <w:top w:val="single" w:sz="4" w:space="0" w:color="auto"/>
              <w:left w:val="nil"/>
              <w:bottom w:val="single" w:sz="4" w:space="0" w:color="auto"/>
              <w:right w:val="single" w:sz="4" w:space="0" w:color="auto"/>
            </w:tcBorders>
            <w:noWrap/>
            <w:vAlign w:val="bottom"/>
            <w:hideMark/>
          </w:tcPr>
          <w:p w:rsidR="00285D5B" w:rsidRPr="0054259D" w:rsidP="00E47629" w14:paraId="2DF2B739" w14:textId="77777777">
            <w:pPr>
              <w:jc w:val="center"/>
              <w:rPr>
                <w:rFonts w:eastAsia="Times New Roman" w:cs="Times New Roman"/>
                <w:b/>
                <w:bCs/>
                <w:color w:val="000000"/>
                <w:szCs w:val="24"/>
              </w:rPr>
            </w:pPr>
            <w:r w:rsidRPr="0054259D">
              <w:rPr>
                <w:rFonts w:eastAsia="Times New Roman" w:cs="Times New Roman"/>
                <w:b/>
                <w:bCs/>
                <w:color w:val="000000"/>
                <w:szCs w:val="24"/>
              </w:rPr>
              <w:t>Doctorate</w:t>
            </w:r>
          </w:p>
        </w:tc>
      </w:tr>
      <w:tr w14:paraId="362E86F4" w14:textId="77777777" w:rsidTr="008E1E65">
        <w:tblPrEx>
          <w:tblW w:w="9360" w:type="dxa"/>
          <w:tblLayout w:type="fixed"/>
          <w:tblLook w:val="04A0"/>
        </w:tblPrEx>
        <w:trPr>
          <w:cantSplit/>
        </w:trPr>
        <w:tc>
          <w:tcPr>
            <w:tcW w:w="888" w:type="dxa"/>
            <w:tcBorders>
              <w:top w:val="nil"/>
              <w:left w:val="single" w:sz="4" w:space="0" w:color="auto"/>
              <w:bottom w:val="nil"/>
              <w:right w:val="nil"/>
            </w:tcBorders>
            <w:noWrap/>
            <w:vAlign w:val="bottom"/>
            <w:hideMark/>
          </w:tcPr>
          <w:p w:rsidR="00285D5B" w:rsidRPr="0054259D" w:rsidP="00D74A58" w14:paraId="6BD5FA48" w14:textId="21887AB6">
            <w:pPr>
              <w:jc w:val="center"/>
              <w:rPr>
                <w:rFonts w:eastAsia="Times New Roman" w:cs="Times New Roman"/>
                <w:b/>
                <w:bCs/>
                <w:color w:val="000000"/>
                <w:szCs w:val="24"/>
              </w:rPr>
            </w:pPr>
            <w:r w:rsidRPr="0054259D">
              <w:rPr>
                <w:rFonts w:eastAsia="Times New Roman" w:cs="Times New Roman"/>
                <w:b/>
                <w:bCs/>
                <w:color w:val="000000"/>
                <w:szCs w:val="24"/>
              </w:rPr>
              <w:t>20</w:t>
            </w:r>
            <w:r w:rsidR="00434FBB">
              <w:rPr>
                <w:rFonts w:eastAsia="Times New Roman" w:cs="Times New Roman"/>
                <w:b/>
                <w:bCs/>
                <w:color w:val="000000"/>
                <w:szCs w:val="24"/>
              </w:rPr>
              <w:t>22</w:t>
            </w:r>
          </w:p>
        </w:tc>
        <w:tc>
          <w:tcPr>
            <w:tcW w:w="1404" w:type="dxa"/>
            <w:tcBorders>
              <w:top w:val="nil"/>
              <w:left w:val="single" w:sz="4" w:space="0" w:color="auto"/>
              <w:bottom w:val="nil"/>
              <w:right w:val="nil"/>
            </w:tcBorders>
            <w:noWrap/>
            <w:vAlign w:val="bottom"/>
            <w:hideMark/>
          </w:tcPr>
          <w:p w:rsidR="00285D5B" w:rsidRPr="0054259D" w:rsidP="00E47629" w14:paraId="0AEF7A45" w14:textId="0BD85BC8">
            <w:pPr>
              <w:jc w:val="center"/>
              <w:rPr>
                <w:rFonts w:eastAsia="Times New Roman" w:cs="Times New Roman"/>
                <w:color w:val="000000"/>
                <w:szCs w:val="24"/>
              </w:rPr>
            </w:pPr>
            <w:r>
              <w:rPr>
                <w:rFonts w:eastAsia="Times New Roman" w:cs="Times New Roman"/>
                <w:color w:val="000000"/>
                <w:szCs w:val="24"/>
              </w:rPr>
              <w:t>690</w:t>
            </w:r>
          </w:p>
        </w:tc>
        <w:tc>
          <w:tcPr>
            <w:tcW w:w="1053" w:type="dxa"/>
            <w:gridSpan w:val="3"/>
            <w:tcBorders>
              <w:top w:val="nil"/>
              <w:left w:val="nil"/>
              <w:bottom w:val="nil"/>
              <w:right w:val="nil"/>
            </w:tcBorders>
            <w:noWrap/>
            <w:vAlign w:val="bottom"/>
            <w:hideMark/>
          </w:tcPr>
          <w:p w:rsidR="00285D5B" w:rsidRPr="0054259D" w:rsidP="00E47629" w14:paraId="203261F0" w14:textId="3C48779A">
            <w:pPr>
              <w:jc w:val="center"/>
              <w:rPr>
                <w:rFonts w:eastAsia="Times New Roman" w:cs="Times New Roman"/>
                <w:color w:val="000000"/>
                <w:szCs w:val="24"/>
              </w:rPr>
            </w:pPr>
            <w:r>
              <w:rPr>
                <w:rFonts w:eastAsia="Times New Roman" w:cs="Times New Roman"/>
                <w:color w:val="000000"/>
                <w:szCs w:val="24"/>
              </w:rPr>
              <w:t>775</w:t>
            </w:r>
          </w:p>
        </w:tc>
        <w:tc>
          <w:tcPr>
            <w:tcW w:w="1176" w:type="dxa"/>
            <w:tcBorders>
              <w:top w:val="nil"/>
              <w:left w:val="nil"/>
              <w:bottom w:val="nil"/>
              <w:right w:val="single" w:sz="4" w:space="0" w:color="auto"/>
            </w:tcBorders>
            <w:noWrap/>
            <w:vAlign w:val="bottom"/>
            <w:hideMark/>
          </w:tcPr>
          <w:p w:rsidR="00285D5B" w:rsidRPr="0054259D" w:rsidP="00E47629" w14:paraId="47E408DB" w14:textId="6909E57E">
            <w:pPr>
              <w:jc w:val="center"/>
              <w:rPr>
                <w:rFonts w:eastAsia="Times New Roman" w:cs="Times New Roman"/>
                <w:color w:val="000000"/>
                <w:szCs w:val="24"/>
              </w:rPr>
            </w:pPr>
            <w:r>
              <w:rPr>
                <w:rFonts w:eastAsia="Times New Roman" w:cs="Times New Roman"/>
                <w:color w:val="000000"/>
                <w:szCs w:val="24"/>
              </w:rPr>
              <w:t>2</w:t>
            </w:r>
            <w:r w:rsidR="005323C7">
              <w:rPr>
                <w:rFonts w:eastAsia="Times New Roman" w:cs="Times New Roman"/>
                <w:color w:val="000000"/>
                <w:szCs w:val="24"/>
              </w:rPr>
              <w:t>2</w:t>
            </w:r>
            <w:r w:rsidRPr="0054259D">
              <w:rPr>
                <w:rFonts w:eastAsia="Times New Roman" w:cs="Times New Roman"/>
                <w:color w:val="000000"/>
                <w:szCs w:val="24"/>
              </w:rPr>
              <w:t>,</w:t>
            </w:r>
            <w:r w:rsidR="005323C7">
              <w:rPr>
                <w:rFonts w:eastAsia="Times New Roman" w:cs="Times New Roman"/>
                <w:color w:val="000000"/>
                <w:szCs w:val="24"/>
              </w:rPr>
              <w:t>519</w:t>
            </w:r>
          </w:p>
        </w:tc>
        <w:tc>
          <w:tcPr>
            <w:tcW w:w="1613" w:type="dxa"/>
            <w:tcBorders>
              <w:top w:val="nil"/>
              <w:left w:val="nil"/>
              <w:bottom w:val="nil"/>
              <w:right w:val="nil"/>
            </w:tcBorders>
            <w:noWrap/>
            <w:vAlign w:val="bottom"/>
            <w:hideMark/>
          </w:tcPr>
          <w:p w:rsidR="00285D5B" w:rsidRPr="0054259D" w:rsidP="00E47629" w14:paraId="12349D24" w14:textId="50D80B74">
            <w:pPr>
              <w:jc w:val="center"/>
              <w:rPr>
                <w:rFonts w:eastAsia="Times New Roman" w:cs="Times New Roman"/>
                <w:color w:val="000000"/>
                <w:szCs w:val="24"/>
              </w:rPr>
            </w:pPr>
            <w:r>
              <w:t>798</w:t>
            </w:r>
            <w:r w:rsidR="00F26FFA">
              <w:t>,</w:t>
            </w:r>
            <w:r>
              <w:t>534</w:t>
            </w:r>
          </w:p>
        </w:tc>
        <w:tc>
          <w:tcPr>
            <w:tcW w:w="1613" w:type="dxa"/>
            <w:tcBorders>
              <w:top w:val="nil"/>
              <w:left w:val="nil"/>
              <w:bottom w:val="nil"/>
              <w:right w:val="nil"/>
            </w:tcBorders>
            <w:noWrap/>
            <w:vAlign w:val="bottom"/>
            <w:hideMark/>
          </w:tcPr>
          <w:p w:rsidR="00285D5B" w:rsidRPr="0054259D" w:rsidP="00E47629" w14:paraId="077D30EB" w14:textId="1F14735A">
            <w:pPr>
              <w:jc w:val="center"/>
              <w:rPr>
                <w:rFonts w:eastAsia="Times New Roman" w:cs="Times New Roman"/>
                <w:color w:val="000000"/>
                <w:szCs w:val="24"/>
              </w:rPr>
            </w:pPr>
            <w:r>
              <w:rPr>
                <w:rFonts w:eastAsia="Times New Roman" w:cs="Times New Roman"/>
                <w:color w:val="000000"/>
                <w:szCs w:val="24"/>
              </w:rPr>
              <w:t>501</w:t>
            </w:r>
            <w:r w:rsidR="00F26FFA">
              <w:rPr>
                <w:rFonts w:eastAsia="Times New Roman" w:cs="Times New Roman"/>
                <w:color w:val="000000"/>
                <w:szCs w:val="24"/>
              </w:rPr>
              <w:t>,</w:t>
            </w:r>
            <w:r>
              <w:rPr>
                <w:rFonts w:eastAsia="Times New Roman" w:cs="Times New Roman"/>
                <w:color w:val="000000"/>
                <w:szCs w:val="24"/>
              </w:rPr>
              <w:t>311</w:t>
            </w:r>
          </w:p>
        </w:tc>
        <w:tc>
          <w:tcPr>
            <w:tcW w:w="1613" w:type="dxa"/>
            <w:tcBorders>
              <w:top w:val="nil"/>
              <w:left w:val="nil"/>
              <w:bottom w:val="nil"/>
              <w:right w:val="single" w:sz="4" w:space="0" w:color="auto"/>
            </w:tcBorders>
            <w:noWrap/>
            <w:vAlign w:val="bottom"/>
            <w:hideMark/>
          </w:tcPr>
          <w:p w:rsidR="00285D5B" w:rsidRPr="0054259D" w:rsidP="00E47629" w14:paraId="68CA5BBE" w14:textId="25AEAD82">
            <w:pPr>
              <w:jc w:val="center"/>
              <w:rPr>
                <w:rFonts w:eastAsia="Times New Roman" w:cs="Times New Roman"/>
                <w:color w:val="000000"/>
                <w:szCs w:val="24"/>
              </w:rPr>
            </w:pPr>
            <w:r w:rsidRPr="007D4862">
              <w:rPr>
                <w:rFonts w:eastAsia="Times New Roman" w:cs="Times New Roman"/>
                <w:color w:val="000000"/>
                <w:szCs w:val="24"/>
              </w:rPr>
              <w:t>2</w:t>
            </w:r>
            <w:r w:rsidR="009E0CEA">
              <w:rPr>
                <w:rFonts w:eastAsia="Times New Roman" w:cs="Times New Roman"/>
                <w:color w:val="000000"/>
                <w:szCs w:val="24"/>
              </w:rPr>
              <w:t>97</w:t>
            </w:r>
            <w:r>
              <w:rPr>
                <w:rFonts w:eastAsia="Times New Roman" w:cs="Times New Roman"/>
                <w:color w:val="000000"/>
                <w:szCs w:val="24"/>
              </w:rPr>
              <w:t>,</w:t>
            </w:r>
            <w:r w:rsidR="009E0CEA">
              <w:rPr>
                <w:rFonts w:eastAsia="Times New Roman" w:cs="Times New Roman"/>
                <w:color w:val="000000"/>
                <w:szCs w:val="24"/>
              </w:rPr>
              <w:t>223</w:t>
            </w:r>
          </w:p>
        </w:tc>
      </w:tr>
      <w:tr w14:paraId="083E1E57" w14:textId="77777777" w:rsidTr="008E1E65">
        <w:tblPrEx>
          <w:tblW w:w="9360" w:type="dxa"/>
          <w:tblLayout w:type="fixed"/>
          <w:tblLook w:val="04A0"/>
        </w:tblPrEx>
        <w:trPr>
          <w:cantSplit/>
        </w:trPr>
        <w:tc>
          <w:tcPr>
            <w:tcW w:w="888" w:type="dxa"/>
            <w:tcBorders>
              <w:top w:val="nil"/>
              <w:left w:val="single" w:sz="4" w:space="0" w:color="auto"/>
              <w:bottom w:val="nil"/>
              <w:right w:val="nil"/>
            </w:tcBorders>
            <w:noWrap/>
            <w:vAlign w:val="bottom"/>
            <w:hideMark/>
          </w:tcPr>
          <w:p w:rsidR="00285D5B" w:rsidRPr="0054259D" w:rsidP="00D74A58" w14:paraId="31FC0CF1" w14:textId="394324ED">
            <w:pPr>
              <w:jc w:val="center"/>
              <w:rPr>
                <w:rFonts w:eastAsia="Times New Roman" w:cs="Times New Roman"/>
                <w:b/>
                <w:bCs/>
                <w:color w:val="000000"/>
                <w:szCs w:val="24"/>
              </w:rPr>
            </w:pPr>
            <w:r w:rsidRPr="0054259D">
              <w:rPr>
                <w:rFonts w:eastAsia="Times New Roman" w:cs="Times New Roman"/>
                <w:b/>
                <w:bCs/>
                <w:color w:val="000000"/>
                <w:szCs w:val="24"/>
              </w:rPr>
              <w:t>20</w:t>
            </w:r>
            <w:r w:rsidR="00434FBB">
              <w:rPr>
                <w:rFonts w:eastAsia="Times New Roman" w:cs="Times New Roman"/>
                <w:b/>
                <w:bCs/>
                <w:color w:val="000000"/>
                <w:szCs w:val="24"/>
              </w:rPr>
              <w:t>23</w:t>
            </w:r>
          </w:p>
        </w:tc>
        <w:tc>
          <w:tcPr>
            <w:tcW w:w="1404" w:type="dxa"/>
            <w:tcBorders>
              <w:top w:val="nil"/>
              <w:left w:val="single" w:sz="4" w:space="0" w:color="auto"/>
              <w:bottom w:val="nil"/>
              <w:right w:val="nil"/>
            </w:tcBorders>
            <w:noWrap/>
            <w:vAlign w:val="bottom"/>
            <w:hideMark/>
          </w:tcPr>
          <w:p w:rsidR="00285D5B" w:rsidRPr="0054259D" w:rsidP="00E47629" w14:paraId="2D894C46" w14:textId="0AB6CE90">
            <w:pPr>
              <w:jc w:val="center"/>
              <w:rPr>
                <w:rFonts w:eastAsia="Times New Roman" w:cs="Times New Roman"/>
                <w:color w:val="000000"/>
                <w:szCs w:val="24"/>
              </w:rPr>
            </w:pPr>
            <w:r>
              <w:rPr>
                <w:rFonts w:eastAsia="Times New Roman" w:cs="Times New Roman"/>
                <w:color w:val="000000"/>
                <w:szCs w:val="24"/>
              </w:rPr>
              <w:t>687</w:t>
            </w:r>
          </w:p>
        </w:tc>
        <w:tc>
          <w:tcPr>
            <w:tcW w:w="1053" w:type="dxa"/>
            <w:gridSpan w:val="3"/>
            <w:tcBorders>
              <w:top w:val="nil"/>
              <w:left w:val="nil"/>
              <w:bottom w:val="nil"/>
              <w:right w:val="nil"/>
            </w:tcBorders>
            <w:noWrap/>
            <w:vAlign w:val="bottom"/>
            <w:hideMark/>
          </w:tcPr>
          <w:p w:rsidR="00285D5B" w:rsidRPr="0054259D" w:rsidP="00E47629" w14:paraId="073FE14A" w14:textId="21AF1E90">
            <w:pPr>
              <w:jc w:val="center"/>
              <w:rPr>
                <w:rFonts w:eastAsia="Times New Roman" w:cs="Times New Roman"/>
                <w:color w:val="000000"/>
                <w:szCs w:val="24"/>
              </w:rPr>
            </w:pPr>
            <w:r>
              <w:rPr>
                <w:rFonts w:eastAsia="Times New Roman" w:cs="Times New Roman"/>
                <w:color w:val="000000"/>
                <w:szCs w:val="24"/>
              </w:rPr>
              <w:t>770</w:t>
            </w:r>
          </w:p>
        </w:tc>
        <w:tc>
          <w:tcPr>
            <w:tcW w:w="1176" w:type="dxa"/>
            <w:tcBorders>
              <w:top w:val="nil"/>
              <w:left w:val="nil"/>
              <w:bottom w:val="nil"/>
              <w:right w:val="single" w:sz="4" w:space="0" w:color="auto"/>
            </w:tcBorders>
            <w:noWrap/>
            <w:vAlign w:val="bottom"/>
            <w:hideMark/>
          </w:tcPr>
          <w:p w:rsidR="00285D5B" w:rsidRPr="0054259D" w:rsidP="00E47629" w14:paraId="38B28EC7" w14:textId="16CC91C9">
            <w:pPr>
              <w:jc w:val="center"/>
              <w:rPr>
                <w:rFonts w:eastAsia="Times New Roman" w:cs="Times New Roman"/>
                <w:color w:val="000000"/>
                <w:szCs w:val="24"/>
              </w:rPr>
            </w:pPr>
            <w:r>
              <w:rPr>
                <w:rFonts w:eastAsia="Times New Roman" w:cs="Times New Roman"/>
                <w:color w:val="000000"/>
                <w:szCs w:val="24"/>
              </w:rPr>
              <w:t>2</w:t>
            </w:r>
            <w:r w:rsidR="005323C7">
              <w:rPr>
                <w:rFonts w:eastAsia="Times New Roman" w:cs="Times New Roman"/>
                <w:color w:val="000000"/>
                <w:szCs w:val="24"/>
              </w:rPr>
              <w:t>2</w:t>
            </w:r>
            <w:r w:rsidRPr="0054259D">
              <w:rPr>
                <w:rFonts w:eastAsia="Times New Roman" w:cs="Times New Roman"/>
                <w:color w:val="000000"/>
                <w:szCs w:val="24"/>
              </w:rPr>
              <w:t>,</w:t>
            </w:r>
            <w:r w:rsidR="005323C7">
              <w:rPr>
                <w:rFonts w:eastAsia="Times New Roman" w:cs="Times New Roman"/>
                <w:color w:val="000000"/>
                <w:szCs w:val="24"/>
              </w:rPr>
              <w:t>802</w:t>
            </w:r>
          </w:p>
        </w:tc>
        <w:tc>
          <w:tcPr>
            <w:tcW w:w="1613" w:type="dxa"/>
            <w:tcBorders>
              <w:top w:val="nil"/>
              <w:left w:val="nil"/>
              <w:bottom w:val="nil"/>
              <w:right w:val="nil"/>
            </w:tcBorders>
            <w:noWrap/>
            <w:vAlign w:val="bottom"/>
            <w:hideMark/>
          </w:tcPr>
          <w:p w:rsidR="00285D5B" w:rsidRPr="0054259D" w:rsidP="00E47629" w14:paraId="351C394B" w14:textId="708AE80F">
            <w:pPr>
              <w:jc w:val="center"/>
              <w:rPr>
                <w:rFonts w:eastAsia="Times New Roman" w:cs="Times New Roman"/>
                <w:color w:val="000000"/>
                <w:szCs w:val="24"/>
              </w:rPr>
            </w:pPr>
            <w:r>
              <w:t>818</w:t>
            </w:r>
            <w:r w:rsidRPr="008D3485" w:rsidR="00F26FFA">
              <w:t>,</w:t>
            </w:r>
            <w:r>
              <w:t>095</w:t>
            </w:r>
          </w:p>
        </w:tc>
        <w:tc>
          <w:tcPr>
            <w:tcW w:w="1613" w:type="dxa"/>
            <w:tcBorders>
              <w:top w:val="nil"/>
              <w:left w:val="nil"/>
              <w:bottom w:val="nil"/>
              <w:right w:val="nil"/>
            </w:tcBorders>
            <w:noWrap/>
            <w:vAlign w:val="bottom"/>
            <w:hideMark/>
          </w:tcPr>
          <w:p w:rsidR="00285D5B" w:rsidRPr="0054259D" w:rsidP="00E47629" w14:paraId="16CEB349" w14:textId="318DAF97">
            <w:pPr>
              <w:jc w:val="center"/>
              <w:rPr>
                <w:rFonts w:eastAsia="Times New Roman" w:cs="Times New Roman"/>
                <w:color w:val="000000"/>
                <w:szCs w:val="24"/>
              </w:rPr>
            </w:pPr>
            <w:r>
              <w:rPr>
                <w:rFonts w:eastAsia="Times New Roman" w:cs="Times New Roman"/>
                <w:color w:val="000000"/>
                <w:szCs w:val="24"/>
              </w:rPr>
              <w:t>510</w:t>
            </w:r>
            <w:r w:rsidR="00F26FFA">
              <w:rPr>
                <w:rFonts w:eastAsia="Times New Roman" w:cs="Times New Roman"/>
                <w:color w:val="000000"/>
                <w:szCs w:val="24"/>
              </w:rPr>
              <w:t>,</w:t>
            </w:r>
            <w:r>
              <w:rPr>
                <w:rFonts w:eastAsia="Times New Roman" w:cs="Times New Roman"/>
                <w:color w:val="000000"/>
                <w:szCs w:val="24"/>
              </w:rPr>
              <w:t>866</w:t>
            </w:r>
          </w:p>
        </w:tc>
        <w:tc>
          <w:tcPr>
            <w:tcW w:w="1613" w:type="dxa"/>
            <w:tcBorders>
              <w:top w:val="nil"/>
              <w:left w:val="nil"/>
              <w:bottom w:val="nil"/>
              <w:right w:val="single" w:sz="4" w:space="0" w:color="auto"/>
            </w:tcBorders>
            <w:noWrap/>
            <w:vAlign w:val="bottom"/>
            <w:hideMark/>
          </w:tcPr>
          <w:p w:rsidR="00285D5B" w:rsidRPr="0054259D" w:rsidP="00E47629" w14:paraId="12C0C479" w14:textId="4E7E5880">
            <w:pPr>
              <w:jc w:val="center"/>
              <w:rPr>
                <w:rFonts w:eastAsia="Times New Roman" w:cs="Times New Roman"/>
                <w:color w:val="000000"/>
                <w:szCs w:val="24"/>
              </w:rPr>
            </w:pPr>
            <w:r>
              <w:rPr>
                <w:rFonts w:eastAsia="Times New Roman" w:cs="Times New Roman"/>
                <w:color w:val="000000"/>
                <w:szCs w:val="24"/>
              </w:rPr>
              <w:t>307</w:t>
            </w:r>
            <w:r w:rsidR="00F26FFA">
              <w:rPr>
                <w:rFonts w:eastAsia="Times New Roman" w:cs="Times New Roman"/>
                <w:color w:val="000000"/>
                <w:szCs w:val="24"/>
              </w:rPr>
              <w:t>,</w:t>
            </w:r>
            <w:r>
              <w:rPr>
                <w:rFonts w:eastAsia="Times New Roman" w:cs="Times New Roman"/>
                <w:color w:val="000000"/>
                <w:szCs w:val="24"/>
              </w:rPr>
              <w:t>229</w:t>
            </w:r>
          </w:p>
        </w:tc>
      </w:tr>
      <w:tr w14:paraId="417AA432" w14:textId="77777777" w:rsidTr="008E1E65">
        <w:tblPrEx>
          <w:tblW w:w="9360" w:type="dxa"/>
          <w:tblLayout w:type="fixed"/>
          <w:tblLook w:val="04A0"/>
        </w:tblPrEx>
        <w:trPr>
          <w:cantSplit/>
        </w:trPr>
        <w:tc>
          <w:tcPr>
            <w:tcW w:w="888" w:type="dxa"/>
            <w:tcBorders>
              <w:top w:val="nil"/>
              <w:left w:val="single" w:sz="4" w:space="0" w:color="auto"/>
              <w:bottom w:val="single" w:sz="4" w:space="0" w:color="auto"/>
              <w:right w:val="nil"/>
            </w:tcBorders>
            <w:noWrap/>
            <w:vAlign w:val="bottom"/>
            <w:hideMark/>
          </w:tcPr>
          <w:p w:rsidR="00285D5B" w:rsidRPr="0054259D" w:rsidP="00D74A58" w14:paraId="521EB4EA" w14:textId="6015FE9D">
            <w:pPr>
              <w:jc w:val="center"/>
              <w:rPr>
                <w:rFonts w:eastAsia="Times New Roman" w:cs="Times New Roman"/>
                <w:b/>
                <w:bCs/>
                <w:color w:val="000000"/>
                <w:szCs w:val="24"/>
              </w:rPr>
            </w:pPr>
            <w:r w:rsidRPr="0054259D">
              <w:rPr>
                <w:rFonts w:eastAsia="Times New Roman" w:cs="Times New Roman"/>
                <w:b/>
                <w:bCs/>
                <w:color w:val="000000"/>
                <w:szCs w:val="24"/>
              </w:rPr>
              <w:t>20</w:t>
            </w:r>
            <w:r w:rsidR="00381A0F">
              <w:rPr>
                <w:rFonts w:eastAsia="Times New Roman" w:cs="Times New Roman"/>
                <w:b/>
                <w:bCs/>
                <w:color w:val="000000"/>
                <w:szCs w:val="24"/>
              </w:rPr>
              <w:t>2</w:t>
            </w:r>
            <w:r w:rsidR="00434FBB">
              <w:rPr>
                <w:rFonts w:eastAsia="Times New Roman" w:cs="Times New Roman"/>
                <w:b/>
                <w:bCs/>
                <w:color w:val="000000"/>
                <w:szCs w:val="24"/>
              </w:rPr>
              <w:t>4</w:t>
            </w:r>
          </w:p>
        </w:tc>
        <w:tc>
          <w:tcPr>
            <w:tcW w:w="1404" w:type="dxa"/>
            <w:tcBorders>
              <w:top w:val="nil"/>
              <w:left w:val="single" w:sz="4" w:space="0" w:color="auto"/>
              <w:bottom w:val="single" w:sz="4" w:space="0" w:color="auto"/>
              <w:right w:val="nil"/>
            </w:tcBorders>
            <w:noWrap/>
            <w:vAlign w:val="bottom"/>
            <w:hideMark/>
          </w:tcPr>
          <w:p w:rsidR="00285D5B" w:rsidRPr="0054259D" w:rsidP="00E47629" w14:paraId="7F0F4F85" w14:textId="46D5BE40">
            <w:pPr>
              <w:jc w:val="center"/>
              <w:rPr>
                <w:rFonts w:eastAsia="Times New Roman" w:cs="Times New Roman"/>
                <w:color w:val="000000"/>
                <w:szCs w:val="24"/>
              </w:rPr>
            </w:pPr>
            <w:r>
              <w:rPr>
                <w:rFonts w:eastAsia="Times New Roman" w:cs="Times New Roman"/>
                <w:color w:val="000000"/>
                <w:szCs w:val="24"/>
              </w:rPr>
              <w:t>6</w:t>
            </w:r>
            <w:r w:rsidR="005323C7">
              <w:rPr>
                <w:rFonts w:eastAsia="Times New Roman" w:cs="Times New Roman"/>
                <w:color w:val="000000"/>
                <w:szCs w:val="24"/>
              </w:rPr>
              <w:t>35</w:t>
            </w:r>
          </w:p>
        </w:tc>
        <w:tc>
          <w:tcPr>
            <w:tcW w:w="1053" w:type="dxa"/>
            <w:gridSpan w:val="3"/>
            <w:tcBorders>
              <w:top w:val="nil"/>
              <w:left w:val="nil"/>
              <w:bottom w:val="single" w:sz="4" w:space="0" w:color="auto"/>
              <w:right w:val="nil"/>
            </w:tcBorders>
            <w:noWrap/>
            <w:vAlign w:val="bottom"/>
            <w:hideMark/>
          </w:tcPr>
          <w:p w:rsidR="00285D5B" w:rsidRPr="0054259D" w:rsidP="00E47629" w14:paraId="096A8B58" w14:textId="10F088B3">
            <w:pPr>
              <w:jc w:val="center"/>
              <w:rPr>
                <w:rFonts w:eastAsia="Times New Roman" w:cs="Times New Roman"/>
                <w:color w:val="000000"/>
                <w:szCs w:val="24"/>
              </w:rPr>
            </w:pPr>
            <w:r>
              <w:rPr>
                <w:rFonts w:eastAsia="Times New Roman" w:cs="Times New Roman"/>
                <w:color w:val="000000"/>
                <w:szCs w:val="24"/>
              </w:rPr>
              <w:t>7</w:t>
            </w:r>
            <w:r w:rsidR="005323C7">
              <w:rPr>
                <w:rFonts w:eastAsia="Times New Roman" w:cs="Times New Roman"/>
                <w:color w:val="000000"/>
                <w:szCs w:val="24"/>
              </w:rPr>
              <w:t>15</w:t>
            </w:r>
          </w:p>
        </w:tc>
        <w:tc>
          <w:tcPr>
            <w:tcW w:w="1176" w:type="dxa"/>
            <w:tcBorders>
              <w:top w:val="nil"/>
              <w:left w:val="nil"/>
              <w:bottom w:val="single" w:sz="4" w:space="0" w:color="auto"/>
              <w:right w:val="single" w:sz="4" w:space="0" w:color="auto"/>
            </w:tcBorders>
            <w:noWrap/>
            <w:vAlign w:val="bottom"/>
            <w:hideMark/>
          </w:tcPr>
          <w:p w:rsidR="00285D5B" w:rsidRPr="0054259D" w:rsidP="00E47629" w14:paraId="57706358" w14:textId="4AEC26B3">
            <w:pPr>
              <w:jc w:val="center"/>
              <w:rPr>
                <w:rFonts w:eastAsia="Times New Roman" w:cs="Times New Roman"/>
                <w:color w:val="000000"/>
                <w:szCs w:val="24"/>
              </w:rPr>
            </w:pPr>
            <w:r>
              <w:rPr>
                <w:rFonts w:eastAsia="Times New Roman" w:cs="Times New Roman"/>
                <w:color w:val="000000"/>
                <w:szCs w:val="24"/>
              </w:rPr>
              <w:t>2</w:t>
            </w:r>
            <w:r w:rsidR="005323C7">
              <w:rPr>
                <w:rFonts w:eastAsia="Times New Roman" w:cs="Times New Roman"/>
                <w:color w:val="000000"/>
                <w:szCs w:val="24"/>
              </w:rPr>
              <w:t>3</w:t>
            </w:r>
            <w:r>
              <w:rPr>
                <w:rFonts w:eastAsia="Times New Roman" w:cs="Times New Roman"/>
                <w:color w:val="000000"/>
                <w:szCs w:val="24"/>
              </w:rPr>
              <w:t>,</w:t>
            </w:r>
            <w:r w:rsidR="005323C7">
              <w:rPr>
                <w:rFonts w:eastAsia="Times New Roman" w:cs="Times New Roman"/>
                <w:color w:val="000000"/>
                <w:szCs w:val="24"/>
              </w:rPr>
              <w:t>121</w:t>
            </w:r>
          </w:p>
        </w:tc>
        <w:tc>
          <w:tcPr>
            <w:tcW w:w="1613" w:type="dxa"/>
            <w:tcBorders>
              <w:top w:val="nil"/>
              <w:left w:val="nil"/>
              <w:bottom w:val="single" w:sz="4" w:space="0" w:color="auto"/>
              <w:right w:val="nil"/>
            </w:tcBorders>
            <w:noWrap/>
            <w:vAlign w:val="bottom"/>
            <w:hideMark/>
          </w:tcPr>
          <w:p w:rsidR="00285D5B" w:rsidRPr="0054259D" w:rsidP="00E47629" w14:paraId="0D9FFF8A" w14:textId="61F0844F">
            <w:pPr>
              <w:jc w:val="center"/>
              <w:rPr>
                <w:rFonts w:eastAsia="Times New Roman" w:cs="Times New Roman"/>
                <w:color w:val="000000"/>
                <w:szCs w:val="24"/>
              </w:rPr>
            </w:pPr>
            <w:r>
              <w:rPr>
                <w:rFonts w:cs="Arial"/>
                <w:color w:val="000000"/>
              </w:rPr>
              <w:t>818</w:t>
            </w:r>
            <w:r w:rsidRPr="00EB431E" w:rsidR="00F26FFA">
              <w:rPr>
                <w:rFonts w:cs="Arial"/>
                <w:color w:val="000000"/>
              </w:rPr>
              <w:t>,</w:t>
            </w:r>
            <w:r>
              <w:rPr>
                <w:rFonts w:cs="Arial"/>
                <w:color w:val="000000"/>
              </w:rPr>
              <w:t>078</w:t>
            </w:r>
          </w:p>
        </w:tc>
        <w:tc>
          <w:tcPr>
            <w:tcW w:w="1613" w:type="dxa"/>
            <w:tcBorders>
              <w:top w:val="nil"/>
              <w:left w:val="nil"/>
              <w:bottom w:val="single" w:sz="4" w:space="0" w:color="auto"/>
              <w:right w:val="nil"/>
            </w:tcBorders>
            <w:noWrap/>
            <w:vAlign w:val="bottom"/>
            <w:hideMark/>
          </w:tcPr>
          <w:p w:rsidR="00285D5B" w:rsidRPr="0054259D" w:rsidP="00E47629" w14:paraId="4E1AF912" w14:textId="144DC83A">
            <w:pPr>
              <w:jc w:val="center"/>
              <w:rPr>
                <w:rFonts w:eastAsia="Times New Roman" w:cs="Times New Roman"/>
                <w:color w:val="000000"/>
                <w:szCs w:val="24"/>
              </w:rPr>
            </w:pPr>
            <w:r>
              <w:rPr>
                <w:rFonts w:eastAsia="Times New Roman" w:cs="Times New Roman"/>
                <w:color w:val="000000"/>
                <w:szCs w:val="24"/>
              </w:rPr>
              <w:t>505</w:t>
            </w:r>
            <w:r w:rsidR="00F26FFA">
              <w:rPr>
                <w:rFonts w:eastAsia="Times New Roman" w:cs="Times New Roman"/>
                <w:color w:val="000000"/>
                <w:szCs w:val="24"/>
              </w:rPr>
              <w:t>,</w:t>
            </w:r>
            <w:r>
              <w:rPr>
                <w:rFonts w:eastAsia="Times New Roman" w:cs="Times New Roman"/>
                <w:color w:val="000000"/>
                <w:szCs w:val="24"/>
              </w:rPr>
              <w:t>930</w:t>
            </w:r>
          </w:p>
        </w:tc>
        <w:tc>
          <w:tcPr>
            <w:tcW w:w="1613" w:type="dxa"/>
            <w:tcBorders>
              <w:top w:val="nil"/>
              <w:left w:val="nil"/>
              <w:bottom w:val="single" w:sz="4" w:space="0" w:color="auto"/>
              <w:right w:val="single" w:sz="4" w:space="0" w:color="auto"/>
            </w:tcBorders>
            <w:noWrap/>
            <w:vAlign w:val="bottom"/>
            <w:hideMark/>
          </w:tcPr>
          <w:p w:rsidR="00285D5B" w:rsidRPr="0054259D" w:rsidP="00E47629" w14:paraId="7BD1FA42" w14:textId="333FD6A1">
            <w:pPr>
              <w:jc w:val="center"/>
              <w:rPr>
                <w:rFonts w:eastAsia="Times New Roman" w:cs="Times New Roman"/>
                <w:color w:val="000000"/>
                <w:szCs w:val="24"/>
              </w:rPr>
            </w:pPr>
            <w:r>
              <w:rPr>
                <w:rFonts w:eastAsia="Times New Roman" w:cs="Times New Roman"/>
                <w:color w:val="000000"/>
                <w:szCs w:val="24"/>
              </w:rPr>
              <w:t>312</w:t>
            </w:r>
            <w:r w:rsidR="00F26FFA">
              <w:rPr>
                <w:rFonts w:eastAsia="Times New Roman" w:cs="Times New Roman"/>
                <w:color w:val="000000"/>
                <w:szCs w:val="24"/>
              </w:rPr>
              <w:t>,</w:t>
            </w:r>
            <w:r>
              <w:rPr>
                <w:rFonts w:eastAsia="Times New Roman" w:cs="Times New Roman"/>
                <w:color w:val="000000"/>
                <w:szCs w:val="24"/>
              </w:rPr>
              <w:t>148</w:t>
            </w:r>
          </w:p>
        </w:tc>
      </w:tr>
    </w:tbl>
    <w:p w:rsidR="00491C1E" w:rsidRPr="00E26EE5" w:rsidP="00D919D6" w14:paraId="18F9F380" w14:textId="77777777">
      <w:pPr>
        <w:pStyle w:val="Exhibitsource"/>
      </w:pPr>
      <w:r w:rsidRPr="00E26EE5">
        <w:t xml:space="preserve">Source(s): </w:t>
      </w:r>
      <w:r w:rsidRPr="00E26EE5">
        <w:br/>
        <w:t>National Center for Science and Engineering Statistics, Survey of Graduate Students and Postdoctorates in Science and Engineering.</w:t>
      </w:r>
    </w:p>
    <w:p w:rsidR="000B51D0" w:rsidRPr="006F30CA" w:rsidP="00444A0A" w14:paraId="228BF3BA" w14:textId="77777777">
      <w:pPr>
        <w:pStyle w:val="Heading3"/>
      </w:pPr>
      <w:bookmarkStart w:id="13" w:name="_Toc232083013"/>
      <w:r w:rsidRPr="006F30CA">
        <w:t>B.1.</w:t>
      </w:r>
      <w:r w:rsidRPr="006F30CA" w:rsidR="00003B74">
        <w:t>2</w:t>
      </w:r>
      <w:r w:rsidRPr="006F30CA">
        <w:tab/>
        <w:t>Response Rates</w:t>
      </w:r>
      <w:bookmarkEnd w:id="13"/>
      <w:r w:rsidRPr="006F30CA">
        <w:t xml:space="preserve"> </w:t>
      </w:r>
    </w:p>
    <w:p w:rsidR="00D919D6" w:rsidRPr="00845911" w:rsidP="00D919D6" w14:paraId="313AF054" w14:textId="792C5B6A">
      <w:pPr>
        <w:pStyle w:val="BodyText"/>
      </w:pPr>
      <w:r w:rsidRPr="00E13F58">
        <w:t xml:space="preserve">Exhibit </w:t>
      </w:r>
      <w:r w:rsidRPr="00E13F58" w:rsidR="006B3752">
        <w:t>1</w:t>
      </w:r>
      <w:r w:rsidR="006B3752">
        <w:t>1</w:t>
      </w:r>
      <w:r w:rsidRPr="00E13F58" w:rsidR="006B3752">
        <w:t xml:space="preserve"> </w:t>
      </w:r>
      <w:r w:rsidRPr="00E13F58">
        <w:t>displays</w:t>
      </w:r>
      <w:r w:rsidRPr="00C20E4A">
        <w:t xml:space="preserve"> unit, school, and institutional response rates for the 20</w:t>
      </w:r>
      <w:r w:rsidR="00434FBB">
        <w:t>22</w:t>
      </w:r>
      <w:r w:rsidRPr="00C20E4A">
        <w:t>-20</w:t>
      </w:r>
      <w:r>
        <w:t>2</w:t>
      </w:r>
      <w:r w:rsidR="00434FBB">
        <w:t>4</w:t>
      </w:r>
      <w:r w:rsidRPr="00C20E4A">
        <w:t xml:space="preserve"> </w:t>
      </w:r>
      <w:r>
        <w:t xml:space="preserve">GSS </w:t>
      </w:r>
      <w:r w:rsidRPr="00C20E4A">
        <w:t>survey</w:t>
      </w:r>
      <w:r w:rsidRPr="00C20E4A">
        <w:rPr>
          <w:spacing w:val="-5"/>
        </w:rPr>
        <w:t xml:space="preserve"> </w:t>
      </w:r>
      <w:r w:rsidRPr="00C20E4A">
        <w:t>cycles</w:t>
      </w:r>
      <w:r w:rsidRPr="00C20E4A" w:rsidR="00D671EE">
        <w:t>.</w:t>
      </w:r>
      <w:r w:rsidR="00D671EE">
        <w:t xml:space="preserve"> </w:t>
      </w:r>
      <w:r>
        <w:t>Total response rates (</w:t>
      </w:r>
      <w:r w:rsidR="00D671EE">
        <w:t>including</w:t>
      </w:r>
      <w:r>
        <w:t xml:space="preserve"> both complete and partial response</w:t>
      </w:r>
      <w:r w:rsidR="006B3752">
        <w:t>s</w:t>
      </w:r>
      <w:r>
        <w:t>) from GSS 202</w:t>
      </w:r>
      <w:r w:rsidR="00415ACC">
        <w:t>4</w:t>
      </w:r>
      <w:r>
        <w:t xml:space="preserve"> were high: 9</w:t>
      </w:r>
      <w:r w:rsidR="00415ACC">
        <w:t>3</w:t>
      </w:r>
      <w:r>
        <w:t>.</w:t>
      </w:r>
      <w:r w:rsidR="00415ACC">
        <w:t>7</w:t>
      </w:r>
      <w:r w:rsidR="006B3752">
        <w:t xml:space="preserve">% </w:t>
      </w:r>
      <w:r>
        <w:t>at the institution level, 9</w:t>
      </w:r>
      <w:r w:rsidR="00415ACC">
        <w:t>3</w:t>
      </w:r>
      <w:r>
        <w:t>.</w:t>
      </w:r>
      <w:r w:rsidR="00415ACC">
        <w:t>6</w:t>
      </w:r>
      <w:r w:rsidR="006B3752">
        <w:t xml:space="preserve">% </w:t>
      </w:r>
      <w:r>
        <w:t>at the school level, and 9</w:t>
      </w:r>
      <w:r w:rsidR="00415ACC">
        <w:t>7</w:t>
      </w:r>
      <w:r>
        <w:t>.</w:t>
      </w:r>
      <w:r w:rsidR="00415ACC">
        <w:t>8</w:t>
      </w:r>
      <w:r w:rsidR="006B3752">
        <w:t xml:space="preserve">% </w:t>
      </w:r>
      <w:r>
        <w:t>at the unit level. Response rates are projected to remain stable during the next three cycles</w:t>
      </w:r>
      <w:r w:rsidR="00921121">
        <w:t xml:space="preserve"> (202</w:t>
      </w:r>
      <w:r w:rsidR="00415ACC">
        <w:t>6</w:t>
      </w:r>
      <w:r w:rsidR="00921121">
        <w:t>-202</w:t>
      </w:r>
      <w:r w:rsidR="00415ACC">
        <w:t>8</w:t>
      </w:r>
      <w:r w:rsidR="00921121">
        <w:t>)</w:t>
      </w:r>
      <w:r>
        <w:t>.</w:t>
      </w:r>
      <w:r w:rsidR="00C41485">
        <w:t xml:space="preserve"> Complete responses are those where the coordinator provided data for all requested items while partial responses are those in which the coordinator left some data missing that was later imputed</w:t>
      </w:r>
      <w:r w:rsidR="00CB584C">
        <w:t xml:space="preserve"> (see </w:t>
      </w:r>
      <w:r w:rsidR="006B3752">
        <w:t>S</w:t>
      </w:r>
      <w:r w:rsidR="00CB584C">
        <w:t>ection B.3.2 for more information on response types).</w:t>
      </w:r>
      <w:r w:rsidR="0023468E">
        <w:t xml:space="preserve"> </w:t>
      </w:r>
      <w:bookmarkStart w:id="14" w:name="_Hlk225324671"/>
      <w:r w:rsidRPr="004E1F05">
        <w:t xml:space="preserve">All FFRDCs responded to the </w:t>
      </w:r>
      <w:r>
        <w:t>202</w:t>
      </w:r>
      <w:r w:rsidR="00082EA7">
        <w:t>3</w:t>
      </w:r>
      <w:r>
        <w:t xml:space="preserve"> </w:t>
      </w:r>
      <w:r w:rsidRPr="004E1F05">
        <w:t>survey, including all of the FFRDCs that employed postdocs in 20</w:t>
      </w:r>
      <w:r w:rsidR="00082EA7">
        <w:t>21</w:t>
      </w:r>
      <w:r w:rsidRPr="004E1F05">
        <w:t xml:space="preserve">. Thus, the overall FFRDC response rate was </w:t>
      </w:r>
      <w:r w:rsidR="00082EA7">
        <w:t>100.0</w:t>
      </w:r>
      <w:r w:rsidRPr="004E1F05">
        <w:t>%, and the response rate for FFRDCs that employed postdocs was 100</w:t>
      </w:r>
      <w:r w:rsidR="00082EA7">
        <w:t>.0</w:t>
      </w:r>
      <w:r w:rsidRPr="004E1F05">
        <w:t>%.</w:t>
      </w:r>
      <w:r w:rsidRPr="00845911" w:rsidR="00845911">
        <w:t xml:space="preserve"> </w:t>
      </w:r>
      <w:r w:rsidR="00845911">
        <w:t>The 20</w:t>
      </w:r>
      <w:r w:rsidR="00082EA7">
        <w:t>21</w:t>
      </w:r>
      <w:r w:rsidR="00845911">
        <w:t xml:space="preserve"> response rate was 95.</w:t>
      </w:r>
      <w:r w:rsidR="00082EA7">
        <w:t>3</w:t>
      </w:r>
      <w:r w:rsidR="00845911">
        <w:t>% overall.</w:t>
      </w:r>
    </w:p>
    <w:p w:rsidR="00E13F58" w:rsidRPr="00E13F58" w:rsidP="008E1E65" w14:paraId="41C6836A" w14:textId="1277D898">
      <w:pPr>
        <w:pStyle w:val="ExhibitTitle"/>
      </w:pPr>
      <w:bookmarkStart w:id="15" w:name="_Toc232083023"/>
      <w:bookmarkEnd w:id="14"/>
      <w:r w:rsidRPr="00E13F58">
        <w:t xml:space="preserve">Exhibit </w:t>
      </w:r>
      <w:r w:rsidR="00444AAF">
        <w:t>11</w:t>
      </w:r>
      <w:r w:rsidRPr="00E13F58">
        <w:t>.</w:t>
      </w:r>
      <w:r w:rsidR="003E1AAB">
        <w:tab/>
      </w:r>
      <w:r w:rsidRPr="00E13F58">
        <w:t>GSS Institution, School, and</w:t>
      </w:r>
      <w:r w:rsidRPr="001401DA">
        <w:t xml:space="preserve"> </w:t>
      </w:r>
      <w:r w:rsidRPr="00E13F58">
        <w:t>Unit Response Rates: 20</w:t>
      </w:r>
      <w:r w:rsidR="00434FBB">
        <w:t>22</w:t>
      </w:r>
      <w:r w:rsidR="00444AAF">
        <w:t>-20</w:t>
      </w:r>
      <w:r w:rsidRPr="00E13F58">
        <w:t>2</w:t>
      </w:r>
      <w:r w:rsidR="00434FBB">
        <w:t>4</w:t>
      </w:r>
      <w:bookmarkEnd w:id="15"/>
    </w:p>
    <w:tbl>
      <w:tblPr>
        <w:tblW w:w="9360" w:type="dxa"/>
        <w:tblLayout w:type="fixed"/>
        <w:tblCellMar>
          <w:left w:w="29" w:type="dxa"/>
          <w:right w:w="29" w:type="dxa"/>
        </w:tblCellMar>
        <w:tblLook w:val="04A0"/>
      </w:tblPr>
      <w:tblGrid>
        <w:gridCol w:w="1081"/>
        <w:gridCol w:w="919"/>
        <w:gridCol w:w="919"/>
        <w:gridCol w:w="923"/>
        <w:gridCol w:w="919"/>
        <w:gridCol w:w="919"/>
        <w:gridCol w:w="921"/>
        <w:gridCol w:w="919"/>
        <w:gridCol w:w="919"/>
        <w:gridCol w:w="921"/>
      </w:tblGrid>
      <w:tr w14:paraId="071BB402" w14:textId="77777777" w:rsidTr="00F371E9">
        <w:tblPrEx>
          <w:tblW w:w="9360" w:type="dxa"/>
          <w:tblLayout w:type="fixed"/>
          <w:tblCellMar>
            <w:left w:w="29" w:type="dxa"/>
            <w:right w:w="29" w:type="dxa"/>
          </w:tblCellMar>
          <w:tblLook w:val="04A0"/>
        </w:tblPrEx>
        <w:trPr>
          <w:cantSplit/>
          <w:tblHeader/>
        </w:trPr>
        <w:tc>
          <w:tcPr>
            <w:tcW w:w="577" w:type="pct"/>
            <w:vMerge w:val="restart"/>
            <w:tcBorders>
              <w:top w:val="single" w:sz="8" w:space="0" w:color="000000"/>
              <w:left w:val="single" w:sz="8" w:space="0" w:color="000000"/>
              <w:bottom w:val="single" w:sz="8" w:space="0" w:color="000000"/>
              <w:right w:val="single" w:sz="8" w:space="0" w:color="000000"/>
            </w:tcBorders>
            <w:vAlign w:val="center"/>
            <w:hideMark/>
          </w:tcPr>
          <w:p w:rsidR="00E13F58" w:rsidRPr="00D919D6" w:rsidP="008E1E65" w14:paraId="77AC50A5" w14:textId="77777777">
            <w:pPr>
              <w:keepNext/>
              <w:jc w:val="center"/>
              <w:rPr>
                <w:rFonts w:eastAsia="Times New Roman" w:cs="Times New Roman"/>
                <w:b/>
                <w:bCs/>
                <w:color w:val="000000"/>
                <w:sz w:val="22"/>
              </w:rPr>
            </w:pPr>
            <w:r w:rsidRPr="00D919D6">
              <w:rPr>
                <w:rFonts w:eastAsia="Times New Roman" w:cs="Times New Roman"/>
                <w:b/>
                <w:bCs/>
                <w:color w:val="000000"/>
                <w:sz w:val="22"/>
              </w:rPr>
              <w:t> </w:t>
            </w:r>
          </w:p>
        </w:tc>
        <w:tc>
          <w:tcPr>
            <w:tcW w:w="1475" w:type="pct"/>
            <w:gridSpan w:val="3"/>
            <w:tcBorders>
              <w:top w:val="single" w:sz="8" w:space="0" w:color="000000"/>
              <w:left w:val="single" w:sz="8" w:space="0" w:color="000000"/>
              <w:bottom w:val="single" w:sz="8" w:space="0" w:color="auto"/>
              <w:right w:val="single" w:sz="18" w:space="0" w:color="000000"/>
            </w:tcBorders>
            <w:vAlign w:val="center"/>
            <w:hideMark/>
          </w:tcPr>
          <w:p w:rsidR="00E13F58" w:rsidRPr="00D919D6" w:rsidP="000E7F60" w14:paraId="289ED3A9" w14:textId="77777777">
            <w:pPr>
              <w:jc w:val="center"/>
              <w:rPr>
                <w:rFonts w:eastAsia="Times New Roman" w:cs="Times New Roman"/>
                <w:b/>
                <w:bCs/>
                <w:color w:val="000000"/>
                <w:sz w:val="22"/>
              </w:rPr>
            </w:pPr>
            <w:r w:rsidRPr="00D919D6">
              <w:rPr>
                <w:rFonts w:eastAsia="Times New Roman" w:cs="Times New Roman"/>
                <w:b/>
                <w:bCs/>
                <w:color w:val="000000"/>
                <w:spacing w:val="-1"/>
                <w:sz w:val="22"/>
              </w:rPr>
              <w:t>Total Response</w:t>
            </w:r>
          </w:p>
        </w:tc>
        <w:tc>
          <w:tcPr>
            <w:tcW w:w="1474" w:type="pct"/>
            <w:gridSpan w:val="3"/>
            <w:tcBorders>
              <w:top w:val="single" w:sz="8" w:space="0" w:color="000000"/>
              <w:left w:val="single" w:sz="18" w:space="0" w:color="000000"/>
              <w:bottom w:val="single" w:sz="8" w:space="0" w:color="auto"/>
              <w:right w:val="single" w:sz="8" w:space="0" w:color="000000"/>
            </w:tcBorders>
            <w:vAlign w:val="center"/>
            <w:hideMark/>
          </w:tcPr>
          <w:p w:rsidR="00E13F58" w:rsidRPr="00D919D6" w:rsidP="000E7F60" w14:paraId="702ACED6" w14:textId="77777777">
            <w:pPr>
              <w:jc w:val="center"/>
              <w:rPr>
                <w:rFonts w:eastAsia="Times New Roman" w:cs="Times New Roman"/>
                <w:b/>
                <w:bCs/>
                <w:i/>
                <w:iCs/>
                <w:color w:val="000000"/>
                <w:sz w:val="22"/>
              </w:rPr>
            </w:pPr>
            <w:r w:rsidRPr="00D919D6">
              <w:rPr>
                <w:rFonts w:eastAsia="Times New Roman" w:cs="Times New Roman"/>
                <w:b/>
                <w:bCs/>
                <w:color w:val="000000"/>
                <w:spacing w:val="-1"/>
                <w:sz w:val="22"/>
              </w:rPr>
              <w:t xml:space="preserve">Complete </w:t>
            </w:r>
            <w:r w:rsidRPr="00D919D6" w:rsidR="001C4A64">
              <w:rPr>
                <w:rFonts w:eastAsia="Times New Roman" w:cs="Times New Roman"/>
                <w:b/>
                <w:bCs/>
                <w:color w:val="000000"/>
                <w:spacing w:val="-1"/>
                <w:sz w:val="22"/>
              </w:rPr>
              <w:t>Response</w:t>
            </w:r>
          </w:p>
        </w:tc>
        <w:tc>
          <w:tcPr>
            <w:tcW w:w="1474" w:type="pct"/>
            <w:gridSpan w:val="3"/>
            <w:tcBorders>
              <w:top w:val="single" w:sz="8" w:space="0" w:color="000000"/>
              <w:left w:val="nil"/>
              <w:bottom w:val="single" w:sz="8" w:space="0" w:color="auto"/>
              <w:right w:val="single" w:sz="8" w:space="0" w:color="000000"/>
            </w:tcBorders>
            <w:vAlign w:val="center"/>
          </w:tcPr>
          <w:p w:rsidR="00E13F58" w:rsidRPr="00D919D6" w:rsidP="000E7F60" w14:paraId="354DDCC8" w14:textId="77777777">
            <w:pPr>
              <w:jc w:val="center"/>
              <w:rPr>
                <w:rFonts w:eastAsia="Times New Roman" w:cs="Times New Roman"/>
                <w:b/>
                <w:bCs/>
                <w:color w:val="000000"/>
                <w:sz w:val="22"/>
              </w:rPr>
            </w:pPr>
            <w:r w:rsidRPr="00D919D6">
              <w:rPr>
                <w:rFonts w:eastAsia="Times New Roman" w:cs="Times New Roman"/>
                <w:b/>
                <w:bCs/>
                <w:color w:val="000000"/>
                <w:spacing w:val="-1"/>
                <w:sz w:val="22"/>
              </w:rPr>
              <w:t xml:space="preserve">Partial </w:t>
            </w:r>
            <w:r w:rsidRPr="00D919D6" w:rsidR="001C4A64">
              <w:rPr>
                <w:rFonts w:eastAsia="Times New Roman" w:cs="Times New Roman"/>
                <w:b/>
                <w:bCs/>
                <w:color w:val="000000"/>
                <w:spacing w:val="-1"/>
                <w:sz w:val="22"/>
              </w:rPr>
              <w:t>Response</w:t>
            </w:r>
          </w:p>
        </w:tc>
      </w:tr>
      <w:tr w14:paraId="364B9D58" w14:textId="77777777" w:rsidTr="00F371E9">
        <w:tblPrEx>
          <w:tblW w:w="9360" w:type="dxa"/>
          <w:tblLayout w:type="fixed"/>
          <w:tblCellMar>
            <w:left w:w="29" w:type="dxa"/>
            <w:right w:w="29" w:type="dxa"/>
          </w:tblCellMar>
          <w:tblLook w:val="04A0"/>
        </w:tblPrEx>
        <w:trPr>
          <w:cantSplit/>
          <w:tblHeader/>
        </w:trPr>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E13F58" w:rsidRPr="00D919D6" w:rsidP="008E1E65" w14:paraId="4CD571EA" w14:textId="77777777">
            <w:pPr>
              <w:keepNext/>
              <w:rPr>
                <w:rFonts w:eastAsia="Times New Roman" w:cs="Times New Roman"/>
                <w:b/>
                <w:bCs/>
                <w:color w:val="000000"/>
                <w:sz w:val="22"/>
              </w:rPr>
            </w:pPr>
          </w:p>
        </w:tc>
        <w:tc>
          <w:tcPr>
            <w:tcW w:w="491" w:type="pct"/>
            <w:tcBorders>
              <w:top w:val="nil"/>
              <w:left w:val="single" w:sz="8" w:space="0" w:color="000000"/>
              <w:bottom w:val="single" w:sz="8" w:space="0" w:color="auto"/>
              <w:right w:val="single" w:sz="8" w:space="0" w:color="auto"/>
            </w:tcBorders>
            <w:vAlign w:val="center"/>
          </w:tcPr>
          <w:p w:rsidR="00E13F58" w:rsidRPr="00D919D6" w:rsidP="000E7F60" w14:paraId="337FF8E6" w14:textId="1ABCEDAD">
            <w:pPr>
              <w:jc w:val="center"/>
              <w:rPr>
                <w:rFonts w:eastAsia="Times New Roman" w:cs="Times New Roman"/>
                <w:b/>
                <w:bCs/>
                <w:color w:val="000000"/>
                <w:sz w:val="22"/>
              </w:rPr>
            </w:pPr>
            <w:r w:rsidRPr="00D919D6">
              <w:rPr>
                <w:rFonts w:eastAsia="Times New Roman" w:cs="Times New Roman"/>
                <w:b/>
                <w:bCs/>
                <w:color w:val="000000"/>
                <w:sz w:val="22"/>
              </w:rPr>
              <w:t>20</w:t>
            </w:r>
            <w:r w:rsidRPr="00D919D6" w:rsidR="009E51E0">
              <w:rPr>
                <w:rFonts w:eastAsia="Times New Roman" w:cs="Times New Roman"/>
                <w:b/>
                <w:bCs/>
                <w:color w:val="000000"/>
                <w:sz w:val="22"/>
              </w:rPr>
              <w:t>22</w:t>
            </w:r>
          </w:p>
        </w:tc>
        <w:tc>
          <w:tcPr>
            <w:tcW w:w="491" w:type="pct"/>
            <w:tcBorders>
              <w:top w:val="nil"/>
              <w:left w:val="nil"/>
              <w:bottom w:val="single" w:sz="8" w:space="0" w:color="auto"/>
              <w:right w:val="single" w:sz="8" w:space="0" w:color="auto"/>
            </w:tcBorders>
            <w:vAlign w:val="center"/>
          </w:tcPr>
          <w:p w:rsidR="00E13F58" w:rsidRPr="00D919D6" w:rsidP="000E7F60" w14:paraId="4F7C4FB1" w14:textId="5CF6D100">
            <w:pPr>
              <w:jc w:val="center"/>
              <w:rPr>
                <w:rFonts w:eastAsia="Times New Roman" w:cs="Times New Roman"/>
                <w:b/>
                <w:bCs/>
                <w:color w:val="000000"/>
                <w:sz w:val="22"/>
              </w:rPr>
            </w:pPr>
            <w:r w:rsidRPr="00D919D6">
              <w:rPr>
                <w:rFonts w:eastAsia="Times New Roman" w:cs="Times New Roman"/>
                <w:b/>
                <w:bCs/>
                <w:color w:val="000000"/>
                <w:sz w:val="22"/>
              </w:rPr>
              <w:t>202</w:t>
            </w:r>
            <w:r w:rsidRPr="00D919D6" w:rsidR="009E51E0">
              <w:rPr>
                <w:rFonts w:eastAsia="Times New Roman" w:cs="Times New Roman"/>
                <w:b/>
                <w:bCs/>
                <w:color w:val="000000"/>
                <w:sz w:val="22"/>
              </w:rPr>
              <w:t>3</w:t>
            </w:r>
          </w:p>
        </w:tc>
        <w:tc>
          <w:tcPr>
            <w:tcW w:w="493" w:type="pct"/>
            <w:tcBorders>
              <w:top w:val="nil"/>
              <w:left w:val="nil"/>
              <w:bottom w:val="single" w:sz="8" w:space="0" w:color="auto"/>
              <w:right w:val="single" w:sz="18" w:space="0" w:color="000000"/>
            </w:tcBorders>
            <w:vAlign w:val="center"/>
          </w:tcPr>
          <w:p w:rsidR="00E13F58" w:rsidRPr="00D919D6" w:rsidP="000E7F60" w14:paraId="6F0A25B8" w14:textId="03BCCDF6">
            <w:pPr>
              <w:jc w:val="center"/>
              <w:rPr>
                <w:rFonts w:eastAsia="Times New Roman" w:cs="Times New Roman"/>
                <w:b/>
                <w:bCs/>
                <w:color w:val="000000"/>
                <w:sz w:val="22"/>
              </w:rPr>
            </w:pPr>
            <w:r w:rsidRPr="00D919D6">
              <w:rPr>
                <w:rFonts w:eastAsia="Times New Roman" w:cs="Times New Roman"/>
                <w:b/>
                <w:bCs/>
                <w:color w:val="000000"/>
                <w:sz w:val="22"/>
              </w:rPr>
              <w:t>202</w:t>
            </w:r>
            <w:r w:rsidRPr="00D919D6" w:rsidR="009E51E0">
              <w:rPr>
                <w:rFonts w:eastAsia="Times New Roman" w:cs="Times New Roman"/>
                <w:b/>
                <w:bCs/>
                <w:color w:val="000000"/>
                <w:sz w:val="22"/>
              </w:rPr>
              <w:t>4</w:t>
            </w:r>
          </w:p>
        </w:tc>
        <w:tc>
          <w:tcPr>
            <w:tcW w:w="491" w:type="pct"/>
            <w:tcBorders>
              <w:top w:val="nil"/>
              <w:left w:val="single" w:sz="18" w:space="0" w:color="000000"/>
              <w:bottom w:val="single" w:sz="8" w:space="0" w:color="auto"/>
              <w:right w:val="single" w:sz="8" w:space="0" w:color="auto"/>
            </w:tcBorders>
            <w:vAlign w:val="center"/>
          </w:tcPr>
          <w:p w:rsidR="00E13F58" w:rsidRPr="00D919D6" w:rsidP="000E7F60" w14:paraId="7355FDAD" w14:textId="7D360B7D">
            <w:pPr>
              <w:jc w:val="center"/>
              <w:rPr>
                <w:rFonts w:eastAsia="Times New Roman" w:cs="Times New Roman"/>
                <w:b/>
                <w:bCs/>
                <w:color w:val="000000"/>
                <w:sz w:val="22"/>
              </w:rPr>
            </w:pPr>
            <w:r w:rsidRPr="00D919D6">
              <w:rPr>
                <w:rFonts w:eastAsia="Times New Roman" w:cs="Times New Roman"/>
                <w:b/>
                <w:bCs/>
                <w:color w:val="000000"/>
                <w:sz w:val="22"/>
              </w:rPr>
              <w:t>20</w:t>
            </w:r>
            <w:r w:rsidRPr="00D919D6" w:rsidR="009E51E0">
              <w:rPr>
                <w:rFonts w:eastAsia="Times New Roman" w:cs="Times New Roman"/>
                <w:b/>
                <w:bCs/>
                <w:color w:val="000000"/>
                <w:sz w:val="22"/>
              </w:rPr>
              <w:t>22</w:t>
            </w:r>
          </w:p>
        </w:tc>
        <w:tc>
          <w:tcPr>
            <w:tcW w:w="491" w:type="pct"/>
            <w:tcBorders>
              <w:top w:val="nil"/>
              <w:left w:val="nil"/>
              <w:bottom w:val="single" w:sz="8" w:space="0" w:color="auto"/>
              <w:right w:val="single" w:sz="8" w:space="0" w:color="auto"/>
            </w:tcBorders>
            <w:vAlign w:val="center"/>
          </w:tcPr>
          <w:p w:rsidR="00E13F58" w:rsidRPr="00D919D6" w:rsidP="000E7F60" w14:paraId="44F1BD2C" w14:textId="1D63B24C">
            <w:pPr>
              <w:jc w:val="center"/>
              <w:rPr>
                <w:rFonts w:eastAsia="Times New Roman" w:cs="Times New Roman"/>
                <w:b/>
                <w:bCs/>
                <w:i/>
                <w:iCs/>
                <w:color w:val="000000"/>
                <w:sz w:val="22"/>
              </w:rPr>
            </w:pPr>
            <w:r w:rsidRPr="00D919D6">
              <w:rPr>
                <w:rFonts w:eastAsia="Times New Roman" w:cs="Times New Roman"/>
                <w:b/>
                <w:bCs/>
                <w:color w:val="000000"/>
                <w:sz w:val="22"/>
              </w:rPr>
              <w:t>202</w:t>
            </w:r>
            <w:r w:rsidRPr="00D919D6" w:rsidR="009E51E0">
              <w:rPr>
                <w:rFonts w:eastAsia="Times New Roman" w:cs="Times New Roman"/>
                <w:b/>
                <w:bCs/>
                <w:color w:val="000000"/>
                <w:sz w:val="22"/>
              </w:rPr>
              <w:t>3</w:t>
            </w:r>
          </w:p>
        </w:tc>
        <w:tc>
          <w:tcPr>
            <w:tcW w:w="492" w:type="pct"/>
            <w:tcBorders>
              <w:top w:val="nil"/>
              <w:left w:val="nil"/>
              <w:bottom w:val="single" w:sz="8" w:space="0" w:color="auto"/>
              <w:right w:val="single" w:sz="8" w:space="0" w:color="auto"/>
            </w:tcBorders>
            <w:noWrap/>
            <w:vAlign w:val="center"/>
          </w:tcPr>
          <w:p w:rsidR="00E13F58" w:rsidRPr="00D919D6" w:rsidP="000E7F60" w14:paraId="08F32D69" w14:textId="14BBD911">
            <w:pPr>
              <w:jc w:val="center"/>
              <w:rPr>
                <w:rFonts w:eastAsia="Times New Roman" w:cs="Times New Roman"/>
                <w:b/>
                <w:bCs/>
                <w:color w:val="000000"/>
                <w:sz w:val="22"/>
              </w:rPr>
            </w:pPr>
            <w:r w:rsidRPr="00D919D6">
              <w:rPr>
                <w:rFonts w:eastAsia="Times New Roman" w:cs="Times New Roman"/>
                <w:b/>
                <w:bCs/>
                <w:color w:val="000000"/>
                <w:sz w:val="22"/>
              </w:rPr>
              <w:t>202</w:t>
            </w:r>
            <w:r w:rsidRPr="00D919D6" w:rsidR="009E51E0">
              <w:rPr>
                <w:rFonts w:eastAsia="Times New Roman" w:cs="Times New Roman"/>
                <w:b/>
                <w:bCs/>
                <w:color w:val="000000"/>
                <w:sz w:val="22"/>
              </w:rPr>
              <w:t>4</w:t>
            </w:r>
          </w:p>
        </w:tc>
        <w:tc>
          <w:tcPr>
            <w:tcW w:w="491" w:type="pct"/>
            <w:tcBorders>
              <w:top w:val="single" w:sz="8" w:space="0" w:color="auto"/>
              <w:left w:val="nil"/>
              <w:bottom w:val="single" w:sz="8" w:space="0" w:color="auto"/>
              <w:right w:val="single" w:sz="6" w:space="0" w:color="auto"/>
            </w:tcBorders>
            <w:vAlign w:val="center"/>
          </w:tcPr>
          <w:p w:rsidR="00E13F58" w:rsidRPr="00D919D6" w:rsidP="000E7F60" w14:paraId="7421C240" w14:textId="05831149">
            <w:pPr>
              <w:jc w:val="center"/>
              <w:rPr>
                <w:rFonts w:eastAsia="Times New Roman" w:cs="Times New Roman"/>
                <w:b/>
                <w:bCs/>
                <w:color w:val="000000"/>
                <w:sz w:val="22"/>
              </w:rPr>
            </w:pPr>
            <w:r w:rsidRPr="00D919D6">
              <w:rPr>
                <w:rFonts w:eastAsia="Times New Roman" w:cs="Times New Roman"/>
                <w:b/>
                <w:bCs/>
                <w:color w:val="000000"/>
                <w:sz w:val="22"/>
              </w:rPr>
              <w:t>20</w:t>
            </w:r>
            <w:r w:rsidRPr="00D919D6" w:rsidR="009E51E0">
              <w:rPr>
                <w:rFonts w:eastAsia="Times New Roman" w:cs="Times New Roman"/>
                <w:b/>
                <w:bCs/>
                <w:color w:val="000000"/>
                <w:sz w:val="22"/>
              </w:rPr>
              <w:t>22</w:t>
            </w:r>
          </w:p>
        </w:tc>
        <w:tc>
          <w:tcPr>
            <w:tcW w:w="491" w:type="pct"/>
            <w:tcBorders>
              <w:top w:val="single" w:sz="8" w:space="0" w:color="auto"/>
              <w:left w:val="single" w:sz="6" w:space="0" w:color="auto"/>
              <w:bottom w:val="single" w:sz="8" w:space="0" w:color="auto"/>
              <w:right w:val="single" w:sz="6" w:space="0" w:color="auto"/>
            </w:tcBorders>
            <w:vAlign w:val="center"/>
          </w:tcPr>
          <w:p w:rsidR="00E13F58" w:rsidRPr="00D919D6" w:rsidP="000E7F60" w14:paraId="4E25F86D" w14:textId="103AC22A">
            <w:pPr>
              <w:jc w:val="center"/>
              <w:rPr>
                <w:rFonts w:eastAsia="Times New Roman" w:cs="Times New Roman"/>
                <w:b/>
                <w:bCs/>
                <w:color w:val="000000"/>
                <w:sz w:val="22"/>
              </w:rPr>
            </w:pPr>
            <w:r w:rsidRPr="00D919D6">
              <w:rPr>
                <w:rFonts w:eastAsia="Times New Roman" w:cs="Times New Roman"/>
                <w:b/>
                <w:bCs/>
                <w:color w:val="000000"/>
                <w:sz w:val="22"/>
              </w:rPr>
              <w:t>202</w:t>
            </w:r>
            <w:r w:rsidRPr="00D919D6" w:rsidR="009E51E0">
              <w:rPr>
                <w:rFonts w:eastAsia="Times New Roman" w:cs="Times New Roman"/>
                <w:b/>
                <w:bCs/>
                <w:color w:val="000000"/>
                <w:sz w:val="22"/>
              </w:rPr>
              <w:t>3</w:t>
            </w:r>
          </w:p>
        </w:tc>
        <w:tc>
          <w:tcPr>
            <w:tcW w:w="492" w:type="pct"/>
            <w:tcBorders>
              <w:top w:val="single" w:sz="8" w:space="0" w:color="auto"/>
              <w:left w:val="single" w:sz="6" w:space="0" w:color="auto"/>
              <w:bottom w:val="single" w:sz="8" w:space="0" w:color="auto"/>
              <w:right w:val="single" w:sz="8" w:space="0" w:color="auto"/>
            </w:tcBorders>
            <w:vAlign w:val="center"/>
          </w:tcPr>
          <w:p w:rsidR="00E13F58" w:rsidRPr="00D919D6" w:rsidP="000E7F60" w14:paraId="21B84C16" w14:textId="393771EA">
            <w:pPr>
              <w:jc w:val="center"/>
              <w:rPr>
                <w:rFonts w:eastAsia="Times New Roman" w:cs="Times New Roman"/>
                <w:b/>
                <w:bCs/>
                <w:color w:val="000000"/>
                <w:sz w:val="22"/>
              </w:rPr>
            </w:pPr>
            <w:r w:rsidRPr="00D919D6">
              <w:rPr>
                <w:rFonts w:eastAsia="Times New Roman" w:cs="Times New Roman"/>
                <w:b/>
                <w:bCs/>
                <w:color w:val="000000"/>
                <w:sz w:val="22"/>
              </w:rPr>
              <w:t>202</w:t>
            </w:r>
            <w:r w:rsidRPr="00D919D6" w:rsidR="009E51E0">
              <w:rPr>
                <w:rFonts w:eastAsia="Times New Roman" w:cs="Times New Roman"/>
                <w:b/>
                <w:bCs/>
                <w:color w:val="000000"/>
                <w:sz w:val="22"/>
              </w:rPr>
              <w:t>4</w:t>
            </w:r>
          </w:p>
        </w:tc>
      </w:tr>
      <w:tr w14:paraId="6CFA916C" w14:textId="77777777" w:rsidTr="00F371E9">
        <w:tblPrEx>
          <w:tblW w:w="9360" w:type="dxa"/>
          <w:tblLayout w:type="fixed"/>
          <w:tblCellMar>
            <w:left w:w="29" w:type="dxa"/>
            <w:right w:w="29" w:type="dxa"/>
          </w:tblCellMar>
          <w:tblLook w:val="04A0"/>
        </w:tblPrEx>
        <w:trPr>
          <w:cantSplit/>
        </w:trPr>
        <w:tc>
          <w:tcPr>
            <w:tcW w:w="577" w:type="pct"/>
            <w:vMerge w:val="restart"/>
            <w:tcBorders>
              <w:top w:val="single" w:sz="8" w:space="0" w:color="000000"/>
              <w:left w:val="single" w:sz="8" w:space="0" w:color="000000"/>
              <w:bottom w:val="single" w:sz="8" w:space="0" w:color="000000"/>
              <w:right w:val="single" w:sz="8" w:space="0" w:color="000000"/>
            </w:tcBorders>
            <w:vAlign w:val="center"/>
            <w:hideMark/>
          </w:tcPr>
          <w:p w:rsidR="00070A81" w:rsidRPr="00070A81" w:rsidP="008E1E65" w14:paraId="0DDFF909" w14:textId="77777777">
            <w:pPr>
              <w:keepNext/>
              <w:ind w:right="-10125"/>
              <w:rPr>
                <w:rFonts w:eastAsia="Times New Roman" w:cs="Times New Roman"/>
                <w:color w:val="000000"/>
                <w:sz w:val="22"/>
              </w:rPr>
            </w:pPr>
            <w:r w:rsidRPr="00070A81">
              <w:rPr>
                <w:rFonts w:eastAsia="Times New Roman" w:cs="Times New Roman"/>
                <w:color w:val="000000"/>
                <w:sz w:val="22"/>
              </w:rPr>
              <w:t>Institution</w:t>
            </w:r>
          </w:p>
        </w:tc>
        <w:tc>
          <w:tcPr>
            <w:tcW w:w="491" w:type="pct"/>
            <w:tcBorders>
              <w:top w:val="nil"/>
              <w:left w:val="single" w:sz="8" w:space="0" w:color="000000"/>
              <w:bottom w:val="nil"/>
              <w:right w:val="single" w:sz="8" w:space="0" w:color="auto"/>
            </w:tcBorders>
            <w:vAlign w:val="center"/>
          </w:tcPr>
          <w:p w:rsidR="00070A81" w:rsidRPr="00070A81" w:rsidP="000E7F60" w14:paraId="64618D5B" w14:textId="43C1806F">
            <w:pPr>
              <w:jc w:val="center"/>
              <w:rPr>
                <w:rFonts w:eastAsia="Times New Roman" w:cs="Times New Roman"/>
                <w:color w:val="000000"/>
                <w:sz w:val="22"/>
              </w:rPr>
            </w:pPr>
            <w:r w:rsidRPr="00070A81">
              <w:rPr>
                <w:rFonts w:eastAsia="Times New Roman" w:cs="Times New Roman"/>
                <w:color w:val="000000"/>
                <w:sz w:val="22"/>
              </w:rPr>
              <w:t>95.8%</w:t>
            </w:r>
          </w:p>
        </w:tc>
        <w:tc>
          <w:tcPr>
            <w:tcW w:w="491" w:type="pct"/>
            <w:tcBorders>
              <w:top w:val="nil"/>
              <w:left w:val="nil"/>
              <w:bottom w:val="nil"/>
              <w:right w:val="single" w:sz="8" w:space="0" w:color="auto"/>
            </w:tcBorders>
            <w:vAlign w:val="center"/>
          </w:tcPr>
          <w:p w:rsidR="00070A81" w:rsidRPr="00070A81" w:rsidP="000E7F60" w14:paraId="0D78DA04" w14:textId="6284F59A">
            <w:pPr>
              <w:jc w:val="center"/>
              <w:rPr>
                <w:rFonts w:eastAsia="Times New Roman" w:cs="Times New Roman"/>
                <w:color w:val="000000"/>
                <w:sz w:val="22"/>
              </w:rPr>
            </w:pPr>
            <w:r w:rsidRPr="00070A81">
              <w:rPr>
                <w:rFonts w:eastAsia="Times New Roman" w:cs="Times New Roman"/>
                <w:color w:val="000000"/>
                <w:sz w:val="22"/>
              </w:rPr>
              <w:t>95.5%</w:t>
            </w:r>
          </w:p>
        </w:tc>
        <w:tc>
          <w:tcPr>
            <w:tcW w:w="493" w:type="pct"/>
            <w:tcBorders>
              <w:top w:val="nil"/>
              <w:left w:val="nil"/>
              <w:bottom w:val="nil"/>
              <w:right w:val="single" w:sz="18" w:space="0" w:color="000000"/>
            </w:tcBorders>
            <w:vAlign w:val="center"/>
          </w:tcPr>
          <w:p w:rsidR="00070A81" w:rsidRPr="00070A81" w:rsidP="000E7F60" w14:paraId="70508BE4" w14:textId="1DA2448D">
            <w:pPr>
              <w:jc w:val="center"/>
              <w:rPr>
                <w:rFonts w:eastAsia="Times New Roman" w:cs="Times New Roman"/>
                <w:color w:val="000000"/>
                <w:sz w:val="22"/>
              </w:rPr>
            </w:pPr>
            <w:r w:rsidRPr="00070A81">
              <w:rPr>
                <w:rFonts w:eastAsia="Times New Roman" w:cs="Times New Roman"/>
                <w:color w:val="000000"/>
                <w:sz w:val="22"/>
              </w:rPr>
              <w:t>93.7%</w:t>
            </w:r>
          </w:p>
        </w:tc>
        <w:tc>
          <w:tcPr>
            <w:tcW w:w="491" w:type="pct"/>
            <w:tcBorders>
              <w:top w:val="nil"/>
              <w:left w:val="single" w:sz="18" w:space="0" w:color="000000"/>
              <w:bottom w:val="nil"/>
              <w:right w:val="single" w:sz="8" w:space="0" w:color="auto"/>
            </w:tcBorders>
            <w:vAlign w:val="center"/>
          </w:tcPr>
          <w:p w:rsidR="00070A81" w:rsidRPr="00070A81" w:rsidP="000E7F60" w14:paraId="5D138BC2" w14:textId="4C22A30E">
            <w:pPr>
              <w:jc w:val="center"/>
              <w:rPr>
                <w:rFonts w:eastAsia="Times New Roman" w:cs="Times New Roman"/>
                <w:color w:val="000000"/>
                <w:sz w:val="22"/>
              </w:rPr>
            </w:pPr>
            <w:r w:rsidRPr="00070A81">
              <w:rPr>
                <w:rFonts w:eastAsia="Times New Roman" w:cs="Times New Roman"/>
                <w:color w:val="000000"/>
                <w:sz w:val="22"/>
              </w:rPr>
              <w:t>95.7%</w:t>
            </w:r>
          </w:p>
        </w:tc>
        <w:tc>
          <w:tcPr>
            <w:tcW w:w="491" w:type="pct"/>
            <w:tcBorders>
              <w:top w:val="nil"/>
              <w:left w:val="nil"/>
              <w:bottom w:val="nil"/>
              <w:right w:val="single" w:sz="8" w:space="0" w:color="auto"/>
            </w:tcBorders>
            <w:vAlign w:val="center"/>
          </w:tcPr>
          <w:p w:rsidR="00070A81" w:rsidRPr="00070A81" w:rsidP="000E7F60" w14:paraId="51E57AE6" w14:textId="205DA064">
            <w:pPr>
              <w:jc w:val="center"/>
              <w:rPr>
                <w:rFonts w:eastAsia="Times New Roman" w:cs="Times New Roman"/>
                <w:color w:val="000000"/>
                <w:sz w:val="22"/>
              </w:rPr>
            </w:pPr>
            <w:r w:rsidRPr="00070A81">
              <w:rPr>
                <w:rFonts w:eastAsia="Times New Roman" w:cs="Times New Roman"/>
                <w:color w:val="000000"/>
                <w:sz w:val="22"/>
              </w:rPr>
              <w:t>94.8%</w:t>
            </w:r>
          </w:p>
        </w:tc>
        <w:tc>
          <w:tcPr>
            <w:tcW w:w="492" w:type="pct"/>
            <w:tcBorders>
              <w:top w:val="nil"/>
              <w:left w:val="nil"/>
              <w:bottom w:val="nil"/>
              <w:right w:val="single" w:sz="8" w:space="0" w:color="auto"/>
            </w:tcBorders>
            <w:noWrap/>
            <w:vAlign w:val="center"/>
          </w:tcPr>
          <w:p w:rsidR="00070A81" w:rsidRPr="00070A81" w:rsidP="000E7F60" w14:paraId="6BA8B932" w14:textId="79441E97">
            <w:pPr>
              <w:jc w:val="center"/>
              <w:rPr>
                <w:rFonts w:eastAsia="Times New Roman" w:cs="Times New Roman"/>
                <w:color w:val="000000"/>
                <w:sz w:val="22"/>
              </w:rPr>
            </w:pPr>
            <w:r w:rsidRPr="00070A81">
              <w:rPr>
                <w:rFonts w:eastAsia="Times New Roman" w:cs="Times New Roman"/>
                <w:color w:val="000000"/>
                <w:sz w:val="22"/>
              </w:rPr>
              <w:t>91.8%</w:t>
            </w:r>
          </w:p>
        </w:tc>
        <w:tc>
          <w:tcPr>
            <w:tcW w:w="491" w:type="pct"/>
            <w:tcBorders>
              <w:top w:val="nil"/>
              <w:left w:val="nil"/>
              <w:bottom w:val="nil"/>
              <w:right w:val="nil"/>
            </w:tcBorders>
            <w:vAlign w:val="center"/>
          </w:tcPr>
          <w:p w:rsidR="00070A81" w:rsidRPr="00070A81" w:rsidP="000E7F60" w14:paraId="42D5A5BB" w14:textId="45568376">
            <w:pPr>
              <w:jc w:val="center"/>
              <w:rPr>
                <w:rFonts w:eastAsia="Times New Roman" w:cs="Times New Roman"/>
                <w:color w:val="000000"/>
                <w:sz w:val="22"/>
              </w:rPr>
            </w:pPr>
            <w:r w:rsidRPr="00070A81">
              <w:rPr>
                <w:rFonts w:eastAsia="Times New Roman" w:cs="Times New Roman"/>
                <w:color w:val="000000"/>
                <w:sz w:val="22"/>
              </w:rPr>
              <w:t>0.1%</w:t>
            </w:r>
          </w:p>
        </w:tc>
        <w:tc>
          <w:tcPr>
            <w:tcW w:w="491" w:type="pct"/>
            <w:tcBorders>
              <w:top w:val="nil"/>
              <w:left w:val="single" w:sz="8" w:space="0" w:color="auto"/>
              <w:bottom w:val="nil"/>
              <w:right w:val="single" w:sz="8" w:space="0" w:color="auto"/>
            </w:tcBorders>
            <w:vAlign w:val="center"/>
          </w:tcPr>
          <w:p w:rsidR="00070A81" w:rsidRPr="00070A81" w:rsidP="000E7F60" w14:paraId="1943C66F" w14:textId="0A7AAFC6">
            <w:pPr>
              <w:jc w:val="center"/>
              <w:rPr>
                <w:rFonts w:eastAsia="Times New Roman" w:cs="Times New Roman"/>
                <w:color w:val="000000"/>
                <w:sz w:val="22"/>
              </w:rPr>
            </w:pPr>
            <w:r w:rsidRPr="00070A81">
              <w:rPr>
                <w:rFonts w:eastAsia="Times New Roman" w:cs="Times New Roman"/>
                <w:color w:val="000000"/>
                <w:sz w:val="22"/>
              </w:rPr>
              <w:t>0.7%</w:t>
            </w:r>
          </w:p>
        </w:tc>
        <w:tc>
          <w:tcPr>
            <w:tcW w:w="492" w:type="pct"/>
            <w:tcBorders>
              <w:top w:val="nil"/>
              <w:left w:val="nil"/>
              <w:bottom w:val="nil"/>
              <w:right w:val="single" w:sz="8" w:space="0" w:color="auto"/>
            </w:tcBorders>
            <w:noWrap/>
          </w:tcPr>
          <w:p w:rsidR="00070A81" w:rsidRPr="00070A81" w:rsidP="000E7F60" w14:paraId="58205F73" w14:textId="1FB5F70E">
            <w:pPr>
              <w:jc w:val="center"/>
              <w:rPr>
                <w:rFonts w:eastAsia="Times New Roman" w:cs="Times New Roman"/>
                <w:color w:val="000000"/>
                <w:sz w:val="22"/>
              </w:rPr>
            </w:pPr>
            <w:r w:rsidRPr="00070A81">
              <w:rPr>
                <w:rFonts w:eastAsia="Times New Roman" w:cs="Times New Roman"/>
                <w:color w:val="000000"/>
                <w:sz w:val="22"/>
              </w:rPr>
              <w:t>1.9%</w:t>
            </w:r>
          </w:p>
        </w:tc>
      </w:tr>
      <w:tr w14:paraId="1302C5AC" w14:textId="77777777" w:rsidTr="00F371E9">
        <w:tblPrEx>
          <w:tblW w:w="9360" w:type="dxa"/>
          <w:tblLayout w:type="fixed"/>
          <w:tblCellMar>
            <w:left w:w="29" w:type="dxa"/>
            <w:right w:w="29" w:type="dxa"/>
          </w:tblCellMar>
          <w:tblLook w:val="04A0"/>
        </w:tblPrEx>
        <w:trPr>
          <w:cantSplit/>
        </w:trPr>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070A81" w:rsidRPr="00070A81" w:rsidP="008E1E65" w14:paraId="63A9C37C" w14:textId="5C88C963">
            <w:pPr>
              <w:keepNext/>
              <w:rPr>
                <w:rFonts w:eastAsia="Times New Roman" w:cs="Times New Roman"/>
                <w:color w:val="000000"/>
                <w:sz w:val="22"/>
              </w:rPr>
            </w:pPr>
          </w:p>
        </w:tc>
        <w:tc>
          <w:tcPr>
            <w:tcW w:w="491" w:type="pct"/>
            <w:tcBorders>
              <w:top w:val="nil"/>
              <w:left w:val="single" w:sz="8" w:space="0" w:color="000000"/>
              <w:bottom w:val="single" w:sz="8" w:space="0" w:color="auto"/>
              <w:right w:val="single" w:sz="8" w:space="0" w:color="auto"/>
            </w:tcBorders>
            <w:vAlign w:val="center"/>
          </w:tcPr>
          <w:p w:rsidR="00070A81" w:rsidRPr="00070A81" w:rsidP="000E7F60" w14:paraId="02BD5194" w14:textId="22D38970">
            <w:pPr>
              <w:jc w:val="center"/>
              <w:rPr>
                <w:rFonts w:eastAsia="Times New Roman" w:cs="Times New Roman"/>
                <w:color w:val="000000"/>
                <w:sz w:val="22"/>
              </w:rPr>
            </w:pPr>
            <w:r w:rsidRPr="00070A81">
              <w:rPr>
                <w:rFonts w:eastAsia="Times New Roman" w:cs="Times New Roman"/>
                <w:color w:val="000000"/>
                <w:sz w:val="22"/>
              </w:rPr>
              <w:t>n=661</w:t>
            </w:r>
          </w:p>
        </w:tc>
        <w:tc>
          <w:tcPr>
            <w:tcW w:w="491" w:type="pct"/>
            <w:tcBorders>
              <w:top w:val="nil"/>
              <w:left w:val="nil"/>
              <w:bottom w:val="single" w:sz="8" w:space="0" w:color="auto"/>
              <w:right w:val="single" w:sz="8" w:space="0" w:color="auto"/>
            </w:tcBorders>
            <w:vAlign w:val="center"/>
          </w:tcPr>
          <w:p w:rsidR="00070A81" w:rsidRPr="00070A81" w:rsidP="000E7F60" w14:paraId="33EF52F7" w14:textId="284C4DC1">
            <w:pPr>
              <w:jc w:val="center"/>
              <w:rPr>
                <w:rFonts w:eastAsia="Times New Roman" w:cs="Times New Roman"/>
                <w:color w:val="000000"/>
                <w:sz w:val="22"/>
              </w:rPr>
            </w:pPr>
            <w:r w:rsidRPr="00070A81">
              <w:rPr>
                <w:rFonts w:eastAsia="Times New Roman" w:cs="Times New Roman"/>
                <w:color w:val="000000"/>
                <w:sz w:val="22"/>
              </w:rPr>
              <w:t>n=656</w:t>
            </w:r>
          </w:p>
        </w:tc>
        <w:tc>
          <w:tcPr>
            <w:tcW w:w="493" w:type="pct"/>
            <w:tcBorders>
              <w:top w:val="nil"/>
              <w:left w:val="nil"/>
              <w:bottom w:val="single" w:sz="8" w:space="0" w:color="auto"/>
              <w:right w:val="single" w:sz="18" w:space="0" w:color="000000"/>
            </w:tcBorders>
            <w:vAlign w:val="center"/>
          </w:tcPr>
          <w:p w:rsidR="00070A81" w:rsidRPr="00070A81" w:rsidP="000E7F60" w14:paraId="7F4E8A0C" w14:textId="124FA435">
            <w:pPr>
              <w:jc w:val="center"/>
              <w:rPr>
                <w:rFonts w:eastAsia="Times New Roman" w:cs="Times New Roman"/>
                <w:color w:val="000000"/>
                <w:sz w:val="22"/>
              </w:rPr>
            </w:pPr>
            <w:r w:rsidRPr="00070A81">
              <w:rPr>
                <w:rFonts w:eastAsia="Times New Roman" w:cs="Times New Roman"/>
                <w:color w:val="000000"/>
                <w:sz w:val="22"/>
              </w:rPr>
              <w:t>n=595</w:t>
            </w:r>
          </w:p>
        </w:tc>
        <w:tc>
          <w:tcPr>
            <w:tcW w:w="491" w:type="pct"/>
            <w:tcBorders>
              <w:top w:val="nil"/>
              <w:left w:val="single" w:sz="18" w:space="0" w:color="000000"/>
              <w:bottom w:val="single" w:sz="8" w:space="0" w:color="auto"/>
              <w:right w:val="single" w:sz="8" w:space="0" w:color="auto"/>
            </w:tcBorders>
            <w:vAlign w:val="center"/>
          </w:tcPr>
          <w:p w:rsidR="00070A81" w:rsidRPr="00070A81" w:rsidP="000E7F60" w14:paraId="0312E7AC" w14:textId="145B367C">
            <w:pPr>
              <w:jc w:val="center"/>
              <w:rPr>
                <w:rFonts w:eastAsia="Times New Roman" w:cs="Times New Roman"/>
                <w:color w:val="000000"/>
                <w:sz w:val="22"/>
              </w:rPr>
            </w:pPr>
            <w:r w:rsidRPr="00070A81">
              <w:rPr>
                <w:rFonts w:eastAsia="Times New Roman" w:cs="Times New Roman"/>
                <w:color w:val="000000"/>
                <w:sz w:val="22"/>
              </w:rPr>
              <w:t>n=660</w:t>
            </w:r>
          </w:p>
        </w:tc>
        <w:tc>
          <w:tcPr>
            <w:tcW w:w="491" w:type="pct"/>
            <w:tcBorders>
              <w:top w:val="nil"/>
              <w:left w:val="nil"/>
              <w:bottom w:val="single" w:sz="8" w:space="0" w:color="auto"/>
              <w:right w:val="single" w:sz="8" w:space="0" w:color="auto"/>
            </w:tcBorders>
            <w:vAlign w:val="center"/>
          </w:tcPr>
          <w:p w:rsidR="00070A81" w:rsidRPr="00070A81" w:rsidP="000E7F60" w14:paraId="074E67F6" w14:textId="0A45F37D">
            <w:pPr>
              <w:jc w:val="center"/>
              <w:rPr>
                <w:rFonts w:eastAsia="Times New Roman" w:cs="Times New Roman"/>
                <w:color w:val="000000"/>
                <w:sz w:val="22"/>
              </w:rPr>
            </w:pPr>
            <w:r w:rsidRPr="00070A81">
              <w:rPr>
                <w:rFonts w:eastAsia="Times New Roman" w:cs="Times New Roman"/>
                <w:color w:val="000000"/>
                <w:sz w:val="22"/>
              </w:rPr>
              <w:t>n=651</w:t>
            </w:r>
          </w:p>
        </w:tc>
        <w:tc>
          <w:tcPr>
            <w:tcW w:w="492" w:type="pct"/>
            <w:tcBorders>
              <w:top w:val="nil"/>
              <w:left w:val="nil"/>
              <w:bottom w:val="single" w:sz="8" w:space="0" w:color="auto"/>
              <w:right w:val="single" w:sz="8" w:space="0" w:color="auto"/>
            </w:tcBorders>
            <w:noWrap/>
            <w:vAlign w:val="center"/>
          </w:tcPr>
          <w:p w:rsidR="00070A81" w:rsidRPr="00070A81" w:rsidP="000E7F60" w14:paraId="65F6FDDE" w14:textId="389ABDFB">
            <w:pPr>
              <w:jc w:val="center"/>
              <w:rPr>
                <w:rFonts w:eastAsia="Times New Roman" w:cs="Times New Roman"/>
                <w:color w:val="000000"/>
                <w:sz w:val="22"/>
              </w:rPr>
            </w:pPr>
            <w:r w:rsidRPr="00070A81">
              <w:rPr>
                <w:rFonts w:eastAsia="Times New Roman" w:cs="Times New Roman"/>
                <w:color w:val="000000"/>
                <w:sz w:val="22"/>
              </w:rPr>
              <w:t>n=583</w:t>
            </w:r>
          </w:p>
        </w:tc>
        <w:tc>
          <w:tcPr>
            <w:tcW w:w="491" w:type="pct"/>
            <w:tcBorders>
              <w:top w:val="nil"/>
              <w:left w:val="nil"/>
              <w:bottom w:val="single" w:sz="8" w:space="0" w:color="auto"/>
              <w:right w:val="nil"/>
            </w:tcBorders>
            <w:vAlign w:val="center"/>
          </w:tcPr>
          <w:p w:rsidR="00070A81" w:rsidRPr="00070A81" w:rsidP="000E7F60" w14:paraId="4F7612A4" w14:textId="2377092C">
            <w:pPr>
              <w:jc w:val="center"/>
              <w:rPr>
                <w:rFonts w:eastAsia="Times New Roman" w:cs="Times New Roman"/>
                <w:color w:val="000000"/>
                <w:sz w:val="22"/>
              </w:rPr>
            </w:pPr>
            <w:r w:rsidRPr="00070A81">
              <w:rPr>
                <w:rFonts w:eastAsia="Times New Roman" w:cs="Times New Roman"/>
                <w:color w:val="000000"/>
                <w:sz w:val="22"/>
              </w:rPr>
              <w:t>n=1</w:t>
            </w:r>
          </w:p>
        </w:tc>
        <w:tc>
          <w:tcPr>
            <w:tcW w:w="491" w:type="pct"/>
            <w:tcBorders>
              <w:top w:val="nil"/>
              <w:left w:val="single" w:sz="8" w:space="0" w:color="auto"/>
              <w:bottom w:val="single" w:sz="8" w:space="0" w:color="auto"/>
              <w:right w:val="single" w:sz="8" w:space="0" w:color="auto"/>
            </w:tcBorders>
            <w:vAlign w:val="center"/>
          </w:tcPr>
          <w:p w:rsidR="00070A81" w:rsidRPr="00070A81" w:rsidP="000E7F60" w14:paraId="7FB608CC" w14:textId="28A79F4C">
            <w:pPr>
              <w:jc w:val="center"/>
              <w:rPr>
                <w:rFonts w:eastAsia="Times New Roman" w:cs="Times New Roman"/>
                <w:color w:val="000000"/>
                <w:sz w:val="22"/>
              </w:rPr>
            </w:pPr>
            <w:r w:rsidRPr="00070A81">
              <w:rPr>
                <w:rFonts w:eastAsia="Times New Roman" w:cs="Times New Roman"/>
                <w:color w:val="000000"/>
                <w:sz w:val="22"/>
              </w:rPr>
              <w:t>n=5</w:t>
            </w:r>
          </w:p>
        </w:tc>
        <w:tc>
          <w:tcPr>
            <w:tcW w:w="492" w:type="pct"/>
            <w:tcBorders>
              <w:top w:val="nil"/>
              <w:left w:val="nil"/>
              <w:bottom w:val="single" w:sz="8" w:space="0" w:color="auto"/>
              <w:right w:val="single" w:sz="8" w:space="0" w:color="auto"/>
            </w:tcBorders>
            <w:noWrap/>
            <w:vAlign w:val="center"/>
          </w:tcPr>
          <w:p w:rsidR="00070A81" w:rsidRPr="00070A81" w:rsidP="000E7F60" w14:paraId="057C778B" w14:textId="4196F6EF">
            <w:pPr>
              <w:jc w:val="center"/>
              <w:rPr>
                <w:rFonts w:eastAsia="Times New Roman" w:cs="Times New Roman"/>
                <w:color w:val="000000"/>
                <w:sz w:val="22"/>
              </w:rPr>
            </w:pPr>
            <w:r w:rsidRPr="00070A81">
              <w:rPr>
                <w:rFonts w:eastAsia="Times New Roman" w:cs="Times New Roman"/>
                <w:color w:val="000000"/>
                <w:sz w:val="22"/>
              </w:rPr>
              <w:t>n=12</w:t>
            </w:r>
          </w:p>
        </w:tc>
      </w:tr>
      <w:tr w14:paraId="35D1418F" w14:textId="77777777" w:rsidTr="00F371E9">
        <w:tblPrEx>
          <w:tblW w:w="9360" w:type="dxa"/>
          <w:tblLayout w:type="fixed"/>
          <w:tblCellMar>
            <w:left w:w="29" w:type="dxa"/>
            <w:right w:w="29" w:type="dxa"/>
          </w:tblCellMar>
          <w:tblLook w:val="04A0"/>
        </w:tblPrEx>
        <w:trPr>
          <w:cantSplit/>
        </w:trPr>
        <w:tc>
          <w:tcPr>
            <w:tcW w:w="577" w:type="pct"/>
            <w:vMerge w:val="restart"/>
            <w:tcBorders>
              <w:top w:val="single" w:sz="8" w:space="0" w:color="000000"/>
              <w:left w:val="single" w:sz="8" w:space="0" w:color="000000"/>
              <w:bottom w:val="single" w:sz="8" w:space="0" w:color="000000"/>
              <w:right w:val="single" w:sz="8" w:space="0" w:color="000000"/>
            </w:tcBorders>
            <w:vAlign w:val="center"/>
            <w:hideMark/>
          </w:tcPr>
          <w:p w:rsidR="00070A81" w:rsidRPr="00070A81" w:rsidP="00070A81" w14:paraId="6C661779" w14:textId="257E2C3D">
            <w:pPr>
              <w:keepNext/>
              <w:rPr>
                <w:rFonts w:eastAsia="Times New Roman" w:cs="Times New Roman"/>
                <w:color w:val="000000"/>
                <w:sz w:val="22"/>
              </w:rPr>
            </w:pPr>
            <w:r w:rsidRPr="00070A81">
              <w:rPr>
                <w:rFonts w:eastAsia="Times New Roman" w:cs="Times New Roman"/>
                <w:color w:val="000000"/>
                <w:sz w:val="22"/>
              </w:rPr>
              <w:t xml:space="preserve">School </w:t>
            </w:r>
          </w:p>
        </w:tc>
        <w:tc>
          <w:tcPr>
            <w:tcW w:w="491" w:type="pct"/>
            <w:tcBorders>
              <w:top w:val="nil"/>
              <w:left w:val="single" w:sz="8" w:space="0" w:color="000000"/>
              <w:bottom w:val="nil"/>
              <w:right w:val="single" w:sz="8" w:space="0" w:color="auto"/>
            </w:tcBorders>
            <w:vAlign w:val="center"/>
          </w:tcPr>
          <w:p w:rsidR="00070A81" w:rsidRPr="00070A81" w:rsidP="000E7F60" w14:paraId="239F5B72" w14:textId="3097460E">
            <w:pPr>
              <w:jc w:val="center"/>
              <w:rPr>
                <w:rFonts w:eastAsia="Times New Roman" w:cs="Times New Roman"/>
                <w:color w:val="000000"/>
                <w:sz w:val="22"/>
              </w:rPr>
            </w:pPr>
            <w:r w:rsidRPr="00070A81">
              <w:rPr>
                <w:rFonts w:eastAsia="Times New Roman" w:cs="Times New Roman"/>
                <w:color w:val="000000"/>
                <w:sz w:val="22"/>
              </w:rPr>
              <w:t>96.3%</w:t>
            </w:r>
          </w:p>
        </w:tc>
        <w:tc>
          <w:tcPr>
            <w:tcW w:w="491" w:type="pct"/>
            <w:tcBorders>
              <w:top w:val="nil"/>
              <w:left w:val="nil"/>
              <w:bottom w:val="nil"/>
              <w:right w:val="single" w:sz="8" w:space="0" w:color="auto"/>
            </w:tcBorders>
            <w:vAlign w:val="center"/>
          </w:tcPr>
          <w:p w:rsidR="00070A81" w:rsidRPr="00070A81" w:rsidP="000E7F60" w14:paraId="3383D9D7" w14:textId="33DF19B9">
            <w:pPr>
              <w:jc w:val="center"/>
              <w:rPr>
                <w:rFonts w:eastAsia="Times New Roman" w:cs="Times New Roman"/>
                <w:color w:val="000000"/>
                <w:sz w:val="22"/>
              </w:rPr>
            </w:pPr>
            <w:r w:rsidRPr="00070A81">
              <w:rPr>
                <w:rFonts w:eastAsia="Times New Roman" w:cs="Times New Roman"/>
                <w:color w:val="000000"/>
                <w:sz w:val="22"/>
              </w:rPr>
              <w:t>95.6%</w:t>
            </w:r>
          </w:p>
        </w:tc>
        <w:tc>
          <w:tcPr>
            <w:tcW w:w="493" w:type="pct"/>
            <w:tcBorders>
              <w:top w:val="nil"/>
              <w:left w:val="nil"/>
              <w:bottom w:val="nil"/>
              <w:right w:val="single" w:sz="18" w:space="0" w:color="000000"/>
            </w:tcBorders>
            <w:vAlign w:val="center"/>
          </w:tcPr>
          <w:p w:rsidR="00070A81" w:rsidRPr="00070A81" w:rsidP="000E7F60" w14:paraId="6448D423" w14:textId="14632FDD">
            <w:pPr>
              <w:jc w:val="center"/>
              <w:rPr>
                <w:rFonts w:eastAsia="Times New Roman" w:cs="Times New Roman"/>
                <w:color w:val="000000"/>
                <w:sz w:val="22"/>
              </w:rPr>
            </w:pPr>
            <w:r w:rsidRPr="00070A81">
              <w:rPr>
                <w:rFonts w:eastAsia="Times New Roman" w:cs="Times New Roman"/>
                <w:color w:val="000000"/>
                <w:sz w:val="22"/>
              </w:rPr>
              <w:t>93.6%</w:t>
            </w:r>
          </w:p>
        </w:tc>
        <w:tc>
          <w:tcPr>
            <w:tcW w:w="491" w:type="pct"/>
            <w:tcBorders>
              <w:top w:val="nil"/>
              <w:left w:val="single" w:sz="18" w:space="0" w:color="000000"/>
              <w:bottom w:val="nil"/>
              <w:right w:val="single" w:sz="8" w:space="0" w:color="auto"/>
            </w:tcBorders>
            <w:vAlign w:val="center"/>
          </w:tcPr>
          <w:p w:rsidR="00070A81" w:rsidRPr="00070A81" w:rsidP="000E7F60" w14:paraId="58FF240C" w14:textId="1548146D">
            <w:pPr>
              <w:jc w:val="center"/>
              <w:rPr>
                <w:rFonts w:eastAsia="Times New Roman" w:cs="Times New Roman"/>
                <w:color w:val="000000"/>
                <w:sz w:val="22"/>
              </w:rPr>
            </w:pPr>
            <w:r w:rsidRPr="00070A81">
              <w:rPr>
                <w:rFonts w:eastAsia="Times New Roman" w:cs="Times New Roman"/>
                <w:color w:val="000000"/>
                <w:sz w:val="22"/>
              </w:rPr>
              <w:t>95.7%</w:t>
            </w:r>
          </w:p>
        </w:tc>
        <w:tc>
          <w:tcPr>
            <w:tcW w:w="491" w:type="pct"/>
            <w:tcBorders>
              <w:top w:val="nil"/>
              <w:left w:val="nil"/>
              <w:bottom w:val="nil"/>
              <w:right w:val="single" w:sz="8" w:space="0" w:color="auto"/>
            </w:tcBorders>
            <w:vAlign w:val="center"/>
          </w:tcPr>
          <w:p w:rsidR="00070A81" w:rsidRPr="00070A81" w:rsidP="000E7F60" w14:paraId="4F16B853" w14:textId="1FCE7B3A">
            <w:pPr>
              <w:jc w:val="center"/>
              <w:rPr>
                <w:rFonts w:eastAsia="Times New Roman" w:cs="Times New Roman"/>
                <w:color w:val="000000"/>
                <w:sz w:val="22"/>
              </w:rPr>
            </w:pPr>
            <w:r w:rsidRPr="00070A81">
              <w:rPr>
                <w:rFonts w:eastAsia="Times New Roman" w:cs="Times New Roman"/>
                <w:color w:val="000000"/>
                <w:sz w:val="22"/>
              </w:rPr>
              <w:t>94.3%</w:t>
            </w:r>
          </w:p>
        </w:tc>
        <w:tc>
          <w:tcPr>
            <w:tcW w:w="492" w:type="pct"/>
            <w:tcBorders>
              <w:top w:val="nil"/>
              <w:left w:val="nil"/>
              <w:bottom w:val="nil"/>
              <w:right w:val="single" w:sz="8" w:space="0" w:color="auto"/>
            </w:tcBorders>
            <w:noWrap/>
            <w:vAlign w:val="center"/>
          </w:tcPr>
          <w:p w:rsidR="00070A81" w:rsidRPr="00070A81" w:rsidP="000E7F60" w14:paraId="35AA2B6F" w14:textId="5064543C">
            <w:pPr>
              <w:jc w:val="center"/>
              <w:rPr>
                <w:rFonts w:eastAsia="Times New Roman" w:cs="Times New Roman"/>
                <w:color w:val="000000"/>
                <w:sz w:val="22"/>
              </w:rPr>
            </w:pPr>
            <w:r w:rsidRPr="00070A81">
              <w:rPr>
                <w:rFonts w:eastAsia="Times New Roman" w:cs="Times New Roman"/>
                <w:color w:val="000000"/>
                <w:sz w:val="22"/>
              </w:rPr>
              <w:t>91.9%</w:t>
            </w:r>
          </w:p>
        </w:tc>
        <w:tc>
          <w:tcPr>
            <w:tcW w:w="491" w:type="pct"/>
            <w:tcBorders>
              <w:top w:val="nil"/>
              <w:left w:val="nil"/>
              <w:bottom w:val="nil"/>
              <w:right w:val="nil"/>
            </w:tcBorders>
            <w:vAlign w:val="center"/>
          </w:tcPr>
          <w:p w:rsidR="00070A81" w:rsidRPr="00070A81" w:rsidP="000E7F60" w14:paraId="5C510EA6" w14:textId="34005B56">
            <w:pPr>
              <w:jc w:val="center"/>
              <w:rPr>
                <w:rFonts w:eastAsia="Times New Roman" w:cs="Times New Roman"/>
                <w:color w:val="000000"/>
                <w:sz w:val="22"/>
              </w:rPr>
            </w:pPr>
            <w:r w:rsidRPr="00070A81">
              <w:rPr>
                <w:rFonts w:eastAsia="Times New Roman" w:cs="Times New Roman"/>
                <w:color w:val="000000"/>
                <w:sz w:val="22"/>
              </w:rPr>
              <w:t>0.5%</w:t>
            </w:r>
          </w:p>
        </w:tc>
        <w:tc>
          <w:tcPr>
            <w:tcW w:w="491" w:type="pct"/>
            <w:tcBorders>
              <w:top w:val="nil"/>
              <w:left w:val="single" w:sz="8" w:space="0" w:color="auto"/>
              <w:bottom w:val="nil"/>
              <w:right w:val="single" w:sz="8" w:space="0" w:color="auto"/>
            </w:tcBorders>
            <w:vAlign w:val="center"/>
          </w:tcPr>
          <w:p w:rsidR="00070A81" w:rsidRPr="00070A81" w:rsidP="000E7F60" w14:paraId="2CABE187" w14:textId="42472F4B">
            <w:pPr>
              <w:jc w:val="center"/>
              <w:rPr>
                <w:rFonts w:eastAsia="Times New Roman" w:cs="Times New Roman"/>
                <w:color w:val="000000"/>
                <w:sz w:val="22"/>
              </w:rPr>
            </w:pPr>
            <w:r w:rsidRPr="00070A81">
              <w:rPr>
                <w:rFonts w:eastAsia="Times New Roman" w:cs="Times New Roman"/>
                <w:color w:val="000000"/>
                <w:sz w:val="22"/>
              </w:rPr>
              <w:t>1.3%</w:t>
            </w:r>
          </w:p>
        </w:tc>
        <w:tc>
          <w:tcPr>
            <w:tcW w:w="492" w:type="pct"/>
            <w:tcBorders>
              <w:top w:val="nil"/>
              <w:left w:val="nil"/>
              <w:bottom w:val="nil"/>
              <w:right w:val="single" w:sz="8" w:space="0" w:color="auto"/>
            </w:tcBorders>
            <w:noWrap/>
          </w:tcPr>
          <w:p w:rsidR="00070A81" w:rsidRPr="00070A81" w:rsidP="000E7F60" w14:paraId="58F7CF1C" w14:textId="3FEE1CF9">
            <w:pPr>
              <w:jc w:val="center"/>
              <w:rPr>
                <w:rFonts w:eastAsia="Times New Roman" w:cs="Times New Roman"/>
                <w:color w:val="000000"/>
                <w:sz w:val="22"/>
              </w:rPr>
            </w:pPr>
            <w:r w:rsidRPr="00070A81">
              <w:rPr>
                <w:rFonts w:eastAsia="Times New Roman" w:cs="Times New Roman"/>
                <w:color w:val="000000"/>
                <w:sz w:val="22"/>
              </w:rPr>
              <w:t>1.7%</w:t>
            </w:r>
          </w:p>
        </w:tc>
      </w:tr>
      <w:tr w14:paraId="11F94493" w14:textId="77777777" w:rsidTr="00F371E9">
        <w:tblPrEx>
          <w:tblW w:w="9360" w:type="dxa"/>
          <w:tblLayout w:type="fixed"/>
          <w:tblCellMar>
            <w:left w:w="29" w:type="dxa"/>
            <w:right w:w="29" w:type="dxa"/>
          </w:tblCellMar>
          <w:tblLook w:val="04A0"/>
        </w:tblPrEx>
        <w:trPr>
          <w:cantSplit/>
        </w:trPr>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070A81" w:rsidRPr="00070A81" w:rsidP="008E1E65" w14:paraId="37CCE35E" w14:textId="6FB2418D">
            <w:pPr>
              <w:keepNext/>
              <w:rPr>
                <w:rFonts w:eastAsia="Times New Roman" w:cs="Times New Roman"/>
                <w:i/>
                <w:iCs/>
                <w:color w:val="000000"/>
                <w:sz w:val="22"/>
              </w:rPr>
            </w:pPr>
          </w:p>
        </w:tc>
        <w:tc>
          <w:tcPr>
            <w:tcW w:w="491" w:type="pct"/>
            <w:tcBorders>
              <w:top w:val="nil"/>
              <w:left w:val="single" w:sz="8" w:space="0" w:color="000000"/>
              <w:bottom w:val="single" w:sz="8" w:space="0" w:color="auto"/>
              <w:right w:val="single" w:sz="8" w:space="0" w:color="auto"/>
            </w:tcBorders>
            <w:vAlign w:val="center"/>
          </w:tcPr>
          <w:p w:rsidR="00070A81" w:rsidRPr="00070A81" w:rsidP="000E7F60" w14:paraId="4A3B4D83" w14:textId="2CDA564C">
            <w:pPr>
              <w:jc w:val="center"/>
              <w:rPr>
                <w:rFonts w:eastAsia="Times New Roman" w:cs="Times New Roman"/>
                <w:color w:val="000000"/>
                <w:sz w:val="22"/>
              </w:rPr>
            </w:pPr>
            <w:r w:rsidRPr="00070A81">
              <w:rPr>
                <w:rFonts w:eastAsia="Times New Roman" w:cs="Times New Roman"/>
                <w:color w:val="000000"/>
                <w:sz w:val="22"/>
              </w:rPr>
              <w:t>n=746</w:t>
            </w:r>
          </w:p>
        </w:tc>
        <w:tc>
          <w:tcPr>
            <w:tcW w:w="491" w:type="pct"/>
            <w:tcBorders>
              <w:top w:val="nil"/>
              <w:left w:val="nil"/>
              <w:bottom w:val="single" w:sz="8" w:space="0" w:color="auto"/>
              <w:right w:val="single" w:sz="8" w:space="0" w:color="auto"/>
            </w:tcBorders>
            <w:vAlign w:val="center"/>
          </w:tcPr>
          <w:p w:rsidR="00070A81" w:rsidRPr="00070A81" w:rsidP="000E7F60" w14:paraId="6019758D" w14:textId="4F2D7348">
            <w:pPr>
              <w:jc w:val="center"/>
              <w:rPr>
                <w:rFonts w:eastAsia="Times New Roman" w:cs="Times New Roman"/>
                <w:color w:val="000000"/>
                <w:sz w:val="22"/>
              </w:rPr>
            </w:pPr>
            <w:r w:rsidRPr="00070A81">
              <w:rPr>
                <w:rFonts w:eastAsia="Times New Roman" w:cs="Times New Roman"/>
                <w:color w:val="000000"/>
                <w:sz w:val="22"/>
              </w:rPr>
              <w:t>n=736</w:t>
            </w:r>
          </w:p>
        </w:tc>
        <w:tc>
          <w:tcPr>
            <w:tcW w:w="493" w:type="pct"/>
            <w:tcBorders>
              <w:top w:val="nil"/>
              <w:left w:val="nil"/>
              <w:bottom w:val="single" w:sz="8" w:space="0" w:color="auto"/>
              <w:right w:val="single" w:sz="18" w:space="0" w:color="000000"/>
            </w:tcBorders>
            <w:vAlign w:val="center"/>
          </w:tcPr>
          <w:p w:rsidR="00070A81" w:rsidRPr="00070A81" w:rsidP="000E7F60" w14:paraId="4BBF8FB1" w14:textId="1DAC6A8C">
            <w:pPr>
              <w:jc w:val="center"/>
              <w:rPr>
                <w:rFonts w:eastAsia="Times New Roman" w:cs="Times New Roman"/>
                <w:color w:val="000000"/>
                <w:sz w:val="22"/>
              </w:rPr>
            </w:pPr>
            <w:r w:rsidRPr="00070A81">
              <w:rPr>
                <w:rFonts w:eastAsia="Times New Roman" w:cs="Times New Roman"/>
                <w:color w:val="000000"/>
                <w:sz w:val="22"/>
              </w:rPr>
              <w:t>n=669</w:t>
            </w:r>
          </w:p>
        </w:tc>
        <w:tc>
          <w:tcPr>
            <w:tcW w:w="491" w:type="pct"/>
            <w:tcBorders>
              <w:top w:val="nil"/>
              <w:left w:val="single" w:sz="18" w:space="0" w:color="000000"/>
              <w:bottom w:val="single" w:sz="8" w:space="0" w:color="auto"/>
              <w:right w:val="single" w:sz="8" w:space="0" w:color="auto"/>
            </w:tcBorders>
            <w:vAlign w:val="center"/>
          </w:tcPr>
          <w:p w:rsidR="00070A81" w:rsidRPr="00070A81" w:rsidP="000E7F60" w14:paraId="0EF8619B" w14:textId="7A804B15">
            <w:pPr>
              <w:jc w:val="center"/>
              <w:rPr>
                <w:rFonts w:eastAsia="Times New Roman" w:cs="Times New Roman"/>
                <w:color w:val="000000"/>
                <w:sz w:val="22"/>
              </w:rPr>
            </w:pPr>
            <w:r w:rsidRPr="00070A81">
              <w:rPr>
                <w:rFonts w:eastAsia="Times New Roman" w:cs="Times New Roman"/>
                <w:color w:val="000000"/>
                <w:sz w:val="22"/>
              </w:rPr>
              <w:t>n=742</w:t>
            </w:r>
          </w:p>
        </w:tc>
        <w:tc>
          <w:tcPr>
            <w:tcW w:w="491" w:type="pct"/>
            <w:tcBorders>
              <w:top w:val="nil"/>
              <w:left w:val="nil"/>
              <w:bottom w:val="single" w:sz="8" w:space="0" w:color="auto"/>
              <w:right w:val="single" w:sz="8" w:space="0" w:color="auto"/>
            </w:tcBorders>
            <w:vAlign w:val="center"/>
          </w:tcPr>
          <w:p w:rsidR="00070A81" w:rsidRPr="00070A81" w:rsidP="000E7F60" w14:paraId="69C524CA" w14:textId="26CD56BF">
            <w:pPr>
              <w:jc w:val="center"/>
              <w:rPr>
                <w:rFonts w:eastAsia="Times New Roman" w:cs="Times New Roman"/>
                <w:color w:val="000000"/>
                <w:sz w:val="22"/>
              </w:rPr>
            </w:pPr>
            <w:r w:rsidRPr="00070A81">
              <w:rPr>
                <w:rFonts w:eastAsia="Times New Roman" w:cs="Times New Roman"/>
                <w:color w:val="000000"/>
                <w:sz w:val="22"/>
              </w:rPr>
              <w:t>n=726</w:t>
            </w:r>
          </w:p>
        </w:tc>
        <w:tc>
          <w:tcPr>
            <w:tcW w:w="492" w:type="pct"/>
            <w:tcBorders>
              <w:top w:val="nil"/>
              <w:left w:val="nil"/>
              <w:bottom w:val="single" w:sz="8" w:space="0" w:color="auto"/>
              <w:right w:val="single" w:sz="8" w:space="0" w:color="auto"/>
            </w:tcBorders>
            <w:noWrap/>
            <w:vAlign w:val="center"/>
          </w:tcPr>
          <w:p w:rsidR="00070A81" w:rsidRPr="00070A81" w:rsidP="000E7F60" w14:paraId="4B213D09" w14:textId="2E85A971">
            <w:pPr>
              <w:jc w:val="center"/>
              <w:rPr>
                <w:rFonts w:eastAsia="Times New Roman" w:cs="Times New Roman"/>
                <w:color w:val="000000"/>
                <w:sz w:val="22"/>
              </w:rPr>
            </w:pPr>
            <w:r w:rsidRPr="00070A81">
              <w:rPr>
                <w:rFonts w:eastAsia="Times New Roman" w:cs="Times New Roman"/>
                <w:color w:val="000000"/>
                <w:sz w:val="22"/>
              </w:rPr>
              <w:t>n=657</w:t>
            </w:r>
          </w:p>
        </w:tc>
        <w:tc>
          <w:tcPr>
            <w:tcW w:w="491" w:type="pct"/>
            <w:tcBorders>
              <w:top w:val="nil"/>
              <w:left w:val="nil"/>
              <w:bottom w:val="single" w:sz="8" w:space="0" w:color="auto"/>
              <w:right w:val="nil"/>
            </w:tcBorders>
            <w:vAlign w:val="center"/>
          </w:tcPr>
          <w:p w:rsidR="00070A81" w:rsidRPr="00070A81" w:rsidP="000E7F60" w14:paraId="552F7270" w14:textId="58C21589">
            <w:pPr>
              <w:jc w:val="center"/>
              <w:rPr>
                <w:rFonts w:eastAsia="Times New Roman" w:cs="Times New Roman"/>
                <w:color w:val="000000"/>
                <w:sz w:val="22"/>
              </w:rPr>
            </w:pPr>
            <w:r w:rsidRPr="00070A81">
              <w:rPr>
                <w:rFonts w:eastAsia="Times New Roman" w:cs="Times New Roman"/>
                <w:color w:val="000000"/>
                <w:sz w:val="22"/>
              </w:rPr>
              <w:t>n=4</w:t>
            </w:r>
          </w:p>
        </w:tc>
        <w:tc>
          <w:tcPr>
            <w:tcW w:w="491" w:type="pct"/>
            <w:tcBorders>
              <w:top w:val="nil"/>
              <w:left w:val="single" w:sz="8" w:space="0" w:color="auto"/>
              <w:bottom w:val="single" w:sz="8" w:space="0" w:color="auto"/>
              <w:right w:val="single" w:sz="8" w:space="0" w:color="auto"/>
            </w:tcBorders>
            <w:vAlign w:val="center"/>
          </w:tcPr>
          <w:p w:rsidR="00070A81" w:rsidRPr="00070A81" w:rsidP="000E7F60" w14:paraId="1846094F" w14:textId="28C11F88">
            <w:pPr>
              <w:jc w:val="center"/>
              <w:rPr>
                <w:rFonts w:eastAsia="Times New Roman" w:cs="Times New Roman"/>
                <w:color w:val="000000"/>
                <w:sz w:val="22"/>
              </w:rPr>
            </w:pPr>
            <w:r w:rsidRPr="00070A81">
              <w:rPr>
                <w:rFonts w:eastAsia="Times New Roman" w:cs="Times New Roman"/>
                <w:color w:val="000000"/>
                <w:sz w:val="22"/>
              </w:rPr>
              <w:t>n=10</w:t>
            </w:r>
          </w:p>
        </w:tc>
        <w:tc>
          <w:tcPr>
            <w:tcW w:w="492" w:type="pct"/>
            <w:tcBorders>
              <w:top w:val="nil"/>
              <w:left w:val="nil"/>
              <w:bottom w:val="single" w:sz="8" w:space="0" w:color="auto"/>
              <w:right w:val="single" w:sz="8" w:space="0" w:color="auto"/>
            </w:tcBorders>
            <w:noWrap/>
            <w:vAlign w:val="center"/>
          </w:tcPr>
          <w:p w:rsidR="00070A81" w:rsidRPr="00070A81" w:rsidP="000E7F60" w14:paraId="51DFCE46" w14:textId="13E37A6D">
            <w:pPr>
              <w:jc w:val="center"/>
              <w:rPr>
                <w:rFonts w:eastAsia="Times New Roman" w:cs="Times New Roman"/>
                <w:color w:val="000000"/>
                <w:sz w:val="22"/>
              </w:rPr>
            </w:pPr>
            <w:r w:rsidRPr="00070A81">
              <w:rPr>
                <w:rFonts w:eastAsia="Times New Roman" w:cs="Times New Roman"/>
                <w:color w:val="000000"/>
                <w:sz w:val="22"/>
              </w:rPr>
              <w:t>n=12</w:t>
            </w:r>
          </w:p>
        </w:tc>
      </w:tr>
      <w:tr w14:paraId="183B63EC" w14:textId="77777777" w:rsidTr="00F371E9">
        <w:tblPrEx>
          <w:tblW w:w="9360" w:type="dxa"/>
          <w:tblLayout w:type="fixed"/>
          <w:tblCellMar>
            <w:left w:w="29" w:type="dxa"/>
            <w:right w:w="29" w:type="dxa"/>
          </w:tblCellMar>
          <w:tblLook w:val="04A0"/>
        </w:tblPrEx>
        <w:trPr>
          <w:cantSplit/>
        </w:trPr>
        <w:tc>
          <w:tcPr>
            <w:tcW w:w="577" w:type="pct"/>
            <w:vMerge w:val="restart"/>
            <w:tcBorders>
              <w:top w:val="single" w:sz="8" w:space="0" w:color="000000"/>
              <w:left w:val="single" w:sz="8" w:space="0" w:color="000000"/>
              <w:bottom w:val="single" w:sz="8" w:space="0" w:color="000000"/>
              <w:right w:val="single" w:sz="8" w:space="0" w:color="000000"/>
            </w:tcBorders>
            <w:vAlign w:val="center"/>
            <w:hideMark/>
          </w:tcPr>
          <w:p w:rsidR="00E13F58" w:rsidRPr="00070A81" w:rsidP="008E1E65" w14:paraId="22C87985" w14:textId="77777777">
            <w:pPr>
              <w:keepNext/>
              <w:rPr>
                <w:rFonts w:eastAsia="Times New Roman" w:cs="Times New Roman"/>
                <w:color w:val="000000"/>
                <w:sz w:val="22"/>
              </w:rPr>
            </w:pPr>
            <w:r w:rsidRPr="00070A81">
              <w:rPr>
                <w:rFonts w:eastAsia="Times New Roman" w:cs="Times New Roman"/>
                <w:color w:val="000000"/>
                <w:sz w:val="22"/>
              </w:rPr>
              <w:t>Unit</w:t>
            </w:r>
          </w:p>
        </w:tc>
        <w:tc>
          <w:tcPr>
            <w:tcW w:w="491" w:type="pct"/>
            <w:tcBorders>
              <w:top w:val="single" w:sz="8" w:space="0" w:color="auto"/>
              <w:left w:val="single" w:sz="8" w:space="0" w:color="000000"/>
              <w:right w:val="single" w:sz="8" w:space="0" w:color="auto"/>
            </w:tcBorders>
            <w:vAlign w:val="center"/>
          </w:tcPr>
          <w:p w:rsidR="00E13F58" w:rsidRPr="00070A81" w:rsidP="000E7F60" w14:paraId="7FEAAD0B" w14:textId="5BA116EA">
            <w:pPr>
              <w:jc w:val="center"/>
              <w:rPr>
                <w:rFonts w:eastAsia="Times New Roman" w:cs="Times New Roman"/>
                <w:color w:val="000000"/>
                <w:sz w:val="22"/>
              </w:rPr>
            </w:pPr>
            <w:r w:rsidRPr="00070A81">
              <w:rPr>
                <w:rFonts w:eastAsia="Times New Roman" w:cs="Times New Roman"/>
                <w:color w:val="000000"/>
                <w:sz w:val="22"/>
              </w:rPr>
              <w:t>9</w:t>
            </w:r>
            <w:r w:rsidRPr="00070A81" w:rsidR="007F0371">
              <w:rPr>
                <w:rFonts w:eastAsia="Times New Roman" w:cs="Times New Roman"/>
                <w:color w:val="000000"/>
                <w:sz w:val="22"/>
              </w:rPr>
              <w:t>8</w:t>
            </w:r>
            <w:r w:rsidRPr="00070A81">
              <w:rPr>
                <w:rFonts w:eastAsia="Times New Roman" w:cs="Times New Roman"/>
                <w:color w:val="000000"/>
                <w:sz w:val="22"/>
              </w:rPr>
              <w:t>.</w:t>
            </w:r>
            <w:r w:rsidRPr="00070A81" w:rsidR="007F0371">
              <w:rPr>
                <w:rFonts w:eastAsia="Times New Roman" w:cs="Times New Roman"/>
                <w:color w:val="000000"/>
                <w:sz w:val="22"/>
              </w:rPr>
              <w:t>7</w:t>
            </w:r>
            <w:r w:rsidRPr="00070A81">
              <w:rPr>
                <w:rFonts w:eastAsia="Times New Roman" w:cs="Times New Roman"/>
                <w:color w:val="000000"/>
                <w:sz w:val="22"/>
              </w:rPr>
              <w:t>%</w:t>
            </w:r>
          </w:p>
        </w:tc>
        <w:tc>
          <w:tcPr>
            <w:tcW w:w="491" w:type="pct"/>
            <w:tcBorders>
              <w:top w:val="single" w:sz="8" w:space="0" w:color="auto"/>
              <w:left w:val="nil"/>
              <w:right w:val="single" w:sz="8" w:space="0" w:color="auto"/>
            </w:tcBorders>
            <w:vAlign w:val="center"/>
          </w:tcPr>
          <w:p w:rsidR="00E13F58" w:rsidRPr="00070A81" w:rsidP="000E7F60" w14:paraId="68FD7502" w14:textId="622ED150">
            <w:pPr>
              <w:jc w:val="center"/>
              <w:rPr>
                <w:rFonts w:eastAsia="Times New Roman" w:cs="Times New Roman"/>
                <w:color w:val="000000"/>
                <w:sz w:val="22"/>
              </w:rPr>
            </w:pPr>
            <w:r w:rsidRPr="00070A81">
              <w:rPr>
                <w:rFonts w:eastAsia="Times New Roman" w:cs="Times New Roman"/>
                <w:color w:val="000000"/>
                <w:sz w:val="22"/>
              </w:rPr>
              <w:t>9</w:t>
            </w:r>
            <w:r w:rsidRPr="00070A81" w:rsidR="007F0371">
              <w:rPr>
                <w:rFonts w:eastAsia="Times New Roman" w:cs="Times New Roman"/>
                <w:color w:val="000000"/>
                <w:sz w:val="22"/>
              </w:rPr>
              <w:t>7</w:t>
            </w:r>
            <w:r w:rsidRPr="00070A81">
              <w:rPr>
                <w:rFonts w:eastAsia="Times New Roman" w:cs="Times New Roman"/>
                <w:color w:val="000000"/>
                <w:sz w:val="22"/>
              </w:rPr>
              <w:t>.</w:t>
            </w:r>
            <w:r w:rsidRPr="00070A81" w:rsidR="007F0371">
              <w:rPr>
                <w:rFonts w:eastAsia="Times New Roman" w:cs="Times New Roman"/>
                <w:color w:val="000000"/>
                <w:sz w:val="22"/>
              </w:rPr>
              <w:t>8</w:t>
            </w:r>
            <w:r w:rsidRPr="00070A81">
              <w:rPr>
                <w:rFonts w:eastAsia="Times New Roman" w:cs="Times New Roman"/>
                <w:color w:val="000000"/>
                <w:sz w:val="22"/>
              </w:rPr>
              <w:t>%</w:t>
            </w:r>
          </w:p>
        </w:tc>
        <w:tc>
          <w:tcPr>
            <w:tcW w:w="493" w:type="pct"/>
            <w:tcBorders>
              <w:top w:val="single" w:sz="8" w:space="0" w:color="auto"/>
              <w:left w:val="nil"/>
              <w:right w:val="single" w:sz="18" w:space="0" w:color="000000"/>
            </w:tcBorders>
            <w:vAlign w:val="center"/>
          </w:tcPr>
          <w:p w:rsidR="00E13F58" w:rsidRPr="00070A81" w:rsidP="000E7F60" w14:paraId="5E7EAADC" w14:textId="39364485">
            <w:pPr>
              <w:jc w:val="center"/>
              <w:rPr>
                <w:rFonts w:eastAsia="Times New Roman" w:cs="Times New Roman"/>
                <w:color w:val="000000"/>
                <w:sz w:val="22"/>
              </w:rPr>
            </w:pPr>
            <w:r w:rsidRPr="00070A81">
              <w:rPr>
                <w:rFonts w:eastAsia="Times New Roman" w:cs="Times New Roman"/>
                <w:color w:val="000000"/>
                <w:sz w:val="22"/>
              </w:rPr>
              <w:t>9</w:t>
            </w:r>
            <w:r w:rsidRPr="00070A81" w:rsidR="00CF63D4">
              <w:rPr>
                <w:rFonts w:eastAsia="Times New Roman" w:cs="Times New Roman"/>
                <w:color w:val="000000"/>
                <w:sz w:val="22"/>
              </w:rPr>
              <w:t>7</w:t>
            </w:r>
            <w:r w:rsidRPr="00070A81">
              <w:rPr>
                <w:rFonts w:eastAsia="Times New Roman" w:cs="Times New Roman"/>
                <w:color w:val="000000"/>
                <w:sz w:val="22"/>
              </w:rPr>
              <w:t>.</w:t>
            </w:r>
            <w:r w:rsidRPr="00070A81" w:rsidR="00CF63D4">
              <w:rPr>
                <w:rFonts w:eastAsia="Times New Roman" w:cs="Times New Roman"/>
                <w:color w:val="000000"/>
                <w:sz w:val="22"/>
              </w:rPr>
              <w:t>8</w:t>
            </w:r>
            <w:r w:rsidRPr="00070A81">
              <w:rPr>
                <w:rFonts w:eastAsia="Times New Roman" w:cs="Times New Roman"/>
                <w:color w:val="000000"/>
                <w:sz w:val="22"/>
              </w:rPr>
              <w:t>%</w:t>
            </w:r>
          </w:p>
        </w:tc>
        <w:tc>
          <w:tcPr>
            <w:tcW w:w="491" w:type="pct"/>
            <w:tcBorders>
              <w:top w:val="single" w:sz="8" w:space="0" w:color="auto"/>
              <w:left w:val="single" w:sz="18" w:space="0" w:color="000000"/>
              <w:right w:val="single" w:sz="8" w:space="0" w:color="auto"/>
            </w:tcBorders>
            <w:vAlign w:val="center"/>
          </w:tcPr>
          <w:p w:rsidR="00E13F58" w:rsidRPr="00070A81" w:rsidP="000E7F60" w14:paraId="3C6DB1A8" w14:textId="71EF867E">
            <w:pPr>
              <w:jc w:val="center"/>
              <w:rPr>
                <w:rFonts w:eastAsia="Times New Roman" w:cs="Times New Roman"/>
                <w:color w:val="000000"/>
                <w:sz w:val="22"/>
              </w:rPr>
            </w:pPr>
            <w:r w:rsidRPr="00070A81">
              <w:rPr>
                <w:rFonts w:eastAsia="Times New Roman" w:cs="Times New Roman"/>
                <w:color w:val="000000"/>
                <w:sz w:val="22"/>
              </w:rPr>
              <w:t>84.</w:t>
            </w:r>
            <w:r w:rsidRPr="00070A81" w:rsidR="007F0371">
              <w:rPr>
                <w:rFonts w:eastAsia="Times New Roman" w:cs="Times New Roman"/>
                <w:color w:val="000000"/>
                <w:sz w:val="22"/>
              </w:rPr>
              <w:t>9</w:t>
            </w:r>
            <w:r w:rsidRPr="00070A81">
              <w:rPr>
                <w:rFonts w:eastAsia="Times New Roman" w:cs="Times New Roman"/>
                <w:color w:val="000000"/>
                <w:sz w:val="22"/>
              </w:rPr>
              <w:t>%</w:t>
            </w:r>
          </w:p>
        </w:tc>
        <w:tc>
          <w:tcPr>
            <w:tcW w:w="491" w:type="pct"/>
            <w:tcBorders>
              <w:top w:val="single" w:sz="8" w:space="0" w:color="auto"/>
              <w:left w:val="nil"/>
              <w:right w:val="single" w:sz="8" w:space="0" w:color="auto"/>
            </w:tcBorders>
            <w:vAlign w:val="center"/>
          </w:tcPr>
          <w:p w:rsidR="00E13F58" w:rsidRPr="00070A81" w:rsidP="000E7F60" w14:paraId="57455DE9" w14:textId="0D078A5C">
            <w:pPr>
              <w:jc w:val="center"/>
              <w:rPr>
                <w:rFonts w:eastAsia="Times New Roman" w:cs="Times New Roman"/>
                <w:color w:val="000000"/>
                <w:sz w:val="22"/>
              </w:rPr>
            </w:pPr>
            <w:r w:rsidRPr="00070A81">
              <w:rPr>
                <w:rFonts w:eastAsia="Times New Roman" w:cs="Times New Roman"/>
                <w:color w:val="000000"/>
                <w:sz w:val="22"/>
              </w:rPr>
              <w:t>8</w:t>
            </w:r>
            <w:r w:rsidRPr="00070A81" w:rsidR="007F0371">
              <w:rPr>
                <w:rFonts w:eastAsia="Times New Roman" w:cs="Times New Roman"/>
                <w:color w:val="000000"/>
                <w:sz w:val="22"/>
              </w:rPr>
              <w:t>2.8</w:t>
            </w:r>
            <w:r w:rsidRPr="00070A81">
              <w:rPr>
                <w:rFonts w:eastAsia="Times New Roman" w:cs="Times New Roman"/>
                <w:color w:val="000000"/>
                <w:sz w:val="22"/>
              </w:rPr>
              <w:t>%</w:t>
            </w:r>
          </w:p>
        </w:tc>
        <w:tc>
          <w:tcPr>
            <w:tcW w:w="492" w:type="pct"/>
            <w:tcBorders>
              <w:top w:val="single" w:sz="8" w:space="0" w:color="auto"/>
              <w:left w:val="nil"/>
              <w:right w:val="single" w:sz="8" w:space="0" w:color="auto"/>
            </w:tcBorders>
            <w:noWrap/>
            <w:vAlign w:val="center"/>
          </w:tcPr>
          <w:p w:rsidR="00E13F58" w:rsidRPr="00070A81" w:rsidP="000E7F60" w14:paraId="1B30925B" w14:textId="24F5245D">
            <w:pPr>
              <w:jc w:val="center"/>
              <w:rPr>
                <w:rFonts w:eastAsia="Times New Roman" w:cs="Times New Roman"/>
                <w:color w:val="000000"/>
                <w:sz w:val="22"/>
              </w:rPr>
            </w:pPr>
            <w:r w:rsidRPr="00070A81">
              <w:rPr>
                <w:rFonts w:eastAsia="Times New Roman" w:cs="Times New Roman"/>
                <w:color w:val="000000"/>
                <w:sz w:val="22"/>
              </w:rPr>
              <w:t>8</w:t>
            </w:r>
            <w:r w:rsidRPr="00070A81" w:rsidR="00CF63D4">
              <w:rPr>
                <w:rFonts w:eastAsia="Times New Roman" w:cs="Times New Roman"/>
                <w:color w:val="000000"/>
                <w:sz w:val="22"/>
              </w:rPr>
              <w:t>2</w:t>
            </w:r>
            <w:r w:rsidRPr="00070A81">
              <w:rPr>
                <w:rFonts w:eastAsia="Times New Roman" w:cs="Times New Roman"/>
                <w:color w:val="000000"/>
                <w:sz w:val="22"/>
              </w:rPr>
              <w:t>.</w:t>
            </w:r>
            <w:r w:rsidRPr="00070A81" w:rsidR="00CF63D4">
              <w:rPr>
                <w:rFonts w:eastAsia="Times New Roman" w:cs="Times New Roman"/>
                <w:color w:val="000000"/>
                <w:sz w:val="22"/>
              </w:rPr>
              <w:t>8</w:t>
            </w:r>
            <w:r w:rsidRPr="00070A81">
              <w:rPr>
                <w:rFonts w:eastAsia="Times New Roman" w:cs="Times New Roman"/>
                <w:color w:val="000000"/>
                <w:sz w:val="22"/>
              </w:rPr>
              <w:t>%</w:t>
            </w:r>
          </w:p>
        </w:tc>
        <w:tc>
          <w:tcPr>
            <w:tcW w:w="491" w:type="pct"/>
            <w:tcBorders>
              <w:top w:val="single" w:sz="8" w:space="0" w:color="auto"/>
              <w:left w:val="nil"/>
              <w:right w:val="nil"/>
            </w:tcBorders>
            <w:vAlign w:val="center"/>
          </w:tcPr>
          <w:p w:rsidR="00E13F58" w:rsidRPr="00070A81" w:rsidP="000E7F60" w14:paraId="316B7750" w14:textId="6B80DC6C">
            <w:pPr>
              <w:jc w:val="center"/>
              <w:rPr>
                <w:rFonts w:eastAsia="Times New Roman" w:cs="Times New Roman"/>
                <w:color w:val="000000"/>
                <w:sz w:val="22"/>
              </w:rPr>
            </w:pPr>
            <w:r w:rsidRPr="00070A81">
              <w:rPr>
                <w:rFonts w:eastAsia="Times New Roman" w:cs="Times New Roman"/>
                <w:color w:val="000000"/>
                <w:sz w:val="22"/>
              </w:rPr>
              <w:t>13.</w:t>
            </w:r>
            <w:r w:rsidRPr="00070A81" w:rsidR="007F0371">
              <w:rPr>
                <w:rFonts w:eastAsia="Times New Roman" w:cs="Times New Roman"/>
                <w:color w:val="000000"/>
                <w:sz w:val="22"/>
              </w:rPr>
              <w:t>8</w:t>
            </w:r>
            <w:r w:rsidRPr="00070A81">
              <w:rPr>
                <w:rFonts w:eastAsia="Times New Roman" w:cs="Times New Roman"/>
                <w:color w:val="000000"/>
                <w:sz w:val="22"/>
              </w:rPr>
              <w:t>%</w:t>
            </w:r>
          </w:p>
        </w:tc>
        <w:tc>
          <w:tcPr>
            <w:tcW w:w="491" w:type="pct"/>
            <w:tcBorders>
              <w:top w:val="single" w:sz="8" w:space="0" w:color="auto"/>
              <w:left w:val="single" w:sz="8" w:space="0" w:color="auto"/>
              <w:right w:val="single" w:sz="8" w:space="0" w:color="auto"/>
            </w:tcBorders>
            <w:vAlign w:val="center"/>
          </w:tcPr>
          <w:p w:rsidR="00E13F58" w:rsidRPr="00070A81" w:rsidP="000E7F60" w14:paraId="02CD1221" w14:textId="779B1165">
            <w:pPr>
              <w:jc w:val="center"/>
              <w:rPr>
                <w:rFonts w:eastAsia="Times New Roman" w:cs="Times New Roman"/>
                <w:color w:val="000000"/>
                <w:sz w:val="22"/>
              </w:rPr>
            </w:pPr>
            <w:r w:rsidRPr="00070A81">
              <w:rPr>
                <w:rFonts w:eastAsia="Times New Roman" w:cs="Times New Roman"/>
                <w:color w:val="000000"/>
                <w:sz w:val="22"/>
              </w:rPr>
              <w:t>1</w:t>
            </w:r>
            <w:r w:rsidRPr="00070A81" w:rsidR="007F0371">
              <w:rPr>
                <w:rFonts w:eastAsia="Times New Roman" w:cs="Times New Roman"/>
                <w:color w:val="000000"/>
                <w:sz w:val="22"/>
              </w:rPr>
              <w:t>5</w:t>
            </w:r>
            <w:r w:rsidRPr="00070A81">
              <w:rPr>
                <w:rFonts w:eastAsia="Times New Roman" w:cs="Times New Roman"/>
                <w:color w:val="000000"/>
                <w:sz w:val="22"/>
              </w:rPr>
              <w:t>.</w:t>
            </w:r>
            <w:r w:rsidRPr="00070A81" w:rsidR="007F0371">
              <w:rPr>
                <w:rFonts w:eastAsia="Times New Roman" w:cs="Times New Roman"/>
                <w:color w:val="000000"/>
                <w:sz w:val="22"/>
              </w:rPr>
              <w:t>0</w:t>
            </w:r>
            <w:r w:rsidRPr="00070A81">
              <w:rPr>
                <w:rFonts w:eastAsia="Times New Roman" w:cs="Times New Roman"/>
                <w:color w:val="000000"/>
                <w:sz w:val="22"/>
              </w:rPr>
              <w:t>%</w:t>
            </w:r>
          </w:p>
        </w:tc>
        <w:tc>
          <w:tcPr>
            <w:tcW w:w="492" w:type="pct"/>
            <w:tcBorders>
              <w:top w:val="single" w:sz="8" w:space="0" w:color="auto"/>
              <w:left w:val="nil"/>
              <w:right w:val="single" w:sz="8" w:space="0" w:color="auto"/>
            </w:tcBorders>
            <w:noWrap/>
          </w:tcPr>
          <w:p w:rsidR="00E13F58" w:rsidRPr="00070A81" w:rsidP="000E7F60" w14:paraId="103D3C34" w14:textId="3433FC5A">
            <w:pPr>
              <w:jc w:val="center"/>
              <w:rPr>
                <w:rFonts w:eastAsia="Times New Roman" w:cs="Times New Roman"/>
                <w:color w:val="000000"/>
                <w:sz w:val="22"/>
              </w:rPr>
            </w:pPr>
            <w:r w:rsidRPr="00070A81">
              <w:rPr>
                <w:rFonts w:eastAsia="Times New Roman" w:cs="Times New Roman"/>
                <w:color w:val="000000"/>
                <w:sz w:val="22"/>
              </w:rPr>
              <w:t>1</w:t>
            </w:r>
            <w:r w:rsidRPr="00070A81" w:rsidR="00CF63D4">
              <w:rPr>
                <w:rFonts w:eastAsia="Times New Roman" w:cs="Times New Roman"/>
                <w:color w:val="000000"/>
                <w:sz w:val="22"/>
              </w:rPr>
              <w:t>5</w:t>
            </w:r>
            <w:r w:rsidRPr="00070A81">
              <w:rPr>
                <w:rFonts w:eastAsia="Times New Roman" w:cs="Times New Roman"/>
                <w:color w:val="000000"/>
                <w:sz w:val="22"/>
              </w:rPr>
              <w:t>.</w:t>
            </w:r>
            <w:r w:rsidRPr="00070A81" w:rsidR="00CF63D4">
              <w:rPr>
                <w:rFonts w:eastAsia="Times New Roman" w:cs="Times New Roman"/>
                <w:color w:val="000000"/>
                <w:sz w:val="22"/>
              </w:rPr>
              <w:t>0</w:t>
            </w:r>
            <w:r w:rsidRPr="00070A81">
              <w:rPr>
                <w:rFonts w:eastAsia="Times New Roman" w:cs="Times New Roman"/>
                <w:color w:val="000000"/>
                <w:sz w:val="22"/>
              </w:rPr>
              <w:t>%</w:t>
            </w:r>
          </w:p>
        </w:tc>
      </w:tr>
      <w:tr w14:paraId="0C12BB2B" w14:textId="77777777" w:rsidTr="00F371E9">
        <w:tblPrEx>
          <w:tblW w:w="9360" w:type="dxa"/>
          <w:tblLayout w:type="fixed"/>
          <w:tblCellMar>
            <w:left w:w="29" w:type="dxa"/>
            <w:right w:w="29" w:type="dxa"/>
          </w:tblCellMar>
          <w:tblLook w:val="04A0"/>
        </w:tblPrEx>
        <w:trPr>
          <w:cantSplit/>
        </w:trPr>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E13F58" w:rsidRPr="00070A81" w:rsidP="000E7F60" w14:paraId="397514B9" w14:textId="77777777">
            <w:pPr>
              <w:rPr>
                <w:rFonts w:eastAsia="Times New Roman" w:cs="Times New Roman"/>
                <w:color w:val="000000"/>
                <w:sz w:val="22"/>
              </w:rPr>
            </w:pPr>
          </w:p>
        </w:tc>
        <w:tc>
          <w:tcPr>
            <w:tcW w:w="491" w:type="pct"/>
            <w:tcBorders>
              <w:top w:val="nil"/>
              <w:left w:val="single" w:sz="8" w:space="0" w:color="000000"/>
              <w:bottom w:val="single" w:sz="8" w:space="0" w:color="auto"/>
              <w:right w:val="single" w:sz="8" w:space="0" w:color="auto"/>
            </w:tcBorders>
            <w:vAlign w:val="center"/>
          </w:tcPr>
          <w:p w:rsidR="00E13F58" w:rsidRPr="00070A81" w:rsidP="000E7F60" w14:paraId="5BA8DBB1" w14:textId="3C1D2CEB">
            <w:pPr>
              <w:jc w:val="center"/>
              <w:rPr>
                <w:rFonts w:eastAsia="Times New Roman" w:cs="Times New Roman"/>
                <w:color w:val="000000"/>
                <w:sz w:val="22"/>
              </w:rPr>
            </w:pPr>
            <w:r w:rsidRPr="00070A81">
              <w:rPr>
                <w:rFonts w:eastAsia="Times New Roman" w:cs="Times New Roman"/>
                <w:color w:val="000000"/>
                <w:sz w:val="22"/>
              </w:rPr>
              <w:t>n=</w:t>
            </w:r>
            <w:r w:rsidRPr="00070A81" w:rsidR="007F0371">
              <w:rPr>
                <w:rFonts w:eastAsia="Times New Roman" w:cs="Times New Roman"/>
                <w:color w:val="000000"/>
                <w:sz w:val="22"/>
              </w:rPr>
              <w:t>22</w:t>
            </w:r>
            <w:r w:rsidRPr="00070A81">
              <w:rPr>
                <w:rFonts w:eastAsia="Times New Roman" w:cs="Times New Roman"/>
                <w:color w:val="000000"/>
                <w:sz w:val="22"/>
              </w:rPr>
              <w:t>,</w:t>
            </w:r>
            <w:r w:rsidRPr="00070A81" w:rsidR="007F0371">
              <w:rPr>
                <w:rFonts w:eastAsia="Times New Roman" w:cs="Times New Roman"/>
                <w:color w:val="000000"/>
                <w:sz w:val="22"/>
              </w:rPr>
              <w:t>227</w:t>
            </w:r>
          </w:p>
        </w:tc>
        <w:tc>
          <w:tcPr>
            <w:tcW w:w="491" w:type="pct"/>
            <w:tcBorders>
              <w:top w:val="nil"/>
              <w:left w:val="nil"/>
              <w:bottom w:val="single" w:sz="8" w:space="0" w:color="auto"/>
              <w:right w:val="single" w:sz="8" w:space="0" w:color="auto"/>
            </w:tcBorders>
            <w:vAlign w:val="center"/>
          </w:tcPr>
          <w:p w:rsidR="00E13F58" w:rsidRPr="00070A81" w:rsidP="000E7F60" w14:paraId="7800F103" w14:textId="2F51F855">
            <w:pPr>
              <w:jc w:val="center"/>
              <w:rPr>
                <w:rFonts w:eastAsia="Times New Roman" w:cs="Times New Roman"/>
                <w:color w:val="000000"/>
                <w:sz w:val="22"/>
              </w:rPr>
            </w:pPr>
            <w:r w:rsidRPr="00070A81">
              <w:rPr>
                <w:rFonts w:eastAsia="Times New Roman" w:cs="Times New Roman"/>
                <w:color w:val="000000"/>
                <w:sz w:val="22"/>
              </w:rPr>
              <w:t>n=2</w:t>
            </w:r>
            <w:r w:rsidRPr="00070A81" w:rsidR="007F0371">
              <w:rPr>
                <w:rFonts w:eastAsia="Times New Roman" w:cs="Times New Roman"/>
                <w:color w:val="000000"/>
                <w:sz w:val="22"/>
              </w:rPr>
              <w:t>2</w:t>
            </w:r>
            <w:r w:rsidRPr="00070A81">
              <w:rPr>
                <w:rFonts w:eastAsia="Times New Roman" w:cs="Times New Roman"/>
                <w:color w:val="000000"/>
                <w:sz w:val="22"/>
              </w:rPr>
              <w:t>,</w:t>
            </w:r>
            <w:r w:rsidRPr="00070A81" w:rsidR="007F0371">
              <w:rPr>
                <w:rFonts w:eastAsia="Times New Roman" w:cs="Times New Roman"/>
                <w:color w:val="000000"/>
                <w:sz w:val="22"/>
              </w:rPr>
              <w:t>308</w:t>
            </w:r>
          </w:p>
        </w:tc>
        <w:tc>
          <w:tcPr>
            <w:tcW w:w="493" w:type="pct"/>
            <w:tcBorders>
              <w:top w:val="nil"/>
              <w:left w:val="nil"/>
              <w:bottom w:val="single" w:sz="8" w:space="0" w:color="auto"/>
              <w:right w:val="single" w:sz="18" w:space="0" w:color="000000"/>
            </w:tcBorders>
            <w:vAlign w:val="center"/>
          </w:tcPr>
          <w:p w:rsidR="00E13F58" w:rsidRPr="00070A81" w:rsidP="000E7F60" w14:paraId="572AE684" w14:textId="718ACD44">
            <w:pPr>
              <w:jc w:val="center"/>
              <w:rPr>
                <w:rFonts w:eastAsia="Times New Roman" w:cs="Times New Roman"/>
                <w:color w:val="000000"/>
                <w:sz w:val="22"/>
              </w:rPr>
            </w:pPr>
            <w:r w:rsidRPr="00070A81">
              <w:rPr>
                <w:rFonts w:eastAsia="Times New Roman" w:cs="Times New Roman"/>
                <w:color w:val="000000"/>
                <w:sz w:val="22"/>
              </w:rPr>
              <w:t>n=2</w:t>
            </w:r>
            <w:r w:rsidRPr="00070A81" w:rsidR="00CF63D4">
              <w:rPr>
                <w:rFonts w:eastAsia="Times New Roman" w:cs="Times New Roman"/>
                <w:color w:val="000000"/>
                <w:sz w:val="22"/>
              </w:rPr>
              <w:t>2</w:t>
            </w:r>
            <w:r w:rsidRPr="00070A81">
              <w:rPr>
                <w:rFonts w:eastAsia="Times New Roman" w:cs="Times New Roman"/>
                <w:color w:val="000000"/>
                <w:sz w:val="22"/>
              </w:rPr>
              <w:t>,</w:t>
            </w:r>
            <w:r w:rsidRPr="00070A81" w:rsidR="00CF63D4">
              <w:rPr>
                <w:rFonts w:eastAsia="Times New Roman" w:cs="Times New Roman"/>
                <w:color w:val="000000"/>
                <w:sz w:val="22"/>
              </w:rPr>
              <w:t>609</w:t>
            </w:r>
          </w:p>
        </w:tc>
        <w:tc>
          <w:tcPr>
            <w:tcW w:w="491" w:type="pct"/>
            <w:tcBorders>
              <w:top w:val="nil"/>
              <w:left w:val="single" w:sz="18" w:space="0" w:color="000000"/>
              <w:bottom w:val="single" w:sz="8" w:space="0" w:color="auto"/>
              <w:right w:val="single" w:sz="8" w:space="0" w:color="auto"/>
            </w:tcBorders>
            <w:vAlign w:val="center"/>
          </w:tcPr>
          <w:p w:rsidR="00E13F58" w:rsidRPr="00070A81" w:rsidP="000E7F60" w14:paraId="23DA3B7C" w14:textId="7391D7BC">
            <w:pPr>
              <w:jc w:val="center"/>
              <w:rPr>
                <w:rFonts w:eastAsia="Times New Roman" w:cs="Times New Roman"/>
                <w:color w:val="000000"/>
                <w:sz w:val="22"/>
              </w:rPr>
            </w:pPr>
            <w:r w:rsidRPr="00070A81">
              <w:rPr>
                <w:rFonts w:eastAsia="Times New Roman" w:cs="Times New Roman"/>
                <w:color w:val="000000"/>
                <w:sz w:val="22"/>
              </w:rPr>
              <w:t>n=1</w:t>
            </w:r>
            <w:r w:rsidRPr="00070A81" w:rsidR="007F0371">
              <w:rPr>
                <w:rFonts w:eastAsia="Times New Roman" w:cs="Times New Roman"/>
                <w:color w:val="000000"/>
                <w:sz w:val="22"/>
              </w:rPr>
              <w:t>9</w:t>
            </w:r>
            <w:r w:rsidRPr="00070A81">
              <w:rPr>
                <w:rFonts w:eastAsia="Times New Roman" w:cs="Times New Roman"/>
                <w:color w:val="000000"/>
                <w:sz w:val="22"/>
              </w:rPr>
              <w:t>,</w:t>
            </w:r>
            <w:r w:rsidRPr="00070A81" w:rsidR="007F0371">
              <w:rPr>
                <w:rFonts w:eastAsia="Times New Roman" w:cs="Times New Roman"/>
                <w:color w:val="000000"/>
                <w:sz w:val="22"/>
              </w:rPr>
              <w:t>112</w:t>
            </w:r>
          </w:p>
        </w:tc>
        <w:tc>
          <w:tcPr>
            <w:tcW w:w="491" w:type="pct"/>
            <w:tcBorders>
              <w:top w:val="nil"/>
              <w:left w:val="nil"/>
              <w:bottom w:val="single" w:sz="8" w:space="0" w:color="auto"/>
              <w:right w:val="single" w:sz="8" w:space="0" w:color="auto"/>
            </w:tcBorders>
            <w:vAlign w:val="center"/>
          </w:tcPr>
          <w:p w:rsidR="00E13F58" w:rsidRPr="00070A81" w:rsidP="000E7F60" w14:paraId="0628BC3F" w14:textId="67F689F4">
            <w:pPr>
              <w:jc w:val="center"/>
              <w:rPr>
                <w:rFonts w:eastAsia="Times New Roman" w:cs="Times New Roman"/>
                <w:color w:val="000000"/>
                <w:sz w:val="22"/>
              </w:rPr>
            </w:pPr>
            <w:r w:rsidRPr="00070A81">
              <w:rPr>
                <w:rFonts w:eastAsia="Times New Roman" w:cs="Times New Roman"/>
                <w:color w:val="000000"/>
                <w:sz w:val="22"/>
              </w:rPr>
              <w:t>n=</w:t>
            </w:r>
            <w:r w:rsidRPr="00070A81" w:rsidR="007F0371">
              <w:rPr>
                <w:rFonts w:eastAsia="Times New Roman" w:cs="Times New Roman"/>
                <w:color w:val="000000"/>
                <w:sz w:val="22"/>
              </w:rPr>
              <w:t>18</w:t>
            </w:r>
            <w:r w:rsidRPr="00070A81">
              <w:rPr>
                <w:rFonts w:eastAsia="Times New Roman" w:cs="Times New Roman"/>
                <w:color w:val="000000"/>
                <w:sz w:val="22"/>
              </w:rPr>
              <w:t>,</w:t>
            </w:r>
            <w:r w:rsidRPr="00070A81" w:rsidR="007F0371">
              <w:rPr>
                <w:rFonts w:eastAsia="Times New Roman" w:cs="Times New Roman"/>
                <w:color w:val="000000"/>
                <w:sz w:val="22"/>
              </w:rPr>
              <w:t>891</w:t>
            </w:r>
          </w:p>
        </w:tc>
        <w:tc>
          <w:tcPr>
            <w:tcW w:w="492" w:type="pct"/>
            <w:tcBorders>
              <w:top w:val="nil"/>
              <w:left w:val="nil"/>
              <w:bottom w:val="single" w:sz="8" w:space="0" w:color="auto"/>
              <w:right w:val="single" w:sz="8" w:space="0" w:color="auto"/>
            </w:tcBorders>
            <w:noWrap/>
            <w:vAlign w:val="center"/>
          </w:tcPr>
          <w:p w:rsidR="00E13F58" w:rsidRPr="00070A81" w:rsidP="000E7F60" w14:paraId="63CA7934" w14:textId="2D122D05">
            <w:pPr>
              <w:jc w:val="center"/>
              <w:rPr>
                <w:rFonts w:eastAsia="Times New Roman" w:cs="Times New Roman"/>
                <w:color w:val="000000"/>
                <w:sz w:val="22"/>
              </w:rPr>
            </w:pPr>
            <w:r w:rsidRPr="00070A81">
              <w:rPr>
                <w:rFonts w:eastAsia="Times New Roman" w:cs="Times New Roman"/>
                <w:color w:val="000000"/>
                <w:sz w:val="22"/>
              </w:rPr>
              <w:t>n=1</w:t>
            </w:r>
            <w:r w:rsidRPr="00070A81" w:rsidR="00CF63D4">
              <w:rPr>
                <w:rFonts w:eastAsia="Times New Roman" w:cs="Times New Roman"/>
                <w:color w:val="000000"/>
                <w:sz w:val="22"/>
              </w:rPr>
              <w:t>9</w:t>
            </w:r>
            <w:r w:rsidRPr="00070A81">
              <w:rPr>
                <w:rFonts w:eastAsia="Times New Roman" w:cs="Times New Roman"/>
                <w:color w:val="000000"/>
                <w:sz w:val="22"/>
              </w:rPr>
              <w:t>,</w:t>
            </w:r>
            <w:r w:rsidRPr="00070A81" w:rsidR="00CF63D4">
              <w:rPr>
                <w:rFonts w:eastAsia="Times New Roman" w:cs="Times New Roman"/>
                <w:color w:val="000000"/>
                <w:sz w:val="22"/>
              </w:rPr>
              <w:t>146</w:t>
            </w:r>
          </w:p>
        </w:tc>
        <w:tc>
          <w:tcPr>
            <w:tcW w:w="491" w:type="pct"/>
            <w:tcBorders>
              <w:top w:val="nil"/>
              <w:left w:val="nil"/>
              <w:bottom w:val="single" w:sz="8" w:space="0" w:color="auto"/>
              <w:right w:val="nil"/>
            </w:tcBorders>
            <w:vAlign w:val="center"/>
          </w:tcPr>
          <w:p w:rsidR="00E13F58" w:rsidRPr="00070A81" w:rsidP="000E7F60" w14:paraId="6998A232" w14:textId="53B87ACF">
            <w:pPr>
              <w:jc w:val="center"/>
              <w:rPr>
                <w:rFonts w:eastAsia="Times New Roman" w:cs="Times New Roman"/>
                <w:color w:val="000000"/>
                <w:sz w:val="22"/>
              </w:rPr>
            </w:pPr>
            <w:r w:rsidRPr="00070A81">
              <w:rPr>
                <w:rFonts w:eastAsia="Times New Roman" w:cs="Times New Roman"/>
                <w:color w:val="000000"/>
                <w:sz w:val="22"/>
              </w:rPr>
              <w:t>n=</w:t>
            </w:r>
            <w:r w:rsidRPr="00070A81" w:rsidR="007F0371">
              <w:rPr>
                <w:rFonts w:eastAsia="Times New Roman" w:cs="Times New Roman"/>
                <w:color w:val="000000"/>
                <w:sz w:val="22"/>
              </w:rPr>
              <w:t>3</w:t>
            </w:r>
            <w:r w:rsidRPr="00070A81">
              <w:rPr>
                <w:rFonts w:eastAsia="Times New Roman" w:cs="Times New Roman"/>
                <w:color w:val="000000"/>
                <w:sz w:val="22"/>
              </w:rPr>
              <w:t>,</w:t>
            </w:r>
            <w:r w:rsidRPr="00070A81" w:rsidR="007F0371">
              <w:rPr>
                <w:rFonts w:eastAsia="Times New Roman" w:cs="Times New Roman"/>
                <w:color w:val="000000"/>
                <w:sz w:val="22"/>
              </w:rPr>
              <w:t>115</w:t>
            </w:r>
          </w:p>
        </w:tc>
        <w:tc>
          <w:tcPr>
            <w:tcW w:w="491" w:type="pct"/>
            <w:tcBorders>
              <w:top w:val="nil"/>
              <w:left w:val="single" w:sz="8" w:space="0" w:color="auto"/>
              <w:bottom w:val="single" w:sz="8" w:space="0" w:color="auto"/>
              <w:right w:val="single" w:sz="8" w:space="0" w:color="auto"/>
            </w:tcBorders>
            <w:vAlign w:val="center"/>
          </w:tcPr>
          <w:p w:rsidR="00E13F58" w:rsidRPr="00070A81" w:rsidP="000E7F60" w14:paraId="1F933DFE" w14:textId="712A5C7E">
            <w:pPr>
              <w:jc w:val="center"/>
              <w:rPr>
                <w:rFonts w:eastAsia="Times New Roman" w:cs="Times New Roman"/>
                <w:color w:val="000000"/>
                <w:sz w:val="22"/>
              </w:rPr>
            </w:pPr>
            <w:r w:rsidRPr="00070A81">
              <w:rPr>
                <w:rFonts w:eastAsia="Times New Roman" w:cs="Times New Roman"/>
                <w:color w:val="000000"/>
                <w:sz w:val="22"/>
              </w:rPr>
              <w:t>n=</w:t>
            </w:r>
            <w:r w:rsidRPr="00070A81" w:rsidR="007F0371">
              <w:rPr>
                <w:rFonts w:eastAsia="Times New Roman" w:cs="Times New Roman"/>
                <w:color w:val="000000"/>
                <w:sz w:val="22"/>
              </w:rPr>
              <w:t>3</w:t>
            </w:r>
            <w:r w:rsidRPr="00070A81">
              <w:rPr>
                <w:rFonts w:eastAsia="Times New Roman" w:cs="Times New Roman"/>
                <w:color w:val="000000"/>
                <w:sz w:val="22"/>
              </w:rPr>
              <w:t>,</w:t>
            </w:r>
            <w:r w:rsidRPr="00070A81" w:rsidR="007F0371">
              <w:rPr>
                <w:rFonts w:eastAsia="Times New Roman" w:cs="Times New Roman"/>
                <w:color w:val="000000"/>
                <w:sz w:val="22"/>
              </w:rPr>
              <w:t>417</w:t>
            </w:r>
          </w:p>
        </w:tc>
        <w:tc>
          <w:tcPr>
            <w:tcW w:w="492" w:type="pct"/>
            <w:tcBorders>
              <w:top w:val="nil"/>
              <w:left w:val="nil"/>
              <w:bottom w:val="single" w:sz="8" w:space="0" w:color="auto"/>
              <w:right w:val="single" w:sz="8" w:space="0" w:color="auto"/>
            </w:tcBorders>
            <w:noWrap/>
            <w:vAlign w:val="center"/>
          </w:tcPr>
          <w:p w:rsidR="00E13F58" w:rsidRPr="00070A81" w:rsidP="000E7F60" w14:paraId="6EBE0D57" w14:textId="726463B5">
            <w:pPr>
              <w:jc w:val="center"/>
              <w:rPr>
                <w:rFonts w:eastAsia="Times New Roman" w:cs="Times New Roman"/>
                <w:color w:val="000000"/>
                <w:sz w:val="22"/>
              </w:rPr>
            </w:pPr>
            <w:r w:rsidRPr="00070A81">
              <w:rPr>
                <w:rFonts w:eastAsia="Times New Roman" w:cs="Times New Roman"/>
                <w:color w:val="000000"/>
                <w:sz w:val="22"/>
              </w:rPr>
              <w:t>n=</w:t>
            </w:r>
            <w:r w:rsidRPr="00070A81" w:rsidR="00CF63D4">
              <w:rPr>
                <w:rFonts w:eastAsia="Times New Roman" w:cs="Times New Roman"/>
                <w:color w:val="000000"/>
                <w:sz w:val="22"/>
              </w:rPr>
              <w:t>3</w:t>
            </w:r>
            <w:r w:rsidRPr="00070A81">
              <w:rPr>
                <w:rFonts w:eastAsia="Times New Roman" w:cs="Times New Roman"/>
                <w:color w:val="000000"/>
                <w:sz w:val="22"/>
              </w:rPr>
              <w:t>,</w:t>
            </w:r>
            <w:r w:rsidRPr="00070A81" w:rsidR="00CF63D4">
              <w:rPr>
                <w:rFonts w:eastAsia="Times New Roman" w:cs="Times New Roman"/>
                <w:color w:val="000000"/>
                <w:sz w:val="22"/>
              </w:rPr>
              <w:t>463</w:t>
            </w:r>
          </w:p>
        </w:tc>
      </w:tr>
    </w:tbl>
    <w:p w:rsidR="00E13F58" w:rsidRPr="00D919D6" w:rsidP="00D919D6" w14:paraId="1DC8036D" w14:textId="77777777">
      <w:pPr>
        <w:pStyle w:val="Exhibitsource"/>
      </w:pPr>
      <w:r w:rsidRPr="00D919D6">
        <w:t xml:space="preserve">Source(s): </w:t>
      </w:r>
      <w:r w:rsidRPr="00D919D6">
        <w:br/>
        <w:t>National Center for Science and Engineering Statistics, Survey of Graduate Students and Postdoctorates in Science and Engineering.</w:t>
      </w:r>
    </w:p>
    <w:p w:rsidR="00CF2CBC" w:rsidRPr="00C20E4A" w:rsidP="00444A0A" w14:paraId="1D3836DB" w14:textId="77777777">
      <w:pPr>
        <w:pStyle w:val="Heading2"/>
        <w:rPr>
          <w:bCs/>
        </w:rPr>
      </w:pPr>
      <w:bookmarkStart w:id="16" w:name="_Toc488074620"/>
      <w:bookmarkStart w:id="17" w:name="_Toc232083014"/>
      <w:bookmarkEnd w:id="12"/>
      <w:r w:rsidRPr="00C20E4A">
        <w:t>B.2</w:t>
      </w:r>
      <w:r w:rsidRPr="00C20E4A">
        <w:tab/>
      </w:r>
      <w:r w:rsidR="008E2E6C">
        <w:t>Information Collection</w:t>
      </w:r>
      <w:bookmarkEnd w:id="16"/>
      <w:bookmarkEnd w:id="17"/>
    </w:p>
    <w:p w:rsidR="00CF2CBC" w:rsidRPr="00C20E4A" w:rsidP="00444A0A" w14:paraId="109D2343" w14:textId="0B12C09A">
      <w:pPr>
        <w:pStyle w:val="BodyText"/>
      </w:pPr>
      <w:r w:rsidRPr="00C20E4A">
        <w:t>Each institution has one or more</w:t>
      </w:r>
      <w:r w:rsidR="005D6226">
        <w:t xml:space="preserve"> school coordinators</w:t>
      </w:r>
      <w:r w:rsidRPr="00C20E4A">
        <w:t xml:space="preserve"> </w:t>
      </w:r>
      <w:r w:rsidR="005D6226">
        <w:t>(</w:t>
      </w:r>
      <w:r w:rsidR="00DB4FE0">
        <w:t>SCs</w:t>
      </w:r>
      <w:r w:rsidR="005D6226">
        <w:t>)</w:t>
      </w:r>
      <w:r w:rsidRPr="00C20E4A">
        <w:t xml:space="preserve"> that</w:t>
      </w:r>
      <w:r w:rsidRPr="00C20E4A">
        <w:rPr>
          <w:spacing w:val="2"/>
        </w:rPr>
        <w:t xml:space="preserve"> </w:t>
      </w:r>
      <w:r w:rsidRPr="00C20E4A">
        <w:t>manage data collection activities. Some</w:t>
      </w:r>
      <w:r w:rsidRPr="00C20E4A" w:rsidR="001F48E3">
        <w:t xml:space="preserve"> </w:t>
      </w:r>
      <w:r w:rsidRPr="00C20E4A">
        <w:t>institutions have separate</w:t>
      </w:r>
      <w:r w:rsidRPr="00C20E4A">
        <w:rPr>
          <w:spacing w:val="1"/>
        </w:rPr>
        <w:t xml:space="preserve"> </w:t>
      </w:r>
      <w:r w:rsidRPr="00C20E4A">
        <w:t>coordinators for the</w:t>
      </w:r>
      <w:r w:rsidRPr="00C20E4A">
        <w:rPr>
          <w:spacing w:val="1"/>
        </w:rPr>
        <w:t xml:space="preserve"> </w:t>
      </w:r>
      <w:r w:rsidRPr="00C20E4A">
        <w:t>graduate en</w:t>
      </w:r>
      <w:r w:rsidRPr="00C20E4A" w:rsidR="001F48E3">
        <w:t xml:space="preserve">rollment section and the postdoc </w:t>
      </w:r>
      <w:r w:rsidRPr="00C20E4A">
        <w:t>section, and some have separate coordinators for the graduate and medical</w:t>
      </w:r>
      <w:r w:rsidRPr="00C20E4A">
        <w:rPr>
          <w:spacing w:val="2"/>
        </w:rPr>
        <w:t xml:space="preserve"> </w:t>
      </w:r>
      <w:r w:rsidRPr="00C20E4A">
        <w:t>schools. Each GSS survey</w:t>
      </w:r>
      <w:r w:rsidRPr="00C20E4A">
        <w:rPr>
          <w:spacing w:val="-5"/>
        </w:rPr>
        <w:t xml:space="preserve"> </w:t>
      </w:r>
      <w:r w:rsidRPr="00C20E4A">
        <w:t>cycle begins with a pre-data collection e-mail to the</w:t>
      </w:r>
      <w:r w:rsidRPr="00C20E4A" w:rsidR="00D16F1F">
        <w:t xml:space="preserve"> previous survey cycle’s</w:t>
      </w:r>
      <w:r w:rsidRPr="00C20E4A">
        <w:t xml:space="preserve"> SC</w:t>
      </w:r>
      <w:r w:rsidRPr="00C20E4A" w:rsidR="001F48E3">
        <w:t xml:space="preserve"> </w:t>
      </w:r>
      <w:r w:rsidRPr="00C20E4A">
        <w:t>to</w:t>
      </w:r>
      <w:r w:rsidRPr="00C20E4A">
        <w:rPr>
          <w:spacing w:val="2"/>
        </w:rPr>
        <w:t xml:space="preserve"> </w:t>
      </w:r>
      <w:r w:rsidRPr="00C20E4A">
        <w:t xml:space="preserve">determine </w:t>
      </w:r>
      <w:r w:rsidR="006B3752">
        <w:t>whether</w:t>
      </w:r>
      <w:r w:rsidRPr="00C20E4A" w:rsidR="006B3752">
        <w:t xml:space="preserve"> </w:t>
      </w:r>
      <w:r w:rsidR="00895371">
        <w:t xml:space="preserve">they are </w:t>
      </w:r>
      <w:r w:rsidRPr="00C20E4A">
        <w:t>still the appropriate</w:t>
      </w:r>
      <w:r w:rsidRPr="00C20E4A">
        <w:rPr>
          <w:spacing w:val="1"/>
        </w:rPr>
        <w:t xml:space="preserve"> </w:t>
      </w:r>
      <w:r w:rsidRPr="00C20E4A">
        <w:t>contact</w:t>
      </w:r>
      <w:r w:rsidRPr="00C20E4A">
        <w:rPr>
          <w:spacing w:val="2"/>
        </w:rPr>
        <w:t xml:space="preserve"> </w:t>
      </w:r>
      <w:r w:rsidRPr="00C20E4A" w:rsidR="001F48E3">
        <w:t>for the upcoming c</w:t>
      </w:r>
      <w:r w:rsidRPr="00C20E4A">
        <w:t>ycle. The</w:t>
      </w:r>
      <w:r w:rsidRPr="00C20E4A">
        <w:rPr>
          <w:spacing w:val="1"/>
        </w:rPr>
        <w:t xml:space="preserve"> </w:t>
      </w:r>
      <w:r w:rsidRPr="00C20E4A">
        <w:t>e-mail is typically</w:t>
      </w:r>
      <w:r w:rsidRPr="00C20E4A">
        <w:rPr>
          <w:spacing w:val="-5"/>
        </w:rPr>
        <w:t xml:space="preserve"> </w:t>
      </w:r>
      <w:r w:rsidRPr="00C20E4A">
        <w:t>sent in early</w:t>
      </w:r>
      <w:r w:rsidRPr="00C20E4A">
        <w:rPr>
          <w:spacing w:val="-5"/>
        </w:rPr>
        <w:t xml:space="preserve"> </w:t>
      </w:r>
      <w:r w:rsidRPr="00C20E4A">
        <w:t xml:space="preserve">September </w:t>
      </w:r>
      <w:r w:rsidR="006F2CE8">
        <w:t xml:space="preserve">with </w:t>
      </w:r>
      <w:r w:rsidRPr="00C20E4A">
        <w:t>follow-up</w:t>
      </w:r>
      <w:r w:rsidR="006F2CE8">
        <w:t xml:space="preserve"> emails</w:t>
      </w:r>
      <w:r w:rsidRPr="00C20E4A">
        <w:t xml:space="preserve"> if confirmatio</w:t>
      </w:r>
      <w:r w:rsidRPr="00C20E4A" w:rsidR="001F48E3">
        <w:t>n is</w:t>
      </w:r>
      <w:r w:rsidRPr="00C20E4A">
        <w:t xml:space="preserve"> not received</w:t>
      </w:r>
      <w:r w:rsidR="00895371">
        <w:t xml:space="preserve"> before data collection is slated to begin</w:t>
      </w:r>
      <w:r w:rsidRPr="00C20E4A">
        <w:t xml:space="preserve">. </w:t>
      </w:r>
      <w:r w:rsidR="001C4A64">
        <w:t xml:space="preserve">Upon </w:t>
      </w:r>
      <w:r w:rsidRPr="00C20E4A">
        <w:t>the</w:t>
      </w:r>
      <w:r w:rsidR="001C4A64">
        <w:t xml:space="preserve"> conclusion of the confirmation</w:t>
      </w:r>
      <w:r w:rsidR="00C41485">
        <w:t xml:space="preserve"> period</w:t>
      </w:r>
      <w:r w:rsidR="006B3752">
        <w:t>,</w:t>
      </w:r>
      <w:r w:rsidR="00C41485">
        <w:t xml:space="preserve"> </w:t>
      </w:r>
      <w:r w:rsidRPr="00C20E4A">
        <w:t>data collection commences</w:t>
      </w:r>
      <w:r w:rsidR="001C4A64">
        <w:t xml:space="preserve"> for all institutions</w:t>
      </w:r>
      <w:r w:rsidRPr="00C20E4A">
        <w:t>. Data</w:t>
      </w:r>
      <w:r w:rsidRPr="00C20E4A">
        <w:rPr>
          <w:spacing w:val="1"/>
        </w:rPr>
        <w:t xml:space="preserve"> </w:t>
      </w:r>
      <w:r w:rsidRPr="00C20E4A" w:rsidR="001F48E3">
        <w:t>collection b</w:t>
      </w:r>
      <w:r w:rsidRPr="00C20E4A">
        <w:t xml:space="preserve">egins in </w:t>
      </w:r>
      <w:r w:rsidR="000B6FA4">
        <w:t>mid-</w:t>
      </w:r>
      <w:r w:rsidRPr="00C20E4A">
        <w:t xml:space="preserve">October with an e-mail </w:t>
      </w:r>
      <w:r w:rsidR="006B3752">
        <w:t xml:space="preserve">to </w:t>
      </w:r>
      <w:r w:rsidRPr="00C20E4A">
        <w:t xml:space="preserve">the SC with </w:t>
      </w:r>
      <w:r w:rsidR="006B3752">
        <w:t>w</w:t>
      </w:r>
      <w:r w:rsidRPr="00C20E4A" w:rsidR="006B3752">
        <w:t xml:space="preserve">eb </w:t>
      </w:r>
      <w:r w:rsidRPr="00C20E4A">
        <w:t>acce</w:t>
      </w:r>
      <w:r w:rsidRPr="00C20E4A" w:rsidR="001F48E3">
        <w:t>ss i</w:t>
      </w:r>
      <w:r w:rsidRPr="00C20E4A">
        <w:t>nformation</w:t>
      </w:r>
      <w:r w:rsidR="000B6FA4">
        <w:t>.</w:t>
      </w:r>
      <w:r w:rsidRPr="00C20E4A">
        <w:t xml:space="preserve"> </w:t>
      </w:r>
    </w:p>
    <w:p w:rsidR="00CF2CBC" w:rsidRPr="00C20E4A" w:rsidP="00444A0A" w14:paraId="775E818D" w14:textId="79DC19DF">
      <w:pPr>
        <w:pStyle w:val="BodyText"/>
        <w:rPr>
          <w:spacing w:val="-1"/>
        </w:rPr>
      </w:pPr>
      <w:r w:rsidRPr="00C20E4A">
        <w:rPr>
          <w:spacing w:val="-1"/>
        </w:rPr>
        <w:t xml:space="preserve">For </w:t>
      </w:r>
      <w:r w:rsidRPr="00C20E4A" w:rsidR="001F48E3">
        <w:t>new i</w:t>
      </w:r>
      <w:r w:rsidRPr="00C20E4A">
        <w:t>nstitutions,</w:t>
      </w:r>
      <w:r w:rsidR="000B6FA4">
        <w:t xml:space="preserve"> schools are contacted via e</w:t>
      </w:r>
      <w:r w:rsidR="006B3752">
        <w:t>-</w:t>
      </w:r>
      <w:r w:rsidR="000B6FA4">
        <w:t>mail to identify and onboard a</w:t>
      </w:r>
      <w:r w:rsidR="006B3752">
        <w:t>n</w:t>
      </w:r>
      <w:r w:rsidR="000B6FA4">
        <w:t xml:space="preserve"> SC for the survey and to verify the institution</w:t>
      </w:r>
      <w:r w:rsidR="006B3752">
        <w:t>’</w:t>
      </w:r>
      <w:r w:rsidR="000B6FA4">
        <w:t xml:space="preserve">s eligibility for the GSS. </w:t>
      </w:r>
      <w:r w:rsidR="00624212">
        <w:rPr>
          <w:spacing w:val="-1"/>
        </w:rPr>
        <w:t xml:space="preserve">NCSES </w:t>
      </w:r>
      <w:r w:rsidR="00921121">
        <w:rPr>
          <w:spacing w:val="-1"/>
        </w:rPr>
        <w:t>e-</w:t>
      </w:r>
      <w:r w:rsidRPr="00C20E4A">
        <w:rPr>
          <w:spacing w:val="-1"/>
        </w:rPr>
        <w:t>mails</w:t>
      </w:r>
      <w:r w:rsidRPr="00C20E4A">
        <w:t xml:space="preserve"> </w:t>
      </w:r>
      <w:r w:rsidRPr="00C20E4A">
        <w:rPr>
          <w:spacing w:val="-1"/>
        </w:rPr>
        <w:t>the president</w:t>
      </w:r>
      <w:r w:rsidR="00895371">
        <w:rPr>
          <w:spacing w:val="-1"/>
        </w:rPr>
        <w:t xml:space="preserve"> of the institution</w:t>
      </w:r>
      <w:r w:rsidRPr="00C20E4A">
        <w:t xml:space="preserve"> a</w:t>
      </w:r>
      <w:r w:rsidRPr="00C20E4A">
        <w:rPr>
          <w:spacing w:val="-1"/>
        </w:rPr>
        <w:t xml:space="preserve"> </w:t>
      </w:r>
      <w:r w:rsidRPr="00C20E4A">
        <w:t>survey</w:t>
      </w:r>
      <w:r w:rsidRPr="00C20E4A">
        <w:rPr>
          <w:spacing w:val="-1"/>
        </w:rPr>
        <w:t xml:space="preserve"> </w:t>
      </w:r>
      <w:r w:rsidRPr="00C20E4A">
        <w:t xml:space="preserve">invitation letter </w:t>
      </w:r>
      <w:r w:rsidR="000B6FA4">
        <w:rPr>
          <w:spacing w:val="-1"/>
        </w:rPr>
        <w:t>naming</w:t>
      </w:r>
      <w:r w:rsidRPr="00C20E4A" w:rsidR="001F48E3">
        <w:t xml:space="preserve"> </w:t>
      </w:r>
      <w:r w:rsidR="006B3752">
        <w:t xml:space="preserve">the </w:t>
      </w:r>
      <w:r w:rsidRPr="00C20E4A" w:rsidR="00BD4727">
        <w:rPr>
          <w:spacing w:val="-1"/>
        </w:rPr>
        <w:t xml:space="preserve">SC </w:t>
      </w:r>
      <w:r w:rsidR="000B6FA4">
        <w:rPr>
          <w:spacing w:val="-1"/>
        </w:rPr>
        <w:t>and welcoming them to the GSS.</w:t>
      </w:r>
      <w:r w:rsidRPr="00C20E4A">
        <w:t xml:space="preserve"> </w:t>
      </w:r>
    </w:p>
    <w:p w:rsidR="00CF2CBC" w:rsidRPr="00C20E4A" w:rsidP="00444A0A" w14:paraId="7F9CF19C" w14:textId="6829F90E">
      <w:pPr>
        <w:pStyle w:val="BodyText"/>
      </w:pPr>
      <w:r w:rsidRPr="00C20E4A">
        <w:rPr>
          <w:spacing w:val="-1"/>
        </w:rPr>
        <w:t>The SC</w:t>
      </w:r>
      <w:r w:rsidRPr="00C20E4A">
        <w:t xml:space="preserve"> </w:t>
      </w:r>
      <w:r w:rsidRPr="00C20E4A">
        <w:rPr>
          <w:spacing w:val="-1"/>
        </w:rPr>
        <w:t>serves</w:t>
      </w:r>
      <w:r w:rsidRPr="00C20E4A">
        <w:t xml:space="preserve"> </w:t>
      </w:r>
      <w:r w:rsidRPr="00C20E4A">
        <w:rPr>
          <w:spacing w:val="-1"/>
        </w:rPr>
        <w:t>as</w:t>
      </w:r>
      <w:r w:rsidRPr="00C20E4A">
        <w:t xml:space="preserve"> the</w:t>
      </w:r>
      <w:r w:rsidRPr="00C20E4A">
        <w:rPr>
          <w:spacing w:val="-1"/>
        </w:rPr>
        <w:t xml:space="preserve"> </w:t>
      </w:r>
      <w:r w:rsidRPr="00C20E4A">
        <w:t>point of</w:t>
      </w:r>
      <w:r w:rsidRPr="00C20E4A">
        <w:rPr>
          <w:spacing w:val="-1"/>
        </w:rPr>
        <w:t xml:space="preserve"> contact</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for all</w:t>
      </w:r>
      <w:r w:rsidRPr="00C20E4A">
        <w:t xml:space="preserve"> </w:t>
      </w:r>
      <w:r w:rsidRPr="00C20E4A">
        <w:rPr>
          <w:spacing w:val="-1"/>
        </w:rPr>
        <w:t>internal</w:t>
      </w:r>
      <w:r w:rsidRPr="00C20E4A">
        <w:t xml:space="preserve"> </w:t>
      </w:r>
      <w:r w:rsidRPr="00C20E4A">
        <w:rPr>
          <w:spacing w:val="-1"/>
        </w:rPr>
        <w:t>and</w:t>
      </w:r>
      <w:r w:rsidRPr="00C20E4A">
        <w:t xml:space="preserve"> external</w:t>
      </w:r>
      <w:r w:rsidRPr="00C20E4A">
        <w:rPr>
          <w:spacing w:val="49"/>
        </w:rPr>
        <w:t xml:space="preserve"> </w:t>
      </w:r>
      <w:r w:rsidRPr="00C20E4A">
        <w:rPr>
          <w:spacing w:val="-1"/>
        </w:rPr>
        <w:t>communications</w:t>
      </w:r>
      <w:r w:rsidRPr="00C20E4A">
        <w:t xml:space="preserve"> </w:t>
      </w:r>
      <w:r w:rsidRPr="00C20E4A">
        <w:rPr>
          <w:spacing w:val="-1"/>
        </w:rPr>
        <w:t>about</w:t>
      </w:r>
      <w:r w:rsidRPr="00C20E4A">
        <w:t xml:space="preserve"> the</w:t>
      </w:r>
      <w:r w:rsidRPr="00C20E4A">
        <w:rPr>
          <w:spacing w:val="-1"/>
        </w:rPr>
        <w:t xml:space="preserve"> GSS.</w:t>
      </w:r>
      <w:r w:rsidRPr="00C20E4A">
        <w:t xml:space="preserve"> The SC may choose to delegate some reporting activity to unit respondents (URs) </w:t>
      </w:r>
      <w:r w:rsidRPr="00C20E4A" w:rsidR="00156971">
        <w:t xml:space="preserve">at their </w:t>
      </w:r>
      <w:r w:rsidRPr="00C20E4A" w:rsidR="00D671EE">
        <w:t>institutions,</w:t>
      </w:r>
      <w:r w:rsidRPr="00C20E4A" w:rsidR="00156971">
        <w:t xml:space="preserve"> </w:t>
      </w:r>
      <w:r w:rsidRPr="00C20E4A">
        <w:t>or they may report</w:t>
      </w:r>
      <w:r w:rsidRPr="00C20E4A" w:rsidR="00356A29">
        <w:t xml:space="preserve"> the</w:t>
      </w:r>
      <w:r w:rsidRPr="00C20E4A">
        <w:t xml:space="preserve"> GSS data themselves. If using URs, t</w:t>
      </w:r>
      <w:r w:rsidRPr="00C20E4A">
        <w:rPr>
          <w:spacing w:val="-1"/>
        </w:rPr>
        <w:t>he SC’s</w:t>
      </w:r>
      <w:r w:rsidRPr="00C20E4A">
        <w:t xml:space="preserve"> </w:t>
      </w:r>
      <w:r w:rsidRPr="00C20E4A">
        <w:rPr>
          <w:spacing w:val="-1"/>
        </w:rPr>
        <w:t>responsibilities</w:t>
      </w:r>
      <w:r w:rsidRPr="00C20E4A">
        <w:t xml:space="preserve"> </w:t>
      </w:r>
      <w:r w:rsidRPr="00C20E4A">
        <w:rPr>
          <w:spacing w:val="-1"/>
        </w:rPr>
        <w:t>include notifying</w:t>
      </w:r>
      <w:r w:rsidRPr="00C20E4A">
        <w:t xml:space="preserve"> the</w:t>
      </w:r>
      <w:r w:rsidRPr="00C20E4A">
        <w:rPr>
          <w:spacing w:val="-1"/>
        </w:rPr>
        <w:t xml:space="preserve"> URs</w:t>
      </w:r>
      <w:r w:rsidRPr="00C20E4A">
        <w:t xml:space="preserve"> of</w:t>
      </w:r>
      <w:r w:rsidRPr="00C20E4A">
        <w:rPr>
          <w:spacing w:val="-1"/>
        </w:rPr>
        <w:t xml:space="preserve"> their</w:t>
      </w:r>
      <w:r w:rsidRPr="00C20E4A" w:rsidR="001F48E3">
        <w:rPr>
          <w:spacing w:val="-1"/>
        </w:rPr>
        <w:t xml:space="preserve"> </w:t>
      </w:r>
      <w:r w:rsidRPr="00C20E4A">
        <w:rPr>
          <w:spacing w:val="-1"/>
        </w:rPr>
        <w:t>assignments</w:t>
      </w:r>
      <w:r w:rsidRPr="00C20E4A">
        <w:t xml:space="preserve"> </w:t>
      </w:r>
      <w:r w:rsidRPr="00C20E4A">
        <w:rPr>
          <w:spacing w:val="-1"/>
        </w:rPr>
        <w:t>and</w:t>
      </w:r>
      <w:r w:rsidRPr="00C20E4A">
        <w:rPr>
          <w:spacing w:val="2"/>
        </w:rPr>
        <w:t xml:space="preserve"> </w:t>
      </w:r>
      <w:r w:rsidRPr="00C20E4A">
        <w:t>ensuring</w:t>
      </w:r>
      <w:r w:rsidRPr="00C20E4A">
        <w:rPr>
          <w:spacing w:val="-3"/>
        </w:rPr>
        <w:t xml:space="preserve"> </w:t>
      </w:r>
      <w:r w:rsidRPr="00C20E4A">
        <w:rPr>
          <w:spacing w:val="-1"/>
        </w:rPr>
        <w:t>that</w:t>
      </w:r>
      <w:r w:rsidRPr="00C20E4A">
        <w:t xml:space="preserve"> the</w:t>
      </w:r>
      <w:r w:rsidRPr="00C20E4A">
        <w:rPr>
          <w:spacing w:val="-1"/>
        </w:rPr>
        <w:t xml:space="preserve"> UR</w:t>
      </w:r>
      <w:r w:rsidRPr="00C20E4A">
        <w:t xml:space="preserve"> submits the</w:t>
      </w:r>
      <w:r w:rsidRPr="00C20E4A">
        <w:rPr>
          <w:spacing w:val="-1"/>
        </w:rPr>
        <w:t xml:space="preserve"> completed</w:t>
      </w:r>
      <w:r w:rsidRPr="00C20E4A">
        <w:t xml:space="preserve"> </w:t>
      </w:r>
      <w:r w:rsidRPr="00C20E4A">
        <w:rPr>
          <w:spacing w:val="-1"/>
        </w:rPr>
        <w:t xml:space="preserve">data </w:t>
      </w:r>
      <w:r w:rsidRPr="00C20E4A">
        <w:rPr>
          <w:spacing w:val="2"/>
        </w:rPr>
        <w:t>by</w:t>
      </w:r>
      <w:r w:rsidRPr="00C20E4A">
        <w:rPr>
          <w:spacing w:val="-5"/>
        </w:rPr>
        <w:t xml:space="preserve"> </w:t>
      </w:r>
      <w:r w:rsidRPr="00C20E4A">
        <w:t>the</w:t>
      </w:r>
      <w:r w:rsidRPr="00C20E4A">
        <w:rPr>
          <w:spacing w:val="1"/>
        </w:rPr>
        <w:t xml:space="preserve"> </w:t>
      </w:r>
      <w:r w:rsidRPr="00C20E4A">
        <w:rPr>
          <w:spacing w:val="-1"/>
        </w:rPr>
        <w:t>established</w:t>
      </w:r>
      <w:r w:rsidRPr="00C20E4A">
        <w:t xml:space="preserve"> due</w:t>
      </w:r>
      <w:r w:rsidRPr="00C20E4A">
        <w:rPr>
          <w:spacing w:val="-1"/>
        </w:rPr>
        <w:t xml:space="preserve"> date. The </w:t>
      </w:r>
      <w:r w:rsidRPr="00C20E4A" w:rsidR="000B6FA4">
        <w:rPr>
          <w:spacing w:val="-1"/>
        </w:rPr>
        <w:t>20</w:t>
      </w:r>
      <w:r w:rsidR="000B6FA4">
        <w:rPr>
          <w:spacing w:val="-1"/>
        </w:rPr>
        <w:t>24</w:t>
      </w:r>
      <w:r w:rsidRPr="00C20E4A" w:rsidR="000B6FA4">
        <w:rPr>
          <w:spacing w:val="-1"/>
        </w:rPr>
        <w:t xml:space="preserve"> </w:t>
      </w:r>
      <w:r w:rsidRPr="00C20E4A">
        <w:rPr>
          <w:spacing w:val="-1"/>
        </w:rPr>
        <w:t>data collection</w:t>
      </w:r>
      <w:r w:rsidRPr="00C20E4A">
        <w:t xml:space="preserve"> plan, including a timetable and communications with GSS stakeholders, is </w:t>
      </w:r>
      <w:r w:rsidRPr="00C20E4A">
        <w:rPr>
          <w:spacing w:val="-1"/>
        </w:rPr>
        <w:t>included</w:t>
      </w:r>
      <w:r w:rsidRPr="00C20E4A">
        <w:t xml:space="preserve"> in </w:t>
      </w:r>
      <w:r w:rsidRPr="00C20E4A">
        <w:rPr>
          <w:spacing w:val="-1"/>
        </w:rPr>
        <w:t>Attachment</w:t>
      </w:r>
      <w:r w:rsidRPr="00C20E4A">
        <w:t xml:space="preserve"> </w:t>
      </w:r>
      <w:r w:rsidR="008336FC">
        <w:t>1</w:t>
      </w:r>
      <w:r w:rsidR="00D0518D">
        <w:t>1</w:t>
      </w:r>
      <w:r w:rsidR="0078248D">
        <w:t>.</w:t>
      </w:r>
    </w:p>
    <w:p w:rsidR="00CF2CBC" w:rsidRPr="00C20E4A" w:rsidP="00444A0A" w14:paraId="42EDE362" w14:textId="4A0FE5CD">
      <w:pPr>
        <w:pStyle w:val="BodyText"/>
      </w:pPr>
      <w:r w:rsidRPr="00C20E4A">
        <w:t>SC</w:t>
      </w:r>
      <w:r w:rsidRPr="00C20E4A" w:rsidR="00F26FFA">
        <w:t xml:space="preserve">s </w:t>
      </w:r>
      <w:r w:rsidR="00F26FFA">
        <w:t>are</w:t>
      </w:r>
      <w:r w:rsidRPr="00C20E4A" w:rsidR="00F26FFA">
        <w:t xml:space="preserve"> asked to prepare data files that can be uploaded directly into the GSS web survey instrument for the units that enroll graduate students and/or employ postdocs or NFRs. The </w:t>
      </w:r>
      <w:r w:rsidRPr="00C20E4A">
        <w:t>SC</w:t>
      </w:r>
      <w:r w:rsidRPr="00C20E4A" w:rsidR="00F26FFA">
        <w:t xml:space="preserve">s </w:t>
      </w:r>
      <w:r w:rsidR="00F26FFA">
        <w:t xml:space="preserve">are </w:t>
      </w:r>
      <w:r w:rsidRPr="00C20E4A" w:rsidR="00F26FFA">
        <w:t>provided with survey variable and file specifications for each type of GSS data requested—</w:t>
      </w:r>
      <w:r w:rsidRPr="00C20E4A" w:rsidR="00F26FFA">
        <w:t>graduate students, postdocs, and NFRs—as well as file templates in the form of Microsoft Excel spreadsheets</w:t>
      </w:r>
      <w:r w:rsidR="006B3752">
        <w:t xml:space="preserve"> (</w:t>
      </w:r>
      <w:r w:rsidRPr="003B63CF" w:rsidR="00F26FFA">
        <w:t xml:space="preserve">see </w:t>
      </w:r>
      <w:r w:rsidRPr="003B63CF" w:rsidR="006C4365">
        <w:t>Attachment</w:t>
      </w:r>
      <w:r w:rsidR="004D4C71">
        <w:t>s</w:t>
      </w:r>
      <w:r w:rsidRPr="003B63CF" w:rsidR="006C4365">
        <w:t xml:space="preserve"> </w:t>
      </w:r>
      <w:r w:rsidR="008336FC">
        <w:t>1</w:t>
      </w:r>
      <w:r w:rsidR="00CD4815">
        <w:t>2</w:t>
      </w:r>
      <w:r w:rsidR="008336FC">
        <w:t>a</w:t>
      </w:r>
      <w:r w:rsidR="004D4C71">
        <w:t xml:space="preserve">, </w:t>
      </w:r>
      <w:r w:rsidR="008336FC">
        <w:t>1</w:t>
      </w:r>
      <w:r w:rsidR="00CD4815">
        <w:t>2</w:t>
      </w:r>
      <w:r w:rsidR="008336FC">
        <w:t>b</w:t>
      </w:r>
      <w:r w:rsidR="006B3752">
        <w:t>,</w:t>
      </w:r>
      <w:r w:rsidR="008336FC">
        <w:t xml:space="preserve"> </w:t>
      </w:r>
      <w:r w:rsidR="004D4C71">
        <w:t xml:space="preserve">and </w:t>
      </w:r>
      <w:r w:rsidR="008336FC">
        <w:t>1</w:t>
      </w:r>
      <w:r w:rsidR="00CD4815">
        <w:t>2</w:t>
      </w:r>
      <w:r w:rsidR="008336FC">
        <w:t>c</w:t>
      </w:r>
      <w:r w:rsidRPr="00C20E4A" w:rsidR="00F26FFA">
        <w:t xml:space="preserve">) to organize their data. </w:t>
      </w:r>
    </w:p>
    <w:p w:rsidR="00CF2CBC" w:rsidP="00444A0A" w14:paraId="3B390E3A" w14:textId="3C055DAF">
      <w:pPr>
        <w:pStyle w:val="BodyText"/>
      </w:pPr>
      <w:r w:rsidRPr="00C20E4A">
        <w:t>SC</w:t>
      </w:r>
      <w:r w:rsidRPr="00C20E4A" w:rsidR="00F26FFA">
        <w:t xml:space="preserve">s who are not ready or </w:t>
      </w:r>
      <w:r w:rsidR="00295209">
        <w:t xml:space="preserve">are </w:t>
      </w:r>
      <w:r w:rsidRPr="00C20E4A" w:rsidR="00F26FFA">
        <w:t>unable to provide data through data upload method will be allowed to provide their data through the manual entry of requested data in</w:t>
      </w:r>
      <w:r w:rsidR="005E2015">
        <w:t>to</w:t>
      </w:r>
      <w:r w:rsidRPr="00C20E4A" w:rsidR="00F26FFA">
        <w:t xml:space="preserve"> a series of grids on the GSS web instrument. A copy of the GSS</w:t>
      </w:r>
      <w:r w:rsidRPr="00C20E4A" w:rsidR="00F26FFA">
        <w:rPr>
          <w:spacing w:val="1"/>
        </w:rPr>
        <w:t xml:space="preserve"> </w:t>
      </w:r>
      <w:r w:rsidRPr="00C20E4A" w:rsidR="00C45DDE">
        <w:t>worksheet t</w:t>
      </w:r>
      <w:r w:rsidRPr="00C20E4A" w:rsidR="00F26FFA">
        <w:t>hat corresponds</w:t>
      </w:r>
      <w:r w:rsidRPr="00C20E4A" w:rsidR="00F26FFA">
        <w:rPr>
          <w:spacing w:val="-3"/>
        </w:rPr>
        <w:t xml:space="preserve"> </w:t>
      </w:r>
      <w:r w:rsidRPr="00C20E4A" w:rsidR="00F26FFA">
        <w:t xml:space="preserve">to </w:t>
      </w:r>
      <w:r w:rsidRPr="00C20E4A" w:rsidR="00530F4E">
        <w:t>the GSS web instrument</w:t>
      </w:r>
      <w:r w:rsidRPr="00C20E4A" w:rsidR="00F26FFA">
        <w:t xml:space="preserve"> </w:t>
      </w:r>
      <w:r w:rsidR="000B6FA4">
        <w:t xml:space="preserve">is available for download via the survey instrument </w:t>
      </w:r>
      <w:r w:rsidRPr="00C20E4A" w:rsidR="00F26FFA">
        <w:t>(</w:t>
      </w:r>
      <w:r w:rsidR="003B63CF">
        <w:t>s</w:t>
      </w:r>
      <w:r w:rsidRPr="003B63CF" w:rsidR="00F26FFA">
        <w:t xml:space="preserve">ee </w:t>
      </w:r>
      <w:r w:rsidRPr="003B63CF" w:rsidR="006C4365">
        <w:t>Attachment</w:t>
      </w:r>
      <w:r w:rsidRPr="003B63CF" w:rsidR="009B2CDA">
        <w:t xml:space="preserve"> </w:t>
      </w:r>
      <w:r w:rsidR="00FB3566">
        <w:t>13</w:t>
      </w:r>
      <w:r w:rsidRPr="00C20E4A" w:rsidR="00F26FFA">
        <w:t>).</w:t>
      </w:r>
      <w:r w:rsidRPr="00C20E4A" w:rsidR="00F26FFA">
        <w:rPr>
          <w:spacing w:val="2"/>
        </w:rPr>
        <w:t xml:space="preserve"> </w:t>
      </w:r>
      <w:r w:rsidRPr="00C20E4A" w:rsidR="00F26FFA">
        <w:t>Information can be</w:t>
      </w:r>
      <w:r w:rsidRPr="00C20E4A" w:rsidR="00F26FFA">
        <w:rPr>
          <w:spacing w:val="1"/>
        </w:rPr>
        <w:t xml:space="preserve"> </w:t>
      </w:r>
      <w:r w:rsidRPr="00C20E4A" w:rsidR="00F26FFA">
        <w:t>compiled on this worksheet for each unit prior to data entry</w:t>
      </w:r>
      <w:r w:rsidRPr="00C20E4A" w:rsidR="00F26FFA">
        <w:rPr>
          <w:spacing w:val="-5"/>
        </w:rPr>
        <w:t xml:space="preserve"> </w:t>
      </w:r>
      <w:r w:rsidRPr="00C20E4A" w:rsidR="00F26FFA">
        <w:t>into the web instrument.</w:t>
      </w:r>
    </w:p>
    <w:p w:rsidR="00845911" w:rsidP="00444A0A" w14:paraId="16E3A8EE" w14:textId="3A53AA78">
      <w:pPr>
        <w:pStyle w:val="BodyText"/>
      </w:pPr>
      <w:r>
        <w:t xml:space="preserve">The process of completing the FFRDC </w:t>
      </w:r>
      <w:r w:rsidR="00FB3566">
        <w:t>P</w:t>
      </w:r>
      <w:r>
        <w:t xml:space="preserve">ostdoc </w:t>
      </w:r>
      <w:r w:rsidR="00FB3566">
        <w:t>S</w:t>
      </w:r>
      <w:r>
        <w:t xml:space="preserve">urvey is similar to that of the GSS with exception to the availability of </w:t>
      </w:r>
      <w:r w:rsidR="00E556B0">
        <w:t>Electronic Data Interchange (</w:t>
      </w:r>
      <w:r>
        <w:t>EDI</w:t>
      </w:r>
      <w:r w:rsidR="00E556B0">
        <w:t>)</w:t>
      </w:r>
      <w:r>
        <w:t xml:space="preserve"> and the use of URs because each FFRDC constitutes a single organizational unit. </w:t>
      </w:r>
    </w:p>
    <w:p w:rsidR="00B52A03" w:rsidP="00444A0A" w14:paraId="36D46E7B" w14:textId="77777777">
      <w:pPr>
        <w:pStyle w:val="Heading3"/>
      </w:pPr>
      <w:bookmarkStart w:id="18" w:name="_Toc232083015"/>
      <w:bookmarkStart w:id="19" w:name="_Hlk224740280"/>
      <w:r w:rsidRPr="00C20E4A">
        <w:t>B.</w:t>
      </w:r>
      <w:r>
        <w:t>2.</w:t>
      </w:r>
      <w:r w:rsidR="00003B74">
        <w:t>1</w:t>
      </w:r>
      <w:r>
        <w:t xml:space="preserve">. </w:t>
      </w:r>
      <w:r w:rsidRPr="00C20E4A">
        <w:tab/>
        <w:t>Collecti</w:t>
      </w:r>
      <w:r>
        <w:t>on of</w:t>
      </w:r>
      <w:r w:rsidRPr="00C20E4A">
        <w:t xml:space="preserve"> Data Based on </w:t>
      </w:r>
      <w:r>
        <w:t xml:space="preserve">Updated </w:t>
      </w:r>
      <w:r w:rsidRPr="00C20E4A">
        <w:t>CIP Codes</w:t>
      </w:r>
      <w:bookmarkEnd w:id="18"/>
    </w:p>
    <w:p w:rsidR="00D17DFC" w:rsidRPr="00D17DFC" w:rsidP="00D17DFC" w14:paraId="0E9F2B1F" w14:textId="6FCAE75D">
      <w:pPr>
        <w:spacing w:after="120" w:line="360" w:lineRule="auto"/>
        <w:ind w:firstLine="720"/>
      </w:pPr>
      <w:r>
        <w:t>In 2017</w:t>
      </w:r>
      <w:r w:rsidRPr="00C20E4A">
        <w:t xml:space="preserve">, the GSS </w:t>
      </w:r>
      <w:r>
        <w:t xml:space="preserve">began </w:t>
      </w:r>
      <w:r w:rsidRPr="00C20E4A">
        <w:t>collect</w:t>
      </w:r>
      <w:r>
        <w:t>ing</w:t>
      </w:r>
      <w:r w:rsidRPr="00C20E4A">
        <w:t xml:space="preserve"> disciplinary field data from institutions based on the </w:t>
      </w:r>
      <w:r>
        <w:t>Classification of Instructional Program</w:t>
      </w:r>
      <w:r w:rsidR="00E556B0">
        <w:t>s</w:t>
      </w:r>
      <w:r>
        <w:t xml:space="preserve"> (</w:t>
      </w:r>
      <w:r w:rsidRPr="00C20E4A">
        <w:t>CIP</w:t>
      </w:r>
      <w:r>
        <w:t>)</w:t>
      </w:r>
      <w:r w:rsidRPr="00C20E4A">
        <w:t xml:space="preserve"> codes rather than NCSES’s GSS codes. The collection of data by CIP codes </w:t>
      </w:r>
      <w:r>
        <w:t xml:space="preserve">has contributed to a </w:t>
      </w:r>
      <w:r w:rsidRPr="00C20E4A">
        <w:t>reduc</w:t>
      </w:r>
      <w:r>
        <w:t>tion in</w:t>
      </w:r>
      <w:r w:rsidRPr="00C20E4A">
        <w:t xml:space="preserve"> response burden because these codes are commonly used at institutions. CIP is the academic field taxonomy used by the</w:t>
      </w:r>
      <w:r>
        <w:t xml:space="preserve"> National Center for Education Statistics (</w:t>
      </w:r>
      <w:r w:rsidRPr="00C20E4A">
        <w:t>NCES</w:t>
      </w:r>
      <w:r>
        <w:t>)</w:t>
      </w:r>
      <w:r w:rsidRPr="00C20E4A">
        <w:t xml:space="preserve"> for IPEDS, a mandatory reporting requirement for institutions receiving Title IV funding. </w:t>
      </w:r>
      <w:r>
        <w:t>S</w:t>
      </w:r>
      <w:r w:rsidRPr="00C20E4A">
        <w:t xml:space="preserve">chools </w:t>
      </w:r>
      <w:r>
        <w:t>still</w:t>
      </w:r>
      <w:r w:rsidRPr="00C20E4A">
        <w:t xml:space="preserve"> have the option of using either CIP codes or GSS codes for reporting postdoc and NFR data only. </w:t>
      </w:r>
      <w:r>
        <w:t>In 202</w:t>
      </w:r>
      <w:r w:rsidR="00F9268A">
        <w:t>4</w:t>
      </w:r>
      <w:r>
        <w:t xml:space="preserve">, approximately </w:t>
      </w:r>
      <w:r w:rsidRPr="0054259D">
        <w:t>8</w:t>
      </w:r>
      <w:r>
        <w:t>3</w:t>
      </w:r>
      <w:r w:rsidRPr="0054259D">
        <w:t>%</w:t>
      </w:r>
      <w:r>
        <w:t xml:space="preserve"> of institutions were able to provide student data using CIP codes. FFRDCs report data using GSS codes</w:t>
      </w:r>
      <w:r w:rsidR="00FB3566">
        <w:t>,</w:t>
      </w:r>
      <w:r>
        <w:t xml:space="preserve"> as CIP codes are not applicable outside of academia.</w:t>
      </w:r>
    </w:p>
    <w:p w:rsidR="00CF2CBC" w:rsidP="00444A0A" w14:paraId="0B45EDDA" w14:textId="77777777">
      <w:pPr>
        <w:pStyle w:val="Heading2"/>
      </w:pPr>
      <w:bookmarkStart w:id="20" w:name="_bookmark0"/>
      <w:bookmarkStart w:id="21" w:name="_Toc488074623"/>
      <w:bookmarkStart w:id="22" w:name="_Toc232083016"/>
      <w:bookmarkEnd w:id="19"/>
      <w:bookmarkEnd w:id="20"/>
      <w:r w:rsidRPr="00C20E4A">
        <w:t>B.3</w:t>
      </w:r>
      <w:r w:rsidRPr="00C20E4A">
        <w:tab/>
      </w:r>
      <w:r w:rsidR="008E2E6C">
        <w:t>Statistical Accuracy of the Collection</w:t>
      </w:r>
      <w:bookmarkEnd w:id="21"/>
      <w:bookmarkEnd w:id="22"/>
    </w:p>
    <w:p w:rsidR="008E2E6C" w:rsidRPr="003B63CF" w:rsidP="00444A0A" w14:paraId="14C27068" w14:textId="6214FCC5">
      <w:pPr>
        <w:pStyle w:val="Heading3"/>
      </w:pPr>
      <w:bookmarkStart w:id="23" w:name="_Toc232083017"/>
      <w:r w:rsidRPr="003B63CF">
        <w:t>B.3.1</w:t>
      </w:r>
      <w:r w:rsidR="00D919D6">
        <w:tab/>
      </w:r>
      <w:r w:rsidRPr="003B63CF">
        <w:t xml:space="preserve">Methods </w:t>
      </w:r>
      <w:r w:rsidR="003B63CF">
        <w:t>U</w:t>
      </w:r>
      <w:r w:rsidRPr="003B63CF">
        <w:t xml:space="preserve">sed to </w:t>
      </w:r>
      <w:r w:rsidR="003B63CF">
        <w:t>M</w:t>
      </w:r>
      <w:r w:rsidRPr="003B63CF">
        <w:t xml:space="preserve">aximize </w:t>
      </w:r>
      <w:r w:rsidR="003B63CF">
        <w:t>R</w:t>
      </w:r>
      <w:r w:rsidRPr="003B63CF">
        <w:t xml:space="preserve">esponse </w:t>
      </w:r>
      <w:r w:rsidR="003B63CF">
        <w:t>R</w:t>
      </w:r>
      <w:r w:rsidRPr="003B63CF">
        <w:t>ates</w:t>
      </w:r>
      <w:bookmarkEnd w:id="23"/>
    </w:p>
    <w:p w:rsidR="00CF2CBC" w:rsidP="00444A0A" w14:paraId="11845F88" w14:textId="561ACD93">
      <w:pPr>
        <w:pStyle w:val="BodyText"/>
      </w:pPr>
      <w:r w:rsidRPr="00C20E4A">
        <w:t>Because the</w:t>
      </w:r>
      <w:r w:rsidRPr="00C20E4A">
        <w:rPr>
          <w:spacing w:val="1"/>
        </w:rPr>
        <w:t xml:space="preserve"> </w:t>
      </w:r>
      <w:r w:rsidRPr="00C20E4A">
        <w:t>GSS is designed to produce</w:t>
      </w:r>
      <w:r w:rsidRPr="00C20E4A">
        <w:rPr>
          <w:spacing w:val="1"/>
        </w:rPr>
        <w:t xml:space="preserve"> </w:t>
      </w:r>
      <w:r w:rsidRPr="00C20E4A">
        <w:t>estimates for all U.S. postsecondary institutions that offe</w:t>
      </w:r>
      <w:r w:rsidRPr="00C20E4A" w:rsidR="00C45DDE">
        <w:t>r g</w:t>
      </w:r>
      <w:r w:rsidRPr="00C20E4A">
        <w:t xml:space="preserve">raduate degree programs in SEH fields, care is </w:t>
      </w:r>
      <w:r w:rsidR="00FB3566">
        <w:t>taken</w:t>
      </w:r>
      <w:r w:rsidRPr="00C20E4A" w:rsidR="00FB3566">
        <w:t xml:space="preserve"> </w:t>
      </w:r>
      <w:r w:rsidRPr="00C20E4A">
        <w:t>to maximize response rates</w:t>
      </w:r>
      <w:r w:rsidR="006C3291">
        <w:t xml:space="preserve"> and thus reduce the likelihood of biased estimates</w:t>
      </w:r>
      <w:r w:rsidRPr="00C20E4A">
        <w:t xml:space="preserve">. The </w:t>
      </w:r>
      <w:r w:rsidRPr="00C20E4A" w:rsidR="0063765E">
        <w:t>survey staff</w:t>
      </w:r>
      <w:r w:rsidRPr="00C20E4A">
        <w:t xml:space="preserve"> work closely</w:t>
      </w:r>
      <w:r w:rsidRPr="00C20E4A">
        <w:rPr>
          <w:spacing w:val="-5"/>
        </w:rPr>
        <w:t xml:space="preserve"> </w:t>
      </w:r>
      <w:r w:rsidRPr="00C20E4A">
        <w:t>with the SCs to build strong</w:t>
      </w:r>
      <w:r w:rsidRPr="00C20E4A">
        <w:rPr>
          <w:spacing w:val="-3"/>
        </w:rPr>
        <w:t xml:space="preserve"> </w:t>
      </w:r>
      <w:r w:rsidRPr="00C20E4A" w:rsidR="0063765E">
        <w:t>working relationships with all pa</w:t>
      </w:r>
      <w:r w:rsidRPr="00C20E4A">
        <w:t>rticipating</w:t>
      </w:r>
      <w:r w:rsidRPr="00C20E4A">
        <w:rPr>
          <w:spacing w:val="-3"/>
        </w:rPr>
        <w:t xml:space="preserve"> </w:t>
      </w:r>
      <w:r w:rsidRPr="00C20E4A">
        <w:t>institutions and try</w:t>
      </w:r>
      <w:r w:rsidRPr="00C20E4A">
        <w:rPr>
          <w:spacing w:val="-5"/>
        </w:rPr>
        <w:t xml:space="preserve"> </w:t>
      </w:r>
      <w:r w:rsidRPr="00C20E4A">
        <w:t>to</w:t>
      </w:r>
      <w:r w:rsidRPr="00C20E4A">
        <w:rPr>
          <w:spacing w:val="2"/>
        </w:rPr>
        <w:t xml:space="preserve"> </w:t>
      </w:r>
      <w:r w:rsidRPr="00C20E4A">
        <w:t>ensure that</w:t>
      </w:r>
      <w:r w:rsidRPr="00C20E4A">
        <w:rPr>
          <w:spacing w:val="2"/>
        </w:rPr>
        <w:t xml:space="preserve"> </w:t>
      </w:r>
      <w:r w:rsidRPr="00C20E4A">
        <w:t>all contacts are positive.</w:t>
      </w:r>
    </w:p>
    <w:p w:rsidR="00CF2CBC" w:rsidRPr="00C20E4A" w:rsidP="00444A0A" w14:paraId="1E518E4C" w14:textId="77777777">
      <w:pPr>
        <w:pStyle w:val="BodyText"/>
      </w:pPr>
      <w:r w:rsidRPr="00C20E4A">
        <w:t>Survey</w:t>
      </w:r>
      <w:r w:rsidRPr="00C20E4A">
        <w:rPr>
          <w:spacing w:val="-5"/>
        </w:rPr>
        <w:t xml:space="preserve"> </w:t>
      </w:r>
      <w:r w:rsidRPr="00C20E4A">
        <w:t>techniques proven successful in past surveys</w:t>
      </w:r>
      <w:r w:rsidRPr="00C20E4A">
        <w:rPr>
          <w:spacing w:val="2"/>
        </w:rPr>
        <w:t xml:space="preserve"> </w:t>
      </w:r>
      <w:r w:rsidRPr="00C20E4A">
        <w:t>will again be used to</w:t>
      </w:r>
      <w:r w:rsidRPr="00C20E4A">
        <w:rPr>
          <w:spacing w:val="2"/>
        </w:rPr>
        <w:t xml:space="preserve"> </w:t>
      </w:r>
      <w:r w:rsidRPr="00C20E4A">
        <w:t>maximize the</w:t>
      </w:r>
      <w:r w:rsidRPr="00C20E4A">
        <w:rPr>
          <w:spacing w:val="61"/>
        </w:rPr>
        <w:t xml:space="preserve"> </w:t>
      </w:r>
      <w:r w:rsidRPr="00C20E4A">
        <w:t>GSS response rate. These</w:t>
      </w:r>
      <w:r w:rsidRPr="00C20E4A">
        <w:rPr>
          <w:spacing w:val="1"/>
        </w:rPr>
        <w:t xml:space="preserve"> </w:t>
      </w:r>
      <w:r w:rsidRPr="00C20E4A">
        <w:t>techniques include:</w:t>
      </w:r>
    </w:p>
    <w:p w:rsidR="00CF2CBC" w:rsidRPr="00D919D6" w:rsidP="00C37BD1" w14:paraId="39CCB255" w14:textId="77777777">
      <w:pPr>
        <w:pStyle w:val="ListBullet"/>
      </w:pPr>
      <w:r w:rsidRPr="00D919D6">
        <w:t>Early pre-data collection confirmation of the SC and their contact information</w:t>
      </w:r>
    </w:p>
    <w:p w:rsidR="00CF2CBC" w:rsidRPr="00C20E4A" w:rsidP="00C37BD1" w14:paraId="7CE22D9C" w14:textId="77777777">
      <w:pPr>
        <w:pStyle w:val="ListBullet"/>
      </w:pPr>
      <w:r w:rsidRPr="00C20E4A">
        <w:t>Targeted</w:t>
      </w:r>
      <w:r w:rsidRPr="00C20E4A">
        <w:rPr>
          <w:spacing w:val="2"/>
        </w:rPr>
        <w:t xml:space="preserve"> </w:t>
      </w:r>
      <w:r w:rsidRPr="00C20E4A">
        <w:t xml:space="preserve">e-mails and telephone follow-up based </w:t>
      </w:r>
      <w:r w:rsidRPr="00C20E4A">
        <w:rPr>
          <w:spacing w:val="1"/>
        </w:rPr>
        <w:t>on</w:t>
      </w:r>
      <w:r w:rsidRPr="00C20E4A">
        <w:t xml:space="preserve"> response status</w:t>
      </w:r>
    </w:p>
    <w:p w:rsidR="00CF2CBC" w:rsidRPr="00C37BD1" w:rsidP="00C37BD1" w14:paraId="0BFCA57F" w14:textId="7D1E3C16">
      <w:pPr>
        <w:pStyle w:val="ListBullet"/>
      </w:pPr>
      <w:r w:rsidRPr="00C37BD1">
        <w:t>K</w:t>
      </w:r>
      <w:r w:rsidRPr="00C37BD1" w:rsidR="0063765E">
        <w:t xml:space="preserve">nowledgeable survey staff </w:t>
      </w:r>
      <w:r w:rsidRPr="00C37BD1">
        <w:t>working at</w:t>
      </w:r>
      <w:r w:rsidRPr="00C37BD1" w:rsidR="0063765E">
        <w:t xml:space="preserve"> </w:t>
      </w:r>
      <w:r w:rsidRPr="00C37BD1" w:rsidR="00657500">
        <w:t xml:space="preserve">the </w:t>
      </w:r>
      <w:r w:rsidRPr="00C37BD1" w:rsidR="0063765E">
        <w:t xml:space="preserve">GSS Help Desk </w:t>
      </w:r>
      <w:r w:rsidRPr="00C37BD1" w:rsidR="00657500">
        <w:t xml:space="preserve">to </w:t>
      </w:r>
      <w:r w:rsidRPr="00C37BD1" w:rsidR="0063765E">
        <w:t>respond to questions</w:t>
      </w:r>
      <w:r w:rsidRPr="00C37BD1" w:rsidR="00657500">
        <w:t xml:space="preserve"> and </w:t>
      </w:r>
      <w:r w:rsidRPr="00C37BD1" w:rsidR="002C57B1">
        <w:t>concerns and</w:t>
      </w:r>
      <w:r w:rsidRPr="00C37BD1" w:rsidR="0063765E">
        <w:t xml:space="preserve"> </w:t>
      </w:r>
      <w:r w:rsidRPr="00C37BD1" w:rsidR="002C57B1">
        <w:t>help</w:t>
      </w:r>
      <w:r w:rsidRPr="00C37BD1">
        <w:t xml:space="preserve"> the</w:t>
      </w:r>
      <w:r w:rsidRPr="00C37BD1" w:rsidR="0063765E">
        <w:t xml:space="preserve"> </w:t>
      </w:r>
      <w:r w:rsidRPr="00C37BD1" w:rsidR="00375086">
        <w:t>SC</w:t>
      </w:r>
      <w:r w:rsidRPr="00C37BD1">
        <w:t xml:space="preserve">s and </w:t>
      </w:r>
      <w:r w:rsidRPr="00C37BD1" w:rsidR="00C37BD1">
        <w:t>URs</w:t>
      </w:r>
      <w:r w:rsidRPr="00C37BD1" w:rsidR="0063765E">
        <w:t xml:space="preserve"> via telephone and e</w:t>
      </w:r>
      <w:r w:rsidRPr="00C37BD1" w:rsidR="00FB3566">
        <w:t>-</w:t>
      </w:r>
      <w:r w:rsidRPr="00C37BD1" w:rsidR="0063765E">
        <w:t>mails</w:t>
      </w:r>
    </w:p>
    <w:p w:rsidR="00CF2CBC" w:rsidRPr="00C20E4A" w:rsidP="00C37BD1" w14:paraId="7665BB4C" w14:textId="77777777">
      <w:pPr>
        <w:pStyle w:val="ListBullet"/>
      </w:pPr>
      <w:r w:rsidRPr="00C20E4A">
        <w:t>Multiple modes of data collection allowed (</w:t>
      </w:r>
      <w:r w:rsidRPr="00C20E4A">
        <w:rPr>
          <w:spacing w:val="2"/>
        </w:rPr>
        <w:t>t</w:t>
      </w:r>
      <w:r w:rsidR="00BE2F63">
        <w:rPr>
          <w:spacing w:val="2"/>
        </w:rPr>
        <w:t>wo</w:t>
      </w:r>
      <w:r w:rsidRPr="00C20E4A">
        <w:rPr>
          <w:spacing w:val="2"/>
        </w:rPr>
        <w:t xml:space="preserve"> </w:t>
      </w:r>
      <w:r w:rsidRPr="00C20E4A">
        <w:t>data upload options</w:t>
      </w:r>
      <w:r w:rsidR="008E2E6C">
        <w:t xml:space="preserve">, </w:t>
      </w:r>
      <w:r w:rsidR="00657500">
        <w:t xml:space="preserve">web </w:t>
      </w:r>
      <w:r w:rsidR="008E2E6C">
        <w:t>instrument</w:t>
      </w:r>
      <w:r w:rsidRPr="00C20E4A">
        <w:t>)</w:t>
      </w:r>
    </w:p>
    <w:p w:rsidR="00CF2CBC" w:rsidRPr="00C20E4A" w:rsidP="00C37BD1" w14:paraId="37CF3B5C" w14:textId="77777777">
      <w:pPr>
        <w:pStyle w:val="ListBullet"/>
      </w:pPr>
      <w:r w:rsidRPr="00C20E4A">
        <w:t>The inclusion of cover letters explaining</w:t>
      </w:r>
      <w:r w:rsidRPr="00C20E4A">
        <w:rPr>
          <w:spacing w:val="-3"/>
        </w:rPr>
        <w:t xml:space="preserve"> </w:t>
      </w:r>
      <w:r w:rsidRPr="00C20E4A">
        <w:t>how the</w:t>
      </w:r>
      <w:r w:rsidRPr="00C20E4A">
        <w:rPr>
          <w:spacing w:val="1"/>
        </w:rPr>
        <w:t xml:space="preserve"> </w:t>
      </w:r>
      <w:r w:rsidRPr="00C20E4A">
        <w:t>provided data</w:t>
      </w:r>
      <w:r w:rsidRPr="00C20E4A">
        <w:t xml:space="preserve"> are used</w:t>
      </w:r>
    </w:p>
    <w:p w:rsidR="00CF2CBC" w:rsidRPr="00C20E4A" w:rsidP="00C37BD1" w14:paraId="24250FDD" w14:textId="77777777">
      <w:pPr>
        <w:pStyle w:val="ListBullet"/>
      </w:pPr>
      <w:r w:rsidRPr="00C20E4A">
        <w:t>Enlistment of others at the institution, as appropriate, to gain</w:t>
      </w:r>
      <w:r w:rsidRPr="00C20E4A">
        <w:rPr>
          <w:spacing w:val="2"/>
        </w:rPr>
        <w:t xml:space="preserve"> </w:t>
      </w:r>
      <w:r w:rsidRPr="00C20E4A">
        <w:t>cooperation</w:t>
      </w:r>
    </w:p>
    <w:p w:rsidR="00C72AA7" w:rsidP="00D919D6" w14:paraId="3CDE6A27" w14:textId="66D9AD0F">
      <w:pPr>
        <w:pStyle w:val="BodyTextSpaceAfter12"/>
      </w:pPr>
      <w:r w:rsidRPr="00C20E4A">
        <w:t xml:space="preserve">In addition to the methods listed above, a series </w:t>
      </w:r>
      <w:r w:rsidR="00AA0701">
        <w:t xml:space="preserve">of </w:t>
      </w:r>
      <w:r w:rsidRPr="00C20E4A">
        <w:t>presentations w</w:t>
      </w:r>
      <w:r w:rsidR="00145C52">
        <w:t>ere</w:t>
      </w:r>
      <w:r w:rsidR="006D22BB">
        <w:t xml:space="preserve"> </w:t>
      </w:r>
      <w:r w:rsidRPr="00C20E4A">
        <w:t xml:space="preserve">offered at professional conferences that GSS </w:t>
      </w:r>
      <w:r w:rsidRPr="00C20E4A" w:rsidR="00375086">
        <w:t>SC</w:t>
      </w:r>
      <w:r w:rsidRPr="00C20E4A">
        <w:t>s frequently attend</w:t>
      </w:r>
      <w:r w:rsidR="00E42105">
        <w:t>.</w:t>
      </w:r>
      <w:r w:rsidRPr="00C20E4A">
        <w:t xml:space="preserve"> </w:t>
      </w:r>
      <w:r w:rsidR="00C33447">
        <w:t xml:space="preserve">Over the past </w:t>
      </w:r>
      <w:r w:rsidR="00FB3566">
        <w:t>three</w:t>
      </w:r>
      <w:r w:rsidR="00C33447">
        <w:t xml:space="preserve"> years (2023-2025)</w:t>
      </w:r>
      <w:r w:rsidRPr="00C20E4A" w:rsidR="003010C1">
        <w:t>, p</w:t>
      </w:r>
      <w:r w:rsidRPr="00C20E4A">
        <w:t xml:space="preserve">resentations </w:t>
      </w:r>
      <w:r w:rsidRPr="00C20E4A" w:rsidR="003010C1">
        <w:t xml:space="preserve">have been </w:t>
      </w:r>
      <w:r w:rsidR="00C33447">
        <w:t>made</w:t>
      </w:r>
      <w:r w:rsidRPr="00C20E4A" w:rsidR="003010C1">
        <w:t xml:space="preserve"> </w:t>
      </w:r>
      <w:r w:rsidRPr="00C20E4A">
        <w:t xml:space="preserve">at the Association for Institutional Research </w:t>
      </w:r>
      <w:r w:rsidR="00FB3566">
        <w:t xml:space="preserve">(AIR) </w:t>
      </w:r>
      <w:r w:rsidRPr="00C20E4A">
        <w:t xml:space="preserve">Annual Forum. Additionally, GSS </w:t>
      </w:r>
      <w:r w:rsidR="00657500">
        <w:t xml:space="preserve">survey staff </w:t>
      </w:r>
      <w:r w:rsidRPr="00C20E4A">
        <w:t>conduct a</w:t>
      </w:r>
      <w:r w:rsidR="00C33447">
        <w:t>n annual</w:t>
      </w:r>
      <w:r w:rsidRPr="00C20E4A">
        <w:t xml:space="preserve"> webinar to provide specific instructions and support for </w:t>
      </w:r>
      <w:r w:rsidRPr="00C20E4A" w:rsidR="00375086">
        <w:t>SC</w:t>
      </w:r>
      <w:r w:rsidRPr="00C20E4A">
        <w:t xml:space="preserve">s navigating </w:t>
      </w:r>
      <w:r w:rsidR="00C33447">
        <w:t>any</w:t>
      </w:r>
      <w:r w:rsidRPr="00C20E4A">
        <w:t xml:space="preserve"> changes in </w:t>
      </w:r>
      <w:r w:rsidR="00657500">
        <w:t xml:space="preserve">the </w:t>
      </w:r>
      <w:r w:rsidRPr="00C20E4A" w:rsidR="003010C1">
        <w:t xml:space="preserve">GSS </w:t>
      </w:r>
      <w:r w:rsidRPr="00C20E4A">
        <w:t>data collection.</w:t>
      </w:r>
      <w:r>
        <w:t xml:space="preserve"> </w:t>
      </w:r>
      <w:r w:rsidR="00C33447">
        <w:t>NCSES also conducts site visits (either virtually or in</w:t>
      </w:r>
      <w:r w:rsidR="00FB3566">
        <w:t xml:space="preserve"> </w:t>
      </w:r>
      <w:r w:rsidR="00C33447">
        <w:t>person) to institutions to discuss data collection and reporting challenges and potential solutions upon the recommendation of the GSS data collection team.</w:t>
      </w:r>
    </w:p>
    <w:p w:rsidR="00CF2CBC" w:rsidP="00444A0A" w14:paraId="3B9B1DFB" w14:textId="44B5CA3A">
      <w:pPr>
        <w:pStyle w:val="BodyText"/>
      </w:pPr>
      <w:r>
        <w:t xml:space="preserve">Many of these response techniques are deployed for the FFRDC </w:t>
      </w:r>
      <w:r w:rsidR="00FB3566">
        <w:t>P</w:t>
      </w:r>
      <w:r w:rsidR="00D17DFC">
        <w:t xml:space="preserve">ostdoc </w:t>
      </w:r>
      <w:r w:rsidR="00FB3566">
        <w:t>S</w:t>
      </w:r>
      <w:r>
        <w:t>urvey as well, including help</w:t>
      </w:r>
      <w:r w:rsidR="00FB3566">
        <w:t xml:space="preserve"> </w:t>
      </w:r>
      <w:r>
        <w:t>desk support, multiple phone and e</w:t>
      </w:r>
      <w:r w:rsidR="00FB3566">
        <w:t>-</w:t>
      </w:r>
      <w:r>
        <w:t>mail contracts, and the use of site visits and virtual meetings to encourage participation.</w:t>
      </w:r>
    </w:p>
    <w:p w:rsidR="007C57C0" w:rsidRPr="00C20E4A" w:rsidP="00444A0A" w14:paraId="48D9E86C" w14:textId="77777777">
      <w:pPr>
        <w:pStyle w:val="Heading3"/>
        <w:rPr>
          <w:bCs/>
        </w:rPr>
      </w:pPr>
      <w:bookmarkStart w:id="24" w:name="_Toc232083018"/>
      <w:r w:rsidRPr="00C20E4A">
        <w:t>B.</w:t>
      </w:r>
      <w:r>
        <w:t>3</w:t>
      </w:r>
      <w:r w:rsidRPr="00C20E4A">
        <w:t>.</w:t>
      </w:r>
      <w:r w:rsidR="00003B74">
        <w:t>2</w:t>
      </w:r>
      <w:r w:rsidRPr="00C20E4A">
        <w:tab/>
      </w:r>
      <w:r>
        <w:t>Imputation Methods for Unit</w:t>
      </w:r>
      <w:r w:rsidRPr="000D7964">
        <w:t xml:space="preserve"> </w:t>
      </w:r>
      <w:r>
        <w:t xml:space="preserve">and </w:t>
      </w:r>
      <w:r w:rsidRPr="00C20E4A">
        <w:t>Item</w:t>
      </w:r>
      <w:r w:rsidRPr="00C20E4A">
        <w:rPr>
          <w:spacing w:val="-4"/>
        </w:rPr>
        <w:t xml:space="preserve"> </w:t>
      </w:r>
      <w:r w:rsidRPr="00C20E4A">
        <w:t>Nonresponse</w:t>
      </w:r>
      <w:bookmarkEnd w:id="24"/>
      <w:r w:rsidRPr="00C20E4A">
        <w:t xml:space="preserve"> </w:t>
      </w:r>
    </w:p>
    <w:p w:rsidR="007C57C0" w:rsidRPr="001A1D2D" w:rsidP="00E47629" w14:paraId="6AB64096" w14:textId="1496912B">
      <w:pPr>
        <w:widowControl w:val="0"/>
        <w:spacing w:before="240" w:line="360" w:lineRule="auto"/>
        <w:ind w:firstLine="720"/>
      </w:pPr>
      <w:r w:rsidRPr="00C72AA7">
        <w:rPr>
          <w:i/>
          <w:iCs/>
        </w:rPr>
        <w:t xml:space="preserve">GSS Unit and Item </w:t>
      </w:r>
      <w:r w:rsidR="00FB3566">
        <w:rPr>
          <w:i/>
          <w:iCs/>
        </w:rPr>
        <w:t>N</w:t>
      </w:r>
      <w:r w:rsidRPr="00C72AA7">
        <w:rPr>
          <w:i/>
          <w:iCs/>
        </w:rPr>
        <w:t>onresponse.</w:t>
      </w:r>
      <w:r>
        <w:t xml:space="preserve"> </w:t>
      </w:r>
      <w:r w:rsidRPr="004B632C" w:rsidR="00C616B5">
        <w:t xml:space="preserve">Units that provide a complete response to every item in the questionnaire are defined as </w:t>
      </w:r>
      <w:r w:rsidRPr="00BA6EC6" w:rsidR="00C616B5">
        <w:rPr>
          <w:i/>
        </w:rPr>
        <w:t>complete</w:t>
      </w:r>
      <w:r w:rsidRPr="004B632C" w:rsidR="00C616B5">
        <w:rPr>
          <w:i/>
        </w:rPr>
        <w:t xml:space="preserve"> (unit) respondents</w:t>
      </w:r>
      <w:r w:rsidRPr="004B632C" w:rsidR="00C616B5">
        <w:t xml:space="preserve"> (needing no imputation)</w:t>
      </w:r>
      <w:r w:rsidR="00FB3566">
        <w:t>;</w:t>
      </w:r>
      <w:r w:rsidR="00C616B5">
        <w:t xml:space="preserve"> </w:t>
      </w:r>
      <w:r w:rsidRPr="004B632C" w:rsidR="00C616B5">
        <w:t xml:space="preserve">units that provide </w:t>
      </w:r>
      <w:r w:rsidRPr="004B632C" w:rsidR="00D671EE">
        <w:t>some,</w:t>
      </w:r>
      <w:r w:rsidRPr="004B632C" w:rsidR="00C616B5">
        <w:t xml:space="preserve"> but not all</w:t>
      </w:r>
      <w:r w:rsidR="00FB3566">
        <w:t>,</w:t>
      </w:r>
      <w:r w:rsidRPr="004B632C" w:rsidR="00C616B5">
        <w:t xml:space="preserve"> items </w:t>
      </w:r>
      <w:r w:rsidRPr="001A1D2D" w:rsidR="00C616B5">
        <w:t xml:space="preserve">are </w:t>
      </w:r>
      <w:r w:rsidRPr="001A1D2D" w:rsidR="00C616B5">
        <w:rPr>
          <w:i/>
        </w:rPr>
        <w:t>partial (unit) respondents</w:t>
      </w:r>
      <w:r w:rsidRPr="001A1D2D" w:rsidR="00C616B5">
        <w:t xml:space="preserve"> (needing partial imputation</w:t>
      </w:r>
      <w:r w:rsidRPr="001A1D2D" w:rsidR="00FB3566">
        <w:t>)</w:t>
      </w:r>
      <w:r w:rsidR="00FB3566">
        <w:t>;</w:t>
      </w:r>
      <w:r w:rsidRPr="001A1D2D" w:rsidR="00FB3566">
        <w:t xml:space="preserve"> </w:t>
      </w:r>
      <w:r w:rsidRPr="001A1D2D" w:rsidR="00C616B5">
        <w:t xml:space="preserve">and units that provide no response are </w:t>
      </w:r>
      <w:r w:rsidRPr="001A1D2D" w:rsidR="00C616B5">
        <w:rPr>
          <w:i/>
          <w:iCs/>
        </w:rPr>
        <w:t>total (unit)</w:t>
      </w:r>
      <w:r w:rsidRPr="001A1D2D" w:rsidR="00C616B5">
        <w:t xml:space="preserve"> </w:t>
      </w:r>
      <w:r w:rsidRPr="001A1D2D" w:rsidR="00C616B5">
        <w:rPr>
          <w:i/>
          <w:iCs/>
        </w:rPr>
        <w:t>nonrespondents</w:t>
      </w:r>
      <w:r w:rsidRPr="001A1D2D" w:rsidR="00C616B5">
        <w:t xml:space="preserve"> (requiring complete imputation). </w:t>
      </w:r>
      <w:r w:rsidRPr="001A1D2D" w:rsidR="003E385C">
        <w:t xml:space="preserve">Exhibit </w:t>
      </w:r>
      <w:r w:rsidR="00444AAF">
        <w:t>12</w:t>
      </w:r>
      <w:r w:rsidRPr="001A1D2D" w:rsidR="00444AAF">
        <w:t xml:space="preserve"> </w:t>
      </w:r>
      <w:r w:rsidRPr="001A1D2D" w:rsidR="00C616B5">
        <w:t>shows the unit response rates by GSS survey cycle for 20</w:t>
      </w:r>
      <w:r w:rsidR="006A3DBA">
        <w:t>20</w:t>
      </w:r>
      <w:r w:rsidR="00FB3566">
        <w:t>-20</w:t>
      </w:r>
      <w:r w:rsidRPr="001A1D2D" w:rsidR="00C616B5">
        <w:t>2</w:t>
      </w:r>
      <w:r w:rsidR="006A3DBA">
        <w:t>4</w:t>
      </w:r>
      <w:r w:rsidRPr="001A1D2D" w:rsidR="00C616B5">
        <w:t>. The overall unit nonresponse rate for all units in the 202</w:t>
      </w:r>
      <w:r w:rsidR="006A3DBA">
        <w:t>4</w:t>
      </w:r>
      <w:r w:rsidRPr="001A1D2D" w:rsidR="00C616B5">
        <w:t xml:space="preserve"> GSS is 1</w:t>
      </w:r>
      <w:r w:rsidR="006A3DBA">
        <w:t>7</w:t>
      </w:r>
      <w:r w:rsidRPr="001A1D2D" w:rsidR="00C616B5">
        <w:t>.</w:t>
      </w:r>
      <w:r w:rsidR="006A3DBA">
        <w:t>2</w:t>
      </w:r>
      <w:r w:rsidRPr="001A1D2D" w:rsidR="00C616B5">
        <w:t>%, representing 3,</w:t>
      </w:r>
      <w:r w:rsidR="006A3DBA">
        <w:t>975</w:t>
      </w:r>
      <w:r w:rsidRPr="001A1D2D" w:rsidR="00C616B5">
        <w:t xml:space="preserve"> units needing imputation. The 202</w:t>
      </w:r>
      <w:r w:rsidR="006A3DBA">
        <w:t>4</w:t>
      </w:r>
      <w:r w:rsidRPr="001A1D2D" w:rsidR="00C616B5">
        <w:t xml:space="preserve"> percentage of total unit nonrespondents is </w:t>
      </w:r>
      <w:r w:rsidR="006A3DBA">
        <w:t>2.2</w:t>
      </w:r>
      <w:r w:rsidRPr="001A1D2D" w:rsidR="00C616B5">
        <w:t>%, and the percentage of partial unit respondents is 1</w:t>
      </w:r>
      <w:r w:rsidR="006A3DBA">
        <w:t>5</w:t>
      </w:r>
      <w:r w:rsidRPr="001A1D2D" w:rsidR="00C616B5">
        <w:t>.</w:t>
      </w:r>
      <w:r w:rsidR="006A3DBA">
        <w:t>0</w:t>
      </w:r>
      <w:r w:rsidRPr="001A1D2D" w:rsidR="00C616B5">
        <w:t>%.</w:t>
      </w:r>
      <w:r w:rsidR="00FB3566">
        <w:t xml:space="preserve"> </w:t>
      </w:r>
      <w:r w:rsidRPr="001A1D2D" w:rsidR="00C616B5">
        <w:t xml:space="preserve">As seen in </w:t>
      </w:r>
      <w:r w:rsidRPr="001A1D2D" w:rsidR="003E385C">
        <w:t>Exhibit</w:t>
      </w:r>
      <w:r w:rsidRPr="001A1D2D" w:rsidR="00C616B5">
        <w:t xml:space="preserve"> </w:t>
      </w:r>
      <w:r w:rsidR="00444AAF">
        <w:t>12</w:t>
      </w:r>
      <w:r w:rsidRPr="001A1D2D" w:rsidR="00C616B5">
        <w:t>, the unit response rates from 20</w:t>
      </w:r>
      <w:r w:rsidR="006A3DBA">
        <w:t>20</w:t>
      </w:r>
      <w:r w:rsidRPr="001A1D2D" w:rsidR="00C616B5">
        <w:t xml:space="preserve"> to 202</w:t>
      </w:r>
      <w:r w:rsidR="006A3DBA">
        <w:t>4</w:t>
      </w:r>
      <w:r w:rsidRPr="001A1D2D" w:rsidR="00C616B5">
        <w:t xml:space="preserve"> have remained </w:t>
      </w:r>
      <w:r w:rsidRPr="001A1D2D" w:rsidR="002C57B1">
        <w:t>steady</w:t>
      </w:r>
      <w:r w:rsidRPr="001A1D2D" w:rsidR="00C616B5">
        <w:t xml:space="preserve"> for each response type.</w:t>
      </w:r>
    </w:p>
    <w:p w:rsidR="00671FB1" w:rsidRPr="001A1D2D" w:rsidP="008E1E65" w14:paraId="507F3BD8" w14:textId="42306C71">
      <w:pPr>
        <w:pStyle w:val="ExhibitTitle"/>
      </w:pPr>
      <w:bookmarkStart w:id="25" w:name="_Toc232083024"/>
      <w:r w:rsidRPr="001A1D2D">
        <w:t xml:space="preserve">Exhibit </w:t>
      </w:r>
      <w:r w:rsidR="00444AAF">
        <w:t>12</w:t>
      </w:r>
      <w:r w:rsidRPr="001A1D2D">
        <w:t>.</w:t>
      </w:r>
      <w:bookmarkStart w:id="26" w:name="_Toc116485584"/>
      <w:r w:rsidR="00D919D6">
        <w:tab/>
      </w:r>
      <w:r w:rsidRPr="001A1D2D">
        <w:t xml:space="preserve">Unit </w:t>
      </w:r>
      <w:r w:rsidR="00FB3566">
        <w:t>R</w:t>
      </w:r>
      <w:r w:rsidRPr="001A1D2D">
        <w:t xml:space="preserve">esponse </w:t>
      </w:r>
      <w:r w:rsidR="00FB3566">
        <w:t>R</w:t>
      </w:r>
      <w:r w:rsidRPr="001A1D2D">
        <w:t>ates: 20</w:t>
      </w:r>
      <w:r w:rsidR="00415ACC">
        <w:t>2</w:t>
      </w:r>
      <w:r w:rsidR="006A3DBA">
        <w:t>0</w:t>
      </w:r>
      <w:r w:rsidR="00FB3566">
        <w:t>-</w:t>
      </w:r>
      <w:r w:rsidRPr="001A1D2D">
        <w:t>2</w:t>
      </w:r>
      <w:r w:rsidR="006A3DBA">
        <w:t>4</w:t>
      </w:r>
      <w:bookmarkEnd w:id="26"/>
      <w:r w:rsidRPr="001A1D2D">
        <w:t xml:space="preserve"> (Percent)</w:t>
      </w:r>
      <w:bookmarkEnd w:id="25"/>
    </w:p>
    <w:p w:rsidR="00671FB1" w:rsidRPr="001A1D2D" w:rsidP="00E605F7" w14:paraId="3C27BC70" w14:textId="56BD069D">
      <w:r>
        <w:rPr>
          <w:noProof/>
        </w:rPr>
        <w:drawing>
          <wp:inline distT="0" distB="0" distL="0" distR="0">
            <wp:extent cx="5982056" cy="3152775"/>
            <wp:effectExtent l="0" t="0" r="0" b="9525"/>
            <wp:docPr id="1873673251" name="Chart 1">
              <a:extLst xmlns:a="http://schemas.openxmlformats.org/drawingml/2006/main">
                <a:ext xmlns:a="http://schemas.openxmlformats.org/drawingml/2006/main" uri="{FF2B5EF4-FFF2-40B4-BE49-F238E27FC236}">
                  <a16:creationId xmlns:a16="http://schemas.microsoft.com/office/drawing/2014/main" id="{2703B1E9-6825-8D31-C37E-47C78DB0B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71FB1" w:rsidRPr="001A1D2D" w:rsidP="00D919D6" w14:paraId="5B74EEE6" w14:textId="77777777">
      <w:pPr>
        <w:pStyle w:val="Exhibitsource"/>
      </w:pPr>
      <w:r w:rsidRPr="001A1D2D">
        <w:t xml:space="preserve">Source(s): </w:t>
      </w:r>
      <w:r w:rsidRPr="001A1D2D">
        <w:br/>
        <w:t>National Center for Science and Engineering Statistics, Survey of Graduate Students and Postdoctorates in Science and Engineering.</w:t>
      </w:r>
    </w:p>
    <w:p w:rsidR="003E385C" w:rsidRPr="001A1D2D" w:rsidP="00FB3566" w14:paraId="39D69153" w14:textId="15309B99">
      <w:pPr>
        <w:pStyle w:val="BodyTextSpaceAfter12"/>
        <w:rPr>
          <w:rFonts w:ascii="Arial Narrow" w:eastAsia="MS Mincho" w:hAnsi="Arial Narrow"/>
          <w:sz w:val="18"/>
        </w:rPr>
      </w:pPr>
      <w:r w:rsidRPr="001A1D2D">
        <w:t xml:space="preserve">The </w:t>
      </w:r>
      <w:r w:rsidRPr="001A1D2D">
        <w:rPr>
          <w:i/>
        </w:rPr>
        <w:t>item</w:t>
      </w:r>
      <w:r w:rsidRPr="001A1D2D">
        <w:t xml:space="preserve"> </w:t>
      </w:r>
      <w:r w:rsidRPr="001A1D2D">
        <w:rPr>
          <w:i/>
        </w:rPr>
        <w:t>imputation rate</w:t>
      </w:r>
      <w:r w:rsidRPr="001A1D2D">
        <w:t xml:space="preserve"> is a measure of the amount of missing data for each key total and grid detail variable collected on the GSS. For the 202</w:t>
      </w:r>
      <w:r w:rsidR="009E51E0">
        <w:t>4</w:t>
      </w:r>
      <w:r w:rsidRPr="001A1D2D">
        <w:t xml:space="preserve"> GSS, all 543 data items required imputation. </w:t>
      </w:r>
      <w:r w:rsidRPr="001A1D2D" w:rsidR="00491C1E">
        <w:t xml:space="preserve">Exhibit </w:t>
      </w:r>
      <w:r w:rsidR="00444AAF">
        <w:t>13</w:t>
      </w:r>
      <w:r w:rsidRPr="001A1D2D" w:rsidR="00444AAF">
        <w:t xml:space="preserve"> </w:t>
      </w:r>
      <w:r w:rsidRPr="001A1D2D">
        <w:t xml:space="preserve">presents a summary of the item imputation rates for various classes of items: </w:t>
      </w:r>
      <w:r w:rsidR="00FB3566">
        <w:t>part-time (PT)</w:t>
      </w:r>
      <w:r w:rsidRPr="001A1D2D" w:rsidR="00FB3566">
        <w:t xml:space="preserve"> </w:t>
      </w:r>
      <w:r w:rsidRPr="001A1D2D">
        <w:t xml:space="preserve">and </w:t>
      </w:r>
      <w:r w:rsidR="00FB3566">
        <w:t>full-time (</w:t>
      </w:r>
      <w:r w:rsidRPr="001A1D2D">
        <w:t>FT</w:t>
      </w:r>
      <w:r w:rsidR="00FB3566">
        <w:t>)</w:t>
      </w:r>
      <w:r w:rsidRPr="001A1D2D">
        <w:t xml:space="preserve"> master’s students, PT and FT doctoral students, </w:t>
      </w:r>
      <w:r w:rsidR="00BA6FE4">
        <w:t>postdoctorates</w:t>
      </w:r>
      <w:r w:rsidRPr="001A1D2D">
        <w:t xml:space="preserve">, and NFRs. Overall, item imputation rates ranged from 1.7% to </w:t>
      </w:r>
      <w:r w:rsidR="00D47CF4">
        <w:t>7.3</w:t>
      </w:r>
      <w:r w:rsidRPr="001A1D2D">
        <w:t xml:space="preserve">%, with a mean item imputation rate of </w:t>
      </w:r>
      <w:r w:rsidR="00D47CF4">
        <w:t>4.2</w:t>
      </w:r>
      <w:r w:rsidRPr="001A1D2D">
        <w:t xml:space="preserve">%, where 186 items had imputation rates between 1% and 3%, </w:t>
      </w:r>
      <w:r w:rsidR="00D47CF4">
        <w:t>157</w:t>
      </w:r>
      <w:r w:rsidRPr="001A1D2D">
        <w:t xml:space="preserve"> items had rates between 3% and 5%, 1</w:t>
      </w:r>
      <w:r w:rsidR="00D47CF4">
        <w:t>93</w:t>
      </w:r>
      <w:r w:rsidRPr="001A1D2D">
        <w:t xml:space="preserve"> items had rates between 5</w:t>
      </w:r>
      <w:r w:rsidRPr="001A1D2D" w:rsidR="00D671EE">
        <w:t>%</w:t>
      </w:r>
      <w:r w:rsidR="00D47CF4">
        <w:t xml:space="preserve"> </w:t>
      </w:r>
      <w:r w:rsidR="00BA6FE4">
        <w:t xml:space="preserve">and 7%, </w:t>
      </w:r>
      <w:r w:rsidR="00D47CF4">
        <w:t xml:space="preserve">and </w:t>
      </w:r>
      <w:r w:rsidR="00BA6FE4">
        <w:t xml:space="preserve">seven </w:t>
      </w:r>
      <w:r w:rsidR="00D47CF4">
        <w:t xml:space="preserve">items </w:t>
      </w:r>
      <w:r w:rsidR="00D671EE">
        <w:t>had</w:t>
      </w:r>
      <w:r w:rsidR="00D47CF4">
        <w:t xml:space="preserve"> rates between 7% and 9%</w:t>
      </w:r>
      <w:r w:rsidRPr="001A1D2D">
        <w:t xml:space="preserve">. </w:t>
      </w:r>
    </w:p>
    <w:p w:rsidR="003E385C" w:rsidRPr="008E1E65" w:rsidP="008E1E65" w14:paraId="344790C2" w14:textId="245CC6E7">
      <w:pPr>
        <w:pStyle w:val="ExhibitTitle"/>
      </w:pPr>
      <w:bookmarkStart w:id="27" w:name="_Toc232083025"/>
      <w:r w:rsidRPr="008E1E65">
        <w:t xml:space="preserve">Exhibit </w:t>
      </w:r>
      <w:r w:rsidRPr="008E1E65" w:rsidR="00444AAF">
        <w:t>13</w:t>
      </w:r>
      <w:r w:rsidRPr="008E1E65">
        <w:t>.</w:t>
      </w:r>
      <w:bookmarkStart w:id="28" w:name="_Toc116485824"/>
      <w:r w:rsidRPr="008E1E65" w:rsidR="00BE06EC">
        <w:tab/>
      </w:r>
      <w:r w:rsidRPr="008E1E65">
        <w:t xml:space="preserve">Item </w:t>
      </w:r>
      <w:r w:rsidRPr="008E1E65" w:rsidR="00444AAF">
        <w:t>I</w:t>
      </w:r>
      <w:r w:rsidRPr="008E1E65">
        <w:t xml:space="preserve">mputation </w:t>
      </w:r>
      <w:r w:rsidRPr="008E1E65" w:rsidR="00444AAF">
        <w:t>R</w:t>
      </w:r>
      <w:r w:rsidRPr="008E1E65">
        <w:t xml:space="preserve">ates for </w:t>
      </w:r>
      <w:r w:rsidRPr="008E1E65" w:rsidR="00444AAF">
        <w:t>P</w:t>
      </w:r>
      <w:r w:rsidRPr="008E1E65" w:rsidR="00BA6FE4">
        <w:t>art</w:t>
      </w:r>
      <w:r w:rsidRPr="008E1E65">
        <w:t>-</w:t>
      </w:r>
      <w:r w:rsidRPr="008E1E65" w:rsidR="00444AAF">
        <w:t>T</w:t>
      </w:r>
      <w:r w:rsidRPr="008E1E65">
        <w:t xml:space="preserve">ime or </w:t>
      </w:r>
      <w:r w:rsidRPr="008E1E65" w:rsidR="00444AAF">
        <w:t>F</w:t>
      </w:r>
      <w:r w:rsidRPr="008E1E65" w:rsidR="00BA6FE4">
        <w:t>ull</w:t>
      </w:r>
      <w:r w:rsidRPr="008E1E65">
        <w:t>-</w:t>
      </w:r>
      <w:r w:rsidRPr="008E1E65" w:rsidR="00444AAF">
        <w:t>T</w:t>
      </w:r>
      <w:r w:rsidRPr="008E1E65">
        <w:t xml:space="preserve">ime </w:t>
      </w:r>
      <w:r w:rsidRPr="008E1E65" w:rsidR="00444AAF">
        <w:t>G</w:t>
      </w:r>
      <w:r w:rsidRPr="008E1E65">
        <w:t xml:space="preserve">raduate </w:t>
      </w:r>
      <w:r w:rsidRPr="008E1E65" w:rsidR="00444AAF">
        <w:t>S</w:t>
      </w:r>
      <w:r w:rsidRPr="008E1E65">
        <w:t xml:space="preserve">tudents, </w:t>
      </w:r>
      <w:r w:rsidRPr="008E1E65" w:rsidR="00444AAF">
        <w:t>P</w:t>
      </w:r>
      <w:r w:rsidRPr="008E1E65">
        <w:t xml:space="preserve">ostdoctorates, and </w:t>
      </w:r>
      <w:r w:rsidRPr="008E1E65" w:rsidR="00444AAF">
        <w:t>N</w:t>
      </w:r>
      <w:r w:rsidRPr="008E1E65">
        <w:t xml:space="preserve">onfaculty </w:t>
      </w:r>
      <w:r w:rsidRPr="008E1E65" w:rsidR="00444AAF">
        <w:t>R</w:t>
      </w:r>
      <w:r w:rsidRPr="008E1E65">
        <w:t xml:space="preserve">esearcher </w:t>
      </w:r>
      <w:r w:rsidRPr="008E1E65" w:rsidR="00444AAF">
        <w:t>I</w:t>
      </w:r>
      <w:r w:rsidRPr="008E1E65">
        <w:t>tems: 202</w:t>
      </w:r>
      <w:r w:rsidRPr="008E1E65" w:rsidR="009E51E0">
        <w:t>4</w:t>
      </w:r>
      <w:bookmarkEnd w:id="28"/>
      <w:r w:rsidRPr="008E1E65" w:rsidR="00BE06EC">
        <w:t xml:space="preserve"> </w:t>
      </w:r>
      <w:r w:rsidRPr="008E1E65">
        <w:t xml:space="preserve">(Number and </w:t>
      </w:r>
      <w:r w:rsidRPr="008E1E65" w:rsidR="00444AAF">
        <w:t>P</w:t>
      </w:r>
      <w:r w:rsidRPr="008E1E65">
        <w:t>ercent)</w:t>
      </w:r>
      <w:bookmarkEnd w:id="27"/>
    </w:p>
    <w:tbl>
      <w:tblPr>
        <w:tblStyle w:val="TableGrid1"/>
        <w:tblW w:w="93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9" w:type="dxa"/>
          <w:right w:w="29" w:type="dxa"/>
        </w:tblCellMar>
        <w:tblLook w:val="0620"/>
      </w:tblPr>
      <w:tblGrid>
        <w:gridCol w:w="1435"/>
        <w:gridCol w:w="501"/>
        <w:gridCol w:w="617"/>
        <w:gridCol w:w="744"/>
        <w:gridCol w:w="625"/>
        <w:gridCol w:w="624"/>
        <w:gridCol w:w="535"/>
        <w:gridCol w:w="535"/>
        <w:gridCol w:w="535"/>
        <w:gridCol w:w="713"/>
        <w:gridCol w:w="624"/>
        <w:gridCol w:w="624"/>
        <w:gridCol w:w="624"/>
        <w:gridCol w:w="624"/>
      </w:tblGrid>
      <w:tr w14:paraId="45B18038" w14:textId="77777777" w:rsidTr="008E1E65">
        <w:tblPrEx>
          <w:tblW w:w="93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9" w:type="dxa"/>
            <w:right w:w="29" w:type="dxa"/>
          </w:tblCellMar>
          <w:tblLook w:val="0620"/>
        </w:tblPrEx>
        <w:trPr>
          <w:tblHeader/>
        </w:trPr>
        <w:tc>
          <w:tcPr>
            <w:tcW w:w="1435" w:type="dxa"/>
            <w:vMerge w:val="restart"/>
            <w:noWrap/>
            <w:vAlign w:val="bottom"/>
          </w:tcPr>
          <w:p w:rsidR="00562264" w:rsidRPr="004B28D6" w:rsidP="00562264" w14:paraId="38893A85" w14:textId="4A3D50A5">
            <w:pPr>
              <w:pStyle w:val="TableHeadersmall"/>
              <w:rPr>
                <w:rFonts w:ascii="Times New Roman" w:hAnsi="Times New Roman" w:cs="Times New Roman"/>
              </w:rPr>
            </w:pPr>
            <w:r w:rsidRPr="004B28D6">
              <w:rPr>
                <w:rFonts w:ascii="Times New Roman" w:hAnsi="Times New Roman" w:cs="Times New Roman"/>
              </w:rPr>
              <w:t xml:space="preserve">Item </w:t>
            </w:r>
            <w:r w:rsidRPr="004B28D6" w:rsidR="00444AAF">
              <w:rPr>
                <w:rFonts w:ascii="Times New Roman" w:hAnsi="Times New Roman" w:cs="Times New Roman"/>
              </w:rPr>
              <w:t>I</w:t>
            </w:r>
            <w:r w:rsidRPr="004B28D6">
              <w:rPr>
                <w:rFonts w:ascii="Times New Roman" w:hAnsi="Times New Roman" w:cs="Times New Roman"/>
              </w:rPr>
              <w:t xml:space="preserve">mputation </w:t>
            </w:r>
            <w:r w:rsidRPr="004B28D6" w:rsidR="00444AAF">
              <w:rPr>
                <w:rFonts w:ascii="Times New Roman" w:hAnsi="Times New Roman" w:cs="Times New Roman"/>
              </w:rPr>
              <w:t>R</w:t>
            </w:r>
            <w:r w:rsidRPr="004B28D6">
              <w:rPr>
                <w:rFonts w:ascii="Times New Roman" w:hAnsi="Times New Roman" w:cs="Times New Roman"/>
              </w:rPr>
              <w:t>ate</w:t>
            </w:r>
          </w:p>
        </w:tc>
        <w:tc>
          <w:tcPr>
            <w:tcW w:w="501" w:type="dxa"/>
            <w:vMerge w:val="restart"/>
            <w:noWrap/>
            <w:vAlign w:val="bottom"/>
          </w:tcPr>
          <w:p w:rsidR="003E385C" w:rsidRPr="004B28D6" w:rsidP="00562264" w14:paraId="0396C435" w14:textId="77777777">
            <w:pPr>
              <w:pStyle w:val="TableHeadersmall"/>
              <w:rPr>
                <w:rFonts w:ascii="Times New Roman" w:hAnsi="Times New Roman" w:cs="Times New Roman"/>
              </w:rPr>
            </w:pPr>
            <w:r w:rsidRPr="004B28D6">
              <w:rPr>
                <w:rFonts w:ascii="Times New Roman" w:hAnsi="Times New Roman" w:cs="Times New Roman"/>
              </w:rPr>
              <w:t>Total</w:t>
            </w:r>
          </w:p>
        </w:tc>
        <w:tc>
          <w:tcPr>
            <w:tcW w:w="1361" w:type="dxa"/>
            <w:gridSpan w:val="2"/>
            <w:vAlign w:val="bottom"/>
            <w:hideMark/>
          </w:tcPr>
          <w:p w:rsidR="003E385C" w:rsidRPr="004B28D6" w:rsidP="00562264" w14:paraId="49F1C818" w14:textId="45C7569F">
            <w:pPr>
              <w:pStyle w:val="TableHeadersmall"/>
              <w:rPr>
                <w:rFonts w:ascii="Times New Roman" w:hAnsi="Times New Roman" w:cs="Times New Roman"/>
              </w:rPr>
            </w:pPr>
            <w:r w:rsidRPr="004B28D6">
              <w:rPr>
                <w:rFonts w:ascii="Times New Roman" w:hAnsi="Times New Roman" w:cs="Times New Roman"/>
              </w:rPr>
              <w:t>Part-</w:t>
            </w:r>
            <w:r w:rsidRPr="004B28D6" w:rsidR="00444AAF">
              <w:rPr>
                <w:rFonts w:ascii="Times New Roman" w:hAnsi="Times New Roman" w:cs="Times New Roman"/>
              </w:rPr>
              <w:t>T</w:t>
            </w:r>
            <w:r w:rsidRPr="004B28D6">
              <w:rPr>
                <w:rFonts w:ascii="Times New Roman" w:hAnsi="Times New Roman" w:cs="Times New Roman"/>
              </w:rPr>
              <w:t xml:space="preserve">ime </w:t>
            </w:r>
            <w:r w:rsidRPr="004B28D6" w:rsidR="00444AAF">
              <w:rPr>
                <w:rFonts w:ascii="Times New Roman" w:hAnsi="Times New Roman" w:cs="Times New Roman"/>
              </w:rPr>
              <w:t>M</w:t>
            </w:r>
            <w:r w:rsidRPr="004B28D6">
              <w:rPr>
                <w:rFonts w:ascii="Times New Roman" w:hAnsi="Times New Roman" w:cs="Times New Roman"/>
              </w:rPr>
              <w:t>ast</w:t>
            </w:r>
            <w:r w:rsidRPr="004B28D6" w:rsidR="00444AAF">
              <w:rPr>
                <w:rFonts w:ascii="Times New Roman" w:hAnsi="Times New Roman" w:cs="Times New Roman"/>
              </w:rPr>
              <w:t>e</w:t>
            </w:r>
            <w:r w:rsidRPr="004B28D6">
              <w:rPr>
                <w:rFonts w:ascii="Times New Roman" w:hAnsi="Times New Roman" w:cs="Times New Roman"/>
              </w:rPr>
              <w:t>r’s</w:t>
            </w:r>
            <w:r w:rsidRPr="004B28D6">
              <w:rPr>
                <w:rFonts w:ascii="Times New Roman" w:hAnsi="Times New Roman" w:cs="Times New Roman"/>
              </w:rPr>
              <w:t xml:space="preserve"> </w:t>
            </w:r>
            <w:r w:rsidRPr="004B28D6" w:rsidR="00444AAF">
              <w:rPr>
                <w:rFonts w:ascii="Times New Roman" w:hAnsi="Times New Roman" w:cs="Times New Roman"/>
              </w:rPr>
              <w:t>S</w:t>
            </w:r>
            <w:r w:rsidRPr="004B28D6">
              <w:rPr>
                <w:rFonts w:ascii="Times New Roman" w:hAnsi="Times New Roman" w:cs="Times New Roman"/>
              </w:rPr>
              <w:t>tudents</w:t>
            </w:r>
          </w:p>
        </w:tc>
        <w:tc>
          <w:tcPr>
            <w:tcW w:w="1249" w:type="dxa"/>
            <w:gridSpan w:val="2"/>
            <w:vAlign w:val="bottom"/>
            <w:hideMark/>
          </w:tcPr>
          <w:p w:rsidR="003E385C" w:rsidRPr="004B28D6" w:rsidP="00562264" w14:paraId="5B962C50" w14:textId="6105B773">
            <w:pPr>
              <w:pStyle w:val="TableHeadersmall"/>
              <w:rPr>
                <w:rFonts w:ascii="Times New Roman" w:hAnsi="Times New Roman" w:cs="Times New Roman"/>
              </w:rPr>
            </w:pPr>
            <w:r w:rsidRPr="004B28D6">
              <w:rPr>
                <w:rFonts w:ascii="Times New Roman" w:hAnsi="Times New Roman" w:cs="Times New Roman"/>
              </w:rPr>
              <w:t>Full-</w:t>
            </w:r>
            <w:r w:rsidRPr="004B28D6" w:rsidR="00444AAF">
              <w:rPr>
                <w:rFonts w:ascii="Times New Roman" w:hAnsi="Times New Roman" w:cs="Times New Roman"/>
              </w:rPr>
              <w:t>T</w:t>
            </w:r>
            <w:r w:rsidRPr="004B28D6">
              <w:rPr>
                <w:rFonts w:ascii="Times New Roman" w:hAnsi="Times New Roman" w:cs="Times New Roman"/>
              </w:rPr>
              <w:t xml:space="preserve">ime </w:t>
            </w:r>
            <w:r w:rsidRPr="004B28D6" w:rsidR="00444AAF">
              <w:rPr>
                <w:rFonts w:ascii="Times New Roman" w:hAnsi="Times New Roman" w:cs="Times New Roman"/>
              </w:rPr>
              <w:t>M</w:t>
            </w:r>
            <w:r w:rsidRPr="004B28D6">
              <w:rPr>
                <w:rFonts w:ascii="Times New Roman" w:hAnsi="Times New Roman" w:cs="Times New Roman"/>
              </w:rPr>
              <w:t>aster’s</w:t>
            </w:r>
            <w:r w:rsidRPr="004B28D6">
              <w:rPr>
                <w:rFonts w:ascii="Times New Roman" w:hAnsi="Times New Roman" w:cs="Times New Roman"/>
              </w:rPr>
              <w:t xml:space="preserve"> </w:t>
            </w:r>
            <w:r w:rsidRPr="004B28D6" w:rsidR="00444AAF">
              <w:rPr>
                <w:rFonts w:ascii="Times New Roman" w:hAnsi="Times New Roman" w:cs="Times New Roman"/>
              </w:rPr>
              <w:t>S</w:t>
            </w:r>
            <w:r w:rsidRPr="004B28D6">
              <w:rPr>
                <w:rFonts w:ascii="Times New Roman" w:hAnsi="Times New Roman" w:cs="Times New Roman"/>
              </w:rPr>
              <w:t>tudents</w:t>
            </w:r>
          </w:p>
        </w:tc>
        <w:tc>
          <w:tcPr>
            <w:tcW w:w="1070" w:type="dxa"/>
            <w:gridSpan w:val="2"/>
            <w:vAlign w:val="bottom"/>
            <w:hideMark/>
          </w:tcPr>
          <w:p w:rsidR="003E385C" w:rsidRPr="004B28D6" w:rsidP="00562264" w14:paraId="2B2EF2F9" w14:textId="147D37E1">
            <w:pPr>
              <w:pStyle w:val="TableHeadersmall"/>
              <w:rPr>
                <w:rFonts w:ascii="Times New Roman" w:hAnsi="Times New Roman" w:cs="Times New Roman"/>
              </w:rPr>
            </w:pPr>
            <w:r w:rsidRPr="004B28D6">
              <w:rPr>
                <w:rFonts w:ascii="Times New Roman" w:hAnsi="Times New Roman" w:cs="Times New Roman"/>
              </w:rPr>
              <w:t>Part-</w:t>
            </w:r>
            <w:r w:rsidRPr="004B28D6" w:rsidR="00444AAF">
              <w:rPr>
                <w:rFonts w:ascii="Times New Roman" w:hAnsi="Times New Roman" w:cs="Times New Roman"/>
              </w:rPr>
              <w:t>T</w:t>
            </w:r>
            <w:r w:rsidRPr="004B28D6">
              <w:rPr>
                <w:rFonts w:ascii="Times New Roman" w:hAnsi="Times New Roman" w:cs="Times New Roman"/>
              </w:rPr>
              <w:t xml:space="preserve">ime </w:t>
            </w:r>
            <w:r w:rsidRPr="004B28D6" w:rsidR="00444AAF">
              <w:rPr>
                <w:rFonts w:ascii="Times New Roman" w:hAnsi="Times New Roman" w:cs="Times New Roman"/>
              </w:rPr>
              <w:t>D</w:t>
            </w:r>
            <w:r w:rsidRPr="004B28D6">
              <w:rPr>
                <w:rFonts w:ascii="Times New Roman" w:hAnsi="Times New Roman" w:cs="Times New Roman"/>
              </w:rPr>
              <w:t xml:space="preserve">octoral </w:t>
            </w:r>
            <w:r w:rsidRPr="004B28D6" w:rsidR="00444AAF">
              <w:rPr>
                <w:rFonts w:ascii="Times New Roman" w:hAnsi="Times New Roman" w:cs="Times New Roman"/>
              </w:rPr>
              <w:t>S</w:t>
            </w:r>
            <w:r w:rsidRPr="004B28D6">
              <w:rPr>
                <w:rFonts w:ascii="Times New Roman" w:hAnsi="Times New Roman" w:cs="Times New Roman"/>
              </w:rPr>
              <w:t>tudents</w:t>
            </w:r>
          </w:p>
        </w:tc>
        <w:tc>
          <w:tcPr>
            <w:tcW w:w="1248" w:type="dxa"/>
            <w:gridSpan w:val="2"/>
            <w:vAlign w:val="bottom"/>
            <w:hideMark/>
          </w:tcPr>
          <w:p w:rsidR="003E385C" w:rsidRPr="004B28D6" w:rsidP="00562264" w14:paraId="432C023D" w14:textId="2A5FB3B1">
            <w:pPr>
              <w:pStyle w:val="TableHeadersmall"/>
              <w:rPr>
                <w:rFonts w:ascii="Times New Roman" w:hAnsi="Times New Roman" w:cs="Times New Roman"/>
              </w:rPr>
            </w:pPr>
            <w:r w:rsidRPr="004B28D6">
              <w:rPr>
                <w:rFonts w:ascii="Times New Roman" w:hAnsi="Times New Roman" w:cs="Times New Roman"/>
              </w:rPr>
              <w:t>Full-</w:t>
            </w:r>
            <w:r w:rsidRPr="004B28D6" w:rsidR="00444AAF">
              <w:rPr>
                <w:rFonts w:ascii="Times New Roman" w:hAnsi="Times New Roman" w:cs="Times New Roman"/>
              </w:rPr>
              <w:t>T</w:t>
            </w:r>
            <w:r w:rsidRPr="004B28D6">
              <w:rPr>
                <w:rFonts w:ascii="Times New Roman" w:hAnsi="Times New Roman" w:cs="Times New Roman"/>
              </w:rPr>
              <w:t xml:space="preserve">ime </w:t>
            </w:r>
            <w:r w:rsidRPr="004B28D6" w:rsidR="00444AAF">
              <w:rPr>
                <w:rFonts w:ascii="Times New Roman" w:hAnsi="Times New Roman" w:cs="Times New Roman"/>
              </w:rPr>
              <w:t>D</w:t>
            </w:r>
            <w:r w:rsidRPr="004B28D6">
              <w:rPr>
                <w:rFonts w:ascii="Times New Roman" w:hAnsi="Times New Roman" w:cs="Times New Roman"/>
              </w:rPr>
              <w:t xml:space="preserve">octoral </w:t>
            </w:r>
            <w:r w:rsidRPr="004B28D6" w:rsidR="00444AAF">
              <w:rPr>
                <w:rFonts w:ascii="Times New Roman" w:hAnsi="Times New Roman" w:cs="Times New Roman"/>
              </w:rPr>
              <w:t>S</w:t>
            </w:r>
            <w:r w:rsidRPr="004B28D6">
              <w:rPr>
                <w:rFonts w:ascii="Times New Roman" w:hAnsi="Times New Roman" w:cs="Times New Roman"/>
              </w:rPr>
              <w:t>tudents</w:t>
            </w:r>
          </w:p>
        </w:tc>
        <w:tc>
          <w:tcPr>
            <w:tcW w:w="1248" w:type="dxa"/>
            <w:gridSpan w:val="2"/>
            <w:vAlign w:val="bottom"/>
            <w:hideMark/>
          </w:tcPr>
          <w:p w:rsidR="003E385C" w:rsidRPr="004B28D6" w:rsidP="00562264" w14:paraId="0A5EB874" w14:textId="77777777">
            <w:pPr>
              <w:pStyle w:val="TableHeadersmall"/>
              <w:rPr>
                <w:rFonts w:ascii="Times New Roman" w:hAnsi="Times New Roman" w:cs="Times New Roman"/>
              </w:rPr>
            </w:pPr>
            <w:r w:rsidRPr="004B28D6">
              <w:rPr>
                <w:rFonts w:ascii="Times New Roman" w:hAnsi="Times New Roman" w:cs="Times New Roman"/>
              </w:rPr>
              <w:t>Postdoctorates</w:t>
            </w:r>
          </w:p>
        </w:tc>
        <w:tc>
          <w:tcPr>
            <w:tcW w:w="1248" w:type="dxa"/>
            <w:gridSpan w:val="2"/>
            <w:vAlign w:val="bottom"/>
            <w:hideMark/>
          </w:tcPr>
          <w:p w:rsidR="003E385C" w:rsidRPr="004B28D6" w:rsidP="00562264" w14:paraId="6ED6E8E5" w14:textId="347D6245">
            <w:pPr>
              <w:pStyle w:val="TableHeadersmall"/>
              <w:rPr>
                <w:rFonts w:ascii="Times New Roman" w:hAnsi="Times New Roman" w:cs="Times New Roman"/>
              </w:rPr>
            </w:pPr>
            <w:r w:rsidRPr="004B28D6">
              <w:rPr>
                <w:rFonts w:ascii="Times New Roman" w:hAnsi="Times New Roman" w:cs="Times New Roman"/>
              </w:rPr>
              <w:t xml:space="preserve">Nonfaculty </w:t>
            </w:r>
            <w:r w:rsidRPr="004B28D6" w:rsidR="00444AAF">
              <w:rPr>
                <w:rFonts w:ascii="Times New Roman" w:hAnsi="Times New Roman" w:cs="Times New Roman"/>
              </w:rPr>
              <w:t>R</w:t>
            </w:r>
            <w:r w:rsidRPr="004B28D6">
              <w:rPr>
                <w:rFonts w:ascii="Times New Roman" w:hAnsi="Times New Roman" w:cs="Times New Roman"/>
              </w:rPr>
              <w:t>esearchers</w:t>
            </w:r>
          </w:p>
        </w:tc>
      </w:tr>
      <w:tr w14:paraId="186AC742" w14:textId="77777777" w:rsidTr="008E1E65">
        <w:tblPrEx>
          <w:tblW w:w="9360" w:type="dxa"/>
          <w:tblLayout w:type="fixed"/>
          <w:tblCellMar>
            <w:left w:w="29" w:type="dxa"/>
            <w:right w:w="29" w:type="dxa"/>
          </w:tblCellMar>
          <w:tblLook w:val="0620"/>
        </w:tblPrEx>
        <w:trPr>
          <w:tblHeader/>
        </w:trPr>
        <w:tc>
          <w:tcPr>
            <w:tcW w:w="1435" w:type="dxa"/>
            <w:vMerge/>
            <w:noWrap/>
            <w:hideMark/>
          </w:tcPr>
          <w:p w:rsidR="003E385C" w:rsidRPr="004B28D6" w:rsidP="00562264" w14:paraId="4590B4E4" w14:textId="77777777">
            <w:pPr>
              <w:pStyle w:val="TableHeadersmall"/>
              <w:rPr>
                <w:rFonts w:ascii="Times New Roman" w:hAnsi="Times New Roman" w:cs="Times New Roman"/>
                <w:color w:val="000000"/>
              </w:rPr>
            </w:pPr>
          </w:p>
        </w:tc>
        <w:tc>
          <w:tcPr>
            <w:tcW w:w="501" w:type="dxa"/>
            <w:vMerge/>
            <w:noWrap/>
            <w:vAlign w:val="bottom"/>
            <w:hideMark/>
          </w:tcPr>
          <w:p w:rsidR="003E385C" w:rsidRPr="004B28D6" w:rsidP="00562264" w14:paraId="5B7872C8" w14:textId="77777777">
            <w:pPr>
              <w:pStyle w:val="TableHeadersmall"/>
              <w:rPr>
                <w:rFonts w:ascii="Times New Roman" w:hAnsi="Times New Roman" w:cs="Times New Roman"/>
                <w:color w:val="000000"/>
              </w:rPr>
            </w:pPr>
          </w:p>
        </w:tc>
        <w:tc>
          <w:tcPr>
            <w:tcW w:w="617" w:type="dxa"/>
            <w:noWrap/>
            <w:vAlign w:val="bottom"/>
            <w:hideMark/>
          </w:tcPr>
          <w:p w:rsidR="003E385C" w:rsidRPr="004B28D6" w:rsidP="00562264" w14:paraId="36D84856" w14:textId="71D6821E">
            <w:pPr>
              <w:pStyle w:val="TableHeadersmall"/>
              <w:rPr>
                <w:rFonts w:ascii="Times New Roman" w:hAnsi="Times New Roman" w:cs="Times New Roman"/>
                <w:i/>
              </w:rPr>
            </w:pPr>
            <w:r>
              <w:rPr>
                <w:rFonts w:ascii="Times New Roman" w:hAnsi="Times New Roman" w:cs="Times New Roman"/>
                <w:i/>
              </w:rPr>
              <w:t>I</w:t>
            </w:r>
            <w:r w:rsidRPr="004B28D6" w:rsidR="003D7216">
              <w:rPr>
                <w:rFonts w:ascii="Times New Roman" w:hAnsi="Times New Roman" w:cs="Times New Roman"/>
                <w:i/>
              </w:rPr>
              <w:t>tems</w:t>
            </w:r>
          </w:p>
        </w:tc>
        <w:tc>
          <w:tcPr>
            <w:tcW w:w="744" w:type="dxa"/>
            <w:noWrap/>
            <w:vAlign w:val="bottom"/>
            <w:hideMark/>
          </w:tcPr>
          <w:p w:rsidR="003E385C" w:rsidRPr="004B28D6" w:rsidP="00562264" w14:paraId="225BD161" w14:textId="77777777">
            <w:pPr>
              <w:pStyle w:val="TableHeadersmall"/>
              <w:rPr>
                <w:rFonts w:ascii="Times New Roman" w:hAnsi="Times New Roman" w:cs="Times New Roman"/>
              </w:rPr>
            </w:pPr>
            <w:r w:rsidRPr="004B28D6">
              <w:rPr>
                <w:rFonts w:ascii="Times New Roman" w:hAnsi="Times New Roman" w:cs="Times New Roman"/>
              </w:rPr>
              <w:t>%</w:t>
            </w:r>
          </w:p>
        </w:tc>
        <w:tc>
          <w:tcPr>
            <w:tcW w:w="625" w:type="dxa"/>
            <w:noWrap/>
            <w:vAlign w:val="bottom"/>
            <w:hideMark/>
          </w:tcPr>
          <w:p w:rsidR="003E385C" w:rsidRPr="004B28D6" w:rsidP="00562264" w14:paraId="377C2A50" w14:textId="4D4AB1AF">
            <w:pPr>
              <w:pStyle w:val="TableHeadersmall"/>
              <w:rPr>
                <w:rFonts w:ascii="Times New Roman" w:hAnsi="Times New Roman" w:cs="Times New Roman"/>
                <w:i/>
              </w:rPr>
            </w:pPr>
            <w:r>
              <w:rPr>
                <w:rFonts w:ascii="Times New Roman" w:hAnsi="Times New Roman" w:cs="Times New Roman"/>
                <w:i/>
              </w:rPr>
              <w:t>I</w:t>
            </w:r>
            <w:r w:rsidRPr="004B28D6" w:rsidR="003D7216">
              <w:rPr>
                <w:rFonts w:ascii="Times New Roman" w:hAnsi="Times New Roman" w:cs="Times New Roman"/>
                <w:i/>
              </w:rPr>
              <w:t>tems</w:t>
            </w:r>
          </w:p>
        </w:tc>
        <w:tc>
          <w:tcPr>
            <w:tcW w:w="624" w:type="dxa"/>
            <w:noWrap/>
            <w:vAlign w:val="bottom"/>
            <w:hideMark/>
          </w:tcPr>
          <w:p w:rsidR="003E385C" w:rsidRPr="004B28D6" w:rsidP="00562264" w14:paraId="3170221E" w14:textId="77777777">
            <w:pPr>
              <w:pStyle w:val="TableHeadersmall"/>
              <w:rPr>
                <w:rFonts w:ascii="Times New Roman" w:hAnsi="Times New Roman" w:cs="Times New Roman"/>
              </w:rPr>
            </w:pPr>
            <w:r w:rsidRPr="004B28D6">
              <w:rPr>
                <w:rFonts w:ascii="Times New Roman" w:hAnsi="Times New Roman" w:cs="Times New Roman"/>
              </w:rPr>
              <w:t>%</w:t>
            </w:r>
          </w:p>
        </w:tc>
        <w:tc>
          <w:tcPr>
            <w:tcW w:w="535" w:type="dxa"/>
            <w:noWrap/>
            <w:vAlign w:val="bottom"/>
            <w:hideMark/>
          </w:tcPr>
          <w:p w:rsidR="003E385C" w:rsidRPr="004B28D6" w:rsidP="00562264" w14:paraId="35D9B7AF" w14:textId="458F58EC">
            <w:pPr>
              <w:pStyle w:val="TableHeadersmall"/>
              <w:rPr>
                <w:rFonts w:ascii="Times New Roman" w:hAnsi="Times New Roman" w:cs="Times New Roman"/>
                <w:i/>
              </w:rPr>
            </w:pPr>
            <w:r>
              <w:rPr>
                <w:rFonts w:ascii="Times New Roman" w:hAnsi="Times New Roman" w:cs="Times New Roman"/>
                <w:i/>
              </w:rPr>
              <w:t>I</w:t>
            </w:r>
            <w:r w:rsidRPr="004B28D6" w:rsidR="003D7216">
              <w:rPr>
                <w:rFonts w:ascii="Times New Roman" w:hAnsi="Times New Roman" w:cs="Times New Roman"/>
                <w:i/>
              </w:rPr>
              <w:t>tems</w:t>
            </w:r>
          </w:p>
        </w:tc>
        <w:tc>
          <w:tcPr>
            <w:tcW w:w="535" w:type="dxa"/>
            <w:noWrap/>
            <w:vAlign w:val="bottom"/>
            <w:hideMark/>
          </w:tcPr>
          <w:p w:rsidR="003E385C" w:rsidRPr="004B28D6" w:rsidP="00562264" w14:paraId="7C6885CB" w14:textId="77777777">
            <w:pPr>
              <w:pStyle w:val="TableHeadersmall"/>
              <w:rPr>
                <w:rFonts w:ascii="Times New Roman" w:hAnsi="Times New Roman" w:cs="Times New Roman"/>
              </w:rPr>
            </w:pPr>
            <w:r w:rsidRPr="004B28D6">
              <w:rPr>
                <w:rFonts w:ascii="Times New Roman" w:hAnsi="Times New Roman" w:cs="Times New Roman"/>
              </w:rPr>
              <w:t>%</w:t>
            </w:r>
          </w:p>
        </w:tc>
        <w:tc>
          <w:tcPr>
            <w:tcW w:w="535" w:type="dxa"/>
            <w:noWrap/>
            <w:vAlign w:val="bottom"/>
            <w:hideMark/>
          </w:tcPr>
          <w:p w:rsidR="003E385C" w:rsidRPr="004B28D6" w:rsidP="00562264" w14:paraId="50E1B90D" w14:textId="2753211D">
            <w:pPr>
              <w:pStyle w:val="TableHeadersmall"/>
              <w:rPr>
                <w:rFonts w:ascii="Times New Roman" w:hAnsi="Times New Roman" w:cs="Times New Roman"/>
                <w:i/>
              </w:rPr>
            </w:pPr>
            <w:r>
              <w:rPr>
                <w:rFonts w:ascii="Times New Roman" w:hAnsi="Times New Roman" w:cs="Times New Roman"/>
                <w:i/>
              </w:rPr>
              <w:t>I</w:t>
            </w:r>
            <w:r w:rsidRPr="004B28D6" w:rsidR="003D7216">
              <w:rPr>
                <w:rFonts w:ascii="Times New Roman" w:hAnsi="Times New Roman" w:cs="Times New Roman"/>
                <w:i/>
              </w:rPr>
              <w:t>tems</w:t>
            </w:r>
          </w:p>
        </w:tc>
        <w:tc>
          <w:tcPr>
            <w:tcW w:w="713" w:type="dxa"/>
            <w:noWrap/>
            <w:vAlign w:val="bottom"/>
            <w:hideMark/>
          </w:tcPr>
          <w:p w:rsidR="003E385C" w:rsidRPr="004B28D6" w:rsidP="00562264" w14:paraId="7E850EBF" w14:textId="77777777">
            <w:pPr>
              <w:pStyle w:val="TableHeadersmall"/>
              <w:rPr>
                <w:rFonts w:ascii="Times New Roman" w:hAnsi="Times New Roman" w:cs="Times New Roman"/>
              </w:rPr>
            </w:pPr>
            <w:r w:rsidRPr="004B28D6">
              <w:rPr>
                <w:rFonts w:ascii="Times New Roman" w:hAnsi="Times New Roman" w:cs="Times New Roman"/>
              </w:rPr>
              <w:t>%</w:t>
            </w:r>
          </w:p>
        </w:tc>
        <w:tc>
          <w:tcPr>
            <w:tcW w:w="624" w:type="dxa"/>
            <w:noWrap/>
            <w:vAlign w:val="bottom"/>
            <w:hideMark/>
          </w:tcPr>
          <w:p w:rsidR="003E385C" w:rsidRPr="004B28D6" w:rsidP="00562264" w14:paraId="5193AC39" w14:textId="3B2A2509">
            <w:pPr>
              <w:pStyle w:val="TableHeadersmall"/>
              <w:rPr>
                <w:rFonts w:ascii="Times New Roman" w:hAnsi="Times New Roman" w:cs="Times New Roman"/>
                <w:i/>
              </w:rPr>
            </w:pPr>
            <w:r>
              <w:rPr>
                <w:rFonts w:ascii="Times New Roman" w:hAnsi="Times New Roman" w:cs="Times New Roman"/>
                <w:i/>
              </w:rPr>
              <w:t>I</w:t>
            </w:r>
            <w:r w:rsidRPr="004B28D6" w:rsidR="003D7216">
              <w:rPr>
                <w:rFonts w:ascii="Times New Roman" w:hAnsi="Times New Roman" w:cs="Times New Roman"/>
                <w:i/>
              </w:rPr>
              <w:t>tems</w:t>
            </w:r>
          </w:p>
        </w:tc>
        <w:tc>
          <w:tcPr>
            <w:tcW w:w="624" w:type="dxa"/>
            <w:noWrap/>
            <w:vAlign w:val="bottom"/>
            <w:hideMark/>
          </w:tcPr>
          <w:p w:rsidR="003E385C" w:rsidRPr="004B28D6" w:rsidP="00562264" w14:paraId="2942E3D8" w14:textId="77777777">
            <w:pPr>
              <w:pStyle w:val="TableHeadersmall"/>
              <w:rPr>
                <w:rFonts w:ascii="Times New Roman" w:hAnsi="Times New Roman" w:cs="Times New Roman"/>
              </w:rPr>
            </w:pPr>
            <w:r w:rsidRPr="004B28D6">
              <w:rPr>
                <w:rFonts w:ascii="Times New Roman" w:hAnsi="Times New Roman" w:cs="Times New Roman"/>
              </w:rPr>
              <w:t>%</w:t>
            </w:r>
          </w:p>
        </w:tc>
        <w:tc>
          <w:tcPr>
            <w:tcW w:w="624" w:type="dxa"/>
            <w:noWrap/>
            <w:vAlign w:val="bottom"/>
            <w:hideMark/>
          </w:tcPr>
          <w:p w:rsidR="003E385C" w:rsidRPr="004B28D6" w:rsidP="00562264" w14:paraId="062BA6D8" w14:textId="5ADB9964">
            <w:pPr>
              <w:pStyle w:val="TableHeadersmall"/>
              <w:rPr>
                <w:rFonts w:ascii="Times New Roman" w:hAnsi="Times New Roman" w:cs="Times New Roman"/>
                <w:i/>
              </w:rPr>
            </w:pPr>
            <w:r>
              <w:rPr>
                <w:rFonts w:ascii="Times New Roman" w:hAnsi="Times New Roman" w:cs="Times New Roman"/>
                <w:i/>
              </w:rPr>
              <w:t>I</w:t>
            </w:r>
            <w:r w:rsidRPr="004B28D6" w:rsidR="003D7216">
              <w:rPr>
                <w:rFonts w:ascii="Times New Roman" w:hAnsi="Times New Roman" w:cs="Times New Roman"/>
                <w:i/>
              </w:rPr>
              <w:t>tems</w:t>
            </w:r>
          </w:p>
        </w:tc>
        <w:tc>
          <w:tcPr>
            <w:tcW w:w="624" w:type="dxa"/>
            <w:noWrap/>
            <w:vAlign w:val="bottom"/>
            <w:hideMark/>
          </w:tcPr>
          <w:p w:rsidR="003E385C" w:rsidRPr="004B28D6" w:rsidP="00562264" w14:paraId="53AC69FC" w14:textId="77777777">
            <w:pPr>
              <w:pStyle w:val="TableHeadersmall"/>
              <w:rPr>
                <w:rFonts w:ascii="Times New Roman" w:hAnsi="Times New Roman" w:cs="Times New Roman"/>
              </w:rPr>
            </w:pPr>
            <w:r w:rsidRPr="004B28D6">
              <w:rPr>
                <w:rFonts w:ascii="Times New Roman" w:hAnsi="Times New Roman" w:cs="Times New Roman"/>
              </w:rPr>
              <w:t>%</w:t>
            </w:r>
          </w:p>
        </w:tc>
      </w:tr>
      <w:tr w14:paraId="772FB6BD" w14:textId="77777777" w:rsidTr="008E1E65">
        <w:tblPrEx>
          <w:tblW w:w="9360" w:type="dxa"/>
          <w:tblLayout w:type="fixed"/>
          <w:tblCellMar>
            <w:left w:w="29" w:type="dxa"/>
            <w:right w:w="29" w:type="dxa"/>
          </w:tblCellMar>
          <w:tblLook w:val="0620"/>
        </w:tblPrEx>
        <w:tc>
          <w:tcPr>
            <w:tcW w:w="1435" w:type="dxa"/>
            <w:noWrap/>
            <w:vAlign w:val="bottom"/>
            <w:hideMark/>
          </w:tcPr>
          <w:p w:rsidR="00562264" w:rsidRPr="004B28D6" w:rsidP="00562264" w14:paraId="536AF93B" w14:textId="3D3D3FB6">
            <w:pPr>
              <w:pStyle w:val="TableText"/>
              <w:rPr>
                <w:rFonts w:ascii="Times New Roman" w:hAnsi="Times New Roman"/>
                <w:szCs w:val="18"/>
              </w:rPr>
            </w:pPr>
            <w:r w:rsidRPr="004B28D6">
              <w:rPr>
                <w:rFonts w:ascii="Times New Roman" w:hAnsi="Times New Roman"/>
                <w:szCs w:val="18"/>
              </w:rPr>
              <w:t>Total items</w:t>
            </w:r>
            <w:r w:rsidRPr="004B28D6">
              <w:rPr>
                <w:rFonts w:ascii="Times New Roman" w:hAnsi="Times New Roman"/>
                <w:szCs w:val="18"/>
              </w:rPr>
              <w:t xml:space="preserve"> </w:t>
            </w:r>
          </w:p>
        </w:tc>
        <w:tc>
          <w:tcPr>
            <w:tcW w:w="501" w:type="dxa"/>
            <w:noWrap/>
            <w:vAlign w:val="bottom"/>
            <w:hideMark/>
          </w:tcPr>
          <w:p w:rsidR="003E385C" w:rsidRPr="004B28D6" w:rsidP="00562264" w14:paraId="49E8267F" w14:textId="77777777">
            <w:pPr>
              <w:pStyle w:val="TableText"/>
              <w:jc w:val="center"/>
              <w:rPr>
                <w:rFonts w:ascii="Times New Roman" w:hAnsi="Times New Roman"/>
                <w:szCs w:val="18"/>
              </w:rPr>
            </w:pPr>
            <w:r w:rsidRPr="004B28D6">
              <w:rPr>
                <w:rFonts w:ascii="Times New Roman" w:hAnsi="Times New Roman"/>
                <w:color w:val="000000"/>
                <w:szCs w:val="18"/>
              </w:rPr>
              <w:t>543</w:t>
            </w:r>
          </w:p>
        </w:tc>
        <w:tc>
          <w:tcPr>
            <w:tcW w:w="617" w:type="dxa"/>
            <w:noWrap/>
            <w:vAlign w:val="bottom"/>
            <w:hideMark/>
          </w:tcPr>
          <w:p w:rsidR="003E385C" w:rsidRPr="004B28D6" w:rsidP="00562264" w14:paraId="6A19BCB6" w14:textId="77777777">
            <w:pPr>
              <w:pStyle w:val="TableText"/>
              <w:jc w:val="center"/>
              <w:rPr>
                <w:rFonts w:ascii="Times New Roman" w:hAnsi="Times New Roman"/>
                <w:szCs w:val="18"/>
              </w:rPr>
            </w:pPr>
            <w:r w:rsidRPr="004B28D6">
              <w:rPr>
                <w:rFonts w:ascii="Times New Roman" w:hAnsi="Times New Roman"/>
                <w:szCs w:val="18"/>
              </w:rPr>
              <w:t>30</w:t>
            </w:r>
          </w:p>
        </w:tc>
        <w:tc>
          <w:tcPr>
            <w:tcW w:w="744" w:type="dxa"/>
            <w:noWrap/>
            <w:vAlign w:val="bottom"/>
            <w:hideMark/>
          </w:tcPr>
          <w:p w:rsidR="003E385C" w:rsidRPr="004B28D6" w:rsidP="00562264" w14:paraId="78698581" w14:textId="77777777">
            <w:pPr>
              <w:pStyle w:val="TableText"/>
              <w:jc w:val="center"/>
              <w:rPr>
                <w:rFonts w:ascii="Times New Roman" w:hAnsi="Times New Roman"/>
                <w:szCs w:val="18"/>
              </w:rPr>
            </w:pPr>
            <w:r w:rsidRPr="004B28D6">
              <w:rPr>
                <w:rFonts w:ascii="Times New Roman" w:hAnsi="Times New Roman"/>
                <w:szCs w:val="18"/>
              </w:rPr>
              <w:t>100.0</w:t>
            </w:r>
          </w:p>
        </w:tc>
        <w:tc>
          <w:tcPr>
            <w:tcW w:w="625" w:type="dxa"/>
            <w:noWrap/>
            <w:vAlign w:val="bottom"/>
          </w:tcPr>
          <w:p w:rsidR="003E385C" w:rsidRPr="004B28D6" w:rsidP="00562264" w14:paraId="03339B94" w14:textId="77777777">
            <w:pPr>
              <w:pStyle w:val="TableText"/>
              <w:jc w:val="center"/>
              <w:rPr>
                <w:rFonts w:ascii="Times New Roman" w:hAnsi="Times New Roman"/>
                <w:szCs w:val="18"/>
              </w:rPr>
            </w:pPr>
            <w:r w:rsidRPr="004B28D6">
              <w:rPr>
                <w:rFonts w:ascii="Times New Roman" w:hAnsi="Times New Roman"/>
                <w:color w:val="000000"/>
                <w:szCs w:val="18"/>
              </w:rPr>
              <w:t>158</w:t>
            </w:r>
          </w:p>
        </w:tc>
        <w:tc>
          <w:tcPr>
            <w:tcW w:w="624" w:type="dxa"/>
            <w:noWrap/>
            <w:vAlign w:val="bottom"/>
          </w:tcPr>
          <w:p w:rsidR="003E385C" w:rsidRPr="004B28D6" w:rsidP="00562264" w14:paraId="6DE43E07" w14:textId="77777777">
            <w:pPr>
              <w:pStyle w:val="TableText"/>
              <w:jc w:val="center"/>
              <w:rPr>
                <w:rFonts w:ascii="Times New Roman" w:hAnsi="Times New Roman"/>
                <w:szCs w:val="18"/>
              </w:rPr>
            </w:pPr>
            <w:r w:rsidRPr="004B28D6">
              <w:rPr>
                <w:rFonts w:ascii="Times New Roman" w:hAnsi="Times New Roman"/>
                <w:color w:val="000000"/>
                <w:szCs w:val="18"/>
              </w:rPr>
              <w:t>100.0</w:t>
            </w:r>
          </w:p>
        </w:tc>
        <w:tc>
          <w:tcPr>
            <w:tcW w:w="535" w:type="dxa"/>
            <w:noWrap/>
            <w:vAlign w:val="bottom"/>
            <w:hideMark/>
          </w:tcPr>
          <w:p w:rsidR="003E385C" w:rsidRPr="004B28D6" w:rsidP="00562264" w14:paraId="682C7466" w14:textId="77777777">
            <w:pPr>
              <w:pStyle w:val="TableText"/>
              <w:jc w:val="center"/>
              <w:rPr>
                <w:rFonts w:ascii="Times New Roman" w:hAnsi="Times New Roman"/>
                <w:szCs w:val="18"/>
              </w:rPr>
            </w:pPr>
            <w:r w:rsidRPr="004B28D6">
              <w:rPr>
                <w:rFonts w:ascii="Times New Roman" w:hAnsi="Times New Roman"/>
                <w:color w:val="000000"/>
                <w:szCs w:val="18"/>
              </w:rPr>
              <w:t>30</w:t>
            </w:r>
          </w:p>
        </w:tc>
        <w:tc>
          <w:tcPr>
            <w:tcW w:w="535" w:type="dxa"/>
            <w:noWrap/>
            <w:vAlign w:val="bottom"/>
            <w:hideMark/>
          </w:tcPr>
          <w:p w:rsidR="003E385C" w:rsidRPr="004B28D6" w:rsidP="00562264" w14:paraId="0C7A6684" w14:textId="77777777">
            <w:pPr>
              <w:pStyle w:val="TableText"/>
              <w:jc w:val="center"/>
              <w:rPr>
                <w:rFonts w:ascii="Times New Roman" w:hAnsi="Times New Roman"/>
                <w:szCs w:val="18"/>
              </w:rPr>
            </w:pPr>
            <w:r w:rsidRPr="004B28D6">
              <w:rPr>
                <w:rFonts w:ascii="Times New Roman" w:hAnsi="Times New Roman"/>
                <w:color w:val="000000"/>
                <w:szCs w:val="18"/>
              </w:rPr>
              <w:t>100.0</w:t>
            </w:r>
          </w:p>
        </w:tc>
        <w:tc>
          <w:tcPr>
            <w:tcW w:w="535" w:type="dxa"/>
            <w:noWrap/>
            <w:vAlign w:val="bottom"/>
          </w:tcPr>
          <w:p w:rsidR="003E385C" w:rsidRPr="004B28D6" w:rsidP="00562264" w14:paraId="4EBB9A4A" w14:textId="77777777">
            <w:pPr>
              <w:pStyle w:val="TableText"/>
              <w:jc w:val="center"/>
              <w:rPr>
                <w:rFonts w:ascii="Times New Roman" w:hAnsi="Times New Roman"/>
                <w:szCs w:val="18"/>
              </w:rPr>
            </w:pPr>
            <w:r w:rsidRPr="004B28D6">
              <w:rPr>
                <w:rFonts w:ascii="Times New Roman" w:hAnsi="Times New Roman"/>
                <w:color w:val="000000"/>
                <w:szCs w:val="18"/>
              </w:rPr>
              <w:t>158</w:t>
            </w:r>
          </w:p>
        </w:tc>
        <w:tc>
          <w:tcPr>
            <w:tcW w:w="713" w:type="dxa"/>
            <w:noWrap/>
            <w:vAlign w:val="bottom"/>
          </w:tcPr>
          <w:p w:rsidR="003E385C" w:rsidRPr="004B28D6" w:rsidP="00562264" w14:paraId="0E1AD58A" w14:textId="77777777">
            <w:pPr>
              <w:pStyle w:val="TableText"/>
              <w:jc w:val="center"/>
              <w:rPr>
                <w:rFonts w:ascii="Times New Roman" w:hAnsi="Times New Roman"/>
                <w:szCs w:val="18"/>
              </w:rPr>
            </w:pPr>
            <w:r w:rsidRPr="004B28D6">
              <w:rPr>
                <w:rFonts w:ascii="Times New Roman" w:hAnsi="Times New Roman"/>
                <w:color w:val="000000"/>
                <w:szCs w:val="18"/>
              </w:rPr>
              <w:t>100.0</w:t>
            </w:r>
          </w:p>
        </w:tc>
        <w:tc>
          <w:tcPr>
            <w:tcW w:w="624" w:type="dxa"/>
            <w:noWrap/>
            <w:vAlign w:val="bottom"/>
            <w:hideMark/>
          </w:tcPr>
          <w:p w:rsidR="003E385C" w:rsidRPr="004B28D6" w:rsidP="00562264" w14:paraId="367EBBA4" w14:textId="77777777">
            <w:pPr>
              <w:pStyle w:val="TableText"/>
              <w:jc w:val="center"/>
              <w:rPr>
                <w:rFonts w:ascii="Times New Roman" w:hAnsi="Times New Roman"/>
                <w:szCs w:val="18"/>
              </w:rPr>
            </w:pPr>
            <w:r w:rsidRPr="004B28D6">
              <w:rPr>
                <w:rFonts w:ascii="Times New Roman" w:hAnsi="Times New Roman"/>
                <w:color w:val="000000"/>
                <w:szCs w:val="18"/>
              </w:rPr>
              <w:t>152</w:t>
            </w:r>
          </w:p>
        </w:tc>
        <w:tc>
          <w:tcPr>
            <w:tcW w:w="624" w:type="dxa"/>
            <w:noWrap/>
            <w:vAlign w:val="bottom"/>
            <w:hideMark/>
          </w:tcPr>
          <w:p w:rsidR="003E385C" w:rsidRPr="004B28D6" w:rsidP="00562264" w14:paraId="36F1585F" w14:textId="77777777">
            <w:pPr>
              <w:pStyle w:val="TableText"/>
              <w:jc w:val="center"/>
              <w:rPr>
                <w:rFonts w:ascii="Times New Roman" w:hAnsi="Times New Roman"/>
                <w:szCs w:val="18"/>
              </w:rPr>
            </w:pPr>
            <w:r w:rsidRPr="004B28D6">
              <w:rPr>
                <w:rFonts w:ascii="Times New Roman" w:hAnsi="Times New Roman"/>
                <w:color w:val="000000"/>
                <w:szCs w:val="18"/>
              </w:rPr>
              <w:t>100.0</w:t>
            </w:r>
          </w:p>
        </w:tc>
        <w:tc>
          <w:tcPr>
            <w:tcW w:w="624" w:type="dxa"/>
            <w:noWrap/>
            <w:vAlign w:val="bottom"/>
            <w:hideMark/>
          </w:tcPr>
          <w:p w:rsidR="003E385C" w:rsidRPr="004B28D6" w:rsidP="00562264" w14:paraId="63D80D86" w14:textId="77777777">
            <w:pPr>
              <w:pStyle w:val="TableText"/>
              <w:jc w:val="center"/>
              <w:rPr>
                <w:rFonts w:ascii="Times New Roman" w:hAnsi="Times New Roman"/>
                <w:szCs w:val="18"/>
              </w:rPr>
            </w:pPr>
            <w:r w:rsidRPr="004B28D6">
              <w:rPr>
                <w:rFonts w:ascii="Times New Roman" w:hAnsi="Times New Roman"/>
                <w:color w:val="000000"/>
                <w:szCs w:val="18"/>
              </w:rPr>
              <w:t>15</w:t>
            </w:r>
          </w:p>
        </w:tc>
        <w:tc>
          <w:tcPr>
            <w:tcW w:w="624" w:type="dxa"/>
            <w:noWrap/>
            <w:vAlign w:val="bottom"/>
            <w:hideMark/>
          </w:tcPr>
          <w:p w:rsidR="003E385C" w:rsidRPr="004B28D6" w:rsidP="00562264" w14:paraId="728BC5C9" w14:textId="77777777">
            <w:pPr>
              <w:pStyle w:val="TableText"/>
              <w:jc w:val="center"/>
              <w:rPr>
                <w:rFonts w:ascii="Times New Roman" w:hAnsi="Times New Roman"/>
                <w:szCs w:val="18"/>
              </w:rPr>
            </w:pPr>
            <w:r w:rsidRPr="004B28D6">
              <w:rPr>
                <w:rFonts w:ascii="Times New Roman" w:hAnsi="Times New Roman"/>
                <w:color w:val="000000"/>
                <w:szCs w:val="18"/>
              </w:rPr>
              <w:t>100.0</w:t>
            </w:r>
          </w:p>
        </w:tc>
      </w:tr>
      <w:tr w14:paraId="68C1653B" w14:textId="77777777" w:rsidTr="008E1E65">
        <w:tblPrEx>
          <w:tblW w:w="9360" w:type="dxa"/>
          <w:tblLayout w:type="fixed"/>
          <w:tblCellMar>
            <w:left w:w="29" w:type="dxa"/>
            <w:right w:w="29" w:type="dxa"/>
          </w:tblCellMar>
          <w:tblLook w:val="0620"/>
        </w:tblPrEx>
        <w:tc>
          <w:tcPr>
            <w:tcW w:w="1435" w:type="dxa"/>
            <w:noWrap/>
            <w:vAlign w:val="bottom"/>
            <w:hideMark/>
          </w:tcPr>
          <w:p w:rsidR="00562264" w:rsidRPr="004B28D6" w:rsidP="00562264" w14:paraId="7C826146" w14:textId="0145C626">
            <w:pPr>
              <w:pStyle w:val="TableTextIndent10"/>
              <w:rPr>
                <w:rFonts w:ascii="Times New Roman" w:hAnsi="Times New Roman"/>
                <w:szCs w:val="18"/>
              </w:rPr>
            </w:pPr>
            <w:r w:rsidRPr="004B28D6">
              <w:rPr>
                <w:rFonts w:ascii="Times New Roman" w:hAnsi="Times New Roman"/>
                <w:szCs w:val="18"/>
              </w:rPr>
              <w:t>≥ 1% and &lt; 3%</w:t>
            </w:r>
            <w:r w:rsidRPr="004B28D6">
              <w:rPr>
                <w:rFonts w:ascii="Times New Roman" w:hAnsi="Times New Roman"/>
                <w:szCs w:val="18"/>
              </w:rPr>
              <w:t xml:space="preserve"> </w:t>
            </w:r>
          </w:p>
        </w:tc>
        <w:tc>
          <w:tcPr>
            <w:tcW w:w="501" w:type="dxa"/>
            <w:noWrap/>
            <w:vAlign w:val="bottom"/>
            <w:hideMark/>
          </w:tcPr>
          <w:p w:rsidR="00D47CF4" w:rsidRPr="004B28D6" w:rsidP="00562264" w14:paraId="30DABAEF" w14:textId="2212D75C">
            <w:pPr>
              <w:pStyle w:val="TableText"/>
              <w:jc w:val="center"/>
              <w:rPr>
                <w:rFonts w:ascii="Times New Roman" w:hAnsi="Times New Roman"/>
                <w:szCs w:val="18"/>
              </w:rPr>
            </w:pPr>
            <w:r w:rsidRPr="004B28D6">
              <w:rPr>
                <w:rFonts w:ascii="Times New Roman" w:hAnsi="Times New Roman"/>
                <w:color w:val="000000"/>
                <w:szCs w:val="18"/>
              </w:rPr>
              <w:t>186</w:t>
            </w:r>
          </w:p>
        </w:tc>
        <w:tc>
          <w:tcPr>
            <w:tcW w:w="617" w:type="dxa"/>
            <w:noWrap/>
            <w:vAlign w:val="bottom"/>
            <w:hideMark/>
          </w:tcPr>
          <w:p w:rsidR="00D47CF4" w:rsidRPr="004B28D6" w:rsidP="00562264" w14:paraId="52422A15" w14:textId="47DCA935">
            <w:pPr>
              <w:pStyle w:val="TableText"/>
              <w:jc w:val="center"/>
              <w:rPr>
                <w:rFonts w:ascii="Times New Roman" w:hAnsi="Times New Roman"/>
                <w:szCs w:val="18"/>
              </w:rPr>
            </w:pPr>
            <w:r w:rsidRPr="004B28D6">
              <w:rPr>
                <w:rFonts w:ascii="Times New Roman" w:hAnsi="Times New Roman"/>
                <w:szCs w:val="18"/>
              </w:rPr>
              <w:t>30</w:t>
            </w:r>
          </w:p>
        </w:tc>
        <w:tc>
          <w:tcPr>
            <w:tcW w:w="744" w:type="dxa"/>
            <w:noWrap/>
            <w:vAlign w:val="bottom"/>
            <w:hideMark/>
          </w:tcPr>
          <w:p w:rsidR="00D47CF4" w:rsidRPr="004B28D6" w:rsidP="00562264" w14:paraId="4F553780" w14:textId="77542659">
            <w:pPr>
              <w:pStyle w:val="TableText"/>
              <w:jc w:val="center"/>
              <w:rPr>
                <w:rFonts w:ascii="Times New Roman" w:hAnsi="Times New Roman"/>
                <w:szCs w:val="18"/>
              </w:rPr>
            </w:pPr>
            <w:r w:rsidRPr="004B28D6">
              <w:rPr>
                <w:rFonts w:ascii="Times New Roman" w:hAnsi="Times New Roman"/>
                <w:szCs w:val="18"/>
              </w:rPr>
              <w:t>100.0</w:t>
            </w:r>
          </w:p>
        </w:tc>
        <w:tc>
          <w:tcPr>
            <w:tcW w:w="625" w:type="dxa"/>
            <w:noWrap/>
            <w:vAlign w:val="bottom"/>
          </w:tcPr>
          <w:p w:rsidR="00D47CF4" w:rsidRPr="004B28D6" w:rsidP="00562264" w14:paraId="133F1B78" w14:textId="72502B33">
            <w:pPr>
              <w:pStyle w:val="TableText"/>
              <w:jc w:val="center"/>
              <w:rPr>
                <w:rFonts w:ascii="Times New Roman" w:hAnsi="Times New Roman"/>
                <w:szCs w:val="18"/>
              </w:rPr>
            </w:pPr>
            <w:r w:rsidRPr="004B28D6">
              <w:rPr>
                <w:rFonts w:ascii="Times New Roman" w:hAnsi="Times New Roman"/>
                <w:color w:val="000000"/>
                <w:szCs w:val="18"/>
              </w:rPr>
              <w:t>63</w:t>
            </w:r>
          </w:p>
        </w:tc>
        <w:tc>
          <w:tcPr>
            <w:tcW w:w="624" w:type="dxa"/>
            <w:noWrap/>
            <w:vAlign w:val="bottom"/>
          </w:tcPr>
          <w:p w:rsidR="00D47CF4" w:rsidRPr="004B28D6" w:rsidP="00562264" w14:paraId="770D88A2" w14:textId="089641EF">
            <w:pPr>
              <w:pStyle w:val="TableText"/>
              <w:jc w:val="center"/>
              <w:rPr>
                <w:rFonts w:ascii="Times New Roman" w:hAnsi="Times New Roman"/>
                <w:szCs w:val="18"/>
              </w:rPr>
            </w:pPr>
            <w:r w:rsidRPr="004B28D6">
              <w:rPr>
                <w:rFonts w:ascii="Times New Roman" w:hAnsi="Times New Roman"/>
                <w:color w:val="000000"/>
                <w:szCs w:val="18"/>
              </w:rPr>
              <w:t>39.9</w:t>
            </w:r>
          </w:p>
        </w:tc>
        <w:tc>
          <w:tcPr>
            <w:tcW w:w="535" w:type="dxa"/>
            <w:noWrap/>
            <w:vAlign w:val="bottom"/>
            <w:hideMark/>
          </w:tcPr>
          <w:p w:rsidR="00D47CF4" w:rsidRPr="004B28D6" w:rsidP="00562264" w14:paraId="5D3F97F9" w14:textId="076C31CA">
            <w:pPr>
              <w:pStyle w:val="TableText"/>
              <w:jc w:val="center"/>
              <w:rPr>
                <w:rFonts w:ascii="Times New Roman" w:hAnsi="Times New Roman"/>
                <w:szCs w:val="18"/>
              </w:rPr>
            </w:pPr>
            <w:r w:rsidRPr="004B28D6">
              <w:rPr>
                <w:rFonts w:ascii="Times New Roman" w:hAnsi="Times New Roman"/>
                <w:color w:val="000000"/>
                <w:szCs w:val="18"/>
              </w:rPr>
              <w:t>30</w:t>
            </w:r>
          </w:p>
        </w:tc>
        <w:tc>
          <w:tcPr>
            <w:tcW w:w="535" w:type="dxa"/>
            <w:noWrap/>
            <w:vAlign w:val="bottom"/>
            <w:hideMark/>
          </w:tcPr>
          <w:p w:rsidR="00D47CF4" w:rsidRPr="004B28D6" w:rsidP="00562264" w14:paraId="6BB625AA" w14:textId="5CBEBC31">
            <w:pPr>
              <w:pStyle w:val="TableText"/>
              <w:jc w:val="center"/>
              <w:rPr>
                <w:rFonts w:ascii="Times New Roman" w:hAnsi="Times New Roman"/>
                <w:szCs w:val="18"/>
              </w:rPr>
            </w:pPr>
            <w:r w:rsidRPr="004B28D6">
              <w:rPr>
                <w:rFonts w:ascii="Times New Roman" w:hAnsi="Times New Roman"/>
                <w:color w:val="000000"/>
                <w:szCs w:val="18"/>
              </w:rPr>
              <w:t>100.0</w:t>
            </w:r>
          </w:p>
        </w:tc>
        <w:tc>
          <w:tcPr>
            <w:tcW w:w="535" w:type="dxa"/>
            <w:noWrap/>
            <w:vAlign w:val="bottom"/>
          </w:tcPr>
          <w:p w:rsidR="00D47CF4" w:rsidRPr="004B28D6" w:rsidP="00562264" w14:paraId="45CFCE6A" w14:textId="1C468B47">
            <w:pPr>
              <w:pStyle w:val="TableText"/>
              <w:jc w:val="center"/>
              <w:rPr>
                <w:rFonts w:ascii="Times New Roman" w:hAnsi="Times New Roman"/>
                <w:szCs w:val="18"/>
              </w:rPr>
            </w:pPr>
            <w:r w:rsidRPr="004B28D6">
              <w:rPr>
                <w:rFonts w:ascii="Times New Roman" w:hAnsi="Times New Roman"/>
                <w:color w:val="000000"/>
                <w:szCs w:val="18"/>
              </w:rPr>
              <w:t>63</w:t>
            </w:r>
          </w:p>
        </w:tc>
        <w:tc>
          <w:tcPr>
            <w:tcW w:w="713" w:type="dxa"/>
            <w:noWrap/>
            <w:vAlign w:val="bottom"/>
          </w:tcPr>
          <w:p w:rsidR="00D47CF4" w:rsidRPr="004B28D6" w:rsidP="00562264" w14:paraId="502E8276" w14:textId="5959F6B6">
            <w:pPr>
              <w:pStyle w:val="TableText"/>
              <w:jc w:val="center"/>
              <w:rPr>
                <w:rFonts w:ascii="Times New Roman" w:hAnsi="Times New Roman"/>
                <w:szCs w:val="18"/>
              </w:rPr>
            </w:pPr>
            <w:r w:rsidRPr="004B28D6">
              <w:rPr>
                <w:rFonts w:ascii="Times New Roman" w:hAnsi="Times New Roman"/>
                <w:color w:val="000000"/>
                <w:szCs w:val="18"/>
              </w:rPr>
              <w:t>39.9</w:t>
            </w:r>
          </w:p>
        </w:tc>
        <w:tc>
          <w:tcPr>
            <w:tcW w:w="624" w:type="dxa"/>
            <w:noWrap/>
            <w:vAlign w:val="bottom"/>
            <w:hideMark/>
          </w:tcPr>
          <w:p w:rsidR="00D47CF4" w:rsidRPr="004B28D6" w:rsidP="00562264" w14:paraId="234FCD6C" w14:textId="6B5A8EBD">
            <w:pPr>
              <w:pStyle w:val="TableText"/>
              <w:jc w:val="center"/>
              <w:rPr>
                <w:rFonts w:ascii="Times New Roman" w:hAnsi="Times New Roman"/>
                <w:szCs w:val="18"/>
              </w:rPr>
            </w:pPr>
            <w:r w:rsidRPr="004B28D6">
              <w:rPr>
                <w:rFonts w:ascii="Times New Roman" w:hAnsi="Times New Roman"/>
                <w:color w:val="000000"/>
                <w:szCs w:val="18"/>
              </w:rPr>
              <w:t>0</w:t>
            </w:r>
          </w:p>
        </w:tc>
        <w:tc>
          <w:tcPr>
            <w:tcW w:w="624" w:type="dxa"/>
            <w:noWrap/>
            <w:vAlign w:val="bottom"/>
            <w:hideMark/>
          </w:tcPr>
          <w:p w:rsidR="00D47CF4" w:rsidRPr="004B28D6" w:rsidP="00562264" w14:paraId="478878EF" w14:textId="0C22D4B6">
            <w:pPr>
              <w:pStyle w:val="TableText"/>
              <w:jc w:val="center"/>
              <w:rPr>
                <w:rFonts w:ascii="Times New Roman" w:hAnsi="Times New Roman"/>
                <w:szCs w:val="18"/>
              </w:rPr>
            </w:pPr>
            <w:r w:rsidRPr="004B28D6">
              <w:rPr>
                <w:rFonts w:ascii="Times New Roman" w:hAnsi="Times New Roman"/>
                <w:color w:val="000000"/>
                <w:szCs w:val="18"/>
              </w:rPr>
              <w:t>0.0</w:t>
            </w:r>
          </w:p>
        </w:tc>
        <w:tc>
          <w:tcPr>
            <w:tcW w:w="624" w:type="dxa"/>
            <w:noWrap/>
            <w:vAlign w:val="bottom"/>
            <w:hideMark/>
          </w:tcPr>
          <w:p w:rsidR="00D47CF4" w:rsidRPr="004B28D6" w:rsidP="00562264" w14:paraId="5994345A" w14:textId="2F46FAE6">
            <w:pPr>
              <w:pStyle w:val="TableText"/>
              <w:jc w:val="center"/>
              <w:rPr>
                <w:rFonts w:ascii="Times New Roman" w:hAnsi="Times New Roman"/>
                <w:szCs w:val="18"/>
              </w:rPr>
            </w:pPr>
            <w:r w:rsidRPr="004B28D6">
              <w:rPr>
                <w:rFonts w:ascii="Times New Roman" w:hAnsi="Times New Roman"/>
                <w:color w:val="000000"/>
                <w:szCs w:val="18"/>
              </w:rPr>
              <w:t>0</w:t>
            </w:r>
          </w:p>
        </w:tc>
        <w:tc>
          <w:tcPr>
            <w:tcW w:w="624" w:type="dxa"/>
            <w:noWrap/>
            <w:vAlign w:val="bottom"/>
            <w:hideMark/>
          </w:tcPr>
          <w:p w:rsidR="00D47CF4" w:rsidRPr="004B28D6" w:rsidP="00562264" w14:paraId="25A93E22" w14:textId="5114068C">
            <w:pPr>
              <w:pStyle w:val="TableText"/>
              <w:jc w:val="center"/>
              <w:rPr>
                <w:rFonts w:ascii="Times New Roman" w:hAnsi="Times New Roman"/>
                <w:szCs w:val="18"/>
              </w:rPr>
            </w:pPr>
            <w:r w:rsidRPr="004B28D6">
              <w:rPr>
                <w:rFonts w:ascii="Times New Roman" w:hAnsi="Times New Roman"/>
                <w:color w:val="000000"/>
                <w:szCs w:val="18"/>
              </w:rPr>
              <w:t>0.0</w:t>
            </w:r>
          </w:p>
        </w:tc>
      </w:tr>
      <w:tr w14:paraId="0356052A" w14:textId="77777777" w:rsidTr="008E1E65">
        <w:tblPrEx>
          <w:tblW w:w="9360" w:type="dxa"/>
          <w:tblLayout w:type="fixed"/>
          <w:tblCellMar>
            <w:left w:w="29" w:type="dxa"/>
            <w:right w:w="29" w:type="dxa"/>
          </w:tblCellMar>
          <w:tblLook w:val="0620"/>
        </w:tblPrEx>
        <w:tc>
          <w:tcPr>
            <w:tcW w:w="1435" w:type="dxa"/>
            <w:noWrap/>
            <w:vAlign w:val="bottom"/>
            <w:hideMark/>
          </w:tcPr>
          <w:p w:rsidR="00D47CF4" w:rsidRPr="004B28D6" w:rsidP="00562264" w14:paraId="5E558231" w14:textId="77777777">
            <w:pPr>
              <w:pStyle w:val="TableTextIndent10"/>
              <w:rPr>
                <w:rFonts w:ascii="Times New Roman" w:hAnsi="Times New Roman"/>
                <w:szCs w:val="18"/>
              </w:rPr>
            </w:pPr>
            <w:r w:rsidRPr="004B28D6">
              <w:rPr>
                <w:rFonts w:ascii="Times New Roman" w:hAnsi="Times New Roman"/>
                <w:szCs w:val="18"/>
              </w:rPr>
              <w:t>≥ 3% and &lt; 5%</w:t>
            </w:r>
          </w:p>
        </w:tc>
        <w:tc>
          <w:tcPr>
            <w:tcW w:w="501" w:type="dxa"/>
            <w:noWrap/>
            <w:vAlign w:val="bottom"/>
            <w:hideMark/>
          </w:tcPr>
          <w:p w:rsidR="00D47CF4" w:rsidRPr="004B28D6" w:rsidP="00562264" w14:paraId="11707203" w14:textId="084BFD28">
            <w:pPr>
              <w:pStyle w:val="TableText"/>
              <w:jc w:val="center"/>
              <w:rPr>
                <w:rFonts w:ascii="Times New Roman" w:hAnsi="Times New Roman"/>
                <w:szCs w:val="18"/>
              </w:rPr>
            </w:pPr>
            <w:r w:rsidRPr="004B28D6">
              <w:rPr>
                <w:rFonts w:ascii="Times New Roman" w:hAnsi="Times New Roman"/>
                <w:color w:val="000000"/>
                <w:szCs w:val="18"/>
              </w:rPr>
              <w:t>157</w:t>
            </w:r>
          </w:p>
        </w:tc>
        <w:tc>
          <w:tcPr>
            <w:tcW w:w="617" w:type="dxa"/>
            <w:noWrap/>
            <w:vAlign w:val="bottom"/>
            <w:hideMark/>
          </w:tcPr>
          <w:p w:rsidR="00D47CF4" w:rsidRPr="004B28D6" w:rsidP="00562264" w14:paraId="21D29942" w14:textId="663BA844">
            <w:pPr>
              <w:pStyle w:val="TableText"/>
              <w:jc w:val="center"/>
              <w:rPr>
                <w:rFonts w:ascii="Times New Roman" w:hAnsi="Times New Roman"/>
                <w:szCs w:val="18"/>
              </w:rPr>
            </w:pPr>
            <w:r w:rsidRPr="004B28D6">
              <w:rPr>
                <w:rFonts w:ascii="Times New Roman" w:hAnsi="Times New Roman"/>
                <w:szCs w:val="18"/>
              </w:rPr>
              <w:t>0</w:t>
            </w:r>
          </w:p>
        </w:tc>
        <w:tc>
          <w:tcPr>
            <w:tcW w:w="744" w:type="dxa"/>
            <w:noWrap/>
            <w:vAlign w:val="bottom"/>
            <w:hideMark/>
          </w:tcPr>
          <w:p w:rsidR="00D47CF4" w:rsidRPr="004B28D6" w:rsidP="00562264" w14:paraId="274E4D59" w14:textId="19B33683">
            <w:pPr>
              <w:pStyle w:val="TableText"/>
              <w:jc w:val="center"/>
              <w:rPr>
                <w:rFonts w:ascii="Times New Roman" w:hAnsi="Times New Roman"/>
                <w:szCs w:val="18"/>
              </w:rPr>
            </w:pPr>
            <w:r w:rsidRPr="004B28D6">
              <w:rPr>
                <w:rFonts w:ascii="Times New Roman" w:hAnsi="Times New Roman"/>
                <w:szCs w:val="18"/>
              </w:rPr>
              <w:t>0.0</w:t>
            </w:r>
          </w:p>
        </w:tc>
        <w:tc>
          <w:tcPr>
            <w:tcW w:w="625" w:type="dxa"/>
            <w:noWrap/>
            <w:vAlign w:val="bottom"/>
          </w:tcPr>
          <w:p w:rsidR="00D47CF4" w:rsidRPr="004B28D6" w:rsidP="00562264" w14:paraId="01FA170B" w14:textId="0B3EF218">
            <w:pPr>
              <w:pStyle w:val="TableText"/>
              <w:jc w:val="center"/>
              <w:rPr>
                <w:rFonts w:ascii="Times New Roman" w:hAnsi="Times New Roman"/>
                <w:szCs w:val="18"/>
              </w:rPr>
            </w:pPr>
            <w:r w:rsidRPr="004B28D6">
              <w:rPr>
                <w:rFonts w:ascii="Times New Roman" w:hAnsi="Times New Roman"/>
                <w:color w:val="000000"/>
                <w:szCs w:val="18"/>
              </w:rPr>
              <w:t>0</w:t>
            </w:r>
          </w:p>
        </w:tc>
        <w:tc>
          <w:tcPr>
            <w:tcW w:w="624" w:type="dxa"/>
            <w:noWrap/>
            <w:vAlign w:val="bottom"/>
          </w:tcPr>
          <w:p w:rsidR="00D47CF4" w:rsidRPr="004B28D6" w:rsidP="00562264" w14:paraId="7252ADF3" w14:textId="08DA4688">
            <w:pPr>
              <w:pStyle w:val="TableText"/>
              <w:jc w:val="center"/>
              <w:rPr>
                <w:rFonts w:ascii="Times New Roman" w:hAnsi="Times New Roman"/>
                <w:szCs w:val="18"/>
              </w:rPr>
            </w:pPr>
            <w:r w:rsidRPr="004B28D6">
              <w:rPr>
                <w:rFonts w:ascii="Times New Roman" w:hAnsi="Times New Roman"/>
                <w:color w:val="000000"/>
                <w:szCs w:val="18"/>
              </w:rPr>
              <w:t>0.0</w:t>
            </w:r>
          </w:p>
        </w:tc>
        <w:tc>
          <w:tcPr>
            <w:tcW w:w="535" w:type="dxa"/>
            <w:noWrap/>
            <w:vAlign w:val="bottom"/>
            <w:hideMark/>
          </w:tcPr>
          <w:p w:rsidR="00D47CF4" w:rsidRPr="004B28D6" w:rsidP="00562264" w14:paraId="68E842E1" w14:textId="38D091A5">
            <w:pPr>
              <w:pStyle w:val="TableText"/>
              <w:jc w:val="center"/>
              <w:rPr>
                <w:rFonts w:ascii="Times New Roman" w:hAnsi="Times New Roman"/>
                <w:szCs w:val="18"/>
              </w:rPr>
            </w:pPr>
            <w:r w:rsidRPr="004B28D6">
              <w:rPr>
                <w:rFonts w:ascii="Times New Roman" w:hAnsi="Times New Roman"/>
                <w:color w:val="000000"/>
                <w:szCs w:val="18"/>
              </w:rPr>
              <w:t>0</w:t>
            </w:r>
          </w:p>
        </w:tc>
        <w:tc>
          <w:tcPr>
            <w:tcW w:w="535" w:type="dxa"/>
            <w:noWrap/>
            <w:vAlign w:val="bottom"/>
            <w:hideMark/>
          </w:tcPr>
          <w:p w:rsidR="00D47CF4" w:rsidRPr="004B28D6" w:rsidP="00562264" w14:paraId="315AAF65" w14:textId="3470304C">
            <w:pPr>
              <w:pStyle w:val="TableText"/>
              <w:jc w:val="center"/>
              <w:rPr>
                <w:rFonts w:ascii="Times New Roman" w:hAnsi="Times New Roman"/>
                <w:szCs w:val="18"/>
              </w:rPr>
            </w:pPr>
            <w:r w:rsidRPr="004B28D6">
              <w:rPr>
                <w:rFonts w:ascii="Times New Roman" w:hAnsi="Times New Roman"/>
                <w:color w:val="000000"/>
                <w:szCs w:val="18"/>
              </w:rPr>
              <w:t>0.0</w:t>
            </w:r>
          </w:p>
        </w:tc>
        <w:tc>
          <w:tcPr>
            <w:tcW w:w="535" w:type="dxa"/>
            <w:noWrap/>
            <w:vAlign w:val="bottom"/>
          </w:tcPr>
          <w:p w:rsidR="00D47CF4" w:rsidRPr="004B28D6" w:rsidP="00562264" w14:paraId="7F07809E" w14:textId="4EF9A6C7">
            <w:pPr>
              <w:pStyle w:val="TableText"/>
              <w:jc w:val="center"/>
              <w:rPr>
                <w:rFonts w:ascii="Times New Roman" w:hAnsi="Times New Roman"/>
                <w:szCs w:val="18"/>
              </w:rPr>
            </w:pPr>
            <w:r w:rsidRPr="004B28D6">
              <w:rPr>
                <w:rFonts w:ascii="Times New Roman" w:hAnsi="Times New Roman"/>
                <w:color w:val="000000"/>
                <w:szCs w:val="18"/>
              </w:rPr>
              <w:t>95</w:t>
            </w:r>
          </w:p>
        </w:tc>
        <w:tc>
          <w:tcPr>
            <w:tcW w:w="713" w:type="dxa"/>
            <w:noWrap/>
            <w:vAlign w:val="bottom"/>
          </w:tcPr>
          <w:p w:rsidR="00D47CF4" w:rsidRPr="004B28D6" w:rsidP="00562264" w14:paraId="5DDE1FD0" w14:textId="5A8011F5">
            <w:pPr>
              <w:pStyle w:val="TableText"/>
              <w:jc w:val="center"/>
              <w:rPr>
                <w:rFonts w:ascii="Times New Roman" w:hAnsi="Times New Roman"/>
                <w:szCs w:val="18"/>
              </w:rPr>
            </w:pPr>
            <w:r w:rsidRPr="004B28D6">
              <w:rPr>
                <w:rFonts w:ascii="Times New Roman" w:hAnsi="Times New Roman"/>
                <w:color w:val="000000"/>
                <w:szCs w:val="18"/>
              </w:rPr>
              <w:t>60.1</w:t>
            </w:r>
          </w:p>
        </w:tc>
        <w:tc>
          <w:tcPr>
            <w:tcW w:w="624" w:type="dxa"/>
            <w:noWrap/>
            <w:vAlign w:val="bottom"/>
            <w:hideMark/>
          </w:tcPr>
          <w:p w:rsidR="00D47CF4" w:rsidRPr="004B28D6" w:rsidP="00562264" w14:paraId="2D77567D" w14:textId="7E3DD2E5">
            <w:pPr>
              <w:pStyle w:val="TableText"/>
              <w:jc w:val="center"/>
              <w:rPr>
                <w:rFonts w:ascii="Times New Roman" w:hAnsi="Times New Roman"/>
                <w:szCs w:val="18"/>
              </w:rPr>
            </w:pPr>
            <w:r w:rsidRPr="004B28D6">
              <w:rPr>
                <w:rFonts w:ascii="Times New Roman" w:hAnsi="Times New Roman"/>
                <w:color w:val="000000"/>
                <w:szCs w:val="18"/>
              </w:rPr>
              <w:t>62</w:t>
            </w:r>
          </w:p>
        </w:tc>
        <w:tc>
          <w:tcPr>
            <w:tcW w:w="624" w:type="dxa"/>
            <w:noWrap/>
            <w:vAlign w:val="bottom"/>
            <w:hideMark/>
          </w:tcPr>
          <w:p w:rsidR="00D47CF4" w:rsidRPr="004B28D6" w:rsidP="00562264" w14:paraId="563DD0C7" w14:textId="24D094CD">
            <w:pPr>
              <w:pStyle w:val="TableText"/>
              <w:jc w:val="center"/>
              <w:rPr>
                <w:rFonts w:ascii="Times New Roman" w:hAnsi="Times New Roman"/>
                <w:szCs w:val="18"/>
              </w:rPr>
            </w:pPr>
            <w:r w:rsidRPr="004B28D6">
              <w:rPr>
                <w:rFonts w:ascii="Times New Roman" w:hAnsi="Times New Roman"/>
                <w:color w:val="000000"/>
                <w:szCs w:val="18"/>
              </w:rPr>
              <w:t>40.8</w:t>
            </w:r>
          </w:p>
        </w:tc>
        <w:tc>
          <w:tcPr>
            <w:tcW w:w="624" w:type="dxa"/>
            <w:noWrap/>
            <w:vAlign w:val="bottom"/>
            <w:hideMark/>
          </w:tcPr>
          <w:p w:rsidR="00D47CF4" w:rsidRPr="004B28D6" w:rsidP="00562264" w14:paraId="1C7F3431" w14:textId="70E94ED1">
            <w:pPr>
              <w:pStyle w:val="TableText"/>
              <w:jc w:val="center"/>
              <w:rPr>
                <w:rFonts w:ascii="Times New Roman" w:hAnsi="Times New Roman"/>
                <w:szCs w:val="18"/>
              </w:rPr>
            </w:pPr>
            <w:r w:rsidRPr="004B28D6">
              <w:rPr>
                <w:rFonts w:ascii="Times New Roman" w:hAnsi="Times New Roman"/>
                <w:color w:val="000000"/>
                <w:szCs w:val="18"/>
              </w:rPr>
              <w:t>0</w:t>
            </w:r>
          </w:p>
        </w:tc>
        <w:tc>
          <w:tcPr>
            <w:tcW w:w="624" w:type="dxa"/>
            <w:noWrap/>
            <w:vAlign w:val="bottom"/>
            <w:hideMark/>
          </w:tcPr>
          <w:p w:rsidR="00D47CF4" w:rsidRPr="004B28D6" w:rsidP="00562264" w14:paraId="570203BB" w14:textId="418199AB">
            <w:pPr>
              <w:pStyle w:val="TableText"/>
              <w:jc w:val="center"/>
              <w:rPr>
                <w:rFonts w:ascii="Times New Roman" w:hAnsi="Times New Roman"/>
                <w:szCs w:val="18"/>
              </w:rPr>
            </w:pPr>
            <w:r w:rsidRPr="004B28D6">
              <w:rPr>
                <w:rFonts w:ascii="Times New Roman" w:hAnsi="Times New Roman"/>
                <w:color w:val="000000"/>
                <w:szCs w:val="18"/>
              </w:rPr>
              <w:t>0.0</w:t>
            </w:r>
          </w:p>
        </w:tc>
      </w:tr>
      <w:tr w14:paraId="70BA3675" w14:textId="77777777" w:rsidTr="008E1E65">
        <w:tblPrEx>
          <w:tblW w:w="9360" w:type="dxa"/>
          <w:tblLayout w:type="fixed"/>
          <w:tblCellMar>
            <w:left w:w="29" w:type="dxa"/>
            <w:right w:w="29" w:type="dxa"/>
          </w:tblCellMar>
          <w:tblLook w:val="0620"/>
        </w:tblPrEx>
        <w:tc>
          <w:tcPr>
            <w:tcW w:w="1435" w:type="dxa"/>
            <w:noWrap/>
            <w:vAlign w:val="bottom"/>
            <w:hideMark/>
          </w:tcPr>
          <w:p w:rsidR="00D47CF4" w:rsidRPr="004B28D6" w:rsidP="00562264" w14:paraId="1610C2C6" w14:textId="77777777">
            <w:pPr>
              <w:pStyle w:val="TableTextIndent10"/>
              <w:rPr>
                <w:rFonts w:ascii="Times New Roman" w:hAnsi="Times New Roman"/>
                <w:szCs w:val="18"/>
              </w:rPr>
            </w:pPr>
            <w:r w:rsidRPr="004B28D6">
              <w:rPr>
                <w:rFonts w:ascii="Times New Roman" w:hAnsi="Times New Roman"/>
                <w:szCs w:val="18"/>
              </w:rPr>
              <w:t>≥ 5% and &lt; 7%</w:t>
            </w:r>
          </w:p>
        </w:tc>
        <w:tc>
          <w:tcPr>
            <w:tcW w:w="501" w:type="dxa"/>
            <w:noWrap/>
            <w:vAlign w:val="bottom"/>
            <w:hideMark/>
          </w:tcPr>
          <w:p w:rsidR="00D47CF4" w:rsidRPr="004B28D6" w:rsidP="00562264" w14:paraId="1C0CE758" w14:textId="23F104C6">
            <w:pPr>
              <w:pStyle w:val="TableText"/>
              <w:jc w:val="center"/>
              <w:rPr>
                <w:rFonts w:ascii="Times New Roman" w:hAnsi="Times New Roman"/>
                <w:szCs w:val="18"/>
              </w:rPr>
            </w:pPr>
            <w:r w:rsidRPr="004B28D6">
              <w:rPr>
                <w:rFonts w:ascii="Times New Roman" w:hAnsi="Times New Roman"/>
                <w:color w:val="000000"/>
                <w:szCs w:val="18"/>
              </w:rPr>
              <w:t>193</w:t>
            </w:r>
          </w:p>
        </w:tc>
        <w:tc>
          <w:tcPr>
            <w:tcW w:w="617" w:type="dxa"/>
            <w:noWrap/>
            <w:vAlign w:val="bottom"/>
            <w:hideMark/>
          </w:tcPr>
          <w:p w:rsidR="00D47CF4" w:rsidRPr="004B28D6" w:rsidP="00562264" w14:paraId="3613E466" w14:textId="7050D6A0">
            <w:pPr>
              <w:pStyle w:val="TableText"/>
              <w:jc w:val="center"/>
              <w:rPr>
                <w:rFonts w:ascii="Times New Roman" w:hAnsi="Times New Roman"/>
                <w:szCs w:val="18"/>
              </w:rPr>
            </w:pPr>
            <w:r w:rsidRPr="004B28D6">
              <w:rPr>
                <w:rFonts w:ascii="Times New Roman" w:hAnsi="Times New Roman"/>
                <w:szCs w:val="18"/>
              </w:rPr>
              <w:t>0</w:t>
            </w:r>
          </w:p>
        </w:tc>
        <w:tc>
          <w:tcPr>
            <w:tcW w:w="744" w:type="dxa"/>
            <w:noWrap/>
            <w:vAlign w:val="bottom"/>
            <w:hideMark/>
          </w:tcPr>
          <w:p w:rsidR="00D47CF4" w:rsidRPr="004B28D6" w:rsidP="00562264" w14:paraId="342DF732" w14:textId="6846A8E4">
            <w:pPr>
              <w:pStyle w:val="TableText"/>
              <w:jc w:val="center"/>
              <w:rPr>
                <w:rFonts w:ascii="Times New Roman" w:hAnsi="Times New Roman"/>
                <w:szCs w:val="18"/>
              </w:rPr>
            </w:pPr>
            <w:r w:rsidRPr="004B28D6">
              <w:rPr>
                <w:rFonts w:ascii="Times New Roman" w:hAnsi="Times New Roman"/>
                <w:szCs w:val="18"/>
              </w:rPr>
              <w:t>0.0</w:t>
            </w:r>
          </w:p>
        </w:tc>
        <w:tc>
          <w:tcPr>
            <w:tcW w:w="625" w:type="dxa"/>
            <w:noWrap/>
            <w:vAlign w:val="bottom"/>
          </w:tcPr>
          <w:p w:rsidR="00D47CF4" w:rsidRPr="004B28D6" w:rsidP="00562264" w14:paraId="62710058" w14:textId="79CA1AE6">
            <w:pPr>
              <w:pStyle w:val="TableText"/>
              <w:jc w:val="center"/>
              <w:rPr>
                <w:rFonts w:ascii="Times New Roman" w:hAnsi="Times New Roman"/>
                <w:szCs w:val="18"/>
              </w:rPr>
            </w:pPr>
            <w:r w:rsidRPr="004B28D6">
              <w:rPr>
                <w:rFonts w:ascii="Times New Roman" w:hAnsi="Times New Roman"/>
                <w:color w:val="000000"/>
                <w:szCs w:val="18"/>
              </w:rPr>
              <w:t>95</w:t>
            </w:r>
          </w:p>
        </w:tc>
        <w:tc>
          <w:tcPr>
            <w:tcW w:w="624" w:type="dxa"/>
            <w:noWrap/>
            <w:vAlign w:val="bottom"/>
          </w:tcPr>
          <w:p w:rsidR="00D47CF4" w:rsidRPr="004B28D6" w:rsidP="00562264" w14:paraId="24271F3D" w14:textId="5976F538">
            <w:pPr>
              <w:pStyle w:val="TableText"/>
              <w:jc w:val="center"/>
              <w:rPr>
                <w:rFonts w:ascii="Times New Roman" w:hAnsi="Times New Roman"/>
                <w:szCs w:val="18"/>
              </w:rPr>
            </w:pPr>
            <w:r w:rsidRPr="004B28D6">
              <w:rPr>
                <w:rFonts w:ascii="Times New Roman" w:hAnsi="Times New Roman"/>
                <w:color w:val="000000"/>
                <w:szCs w:val="18"/>
              </w:rPr>
              <w:t>60.1</w:t>
            </w:r>
          </w:p>
        </w:tc>
        <w:tc>
          <w:tcPr>
            <w:tcW w:w="535" w:type="dxa"/>
            <w:noWrap/>
            <w:vAlign w:val="bottom"/>
            <w:hideMark/>
          </w:tcPr>
          <w:p w:rsidR="00D47CF4" w:rsidRPr="004B28D6" w:rsidP="00562264" w14:paraId="0BE636E3" w14:textId="43AA555D">
            <w:pPr>
              <w:pStyle w:val="TableText"/>
              <w:jc w:val="center"/>
              <w:rPr>
                <w:rFonts w:ascii="Times New Roman" w:hAnsi="Times New Roman"/>
                <w:szCs w:val="18"/>
              </w:rPr>
            </w:pPr>
            <w:r w:rsidRPr="004B28D6">
              <w:rPr>
                <w:rFonts w:ascii="Times New Roman" w:hAnsi="Times New Roman"/>
                <w:color w:val="000000"/>
                <w:szCs w:val="18"/>
              </w:rPr>
              <w:t>0</w:t>
            </w:r>
          </w:p>
        </w:tc>
        <w:tc>
          <w:tcPr>
            <w:tcW w:w="535" w:type="dxa"/>
            <w:noWrap/>
            <w:vAlign w:val="bottom"/>
            <w:hideMark/>
          </w:tcPr>
          <w:p w:rsidR="00D47CF4" w:rsidRPr="004B28D6" w:rsidP="00562264" w14:paraId="19D46022" w14:textId="78999976">
            <w:pPr>
              <w:pStyle w:val="TableText"/>
              <w:jc w:val="center"/>
              <w:rPr>
                <w:rFonts w:ascii="Times New Roman" w:hAnsi="Times New Roman"/>
                <w:szCs w:val="18"/>
              </w:rPr>
            </w:pPr>
            <w:r w:rsidRPr="004B28D6">
              <w:rPr>
                <w:rFonts w:ascii="Times New Roman" w:hAnsi="Times New Roman"/>
                <w:color w:val="000000"/>
                <w:szCs w:val="18"/>
              </w:rPr>
              <w:t>0.0</w:t>
            </w:r>
          </w:p>
        </w:tc>
        <w:tc>
          <w:tcPr>
            <w:tcW w:w="535" w:type="dxa"/>
            <w:noWrap/>
            <w:vAlign w:val="bottom"/>
          </w:tcPr>
          <w:p w:rsidR="00D47CF4" w:rsidRPr="004B28D6" w:rsidP="00562264" w14:paraId="0378BEA3" w14:textId="37A14B6A">
            <w:pPr>
              <w:pStyle w:val="TableText"/>
              <w:jc w:val="center"/>
              <w:rPr>
                <w:rFonts w:ascii="Times New Roman" w:hAnsi="Times New Roman"/>
                <w:szCs w:val="18"/>
              </w:rPr>
            </w:pPr>
            <w:r w:rsidRPr="004B28D6">
              <w:rPr>
                <w:rFonts w:ascii="Times New Roman" w:hAnsi="Times New Roman"/>
                <w:color w:val="000000"/>
                <w:szCs w:val="18"/>
              </w:rPr>
              <w:t>0</w:t>
            </w:r>
          </w:p>
        </w:tc>
        <w:tc>
          <w:tcPr>
            <w:tcW w:w="713" w:type="dxa"/>
            <w:noWrap/>
            <w:vAlign w:val="bottom"/>
          </w:tcPr>
          <w:p w:rsidR="00D47CF4" w:rsidRPr="004B28D6" w:rsidP="00562264" w14:paraId="4A36353A" w14:textId="41D6EB9D">
            <w:pPr>
              <w:pStyle w:val="TableText"/>
              <w:jc w:val="center"/>
              <w:rPr>
                <w:rFonts w:ascii="Times New Roman" w:hAnsi="Times New Roman"/>
                <w:szCs w:val="18"/>
              </w:rPr>
            </w:pPr>
            <w:r w:rsidRPr="004B28D6">
              <w:rPr>
                <w:rFonts w:ascii="Times New Roman" w:hAnsi="Times New Roman"/>
                <w:color w:val="000000"/>
                <w:szCs w:val="18"/>
              </w:rPr>
              <w:t>0.0</w:t>
            </w:r>
          </w:p>
        </w:tc>
        <w:tc>
          <w:tcPr>
            <w:tcW w:w="624" w:type="dxa"/>
            <w:noWrap/>
            <w:vAlign w:val="bottom"/>
            <w:hideMark/>
          </w:tcPr>
          <w:p w:rsidR="00D47CF4" w:rsidRPr="004B28D6" w:rsidP="00562264" w14:paraId="1CA4CCE3" w14:textId="6D19B229">
            <w:pPr>
              <w:pStyle w:val="TableText"/>
              <w:jc w:val="center"/>
              <w:rPr>
                <w:rFonts w:ascii="Times New Roman" w:hAnsi="Times New Roman"/>
                <w:szCs w:val="18"/>
              </w:rPr>
            </w:pPr>
            <w:r w:rsidRPr="004B28D6">
              <w:rPr>
                <w:rFonts w:ascii="Times New Roman" w:hAnsi="Times New Roman"/>
                <w:color w:val="000000"/>
                <w:szCs w:val="18"/>
              </w:rPr>
              <w:t>90</w:t>
            </w:r>
          </w:p>
        </w:tc>
        <w:tc>
          <w:tcPr>
            <w:tcW w:w="624" w:type="dxa"/>
            <w:noWrap/>
            <w:vAlign w:val="bottom"/>
            <w:hideMark/>
          </w:tcPr>
          <w:p w:rsidR="00D47CF4" w:rsidRPr="004B28D6" w:rsidP="00562264" w14:paraId="7954D9A2" w14:textId="0DD4BDB8">
            <w:pPr>
              <w:pStyle w:val="TableText"/>
              <w:jc w:val="center"/>
              <w:rPr>
                <w:rFonts w:ascii="Times New Roman" w:hAnsi="Times New Roman"/>
                <w:szCs w:val="18"/>
              </w:rPr>
            </w:pPr>
            <w:r w:rsidRPr="004B28D6">
              <w:rPr>
                <w:rFonts w:ascii="Times New Roman" w:hAnsi="Times New Roman"/>
                <w:color w:val="000000"/>
                <w:szCs w:val="18"/>
              </w:rPr>
              <w:t>59.2</w:t>
            </w:r>
          </w:p>
        </w:tc>
        <w:tc>
          <w:tcPr>
            <w:tcW w:w="624" w:type="dxa"/>
            <w:noWrap/>
            <w:vAlign w:val="bottom"/>
            <w:hideMark/>
          </w:tcPr>
          <w:p w:rsidR="00D47CF4" w:rsidRPr="004B28D6" w:rsidP="00562264" w14:paraId="472E0C65" w14:textId="357EE1D5">
            <w:pPr>
              <w:pStyle w:val="TableText"/>
              <w:jc w:val="center"/>
              <w:rPr>
                <w:rFonts w:ascii="Times New Roman" w:hAnsi="Times New Roman"/>
                <w:szCs w:val="18"/>
              </w:rPr>
            </w:pPr>
            <w:r w:rsidRPr="004B28D6">
              <w:rPr>
                <w:rFonts w:ascii="Times New Roman" w:hAnsi="Times New Roman"/>
                <w:color w:val="000000"/>
                <w:szCs w:val="18"/>
              </w:rPr>
              <w:t>8</w:t>
            </w:r>
          </w:p>
        </w:tc>
        <w:tc>
          <w:tcPr>
            <w:tcW w:w="624" w:type="dxa"/>
            <w:noWrap/>
            <w:vAlign w:val="bottom"/>
            <w:hideMark/>
          </w:tcPr>
          <w:p w:rsidR="00D47CF4" w:rsidRPr="004B28D6" w:rsidP="00562264" w14:paraId="4C9E51F0" w14:textId="5FAA85BD">
            <w:pPr>
              <w:pStyle w:val="TableText"/>
              <w:jc w:val="center"/>
              <w:rPr>
                <w:rFonts w:ascii="Times New Roman" w:hAnsi="Times New Roman"/>
                <w:szCs w:val="18"/>
              </w:rPr>
            </w:pPr>
            <w:r w:rsidRPr="004B28D6">
              <w:rPr>
                <w:rFonts w:ascii="Times New Roman" w:hAnsi="Times New Roman"/>
                <w:color w:val="000000"/>
                <w:szCs w:val="18"/>
              </w:rPr>
              <w:t>53.3</w:t>
            </w:r>
          </w:p>
        </w:tc>
      </w:tr>
      <w:tr w14:paraId="64B5029D" w14:textId="77777777" w:rsidTr="008E1E65">
        <w:tblPrEx>
          <w:tblW w:w="9360" w:type="dxa"/>
          <w:tblLayout w:type="fixed"/>
          <w:tblCellMar>
            <w:left w:w="29" w:type="dxa"/>
            <w:right w:w="29" w:type="dxa"/>
          </w:tblCellMar>
          <w:tblLook w:val="0620"/>
        </w:tblPrEx>
        <w:tc>
          <w:tcPr>
            <w:tcW w:w="1435" w:type="dxa"/>
            <w:noWrap/>
            <w:vAlign w:val="bottom"/>
          </w:tcPr>
          <w:p w:rsidR="00D47CF4" w:rsidRPr="004B28D6" w:rsidP="00562264" w14:paraId="3D341FE8" w14:textId="61080D32">
            <w:pPr>
              <w:pStyle w:val="TableTextIndent10"/>
              <w:rPr>
                <w:rFonts w:ascii="Times New Roman" w:hAnsi="Times New Roman"/>
                <w:szCs w:val="18"/>
              </w:rPr>
            </w:pPr>
            <w:r w:rsidRPr="004B28D6">
              <w:rPr>
                <w:rFonts w:ascii="Times New Roman" w:hAnsi="Times New Roman"/>
                <w:szCs w:val="18"/>
              </w:rPr>
              <w:t>≥ 7% and &lt; 9%</w:t>
            </w:r>
          </w:p>
        </w:tc>
        <w:tc>
          <w:tcPr>
            <w:tcW w:w="501" w:type="dxa"/>
            <w:noWrap/>
            <w:vAlign w:val="bottom"/>
          </w:tcPr>
          <w:p w:rsidR="00D47CF4" w:rsidRPr="004B28D6" w:rsidP="00562264" w14:paraId="13B8CF37" w14:textId="0B41DCD9">
            <w:pPr>
              <w:pStyle w:val="TableText"/>
              <w:jc w:val="center"/>
              <w:rPr>
                <w:rFonts w:ascii="Times New Roman" w:hAnsi="Times New Roman"/>
                <w:color w:val="000000"/>
                <w:szCs w:val="18"/>
              </w:rPr>
            </w:pPr>
            <w:r w:rsidRPr="004B28D6">
              <w:rPr>
                <w:rFonts w:ascii="Times New Roman" w:hAnsi="Times New Roman"/>
                <w:color w:val="000000"/>
                <w:szCs w:val="18"/>
              </w:rPr>
              <w:t>7</w:t>
            </w:r>
          </w:p>
        </w:tc>
        <w:tc>
          <w:tcPr>
            <w:tcW w:w="617" w:type="dxa"/>
            <w:noWrap/>
            <w:vAlign w:val="bottom"/>
          </w:tcPr>
          <w:p w:rsidR="00D47CF4" w:rsidRPr="004B28D6" w:rsidP="00562264" w14:paraId="33F232D8" w14:textId="78C22355">
            <w:pPr>
              <w:pStyle w:val="TableText"/>
              <w:jc w:val="center"/>
              <w:rPr>
                <w:rFonts w:ascii="Times New Roman" w:hAnsi="Times New Roman"/>
                <w:szCs w:val="18"/>
              </w:rPr>
            </w:pPr>
            <w:r w:rsidRPr="004B28D6">
              <w:rPr>
                <w:rFonts w:ascii="Times New Roman" w:hAnsi="Times New Roman"/>
                <w:szCs w:val="18"/>
              </w:rPr>
              <w:t>0</w:t>
            </w:r>
          </w:p>
        </w:tc>
        <w:tc>
          <w:tcPr>
            <w:tcW w:w="744" w:type="dxa"/>
            <w:noWrap/>
            <w:vAlign w:val="bottom"/>
          </w:tcPr>
          <w:p w:rsidR="00D47CF4" w:rsidRPr="004B28D6" w:rsidP="00562264" w14:paraId="6D955558" w14:textId="4AD25E0D">
            <w:pPr>
              <w:pStyle w:val="TableText"/>
              <w:jc w:val="center"/>
              <w:rPr>
                <w:rFonts w:ascii="Times New Roman" w:hAnsi="Times New Roman"/>
                <w:szCs w:val="18"/>
              </w:rPr>
            </w:pPr>
            <w:r w:rsidRPr="004B28D6">
              <w:rPr>
                <w:rFonts w:ascii="Times New Roman" w:hAnsi="Times New Roman"/>
                <w:szCs w:val="18"/>
              </w:rPr>
              <w:t>0.0</w:t>
            </w:r>
          </w:p>
        </w:tc>
        <w:tc>
          <w:tcPr>
            <w:tcW w:w="625" w:type="dxa"/>
            <w:noWrap/>
            <w:vAlign w:val="bottom"/>
          </w:tcPr>
          <w:p w:rsidR="00D47CF4" w:rsidRPr="004B28D6" w:rsidP="00562264" w14:paraId="14F7F8BF" w14:textId="036F0167">
            <w:pPr>
              <w:pStyle w:val="TableText"/>
              <w:jc w:val="center"/>
              <w:rPr>
                <w:rFonts w:ascii="Times New Roman" w:hAnsi="Times New Roman"/>
                <w:color w:val="000000"/>
                <w:szCs w:val="18"/>
              </w:rPr>
            </w:pPr>
            <w:r w:rsidRPr="004B28D6">
              <w:rPr>
                <w:rFonts w:ascii="Times New Roman" w:hAnsi="Times New Roman"/>
                <w:color w:val="000000"/>
                <w:szCs w:val="18"/>
              </w:rPr>
              <w:t>0</w:t>
            </w:r>
          </w:p>
        </w:tc>
        <w:tc>
          <w:tcPr>
            <w:tcW w:w="624" w:type="dxa"/>
            <w:noWrap/>
            <w:vAlign w:val="bottom"/>
          </w:tcPr>
          <w:p w:rsidR="00D47CF4" w:rsidRPr="004B28D6" w:rsidP="00562264" w14:paraId="080E80E5" w14:textId="54957660">
            <w:pPr>
              <w:pStyle w:val="TableText"/>
              <w:jc w:val="center"/>
              <w:rPr>
                <w:rFonts w:ascii="Times New Roman" w:hAnsi="Times New Roman"/>
                <w:color w:val="000000"/>
                <w:szCs w:val="18"/>
              </w:rPr>
            </w:pPr>
            <w:r w:rsidRPr="004B28D6">
              <w:rPr>
                <w:rFonts w:ascii="Times New Roman" w:hAnsi="Times New Roman"/>
                <w:color w:val="000000"/>
                <w:szCs w:val="18"/>
              </w:rPr>
              <w:t>0.0</w:t>
            </w:r>
          </w:p>
        </w:tc>
        <w:tc>
          <w:tcPr>
            <w:tcW w:w="535" w:type="dxa"/>
            <w:noWrap/>
            <w:vAlign w:val="bottom"/>
          </w:tcPr>
          <w:p w:rsidR="00D47CF4" w:rsidRPr="004B28D6" w:rsidP="00562264" w14:paraId="2F738BF0" w14:textId="04EB364B">
            <w:pPr>
              <w:pStyle w:val="TableText"/>
              <w:jc w:val="center"/>
              <w:rPr>
                <w:rFonts w:ascii="Times New Roman" w:hAnsi="Times New Roman"/>
                <w:color w:val="000000"/>
                <w:szCs w:val="18"/>
              </w:rPr>
            </w:pPr>
            <w:r w:rsidRPr="004B28D6">
              <w:rPr>
                <w:rFonts w:ascii="Times New Roman" w:hAnsi="Times New Roman"/>
                <w:color w:val="000000"/>
                <w:szCs w:val="18"/>
              </w:rPr>
              <w:t>0</w:t>
            </w:r>
          </w:p>
        </w:tc>
        <w:tc>
          <w:tcPr>
            <w:tcW w:w="535" w:type="dxa"/>
            <w:noWrap/>
            <w:vAlign w:val="bottom"/>
          </w:tcPr>
          <w:p w:rsidR="00D47CF4" w:rsidRPr="004B28D6" w:rsidP="00562264" w14:paraId="7ECC393F" w14:textId="4E8E808F">
            <w:pPr>
              <w:pStyle w:val="TableText"/>
              <w:jc w:val="center"/>
              <w:rPr>
                <w:rFonts w:ascii="Times New Roman" w:hAnsi="Times New Roman"/>
                <w:color w:val="000000"/>
                <w:szCs w:val="18"/>
              </w:rPr>
            </w:pPr>
            <w:r w:rsidRPr="004B28D6">
              <w:rPr>
                <w:rFonts w:ascii="Times New Roman" w:hAnsi="Times New Roman"/>
                <w:color w:val="000000"/>
                <w:szCs w:val="18"/>
              </w:rPr>
              <w:t>0.0</w:t>
            </w:r>
          </w:p>
        </w:tc>
        <w:tc>
          <w:tcPr>
            <w:tcW w:w="535" w:type="dxa"/>
            <w:noWrap/>
            <w:vAlign w:val="bottom"/>
          </w:tcPr>
          <w:p w:rsidR="00D47CF4" w:rsidRPr="004B28D6" w:rsidP="00562264" w14:paraId="7BBD1587" w14:textId="4BE6D952">
            <w:pPr>
              <w:pStyle w:val="TableText"/>
              <w:jc w:val="center"/>
              <w:rPr>
                <w:rFonts w:ascii="Times New Roman" w:hAnsi="Times New Roman"/>
                <w:color w:val="000000"/>
                <w:szCs w:val="18"/>
              </w:rPr>
            </w:pPr>
            <w:r w:rsidRPr="004B28D6">
              <w:rPr>
                <w:rFonts w:ascii="Times New Roman" w:hAnsi="Times New Roman"/>
                <w:color w:val="000000"/>
                <w:szCs w:val="18"/>
              </w:rPr>
              <w:t>0</w:t>
            </w:r>
          </w:p>
        </w:tc>
        <w:tc>
          <w:tcPr>
            <w:tcW w:w="713" w:type="dxa"/>
            <w:noWrap/>
            <w:vAlign w:val="bottom"/>
          </w:tcPr>
          <w:p w:rsidR="00D47CF4" w:rsidRPr="004B28D6" w:rsidP="00562264" w14:paraId="1FEFCEC3" w14:textId="722C03CA">
            <w:pPr>
              <w:pStyle w:val="TableText"/>
              <w:jc w:val="center"/>
              <w:rPr>
                <w:rFonts w:ascii="Times New Roman" w:hAnsi="Times New Roman"/>
                <w:color w:val="000000"/>
                <w:szCs w:val="18"/>
              </w:rPr>
            </w:pPr>
            <w:r w:rsidRPr="004B28D6">
              <w:rPr>
                <w:rFonts w:ascii="Times New Roman" w:hAnsi="Times New Roman"/>
                <w:color w:val="000000"/>
                <w:szCs w:val="18"/>
              </w:rPr>
              <w:t>0.0</w:t>
            </w:r>
          </w:p>
        </w:tc>
        <w:tc>
          <w:tcPr>
            <w:tcW w:w="624" w:type="dxa"/>
            <w:noWrap/>
            <w:vAlign w:val="bottom"/>
          </w:tcPr>
          <w:p w:rsidR="00D47CF4" w:rsidRPr="004B28D6" w:rsidP="00562264" w14:paraId="4DDBC5E9" w14:textId="1D9A56E5">
            <w:pPr>
              <w:pStyle w:val="TableText"/>
              <w:jc w:val="center"/>
              <w:rPr>
                <w:rFonts w:ascii="Times New Roman" w:hAnsi="Times New Roman"/>
                <w:color w:val="000000"/>
                <w:szCs w:val="18"/>
              </w:rPr>
            </w:pPr>
            <w:r w:rsidRPr="004B28D6">
              <w:rPr>
                <w:rFonts w:ascii="Times New Roman" w:hAnsi="Times New Roman"/>
                <w:color w:val="000000"/>
                <w:szCs w:val="18"/>
              </w:rPr>
              <w:t>0</w:t>
            </w:r>
          </w:p>
        </w:tc>
        <w:tc>
          <w:tcPr>
            <w:tcW w:w="624" w:type="dxa"/>
            <w:noWrap/>
            <w:vAlign w:val="bottom"/>
          </w:tcPr>
          <w:p w:rsidR="00D47CF4" w:rsidRPr="004B28D6" w:rsidP="00562264" w14:paraId="034468E5" w14:textId="45044211">
            <w:pPr>
              <w:pStyle w:val="TableText"/>
              <w:jc w:val="center"/>
              <w:rPr>
                <w:rFonts w:ascii="Times New Roman" w:hAnsi="Times New Roman"/>
                <w:color w:val="000000"/>
                <w:szCs w:val="18"/>
              </w:rPr>
            </w:pPr>
            <w:r w:rsidRPr="004B28D6">
              <w:rPr>
                <w:rFonts w:ascii="Times New Roman" w:hAnsi="Times New Roman"/>
                <w:color w:val="000000"/>
                <w:szCs w:val="18"/>
              </w:rPr>
              <w:t>0.0</w:t>
            </w:r>
          </w:p>
        </w:tc>
        <w:tc>
          <w:tcPr>
            <w:tcW w:w="624" w:type="dxa"/>
            <w:noWrap/>
            <w:vAlign w:val="bottom"/>
          </w:tcPr>
          <w:p w:rsidR="00D47CF4" w:rsidRPr="004B28D6" w:rsidP="00562264" w14:paraId="7278C638" w14:textId="4F676CD4">
            <w:pPr>
              <w:pStyle w:val="TableText"/>
              <w:jc w:val="center"/>
              <w:rPr>
                <w:rFonts w:ascii="Times New Roman" w:hAnsi="Times New Roman"/>
                <w:color w:val="000000"/>
                <w:szCs w:val="18"/>
              </w:rPr>
            </w:pPr>
            <w:r w:rsidRPr="004B28D6">
              <w:rPr>
                <w:rFonts w:ascii="Times New Roman" w:hAnsi="Times New Roman"/>
                <w:color w:val="000000"/>
                <w:szCs w:val="18"/>
              </w:rPr>
              <w:t>7</w:t>
            </w:r>
          </w:p>
        </w:tc>
        <w:tc>
          <w:tcPr>
            <w:tcW w:w="624" w:type="dxa"/>
            <w:noWrap/>
            <w:vAlign w:val="bottom"/>
          </w:tcPr>
          <w:p w:rsidR="00D47CF4" w:rsidRPr="004B28D6" w:rsidP="00562264" w14:paraId="1E5958EB" w14:textId="4DC6D502">
            <w:pPr>
              <w:pStyle w:val="TableText"/>
              <w:jc w:val="center"/>
              <w:rPr>
                <w:rFonts w:ascii="Times New Roman" w:hAnsi="Times New Roman"/>
                <w:color w:val="000000"/>
                <w:szCs w:val="18"/>
              </w:rPr>
            </w:pPr>
            <w:r w:rsidRPr="004B28D6">
              <w:rPr>
                <w:rFonts w:ascii="Times New Roman" w:hAnsi="Times New Roman"/>
                <w:color w:val="000000"/>
                <w:szCs w:val="18"/>
              </w:rPr>
              <w:t>46.7</w:t>
            </w:r>
          </w:p>
        </w:tc>
      </w:tr>
    </w:tbl>
    <w:p w:rsidR="003E385C" w:rsidRPr="001A1D2D" w:rsidP="00D919D6" w14:paraId="32C81147" w14:textId="77777777">
      <w:pPr>
        <w:pStyle w:val="Exhibitsource"/>
      </w:pPr>
      <w:r w:rsidRPr="001A1D2D">
        <w:t xml:space="preserve">Source(s): </w:t>
      </w:r>
      <w:r w:rsidRPr="001A1D2D">
        <w:br/>
        <w:t>National Center for Science and Engineering Statistics, Survey of Graduate Students and Postdoctorates in Science and Engineering.</w:t>
      </w:r>
    </w:p>
    <w:p w:rsidR="007C57C0" w:rsidP="00682185" w14:paraId="30F22521" w14:textId="7DEE22CC">
      <w:pPr>
        <w:pStyle w:val="BodyText"/>
      </w:pPr>
      <w:r>
        <w:rPr>
          <w:i/>
          <w:iCs/>
        </w:rPr>
        <w:t xml:space="preserve">GSS </w:t>
      </w:r>
      <w:r w:rsidRPr="001A1D2D">
        <w:rPr>
          <w:i/>
          <w:iCs/>
        </w:rPr>
        <w:t xml:space="preserve">Imputation Methods. </w:t>
      </w:r>
      <w:r w:rsidRPr="001A1D2D">
        <w:t>The 20</w:t>
      </w:r>
      <w:r w:rsidRPr="001A1D2D" w:rsidR="00762C64">
        <w:t>2</w:t>
      </w:r>
      <w:r w:rsidR="009E51E0">
        <w:t>4</w:t>
      </w:r>
      <w:r w:rsidRPr="001A1D2D">
        <w:t xml:space="preserve"> GSS collected 543 data items related to enrollment and financial support for master’s and doctoral </w:t>
      </w:r>
      <w:r w:rsidR="00C37BD1">
        <w:t>PT</w:t>
      </w:r>
      <w:r w:rsidRPr="001A1D2D">
        <w:t xml:space="preserve"> and </w:t>
      </w:r>
      <w:r w:rsidR="00C37BD1">
        <w:t>FT</w:t>
      </w:r>
      <w:r w:rsidRPr="001A1D2D">
        <w:t xml:space="preserve"> students, postdocs, and NFRs. All missing data within partial responding and total nonresponding units were imputed. To address the unit and item nonresponse, three methods of imputation were used</w:t>
      </w:r>
      <w:r w:rsidR="00BA6FE4">
        <w:t>,</w:t>
      </w:r>
      <w:r w:rsidRPr="001A1D2D">
        <w:t xml:space="preserve"> including a carry-forward imputation method, a nearest neighbor method, and </w:t>
      </w:r>
      <w:r w:rsidR="00BA6FE4">
        <w:t xml:space="preserve">an </w:t>
      </w:r>
      <w:r w:rsidRPr="001A1D2D">
        <w:t>adjusted enrollment method based on</w:t>
      </w:r>
      <w:r w:rsidR="00BA6FE4">
        <w:rPr>
          <w:shd w:val="clear" w:color="auto" w:fill="FFFFFF"/>
        </w:rPr>
        <w:t xml:space="preserve"> </w:t>
      </w:r>
      <w:r w:rsidRPr="001A1D2D" w:rsidR="00A3715A">
        <w:rPr>
          <w:shd w:val="clear" w:color="auto" w:fill="FFFFFF"/>
        </w:rPr>
        <w:t>IPEDS data</w:t>
      </w:r>
      <w:r w:rsidRPr="001A1D2D">
        <w:rPr>
          <w:shd w:val="clear" w:color="auto" w:fill="FFFFFF"/>
        </w:rPr>
        <w:t xml:space="preserve">. Details </w:t>
      </w:r>
      <w:r w:rsidRPr="001A1D2D" w:rsidR="00D671EE">
        <w:rPr>
          <w:shd w:val="clear" w:color="auto" w:fill="FFFFFF"/>
        </w:rPr>
        <w:t>of</w:t>
      </w:r>
      <w:r w:rsidRPr="001A1D2D">
        <w:rPr>
          <w:shd w:val="clear" w:color="auto" w:fill="FFFFFF"/>
        </w:rPr>
        <w:t xml:space="preserve"> these methods are documented in the 20</w:t>
      </w:r>
      <w:r w:rsidRPr="001A1D2D" w:rsidR="00762C64">
        <w:rPr>
          <w:shd w:val="clear" w:color="auto" w:fill="FFFFFF"/>
        </w:rPr>
        <w:t>2</w:t>
      </w:r>
      <w:r w:rsidR="00C70AFE">
        <w:rPr>
          <w:shd w:val="clear" w:color="auto" w:fill="FFFFFF"/>
        </w:rPr>
        <w:t>3</w:t>
      </w:r>
      <w:r w:rsidRPr="001A1D2D">
        <w:rPr>
          <w:shd w:val="clear" w:color="auto" w:fill="FFFFFF"/>
        </w:rPr>
        <w:t xml:space="preserve"> GSS Methodology Report.</w:t>
      </w:r>
      <w:r>
        <w:rPr>
          <w:rStyle w:val="FootnoteReference"/>
          <w:shd w:val="clear" w:color="auto" w:fill="FFFFFF"/>
        </w:rPr>
        <w:footnoteReference w:id="3"/>
      </w:r>
      <w:r w:rsidRPr="001A1D2D" w:rsidR="00AC1725">
        <w:rPr>
          <w:shd w:val="clear" w:color="auto" w:fill="FFFFFF"/>
        </w:rPr>
        <w:t xml:space="preserve"> The imputation section from that report is included in A</w:t>
      </w:r>
      <w:r w:rsidRPr="001A1D2D" w:rsidR="008272E8">
        <w:rPr>
          <w:shd w:val="clear" w:color="auto" w:fill="FFFFFF"/>
        </w:rPr>
        <w:t>ttachment</w:t>
      </w:r>
      <w:r w:rsidRPr="001A1D2D" w:rsidR="00AC1725">
        <w:rPr>
          <w:shd w:val="clear" w:color="auto" w:fill="FFFFFF"/>
        </w:rPr>
        <w:t xml:space="preserve"> </w:t>
      </w:r>
      <w:r w:rsidR="00BA6FE4">
        <w:rPr>
          <w:shd w:val="clear" w:color="auto" w:fill="FFFFFF"/>
        </w:rPr>
        <w:t>14</w:t>
      </w:r>
      <w:r w:rsidRPr="001A1D2D" w:rsidR="00AC1725">
        <w:rPr>
          <w:shd w:val="clear" w:color="auto" w:fill="FFFFFF"/>
        </w:rPr>
        <w:t>.</w:t>
      </w:r>
      <w:r w:rsidRPr="001A1D2D">
        <w:t xml:space="preserve"> </w:t>
      </w:r>
    </w:p>
    <w:p w:rsidR="00C72AA7" w:rsidRPr="00C72AA7" w:rsidP="00682185" w14:paraId="54873509" w14:textId="6E144981">
      <w:pPr>
        <w:pStyle w:val="BodyText"/>
        <w:rPr>
          <w:i/>
          <w:iCs/>
        </w:rPr>
      </w:pPr>
      <w:bookmarkStart w:id="29" w:name="_Hlk224741547"/>
      <w:r w:rsidRPr="00C72AA7">
        <w:rPr>
          <w:i/>
          <w:iCs/>
        </w:rPr>
        <w:t xml:space="preserve">FFRDC </w:t>
      </w:r>
      <w:r w:rsidR="00D17DFC">
        <w:rPr>
          <w:i/>
          <w:iCs/>
        </w:rPr>
        <w:t xml:space="preserve">Postdoc Survey </w:t>
      </w:r>
      <w:r w:rsidRPr="00C72AA7">
        <w:rPr>
          <w:i/>
          <w:iCs/>
        </w:rPr>
        <w:t>Imputation Methods.</w:t>
      </w:r>
      <w:r w:rsidRPr="00C72AA7">
        <w:t xml:space="preserve"> The 202</w:t>
      </w:r>
      <w:r w:rsidR="002C1CD9">
        <w:t>3</w:t>
      </w:r>
      <w:r w:rsidRPr="00C72AA7">
        <w:t xml:space="preserve"> FFRDC Postdoc Survey collected five distinct data items related to postdocs employed at FFRDCs. The item response rate was 100% among FFRDCs known to employ postdocs.</w:t>
      </w:r>
      <w:r w:rsidR="002C1CD9">
        <w:t xml:space="preserve"> No imputation was performed on the collected data.</w:t>
      </w:r>
      <w:r w:rsidRPr="00C72AA7">
        <w:t xml:space="preserve"> </w:t>
      </w:r>
    </w:p>
    <w:p w:rsidR="007D72D9" w:rsidRPr="001A1D2D" w:rsidP="00444A0A" w14:paraId="620A7023" w14:textId="1B54BBB9">
      <w:pPr>
        <w:pStyle w:val="Heading3"/>
      </w:pPr>
      <w:bookmarkStart w:id="30" w:name="_Toc232083019"/>
      <w:bookmarkEnd w:id="29"/>
      <w:r w:rsidRPr="001A1D2D">
        <w:t>B.3.3</w:t>
      </w:r>
      <w:r w:rsidR="00444AAF">
        <w:tab/>
      </w:r>
      <w:r w:rsidRPr="001A1D2D">
        <w:t xml:space="preserve">Accuracy and Reliability of </w:t>
      </w:r>
      <w:r w:rsidRPr="001A1D2D" w:rsidR="003B63CF">
        <w:t>D</w:t>
      </w:r>
      <w:r w:rsidRPr="001A1D2D">
        <w:t>ata</w:t>
      </w:r>
      <w:bookmarkEnd w:id="30"/>
      <w:r w:rsidRPr="001A1D2D">
        <w:t xml:space="preserve"> </w:t>
      </w:r>
    </w:p>
    <w:p w:rsidR="008F0915" w:rsidP="00444A0A" w14:paraId="39CAF04C" w14:textId="30371ECF">
      <w:pPr>
        <w:pStyle w:val="BodyText"/>
      </w:pPr>
      <w:r>
        <w:t>B</w:t>
      </w:r>
      <w:r w:rsidR="00C72AA7">
        <w:t xml:space="preserve">oth surveys </w:t>
      </w:r>
      <w:r w:rsidR="00CD4815">
        <w:t>are</w:t>
      </w:r>
      <w:r w:rsidRPr="001A1D2D" w:rsidR="00CD4815">
        <w:t xml:space="preserve"> censuses</w:t>
      </w:r>
      <w:r w:rsidR="00C72AA7">
        <w:t xml:space="preserve"> </w:t>
      </w:r>
      <w:r w:rsidRPr="001A1D2D" w:rsidR="00F26FFA">
        <w:t>with high response rate</w:t>
      </w:r>
      <w:r w:rsidR="00C72AA7">
        <w:t>s</w:t>
      </w:r>
      <w:r w:rsidRPr="001A1D2D" w:rsidR="00F26FFA">
        <w:t>, and statistical imputation is conducted for nonresponse</w:t>
      </w:r>
      <w:r>
        <w:t xml:space="preserve">. A consideration of various survey quality measures </w:t>
      </w:r>
      <w:r w:rsidR="00E25645">
        <w:t>includes:</w:t>
      </w:r>
      <w:r w:rsidRPr="001A1D2D" w:rsidR="0081762F">
        <w:t xml:space="preserve"> </w:t>
      </w:r>
    </w:p>
    <w:p w:rsidR="008F0915" w:rsidRPr="008F0915" w:rsidP="008F0915" w14:paraId="3D997697" w14:textId="7B8A2375">
      <w:pPr>
        <w:pStyle w:val="BodyText"/>
      </w:pPr>
      <w:r w:rsidRPr="008F0915">
        <w:rPr>
          <w:i/>
          <w:iCs/>
        </w:rPr>
        <w:t>Sampling error. </w:t>
      </w:r>
      <w:r w:rsidRPr="008F0915">
        <w:t xml:space="preserve">Not applicable because </w:t>
      </w:r>
      <w:r w:rsidR="003504D6">
        <w:t xml:space="preserve">both </w:t>
      </w:r>
      <w:r w:rsidRPr="008F0915">
        <w:t xml:space="preserve">the GSS </w:t>
      </w:r>
      <w:r w:rsidR="003504D6">
        <w:t>and FFRDC Postdocs Survey are</w:t>
      </w:r>
      <w:r w:rsidRPr="008F0915">
        <w:t xml:space="preserve"> </w:t>
      </w:r>
      <w:r w:rsidRPr="008F0915">
        <w:t>census</w:t>
      </w:r>
      <w:r w:rsidR="003504D6">
        <w:t>es</w:t>
      </w:r>
      <w:r w:rsidRPr="008F0915">
        <w:t>.</w:t>
      </w:r>
    </w:p>
    <w:p w:rsidR="008F0915" w:rsidRPr="008F0915" w:rsidP="00C35A87" w14:paraId="43674D15" w14:textId="6B7BF873">
      <w:pPr>
        <w:pStyle w:val="BodyText"/>
      </w:pPr>
      <w:r w:rsidRPr="008F0915">
        <w:rPr>
          <w:i/>
          <w:iCs/>
        </w:rPr>
        <w:t>Coverage error. </w:t>
      </w:r>
      <w:r w:rsidRPr="008F0915">
        <w:t xml:space="preserve">Due to the availability of comprehensive lists of the master’s- and doctorate-granting institutions in the United States and the high level of participation in the survey of the eligible institutions, coverage error is minimal. The universe of higher education </w:t>
      </w:r>
      <w:r w:rsidRPr="008F0915">
        <w:t>institutions is reviewed annually to identify potentially eligible institutions. Sources for this review include IPEDS, the Carnegie Classification of Institutions of Higher Education, the Higher Education Directory, NCSES’s Higher Education Research and Development Survey, and professional association membership lists.</w:t>
      </w:r>
      <w:r w:rsidR="00C35A87">
        <w:t xml:space="preserve"> </w:t>
      </w:r>
      <w:r w:rsidRPr="00C35A87" w:rsidR="00C35A87">
        <w:t>There is no coverage error for th</w:t>
      </w:r>
      <w:r w:rsidR="00C35A87">
        <w:t>e FFRDC</w:t>
      </w:r>
      <w:r w:rsidRPr="00C35A87" w:rsidR="00C35A87">
        <w:t xml:space="preserve"> survey other than that, if any, from the Master Government List of FFRDCs maintained by NSF.</w:t>
      </w:r>
    </w:p>
    <w:p w:rsidR="008F0915" w:rsidRPr="008F0915" w:rsidP="00C35A87" w14:paraId="6D04EA61" w14:textId="28E584E2">
      <w:pPr>
        <w:pStyle w:val="BodyText"/>
      </w:pPr>
      <w:r w:rsidRPr="008F0915">
        <w:rPr>
          <w:i/>
          <w:iCs/>
        </w:rPr>
        <w:t>Nonresponse error. </w:t>
      </w:r>
      <w:r w:rsidRPr="008F0915">
        <w:t xml:space="preserve">The GSS typically has high response rates. In 2024, 97.8% of units provided complete or partial data and the overall institutional response rate was 93.7%. Of the 543 </w:t>
      </w:r>
      <w:r w:rsidRPr="008F0915">
        <w:t>data items</w:t>
      </w:r>
      <w:r w:rsidRPr="008F0915">
        <w:t xml:space="preserve"> collected in the GSS, the item imputation rates ranged from 1.7% to 7.3%. All missing data are imputed.</w:t>
      </w:r>
      <w:r w:rsidR="00C35A87">
        <w:t xml:space="preserve"> Similarly, t</w:t>
      </w:r>
      <w:r w:rsidRPr="00C35A87" w:rsidR="00C35A87">
        <w:t xml:space="preserve">he </w:t>
      </w:r>
      <w:r w:rsidR="00C35A87">
        <w:t xml:space="preserve">FFRDC </w:t>
      </w:r>
      <w:r w:rsidRPr="00C35A87" w:rsidR="00C35A87">
        <w:t>survey typically has high response rates. For the 2023 cycle, 100% of FFRDCs provided complete or partial data.</w:t>
      </w:r>
    </w:p>
    <w:p w:rsidR="008F0915" w:rsidRPr="008F0915" w:rsidP="008F0915" w14:paraId="70A07D94" w14:textId="77777777">
      <w:pPr>
        <w:pStyle w:val="BodyText"/>
      </w:pPr>
      <w:r w:rsidRPr="008F0915">
        <w:rPr>
          <w:i/>
          <w:iCs/>
        </w:rPr>
        <w:t>Measurement error. </w:t>
      </w:r>
      <w:r w:rsidRPr="008F0915">
        <w:t>The GSS is subject to measurement error that arises when variables of interest cannot be measured accurately or precisely. Review of the data, cognitive interviews, usability tests, pilot tests, site visits, and other methodological activities with the institutions have pointed to several possible sources of measurement error. The types of measurement errors listed below are believed to have a minimal impact on data quality.</w:t>
      </w:r>
    </w:p>
    <w:p w:rsidR="008F0915" w:rsidRPr="008F0915" w:rsidP="008F0915" w14:paraId="57FE77CC" w14:textId="77777777">
      <w:pPr>
        <w:pStyle w:val="BodyText"/>
        <w:numPr>
          <w:ilvl w:val="0"/>
          <w:numId w:val="52"/>
        </w:numPr>
      </w:pPr>
      <w:r w:rsidRPr="008F0915">
        <w:rPr>
          <w:i/>
          <w:iCs/>
        </w:rPr>
        <w:t>Double counting.</w:t>
      </w:r>
      <w:r w:rsidRPr="008F0915">
        <w:t xml:space="preserve"> Anecdotal evidence indicates some misreporting may occur when an institution has more than one coordinator or offers joint programs. To reduce double counting, facilitate communication, and allow sharing of reported data, a screen in the Web survey provides names and contact information for all coordinators at the institution. Interactive and post-submission checks are also used to confirm that similarly named units within institutions are distinct eligible units. The introduction of data uploads has minimized this type of measurement error. This issue is now flagged </w:t>
      </w:r>
      <w:r w:rsidRPr="008F0915">
        <w:t>for</w:t>
      </w:r>
      <w:r w:rsidRPr="008F0915">
        <w:t xml:space="preserve"> fewer than 0.5% of units reported to the GSS annually.</w:t>
      </w:r>
    </w:p>
    <w:p w:rsidR="008F0915" w:rsidRPr="008F0915" w:rsidP="008F0915" w14:paraId="5846AFA4" w14:textId="77777777">
      <w:pPr>
        <w:pStyle w:val="BodyText"/>
        <w:numPr>
          <w:ilvl w:val="0"/>
          <w:numId w:val="52"/>
        </w:numPr>
      </w:pPr>
      <w:r w:rsidRPr="008F0915">
        <w:rPr>
          <w:i/>
          <w:iCs/>
        </w:rPr>
        <w:t>Inclusion of practitioner degrees.</w:t>
      </w:r>
      <w:r w:rsidRPr="008F0915">
        <w:t xml:space="preserve"> Graduate students working toward practitioner degrees, particularly in health fields with explicit exclusions, may sometimes be overreported. Survey materials indicated that students should be excluded from the counts if they are pursuing DDS or MD degrees or certain other degrees in specified fields. During data collection coordinators confirm via a pop-up dialog that they </w:t>
      </w:r>
      <w:r w:rsidRPr="008F0915">
        <w:t>excluded</w:t>
      </w:r>
      <w:r w:rsidRPr="008F0915">
        <w:t xml:space="preserve"> practitioner degrees from the data provided in their upload files. Prior to the introduction of this pop-up dialog, it was more common to mistakenly include graduate students earning </w:t>
      </w:r>
      <w:r w:rsidRPr="008F0915">
        <w:t>practitioner degrees. However, since the addition of this popup, fewer than 0.5% of units that report doctoral students mistakenly included students pursuing practitioner degrees. During the data check and imputation process new units that were suspected of reporting ineligible graduate students have their websites manually checked for evidence of eligibility. Rarely, the opposite problem happens, where an eligible graduate student may be identified as a practitioner by a coordinator.</w:t>
      </w:r>
    </w:p>
    <w:p w:rsidR="008F0915" w:rsidRPr="008F0915" w:rsidP="008F0915" w14:paraId="2ACCFAF3" w14:textId="24D9626F">
      <w:pPr>
        <w:pStyle w:val="BodyText"/>
        <w:numPr>
          <w:ilvl w:val="0"/>
          <w:numId w:val="52"/>
        </w:numPr>
      </w:pPr>
      <w:r w:rsidRPr="008F0915">
        <w:rPr>
          <w:i/>
          <w:iCs/>
        </w:rPr>
        <w:t>Difficulty in reporting source and mechanism of support.</w:t>
      </w:r>
      <w:r w:rsidRPr="008F0915">
        <w:t xml:space="preserve"> Feedback from respondents and methodological research indicates that financial support data are often difficult for respondents to report. The information may not be stored in one centralized database; financial support may not always be channeled through the institution (e.g., self-support); and foreign sources of support may not always be known. Respondents may also have difficulty categorizing financial information by field, such as when a student is enrolled in one unit but receives support from another. Therefore, these data may be more prone to measurement </w:t>
      </w:r>
      <w:r w:rsidRPr="008F0915">
        <w:t>error</w:t>
      </w:r>
      <w:r w:rsidRPr="008F0915">
        <w:t xml:space="preserve"> than other survey data items. Finally, institutions define mechanisms of support differently (e.g., fellowships vs. traineeships) and may report individuals according to the institution’s definition rather than that provided by the GSS. Since the 2010 survey, the postdoc forms include “unknown” categories. </w:t>
      </w:r>
    </w:p>
    <w:p w:rsidR="008F0915" w:rsidP="008F0915" w14:paraId="14C403FD" w14:textId="77777777">
      <w:pPr>
        <w:pStyle w:val="BodyText"/>
        <w:numPr>
          <w:ilvl w:val="0"/>
          <w:numId w:val="52"/>
        </w:numPr>
      </w:pPr>
      <w:r w:rsidRPr="008F0915">
        <w:rPr>
          <w:i/>
          <w:iCs/>
        </w:rPr>
        <w:t>Difficulty in reporting postdocs and NFRs.</w:t>
      </w:r>
      <w:r w:rsidRPr="008F0915">
        <w:t> Many respondents indicated in the Web survey that they are unable to provide data on their units’ postdocs or NFRs because they do not know all of the units that employ postdocs and NFRs. Schools were given the option of appointing a separate postdoc coordinator who may be more knowledgeable about a school’s postdocs or NFRs to provide these data. Coordinators may also indicate that they had postdocs or NFRs but were unable to report them and counts are thus imputed.</w:t>
      </w:r>
    </w:p>
    <w:p w:rsidR="00C35A87" w:rsidRPr="008F0915" w:rsidP="00F403A9" w14:paraId="5709663F" w14:textId="33035054">
      <w:pPr>
        <w:pStyle w:val="BodyText"/>
        <w:ind w:firstLine="360"/>
      </w:pPr>
      <w:r w:rsidRPr="00C35A87">
        <w:t xml:space="preserve">The most likely source of measurement error </w:t>
      </w:r>
      <w:r>
        <w:t xml:space="preserve">on the FFRDC postdoc survey </w:t>
      </w:r>
      <w:r w:rsidRPr="00C35A87">
        <w:t>is from respondents’ misreporting of information. The survey Web instrument was designed to allow respondents to indicate that they have postdocs but do not have the information about them for a particular grid, which allows missing information to be distinguished from the reporting of zero counts.</w:t>
      </w:r>
    </w:p>
    <w:p w:rsidR="007D72D9" w:rsidRPr="001A1D2D" w:rsidP="00444A0A" w14:paraId="457CCEB3" w14:textId="3824EF81">
      <w:pPr>
        <w:pStyle w:val="BodyText"/>
      </w:pPr>
      <w:r>
        <w:t>B</w:t>
      </w:r>
      <w:r w:rsidR="00C72AA7">
        <w:t xml:space="preserve">oth </w:t>
      </w:r>
      <w:r w:rsidR="00D17DFC">
        <w:t xml:space="preserve">the </w:t>
      </w:r>
      <w:r w:rsidRPr="001A1D2D" w:rsidR="00F26FFA">
        <w:t>GSS</w:t>
      </w:r>
      <w:r w:rsidR="00DE27CA">
        <w:t xml:space="preserve"> and</w:t>
      </w:r>
      <w:r w:rsidRPr="001A1D2D" w:rsidR="00F26FFA">
        <w:t xml:space="preserve"> </w:t>
      </w:r>
      <w:r w:rsidR="00D17DFC">
        <w:t xml:space="preserve">the </w:t>
      </w:r>
      <w:r w:rsidR="00C72AA7">
        <w:t xml:space="preserve">FFRDC </w:t>
      </w:r>
      <w:r w:rsidR="00B84B3D">
        <w:t>P</w:t>
      </w:r>
      <w:r w:rsidR="00D17DFC">
        <w:t xml:space="preserve">ostdoc </w:t>
      </w:r>
      <w:r w:rsidR="00B84B3D">
        <w:t>S</w:t>
      </w:r>
      <w:r w:rsidR="00D17DFC">
        <w:t xml:space="preserve">urvey </w:t>
      </w:r>
      <w:r w:rsidRPr="001A1D2D" w:rsidR="00F26FFA">
        <w:t>ha</w:t>
      </w:r>
      <w:r w:rsidR="00C72AA7">
        <w:t>ve</w:t>
      </w:r>
      <w:r w:rsidRPr="001A1D2D" w:rsidR="00F26FFA">
        <w:t xml:space="preserve"> extensive review process</w:t>
      </w:r>
      <w:r w:rsidR="00C72AA7">
        <w:t>es</w:t>
      </w:r>
      <w:r w:rsidRPr="001A1D2D" w:rsidR="00F26FFA">
        <w:t xml:space="preserve"> to check the consistency of each coordinator’s data within and across years</w:t>
      </w:r>
      <w:r w:rsidRPr="001A1D2D" w:rsidR="0081762F">
        <w:t>.</w:t>
      </w:r>
      <w:r w:rsidRPr="00C35A87" w:rsidR="00C35A87">
        <w:t xml:space="preserve"> </w:t>
      </w:r>
      <w:r w:rsidR="00C35A87">
        <w:t>S</w:t>
      </w:r>
      <w:r w:rsidRPr="00C35A87" w:rsidR="00C35A87">
        <w:t xml:space="preserve">ubstantial changes in counts and inconsistent data survey responses are subject to follow-up contacts to verify changes and correct anomalies in the data. </w:t>
      </w:r>
      <w:r w:rsidR="00C72AA7">
        <w:t>For the GSS, t</w:t>
      </w:r>
      <w:r w:rsidRPr="001A1D2D" w:rsidR="00C72AA7">
        <w:t>he use of CIP codes for reporting helps ensure reliability</w:t>
      </w:r>
      <w:r w:rsidR="00B84B3D">
        <w:t>,</w:t>
      </w:r>
      <w:r w:rsidRPr="001A1D2D" w:rsidR="00C72AA7">
        <w:t xml:space="preserve"> as these codes are used for IPEDS</w:t>
      </w:r>
      <w:r w:rsidR="00B84B3D">
        <w:t>,</w:t>
      </w:r>
      <w:r w:rsidRPr="001A1D2D" w:rsidR="00C72AA7">
        <w:t xml:space="preserve"> which is a mandatory data collection.</w:t>
      </w:r>
    </w:p>
    <w:p w:rsidR="00CF2CBC" w:rsidRPr="001A1D2D" w:rsidP="00444A0A" w14:paraId="601276A7" w14:textId="77777777">
      <w:pPr>
        <w:pStyle w:val="Heading2"/>
        <w:rPr>
          <w:bCs/>
        </w:rPr>
      </w:pPr>
      <w:bookmarkStart w:id="31" w:name="_Toc488074624"/>
      <w:bookmarkStart w:id="32" w:name="_Toc232083020"/>
      <w:r w:rsidRPr="001A1D2D">
        <w:t>B.4</w:t>
      </w:r>
      <w:r w:rsidRPr="001A1D2D">
        <w:tab/>
        <w:t>Testing of</w:t>
      </w:r>
      <w:r w:rsidRPr="001A1D2D">
        <w:rPr>
          <w:spacing w:val="1"/>
        </w:rPr>
        <w:t xml:space="preserve"> </w:t>
      </w:r>
      <w:r w:rsidRPr="001A1D2D">
        <w:t>Procedures</w:t>
      </w:r>
      <w:bookmarkEnd w:id="31"/>
      <w:bookmarkEnd w:id="32"/>
    </w:p>
    <w:p w:rsidR="00DF2B32" w:rsidP="00444A0A" w14:paraId="3F5EC567" w14:textId="7C04FA81">
      <w:pPr>
        <w:pStyle w:val="BodyText"/>
      </w:pPr>
      <w:r w:rsidRPr="001A1D2D">
        <w:t>NCSES plans to conduct several methodological activities with the goal</w:t>
      </w:r>
      <w:r>
        <w:t xml:space="preserve"> of improving data quality and </w:t>
      </w:r>
      <w:r w:rsidR="00BD3D2B">
        <w:t xml:space="preserve">potentially </w:t>
      </w:r>
      <w:r>
        <w:t xml:space="preserve">broadening the scope of information associated with the students enrolled in eligible academic institutions and the postdoctoral and nonfaculty researchers employed by same. Changes under consideration </w:t>
      </w:r>
      <w:r w:rsidR="00921121">
        <w:t>include</w:t>
      </w:r>
      <w:r w:rsidR="00243951">
        <w:t>, but are not limited to,</w:t>
      </w:r>
      <w:r w:rsidR="00921121">
        <w:t xml:space="preserve"> </w:t>
      </w:r>
      <w:r>
        <w:t>modifying the definition of doctorate</w:t>
      </w:r>
      <w:r w:rsidR="00B84B3D">
        <w:t>-</w:t>
      </w:r>
      <w:r>
        <w:t>holding NFR</w:t>
      </w:r>
      <w:r w:rsidR="0067459E">
        <w:t>s</w:t>
      </w:r>
      <w:r w:rsidR="00B84B3D">
        <w:t xml:space="preserve"> </w:t>
      </w:r>
      <w:r w:rsidR="00A27000">
        <w:t xml:space="preserve">and </w:t>
      </w:r>
      <w:r>
        <w:t xml:space="preserve">expanding </w:t>
      </w:r>
      <w:r w:rsidR="00A27000">
        <w:t xml:space="preserve">the </w:t>
      </w:r>
      <w:r>
        <w:t>collection of NFR data. To conduct appropriate methodological testing for these changes to GSS</w:t>
      </w:r>
      <w:r w:rsidR="00DE27CA">
        <w:t xml:space="preserve"> and potentially the FFRDC </w:t>
      </w:r>
      <w:r w:rsidR="00B84B3D">
        <w:t>P</w:t>
      </w:r>
      <w:r w:rsidR="00D17DFC">
        <w:t xml:space="preserve">ostdoc </w:t>
      </w:r>
      <w:r w:rsidR="00B84B3D">
        <w:t>S</w:t>
      </w:r>
      <w:r w:rsidR="00DE27CA">
        <w:t>urvey</w:t>
      </w:r>
      <w:r>
        <w:t>, NCSES is requesting 2,000 hours</w:t>
      </w:r>
      <w:r w:rsidR="0096786F">
        <w:t xml:space="preserve"> </w:t>
      </w:r>
      <w:r>
        <w:t xml:space="preserve">for the three-cycle survey clearance period. </w:t>
      </w:r>
    </w:p>
    <w:p w:rsidR="001651C5" w:rsidP="00444A0A" w14:paraId="31C7C700" w14:textId="0A9021B6">
      <w:pPr>
        <w:pStyle w:val="BodyText"/>
      </w:pPr>
      <w:r>
        <w:t xml:space="preserve">The </w:t>
      </w:r>
      <w:r w:rsidR="00F26FFA">
        <w:t>GSS has been collecting separate data on postdoctoral researchers and NFR</w:t>
      </w:r>
      <w:r>
        <w:t>s</w:t>
      </w:r>
      <w:r w:rsidR="00F26FFA">
        <w:t xml:space="preserve"> since 1979. Separating counts of these two groups of researchers was originally implemented to improve accuracy in the counting of postdocs</w:t>
      </w:r>
      <w:r w:rsidR="00890B38">
        <w:t xml:space="preserve">. </w:t>
      </w:r>
      <w:r w:rsidR="00831649">
        <w:t>As</w:t>
      </w:r>
      <w:r w:rsidR="00F26FFA">
        <w:t xml:space="preserve"> a separate category of research staff generally working on a non-term</w:t>
      </w:r>
      <w:r>
        <w:t>-</w:t>
      </w:r>
      <w:r w:rsidR="00F26FFA">
        <w:t xml:space="preserve">limited basis (as opposed to postdocs who are often limited in the number of years they can be employed under this job title), </w:t>
      </w:r>
      <w:r w:rsidR="00831649">
        <w:t xml:space="preserve">the </w:t>
      </w:r>
      <w:r w:rsidR="00F26FFA">
        <w:t>NFR was offered as a residual category to keep research staff from being erroneously reported as postdocs.</w:t>
      </w:r>
      <w:r w:rsidRPr="00882B02" w:rsidR="00F26FFA">
        <w:t xml:space="preserve"> </w:t>
      </w:r>
      <w:r w:rsidR="00F26FFA">
        <w:t>Considerably l</w:t>
      </w:r>
      <w:r w:rsidRPr="0011239C" w:rsidR="00F26FFA">
        <w:t>ess information is collected about NFR</w:t>
      </w:r>
      <w:r w:rsidR="00F26FFA">
        <w:t>s</w:t>
      </w:r>
      <w:r w:rsidRPr="0011239C" w:rsidR="00F26FFA">
        <w:t xml:space="preserve"> than </w:t>
      </w:r>
      <w:r>
        <w:t xml:space="preserve">about </w:t>
      </w:r>
      <w:r w:rsidRPr="0011239C" w:rsidR="00F26FFA">
        <w:t xml:space="preserve">postdocs or graduate students: in the </w:t>
      </w:r>
      <w:r w:rsidR="00F26FFA">
        <w:t>current</w:t>
      </w:r>
      <w:r w:rsidRPr="0011239C" w:rsidR="00F26FFA">
        <w:t xml:space="preserve"> GSS</w:t>
      </w:r>
      <w:r w:rsidR="00F26FFA">
        <w:t>,</w:t>
      </w:r>
      <w:r w:rsidRPr="0011239C" w:rsidR="00F26FFA">
        <w:t xml:space="preserve"> there </w:t>
      </w:r>
      <w:r w:rsidR="00F26FFA">
        <w:t>are</w:t>
      </w:r>
      <w:r w:rsidRPr="0011239C" w:rsidR="00F26FFA">
        <w:t xml:space="preserve"> 188 data items collected on graduate enrollments, 152 data items on postdocs, and only 15 data items regarding NFR</w:t>
      </w:r>
      <w:r w:rsidR="00F26FFA">
        <w:t>s</w:t>
      </w:r>
      <w:r w:rsidRPr="0011239C" w:rsidR="00F26FFA">
        <w:t xml:space="preserve">. </w:t>
      </w:r>
      <w:r w:rsidR="00F26FFA">
        <w:t>NFRs</w:t>
      </w:r>
      <w:r w:rsidRPr="0011239C" w:rsidR="00F26FFA">
        <w:t xml:space="preserve"> </w:t>
      </w:r>
      <w:r w:rsidR="00F26FFA">
        <w:t xml:space="preserve">also </w:t>
      </w:r>
      <w:r w:rsidRPr="0011239C" w:rsidR="00F26FFA">
        <w:t xml:space="preserve">account for a modest proportion of overall counts in the GSS. For example, </w:t>
      </w:r>
      <w:r w:rsidRPr="00D43628" w:rsidR="00F26FFA">
        <w:t>the 202</w:t>
      </w:r>
      <w:r w:rsidR="005323C7">
        <w:t>4</w:t>
      </w:r>
      <w:r w:rsidRPr="00D43628" w:rsidR="00F26FFA">
        <w:t xml:space="preserve"> survey</w:t>
      </w:r>
      <w:r w:rsidRPr="0011239C" w:rsidR="00F26FFA">
        <w:t xml:space="preserve"> reported information on </w:t>
      </w:r>
      <w:r w:rsidR="00D671EE">
        <w:t>818</w:t>
      </w:r>
      <w:r w:rsidR="00F26FFA">
        <w:t>,</w:t>
      </w:r>
      <w:r w:rsidR="00D671EE">
        <w:t>078</w:t>
      </w:r>
      <w:r w:rsidRPr="0011239C" w:rsidR="00F26FFA">
        <w:t xml:space="preserve"> graduate students</w:t>
      </w:r>
      <w:r w:rsidRPr="00D43628" w:rsidR="00F26FFA">
        <w:t>, 6</w:t>
      </w:r>
      <w:r w:rsidR="005323C7">
        <w:t>9</w:t>
      </w:r>
      <w:r w:rsidRPr="00D43628" w:rsidR="00F26FFA">
        <w:t>,</w:t>
      </w:r>
      <w:r w:rsidR="005323C7">
        <w:t>877</w:t>
      </w:r>
      <w:r w:rsidRPr="00D43628" w:rsidR="00F26FFA">
        <w:t xml:space="preserve"> postd</w:t>
      </w:r>
      <w:r w:rsidRPr="0011239C" w:rsidR="00F26FFA">
        <w:t xml:space="preserve">ocs, </w:t>
      </w:r>
      <w:r w:rsidRPr="00D43628" w:rsidR="00F26FFA">
        <w:t>and 3</w:t>
      </w:r>
      <w:r w:rsidR="005323C7">
        <w:t>5</w:t>
      </w:r>
      <w:r w:rsidRPr="00D43628" w:rsidR="00F26FFA">
        <w:t>,</w:t>
      </w:r>
      <w:r w:rsidR="005323C7">
        <w:t>142</w:t>
      </w:r>
      <w:r w:rsidRPr="0011239C" w:rsidR="00F26FFA">
        <w:t xml:space="preserve"> NFR</w:t>
      </w:r>
      <w:r w:rsidR="00F26FFA">
        <w:t>s</w:t>
      </w:r>
      <w:r w:rsidRPr="0011239C" w:rsidR="00F26FFA">
        <w:t xml:space="preserve">. Despite </w:t>
      </w:r>
      <w:r w:rsidR="00F26FFA">
        <w:t>this relatively</w:t>
      </w:r>
      <w:r w:rsidRPr="0011239C" w:rsidR="00F26FFA">
        <w:t xml:space="preserve"> low</w:t>
      </w:r>
      <w:r w:rsidR="00F26FFA">
        <w:t>er</w:t>
      </w:r>
      <w:r w:rsidRPr="0011239C" w:rsidR="00F26FFA">
        <w:t xml:space="preserve"> profile within the GSS,</w:t>
      </w:r>
      <w:r w:rsidR="00F26FFA">
        <w:t xml:space="preserve"> the NFR data are used regularly to help</w:t>
      </w:r>
      <w:r w:rsidRPr="0011239C" w:rsidR="00F26FFA">
        <w:t xml:space="preserve"> </w:t>
      </w:r>
      <w:r w:rsidR="00F26FFA">
        <w:t xml:space="preserve">determine research intensity of U.S. academic institutions. Over </w:t>
      </w:r>
      <w:r w:rsidR="00FA65C1">
        <w:t>the last several years</w:t>
      </w:r>
      <w:r w:rsidR="00F26FFA">
        <w:t xml:space="preserve">, NCSES conducted a series of investigations to better appreciate the challenges that institutions face when dealing with the GSS definition of NFR. The investigations were necessary because institutional interpretations of the GSS definition of NFR vary, complicating comparisons of NFR data between institutions. </w:t>
      </w:r>
      <w:r w:rsidRPr="00E13DB4" w:rsidR="00F26FFA">
        <w:t xml:space="preserve">Attachment </w:t>
      </w:r>
      <w:r w:rsidRPr="00E13DB4" w:rsidR="00A02D9B">
        <w:t>1</w:t>
      </w:r>
      <w:r w:rsidR="00CD4815">
        <w:t>5</w:t>
      </w:r>
      <w:r w:rsidRPr="00E13DB4" w:rsidR="00F26FFA">
        <w:t xml:space="preserve"> presents</w:t>
      </w:r>
      <w:r w:rsidR="00F26FFA">
        <w:t xml:space="preserve"> the results of these investigations</w:t>
      </w:r>
      <w:r w:rsidR="00D671EE">
        <w:t xml:space="preserve">. </w:t>
      </w:r>
    </w:p>
    <w:p w:rsidR="001651C5" w:rsidP="00444A0A" w14:paraId="582A28E2" w14:textId="35DF168D">
      <w:pPr>
        <w:pStyle w:val="BodyText"/>
      </w:pPr>
      <w:r>
        <w:t xml:space="preserve">NCSES </w:t>
      </w:r>
      <w:r w:rsidR="00E212A1">
        <w:t xml:space="preserve">proposes </w:t>
      </w:r>
      <w:r>
        <w:t>to follow</w:t>
      </w:r>
      <w:r w:rsidR="00B84B3D">
        <w:t xml:space="preserve"> </w:t>
      </w:r>
      <w:r>
        <w:t>up its NFR methodological work by conducting a recordkeeping survey of GSS respondents to determine what data they currently maintain on research staff and the salient challenges posed in reporting if GSS adopts changes to NFR definitions.</w:t>
      </w:r>
    </w:p>
    <w:p w:rsidR="00CF2CBC" w:rsidRPr="00CA1752" w:rsidP="00444A0A" w14:paraId="23DC5127" w14:textId="77777777">
      <w:pPr>
        <w:pStyle w:val="Heading2"/>
      </w:pPr>
      <w:bookmarkStart w:id="33" w:name="_Toc488074630"/>
      <w:bookmarkStart w:id="34" w:name="_Toc232083021"/>
      <w:r w:rsidRPr="00CA1752">
        <w:t>B.5</w:t>
      </w:r>
      <w:r w:rsidRPr="00CA1752">
        <w:tab/>
        <w:t>Individuals</w:t>
      </w:r>
      <w:r w:rsidRPr="00CA1752">
        <w:rPr>
          <w:spacing w:val="-3"/>
        </w:rPr>
        <w:t xml:space="preserve"> </w:t>
      </w:r>
      <w:r w:rsidRPr="00CA1752">
        <w:t>Consulted</w:t>
      </w:r>
      <w:bookmarkEnd w:id="33"/>
      <w:bookmarkEnd w:id="34"/>
    </w:p>
    <w:p w:rsidR="00A84EA8" w:rsidP="00444A0A" w14:paraId="3414C1CF" w14:textId="5C2DD6A4">
      <w:pPr>
        <w:pStyle w:val="BodyText"/>
      </w:pPr>
      <w:r w:rsidRPr="00332B78">
        <w:t xml:space="preserve">The NCSES contacts for statistical aspects of the </w:t>
      </w:r>
      <w:r>
        <w:t>GSS</w:t>
      </w:r>
      <w:r w:rsidRPr="00332B78">
        <w:t xml:space="preserve"> data collection are </w:t>
      </w:r>
      <w:r>
        <w:t>Michael Yamaner</w:t>
      </w:r>
      <w:r w:rsidRPr="00332B78">
        <w:t xml:space="preserve">, </w:t>
      </w:r>
      <w:r w:rsidR="005B26D7">
        <w:t>GSS</w:t>
      </w:r>
      <w:r w:rsidRPr="00332B78">
        <w:t xml:space="preserve"> Project Officer (703-292-</w:t>
      </w:r>
      <w:r w:rsidR="005B26D7">
        <w:t>7815</w:t>
      </w:r>
      <w:r w:rsidRPr="00332B78">
        <w:t>)</w:t>
      </w:r>
      <w:r w:rsidR="005B26D7">
        <w:t xml:space="preserve">, </w:t>
      </w:r>
      <w:r w:rsidR="003F5A4A">
        <w:t xml:space="preserve">Ronda Britt, Research and Development, Workforce, and Education Measurement Program Director </w:t>
      </w:r>
      <w:r w:rsidRPr="00332B78" w:rsidR="00AA32FA">
        <w:t>(703-292-</w:t>
      </w:r>
      <w:r>
        <w:t>7765</w:t>
      </w:r>
      <w:r w:rsidRPr="00332B78" w:rsidR="00AA32FA">
        <w:t xml:space="preserve">), </w:t>
      </w:r>
      <w:r w:rsidR="0036638A">
        <w:t>Jennifer Beck</w:t>
      </w:r>
      <w:r w:rsidR="00C61570">
        <w:t>, NCSES Survey Methodologist</w:t>
      </w:r>
      <w:r w:rsidR="0036638A">
        <w:t xml:space="preserve"> (703</w:t>
      </w:r>
      <w:r w:rsidR="00B0737F">
        <w:t>-</w:t>
      </w:r>
      <w:r w:rsidR="0036638A">
        <w:t>292</w:t>
      </w:r>
      <w:r w:rsidR="00B0737F">
        <w:t>-</w:t>
      </w:r>
      <w:r w:rsidR="0036638A">
        <w:t xml:space="preserve">8328), </w:t>
      </w:r>
      <w:r w:rsidR="00B93261">
        <w:t xml:space="preserve">and </w:t>
      </w:r>
      <w:r w:rsidR="005B26D7">
        <w:t>Vrinda Nair, NCSES Mathematical Statistician (</w:t>
      </w:r>
      <w:r w:rsidR="00AA32FA">
        <w:t>703-292-4455)</w:t>
      </w:r>
      <w:r w:rsidRPr="00332B78">
        <w:t>.</w:t>
      </w:r>
    </w:p>
    <w:p w:rsidR="00CF2CBC" w:rsidRPr="00CA1752" w:rsidP="00444A0A" w14:paraId="363383C5" w14:textId="77777777">
      <w:pPr>
        <w:pStyle w:val="BodyText"/>
      </w:pPr>
    </w:p>
    <w:sectPr w:rsidSect="001D398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6F7AA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544577"/>
      <w:docPartObj>
        <w:docPartGallery w:val="Page Numbers (Bottom of Page)"/>
        <w:docPartUnique/>
      </w:docPartObj>
    </w:sdtPr>
    <w:sdtEndPr>
      <w:rPr>
        <w:noProof/>
      </w:rPr>
    </w:sdtEndPr>
    <w:sdtContent>
      <w:p w:rsidR="00682185" w14:paraId="3362A8DD" w14:textId="54C1F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7449" w:rsidP="00297AC7" w14:paraId="4A642CA2" w14:textId="1DF74D7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7C1B46B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1825638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014408"/>
      <w:docPartObj>
        <w:docPartGallery w:val="Page Numbers (Bottom of Page)"/>
        <w:docPartUnique/>
      </w:docPartObj>
    </w:sdtPr>
    <w:sdtEndPr>
      <w:rPr>
        <w:noProof/>
      </w:rPr>
    </w:sdtEndPr>
    <w:sdtContent>
      <w:p w:rsidR="002D56D6" w14:paraId="64CDFD39" w14:textId="1DB669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7AC7" w:rsidP="00297AC7" w14:paraId="5F686AC5" w14:textId="77ED471C">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209001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0B4F" w14:paraId="1328496D" w14:textId="77777777">
      <w:r>
        <w:separator/>
      </w:r>
    </w:p>
  </w:footnote>
  <w:footnote w:type="continuationSeparator" w:id="1">
    <w:p w:rsidR="00C80B4F" w14:paraId="01F995CE" w14:textId="77777777">
      <w:r>
        <w:continuationSeparator/>
      </w:r>
    </w:p>
  </w:footnote>
  <w:footnote w:type="continuationNotice" w:id="2">
    <w:p w:rsidR="00C80B4F" w14:paraId="6B7A7237" w14:textId="77777777"/>
  </w:footnote>
  <w:footnote w:id="3">
    <w:p w:rsidR="00817449" w:rsidP="00344F7C" w14:paraId="3A11B577" w14:textId="1CF7AD0D">
      <w:pPr>
        <w:pStyle w:val="FootnoteText"/>
      </w:pPr>
      <w:r>
        <w:rPr>
          <w:rStyle w:val="FootnoteReference"/>
        </w:rPr>
        <w:footnoteRef/>
      </w:r>
      <w:r>
        <w:t xml:space="preserve"> </w:t>
      </w:r>
      <w:r w:rsidR="00447EB7">
        <w:rPr>
          <w:szCs w:val="22"/>
        </w:rPr>
        <w:t>NCSES.</w:t>
      </w:r>
      <w:r w:rsidRPr="00B3114F">
        <w:rPr>
          <w:szCs w:val="22"/>
        </w:rPr>
        <w:t xml:space="preserve"> (20</w:t>
      </w:r>
      <w:r w:rsidR="0046504D">
        <w:rPr>
          <w:szCs w:val="22"/>
        </w:rPr>
        <w:t>22</w:t>
      </w:r>
      <w:r w:rsidRPr="00B3114F">
        <w:rPr>
          <w:szCs w:val="22"/>
        </w:rPr>
        <w:t>)</w:t>
      </w:r>
      <w:r>
        <w:rPr>
          <w:szCs w:val="22"/>
        </w:rPr>
        <w:t xml:space="preserve">. </w:t>
      </w:r>
      <w:r w:rsidRPr="00C02E67">
        <w:t>20</w:t>
      </w:r>
      <w:r w:rsidR="0046504D">
        <w:t>2</w:t>
      </w:r>
      <w:r w:rsidR="002C1CD9">
        <w:t>3</w:t>
      </w:r>
      <w:r w:rsidRPr="00C02E67">
        <w:t xml:space="preserve"> Survey of Graduate Students and Postdoctorates in Science and Engineering: Survey</w:t>
      </w:r>
      <w:r w:rsidR="00BA6FE4">
        <w:t xml:space="preserve"> </w:t>
      </w:r>
      <w:r w:rsidRPr="00C02E67">
        <w:t>Methodology Report</w:t>
      </w:r>
      <w:r w:rsidR="00BA6FE4">
        <w:t>,</w:t>
      </w:r>
      <w:r w:rsidRPr="00C02E67">
        <w:rPr>
          <w:szCs w:val="22"/>
        </w:rPr>
        <w:t xml:space="preserve"> </w:t>
      </w:r>
      <w:r w:rsidR="00BA6FE4">
        <w:rPr>
          <w:szCs w:val="22"/>
        </w:rPr>
        <w:t>d</w:t>
      </w:r>
      <w:r w:rsidRPr="00B3114F">
        <w:rPr>
          <w:szCs w:val="22"/>
        </w:rPr>
        <w:t>eliverable</w:t>
      </w:r>
      <w:r>
        <w:rPr>
          <w:szCs w:val="22"/>
        </w:rPr>
        <w:t xml:space="preserve"> under </w:t>
      </w:r>
      <w:r w:rsidRPr="00B3114F">
        <w:rPr>
          <w:szCs w:val="22"/>
        </w:rPr>
        <w:t xml:space="preserve">contract </w:t>
      </w:r>
      <w:r>
        <w:rPr>
          <w:rFonts w:asciiTheme="majorBidi" w:hAnsiTheme="majorBidi" w:cstheme="majorBidi"/>
          <w:szCs w:val="22"/>
        </w:rPr>
        <w:t>NSFDACS</w:t>
      </w:r>
      <w:r w:rsidR="002C1CD9">
        <w:rPr>
          <w:rFonts w:asciiTheme="majorBidi" w:hAnsiTheme="majorBidi" w:cstheme="majorBidi"/>
          <w:szCs w:val="22"/>
        </w:rPr>
        <w:t xml:space="preserve"> </w:t>
      </w:r>
      <w:r w:rsidRPr="002C1CD9" w:rsidR="002C1CD9">
        <w:rPr>
          <w:rFonts w:asciiTheme="majorBidi" w:hAnsiTheme="majorBidi" w:cstheme="majorBidi"/>
          <w:szCs w:val="22"/>
        </w:rPr>
        <w:t>49100422F0122</w:t>
      </w:r>
      <w:r w:rsidR="00BA6FE4">
        <w:rPr>
          <w:rFonts w:asciiTheme="majorBidi" w:hAnsiTheme="majorBidi" w:cstheme="majorBidi"/>
          <w:szCs w:val="22"/>
        </w:rPr>
        <w:t>.</w:t>
      </w:r>
      <w:r>
        <w:rPr>
          <w:rFonts w:asciiTheme="majorBidi" w:hAnsiTheme="majorBidi" w:cstheme="majorBidi"/>
          <w:szCs w:val="22"/>
        </w:rPr>
        <w:t xml:space="preserve"> </w:t>
      </w:r>
      <w:r w:rsidR="002C1CD9">
        <w:rPr>
          <w:rFonts w:asciiTheme="majorBidi" w:hAnsiTheme="majorBidi" w:cstheme="majorBidi"/>
          <w:szCs w:val="22"/>
        </w:rPr>
        <w:t>December 2024</w:t>
      </w:r>
      <w:r>
        <w:rPr>
          <w:rFonts w:asciiTheme="majorBidi" w:hAnsiTheme="majorBidi" w:cstheme="majorBidi"/>
          <w:szCs w:val="22"/>
        </w:rPr>
        <w:t>.</w:t>
      </w:r>
      <w:r w:rsidR="00344F7C">
        <w:rPr>
          <w:rFonts w:asciiTheme="majorBidi" w:hAnsiTheme="majorBidi" w:cstheme="majorBidi"/>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18F018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rsidP="00297AC7" w14:paraId="4A15D4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29337EB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4AF2AF7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rsidP="00297AC7" w14:paraId="35EB44C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5C533C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16BB2C"/>
    <w:lvl w:ilvl="0">
      <w:start w:val="1"/>
      <w:numFmt w:val="decimal"/>
      <w:lvlText w:val="%1."/>
      <w:lvlJc w:val="left"/>
      <w:pPr>
        <w:tabs>
          <w:tab w:val="num" w:pos="1800"/>
        </w:tabs>
        <w:ind w:left="1800" w:hanging="360"/>
      </w:pPr>
    </w:lvl>
  </w:abstractNum>
  <w:abstractNum w:abstractNumId="1">
    <w:nsid w:val="FFFFFF7D"/>
    <w:multiLevelType w:val="singleLevel"/>
    <w:tmpl w:val="4A32ED52"/>
    <w:lvl w:ilvl="0">
      <w:start w:val="1"/>
      <w:numFmt w:val="decimal"/>
      <w:lvlText w:val="%1."/>
      <w:lvlJc w:val="left"/>
      <w:pPr>
        <w:tabs>
          <w:tab w:val="num" w:pos="1440"/>
        </w:tabs>
        <w:ind w:left="1440" w:hanging="360"/>
      </w:pPr>
    </w:lvl>
  </w:abstractNum>
  <w:abstractNum w:abstractNumId="2">
    <w:nsid w:val="FFFFFF7E"/>
    <w:multiLevelType w:val="singleLevel"/>
    <w:tmpl w:val="38A442A0"/>
    <w:lvl w:ilvl="0">
      <w:start w:val="1"/>
      <w:numFmt w:val="decimal"/>
      <w:lvlText w:val="%1."/>
      <w:lvlJc w:val="left"/>
      <w:pPr>
        <w:tabs>
          <w:tab w:val="num" w:pos="1080"/>
        </w:tabs>
        <w:ind w:left="1080" w:hanging="360"/>
      </w:pPr>
    </w:lvl>
  </w:abstractNum>
  <w:abstractNum w:abstractNumId="3">
    <w:nsid w:val="FFFFFF7F"/>
    <w:multiLevelType w:val="singleLevel"/>
    <w:tmpl w:val="AB1615A8"/>
    <w:lvl w:ilvl="0">
      <w:start w:val="1"/>
      <w:numFmt w:val="decimal"/>
      <w:lvlText w:val="%1."/>
      <w:lvlJc w:val="left"/>
      <w:pPr>
        <w:tabs>
          <w:tab w:val="num" w:pos="720"/>
        </w:tabs>
        <w:ind w:left="720" w:hanging="360"/>
      </w:pPr>
    </w:lvl>
  </w:abstractNum>
  <w:abstractNum w:abstractNumId="4">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nsid w:val="FFFFFF88"/>
    <w:multiLevelType w:val="singleLevel"/>
    <w:tmpl w:val="2E06EADA"/>
    <w:lvl w:ilvl="0">
      <w:start w:val="1"/>
      <w:numFmt w:val="decimal"/>
      <w:lvlText w:val="%1."/>
      <w:lvlJc w:val="left"/>
      <w:pPr>
        <w:tabs>
          <w:tab w:val="num" w:pos="360"/>
        </w:tabs>
        <w:ind w:left="360" w:hanging="360"/>
      </w:pPr>
    </w:lvl>
  </w:abstractNum>
  <w:abstractNum w:abstractNumId="9">
    <w:nsid w:val="FFFFFF89"/>
    <w:multiLevelType w:val="singleLevel"/>
    <w:tmpl w:val="924E2B28"/>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nsid w:val="006B3CCA"/>
    <w:multiLevelType w:val="hybridMultilevel"/>
    <w:tmpl w:val="81B46D00"/>
    <w:lvl w:ilvl="0">
      <w:start w:val="1"/>
      <w:numFmt w:val="bullet"/>
      <w:lvlText w:val=""/>
      <w:lvlJc w:val="left"/>
      <w:pPr>
        <w:ind w:left="1102" w:hanging="272"/>
      </w:pPr>
      <w:rPr>
        <w:rFonts w:ascii="Symbol" w:eastAsia="Symbol" w:hAnsi="Symbol" w:hint="default"/>
        <w:sz w:val="16"/>
        <w:szCs w:val="16"/>
      </w:rPr>
    </w:lvl>
    <w:lvl w:ilvl="1">
      <w:start w:val="1"/>
      <w:numFmt w:val="bullet"/>
      <w:lvlText w:val="•"/>
      <w:lvlJc w:val="left"/>
      <w:pPr>
        <w:ind w:left="1958" w:hanging="272"/>
      </w:pPr>
      <w:rPr>
        <w:rFonts w:hint="default"/>
      </w:rPr>
    </w:lvl>
    <w:lvl w:ilvl="2">
      <w:start w:val="1"/>
      <w:numFmt w:val="bullet"/>
      <w:lvlText w:val="•"/>
      <w:lvlJc w:val="left"/>
      <w:pPr>
        <w:ind w:left="2813" w:hanging="272"/>
      </w:pPr>
      <w:rPr>
        <w:rFonts w:hint="default"/>
      </w:rPr>
    </w:lvl>
    <w:lvl w:ilvl="3">
      <w:start w:val="1"/>
      <w:numFmt w:val="bullet"/>
      <w:lvlText w:val="•"/>
      <w:lvlJc w:val="left"/>
      <w:pPr>
        <w:ind w:left="3669" w:hanging="272"/>
      </w:pPr>
      <w:rPr>
        <w:rFonts w:hint="default"/>
      </w:rPr>
    </w:lvl>
    <w:lvl w:ilvl="4">
      <w:start w:val="1"/>
      <w:numFmt w:val="bullet"/>
      <w:lvlText w:val="•"/>
      <w:lvlJc w:val="left"/>
      <w:pPr>
        <w:ind w:left="4525" w:hanging="272"/>
      </w:pPr>
      <w:rPr>
        <w:rFonts w:hint="default"/>
      </w:rPr>
    </w:lvl>
    <w:lvl w:ilvl="5">
      <w:start w:val="1"/>
      <w:numFmt w:val="bullet"/>
      <w:lvlText w:val="•"/>
      <w:lvlJc w:val="left"/>
      <w:pPr>
        <w:ind w:left="5381" w:hanging="272"/>
      </w:pPr>
      <w:rPr>
        <w:rFonts w:hint="default"/>
      </w:rPr>
    </w:lvl>
    <w:lvl w:ilvl="6">
      <w:start w:val="1"/>
      <w:numFmt w:val="bullet"/>
      <w:lvlText w:val="•"/>
      <w:lvlJc w:val="left"/>
      <w:pPr>
        <w:ind w:left="6236" w:hanging="272"/>
      </w:pPr>
      <w:rPr>
        <w:rFonts w:hint="default"/>
      </w:rPr>
    </w:lvl>
    <w:lvl w:ilvl="7">
      <w:start w:val="1"/>
      <w:numFmt w:val="bullet"/>
      <w:lvlText w:val="•"/>
      <w:lvlJc w:val="left"/>
      <w:pPr>
        <w:ind w:left="7092" w:hanging="272"/>
      </w:pPr>
      <w:rPr>
        <w:rFonts w:hint="default"/>
      </w:rPr>
    </w:lvl>
    <w:lvl w:ilvl="8">
      <w:start w:val="1"/>
      <w:numFmt w:val="bullet"/>
      <w:lvlText w:val="•"/>
      <w:lvlJc w:val="left"/>
      <w:pPr>
        <w:ind w:left="7948" w:hanging="272"/>
      </w:pPr>
      <w:rPr>
        <w:rFonts w:hint="default"/>
      </w:rPr>
    </w:lvl>
  </w:abstractNum>
  <w:abstractNum w:abstractNumId="12">
    <w:nsid w:val="0A466379"/>
    <w:multiLevelType w:val="hybridMultilevel"/>
    <w:tmpl w:val="BEE85B8A"/>
    <w:lvl w:ilvl="0">
      <w:start w:val="1"/>
      <w:numFmt w:val="decimal"/>
      <w:lvlText w:val="(%1)"/>
      <w:lvlJc w:val="left"/>
      <w:pPr>
        <w:ind w:left="191" w:hanging="339"/>
      </w:pPr>
      <w:rPr>
        <w:rFonts w:ascii="Times New Roman" w:eastAsia="Times New Roman" w:hAnsi="Times New Roman" w:hint="default"/>
        <w:spacing w:val="-1"/>
        <w:sz w:val="24"/>
        <w:szCs w:val="24"/>
      </w:rPr>
    </w:lvl>
    <w:lvl w:ilvl="1">
      <w:start w:val="1"/>
      <w:numFmt w:val="bullet"/>
      <w:lvlText w:val=""/>
      <w:lvlJc w:val="left"/>
      <w:pPr>
        <w:ind w:left="1271" w:hanging="360"/>
      </w:pPr>
      <w:rPr>
        <w:rFonts w:ascii="Symbol" w:hAnsi="Symbol" w:hint="default"/>
        <w:sz w:val="22"/>
        <w:szCs w:val="22"/>
      </w:rPr>
    </w:lvl>
    <w:lvl w:ilvl="2">
      <w:start w:val="1"/>
      <w:numFmt w:val="bullet"/>
      <w:lvlText w:val="•"/>
      <w:lvlJc w:val="left"/>
      <w:pPr>
        <w:ind w:left="2212" w:hanging="360"/>
      </w:pPr>
      <w:rPr>
        <w:rFonts w:hint="default"/>
      </w:rPr>
    </w:lvl>
    <w:lvl w:ilvl="3">
      <w:start w:val="1"/>
      <w:numFmt w:val="bullet"/>
      <w:lvlText w:val="•"/>
      <w:lvlJc w:val="left"/>
      <w:pPr>
        <w:ind w:left="3153" w:hanging="360"/>
      </w:pPr>
      <w:rPr>
        <w:rFonts w:hint="default"/>
      </w:rPr>
    </w:lvl>
    <w:lvl w:ilvl="4">
      <w:start w:val="1"/>
      <w:numFmt w:val="bullet"/>
      <w:lvlText w:val="•"/>
      <w:lvlJc w:val="left"/>
      <w:pPr>
        <w:ind w:left="4094"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858" w:hanging="360"/>
      </w:pPr>
      <w:rPr>
        <w:rFonts w:hint="default"/>
      </w:rPr>
    </w:lvl>
  </w:abstractNum>
  <w:abstractNum w:abstractNumId="13">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nsid w:val="0F747B30"/>
    <w:multiLevelType w:val="hybridMultilevel"/>
    <w:tmpl w:val="73760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93027E"/>
    <w:multiLevelType w:val="hybridMultilevel"/>
    <w:tmpl w:val="784C81EC"/>
    <w:lvl w:ilvl="0">
      <w:start w:val="1"/>
      <w:numFmt w:val="bullet"/>
      <w:lvlText w:val=""/>
      <w:lvlJc w:val="left"/>
      <w:pPr>
        <w:ind w:left="851" w:hanging="360"/>
      </w:pPr>
      <w:rPr>
        <w:rFonts w:ascii="Symbol" w:hAnsi="Symbol" w:hint="default"/>
      </w:rPr>
    </w:lvl>
    <w:lvl w:ilvl="1" w:tentative="1">
      <w:start w:val="1"/>
      <w:numFmt w:val="bullet"/>
      <w:lvlText w:val="o"/>
      <w:lvlJc w:val="left"/>
      <w:pPr>
        <w:ind w:left="1571" w:hanging="360"/>
      </w:pPr>
      <w:rPr>
        <w:rFonts w:ascii="Courier New" w:hAnsi="Courier New" w:cs="Courier New" w:hint="default"/>
      </w:rPr>
    </w:lvl>
    <w:lvl w:ilvl="2" w:tentative="1">
      <w:start w:val="1"/>
      <w:numFmt w:val="bullet"/>
      <w:lvlText w:val=""/>
      <w:lvlJc w:val="left"/>
      <w:pPr>
        <w:ind w:left="2291" w:hanging="360"/>
      </w:pPr>
      <w:rPr>
        <w:rFonts w:ascii="Wingdings" w:hAnsi="Wingdings" w:hint="default"/>
      </w:rPr>
    </w:lvl>
    <w:lvl w:ilvl="3" w:tentative="1">
      <w:start w:val="1"/>
      <w:numFmt w:val="bullet"/>
      <w:lvlText w:val=""/>
      <w:lvlJc w:val="left"/>
      <w:pPr>
        <w:ind w:left="3011" w:hanging="360"/>
      </w:pPr>
      <w:rPr>
        <w:rFonts w:ascii="Symbol" w:hAnsi="Symbol" w:hint="default"/>
      </w:rPr>
    </w:lvl>
    <w:lvl w:ilvl="4" w:tentative="1">
      <w:start w:val="1"/>
      <w:numFmt w:val="bullet"/>
      <w:lvlText w:val="o"/>
      <w:lvlJc w:val="left"/>
      <w:pPr>
        <w:ind w:left="3731" w:hanging="360"/>
      </w:pPr>
      <w:rPr>
        <w:rFonts w:ascii="Courier New" w:hAnsi="Courier New" w:cs="Courier New" w:hint="default"/>
      </w:rPr>
    </w:lvl>
    <w:lvl w:ilvl="5" w:tentative="1">
      <w:start w:val="1"/>
      <w:numFmt w:val="bullet"/>
      <w:lvlText w:val=""/>
      <w:lvlJc w:val="left"/>
      <w:pPr>
        <w:ind w:left="4451" w:hanging="360"/>
      </w:pPr>
      <w:rPr>
        <w:rFonts w:ascii="Wingdings" w:hAnsi="Wingdings" w:hint="default"/>
      </w:rPr>
    </w:lvl>
    <w:lvl w:ilvl="6" w:tentative="1">
      <w:start w:val="1"/>
      <w:numFmt w:val="bullet"/>
      <w:lvlText w:val=""/>
      <w:lvlJc w:val="left"/>
      <w:pPr>
        <w:ind w:left="5171" w:hanging="360"/>
      </w:pPr>
      <w:rPr>
        <w:rFonts w:ascii="Symbol" w:hAnsi="Symbol" w:hint="default"/>
      </w:rPr>
    </w:lvl>
    <w:lvl w:ilvl="7" w:tentative="1">
      <w:start w:val="1"/>
      <w:numFmt w:val="bullet"/>
      <w:lvlText w:val="o"/>
      <w:lvlJc w:val="left"/>
      <w:pPr>
        <w:ind w:left="5891" w:hanging="360"/>
      </w:pPr>
      <w:rPr>
        <w:rFonts w:ascii="Courier New" w:hAnsi="Courier New" w:cs="Courier New" w:hint="default"/>
      </w:rPr>
    </w:lvl>
    <w:lvl w:ilvl="8" w:tentative="1">
      <w:start w:val="1"/>
      <w:numFmt w:val="bullet"/>
      <w:lvlText w:val=""/>
      <w:lvlJc w:val="left"/>
      <w:pPr>
        <w:ind w:left="6611" w:hanging="360"/>
      </w:pPr>
      <w:rPr>
        <w:rFonts w:ascii="Wingdings" w:hAnsi="Wingdings" w:hint="default"/>
      </w:rPr>
    </w:lvl>
  </w:abstractNum>
  <w:abstractNum w:abstractNumId="17">
    <w:nsid w:val="149D0679"/>
    <w:multiLevelType w:val="hybridMultilevel"/>
    <w:tmpl w:val="AB9ABE50"/>
    <w:lvl w:ilvl="0">
      <w:start w:val="1"/>
      <w:numFmt w:val="bullet"/>
      <w:lvlText w:val=""/>
      <w:lvlJc w:val="left"/>
      <w:pPr>
        <w:ind w:left="459" w:hanging="360"/>
      </w:pPr>
      <w:rPr>
        <w:rFonts w:ascii="Symbol" w:hAnsi="Symbol" w:hint="default"/>
        <w:sz w:val="22"/>
        <w:szCs w:val="22"/>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621" w:hanging="360"/>
      </w:pPr>
      <w:rPr>
        <w:rFonts w:hint="default"/>
      </w:rPr>
    </w:lvl>
    <w:lvl w:ilvl="4">
      <w:start w:val="1"/>
      <w:numFmt w:val="bullet"/>
      <w:lvlText w:val="•"/>
      <w:lvlJc w:val="left"/>
      <w:pPr>
        <w:ind w:left="3522" w:hanging="360"/>
      </w:pPr>
      <w:rPr>
        <w:rFonts w:hint="default"/>
      </w:rPr>
    </w:lvl>
    <w:lvl w:ilvl="5">
      <w:start w:val="1"/>
      <w:numFmt w:val="bullet"/>
      <w:lvlText w:val="•"/>
      <w:lvlJc w:val="left"/>
      <w:pPr>
        <w:ind w:left="4423" w:hanging="360"/>
      </w:pPr>
      <w:rPr>
        <w:rFonts w:hint="default"/>
      </w:rPr>
    </w:lvl>
    <w:lvl w:ilvl="6">
      <w:start w:val="1"/>
      <w:numFmt w:val="bullet"/>
      <w:lvlText w:val="•"/>
      <w:lvlJc w:val="left"/>
      <w:pPr>
        <w:ind w:left="5324"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126" w:hanging="360"/>
      </w:pPr>
      <w:rPr>
        <w:rFonts w:hint="default"/>
      </w:rPr>
    </w:lvl>
  </w:abstractNum>
  <w:abstractNum w:abstractNumId="18">
    <w:nsid w:val="19E22497"/>
    <w:multiLevelType w:val="multilevel"/>
    <w:tmpl w:val="5FEEAF80"/>
    <w:numStyleLink w:val="Exhibits"/>
  </w:abstractNum>
  <w:abstractNum w:abstractNumId="19">
    <w:nsid w:val="1BC748A9"/>
    <w:multiLevelType w:val="hybridMultilevel"/>
    <w:tmpl w:val="8384E982"/>
    <w:lvl w:ilvl="0">
      <w:start w:val="1"/>
      <w:numFmt w:val="bullet"/>
      <w:lvlText w:val="•"/>
      <w:lvlJc w:val="left"/>
      <w:pPr>
        <w:ind w:left="540" w:hanging="360"/>
      </w:pPr>
      <w:rPr>
        <w:rFonts w:ascii="Times New Roman" w:eastAsia="Times New Roman" w:hAnsi="Times New Roman" w:hint="default"/>
        <w:sz w:val="22"/>
        <w:szCs w:val="22"/>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0">
    <w:nsid w:val="1D615C1D"/>
    <w:multiLevelType w:val="hybridMultilevel"/>
    <w:tmpl w:val="09F45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3C14E2"/>
    <w:multiLevelType w:val="hybridMultilevel"/>
    <w:tmpl w:val="F8DCD4E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F075CD2"/>
    <w:multiLevelType w:val="hybridMultilevel"/>
    <w:tmpl w:val="6A34E4A6"/>
    <w:lvl w:ilvl="0">
      <w:start w:val="1"/>
      <w:numFmt w:val="bullet"/>
      <w:lvlText w:val="•"/>
      <w:lvlJc w:val="left"/>
      <w:pPr>
        <w:ind w:left="1291" w:hanging="360"/>
      </w:pPr>
      <w:rPr>
        <w:rFonts w:ascii="Times New Roman" w:eastAsia="Times New Roman" w:hAnsi="Times New Roman" w:hint="default"/>
        <w:sz w:val="22"/>
        <w:szCs w:val="22"/>
      </w:rPr>
    </w:lvl>
    <w:lvl w:ilvl="1">
      <w:start w:val="1"/>
      <w:numFmt w:val="bullet"/>
      <w:lvlText w:val="•"/>
      <w:lvlJc w:val="left"/>
      <w:pPr>
        <w:ind w:left="2150" w:hanging="360"/>
      </w:pPr>
      <w:rPr>
        <w:rFonts w:hint="default"/>
      </w:rPr>
    </w:lvl>
    <w:lvl w:ilvl="2">
      <w:start w:val="1"/>
      <w:numFmt w:val="bullet"/>
      <w:lvlText w:val="•"/>
      <w:lvlJc w:val="left"/>
      <w:pPr>
        <w:ind w:left="3008" w:hanging="360"/>
      </w:pPr>
      <w:rPr>
        <w:rFonts w:hint="default"/>
      </w:rPr>
    </w:lvl>
    <w:lvl w:ilvl="3">
      <w:start w:val="1"/>
      <w:numFmt w:val="bullet"/>
      <w:lvlText w:val="•"/>
      <w:lvlJc w:val="left"/>
      <w:pPr>
        <w:ind w:left="3867" w:hanging="360"/>
      </w:pPr>
      <w:rPr>
        <w:rFonts w:hint="default"/>
      </w:rPr>
    </w:lvl>
    <w:lvl w:ilvl="4">
      <w:start w:val="1"/>
      <w:numFmt w:val="bullet"/>
      <w:lvlText w:val="•"/>
      <w:lvlJc w:val="left"/>
      <w:pPr>
        <w:ind w:left="4726" w:hanging="360"/>
      </w:pPr>
      <w:rPr>
        <w:rFonts w:hint="default"/>
      </w:rPr>
    </w:lvl>
    <w:lvl w:ilvl="5">
      <w:start w:val="1"/>
      <w:numFmt w:val="bullet"/>
      <w:lvlText w:val="•"/>
      <w:lvlJc w:val="left"/>
      <w:pPr>
        <w:ind w:left="5585" w:hanging="360"/>
      </w:pPr>
      <w:rPr>
        <w:rFonts w:hint="default"/>
      </w:rPr>
    </w:lvl>
    <w:lvl w:ilvl="6">
      <w:start w:val="1"/>
      <w:numFmt w:val="bullet"/>
      <w:lvlText w:val="•"/>
      <w:lvlJc w:val="left"/>
      <w:pPr>
        <w:ind w:left="6444" w:hanging="360"/>
      </w:pPr>
      <w:rPr>
        <w:rFonts w:hint="default"/>
      </w:rPr>
    </w:lvl>
    <w:lvl w:ilvl="7">
      <w:start w:val="1"/>
      <w:numFmt w:val="bullet"/>
      <w:lvlText w:val="•"/>
      <w:lvlJc w:val="left"/>
      <w:pPr>
        <w:ind w:left="7303" w:hanging="360"/>
      </w:pPr>
      <w:rPr>
        <w:rFonts w:hint="default"/>
      </w:rPr>
    </w:lvl>
    <w:lvl w:ilvl="8">
      <w:start w:val="1"/>
      <w:numFmt w:val="bullet"/>
      <w:lvlText w:val="•"/>
      <w:lvlJc w:val="left"/>
      <w:pPr>
        <w:ind w:left="8162" w:hanging="360"/>
      </w:pPr>
      <w:rPr>
        <w:rFonts w:hint="default"/>
      </w:rPr>
    </w:lvl>
  </w:abstractNum>
  <w:abstractNum w:abstractNumId="24">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nsid w:val="31036FD4"/>
    <w:multiLevelType w:val="hybridMultilevel"/>
    <w:tmpl w:val="570832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5055214"/>
    <w:multiLevelType w:val="hybridMultilevel"/>
    <w:tmpl w:val="2B70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28">
    <w:nsid w:val="3E0A4A2D"/>
    <w:multiLevelType w:val="hybridMultilevel"/>
    <w:tmpl w:val="A98E5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1">
    <w:nsid w:val="426A2E01"/>
    <w:multiLevelType w:val="hybridMultilevel"/>
    <w:tmpl w:val="4DEA592C"/>
    <w:lvl w:ilvl="0">
      <w:start w:val="1"/>
      <w:numFmt w:val="bullet"/>
      <w:lvlText w:val=""/>
      <w:lvlJc w:val="left"/>
      <w:pPr>
        <w:ind w:left="459" w:hanging="360"/>
      </w:pPr>
      <w:rPr>
        <w:rFonts w:ascii="Symbol" w:hAnsi="Symbol" w:hint="default"/>
        <w:sz w:val="22"/>
        <w:szCs w:val="22"/>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621" w:hanging="360"/>
      </w:pPr>
      <w:rPr>
        <w:rFonts w:hint="default"/>
      </w:rPr>
    </w:lvl>
    <w:lvl w:ilvl="4">
      <w:start w:val="1"/>
      <w:numFmt w:val="bullet"/>
      <w:lvlText w:val="•"/>
      <w:lvlJc w:val="left"/>
      <w:pPr>
        <w:ind w:left="3522" w:hanging="360"/>
      </w:pPr>
      <w:rPr>
        <w:rFonts w:hint="default"/>
      </w:rPr>
    </w:lvl>
    <w:lvl w:ilvl="5">
      <w:start w:val="1"/>
      <w:numFmt w:val="bullet"/>
      <w:lvlText w:val="•"/>
      <w:lvlJc w:val="left"/>
      <w:pPr>
        <w:ind w:left="4423" w:hanging="360"/>
      </w:pPr>
      <w:rPr>
        <w:rFonts w:hint="default"/>
      </w:rPr>
    </w:lvl>
    <w:lvl w:ilvl="6">
      <w:start w:val="1"/>
      <w:numFmt w:val="bullet"/>
      <w:lvlText w:val="•"/>
      <w:lvlJc w:val="left"/>
      <w:pPr>
        <w:ind w:left="5324"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126" w:hanging="360"/>
      </w:pPr>
      <w:rPr>
        <w:rFonts w:hint="default"/>
      </w:rPr>
    </w:lvl>
  </w:abstractNum>
  <w:abstractNum w:abstractNumId="32">
    <w:nsid w:val="42D94DD0"/>
    <w:multiLevelType w:val="hybridMultilevel"/>
    <w:tmpl w:val="65BC5FC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54B7FD4"/>
    <w:multiLevelType w:val="hybridMultilevel"/>
    <w:tmpl w:val="8448661A"/>
    <w:lvl w:ilvl="0">
      <w:start w:val="1"/>
      <w:numFmt w:val="decimal"/>
      <w:lvlText w:val="(%1)"/>
      <w:lvlJc w:val="left"/>
      <w:pPr>
        <w:ind w:left="191" w:hanging="339"/>
      </w:pPr>
      <w:rPr>
        <w:rFonts w:ascii="Times New Roman" w:eastAsia="Times New Roman" w:hAnsi="Times New Roman" w:hint="default"/>
        <w:spacing w:val="-1"/>
        <w:sz w:val="24"/>
        <w:szCs w:val="24"/>
      </w:rPr>
    </w:lvl>
    <w:lvl w:ilvl="1">
      <w:start w:val="1"/>
      <w:numFmt w:val="bullet"/>
      <w:lvlText w:val="•"/>
      <w:lvlJc w:val="left"/>
      <w:pPr>
        <w:ind w:left="1271" w:hanging="360"/>
      </w:pPr>
      <w:rPr>
        <w:rFonts w:ascii="Times New Roman" w:eastAsia="Times New Roman" w:hAnsi="Times New Roman" w:hint="default"/>
        <w:sz w:val="22"/>
        <w:szCs w:val="22"/>
      </w:rPr>
    </w:lvl>
    <w:lvl w:ilvl="2">
      <w:start w:val="1"/>
      <w:numFmt w:val="bullet"/>
      <w:lvlText w:val="•"/>
      <w:lvlJc w:val="left"/>
      <w:pPr>
        <w:ind w:left="2212" w:hanging="360"/>
      </w:pPr>
      <w:rPr>
        <w:rFonts w:hint="default"/>
      </w:rPr>
    </w:lvl>
    <w:lvl w:ilvl="3">
      <w:start w:val="1"/>
      <w:numFmt w:val="bullet"/>
      <w:lvlText w:val="•"/>
      <w:lvlJc w:val="left"/>
      <w:pPr>
        <w:ind w:left="3153" w:hanging="360"/>
      </w:pPr>
      <w:rPr>
        <w:rFonts w:hint="default"/>
      </w:rPr>
    </w:lvl>
    <w:lvl w:ilvl="4">
      <w:start w:val="1"/>
      <w:numFmt w:val="bullet"/>
      <w:lvlText w:val="•"/>
      <w:lvlJc w:val="left"/>
      <w:pPr>
        <w:ind w:left="4094"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858" w:hanging="360"/>
      </w:pPr>
      <w:rPr>
        <w:rFonts w:hint="default"/>
      </w:rPr>
    </w:lvl>
  </w:abstractNum>
  <w:abstractNum w:abstractNumId="34">
    <w:nsid w:val="46B54E4E"/>
    <w:multiLevelType w:val="hybridMultilevel"/>
    <w:tmpl w:val="A4DE4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5C1E73"/>
    <w:multiLevelType w:val="hybridMultilevel"/>
    <w:tmpl w:val="CBB22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B9A0673"/>
    <w:multiLevelType w:val="hybridMultilevel"/>
    <w:tmpl w:val="80AA791E"/>
    <w:lvl w:ilvl="0">
      <w:start w:val="1"/>
      <w:numFmt w:val="bullet"/>
      <w:lvlText w:val=""/>
      <w:lvlJc w:val="left"/>
      <w:pPr>
        <w:ind w:left="1551" w:hanging="360"/>
      </w:pPr>
      <w:rPr>
        <w:rFonts w:ascii="Symbol" w:hAnsi="Symbol" w:hint="default"/>
      </w:rPr>
    </w:lvl>
    <w:lvl w:ilvl="1" w:tentative="1">
      <w:start w:val="1"/>
      <w:numFmt w:val="bullet"/>
      <w:lvlText w:val="o"/>
      <w:lvlJc w:val="left"/>
      <w:pPr>
        <w:ind w:left="2271" w:hanging="360"/>
      </w:pPr>
      <w:rPr>
        <w:rFonts w:ascii="Courier New" w:hAnsi="Courier New" w:cs="Courier New" w:hint="default"/>
      </w:rPr>
    </w:lvl>
    <w:lvl w:ilvl="2" w:tentative="1">
      <w:start w:val="1"/>
      <w:numFmt w:val="bullet"/>
      <w:lvlText w:val=""/>
      <w:lvlJc w:val="left"/>
      <w:pPr>
        <w:ind w:left="2991" w:hanging="360"/>
      </w:pPr>
      <w:rPr>
        <w:rFonts w:ascii="Wingdings" w:hAnsi="Wingdings" w:hint="default"/>
      </w:rPr>
    </w:lvl>
    <w:lvl w:ilvl="3" w:tentative="1">
      <w:start w:val="1"/>
      <w:numFmt w:val="bullet"/>
      <w:lvlText w:val=""/>
      <w:lvlJc w:val="left"/>
      <w:pPr>
        <w:ind w:left="3711" w:hanging="360"/>
      </w:pPr>
      <w:rPr>
        <w:rFonts w:ascii="Symbol" w:hAnsi="Symbol" w:hint="default"/>
      </w:rPr>
    </w:lvl>
    <w:lvl w:ilvl="4" w:tentative="1">
      <w:start w:val="1"/>
      <w:numFmt w:val="bullet"/>
      <w:lvlText w:val="o"/>
      <w:lvlJc w:val="left"/>
      <w:pPr>
        <w:ind w:left="4431" w:hanging="360"/>
      </w:pPr>
      <w:rPr>
        <w:rFonts w:ascii="Courier New" w:hAnsi="Courier New" w:cs="Courier New" w:hint="default"/>
      </w:rPr>
    </w:lvl>
    <w:lvl w:ilvl="5" w:tentative="1">
      <w:start w:val="1"/>
      <w:numFmt w:val="bullet"/>
      <w:lvlText w:val=""/>
      <w:lvlJc w:val="left"/>
      <w:pPr>
        <w:ind w:left="5151" w:hanging="360"/>
      </w:pPr>
      <w:rPr>
        <w:rFonts w:ascii="Wingdings" w:hAnsi="Wingdings" w:hint="default"/>
      </w:rPr>
    </w:lvl>
    <w:lvl w:ilvl="6" w:tentative="1">
      <w:start w:val="1"/>
      <w:numFmt w:val="bullet"/>
      <w:lvlText w:val=""/>
      <w:lvlJc w:val="left"/>
      <w:pPr>
        <w:ind w:left="5871" w:hanging="360"/>
      </w:pPr>
      <w:rPr>
        <w:rFonts w:ascii="Symbol" w:hAnsi="Symbol" w:hint="default"/>
      </w:rPr>
    </w:lvl>
    <w:lvl w:ilvl="7" w:tentative="1">
      <w:start w:val="1"/>
      <w:numFmt w:val="bullet"/>
      <w:lvlText w:val="o"/>
      <w:lvlJc w:val="left"/>
      <w:pPr>
        <w:ind w:left="6591" w:hanging="360"/>
      </w:pPr>
      <w:rPr>
        <w:rFonts w:ascii="Courier New" w:hAnsi="Courier New" w:cs="Courier New" w:hint="default"/>
      </w:rPr>
    </w:lvl>
    <w:lvl w:ilvl="8" w:tentative="1">
      <w:start w:val="1"/>
      <w:numFmt w:val="bullet"/>
      <w:lvlText w:val=""/>
      <w:lvlJc w:val="left"/>
      <w:pPr>
        <w:ind w:left="7311" w:hanging="360"/>
      </w:pPr>
      <w:rPr>
        <w:rFonts w:ascii="Wingdings" w:hAnsi="Wingdings" w:hint="default"/>
      </w:rPr>
    </w:lvl>
  </w:abstractNum>
  <w:abstractNum w:abstractNumId="37">
    <w:nsid w:val="4CA63229"/>
    <w:multiLevelType w:val="hybridMultilevel"/>
    <w:tmpl w:val="1ECE2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39">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0">
    <w:nsid w:val="54C41EB5"/>
    <w:multiLevelType w:val="multilevel"/>
    <w:tmpl w:val="5FEEAF80"/>
    <w:numStyleLink w:val="Exhibits"/>
  </w:abstractNum>
  <w:abstractNum w:abstractNumId="41">
    <w:nsid w:val="570527C0"/>
    <w:multiLevelType w:val="multilevel"/>
    <w:tmpl w:val="776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4B7792"/>
    <w:multiLevelType w:val="hybridMultilevel"/>
    <w:tmpl w:val="1A14C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C545DEF"/>
    <w:multiLevelType w:val="hybridMultilevel"/>
    <w:tmpl w:val="AE267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FF03DF7"/>
    <w:multiLevelType w:val="hybridMultilevel"/>
    <w:tmpl w:val="C142AB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27E576A"/>
    <w:multiLevelType w:val="hybridMultilevel"/>
    <w:tmpl w:val="746CD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7">
    <w:nsid w:val="6640024E"/>
    <w:multiLevelType w:val="hybridMultilevel"/>
    <w:tmpl w:val="2E1C354A"/>
    <w:lvl w:ilvl="0">
      <w:start w:val="1"/>
      <w:numFmt w:val="bullet"/>
      <w:lvlText w:val=""/>
      <w:lvlJc w:val="left"/>
      <w:pPr>
        <w:ind w:left="1551" w:hanging="360"/>
      </w:pPr>
      <w:rPr>
        <w:rFonts w:ascii="Symbol" w:hAnsi="Symbol" w:hint="default"/>
      </w:rPr>
    </w:lvl>
    <w:lvl w:ilvl="1" w:tentative="1">
      <w:start w:val="1"/>
      <w:numFmt w:val="bullet"/>
      <w:lvlText w:val="o"/>
      <w:lvlJc w:val="left"/>
      <w:pPr>
        <w:ind w:left="2271" w:hanging="360"/>
      </w:pPr>
      <w:rPr>
        <w:rFonts w:ascii="Courier New" w:hAnsi="Courier New" w:cs="Courier New" w:hint="default"/>
      </w:rPr>
    </w:lvl>
    <w:lvl w:ilvl="2" w:tentative="1">
      <w:start w:val="1"/>
      <w:numFmt w:val="bullet"/>
      <w:lvlText w:val=""/>
      <w:lvlJc w:val="left"/>
      <w:pPr>
        <w:ind w:left="2991" w:hanging="360"/>
      </w:pPr>
      <w:rPr>
        <w:rFonts w:ascii="Wingdings" w:hAnsi="Wingdings" w:hint="default"/>
      </w:rPr>
    </w:lvl>
    <w:lvl w:ilvl="3" w:tentative="1">
      <w:start w:val="1"/>
      <w:numFmt w:val="bullet"/>
      <w:lvlText w:val=""/>
      <w:lvlJc w:val="left"/>
      <w:pPr>
        <w:ind w:left="3711" w:hanging="360"/>
      </w:pPr>
      <w:rPr>
        <w:rFonts w:ascii="Symbol" w:hAnsi="Symbol" w:hint="default"/>
      </w:rPr>
    </w:lvl>
    <w:lvl w:ilvl="4" w:tentative="1">
      <w:start w:val="1"/>
      <w:numFmt w:val="bullet"/>
      <w:lvlText w:val="o"/>
      <w:lvlJc w:val="left"/>
      <w:pPr>
        <w:ind w:left="4431" w:hanging="360"/>
      </w:pPr>
      <w:rPr>
        <w:rFonts w:ascii="Courier New" w:hAnsi="Courier New" w:cs="Courier New" w:hint="default"/>
      </w:rPr>
    </w:lvl>
    <w:lvl w:ilvl="5" w:tentative="1">
      <w:start w:val="1"/>
      <w:numFmt w:val="bullet"/>
      <w:lvlText w:val=""/>
      <w:lvlJc w:val="left"/>
      <w:pPr>
        <w:ind w:left="5151" w:hanging="360"/>
      </w:pPr>
      <w:rPr>
        <w:rFonts w:ascii="Wingdings" w:hAnsi="Wingdings" w:hint="default"/>
      </w:rPr>
    </w:lvl>
    <w:lvl w:ilvl="6" w:tentative="1">
      <w:start w:val="1"/>
      <w:numFmt w:val="bullet"/>
      <w:lvlText w:val=""/>
      <w:lvlJc w:val="left"/>
      <w:pPr>
        <w:ind w:left="5871" w:hanging="360"/>
      </w:pPr>
      <w:rPr>
        <w:rFonts w:ascii="Symbol" w:hAnsi="Symbol" w:hint="default"/>
      </w:rPr>
    </w:lvl>
    <w:lvl w:ilvl="7" w:tentative="1">
      <w:start w:val="1"/>
      <w:numFmt w:val="bullet"/>
      <w:lvlText w:val="o"/>
      <w:lvlJc w:val="left"/>
      <w:pPr>
        <w:ind w:left="6591" w:hanging="360"/>
      </w:pPr>
      <w:rPr>
        <w:rFonts w:ascii="Courier New" w:hAnsi="Courier New" w:cs="Courier New" w:hint="default"/>
      </w:rPr>
    </w:lvl>
    <w:lvl w:ilvl="8" w:tentative="1">
      <w:start w:val="1"/>
      <w:numFmt w:val="bullet"/>
      <w:lvlText w:val=""/>
      <w:lvlJc w:val="left"/>
      <w:pPr>
        <w:ind w:left="7311" w:hanging="360"/>
      </w:pPr>
      <w:rPr>
        <w:rFonts w:ascii="Wingdings" w:hAnsi="Wingdings" w:hint="default"/>
      </w:rPr>
    </w:lvl>
  </w:abstractNum>
  <w:abstractNum w:abstractNumId="48">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49">
    <w:nsid w:val="778A4A77"/>
    <w:multiLevelType w:val="hybridMultilevel"/>
    <w:tmpl w:val="E3F4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16cid:durableId="354424177">
    <w:abstractNumId w:val="29"/>
  </w:num>
  <w:num w:numId="2" w16cid:durableId="1702240392">
    <w:abstractNumId w:val="17"/>
  </w:num>
  <w:num w:numId="3" w16cid:durableId="1809663035">
    <w:abstractNumId w:val="31"/>
  </w:num>
  <w:num w:numId="4" w16cid:durableId="1532108567">
    <w:abstractNumId w:val="48"/>
  </w:num>
  <w:num w:numId="5" w16cid:durableId="1757706037">
    <w:abstractNumId w:val="33"/>
  </w:num>
  <w:num w:numId="6" w16cid:durableId="1588463086">
    <w:abstractNumId w:val="50"/>
  </w:num>
  <w:num w:numId="7" w16cid:durableId="1457915173">
    <w:abstractNumId w:val="13"/>
  </w:num>
  <w:num w:numId="8" w16cid:durableId="2002929240">
    <w:abstractNumId w:val="27"/>
  </w:num>
  <w:num w:numId="9" w16cid:durableId="651567337">
    <w:abstractNumId w:val="38"/>
  </w:num>
  <w:num w:numId="10" w16cid:durableId="1485128115">
    <w:abstractNumId w:val="42"/>
  </w:num>
  <w:num w:numId="11" w16cid:durableId="923805920">
    <w:abstractNumId w:val="26"/>
  </w:num>
  <w:num w:numId="12" w16cid:durableId="621806957">
    <w:abstractNumId w:val="43"/>
  </w:num>
  <w:num w:numId="13" w16cid:durableId="1733457148">
    <w:abstractNumId w:val="12"/>
  </w:num>
  <w:num w:numId="14" w16cid:durableId="696660336">
    <w:abstractNumId w:val="9"/>
  </w:num>
  <w:num w:numId="15" w16cid:durableId="1144783471">
    <w:abstractNumId w:val="7"/>
  </w:num>
  <w:num w:numId="16" w16cid:durableId="2124376633">
    <w:abstractNumId w:val="6"/>
  </w:num>
  <w:num w:numId="17" w16cid:durableId="1037242530">
    <w:abstractNumId w:val="5"/>
  </w:num>
  <w:num w:numId="18" w16cid:durableId="294485597">
    <w:abstractNumId w:val="4"/>
  </w:num>
  <w:num w:numId="19" w16cid:durableId="195702863">
    <w:abstractNumId w:val="8"/>
  </w:num>
  <w:num w:numId="20" w16cid:durableId="1520847717">
    <w:abstractNumId w:val="3"/>
  </w:num>
  <w:num w:numId="21" w16cid:durableId="1617061389">
    <w:abstractNumId w:val="2"/>
  </w:num>
  <w:num w:numId="22" w16cid:durableId="1037000212">
    <w:abstractNumId w:val="1"/>
  </w:num>
  <w:num w:numId="23" w16cid:durableId="482936928">
    <w:abstractNumId w:val="0"/>
  </w:num>
  <w:num w:numId="24" w16cid:durableId="131945622">
    <w:abstractNumId w:val="9"/>
    <w:lvlOverride w:ilvl="0">
      <w:startOverride w:val="1"/>
    </w:lvlOverride>
  </w:num>
  <w:num w:numId="25" w16cid:durableId="405107073">
    <w:abstractNumId w:val="14"/>
  </w:num>
  <w:num w:numId="26" w16cid:durableId="1827932622">
    <w:abstractNumId w:val="23"/>
  </w:num>
  <w:num w:numId="27" w16cid:durableId="416563069">
    <w:abstractNumId w:val="11"/>
  </w:num>
  <w:num w:numId="28" w16cid:durableId="51122844">
    <w:abstractNumId w:val="30"/>
  </w:num>
  <w:num w:numId="29" w16cid:durableId="332268963">
    <w:abstractNumId w:val="45"/>
  </w:num>
  <w:num w:numId="30" w16cid:durableId="463427291">
    <w:abstractNumId w:val="19"/>
  </w:num>
  <w:num w:numId="31" w16cid:durableId="1686832242">
    <w:abstractNumId w:val="49"/>
  </w:num>
  <w:num w:numId="32" w16cid:durableId="7681972">
    <w:abstractNumId w:val="20"/>
  </w:num>
  <w:num w:numId="33" w16cid:durableId="1557665558">
    <w:abstractNumId w:val="47"/>
  </w:num>
  <w:num w:numId="34" w16cid:durableId="526136966">
    <w:abstractNumId w:val="36"/>
  </w:num>
  <w:num w:numId="35" w16cid:durableId="535968668">
    <w:abstractNumId w:val="35"/>
  </w:num>
  <w:num w:numId="36" w16cid:durableId="1905485470">
    <w:abstractNumId w:val="34"/>
  </w:num>
  <w:num w:numId="37" w16cid:durableId="1806728510">
    <w:abstractNumId w:val="16"/>
  </w:num>
  <w:num w:numId="38" w16cid:durableId="1318847424">
    <w:abstractNumId w:val="10"/>
  </w:num>
  <w:num w:numId="39" w16cid:durableId="1520972086">
    <w:abstractNumId w:val="25"/>
  </w:num>
  <w:num w:numId="40" w16cid:durableId="1297181306">
    <w:abstractNumId w:val="46"/>
  </w:num>
  <w:num w:numId="41" w16cid:durableId="2145200321">
    <w:abstractNumId w:val="28"/>
  </w:num>
  <w:num w:numId="42" w16cid:durableId="1915973305">
    <w:abstractNumId w:val="39"/>
  </w:num>
  <w:num w:numId="43" w16cid:durableId="51781250">
    <w:abstractNumId w:val="37"/>
  </w:num>
  <w:num w:numId="44" w16cid:durableId="1154834281">
    <w:abstractNumId w:val="22"/>
  </w:num>
  <w:num w:numId="45" w16cid:durableId="2128961693">
    <w:abstractNumId w:val="18"/>
  </w:num>
  <w:num w:numId="46" w16cid:durableId="1567690778">
    <w:abstractNumId w:val="40"/>
  </w:num>
  <w:num w:numId="47" w16cid:durableId="1039663301">
    <w:abstractNumId w:val="24"/>
  </w:num>
  <w:num w:numId="48" w16cid:durableId="1241402591">
    <w:abstractNumId w:val="44"/>
  </w:num>
  <w:num w:numId="49" w16cid:durableId="868641154">
    <w:abstractNumId w:val="32"/>
  </w:num>
  <w:num w:numId="50" w16cid:durableId="21831430">
    <w:abstractNumId w:val="15"/>
  </w:num>
  <w:num w:numId="51" w16cid:durableId="1269120509">
    <w:abstractNumId w:val="21"/>
  </w:num>
  <w:num w:numId="52" w16cid:durableId="1698922485">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62"/>
    <w:rsid w:val="0000250A"/>
    <w:rsid w:val="000029E8"/>
    <w:rsid w:val="00002F3C"/>
    <w:rsid w:val="00003B74"/>
    <w:rsid w:val="00006289"/>
    <w:rsid w:val="00007658"/>
    <w:rsid w:val="00012CB7"/>
    <w:rsid w:val="00014C8F"/>
    <w:rsid w:val="0001718F"/>
    <w:rsid w:val="00026026"/>
    <w:rsid w:val="00027572"/>
    <w:rsid w:val="00032F78"/>
    <w:rsid w:val="00037820"/>
    <w:rsid w:val="0004040B"/>
    <w:rsid w:val="00044100"/>
    <w:rsid w:val="000455D2"/>
    <w:rsid w:val="00046CA0"/>
    <w:rsid w:val="00055502"/>
    <w:rsid w:val="0005695D"/>
    <w:rsid w:val="00064321"/>
    <w:rsid w:val="00064FE4"/>
    <w:rsid w:val="000664E3"/>
    <w:rsid w:val="00067799"/>
    <w:rsid w:val="00070A81"/>
    <w:rsid w:val="00076237"/>
    <w:rsid w:val="00076721"/>
    <w:rsid w:val="00082EA7"/>
    <w:rsid w:val="00082EDB"/>
    <w:rsid w:val="00087D22"/>
    <w:rsid w:val="00091742"/>
    <w:rsid w:val="0009254F"/>
    <w:rsid w:val="000942FC"/>
    <w:rsid w:val="000A2521"/>
    <w:rsid w:val="000A65EE"/>
    <w:rsid w:val="000B0833"/>
    <w:rsid w:val="000B2101"/>
    <w:rsid w:val="000B2FB9"/>
    <w:rsid w:val="000B3961"/>
    <w:rsid w:val="000B51D0"/>
    <w:rsid w:val="000B67E9"/>
    <w:rsid w:val="000B6FA4"/>
    <w:rsid w:val="000C04CA"/>
    <w:rsid w:val="000C0A8C"/>
    <w:rsid w:val="000C14FD"/>
    <w:rsid w:val="000D0385"/>
    <w:rsid w:val="000D3F18"/>
    <w:rsid w:val="000D7964"/>
    <w:rsid w:val="000E142B"/>
    <w:rsid w:val="000E282F"/>
    <w:rsid w:val="000E352A"/>
    <w:rsid w:val="000E7153"/>
    <w:rsid w:val="000E7F60"/>
    <w:rsid w:val="000F08AD"/>
    <w:rsid w:val="000F1814"/>
    <w:rsid w:val="000F501E"/>
    <w:rsid w:val="0010434F"/>
    <w:rsid w:val="00104E59"/>
    <w:rsid w:val="0011239C"/>
    <w:rsid w:val="00112681"/>
    <w:rsid w:val="00116A79"/>
    <w:rsid w:val="00116B15"/>
    <w:rsid w:val="00116B8C"/>
    <w:rsid w:val="001178FC"/>
    <w:rsid w:val="00117FA8"/>
    <w:rsid w:val="0012183C"/>
    <w:rsid w:val="00121ECB"/>
    <w:rsid w:val="0012246A"/>
    <w:rsid w:val="00131AA0"/>
    <w:rsid w:val="001368E6"/>
    <w:rsid w:val="00136A1D"/>
    <w:rsid w:val="00137AC3"/>
    <w:rsid w:val="00137E7A"/>
    <w:rsid w:val="001401DA"/>
    <w:rsid w:val="001403E5"/>
    <w:rsid w:val="001428BB"/>
    <w:rsid w:val="00144811"/>
    <w:rsid w:val="00145C52"/>
    <w:rsid w:val="001461B7"/>
    <w:rsid w:val="00150F75"/>
    <w:rsid w:val="00154C36"/>
    <w:rsid w:val="001563CF"/>
    <w:rsid w:val="00156971"/>
    <w:rsid w:val="00161A69"/>
    <w:rsid w:val="001651C5"/>
    <w:rsid w:val="00166A7C"/>
    <w:rsid w:val="00166F38"/>
    <w:rsid w:val="0017133C"/>
    <w:rsid w:val="00171B29"/>
    <w:rsid w:val="00172663"/>
    <w:rsid w:val="0017639B"/>
    <w:rsid w:val="00176CDF"/>
    <w:rsid w:val="001772B8"/>
    <w:rsid w:val="00177E40"/>
    <w:rsid w:val="00195BA5"/>
    <w:rsid w:val="001A1D2D"/>
    <w:rsid w:val="001A4F39"/>
    <w:rsid w:val="001A6466"/>
    <w:rsid w:val="001A79B5"/>
    <w:rsid w:val="001B30CA"/>
    <w:rsid w:val="001B42A5"/>
    <w:rsid w:val="001C00C1"/>
    <w:rsid w:val="001C0BD0"/>
    <w:rsid w:val="001C0F11"/>
    <w:rsid w:val="001C1EAC"/>
    <w:rsid w:val="001C28E4"/>
    <w:rsid w:val="001C3962"/>
    <w:rsid w:val="001C3F80"/>
    <w:rsid w:val="001C4A64"/>
    <w:rsid w:val="001C58B6"/>
    <w:rsid w:val="001C7178"/>
    <w:rsid w:val="001D398B"/>
    <w:rsid w:val="001E01DE"/>
    <w:rsid w:val="001E3AE3"/>
    <w:rsid w:val="001E7C0C"/>
    <w:rsid w:val="001F0F0E"/>
    <w:rsid w:val="001F2DE8"/>
    <w:rsid w:val="001F4117"/>
    <w:rsid w:val="001F48E3"/>
    <w:rsid w:val="001F5A82"/>
    <w:rsid w:val="001F5E5E"/>
    <w:rsid w:val="00200970"/>
    <w:rsid w:val="00201FFA"/>
    <w:rsid w:val="00205907"/>
    <w:rsid w:val="00212AA8"/>
    <w:rsid w:val="00216D35"/>
    <w:rsid w:val="00217E8B"/>
    <w:rsid w:val="00222F3C"/>
    <w:rsid w:val="0022580F"/>
    <w:rsid w:val="00225895"/>
    <w:rsid w:val="00231F7E"/>
    <w:rsid w:val="0023468E"/>
    <w:rsid w:val="00234805"/>
    <w:rsid w:val="00235883"/>
    <w:rsid w:val="0024247E"/>
    <w:rsid w:val="00243951"/>
    <w:rsid w:val="002451C9"/>
    <w:rsid w:val="00251BE0"/>
    <w:rsid w:val="0025448F"/>
    <w:rsid w:val="00254E18"/>
    <w:rsid w:val="002565F0"/>
    <w:rsid w:val="00256AE7"/>
    <w:rsid w:val="00264605"/>
    <w:rsid w:val="00265597"/>
    <w:rsid w:val="0026593B"/>
    <w:rsid w:val="0027273A"/>
    <w:rsid w:val="00272D0A"/>
    <w:rsid w:val="00273982"/>
    <w:rsid w:val="00276FB9"/>
    <w:rsid w:val="00277281"/>
    <w:rsid w:val="002814FC"/>
    <w:rsid w:val="00281F2E"/>
    <w:rsid w:val="00285D5B"/>
    <w:rsid w:val="00287A51"/>
    <w:rsid w:val="00292251"/>
    <w:rsid w:val="002944F4"/>
    <w:rsid w:val="00294E0A"/>
    <w:rsid w:val="00295209"/>
    <w:rsid w:val="00297AC7"/>
    <w:rsid w:val="002A36D8"/>
    <w:rsid w:val="002A54E2"/>
    <w:rsid w:val="002B0459"/>
    <w:rsid w:val="002B4968"/>
    <w:rsid w:val="002C160D"/>
    <w:rsid w:val="002C1698"/>
    <w:rsid w:val="002C199C"/>
    <w:rsid w:val="002C1CD9"/>
    <w:rsid w:val="002C53E8"/>
    <w:rsid w:val="002C57B1"/>
    <w:rsid w:val="002C74FC"/>
    <w:rsid w:val="002D12AE"/>
    <w:rsid w:val="002D32E7"/>
    <w:rsid w:val="002D4A7C"/>
    <w:rsid w:val="002D56D6"/>
    <w:rsid w:val="002E0958"/>
    <w:rsid w:val="002E1002"/>
    <w:rsid w:val="002E5542"/>
    <w:rsid w:val="002E5CD6"/>
    <w:rsid w:val="003010C1"/>
    <w:rsid w:val="003011DA"/>
    <w:rsid w:val="00306664"/>
    <w:rsid w:val="00306B83"/>
    <w:rsid w:val="00311AEB"/>
    <w:rsid w:val="00312068"/>
    <w:rsid w:val="003165CB"/>
    <w:rsid w:val="00316B58"/>
    <w:rsid w:val="00317EE0"/>
    <w:rsid w:val="00322FA9"/>
    <w:rsid w:val="00326653"/>
    <w:rsid w:val="003311F9"/>
    <w:rsid w:val="00332B78"/>
    <w:rsid w:val="00342B07"/>
    <w:rsid w:val="00343CB6"/>
    <w:rsid w:val="00344F7C"/>
    <w:rsid w:val="003504D6"/>
    <w:rsid w:val="00350B3A"/>
    <w:rsid w:val="00352CF9"/>
    <w:rsid w:val="0035375F"/>
    <w:rsid w:val="00356A29"/>
    <w:rsid w:val="00360096"/>
    <w:rsid w:val="003604F8"/>
    <w:rsid w:val="00360DD5"/>
    <w:rsid w:val="00362D12"/>
    <w:rsid w:val="00364871"/>
    <w:rsid w:val="00365006"/>
    <w:rsid w:val="0036638A"/>
    <w:rsid w:val="00375086"/>
    <w:rsid w:val="00375DA7"/>
    <w:rsid w:val="003814EB"/>
    <w:rsid w:val="00381A0F"/>
    <w:rsid w:val="003845C1"/>
    <w:rsid w:val="003850B5"/>
    <w:rsid w:val="00385BC9"/>
    <w:rsid w:val="00392B5B"/>
    <w:rsid w:val="003937F9"/>
    <w:rsid w:val="00395F13"/>
    <w:rsid w:val="003A0401"/>
    <w:rsid w:val="003A1507"/>
    <w:rsid w:val="003A37B6"/>
    <w:rsid w:val="003A5408"/>
    <w:rsid w:val="003A72CA"/>
    <w:rsid w:val="003A78E4"/>
    <w:rsid w:val="003B209C"/>
    <w:rsid w:val="003B461D"/>
    <w:rsid w:val="003B54C8"/>
    <w:rsid w:val="003B5699"/>
    <w:rsid w:val="003B63CF"/>
    <w:rsid w:val="003B6A28"/>
    <w:rsid w:val="003C649F"/>
    <w:rsid w:val="003C7A47"/>
    <w:rsid w:val="003D322B"/>
    <w:rsid w:val="003D6169"/>
    <w:rsid w:val="003D7216"/>
    <w:rsid w:val="003D78DE"/>
    <w:rsid w:val="003E0C1D"/>
    <w:rsid w:val="003E1136"/>
    <w:rsid w:val="003E1A2A"/>
    <w:rsid w:val="003E1AAB"/>
    <w:rsid w:val="003E1B3B"/>
    <w:rsid w:val="003E385C"/>
    <w:rsid w:val="003E5565"/>
    <w:rsid w:val="003E6CF8"/>
    <w:rsid w:val="003F199E"/>
    <w:rsid w:val="003F202F"/>
    <w:rsid w:val="003F467E"/>
    <w:rsid w:val="003F5A4A"/>
    <w:rsid w:val="00404FE1"/>
    <w:rsid w:val="00410F0C"/>
    <w:rsid w:val="00415009"/>
    <w:rsid w:val="00415ACC"/>
    <w:rsid w:val="00415B85"/>
    <w:rsid w:val="004171B7"/>
    <w:rsid w:val="0042073B"/>
    <w:rsid w:val="0042122A"/>
    <w:rsid w:val="00423DB3"/>
    <w:rsid w:val="004249AF"/>
    <w:rsid w:val="00431287"/>
    <w:rsid w:val="004332FC"/>
    <w:rsid w:val="00434FBB"/>
    <w:rsid w:val="00436B8E"/>
    <w:rsid w:val="0044102A"/>
    <w:rsid w:val="004424A8"/>
    <w:rsid w:val="00442D7B"/>
    <w:rsid w:val="00443862"/>
    <w:rsid w:val="00444A0A"/>
    <w:rsid w:val="00444A2A"/>
    <w:rsid w:val="00444AAF"/>
    <w:rsid w:val="004459B7"/>
    <w:rsid w:val="00447EB7"/>
    <w:rsid w:val="00453D8C"/>
    <w:rsid w:val="004570D7"/>
    <w:rsid w:val="00457CEE"/>
    <w:rsid w:val="0046398D"/>
    <w:rsid w:val="0046504D"/>
    <w:rsid w:val="00467147"/>
    <w:rsid w:val="00471944"/>
    <w:rsid w:val="00471C38"/>
    <w:rsid w:val="00471EF7"/>
    <w:rsid w:val="00473C7E"/>
    <w:rsid w:val="00475DA8"/>
    <w:rsid w:val="00477B2C"/>
    <w:rsid w:val="00482611"/>
    <w:rsid w:val="004829CE"/>
    <w:rsid w:val="00482DB4"/>
    <w:rsid w:val="00491C1E"/>
    <w:rsid w:val="004929CE"/>
    <w:rsid w:val="004956E0"/>
    <w:rsid w:val="00497223"/>
    <w:rsid w:val="004974FA"/>
    <w:rsid w:val="004A5A52"/>
    <w:rsid w:val="004A7EEA"/>
    <w:rsid w:val="004B28D6"/>
    <w:rsid w:val="004B3A04"/>
    <w:rsid w:val="004B41E9"/>
    <w:rsid w:val="004B632C"/>
    <w:rsid w:val="004B749C"/>
    <w:rsid w:val="004C0F5F"/>
    <w:rsid w:val="004C1AD2"/>
    <w:rsid w:val="004C5D86"/>
    <w:rsid w:val="004C6402"/>
    <w:rsid w:val="004D4C71"/>
    <w:rsid w:val="004D6299"/>
    <w:rsid w:val="004D7AA3"/>
    <w:rsid w:val="004E1F05"/>
    <w:rsid w:val="004E4274"/>
    <w:rsid w:val="004E5EC1"/>
    <w:rsid w:val="004E618B"/>
    <w:rsid w:val="004F23EE"/>
    <w:rsid w:val="004F2C8F"/>
    <w:rsid w:val="004F39C5"/>
    <w:rsid w:val="004F4517"/>
    <w:rsid w:val="004F5736"/>
    <w:rsid w:val="004F7161"/>
    <w:rsid w:val="00506C29"/>
    <w:rsid w:val="005070E2"/>
    <w:rsid w:val="00507DAD"/>
    <w:rsid w:val="00510E99"/>
    <w:rsid w:val="0051155A"/>
    <w:rsid w:val="005158DA"/>
    <w:rsid w:val="00515F18"/>
    <w:rsid w:val="0051759E"/>
    <w:rsid w:val="00520939"/>
    <w:rsid w:val="00520C37"/>
    <w:rsid w:val="0052177D"/>
    <w:rsid w:val="005268D3"/>
    <w:rsid w:val="005304D6"/>
    <w:rsid w:val="005305A3"/>
    <w:rsid w:val="00530F4E"/>
    <w:rsid w:val="005316CE"/>
    <w:rsid w:val="005323C7"/>
    <w:rsid w:val="00532655"/>
    <w:rsid w:val="00533A77"/>
    <w:rsid w:val="005356AE"/>
    <w:rsid w:val="0054259D"/>
    <w:rsid w:val="005425FC"/>
    <w:rsid w:val="005435EE"/>
    <w:rsid w:val="00544684"/>
    <w:rsid w:val="005446E1"/>
    <w:rsid w:val="0054470E"/>
    <w:rsid w:val="0054590A"/>
    <w:rsid w:val="005464E4"/>
    <w:rsid w:val="00547C8C"/>
    <w:rsid w:val="00552A35"/>
    <w:rsid w:val="005536C6"/>
    <w:rsid w:val="005559A0"/>
    <w:rsid w:val="005576BA"/>
    <w:rsid w:val="00562264"/>
    <w:rsid w:val="0057193A"/>
    <w:rsid w:val="005734B7"/>
    <w:rsid w:val="00576CF4"/>
    <w:rsid w:val="00584879"/>
    <w:rsid w:val="00587AAE"/>
    <w:rsid w:val="00587B97"/>
    <w:rsid w:val="00592608"/>
    <w:rsid w:val="0059268F"/>
    <w:rsid w:val="00596937"/>
    <w:rsid w:val="00596D56"/>
    <w:rsid w:val="00597090"/>
    <w:rsid w:val="005B26D7"/>
    <w:rsid w:val="005B31E4"/>
    <w:rsid w:val="005B3D40"/>
    <w:rsid w:val="005B4C3C"/>
    <w:rsid w:val="005B54D0"/>
    <w:rsid w:val="005C0523"/>
    <w:rsid w:val="005C241E"/>
    <w:rsid w:val="005C43C5"/>
    <w:rsid w:val="005C5C52"/>
    <w:rsid w:val="005D6226"/>
    <w:rsid w:val="005D64E0"/>
    <w:rsid w:val="005E1070"/>
    <w:rsid w:val="005E2015"/>
    <w:rsid w:val="005E20E7"/>
    <w:rsid w:val="005E258C"/>
    <w:rsid w:val="005E389A"/>
    <w:rsid w:val="005E6445"/>
    <w:rsid w:val="005F006B"/>
    <w:rsid w:val="005F0264"/>
    <w:rsid w:val="005F10D9"/>
    <w:rsid w:val="005F6568"/>
    <w:rsid w:val="005F6836"/>
    <w:rsid w:val="005F7C62"/>
    <w:rsid w:val="0060526B"/>
    <w:rsid w:val="006106DD"/>
    <w:rsid w:val="0061211F"/>
    <w:rsid w:val="00620BCC"/>
    <w:rsid w:val="00621C2B"/>
    <w:rsid w:val="00624212"/>
    <w:rsid w:val="0062463E"/>
    <w:rsid w:val="00631457"/>
    <w:rsid w:val="00633641"/>
    <w:rsid w:val="00635402"/>
    <w:rsid w:val="0063584D"/>
    <w:rsid w:val="0063765E"/>
    <w:rsid w:val="00637CE2"/>
    <w:rsid w:val="0064288C"/>
    <w:rsid w:val="0065061B"/>
    <w:rsid w:val="006525B7"/>
    <w:rsid w:val="00657500"/>
    <w:rsid w:val="00660515"/>
    <w:rsid w:val="006605D9"/>
    <w:rsid w:val="00662DD8"/>
    <w:rsid w:val="006659A4"/>
    <w:rsid w:val="00666B75"/>
    <w:rsid w:val="00671FB1"/>
    <w:rsid w:val="0067400A"/>
    <w:rsid w:val="0067459E"/>
    <w:rsid w:val="006745A7"/>
    <w:rsid w:val="00675621"/>
    <w:rsid w:val="00676C7F"/>
    <w:rsid w:val="00677440"/>
    <w:rsid w:val="00682185"/>
    <w:rsid w:val="006837C7"/>
    <w:rsid w:val="00684562"/>
    <w:rsid w:val="006851CA"/>
    <w:rsid w:val="00694004"/>
    <w:rsid w:val="00694E01"/>
    <w:rsid w:val="006A1418"/>
    <w:rsid w:val="006A371E"/>
    <w:rsid w:val="006A3DBA"/>
    <w:rsid w:val="006A744C"/>
    <w:rsid w:val="006A791E"/>
    <w:rsid w:val="006A7DF5"/>
    <w:rsid w:val="006B27A2"/>
    <w:rsid w:val="006B3752"/>
    <w:rsid w:val="006B3BDB"/>
    <w:rsid w:val="006B575B"/>
    <w:rsid w:val="006B6EC4"/>
    <w:rsid w:val="006C18D9"/>
    <w:rsid w:val="006C2360"/>
    <w:rsid w:val="006C3291"/>
    <w:rsid w:val="006C3EE4"/>
    <w:rsid w:val="006C4365"/>
    <w:rsid w:val="006D1A0F"/>
    <w:rsid w:val="006D22BB"/>
    <w:rsid w:val="006D3A66"/>
    <w:rsid w:val="006D42BB"/>
    <w:rsid w:val="006E5F6A"/>
    <w:rsid w:val="006F0E0D"/>
    <w:rsid w:val="006F2CE8"/>
    <w:rsid w:val="006F30CA"/>
    <w:rsid w:val="006F3877"/>
    <w:rsid w:val="006F47B0"/>
    <w:rsid w:val="006F6B9C"/>
    <w:rsid w:val="006F71AC"/>
    <w:rsid w:val="00703A7A"/>
    <w:rsid w:val="007044A5"/>
    <w:rsid w:val="00712438"/>
    <w:rsid w:val="00714B8B"/>
    <w:rsid w:val="00716059"/>
    <w:rsid w:val="00721C79"/>
    <w:rsid w:val="00721E48"/>
    <w:rsid w:val="00725E47"/>
    <w:rsid w:val="007273D6"/>
    <w:rsid w:val="00740CC5"/>
    <w:rsid w:val="00741D9A"/>
    <w:rsid w:val="007434F7"/>
    <w:rsid w:val="007446C2"/>
    <w:rsid w:val="00746F32"/>
    <w:rsid w:val="0075650A"/>
    <w:rsid w:val="007568AF"/>
    <w:rsid w:val="007575DB"/>
    <w:rsid w:val="00757B12"/>
    <w:rsid w:val="00760026"/>
    <w:rsid w:val="00762C64"/>
    <w:rsid w:val="00763944"/>
    <w:rsid w:val="0076410B"/>
    <w:rsid w:val="007660DA"/>
    <w:rsid w:val="00766960"/>
    <w:rsid w:val="00771CF4"/>
    <w:rsid w:val="00775FD1"/>
    <w:rsid w:val="0078248D"/>
    <w:rsid w:val="007832D3"/>
    <w:rsid w:val="007846FE"/>
    <w:rsid w:val="00787F2B"/>
    <w:rsid w:val="0079061E"/>
    <w:rsid w:val="00792CDF"/>
    <w:rsid w:val="007A0EF3"/>
    <w:rsid w:val="007A1926"/>
    <w:rsid w:val="007B0997"/>
    <w:rsid w:val="007B18AC"/>
    <w:rsid w:val="007C3814"/>
    <w:rsid w:val="007C3DAD"/>
    <w:rsid w:val="007C41DC"/>
    <w:rsid w:val="007C57C0"/>
    <w:rsid w:val="007D0F9A"/>
    <w:rsid w:val="007D230C"/>
    <w:rsid w:val="007D250B"/>
    <w:rsid w:val="007D2BCB"/>
    <w:rsid w:val="007D4862"/>
    <w:rsid w:val="007D5F67"/>
    <w:rsid w:val="007D653F"/>
    <w:rsid w:val="007D72D9"/>
    <w:rsid w:val="007D7E1C"/>
    <w:rsid w:val="007E0467"/>
    <w:rsid w:val="007E352A"/>
    <w:rsid w:val="007E6373"/>
    <w:rsid w:val="007F0371"/>
    <w:rsid w:val="007F11A7"/>
    <w:rsid w:val="00800A48"/>
    <w:rsid w:val="008020E0"/>
    <w:rsid w:val="00803226"/>
    <w:rsid w:val="008058E8"/>
    <w:rsid w:val="00815D9F"/>
    <w:rsid w:val="00815EB8"/>
    <w:rsid w:val="00815F28"/>
    <w:rsid w:val="00816372"/>
    <w:rsid w:val="008164C1"/>
    <w:rsid w:val="00817449"/>
    <w:rsid w:val="0081762F"/>
    <w:rsid w:val="0082338B"/>
    <w:rsid w:val="008272E8"/>
    <w:rsid w:val="00831649"/>
    <w:rsid w:val="008336FC"/>
    <w:rsid w:val="00833985"/>
    <w:rsid w:val="0083451D"/>
    <w:rsid w:val="00835097"/>
    <w:rsid w:val="00835A81"/>
    <w:rsid w:val="00835B18"/>
    <w:rsid w:val="00843D4A"/>
    <w:rsid w:val="00845911"/>
    <w:rsid w:val="00847B4C"/>
    <w:rsid w:val="00847C77"/>
    <w:rsid w:val="00855AC3"/>
    <w:rsid w:val="00855F5B"/>
    <w:rsid w:val="008605CE"/>
    <w:rsid w:val="008607BF"/>
    <w:rsid w:val="00861657"/>
    <w:rsid w:val="008637A9"/>
    <w:rsid w:val="00864C2D"/>
    <w:rsid w:val="008674E6"/>
    <w:rsid w:val="008710FB"/>
    <w:rsid w:val="00876035"/>
    <w:rsid w:val="008762D3"/>
    <w:rsid w:val="0088042B"/>
    <w:rsid w:val="00882B02"/>
    <w:rsid w:val="00883345"/>
    <w:rsid w:val="00884095"/>
    <w:rsid w:val="008862E2"/>
    <w:rsid w:val="00890B38"/>
    <w:rsid w:val="00890EEB"/>
    <w:rsid w:val="00894A54"/>
    <w:rsid w:val="00895371"/>
    <w:rsid w:val="008961A3"/>
    <w:rsid w:val="008A3D4D"/>
    <w:rsid w:val="008B0328"/>
    <w:rsid w:val="008B082F"/>
    <w:rsid w:val="008B1AAF"/>
    <w:rsid w:val="008B2E43"/>
    <w:rsid w:val="008B4060"/>
    <w:rsid w:val="008B4DB5"/>
    <w:rsid w:val="008B56AC"/>
    <w:rsid w:val="008B5C12"/>
    <w:rsid w:val="008B7573"/>
    <w:rsid w:val="008C3DBF"/>
    <w:rsid w:val="008C7340"/>
    <w:rsid w:val="008C752D"/>
    <w:rsid w:val="008D3485"/>
    <w:rsid w:val="008D7E93"/>
    <w:rsid w:val="008E022C"/>
    <w:rsid w:val="008E0CB6"/>
    <w:rsid w:val="008E1E65"/>
    <w:rsid w:val="008E2E6C"/>
    <w:rsid w:val="008E37E1"/>
    <w:rsid w:val="008E7FDA"/>
    <w:rsid w:val="008F0915"/>
    <w:rsid w:val="008F4EA0"/>
    <w:rsid w:val="008F5CC5"/>
    <w:rsid w:val="008F60A1"/>
    <w:rsid w:val="00900A3F"/>
    <w:rsid w:val="0090108A"/>
    <w:rsid w:val="009042A0"/>
    <w:rsid w:val="009060B7"/>
    <w:rsid w:val="009079F0"/>
    <w:rsid w:val="009114EA"/>
    <w:rsid w:val="009132B6"/>
    <w:rsid w:val="0091605A"/>
    <w:rsid w:val="0091768C"/>
    <w:rsid w:val="00921121"/>
    <w:rsid w:val="00921378"/>
    <w:rsid w:val="00925638"/>
    <w:rsid w:val="0093040A"/>
    <w:rsid w:val="00933AC8"/>
    <w:rsid w:val="00941411"/>
    <w:rsid w:val="009452FB"/>
    <w:rsid w:val="00945BC6"/>
    <w:rsid w:val="0094655F"/>
    <w:rsid w:val="00947C56"/>
    <w:rsid w:val="00954360"/>
    <w:rsid w:val="00961F42"/>
    <w:rsid w:val="00963206"/>
    <w:rsid w:val="009671BE"/>
    <w:rsid w:val="0096786F"/>
    <w:rsid w:val="00967B92"/>
    <w:rsid w:val="0097032C"/>
    <w:rsid w:val="009728C6"/>
    <w:rsid w:val="0097374A"/>
    <w:rsid w:val="009853C3"/>
    <w:rsid w:val="00993CDC"/>
    <w:rsid w:val="00994D5F"/>
    <w:rsid w:val="009977C5"/>
    <w:rsid w:val="009A3E60"/>
    <w:rsid w:val="009B2CDA"/>
    <w:rsid w:val="009B6404"/>
    <w:rsid w:val="009C083C"/>
    <w:rsid w:val="009C08E1"/>
    <w:rsid w:val="009C1E93"/>
    <w:rsid w:val="009C34CC"/>
    <w:rsid w:val="009C4D98"/>
    <w:rsid w:val="009D1263"/>
    <w:rsid w:val="009D254F"/>
    <w:rsid w:val="009D5DB1"/>
    <w:rsid w:val="009E0479"/>
    <w:rsid w:val="009E058B"/>
    <w:rsid w:val="009E0CEA"/>
    <w:rsid w:val="009E318F"/>
    <w:rsid w:val="009E51E0"/>
    <w:rsid w:val="009E697B"/>
    <w:rsid w:val="009F7A6C"/>
    <w:rsid w:val="00A0184E"/>
    <w:rsid w:val="00A01CCB"/>
    <w:rsid w:val="00A023FE"/>
    <w:rsid w:val="00A02D9B"/>
    <w:rsid w:val="00A04487"/>
    <w:rsid w:val="00A10BED"/>
    <w:rsid w:val="00A13A20"/>
    <w:rsid w:val="00A17F19"/>
    <w:rsid w:val="00A21684"/>
    <w:rsid w:val="00A2519A"/>
    <w:rsid w:val="00A25461"/>
    <w:rsid w:val="00A27000"/>
    <w:rsid w:val="00A350CE"/>
    <w:rsid w:val="00A35B2B"/>
    <w:rsid w:val="00A3715A"/>
    <w:rsid w:val="00A4212B"/>
    <w:rsid w:val="00A53A0D"/>
    <w:rsid w:val="00A54505"/>
    <w:rsid w:val="00A56FA9"/>
    <w:rsid w:val="00A571A6"/>
    <w:rsid w:val="00A60164"/>
    <w:rsid w:val="00A62CFB"/>
    <w:rsid w:val="00A65414"/>
    <w:rsid w:val="00A7161E"/>
    <w:rsid w:val="00A71A2F"/>
    <w:rsid w:val="00A75EE4"/>
    <w:rsid w:val="00A766D4"/>
    <w:rsid w:val="00A768DA"/>
    <w:rsid w:val="00A77014"/>
    <w:rsid w:val="00A814AF"/>
    <w:rsid w:val="00A8313E"/>
    <w:rsid w:val="00A84C0E"/>
    <w:rsid w:val="00A84EA8"/>
    <w:rsid w:val="00A851BB"/>
    <w:rsid w:val="00A92B22"/>
    <w:rsid w:val="00A97321"/>
    <w:rsid w:val="00A97C5A"/>
    <w:rsid w:val="00AA0701"/>
    <w:rsid w:val="00AA1470"/>
    <w:rsid w:val="00AA2131"/>
    <w:rsid w:val="00AA32FA"/>
    <w:rsid w:val="00AA3A35"/>
    <w:rsid w:val="00AA7262"/>
    <w:rsid w:val="00AA7CF0"/>
    <w:rsid w:val="00AB23E0"/>
    <w:rsid w:val="00AB54A1"/>
    <w:rsid w:val="00AC0A06"/>
    <w:rsid w:val="00AC0BC4"/>
    <w:rsid w:val="00AC164E"/>
    <w:rsid w:val="00AC1725"/>
    <w:rsid w:val="00AC5A4D"/>
    <w:rsid w:val="00AC6703"/>
    <w:rsid w:val="00AC6760"/>
    <w:rsid w:val="00AD2005"/>
    <w:rsid w:val="00AD424C"/>
    <w:rsid w:val="00AE00A2"/>
    <w:rsid w:val="00AE0F94"/>
    <w:rsid w:val="00AE5CA1"/>
    <w:rsid w:val="00AE6B9A"/>
    <w:rsid w:val="00AF30C6"/>
    <w:rsid w:val="00AF3839"/>
    <w:rsid w:val="00AF6A56"/>
    <w:rsid w:val="00AF6F8A"/>
    <w:rsid w:val="00B05394"/>
    <w:rsid w:val="00B0706D"/>
    <w:rsid w:val="00B0737F"/>
    <w:rsid w:val="00B07C35"/>
    <w:rsid w:val="00B10FAF"/>
    <w:rsid w:val="00B165EA"/>
    <w:rsid w:val="00B1728D"/>
    <w:rsid w:val="00B228E7"/>
    <w:rsid w:val="00B22ECD"/>
    <w:rsid w:val="00B25E73"/>
    <w:rsid w:val="00B27628"/>
    <w:rsid w:val="00B3114F"/>
    <w:rsid w:val="00B33CD3"/>
    <w:rsid w:val="00B35967"/>
    <w:rsid w:val="00B36F67"/>
    <w:rsid w:val="00B42920"/>
    <w:rsid w:val="00B44820"/>
    <w:rsid w:val="00B45A35"/>
    <w:rsid w:val="00B5131A"/>
    <w:rsid w:val="00B5255A"/>
    <w:rsid w:val="00B52A03"/>
    <w:rsid w:val="00B5448D"/>
    <w:rsid w:val="00B5495D"/>
    <w:rsid w:val="00B565A3"/>
    <w:rsid w:val="00B56936"/>
    <w:rsid w:val="00B63DFE"/>
    <w:rsid w:val="00B6434C"/>
    <w:rsid w:val="00B65F06"/>
    <w:rsid w:val="00B711D4"/>
    <w:rsid w:val="00B72007"/>
    <w:rsid w:val="00B74BF6"/>
    <w:rsid w:val="00B803F1"/>
    <w:rsid w:val="00B84B3D"/>
    <w:rsid w:val="00B860DB"/>
    <w:rsid w:val="00B874A7"/>
    <w:rsid w:val="00B90E37"/>
    <w:rsid w:val="00B93261"/>
    <w:rsid w:val="00B94B2A"/>
    <w:rsid w:val="00BA1A0D"/>
    <w:rsid w:val="00BA607E"/>
    <w:rsid w:val="00BA650B"/>
    <w:rsid w:val="00BA6EC6"/>
    <w:rsid w:val="00BA6FE4"/>
    <w:rsid w:val="00BA741D"/>
    <w:rsid w:val="00BB27CC"/>
    <w:rsid w:val="00BB4FD6"/>
    <w:rsid w:val="00BB6687"/>
    <w:rsid w:val="00BB670B"/>
    <w:rsid w:val="00BB6BD2"/>
    <w:rsid w:val="00BC3483"/>
    <w:rsid w:val="00BC5012"/>
    <w:rsid w:val="00BD12A2"/>
    <w:rsid w:val="00BD18CA"/>
    <w:rsid w:val="00BD3D2B"/>
    <w:rsid w:val="00BD4727"/>
    <w:rsid w:val="00BD725A"/>
    <w:rsid w:val="00BD77E3"/>
    <w:rsid w:val="00BE06EC"/>
    <w:rsid w:val="00BE0BB4"/>
    <w:rsid w:val="00BE1E43"/>
    <w:rsid w:val="00BE2258"/>
    <w:rsid w:val="00BE2F63"/>
    <w:rsid w:val="00BE654C"/>
    <w:rsid w:val="00C0155F"/>
    <w:rsid w:val="00C01B28"/>
    <w:rsid w:val="00C02E67"/>
    <w:rsid w:val="00C04BE8"/>
    <w:rsid w:val="00C051EE"/>
    <w:rsid w:val="00C11C4D"/>
    <w:rsid w:val="00C11F2A"/>
    <w:rsid w:val="00C12A0B"/>
    <w:rsid w:val="00C1383C"/>
    <w:rsid w:val="00C175D6"/>
    <w:rsid w:val="00C20E4A"/>
    <w:rsid w:val="00C255EA"/>
    <w:rsid w:val="00C327C7"/>
    <w:rsid w:val="00C33447"/>
    <w:rsid w:val="00C34392"/>
    <w:rsid w:val="00C35A87"/>
    <w:rsid w:val="00C37BD1"/>
    <w:rsid w:val="00C41485"/>
    <w:rsid w:val="00C42509"/>
    <w:rsid w:val="00C43F1B"/>
    <w:rsid w:val="00C44203"/>
    <w:rsid w:val="00C45A91"/>
    <w:rsid w:val="00C45DDE"/>
    <w:rsid w:val="00C477C6"/>
    <w:rsid w:val="00C477F1"/>
    <w:rsid w:val="00C54835"/>
    <w:rsid w:val="00C6077E"/>
    <w:rsid w:val="00C61570"/>
    <w:rsid w:val="00C616B5"/>
    <w:rsid w:val="00C70AFE"/>
    <w:rsid w:val="00C71E32"/>
    <w:rsid w:val="00C72AA7"/>
    <w:rsid w:val="00C73554"/>
    <w:rsid w:val="00C75A66"/>
    <w:rsid w:val="00C80534"/>
    <w:rsid w:val="00C80B4F"/>
    <w:rsid w:val="00C85C4E"/>
    <w:rsid w:val="00CA0BE9"/>
    <w:rsid w:val="00CA0C5D"/>
    <w:rsid w:val="00CA1752"/>
    <w:rsid w:val="00CA6336"/>
    <w:rsid w:val="00CA6A6E"/>
    <w:rsid w:val="00CB584C"/>
    <w:rsid w:val="00CC0F0D"/>
    <w:rsid w:val="00CC1419"/>
    <w:rsid w:val="00CC2CFE"/>
    <w:rsid w:val="00CC7F21"/>
    <w:rsid w:val="00CD065F"/>
    <w:rsid w:val="00CD4815"/>
    <w:rsid w:val="00CD4A5A"/>
    <w:rsid w:val="00CD7B4A"/>
    <w:rsid w:val="00CE0C6A"/>
    <w:rsid w:val="00CE2DB6"/>
    <w:rsid w:val="00CE7F0B"/>
    <w:rsid w:val="00CF1483"/>
    <w:rsid w:val="00CF2CBC"/>
    <w:rsid w:val="00CF35DA"/>
    <w:rsid w:val="00CF400B"/>
    <w:rsid w:val="00CF50EE"/>
    <w:rsid w:val="00CF63D4"/>
    <w:rsid w:val="00D0246C"/>
    <w:rsid w:val="00D028C1"/>
    <w:rsid w:val="00D04A9F"/>
    <w:rsid w:val="00D04F40"/>
    <w:rsid w:val="00D0518D"/>
    <w:rsid w:val="00D13B19"/>
    <w:rsid w:val="00D16F1F"/>
    <w:rsid w:val="00D1769B"/>
    <w:rsid w:val="00D17DFC"/>
    <w:rsid w:val="00D21154"/>
    <w:rsid w:val="00D21E2E"/>
    <w:rsid w:val="00D228B7"/>
    <w:rsid w:val="00D254EE"/>
    <w:rsid w:val="00D27C72"/>
    <w:rsid w:val="00D31B60"/>
    <w:rsid w:val="00D33E09"/>
    <w:rsid w:val="00D43628"/>
    <w:rsid w:val="00D4426B"/>
    <w:rsid w:val="00D478A8"/>
    <w:rsid w:val="00D47AE8"/>
    <w:rsid w:val="00D47CF4"/>
    <w:rsid w:val="00D545F3"/>
    <w:rsid w:val="00D60196"/>
    <w:rsid w:val="00D60583"/>
    <w:rsid w:val="00D61C97"/>
    <w:rsid w:val="00D62ACB"/>
    <w:rsid w:val="00D671EE"/>
    <w:rsid w:val="00D676A9"/>
    <w:rsid w:val="00D7134C"/>
    <w:rsid w:val="00D73FD5"/>
    <w:rsid w:val="00D74A58"/>
    <w:rsid w:val="00D751B3"/>
    <w:rsid w:val="00D84896"/>
    <w:rsid w:val="00D85E24"/>
    <w:rsid w:val="00D919D6"/>
    <w:rsid w:val="00D92DB9"/>
    <w:rsid w:val="00D97C87"/>
    <w:rsid w:val="00DA115A"/>
    <w:rsid w:val="00DA162B"/>
    <w:rsid w:val="00DA35D8"/>
    <w:rsid w:val="00DA5CEA"/>
    <w:rsid w:val="00DA5DE1"/>
    <w:rsid w:val="00DB064C"/>
    <w:rsid w:val="00DB4EC1"/>
    <w:rsid w:val="00DB4FE0"/>
    <w:rsid w:val="00DC3D23"/>
    <w:rsid w:val="00DC455B"/>
    <w:rsid w:val="00DC695A"/>
    <w:rsid w:val="00DD0BD3"/>
    <w:rsid w:val="00DD594E"/>
    <w:rsid w:val="00DD697E"/>
    <w:rsid w:val="00DD75A3"/>
    <w:rsid w:val="00DE274B"/>
    <w:rsid w:val="00DE27CA"/>
    <w:rsid w:val="00DE309C"/>
    <w:rsid w:val="00DE46B8"/>
    <w:rsid w:val="00DE5FD4"/>
    <w:rsid w:val="00DE6952"/>
    <w:rsid w:val="00DF0BB5"/>
    <w:rsid w:val="00DF2B32"/>
    <w:rsid w:val="00DF459A"/>
    <w:rsid w:val="00DF681C"/>
    <w:rsid w:val="00E02601"/>
    <w:rsid w:val="00E042FA"/>
    <w:rsid w:val="00E10963"/>
    <w:rsid w:val="00E1296F"/>
    <w:rsid w:val="00E13DB4"/>
    <w:rsid w:val="00E13F58"/>
    <w:rsid w:val="00E15374"/>
    <w:rsid w:val="00E170C6"/>
    <w:rsid w:val="00E206CF"/>
    <w:rsid w:val="00E212A1"/>
    <w:rsid w:val="00E24E73"/>
    <w:rsid w:val="00E25645"/>
    <w:rsid w:val="00E26EE5"/>
    <w:rsid w:val="00E31905"/>
    <w:rsid w:val="00E32D11"/>
    <w:rsid w:val="00E33A72"/>
    <w:rsid w:val="00E4005C"/>
    <w:rsid w:val="00E40F0B"/>
    <w:rsid w:val="00E42105"/>
    <w:rsid w:val="00E435FD"/>
    <w:rsid w:val="00E46EED"/>
    <w:rsid w:val="00E47629"/>
    <w:rsid w:val="00E515C6"/>
    <w:rsid w:val="00E52241"/>
    <w:rsid w:val="00E551F5"/>
    <w:rsid w:val="00E556B0"/>
    <w:rsid w:val="00E563AB"/>
    <w:rsid w:val="00E605F7"/>
    <w:rsid w:val="00E60674"/>
    <w:rsid w:val="00E623E5"/>
    <w:rsid w:val="00E668D4"/>
    <w:rsid w:val="00E70F4E"/>
    <w:rsid w:val="00E738BA"/>
    <w:rsid w:val="00E76881"/>
    <w:rsid w:val="00E829AB"/>
    <w:rsid w:val="00E82BB4"/>
    <w:rsid w:val="00E84D52"/>
    <w:rsid w:val="00E85DF2"/>
    <w:rsid w:val="00E87606"/>
    <w:rsid w:val="00E92358"/>
    <w:rsid w:val="00EA033D"/>
    <w:rsid w:val="00EA2953"/>
    <w:rsid w:val="00EA65F2"/>
    <w:rsid w:val="00EA6682"/>
    <w:rsid w:val="00EA6941"/>
    <w:rsid w:val="00EB0851"/>
    <w:rsid w:val="00EB0D6F"/>
    <w:rsid w:val="00EB1571"/>
    <w:rsid w:val="00EB3A35"/>
    <w:rsid w:val="00EB431E"/>
    <w:rsid w:val="00EB45B8"/>
    <w:rsid w:val="00EC15F5"/>
    <w:rsid w:val="00EC4312"/>
    <w:rsid w:val="00EC7036"/>
    <w:rsid w:val="00EC741F"/>
    <w:rsid w:val="00ED010C"/>
    <w:rsid w:val="00ED3B99"/>
    <w:rsid w:val="00ED56C2"/>
    <w:rsid w:val="00EE2674"/>
    <w:rsid w:val="00EE2FC0"/>
    <w:rsid w:val="00EE4B16"/>
    <w:rsid w:val="00EE4D02"/>
    <w:rsid w:val="00EF0696"/>
    <w:rsid w:val="00EF1A29"/>
    <w:rsid w:val="00EF32F0"/>
    <w:rsid w:val="00EF6D40"/>
    <w:rsid w:val="00F024F3"/>
    <w:rsid w:val="00F06D44"/>
    <w:rsid w:val="00F07079"/>
    <w:rsid w:val="00F1512C"/>
    <w:rsid w:val="00F15ED8"/>
    <w:rsid w:val="00F2262F"/>
    <w:rsid w:val="00F22C36"/>
    <w:rsid w:val="00F2446E"/>
    <w:rsid w:val="00F24484"/>
    <w:rsid w:val="00F2486E"/>
    <w:rsid w:val="00F26FFA"/>
    <w:rsid w:val="00F305C3"/>
    <w:rsid w:val="00F31DD9"/>
    <w:rsid w:val="00F3270F"/>
    <w:rsid w:val="00F32C6E"/>
    <w:rsid w:val="00F3429E"/>
    <w:rsid w:val="00F371E9"/>
    <w:rsid w:val="00F403A9"/>
    <w:rsid w:val="00F4319F"/>
    <w:rsid w:val="00F534EC"/>
    <w:rsid w:val="00F53AD1"/>
    <w:rsid w:val="00F571B9"/>
    <w:rsid w:val="00F61AB5"/>
    <w:rsid w:val="00F62745"/>
    <w:rsid w:val="00F62C3D"/>
    <w:rsid w:val="00F64691"/>
    <w:rsid w:val="00F6477F"/>
    <w:rsid w:val="00F64F37"/>
    <w:rsid w:val="00F674DE"/>
    <w:rsid w:val="00F71705"/>
    <w:rsid w:val="00F72F8D"/>
    <w:rsid w:val="00F743C3"/>
    <w:rsid w:val="00F74AB0"/>
    <w:rsid w:val="00F77F72"/>
    <w:rsid w:val="00F80856"/>
    <w:rsid w:val="00F81EB2"/>
    <w:rsid w:val="00F8456F"/>
    <w:rsid w:val="00F8685E"/>
    <w:rsid w:val="00F869CD"/>
    <w:rsid w:val="00F905DA"/>
    <w:rsid w:val="00F92193"/>
    <w:rsid w:val="00F9268A"/>
    <w:rsid w:val="00F95C17"/>
    <w:rsid w:val="00F95EE3"/>
    <w:rsid w:val="00F95F64"/>
    <w:rsid w:val="00F96CF0"/>
    <w:rsid w:val="00FA1FD3"/>
    <w:rsid w:val="00FA65C1"/>
    <w:rsid w:val="00FB3566"/>
    <w:rsid w:val="00FB45EB"/>
    <w:rsid w:val="00FB694C"/>
    <w:rsid w:val="00FB6BC3"/>
    <w:rsid w:val="00FB70F9"/>
    <w:rsid w:val="00FB7E82"/>
    <w:rsid w:val="00FB7EF1"/>
    <w:rsid w:val="00FC2B29"/>
    <w:rsid w:val="00FC790A"/>
    <w:rsid w:val="00FC7D56"/>
    <w:rsid w:val="00FD6BE5"/>
    <w:rsid w:val="00FD6C7A"/>
    <w:rsid w:val="00FD7C77"/>
    <w:rsid w:val="00FE0287"/>
    <w:rsid w:val="00FE1784"/>
    <w:rsid w:val="00FE1F34"/>
    <w:rsid w:val="00FE212C"/>
    <w:rsid w:val="00FE5549"/>
    <w:rsid w:val="00FE5EC1"/>
    <w:rsid w:val="00FE62A2"/>
    <w:rsid w:val="00FF1049"/>
    <w:rsid w:val="00FF1C43"/>
    <w:rsid w:val="00FF1CE2"/>
    <w:rsid w:val="00FF2E91"/>
    <w:rsid w:val="00FF42E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13E4980"/>
  <w15:docId w15:val="{9B871323-1FA4-4850-BEEF-82FD3244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1"/>
    <w:qFormat/>
    <w:rsid w:val="001F0F0E"/>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444A0A"/>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44A0A"/>
    <w:pPr>
      <w:keepNext/>
      <w:keepLines/>
      <w:spacing w:before="240" w:after="240"/>
      <w:ind w:left="720" w:hanging="720"/>
      <w:outlineLvl w:val="2"/>
    </w:pPr>
    <w:rPr>
      <w:rFonts w:eastAsiaTheme="majorEastAsia" w:cstheme="majorBidi"/>
      <w:b/>
      <w:i/>
      <w:color w:val="244061" w:themeColor="accent1" w:themeShade="80"/>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9268F"/>
    <w:pPr>
      <w:tabs>
        <w:tab w:val="left" w:pos="1440"/>
        <w:tab w:val="right" w:leader="dot" w:pos="10070"/>
      </w:tabs>
      <w:spacing w:before="120" w:after="120"/>
      <w:ind w:left="1498" w:right="576" w:hanging="1224"/>
    </w:pPr>
    <w:rPr>
      <w:b/>
      <w:noProof/>
    </w:rPr>
  </w:style>
  <w:style w:type="paragraph" w:styleId="TOC2">
    <w:name w:val="toc 2"/>
    <w:basedOn w:val="Normal"/>
    <w:uiPriority w:val="39"/>
    <w:qFormat/>
    <w:rsid w:val="0059268F"/>
    <w:pPr>
      <w:tabs>
        <w:tab w:val="left" w:pos="1530"/>
        <w:tab w:val="right" w:leader="dot" w:pos="10070"/>
      </w:tabs>
      <w:ind w:left="1498" w:hanging="1224"/>
    </w:pPr>
    <w:rPr>
      <w:rFonts w:eastAsia="Times New Roman"/>
      <w:noProof/>
      <w:szCs w:val="24"/>
    </w:rPr>
  </w:style>
  <w:style w:type="paragraph" w:styleId="TOC3">
    <w:name w:val="toc 3"/>
    <w:basedOn w:val="Normal"/>
    <w:uiPriority w:val="39"/>
    <w:qFormat/>
    <w:rsid w:val="0059268F"/>
    <w:pPr>
      <w:tabs>
        <w:tab w:val="left" w:pos="2340"/>
        <w:tab w:val="right" w:leader="dot" w:pos="10070"/>
      </w:tabs>
      <w:ind w:left="1498" w:hanging="1224"/>
    </w:pPr>
    <w:rPr>
      <w:rFonts w:eastAsia="Times New Roman"/>
      <w:noProof/>
      <w:szCs w:val="24"/>
    </w:rPr>
  </w:style>
  <w:style w:type="paragraph" w:styleId="BodyText">
    <w:name w:val="Body Text"/>
    <w:basedOn w:val="Normal"/>
    <w:link w:val="BodyTextChar"/>
    <w:uiPriority w:val="1"/>
    <w:qFormat/>
    <w:rsid w:val="00D919D6"/>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nhideWhenUsed/>
    <w:rsid w:val="008C752D"/>
    <w:rPr>
      <w:sz w:val="16"/>
      <w:szCs w:val="16"/>
    </w:rPr>
  </w:style>
  <w:style w:type="paragraph" w:styleId="CommentText">
    <w:name w:val="annotation text"/>
    <w:basedOn w:val="Normal"/>
    <w:link w:val="CommentTextChar"/>
    <w:unhideWhenUsed/>
    <w:rsid w:val="008C752D"/>
    <w:rPr>
      <w:sz w:val="20"/>
      <w:szCs w:val="20"/>
    </w:rPr>
  </w:style>
  <w:style w:type="character" w:customStyle="1" w:styleId="CommentTextChar">
    <w:name w:val="Comment Text Char"/>
    <w:basedOn w:val="DefaultParagraphFont"/>
    <w:link w:val="CommentText"/>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D919D6"/>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444A0A"/>
    <w:rPr>
      <w:rFonts w:ascii="Times New Roman" w:hAnsi="Times New Roman" w:eastAsiaTheme="majorEastAsia" w:cstheme="majorBidi"/>
      <w:b/>
      <w:sz w:val="24"/>
      <w:szCs w:val="26"/>
    </w:rPr>
  </w:style>
  <w:style w:type="paragraph" w:styleId="ListBullet">
    <w:name w:val="List Bullet"/>
    <w:basedOn w:val="Normal"/>
    <w:uiPriority w:val="99"/>
    <w:unhideWhenUsed/>
    <w:rsid w:val="00C37BD1"/>
    <w:pPr>
      <w:numPr>
        <w:numId w:val="14"/>
      </w:numPr>
      <w:tabs>
        <w:tab w:val="left" w:pos="720"/>
        <w:tab w:val="clear" w:pos="1080"/>
      </w:tabs>
      <w:spacing w:before="120" w:after="40" w:line="360" w:lineRule="auto"/>
      <w:ind w:left="720" w:right="187"/>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444A0A"/>
    <w:rPr>
      <w:rFonts w:ascii="Times New Roman" w:hAnsi="Times New Roman" w:eastAsiaTheme="majorEastAsia" w:cstheme="majorBidi"/>
      <w:b/>
      <w:i/>
      <w:color w:val="244061" w:themeColor="accent1" w:themeShade="80"/>
      <w:sz w:val="24"/>
      <w:szCs w:val="24"/>
    </w:rPr>
  </w:style>
  <w:style w:type="character" w:customStyle="1" w:styleId="Heading4Char">
    <w:name w:val="Heading 4 Char"/>
    <w:basedOn w:val="DefaultParagraphFont"/>
    <w:link w:val="Heading4"/>
    <w:uiPriority w:val="9"/>
    <w:rsid w:val="00E170C6"/>
    <w:rPr>
      <w:rFonts w:ascii="Times New Roman" w:hAnsi="Times New Roman" w:eastAsiaTheme="majorEastAsia"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Normal"/>
    <w:uiPriority w:val="1"/>
    <w:qFormat/>
    <w:rsid w:val="001401DA"/>
    <w:pPr>
      <w:keepNext/>
      <w:keepLines/>
      <w:tabs>
        <w:tab w:val="left" w:pos="1065"/>
      </w:tabs>
      <w:spacing w:after="80"/>
      <w:ind w:left="1080" w:hanging="1080"/>
      <w:outlineLvl w:val="3"/>
    </w:pPr>
    <w:rPr>
      <w:rFonts w:eastAsia="Times New Roman" w:cs="Times New Roman"/>
      <w:b/>
      <w:bCs/>
      <w:color w:val="000000"/>
      <w:szCs w:val="24"/>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921378"/>
    <w:pPr>
      <w:tabs>
        <w:tab w:val="right" w:leader="dot" w:pos="10080"/>
      </w:tabs>
      <w:ind w:left="1872" w:right="576" w:hanging="1656"/>
    </w:pPr>
    <w:rPr>
      <w:noProof/>
    </w:r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uiPriority w:val="39"/>
    <w:unhideWhenUsed/>
    <w:rsid w:val="00DA162B"/>
    <w:pPr>
      <w:spacing w:after="100"/>
      <w:ind w:left="720"/>
    </w:pPr>
  </w:style>
  <w:style w:type="paragraph" w:customStyle="1" w:styleId="Exhibitsource">
    <w:name w:val="Exhibit source"/>
    <w:basedOn w:val="Normal"/>
    <w:rsid w:val="00D919D6"/>
    <w:pPr>
      <w:keepLines/>
      <w:spacing w:before="40" w:after="240"/>
    </w:pPr>
    <w:rPr>
      <w:rFonts w:eastAsia="MS Mincho" w:cs="Times New Roman"/>
      <w:sz w:val="20"/>
      <w:szCs w:val="20"/>
    </w:rPr>
  </w:style>
  <w:style w:type="paragraph" w:customStyle="1" w:styleId="TableText2">
    <w:name w:val="Table Text2"/>
    <w:basedOn w:val="Tabletext1"/>
    <w:qFormat/>
    <w:rsid w:val="00F6477F"/>
    <w:pPr>
      <w:spacing w:before="20" w:after="20"/>
      <w:ind w:left="173"/>
    </w:pPr>
    <w:rPr>
      <w:rFonts w:ascii="Arial Narrow" w:eastAsia="Times New Roman" w:hAnsi="Arial Narrow" w:cs="Arial"/>
      <w:color w:val="000000"/>
      <w:spacing w:val="0"/>
      <w:sz w:val="16"/>
      <w:szCs w:val="18"/>
    </w:rPr>
  </w:style>
  <w:style w:type="table" w:customStyle="1" w:styleId="TableGridNSF">
    <w:name w:val="Table Grid_NSF"/>
    <w:basedOn w:val="TableNormal"/>
    <w:next w:val="TableGrid"/>
    <w:uiPriority w:val="59"/>
    <w:rsid w:val="00F6477F"/>
    <w:pPr>
      <w:widowControl/>
    </w:pPr>
    <w:rPr>
      <w:rFonts w:ascii="Arial Narrow" w:eastAsia="Calibri" w:hAnsi="Arial Narrow" w:cs="Arial"/>
      <w:sz w:val="16"/>
    </w:rPr>
    <w:tblPr>
      <w:tblBorders>
        <w:top w:val="single" w:sz="4" w:space="0" w:color="auto"/>
        <w:bottom w:val="single" w:sz="4" w:space="0" w:color="auto"/>
      </w:tblBorders>
      <w:tblCellMar>
        <w:left w:w="72" w:type="dxa"/>
        <w:right w:w="72"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Text">
    <w:name w:val="Table Text"/>
    <w:basedOn w:val="Normal"/>
    <w:qFormat/>
    <w:rsid w:val="00562264"/>
    <w:pPr>
      <w:keepNext/>
      <w:keepLines/>
      <w:spacing w:before="20" w:after="20"/>
    </w:pPr>
    <w:rPr>
      <w:rFonts w:ascii="Arial Narrow" w:eastAsia="Calibri" w:hAnsi="Arial Narrow" w:cs="Times New Roman"/>
      <w:sz w:val="18"/>
      <w:szCs w:val="16"/>
    </w:rPr>
  </w:style>
  <w:style w:type="paragraph" w:customStyle="1" w:styleId="eTableBodyText">
    <w:name w:val="eTable Body Text"/>
    <w:basedOn w:val="Normal"/>
    <w:link w:val="eTableBodyTextChar"/>
    <w:qFormat/>
    <w:rsid w:val="00B1728D"/>
    <w:pPr>
      <w:spacing w:after="240"/>
    </w:pPr>
    <w:rPr>
      <w:rFonts w:eastAsia="Times New Roman" w:cs="Times New Roman"/>
      <w:szCs w:val="24"/>
    </w:rPr>
  </w:style>
  <w:style w:type="character" w:customStyle="1" w:styleId="eTableBodyTextChar">
    <w:name w:val="eTable Body Text Char"/>
    <w:basedOn w:val="DefaultParagraphFont"/>
    <w:link w:val="eTableBodyText"/>
    <w:rsid w:val="00B1728D"/>
    <w:rPr>
      <w:rFonts w:ascii="Times New Roman" w:eastAsia="Times New Roman" w:hAnsi="Times New Roman" w:cs="Times New Roman"/>
      <w:sz w:val="24"/>
      <w:szCs w:val="24"/>
    </w:rPr>
  </w:style>
  <w:style w:type="character" w:styleId="Emphasis">
    <w:name w:val="Emphasis"/>
    <w:basedOn w:val="DefaultParagraphFont"/>
    <w:uiPriority w:val="20"/>
    <w:qFormat/>
    <w:rsid w:val="007C57C0"/>
    <w:rPr>
      <w:i/>
      <w:iCs/>
    </w:rPr>
  </w:style>
  <w:style w:type="paragraph" w:customStyle="1" w:styleId="biblio">
    <w:name w:val="biblio"/>
    <w:basedOn w:val="Normal"/>
    <w:rsid w:val="007C57C0"/>
    <w:pPr>
      <w:keepLines/>
      <w:spacing w:after="240"/>
      <w:ind w:left="720" w:hanging="720"/>
    </w:pPr>
    <w:rPr>
      <w:rFonts w:eastAsia="Times New Roman" w:cs="Times New Roman"/>
      <w:sz w:val="22"/>
      <w:szCs w:val="20"/>
    </w:rPr>
  </w:style>
  <w:style w:type="character" w:styleId="UnresolvedMention">
    <w:name w:val="Unresolved Mention"/>
    <w:basedOn w:val="DefaultParagraphFont"/>
    <w:uiPriority w:val="99"/>
    <w:semiHidden/>
    <w:unhideWhenUsed/>
    <w:rsid w:val="001C00C1"/>
    <w:rPr>
      <w:color w:val="605E5C"/>
      <w:shd w:val="clear" w:color="auto" w:fill="E1DFDD"/>
    </w:rPr>
  </w:style>
  <w:style w:type="paragraph" w:customStyle="1" w:styleId="Exhibitsubcaption">
    <w:name w:val="Exhibit subcaption"/>
    <w:basedOn w:val="Normal"/>
    <w:rsid w:val="00671FB1"/>
    <w:pPr>
      <w:keepNext/>
      <w:keepLines/>
      <w:spacing w:after="40"/>
    </w:pPr>
    <w:rPr>
      <w:rFonts w:ascii="Arial Narrow" w:eastAsia="MS Mincho" w:hAnsi="Arial Narrow" w:cs="Times New Roman"/>
      <w:sz w:val="18"/>
      <w:szCs w:val="24"/>
    </w:rPr>
  </w:style>
  <w:style w:type="paragraph" w:customStyle="1" w:styleId="Figuretitle">
    <w:name w:val="Figure title"/>
    <w:basedOn w:val="Normal"/>
    <w:qFormat/>
    <w:rsid w:val="00671FB1"/>
    <w:pPr>
      <w:keepNext/>
      <w:keepLines/>
      <w:spacing w:after="60"/>
    </w:pPr>
    <w:rPr>
      <w:rFonts w:ascii="Arial Narrow" w:eastAsia="MS Mincho" w:hAnsi="Arial Narrow" w:cs="Times New Roman"/>
      <w:b/>
      <w:sz w:val="18"/>
      <w:szCs w:val="24"/>
    </w:rPr>
  </w:style>
  <w:style w:type="paragraph" w:customStyle="1" w:styleId="FigureNumber">
    <w:name w:val="Figure Number"/>
    <w:basedOn w:val="Figuretitle"/>
    <w:qFormat/>
    <w:rsid w:val="00671FB1"/>
    <w:pPr>
      <w:spacing w:after="0"/>
    </w:pPr>
    <w:rPr>
      <w:b w:val="0"/>
    </w:rPr>
  </w:style>
  <w:style w:type="paragraph" w:customStyle="1" w:styleId="TableTextIndent10">
    <w:name w:val="Table Text Indent1"/>
    <w:basedOn w:val="TableText"/>
    <w:qFormat/>
    <w:rsid w:val="003E385C"/>
    <w:pPr>
      <w:ind w:left="144"/>
    </w:pPr>
    <w:rPr>
      <w:rFonts w:eastAsia="MS Mincho"/>
      <w:szCs w:val="24"/>
    </w:rPr>
  </w:style>
  <w:style w:type="table" w:customStyle="1" w:styleId="TableGrid1">
    <w:name w:val="Table Grid1"/>
    <w:basedOn w:val="TableNormal"/>
    <w:next w:val="TableGrid"/>
    <w:uiPriority w:val="39"/>
    <w:rsid w:val="003E385C"/>
    <w:pPr>
      <w:widowControl/>
    </w:pPr>
    <w:rPr>
      <w:rFonts w:ascii="Arial Narrow" w:eastAsia="Calibri" w:hAnsi="Arial Narrow" w:cs="Arial"/>
      <w:sz w:val="16"/>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58" w:type="dxa"/>
        <w:right w:w="58" w:type="dxa"/>
      </w:tblCellMar>
    </w:tblPr>
    <w:trPr>
      <w:cantSplit/>
    </w:trPr>
    <w:tcPr>
      <w:shd w:val="clear" w:color="auto" w:fill="auto"/>
    </w:tcPr>
  </w:style>
  <w:style w:type="paragraph" w:customStyle="1" w:styleId="TableNumber">
    <w:name w:val="Table Number"/>
    <w:basedOn w:val="TableTitle"/>
    <w:qFormat/>
    <w:rsid w:val="003E385C"/>
    <w:pPr>
      <w:spacing w:before="160" w:after="0"/>
    </w:pPr>
    <w:rPr>
      <w:rFonts w:ascii="Arial Narrow" w:eastAsia="MS Mincho" w:hAnsi="Arial Narrow"/>
      <w:b w:val="0"/>
      <w:iCs/>
      <w:sz w:val="18"/>
    </w:rPr>
  </w:style>
  <w:style w:type="paragraph" w:customStyle="1" w:styleId="BodyTextSpaceAfter6">
    <w:name w:val="Body Text Space After 6"/>
    <w:basedOn w:val="BodyText"/>
    <w:uiPriority w:val="1"/>
    <w:qFormat/>
    <w:rsid w:val="00D919D6"/>
    <w:pPr>
      <w:spacing w:before="120"/>
    </w:pPr>
  </w:style>
  <w:style w:type="paragraph" w:customStyle="1" w:styleId="BodyTextSpaceAfter12">
    <w:name w:val="Body Text Space After 12"/>
    <w:basedOn w:val="BodyTextSpaceAfter6"/>
    <w:uiPriority w:val="1"/>
    <w:qFormat/>
    <w:rsid w:val="00D919D6"/>
    <w:pPr>
      <w:spacing w:before="240"/>
    </w:pPr>
  </w:style>
  <w:style w:type="paragraph" w:styleId="TOC5">
    <w:name w:val="toc 5"/>
    <w:basedOn w:val="Normal"/>
    <w:next w:val="Normal"/>
    <w:uiPriority w:val="39"/>
    <w:semiHidden/>
    <w:unhideWhenUsed/>
    <w:rsid w:val="001F0F0E"/>
    <w:pPr>
      <w:spacing w:after="100"/>
      <w:ind w:left="960"/>
    </w:pPr>
  </w:style>
  <w:style w:type="paragraph" w:styleId="TOC6">
    <w:name w:val="toc 6"/>
    <w:basedOn w:val="Normal"/>
    <w:next w:val="Normal"/>
    <w:uiPriority w:val="39"/>
    <w:semiHidden/>
    <w:unhideWhenUsed/>
    <w:rsid w:val="001F0F0E"/>
    <w:pPr>
      <w:spacing w:after="100"/>
      <w:ind w:left="1200"/>
    </w:pPr>
  </w:style>
  <w:style w:type="paragraph" w:styleId="TOC7">
    <w:name w:val="toc 7"/>
    <w:basedOn w:val="Normal"/>
    <w:next w:val="Normal"/>
    <w:uiPriority w:val="39"/>
    <w:semiHidden/>
    <w:unhideWhenUsed/>
    <w:rsid w:val="001F0F0E"/>
    <w:pPr>
      <w:spacing w:after="100"/>
      <w:ind w:left="1440"/>
    </w:pPr>
  </w:style>
  <w:style w:type="paragraph" w:styleId="TOC8">
    <w:name w:val="toc 8"/>
    <w:basedOn w:val="Normal"/>
    <w:next w:val="Normal"/>
    <w:uiPriority w:val="39"/>
    <w:semiHidden/>
    <w:unhideWhenUsed/>
    <w:rsid w:val="001F0F0E"/>
    <w:pPr>
      <w:spacing w:after="100"/>
      <w:ind w:left="1680"/>
    </w:pPr>
  </w:style>
  <w:style w:type="paragraph" w:styleId="TOC9">
    <w:name w:val="toc 9"/>
    <w:basedOn w:val="Normal"/>
    <w:next w:val="Normal"/>
    <w:uiPriority w:val="39"/>
    <w:semiHidden/>
    <w:unhideWhenUsed/>
    <w:rsid w:val="001F0F0E"/>
    <w:pPr>
      <w:spacing w:after="100"/>
      <w:ind w:left="1920"/>
    </w:pPr>
  </w:style>
  <w:style w:type="paragraph" w:customStyle="1" w:styleId="ExhibitTitle">
    <w:name w:val="Exhibit Title"/>
    <w:basedOn w:val="TableTitle"/>
    <w:next w:val="Normal"/>
    <w:uiPriority w:val="1"/>
    <w:qFormat/>
    <w:rsid w:val="008E1E65"/>
    <w:pPr>
      <w:tabs>
        <w:tab w:val="clear" w:pos="1065"/>
      </w:tabs>
      <w:ind w:left="1260" w:hanging="1260"/>
    </w:pPr>
  </w:style>
  <w:style w:type="paragraph" w:customStyle="1" w:styleId="TableHeadersmall">
    <w:name w:val="Table Header small"/>
    <w:basedOn w:val="TableHeader"/>
    <w:uiPriority w:val="1"/>
    <w:qFormat/>
    <w:rsid w:val="00562264"/>
    <w:pPr>
      <w:spacing w:before="20" w:after="20"/>
    </w:pPr>
    <w:rPr>
      <w:rFonts w:ascii="Arial Narrow" w:eastAsia="Calibri" w:hAnsi="Arial Narrow"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ncses.nsf.gov/pubs/nsf25346" TargetMode="External" /><Relationship Id="rId13" Type="http://schemas.openxmlformats.org/officeDocument/2006/relationships/hyperlink" Target="https://ncses.nsf.gov/resource/master-gov-lists-ffrdc" TargetMode="External" /><Relationship Id="rId14" Type="http://schemas.openxmlformats.org/officeDocument/2006/relationships/chart" Target="charts/chart1.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charts/_rels/chart1.xml.rels><?xml version="1.0" encoding="utf-8" standalone="yes"?><Relationships xmlns="http://schemas.openxmlformats.org/package/2006/relationships"><Relationship Id="rId1" Type="http://schemas.openxmlformats.org/officeDocument/2006/relationships/oleObject" Target="file:///\\rtints23.rti.ns\gss\Data_Delivery\2024\IMP\ImpReport\Figures\Figures2024.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Figure1!$C$3</c:f>
              <c:strCache>
                <c:ptCount val="1"/>
                <c:pt idx="0">
                  <c:v>Complete respondents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Figure1!$A$4:$B$8</c:f>
              <c:multiLvlStrCache>
                <c:ptCount val="5"/>
                <c:lvl>
                  <c:pt idx="0">
                    <c:v>2020</c:v>
                  </c:pt>
                  <c:pt idx="1">
                    <c:v>2021</c:v>
                  </c:pt>
                  <c:pt idx="2">
                    <c:v>2022</c:v>
                  </c:pt>
                  <c:pt idx="3">
                    <c:v>2023</c:v>
                  </c:pt>
                  <c:pt idx="4">
                    <c:v>2024</c:v>
                  </c:pt>
                </c:lvl>
                <c:lvl>
                  <c:pt idx="0">
                    <c:v>Year</c:v>
                  </c:pt>
                </c:lvl>
              </c:multiLvlStrCache>
            </c:multiLvlStrRef>
          </c:cat>
          <c:val>
            <c:numRef>
              <c:f>Figure1!$C$4:$C$8</c:f>
              <c:numCache>
                <c:formatCode>0.0</c:formatCode>
                <c:ptCount val="5"/>
                <c:pt idx="0">
                  <c:v>84</c:v>
                </c:pt>
                <c:pt idx="1">
                  <c:v>85.1</c:v>
                </c:pt>
                <c:pt idx="2">
                  <c:v>84.9</c:v>
                </c:pt>
                <c:pt idx="3">
                  <c:v>82.8</c:v>
                </c:pt>
                <c:pt idx="4">
                  <c:v>82.8</c:v>
                </c:pt>
              </c:numCache>
            </c:numRef>
          </c:val>
          <c:smooth val="0"/>
          <c:extLst>
            <c:ext xmlns:c16="http://schemas.microsoft.com/office/drawing/2014/chart" uri="{C3380CC4-5D6E-409C-BE32-E72D297353CC}">
              <c16:uniqueId val="{00000000-9B48-449A-9485-B3B1BE462ADA}"/>
            </c:ext>
          </c:extLst>
        </c:ser>
        <c:ser>
          <c:idx val="1"/>
          <c:order val="1"/>
          <c:tx>
            <c:strRef>
              <c:f>Figure1!$D$3</c:f>
              <c:strCache>
                <c:ptCount val="1"/>
                <c:pt idx="0">
                  <c:v>Partial respondents</c:v>
                </c:pt>
              </c:strCache>
            </c:strRef>
          </c:tx>
          <c:spPr>
            <a:ln w="28575" cap="rnd">
              <a:solidFill>
                <a:srgbClr val="C0504D"/>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Figure1!$A$4:$B$8</c:f>
              <c:multiLvlStrCache>
                <c:ptCount val="5"/>
                <c:lvl>
                  <c:pt idx="0">
                    <c:v>2020</c:v>
                  </c:pt>
                  <c:pt idx="1">
                    <c:v>2021</c:v>
                  </c:pt>
                  <c:pt idx="2">
                    <c:v>2022</c:v>
                  </c:pt>
                  <c:pt idx="3">
                    <c:v>2023</c:v>
                  </c:pt>
                  <c:pt idx="4">
                    <c:v>2024</c:v>
                  </c:pt>
                </c:lvl>
                <c:lvl>
                  <c:pt idx="0">
                    <c:v>Year</c:v>
                  </c:pt>
                </c:lvl>
              </c:multiLvlStrCache>
            </c:multiLvlStrRef>
          </c:cat>
          <c:val>
            <c:numRef>
              <c:f>Figure1!$D$4:$D$8</c:f>
              <c:numCache>
                <c:formatCode>0.0</c:formatCode>
                <c:ptCount val="5"/>
                <c:pt idx="0">
                  <c:v>12.9</c:v>
                </c:pt>
                <c:pt idx="1">
                  <c:v>13.1</c:v>
                </c:pt>
                <c:pt idx="2">
                  <c:v>13.8</c:v>
                </c:pt>
                <c:pt idx="3">
                  <c:v>15</c:v>
                </c:pt>
                <c:pt idx="4">
                  <c:v>15</c:v>
                </c:pt>
              </c:numCache>
            </c:numRef>
          </c:val>
          <c:smooth val="0"/>
          <c:extLst>
            <c:ext xmlns:c16="http://schemas.microsoft.com/office/drawing/2014/chart" uri="{C3380CC4-5D6E-409C-BE32-E72D297353CC}">
              <c16:uniqueId val="{00000001-9B48-449A-9485-B3B1BE462ADA}"/>
            </c:ext>
          </c:extLst>
        </c:ser>
        <c:ser>
          <c:idx val="2"/>
          <c:order val="2"/>
          <c:tx>
            <c:strRef>
              <c:f>Figure1!$E$3</c:f>
              <c:strCache>
                <c:ptCount val="1"/>
                <c:pt idx="0">
                  <c:v>Total nonrespondents</c:v>
                </c:pt>
              </c:strCache>
            </c:strRef>
          </c:tx>
          <c:spPr>
            <a:ln w="28575" cap="rnd">
              <a:solidFill>
                <a:srgbClr val="9BBB59"/>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multiLvlStrRef>
              <c:f>Figure1!$A$4:$B$8</c:f>
              <c:multiLvlStrCache>
                <c:ptCount val="5"/>
                <c:lvl>
                  <c:pt idx="0">
                    <c:v>2020</c:v>
                  </c:pt>
                  <c:pt idx="1">
                    <c:v>2021</c:v>
                  </c:pt>
                  <c:pt idx="2">
                    <c:v>2022</c:v>
                  </c:pt>
                  <c:pt idx="3">
                    <c:v>2023</c:v>
                  </c:pt>
                  <c:pt idx="4">
                    <c:v>2024</c:v>
                  </c:pt>
                </c:lvl>
                <c:lvl>
                  <c:pt idx="0">
                    <c:v>Year</c:v>
                  </c:pt>
                </c:lvl>
              </c:multiLvlStrCache>
            </c:multiLvlStrRef>
          </c:cat>
          <c:val>
            <c:numRef>
              <c:f>Figure1!$E$4:$E$8</c:f>
              <c:numCache>
                <c:formatCode>0.0</c:formatCode>
                <c:ptCount val="5"/>
                <c:pt idx="0">
                  <c:v>3.2</c:v>
                </c:pt>
                <c:pt idx="1">
                  <c:v>1.8</c:v>
                </c:pt>
                <c:pt idx="2">
                  <c:v>1.3</c:v>
                </c:pt>
                <c:pt idx="3">
                  <c:v>2.2</c:v>
                </c:pt>
                <c:pt idx="4">
                  <c:v>2.2</c:v>
                </c:pt>
              </c:numCache>
            </c:numRef>
          </c:val>
          <c:smooth val="0"/>
          <c:extLst>
            <c:ext xmlns:c16="http://schemas.microsoft.com/office/drawing/2014/chart" uri="{C3380CC4-5D6E-409C-BE32-E72D297353CC}">
              <c16:uniqueId val="{00000002-9B48-449A-9485-B3B1BE462ADA}"/>
            </c:ext>
          </c:extLst>
        </c:ser>
        <c:dLbls>
          <c:showLegendKey val="0"/>
          <c:showVal val="0"/>
          <c:showCatName val="0"/>
          <c:showSerName val="0"/>
          <c:showPercent val="0"/>
          <c:showBubbleSize val="0"/>
        </c:dLbls>
        <c:smooth val="0"/>
        <c:axId val="737693488"/>
        <c:axId val="737694568"/>
      </c:lineChart>
      <c:catAx>
        <c:axId val="7376934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694568"/>
        <c:crosses val="autoZero"/>
        <c:auto val="1"/>
        <c:lblAlgn val="ctr"/>
        <c:lblOffset val="100"/>
        <c:noMultiLvlLbl val="0"/>
      </c:catAx>
      <c:valAx>
        <c:axId val="737694568"/>
        <c:scaling>
          <c:orientation val="minMax"/>
          <c:max val="100"/>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693488"/>
        <c:crosses val="autoZero"/>
        <c:crossBetween val="between"/>
        <c:majorUnit val="20"/>
        <c:minorUnit val="1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1FC9-DFA7-419C-AA3C-3E779A08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4027</Words>
  <Characters>22473</Characters>
  <Application>Microsoft Office Word</Application>
  <DocSecurity>0</DocSecurity>
  <Lines>576</Lines>
  <Paragraphs>358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Yamaner, Michael I</dc:creator>
  <cp:lastModifiedBy>Gordon, Jonathan</cp:lastModifiedBy>
  <cp:revision>2</cp:revision>
  <cp:lastPrinted>2020-03-06T20:36:00Z</cp:lastPrinted>
  <dcterms:created xsi:type="dcterms:W3CDTF">2026-06-11T20:54:00Z</dcterms:created>
  <dcterms:modified xsi:type="dcterms:W3CDTF">2026-06-11T20:54:00Z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reated">
    <vt:filetime>2014-08-01T00:00:00Z</vt:filetime>
  </property>
  <property fmtid="{D5CDD505-2E9C-101B-9397-08002B2CF9AE}" pid="4" name="LastSaved">
    <vt:filetime>2017-01-05T00:00:00Z</vt:filetime>
  </property>
  <property fmtid="{D5CDD505-2E9C-101B-9397-08002B2CF9AE}" pid="5" name="TitusGUID">
    <vt:lpwstr>26283428-4650-48cd-8ace-62114d023245</vt:lpwstr>
  </property>
</Properties>
</file>