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F655B" w:rsidRPr="003F655B" w:rsidP="003F655B" w14:paraId="40DFB816" w14:textId="3ED70D4D">
      <w:pPr>
        <w:keepNext/>
        <w:tabs>
          <w:tab w:val="left" w:pos="540"/>
          <w:tab w:val="num" w:pos="1260"/>
        </w:tabs>
        <w:spacing w:before="240" w:after="0" w:line="480" w:lineRule="auto"/>
        <w:jc w:val="center"/>
        <w:outlineLvl w:val="0"/>
        <w:rPr>
          <w:rFonts w:ascii="Arial" w:eastAsia="MS Mincho" w:hAnsi="Arial" w:cs="Times New Roman"/>
          <w:b/>
          <w:caps/>
          <w:kern w:val="28"/>
          <w:sz w:val="28"/>
          <w:szCs w:val="28"/>
          <w:lang w:val="x-none" w:eastAsia="x-none"/>
          <w14:ligatures w14:val="none"/>
        </w:rPr>
      </w:pPr>
      <w:bookmarkStart w:id="0" w:name="_Toc210220802"/>
      <w:r>
        <w:rPr>
          <w:rFonts w:ascii="Arial" w:eastAsia="MS Mincho" w:hAnsi="Arial" w:cs="Times New Roman"/>
          <w:b/>
          <w:caps/>
          <w:kern w:val="28"/>
          <w:sz w:val="28"/>
          <w:szCs w:val="28"/>
          <w:lang w:val="x-none" w:eastAsia="x-none"/>
          <w14:ligatures w14:val="none"/>
        </w:rPr>
        <w:t xml:space="preserve">Attachment 14: </w:t>
      </w:r>
      <w:r w:rsidRPr="003F655B">
        <w:rPr>
          <w:rFonts w:ascii="Arial" w:eastAsia="MS Mincho" w:hAnsi="Arial" w:cs="Times New Roman"/>
          <w:b/>
          <w:caps/>
          <w:kern w:val="28"/>
          <w:sz w:val="28"/>
          <w:szCs w:val="28"/>
          <w:lang w:val="x-none" w:eastAsia="x-none"/>
          <w14:ligatures w14:val="none"/>
        </w:rPr>
        <w:t>Imputation</w:t>
      </w:r>
      <w:bookmarkEnd w:id="0"/>
      <w:r>
        <w:rPr>
          <w:rFonts w:ascii="Arial" w:eastAsia="MS Mincho" w:hAnsi="Arial" w:cs="Times New Roman"/>
          <w:b/>
          <w:caps/>
          <w:kern w:val="28"/>
          <w:sz w:val="28"/>
          <w:szCs w:val="28"/>
          <w:lang w:val="x-none" w:eastAsia="x-none"/>
          <w14:ligatures w14:val="none"/>
        </w:rPr>
        <w:t xml:space="preserve"> section from the 2024 gss Methodology report</w:t>
      </w:r>
    </w:p>
    <w:p w:rsidR="003F655B" w:rsidRPr="003F655B" w:rsidP="003F655B" w14:paraId="61A5FC8E" w14:textId="77777777">
      <w:pPr>
        <w:keepNext/>
        <w:keepLines/>
        <w:spacing w:after="0" w:line="480" w:lineRule="auto"/>
        <w:ind w:left="720" w:hanging="720"/>
        <w:outlineLvl w:val="1"/>
        <w:rPr>
          <w:rFonts w:ascii="Arial" w:eastAsia="MS Mincho" w:hAnsi="Arial" w:cs="Times New Roman"/>
          <w:b/>
          <w:kern w:val="0"/>
          <w:sz w:val="26"/>
          <w14:ligatures w14:val="none"/>
        </w:rPr>
      </w:pPr>
      <w:bookmarkStart w:id="1" w:name="_Toc48120628"/>
      <w:bookmarkStart w:id="2" w:name="_Toc210220803"/>
      <w:r w:rsidRPr="003F655B">
        <w:rPr>
          <w:rFonts w:ascii="Arial" w:eastAsia="MS Mincho" w:hAnsi="Arial" w:cs="Times New Roman"/>
          <w:b/>
          <w:kern w:val="0"/>
          <w:sz w:val="26"/>
          <w14:ligatures w14:val="none"/>
        </w:rPr>
        <w:t>9.a</w:t>
      </w:r>
      <w:r w:rsidRPr="003F655B">
        <w:rPr>
          <w:rFonts w:ascii="Arial" w:eastAsia="MS Mincho" w:hAnsi="Arial" w:cs="Times New Roman"/>
          <w:b/>
          <w:kern w:val="0"/>
          <w:sz w:val="26"/>
          <w14:ligatures w14:val="none"/>
        </w:rPr>
        <w:tab/>
        <w:t>Describe Imputation Methods Used</w:t>
      </w:r>
      <w:bookmarkEnd w:id="1"/>
      <w:bookmarkEnd w:id="2"/>
    </w:p>
    <w:p w:rsidR="003F655B" w:rsidRPr="003F655B" w:rsidP="003F655B" w14:paraId="12E8D2EA" w14:textId="313EBECF">
      <w:pPr>
        <w:tabs>
          <w:tab w:val="left" w:pos="720"/>
        </w:tabs>
        <w:adjustRightInd w:val="0"/>
        <w:spacing w:after="0" w:line="480" w:lineRule="auto"/>
        <w:ind w:firstLine="720"/>
        <w:textAlignment w:val="baseline"/>
        <w:rPr>
          <w:rFonts w:ascii="Times New Roman" w:eastAsia="Times New Roman" w:hAnsi="Times New Roman" w:cs="Times New Roman"/>
          <w:kern w:val="0"/>
          <w:lang w:eastAsia="x-none"/>
          <w14:ligatures w14:val="none"/>
        </w:rPr>
      </w:pPr>
      <w:r w:rsidRPr="003F655B">
        <w:rPr>
          <w:rFonts w:ascii="Times New Roman" w:eastAsia="Times New Roman" w:hAnsi="Times New Roman" w:cs="Times New Roman"/>
          <w:kern w:val="0"/>
          <w:lang w:val="x-none" w:eastAsia="x-none"/>
          <w14:ligatures w14:val="none"/>
        </w:rPr>
        <w:t xml:space="preserve">The 2024 GSS collected 543 data items related to enrollment and financial support for full-time and part-time master’s and doctoral students, postdocs, and NFRs. Of the 543 data items collected in the GSS, the item </w:t>
      </w:r>
      <w:r w:rsidRPr="003F655B">
        <w:rPr>
          <w:rFonts w:ascii="Times New Roman" w:eastAsia="Times New Roman" w:hAnsi="Times New Roman" w:cs="Times New Roman"/>
          <w:kern w:val="0"/>
          <w:lang w:eastAsia="x-none"/>
          <w14:ligatures w14:val="none"/>
        </w:rPr>
        <w:t>imputation</w:t>
      </w:r>
      <w:r w:rsidRPr="003F655B">
        <w:rPr>
          <w:rFonts w:ascii="Times New Roman" w:eastAsia="Times New Roman" w:hAnsi="Times New Roman" w:cs="Times New Roman"/>
          <w:kern w:val="0"/>
          <w:lang w:val="x-none" w:eastAsia="x-none"/>
          <w14:ligatures w14:val="none"/>
        </w:rPr>
        <w:t xml:space="preserve"> rates ranged from </w:t>
      </w:r>
      <w:r w:rsidRPr="003F655B">
        <w:rPr>
          <w:rFonts w:ascii="Times New Roman" w:eastAsia="Times New Roman" w:hAnsi="Times New Roman" w:cs="Times New Roman"/>
          <w:kern w:val="0"/>
          <w:lang w:eastAsia="x-none"/>
          <w14:ligatures w14:val="none"/>
        </w:rPr>
        <w:t>1.7% to 7.3%</w:t>
      </w:r>
      <w:r w:rsidRPr="003F655B">
        <w:rPr>
          <w:rFonts w:ascii="Times New Roman" w:eastAsia="Times New Roman" w:hAnsi="Times New Roman" w:cs="Times New Roman"/>
          <w:kern w:val="0"/>
          <w:lang w:val="x-none" w:eastAsia="x-none"/>
          <w14:ligatures w14:val="none"/>
        </w:rPr>
        <w:t xml:space="preserve">. The survey imputed all missing data. The </w:t>
      </w:r>
      <w:r w:rsidRPr="003F655B">
        <w:rPr>
          <w:rFonts w:ascii="Times New Roman" w:eastAsia="Times New Roman" w:hAnsi="Times New Roman" w:cs="Times New Roman"/>
          <w:i/>
          <w:iCs/>
          <w:kern w:val="0"/>
          <w:lang w:val="x-none" w:eastAsia="x-none"/>
          <w14:ligatures w14:val="none"/>
        </w:rPr>
        <w:t>item imputation rate</w:t>
      </w:r>
      <w:r w:rsidRPr="003F655B">
        <w:rPr>
          <w:rFonts w:ascii="Times New Roman" w:eastAsia="Times New Roman" w:hAnsi="Times New Roman" w:cs="Times New Roman"/>
          <w:kern w:val="0"/>
          <w:lang w:val="x-none" w:eastAsia="x-none"/>
          <w14:ligatures w14:val="none"/>
        </w:rPr>
        <w:t xml:space="preserve"> is a measure of the amount of missing data for each key total and grid detail variable collected on the GSS. For all items imputed, the mean item imputation rate was </w:t>
      </w:r>
      <w:r w:rsidRPr="003F655B">
        <w:rPr>
          <w:rFonts w:ascii="Times New Roman" w:eastAsia="Times New Roman" w:hAnsi="Times New Roman" w:cs="Times New Roman"/>
          <w:kern w:val="0"/>
          <w:lang w:eastAsia="x-none"/>
          <w14:ligatures w14:val="none"/>
        </w:rPr>
        <w:t>4.2</w:t>
      </w:r>
      <w:r w:rsidRPr="003F655B">
        <w:rPr>
          <w:rFonts w:ascii="Times New Roman" w:eastAsia="Times New Roman" w:hAnsi="Times New Roman" w:cs="Times New Roman"/>
          <w:kern w:val="0"/>
          <w:lang w:val="x-none" w:eastAsia="x-none"/>
          <w14:ligatures w14:val="none"/>
        </w:rPr>
        <w:t xml:space="preserve">%, </w:t>
      </w:r>
      <w:r w:rsidRPr="003F655B">
        <w:rPr>
          <w:rFonts w:ascii="Times New Roman" w:eastAsia="Times New Roman" w:hAnsi="Times New Roman" w:cs="Times New Roman"/>
          <w:kern w:val="0"/>
          <w:lang w:eastAsia="x-none"/>
          <w14:ligatures w14:val="none"/>
        </w:rPr>
        <w:t>where 186</w:t>
      </w:r>
      <w:r w:rsidRPr="003F655B">
        <w:rPr>
          <w:rFonts w:ascii="Times New Roman" w:eastAsia="Times New Roman" w:hAnsi="Times New Roman" w:cs="Times New Roman"/>
          <w:kern w:val="0"/>
          <w:lang w:val="x-none" w:eastAsia="x-none"/>
          <w14:ligatures w14:val="none"/>
        </w:rPr>
        <w:t xml:space="preserve"> items had imputation rates between 1% and 3%, 157 items had rates between 3% and 5%, </w:t>
      </w:r>
      <w:r w:rsidRPr="003F655B">
        <w:rPr>
          <w:rFonts w:ascii="Times New Roman" w:eastAsia="Times New Roman" w:hAnsi="Times New Roman" w:cs="Times New Roman"/>
          <w:kern w:val="0"/>
          <w:lang w:eastAsia="x-none"/>
          <w14:ligatures w14:val="none"/>
        </w:rPr>
        <w:t>193</w:t>
      </w:r>
      <w:r w:rsidRPr="003F655B">
        <w:rPr>
          <w:rFonts w:ascii="Times New Roman" w:eastAsia="Times New Roman" w:hAnsi="Times New Roman" w:cs="Times New Roman"/>
          <w:kern w:val="0"/>
          <w:lang w:val="x-none" w:eastAsia="x-none"/>
          <w14:ligatures w14:val="none"/>
        </w:rPr>
        <w:t xml:space="preserve"> items had rates between 5% and 7%, and 7 items had rates between 7% and 9%.</w:t>
      </w:r>
      <w:r w:rsidRPr="003F655B">
        <w:rPr>
          <w:rFonts w:ascii="Times New Roman" w:eastAsia="Times New Roman" w:hAnsi="Times New Roman" w:cs="Times New Roman"/>
          <w:kern w:val="0"/>
          <w:lang w:eastAsia="x-none"/>
          <w14:ligatures w14:val="none"/>
        </w:rPr>
        <w:t xml:space="preserve">. </w:t>
      </w:r>
      <w:r w:rsidRPr="003F655B">
        <w:rPr>
          <w:rFonts w:ascii="Times New Roman" w:eastAsia="Times New Roman" w:hAnsi="Times New Roman" w:cs="Times New Roman"/>
          <w:kern w:val="0"/>
          <w:lang w:val="x-none" w:eastAsia="x-none"/>
          <w14:ligatures w14:val="none"/>
        </w:rPr>
        <w:t xml:space="preserve">Table 9-1 presents a summary of the </w:t>
      </w:r>
      <w:r w:rsidRPr="003F655B">
        <w:rPr>
          <w:rFonts w:ascii="Times New Roman" w:eastAsia="Times New Roman" w:hAnsi="Times New Roman" w:cs="Times New Roman"/>
          <w:kern w:val="0"/>
          <w:lang w:eastAsia="x-none"/>
          <w14:ligatures w14:val="none"/>
        </w:rPr>
        <w:t xml:space="preserve">proportion of </w:t>
      </w:r>
      <w:r w:rsidRPr="003F655B">
        <w:rPr>
          <w:rFonts w:ascii="Times New Roman" w:eastAsia="Times New Roman" w:hAnsi="Times New Roman" w:cs="Times New Roman"/>
          <w:kern w:val="0"/>
          <w:lang w:val="x-none" w:eastAsia="x-none"/>
          <w14:ligatures w14:val="none"/>
        </w:rPr>
        <w:t>imput</w:t>
      </w:r>
      <w:r w:rsidRPr="003F655B">
        <w:rPr>
          <w:rFonts w:ascii="Times New Roman" w:eastAsia="Times New Roman" w:hAnsi="Times New Roman" w:cs="Times New Roman"/>
          <w:kern w:val="0"/>
          <w:lang w:eastAsia="x-none"/>
          <w14:ligatures w14:val="none"/>
        </w:rPr>
        <w:t>ed</w:t>
      </w:r>
      <w:r w:rsidRPr="003F655B">
        <w:rPr>
          <w:rFonts w:ascii="Times New Roman" w:eastAsia="Times New Roman" w:hAnsi="Times New Roman" w:cs="Times New Roman"/>
          <w:kern w:val="0"/>
          <w:lang w:val="x-none" w:eastAsia="x-none"/>
          <w14:ligatures w14:val="none"/>
        </w:rPr>
        <w:t xml:space="preserve"> </w:t>
      </w:r>
      <w:r w:rsidRPr="003F655B">
        <w:rPr>
          <w:rFonts w:ascii="Times New Roman" w:eastAsia="Times New Roman" w:hAnsi="Times New Roman" w:cs="Times New Roman"/>
          <w:kern w:val="0"/>
          <w:lang w:eastAsia="x-none"/>
          <w14:ligatures w14:val="none"/>
        </w:rPr>
        <w:t>data for</w:t>
      </w:r>
      <w:r w:rsidRPr="003F655B">
        <w:rPr>
          <w:rFonts w:ascii="Times New Roman" w:eastAsia="Times New Roman" w:hAnsi="Times New Roman" w:cs="Times New Roman"/>
          <w:kern w:val="0"/>
          <w:lang w:val="x-none" w:eastAsia="x-none"/>
          <w14:ligatures w14:val="none"/>
        </w:rPr>
        <w:t xml:space="preserve"> full-time and part-time master’s students, full-time and part-time doctoral students, postdocs, and NFRs. </w:t>
      </w:r>
    </w:p>
    <w:p w:rsidR="003F655B" w:rsidRPr="003F655B" w:rsidP="003F655B" w14:paraId="08F00DD0" w14:textId="77777777">
      <w:pPr>
        <w:keepNext/>
        <w:spacing w:after="0" w:line="240" w:lineRule="auto"/>
        <w:rPr>
          <w:rFonts w:ascii="Arial Narrow" w:eastAsia="Times New Roman" w:hAnsi="Arial Narrow" w:cs="Calibri"/>
          <w:color w:val="000000"/>
          <w:kern w:val="0"/>
          <w:sz w:val="18"/>
          <w:szCs w:val="18"/>
          <w14:ligatures w14:val="none"/>
        </w:rPr>
      </w:pPr>
      <w:bookmarkStart w:id="3" w:name="_Toc25161268"/>
      <w:bookmarkStart w:id="4" w:name="_Toc37842405"/>
      <w:r w:rsidRPr="003F655B">
        <w:rPr>
          <w:rFonts w:ascii="Arial Narrow" w:eastAsia="Times New Roman" w:hAnsi="Arial Narrow" w:cs="Calibri"/>
          <w:color w:val="000000"/>
          <w:kern w:val="0"/>
          <w:sz w:val="18"/>
          <w:szCs w:val="18"/>
          <w14:ligatures w14:val="none"/>
        </w:rPr>
        <w:t>Table 9-1</w:t>
      </w:r>
    </w:p>
    <w:p w:rsidR="003F655B" w:rsidRPr="003F655B" w:rsidP="003F655B" w14:paraId="7C4E9DE1" w14:textId="77777777">
      <w:pPr>
        <w:keepNext/>
        <w:spacing w:after="0" w:line="240" w:lineRule="auto"/>
        <w:ind w:right="2970"/>
        <w:rPr>
          <w:rFonts w:ascii="Arial Narrow" w:eastAsia="Calibri" w:hAnsi="Arial Narrow" w:cs="Times New Roman"/>
          <w:kern w:val="0"/>
          <w:sz w:val="18"/>
          <w:szCs w:val="18"/>
          <w14:ligatures w14:val="none"/>
        </w:rPr>
      </w:pPr>
      <w:bookmarkStart w:id="5" w:name="_Toc210223881"/>
      <w:r w:rsidRPr="003F655B">
        <w:rPr>
          <w:rFonts w:ascii="Arial Narrow" w:eastAsia="Calibri" w:hAnsi="Arial Narrow" w:cs="Times New Roman"/>
          <w:kern w:val="0"/>
          <w:sz w:val="18"/>
          <w:szCs w:val="18"/>
          <w14:ligatures w14:val="none"/>
        </w:rPr>
        <w:t xml:space="preserve">Proportion imputed for part-time and full-time graduate students, by degree type, postdoctorates, and nonfaculty researchers: </w:t>
      </w:r>
      <w:bookmarkEnd w:id="3"/>
      <w:bookmarkEnd w:id="4"/>
      <w:r w:rsidRPr="003F655B">
        <w:rPr>
          <w:rFonts w:ascii="Arial Narrow" w:eastAsia="Calibri" w:hAnsi="Arial Narrow" w:cs="Times New Roman"/>
          <w:kern w:val="0"/>
          <w:sz w:val="18"/>
          <w:szCs w:val="18"/>
          <w14:ligatures w14:val="none"/>
        </w:rPr>
        <w:t>2024</w:t>
      </w:r>
      <w:bookmarkEnd w:id="5"/>
    </w:p>
    <w:p w:rsidR="003F655B" w:rsidRPr="003F655B" w:rsidP="003F655B" w14:paraId="6F0BBF37" w14:textId="77777777">
      <w:pPr>
        <w:keepNext/>
        <w:spacing w:after="40" w:line="240" w:lineRule="auto"/>
        <w:rPr>
          <w:rFonts w:ascii="Arial Narrow" w:eastAsia="Calibri" w:hAnsi="Arial Narrow" w:cs="Times New Roman"/>
          <w:kern w:val="0"/>
          <w:sz w:val="16"/>
          <w:szCs w:val="18"/>
          <w14:ligatures w14:val="none"/>
        </w:rPr>
      </w:pPr>
      <w:r w:rsidRPr="003F655B">
        <w:rPr>
          <w:rFonts w:ascii="Arial Narrow" w:eastAsia="Calibri" w:hAnsi="Arial Narrow" w:cs="Times New Roman"/>
          <w:kern w:val="0"/>
          <w:sz w:val="16"/>
          <w:szCs w:val="18"/>
          <w14:ligatures w14:val="none"/>
        </w:rPr>
        <w:t>(Number and percent)</w:t>
      </w:r>
    </w:p>
    <w:tbl>
      <w:tblPr>
        <w:tblW w:w="7880" w:type="dxa"/>
        <w:tblLook w:val="04A0"/>
      </w:tblPr>
      <w:tblGrid>
        <w:gridCol w:w="2520"/>
        <w:gridCol w:w="1340"/>
        <w:gridCol w:w="1340"/>
        <w:gridCol w:w="1340"/>
        <w:gridCol w:w="1340"/>
      </w:tblGrid>
      <w:tr w14:paraId="2E421761" w14:textId="77777777" w:rsidTr="002A0A21">
        <w:tblPrEx>
          <w:tblW w:w="7880" w:type="dxa"/>
          <w:tblLook w:val="04A0"/>
        </w:tblPrEx>
        <w:trPr>
          <w:trHeight w:val="240"/>
        </w:trPr>
        <w:tc>
          <w:tcPr>
            <w:tcW w:w="2520" w:type="dxa"/>
            <w:tcBorders>
              <w:top w:val="single" w:sz="4" w:space="0" w:color="auto"/>
              <w:left w:val="nil"/>
              <w:bottom w:val="single" w:sz="4" w:space="0" w:color="auto"/>
              <w:right w:val="nil"/>
            </w:tcBorders>
            <w:noWrap/>
            <w:vAlign w:val="bottom"/>
            <w:hideMark/>
          </w:tcPr>
          <w:p w:rsidR="003F655B" w:rsidRPr="003F655B" w:rsidP="003F655B" w14:paraId="30B39233" w14:textId="77777777">
            <w:pPr>
              <w:spacing w:before="20" w:after="20" w:line="240" w:lineRule="auto"/>
              <w:rPr>
                <w:rFonts w:ascii="Arial Narrow" w:eastAsia="Times New Roman" w:hAnsi="Arial Narrow" w:cs="Arial"/>
                <w:color w:val="000000"/>
                <w:kern w:val="0"/>
                <w:sz w:val="16"/>
                <w:szCs w:val="16"/>
                <w14:ligatures w14:val="none"/>
              </w:rPr>
            </w:pPr>
            <w:r w:rsidRPr="003F655B">
              <w:rPr>
                <w:rFonts w:ascii="Arial Narrow" w:eastAsia="Times New Roman" w:hAnsi="Arial Narrow" w:cs="Arial"/>
                <w:color w:val="000000"/>
                <w:kern w:val="0"/>
                <w:sz w:val="16"/>
                <w:szCs w:val="16"/>
                <w14:ligatures w14:val="none"/>
              </w:rPr>
              <w:t>Personnel type</w:t>
            </w:r>
          </w:p>
        </w:tc>
        <w:tc>
          <w:tcPr>
            <w:tcW w:w="1340" w:type="dxa"/>
            <w:tcBorders>
              <w:top w:val="single" w:sz="4" w:space="0" w:color="auto"/>
              <w:left w:val="nil"/>
              <w:bottom w:val="single" w:sz="4" w:space="0" w:color="auto"/>
              <w:right w:val="nil"/>
            </w:tcBorders>
            <w:noWrap/>
            <w:vAlign w:val="bottom"/>
            <w:hideMark/>
          </w:tcPr>
          <w:p w:rsidR="003F655B" w:rsidRPr="003F655B" w:rsidP="003F655B" w14:paraId="73FC73AF" w14:textId="77777777">
            <w:pPr>
              <w:spacing w:before="20" w:after="20" w:line="240" w:lineRule="auto"/>
              <w:jc w:val="right"/>
              <w:rPr>
                <w:rFonts w:ascii="Arial Narrow" w:eastAsia="Times New Roman" w:hAnsi="Arial Narrow" w:cs="Arial"/>
                <w:color w:val="000000"/>
                <w:kern w:val="0"/>
                <w:sz w:val="16"/>
                <w:szCs w:val="16"/>
                <w14:ligatures w14:val="none"/>
              </w:rPr>
            </w:pPr>
            <w:r w:rsidRPr="003F655B">
              <w:rPr>
                <w:rFonts w:ascii="Arial Narrow" w:eastAsia="Times New Roman" w:hAnsi="Arial Narrow" w:cs="Arial"/>
                <w:color w:val="000000"/>
                <w:kern w:val="0"/>
                <w:sz w:val="16"/>
                <w:szCs w:val="16"/>
                <w14:ligatures w14:val="none"/>
              </w:rPr>
              <w:t>Total</w:t>
            </w:r>
          </w:p>
        </w:tc>
        <w:tc>
          <w:tcPr>
            <w:tcW w:w="1340" w:type="dxa"/>
            <w:tcBorders>
              <w:top w:val="single" w:sz="4" w:space="0" w:color="auto"/>
              <w:left w:val="nil"/>
              <w:bottom w:val="single" w:sz="4" w:space="0" w:color="auto"/>
              <w:right w:val="nil"/>
            </w:tcBorders>
            <w:noWrap/>
            <w:vAlign w:val="bottom"/>
            <w:hideMark/>
          </w:tcPr>
          <w:p w:rsidR="003F655B" w:rsidRPr="003F655B" w:rsidP="003F655B" w14:paraId="36EEF384" w14:textId="77777777">
            <w:pPr>
              <w:spacing w:before="20" w:after="20" w:line="240" w:lineRule="auto"/>
              <w:jc w:val="right"/>
              <w:rPr>
                <w:rFonts w:ascii="Arial Narrow" w:eastAsia="Times New Roman" w:hAnsi="Arial Narrow" w:cs="Arial"/>
                <w:color w:val="000000"/>
                <w:kern w:val="0"/>
                <w:sz w:val="16"/>
                <w:szCs w:val="16"/>
                <w14:ligatures w14:val="none"/>
              </w:rPr>
            </w:pPr>
            <w:r w:rsidRPr="003F655B">
              <w:rPr>
                <w:rFonts w:ascii="Arial Narrow" w:eastAsia="Times New Roman" w:hAnsi="Arial Narrow" w:cs="Arial"/>
                <w:color w:val="000000"/>
                <w:kern w:val="0"/>
                <w:sz w:val="16"/>
                <w:szCs w:val="16"/>
                <w14:ligatures w14:val="none"/>
              </w:rPr>
              <w:t>Number reported</w:t>
            </w:r>
          </w:p>
        </w:tc>
        <w:tc>
          <w:tcPr>
            <w:tcW w:w="1340" w:type="dxa"/>
            <w:tcBorders>
              <w:top w:val="single" w:sz="4" w:space="0" w:color="auto"/>
              <w:left w:val="nil"/>
              <w:bottom w:val="single" w:sz="4" w:space="0" w:color="auto"/>
              <w:right w:val="nil"/>
            </w:tcBorders>
            <w:noWrap/>
            <w:vAlign w:val="bottom"/>
            <w:hideMark/>
          </w:tcPr>
          <w:p w:rsidR="003F655B" w:rsidRPr="003F655B" w:rsidP="003F655B" w14:paraId="0800DB02" w14:textId="77777777">
            <w:pPr>
              <w:spacing w:before="20" w:after="20" w:line="240" w:lineRule="auto"/>
              <w:jc w:val="right"/>
              <w:rPr>
                <w:rFonts w:ascii="Arial Narrow" w:eastAsia="Times New Roman" w:hAnsi="Arial Narrow" w:cs="Arial"/>
                <w:color w:val="000000"/>
                <w:kern w:val="0"/>
                <w:sz w:val="16"/>
                <w:szCs w:val="16"/>
                <w14:ligatures w14:val="none"/>
              </w:rPr>
            </w:pPr>
            <w:r w:rsidRPr="003F655B">
              <w:rPr>
                <w:rFonts w:ascii="Arial Narrow" w:eastAsia="Times New Roman" w:hAnsi="Arial Narrow" w:cs="Arial"/>
                <w:color w:val="000000"/>
                <w:kern w:val="0"/>
                <w:sz w:val="16"/>
                <w:szCs w:val="16"/>
                <w14:ligatures w14:val="none"/>
              </w:rPr>
              <w:t>Number imputed</w:t>
            </w:r>
          </w:p>
        </w:tc>
        <w:tc>
          <w:tcPr>
            <w:tcW w:w="1340" w:type="dxa"/>
            <w:tcBorders>
              <w:top w:val="single" w:sz="4" w:space="0" w:color="auto"/>
              <w:left w:val="nil"/>
              <w:bottom w:val="single" w:sz="4" w:space="0" w:color="auto"/>
              <w:right w:val="nil"/>
            </w:tcBorders>
            <w:noWrap/>
            <w:vAlign w:val="bottom"/>
            <w:hideMark/>
          </w:tcPr>
          <w:p w:rsidR="003F655B" w:rsidRPr="003F655B" w:rsidP="003F655B" w14:paraId="23DE9D37" w14:textId="77777777">
            <w:pPr>
              <w:spacing w:before="20" w:after="20" w:line="240" w:lineRule="auto"/>
              <w:jc w:val="right"/>
              <w:rPr>
                <w:rFonts w:ascii="Arial Narrow" w:eastAsia="Times New Roman" w:hAnsi="Arial Narrow" w:cs="Arial"/>
                <w:color w:val="000000"/>
                <w:kern w:val="0"/>
                <w:sz w:val="16"/>
                <w:szCs w:val="16"/>
                <w14:ligatures w14:val="none"/>
              </w:rPr>
            </w:pPr>
            <w:r w:rsidRPr="003F655B">
              <w:rPr>
                <w:rFonts w:ascii="Arial Narrow" w:eastAsia="Times New Roman" w:hAnsi="Arial Narrow" w:cs="Arial"/>
                <w:color w:val="000000"/>
                <w:kern w:val="0"/>
                <w:sz w:val="16"/>
                <w:szCs w:val="16"/>
                <w14:ligatures w14:val="none"/>
              </w:rPr>
              <w:t>Percent imputed</w:t>
            </w:r>
          </w:p>
        </w:tc>
      </w:tr>
      <w:tr w14:paraId="3BD6494B" w14:textId="77777777" w:rsidTr="002A0A21">
        <w:tblPrEx>
          <w:tblW w:w="7880" w:type="dxa"/>
          <w:tblLook w:val="04A0"/>
        </w:tblPrEx>
        <w:trPr>
          <w:trHeight w:val="210"/>
        </w:trPr>
        <w:tc>
          <w:tcPr>
            <w:tcW w:w="2520" w:type="dxa"/>
            <w:tcBorders>
              <w:top w:val="nil"/>
              <w:left w:val="nil"/>
              <w:bottom w:val="nil"/>
              <w:right w:val="nil"/>
            </w:tcBorders>
            <w:noWrap/>
            <w:vAlign w:val="center"/>
            <w:hideMark/>
          </w:tcPr>
          <w:p w:rsidR="003F655B" w:rsidRPr="003F655B" w:rsidP="003F655B" w14:paraId="3887BA42"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Master's part-time students</w:t>
            </w:r>
          </w:p>
        </w:tc>
        <w:tc>
          <w:tcPr>
            <w:tcW w:w="1340" w:type="dxa"/>
            <w:tcBorders>
              <w:top w:val="nil"/>
              <w:left w:val="nil"/>
              <w:bottom w:val="nil"/>
              <w:right w:val="nil"/>
            </w:tcBorders>
            <w:noWrap/>
            <w:hideMark/>
          </w:tcPr>
          <w:p w:rsidR="003F655B" w:rsidRPr="003F655B" w:rsidP="003F655B" w14:paraId="4A013D88"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183,893</w:t>
            </w:r>
          </w:p>
        </w:tc>
        <w:tc>
          <w:tcPr>
            <w:tcW w:w="1340" w:type="dxa"/>
            <w:tcBorders>
              <w:top w:val="nil"/>
              <w:left w:val="nil"/>
              <w:bottom w:val="nil"/>
              <w:right w:val="nil"/>
            </w:tcBorders>
            <w:noWrap/>
            <w:hideMark/>
          </w:tcPr>
          <w:p w:rsidR="003F655B" w:rsidRPr="003F655B" w:rsidP="003F655B" w14:paraId="2CA27628"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180,560</w:t>
            </w:r>
          </w:p>
        </w:tc>
        <w:tc>
          <w:tcPr>
            <w:tcW w:w="1340" w:type="dxa"/>
            <w:tcBorders>
              <w:top w:val="nil"/>
              <w:left w:val="nil"/>
              <w:bottom w:val="nil"/>
              <w:right w:val="nil"/>
            </w:tcBorders>
            <w:noWrap/>
            <w:hideMark/>
          </w:tcPr>
          <w:p w:rsidR="003F655B" w:rsidRPr="003F655B" w:rsidP="003F655B" w14:paraId="6F9B97A6"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3,333</w:t>
            </w:r>
          </w:p>
        </w:tc>
        <w:tc>
          <w:tcPr>
            <w:tcW w:w="1340" w:type="dxa"/>
            <w:tcBorders>
              <w:top w:val="nil"/>
              <w:left w:val="nil"/>
              <w:bottom w:val="nil"/>
              <w:right w:val="nil"/>
            </w:tcBorders>
            <w:noWrap/>
            <w:hideMark/>
          </w:tcPr>
          <w:p w:rsidR="003F655B" w:rsidRPr="003F655B" w:rsidP="003F655B" w14:paraId="3F15A135"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1.8</w:t>
            </w:r>
          </w:p>
        </w:tc>
      </w:tr>
      <w:tr w14:paraId="6417950F" w14:textId="77777777" w:rsidTr="002A0A21">
        <w:tblPrEx>
          <w:tblW w:w="7880" w:type="dxa"/>
          <w:tblLook w:val="04A0"/>
        </w:tblPrEx>
        <w:trPr>
          <w:trHeight w:val="240"/>
        </w:trPr>
        <w:tc>
          <w:tcPr>
            <w:tcW w:w="2520" w:type="dxa"/>
            <w:tcBorders>
              <w:top w:val="nil"/>
              <w:left w:val="nil"/>
              <w:bottom w:val="nil"/>
              <w:right w:val="nil"/>
            </w:tcBorders>
            <w:noWrap/>
            <w:vAlign w:val="center"/>
            <w:hideMark/>
          </w:tcPr>
          <w:p w:rsidR="003F655B" w:rsidRPr="003F655B" w:rsidP="003F655B" w14:paraId="26C69053"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Master's full-time students</w:t>
            </w:r>
          </w:p>
        </w:tc>
        <w:tc>
          <w:tcPr>
            <w:tcW w:w="1340" w:type="dxa"/>
            <w:tcBorders>
              <w:top w:val="nil"/>
              <w:left w:val="nil"/>
              <w:bottom w:val="nil"/>
              <w:right w:val="nil"/>
            </w:tcBorders>
            <w:noWrap/>
            <w:hideMark/>
          </w:tcPr>
          <w:p w:rsidR="003F655B" w:rsidRPr="003F655B" w:rsidP="003F655B" w14:paraId="2A9B7DF8"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322,037</w:t>
            </w:r>
          </w:p>
        </w:tc>
        <w:tc>
          <w:tcPr>
            <w:tcW w:w="1340" w:type="dxa"/>
            <w:tcBorders>
              <w:top w:val="nil"/>
              <w:left w:val="nil"/>
              <w:bottom w:val="nil"/>
              <w:right w:val="nil"/>
            </w:tcBorders>
            <w:noWrap/>
            <w:hideMark/>
          </w:tcPr>
          <w:p w:rsidR="003F655B" w:rsidRPr="003F655B" w:rsidP="003F655B" w14:paraId="2A3C6751"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316,225</w:t>
            </w:r>
          </w:p>
        </w:tc>
        <w:tc>
          <w:tcPr>
            <w:tcW w:w="1340" w:type="dxa"/>
            <w:tcBorders>
              <w:top w:val="nil"/>
              <w:left w:val="nil"/>
              <w:bottom w:val="nil"/>
              <w:right w:val="nil"/>
            </w:tcBorders>
            <w:noWrap/>
            <w:hideMark/>
          </w:tcPr>
          <w:p w:rsidR="003F655B" w:rsidRPr="003F655B" w:rsidP="003F655B" w14:paraId="6A544831"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5,812</w:t>
            </w:r>
          </w:p>
        </w:tc>
        <w:tc>
          <w:tcPr>
            <w:tcW w:w="1340" w:type="dxa"/>
            <w:tcBorders>
              <w:top w:val="nil"/>
              <w:left w:val="nil"/>
              <w:bottom w:val="nil"/>
              <w:right w:val="nil"/>
            </w:tcBorders>
            <w:noWrap/>
            <w:hideMark/>
          </w:tcPr>
          <w:p w:rsidR="003F655B" w:rsidRPr="003F655B" w:rsidP="003F655B" w14:paraId="3E6281BA"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1.8</w:t>
            </w:r>
          </w:p>
        </w:tc>
      </w:tr>
      <w:tr w14:paraId="48B9D5EC" w14:textId="77777777" w:rsidTr="002A0A21">
        <w:tblPrEx>
          <w:tblW w:w="7880" w:type="dxa"/>
          <w:tblLook w:val="04A0"/>
        </w:tblPrEx>
        <w:trPr>
          <w:trHeight w:val="240"/>
        </w:trPr>
        <w:tc>
          <w:tcPr>
            <w:tcW w:w="2520" w:type="dxa"/>
            <w:tcBorders>
              <w:top w:val="nil"/>
              <w:left w:val="nil"/>
              <w:bottom w:val="nil"/>
              <w:right w:val="nil"/>
            </w:tcBorders>
            <w:noWrap/>
            <w:vAlign w:val="center"/>
            <w:hideMark/>
          </w:tcPr>
          <w:p w:rsidR="003F655B" w:rsidRPr="003F655B" w:rsidP="003F655B" w14:paraId="77BE4E24"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Doctoral part-time students</w:t>
            </w:r>
          </w:p>
        </w:tc>
        <w:tc>
          <w:tcPr>
            <w:tcW w:w="1340" w:type="dxa"/>
            <w:tcBorders>
              <w:top w:val="nil"/>
              <w:left w:val="nil"/>
              <w:bottom w:val="nil"/>
              <w:right w:val="nil"/>
            </w:tcBorders>
            <w:noWrap/>
            <w:hideMark/>
          </w:tcPr>
          <w:p w:rsidR="003F655B" w:rsidRPr="003F655B" w:rsidP="003F655B" w14:paraId="5AC8B848"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37,547</w:t>
            </w:r>
          </w:p>
        </w:tc>
        <w:tc>
          <w:tcPr>
            <w:tcW w:w="1340" w:type="dxa"/>
            <w:tcBorders>
              <w:top w:val="nil"/>
              <w:left w:val="nil"/>
              <w:bottom w:val="nil"/>
              <w:right w:val="nil"/>
            </w:tcBorders>
            <w:noWrap/>
            <w:hideMark/>
          </w:tcPr>
          <w:p w:rsidR="003F655B" w:rsidRPr="003F655B" w:rsidP="003F655B" w14:paraId="61529013"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36,930</w:t>
            </w:r>
          </w:p>
        </w:tc>
        <w:tc>
          <w:tcPr>
            <w:tcW w:w="1340" w:type="dxa"/>
            <w:tcBorders>
              <w:top w:val="nil"/>
              <w:left w:val="nil"/>
              <w:bottom w:val="nil"/>
              <w:right w:val="nil"/>
            </w:tcBorders>
            <w:noWrap/>
            <w:hideMark/>
          </w:tcPr>
          <w:p w:rsidR="003F655B" w:rsidRPr="003F655B" w:rsidP="003F655B" w14:paraId="376E14A6"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617</w:t>
            </w:r>
          </w:p>
        </w:tc>
        <w:tc>
          <w:tcPr>
            <w:tcW w:w="1340" w:type="dxa"/>
            <w:tcBorders>
              <w:top w:val="nil"/>
              <w:left w:val="nil"/>
              <w:bottom w:val="nil"/>
              <w:right w:val="nil"/>
            </w:tcBorders>
            <w:noWrap/>
            <w:hideMark/>
          </w:tcPr>
          <w:p w:rsidR="003F655B" w:rsidRPr="003F655B" w:rsidP="003F655B" w14:paraId="151B05CA"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1.6</w:t>
            </w:r>
          </w:p>
        </w:tc>
      </w:tr>
      <w:tr w14:paraId="51535799" w14:textId="77777777" w:rsidTr="002A0A21">
        <w:tblPrEx>
          <w:tblW w:w="7880" w:type="dxa"/>
          <w:tblLook w:val="04A0"/>
        </w:tblPrEx>
        <w:trPr>
          <w:trHeight w:val="240"/>
        </w:trPr>
        <w:tc>
          <w:tcPr>
            <w:tcW w:w="2520" w:type="dxa"/>
            <w:tcBorders>
              <w:top w:val="nil"/>
              <w:left w:val="nil"/>
              <w:bottom w:val="nil"/>
              <w:right w:val="nil"/>
            </w:tcBorders>
            <w:noWrap/>
            <w:vAlign w:val="center"/>
            <w:hideMark/>
          </w:tcPr>
          <w:p w:rsidR="003F655B" w:rsidRPr="003F655B" w:rsidP="003F655B" w14:paraId="1C5099C6"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Doctoral full-time students</w:t>
            </w:r>
          </w:p>
        </w:tc>
        <w:tc>
          <w:tcPr>
            <w:tcW w:w="1340" w:type="dxa"/>
            <w:tcBorders>
              <w:top w:val="nil"/>
              <w:left w:val="nil"/>
              <w:bottom w:val="nil"/>
              <w:right w:val="nil"/>
            </w:tcBorders>
            <w:noWrap/>
            <w:hideMark/>
          </w:tcPr>
          <w:p w:rsidR="003F655B" w:rsidRPr="003F655B" w:rsidP="003F655B" w14:paraId="5B280F01"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274,601</w:t>
            </w:r>
          </w:p>
        </w:tc>
        <w:tc>
          <w:tcPr>
            <w:tcW w:w="1340" w:type="dxa"/>
            <w:tcBorders>
              <w:top w:val="nil"/>
              <w:left w:val="nil"/>
              <w:bottom w:val="nil"/>
              <w:right w:val="nil"/>
            </w:tcBorders>
            <w:noWrap/>
            <w:hideMark/>
          </w:tcPr>
          <w:p w:rsidR="003F655B" w:rsidRPr="003F655B" w:rsidP="003F655B" w14:paraId="2AD47D8B"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272,937</w:t>
            </w:r>
          </w:p>
        </w:tc>
        <w:tc>
          <w:tcPr>
            <w:tcW w:w="1340" w:type="dxa"/>
            <w:tcBorders>
              <w:top w:val="nil"/>
              <w:left w:val="nil"/>
              <w:bottom w:val="nil"/>
              <w:right w:val="nil"/>
            </w:tcBorders>
            <w:noWrap/>
            <w:hideMark/>
          </w:tcPr>
          <w:p w:rsidR="003F655B" w:rsidRPr="003F655B" w:rsidP="003F655B" w14:paraId="34E111B7"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1,664</w:t>
            </w:r>
          </w:p>
        </w:tc>
        <w:tc>
          <w:tcPr>
            <w:tcW w:w="1340" w:type="dxa"/>
            <w:tcBorders>
              <w:top w:val="nil"/>
              <w:left w:val="nil"/>
              <w:bottom w:val="nil"/>
              <w:right w:val="nil"/>
            </w:tcBorders>
            <w:noWrap/>
            <w:hideMark/>
          </w:tcPr>
          <w:p w:rsidR="003F655B" w:rsidRPr="003F655B" w:rsidP="003F655B" w14:paraId="3971799D"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0.6</w:t>
            </w:r>
          </w:p>
        </w:tc>
      </w:tr>
      <w:tr w14:paraId="7EF9AEAB" w14:textId="77777777" w:rsidTr="002A0A21">
        <w:tblPrEx>
          <w:tblW w:w="7880" w:type="dxa"/>
          <w:tblLook w:val="04A0"/>
        </w:tblPrEx>
        <w:trPr>
          <w:trHeight w:val="240"/>
        </w:trPr>
        <w:tc>
          <w:tcPr>
            <w:tcW w:w="2520" w:type="dxa"/>
            <w:tcBorders>
              <w:top w:val="nil"/>
              <w:left w:val="nil"/>
              <w:bottom w:val="nil"/>
              <w:right w:val="nil"/>
            </w:tcBorders>
            <w:noWrap/>
            <w:vAlign w:val="center"/>
            <w:hideMark/>
          </w:tcPr>
          <w:p w:rsidR="003F655B" w:rsidRPr="003F655B" w:rsidP="003F655B" w14:paraId="05546114"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Postdoctorates</w:t>
            </w:r>
          </w:p>
        </w:tc>
        <w:tc>
          <w:tcPr>
            <w:tcW w:w="1340" w:type="dxa"/>
            <w:tcBorders>
              <w:top w:val="nil"/>
              <w:left w:val="nil"/>
              <w:bottom w:val="nil"/>
              <w:right w:val="nil"/>
            </w:tcBorders>
            <w:noWrap/>
            <w:hideMark/>
          </w:tcPr>
          <w:p w:rsidR="003F655B" w:rsidRPr="003F655B" w:rsidP="003F655B" w14:paraId="111CDD3D"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69,877</w:t>
            </w:r>
          </w:p>
        </w:tc>
        <w:tc>
          <w:tcPr>
            <w:tcW w:w="1340" w:type="dxa"/>
            <w:tcBorders>
              <w:top w:val="nil"/>
              <w:left w:val="nil"/>
              <w:bottom w:val="nil"/>
              <w:right w:val="nil"/>
            </w:tcBorders>
            <w:noWrap/>
            <w:hideMark/>
          </w:tcPr>
          <w:p w:rsidR="003F655B" w:rsidRPr="003F655B" w:rsidP="003F655B" w14:paraId="1B601DA4"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68,009</w:t>
            </w:r>
          </w:p>
        </w:tc>
        <w:tc>
          <w:tcPr>
            <w:tcW w:w="1340" w:type="dxa"/>
            <w:tcBorders>
              <w:top w:val="nil"/>
              <w:left w:val="nil"/>
              <w:bottom w:val="nil"/>
              <w:right w:val="nil"/>
            </w:tcBorders>
            <w:noWrap/>
            <w:hideMark/>
          </w:tcPr>
          <w:p w:rsidR="003F655B" w:rsidRPr="003F655B" w:rsidP="003F655B" w14:paraId="515DE40F"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1,868</w:t>
            </w:r>
          </w:p>
        </w:tc>
        <w:tc>
          <w:tcPr>
            <w:tcW w:w="1340" w:type="dxa"/>
            <w:tcBorders>
              <w:top w:val="nil"/>
              <w:left w:val="nil"/>
              <w:bottom w:val="nil"/>
              <w:right w:val="nil"/>
            </w:tcBorders>
            <w:noWrap/>
            <w:hideMark/>
          </w:tcPr>
          <w:p w:rsidR="003F655B" w:rsidRPr="003F655B" w:rsidP="003F655B" w14:paraId="1A02F83B"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2.7</w:t>
            </w:r>
          </w:p>
        </w:tc>
      </w:tr>
      <w:tr w14:paraId="37F8F09E" w14:textId="77777777" w:rsidTr="002A0A21">
        <w:tblPrEx>
          <w:tblW w:w="7880" w:type="dxa"/>
          <w:tblLook w:val="04A0"/>
        </w:tblPrEx>
        <w:trPr>
          <w:trHeight w:val="240"/>
        </w:trPr>
        <w:tc>
          <w:tcPr>
            <w:tcW w:w="2520" w:type="dxa"/>
            <w:tcBorders>
              <w:top w:val="nil"/>
              <w:left w:val="nil"/>
              <w:bottom w:val="single" w:sz="4" w:space="0" w:color="auto"/>
              <w:right w:val="nil"/>
            </w:tcBorders>
            <w:noWrap/>
            <w:vAlign w:val="center"/>
            <w:hideMark/>
          </w:tcPr>
          <w:p w:rsidR="003F655B" w:rsidRPr="003F655B" w:rsidP="003F655B" w14:paraId="4BAEE203" w14:textId="77777777">
            <w:pPr>
              <w:spacing w:before="20" w:after="20" w:line="240" w:lineRule="auto"/>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Nonfaculty researchers</w:t>
            </w:r>
          </w:p>
        </w:tc>
        <w:tc>
          <w:tcPr>
            <w:tcW w:w="1340" w:type="dxa"/>
            <w:tcBorders>
              <w:top w:val="nil"/>
              <w:left w:val="nil"/>
              <w:bottom w:val="single" w:sz="4" w:space="0" w:color="auto"/>
              <w:right w:val="nil"/>
            </w:tcBorders>
            <w:noWrap/>
            <w:hideMark/>
          </w:tcPr>
          <w:p w:rsidR="003F655B" w:rsidRPr="003F655B" w:rsidP="003F655B" w14:paraId="0F216BBA"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35,142</w:t>
            </w:r>
          </w:p>
        </w:tc>
        <w:tc>
          <w:tcPr>
            <w:tcW w:w="1340" w:type="dxa"/>
            <w:tcBorders>
              <w:top w:val="nil"/>
              <w:left w:val="nil"/>
              <w:bottom w:val="single" w:sz="4" w:space="0" w:color="auto"/>
              <w:right w:val="nil"/>
            </w:tcBorders>
            <w:noWrap/>
            <w:hideMark/>
          </w:tcPr>
          <w:p w:rsidR="003F655B" w:rsidRPr="003F655B" w:rsidP="003F655B" w14:paraId="102E81DC"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34,377</w:t>
            </w:r>
          </w:p>
        </w:tc>
        <w:tc>
          <w:tcPr>
            <w:tcW w:w="1340" w:type="dxa"/>
            <w:tcBorders>
              <w:top w:val="nil"/>
              <w:left w:val="nil"/>
              <w:bottom w:val="single" w:sz="4" w:space="0" w:color="auto"/>
              <w:right w:val="nil"/>
            </w:tcBorders>
            <w:noWrap/>
            <w:hideMark/>
          </w:tcPr>
          <w:p w:rsidR="003F655B" w:rsidRPr="003F655B" w:rsidP="003F655B" w14:paraId="63388CBE"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765</w:t>
            </w:r>
          </w:p>
        </w:tc>
        <w:tc>
          <w:tcPr>
            <w:tcW w:w="1340" w:type="dxa"/>
            <w:tcBorders>
              <w:top w:val="nil"/>
              <w:left w:val="nil"/>
              <w:bottom w:val="single" w:sz="4" w:space="0" w:color="auto"/>
              <w:right w:val="nil"/>
            </w:tcBorders>
            <w:noWrap/>
            <w:hideMark/>
          </w:tcPr>
          <w:p w:rsidR="003F655B" w:rsidRPr="003F655B" w:rsidP="003F655B" w14:paraId="0B7C3B3B" w14:textId="77777777">
            <w:pPr>
              <w:spacing w:before="20" w:after="20" w:line="240" w:lineRule="auto"/>
              <w:jc w:val="right"/>
              <w:rPr>
                <w:rFonts w:ascii="Arial Narrow" w:eastAsia="Calibri" w:hAnsi="Arial Narrow" w:cs="Times New Roman"/>
                <w:kern w:val="0"/>
                <w:sz w:val="16"/>
                <w:szCs w:val="16"/>
                <w14:ligatures w14:val="none"/>
              </w:rPr>
            </w:pPr>
            <w:r w:rsidRPr="003F655B">
              <w:rPr>
                <w:rFonts w:ascii="Arial Narrow" w:eastAsia="Calibri" w:hAnsi="Arial Narrow" w:cs="Times New Roman"/>
                <w:kern w:val="0"/>
                <w:sz w:val="16"/>
                <w:szCs w:val="16"/>
                <w14:ligatures w14:val="none"/>
              </w:rPr>
              <w:t>2.2</w:t>
            </w:r>
          </w:p>
        </w:tc>
      </w:tr>
    </w:tbl>
    <w:p w:rsidR="003F655B" w:rsidRPr="003F655B" w:rsidP="003F655B" w14:paraId="6433C15A" w14:textId="77777777">
      <w:pPr>
        <w:keepLines/>
        <w:spacing w:before="20" w:after="0" w:line="240" w:lineRule="auto"/>
        <w:rPr>
          <w:rFonts w:ascii="Arial Narrow" w:eastAsia="MS Mincho" w:hAnsi="Arial Narrow" w:cs="Times New Roman"/>
          <w:kern w:val="0"/>
          <w:sz w:val="16"/>
          <w:szCs w:val="20"/>
          <w14:ligatures w14:val="none"/>
        </w:rPr>
      </w:pPr>
      <w:r w:rsidRPr="003F655B">
        <w:rPr>
          <w:rFonts w:ascii="Arial Narrow" w:eastAsia="MS Mincho" w:hAnsi="Arial Narrow" w:cs="Times New Roman"/>
          <w:kern w:val="0"/>
          <w:sz w:val="16"/>
          <w:szCs w:val="20"/>
          <w14:ligatures w14:val="none"/>
        </w:rPr>
        <w:t>Note(s):</w:t>
      </w:r>
      <w:bookmarkStart w:id="6" w:name="_Hlk120006634"/>
    </w:p>
    <w:p w:rsidR="003F655B" w:rsidRPr="003F655B" w:rsidP="003F655B" w14:paraId="308D7F60" w14:textId="77777777">
      <w:pPr>
        <w:keepLines/>
        <w:spacing w:before="20" w:after="60" w:line="240" w:lineRule="auto"/>
        <w:rPr>
          <w:rFonts w:ascii="Arial Narrow" w:eastAsia="MS Mincho" w:hAnsi="Arial Narrow" w:cs="Times New Roman"/>
          <w:kern w:val="0"/>
          <w:sz w:val="20"/>
          <w:szCs w:val="20"/>
          <w14:ligatures w14:val="none"/>
        </w:rPr>
      </w:pPr>
      <w:r w:rsidRPr="003F655B">
        <w:rPr>
          <w:rFonts w:ascii="Arial Narrow" w:eastAsia="MS Mincho" w:hAnsi="Arial Narrow" w:cs="Times New Roman"/>
          <w:kern w:val="0"/>
          <w:sz w:val="16"/>
          <w:szCs w:val="20"/>
          <w14:ligatures w14:val="none"/>
        </w:rPr>
        <w:t>Detail does</w:t>
      </w:r>
      <w:r w:rsidRPr="003F655B">
        <w:rPr>
          <w:rFonts w:ascii="Arial Narrow" w:eastAsia="MS Mincho" w:hAnsi="Arial Narrow" w:cs="Times New Roman"/>
          <w:kern w:val="0"/>
          <w:sz w:val="16"/>
          <w:szCs w:val="20"/>
          <w14:ligatures w14:val="none"/>
        </w:rPr>
        <w:t xml:space="preserve"> not add to total due to rounding.</w:t>
      </w:r>
      <w:bookmarkEnd w:id="6"/>
    </w:p>
    <w:p w:rsidR="003F655B" w:rsidRPr="003F655B" w:rsidP="003F655B" w14:paraId="3F5C4C02" w14:textId="77777777">
      <w:pPr>
        <w:spacing w:before="40" w:after="240" w:line="240" w:lineRule="auto"/>
        <w:contextualSpacing/>
        <w:rPr>
          <w:rFonts w:ascii="Arial Narrow" w:eastAsia="MS Mincho" w:hAnsi="Arial Narrow" w:cs="Times New Roman"/>
          <w:kern w:val="0"/>
          <w:sz w:val="16"/>
          <w:szCs w:val="20"/>
          <w14:ligatures w14:val="none"/>
        </w:rPr>
      </w:pPr>
      <w:r w:rsidRPr="003F655B">
        <w:rPr>
          <w:rFonts w:ascii="Arial Narrow" w:eastAsia="MS Mincho" w:hAnsi="Arial Narrow" w:cs="Times New Roman"/>
          <w:kern w:val="0"/>
          <w:sz w:val="16"/>
          <w:szCs w:val="20"/>
          <w14:ligatures w14:val="none"/>
        </w:rPr>
        <w:t>Source(s):</w:t>
      </w:r>
    </w:p>
    <w:p w:rsidR="003F655B" w:rsidRPr="003F655B" w:rsidP="003F655B" w14:paraId="52DCC32A" w14:textId="77777777">
      <w:pPr>
        <w:spacing w:before="40" w:after="240" w:line="240" w:lineRule="auto"/>
        <w:ind w:right="3060"/>
        <w:contextualSpacing/>
        <w:rPr>
          <w:rFonts w:ascii="Arial Narrow" w:eastAsia="MS Mincho" w:hAnsi="Arial Narrow" w:cs="Times New Roman"/>
          <w:kern w:val="0"/>
          <w:sz w:val="16"/>
          <w:szCs w:val="20"/>
          <w14:ligatures w14:val="none"/>
        </w:rPr>
      </w:pPr>
      <w:r w:rsidRPr="003F655B">
        <w:rPr>
          <w:rFonts w:ascii="Arial Narrow" w:eastAsia="MS Mincho" w:hAnsi="Arial Narrow" w:cs="Times New Roman"/>
          <w:kern w:val="0"/>
          <w:sz w:val="16"/>
          <w:szCs w:val="20"/>
          <w14:ligatures w14:val="none"/>
        </w:rPr>
        <w:t>National Center for Science and Engineering Statistics, Survey of Graduate Students and Postdoctorates in Science and Engineering, 2024.</w:t>
      </w:r>
    </w:p>
    <w:p w:rsidR="003F655B" w:rsidRPr="003F655B" w:rsidP="003F655B" w14:paraId="7A38054F" w14:textId="77777777">
      <w:pPr>
        <w:keepNext/>
        <w:keepLines/>
        <w:spacing w:after="0" w:line="480" w:lineRule="auto"/>
        <w:ind w:left="792" w:hanging="792"/>
        <w:outlineLvl w:val="2"/>
        <w:rPr>
          <w:rFonts w:ascii="Arial" w:eastAsia="MS Mincho" w:hAnsi="Arial" w:cs="Times New Roman"/>
          <w:b/>
          <w:i/>
          <w:kern w:val="0"/>
          <w:szCs w:val="20"/>
          <w14:ligatures w14:val="none"/>
        </w:rPr>
      </w:pPr>
      <w:bookmarkStart w:id="7" w:name="_Toc48120629"/>
      <w:bookmarkStart w:id="8" w:name="_Toc210220804"/>
      <w:r w:rsidRPr="003F655B">
        <w:rPr>
          <w:rFonts w:ascii="Arial" w:eastAsia="MS Mincho" w:hAnsi="Arial" w:cs="Times New Roman"/>
          <w:b/>
          <w:i/>
          <w:kern w:val="0"/>
          <w:szCs w:val="20"/>
          <w14:ligatures w14:val="none"/>
        </w:rPr>
        <w:t>9.a.1</w:t>
      </w:r>
      <w:r w:rsidRPr="003F655B">
        <w:rPr>
          <w:rFonts w:ascii="Arial" w:eastAsia="MS Mincho" w:hAnsi="Arial" w:cs="Times New Roman"/>
          <w:b/>
          <w:i/>
          <w:kern w:val="0"/>
          <w:szCs w:val="20"/>
          <w14:ligatures w14:val="none"/>
        </w:rPr>
        <w:tab/>
        <w:t>Imputation Methodology</w:t>
      </w:r>
      <w:bookmarkEnd w:id="7"/>
      <w:bookmarkEnd w:id="8"/>
    </w:p>
    <w:p w:rsidR="003F655B" w:rsidRPr="003F655B" w:rsidP="003F655B" w14:paraId="5230ACD9" w14:textId="77777777">
      <w:pPr>
        <w:tabs>
          <w:tab w:val="left" w:pos="720"/>
        </w:tabs>
        <w:adjustRightInd w:val="0"/>
        <w:spacing w:after="0" w:line="480" w:lineRule="auto"/>
        <w:ind w:firstLine="720"/>
        <w:textAlignment w:val="baseline"/>
        <w:rPr>
          <w:rFonts w:ascii="Times New Roman" w:eastAsia="Times New Roman" w:hAnsi="Times New Roman" w:cs="Times New Roman"/>
          <w:kern w:val="0"/>
          <w:lang w:val="x-none" w:eastAsia="x-none"/>
          <w14:ligatures w14:val="none"/>
        </w:rPr>
      </w:pPr>
      <w:r w:rsidRPr="003F655B">
        <w:rPr>
          <w:rFonts w:ascii="Times New Roman" w:eastAsia="Times New Roman" w:hAnsi="Times New Roman" w:cs="Times New Roman"/>
          <w:kern w:val="0"/>
          <w:lang w:val="x-none" w:eastAsia="x-none"/>
          <w14:ligatures w14:val="none"/>
        </w:rPr>
        <w:t xml:space="preserve">Different imputation techniques were used for units with and for those without comparable historical data. For units missing a key total (total full-time master’s, full-time </w:t>
      </w:r>
      <w:r w:rsidRPr="003F655B">
        <w:rPr>
          <w:rFonts w:ascii="Times New Roman" w:eastAsia="Times New Roman" w:hAnsi="Times New Roman" w:cs="Times New Roman"/>
          <w:kern w:val="0"/>
          <w:lang w:val="x-none" w:eastAsia="x-none"/>
          <w14:ligatures w14:val="none"/>
        </w:rPr>
        <w:t xml:space="preserve">doctoral, part-time master’s, and part-time doctoral students, total postdocs, or total NFRs) with at least 1 year of qualified historical data, a carry-forward (CF) imputation method was used. The CF method matched the </w:t>
      </w:r>
      <w:r w:rsidRPr="003F655B">
        <w:rPr>
          <w:rFonts w:ascii="Times New Roman" w:eastAsia="Times New Roman" w:hAnsi="Times New Roman" w:cs="Times New Roman"/>
          <w:kern w:val="0"/>
          <w:lang w:val="x-none" w:eastAsia="x-none"/>
          <w14:ligatures w14:val="none"/>
        </w:rPr>
        <w:t>imputee</w:t>
      </w:r>
      <w:r w:rsidRPr="003F655B">
        <w:rPr>
          <w:rFonts w:ascii="Times New Roman" w:eastAsia="Times New Roman" w:hAnsi="Times New Roman" w:cs="Times New Roman"/>
          <w:kern w:val="0"/>
          <w:lang w:val="x-none" w:eastAsia="x-none"/>
          <w14:ligatures w14:val="none"/>
        </w:rPr>
        <w:t xml:space="preserve"> record to its most recent eligible historical record, designated as the </w:t>
      </w:r>
      <w:r w:rsidRPr="003F655B">
        <w:rPr>
          <w:rFonts w:ascii="Times New Roman" w:eastAsia="Times New Roman" w:hAnsi="Times New Roman" w:cs="Times New Roman"/>
          <w:i/>
          <w:iCs/>
          <w:kern w:val="0"/>
          <w:lang w:val="x-none" w:eastAsia="x-none"/>
          <w14:ligatures w14:val="none"/>
        </w:rPr>
        <w:t>base record</w:t>
      </w:r>
      <w:r w:rsidRPr="003F655B">
        <w:rPr>
          <w:rFonts w:ascii="Times New Roman" w:eastAsia="Times New Roman" w:hAnsi="Times New Roman" w:cs="Times New Roman"/>
          <w:kern w:val="0"/>
          <w:lang w:val="x-none" w:eastAsia="x-none"/>
          <w14:ligatures w14:val="none"/>
        </w:rPr>
        <w:t xml:space="preserve">. </w:t>
      </w:r>
      <w:bookmarkStart w:id="9" w:name="_Hlk98318930"/>
      <w:r w:rsidRPr="003F655B">
        <w:rPr>
          <w:rFonts w:ascii="Times New Roman" w:eastAsia="Times New Roman" w:hAnsi="Times New Roman" w:cs="Times New Roman"/>
          <w:kern w:val="0"/>
          <w:lang w:val="x-none" w:eastAsia="x-none"/>
          <w14:ligatures w14:val="none"/>
        </w:rPr>
        <w:t xml:space="preserve">GSS data from three years prior were used as </w:t>
      </w:r>
      <w:r w:rsidRPr="003F655B">
        <w:rPr>
          <w:rFonts w:ascii="Times New Roman" w:eastAsia="Times New Roman" w:hAnsi="Times New Roman" w:cs="Times New Roman"/>
          <w:i/>
          <w:iCs/>
          <w:kern w:val="0"/>
          <w:lang w:val="x-none" w:eastAsia="x-none"/>
          <w14:ligatures w14:val="none"/>
        </w:rPr>
        <w:t>base periods</w:t>
      </w:r>
      <w:r w:rsidRPr="003F655B">
        <w:rPr>
          <w:rFonts w:ascii="Times New Roman" w:eastAsia="Times New Roman" w:hAnsi="Times New Roman" w:cs="Times New Roman"/>
          <w:kern w:val="0"/>
          <w:lang w:val="x-none" w:eastAsia="x-none"/>
          <w14:ligatures w14:val="none"/>
        </w:rPr>
        <w:t xml:space="preserve"> for graduate students, PDs, and NFRs. </w:t>
      </w:r>
      <w:bookmarkEnd w:id="9"/>
      <w:r w:rsidRPr="003F655B">
        <w:rPr>
          <w:rFonts w:ascii="Times New Roman" w:eastAsia="Times New Roman" w:hAnsi="Times New Roman" w:cs="Times New Roman"/>
          <w:kern w:val="0"/>
          <w:lang w:val="x-none" w:eastAsia="x-none"/>
          <w14:ligatures w14:val="none"/>
        </w:rPr>
        <w:t>Once the base records were identified from past GSS data, inflation factors based on the ratio of the current</w:t>
      </w:r>
      <w:r w:rsidRPr="003F655B">
        <w:rPr>
          <w:rFonts w:ascii="Times New Roman" w:eastAsia="Times New Roman" w:hAnsi="Times New Roman" w:cs="Times New Roman"/>
          <w:kern w:val="0"/>
          <w:lang w:eastAsia="x-none"/>
          <w14:ligatures w14:val="none"/>
        </w:rPr>
        <w:t xml:space="preserve"> </w:t>
      </w:r>
      <w:r w:rsidRPr="003F655B">
        <w:rPr>
          <w:rFonts w:ascii="Times New Roman" w:eastAsia="Times New Roman" w:hAnsi="Times New Roman" w:cs="Times New Roman"/>
          <w:kern w:val="0"/>
          <w:lang w:val="x-none" w:eastAsia="x-none"/>
          <w14:ligatures w14:val="none"/>
        </w:rPr>
        <w:t>year total to the prior</w:t>
      </w:r>
      <w:r w:rsidRPr="003F655B">
        <w:rPr>
          <w:rFonts w:ascii="Times New Roman" w:eastAsia="Times New Roman" w:hAnsi="Times New Roman" w:cs="Times New Roman"/>
          <w:kern w:val="0"/>
          <w:lang w:eastAsia="x-none"/>
          <w14:ligatures w14:val="none"/>
        </w:rPr>
        <w:t xml:space="preserve"> </w:t>
      </w:r>
      <w:r w:rsidRPr="003F655B">
        <w:rPr>
          <w:rFonts w:ascii="Times New Roman" w:eastAsia="Times New Roman" w:hAnsi="Times New Roman" w:cs="Times New Roman"/>
          <w:kern w:val="0"/>
          <w:lang w:val="x-none" w:eastAsia="x-none"/>
          <w14:ligatures w14:val="none"/>
        </w:rPr>
        <w:t xml:space="preserve">year total were calculated for each of the six key totals to account for year-to-year change. The previous year’s key totals were carried forward as the imputed values for the current year’s key totals and imputed according to the previous year’s proportions. </w:t>
      </w:r>
    </w:p>
    <w:p w:rsidR="003F655B" w:rsidRPr="003F655B" w:rsidP="003F655B" w14:paraId="3063D221" w14:textId="77777777">
      <w:pPr>
        <w:tabs>
          <w:tab w:val="left" w:pos="720"/>
        </w:tabs>
        <w:adjustRightInd w:val="0"/>
        <w:spacing w:after="0" w:line="480" w:lineRule="auto"/>
        <w:ind w:firstLine="720"/>
        <w:textAlignment w:val="baseline"/>
        <w:rPr>
          <w:rFonts w:ascii="Times New Roman" w:eastAsia="Times New Roman" w:hAnsi="Times New Roman" w:cs="Times New Roman"/>
          <w:kern w:val="0"/>
          <w:lang w:val="x-none" w:eastAsia="x-none"/>
          <w14:ligatures w14:val="none"/>
        </w:rPr>
      </w:pPr>
      <w:r w:rsidRPr="003F655B">
        <w:rPr>
          <w:rFonts w:ascii="Times New Roman" w:eastAsia="Times New Roman" w:hAnsi="Times New Roman" w:cs="Times New Roman"/>
          <w:kern w:val="0"/>
          <w:lang w:val="x-none" w:eastAsia="x-none"/>
          <w14:ligatures w14:val="none"/>
        </w:rPr>
        <w:t>For units that reported totals but no details, the details were imputed according to the prior distribution if qualified historical details were available. Otherwise, the survey used a nearest-neighbor imputation method. In this method, a donor unit that was “nearest” to the unit whose data were being imputed (</w:t>
      </w:r>
      <w:r w:rsidRPr="003F655B">
        <w:rPr>
          <w:rFonts w:ascii="Times New Roman" w:eastAsia="Times New Roman" w:hAnsi="Times New Roman" w:cs="Times New Roman"/>
          <w:kern w:val="0"/>
          <w:lang w:val="x-none" w:eastAsia="x-none"/>
          <w14:ligatures w14:val="none"/>
        </w:rPr>
        <w:t>imputee</w:t>
      </w:r>
      <w:r w:rsidRPr="003F655B">
        <w:rPr>
          <w:rFonts w:ascii="Times New Roman" w:eastAsia="Times New Roman" w:hAnsi="Times New Roman" w:cs="Times New Roman"/>
          <w:kern w:val="0"/>
          <w:lang w:val="x-none" w:eastAsia="x-none"/>
          <w14:ligatures w14:val="none"/>
        </w:rPr>
        <w:t xml:space="preserve">) was identified among all responding units having similar characteristics as the </w:t>
      </w:r>
      <w:r w:rsidRPr="003F655B">
        <w:rPr>
          <w:rFonts w:ascii="Times New Roman" w:eastAsia="Times New Roman" w:hAnsi="Times New Roman" w:cs="Times New Roman"/>
          <w:kern w:val="0"/>
          <w:lang w:val="x-none" w:eastAsia="x-none"/>
          <w14:ligatures w14:val="none"/>
        </w:rPr>
        <w:t>imputee</w:t>
      </w:r>
      <w:r w:rsidRPr="003F655B">
        <w:rPr>
          <w:rFonts w:ascii="Times New Roman" w:eastAsia="Times New Roman" w:hAnsi="Times New Roman" w:cs="Times New Roman"/>
          <w:kern w:val="0"/>
          <w:lang w:val="x-none" w:eastAsia="x-none"/>
          <w14:ligatures w14:val="none"/>
        </w:rPr>
        <w:t xml:space="preserve"> (such as having the same GSS code for program fields and offering a doctoral degree). When the survey imputed graduate student details, the selected nearest neighbor was the one that had full-time and part-time graduate enrollments that were most similar to the </w:t>
      </w:r>
      <w:r w:rsidRPr="003F655B">
        <w:rPr>
          <w:rFonts w:ascii="Times New Roman" w:eastAsia="Times New Roman" w:hAnsi="Times New Roman" w:cs="Times New Roman"/>
          <w:kern w:val="0"/>
          <w:lang w:val="x-none" w:eastAsia="x-none"/>
          <w14:ligatures w14:val="none"/>
        </w:rPr>
        <w:t>imputee’s</w:t>
      </w:r>
      <w:r w:rsidRPr="003F655B">
        <w:rPr>
          <w:rFonts w:ascii="Times New Roman" w:eastAsia="Times New Roman" w:hAnsi="Times New Roman" w:cs="Times New Roman"/>
          <w:kern w:val="0"/>
          <w:lang w:val="x-none" w:eastAsia="x-none"/>
          <w14:ligatures w14:val="none"/>
        </w:rPr>
        <w:t xml:space="preserve"> enrollments by degree type. The imputed values were calculated by adjusting the donor’s values to account for the difference in full-time and part-time enrollment totals within degree type between the two units.</w:t>
      </w:r>
    </w:p>
    <w:p w:rsidR="003F655B" w:rsidRPr="003F655B" w:rsidP="003F655B" w14:paraId="008118E7" w14:textId="77777777">
      <w:pPr>
        <w:tabs>
          <w:tab w:val="left" w:pos="720"/>
        </w:tabs>
        <w:adjustRightInd w:val="0"/>
        <w:spacing w:after="0" w:line="480" w:lineRule="auto"/>
        <w:ind w:firstLine="720"/>
        <w:textAlignment w:val="baseline"/>
        <w:rPr>
          <w:rFonts w:ascii="Times New Roman" w:eastAsia="Times New Roman" w:hAnsi="Times New Roman" w:cs="Times New Roman"/>
          <w:kern w:val="0"/>
          <w:lang w:val="x-none" w:eastAsia="x-none"/>
          <w14:ligatures w14:val="none"/>
        </w:rPr>
      </w:pPr>
      <w:r w:rsidRPr="003F655B">
        <w:rPr>
          <w:rFonts w:ascii="Times New Roman" w:eastAsia="Times New Roman" w:hAnsi="Times New Roman" w:cs="Times New Roman"/>
          <w:kern w:val="0"/>
          <w:lang w:val="x-none" w:eastAsia="x-none"/>
          <w14:ligatures w14:val="none"/>
        </w:rPr>
        <w:t xml:space="preserve">Similarly, when the survey imputed postdoc or NFR details, the total number of postdocs or NFRs, respectively, was used to choose the nearest neighbor. If the postdoc or NFR total was missing, the graduate student totals were used to select the nearest neighbor to impute the postdoc or NFR variables. If either the postdoc or NFR key total (or both) was missing, other </w:t>
      </w:r>
      <w:r w:rsidRPr="003F655B">
        <w:rPr>
          <w:rFonts w:ascii="Times New Roman" w:eastAsia="Times New Roman" w:hAnsi="Times New Roman" w:cs="Times New Roman"/>
          <w:kern w:val="0"/>
          <w:lang w:val="x-none" w:eastAsia="x-none"/>
          <w14:ligatures w14:val="none"/>
        </w:rPr>
        <w:t xml:space="preserve">available key totals were used to select the nearest neighbor to impute the data. The same donor was then used to impute the details corresponding to the imputed key totals. </w:t>
      </w:r>
      <w:r w:rsidRPr="003F655B">
        <w:rPr>
          <w:rFonts w:ascii="Times New Roman" w:eastAsia="Times New Roman" w:hAnsi="Times New Roman" w:cs="Times New Roman"/>
          <w:kern w:val="0"/>
          <w:lang w:eastAsia="x-none"/>
          <w14:ligatures w14:val="none"/>
        </w:rPr>
        <w:t xml:space="preserve">Occasionally, institutions are not able to provide complete data at the unit level and provide partial data with </w:t>
      </w:r>
      <w:r w:rsidRPr="003F655B">
        <w:rPr>
          <w:rFonts w:ascii="Times New Roman" w:eastAsia="Times New Roman" w:hAnsi="Times New Roman" w:cs="Times New Roman"/>
          <w:kern w:val="0"/>
          <w:lang w:val="x-none" w:eastAsia="x-none"/>
          <w14:ligatures w14:val="none"/>
        </w:rPr>
        <w:t xml:space="preserve">instructions </w:t>
      </w:r>
      <w:r w:rsidRPr="003F655B">
        <w:rPr>
          <w:rFonts w:ascii="Times New Roman" w:eastAsia="Times New Roman" w:hAnsi="Times New Roman" w:cs="Times New Roman"/>
          <w:kern w:val="0"/>
          <w:lang w:eastAsia="x-none"/>
          <w14:ligatures w14:val="none"/>
        </w:rPr>
        <w:t>on how to use the data. These units are marked as special imputation. The most frequent type</w:t>
      </w:r>
      <w:r w:rsidRPr="003F655B">
        <w:rPr>
          <w:rFonts w:ascii="Times New Roman" w:eastAsia="Times New Roman" w:hAnsi="Times New Roman" w:cs="Times New Roman"/>
          <w:kern w:val="0"/>
          <w:lang w:val="x-none" w:eastAsia="x-none" w:bidi="en-US"/>
          <w14:ligatures w14:val="none"/>
        </w:rPr>
        <w:t xml:space="preserve"> of special imputation </w:t>
      </w:r>
      <w:r w:rsidRPr="003F655B">
        <w:rPr>
          <w:rFonts w:ascii="Times New Roman" w:eastAsia="Times New Roman" w:hAnsi="Times New Roman" w:cs="Times New Roman"/>
          <w:kern w:val="0"/>
          <w:lang w:eastAsia="x-none" w:bidi="en-US"/>
          <w14:ligatures w14:val="none"/>
        </w:rPr>
        <w:t xml:space="preserve">is where </w:t>
      </w:r>
      <w:r w:rsidRPr="003F655B">
        <w:rPr>
          <w:rFonts w:ascii="Times New Roman" w:eastAsia="Times New Roman" w:hAnsi="Times New Roman" w:cs="Times New Roman"/>
          <w:kern w:val="0"/>
          <w:lang w:val="x-none" w:eastAsia="x-none" w:bidi="en-US"/>
          <w14:ligatures w14:val="none"/>
        </w:rPr>
        <w:t>institutions provid</w:t>
      </w:r>
      <w:r w:rsidRPr="003F655B">
        <w:rPr>
          <w:rFonts w:ascii="Times New Roman" w:eastAsia="Times New Roman" w:hAnsi="Times New Roman" w:cs="Times New Roman"/>
          <w:kern w:val="0"/>
          <w:lang w:eastAsia="x-none" w:bidi="en-US"/>
          <w14:ligatures w14:val="none"/>
        </w:rPr>
        <w:t>e</w:t>
      </w:r>
      <w:r w:rsidRPr="003F655B">
        <w:rPr>
          <w:rFonts w:ascii="Times New Roman" w:eastAsia="Times New Roman" w:hAnsi="Times New Roman" w:cs="Times New Roman"/>
          <w:kern w:val="0"/>
          <w:lang w:val="x-none" w:eastAsia="x-none" w:bidi="en-US"/>
          <w14:ligatures w14:val="none"/>
        </w:rPr>
        <w:t xml:space="preserve"> key totals at the </w:t>
      </w:r>
      <w:r w:rsidRPr="003F655B">
        <w:rPr>
          <w:rFonts w:ascii="Times New Roman" w:eastAsia="Times New Roman" w:hAnsi="Times New Roman" w:cs="Times New Roman"/>
          <w:kern w:val="0"/>
          <w:lang w:eastAsia="x-none" w:bidi="en-US"/>
          <w14:ligatures w14:val="none"/>
        </w:rPr>
        <w:t xml:space="preserve">institution or </w:t>
      </w:r>
      <w:r w:rsidRPr="003F655B">
        <w:rPr>
          <w:rFonts w:ascii="Times New Roman" w:eastAsia="Times New Roman" w:hAnsi="Times New Roman" w:cs="Times New Roman"/>
          <w:kern w:val="0"/>
          <w:lang w:val="x-none" w:eastAsia="x-none" w:bidi="en-US"/>
          <w14:ligatures w14:val="none"/>
        </w:rPr>
        <w:t>school level and the</w:t>
      </w:r>
      <w:r w:rsidRPr="003F655B">
        <w:rPr>
          <w:rFonts w:ascii="Times New Roman" w:eastAsia="Times New Roman" w:hAnsi="Times New Roman" w:cs="Times New Roman"/>
          <w:kern w:val="0"/>
          <w:lang w:eastAsia="x-none" w:bidi="en-US"/>
          <w14:ligatures w14:val="none"/>
        </w:rPr>
        <w:t>n</w:t>
      </w:r>
      <w:r w:rsidRPr="003F655B">
        <w:rPr>
          <w:rFonts w:ascii="Times New Roman" w:eastAsia="Times New Roman" w:hAnsi="Times New Roman" w:cs="Times New Roman"/>
          <w:kern w:val="0"/>
          <w:lang w:val="x-none" w:eastAsia="x-none" w:bidi="en-US"/>
          <w14:ligatures w14:val="none"/>
        </w:rPr>
        <w:t xml:space="preserve"> </w:t>
      </w:r>
      <w:r w:rsidRPr="003F655B">
        <w:rPr>
          <w:rFonts w:ascii="Times New Roman" w:eastAsia="Times New Roman" w:hAnsi="Times New Roman" w:cs="Times New Roman"/>
          <w:kern w:val="0"/>
          <w:lang w:eastAsia="x-none" w:bidi="en-US"/>
          <w14:ligatures w14:val="none"/>
        </w:rPr>
        <w:t xml:space="preserve">these </w:t>
      </w:r>
      <w:r w:rsidRPr="003F655B">
        <w:rPr>
          <w:rFonts w:ascii="Times New Roman" w:eastAsia="Times New Roman" w:hAnsi="Times New Roman" w:cs="Times New Roman"/>
          <w:kern w:val="0"/>
          <w:lang w:val="x-none" w:eastAsia="x-none" w:bidi="en-US"/>
          <w14:ligatures w14:val="none"/>
        </w:rPr>
        <w:t xml:space="preserve">totals </w:t>
      </w:r>
      <w:r w:rsidRPr="003F655B">
        <w:rPr>
          <w:rFonts w:ascii="Times New Roman" w:eastAsia="Times New Roman" w:hAnsi="Times New Roman" w:cs="Times New Roman"/>
          <w:kern w:val="0"/>
          <w:lang w:val="x-none" w:eastAsia="x-none" w:bidi="en-US"/>
          <w14:ligatures w14:val="none"/>
        </w:rPr>
        <w:t>needed</w:t>
      </w:r>
      <w:r w:rsidRPr="003F655B">
        <w:rPr>
          <w:rFonts w:ascii="Times New Roman" w:eastAsia="Times New Roman" w:hAnsi="Times New Roman" w:cs="Times New Roman"/>
          <w:kern w:val="0"/>
          <w:lang w:val="x-none" w:eastAsia="x-none" w:bidi="en-US"/>
          <w14:ligatures w14:val="none"/>
        </w:rPr>
        <w:t xml:space="preserve"> to be spread to the unit</w:t>
      </w:r>
      <w:r w:rsidRPr="003F655B">
        <w:rPr>
          <w:rFonts w:ascii="Times New Roman" w:eastAsia="Times New Roman" w:hAnsi="Times New Roman" w:cs="Times New Roman"/>
          <w:kern w:val="0"/>
          <w:lang w:eastAsia="x-none" w:bidi="en-US"/>
          <w14:ligatures w14:val="none"/>
        </w:rPr>
        <w:t xml:space="preserve">s. </w:t>
      </w:r>
    </w:p>
    <w:p w:rsidR="003F655B" w:rsidRPr="003F655B" w:rsidP="003F655B" w14:paraId="73A51262" w14:textId="77777777">
      <w:pPr>
        <w:keepNext/>
        <w:keepLines/>
        <w:spacing w:after="0" w:line="480" w:lineRule="auto"/>
        <w:ind w:left="792" w:hanging="792"/>
        <w:outlineLvl w:val="2"/>
        <w:rPr>
          <w:rFonts w:ascii="Arial" w:eastAsia="MS Mincho" w:hAnsi="Arial" w:cs="Times New Roman"/>
          <w:b/>
          <w:i/>
          <w:kern w:val="0"/>
          <w:szCs w:val="20"/>
          <w14:ligatures w14:val="none"/>
        </w:rPr>
      </w:pPr>
      <w:bookmarkStart w:id="10" w:name="_Toc48120630"/>
      <w:bookmarkStart w:id="11" w:name="_Toc210220805"/>
      <w:r w:rsidRPr="003F655B">
        <w:rPr>
          <w:rFonts w:ascii="Arial" w:eastAsia="MS Mincho" w:hAnsi="Arial" w:cs="Times New Roman"/>
          <w:b/>
          <w:i/>
          <w:kern w:val="0"/>
          <w:szCs w:val="20"/>
          <w14:ligatures w14:val="none"/>
        </w:rPr>
        <w:t>9.a.2</w:t>
      </w:r>
      <w:r w:rsidRPr="003F655B">
        <w:rPr>
          <w:rFonts w:ascii="Arial" w:eastAsia="MS Mincho" w:hAnsi="Arial" w:cs="Times New Roman"/>
          <w:b/>
          <w:i/>
          <w:kern w:val="0"/>
          <w:szCs w:val="20"/>
          <w14:ligatures w14:val="none"/>
        </w:rPr>
        <w:tab/>
        <w:t>Results of the Imputation</w:t>
      </w:r>
      <w:bookmarkEnd w:id="10"/>
      <w:bookmarkEnd w:id="11"/>
    </w:p>
    <w:p w:rsidR="003F655B" w:rsidRPr="003F655B" w:rsidP="003F655B" w14:paraId="1EBF29D9" w14:textId="77777777">
      <w:pPr>
        <w:tabs>
          <w:tab w:val="left" w:pos="720"/>
        </w:tabs>
        <w:adjustRightInd w:val="0"/>
        <w:spacing w:after="0" w:line="480" w:lineRule="auto"/>
        <w:ind w:firstLine="720"/>
        <w:textAlignment w:val="baseline"/>
        <w:rPr>
          <w:rFonts w:ascii="Times New Roman" w:eastAsia="Times New Roman" w:hAnsi="Times New Roman" w:cs="Times New Roman"/>
          <w:kern w:val="0"/>
          <w:lang w:val="x-none" w:eastAsia="x-none"/>
          <w14:ligatures w14:val="none"/>
        </w:rPr>
      </w:pPr>
      <w:bookmarkStart w:id="12" w:name="_Toc25161270"/>
      <w:r w:rsidRPr="003F655B">
        <w:rPr>
          <w:rFonts w:ascii="Times New Roman" w:eastAsia="Times New Roman" w:hAnsi="Times New Roman" w:cs="Times New Roman"/>
          <w:kern w:val="0"/>
          <w:lang w:val="x-none" w:eastAsia="x-none"/>
          <w14:ligatures w14:val="none"/>
        </w:rPr>
        <w:t xml:space="preserve">Table </w:t>
      </w:r>
      <w:r w:rsidRPr="003F655B">
        <w:rPr>
          <w:rFonts w:ascii="Times New Roman" w:eastAsia="Times New Roman" w:hAnsi="Times New Roman" w:cs="Times New Roman"/>
          <w:kern w:val="0"/>
          <w:lang w:eastAsia="x-none"/>
          <w14:ligatures w14:val="none"/>
        </w:rPr>
        <w:t>9-2</w:t>
      </w:r>
      <w:r w:rsidRPr="003F655B">
        <w:rPr>
          <w:rFonts w:ascii="Times New Roman" w:eastAsia="Times New Roman" w:hAnsi="Times New Roman" w:cs="Times New Roman"/>
          <w:kern w:val="0"/>
          <w:lang w:val="x-none" w:eastAsia="x-none"/>
          <w14:ligatures w14:val="none"/>
        </w:rPr>
        <w:t xml:space="preserve"> shows the distribution of imputation methods for key totals</w:t>
      </w:r>
      <w:r w:rsidRPr="003F655B">
        <w:rPr>
          <w:rFonts w:ascii="Times New Roman" w:eastAsia="Times New Roman" w:hAnsi="Times New Roman" w:cs="Times New Roman"/>
          <w:kern w:val="0"/>
          <w:lang w:eastAsia="x-none"/>
          <w14:ligatures w14:val="none"/>
        </w:rPr>
        <w:t xml:space="preserve"> (master’s students, doctoral students, postdocs, and NFRs) for </w:t>
      </w:r>
      <w:r w:rsidRPr="003F655B">
        <w:rPr>
          <w:rFonts w:ascii="Times New Roman" w:eastAsia="Times New Roman" w:hAnsi="Times New Roman" w:cs="Times New Roman"/>
          <w:kern w:val="0"/>
          <w:lang w:val="x-none" w:eastAsia="x-none"/>
          <w14:ligatures w14:val="none"/>
        </w:rPr>
        <w:t xml:space="preserve">the 2024 GSS. </w:t>
      </w:r>
      <w:r w:rsidRPr="003F655B">
        <w:rPr>
          <w:rFonts w:ascii="Times New Roman" w:eastAsia="Times New Roman" w:hAnsi="Times New Roman" w:cs="Times New Roman"/>
          <w:kern w:val="0"/>
          <w:lang w:eastAsia="x-none"/>
          <w14:ligatures w14:val="none"/>
        </w:rPr>
        <w:t>At least 93%</w:t>
      </w:r>
      <w:r w:rsidRPr="003F655B">
        <w:rPr>
          <w:rFonts w:ascii="Times New Roman" w:eastAsia="Times New Roman" w:hAnsi="Times New Roman" w:cs="Times New Roman"/>
          <w:kern w:val="0"/>
          <w:lang w:val="x-none" w:eastAsia="x-none"/>
          <w14:ligatures w14:val="none"/>
        </w:rPr>
        <w:t xml:space="preserve"> of the key totals did not require imputation, as shown in the row labeled </w:t>
      </w:r>
      <w:r w:rsidRPr="003F655B">
        <w:rPr>
          <w:rFonts w:ascii="Times New Roman" w:eastAsia="Times New Roman" w:hAnsi="Times New Roman" w:cs="Times New Roman"/>
          <w:kern w:val="0"/>
          <w:lang w:eastAsia="x-none"/>
          <w14:ligatures w14:val="none"/>
        </w:rPr>
        <w:t>“</w:t>
      </w:r>
      <w:r w:rsidRPr="003F655B">
        <w:rPr>
          <w:rFonts w:ascii="Times New Roman" w:eastAsia="Times New Roman" w:hAnsi="Times New Roman" w:cs="Times New Roman"/>
          <w:kern w:val="0"/>
          <w:lang w:val="x-none" w:eastAsia="x-none"/>
          <w14:ligatures w14:val="none"/>
        </w:rPr>
        <w:t>No imputation.</w:t>
      </w:r>
      <w:r w:rsidRPr="003F655B">
        <w:rPr>
          <w:rFonts w:ascii="Times New Roman" w:eastAsia="Times New Roman" w:hAnsi="Times New Roman" w:cs="Times New Roman"/>
          <w:kern w:val="0"/>
          <w:lang w:eastAsia="x-none"/>
          <w14:ligatures w14:val="none"/>
        </w:rPr>
        <w:t>”</w:t>
      </w:r>
      <w:r w:rsidRPr="003F655B">
        <w:rPr>
          <w:rFonts w:ascii="Times New Roman" w:eastAsia="Times New Roman" w:hAnsi="Times New Roman" w:cs="Times New Roman"/>
          <w:kern w:val="0"/>
          <w:lang w:val="x-none" w:eastAsia="x-none"/>
          <w14:ligatures w14:val="none"/>
        </w:rPr>
        <w:t xml:space="preserve"> The most frequently applied imputation method was CF for </w:t>
      </w:r>
      <w:r w:rsidRPr="003F655B">
        <w:rPr>
          <w:rFonts w:ascii="Times New Roman" w:eastAsia="Times New Roman" w:hAnsi="Times New Roman" w:cs="Times New Roman"/>
          <w:kern w:val="0"/>
          <w:lang w:eastAsia="x-none"/>
          <w14:ligatures w14:val="none"/>
        </w:rPr>
        <w:t>full-time</w:t>
      </w:r>
      <w:r w:rsidRPr="003F655B">
        <w:rPr>
          <w:rFonts w:ascii="Times New Roman" w:eastAsia="Times New Roman" w:hAnsi="Times New Roman" w:cs="Times New Roman"/>
          <w:kern w:val="0"/>
          <w:lang w:val="x-none" w:eastAsia="x-none"/>
          <w14:ligatures w14:val="none"/>
        </w:rPr>
        <w:t xml:space="preserve"> and </w:t>
      </w:r>
      <w:r w:rsidRPr="003F655B">
        <w:rPr>
          <w:rFonts w:ascii="Times New Roman" w:eastAsia="Times New Roman" w:hAnsi="Times New Roman" w:cs="Times New Roman"/>
          <w:kern w:val="0"/>
          <w:lang w:eastAsia="x-none"/>
          <w14:ligatures w14:val="none"/>
        </w:rPr>
        <w:t>part-time</w:t>
      </w:r>
      <w:r w:rsidRPr="003F655B">
        <w:rPr>
          <w:rFonts w:ascii="Times New Roman" w:eastAsia="Times New Roman" w:hAnsi="Times New Roman" w:cs="Times New Roman"/>
          <w:kern w:val="0"/>
          <w:lang w:val="x-none" w:eastAsia="x-none"/>
          <w14:ligatures w14:val="none"/>
        </w:rPr>
        <w:t xml:space="preserve"> graduate students</w:t>
      </w:r>
      <w:r w:rsidRPr="003F655B">
        <w:rPr>
          <w:rFonts w:ascii="Times New Roman" w:eastAsia="Times New Roman" w:hAnsi="Times New Roman" w:cs="Times New Roman"/>
          <w:kern w:val="0"/>
          <w:lang w:eastAsia="x-none"/>
          <w14:ligatures w14:val="none"/>
        </w:rPr>
        <w:t xml:space="preserve"> by degree type</w:t>
      </w:r>
      <w:r w:rsidRPr="003F655B">
        <w:rPr>
          <w:rFonts w:ascii="Times New Roman" w:eastAsia="Times New Roman" w:hAnsi="Times New Roman" w:cs="Times New Roman"/>
          <w:kern w:val="0"/>
          <w:lang w:val="x-none" w:eastAsia="x-none"/>
          <w14:ligatures w14:val="none"/>
        </w:rPr>
        <w:t xml:space="preserve">, </w:t>
      </w:r>
      <w:r w:rsidRPr="003F655B">
        <w:rPr>
          <w:rFonts w:ascii="Times New Roman" w:eastAsia="Times New Roman" w:hAnsi="Times New Roman" w:cs="Times New Roman"/>
          <w:kern w:val="0"/>
          <w:lang w:eastAsia="x-none"/>
          <w14:ligatures w14:val="none"/>
        </w:rPr>
        <w:t>postdoc</w:t>
      </w:r>
      <w:r w:rsidRPr="003F655B">
        <w:rPr>
          <w:rFonts w:ascii="Times New Roman" w:eastAsia="Times New Roman" w:hAnsi="Times New Roman" w:cs="Times New Roman"/>
          <w:kern w:val="0"/>
          <w:lang w:val="x-none" w:eastAsia="x-none"/>
          <w14:ligatures w14:val="none"/>
        </w:rPr>
        <w:t>s, and NFRs. For NFRs, the second most frequently applied</w:t>
      </w:r>
      <w:r w:rsidRPr="003F655B">
        <w:rPr>
          <w:rFonts w:ascii="Times New Roman" w:eastAsia="Times New Roman" w:hAnsi="Times New Roman" w:cs="Times New Roman"/>
          <w:kern w:val="0"/>
          <w:lang w:eastAsia="x-none"/>
          <w14:ligatures w14:val="none"/>
        </w:rPr>
        <w:t xml:space="preserve"> imputation</w:t>
      </w:r>
      <w:r w:rsidRPr="003F655B">
        <w:rPr>
          <w:rFonts w:ascii="Times New Roman" w:eastAsia="Times New Roman" w:hAnsi="Times New Roman" w:cs="Times New Roman"/>
          <w:kern w:val="0"/>
          <w:lang w:val="x-none" w:eastAsia="x-none"/>
          <w14:ligatures w14:val="none"/>
        </w:rPr>
        <w:t xml:space="preserve"> method was </w:t>
      </w:r>
      <w:r w:rsidRPr="003F655B">
        <w:rPr>
          <w:rFonts w:ascii="Times New Roman" w:eastAsia="Times New Roman" w:hAnsi="Times New Roman" w:cs="Times New Roman"/>
          <w:kern w:val="0"/>
          <w:lang w:eastAsia="x-none"/>
          <w14:ligatures w14:val="none"/>
        </w:rPr>
        <w:t xml:space="preserve">nearest neighbor. The </w:t>
      </w:r>
      <w:r w:rsidRPr="003F655B">
        <w:rPr>
          <w:rFonts w:ascii="Times New Roman" w:eastAsia="Times New Roman" w:hAnsi="Times New Roman" w:cs="Times New Roman"/>
          <w:i/>
          <w:iCs/>
          <w:kern w:val="0"/>
          <w:lang w:eastAsia="x-none"/>
          <w14:ligatures w14:val="none"/>
        </w:rPr>
        <w:t>2024 GSS Imputation Report</w:t>
      </w:r>
      <w:r w:rsidRPr="003F655B">
        <w:rPr>
          <w:rFonts w:ascii="Times New Roman" w:eastAsia="Times New Roman" w:hAnsi="Times New Roman" w:cs="Times New Roman"/>
          <w:kern w:val="0"/>
          <w:lang w:eastAsia="x-none"/>
          <w14:ligatures w14:val="none"/>
        </w:rPr>
        <w:t xml:space="preserve"> (Ault et al. 2025) provides additional details about the imputation methods.</w:t>
      </w:r>
      <w:bookmarkStart w:id="13" w:name="_Toc297885437"/>
    </w:p>
    <w:p w:rsidR="003F655B" w:rsidRPr="003F655B" w:rsidP="003F655B" w14:paraId="26B52C98" w14:textId="77777777">
      <w:pPr>
        <w:keepNext/>
        <w:spacing w:after="0" w:line="240" w:lineRule="auto"/>
        <w:rPr>
          <w:rFonts w:ascii="Arial Narrow" w:eastAsia="Times New Roman" w:hAnsi="Arial Narrow" w:cs="Calibri"/>
          <w:color w:val="000000"/>
          <w:kern w:val="0"/>
          <w:sz w:val="18"/>
          <w:szCs w:val="18"/>
          <w14:ligatures w14:val="none"/>
        </w:rPr>
      </w:pPr>
      <w:bookmarkStart w:id="14" w:name="_Toc63251703"/>
      <w:bookmarkStart w:id="15" w:name="_Toc37842406"/>
      <w:bookmarkEnd w:id="13"/>
      <w:r w:rsidRPr="003F655B">
        <w:rPr>
          <w:rFonts w:ascii="Arial Narrow" w:eastAsia="Times New Roman" w:hAnsi="Arial Narrow" w:cs="Calibri"/>
          <w:color w:val="000000"/>
          <w:kern w:val="0"/>
          <w:sz w:val="18"/>
          <w:szCs w:val="18"/>
          <w14:ligatures w14:val="none"/>
        </w:rPr>
        <w:t>Table 9-2</w:t>
      </w:r>
    </w:p>
    <w:p w:rsidR="003F655B" w:rsidRPr="003F655B" w:rsidP="003F655B" w14:paraId="0F7C96FE" w14:textId="77777777">
      <w:pPr>
        <w:keepNext/>
        <w:spacing w:after="0" w:line="240" w:lineRule="auto"/>
        <w:rPr>
          <w:rFonts w:ascii="Arial Narrow" w:eastAsia="Calibri" w:hAnsi="Arial Narrow" w:cs="Times New Roman"/>
          <w:kern w:val="0"/>
          <w:sz w:val="18"/>
          <w:szCs w:val="18"/>
          <w14:ligatures w14:val="none"/>
        </w:rPr>
      </w:pPr>
      <w:bookmarkStart w:id="16" w:name="_Toc210223882"/>
      <w:r w:rsidRPr="003F655B">
        <w:rPr>
          <w:rFonts w:ascii="Arial Narrow" w:eastAsia="Calibri" w:hAnsi="Arial Narrow" w:cs="Times New Roman"/>
          <w:kern w:val="0"/>
          <w:sz w:val="18"/>
          <w:szCs w:val="18"/>
          <w14:ligatures w14:val="none"/>
        </w:rPr>
        <w:t xml:space="preserve">Key totals, by imputation methods: </w:t>
      </w:r>
      <w:bookmarkEnd w:id="12"/>
      <w:bookmarkEnd w:id="14"/>
      <w:bookmarkEnd w:id="15"/>
      <w:r w:rsidRPr="003F655B">
        <w:rPr>
          <w:rFonts w:ascii="Arial Narrow" w:eastAsia="Calibri" w:hAnsi="Arial Narrow" w:cs="Times New Roman"/>
          <w:kern w:val="0"/>
          <w:sz w:val="18"/>
          <w:szCs w:val="18"/>
          <w14:ligatures w14:val="none"/>
        </w:rPr>
        <w:t>2024</w:t>
      </w:r>
      <w:bookmarkEnd w:id="16"/>
      <w:r w:rsidRPr="003F655B">
        <w:rPr>
          <w:rFonts w:ascii="Arial Narrow" w:eastAsia="Calibri" w:hAnsi="Arial Narrow" w:cs="Times New Roman"/>
          <w:kern w:val="0"/>
          <w:sz w:val="18"/>
          <w:szCs w:val="18"/>
          <w14:ligatures w14:val="none"/>
        </w:rPr>
        <w:t xml:space="preserve"> </w:t>
      </w:r>
    </w:p>
    <w:p w:rsidR="003F655B" w:rsidRPr="003F655B" w:rsidP="003F655B" w14:paraId="39B94499" w14:textId="77777777">
      <w:pPr>
        <w:keepNext/>
        <w:spacing w:after="40" w:line="240" w:lineRule="auto"/>
        <w:rPr>
          <w:rFonts w:ascii="Arial Narrow" w:eastAsia="Calibri" w:hAnsi="Arial Narrow" w:cs="Times New Roman"/>
          <w:kern w:val="0"/>
          <w:sz w:val="16"/>
          <w:szCs w:val="18"/>
          <w14:ligatures w14:val="none"/>
        </w:rPr>
      </w:pPr>
      <w:r w:rsidRPr="003F655B">
        <w:rPr>
          <w:rFonts w:ascii="Arial Narrow" w:eastAsia="Calibri" w:hAnsi="Arial Narrow" w:cs="Times New Roman"/>
          <w:kern w:val="0"/>
          <w:sz w:val="16"/>
          <w:szCs w:val="18"/>
          <w14:ligatures w14:val="none"/>
        </w:rPr>
        <w:t>(Number and percent)</w:t>
      </w:r>
    </w:p>
    <w:tbl>
      <w:tblPr>
        <w:tblStyle w:val="TableGSS"/>
        <w:tblW w:w="5008" w:type="pct"/>
        <w:tblLayout w:type="fixed"/>
        <w:tblLook w:val="0620"/>
      </w:tblPr>
      <w:tblGrid>
        <w:gridCol w:w="770"/>
        <w:gridCol w:w="615"/>
        <w:gridCol w:w="610"/>
        <w:gridCol w:w="192"/>
        <w:gridCol w:w="615"/>
        <w:gridCol w:w="679"/>
        <w:gridCol w:w="192"/>
        <w:gridCol w:w="615"/>
        <w:gridCol w:w="681"/>
        <w:gridCol w:w="192"/>
        <w:gridCol w:w="615"/>
        <w:gridCol w:w="617"/>
        <w:gridCol w:w="192"/>
        <w:gridCol w:w="681"/>
        <w:gridCol w:w="615"/>
        <w:gridCol w:w="192"/>
        <w:gridCol w:w="683"/>
        <w:gridCol w:w="619"/>
      </w:tblGrid>
      <w:tr w14:paraId="245AD152" w14:textId="77777777" w:rsidTr="002A0A21">
        <w:tblPrEx>
          <w:tblW w:w="5008" w:type="pct"/>
          <w:tblLayout w:type="fixed"/>
          <w:tblLook w:val="0620"/>
        </w:tblPrEx>
        <w:tc>
          <w:tcPr>
            <w:tcW w:w="416" w:type="pct"/>
            <w:vMerge w:val="restart"/>
            <w:noWrap/>
            <w:vAlign w:val="bottom"/>
            <w:hideMark/>
          </w:tcPr>
          <w:p w:rsidR="003F655B" w:rsidRPr="003F655B" w:rsidP="003F655B" w14:paraId="13896F83" w14:textId="77777777">
            <w:pPr>
              <w:spacing w:before="20" w:after="20"/>
              <w:rPr>
                <w:rFonts w:cs="Arial"/>
                <w:color w:val="000000"/>
                <w:sz w:val="16"/>
                <w:szCs w:val="16"/>
              </w:rPr>
            </w:pPr>
            <w:r w:rsidRPr="003F655B">
              <w:rPr>
                <w:rFonts w:cs="Arial"/>
                <w:color w:val="000000"/>
                <w:sz w:val="16"/>
                <w:szCs w:val="16"/>
              </w:rPr>
              <w:t>Imputation method</w:t>
            </w:r>
          </w:p>
        </w:tc>
        <w:tc>
          <w:tcPr>
            <w:tcW w:w="663" w:type="pct"/>
            <w:gridSpan w:val="2"/>
            <w:vAlign w:val="bottom"/>
            <w:hideMark/>
          </w:tcPr>
          <w:p w:rsidR="003F655B" w:rsidRPr="003F655B" w:rsidP="003F655B" w14:paraId="1A87A479" w14:textId="77777777">
            <w:pPr>
              <w:spacing w:before="20" w:after="20"/>
              <w:jc w:val="center"/>
              <w:rPr>
                <w:rFonts w:cs="Arial"/>
                <w:color w:val="000000"/>
                <w:sz w:val="16"/>
                <w:szCs w:val="16"/>
              </w:rPr>
            </w:pPr>
            <w:r w:rsidRPr="003F655B">
              <w:rPr>
                <w:rFonts w:cs="Arial"/>
                <w:color w:val="000000"/>
                <w:sz w:val="16"/>
                <w:szCs w:val="16"/>
              </w:rPr>
              <w:t>Master's part-time graduate students</w:t>
            </w:r>
          </w:p>
        </w:tc>
        <w:tc>
          <w:tcPr>
            <w:tcW w:w="89" w:type="pct"/>
            <w:tcBorders>
              <w:top w:val="single" w:sz="4" w:space="0" w:color="auto"/>
              <w:bottom w:val="nil"/>
            </w:tcBorders>
          </w:tcPr>
          <w:p w:rsidR="003F655B" w:rsidRPr="003F655B" w:rsidP="003F655B" w14:paraId="60BD6C0E" w14:textId="77777777">
            <w:pPr>
              <w:spacing w:before="20" w:after="20"/>
              <w:jc w:val="center"/>
              <w:rPr>
                <w:rFonts w:cs="Arial"/>
                <w:color w:val="000000"/>
                <w:sz w:val="16"/>
                <w:szCs w:val="16"/>
              </w:rPr>
            </w:pPr>
          </w:p>
        </w:tc>
        <w:tc>
          <w:tcPr>
            <w:tcW w:w="700" w:type="pct"/>
            <w:gridSpan w:val="2"/>
            <w:vAlign w:val="bottom"/>
            <w:hideMark/>
          </w:tcPr>
          <w:p w:rsidR="003F655B" w:rsidRPr="003F655B" w:rsidP="003F655B" w14:paraId="5DE73478" w14:textId="77777777">
            <w:pPr>
              <w:spacing w:before="20" w:after="20"/>
              <w:jc w:val="center"/>
              <w:rPr>
                <w:rFonts w:cs="Arial"/>
                <w:color w:val="000000"/>
                <w:sz w:val="16"/>
                <w:szCs w:val="16"/>
              </w:rPr>
            </w:pPr>
            <w:r w:rsidRPr="003F655B">
              <w:rPr>
                <w:rFonts w:cs="Arial"/>
                <w:color w:val="000000"/>
                <w:sz w:val="16"/>
                <w:szCs w:val="16"/>
              </w:rPr>
              <w:t>Master's full-time graduate students</w:t>
            </w:r>
          </w:p>
        </w:tc>
        <w:tc>
          <w:tcPr>
            <w:tcW w:w="91" w:type="pct"/>
            <w:tcBorders>
              <w:top w:val="single" w:sz="4" w:space="0" w:color="auto"/>
              <w:bottom w:val="nil"/>
            </w:tcBorders>
          </w:tcPr>
          <w:p w:rsidR="003F655B" w:rsidRPr="003F655B" w:rsidP="003F655B" w14:paraId="09D4C234" w14:textId="77777777">
            <w:pPr>
              <w:spacing w:before="20" w:after="20"/>
              <w:jc w:val="center"/>
              <w:rPr>
                <w:rFonts w:cs="Arial"/>
                <w:color w:val="000000"/>
                <w:sz w:val="16"/>
                <w:szCs w:val="16"/>
              </w:rPr>
            </w:pPr>
          </w:p>
        </w:tc>
        <w:tc>
          <w:tcPr>
            <w:tcW w:w="701" w:type="pct"/>
            <w:gridSpan w:val="2"/>
            <w:vAlign w:val="bottom"/>
            <w:hideMark/>
          </w:tcPr>
          <w:p w:rsidR="003F655B" w:rsidRPr="003F655B" w:rsidP="003F655B" w14:paraId="422AF9DD" w14:textId="77777777">
            <w:pPr>
              <w:spacing w:before="20" w:after="20"/>
              <w:jc w:val="center"/>
              <w:rPr>
                <w:rFonts w:cs="Arial"/>
                <w:color w:val="000000"/>
                <w:sz w:val="16"/>
                <w:szCs w:val="16"/>
              </w:rPr>
            </w:pPr>
            <w:r w:rsidRPr="003F655B">
              <w:rPr>
                <w:rFonts w:cs="Arial"/>
                <w:color w:val="000000"/>
                <w:sz w:val="16"/>
                <w:szCs w:val="16"/>
              </w:rPr>
              <w:t>Doctoral part-time graduate students</w:t>
            </w:r>
          </w:p>
        </w:tc>
        <w:tc>
          <w:tcPr>
            <w:tcW w:w="90" w:type="pct"/>
            <w:tcBorders>
              <w:top w:val="single" w:sz="4" w:space="0" w:color="auto"/>
              <w:bottom w:val="nil"/>
            </w:tcBorders>
          </w:tcPr>
          <w:p w:rsidR="003F655B" w:rsidRPr="003F655B" w:rsidP="003F655B" w14:paraId="05C07D3D" w14:textId="77777777">
            <w:pPr>
              <w:spacing w:before="20" w:after="20"/>
              <w:jc w:val="center"/>
              <w:rPr>
                <w:rFonts w:cs="Arial"/>
                <w:color w:val="000000"/>
                <w:sz w:val="16"/>
                <w:szCs w:val="16"/>
              </w:rPr>
            </w:pPr>
          </w:p>
        </w:tc>
        <w:tc>
          <w:tcPr>
            <w:tcW w:w="667" w:type="pct"/>
            <w:gridSpan w:val="2"/>
            <w:vAlign w:val="bottom"/>
            <w:hideMark/>
          </w:tcPr>
          <w:p w:rsidR="003F655B" w:rsidRPr="003F655B" w:rsidP="003F655B" w14:paraId="44913A7E" w14:textId="77777777">
            <w:pPr>
              <w:spacing w:before="20" w:after="20"/>
              <w:jc w:val="center"/>
              <w:rPr>
                <w:rFonts w:cs="Arial"/>
                <w:color w:val="000000"/>
                <w:sz w:val="16"/>
                <w:szCs w:val="16"/>
              </w:rPr>
            </w:pPr>
            <w:r w:rsidRPr="003F655B">
              <w:rPr>
                <w:rFonts w:cs="Arial"/>
                <w:color w:val="000000"/>
                <w:sz w:val="16"/>
                <w:szCs w:val="16"/>
              </w:rPr>
              <w:t>Doctoral full-time graduate students</w:t>
            </w:r>
          </w:p>
        </w:tc>
        <w:tc>
          <w:tcPr>
            <w:tcW w:w="89" w:type="pct"/>
            <w:tcBorders>
              <w:top w:val="single" w:sz="4" w:space="0" w:color="auto"/>
              <w:bottom w:val="nil"/>
            </w:tcBorders>
          </w:tcPr>
          <w:p w:rsidR="003F655B" w:rsidRPr="003F655B" w:rsidP="003F655B" w14:paraId="127DC97F" w14:textId="77777777">
            <w:pPr>
              <w:spacing w:before="20" w:after="20"/>
              <w:jc w:val="center"/>
              <w:rPr>
                <w:rFonts w:cs="Arial"/>
                <w:color w:val="000000"/>
                <w:sz w:val="16"/>
                <w:szCs w:val="16"/>
              </w:rPr>
            </w:pPr>
          </w:p>
        </w:tc>
        <w:tc>
          <w:tcPr>
            <w:tcW w:w="701" w:type="pct"/>
            <w:gridSpan w:val="2"/>
            <w:vAlign w:val="bottom"/>
            <w:hideMark/>
          </w:tcPr>
          <w:p w:rsidR="003F655B" w:rsidRPr="003F655B" w:rsidP="003F655B" w14:paraId="7EA7B8D1" w14:textId="77777777">
            <w:pPr>
              <w:spacing w:before="20" w:after="20"/>
              <w:jc w:val="center"/>
              <w:rPr>
                <w:rFonts w:cs="Arial"/>
                <w:color w:val="000000"/>
                <w:sz w:val="16"/>
                <w:szCs w:val="16"/>
              </w:rPr>
            </w:pPr>
            <w:r w:rsidRPr="003F655B">
              <w:rPr>
                <w:rFonts w:cs="Arial"/>
                <w:color w:val="000000"/>
                <w:sz w:val="16"/>
                <w:szCs w:val="16"/>
              </w:rPr>
              <w:t>Postdoctorates</w:t>
            </w:r>
          </w:p>
        </w:tc>
        <w:tc>
          <w:tcPr>
            <w:tcW w:w="89" w:type="pct"/>
            <w:tcBorders>
              <w:top w:val="single" w:sz="4" w:space="0" w:color="auto"/>
              <w:bottom w:val="nil"/>
            </w:tcBorders>
          </w:tcPr>
          <w:p w:rsidR="003F655B" w:rsidRPr="003F655B" w:rsidP="003F655B" w14:paraId="036A2629" w14:textId="77777777">
            <w:pPr>
              <w:spacing w:before="20" w:after="20"/>
              <w:jc w:val="center"/>
              <w:rPr>
                <w:rFonts w:cs="Arial"/>
                <w:color w:val="000000"/>
                <w:sz w:val="16"/>
                <w:szCs w:val="16"/>
              </w:rPr>
            </w:pPr>
          </w:p>
        </w:tc>
        <w:tc>
          <w:tcPr>
            <w:tcW w:w="704" w:type="pct"/>
            <w:gridSpan w:val="2"/>
            <w:vAlign w:val="bottom"/>
            <w:hideMark/>
          </w:tcPr>
          <w:p w:rsidR="003F655B" w:rsidRPr="003F655B" w:rsidP="003F655B" w14:paraId="1A46ACAB" w14:textId="77777777">
            <w:pPr>
              <w:spacing w:before="20" w:after="20"/>
              <w:jc w:val="center"/>
              <w:rPr>
                <w:rFonts w:cs="Arial"/>
                <w:color w:val="000000"/>
                <w:sz w:val="16"/>
                <w:szCs w:val="16"/>
              </w:rPr>
            </w:pPr>
            <w:r w:rsidRPr="003F655B">
              <w:rPr>
                <w:rFonts w:cs="Arial"/>
                <w:color w:val="000000"/>
                <w:sz w:val="16"/>
                <w:szCs w:val="16"/>
              </w:rPr>
              <w:t xml:space="preserve">Nonfaculty </w:t>
            </w:r>
            <w:r w:rsidRPr="003F655B">
              <w:rPr>
                <w:rFonts w:cs="Arial"/>
                <w:color w:val="000000"/>
                <w:sz w:val="16"/>
                <w:szCs w:val="16"/>
              </w:rPr>
              <w:br/>
              <w:t>researchers</w:t>
            </w:r>
          </w:p>
        </w:tc>
      </w:tr>
      <w:tr w14:paraId="7231B1E8" w14:textId="77777777" w:rsidTr="002A0A21">
        <w:tblPrEx>
          <w:tblW w:w="5008" w:type="pct"/>
          <w:tblLayout w:type="fixed"/>
          <w:tblLook w:val="0620"/>
        </w:tblPrEx>
        <w:tc>
          <w:tcPr>
            <w:tcW w:w="416" w:type="pct"/>
            <w:vMerge/>
            <w:tcBorders>
              <w:bottom w:val="single" w:sz="4" w:space="0" w:color="auto"/>
            </w:tcBorders>
            <w:noWrap/>
            <w:vAlign w:val="bottom"/>
            <w:hideMark/>
          </w:tcPr>
          <w:p w:rsidR="003F655B" w:rsidRPr="003F655B" w:rsidP="003F655B" w14:paraId="4B1D0F47" w14:textId="77777777">
            <w:pPr>
              <w:spacing w:before="20" w:after="20"/>
              <w:rPr>
                <w:rFonts w:cs="Arial"/>
                <w:color w:val="000000"/>
                <w:sz w:val="16"/>
                <w:szCs w:val="16"/>
              </w:rPr>
            </w:pPr>
          </w:p>
        </w:tc>
        <w:tc>
          <w:tcPr>
            <w:tcW w:w="333" w:type="pct"/>
            <w:tcBorders>
              <w:bottom w:val="single" w:sz="4" w:space="0" w:color="auto"/>
            </w:tcBorders>
            <w:noWrap/>
            <w:vAlign w:val="bottom"/>
            <w:hideMark/>
          </w:tcPr>
          <w:p w:rsidR="003F655B" w:rsidRPr="003F655B" w:rsidP="003F655B" w14:paraId="34E0047D" w14:textId="77777777">
            <w:pPr>
              <w:spacing w:before="20" w:after="20"/>
              <w:jc w:val="right"/>
              <w:rPr>
                <w:rFonts w:cs="Arial"/>
                <w:color w:val="000000"/>
                <w:sz w:val="16"/>
                <w:szCs w:val="16"/>
              </w:rPr>
            </w:pPr>
            <w:r w:rsidRPr="003F655B">
              <w:rPr>
                <w:rFonts w:cs="Arial"/>
                <w:color w:val="000000"/>
                <w:sz w:val="16"/>
                <w:szCs w:val="16"/>
              </w:rPr>
              <w:t>Number</w:t>
            </w:r>
          </w:p>
        </w:tc>
        <w:tc>
          <w:tcPr>
            <w:tcW w:w="330" w:type="pct"/>
            <w:tcBorders>
              <w:bottom w:val="single" w:sz="4" w:space="0" w:color="auto"/>
            </w:tcBorders>
            <w:noWrap/>
            <w:vAlign w:val="bottom"/>
            <w:hideMark/>
          </w:tcPr>
          <w:p w:rsidR="003F655B" w:rsidRPr="003F655B" w:rsidP="003F655B" w14:paraId="11190641" w14:textId="77777777">
            <w:pPr>
              <w:spacing w:before="20" w:after="20"/>
              <w:jc w:val="right"/>
              <w:rPr>
                <w:rFonts w:cs="Arial"/>
                <w:color w:val="000000"/>
                <w:sz w:val="16"/>
                <w:szCs w:val="16"/>
              </w:rPr>
            </w:pPr>
            <w:r w:rsidRPr="003F655B">
              <w:rPr>
                <w:rFonts w:cs="Arial"/>
                <w:color w:val="000000"/>
                <w:sz w:val="16"/>
                <w:szCs w:val="16"/>
              </w:rPr>
              <w:t>Percent</w:t>
            </w:r>
          </w:p>
        </w:tc>
        <w:tc>
          <w:tcPr>
            <w:tcW w:w="89" w:type="pct"/>
            <w:tcBorders>
              <w:top w:val="nil"/>
              <w:bottom w:val="single" w:sz="4" w:space="0" w:color="auto"/>
            </w:tcBorders>
          </w:tcPr>
          <w:p w:rsidR="003F655B" w:rsidRPr="003F655B" w:rsidP="003F655B" w14:paraId="0811B319" w14:textId="77777777">
            <w:pPr>
              <w:spacing w:before="20" w:after="20"/>
              <w:jc w:val="right"/>
              <w:rPr>
                <w:rFonts w:cs="Arial"/>
                <w:color w:val="000000"/>
                <w:sz w:val="16"/>
                <w:szCs w:val="16"/>
              </w:rPr>
            </w:pPr>
          </w:p>
        </w:tc>
        <w:tc>
          <w:tcPr>
            <w:tcW w:w="333" w:type="pct"/>
            <w:tcBorders>
              <w:bottom w:val="single" w:sz="4" w:space="0" w:color="auto"/>
            </w:tcBorders>
            <w:noWrap/>
            <w:vAlign w:val="bottom"/>
            <w:hideMark/>
          </w:tcPr>
          <w:p w:rsidR="003F655B" w:rsidRPr="003F655B" w:rsidP="003F655B" w14:paraId="2A108480" w14:textId="77777777">
            <w:pPr>
              <w:spacing w:before="20" w:after="20"/>
              <w:jc w:val="right"/>
              <w:rPr>
                <w:rFonts w:cs="Arial"/>
                <w:color w:val="000000"/>
                <w:sz w:val="16"/>
                <w:szCs w:val="16"/>
              </w:rPr>
            </w:pPr>
            <w:r w:rsidRPr="003F655B">
              <w:rPr>
                <w:rFonts w:cs="Arial"/>
                <w:color w:val="000000"/>
                <w:sz w:val="16"/>
                <w:szCs w:val="16"/>
              </w:rPr>
              <w:t>Number</w:t>
            </w:r>
          </w:p>
        </w:tc>
        <w:tc>
          <w:tcPr>
            <w:tcW w:w="367" w:type="pct"/>
            <w:tcBorders>
              <w:bottom w:val="single" w:sz="4" w:space="0" w:color="auto"/>
            </w:tcBorders>
            <w:noWrap/>
            <w:vAlign w:val="bottom"/>
            <w:hideMark/>
          </w:tcPr>
          <w:p w:rsidR="003F655B" w:rsidRPr="003F655B" w:rsidP="003F655B" w14:paraId="56B7E1BD" w14:textId="77777777">
            <w:pPr>
              <w:spacing w:before="20" w:after="20"/>
              <w:jc w:val="center"/>
              <w:rPr>
                <w:rFonts w:cs="Arial"/>
                <w:color w:val="000000"/>
                <w:sz w:val="16"/>
                <w:szCs w:val="16"/>
              </w:rPr>
            </w:pPr>
            <w:r w:rsidRPr="003F655B">
              <w:rPr>
                <w:rFonts w:cs="Arial"/>
                <w:color w:val="000000"/>
                <w:sz w:val="16"/>
                <w:szCs w:val="16"/>
              </w:rPr>
              <w:t>Percent</w:t>
            </w:r>
          </w:p>
        </w:tc>
        <w:tc>
          <w:tcPr>
            <w:tcW w:w="91" w:type="pct"/>
            <w:tcBorders>
              <w:top w:val="nil"/>
              <w:bottom w:val="single" w:sz="4" w:space="0" w:color="auto"/>
            </w:tcBorders>
          </w:tcPr>
          <w:p w:rsidR="003F655B" w:rsidRPr="003F655B" w:rsidP="003F655B" w14:paraId="675BF530" w14:textId="77777777">
            <w:pPr>
              <w:spacing w:before="20" w:after="20"/>
              <w:jc w:val="right"/>
              <w:rPr>
                <w:rFonts w:cs="Arial"/>
                <w:color w:val="000000"/>
                <w:sz w:val="16"/>
                <w:szCs w:val="16"/>
              </w:rPr>
            </w:pPr>
          </w:p>
        </w:tc>
        <w:tc>
          <w:tcPr>
            <w:tcW w:w="333" w:type="pct"/>
            <w:tcBorders>
              <w:bottom w:val="single" w:sz="4" w:space="0" w:color="auto"/>
            </w:tcBorders>
            <w:noWrap/>
            <w:vAlign w:val="bottom"/>
            <w:hideMark/>
          </w:tcPr>
          <w:p w:rsidR="003F655B" w:rsidRPr="003F655B" w:rsidP="003F655B" w14:paraId="4DDA10FF" w14:textId="77777777">
            <w:pPr>
              <w:spacing w:before="20" w:after="20"/>
              <w:jc w:val="right"/>
              <w:rPr>
                <w:rFonts w:cs="Arial"/>
                <w:color w:val="000000"/>
                <w:sz w:val="16"/>
                <w:szCs w:val="16"/>
              </w:rPr>
            </w:pPr>
            <w:r w:rsidRPr="003F655B">
              <w:rPr>
                <w:rFonts w:cs="Arial"/>
                <w:color w:val="000000"/>
                <w:sz w:val="16"/>
                <w:szCs w:val="16"/>
              </w:rPr>
              <w:t>Number</w:t>
            </w:r>
          </w:p>
        </w:tc>
        <w:tc>
          <w:tcPr>
            <w:tcW w:w="368" w:type="pct"/>
            <w:tcBorders>
              <w:bottom w:val="single" w:sz="4" w:space="0" w:color="auto"/>
            </w:tcBorders>
            <w:noWrap/>
            <w:vAlign w:val="bottom"/>
            <w:hideMark/>
          </w:tcPr>
          <w:p w:rsidR="003F655B" w:rsidRPr="003F655B" w:rsidP="003F655B" w14:paraId="41CAE951" w14:textId="77777777">
            <w:pPr>
              <w:spacing w:before="20" w:after="20"/>
              <w:jc w:val="right"/>
              <w:rPr>
                <w:rFonts w:cs="Arial"/>
                <w:color w:val="000000"/>
                <w:sz w:val="16"/>
                <w:szCs w:val="16"/>
              </w:rPr>
            </w:pPr>
            <w:r w:rsidRPr="003F655B">
              <w:rPr>
                <w:rFonts w:cs="Arial"/>
                <w:color w:val="000000"/>
                <w:sz w:val="16"/>
                <w:szCs w:val="16"/>
              </w:rPr>
              <w:t>Percent</w:t>
            </w:r>
          </w:p>
        </w:tc>
        <w:tc>
          <w:tcPr>
            <w:tcW w:w="90" w:type="pct"/>
            <w:tcBorders>
              <w:top w:val="nil"/>
              <w:bottom w:val="single" w:sz="4" w:space="0" w:color="auto"/>
            </w:tcBorders>
          </w:tcPr>
          <w:p w:rsidR="003F655B" w:rsidRPr="003F655B" w:rsidP="003F655B" w14:paraId="2065AABC" w14:textId="77777777">
            <w:pPr>
              <w:spacing w:before="20" w:after="20"/>
              <w:jc w:val="right"/>
              <w:rPr>
                <w:rFonts w:cs="Arial"/>
                <w:color w:val="000000"/>
                <w:sz w:val="16"/>
                <w:szCs w:val="16"/>
              </w:rPr>
            </w:pPr>
          </w:p>
        </w:tc>
        <w:tc>
          <w:tcPr>
            <w:tcW w:w="333" w:type="pct"/>
            <w:tcBorders>
              <w:bottom w:val="single" w:sz="4" w:space="0" w:color="auto"/>
            </w:tcBorders>
            <w:noWrap/>
            <w:vAlign w:val="bottom"/>
            <w:hideMark/>
          </w:tcPr>
          <w:p w:rsidR="003F655B" w:rsidRPr="003F655B" w:rsidP="003F655B" w14:paraId="7753ADC2" w14:textId="77777777">
            <w:pPr>
              <w:spacing w:before="20" w:after="20"/>
              <w:jc w:val="right"/>
              <w:rPr>
                <w:rFonts w:cs="Arial"/>
                <w:color w:val="000000"/>
                <w:sz w:val="16"/>
                <w:szCs w:val="16"/>
              </w:rPr>
            </w:pPr>
            <w:r w:rsidRPr="003F655B">
              <w:rPr>
                <w:rFonts w:cs="Arial"/>
                <w:color w:val="000000"/>
                <w:sz w:val="16"/>
                <w:szCs w:val="16"/>
              </w:rPr>
              <w:t>Number</w:t>
            </w:r>
          </w:p>
        </w:tc>
        <w:tc>
          <w:tcPr>
            <w:tcW w:w="334" w:type="pct"/>
            <w:tcBorders>
              <w:bottom w:val="single" w:sz="4" w:space="0" w:color="auto"/>
            </w:tcBorders>
            <w:noWrap/>
            <w:vAlign w:val="bottom"/>
            <w:hideMark/>
          </w:tcPr>
          <w:p w:rsidR="003F655B" w:rsidRPr="003F655B" w:rsidP="003F655B" w14:paraId="603DE5E8" w14:textId="77777777">
            <w:pPr>
              <w:spacing w:before="20" w:after="20"/>
              <w:jc w:val="right"/>
              <w:rPr>
                <w:rFonts w:cs="Arial"/>
                <w:color w:val="000000"/>
                <w:sz w:val="16"/>
                <w:szCs w:val="16"/>
              </w:rPr>
            </w:pPr>
            <w:r w:rsidRPr="003F655B">
              <w:rPr>
                <w:rFonts w:cs="Arial"/>
                <w:color w:val="000000"/>
                <w:sz w:val="16"/>
                <w:szCs w:val="16"/>
              </w:rPr>
              <w:t>Percent</w:t>
            </w:r>
          </w:p>
        </w:tc>
        <w:tc>
          <w:tcPr>
            <w:tcW w:w="89" w:type="pct"/>
            <w:tcBorders>
              <w:top w:val="nil"/>
              <w:bottom w:val="single" w:sz="4" w:space="0" w:color="auto"/>
            </w:tcBorders>
          </w:tcPr>
          <w:p w:rsidR="003F655B" w:rsidRPr="003F655B" w:rsidP="003F655B" w14:paraId="41A9EDFE" w14:textId="77777777">
            <w:pPr>
              <w:spacing w:before="20" w:after="20"/>
              <w:jc w:val="right"/>
              <w:rPr>
                <w:rFonts w:cs="Arial"/>
                <w:color w:val="000000"/>
                <w:sz w:val="16"/>
                <w:szCs w:val="16"/>
              </w:rPr>
            </w:pPr>
          </w:p>
        </w:tc>
        <w:tc>
          <w:tcPr>
            <w:tcW w:w="368" w:type="pct"/>
            <w:tcBorders>
              <w:bottom w:val="single" w:sz="4" w:space="0" w:color="auto"/>
            </w:tcBorders>
            <w:noWrap/>
            <w:vAlign w:val="bottom"/>
            <w:hideMark/>
          </w:tcPr>
          <w:p w:rsidR="003F655B" w:rsidRPr="003F655B" w:rsidP="003F655B" w14:paraId="2F1BF4A7" w14:textId="77777777">
            <w:pPr>
              <w:spacing w:before="20" w:after="20"/>
              <w:jc w:val="right"/>
              <w:rPr>
                <w:rFonts w:cs="Arial"/>
                <w:color w:val="000000"/>
                <w:sz w:val="16"/>
                <w:szCs w:val="16"/>
              </w:rPr>
            </w:pPr>
            <w:r w:rsidRPr="003F655B">
              <w:rPr>
                <w:rFonts w:cs="Arial"/>
                <w:color w:val="000000"/>
                <w:sz w:val="16"/>
                <w:szCs w:val="16"/>
              </w:rPr>
              <w:t>Number</w:t>
            </w:r>
          </w:p>
        </w:tc>
        <w:tc>
          <w:tcPr>
            <w:tcW w:w="333" w:type="pct"/>
            <w:tcBorders>
              <w:bottom w:val="single" w:sz="4" w:space="0" w:color="auto"/>
            </w:tcBorders>
            <w:noWrap/>
            <w:vAlign w:val="bottom"/>
            <w:hideMark/>
          </w:tcPr>
          <w:p w:rsidR="003F655B" w:rsidRPr="003F655B" w:rsidP="003F655B" w14:paraId="5E857A2A" w14:textId="77777777">
            <w:pPr>
              <w:spacing w:before="20" w:after="20"/>
              <w:jc w:val="right"/>
              <w:rPr>
                <w:rFonts w:cs="Arial"/>
                <w:color w:val="000000"/>
                <w:sz w:val="16"/>
                <w:szCs w:val="16"/>
              </w:rPr>
            </w:pPr>
            <w:r w:rsidRPr="003F655B">
              <w:rPr>
                <w:rFonts w:cs="Arial"/>
                <w:color w:val="000000"/>
                <w:sz w:val="16"/>
                <w:szCs w:val="16"/>
              </w:rPr>
              <w:t>Percent</w:t>
            </w:r>
          </w:p>
        </w:tc>
        <w:tc>
          <w:tcPr>
            <w:tcW w:w="89" w:type="pct"/>
            <w:tcBorders>
              <w:top w:val="nil"/>
              <w:bottom w:val="single" w:sz="4" w:space="0" w:color="auto"/>
            </w:tcBorders>
          </w:tcPr>
          <w:p w:rsidR="003F655B" w:rsidRPr="003F655B" w:rsidP="003F655B" w14:paraId="41AC92BF" w14:textId="77777777">
            <w:pPr>
              <w:spacing w:before="20" w:after="20"/>
              <w:jc w:val="right"/>
              <w:rPr>
                <w:rFonts w:cs="Arial"/>
                <w:color w:val="000000"/>
                <w:sz w:val="16"/>
                <w:szCs w:val="16"/>
              </w:rPr>
            </w:pPr>
          </w:p>
        </w:tc>
        <w:tc>
          <w:tcPr>
            <w:tcW w:w="369" w:type="pct"/>
            <w:tcBorders>
              <w:bottom w:val="single" w:sz="4" w:space="0" w:color="auto"/>
            </w:tcBorders>
            <w:noWrap/>
            <w:vAlign w:val="bottom"/>
            <w:hideMark/>
          </w:tcPr>
          <w:p w:rsidR="003F655B" w:rsidRPr="003F655B" w:rsidP="003F655B" w14:paraId="14867C09" w14:textId="77777777">
            <w:pPr>
              <w:spacing w:before="20" w:after="20"/>
              <w:jc w:val="right"/>
              <w:rPr>
                <w:rFonts w:cs="Arial"/>
                <w:color w:val="000000"/>
                <w:sz w:val="16"/>
                <w:szCs w:val="16"/>
              </w:rPr>
            </w:pPr>
            <w:r w:rsidRPr="003F655B">
              <w:rPr>
                <w:rFonts w:cs="Arial"/>
                <w:color w:val="000000"/>
                <w:sz w:val="16"/>
                <w:szCs w:val="16"/>
              </w:rPr>
              <w:t>Number</w:t>
            </w:r>
          </w:p>
        </w:tc>
        <w:tc>
          <w:tcPr>
            <w:tcW w:w="335" w:type="pct"/>
            <w:tcBorders>
              <w:bottom w:val="single" w:sz="4" w:space="0" w:color="auto"/>
            </w:tcBorders>
            <w:noWrap/>
            <w:vAlign w:val="bottom"/>
            <w:hideMark/>
          </w:tcPr>
          <w:p w:rsidR="003F655B" w:rsidRPr="003F655B" w:rsidP="003F655B" w14:paraId="06512629" w14:textId="77777777">
            <w:pPr>
              <w:spacing w:before="20" w:after="20"/>
              <w:jc w:val="right"/>
              <w:rPr>
                <w:rFonts w:cs="Arial"/>
                <w:color w:val="000000"/>
                <w:sz w:val="16"/>
                <w:szCs w:val="16"/>
              </w:rPr>
            </w:pPr>
            <w:r w:rsidRPr="003F655B">
              <w:rPr>
                <w:rFonts w:cs="Arial"/>
                <w:color w:val="000000"/>
                <w:sz w:val="16"/>
                <w:szCs w:val="16"/>
              </w:rPr>
              <w:t>Percent</w:t>
            </w:r>
          </w:p>
        </w:tc>
      </w:tr>
      <w:tr w14:paraId="0573706C" w14:textId="77777777" w:rsidTr="002A0A21">
        <w:tblPrEx>
          <w:tblW w:w="5008" w:type="pct"/>
          <w:tblLayout w:type="fixed"/>
          <w:tblLook w:val="0620"/>
        </w:tblPrEx>
        <w:tc>
          <w:tcPr>
            <w:tcW w:w="0" w:type="pct"/>
            <w:tcBorders>
              <w:top w:val="single" w:sz="4" w:space="0" w:color="auto"/>
              <w:bottom w:val="nil"/>
            </w:tcBorders>
            <w:noWrap/>
            <w:hideMark/>
          </w:tcPr>
          <w:p w:rsidR="003F655B" w:rsidRPr="003F655B" w:rsidP="003F655B" w14:paraId="77830844" w14:textId="77777777">
            <w:pPr>
              <w:spacing w:before="60" w:after="20"/>
              <w:rPr>
                <w:rFonts w:eastAsia="Calibri"/>
                <w:sz w:val="16"/>
                <w:szCs w:val="16"/>
              </w:rPr>
            </w:pPr>
            <w:r w:rsidRPr="003F655B">
              <w:rPr>
                <w:rFonts w:eastAsia="Calibri"/>
                <w:sz w:val="16"/>
                <w:szCs w:val="16"/>
              </w:rPr>
              <w:t>Total</w:t>
            </w:r>
          </w:p>
        </w:tc>
        <w:tc>
          <w:tcPr>
            <w:tcW w:w="0" w:type="pct"/>
            <w:tcBorders>
              <w:top w:val="single" w:sz="4" w:space="0" w:color="auto"/>
              <w:bottom w:val="nil"/>
            </w:tcBorders>
            <w:noWrap/>
            <w:hideMark/>
          </w:tcPr>
          <w:p w:rsidR="003F655B" w:rsidRPr="003F655B" w:rsidP="003F655B" w14:paraId="78E1039F"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6B54F2C1" w14:textId="77777777">
            <w:pPr>
              <w:spacing w:before="60" w:after="20"/>
              <w:jc w:val="right"/>
              <w:rPr>
                <w:rFonts w:eastAsia="Calibri"/>
                <w:sz w:val="16"/>
                <w:szCs w:val="16"/>
              </w:rPr>
            </w:pPr>
            <w:r w:rsidRPr="003F655B">
              <w:rPr>
                <w:rFonts w:eastAsia="Calibri"/>
                <w:sz w:val="16"/>
                <w:szCs w:val="16"/>
              </w:rPr>
              <w:t>100.0</w:t>
            </w:r>
          </w:p>
        </w:tc>
        <w:tc>
          <w:tcPr>
            <w:tcW w:w="0" w:type="pct"/>
            <w:tcBorders>
              <w:top w:val="single" w:sz="4" w:space="0" w:color="auto"/>
              <w:bottom w:val="nil"/>
            </w:tcBorders>
            <w:vAlign w:val="bottom"/>
          </w:tcPr>
          <w:p w:rsidR="003F655B" w:rsidRPr="003F655B" w:rsidP="003F655B" w14:paraId="34F1CA07" w14:textId="77777777">
            <w:pPr>
              <w:spacing w:before="60" w:after="20"/>
              <w:jc w:val="right"/>
              <w:rPr>
                <w:rFonts w:eastAsia="Calibri"/>
                <w:sz w:val="16"/>
                <w:szCs w:val="16"/>
              </w:rPr>
            </w:pPr>
          </w:p>
        </w:tc>
        <w:tc>
          <w:tcPr>
            <w:tcW w:w="0" w:type="pct"/>
            <w:tcBorders>
              <w:top w:val="single" w:sz="4" w:space="0" w:color="auto"/>
              <w:bottom w:val="nil"/>
            </w:tcBorders>
            <w:noWrap/>
            <w:hideMark/>
          </w:tcPr>
          <w:p w:rsidR="003F655B" w:rsidRPr="003F655B" w:rsidP="003F655B" w14:paraId="3AE04862"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4945A946" w14:textId="77777777">
            <w:pPr>
              <w:spacing w:before="60" w:after="20"/>
              <w:jc w:val="right"/>
              <w:rPr>
                <w:rFonts w:eastAsia="Calibri"/>
                <w:sz w:val="16"/>
                <w:szCs w:val="16"/>
              </w:rPr>
            </w:pPr>
            <w:r w:rsidRPr="003F655B">
              <w:rPr>
                <w:rFonts w:eastAsia="Calibri"/>
                <w:sz w:val="16"/>
                <w:szCs w:val="16"/>
              </w:rPr>
              <w:t>100.0</w:t>
            </w:r>
          </w:p>
        </w:tc>
        <w:tc>
          <w:tcPr>
            <w:tcW w:w="0" w:type="pct"/>
            <w:tcBorders>
              <w:top w:val="single" w:sz="4" w:space="0" w:color="auto"/>
              <w:bottom w:val="nil"/>
            </w:tcBorders>
          </w:tcPr>
          <w:p w:rsidR="003F655B" w:rsidRPr="003F655B" w:rsidP="003F655B" w14:paraId="107BBBD3" w14:textId="77777777">
            <w:pPr>
              <w:spacing w:before="60" w:after="20"/>
              <w:jc w:val="right"/>
              <w:rPr>
                <w:rFonts w:eastAsia="Calibri"/>
                <w:sz w:val="16"/>
                <w:szCs w:val="16"/>
              </w:rPr>
            </w:pPr>
          </w:p>
        </w:tc>
        <w:tc>
          <w:tcPr>
            <w:tcW w:w="0" w:type="pct"/>
            <w:tcBorders>
              <w:top w:val="single" w:sz="4" w:space="0" w:color="auto"/>
              <w:bottom w:val="nil"/>
            </w:tcBorders>
            <w:noWrap/>
            <w:hideMark/>
          </w:tcPr>
          <w:p w:rsidR="003F655B" w:rsidRPr="003F655B" w:rsidP="003F655B" w14:paraId="75E13583"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5BCED4B4" w14:textId="77777777">
            <w:pPr>
              <w:spacing w:before="60" w:after="20"/>
              <w:jc w:val="right"/>
              <w:rPr>
                <w:rFonts w:eastAsia="Calibri"/>
                <w:sz w:val="16"/>
                <w:szCs w:val="16"/>
              </w:rPr>
            </w:pPr>
            <w:r w:rsidRPr="003F655B">
              <w:rPr>
                <w:rFonts w:eastAsia="Calibri"/>
                <w:sz w:val="16"/>
                <w:szCs w:val="16"/>
              </w:rPr>
              <w:t>100.0</w:t>
            </w:r>
          </w:p>
        </w:tc>
        <w:tc>
          <w:tcPr>
            <w:tcW w:w="0" w:type="pct"/>
            <w:tcBorders>
              <w:top w:val="single" w:sz="4" w:space="0" w:color="auto"/>
              <w:bottom w:val="nil"/>
            </w:tcBorders>
          </w:tcPr>
          <w:p w:rsidR="003F655B" w:rsidRPr="003F655B" w:rsidP="003F655B" w14:paraId="28C2EFCF" w14:textId="77777777">
            <w:pPr>
              <w:spacing w:before="60" w:after="20"/>
              <w:jc w:val="right"/>
              <w:rPr>
                <w:rFonts w:eastAsia="Calibri"/>
                <w:sz w:val="16"/>
                <w:szCs w:val="16"/>
              </w:rPr>
            </w:pPr>
          </w:p>
        </w:tc>
        <w:tc>
          <w:tcPr>
            <w:tcW w:w="0" w:type="pct"/>
            <w:tcBorders>
              <w:top w:val="single" w:sz="4" w:space="0" w:color="auto"/>
              <w:bottom w:val="nil"/>
            </w:tcBorders>
            <w:noWrap/>
            <w:hideMark/>
          </w:tcPr>
          <w:p w:rsidR="003F655B" w:rsidRPr="003F655B" w:rsidP="003F655B" w14:paraId="597699AF"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35F2C556" w14:textId="77777777">
            <w:pPr>
              <w:spacing w:before="60" w:after="20"/>
              <w:jc w:val="right"/>
              <w:rPr>
                <w:rFonts w:eastAsia="Calibri"/>
                <w:sz w:val="16"/>
                <w:szCs w:val="16"/>
              </w:rPr>
            </w:pPr>
            <w:r w:rsidRPr="003F655B">
              <w:rPr>
                <w:rFonts w:eastAsia="Calibri"/>
                <w:sz w:val="16"/>
                <w:szCs w:val="16"/>
              </w:rPr>
              <w:t>100.0</w:t>
            </w:r>
          </w:p>
        </w:tc>
        <w:tc>
          <w:tcPr>
            <w:tcW w:w="0" w:type="pct"/>
            <w:tcBorders>
              <w:top w:val="single" w:sz="4" w:space="0" w:color="auto"/>
              <w:bottom w:val="nil"/>
            </w:tcBorders>
          </w:tcPr>
          <w:p w:rsidR="003F655B" w:rsidRPr="003F655B" w:rsidP="003F655B" w14:paraId="3D894A43" w14:textId="77777777">
            <w:pPr>
              <w:spacing w:before="60" w:after="20"/>
              <w:jc w:val="right"/>
              <w:rPr>
                <w:rFonts w:eastAsia="Calibri"/>
                <w:sz w:val="16"/>
                <w:szCs w:val="16"/>
              </w:rPr>
            </w:pPr>
          </w:p>
        </w:tc>
        <w:tc>
          <w:tcPr>
            <w:tcW w:w="0" w:type="pct"/>
            <w:tcBorders>
              <w:top w:val="single" w:sz="4" w:space="0" w:color="auto"/>
              <w:bottom w:val="nil"/>
            </w:tcBorders>
            <w:noWrap/>
            <w:hideMark/>
          </w:tcPr>
          <w:p w:rsidR="003F655B" w:rsidRPr="003F655B" w:rsidP="003F655B" w14:paraId="56F2B3E5"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37EC43F0" w14:textId="77777777">
            <w:pPr>
              <w:spacing w:before="60" w:after="20"/>
              <w:jc w:val="right"/>
              <w:rPr>
                <w:rFonts w:eastAsia="Calibri"/>
                <w:sz w:val="16"/>
                <w:szCs w:val="16"/>
              </w:rPr>
            </w:pPr>
            <w:r w:rsidRPr="003F655B">
              <w:rPr>
                <w:rFonts w:eastAsia="Calibri"/>
                <w:sz w:val="16"/>
                <w:szCs w:val="16"/>
              </w:rPr>
              <w:t>100.0</w:t>
            </w:r>
          </w:p>
        </w:tc>
        <w:tc>
          <w:tcPr>
            <w:tcW w:w="0" w:type="pct"/>
            <w:tcBorders>
              <w:top w:val="single" w:sz="4" w:space="0" w:color="auto"/>
              <w:bottom w:val="nil"/>
            </w:tcBorders>
          </w:tcPr>
          <w:p w:rsidR="003F655B" w:rsidRPr="003F655B" w:rsidP="003F655B" w14:paraId="7DF72FAA" w14:textId="77777777">
            <w:pPr>
              <w:spacing w:before="60" w:after="20"/>
              <w:jc w:val="right"/>
              <w:rPr>
                <w:rFonts w:eastAsia="Calibri"/>
                <w:sz w:val="16"/>
                <w:szCs w:val="16"/>
              </w:rPr>
            </w:pPr>
          </w:p>
        </w:tc>
        <w:tc>
          <w:tcPr>
            <w:tcW w:w="0" w:type="pct"/>
            <w:tcBorders>
              <w:top w:val="single" w:sz="4" w:space="0" w:color="auto"/>
              <w:bottom w:val="nil"/>
            </w:tcBorders>
            <w:noWrap/>
            <w:hideMark/>
          </w:tcPr>
          <w:p w:rsidR="003F655B" w:rsidRPr="003F655B" w:rsidP="003F655B" w14:paraId="0EEC9907" w14:textId="77777777">
            <w:pPr>
              <w:spacing w:before="60" w:after="20"/>
              <w:jc w:val="right"/>
              <w:rPr>
                <w:rFonts w:eastAsia="Calibri"/>
                <w:sz w:val="16"/>
                <w:szCs w:val="16"/>
              </w:rPr>
            </w:pPr>
            <w:r w:rsidRPr="003F655B">
              <w:rPr>
                <w:rFonts w:eastAsia="Calibri"/>
                <w:sz w:val="16"/>
                <w:szCs w:val="16"/>
              </w:rPr>
              <w:t>23,121</w:t>
            </w:r>
          </w:p>
        </w:tc>
        <w:tc>
          <w:tcPr>
            <w:tcW w:w="0" w:type="pct"/>
            <w:tcBorders>
              <w:top w:val="single" w:sz="4" w:space="0" w:color="auto"/>
              <w:bottom w:val="nil"/>
            </w:tcBorders>
            <w:noWrap/>
            <w:hideMark/>
          </w:tcPr>
          <w:p w:rsidR="003F655B" w:rsidRPr="003F655B" w:rsidP="003F655B" w14:paraId="25B75638" w14:textId="77777777">
            <w:pPr>
              <w:spacing w:before="60" w:after="20"/>
              <w:jc w:val="right"/>
              <w:rPr>
                <w:rFonts w:eastAsia="Calibri"/>
                <w:sz w:val="16"/>
                <w:szCs w:val="16"/>
              </w:rPr>
            </w:pPr>
            <w:r w:rsidRPr="003F655B">
              <w:rPr>
                <w:rFonts w:eastAsia="Calibri"/>
                <w:sz w:val="16"/>
                <w:szCs w:val="16"/>
              </w:rPr>
              <w:t>100.0</w:t>
            </w:r>
          </w:p>
        </w:tc>
      </w:tr>
      <w:tr w14:paraId="598EB588" w14:textId="77777777" w:rsidTr="002A0A21">
        <w:tblPrEx>
          <w:tblW w:w="5008" w:type="pct"/>
          <w:tblLayout w:type="fixed"/>
          <w:tblLook w:val="0620"/>
        </w:tblPrEx>
        <w:tc>
          <w:tcPr>
            <w:tcW w:w="0" w:type="pct"/>
            <w:tcBorders>
              <w:top w:val="nil"/>
            </w:tcBorders>
            <w:noWrap/>
            <w:hideMark/>
          </w:tcPr>
          <w:p w:rsidR="003F655B" w:rsidRPr="003F655B" w:rsidP="003F655B" w14:paraId="38AC9D0D" w14:textId="77777777">
            <w:pPr>
              <w:spacing w:before="20" w:after="20"/>
              <w:rPr>
                <w:rFonts w:eastAsia="Calibri"/>
                <w:sz w:val="16"/>
                <w:szCs w:val="16"/>
              </w:rPr>
            </w:pPr>
            <w:r w:rsidRPr="003F655B">
              <w:rPr>
                <w:rFonts w:eastAsia="Calibri"/>
                <w:sz w:val="16"/>
                <w:szCs w:val="16"/>
              </w:rPr>
              <w:t>No imputation</w:t>
            </w:r>
          </w:p>
        </w:tc>
        <w:tc>
          <w:tcPr>
            <w:tcW w:w="0" w:type="pct"/>
            <w:tcBorders>
              <w:top w:val="nil"/>
            </w:tcBorders>
            <w:noWrap/>
            <w:hideMark/>
          </w:tcPr>
          <w:p w:rsidR="003F655B" w:rsidRPr="003F655B" w:rsidP="003F655B" w14:paraId="5111CFF1" w14:textId="77777777">
            <w:pPr>
              <w:spacing w:before="20" w:after="20"/>
              <w:jc w:val="right"/>
              <w:rPr>
                <w:rFonts w:eastAsia="Calibri"/>
                <w:sz w:val="16"/>
                <w:szCs w:val="16"/>
              </w:rPr>
            </w:pPr>
            <w:r w:rsidRPr="003F655B">
              <w:rPr>
                <w:rFonts w:eastAsia="Calibri"/>
                <w:sz w:val="16"/>
                <w:szCs w:val="16"/>
              </w:rPr>
              <w:t>22,696</w:t>
            </w:r>
          </w:p>
        </w:tc>
        <w:tc>
          <w:tcPr>
            <w:tcW w:w="0" w:type="pct"/>
            <w:tcBorders>
              <w:top w:val="nil"/>
            </w:tcBorders>
            <w:noWrap/>
            <w:hideMark/>
          </w:tcPr>
          <w:p w:rsidR="003F655B" w:rsidRPr="003F655B" w:rsidP="003F655B" w14:paraId="336330AF" w14:textId="77777777">
            <w:pPr>
              <w:spacing w:before="20" w:after="20"/>
              <w:jc w:val="right"/>
              <w:rPr>
                <w:rFonts w:eastAsia="Calibri"/>
                <w:sz w:val="16"/>
                <w:szCs w:val="16"/>
              </w:rPr>
            </w:pPr>
            <w:r w:rsidRPr="003F655B">
              <w:rPr>
                <w:rFonts w:eastAsia="Calibri"/>
                <w:sz w:val="16"/>
                <w:szCs w:val="16"/>
              </w:rPr>
              <w:t>98.2</w:t>
            </w:r>
          </w:p>
        </w:tc>
        <w:tc>
          <w:tcPr>
            <w:tcW w:w="0" w:type="pct"/>
            <w:tcBorders>
              <w:top w:val="nil"/>
            </w:tcBorders>
            <w:vAlign w:val="bottom"/>
          </w:tcPr>
          <w:p w:rsidR="003F655B" w:rsidRPr="003F655B" w:rsidP="003F655B" w14:paraId="7F4F8522" w14:textId="77777777">
            <w:pPr>
              <w:spacing w:before="20" w:after="20"/>
              <w:jc w:val="right"/>
              <w:rPr>
                <w:rFonts w:eastAsia="Calibri"/>
                <w:sz w:val="16"/>
                <w:szCs w:val="16"/>
              </w:rPr>
            </w:pPr>
          </w:p>
        </w:tc>
        <w:tc>
          <w:tcPr>
            <w:tcW w:w="0" w:type="pct"/>
            <w:tcBorders>
              <w:top w:val="nil"/>
            </w:tcBorders>
            <w:noWrap/>
            <w:hideMark/>
          </w:tcPr>
          <w:p w:rsidR="003F655B" w:rsidRPr="003F655B" w:rsidP="003F655B" w14:paraId="28B36835" w14:textId="77777777">
            <w:pPr>
              <w:spacing w:before="20" w:after="20"/>
              <w:jc w:val="right"/>
              <w:rPr>
                <w:rFonts w:eastAsia="Calibri"/>
                <w:sz w:val="16"/>
                <w:szCs w:val="16"/>
              </w:rPr>
            </w:pPr>
            <w:r w:rsidRPr="003F655B">
              <w:rPr>
                <w:rFonts w:eastAsia="Calibri"/>
                <w:sz w:val="16"/>
                <w:szCs w:val="16"/>
              </w:rPr>
              <w:t>22,695</w:t>
            </w:r>
          </w:p>
        </w:tc>
        <w:tc>
          <w:tcPr>
            <w:tcW w:w="0" w:type="pct"/>
            <w:tcBorders>
              <w:top w:val="nil"/>
            </w:tcBorders>
            <w:noWrap/>
            <w:hideMark/>
          </w:tcPr>
          <w:p w:rsidR="003F655B" w:rsidRPr="003F655B" w:rsidP="003F655B" w14:paraId="05B180AA" w14:textId="77777777">
            <w:pPr>
              <w:spacing w:before="20" w:after="20"/>
              <w:jc w:val="right"/>
              <w:rPr>
                <w:rFonts w:eastAsia="Calibri"/>
                <w:sz w:val="16"/>
                <w:szCs w:val="16"/>
              </w:rPr>
            </w:pPr>
            <w:r w:rsidRPr="003F655B">
              <w:rPr>
                <w:rFonts w:eastAsia="Calibri"/>
                <w:sz w:val="16"/>
                <w:szCs w:val="16"/>
              </w:rPr>
              <w:t>98.2</w:t>
            </w:r>
          </w:p>
        </w:tc>
        <w:tc>
          <w:tcPr>
            <w:tcW w:w="0" w:type="pct"/>
            <w:tcBorders>
              <w:top w:val="nil"/>
            </w:tcBorders>
          </w:tcPr>
          <w:p w:rsidR="003F655B" w:rsidRPr="003F655B" w:rsidP="003F655B" w14:paraId="05A1B135" w14:textId="77777777">
            <w:pPr>
              <w:spacing w:before="20" w:after="20"/>
              <w:jc w:val="right"/>
              <w:rPr>
                <w:rFonts w:eastAsia="Calibri"/>
                <w:sz w:val="16"/>
                <w:szCs w:val="16"/>
              </w:rPr>
            </w:pPr>
          </w:p>
        </w:tc>
        <w:tc>
          <w:tcPr>
            <w:tcW w:w="0" w:type="pct"/>
            <w:tcBorders>
              <w:top w:val="nil"/>
            </w:tcBorders>
            <w:noWrap/>
            <w:hideMark/>
          </w:tcPr>
          <w:p w:rsidR="003F655B" w:rsidRPr="003F655B" w:rsidP="003F655B" w14:paraId="2718019E" w14:textId="77777777">
            <w:pPr>
              <w:spacing w:before="20" w:after="20"/>
              <w:jc w:val="right"/>
              <w:rPr>
                <w:rFonts w:eastAsia="Calibri"/>
                <w:sz w:val="16"/>
                <w:szCs w:val="16"/>
              </w:rPr>
            </w:pPr>
            <w:r w:rsidRPr="003F655B">
              <w:rPr>
                <w:rFonts w:eastAsia="Calibri"/>
                <w:sz w:val="16"/>
                <w:szCs w:val="16"/>
              </w:rPr>
              <w:t>22,722</w:t>
            </w:r>
          </w:p>
        </w:tc>
        <w:tc>
          <w:tcPr>
            <w:tcW w:w="0" w:type="pct"/>
            <w:tcBorders>
              <w:top w:val="nil"/>
            </w:tcBorders>
            <w:noWrap/>
            <w:hideMark/>
          </w:tcPr>
          <w:p w:rsidR="003F655B" w:rsidRPr="003F655B" w:rsidP="003F655B" w14:paraId="5F02C930" w14:textId="77777777">
            <w:pPr>
              <w:spacing w:before="20" w:after="20"/>
              <w:jc w:val="right"/>
              <w:rPr>
                <w:rFonts w:eastAsia="Calibri"/>
                <w:sz w:val="16"/>
                <w:szCs w:val="16"/>
              </w:rPr>
            </w:pPr>
            <w:r w:rsidRPr="003F655B">
              <w:rPr>
                <w:rFonts w:eastAsia="Calibri"/>
                <w:sz w:val="16"/>
                <w:szCs w:val="16"/>
              </w:rPr>
              <w:t>98.3</w:t>
            </w:r>
          </w:p>
        </w:tc>
        <w:tc>
          <w:tcPr>
            <w:tcW w:w="0" w:type="pct"/>
            <w:tcBorders>
              <w:top w:val="nil"/>
            </w:tcBorders>
          </w:tcPr>
          <w:p w:rsidR="003F655B" w:rsidRPr="003F655B" w:rsidP="003F655B" w14:paraId="08ED1886" w14:textId="77777777">
            <w:pPr>
              <w:spacing w:before="20" w:after="20"/>
              <w:jc w:val="right"/>
              <w:rPr>
                <w:rFonts w:eastAsia="Calibri"/>
                <w:sz w:val="16"/>
                <w:szCs w:val="16"/>
              </w:rPr>
            </w:pPr>
          </w:p>
        </w:tc>
        <w:tc>
          <w:tcPr>
            <w:tcW w:w="0" w:type="pct"/>
            <w:tcBorders>
              <w:top w:val="nil"/>
            </w:tcBorders>
            <w:noWrap/>
            <w:hideMark/>
          </w:tcPr>
          <w:p w:rsidR="003F655B" w:rsidRPr="003F655B" w:rsidP="003F655B" w14:paraId="0AD2773E" w14:textId="77777777">
            <w:pPr>
              <w:spacing w:before="20" w:after="20"/>
              <w:jc w:val="right"/>
              <w:rPr>
                <w:rFonts w:eastAsia="Calibri"/>
                <w:sz w:val="16"/>
                <w:szCs w:val="16"/>
              </w:rPr>
            </w:pPr>
            <w:r w:rsidRPr="003F655B">
              <w:rPr>
                <w:rFonts w:eastAsia="Calibri"/>
                <w:sz w:val="16"/>
                <w:szCs w:val="16"/>
              </w:rPr>
              <w:t>22,721</w:t>
            </w:r>
          </w:p>
        </w:tc>
        <w:tc>
          <w:tcPr>
            <w:tcW w:w="0" w:type="pct"/>
            <w:tcBorders>
              <w:top w:val="nil"/>
            </w:tcBorders>
            <w:noWrap/>
            <w:hideMark/>
          </w:tcPr>
          <w:p w:rsidR="003F655B" w:rsidRPr="003F655B" w:rsidP="003F655B" w14:paraId="47353F98" w14:textId="77777777">
            <w:pPr>
              <w:spacing w:before="20" w:after="20"/>
              <w:jc w:val="right"/>
              <w:rPr>
                <w:rFonts w:eastAsia="Calibri"/>
                <w:sz w:val="16"/>
                <w:szCs w:val="16"/>
              </w:rPr>
            </w:pPr>
            <w:r w:rsidRPr="003F655B">
              <w:rPr>
                <w:rFonts w:eastAsia="Calibri"/>
                <w:sz w:val="16"/>
                <w:szCs w:val="16"/>
              </w:rPr>
              <w:t>98.3</w:t>
            </w:r>
          </w:p>
        </w:tc>
        <w:tc>
          <w:tcPr>
            <w:tcW w:w="0" w:type="pct"/>
            <w:tcBorders>
              <w:top w:val="nil"/>
            </w:tcBorders>
          </w:tcPr>
          <w:p w:rsidR="003F655B" w:rsidRPr="003F655B" w:rsidP="003F655B" w14:paraId="60D57B4A" w14:textId="77777777">
            <w:pPr>
              <w:spacing w:before="20" w:after="20"/>
              <w:jc w:val="right"/>
              <w:rPr>
                <w:rFonts w:eastAsia="Calibri"/>
                <w:sz w:val="16"/>
                <w:szCs w:val="16"/>
              </w:rPr>
            </w:pPr>
          </w:p>
        </w:tc>
        <w:tc>
          <w:tcPr>
            <w:tcW w:w="0" w:type="pct"/>
            <w:tcBorders>
              <w:top w:val="nil"/>
            </w:tcBorders>
            <w:noWrap/>
            <w:hideMark/>
          </w:tcPr>
          <w:p w:rsidR="003F655B" w:rsidRPr="003F655B" w:rsidP="003F655B" w14:paraId="78E7B440" w14:textId="77777777">
            <w:pPr>
              <w:spacing w:before="20" w:after="20"/>
              <w:jc w:val="right"/>
              <w:rPr>
                <w:rFonts w:eastAsia="Calibri"/>
                <w:sz w:val="16"/>
                <w:szCs w:val="16"/>
              </w:rPr>
            </w:pPr>
            <w:r w:rsidRPr="003F655B">
              <w:rPr>
                <w:rFonts w:eastAsia="Calibri"/>
                <w:sz w:val="16"/>
                <w:szCs w:val="16"/>
              </w:rPr>
              <w:t>22,224</w:t>
            </w:r>
          </w:p>
        </w:tc>
        <w:tc>
          <w:tcPr>
            <w:tcW w:w="0" w:type="pct"/>
            <w:tcBorders>
              <w:top w:val="nil"/>
            </w:tcBorders>
            <w:noWrap/>
            <w:hideMark/>
          </w:tcPr>
          <w:p w:rsidR="003F655B" w:rsidRPr="003F655B" w:rsidP="003F655B" w14:paraId="6BFAEA71" w14:textId="77777777">
            <w:pPr>
              <w:spacing w:before="20" w:after="20"/>
              <w:jc w:val="right"/>
              <w:rPr>
                <w:rFonts w:eastAsia="Calibri"/>
                <w:sz w:val="16"/>
                <w:szCs w:val="16"/>
              </w:rPr>
            </w:pPr>
            <w:r w:rsidRPr="003F655B">
              <w:rPr>
                <w:rFonts w:eastAsia="Calibri"/>
                <w:sz w:val="16"/>
                <w:szCs w:val="16"/>
              </w:rPr>
              <w:t>96.1</w:t>
            </w:r>
          </w:p>
        </w:tc>
        <w:tc>
          <w:tcPr>
            <w:tcW w:w="0" w:type="pct"/>
            <w:tcBorders>
              <w:top w:val="nil"/>
            </w:tcBorders>
          </w:tcPr>
          <w:p w:rsidR="003F655B" w:rsidRPr="003F655B" w:rsidP="003F655B" w14:paraId="1400E02C" w14:textId="77777777">
            <w:pPr>
              <w:spacing w:before="20" w:after="20"/>
              <w:jc w:val="right"/>
              <w:rPr>
                <w:rFonts w:eastAsia="Calibri"/>
                <w:sz w:val="16"/>
                <w:szCs w:val="16"/>
              </w:rPr>
            </w:pPr>
          </w:p>
        </w:tc>
        <w:tc>
          <w:tcPr>
            <w:tcW w:w="0" w:type="pct"/>
            <w:tcBorders>
              <w:top w:val="nil"/>
            </w:tcBorders>
            <w:noWrap/>
            <w:hideMark/>
          </w:tcPr>
          <w:p w:rsidR="003F655B" w:rsidRPr="003F655B" w:rsidP="003F655B" w14:paraId="00A4B9DA" w14:textId="77777777">
            <w:pPr>
              <w:spacing w:before="20" w:after="20"/>
              <w:jc w:val="right"/>
              <w:rPr>
                <w:rFonts w:eastAsia="Calibri"/>
                <w:sz w:val="16"/>
                <w:szCs w:val="16"/>
              </w:rPr>
            </w:pPr>
            <w:r w:rsidRPr="003F655B">
              <w:rPr>
                <w:rFonts w:eastAsia="Calibri"/>
                <w:sz w:val="16"/>
                <w:szCs w:val="16"/>
              </w:rPr>
              <w:t>21,699</w:t>
            </w:r>
          </w:p>
        </w:tc>
        <w:tc>
          <w:tcPr>
            <w:tcW w:w="0" w:type="pct"/>
            <w:tcBorders>
              <w:top w:val="nil"/>
            </w:tcBorders>
            <w:noWrap/>
            <w:hideMark/>
          </w:tcPr>
          <w:p w:rsidR="003F655B" w:rsidRPr="003F655B" w:rsidP="003F655B" w14:paraId="4A7A86B5" w14:textId="77777777">
            <w:pPr>
              <w:spacing w:before="20" w:after="20"/>
              <w:jc w:val="right"/>
              <w:rPr>
                <w:rFonts w:eastAsia="Calibri"/>
                <w:sz w:val="16"/>
                <w:szCs w:val="16"/>
              </w:rPr>
            </w:pPr>
            <w:r w:rsidRPr="003F655B">
              <w:rPr>
                <w:rFonts w:eastAsia="Calibri"/>
                <w:sz w:val="16"/>
                <w:szCs w:val="16"/>
              </w:rPr>
              <w:t>93.8</w:t>
            </w:r>
          </w:p>
        </w:tc>
      </w:tr>
      <w:tr w14:paraId="304A204D" w14:textId="77777777" w:rsidTr="002A0A21">
        <w:tblPrEx>
          <w:tblW w:w="5008" w:type="pct"/>
          <w:tblLayout w:type="fixed"/>
          <w:tblLook w:val="0620"/>
        </w:tblPrEx>
        <w:tc>
          <w:tcPr>
            <w:tcW w:w="0" w:type="pct"/>
            <w:noWrap/>
            <w:hideMark/>
          </w:tcPr>
          <w:p w:rsidR="003F655B" w:rsidRPr="003F655B" w:rsidP="003F655B" w14:paraId="52D6F74D" w14:textId="77777777">
            <w:pPr>
              <w:spacing w:before="20" w:after="20"/>
              <w:rPr>
                <w:rFonts w:eastAsia="Calibri"/>
                <w:sz w:val="16"/>
                <w:szCs w:val="16"/>
              </w:rPr>
            </w:pPr>
            <w:r w:rsidRPr="003F655B">
              <w:rPr>
                <w:rFonts w:eastAsia="Calibri"/>
                <w:sz w:val="16"/>
                <w:szCs w:val="16"/>
              </w:rPr>
              <w:t>Carry forward</w:t>
            </w:r>
          </w:p>
        </w:tc>
        <w:tc>
          <w:tcPr>
            <w:tcW w:w="0" w:type="pct"/>
            <w:noWrap/>
            <w:hideMark/>
          </w:tcPr>
          <w:p w:rsidR="003F655B" w:rsidRPr="003F655B" w:rsidP="003F655B" w14:paraId="1BDA1719" w14:textId="77777777">
            <w:pPr>
              <w:spacing w:before="20" w:after="20"/>
              <w:jc w:val="right"/>
              <w:rPr>
                <w:rFonts w:eastAsia="Calibri"/>
                <w:sz w:val="16"/>
                <w:szCs w:val="16"/>
              </w:rPr>
            </w:pPr>
            <w:r w:rsidRPr="003F655B">
              <w:rPr>
                <w:rFonts w:eastAsia="Calibri"/>
                <w:sz w:val="16"/>
                <w:szCs w:val="16"/>
              </w:rPr>
              <w:t>397</w:t>
            </w:r>
          </w:p>
        </w:tc>
        <w:tc>
          <w:tcPr>
            <w:tcW w:w="0" w:type="pct"/>
            <w:noWrap/>
            <w:hideMark/>
          </w:tcPr>
          <w:p w:rsidR="003F655B" w:rsidRPr="003F655B" w:rsidP="003F655B" w14:paraId="18B4D08F" w14:textId="77777777">
            <w:pPr>
              <w:spacing w:before="20" w:after="20"/>
              <w:jc w:val="right"/>
              <w:rPr>
                <w:rFonts w:eastAsia="Calibri"/>
                <w:sz w:val="16"/>
                <w:szCs w:val="16"/>
              </w:rPr>
            </w:pPr>
            <w:r w:rsidRPr="003F655B">
              <w:rPr>
                <w:rFonts w:eastAsia="Calibri"/>
                <w:sz w:val="16"/>
                <w:szCs w:val="16"/>
              </w:rPr>
              <w:t>1.7</w:t>
            </w:r>
          </w:p>
        </w:tc>
        <w:tc>
          <w:tcPr>
            <w:tcW w:w="0" w:type="pct"/>
            <w:vAlign w:val="bottom"/>
          </w:tcPr>
          <w:p w:rsidR="003F655B" w:rsidRPr="003F655B" w:rsidP="003F655B" w14:paraId="6BB1B372" w14:textId="77777777">
            <w:pPr>
              <w:spacing w:before="20" w:after="20"/>
              <w:jc w:val="right"/>
              <w:rPr>
                <w:rFonts w:eastAsia="Calibri"/>
                <w:sz w:val="16"/>
                <w:szCs w:val="16"/>
              </w:rPr>
            </w:pPr>
          </w:p>
        </w:tc>
        <w:tc>
          <w:tcPr>
            <w:tcW w:w="0" w:type="pct"/>
            <w:noWrap/>
            <w:hideMark/>
          </w:tcPr>
          <w:p w:rsidR="003F655B" w:rsidRPr="003F655B" w:rsidP="003F655B" w14:paraId="1B3E10C8" w14:textId="77777777">
            <w:pPr>
              <w:spacing w:before="20" w:after="20"/>
              <w:jc w:val="right"/>
              <w:rPr>
                <w:rFonts w:eastAsia="Calibri"/>
                <w:sz w:val="16"/>
                <w:szCs w:val="16"/>
              </w:rPr>
            </w:pPr>
            <w:r w:rsidRPr="003F655B">
              <w:rPr>
                <w:rFonts w:eastAsia="Calibri"/>
                <w:sz w:val="16"/>
                <w:szCs w:val="16"/>
              </w:rPr>
              <w:t>397</w:t>
            </w:r>
          </w:p>
        </w:tc>
        <w:tc>
          <w:tcPr>
            <w:tcW w:w="0" w:type="pct"/>
            <w:noWrap/>
            <w:hideMark/>
          </w:tcPr>
          <w:p w:rsidR="003F655B" w:rsidRPr="003F655B" w:rsidP="003F655B" w14:paraId="37167F94" w14:textId="77777777">
            <w:pPr>
              <w:spacing w:before="20" w:after="20"/>
              <w:jc w:val="right"/>
              <w:rPr>
                <w:rFonts w:eastAsia="Calibri"/>
                <w:sz w:val="16"/>
                <w:szCs w:val="16"/>
              </w:rPr>
            </w:pPr>
            <w:r w:rsidRPr="003F655B">
              <w:rPr>
                <w:rFonts w:eastAsia="Calibri"/>
                <w:sz w:val="16"/>
                <w:szCs w:val="16"/>
              </w:rPr>
              <w:t>1.7</w:t>
            </w:r>
          </w:p>
        </w:tc>
        <w:tc>
          <w:tcPr>
            <w:tcW w:w="0" w:type="pct"/>
          </w:tcPr>
          <w:p w:rsidR="003F655B" w:rsidRPr="003F655B" w:rsidP="003F655B" w14:paraId="75293012" w14:textId="77777777">
            <w:pPr>
              <w:spacing w:before="20" w:after="20"/>
              <w:jc w:val="right"/>
              <w:rPr>
                <w:rFonts w:eastAsia="Calibri"/>
                <w:sz w:val="16"/>
                <w:szCs w:val="16"/>
              </w:rPr>
            </w:pPr>
          </w:p>
        </w:tc>
        <w:tc>
          <w:tcPr>
            <w:tcW w:w="0" w:type="pct"/>
            <w:noWrap/>
            <w:hideMark/>
          </w:tcPr>
          <w:p w:rsidR="003F655B" w:rsidRPr="003F655B" w:rsidP="003F655B" w14:paraId="4826248A" w14:textId="77777777">
            <w:pPr>
              <w:spacing w:before="20" w:after="20"/>
              <w:jc w:val="right"/>
              <w:rPr>
                <w:rFonts w:eastAsia="Calibri"/>
                <w:sz w:val="16"/>
                <w:szCs w:val="16"/>
              </w:rPr>
            </w:pPr>
            <w:r w:rsidRPr="003F655B">
              <w:rPr>
                <w:rFonts w:eastAsia="Calibri"/>
                <w:sz w:val="16"/>
                <w:szCs w:val="16"/>
              </w:rPr>
              <w:t>379</w:t>
            </w:r>
          </w:p>
        </w:tc>
        <w:tc>
          <w:tcPr>
            <w:tcW w:w="0" w:type="pct"/>
            <w:noWrap/>
            <w:hideMark/>
          </w:tcPr>
          <w:p w:rsidR="003F655B" w:rsidRPr="003F655B" w:rsidP="003F655B" w14:paraId="7A54A1AA" w14:textId="77777777">
            <w:pPr>
              <w:spacing w:before="20" w:after="20"/>
              <w:jc w:val="right"/>
              <w:rPr>
                <w:rFonts w:eastAsia="Calibri"/>
                <w:sz w:val="16"/>
                <w:szCs w:val="16"/>
              </w:rPr>
            </w:pPr>
            <w:r w:rsidRPr="003F655B">
              <w:rPr>
                <w:rFonts w:eastAsia="Calibri"/>
                <w:sz w:val="16"/>
                <w:szCs w:val="16"/>
              </w:rPr>
              <w:t>1.6</w:t>
            </w:r>
          </w:p>
        </w:tc>
        <w:tc>
          <w:tcPr>
            <w:tcW w:w="0" w:type="pct"/>
          </w:tcPr>
          <w:p w:rsidR="003F655B" w:rsidRPr="003F655B" w:rsidP="003F655B" w14:paraId="1BCAE74D" w14:textId="77777777">
            <w:pPr>
              <w:spacing w:before="20" w:after="20"/>
              <w:jc w:val="right"/>
              <w:rPr>
                <w:rFonts w:eastAsia="Calibri"/>
                <w:sz w:val="16"/>
                <w:szCs w:val="16"/>
              </w:rPr>
            </w:pPr>
          </w:p>
        </w:tc>
        <w:tc>
          <w:tcPr>
            <w:tcW w:w="0" w:type="pct"/>
            <w:noWrap/>
            <w:hideMark/>
          </w:tcPr>
          <w:p w:rsidR="003F655B" w:rsidRPr="003F655B" w:rsidP="003F655B" w14:paraId="52184838" w14:textId="77777777">
            <w:pPr>
              <w:spacing w:before="20" w:after="20"/>
              <w:jc w:val="right"/>
              <w:rPr>
                <w:rFonts w:eastAsia="Calibri"/>
                <w:sz w:val="16"/>
                <w:szCs w:val="16"/>
              </w:rPr>
            </w:pPr>
            <w:r w:rsidRPr="003F655B">
              <w:rPr>
                <w:rFonts w:eastAsia="Calibri"/>
                <w:sz w:val="16"/>
                <w:szCs w:val="16"/>
              </w:rPr>
              <w:t>379</w:t>
            </w:r>
          </w:p>
        </w:tc>
        <w:tc>
          <w:tcPr>
            <w:tcW w:w="0" w:type="pct"/>
            <w:noWrap/>
            <w:hideMark/>
          </w:tcPr>
          <w:p w:rsidR="003F655B" w:rsidRPr="003F655B" w:rsidP="003F655B" w14:paraId="08975E9E" w14:textId="77777777">
            <w:pPr>
              <w:spacing w:before="20" w:after="20"/>
              <w:jc w:val="right"/>
              <w:rPr>
                <w:rFonts w:eastAsia="Calibri"/>
                <w:sz w:val="16"/>
                <w:szCs w:val="16"/>
              </w:rPr>
            </w:pPr>
            <w:r w:rsidRPr="003F655B">
              <w:rPr>
                <w:rFonts w:eastAsia="Calibri"/>
                <w:sz w:val="16"/>
                <w:szCs w:val="16"/>
              </w:rPr>
              <w:t>1.6</w:t>
            </w:r>
          </w:p>
        </w:tc>
        <w:tc>
          <w:tcPr>
            <w:tcW w:w="0" w:type="pct"/>
          </w:tcPr>
          <w:p w:rsidR="003F655B" w:rsidRPr="003F655B" w:rsidP="003F655B" w14:paraId="321597CF" w14:textId="77777777">
            <w:pPr>
              <w:spacing w:before="20" w:after="20"/>
              <w:jc w:val="right"/>
              <w:rPr>
                <w:rFonts w:eastAsia="Calibri"/>
                <w:sz w:val="16"/>
                <w:szCs w:val="16"/>
              </w:rPr>
            </w:pPr>
          </w:p>
        </w:tc>
        <w:tc>
          <w:tcPr>
            <w:tcW w:w="0" w:type="pct"/>
            <w:noWrap/>
            <w:hideMark/>
          </w:tcPr>
          <w:p w:rsidR="003F655B" w:rsidRPr="003F655B" w:rsidP="003F655B" w14:paraId="016DB3D3" w14:textId="77777777">
            <w:pPr>
              <w:spacing w:before="20" w:after="20"/>
              <w:jc w:val="right"/>
              <w:rPr>
                <w:rFonts w:eastAsia="Calibri"/>
                <w:sz w:val="16"/>
                <w:szCs w:val="16"/>
              </w:rPr>
            </w:pPr>
            <w:r w:rsidRPr="003F655B">
              <w:rPr>
                <w:rFonts w:eastAsia="Calibri"/>
                <w:sz w:val="16"/>
                <w:szCs w:val="16"/>
              </w:rPr>
              <w:t>638</w:t>
            </w:r>
          </w:p>
        </w:tc>
        <w:tc>
          <w:tcPr>
            <w:tcW w:w="0" w:type="pct"/>
            <w:noWrap/>
            <w:hideMark/>
          </w:tcPr>
          <w:p w:rsidR="003F655B" w:rsidRPr="003F655B" w:rsidP="003F655B" w14:paraId="68984E09" w14:textId="77777777">
            <w:pPr>
              <w:spacing w:before="20" w:after="20"/>
              <w:jc w:val="right"/>
              <w:rPr>
                <w:rFonts w:eastAsia="Calibri"/>
                <w:sz w:val="16"/>
                <w:szCs w:val="16"/>
              </w:rPr>
            </w:pPr>
            <w:r w:rsidRPr="003F655B">
              <w:rPr>
                <w:rFonts w:eastAsia="Calibri"/>
                <w:sz w:val="16"/>
                <w:szCs w:val="16"/>
              </w:rPr>
              <w:t>2.8</w:t>
            </w:r>
          </w:p>
        </w:tc>
        <w:tc>
          <w:tcPr>
            <w:tcW w:w="0" w:type="pct"/>
          </w:tcPr>
          <w:p w:rsidR="003F655B" w:rsidRPr="003F655B" w:rsidP="003F655B" w14:paraId="35F6ABCD" w14:textId="77777777">
            <w:pPr>
              <w:spacing w:before="20" w:after="20"/>
              <w:jc w:val="right"/>
              <w:rPr>
                <w:rFonts w:eastAsia="Calibri"/>
                <w:sz w:val="16"/>
                <w:szCs w:val="16"/>
              </w:rPr>
            </w:pPr>
          </w:p>
        </w:tc>
        <w:tc>
          <w:tcPr>
            <w:tcW w:w="0" w:type="pct"/>
            <w:noWrap/>
            <w:hideMark/>
          </w:tcPr>
          <w:p w:rsidR="003F655B" w:rsidRPr="003F655B" w:rsidP="003F655B" w14:paraId="5329B86E" w14:textId="77777777">
            <w:pPr>
              <w:spacing w:before="20" w:after="20"/>
              <w:jc w:val="right"/>
              <w:rPr>
                <w:rFonts w:eastAsia="Calibri"/>
                <w:sz w:val="16"/>
                <w:szCs w:val="16"/>
              </w:rPr>
            </w:pPr>
            <w:r w:rsidRPr="003F655B">
              <w:rPr>
                <w:rFonts w:eastAsia="Calibri"/>
                <w:sz w:val="16"/>
                <w:szCs w:val="16"/>
              </w:rPr>
              <w:t>803</w:t>
            </w:r>
          </w:p>
        </w:tc>
        <w:tc>
          <w:tcPr>
            <w:tcW w:w="0" w:type="pct"/>
            <w:noWrap/>
            <w:hideMark/>
          </w:tcPr>
          <w:p w:rsidR="003F655B" w:rsidRPr="003F655B" w:rsidP="003F655B" w14:paraId="02952F74" w14:textId="77777777">
            <w:pPr>
              <w:spacing w:before="20" w:after="20"/>
              <w:jc w:val="right"/>
              <w:rPr>
                <w:rFonts w:eastAsia="Calibri"/>
                <w:sz w:val="16"/>
                <w:szCs w:val="16"/>
              </w:rPr>
            </w:pPr>
            <w:r w:rsidRPr="003F655B">
              <w:rPr>
                <w:rFonts w:eastAsia="Calibri"/>
                <w:sz w:val="16"/>
                <w:szCs w:val="16"/>
              </w:rPr>
              <w:t>3.5</w:t>
            </w:r>
          </w:p>
        </w:tc>
      </w:tr>
      <w:tr w14:paraId="4B3DB034" w14:textId="77777777" w:rsidTr="002A0A21">
        <w:tblPrEx>
          <w:tblW w:w="5008" w:type="pct"/>
          <w:tblLayout w:type="fixed"/>
          <w:tblLook w:val="0620"/>
        </w:tblPrEx>
        <w:tc>
          <w:tcPr>
            <w:tcW w:w="0" w:type="pct"/>
            <w:noWrap/>
            <w:hideMark/>
          </w:tcPr>
          <w:p w:rsidR="003F655B" w:rsidRPr="003F655B" w:rsidP="003F655B" w14:paraId="26C5F56E" w14:textId="77777777">
            <w:pPr>
              <w:spacing w:before="20" w:after="20"/>
              <w:rPr>
                <w:rFonts w:eastAsia="Calibri"/>
                <w:sz w:val="16"/>
                <w:szCs w:val="16"/>
              </w:rPr>
            </w:pPr>
            <w:r w:rsidRPr="003F655B">
              <w:rPr>
                <w:rFonts w:eastAsia="Calibri"/>
                <w:sz w:val="16"/>
                <w:szCs w:val="16"/>
              </w:rPr>
              <w:t>Nearest neighbor</w:t>
            </w:r>
          </w:p>
        </w:tc>
        <w:tc>
          <w:tcPr>
            <w:tcW w:w="0" w:type="pct"/>
            <w:noWrap/>
            <w:hideMark/>
          </w:tcPr>
          <w:p w:rsidR="003F655B" w:rsidRPr="003F655B" w:rsidP="003F655B" w14:paraId="13654412" w14:textId="77777777">
            <w:pPr>
              <w:spacing w:before="20" w:after="20"/>
              <w:jc w:val="right"/>
              <w:rPr>
                <w:rFonts w:eastAsia="Calibri"/>
                <w:sz w:val="16"/>
                <w:szCs w:val="16"/>
              </w:rPr>
            </w:pPr>
            <w:r w:rsidRPr="003F655B">
              <w:rPr>
                <w:rFonts w:eastAsia="Calibri"/>
                <w:sz w:val="16"/>
                <w:szCs w:val="16"/>
              </w:rPr>
              <w:t>0</w:t>
            </w:r>
          </w:p>
        </w:tc>
        <w:tc>
          <w:tcPr>
            <w:tcW w:w="0" w:type="pct"/>
            <w:noWrap/>
            <w:hideMark/>
          </w:tcPr>
          <w:p w:rsidR="003F655B" w:rsidRPr="003F655B" w:rsidP="003F655B" w14:paraId="2EF1287A" w14:textId="77777777">
            <w:pPr>
              <w:spacing w:before="20" w:after="20"/>
              <w:jc w:val="right"/>
              <w:rPr>
                <w:rFonts w:eastAsia="Calibri"/>
                <w:sz w:val="16"/>
                <w:szCs w:val="16"/>
              </w:rPr>
            </w:pPr>
            <w:r w:rsidRPr="003F655B">
              <w:rPr>
                <w:rFonts w:eastAsia="Calibri"/>
                <w:sz w:val="16"/>
                <w:szCs w:val="16"/>
              </w:rPr>
              <w:t>0.0</w:t>
            </w:r>
          </w:p>
        </w:tc>
        <w:tc>
          <w:tcPr>
            <w:tcW w:w="0" w:type="pct"/>
            <w:vAlign w:val="bottom"/>
          </w:tcPr>
          <w:p w:rsidR="003F655B" w:rsidRPr="003F655B" w:rsidP="003F655B" w14:paraId="74AAA42A" w14:textId="77777777">
            <w:pPr>
              <w:spacing w:before="20" w:after="20"/>
              <w:jc w:val="right"/>
              <w:rPr>
                <w:rFonts w:eastAsia="Calibri"/>
                <w:sz w:val="16"/>
                <w:szCs w:val="16"/>
              </w:rPr>
            </w:pPr>
          </w:p>
        </w:tc>
        <w:tc>
          <w:tcPr>
            <w:tcW w:w="0" w:type="pct"/>
            <w:noWrap/>
            <w:hideMark/>
          </w:tcPr>
          <w:p w:rsidR="003F655B" w:rsidRPr="003F655B" w:rsidP="003F655B" w14:paraId="5168C2E9" w14:textId="77777777">
            <w:pPr>
              <w:spacing w:before="20" w:after="20"/>
              <w:jc w:val="right"/>
              <w:rPr>
                <w:rFonts w:eastAsia="Calibri"/>
                <w:sz w:val="16"/>
                <w:szCs w:val="16"/>
              </w:rPr>
            </w:pPr>
            <w:r w:rsidRPr="003F655B">
              <w:rPr>
                <w:rFonts w:eastAsia="Calibri"/>
                <w:sz w:val="16"/>
                <w:szCs w:val="16"/>
              </w:rPr>
              <w:t>0</w:t>
            </w:r>
          </w:p>
        </w:tc>
        <w:tc>
          <w:tcPr>
            <w:tcW w:w="0" w:type="pct"/>
            <w:noWrap/>
            <w:hideMark/>
          </w:tcPr>
          <w:p w:rsidR="003F655B" w:rsidRPr="003F655B" w:rsidP="003F655B" w14:paraId="3B0A54F6" w14:textId="77777777">
            <w:pPr>
              <w:spacing w:before="20" w:after="20"/>
              <w:jc w:val="right"/>
              <w:rPr>
                <w:rFonts w:eastAsia="Calibri"/>
                <w:sz w:val="16"/>
                <w:szCs w:val="16"/>
              </w:rPr>
            </w:pPr>
            <w:r w:rsidRPr="003F655B">
              <w:rPr>
                <w:rFonts w:eastAsia="Calibri"/>
                <w:sz w:val="16"/>
                <w:szCs w:val="16"/>
              </w:rPr>
              <w:t>0.0</w:t>
            </w:r>
          </w:p>
        </w:tc>
        <w:tc>
          <w:tcPr>
            <w:tcW w:w="0" w:type="pct"/>
          </w:tcPr>
          <w:p w:rsidR="003F655B" w:rsidRPr="003F655B" w:rsidP="003F655B" w14:paraId="166A45EC" w14:textId="77777777">
            <w:pPr>
              <w:spacing w:before="20" w:after="20"/>
              <w:jc w:val="right"/>
              <w:rPr>
                <w:rFonts w:eastAsia="Calibri"/>
                <w:sz w:val="16"/>
                <w:szCs w:val="16"/>
              </w:rPr>
            </w:pPr>
          </w:p>
        </w:tc>
        <w:tc>
          <w:tcPr>
            <w:tcW w:w="0" w:type="pct"/>
            <w:noWrap/>
            <w:hideMark/>
          </w:tcPr>
          <w:p w:rsidR="003F655B" w:rsidRPr="003F655B" w:rsidP="003F655B" w14:paraId="06093F70" w14:textId="77777777">
            <w:pPr>
              <w:spacing w:before="20" w:after="20"/>
              <w:jc w:val="right"/>
              <w:rPr>
                <w:rFonts w:eastAsia="Calibri"/>
                <w:sz w:val="16"/>
                <w:szCs w:val="16"/>
              </w:rPr>
            </w:pPr>
            <w:r w:rsidRPr="003F655B">
              <w:rPr>
                <w:rFonts w:eastAsia="Calibri"/>
                <w:sz w:val="16"/>
                <w:szCs w:val="16"/>
              </w:rPr>
              <w:t>0</w:t>
            </w:r>
          </w:p>
        </w:tc>
        <w:tc>
          <w:tcPr>
            <w:tcW w:w="0" w:type="pct"/>
            <w:noWrap/>
            <w:hideMark/>
          </w:tcPr>
          <w:p w:rsidR="003F655B" w:rsidRPr="003F655B" w:rsidP="003F655B" w14:paraId="2BD350DA" w14:textId="77777777">
            <w:pPr>
              <w:spacing w:before="20" w:after="20"/>
              <w:jc w:val="right"/>
              <w:rPr>
                <w:rFonts w:eastAsia="Calibri"/>
                <w:sz w:val="16"/>
                <w:szCs w:val="16"/>
              </w:rPr>
            </w:pPr>
            <w:r w:rsidRPr="003F655B">
              <w:rPr>
                <w:rFonts w:eastAsia="Calibri"/>
                <w:sz w:val="16"/>
                <w:szCs w:val="16"/>
              </w:rPr>
              <w:t>0.0</w:t>
            </w:r>
          </w:p>
        </w:tc>
        <w:tc>
          <w:tcPr>
            <w:tcW w:w="0" w:type="pct"/>
          </w:tcPr>
          <w:p w:rsidR="003F655B" w:rsidRPr="003F655B" w:rsidP="003F655B" w14:paraId="64D198A1" w14:textId="77777777">
            <w:pPr>
              <w:spacing w:before="20" w:after="20"/>
              <w:jc w:val="right"/>
              <w:rPr>
                <w:rFonts w:eastAsia="Calibri"/>
                <w:sz w:val="16"/>
                <w:szCs w:val="16"/>
              </w:rPr>
            </w:pPr>
          </w:p>
        </w:tc>
        <w:tc>
          <w:tcPr>
            <w:tcW w:w="0" w:type="pct"/>
            <w:noWrap/>
            <w:hideMark/>
          </w:tcPr>
          <w:p w:rsidR="003F655B" w:rsidRPr="003F655B" w:rsidP="003F655B" w14:paraId="57D945BC" w14:textId="77777777">
            <w:pPr>
              <w:spacing w:before="20" w:after="20"/>
              <w:jc w:val="right"/>
              <w:rPr>
                <w:rFonts w:eastAsia="Calibri"/>
                <w:sz w:val="16"/>
                <w:szCs w:val="16"/>
              </w:rPr>
            </w:pPr>
            <w:r w:rsidRPr="003F655B">
              <w:rPr>
                <w:rFonts w:eastAsia="Calibri"/>
                <w:sz w:val="16"/>
                <w:szCs w:val="16"/>
              </w:rPr>
              <w:t>1</w:t>
            </w:r>
          </w:p>
        </w:tc>
        <w:tc>
          <w:tcPr>
            <w:tcW w:w="0" w:type="pct"/>
            <w:noWrap/>
            <w:hideMark/>
          </w:tcPr>
          <w:p w:rsidR="003F655B" w:rsidRPr="003F655B" w:rsidP="003F655B" w14:paraId="455510B1" w14:textId="77777777">
            <w:pPr>
              <w:spacing w:before="20" w:after="20"/>
              <w:jc w:val="right"/>
              <w:rPr>
                <w:rFonts w:eastAsia="Calibri"/>
                <w:sz w:val="16"/>
                <w:szCs w:val="16"/>
              </w:rPr>
            </w:pPr>
            <w:r w:rsidRPr="003F655B">
              <w:rPr>
                <w:rFonts w:eastAsia="Calibri"/>
                <w:sz w:val="16"/>
                <w:szCs w:val="16"/>
              </w:rPr>
              <w:t>0.0</w:t>
            </w:r>
          </w:p>
        </w:tc>
        <w:tc>
          <w:tcPr>
            <w:tcW w:w="0" w:type="pct"/>
          </w:tcPr>
          <w:p w:rsidR="003F655B" w:rsidRPr="003F655B" w:rsidP="003F655B" w14:paraId="6B6E3682" w14:textId="77777777">
            <w:pPr>
              <w:spacing w:before="20" w:after="20"/>
              <w:jc w:val="right"/>
              <w:rPr>
                <w:rFonts w:eastAsia="Calibri"/>
                <w:sz w:val="16"/>
                <w:szCs w:val="16"/>
              </w:rPr>
            </w:pPr>
          </w:p>
        </w:tc>
        <w:tc>
          <w:tcPr>
            <w:tcW w:w="0" w:type="pct"/>
            <w:noWrap/>
            <w:hideMark/>
          </w:tcPr>
          <w:p w:rsidR="003F655B" w:rsidRPr="003F655B" w:rsidP="003F655B" w14:paraId="7E2DFBC1" w14:textId="77777777">
            <w:pPr>
              <w:spacing w:before="20" w:after="20"/>
              <w:jc w:val="right"/>
              <w:rPr>
                <w:rFonts w:eastAsia="Calibri"/>
                <w:sz w:val="16"/>
                <w:szCs w:val="16"/>
              </w:rPr>
            </w:pPr>
            <w:r w:rsidRPr="003F655B">
              <w:rPr>
                <w:rFonts w:eastAsia="Calibri"/>
                <w:sz w:val="16"/>
                <w:szCs w:val="16"/>
              </w:rPr>
              <w:t>259</w:t>
            </w:r>
          </w:p>
        </w:tc>
        <w:tc>
          <w:tcPr>
            <w:tcW w:w="0" w:type="pct"/>
            <w:noWrap/>
            <w:hideMark/>
          </w:tcPr>
          <w:p w:rsidR="003F655B" w:rsidRPr="003F655B" w:rsidP="003F655B" w14:paraId="452015EC" w14:textId="77777777">
            <w:pPr>
              <w:spacing w:before="20" w:after="20"/>
              <w:jc w:val="right"/>
              <w:rPr>
                <w:rFonts w:eastAsia="Calibri"/>
                <w:sz w:val="16"/>
                <w:szCs w:val="16"/>
              </w:rPr>
            </w:pPr>
            <w:r w:rsidRPr="003F655B">
              <w:rPr>
                <w:rFonts w:eastAsia="Calibri"/>
                <w:sz w:val="16"/>
                <w:szCs w:val="16"/>
              </w:rPr>
              <w:t>1.1</w:t>
            </w:r>
          </w:p>
        </w:tc>
        <w:tc>
          <w:tcPr>
            <w:tcW w:w="0" w:type="pct"/>
          </w:tcPr>
          <w:p w:rsidR="003F655B" w:rsidRPr="003F655B" w:rsidP="003F655B" w14:paraId="7AF5CD7B" w14:textId="77777777">
            <w:pPr>
              <w:spacing w:before="20" w:after="20"/>
              <w:jc w:val="right"/>
              <w:rPr>
                <w:rFonts w:eastAsia="Calibri"/>
                <w:sz w:val="16"/>
                <w:szCs w:val="16"/>
              </w:rPr>
            </w:pPr>
          </w:p>
        </w:tc>
        <w:tc>
          <w:tcPr>
            <w:tcW w:w="0" w:type="pct"/>
            <w:noWrap/>
            <w:hideMark/>
          </w:tcPr>
          <w:p w:rsidR="003F655B" w:rsidRPr="003F655B" w:rsidP="003F655B" w14:paraId="42D8E437" w14:textId="77777777">
            <w:pPr>
              <w:spacing w:before="20" w:after="20"/>
              <w:jc w:val="right"/>
              <w:rPr>
                <w:rFonts w:eastAsia="Calibri"/>
                <w:sz w:val="16"/>
                <w:szCs w:val="16"/>
              </w:rPr>
            </w:pPr>
            <w:r w:rsidRPr="003F655B">
              <w:rPr>
                <w:rFonts w:eastAsia="Calibri"/>
                <w:sz w:val="16"/>
                <w:szCs w:val="16"/>
              </w:rPr>
              <w:t>619</w:t>
            </w:r>
          </w:p>
        </w:tc>
        <w:tc>
          <w:tcPr>
            <w:tcW w:w="0" w:type="pct"/>
            <w:noWrap/>
            <w:hideMark/>
          </w:tcPr>
          <w:p w:rsidR="003F655B" w:rsidRPr="003F655B" w:rsidP="003F655B" w14:paraId="15B7E7A0" w14:textId="77777777">
            <w:pPr>
              <w:spacing w:before="20" w:after="20"/>
              <w:jc w:val="right"/>
              <w:rPr>
                <w:rFonts w:eastAsia="Calibri"/>
                <w:sz w:val="16"/>
                <w:szCs w:val="16"/>
              </w:rPr>
            </w:pPr>
            <w:r w:rsidRPr="003F655B">
              <w:rPr>
                <w:rFonts w:eastAsia="Calibri"/>
                <w:sz w:val="16"/>
                <w:szCs w:val="16"/>
              </w:rPr>
              <w:t>2.7</w:t>
            </w:r>
          </w:p>
        </w:tc>
      </w:tr>
      <w:tr w14:paraId="7B74290F" w14:textId="77777777" w:rsidTr="002A0A21">
        <w:tblPrEx>
          <w:tblW w:w="5008" w:type="pct"/>
          <w:tblLayout w:type="fixed"/>
          <w:tblLook w:val="0620"/>
        </w:tblPrEx>
        <w:tc>
          <w:tcPr>
            <w:tcW w:w="0" w:type="pct"/>
            <w:noWrap/>
            <w:hideMark/>
          </w:tcPr>
          <w:p w:rsidR="003F655B" w:rsidRPr="003F655B" w:rsidP="003F655B" w14:paraId="189D94E2" w14:textId="77777777">
            <w:pPr>
              <w:spacing w:before="20" w:after="20"/>
              <w:rPr>
                <w:rFonts w:eastAsia="Calibri"/>
                <w:sz w:val="16"/>
                <w:szCs w:val="16"/>
              </w:rPr>
            </w:pPr>
            <w:r w:rsidRPr="003F655B">
              <w:rPr>
                <w:rFonts w:eastAsia="Calibri"/>
                <w:sz w:val="16"/>
                <w:szCs w:val="16"/>
              </w:rPr>
              <w:t>Adjusted enrollment</w:t>
            </w:r>
          </w:p>
        </w:tc>
        <w:tc>
          <w:tcPr>
            <w:tcW w:w="0" w:type="pct"/>
            <w:noWrap/>
            <w:hideMark/>
          </w:tcPr>
          <w:p w:rsidR="003F655B" w:rsidRPr="003F655B" w:rsidP="003F655B" w14:paraId="70655B58" w14:textId="77777777">
            <w:pPr>
              <w:spacing w:before="20" w:after="20"/>
              <w:jc w:val="right"/>
              <w:rPr>
                <w:rFonts w:eastAsia="Calibri"/>
                <w:sz w:val="16"/>
                <w:szCs w:val="16"/>
              </w:rPr>
            </w:pPr>
            <w:r w:rsidRPr="003F655B">
              <w:rPr>
                <w:rFonts w:eastAsia="Calibri"/>
                <w:sz w:val="16"/>
                <w:szCs w:val="16"/>
              </w:rPr>
              <w:t>28</w:t>
            </w:r>
          </w:p>
        </w:tc>
        <w:tc>
          <w:tcPr>
            <w:tcW w:w="0" w:type="pct"/>
            <w:noWrap/>
            <w:hideMark/>
          </w:tcPr>
          <w:p w:rsidR="003F655B" w:rsidRPr="003F655B" w:rsidP="003F655B" w14:paraId="7B6E367A" w14:textId="77777777">
            <w:pPr>
              <w:spacing w:before="20" w:after="20"/>
              <w:jc w:val="right"/>
              <w:rPr>
                <w:rFonts w:eastAsia="Calibri"/>
                <w:sz w:val="16"/>
                <w:szCs w:val="16"/>
              </w:rPr>
            </w:pPr>
            <w:r w:rsidRPr="003F655B">
              <w:rPr>
                <w:rFonts w:eastAsia="Calibri"/>
                <w:sz w:val="16"/>
                <w:szCs w:val="16"/>
              </w:rPr>
              <w:t>0.1</w:t>
            </w:r>
          </w:p>
        </w:tc>
        <w:tc>
          <w:tcPr>
            <w:tcW w:w="0" w:type="pct"/>
            <w:vAlign w:val="bottom"/>
          </w:tcPr>
          <w:p w:rsidR="003F655B" w:rsidRPr="003F655B" w:rsidP="003F655B" w14:paraId="4E2CDBBB" w14:textId="77777777">
            <w:pPr>
              <w:spacing w:before="20" w:after="20"/>
              <w:jc w:val="right"/>
              <w:rPr>
                <w:rFonts w:eastAsia="Calibri"/>
                <w:sz w:val="16"/>
                <w:szCs w:val="16"/>
              </w:rPr>
            </w:pPr>
          </w:p>
        </w:tc>
        <w:tc>
          <w:tcPr>
            <w:tcW w:w="0" w:type="pct"/>
            <w:noWrap/>
            <w:hideMark/>
          </w:tcPr>
          <w:p w:rsidR="003F655B" w:rsidRPr="003F655B" w:rsidP="003F655B" w14:paraId="29F6870D" w14:textId="77777777">
            <w:pPr>
              <w:spacing w:before="20" w:after="20"/>
              <w:jc w:val="right"/>
              <w:rPr>
                <w:rFonts w:eastAsia="Calibri"/>
                <w:sz w:val="16"/>
                <w:szCs w:val="16"/>
              </w:rPr>
            </w:pPr>
            <w:r w:rsidRPr="003F655B">
              <w:rPr>
                <w:rFonts w:eastAsia="Calibri"/>
                <w:sz w:val="16"/>
                <w:szCs w:val="16"/>
              </w:rPr>
              <w:t>29</w:t>
            </w:r>
          </w:p>
        </w:tc>
        <w:tc>
          <w:tcPr>
            <w:tcW w:w="0" w:type="pct"/>
            <w:noWrap/>
            <w:hideMark/>
          </w:tcPr>
          <w:p w:rsidR="003F655B" w:rsidRPr="003F655B" w:rsidP="003F655B" w14:paraId="71A7C9B2" w14:textId="77777777">
            <w:pPr>
              <w:spacing w:before="20" w:after="20"/>
              <w:jc w:val="right"/>
              <w:rPr>
                <w:rFonts w:eastAsia="Calibri"/>
                <w:sz w:val="16"/>
                <w:szCs w:val="16"/>
              </w:rPr>
            </w:pPr>
            <w:r w:rsidRPr="003F655B">
              <w:rPr>
                <w:rFonts w:eastAsia="Calibri"/>
                <w:sz w:val="16"/>
                <w:szCs w:val="16"/>
              </w:rPr>
              <w:t>0.1</w:t>
            </w:r>
          </w:p>
        </w:tc>
        <w:tc>
          <w:tcPr>
            <w:tcW w:w="0" w:type="pct"/>
          </w:tcPr>
          <w:p w:rsidR="003F655B" w:rsidRPr="003F655B" w:rsidP="003F655B" w14:paraId="4CF1B8E9" w14:textId="77777777">
            <w:pPr>
              <w:spacing w:before="20" w:after="20"/>
              <w:jc w:val="right"/>
              <w:rPr>
                <w:rFonts w:eastAsia="Calibri"/>
                <w:sz w:val="16"/>
                <w:szCs w:val="16"/>
              </w:rPr>
            </w:pPr>
          </w:p>
        </w:tc>
        <w:tc>
          <w:tcPr>
            <w:tcW w:w="0" w:type="pct"/>
            <w:noWrap/>
            <w:hideMark/>
          </w:tcPr>
          <w:p w:rsidR="003F655B" w:rsidRPr="003F655B" w:rsidP="003F655B" w14:paraId="704F973C" w14:textId="77777777">
            <w:pPr>
              <w:spacing w:before="20" w:after="20"/>
              <w:jc w:val="right"/>
              <w:rPr>
                <w:rFonts w:eastAsia="Calibri"/>
                <w:sz w:val="16"/>
                <w:szCs w:val="16"/>
              </w:rPr>
            </w:pPr>
            <w:r w:rsidRPr="003F655B">
              <w:rPr>
                <w:rFonts w:eastAsia="Calibri"/>
                <w:sz w:val="16"/>
                <w:szCs w:val="16"/>
              </w:rPr>
              <w:t>20</w:t>
            </w:r>
          </w:p>
        </w:tc>
        <w:tc>
          <w:tcPr>
            <w:tcW w:w="0" w:type="pct"/>
            <w:noWrap/>
            <w:hideMark/>
          </w:tcPr>
          <w:p w:rsidR="003F655B" w:rsidRPr="003F655B" w:rsidP="003F655B" w14:paraId="3869DBC6" w14:textId="77777777">
            <w:pPr>
              <w:spacing w:before="20" w:after="20"/>
              <w:jc w:val="right"/>
              <w:rPr>
                <w:rFonts w:eastAsia="Calibri"/>
                <w:sz w:val="16"/>
                <w:szCs w:val="16"/>
              </w:rPr>
            </w:pPr>
            <w:r w:rsidRPr="003F655B">
              <w:rPr>
                <w:rFonts w:eastAsia="Calibri"/>
                <w:sz w:val="16"/>
                <w:szCs w:val="16"/>
              </w:rPr>
              <w:t>0.1</w:t>
            </w:r>
          </w:p>
        </w:tc>
        <w:tc>
          <w:tcPr>
            <w:tcW w:w="0" w:type="pct"/>
          </w:tcPr>
          <w:p w:rsidR="003F655B" w:rsidRPr="003F655B" w:rsidP="003F655B" w14:paraId="502101E3" w14:textId="77777777">
            <w:pPr>
              <w:spacing w:before="20" w:after="20"/>
              <w:jc w:val="right"/>
              <w:rPr>
                <w:rFonts w:eastAsia="Calibri"/>
                <w:sz w:val="16"/>
                <w:szCs w:val="16"/>
              </w:rPr>
            </w:pPr>
          </w:p>
        </w:tc>
        <w:tc>
          <w:tcPr>
            <w:tcW w:w="0" w:type="pct"/>
            <w:noWrap/>
            <w:hideMark/>
          </w:tcPr>
          <w:p w:rsidR="003F655B" w:rsidRPr="003F655B" w:rsidP="003F655B" w14:paraId="1D523BD5" w14:textId="77777777">
            <w:pPr>
              <w:spacing w:before="20" w:after="20"/>
              <w:jc w:val="right"/>
              <w:rPr>
                <w:rFonts w:eastAsia="Calibri"/>
                <w:sz w:val="16"/>
                <w:szCs w:val="16"/>
              </w:rPr>
            </w:pPr>
            <w:r w:rsidRPr="003F655B">
              <w:rPr>
                <w:rFonts w:eastAsia="Calibri"/>
                <w:sz w:val="16"/>
                <w:szCs w:val="16"/>
              </w:rPr>
              <w:t>20</w:t>
            </w:r>
          </w:p>
        </w:tc>
        <w:tc>
          <w:tcPr>
            <w:tcW w:w="0" w:type="pct"/>
            <w:noWrap/>
            <w:hideMark/>
          </w:tcPr>
          <w:p w:rsidR="003F655B" w:rsidRPr="003F655B" w:rsidP="003F655B" w14:paraId="76CE1019" w14:textId="77777777">
            <w:pPr>
              <w:spacing w:before="20" w:after="20"/>
              <w:jc w:val="right"/>
              <w:rPr>
                <w:rFonts w:eastAsia="Calibri"/>
                <w:sz w:val="16"/>
                <w:szCs w:val="16"/>
              </w:rPr>
            </w:pPr>
            <w:r w:rsidRPr="003F655B">
              <w:rPr>
                <w:rFonts w:eastAsia="Calibri"/>
                <w:sz w:val="16"/>
                <w:szCs w:val="16"/>
              </w:rPr>
              <w:t>0.1</w:t>
            </w:r>
          </w:p>
        </w:tc>
        <w:tc>
          <w:tcPr>
            <w:tcW w:w="0" w:type="pct"/>
          </w:tcPr>
          <w:p w:rsidR="003F655B" w:rsidRPr="003F655B" w:rsidP="003F655B" w14:paraId="5A4C9859" w14:textId="77777777">
            <w:pPr>
              <w:spacing w:before="20" w:after="20"/>
              <w:jc w:val="right"/>
              <w:rPr>
                <w:rFonts w:eastAsia="Calibri"/>
                <w:sz w:val="16"/>
                <w:szCs w:val="16"/>
              </w:rPr>
            </w:pPr>
          </w:p>
        </w:tc>
        <w:tc>
          <w:tcPr>
            <w:tcW w:w="0" w:type="pct"/>
            <w:noWrap/>
            <w:hideMark/>
          </w:tcPr>
          <w:p w:rsidR="003F655B" w:rsidRPr="003F655B" w:rsidP="003F655B" w14:paraId="477D858B" w14:textId="77777777">
            <w:pPr>
              <w:spacing w:before="20" w:after="20"/>
              <w:jc w:val="right"/>
              <w:rPr>
                <w:rFonts w:eastAsia="Calibri"/>
                <w:sz w:val="16"/>
                <w:szCs w:val="16"/>
              </w:rPr>
            </w:pPr>
            <w:r w:rsidRPr="003F655B">
              <w:rPr>
                <w:rFonts w:eastAsia="Calibri"/>
                <w:sz w:val="16"/>
                <w:szCs w:val="16"/>
              </w:rPr>
              <w:t>0</w:t>
            </w:r>
          </w:p>
        </w:tc>
        <w:tc>
          <w:tcPr>
            <w:tcW w:w="0" w:type="pct"/>
            <w:noWrap/>
            <w:hideMark/>
          </w:tcPr>
          <w:p w:rsidR="003F655B" w:rsidRPr="003F655B" w:rsidP="003F655B" w14:paraId="3578FEF6" w14:textId="77777777">
            <w:pPr>
              <w:spacing w:before="20" w:after="20"/>
              <w:jc w:val="right"/>
              <w:rPr>
                <w:rFonts w:eastAsia="Calibri"/>
                <w:sz w:val="16"/>
                <w:szCs w:val="16"/>
              </w:rPr>
            </w:pPr>
            <w:r w:rsidRPr="003F655B">
              <w:rPr>
                <w:rFonts w:eastAsia="Calibri"/>
                <w:sz w:val="16"/>
                <w:szCs w:val="16"/>
              </w:rPr>
              <w:t>0.0</w:t>
            </w:r>
          </w:p>
        </w:tc>
        <w:tc>
          <w:tcPr>
            <w:tcW w:w="0" w:type="pct"/>
          </w:tcPr>
          <w:p w:rsidR="003F655B" w:rsidRPr="003F655B" w:rsidP="003F655B" w14:paraId="7DD9F88F" w14:textId="77777777">
            <w:pPr>
              <w:spacing w:before="20" w:after="20"/>
              <w:jc w:val="right"/>
              <w:rPr>
                <w:rFonts w:eastAsia="Calibri"/>
                <w:sz w:val="16"/>
                <w:szCs w:val="16"/>
              </w:rPr>
            </w:pPr>
          </w:p>
        </w:tc>
        <w:tc>
          <w:tcPr>
            <w:tcW w:w="0" w:type="pct"/>
            <w:noWrap/>
            <w:hideMark/>
          </w:tcPr>
          <w:p w:rsidR="003F655B" w:rsidRPr="003F655B" w:rsidP="003F655B" w14:paraId="2E2173F2" w14:textId="77777777">
            <w:pPr>
              <w:spacing w:before="20" w:after="20"/>
              <w:jc w:val="right"/>
              <w:rPr>
                <w:rFonts w:eastAsia="Calibri"/>
                <w:sz w:val="16"/>
                <w:szCs w:val="16"/>
              </w:rPr>
            </w:pPr>
            <w:r w:rsidRPr="003F655B">
              <w:rPr>
                <w:rFonts w:eastAsia="Calibri"/>
                <w:sz w:val="16"/>
                <w:szCs w:val="16"/>
              </w:rPr>
              <w:t>0</w:t>
            </w:r>
          </w:p>
        </w:tc>
        <w:tc>
          <w:tcPr>
            <w:tcW w:w="0" w:type="pct"/>
            <w:noWrap/>
            <w:hideMark/>
          </w:tcPr>
          <w:p w:rsidR="003F655B" w:rsidRPr="003F655B" w:rsidP="003F655B" w14:paraId="5469D744" w14:textId="77777777">
            <w:pPr>
              <w:spacing w:before="20" w:after="20"/>
              <w:jc w:val="right"/>
              <w:rPr>
                <w:rFonts w:eastAsia="Calibri"/>
                <w:sz w:val="16"/>
                <w:szCs w:val="16"/>
              </w:rPr>
            </w:pPr>
            <w:r w:rsidRPr="003F655B">
              <w:rPr>
                <w:rFonts w:eastAsia="Calibri"/>
                <w:sz w:val="16"/>
                <w:szCs w:val="16"/>
              </w:rPr>
              <w:t>0.0</w:t>
            </w:r>
          </w:p>
        </w:tc>
      </w:tr>
    </w:tbl>
    <w:p w:rsidR="003F655B" w:rsidRPr="003F655B" w:rsidP="003F655B" w14:paraId="32583117" w14:textId="77777777">
      <w:pPr>
        <w:spacing w:before="40" w:after="240" w:line="240" w:lineRule="auto"/>
        <w:contextualSpacing/>
        <w:rPr>
          <w:rFonts w:ascii="Arial Narrow" w:eastAsia="MS Mincho" w:hAnsi="Arial Narrow" w:cs="Times New Roman"/>
          <w:kern w:val="0"/>
          <w:sz w:val="16"/>
          <w:szCs w:val="20"/>
          <w14:ligatures w14:val="none"/>
        </w:rPr>
      </w:pPr>
      <w:r w:rsidRPr="003F655B">
        <w:rPr>
          <w:rFonts w:ascii="Arial Narrow" w:eastAsia="MS Mincho" w:hAnsi="Arial Narrow" w:cs="Times New Roman"/>
          <w:kern w:val="0"/>
          <w:sz w:val="16"/>
          <w:szCs w:val="20"/>
          <w14:ligatures w14:val="none"/>
        </w:rPr>
        <w:t>Source(s):</w:t>
      </w:r>
      <w:r w:rsidRPr="003F655B">
        <w:rPr>
          <w:rFonts w:ascii="Arial Narrow" w:eastAsia="MS Mincho" w:hAnsi="Arial Narrow" w:cs="Times New Roman"/>
          <w:kern w:val="0"/>
          <w:sz w:val="16"/>
          <w:szCs w:val="20"/>
          <w14:ligatures w14:val="none"/>
        </w:rPr>
        <w:br/>
        <w:t>National Center for Science and Engineering Statistics, Survey of Graduate Students and Postdoctorates in Science and Engineering, 2024.</w:t>
      </w:r>
    </w:p>
    <w:p w:rsidR="003F655B" w:rsidRPr="003F655B" w:rsidP="003F655B" w14:paraId="7C6016F1" w14:textId="77777777">
      <w:pPr>
        <w:keepNext/>
        <w:keepLines/>
        <w:spacing w:after="0" w:line="480" w:lineRule="auto"/>
        <w:ind w:left="720" w:hanging="720"/>
        <w:outlineLvl w:val="1"/>
        <w:rPr>
          <w:rFonts w:ascii="Arial" w:eastAsia="MS Mincho" w:hAnsi="Arial" w:cs="Times New Roman"/>
          <w:b/>
          <w:kern w:val="0"/>
          <w:sz w:val="26"/>
          <w14:ligatures w14:val="none"/>
        </w:rPr>
      </w:pPr>
      <w:bookmarkStart w:id="17" w:name="_Toc48120631"/>
      <w:bookmarkStart w:id="18" w:name="_Toc210220806"/>
      <w:r w:rsidRPr="003F655B">
        <w:rPr>
          <w:rFonts w:ascii="Arial" w:eastAsia="MS Mincho" w:hAnsi="Arial" w:cs="Times New Roman"/>
          <w:b/>
          <w:kern w:val="0"/>
          <w:sz w:val="26"/>
          <w14:ligatures w14:val="none"/>
        </w:rPr>
        <w:t>9.b</w:t>
      </w:r>
      <w:r w:rsidRPr="003F655B">
        <w:rPr>
          <w:rFonts w:ascii="Arial" w:eastAsia="MS Mincho" w:hAnsi="Arial" w:cs="Times New Roman"/>
          <w:b/>
          <w:kern w:val="0"/>
          <w:sz w:val="26"/>
          <w14:ligatures w14:val="none"/>
        </w:rPr>
        <w:tab/>
        <w:t>Total Nonresponse Adjustments</w:t>
      </w:r>
      <w:bookmarkEnd w:id="17"/>
      <w:bookmarkEnd w:id="18"/>
    </w:p>
    <w:p w:rsidR="003F655B" w:rsidRPr="003F655B" w:rsidP="003F655B" w14:paraId="0D5D28B8" w14:textId="77777777">
      <w:pPr>
        <w:tabs>
          <w:tab w:val="left" w:pos="720"/>
        </w:tabs>
        <w:adjustRightInd w:val="0"/>
        <w:spacing w:after="0" w:line="480" w:lineRule="auto"/>
        <w:ind w:firstLine="720"/>
        <w:textAlignment w:val="baseline"/>
        <w:rPr>
          <w:rFonts w:ascii="Times New Roman" w:eastAsia="Times New Roman" w:hAnsi="Times New Roman" w:cs="Times New Roman"/>
          <w:kern w:val="0"/>
          <w:lang w:val="x-none" w:eastAsia="x-none"/>
          <w14:ligatures w14:val="none"/>
        </w:rPr>
      </w:pPr>
      <w:r w:rsidRPr="003F655B">
        <w:rPr>
          <w:rFonts w:ascii="Times New Roman" w:eastAsia="Times New Roman" w:hAnsi="Times New Roman" w:cs="Times New Roman"/>
          <w:kern w:val="0"/>
          <w:lang w:val="x-none" w:eastAsia="x-none"/>
          <w14:ligatures w14:val="none"/>
        </w:rPr>
        <w:t>For institutions or schools that did not respond, all data at the unit level w</w:t>
      </w:r>
      <w:r w:rsidRPr="003F655B">
        <w:rPr>
          <w:rFonts w:ascii="Times New Roman" w:eastAsia="Times New Roman" w:hAnsi="Times New Roman" w:cs="Times New Roman"/>
          <w:kern w:val="0"/>
          <w:lang w:eastAsia="x-none"/>
          <w14:ligatures w14:val="none"/>
        </w:rPr>
        <w:t>ere</w:t>
      </w:r>
      <w:r w:rsidRPr="003F655B">
        <w:rPr>
          <w:rFonts w:ascii="Times New Roman" w:eastAsia="Times New Roman" w:hAnsi="Times New Roman" w:cs="Times New Roman"/>
          <w:kern w:val="0"/>
          <w:lang w:val="x-none" w:eastAsia="x-none"/>
          <w14:ligatures w14:val="none"/>
        </w:rPr>
        <w:t xml:space="preserve"> imputed. These are </w:t>
      </w:r>
      <w:r w:rsidRPr="003F655B">
        <w:rPr>
          <w:rFonts w:ascii="Times New Roman" w:eastAsia="Times New Roman" w:hAnsi="Times New Roman" w:cs="Times New Roman"/>
          <w:i/>
          <w:kern w:val="0"/>
          <w:lang w:val="x-none" w:eastAsia="x-none"/>
          <w14:ligatures w14:val="none"/>
        </w:rPr>
        <w:t xml:space="preserve">total institution </w:t>
      </w:r>
      <w:r w:rsidRPr="003F655B">
        <w:rPr>
          <w:rFonts w:ascii="Times New Roman" w:eastAsia="Times New Roman" w:hAnsi="Times New Roman" w:cs="Times New Roman"/>
          <w:i/>
          <w:kern w:val="0"/>
          <w:lang w:eastAsia="x-none"/>
          <w14:ligatures w14:val="none"/>
        </w:rPr>
        <w:t xml:space="preserve">nonrespondents </w:t>
      </w:r>
      <w:r w:rsidRPr="003F655B">
        <w:rPr>
          <w:rFonts w:ascii="Times New Roman" w:eastAsia="Times New Roman" w:hAnsi="Times New Roman" w:cs="Times New Roman"/>
          <w:i/>
          <w:kern w:val="0"/>
          <w:lang w:val="x-none" w:eastAsia="x-none"/>
          <w14:ligatures w14:val="none"/>
        </w:rPr>
        <w:t xml:space="preserve">or </w:t>
      </w:r>
      <w:r w:rsidRPr="003F655B">
        <w:rPr>
          <w:rFonts w:ascii="Times New Roman" w:eastAsia="Times New Roman" w:hAnsi="Times New Roman" w:cs="Times New Roman"/>
          <w:i/>
          <w:kern w:val="0"/>
          <w:lang w:eastAsia="x-none"/>
          <w14:ligatures w14:val="none"/>
        </w:rPr>
        <w:t xml:space="preserve">total </w:t>
      </w:r>
      <w:r w:rsidRPr="003F655B">
        <w:rPr>
          <w:rFonts w:ascii="Times New Roman" w:eastAsia="Times New Roman" w:hAnsi="Times New Roman" w:cs="Times New Roman"/>
          <w:i/>
          <w:kern w:val="0"/>
          <w:lang w:val="x-none" w:eastAsia="x-none"/>
          <w14:ligatures w14:val="none"/>
        </w:rPr>
        <w:t>school nonrespondents</w:t>
      </w:r>
      <w:r w:rsidRPr="003F655B">
        <w:rPr>
          <w:rFonts w:ascii="Times New Roman" w:eastAsia="Times New Roman" w:hAnsi="Times New Roman" w:cs="Times New Roman"/>
          <w:kern w:val="0"/>
          <w:lang w:val="x-none" w:eastAsia="x-none"/>
          <w14:ligatures w14:val="none"/>
        </w:rPr>
        <w:t xml:space="preserve">. For these institutions or schools, </w:t>
      </w:r>
      <w:r w:rsidRPr="003F655B">
        <w:rPr>
          <w:rFonts w:ascii="Times New Roman" w:eastAsia="Times New Roman" w:hAnsi="Times New Roman" w:cs="Times New Roman"/>
          <w:kern w:val="0"/>
          <w:lang w:eastAsia="x-none"/>
          <w14:ligatures w14:val="none"/>
        </w:rPr>
        <w:t xml:space="preserve">if </w:t>
      </w:r>
      <w:r w:rsidRPr="003F655B">
        <w:rPr>
          <w:rFonts w:ascii="Times New Roman" w:eastAsia="Times New Roman" w:hAnsi="Times New Roman" w:cs="Times New Roman"/>
          <w:kern w:val="0"/>
          <w:lang w:val="x-none" w:eastAsia="x-none"/>
          <w14:ligatures w14:val="none"/>
        </w:rPr>
        <w:t>prior unit-level data were available</w:t>
      </w:r>
      <w:r w:rsidRPr="003F655B">
        <w:rPr>
          <w:rFonts w:ascii="Times New Roman" w:eastAsia="Times New Roman" w:hAnsi="Times New Roman" w:cs="Times New Roman"/>
          <w:kern w:val="0"/>
          <w:lang w:eastAsia="x-none"/>
          <w14:ligatures w14:val="none"/>
        </w:rPr>
        <w:t>,</w:t>
      </w:r>
      <w:r w:rsidRPr="003F655B">
        <w:rPr>
          <w:rFonts w:ascii="Times New Roman" w:eastAsia="Times New Roman" w:hAnsi="Times New Roman" w:cs="Times New Roman"/>
          <w:kern w:val="0"/>
          <w:lang w:val="x-none" w:eastAsia="x-none"/>
          <w14:ligatures w14:val="none"/>
        </w:rPr>
        <w:t xml:space="preserve"> counts were carried forward</w:t>
      </w:r>
      <w:r w:rsidRPr="003F655B">
        <w:rPr>
          <w:rFonts w:ascii="Times New Roman" w:eastAsia="Times New Roman" w:hAnsi="Times New Roman" w:cs="Times New Roman"/>
          <w:kern w:val="0"/>
          <w:lang w:eastAsia="x-none"/>
          <w14:ligatures w14:val="none"/>
        </w:rPr>
        <w:t>;</w:t>
      </w:r>
      <w:r w:rsidRPr="003F655B">
        <w:rPr>
          <w:rFonts w:ascii="Times New Roman" w:eastAsia="Times New Roman" w:hAnsi="Times New Roman" w:cs="Times New Roman"/>
          <w:kern w:val="0"/>
          <w:lang w:val="x-none" w:eastAsia="x-none"/>
          <w14:ligatures w14:val="none"/>
        </w:rPr>
        <w:t xml:space="preserve"> </w:t>
      </w:r>
      <w:r w:rsidRPr="003F655B">
        <w:rPr>
          <w:rFonts w:ascii="Times New Roman" w:eastAsia="Times New Roman" w:hAnsi="Times New Roman" w:cs="Times New Roman"/>
          <w:kern w:val="0"/>
          <w:lang w:eastAsia="x-none"/>
          <w14:ligatures w14:val="none"/>
        </w:rPr>
        <w:t xml:space="preserve">if no prior data were available, </w:t>
      </w:r>
      <w:r w:rsidRPr="003F655B">
        <w:rPr>
          <w:rFonts w:ascii="Times New Roman" w:eastAsia="Times New Roman" w:hAnsi="Times New Roman" w:cs="Times New Roman"/>
          <w:kern w:val="0"/>
          <w:lang w:val="x-none" w:eastAsia="x-none"/>
          <w14:ligatures w14:val="none"/>
        </w:rPr>
        <w:t xml:space="preserve">then the </w:t>
      </w:r>
      <w:r w:rsidRPr="003F655B">
        <w:rPr>
          <w:rFonts w:ascii="Times New Roman" w:eastAsia="Times New Roman" w:hAnsi="Times New Roman" w:cs="Times New Roman"/>
          <w:kern w:val="0"/>
          <w:lang w:eastAsia="x-none"/>
          <w14:ligatures w14:val="none"/>
        </w:rPr>
        <w:t>nearest-neighbor</w:t>
      </w:r>
      <w:r w:rsidRPr="003F655B">
        <w:rPr>
          <w:rFonts w:ascii="Times New Roman" w:eastAsia="Times New Roman" w:hAnsi="Times New Roman" w:cs="Times New Roman"/>
          <w:kern w:val="0"/>
          <w:lang w:val="x-none" w:eastAsia="x-none"/>
          <w14:ligatures w14:val="none"/>
        </w:rPr>
        <w:t xml:space="preserve"> method was used. </w:t>
      </w:r>
    </w:p>
    <w:p w:rsidR="00625138" w14:paraId="731CF4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5B"/>
    <w:rsid w:val="00311B59"/>
    <w:rsid w:val="003F655B"/>
    <w:rsid w:val="004E30E5"/>
    <w:rsid w:val="005F6BB0"/>
    <w:rsid w:val="00625138"/>
    <w:rsid w:val="006F0E0D"/>
    <w:rsid w:val="00914624"/>
    <w:rsid w:val="00954E51"/>
    <w:rsid w:val="00C932C6"/>
    <w:rsid w:val="00EF3E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BB4760"/>
  <w15:chartTrackingRefBased/>
  <w15:docId w15:val="{0DFCB23B-1482-4DAD-B35A-D8671F9F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6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5B"/>
    <w:rPr>
      <w:rFonts w:eastAsiaTheme="majorEastAsia" w:cstheme="majorBidi"/>
      <w:color w:val="272727" w:themeColor="text1" w:themeTint="D8"/>
    </w:rPr>
  </w:style>
  <w:style w:type="paragraph" w:styleId="Title">
    <w:name w:val="Title"/>
    <w:basedOn w:val="Normal"/>
    <w:next w:val="Normal"/>
    <w:link w:val="TitleChar"/>
    <w:uiPriority w:val="10"/>
    <w:qFormat/>
    <w:rsid w:val="003F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5B"/>
    <w:pPr>
      <w:spacing w:before="160"/>
      <w:jc w:val="center"/>
    </w:pPr>
    <w:rPr>
      <w:i/>
      <w:iCs/>
      <w:color w:val="404040" w:themeColor="text1" w:themeTint="BF"/>
    </w:rPr>
  </w:style>
  <w:style w:type="character" w:customStyle="1" w:styleId="QuoteChar">
    <w:name w:val="Quote Char"/>
    <w:basedOn w:val="DefaultParagraphFont"/>
    <w:link w:val="Quote"/>
    <w:uiPriority w:val="29"/>
    <w:rsid w:val="003F655B"/>
    <w:rPr>
      <w:i/>
      <w:iCs/>
      <w:color w:val="404040" w:themeColor="text1" w:themeTint="BF"/>
    </w:rPr>
  </w:style>
  <w:style w:type="paragraph" w:styleId="ListParagraph">
    <w:name w:val="List Paragraph"/>
    <w:basedOn w:val="Normal"/>
    <w:uiPriority w:val="34"/>
    <w:qFormat/>
    <w:rsid w:val="003F655B"/>
    <w:pPr>
      <w:ind w:left="720"/>
      <w:contextualSpacing/>
    </w:pPr>
  </w:style>
  <w:style w:type="character" w:styleId="IntenseEmphasis">
    <w:name w:val="Intense Emphasis"/>
    <w:basedOn w:val="DefaultParagraphFont"/>
    <w:uiPriority w:val="21"/>
    <w:qFormat/>
    <w:rsid w:val="003F655B"/>
    <w:rPr>
      <w:i/>
      <w:iCs/>
      <w:color w:val="0F4761" w:themeColor="accent1" w:themeShade="BF"/>
    </w:rPr>
  </w:style>
  <w:style w:type="paragraph" w:styleId="IntenseQuote">
    <w:name w:val="Intense Quote"/>
    <w:basedOn w:val="Normal"/>
    <w:next w:val="Normal"/>
    <w:link w:val="IntenseQuoteChar"/>
    <w:uiPriority w:val="30"/>
    <w:qFormat/>
    <w:rsid w:val="003F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5B"/>
    <w:rPr>
      <w:i/>
      <w:iCs/>
      <w:color w:val="0F4761" w:themeColor="accent1" w:themeShade="BF"/>
    </w:rPr>
  </w:style>
  <w:style w:type="character" w:styleId="IntenseReference">
    <w:name w:val="Intense Reference"/>
    <w:basedOn w:val="DefaultParagraphFont"/>
    <w:uiPriority w:val="32"/>
    <w:qFormat/>
    <w:rsid w:val="003F655B"/>
    <w:rPr>
      <w:b/>
      <w:bCs/>
      <w:smallCaps/>
      <w:color w:val="0F4761" w:themeColor="accent1" w:themeShade="BF"/>
      <w:spacing w:val="5"/>
    </w:rPr>
  </w:style>
  <w:style w:type="table" w:customStyle="1" w:styleId="TableGSS">
    <w:name w:val="Table GSS"/>
    <w:basedOn w:val="TableNormal"/>
    <w:rsid w:val="003F655B"/>
    <w:pPr>
      <w:spacing w:after="0" w:line="240" w:lineRule="auto"/>
    </w:pPr>
    <w:rPr>
      <w:rFonts w:ascii="Arial Narrow" w:eastAsia="Times New Roman" w:hAnsi="Arial Narrow" w:cs="Times New Roman"/>
      <w:kern w:val="0"/>
      <w:sz w:val="18"/>
      <w:szCs w:val="20"/>
      <w14:ligatures w14:val="none"/>
    </w:rPr>
    <w:tblPr>
      <w:tblBorders>
        <w:top w:val="single" w:sz="4" w:space="0" w:color="auto"/>
        <w:bottom w:val="single" w:sz="4" w:space="0" w:color="auto"/>
      </w:tblBorders>
      <w:tblCellMar>
        <w:left w:w="86" w:type="dxa"/>
        <w:right w:w="86" w:type="dxa"/>
      </w:tblCellMar>
    </w:tblPr>
    <w:trPr>
      <w:cantSplit/>
    </w:trPr>
    <w:tblStylePr w:type="firstRow">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Jonathan</dc:creator>
  <cp:lastModifiedBy>Gordon, Jonathan</cp:lastModifiedBy>
  <cp:revision>1</cp:revision>
  <dcterms:created xsi:type="dcterms:W3CDTF">2026-03-23T11:36:00Z</dcterms:created>
  <dcterms:modified xsi:type="dcterms:W3CDTF">2026-03-23T11:39:00Z</dcterms:modified>
</cp:coreProperties>
</file>