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3932" w14:paraId="423B1379" w14:textId="78E1BA16">
      <w:pPr>
        <w:jc w:val="center"/>
        <w:rPr>
          <w:b/>
          <w:bCs/>
        </w:rPr>
      </w:pPr>
      <w:r>
        <w:rPr>
          <w:b/>
          <w:bCs/>
        </w:rPr>
        <w:t xml:space="preserve"> </w:t>
      </w:r>
      <w:bookmarkStart w:id="0" w:name="_Hlk231378847"/>
      <w:r w:rsidR="00D47A57">
        <w:rPr>
          <w:b/>
          <w:bCs/>
        </w:rPr>
        <w:t>Department of Transportation</w:t>
      </w:r>
    </w:p>
    <w:p w:rsidR="00F83932" w14:paraId="6F66D3A8" w14:textId="77777777">
      <w:pPr>
        <w:jc w:val="center"/>
        <w:rPr>
          <w:b/>
          <w:bCs/>
        </w:rPr>
      </w:pPr>
      <w:r>
        <w:rPr>
          <w:b/>
          <w:bCs/>
        </w:rPr>
        <w:t xml:space="preserve">Pipeline and Hazardous Materials Safety Administration </w:t>
      </w:r>
    </w:p>
    <w:p w:rsidR="00F83932" w14:paraId="56D2D7E7" w14:textId="77777777">
      <w:pPr>
        <w:jc w:val="center"/>
        <w:rPr>
          <w:b/>
          <w:bCs/>
        </w:rPr>
      </w:pPr>
      <w:r>
        <w:rPr>
          <w:b/>
          <w:bCs/>
        </w:rPr>
        <w:t>Office of Pipeline Safety</w:t>
      </w:r>
    </w:p>
    <w:p w:rsidR="00F83932" w14:paraId="71B1AD21" w14:textId="77777777">
      <w:pPr>
        <w:jc w:val="center"/>
        <w:rPr>
          <w:b/>
          <w:bCs/>
        </w:rPr>
      </w:pPr>
    </w:p>
    <w:p w:rsidR="00F83932" w14:paraId="484BC0A0" w14:textId="77777777">
      <w:pPr>
        <w:jc w:val="center"/>
        <w:rPr>
          <w:b/>
          <w:bCs/>
        </w:rPr>
      </w:pPr>
      <w:r w:rsidRPr="00B77F03">
        <w:rPr>
          <w:b/>
          <w:bCs/>
        </w:rPr>
        <w:t>SUPPORTING STATEMENT</w:t>
      </w:r>
    </w:p>
    <w:bookmarkEnd w:id="0"/>
    <w:p w:rsidR="006244AC" w:rsidRPr="006244AC" w14:paraId="1D299ADC" w14:textId="77777777">
      <w:pPr>
        <w:jc w:val="center"/>
        <w:rPr>
          <w:bCs/>
        </w:rPr>
      </w:pPr>
      <w:r w:rsidRPr="006244AC">
        <w:rPr>
          <w:bCs/>
        </w:rPr>
        <w:t xml:space="preserve">Hazardous Liquid Pipeline Operator Annual Reports </w:t>
      </w:r>
    </w:p>
    <w:p w:rsidR="00B77F03" w14:paraId="6026B081" w14:textId="77777777">
      <w:pPr>
        <w:jc w:val="center"/>
        <w:rPr>
          <w:bCs/>
        </w:rPr>
      </w:pPr>
      <w:r w:rsidRPr="006244AC">
        <w:rPr>
          <w:bCs/>
        </w:rPr>
        <w:t>OMB Control No. 2137-0614</w:t>
      </w:r>
    </w:p>
    <w:p w:rsidR="000106DF" w:rsidRPr="000106DF" w:rsidP="000106DF" w14:paraId="60B08878" w14:textId="1C1BEA58">
      <w:pPr>
        <w:pStyle w:val="NoSpacing"/>
        <w:jc w:val="center"/>
        <w:rPr>
          <w:rFonts w:ascii="Times New Roman" w:hAnsi="Times New Roman"/>
          <w:sz w:val="24"/>
          <w:szCs w:val="24"/>
        </w:rPr>
      </w:pPr>
      <w:bookmarkStart w:id="1" w:name="_Hlk231378877"/>
      <w:r w:rsidRPr="000106DF">
        <w:rPr>
          <w:rFonts w:ascii="Times New Roman" w:hAnsi="Times New Roman"/>
          <w:sz w:val="24"/>
          <w:szCs w:val="24"/>
        </w:rPr>
        <w:t xml:space="preserve">Docket No. </w:t>
      </w:r>
      <w:bookmarkStart w:id="2" w:name="_Hlk507408425"/>
      <w:r w:rsidRPr="000106DF">
        <w:rPr>
          <w:rFonts w:ascii="Times New Roman" w:hAnsi="Times New Roman"/>
          <w:sz w:val="24"/>
          <w:szCs w:val="24"/>
        </w:rPr>
        <w:t>PHMSA-</w:t>
      </w:r>
      <w:bookmarkEnd w:id="2"/>
      <w:r w:rsidR="00E2496B">
        <w:rPr>
          <w:rFonts w:ascii="Times New Roman" w:hAnsi="Times New Roman"/>
          <w:sz w:val="24"/>
          <w:szCs w:val="24"/>
        </w:rPr>
        <w:t>2025</w:t>
      </w:r>
      <w:r w:rsidRPr="000106DF">
        <w:rPr>
          <w:rFonts w:ascii="Times New Roman" w:hAnsi="Times New Roman"/>
          <w:sz w:val="24"/>
          <w:szCs w:val="24"/>
        </w:rPr>
        <w:t>-</w:t>
      </w:r>
      <w:r w:rsidR="00E2496B">
        <w:rPr>
          <w:rFonts w:ascii="Times New Roman" w:hAnsi="Times New Roman"/>
          <w:sz w:val="24"/>
          <w:szCs w:val="24"/>
        </w:rPr>
        <w:t>1271</w:t>
      </w:r>
    </w:p>
    <w:p w:rsidR="000106DF" w:rsidRPr="000106DF" w:rsidP="000106DF" w14:paraId="6F70593B" w14:textId="2F804B11">
      <w:pPr>
        <w:pStyle w:val="NoSpacing"/>
        <w:jc w:val="center"/>
        <w:rPr>
          <w:rFonts w:ascii="Times New Roman" w:hAnsi="Times New Roman"/>
          <w:sz w:val="24"/>
          <w:szCs w:val="24"/>
        </w:rPr>
      </w:pPr>
      <w:r w:rsidRPr="000106DF">
        <w:rPr>
          <w:rFonts w:ascii="Times New Roman" w:hAnsi="Times New Roman"/>
          <w:sz w:val="24"/>
          <w:szCs w:val="24"/>
        </w:rPr>
        <w:t>RIN 2137-</w:t>
      </w:r>
      <w:r w:rsidR="00E2496B">
        <w:rPr>
          <w:rFonts w:ascii="Times New Roman" w:hAnsi="Times New Roman"/>
          <w:sz w:val="24"/>
          <w:szCs w:val="24"/>
        </w:rPr>
        <w:t>AG22</w:t>
      </w:r>
    </w:p>
    <w:bookmarkEnd w:id="1"/>
    <w:p w:rsidR="000106DF" w:rsidRPr="000106DF" w14:paraId="108BDD2C" w14:textId="77777777">
      <w:pPr>
        <w:jc w:val="center"/>
      </w:pPr>
    </w:p>
    <w:p w:rsidR="004F0B73" w:rsidRPr="00AE2E47" w:rsidP="004F0B73" w14:paraId="4B493EF7" w14:textId="77777777">
      <w:pPr>
        <w:rPr>
          <w:b/>
          <w:bCs/>
          <w:u w:val="single"/>
        </w:rPr>
      </w:pPr>
      <w:bookmarkStart w:id="3" w:name="_Hlk231378915"/>
      <w:r>
        <w:rPr>
          <w:b/>
          <w:bCs/>
          <w:u w:val="single"/>
        </w:rPr>
        <w:t>Introduction</w:t>
      </w:r>
    </w:p>
    <w:p w:rsidR="004F0B73" w:rsidRPr="00AE2E47" w:rsidP="004F0B73" w14:paraId="5401636B" w14:textId="77777777">
      <w:pPr>
        <w:jc w:val="center"/>
        <w:rPr>
          <w:b/>
          <w:bCs/>
        </w:rPr>
      </w:pPr>
    </w:p>
    <w:p w:rsidR="004F0B73" w:rsidP="004F0B73" w14:paraId="364A874B" w14:textId="77777777">
      <w:pPr>
        <w:rPr>
          <w:bCs/>
        </w:rPr>
      </w:pPr>
      <w:r>
        <w:t xml:space="preserve">The Pipeline and Hazardous Materials Safety Administration (PHMSA) requests </w:t>
      </w:r>
      <w:r w:rsidRPr="00A8244A">
        <w:t>approval from the Office of Management and Budget (OMB)</w:t>
      </w:r>
      <w:r>
        <w:t xml:space="preserve"> for proposed revisions to an information collection under OMB Control No. </w:t>
      </w:r>
      <w:r w:rsidR="00950968">
        <w:rPr>
          <w:bCs/>
        </w:rPr>
        <w:t>2137</w:t>
      </w:r>
      <w:bookmarkEnd w:id="3"/>
      <w:r w:rsidR="00950968">
        <w:rPr>
          <w:bCs/>
        </w:rPr>
        <w:t>-0614</w:t>
      </w:r>
      <w:r w:rsidRPr="00064CAF" w:rsidR="00D47A57">
        <w:rPr>
          <w:bCs/>
        </w:rPr>
        <w:t xml:space="preserve"> entitled, </w:t>
      </w:r>
      <w:r w:rsidR="00651D82">
        <w:rPr>
          <w:bCs/>
        </w:rPr>
        <w:t>“Hazardous Liquid Pipeline Operator Annual Reports</w:t>
      </w:r>
      <w:bookmarkStart w:id="4" w:name="_Hlk231378964"/>
      <w:r>
        <w:rPr>
          <w:bCs/>
        </w:rPr>
        <w:t>.”</w:t>
      </w:r>
    </w:p>
    <w:p w:rsidR="004F0B73" w:rsidP="004F0B73" w14:paraId="64838202" w14:textId="77777777">
      <w:pPr>
        <w:rPr>
          <w:bCs/>
        </w:rPr>
      </w:pPr>
    </w:p>
    <w:p w:rsidR="00663C1F" w:rsidP="004F0B73" w14:paraId="38BE6C74" w14:textId="0AFDCB3F">
      <w:pPr>
        <w:rPr>
          <w:bCs/>
        </w:rPr>
      </w:pPr>
      <w:r>
        <w:t xml:space="preserve">This request is made in conjunction with the </w:t>
      </w:r>
      <w:r w:rsidRPr="00A8244A">
        <w:rPr>
          <w:b/>
          <w:bCs/>
        </w:rPr>
        <w:t>Pipeline Safety: Breakout Tank Inspection</w:t>
      </w:r>
      <w:r>
        <w:t xml:space="preserve"> Notice of Proposed Rulemaking (NPRM), which proposes to </w:t>
      </w:r>
      <w:r w:rsidRPr="00E2496B" w:rsidR="009902A9">
        <w:rPr>
          <w:bCs/>
        </w:rPr>
        <w:t xml:space="preserve">revise PHMSA Form </w:t>
      </w:r>
      <w:bookmarkEnd w:id="4"/>
      <w:r w:rsidRPr="00E2496B" w:rsidR="009902A9">
        <w:rPr>
          <w:bCs/>
        </w:rPr>
        <w:t>F7000.1-1</w:t>
      </w:r>
      <w:r w:rsidR="007E38E5">
        <w:rPr>
          <w:bCs/>
        </w:rPr>
        <w:t xml:space="preserve">, the </w:t>
      </w:r>
      <w:r w:rsidRPr="007E38E5" w:rsidR="007E38E5">
        <w:rPr>
          <w:bCs/>
        </w:rPr>
        <w:t>Annual Report for Hazardous Liquid and Carbon Dioxide Pipeline Systems</w:t>
      </w:r>
      <w:r w:rsidR="007E38E5">
        <w:rPr>
          <w:bCs/>
        </w:rPr>
        <w:t>,</w:t>
      </w:r>
      <w:r w:rsidRPr="00E2496B" w:rsidR="009902A9">
        <w:rPr>
          <w:bCs/>
        </w:rPr>
        <w:t xml:space="preserve"> to include a count of tanks managed by risk-based inspection</w:t>
      </w:r>
      <w:r w:rsidR="00E2496B">
        <w:rPr>
          <w:bCs/>
        </w:rPr>
        <w:t xml:space="preserve"> procedure</w:t>
      </w:r>
      <w:r w:rsidRPr="00E2496B" w:rsidR="009902A9">
        <w:rPr>
          <w:bCs/>
        </w:rPr>
        <w:t xml:space="preserve">s. </w:t>
      </w:r>
    </w:p>
    <w:p w:rsidR="00663C1F" w:rsidP="004F0B73" w14:paraId="2A39FDD4" w14:textId="77777777">
      <w:pPr>
        <w:rPr>
          <w:bCs/>
        </w:rPr>
      </w:pPr>
    </w:p>
    <w:p w:rsidR="009902A9" w:rsidRPr="00E2496B" w:rsidP="004F0B73" w14:paraId="22830DA5" w14:textId="7C537EF2">
      <w:pPr>
        <w:rPr>
          <w:bCs/>
        </w:rPr>
      </w:pPr>
      <w:r w:rsidRPr="00E2496B">
        <w:rPr>
          <w:bCs/>
        </w:rPr>
        <w:t>PHMSA does not expect operators to incur a change in burden due to this action.</w:t>
      </w:r>
    </w:p>
    <w:p w:rsidR="009902A9" w:rsidP="009902A9" w14:paraId="0F331FF0" w14:textId="77777777">
      <w:pPr>
        <w:rPr>
          <w:b/>
        </w:rPr>
      </w:pPr>
    </w:p>
    <w:p w:rsidR="00CC4E22" w:rsidP="006244AC" w14:paraId="02B37399" w14:textId="6CC90F3F">
      <w:r>
        <w:t xml:space="preserve">The existing authorization to collect information under this OMB Control No. expires on </w:t>
      </w:r>
      <w:r w:rsidR="00950968">
        <w:t>March</w:t>
      </w:r>
      <w:r w:rsidR="000D5947">
        <w:t xml:space="preserve"> 31, </w:t>
      </w:r>
      <w:r w:rsidR="00D47A57">
        <w:t>202</w:t>
      </w:r>
      <w:r w:rsidR="00950968">
        <w:t>6</w:t>
      </w:r>
      <w:r w:rsidR="006244AC">
        <w:t xml:space="preserve">.  </w:t>
      </w:r>
    </w:p>
    <w:p w:rsidR="000106DF" w:rsidP="006244AC" w14:paraId="3C97D529" w14:textId="77777777"/>
    <w:p w:rsidR="00F83932" w14:paraId="5E9D13FA" w14:textId="77777777">
      <w:pPr>
        <w:rPr>
          <w:b/>
          <w:bCs/>
          <w:u w:val="single"/>
        </w:rPr>
      </w:pPr>
      <w:r>
        <w:rPr>
          <w:b/>
          <w:bCs/>
          <w:u w:val="single"/>
        </w:rPr>
        <w:t>Part A. Justification</w:t>
      </w:r>
    </w:p>
    <w:p w:rsidR="00F83932" w14:paraId="4B1458C7" w14:textId="77777777">
      <w:pPr>
        <w:rPr>
          <w:b/>
          <w:bCs/>
        </w:rPr>
      </w:pPr>
    </w:p>
    <w:p w:rsidR="0089434E" w:rsidP="0089434E" w14:paraId="669EA6E7" w14:textId="77777777">
      <w:r w:rsidRPr="001326BB">
        <w:rPr>
          <w:bCs/>
        </w:rPr>
        <w:t>1.</w:t>
      </w:r>
      <w:r>
        <w:rPr>
          <w:bCs/>
        </w:rPr>
        <w:tab/>
      </w:r>
      <w:r w:rsidRPr="001326BB">
        <w:rPr>
          <w:bCs/>
          <w:u w:val="single"/>
        </w:rPr>
        <w:t>Circumstances that make collection of information necessary</w:t>
      </w:r>
      <w:r w:rsidRPr="00AF6F62">
        <w:rPr>
          <w:bCs/>
          <w:u w:val="single"/>
        </w:rPr>
        <w:t>.</w:t>
      </w:r>
      <w:r w:rsidRPr="001326BB">
        <w:t xml:space="preserve"> </w:t>
      </w:r>
    </w:p>
    <w:p w:rsidR="00F83932" w14:paraId="6F75D93C" w14:textId="77777777">
      <w:pPr>
        <w:rPr>
          <w:b/>
          <w:i/>
        </w:rPr>
      </w:pPr>
    </w:p>
    <w:p w:rsidR="00F83932" w14:paraId="171BD387" w14:textId="77777777">
      <w:r>
        <w:t xml:space="preserve">The annual report provides critical data used by pipeline safety stakeholders to assess the performance of hazardous liquid pipeline systems.  </w:t>
      </w:r>
      <w:r w:rsidR="00E34D56">
        <w:t>The i</w:t>
      </w:r>
      <w:r>
        <w:t xml:space="preserve">nfrastructure and integrity management performance </w:t>
      </w:r>
      <w:r w:rsidR="00E34D56">
        <w:t>data in the annual report is</w:t>
      </w:r>
      <w:r>
        <w:t xml:space="preserve"> combined with </w:t>
      </w:r>
      <w:r w:rsidR="00E34D56">
        <w:t xml:space="preserve">other data, such as </w:t>
      </w:r>
      <w:r>
        <w:t>accident data</w:t>
      </w:r>
      <w:r w:rsidR="00E34D56">
        <w:t>,</w:t>
      </w:r>
      <w:r>
        <w:t xml:space="preserve"> to assess the long-term performance of these systems.  PHMSA shares responsibility for inspecting and overseeing the safety of hazardous liquid and carbon dioxide pipelines with many state pipeline safety offices.  PHMSA and these state offices routinely use these reports </w:t>
      </w:r>
      <w:r w:rsidR="00E34D56">
        <w:t>during compliance audits of pipeline operators.</w:t>
      </w:r>
      <w:r>
        <w:t xml:space="preserve">  </w:t>
      </w:r>
    </w:p>
    <w:p w:rsidR="00F83932" w14:paraId="218E97EB" w14:textId="77777777"/>
    <w:p w:rsidR="00F83932" w14:paraId="7666DCD9" w14:textId="77777777">
      <w:pPr>
        <w:rPr>
          <w:bCs/>
        </w:rPr>
      </w:pPr>
      <w:r>
        <w:rPr>
          <w:bCs/>
        </w:rPr>
        <w:t xml:space="preserve">Authority for 49 CFR Part 195 includes </w:t>
      </w:r>
      <w:r>
        <w:rPr>
          <w:szCs w:val="20"/>
        </w:rPr>
        <w:t>49 U.S.C. 5103, 60102, 60104, 60108, 60109, 60118; and 49 CFR 1.53.</w:t>
      </w:r>
    </w:p>
    <w:p w:rsidR="00F83932" w14:paraId="63335FCD" w14:textId="77777777"/>
    <w:p w:rsidR="0089434E" w:rsidP="0089434E" w14:paraId="44EF15C3" w14:textId="77777777">
      <w:r w:rsidRPr="001326BB">
        <w:rPr>
          <w:bCs/>
        </w:rPr>
        <w:t xml:space="preserve">2. </w:t>
      </w:r>
      <w:r>
        <w:rPr>
          <w:bCs/>
        </w:rPr>
        <w:tab/>
      </w:r>
      <w:r w:rsidRPr="001326BB">
        <w:rPr>
          <w:bCs/>
          <w:u w:val="single"/>
        </w:rPr>
        <w:t>How, by whom, and for what purpose is the information used</w:t>
      </w:r>
      <w:r w:rsidRPr="00AF6F62">
        <w:rPr>
          <w:bCs/>
          <w:u w:val="single"/>
        </w:rPr>
        <w:t>.</w:t>
      </w:r>
      <w:r w:rsidRPr="001326BB">
        <w:t xml:space="preserve"> </w:t>
      </w:r>
    </w:p>
    <w:p w:rsidR="00F83932" w14:paraId="2322AEF6" w14:textId="77777777">
      <w:pPr>
        <w:rPr>
          <w:b/>
          <w:i/>
        </w:rPr>
      </w:pPr>
    </w:p>
    <w:p w:rsidR="00F83932" w14:paraId="049ED409" w14:textId="77777777">
      <w:r>
        <w:t xml:space="preserve">PHMSA uses the information to compile a national pipeline inventory, identify and determine the scope of safety problems, and target inspections.  Additionally, State </w:t>
      </w:r>
      <w:r>
        <w:t xml:space="preserve">agencies and the Federal government </w:t>
      </w:r>
      <w:r w:rsidR="00651D82">
        <w:t xml:space="preserve">use this information </w:t>
      </w:r>
      <w:r>
        <w:t xml:space="preserve">to identify pipeline systems or operators that have repeated issues with safety.  </w:t>
      </w:r>
      <w:r w:rsidR="003314D5">
        <w:t>The information is shared via the PHMSA website (</w:t>
      </w:r>
      <w:r w:rsidRPr="003314D5" w:rsidR="003314D5">
        <w:t>http://phmsa.dot.gov/pipeline/library/data-stats</w:t>
      </w:r>
      <w:r w:rsidR="003314D5">
        <w:t xml:space="preserve">). </w:t>
      </w:r>
    </w:p>
    <w:p w:rsidR="006244AC" w:rsidP="0089434E" w14:paraId="5C390761" w14:textId="77777777">
      <w:pPr>
        <w:rPr>
          <w:bCs/>
        </w:rPr>
      </w:pPr>
    </w:p>
    <w:p w:rsidR="0089434E" w:rsidP="0089434E" w14:paraId="12DCF13A" w14:textId="77777777">
      <w:r w:rsidRPr="001326BB">
        <w:rPr>
          <w:bCs/>
        </w:rPr>
        <w:t xml:space="preserve">3.  </w:t>
      </w:r>
      <w:r>
        <w:rPr>
          <w:bCs/>
        </w:rPr>
        <w:tab/>
      </w:r>
      <w:r w:rsidRPr="001326BB">
        <w:rPr>
          <w:bCs/>
          <w:u w:val="single"/>
        </w:rPr>
        <w:t>Extent of automated information collection</w:t>
      </w:r>
      <w:r w:rsidRPr="00AF6F62">
        <w:rPr>
          <w:bCs/>
          <w:u w:val="single"/>
        </w:rPr>
        <w:t>.</w:t>
      </w:r>
    </w:p>
    <w:p w:rsidR="00B77F03" w:rsidP="00B77F03" w14:paraId="411F0182" w14:textId="77777777">
      <w:pPr>
        <w:ind w:left="360"/>
      </w:pPr>
    </w:p>
    <w:p w:rsidR="00F83932" w14:paraId="5D899DFC" w14:textId="77777777">
      <w:r>
        <w:t xml:space="preserve">As specified in </w:t>
      </w:r>
      <w:r w:rsidR="003314D5">
        <w:t>§</w:t>
      </w:r>
      <w:r w:rsidR="006244AC">
        <w:t xml:space="preserve"> 195.58, </w:t>
      </w:r>
      <w:r>
        <w:t xml:space="preserve">PHMSA </w:t>
      </w:r>
      <w:r w:rsidR="006244AC">
        <w:t>requires</w:t>
      </w:r>
      <w:r>
        <w:t xml:space="preserve"> operators to submit all required reports electronically with an exception for those operators to whom electronic submissions would pose an undue burden and hardship.  Pipeline operators are encouraged to file the incident and annual reports on-line at www.opsweb.phmsa.dot.gov.  </w:t>
      </w:r>
      <w:r w:rsidR="00E34D56">
        <w:t>Nearly</w:t>
      </w:r>
      <w:r w:rsidR="00F14B5E">
        <w:t xml:space="preserve"> </w:t>
      </w:r>
      <w:r w:rsidR="00E34D56">
        <w:t>all annual reports</w:t>
      </w:r>
      <w:r w:rsidR="00254719">
        <w:t xml:space="preserve"> are submitted</w:t>
      </w:r>
      <w:r w:rsidR="006244AC">
        <w:t xml:space="preserve"> electronically.  </w:t>
      </w:r>
    </w:p>
    <w:p w:rsidR="006244AC" w:rsidP="0089434E" w14:paraId="037EAA83" w14:textId="77777777"/>
    <w:p w:rsidR="0089434E" w:rsidP="0089434E" w14:paraId="2D600E86" w14:textId="77777777">
      <w:r w:rsidRPr="006244AC">
        <w:t xml:space="preserve">4.  </w:t>
      </w:r>
      <w:r w:rsidRPr="006244AC">
        <w:tab/>
        <w:t>Efforts to identify duplication.</w:t>
      </w:r>
    </w:p>
    <w:p w:rsidR="00F83932" w14:paraId="591A0797" w14:textId="77777777"/>
    <w:p w:rsidR="00F83932" w14:paraId="56A20EAF" w14:textId="77777777">
      <w:r>
        <w:t>Operators of hazardous liquid and carbon dioxide pipelines are only required to complete one annual report per pipeline system.  The annual report compiles the entire year’s data in a single source.</w:t>
      </w:r>
    </w:p>
    <w:p w:rsidR="00F83932" w14:paraId="221A3FD2" w14:textId="77777777">
      <w:pPr>
        <w:rPr>
          <w:b/>
          <w:bCs/>
        </w:rPr>
      </w:pPr>
    </w:p>
    <w:p w:rsidR="0089434E" w:rsidP="0089434E" w14:paraId="640F1282" w14:textId="77777777">
      <w:r w:rsidRPr="001326BB">
        <w:rPr>
          <w:bCs/>
        </w:rPr>
        <w:t xml:space="preserve">5.  </w:t>
      </w:r>
      <w:r>
        <w:rPr>
          <w:bCs/>
        </w:rPr>
        <w:tab/>
      </w:r>
      <w:r w:rsidRPr="001326BB">
        <w:rPr>
          <w:bCs/>
          <w:u w:val="single"/>
        </w:rPr>
        <w:t>Efforts to minimize the burden on small businesses</w:t>
      </w:r>
      <w:r w:rsidRPr="00AF6F62">
        <w:rPr>
          <w:bCs/>
          <w:u w:val="single"/>
        </w:rPr>
        <w:t>.</w:t>
      </w:r>
      <w:r w:rsidRPr="001326BB">
        <w:t xml:space="preserve"> </w:t>
      </w:r>
    </w:p>
    <w:p w:rsidR="00F83932" w14:paraId="31460069" w14:textId="77777777">
      <w:pPr>
        <w:rPr>
          <w:b/>
          <w:i/>
        </w:rPr>
      </w:pPr>
    </w:p>
    <w:p w:rsidR="00F83932" w14:paraId="658A874C" w14:textId="77777777">
      <w:r>
        <w:t>PHMSA expects impacted operators to</w:t>
      </w:r>
      <w:r w:rsidR="002D518D">
        <w:t xml:space="preserve"> include</w:t>
      </w:r>
      <w:r>
        <w:t xml:space="preserve"> b</w:t>
      </w:r>
      <w:r w:rsidR="002D518D">
        <w:t>oth</w:t>
      </w:r>
      <w:r>
        <w:t xml:space="preserve"> large and small businesses and therefore the requirement</w:t>
      </w:r>
      <w:r w:rsidR="002D518D">
        <w:t>s</w:t>
      </w:r>
      <w:r>
        <w:t xml:space="preserve"> </w:t>
      </w:r>
      <w:r w:rsidR="002D518D">
        <w:t>will</w:t>
      </w:r>
      <w:r>
        <w:t xml:space="preserve"> impact small businesses.  </w:t>
      </w:r>
      <w:r w:rsidRPr="009960EB" w:rsidR="00D23A81">
        <w:t>For PHMSA to be able to effectively carry out its legislative mandate and monitor natural gas pipeline safety, it is essential that both large and small operators of pipelines provide annual reports</w:t>
      </w:r>
      <w:r w:rsidR="00D23A81">
        <w:t>.</w:t>
      </w:r>
    </w:p>
    <w:p w:rsidR="00F83932" w14:paraId="0E754F92" w14:textId="77777777"/>
    <w:p w:rsidR="0089434E" w:rsidP="0089434E" w14:paraId="457A492A" w14:textId="77777777">
      <w:pPr>
        <w:rPr>
          <w:bCs/>
        </w:rPr>
      </w:pPr>
      <w:r w:rsidRPr="001326BB">
        <w:rPr>
          <w:bCs/>
        </w:rPr>
        <w:t xml:space="preserve">6.  </w:t>
      </w:r>
      <w:r>
        <w:rPr>
          <w:bCs/>
        </w:rPr>
        <w:tab/>
      </w:r>
      <w:r w:rsidRPr="001326BB">
        <w:rPr>
          <w:bCs/>
          <w:u w:val="single"/>
        </w:rPr>
        <w:t>Impact of less frequent collection of information</w:t>
      </w:r>
      <w:r w:rsidRPr="00AF6F62">
        <w:rPr>
          <w:bCs/>
          <w:u w:val="single"/>
        </w:rPr>
        <w:t>.</w:t>
      </w:r>
      <w:r w:rsidRPr="001326BB">
        <w:rPr>
          <w:bCs/>
        </w:rPr>
        <w:t xml:space="preserve"> </w:t>
      </w:r>
    </w:p>
    <w:p w:rsidR="00F83932" w14:paraId="7F55A1C7" w14:textId="77777777">
      <w:pPr>
        <w:rPr>
          <w:u w:val="single"/>
        </w:rPr>
      </w:pPr>
    </w:p>
    <w:p w:rsidR="00F83932" w14:paraId="132C411D" w14:textId="77777777">
      <w:pPr>
        <w:rPr>
          <w:b/>
          <w:bCs/>
        </w:rPr>
      </w:pPr>
      <w:r>
        <w:t xml:space="preserve">PHMSA would not be able to appropriately and properly assess the integrity of the pipeline system without the annual reports.  Less frequent information collection could compromise the safety and economic viability of the </w:t>
      </w:r>
      <w:smartTag w:uri="urn:schemas-microsoft-com:office:smarttags" w:element="place">
        <w:smartTag w:uri="urn:schemas-microsoft-com:office:smarttags" w:element="country-region">
          <w:r>
            <w:t>U.S.</w:t>
          </w:r>
        </w:smartTag>
      </w:smartTag>
      <w:r>
        <w:t xml:space="preserve"> pipeline system.  </w:t>
      </w:r>
    </w:p>
    <w:p w:rsidR="00F83932" w14:paraId="23CAA5B7" w14:textId="77777777">
      <w:pPr>
        <w:rPr>
          <w:b/>
          <w:bCs/>
        </w:rPr>
      </w:pPr>
    </w:p>
    <w:p w:rsidR="0089434E" w:rsidP="0089434E" w14:paraId="30442F74" w14:textId="77777777">
      <w:pPr>
        <w:rPr>
          <w:bCs/>
        </w:rPr>
      </w:pPr>
      <w:r w:rsidRPr="001326BB">
        <w:rPr>
          <w:bCs/>
        </w:rPr>
        <w:t xml:space="preserve">7.  </w:t>
      </w:r>
      <w:r>
        <w:rPr>
          <w:bCs/>
        </w:rPr>
        <w:tab/>
      </w:r>
      <w:r w:rsidRPr="001326BB">
        <w:rPr>
          <w:bCs/>
          <w:u w:val="single"/>
        </w:rPr>
        <w:t>Special circumstances</w:t>
      </w:r>
      <w:r w:rsidRPr="00AF6F62">
        <w:rPr>
          <w:bCs/>
          <w:u w:val="single"/>
        </w:rPr>
        <w:t>.</w:t>
      </w:r>
      <w:r w:rsidRPr="001326BB">
        <w:rPr>
          <w:bCs/>
        </w:rPr>
        <w:t xml:space="preserve"> </w:t>
      </w:r>
    </w:p>
    <w:p w:rsidR="00F83932" w14:paraId="42DD440A" w14:textId="77777777">
      <w:pPr>
        <w:rPr>
          <w:b/>
          <w:i/>
        </w:rPr>
      </w:pPr>
    </w:p>
    <w:p w:rsidR="00F83932" w14:paraId="3D8817BD" w14:textId="77777777">
      <w:pPr>
        <w:rPr>
          <w:b/>
          <w:bCs/>
        </w:rPr>
      </w:pPr>
      <w:r>
        <w:t xml:space="preserve">No special circumstances for reporting are expected.   </w:t>
      </w:r>
    </w:p>
    <w:p w:rsidR="006244AC" w:rsidP="0089434E" w14:paraId="29037AEA" w14:textId="77777777">
      <w:pPr>
        <w:rPr>
          <w:bCs/>
        </w:rPr>
      </w:pPr>
    </w:p>
    <w:p w:rsidR="006244AC" w:rsidRPr="00A23581" w:rsidP="006244AC" w14:paraId="058F20E7" w14:textId="77777777">
      <w:pPr>
        <w:rPr>
          <w:u w:val="single"/>
        </w:rPr>
      </w:pPr>
      <w:r w:rsidRPr="007133B3">
        <w:t>8.</w:t>
      </w:r>
      <w:r w:rsidRPr="007133B3">
        <w:tab/>
      </w:r>
      <w:r w:rsidRPr="00A23581">
        <w:rPr>
          <w:u w:val="single"/>
        </w:rPr>
        <w:t xml:space="preserve">Compliance with 5 CFR 1320.8. </w:t>
      </w:r>
    </w:p>
    <w:p w:rsidR="006244AC" w:rsidRPr="00A23581" w:rsidP="006244AC" w14:paraId="5EEDF2BE" w14:textId="77777777"/>
    <w:p w:rsidR="00950968" w:rsidRPr="00950968" w:rsidP="00950968" w14:paraId="2E3350F6" w14:textId="7BC7ADA7">
      <w:pPr>
        <w:jc w:val="both"/>
        <w:rPr>
          <w:szCs w:val="20"/>
        </w:rPr>
      </w:pPr>
      <w:bookmarkStart w:id="5" w:name="_Hlk221119958"/>
      <w:r w:rsidRPr="00950968">
        <w:rPr>
          <w:szCs w:val="20"/>
        </w:rPr>
        <w:t xml:space="preserve">PHMSA published </w:t>
      </w:r>
      <w:r w:rsidR="00663C1F">
        <w:rPr>
          <w:szCs w:val="20"/>
        </w:rPr>
        <w:t>an NPRM</w:t>
      </w:r>
      <w:r w:rsidR="00E2496B">
        <w:rPr>
          <w:szCs w:val="20"/>
        </w:rPr>
        <w:t xml:space="preserve"> </w:t>
      </w:r>
      <w:r w:rsidRPr="00950968">
        <w:rPr>
          <w:szCs w:val="20"/>
        </w:rPr>
        <w:t>in the Federal Register [</w:t>
      </w:r>
      <w:r w:rsidR="00E2496B">
        <w:rPr>
          <w:szCs w:val="20"/>
        </w:rPr>
        <w:t>91</w:t>
      </w:r>
      <w:r w:rsidRPr="00950968">
        <w:rPr>
          <w:szCs w:val="20"/>
        </w:rPr>
        <w:t xml:space="preserve"> FR </w:t>
      </w:r>
      <w:r w:rsidR="00E2496B">
        <w:rPr>
          <w:szCs w:val="20"/>
        </w:rPr>
        <w:t>32923</w:t>
      </w:r>
      <w:r w:rsidRPr="00950968">
        <w:rPr>
          <w:szCs w:val="20"/>
        </w:rPr>
        <w:t xml:space="preserve">] on </w:t>
      </w:r>
      <w:r w:rsidR="00E2496B">
        <w:rPr>
          <w:szCs w:val="20"/>
        </w:rPr>
        <w:t>June 2, 2026</w:t>
      </w:r>
      <w:r w:rsidRPr="00950968">
        <w:rPr>
          <w:szCs w:val="20"/>
        </w:rPr>
        <w:t xml:space="preserve">. </w:t>
      </w:r>
    </w:p>
    <w:bookmarkEnd w:id="5"/>
    <w:p w:rsidR="006244AC" w:rsidRPr="00A94A80" w:rsidP="006244AC" w14:paraId="5E2D1834" w14:textId="77777777"/>
    <w:p w:rsidR="0089434E" w:rsidP="0089434E" w14:paraId="03067E3A" w14:textId="77777777">
      <w:r w:rsidRPr="001326BB">
        <w:rPr>
          <w:bCs/>
        </w:rPr>
        <w:t xml:space="preserve">9.  </w:t>
      </w:r>
      <w:r>
        <w:rPr>
          <w:bCs/>
        </w:rPr>
        <w:tab/>
      </w:r>
      <w:r w:rsidRPr="001326BB">
        <w:rPr>
          <w:bCs/>
          <w:u w:val="single"/>
        </w:rPr>
        <w:t>Payments or gifts to respondents</w:t>
      </w:r>
      <w:r w:rsidRPr="00AF6F62">
        <w:rPr>
          <w:bCs/>
          <w:u w:val="single"/>
        </w:rPr>
        <w:t>.</w:t>
      </w:r>
      <w:r w:rsidRPr="001326BB">
        <w:t xml:space="preserve"> </w:t>
      </w:r>
    </w:p>
    <w:p w:rsidR="00B77F03" w:rsidP="00B77F03" w14:paraId="2B2529CC" w14:textId="77777777"/>
    <w:p w:rsidR="00F83932" w14:paraId="4BC14FD4" w14:textId="77777777">
      <w:r>
        <w:t xml:space="preserve">There are no payments or gifts to respondents associated with this information collection.  </w:t>
      </w:r>
    </w:p>
    <w:p w:rsidR="00F83932" w14:paraId="522044E4" w14:textId="77777777"/>
    <w:p w:rsidR="0089434E" w:rsidP="0089434E" w14:paraId="3AFFC69B" w14:textId="77777777">
      <w:pPr>
        <w:rPr>
          <w:bCs/>
        </w:rPr>
      </w:pPr>
      <w:r w:rsidRPr="001326BB">
        <w:rPr>
          <w:bCs/>
        </w:rPr>
        <w:t xml:space="preserve">10. </w:t>
      </w:r>
      <w:r>
        <w:rPr>
          <w:bCs/>
        </w:rPr>
        <w:tab/>
      </w:r>
      <w:r w:rsidRPr="001326BB">
        <w:rPr>
          <w:bCs/>
          <w:u w:val="single"/>
        </w:rPr>
        <w:t>Assurance of confidentiality</w:t>
      </w:r>
      <w:r w:rsidRPr="00AF6F62">
        <w:rPr>
          <w:bCs/>
          <w:u w:val="single"/>
        </w:rPr>
        <w:t>.</w:t>
      </w:r>
    </w:p>
    <w:p w:rsidR="00B77F03" w:rsidP="00B77F03" w14:paraId="0172F1BE" w14:textId="77777777"/>
    <w:p w:rsidR="00301594" w:rsidP="00301594" w14:paraId="31B0B9CD" w14:textId="77777777">
      <w:pPr>
        <w:rPr>
          <w:bCs/>
        </w:rPr>
      </w:pPr>
      <w:r>
        <w:rPr>
          <w:bCs/>
        </w:rPr>
        <w:t xml:space="preserve">PHMSA does not have the authority to guarantee confidentiality, however, this information collection does not include anything of a sensitive nature or of any matters considered private.  </w:t>
      </w:r>
    </w:p>
    <w:p w:rsidR="0025713E" w:rsidP="0089434E" w14:paraId="63D4B4A7" w14:textId="77777777">
      <w:pPr>
        <w:rPr>
          <w:bCs/>
        </w:rPr>
      </w:pPr>
    </w:p>
    <w:p w:rsidR="0089434E" w:rsidP="0089434E" w14:paraId="7223656F" w14:textId="77777777">
      <w:r w:rsidRPr="001326BB">
        <w:rPr>
          <w:bCs/>
        </w:rPr>
        <w:t xml:space="preserve">11. </w:t>
      </w:r>
      <w:r>
        <w:rPr>
          <w:bCs/>
        </w:rPr>
        <w:tab/>
      </w:r>
      <w:r w:rsidRPr="001326BB">
        <w:rPr>
          <w:bCs/>
          <w:u w:val="single"/>
        </w:rPr>
        <w:t>Justification for collection of sensitive information</w:t>
      </w:r>
      <w:r w:rsidRPr="00AF6F62">
        <w:rPr>
          <w:bCs/>
          <w:u w:val="single"/>
        </w:rPr>
        <w:t>.</w:t>
      </w:r>
      <w:r w:rsidRPr="001326BB">
        <w:t xml:space="preserve"> </w:t>
      </w:r>
    </w:p>
    <w:p w:rsidR="00F83932" w14:paraId="52F75819" w14:textId="77777777"/>
    <w:p w:rsidR="00A75FF0" w:rsidP="00A75FF0" w14:paraId="75FB8BD3" w14:textId="77777777">
      <w:pPr>
        <w:rPr>
          <w:bCs/>
        </w:rPr>
      </w:pPr>
      <w:r>
        <w:rPr>
          <w:bCs/>
        </w:rPr>
        <w:t>The information collection requirements do not involve questions of a sensitive nature.</w:t>
      </w:r>
    </w:p>
    <w:p w:rsidR="00F83932" w14:paraId="4E300833" w14:textId="77777777"/>
    <w:p w:rsidR="0089434E" w:rsidP="0089434E" w14:paraId="23B771C2" w14:textId="77777777">
      <w:r w:rsidRPr="001326BB">
        <w:rPr>
          <w:bCs/>
        </w:rPr>
        <w:t xml:space="preserve">12. </w:t>
      </w:r>
      <w:r>
        <w:rPr>
          <w:bCs/>
        </w:rPr>
        <w:tab/>
      </w:r>
      <w:r w:rsidRPr="001326BB">
        <w:rPr>
          <w:bCs/>
          <w:u w:val="single"/>
        </w:rPr>
        <w:t>Estimate of burden hours for information requested</w:t>
      </w:r>
      <w:r w:rsidRPr="00AF6F62">
        <w:rPr>
          <w:bCs/>
          <w:u w:val="single"/>
        </w:rPr>
        <w:t>.</w:t>
      </w:r>
      <w:r w:rsidRPr="001326BB">
        <w:t xml:space="preserve"> </w:t>
      </w:r>
    </w:p>
    <w:p w:rsidR="00DA0BFA" w:rsidP="006244AC" w14:paraId="4F93E22A" w14:textId="77777777"/>
    <w:p w:rsidR="00DA0BFA" w:rsidP="00DA0BFA" w14:paraId="0D854A43" w14:textId="46E46D33">
      <w:pPr>
        <w:numPr>
          <w:ilvl w:val="0"/>
          <w:numId w:val="12"/>
        </w:numPr>
      </w:pPr>
      <w:r>
        <w:t xml:space="preserve">Estimated Annual Responses: </w:t>
      </w:r>
      <w:r w:rsidR="00C87F4D">
        <w:t xml:space="preserve">950       </w:t>
      </w:r>
      <w:r w:rsidRPr="00866036">
        <w:t>Estimated Burden Hours:</w:t>
      </w:r>
      <w:r>
        <w:t xml:space="preserve"> </w:t>
      </w:r>
      <w:r w:rsidR="00C87F4D">
        <w:t>18,050</w:t>
      </w:r>
      <w:r>
        <w:t xml:space="preserve"> hours</w:t>
      </w:r>
    </w:p>
    <w:p w:rsidR="00DA0BFA" w:rsidP="006244AC" w14:paraId="4D7E9387" w14:textId="77777777"/>
    <w:p w:rsidR="00DA0BFA" w:rsidP="00DA0BFA" w14:paraId="1297E6D1" w14:textId="77777777">
      <w:pPr>
        <w:rPr>
          <w:u w:val="single"/>
        </w:rPr>
      </w:pPr>
      <w:r>
        <w:rPr>
          <w:b/>
          <w:u w:val="single"/>
        </w:rPr>
        <w:t xml:space="preserve">Burden for Hazardous Liquid </w:t>
      </w:r>
      <w:r w:rsidRPr="00717205">
        <w:rPr>
          <w:b/>
          <w:u w:val="single"/>
        </w:rPr>
        <w:t>A</w:t>
      </w:r>
      <w:r>
        <w:rPr>
          <w:b/>
          <w:u w:val="single"/>
        </w:rPr>
        <w:t>nnual</w:t>
      </w:r>
      <w:r w:rsidRPr="00717205">
        <w:rPr>
          <w:b/>
          <w:u w:val="single"/>
        </w:rPr>
        <w:t xml:space="preserve"> Reporting</w:t>
      </w:r>
      <w:r w:rsidRPr="00866036">
        <w:rPr>
          <w:u w:val="single"/>
        </w:rPr>
        <w:t xml:space="preserve"> </w:t>
      </w:r>
      <w:r w:rsidRPr="0047563D">
        <w:rPr>
          <w:b/>
          <w:u w:val="single"/>
        </w:rPr>
        <w:t>(PHMSA Form 7000-1</w:t>
      </w:r>
      <w:r>
        <w:rPr>
          <w:b/>
          <w:u w:val="single"/>
        </w:rPr>
        <w:t>.1</w:t>
      </w:r>
      <w:r w:rsidRPr="0047563D">
        <w:rPr>
          <w:b/>
          <w:u w:val="single"/>
        </w:rPr>
        <w:t>):</w:t>
      </w:r>
      <w:r>
        <w:rPr>
          <w:u w:val="single"/>
        </w:rPr>
        <w:t xml:space="preserve"> </w:t>
      </w:r>
    </w:p>
    <w:p w:rsidR="003E1F9C" w:rsidP="00DA0BFA" w14:paraId="141A012A" w14:textId="77777777">
      <w:pPr>
        <w:rPr>
          <w:b/>
          <w:i/>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2306"/>
        <w:gridCol w:w="2299"/>
        <w:gridCol w:w="2625"/>
      </w:tblGrid>
      <w:tr w14:paraId="56AFAF91" w14:textId="77777777" w:rsidTr="003E1F9C">
        <w:tblPrEx>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80" w:type="dxa"/>
            <w:shd w:val="clear" w:color="auto" w:fill="DEEAF6"/>
          </w:tcPr>
          <w:p w:rsidR="003E1F9C" w:rsidRPr="003E1F9C" w:rsidP="003E1F9C" w14:paraId="44AB6806" w14:textId="77777777">
            <w:pPr>
              <w:autoSpaceDE w:val="0"/>
              <w:autoSpaceDN w:val="0"/>
              <w:adjustRightInd w:val="0"/>
              <w:jc w:val="center"/>
              <w:rPr>
                <w:b/>
                <w:bCs/>
              </w:rPr>
            </w:pPr>
            <w:r w:rsidRPr="003E1F9C">
              <w:rPr>
                <w:b/>
                <w:bCs/>
              </w:rPr>
              <w:t>IC</w:t>
            </w:r>
          </w:p>
        </w:tc>
        <w:tc>
          <w:tcPr>
            <w:tcW w:w="2306" w:type="dxa"/>
            <w:shd w:val="clear" w:color="auto" w:fill="DEEAF6"/>
          </w:tcPr>
          <w:p w:rsidR="003E1F9C" w:rsidRPr="003E1F9C" w:rsidP="003E1F9C" w14:paraId="7EC277C1" w14:textId="77777777">
            <w:pPr>
              <w:autoSpaceDE w:val="0"/>
              <w:autoSpaceDN w:val="0"/>
              <w:adjustRightInd w:val="0"/>
              <w:jc w:val="center"/>
              <w:rPr>
                <w:b/>
                <w:bCs/>
              </w:rPr>
            </w:pPr>
            <w:r w:rsidRPr="003E1F9C">
              <w:rPr>
                <w:b/>
                <w:bCs/>
              </w:rPr>
              <w:t>Responses</w:t>
            </w:r>
          </w:p>
        </w:tc>
        <w:tc>
          <w:tcPr>
            <w:tcW w:w="2299" w:type="dxa"/>
            <w:shd w:val="clear" w:color="auto" w:fill="DEEAF6"/>
          </w:tcPr>
          <w:p w:rsidR="003E1F9C" w:rsidRPr="003E1F9C" w:rsidP="003E1F9C" w14:paraId="0579358E" w14:textId="77777777">
            <w:pPr>
              <w:autoSpaceDE w:val="0"/>
              <w:autoSpaceDN w:val="0"/>
              <w:adjustRightInd w:val="0"/>
              <w:jc w:val="center"/>
              <w:rPr>
                <w:b/>
                <w:bCs/>
              </w:rPr>
            </w:pPr>
            <w:r w:rsidRPr="003E1F9C">
              <w:rPr>
                <w:b/>
                <w:bCs/>
              </w:rPr>
              <w:t>Burden Per Response</w:t>
            </w:r>
          </w:p>
        </w:tc>
        <w:tc>
          <w:tcPr>
            <w:tcW w:w="2625" w:type="dxa"/>
            <w:shd w:val="clear" w:color="auto" w:fill="DEEAF6"/>
          </w:tcPr>
          <w:p w:rsidR="003E1F9C" w:rsidRPr="003E1F9C" w:rsidP="003E1F9C" w14:paraId="1608479B" w14:textId="77777777">
            <w:pPr>
              <w:autoSpaceDE w:val="0"/>
              <w:autoSpaceDN w:val="0"/>
              <w:adjustRightInd w:val="0"/>
              <w:jc w:val="center"/>
              <w:rPr>
                <w:b/>
                <w:bCs/>
              </w:rPr>
            </w:pPr>
            <w:r w:rsidRPr="003E1F9C">
              <w:rPr>
                <w:b/>
                <w:bCs/>
              </w:rPr>
              <w:t>Total Burden</w:t>
            </w:r>
          </w:p>
        </w:tc>
      </w:tr>
      <w:tr w14:paraId="0437121D" w14:textId="77777777" w:rsidTr="003E1F9C">
        <w:tblPrEx>
          <w:tblW w:w="9810" w:type="dxa"/>
          <w:tblInd w:w="108" w:type="dxa"/>
          <w:tblLook w:val="04A0"/>
        </w:tblPrEx>
        <w:tc>
          <w:tcPr>
            <w:tcW w:w="2580" w:type="dxa"/>
            <w:shd w:val="clear" w:color="auto" w:fill="auto"/>
          </w:tcPr>
          <w:p w:rsidR="00C87F4D" w:rsidP="003E1F9C" w14:paraId="1E0D225B" w14:textId="699AF1AD">
            <w:pPr>
              <w:autoSpaceDE w:val="0"/>
              <w:autoSpaceDN w:val="0"/>
              <w:adjustRightInd w:val="0"/>
              <w:rPr>
                <w:bCs/>
              </w:rPr>
            </w:pPr>
            <w:r w:rsidRPr="00C87F4D">
              <w:t>Excavation Damage Upgrade</w:t>
            </w:r>
          </w:p>
        </w:tc>
        <w:tc>
          <w:tcPr>
            <w:tcW w:w="2306" w:type="dxa"/>
            <w:shd w:val="clear" w:color="auto" w:fill="auto"/>
          </w:tcPr>
          <w:p w:rsidR="00C87F4D" w:rsidP="003E1F9C" w14:paraId="78EBB4F4" w14:textId="51990399">
            <w:pPr>
              <w:autoSpaceDE w:val="0"/>
              <w:autoSpaceDN w:val="0"/>
              <w:adjustRightInd w:val="0"/>
              <w:rPr>
                <w:bCs/>
              </w:rPr>
            </w:pPr>
            <w:r>
              <w:rPr>
                <w:bCs/>
              </w:rPr>
              <w:t>475</w:t>
            </w:r>
          </w:p>
        </w:tc>
        <w:tc>
          <w:tcPr>
            <w:tcW w:w="2299" w:type="dxa"/>
            <w:shd w:val="clear" w:color="auto" w:fill="auto"/>
          </w:tcPr>
          <w:p w:rsidR="00C87F4D" w:rsidP="003E1F9C" w14:paraId="0589E1D1" w14:textId="0AD2D47D">
            <w:pPr>
              <w:autoSpaceDE w:val="0"/>
              <w:autoSpaceDN w:val="0"/>
              <w:adjustRightInd w:val="0"/>
              <w:rPr>
                <w:bCs/>
              </w:rPr>
            </w:pPr>
            <w:r>
              <w:rPr>
                <w:bCs/>
              </w:rPr>
              <w:t>18</w:t>
            </w:r>
          </w:p>
        </w:tc>
        <w:tc>
          <w:tcPr>
            <w:tcW w:w="2625" w:type="dxa"/>
            <w:shd w:val="clear" w:color="auto" w:fill="auto"/>
          </w:tcPr>
          <w:p w:rsidR="00C87F4D" w:rsidP="003E1F9C" w14:paraId="15A8B511" w14:textId="041067D1">
            <w:pPr>
              <w:autoSpaceDE w:val="0"/>
              <w:autoSpaceDN w:val="0"/>
              <w:adjustRightInd w:val="0"/>
              <w:rPr>
                <w:bCs/>
              </w:rPr>
            </w:pPr>
            <w:r>
              <w:rPr>
                <w:bCs/>
              </w:rPr>
              <w:t>8,550</w:t>
            </w:r>
          </w:p>
        </w:tc>
      </w:tr>
      <w:tr w14:paraId="023C5D8B" w14:textId="77777777" w:rsidTr="003E1F9C">
        <w:tblPrEx>
          <w:tblW w:w="9810" w:type="dxa"/>
          <w:tblInd w:w="108" w:type="dxa"/>
          <w:tblLook w:val="04A0"/>
        </w:tblPrEx>
        <w:tc>
          <w:tcPr>
            <w:tcW w:w="2580" w:type="dxa"/>
            <w:shd w:val="clear" w:color="auto" w:fill="auto"/>
          </w:tcPr>
          <w:p w:rsidR="003E1F9C" w:rsidRPr="003E1F9C" w:rsidP="003E1F9C" w14:paraId="2CEF389A" w14:textId="77777777">
            <w:pPr>
              <w:autoSpaceDE w:val="0"/>
              <w:autoSpaceDN w:val="0"/>
              <w:adjustRightInd w:val="0"/>
              <w:rPr>
                <w:bCs/>
              </w:rPr>
            </w:pPr>
            <w:r>
              <w:rPr>
                <w:bCs/>
              </w:rPr>
              <w:t>Haz Liquid Annual</w:t>
            </w:r>
            <w:r w:rsidRPr="003E1F9C">
              <w:rPr>
                <w:bCs/>
              </w:rPr>
              <w:t xml:space="preserve"> Report</w:t>
            </w:r>
          </w:p>
        </w:tc>
        <w:tc>
          <w:tcPr>
            <w:tcW w:w="2306" w:type="dxa"/>
            <w:shd w:val="clear" w:color="auto" w:fill="auto"/>
          </w:tcPr>
          <w:p w:rsidR="003E1F9C" w:rsidRPr="003E1F9C" w:rsidP="003E1F9C" w14:paraId="705B2723" w14:textId="77777777">
            <w:pPr>
              <w:autoSpaceDE w:val="0"/>
              <w:autoSpaceDN w:val="0"/>
              <w:adjustRightInd w:val="0"/>
              <w:rPr>
                <w:bCs/>
              </w:rPr>
            </w:pPr>
            <w:r>
              <w:rPr>
                <w:bCs/>
              </w:rPr>
              <w:t>475</w:t>
            </w:r>
          </w:p>
        </w:tc>
        <w:tc>
          <w:tcPr>
            <w:tcW w:w="2299" w:type="dxa"/>
            <w:shd w:val="clear" w:color="auto" w:fill="auto"/>
          </w:tcPr>
          <w:p w:rsidR="003E1F9C" w:rsidRPr="003E1F9C" w:rsidP="003E1F9C" w14:paraId="73F95695" w14:textId="65551D62">
            <w:pPr>
              <w:autoSpaceDE w:val="0"/>
              <w:autoSpaceDN w:val="0"/>
              <w:adjustRightInd w:val="0"/>
              <w:rPr>
                <w:bCs/>
              </w:rPr>
            </w:pPr>
            <w:r>
              <w:rPr>
                <w:bCs/>
              </w:rPr>
              <w:t>20</w:t>
            </w:r>
            <w:r w:rsidRPr="003E1F9C">
              <w:rPr>
                <w:bCs/>
              </w:rPr>
              <w:t xml:space="preserve"> hours</w:t>
            </w:r>
          </w:p>
        </w:tc>
        <w:tc>
          <w:tcPr>
            <w:tcW w:w="2625" w:type="dxa"/>
            <w:shd w:val="clear" w:color="auto" w:fill="auto"/>
          </w:tcPr>
          <w:p w:rsidR="003E1F9C" w:rsidRPr="003E1F9C" w:rsidP="003E1F9C" w14:paraId="3F7B8F7C" w14:textId="2520251A">
            <w:pPr>
              <w:autoSpaceDE w:val="0"/>
              <w:autoSpaceDN w:val="0"/>
              <w:adjustRightInd w:val="0"/>
              <w:rPr>
                <w:bCs/>
              </w:rPr>
            </w:pPr>
            <w:r>
              <w:rPr>
                <w:bCs/>
              </w:rPr>
              <w:t>9,</w:t>
            </w:r>
            <w:r w:rsidR="00C87F4D">
              <w:rPr>
                <w:bCs/>
              </w:rPr>
              <w:t>500</w:t>
            </w:r>
            <w:r w:rsidRPr="003E1F9C" w:rsidR="00C87F4D">
              <w:rPr>
                <w:bCs/>
              </w:rPr>
              <w:t xml:space="preserve"> </w:t>
            </w:r>
            <w:r w:rsidRPr="003E1F9C">
              <w:rPr>
                <w:bCs/>
              </w:rPr>
              <w:t>hours</w:t>
            </w:r>
          </w:p>
        </w:tc>
      </w:tr>
      <w:tr w14:paraId="49B51C04" w14:textId="77777777" w:rsidTr="003E1F9C">
        <w:tblPrEx>
          <w:tblW w:w="9810" w:type="dxa"/>
          <w:tblInd w:w="108" w:type="dxa"/>
          <w:tblLook w:val="04A0"/>
        </w:tblPrEx>
        <w:tc>
          <w:tcPr>
            <w:tcW w:w="2580" w:type="dxa"/>
            <w:shd w:val="clear" w:color="auto" w:fill="DEEAF6"/>
          </w:tcPr>
          <w:p w:rsidR="003E1F9C" w:rsidRPr="003E1F9C" w:rsidP="003E1F9C" w14:paraId="60DD5AA3" w14:textId="77777777">
            <w:pPr>
              <w:autoSpaceDE w:val="0"/>
              <w:autoSpaceDN w:val="0"/>
              <w:adjustRightInd w:val="0"/>
              <w:rPr>
                <w:b/>
                <w:bCs/>
              </w:rPr>
            </w:pPr>
            <w:r w:rsidRPr="003E1F9C">
              <w:rPr>
                <w:b/>
                <w:bCs/>
              </w:rPr>
              <w:t>Total</w:t>
            </w:r>
          </w:p>
        </w:tc>
        <w:tc>
          <w:tcPr>
            <w:tcW w:w="2306" w:type="dxa"/>
            <w:shd w:val="clear" w:color="auto" w:fill="DEEAF6"/>
          </w:tcPr>
          <w:p w:rsidR="003E1F9C" w:rsidRPr="003E1F9C" w:rsidP="003E1F9C" w14:paraId="26EB0173" w14:textId="74616F7D">
            <w:pPr>
              <w:autoSpaceDE w:val="0"/>
              <w:autoSpaceDN w:val="0"/>
              <w:adjustRightInd w:val="0"/>
              <w:rPr>
                <w:b/>
                <w:bCs/>
              </w:rPr>
            </w:pPr>
            <w:r>
              <w:rPr>
                <w:b/>
                <w:bCs/>
              </w:rPr>
              <w:t>950</w:t>
            </w:r>
            <w:r w:rsidRPr="003E1F9C">
              <w:rPr>
                <w:b/>
                <w:bCs/>
              </w:rPr>
              <w:t xml:space="preserve"> annual responses</w:t>
            </w:r>
          </w:p>
        </w:tc>
        <w:tc>
          <w:tcPr>
            <w:tcW w:w="2299" w:type="dxa"/>
            <w:shd w:val="clear" w:color="auto" w:fill="DEEAF6"/>
          </w:tcPr>
          <w:p w:rsidR="003E1F9C" w:rsidRPr="003E1F9C" w:rsidP="003E1F9C" w14:paraId="20A36847" w14:textId="77777777">
            <w:pPr>
              <w:autoSpaceDE w:val="0"/>
              <w:autoSpaceDN w:val="0"/>
              <w:adjustRightInd w:val="0"/>
              <w:rPr>
                <w:b/>
                <w:bCs/>
              </w:rPr>
            </w:pPr>
          </w:p>
        </w:tc>
        <w:tc>
          <w:tcPr>
            <w:tcW w:w="2625" w:type="dxa"/>
            <w:shd w:val="clear" w:color="auto" w:fill="DEEAF6"/>
          </w:tcPr>
          <w:p w:rsidR="003E1F9C" w:rsidRPr="003E1F9C" w:rsidP="003E1F9C" w14:paraId="37E43AEB" w14:textId="5B102C3F">
            <w:pPr>
              <w:autoSpaceDE w:val="0"/>
              <w:autoSpaceDN w:val="0"/>
              <w:adjustRightInd w:val="0"/>
              <w:rPr>
                <w:b/>
                <w:bCs/>
              </w:rPr>
            </w:pPr>
            <w:r>
              <w:rPr>
                <w:b/>
                <w:bCs/>
              </w:rPr>
              <w:t>18,050</w:t>
            </w:r>
            <w:r w:rsidRPr="003E1F9C">
              <w:rPr>
                <w:b/>
                <w:bCs/>
              </w:rPr>
              <w:t xml:space="preserve"> annual burden hours</w:t>
            </w:r>
          </w:p>
        </w:tc>
      </w:tr>
    </w:tbl>
    <w:p w:rsidR="003E1F9C" w:rsidRPr="0047563D" w:rsidP="00DA0BFA" w14:paraId="4400ACB4" w14:textId="77777777">
      <w:pPr>
        <w:rPr>
          <w:b/>
          <w:i/>
        </w:rPr>
      </w:pPr>
    </w:p>
    <w:p w:rsidR="00AD7291" w:rsidP="006244AC" w14:paraId="1688B9A3" w14:textId="77777777">
      <w:pPr>
        <w:rPr>
          <w:b/>
          <w:u w:val="single"/>
        </w:rPr>
      </w:pPr>
    </w:p>
    <w:p w:rsidR="00AD7291" w:rsidP="00AD7291" w14:paraId="2DA2FE5A" w14:textId="5B8EC90C">
      <w:pPr>
        <w:numPr>
          <w:ilvl w:val="0"/>
          <w:numId w:val="18"/>
        </w:numPr>
      </w:pPr>
      <w:r w:rsidRPr="00AD7291">
        <w:rPr>
          <w:b/>
        </w:rPr>
        <w:t xml:space="preserve">Excavation Damage Upgrade: </w:t>
      </w:r>
      <w:r w:rsidRPr="00AD7291">
        <w:t xml:space="preserve">  </w:t>
      </w:r>
    </w:p>
    <w:p w:rsidR="00AD7291" w:rsidRPr="00AD7291" w:rsidP="00AD7291" w14:paraId="72B35A5F" w14:textId="0C68DAEA">
      <w:r w:rsidRPr="00AD7291">
        <w:t xml:space="preserve">Estimated total burden: 475 responses and 8,550 burden hours  </w:t>
      </w:r>
    </w:p>
    <w:p w:rsidR="00AD7291" w:rsidP="00AD7291" w14:paraId="2D683BDC" w14:textId="12CD281D">
      <w:pPr>
        <w:rPr>
          <w:bCs/>
        </w:rPr>
      </w:pPr>
    </w:p>
    <w:p w:rsidR="00AD7291" w:rsidRPr="00AD7291" w:rsidP="00AD7291" w14:paraId="6388AC10" w14:textId="19BD5DD3">
      <w:pPr>
        <w:rPr>
          <w:bCs/>
        </w:rPr>
      </w:pPr>
      <w:r>
        <w:rPr>
          <w:rFonts w:eastAsia="Arial Unicode MS"/>
        </w:rPr>
        <w:t xml:space="preserve">PHMSA estimates that it will take each of these 475 respondents, on average, 18 hours to update their systems to collect data on excavation damages.  This will result in a burden of </w:t>
      </w:r>
      <w:r w:rsidRPr="00AD7291">
        <w:rPr>
          <w:rFonts w:eastAsia="Arial Unicode MS"/>
          <w:b/>
          <w:bCs/>
        </w:rPr>
        <w:t>8,550 hours</w:t>
      </w:r>
      <w:r>
        <w:rPr>
          <w:rFonts w:eastAsia="Arial Unicode MS"/>
        </w:rPr>
        <w:t xml:space="preserve"> [475 responses x18 hours].  </w:t>
      </w:r>
    </w:p>
    <w:p w:rsidR="00AD7291" w:rsidP="006244AC" w14:paraId="2682943F" w14:textId="77777777">
      <w:pPr>
        <w:rPr>
          <w:b/>
          <w:u w:val="single"/>
        </w:rPr>
      </w:pPr>
    </w:p>
    <w:p w:rsidR="00AD7291" w:rsidP="006244AC" w14:paraId="4E0B29A4" w14:textId="77777777">
      <w:pPr>
        <w:rPr>
          <w:b/>
          <w:u w:val="single"/>
        </w:rPr>
      </w:pPr>
    </w:p>
    <w:p w:rsidR="00AD7291" w:rsidRPr="00AD7291" w:rsidP="00AD7291" w14:paraId="08270EC2" w14:textId="044477F6">
      <w:pPr>
        <w:numPr>
          <w:ilvl w:val="0"/>
          <w:numId w:val="18"/>
        </w:numPr>
      </w:pPr>
      <w:r w:rsidRPr="00AD7291">
        <w:rPr>
          <w:b/>
        </w:rPr>
        <w:t>Annual Reporting</w:t>
      </w:r>
      <w:r w:rsidRPr="00AD7291">
        <w:t xml:space="preserve"> (PHMSA Form 7000-1.1)</w:t>
      </w:r>
      <w:r>
        <w:t>:</w:t>
      </w:r>
      <w:r w:rsidRPr="00AD7291">
        <w:t xml:space="preserve"> </w:t>
      </w:r>
    </w:p>
    <w:p w:rsidR="00AD7291" w:rsidRPr="00AD7291" w:rsidP="006244AC" w14:paraId="5903C3AD" w14:textId="6376B872">
      <w:r w:rsidRPr="00AD7291">
        <w:t xml:space="preserve">Estimated total burden: 475 responses and </w:t>
      </w:r>
      <w:r>
        <w:t>9,500</w:t>
      </w:r>
      <w:r w:rsidRPr="00AD7291" w:rsidR="007F462D">
        <w:t xml:space="preserve"> </w:t>
      </w:r>
      <w:r w:rsidRPr="00AD7291">
        <w:t xml:space="preserve">burden hours </w:t>
      </w:r>
    </w:p>
    <w:p w:rsidR="00F83932" w:rsidRPr="00AD7291" w14:paraId="1B1D0831" w14:textId="77777777">
      <w:pPr>
        <w:rPr>
          <w:bCs/>
        </w:rPr>
      </w:pPr>
    </w:p>
    <w:p w:rsidR="00A87773" w14:paraId="66C8E237" w14:textId="626848AC">
      <w:pPr>
        <w:rPr>
          <w:rFonts w:eastAsia="Arial Unicode MS"/>
        </w:rPr>
      </w:pPr>
      <w:r>
        <w:rPr>
          <w:rFonts w:eastAsia="Arial Unicode MS"/>
        </w:rPr>
        <w:t xml:space="preserve">Each year, hazardous liquid operators submit an estimated 475 annual reports to PHMSA.  PHMSA estimates that it takes each operator approximately 20 hours to complete the report resulting in an overall burden of </w:t>
      </w:r>
      <w:r w:rsidRPr="00AE0D97">
        <w:rPr>
          <w:rFonts w:eastAsia="Arial Unicode MS"/>
          <w:b/>
          <w:bCs/>
        </w:rPr>
        <w:t>9,500 hours</w:t>
      </w:r>
      <w:r>
        <w:rPr>
          <w:rFonts w:eastAsia="Arial Unicode MS"/>
        </w:rPr>
        <w:t xml:space="preserve"> [475 reports x 20 hours] annually. </w:t>
      </w:r>
    </w:p>
    <w:p w:rsidR="00AE0D97" w14:paraId="190769AE" w14:textId="77777777"/>
    <w:p w:rsidR="0045133C" w:rsidP="0045133C" w14:paraId="439B4CCB" w14:textId="77777777">
      <w:r w:rsidRPr="001326BB">
        <w:rPr>
          <w:bCs/>
        </w:rPr>
        <w:t xml:space="preserve">13. </w:t>
      </w:r>
      <w:r>
        <w:rPr>
          <w:bCs/>
        </w:rPr>
        <w:tab/>
      </w:r>
      <w:r w:rsidRPr="001326BB">
        <w:rPr>
          <w:bCs/>
          <w:u w:val="single"/>
        </w:rPr>
        <w:t>Estimate of total annual costs to respondents</w:t>
      </w:r>
      <w:r w:rsidRPr="00AF6F62">
        <w:rPr>
          <w:bCs/>
          <w:u w:val="single"/>
        </w:rPr>
        <w:t>.</w:t>
      </w:r>
      <w:r w:rsidRPr="001326BB">
        <w:t xml:space="preserve"> </w:t>
      </w:r>
    </w:p>
    <w:p w:rsidR="00F83932" w14:paraId="37DDE868" w14:textId="77777777"/>
    <w:p w:rsidR="003E1F9C" w:rsidRPr="003E1F9C" w:rsidP="00342E06" w14:paraId="57299D65" w14:textId="4973AEA3">
      <w:pPr>
        <w:rPr>
          <w:bCs/>
        </w:rPr>
      </w:pPr>
      <w:r>
        <w:rPr>
          <w:bCs/>
        </w:rPr>
        <w:t>Annual</w:t>
      </w:r>
      <w:r w:rsidRPr="003E1F9C">
        <w:rPr>
          <w:bCs/>
        </w:rPr>
        <w:t xml:space="preserve"> reports are assumed to be filled out by a senior engineer. </w:t>
      </w:r>
      <w:r w:rsidR="00AE0D97">
        <w:rPr>
          <w:bCs/>
        </w:rPr>
        <w:t xml:space="preserve">Similarly, PHMSA expects upgrades to the associated data collection processes to also be completed by a senior engineer. </w:t>
      </w:r>
      <w:r w:rsidRPr="003E1F9C">
        <w:rPr>
          <w:bCs/>
        </w:rPr>
        <w:t xml:space="preserve"> </w:t>
      </w:r>
      <w:r w:rsidRPr="003E1F9C">
        <w:rPr>
          <w:bCs/>
          <w:szCs w:val="20"/>
        </w:rPr>
        <w:t xml:space="preserve">Based on the industry-specific occupational and wage estimates provided by the U.S. Department of Labor’s Bureau of Labor Statistics, median hourly </w:t>
      </w:r>
      <w:r w:rsidRPr="003E1F9C">
        <w:rPr>
          <w:bCs/>
          <w:szCs w:val="20"/>
        </w:rPr>
        <w:t>wage of an engineering manager (for NAICS 486000 – pipeline transportation)</w:t>
      </w:r>
      <w:r>
        <w:rPr>
          <w:bCs/>
          <w:szCs w:val="20"/>
        </w:rPr>
        <w:footnoteReference w:id="2"/>
      </w:r>
      <w:r w:rsidRPr="003E1F9C">
        <w:rPr>
          <w:bCs/>
          <w:szCs w:val="20"/>
        </w:rPr>
        <w:t xml:space="preserve"> is estimated as $77.50. Using an estimated fringe benefit of approximately 35 percent, the </w:t>
      </w:r>
      <w:r>
        <w:rPr>
          <w:bCs/>
          <w:szCs w:val="20"/>
        </w:rPr>
        <w:t xml:space="preserve">annual reporting requirements </w:t>
      </w:r>
      <w:r w:rsidRPr="003E1F9C">
        <w:rPr>
          <w:bCs/>
          <w:szCs w:val="20"/>
        </w:rPr>
        <w:t xml:space="preserve">are prepared at the average rate of $104.63 per hour. </w:t>
      </w:r>
      <w:r w:rsidR="00D32D84">
        <w:rPr>
          <w:bCs/>
          <w:szCs w:val="20"/>
        </w:rPr>
        <w:t xml:space="preserve">  Therefore, </w:t>
      </w:r>
      <w:r w:rsidR="00D32D84">
        <w:rPr>
          <w:bCs/>
        </w:rPr>
        <w:t>t</w:t>
      </w:r>
      <w:r w:rsidRPr="003E1F9C">
        <w:rPr>
          <w:bCs/>
        </w:rPr>
        <w:t xml:space="preserve">he cost burden associated with this information collection is estimated to $104.63 x </w:t>
      </w:r>
      <w:r w:rsidR="00AE0D97">
        <w:rPr>
          <w:bCs/>
        </w:rPr>
        <w:t>18,050</w:t>
      </w:r>
      <w:r w:rsidRPr="003E1F9C">
        <w:rPr>
          <w:bCs/>
        </w:rPr>
        <w:t xml:space="preserve"> hours = $</w:t>
      </w:r>
      <w:r w:rsidR="00AE0D97">
        <w:rPr>
          <w:bCs/>
        </w:rPr>
        <w:t>1,888,571.50.</w:t>
      </w:r>
    </w:p>
    <w:p w:rsidR="003E1F9C" w:rsidRPr="003E1F9C" w:rsidP="003E1F9C" w14:paraId="72880DB2" w14:textId="77777777">
      <w:pPr>
        <w:autoSpaceDE w:val="0"/>
        <w:autoSpaceDN w:val="0"/>
        <w:adjustRightInd w:val="0"/>
        <w:ind w:left="360"/>
        <w:rPr>
          <w:bCs/>
        </w:rPr>
      </w:pPr>
    </w:p>
    <w:p w:rsidR="0045133C" w:rsidP="0045133C" w14:paraId="688255FB" w14:textId="77777777">
      <w:r w:rsidRPr="001326BB">
        <w:rPr>
          <w:bCs/>
        </w:rPr>
        <w:t xml:space="preserve">14. </w:t>
      </w:r>
      <w:r>
        <w:rPr>
          <w:bCs/>
        </w:rPr>
        <w:tab/>
      </w:r>
      <w:r w:rsidRPr="001326BB">
        <w:rPr>
          <w:bCs/>
          <w:u w:val="single"/>
        </w:rPr>
        <w:t xml:space="preserve">Estimate of cost to the Federal </w:t>
      </w:r>
      <w:r>
        <w:rPr>
          <w:bCs/>
          <w:u w:val="single"/>
        </w:rPr>
        <w:t>G</w:t>
      </w:r>
      <w:r w:rsidRPr="001326BB">
        <w:rPr>
          <w:bCs/>
          <w:u w:val="single"/>
        </w:rPr>
        <w:t>overnment</w:t>
      </w:r>
      <w:r w:rsidRPr="00AF6F62">
        <w:rPr>
          <w:bCs/>
          <w:u w:val="single"/>
        </w:rPr>
        <w:t>.</w:t>
      </w:r>
      <w:r w:rsidRPr="001326BB">
        <w:t xml:space="preserve"> </w:t>
      </w:r>
    </w:p>
    <w:p w:rsidR="00B77F03" w:rsidP="00B77F03" w14:paraId="6B2962CF" w14:textId="77777777">
      <w:pPr>
        <w:rPr>
          <w:b/>
          <w:bCs/>
        </w:rPr>
      </w:pPr>
    </w:p>
    <w:p w:rsidR="00F83932" w14:paraId="2DC09D3B" w14:textId="52B34D2E">
      <w:r>
        <w:t>PHMSA will continue to review the annual reports from the pipeline operators</w:t>
      </w:r>
      <w:r w:rsidR="00157D2E">
        <w:t xml:space="preserve">.  A Data </w:t>
      </w:r>
      <w:r w:rsidR="003449DD">
        <w:t xml:space="preserve">Analyst </w:t>
      </w:r>
      <w:r w:rsidR="00157D2E">
        <w:t xml:space="preserve">at the current GS </w:t>
      </w:r>
      <w:r w:rsidR="003449DD">
        <w:t xml:space="preserve">13 </w:t>
      </w:r>
      <w:r w:rsidR="00157D2E">
        <w:t>salary of $</w:t>
      </w:r>
      <w:r w:rsidR="00AE0D97">
        <w:t>106,823</w:t>
      </w:r>
      <w:r w:rsidR="003449DD">
        <w:t xml:space="preserve"> reviews and analyzes the data gathered from annual reports.  PHMSA </w:t>
      </w:r>
      <w:r>
        <w:t>does not expect any additional administrative costs associated with this regulation.</w:t>
      </w:r>
    </w:p>
    <w:p w:rsidR="00F83932" w14:paraId="515CA7FD" w14:textId="77777777"/>
    <w:p w:rsidR="0045133C" w:rsidP="0045133C" w14:paraId="6AA580A8" w14:textId="7619B98B">
      <w:r w:rsidRPr="001326BB">
        <w:rPr>
          <w:bCs/>
        </w:rPr>
        <w:t>15.</w:t>
      </w:r>
      <w:r>
        <w:rPr>
          <w:bCs/>
        </w:rPr>
        <w:tab/>
      </w:r>
      <w:r w:rsidRPr="001326BB">
        <w:rPr>
          <w:bCs/>
        </w:rPr>
        <w:t xml:space="preserve"> </w:t>
      </w:r>
      <w:r w:rsidRPr="001326BB">
        <w:rPr>
          <w:bCs/>
          <w:u w:val="single"/>
        </w:rPr>
        <w:t>Explanation of program changes or adjustments</w:t>
      </w:r>
      <w:r w:rsidRPr="00AF6F62">
        <w:rPr>
          <w:bCs/>
          <w:u w:val="single"/>
        </w:rPr>
        <w:t>.</w:t>
      </w:r>
      <w:r w:rsidRPr="001326BB">
        <w:t xml:space="preserve"> </w:t>
      </w:r>
    </w:p>
    <w:p w:rsidR="00AE0D97" w:rsidP="0045133C" w14:paraId="53F00F9E" w14:textId="3B93FFA2"/>
    <w:p w:rsidR="00E2496B" w:rsidP="00E2496B" w14:paraId="5ACC98D4" w14:textId="510824B3">
      <w:r>
        <w:t xml:space="preserve">In conjunction with the Pipeline Safety: Breakout Tank Inspection NPRM, </w:t>
      </w:r>
      <w:r w:rsidRPr="00E2496B">
        <w:t xml:space="preserve">PHMSA is revising </w:t>
      </w:r>
      <w:r w:rsidRPr="00CD2A43">
        <w:t xml:space="preserve">the hazardous liquid pipeline annual report form (PHMSA Form F7000.1-1) to include a count of breakout tanks managed under </w:t>
      </w:r>
      <w:r>
        <w:t>risk-based inspection protocols.  PHMSA does not expect operators to experience a change in administrative burden for completing PHMSA Form F7000.1-1 due to this change</w:t>
      </w:r>
      <w:r w:rsidRPr="00CD2A43">
        <w:t>.</w:t>
      </w:r>
    </w:p>
    <w:p w:rsidR="004269A9" w:rsidRPr="00CD2A43" w:rsidP="00E2496B" w14:paraId="5A9EF03E" w14:textId="77777777"/>
    <w:p w:rsidR="0045133C" w:rsidP="0045133C" w14:paraId="162C9C97" w14:textId="77777777">
      <w:r w:rsidRPr="001326BB">
        <w:rPr>
          <w:bCs/>
        </w:rPr>
        <w:t xml:space="preserve">16. </w:t>
      </w:r>
      <w:r>
        <w:rPr>
          <w:bCs/>
        </w:rPr>
        <w:tab/>
      </w:r>
      <w:r w:rsidRPr="001326BB">
        <w:rPr>
          <w:bCs/>
          <w:u w:val="single"/>
        </w:rPr>
        <w:t>Publication of results of data collection</w:t>
      </w:r>
      <w:r w:rsidRPr="00AF6F62">
        <w:rPr>
          <w:bCs/>
          <w:u w:val="single"/>
        </w:rPr>
        <w:t>.</w:t>
      </w:r>
      <w:r w:rsidRPr="001326BB">
        <w:t xml:space="preserve"> </w:t>
      </w:r>
    </w:p>
    <w:p w:rsidR="00F83932" w14:paraId="48801649" w14:textId="77777777"/>
    <w:p w:rsidR="00F83932" w14:paraId="74E3C8A8" w14:textId="77777777">
      <w:r>
        <w:t>Annual reports summaries for hazardous liquid pipelines are available at the PHMSA website</w:t>
      </w:r>
      <w:r w:rsidR="00301594">
        <w:t xml:space="preserve"> (</w:t>
      </w:r>
      <w:r w:rsidRPr="00301594" w:rsidR="00301594">
        <w:t>http://phmsa.dot.gov</w:t>
      </w:r>
      <w:r w:rsidR="00157D2E">
        <w:t>)</w:t>
      </w:r>
    </w:p>
    <w:p w:rsidR="00F83932" w14:paraId="6195C293" w14:textId="77777777"/>
    <w:p w:rsidR="0045133C" w:rsidP="0045133C" w14:paraId="495670D2" w14:textId="77777777">
      <w:r w:rsidRPr="001326BB">
        <w:rPr>
          <w:bCs/>
        </w:rPr>
        <w:t xml:space="preserve">17. </w:t>
      </w:r>
      <w:r>
        <w:rPr>
          <w:bCs/>
        </w:rPr>
        <w:tab/>
      </w:r>
      <w:r w:rsidRPr="005E33FA">
        <w:rPr>
          <w:bCs/>
          <w:u w:val="single"/>
        </w:rPr>
        <w:t>A</w:t>
      </w:r>
      <w:r w:rsidRPr="001326BB">
        <w:rPr>
          <w:bCs/>
          <w:u w:val="single"/>
        </w:rPr>
        <w:t>pproval for not displaying the expiration date for OMB approval</w:t>
      </w:r>
      <w:r w:rsidRPr="00AF6F62">
        <w:rPr>
          <w:bCs/>
          <w:u w:val="single"/>
        </w:rPr>
        <w:t>.</w:t>
      </w:r>
      <w:r w:rsidRPr="001326BB">
        <w:t xml:space="preserve"> </w:t>
      </w:r>
    </w:p>
    <w:p w:rsidR="00B77F03" w:rsidP="00B77F03" w14:paraId="143305F4" w14:textId="77777777"/>
    <w:p w:rsidR="00F83932" w14:paraId="04781712" w14:textId="77777777">
      <w:r>
        <w:t>PHMSA does not seek approval to not display expiration date.</w:t>
      </w:r>
    </w:p>
    <w:p w:rsidR="00F83932" w14:paraId="0E19AE36" w14:textId="77777777">
      <w:pPr>
        <w:rPr>
          <w:b/>
          <w:bCs/>
        </w:rPr>
      </w:pPr>
    </w:p>
    <w:p w:rsidR="0045133C" w:rsidP="0045133C" w14:paraId="0A3D0897" w14:textId="77777777">
      <w:pPr>
        <w:rPr>
          <w:b/>
          <w:bCs/>
        </w:rPr>
      </w:pPr>
      <w:r w:rsidRPr="001326BB">
        <w:rPr>
          <w:bCs/>
        </w:rPr>
        <w:t xml:space="preserve">18. </w:t>
      </w:r>
      <w:r>
        <w:rPr>
          <w:bCs/>
        </w:rPr>
        <w:tab/>
      </w:r>
      <w:r w:rsidRPr="005E33FA">
        <w:rPr>
          <w:bCs/>
          <w:u w:val="single"/>
        </w:rPr>
        <w:t>E</w:t>
      </w:r>
      <w:r w:rsidRPr="001326BB">
        <w:rPr>
          <w:bCs/>
          <w:u w:val="single"/>
        </w:rPr>
        <w:t>xceptions to certification statement</w:t>
      </w:r>
      <w:r w:rsidRPr="00AF6F62">
        <w:rPr>
          <w:bCs/>
          <w:u w:val="single"/>
        </w:rPr>
        <w:t>.</w:t>
      </w:r>
      <w:r>
        <w:rPr>
          <w:b/>
          <w:bCs/>
        </w:rPr>
        <w:t xml:space="preserve">  </w:t>
      </w:r>
    </w:p>
    <w:p w:rsidR="003E69CF" w:rsidP="003E69CF" w14:paraId="627F3A75" w14:textId="77777777">
      <w:pPr>
        <w:rPr>
          <w:b/>
          <w:bCs/>
        </w:rPr>
      </w:pPr>
    </w:p>
    <w:p w:rsidR="00F83932" w14:paraId="45F27DC9" w14:textId="77777777">
      <w:pPr>
        <w:rPr>
          <w:bCs/>
        </w:rPr>
      </w:pPr>
      <w:r>
        <w:rPr>
          <w:bCs/>
        </w:rPr>
        <w:t>There are no exceptions to the certification statement.</w:t>
      </w:r>
    </w:p>
    <w:p w:rsidR="00F83932" w14:paraId="02D05559" w14:textId="77777777"/>
    <w:p w:rsidR="0045133C" w14:paraId="0D66FC32" w14:textId="77777777"/>
    <w:p w:rsidR="0045133C" w:rsidP="00330601" w14:paraId="42E5BADF" w14:textId="77777777"/>
    <w:sectPr>
      <w:footerReference w:type="default" r:id="rId5"/>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27FC" w14:paraId="01369061"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BD5FD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3EEE" w14:paraId="023ECA0B" w14:textId="77777777">
      <w:r>
        <w:separator/>
      </w:r>
    </w:p>
  </w:footnote>
  <w:footnote w:type="continuationSeparator" w:id="1">
    <w:p w:rsidR="00DD3EEE" w14:paraId="636774BC" w14:textId="77777777">
      <w:r>
        <w:continuationSeparator/>
      </w:r>
    </w:p>
  </w:footnote>
  <w:footnote w:id="2">
    <w:p w:rsidR="003E1F9C" w:rsidP="003E1F9C" w14:paraId="7E0FFD09" w14:textId="77777777">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33E97"/>
    <w:multiLevelType w:val="hybridMultilevel"/>
    <w:tmpl w:val="D212A8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C3624B"/>
    <w:multiLevelType w:val="hybridMultilevel"/>
    <w:tmpl w:val="8E5611B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3B5AA0"/>
    <w:multiLevelType w:val="hybridMultilevel"/>
    <w:tmpl w:val="F0E4DC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7B52192"/>
    <w:multiLevelType w:val="hybridMultilevel"/>
    <w:tmpl w:val="1D70A9A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AA2611A"/>
    <w:multiLevelType w:val="hybridMultilevel"/>
    <w:tmpl w:val="96828B3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90E3369"/>
    <w:multiLevelType w:val="hybridMultilevel"/>
    <w:tmpl w:val="005639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92D63C7"/>
    <w:multiLevelType w:val="hybridMultilevel"/>
    <w:tmpl w:val="4454BC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373904"/>
    <w:multiLevelType w:val="hybridMultilevel"/>
    <w:tmpl w:val="B2CE2A38"/>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401B1DA2"/>
    <w:multiLevelType w:val="hybridMultilevel"/>
    <w:tmpl w:val="B2CE2A38"/>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9356EC"/>
    <w:multiLevelType w:val="hybridMultilevel"/>
    <w:tmpl w:val="1548E36C"/>
    <w:lvl w:ilvl="0">
      <w:start w:val="0"/>
      <w:numFmt w:val="bullet"/>
      <w:lvlText w:val="-"/>
      <w:lvlJc w:val="left"/>
      <w:pPr>
        <w:ind w:left="420" w:hanging="360"/>
      </w:pPr>
      <w:rPr>
        <w:rFonts w:ascii="Times New Roman" w:eastAsia="Times New Roman"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3">
    <w:nsid w:val="58D52F73"/>
    <w:multiLevelType w:val="hybridMultilevel"/>
    <w:tmpl w:val="6DD4CC8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58D77662"/>
    <w:multiLevelType w:val="hybridMultilevel"/>
    <w:tmpl w:val="C8D89E2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28C5A23"/>
    <w:multiLevelType w:val="hybridMultilevel"/>
    <w:tmpl w:val="78ACD1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50130F7"/>
    <w:multiLevelType w:val="hybridMultilevel"/>
    <w:tmpl w:val="8554912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EE85156"/>
    <w:multiLevelType w:val="hybridMultilevel"/>
    <w:tmpl w:val="149ABE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2340834">
    <w:abstractNumId w:val="3"/>
  </w:num>
  <w:num w:numId="2" w16cid:durableId="1563714800">
    <w:abstractNumId w:val="1"/>
  </w:num>
  <w:num w:numId="3" w16cid:durableId="410129413">
    <w:abstractNumId w:val="6"/>
  </w:num>
  <w:num w:numId="4" w16cid:durableId="1349059673">
    <w:abstractNumId w:val="17"/>
  </w:num>
  <w:num w:numId="5" w16cid:durableId="269515557">
    <w:abstractNumId w:val="4"/>
  </w:num>
  <w:num w:numId="6" w16cid:durableId="1130826913">
    <w:abstractNumId w:val="0"/>
  </w:num>
  <w:num w:numId="7" w16cid:durableId="633485904">
    <w:abstractNumId w:val="11"/>
  </w:num>
  <w:num w:numId="8" w16cid:durableId="1568955672">
    <w:abstractNumId w:val="13"/>
  </w:num>
  <w:num w:numId="9" w16cid:durableId="560138938">
    <w:abstractNumId w:val="5"/>
  </w:num>
  <w:num w:numId="10" w16cid:durableId="1562522627">
    <w:abstractNumId w:val="14"/>
  </w:num>
  <w:num w:numId="11" w16cid:durableId="804929435">
    <w:abstractNumId w:val="16"/>
  </w:num>
  <w:num w:numId="12" w16cid:durableId="1389453188">
    <w:abstractNumId w:val="7"/>
  </w:num>
  <w:num w:numId="13" w16cid:durableId="353960953">
    <w:abstractNumId w:val="10"/>
  </w:num>
  <w:num w:numId="14" w16cid:durableId="763453054">
    <w:abstractNumId w:val="8"/>
  </w:num>
  <w:num w:numId="15" w16cid:durableId="1821340163">
    <w:abstractNumId w:val="9"/>
  </w:num>
  <w:num w:numId="16" w16cid:durableId="2145534646">
    <w:abstractNumId w:val="7"/>
  </w:num>
  <w:num w:numId="17" w16cid:durableId="1763332899">
    <w:abstractNumId w:val="10"/>
  </w:num>
  <w:num w:numId="18" w16cid:durableId="1780106232">
    <w:abstractNumId w:val="2"/>
  </w:num>
  <w:num w:numId="19" w16cid:durableId="1957784632">
    <w:abstractNumId w:val="12"/>
  </w:num>
  <w:num w:numId="20" w16cid:durableId="10901280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82"/>
    <w:rsid w:val="000106DF"/>
    <w:rsid w:val="00052920"/>
    <w:rsid w:val="00064CAF"/>
    <w:rsid w:val="000B0B2F"/>
    <w:rsid w:val="000B1E4D"/>
    <w:rsid w:val="000C3456"/>
    <w:rsid w:val="000C7346"/>
    <w:rsid w:val="000C794D"/>
    <w:rsid w:val="000D5947"/>
    <w:rsid w:val="000E0927"/>
    <w:rsid w:val="00115342"/>
    <w:rsid w:val="0011709C"/>
    <w:rsid w:val="001242A9"/>
    <w:rsid w:val="0013123F"/>
    <w:rsid w:val="001326BB"/>
    <w:rsid w:val="00137C86"/>
    <w:rsid w:val="001559AE"/>
    <w:rsid w:val="00157D2E"/>
    <w:rsid w:val="00162118"/>
    <w:rsid w:val="00185286"/>
    <w:rsid w:val="001B14BF"/>
    <w:rsid w:val="001B7A2D"/>
    <w:rsid w:val="001D399E"/>
    <w:rsid w:val="001F00C4"/>
    <w:rsid w:val="00200BD8"/>
    <w:rsid w:val="00207AB2"/>
    <w:rsid w:val="00230422"/>
    <w:rsid w:val="00240DCE"/>
    <w:rsid w:val="00250855"/>
    <w:rsid w:val="00254719"/>
    <w:rsid w:val="0025713E"/>
    <w:rsid w:val="00265243"/>
    <w:rsid w:val="00281E79"/>
    <w:rsid w:val="002947A5"/>
    <w:rsid w:val="00294EFB"/>
    <w:rsid w:val="002C0900"/>
    <w:rsid w:val="002C1F27"/>
    <w:rsid w:val="002D518D"/>
    <w:rsid w:val="00301594"/>
    <w:rsid w:val="00326741"/>
    <w:rsid w:val="00330601"/>
    <w:rsid w:val="003314D5"/>
    <w:rsid w:val="00334BAC"/>
    <w:rsid w:val="00342E06"/>
    <w:rsid w:val="003449DD"/>
    <w:rsid w:val="00385065"/>
    <w:rsid w:val="00390993"/>
    <w:rsid w:val="00395A01"/>
    <w:rsid w:val="00396C35"/>
    <w:rsid w:val="003B1D4E"/>
    <w:rsid w:val="003C2FBE"/>
    <w:rsid w:val="003C5097"/>
    <w:rsid w:val="003C5F9D"/>
    <w:rsid w:val="003D2357"/>
    <w:rsid w:val="003E1F9C"/>
    <w:rsid w:val="003E56FF"/>
    <w:rsid w:val="003E69CF"/>
    <w:rsid w:val="00404227"/>
    <w:rsid w:val="004269A9"/>
    <w:rsid w:val="00440082"/>
    <w:rsid w:val="0044522F"/>
    <w:rsid w:val="00447379"/>
    <w:rsid w:val="0045133C"/>
    <w:rsid w:val="0047563D"/>
    <w:rsid w:val="00496900"/>
    <w:rsid w:val="004A627D"/>
    <w:rsid w:val="004B724C"/>
    <w:rsid w:val="004D2D48"/>
    <w:rsid w:val="004E5552"/>
    <w:rsid w:val="004F0B73"/>
    <w:rsid w:val="00511E8A"/>
    <w:rsid w:val="0053312D"/>
    <w:rsid w:val="00542DCB"/>
    <w:rsid w:val="005459B2"/>
    <w:rsid w:val="00547620"/>
    <w:rsid w:val="00550733"/>
    <w:rsid w:val="0055567F"/>
    <w:rsid w:val="00574198"/>
    <w:rsid w:val="00577291"/>
    <w:rsid w:val="005866A5"/>
    <w:rsid w:val="005A0934"/>
    <w:rsid w:val="005C06DC"/>
    <w:rsid w:val="005C1CC1"/>
    <w:rsid w:val="005C4B22"/>
    <w:rsid w:val="005E33FA"/>
    <w:rsid w:val="005F6772"/>
    <w:rsid w:val="006003AA"/>
    <w:rsid w:val="006244AC"/>
    <w:rsid w:val="00643282"/>
    <w:rsid w:val="00651D82"/>
    <w:rsid w:val="00663C1F"/>
    <w:rsid w:val="0066610D"/>
    <w:rsid w:val="0068449B"/>
    <w:rsid w:val="00697C5B"/>
    <w:rsid w:val="006A62E2"/>
    <w:rsid w:val="006B0A49"/>
    <w:rsid w:val="006B1428"/>
    <w:rsid w:val="006B4A03"/>
    <w:rsid w:val="007133B3"/>
    <w:rsid w:val="0071599E"/>
    <w:rsid w:val="00717205"/>
    <w:rsid w:val="00724317"/>
    <w:rsid w:val="00791AB2"/>
    <w:rsid w:val="007942DA"/>
    <w:rsid w:val="007A00D0"/>
    <w:rsid w:val="007A1115"/>
    <w:rsid w:val="007A64E8"/>
    <w:rsid w:val="007A7AC9"/>
    <w:rsid w:val="007B366F"/>
    <w:rsid w:val="007C584D"/>
    <w:rsid w:val="007E38E5"/>
    <w:rsid w:val="007F462D"/>
    <w:rsid w:val="007F4D50"/>
    <w:rsid w:val="008168BC"/>
    <w:rsid w:val="00866036"/>
    <w:rsid w:val="00871E45"/>
    <w:rsid w:val="00883368"/>
    <w:rsid w:val="0089434E"/>
    <w:rsid w:val="008A410E"/>
    <w:rsid w:val="008A4FAF"/>
    <w:rsid w:val="008B6ECA"/>
    <w:rsid w:val="008D6298"/>
    <w:rsid w:val="008E0A0B"/>
    <w:rsid w:val="00934D33"/>
    <w:rsid w:val="00950968"/>
    <w:rsid w:val="009902A9"/>
    <w:rsid w:val="009960EB"/>
    <w:rsid w:val="009B5C60"/>
    <w:rsid w:val="009E7AE2"/>
    <w:rsid w:val="009F24BE"/>
    <w:rsid w:val="00A03075"/>
    <w:rsid w:val="00A1579A"/>
    <w:rsid w:val="00A23581"/>
    <w:rsid w:val="00A353A3"/>
    <w:rsid w:val="00A61E5E"/>
    <w:rsid w:val="00A75FF0"/>
    <w:rsid w:val="00A803EB"/>
    <w:rsid w:val="00A8244A"/>
    <w:rsid w:val="00A87773"/>
    <w:rsid w:val="00A94A80"/>
    <w:rsid w:val="00AA5D97"/>
    <w:rsid w:val="00AA7AE1"/>
    <w:rsid w:val="00AC363E"/>
    <w:rsid w:val="00AD7291"/>
    <w:rsid w:val="00AE0D97"/>
    <w:rsid w:val="00AE2E47"/>
    <w:rsid w:val="00AE6D53"/>
    <w:rsid w:val="00AF6F62"/>
    <w:rsid w:val="00B27C76"/>
    <w:rsid w:val="00B41EB8"/>
    <w:rsid w:val="00B54CA4"/>
    <w:rsid w:val="00B77F03"/>
    <w:rsid w:val="00B8074B"/>
    <w:rsid w:val="00BC4873"/>
    <w:rsid w:val="00BD2326"/>
    <w:rsid w:val="00BD5FD6"/>
    <w:rsid w:val="00BE0E23"/>
    <w:rsid w:val="00C06811"/>
    <w:rsid w:val="00C20410"/>
    <w:rsid w:val="00C3754E"/>
    <w:rsid w:val="00C512E3"/>
    <w:rsid w:val="00C61121"/>
    <w:rsid w:val="00C87F4D"/>
    <w:rsid w:val="00CB6402"/>
    <w:rsid w:val="00CC4E22"/>
    <w:rsid w:val="00CD2A43"/>
    <w:rsid w:val="00CF6B09"/>
    <w:rsid w:val="00D15C7B"/>
    <w:rsid w:val="00D23A81"/>
    <w:rsid w:val="00D32D84"/>
    <w:rsid w:val="00D35633"/>
    <w:rsid w:val="00D47A57"/>
    <w:rsid w:val="00D54CB2"/>
    <w:rsid w:val="00D75078"/>
    <w:rsid w:val="00D815BB"/>
    <w:rsid w:val="00D843B2"/>
    <w:rsid w:val="00DA0BFA"/>
    <w:rsid w:val="00DD27FC"/>
    <w:rsid w:val="00DD3EEE"/>
    <w:rsid w:val="00DD7033"/>
    <w:rsid w:val="00E2496B"/>
    <w:rsid w:val="00E33B11"/>
    <w:rsid w:val="00E34D56"/>
    <w:rsid w:val="00E4470A"/>
    <w:rsid w:val="00E863AD"/>
    <w:rsid w:val="00E94C92"/>
    <w:rsid w:val="00EA18F7"/>
    <w:rsid w:val="00EB6D41"/>
    <w:rsid w:val="00EE2FCD"/>
    <w:rsid w:val="00EF0356"/>
    <w:rsid w:val="00F007CE"/>
    <w:rsid w:val="00F14B5E"/>
    <w:rsid w:val="00F527F1"/>
    <w:rsid w:val="00F7535F"/>
    <w:rsid w:val="00F758BC"/>
    <w:rsid w:val="00F83932"/>
    <w:rsid w:val="00FA35D7"/>
    <w:rsid w:val="00FB3500"/>
    <w:rsid w:val="00FF5C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FCF130"/>
  <w15:chartTrackingRefBased/>
  <w15:docId w15:val="{CB780650-B39E-4280-A716-8F766A47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B77F03"/>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qFormat/>
    <w:pPr>
      <w:spacing w:before="100" w:beforeAutospacing="1" w:after="100" w:afterAutospacing="1"/>
      <w:outlineLvl w:val="3"/>
    </w:pPr>
    <w:rPr>
      <w:b/>
      <w:bCs/>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FootnoteText">
    <w:name w:val="footnote text"/>
    <w:basedOn w:val="Normal"/>
    <w:link w:val="FootnoteTextChar"/>
    <w:pPr>
      <w:widowControl w:val="0"/>
      <w:autoSpaceDE w:val="0"/>
      <w:autoSpaceDN w:val="0"/>
      <w:adjustRightInd w:val="0"/>
    </w:pPr>
    <w:rPr>
      <w:sz w:val="20"/>
      <w:szCs w:val="20"/>
    </w:rPr>
  </w:style>
  <w:style w:type="character" w:styleId="FootnoteReference">
    <w:name w:val="footnote reference"/>
    <w:rPr>
      <w:rFonts w:ascii="Times New Roman" w:hAnsi="Times New Roman"/>
      <w:vertAlign w:val="superscript"/>
    </w:rPr>
  </w:style>
  <w:style w:type="character" w:styleId="PageNumber">
    <w:name w:val="page number"/>
    <w:basedOn w:val="DefaultParagraphFont"/>
  </w:style>
  <w:style w:type="character" w:customStyle="1" w:styleId="updatebodytest">
    <w:name w:val="updatebodytest"/>
    <w:basedOn w:val="DefaultParagraphFont"/>
  </w:style>
  <w:style w:type="character" w:styleId="Hyperlink">
    <w:name w:val="Hyperlink"/>
    <w:rPr>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360" w:hanging="720"/>
    </w:pPr>
  </w:style>
  <w:style w:type="paragraph" w:styleId="PlainText">
    <w:name w:val="Plain Text"/>
    <w:basedOn w:val="Normal"/>
    <w:rPr>
      <w:rFonts w:ascii="Courier New" w:hAnsi="Courier New" w:cs="Courier New"/>
      <w:sz w:val="20"/>
      <w:szCs w:val="20"/>
    </w:rPr>
  </w:style>
  <w:style w:type="paragraph" w:styleId="NormalWeb">
    <w:name w:val="Normal (Web)"/>
    <w:basedOn w:val="Normal"/>
    <w:pPr>
      <w:spacing w:before="100" w:beforeAutospacing="1" w:after="100" w:afterAutospacing="1"/>
    </w:pPr>
  </w:style>
  <w:style w:type="character" w:styleId="Emphasis">
    <w:name w:val="Emphasis"/>
    <w:qFormat/>
    <w:rPr>
      <w:i/>
      <w:iCs/>
    </w:rPr>
  </w:style>
  <w:style w:type="character" w:styleId="FollowedHyperlink">
    <w:name w:val="FollowedHyperlink"/>
    <w:rPr>
      <w:color w:val="0000FF"/>
      <w:u w:val="single"/>
    </w:rPr>
  </w:style>
  <w:style w:type="paragraph" w:customStyle="1" w:styleId="td">
    <w:name w:val="td"/>
    <w:basedOn w:val="Normal"/>
    <w:pPr>
      <w:spacing w:before="100" w:beforeAutospacing="1" w:after="100" w:afterAutospacing="1"/>
    </w:pPr>
    <w:rPr>
      <w:rFonts w:ascii="Arial" w:hAnsi="Arial" w:cs="Arial"/>
      <w:sz w:val="18"/>
      <w:szCs w:val="18"/>
    </w:rPr>
  </w:style>
  <w:style w:type="paragraph" w:customStyle="1" w:styleId="tr">
    <w:name w:val="tr"/>
    <w:basedOn w:val="Normal"/>
    <w:pPr>
      <w:spacing w:before="100" w:beforeAutospacing="1" w:after="100" w:afterAutospacing="1"/>
    </w:pPr>
    <w:rPr>
      <w:rFonts w:ascii="Arial" w:hAnsi="Arial" w:cs="Arial"/>
      <w:sz w:val="18"/>
      <w:szCs w:val="18"/>
    </w:rPr>
  </w:style>
  <w:style w:type="paragraph" w:customStyle="1" w:styleId="h1">
    <w:name w:val="h1"/>
    <w:basedOn w:val="Normal"/>
    <w:pPr>
      <w:spacing w:before="100" w:beforeAutospacing="1" w:after="100" w:afterAutospacing="1" w:line="360" w:lineRule="atLeast"/>
    </w:pPr>
    <w:rPr>
      <w:rFonts w:ascii="Arial" w:hAnsi="Arial" w:cs="Arial"/>
      <w:b/>
      <w:bCs/>
    </w:rPr>
  </w:style>
  <w:style w:type="paragraph" w:customStyle="1" w:styleId="h2">
    <w:name w:val="h2"/>
    <w:basedOn w:val="Normal"/>
    <w:pPr>
      <w:spacing w:before="100" w:beforeAutospacing="1"/>
    </w:pPr>
    <w:rPr>
      <w:rFonts w:ascii="Arial" w:hAnsi="Arial" w:cs="Arial"/>
      <w:b/>
      <w:bCs/>
      <w:color w:val="000000"/>
      <w:sz w:val="21"/>
      <w:szCs w:val="21"/>
    </w:rPr>
  </w:style>
  <w:style w:type="paragraph" w:customStyle="1" w:styleId="h3">
    <w:name w:val="h3"/>
    <w:basedOn w:val="Normal"/>
    <w:pPr>
      <w:spacing w:before="100" w:beforeAutospacing="1"/>
    </w:pPr>
    <w:rPr>
      <w:rFonts w:ascii="Arial" w:hAnsi="Arial" w:cs="Arial"/>
      <w:b/>
      <w:bCs/>
      <w:sz w:val="18"/>
      <w:szCs w:val="18"/>
    </w:rPr>
  </w:style>
  <w:style w:type="paragraph" w:customStyle="1" w:styleId="Caption1">
    <w:name w:val="Caption1"/>
    <w:basedOn w:val="Normal"/>
    <w:pPr>
      <w:spacing w:before="100" w:beforeAutospacing="1"/>
    </w:pPr>
    <w:rPr>
      <w:rFonts w:ascii="Arial" w:hAnsi="Arial" w:cs="Arial"/>
      <w:b/>
      <w:bCs/>
      <w:sz w:val="18"/>
      <w:szCs w:val="18"/>
    </w:rPr>
  </w:style>
  <w:style w:type="paragraph" w:customStyle="1" w:styleId="Footer1">
    <w:name w:val="Footer1"/>
    <w:basedOn w:val="Normal"/>
    <w:pPr>
      <w:spacing w:before="100" w:beforeAutospacing="1" w:after="100" w:afterAutospacing="1"/>
      <w:jc w:val="center"/>
    </w:pPr>
    <w:rPr>
      <w:rFonts w:ascii="Arial" w:hAnsi="Arial" w:cs="Arial"/>
      <w:sz w:val="15"/>
      <w:szCs w:val="15"/>
    </w:rPr>
  </w:style>
  <w:style w:type="paragraph" w:customStyle="1" w:styleId="top">
    <w:name w:val="top"/>
    <w:basedOn w:val="Normal"/>
    <w:pPr>
      <w:spacing w:before="100" w:beforeAutospacing="1" w:after="100" w:afterAutospacing="1"/>
      <w:jc w:val="right"/>
    </w:pPr>
    <w:rPr>
      <w:rFonts w:ascii="Arial" w:hAnsi="Arial" w:cs="Arial"/>
      <w:sz w:val="15"/>
      <w:szCs w:val="15"/>
    </w:rPr>
  </w:style>
  <w:style w:type="paragraph" w:customStyle="1" w:styleId="tablespacing">
    <w:name w:val="tablespacing"/>
    <w:basedOn w:val="Normal"/>
    <w:pPr>
      <w:spacing w:before="100" w:beforeAutospacing="1" w:after="100" w:afterAutospacing="1"/>
    </w:pPr>
  </w:style>
  <w:style w:type="paragraph" w:customStyle="1" w:styleId="fontsmall">
    <w:name w:val="fontsmall"/>
    <w:basedOn w:val="Normal"/>
    <w:pPr>
      <w:spacing w:before="100" w:beforeAutospacing="1" w:after="100" w:afterAutospacing="1"/>
    </w:pPr>
    <w:rPr>
      <w:rFonts w:ascii="Arial" w:hAnsi="Arial" w:cs="Arial"/>
      <w:sz w:val="17"/>
      <w:szCs w:val="17"/>
    </w:rPr>
  </w:style>
  <w:style w:type="paragraph" w:customStyle="1" w:styleId="navigation">
    <w:name w:val="navigation"/>
    <w:basedOn w:val="Normal"/>
    <w:pPr>
      <w:spacing w:before="100" w:beforeAutospacing="1" w:after="100" w:afterAutospacing="1"/>
    </w:pPr>
    <w:rPr>
      <w:rFonts w:ascii="Arial" w:hAnsi="Arial" w:cs="Arial"/>
      <w:sz w:val="15"/>
      <w:szCs w:val="15"/>
    </w:rPr>
  </w:style>
  <w:style w:type="paragraph" w:customStyle="1" w:styleId="invisiblelink">
    <w:name w:val="invisiblelink"/>
    <w:basedOn w:val="Normal"/>
    <w:pPr>
      <w:spacing w:before="100" w:beforeAutospacing="1" w:after="100" w:afterAutospacing="1"/>
    </w:pPr>
    <w:rPr>
      <w:rFonts w:ascii="Arial" w:hAnsi="Arial" w:cs="Arial"/>
      <w:color w:val="FFFFFF"/>
      <w:sz w:val="15"/>
      <w:szCs w:val="15"/>
    </w:rPr>
  </w:style>
  <w:style w:type="paragraph" w:customStyle="1" w:styleId="toplogo">
    <w:name w:val="toplogo"/>
    <w:basedOn w:val="Normal"/>
    <w:pPr>
      <w:spacing w:before="100" w:beforeAutospacing="1"/>
    </w:pPr>
    <w:rPr>
      <w:rFonts w:ascii="Arial" w:hAnsi="Arial" w:cs="Arial"/>
      <w:b/>
      <w:bCs/>
      <w:sz w:val="21"/>
      <w:szCs w:val="21"/>
    </w:rPr>
  </w:style>
  <w:style w:type="paragraph" w:customStyle="1" w:styleId="search">
    <w:name w:val="search"/>
    <w:basedOn w:val="Normal"/>
    <w:pPr>
      <w:spacing w:before="100" w:beforeAutospacing="1" w:after="100" w:afterAutospacing="1"/>
    </w:pPr>
    <w:rPr>
      <w:rFonts w:ascii="Arial" w:hAnsi="Arial" w:cs="Arial"/>
      <w:sz w:val="15"/>
      <w:szCs w:val="15"/>
    </w:rPr>
  </w:style>
  <w:style w:type="paragraph" w:customStyle="1" w:styleId="side">
    <w:name w:val="side"/>
    <w:basedOn w:val="Normal"/>
    <w:pPr>
      <w:spacing w:before="100" w:beforeAutospacing="1" w:after="100" w:afterAutospacing="1"/>
    </w:pPr>
    <w:rPr>
      <w:rFonts w:ascii="Arial" w:hAnsi="Arial" w:cs="Arial"/>
      <w:sz w:val="18"/>
      <w:szCs w:val="18"/>
    </w:rPr>
  </w:style>
  <w:style w:type="paragraph" w:customStyle="1" w:styleId="subparagraph">
    <w:name w:val="subparagraph"/>
    <w:basedOn w:val="Normal"/>
    <w:pPr>
      <w:spacing w:before="100" w:beforeAutospacing="1" w:after="100" w:afterAutospacing="1"/>
    </w:pPr>
    <w:rPr>
      <w:rFonts w:ascii="Arial" w:hAnsi="Arial" w:cs="Arial"/>
      <w:sz w:val="18"/>
      <w:szCs w:val="18"/>
    </w:rPr>
  </w:style>
  <w:style w:type="paragraph" w:customStyle="1" w:styleId="head">
    <w:name w:val="head"/>
    <w:basedOn w:val="Normal"/>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pPr>
      <w:spacing w:before="100" w:beforeAutospacing="1" w:after="100" w:afterAutospacing="1"/>
    </w:pPr>
    <w:rPr>
      <w:rFonts w:ascii="Arial" w:hAnsi="Arial" w:cs="Arial"/>
      <w:b/>
      <w:bCs/>
      <w:sz w:val="18"/>
      <w:szCs w:val="18"/>
    </w:rPr>
  </w:style>
  <w:style w:type="paragraph" w:customStyle="1" w:styleId="updatetitle">
    <w:name w:val="updatetitle"/>
    <w:basedOn w:val="Normal"/>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pPr>
      <w:spacing w:before="100" w:beforeAutospacing="1" w:after="100" w:afterAutospacing="1"/>
    </w:pPr>
    <w:rPr>
      <w:rFonts w:ascii="Arial" w:hAnsi="Arial" w:cs="Arial"/>
      <w:b/>
      <w:bCs/>
      <w:sz w:val="18"/>
      <w:szCs w:val="18"/>
    </w:rPr>
  </w:style>
  <w:style w:type="paragraph" w:customStyle="1" w:styleId="body">
    <w:name w:val="body"/>
    <w:basedOn w:val="Normal"/>
    <w:pPr>
      <w:shd w:val="clear" w:color="auto" w:fill="FFFFFF"/>
      <w:spacing w:before="100" w:beforeAutospacing="1" w:after="100" w:afterAutospacing="1"/>
    </w:pPr>
    <w:rPr>
      <w:rFonts w:ascii="Arial" w:hAnsi="Arial" w:cs="Arial"/>
      <w:color w:val="000000"/>
    </w:rPr>
  </w:style>
  <w:style w:type="paragraph" w:customStyle="1" w:styleId="a">
    <w:name w:val="a"/>
    <w:basedOn w:val="Normal"/>
    <w:pPr>
      <w:spacing w:before="100" w:beforeAutospacing="1" w:after="100" w:afterAutospacing="1"/>
    </w:pPr>
    <w:rPr>
      <w:u w:val="single"/>
    </w:rPr>
  </w:style>
  <w:style w:type="paragraph" w:customStyle="1" w:styleId="p">
    <w:name w:val="p"/>
    <w:basedOn w:val="Normal"/>
    <w:pPr>
      <w:spacing w:before="100" w:beforeAutospacing="1" w:after="100" w:afterAutospacing="1"/>
      <w:jc w:val="center"/>
    </w:pPr>
    <w:rPr>
      <w:rFonts w:ascii="Arial" w:hAnsi="Arial" w:cs="Arial"/>
    </w:rPr>
  </w:style>
  <w:style w:type="paragraph" w:customStyle="1" w:styleId="Title1">
    <w:name w:val="Title1"/>
    <w:basedOn w:val="Normal"/>
    <w:pPr>
      <w:spacing w:before="100" w:beforeAutospacing="1" w:after="100" w:afterAutospacing="1"/>
    </w:pPr>
    <w:rPr>
      <w:rFonts w:ascii="Arial" w:hAnsi="Arial" w:cs="Arial"/>
      <w:b/>
      <w:bCs/>
      <w:sz w:val="30"/>
      <w:szCs w:val="30"/>
    </w:rPr>
  </w:style>
  <w:style w:type="paragraph" w:customStyle="1" w:styleId="Subtitle1">
    <w:name w:val="Subtitle1"/>
    <w:basedOn w:val="Normal"/>
    <w:pPr>
      <w:spacing w:before="100" w:beforeAutospacing="1" w:after="100" w:afterAutospacing="1"/>
    </w:pPr>
    <w:rPr>
      <w:rFonts w:ascii="Arial" w:hAnsi="Arial" w:cs="Arial"/>
      <w:b/>
      <w:bCs/>
      <w:sz w:val="21"/>
      <w:szCs w:val="21"/>
    </w:rPr>
  </w:style>
  <w:style w:type="paragraph" w:customStyle="1" w:styleId="mainheader">
    <w:name w:val="mainheader"/>
    <w:basedOn w:val="Normal"/>
    <w:pPr>
      <w:spacing w:before="100" w:beforeAutospacing="1" w:after="100" w:afterAutospacing="1"/>
    </w:pPr>
    <w:rPr>
      <w:b/>
      <w:bCs/>
      <w:sz w:val="31"/>
      <w:szCs w:val="31"/>
    </w:rPr>
  </w:style>
  <w:style w:type="paragraph" w:customStyle="1" w:styleId="chapter">
    <w:name w:val="chapter"/>
    <w:basedOn w:val="Normal"/>
    <w:pPr>
      <w:spacing w:before="100" w:beforeAutospacing="1" w:after="100" w:afterAutospacing="1"/>
    </w:pPr>
    <w:rPr>
      <w:rFonts w:ascii="Arial" w:hAnsi="Arial" w:cs="Arial"/>
      <w:b/>
      <w:bCs/>
    </w:rPr>
  </w:style>
  <w:style w:type="paragraph" w:customStyle="1" w:styleId="subchapter">
    <w:name w:val="subchapter"/>
    <w:basedOn w:val="Normal"/>
    <w:pPr>
      <w:spacing w:before="100" w:beforeAutospacing="1" w:after="100" w:afterAutospacing="1"/>
    </w:pPr>
    <w:rPr>
      <w:rFonts w:ascii="Arial" w:hAnsi="Arial" w:cs="Arial"/>
      <w:b/>
      <w:bCs/>
      <w:sz w:val="21"/>
      <w:szCs w:val="21"/>
    </w:rPr>
  </w:style>
  <w:style w:type="paragraph" w:customStyle="1" w:styleId="part">
    <w:name w:val="part"/>
    <w:basedOn w:val="Normal"/>
    <w:pPr>
      <w:spacing w:before="100" w:beforeAutospacing="1" w:after="100" w:afterAutospacing="1"/>
    </w:pPr>
    <w:rPr>
      <w:b/>
      <w:bCs/>
    </w:rPr>
  </w:style>
  <w:style w:type="paragraph" w:customStyle="1" w:styleId="subpart">
    <w:name w:val="subpart"/>
    <w:basedOn w:val="Normal"/>
    <w:pPr>
      <w:shd w:val="clear" w:color="auto" w:fill="FFFFFF"/>
      <w:spacing w:before="100" w:beforeAutospacing="1" w:after="100" w:afterAutospacing="1"/>
    </w:pPr>
    <w:rPr>
      <w:color w:val="0000FF"/>
      <w:sz w:val="22"/>
      <w:szCs w:val="22"/>
    </w:rPr>
  </w:style>
  <w:style w:type="paragraph" w:customStyle="1" w:styleId="nopart">
    <w:name w:val="nopart"/>
    <w:basedOn w:val="Normal"/>
    <w:pPr>
      <w:shd w:val="clear" w:color="auto" w:fill="FFFFFF"/>
      <w:spacing w:before="100" w:beforeAutospacing="1" w:after="100" w:afterAutospacing="1"/>
    </w:pPr>
    <w:rPr>
      <w:color w:val="008000"/>
    </w:rPr>
  </w:style>
  <w:style w:type="paragraph" w:customStyle="1" w:styleId="reserved">
    <w:name w:val="reserved"/>
    <w:basedOn w:val="Normal"/>
    <w:pPr>
      <w:shd w:val="clear" w:color="auto" w:fill="FFFFFF"/>
      <w:spacing w:before="100" w:beforeAutospacing="1" w:after="100" w:afterAutospacing="1"/>
    </w:pPr>
    <w:rPr>
      <w:color w:val="FF0000"/>
    </w:rPr>
  </w:style>
  <w:style w:type="paragraph" w:customStyle="1" w:styleId="menu">
    <w:name w:val="menu"/>
    <w:basedOn w:val="Normal"/>
    <w:pPr>
      <w:spacing w:before="100" w:beforeAutospacing="1" w:after="100" w:afterAutospacing="1"/>
    </w:pPr>
    <w:rPr>
      <w:rFonts w:ascii="Arial" w:hAnsi="Arial" w:cs="Arial"/>
      <w:sz w:val="18"/>
      <w:szCs w:val="18"/>
    </w:rPr>
  </w:style>
  <w:style w:type="paragraph" w:customStyle="1" w:styleId="hilite">
    <w:name w:val="hilite"/>
    <w:basedOn w:val="Normal"/>
    <w:pPr>
      <w:spacing w:before="100" w:beforeAutospacing="1" w:after="100" w:afterAutospacing="1"/>
    </w:pPr>
    <w:rPr>
      <w:b/>
      <w:bCs/>
      <w:color w:val="CC0000"/>
    </w:rPr>
  </w:style>
  <w:style w:type="paragraph" w:customStyle="1" w:styleId="white">
    <w:name w:val="white"/>
    <w:basedOn w:val="Normal"/>
    <w:rPr>
      <w:color w:val="FFFFFF"/>
    </w:rPr>
  </w:style>
  <w:style w:type="character" w:customStyle="1" w:styleId="head1">
    <w:name w:val="head1"/>
    <w:rPr>
      <w:rFonts w:ascii="Arial" w:hAnsi="Arial" w:cs="Arial" w:hint="default"/>
      <w:b/>
      <w:bCs/>
      <w:sz w:val="27"/>
      <w:szCs w:val="27"/>
    </w:rPr>
  </w:style>
  <w:style w:type="character" w:styleId="Strong">
    <w:name w:val="Strong"/>
    <w:qFormat/>
    <w:rPr>
      <w:b/>
      <w:bCs/>
    </w:rPr>
  </w:style>
  <w:style w:type="character" w:customStyle="1" w:styleId="updatebodytest1">
    <w:name w:val="updatebodytest1"/>
    <w:rPr>
      <w:rFonts w:ascii="Arial" w:hAnsi="Arial" w:cs="Arial" w:hint="default"/>
      <w:b w:val="0"/>
      <w:bCs w:val="0"/>
      <w:i w:val="0"/>
      <w:iCs w:val="0"/>
      <w:smallCaps w:val="0"/>
      <w:sz w:val="18"/>
      <w:szCs w:val="18"/>
    </w:rPr>
  </w:style>
  <w:style w:type="character" w:customStyle="1" w:styleId="mainheader1">
    <w:name w:val="mainheader1"/>
    <w:rPr>
      <w:b/>
      <w:bCs/>
      <w:sz w:val="31"/>
      <w:szCs w:val="31"/>
    </w:rPr>
  </w:style>
  <w:style w:type="paragraph" w:customStyle="1" w:styleId="hang">
    <w:name w:val="hang"/>
    <w:basedOn w:val="Normal"/>
    <w:pPr>
      <w:spacing w:before="100" w:beforeAutospacing="1" w:after="100" w:afterAutospacing="1"/>
      <w:ind w:hanging="480"/>
    </w:pPr>
  </w:style>
  <w:style w:type="paragraph" w:customStyle="1" w:styleId="tablediv">
    <w:name w:val="table_div"/>
    <w:basedOn w:val="Normal"/>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pPr>
      <w:spacing w:before="100" w:beforeAutospacing="1" w:after="100" w:afterAutospacing="1"/>
      <w:jc w:val="center"/>
    </w:pPr>
    <w:rPr>
      <w:b/>
      <w:bCs/>
    </w:rPr>
  </w:style>
  <w:style w:type="paragraph" w:customStyle="1" w:styleId="tabledescription">
    <w:name w:val="table_description"/>
    <w:basedOn w:val="Normal"/>
    <w:pPr>
      <w:spacing w:before="100" w:beforeAutospacing="1" w:after="100" w:afterAutospacing="1"/>
      <w:jc w:val="center"/>
    </w:pPr>
  </w:style>
  <w:style w:type="paragraph" w:customStyle="1" w:styleId="tablecell">
    <w:name w:val="table_cell"/>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pPr>
      <w:spacing w:before="100" w:beforeAutospacing="1" w:after="100" w:afterAutospacing="1"/>
    </w:pPr>
  </w:style>
  <w:style w:type="paragraph" w:styleId="BodyText2">
    <w:name w:val="Body Text 2"/>
    <w:basedOn w:val="Normal"/>
    <w:rsid w:val="00200BD8"/>
    <w:pPr>
      <w:spacing w:after="120" w:line="480" w:lineRule="auto"/>
    </w:pPr>
  </w:style>
  <w:style w:type="table" w:styleId="TableGrid">
    <w:name w:val="Table Grid"/>
    <w:basedOn w:val="TableNormal"/>
    <w:rsid w:val="00162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42DCB"/>
  </w:style>
  <w:style w:type="character" w:customStyle="1" w:styleId="FootnoteTextChar">
    <w:name w:val="Footnote Text Char"/>
    <w:link w:val="FootnoteText"/>
    <w:rsid w:val="003E1F9C"/>
  </w:style>
  <w:style w:type="paragraph" w:styleId="NoSpacing">
    <w:name w:val="No Spacing"/>
    <w:uiPriority w:val="1"/>
    <w:qFormat/>
    <w:rsid w:val="000106DF"/>
    <w:rPr>
      <w:rFonts w:ascii="Calibri" w:eastAsia="Calibri" w:hAnsi="Calibri"/>
      <w:sz w:val="22"/>
      <w:szCs w:val="22"/>
    </w:rPr>
  </w:style>
  <w:style w:type="paragraph" w:styleId="ListParagraph">
    <w:name w:val="List Paragraph"/>
    <w:basedOn w:val="Normal"/>
    <w:uiPriority w:val="34"/>
    <w:qFormat/>
    <w:rsid w:val="00990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1070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Adam Klauber</dc:creator>
  <cp:lastModifiedBy>Hill, Angela (PHMSA)</cp:lastModifiedBy>
  <cp:revision>5</cp:revision>
  <cp:lastPrinted>2011-01-03T15:27:00Z</cp:lastPrinted>
  <dcterms:created xsi:type="dcterms:W3CDTF">2026-06-02T18:53:00Z</dcterms:created>
  <dcterms:modified xsi:type="dcterms:W3CDTF">2026-06-03T19:58:00Z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