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0387" w:rsidP="00320387" w14:paraId="0EA4D830" w14:textId="0D65A90A">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320387" w14:paraId="6506568B" w14:textId="77777777">
      <w:pPr>
        <w:keepNext/>
        <w:numPr>
          <w:ilvl w:val="12"/>
          <w:numId w:val="0"/>
        </w:numPr>
        <w:ind w:left="360"/>
      </w:pPr>
    </w:p>
    <w:p w:rsidR="00DB0916" w:rsidP="00F633AB" w14:paraId="3F32F9AC" w14:textId="6EEEDD9E">
      <w:pPr>
        <w:widowControl w:val="0"/>
        <w:autoSpaceDE w:val="0"/>
        <w:autoSpaceDN w:val="0"/>
        <w:adjustRightInd w:val="0"/>
        <w:ind w:left="360"/>
      </w:pPr>
      <w:r>
        <w:t>T</w:t>
      </w:r>
      <w:r w:rsidR="005962ED">
        <w:t>he Transportation Security Administration (T</w:t>
      </w:r>
      <w:r>
        <w:t>SA</w:t>
      </w:r>
      <w:r w:rsidR="005962ED">
        <w:t>)</w:t>
      </w:r>
      <w:r>
        <w:t xml:space="preserve"> is requesting approval to </w:t>
      </w:r>
      <w:r w:rsidR="00C675A0">
        <w:t>renew and revise</w:t>
      </w:r>
      <w:r>
        <w:t xml:space="preserve"> this collection of information to comply with </w:t>
      </w:r>
      <w:r w:rsidR="00E96C5A">
        <w:t xml:space="preserve">section 111 of the Aviation and Transportation Security Act, Pub. L. 107-71 (115 Stat. 597; Nov. 19, 2001), as codified at </w:t>
      </w:r>
      <w:r>
        <w:t xml:space="preserve">49 U.S.C. 44935, which requires TSA to establish qualification standards for the employment of security screening personnel.  TSA currently </w:t>
      </w:r>
      <w:r w:rsidR="00036CC6">
        <w:t xml:space="preserve">has an Office of Management and Budget (OMB) </w:t>
      </w:r>
      <w:r w:rsidR="006271ED">
        <w:t xml:space="preserve">approved </w:t>
      </w:r>
      <w:r>
        <w:t>collect</w:t>
      </w:r>
      <w:r w:rsidR="009A131D">
        <w:t>ion</w:t>
      </w:r>
      <w:r w:rsidR="00190066">
        <w:t xml:space="preserve"> for </w:t>
      </w:r>
      <w:r>
        <w:t xml:space="preserve">information </w:t>
      </w:r>
      <w:r w:rsidR="00CE7397">
        <w:t xml:space="preserve">necessary to validate </w:t>
      </w:r>
      <w:r w:rsidR="005D617A">
        <w:t xml:space="preserve">that </w:t>
      </w:r>
      <w:r w:rsidR="00CE7397">
        <w:t xml:space="preserve">qualification standards are met through the </w:t>
      </w:r>
      <w:r>
        <w:t xml:space="preserve">Transportation Security Officer (TSO) </w:t>
      </w:r>
      <w:r w:rsidR="00CE7397">
        <w:t>m</w:t>
      </w:r>
      <w:r>
        <w:t xml:space="preserve">edical </w:t>
      </w:r>
      <w:r w:rsidR="00CE7397">
        <w:t>q</w:t>
      </w:r>
      <w:r>
        <w:t>uestionnaire</w:t>
      </w:r>
      <w:r w:rsidR="00403B97">
        <w:t xml:space="preserve">. </w:t>
      </w:r>
      <w:r w:rsidR="00025714">
        <w:t xml:space="preserve"> </w:t>
      </w:r>
      <w:r w:rsidRPr="00EA480B" w:rsidR="00403B97">
        <w:rPr>
          <w:i/>
        </w:rPr>
        <w:t>See</w:t>
      </w:r>
      <w:r w:rsidR="00403B97">
        <w:t xml:space="preserve"> ICR Reference N</w:t>
      </w:r>
      <w:r w:rsidR="00EA480B">
        <w:t>o.</w:t>
      </w:r>
      <w:r w:rsidR="00403B97">
        <w:t xml:space="preserve"> </w:t>
      </w:r>
      <w:r w:rsidR="003C4A0B">
        <w:t>201904</w:t>
      </w:r>
      <w:r w:rsidR="00403B97">
        <w:t>-1652-</w:t>
      </w:r>
      <w:r w:rsidR="003C4A0B">
        <w:t xml:space="preserve">001 </w:t>
      </w:r>
      <w:r w:rsidR="00403B97">
        <w:t>(</w:t>
      </w:r>
      <w:r w:rsidR="003C4A0B">
        <w:t>July 14</w:t>
      </w:r>
      <w:r w:rsidR="00403B97">
        <w:t xml:space="preserve">, </w:t>
      </w:r>
      <w:r w:rsidR="003C4A0B">
        <w:t>2020</w:t>
      </w:r>
      <w:r w:rsidR="00403B97">
        <w:t>).</w:t>
      </w:r>
    </w:p>
    <w:p w:rsidR="00521B5A" w:rsidP="00F633AB" w14:paraId="1BB27623" w14:textId="77777777">
      <w:pPr>
        <w:widowControl w:val="0"/>
        <w:autoSpaceDE w:val="0"/>
        <w:autoSpaceDN w:val="0"/>
        <w:adjustRightInd w:val="0"/>
        <w:ind w:left="360"/>
      </w:pPr>
    </w:p>
    <w:p w:rsidR="00063C5E" w:rsidP="00B06A05" w14:paraId="25DBFCA9" w14:textId="7DEF10E5">
      <w:pPr>
        <w:ind w:left="360"/>
      </w:pPr>
      <w:r w:rsidRPr="00B30093">
        <w:t>Prior to November 2025, TSO candidate medical evaluations and drug tests were conducted via a competitively sourced contractor utilizing a paper-based Security Officer Medical Questionnaire (SOMQ)</w:t>
      </w:r>
      <w:r w:rsidR="00E32B8D">
        <w:t>,</w:t>
      </w:r>
      <w:r w:rsidR="00B96711">
        <w:t xml:space="preserve"> </w:t>
      </w:r>
      <w:r w:rsidRPr="00EB7EDA" w:rsidR="00B96711">
        <w:t>approved under OMB Control Number 1652-0032</w:t>
      </w:r>
      <w:r w:rsidRPr="00B30093">
        <w:t xml:space="preserve">. </w:t>
      </w:r>
      <w:r w:rsidR="00EE3108">
        <w:t xml:space="preserve"> </w:t>
      </w:r>
      <w:r w:rsidR="00E90B6E">
        <w:t xml:space="preserve">In </w:t>
      </w:r>
      <w:r w:rsidR="00F23814">
        <w:t>November 2025</w:t>
      </w:r>
      <w:r w:rsidR="00E90B6E">
        <w:t>, TSA transition</w:t>
      </w:r>
      <w:r w:rsidR="00A06D40">
        <w:t>ed</w:t>
      </w:r>
      <w:r w:rsidR="0002480E">
        <w:t xml:space="preserve"> TS</w:t>
      </w:r>
      <w:r w:rsidR="0092689B">
        <w:t>O</w:t>
      </w:r>
      <w:r w:rsidR="0002480E">
        <w:t xml:space="preserve"> candidate medical evaluations to an internal government solution; however, this</w:t>
      </w:r>
      <w:r w:rsidR="00E17A4C">
        <w:t xml:space="preserve"> </w:t>
      </w:r>
      <w:r w:rsidRPr="00E17A4C" w:rsidR="00E17A4C">
        <w:t xml:space="preserve">solution </w:t>
      </w:r>
      <w:r w:rsidR="006335FA">
        <w:t>for TSO hiring</w:t>
      </w:r>
      <w:r w:rsidRPr="00E17A4C" w:rsidR="00E17A4C">
        <w:t xml:space="preserve"> has proven inadequate to hire sufficient TSOs due to an insufficient geographic medical/clinic network</w:t>
      </w:r>
      <w:r w:rsidR="007E305D">
        <w:t xml:space="preserve"> to support over 440 federalized airports in the US states and </w:t>
      </w:r>
      <w:r w:rsidR="00830292">
        <w:t>territories</w:t>
      </w:r>
      <w:r w:rsidRPr="00E17A4C" w:rsidR="00E17A4C">
        <w:t xml:space="preserve">, limited exam capacity, and excessively long </w:t>
      </w:r>
      <w:r w:rsidR="00EE6377">
        <w:t>time</w:t>
      </w:r>
      <w:r w:rsidR="00DF7C46">
        <w:t>s</w:t>
      </w:r>
      <w:r w:rsidR="00EE6377">
        <w:t xml:space="preserve"> to schedule</w:t>
      </w:r>
      <w:r w:rsidR="00635500">
        <w:t>,</w:t>
      </w:r>
      <w:r w:rsidR="00EE6377">
        <w:t xml:space="preserve"> attend</w:t>
      </w:r>
      <w:r w:rsidR="00EC3EF4">
        <w:t xml:space="preserve"> and adjudicate </w:t>
      </w:r>
      <w:r w:rsidR="00EE6377">
        <w:t>medical exam</w:t>
      </w:r>
      <w:r w:rsidR="00EC3EF4">
        <w:t>s</w:t>
      </w:r>
      <w:r w:rsidRPr="00E17A4C" w:rsidR="00E17A4C">
        <w:t xml:space="preserve">.  </w:t>
      </w:r>
      <w:r w:rsidR="00F97E3C">
        <w:t>Because</w:t>
      </w:r>
      <w:r w:rsidR="0047537A">
        <w:t xml:space="preserve"> of </w:t>
      </w:r>
      <w:r w:rsidR="00F2289E">
        <w:t>severe</w:t>
      </w:r>
      <w:r w:rsidR="00225013">
        <w:t xml:space="preserve"> staffing </w:t>
      </w:r>
      <w:r w:rsidR="00F97E3C">
        <w:t>shortages</w:t>
      </w:r>
      <w:r w:rsidR="00C81666">
        <w:t xml:space="preserve"> resulting from </w:t>
      </w:r>
      <w:r w:rsidR="003278B0">
        <w:t>these</w:t>
      </w:r>
      <w:r w:rsidR="00C81666">
        <w:t xml:space="preserve"> hiring delays</w:t>
      </w:r>
      <w:r w:rsidR="00F97E3C">
        <w:t>,</w:t>
      </w:r>
      <w:r w:rsidR="00EB7EDA">
        <w:t xml:space="preserve"> </w:t>
      </w:r>
      <w:r w:rsidRPr="00EB7EDA" w:rsidR="00EB7EDA">
        <w:t xml:space="preserve">TSA </w:t>
      </w:r>
      <w:r w:rsidR="00E4575B">
        <w:t>created</w:t>
      </w:r>
      <w:r w:rsidRPr="00EB7EDA" w:rsidR="00EB7EDA">
        <w:t xml:space="preserve"> a new solution for TSO medical evaluations that </w:t>
      </w:r>
      <w:r w:rsidR="00D35AD4">
        <w:t xml:space="preserve">will </w:t>
      </w:r>
      <w:r w:rsidR="005B0C54">
        <w:t xml:space="preserve">expedite the hiring process.  The new solution </w:t>
      </w:r>
      <w:r w:rsidRPr="00EB7EDA" w:rsidR="00EB7EDA">
        <w:t xml:space="preserve">will allow TSO candidates to access a </w:t>
      </w:r>
      <w:r w:rsidR="00D126C7">
        <w:t xml:space="preserve">more </w:t>
      </w:r>
      <w:r w:rsidRPr="00EB7EDA" w:rsidR="00EB7EDA">
        <w:t xml:space="preserve">extensive network of medical clinics, increase exam capacity for candidates and increase processing speed of medical adjudications. </w:t>
      </w:r>
      <w:r w:rsidR="00EE3108">
        <w:t xml:space="preserve"> </w:t>
      </w:r>
      <w:r w:rsidRPr="00EB7EDA" w:rsidR="00EB7EDA">
        <w:t xml:space="preserve">This solution replaces the paper-based SOMQ with an online </w:t>
      </w:r>
      <w:r w:rsidR="002877DB">
        <w:t>version of the SOMQ</w:t>
      </w:r>
      <w:r w:rsidRPr="00EB7EDA" w:rsidR="00EB7EDA">
        <w:t xml:space="preserve"> for TSO candidates to complete the required medical history </w:t>
      </w:r>
      <w:r w:rsidR="001622E5">
        <w:t xml:space="preserve">and introduces a </w:t>
      </w:r>
      <w:r w:rsidR="001F6E31">
        <w:t xml:space="preserve">paper-based </w:t>
      </w:r>
      <w:r w:rsidRPr="00EB7EDA" w:rsidR="00EB7EDA">
        <w:t xml:space="preserve">TSO Medical Clearance Form that candidates will utilize to obtain licensed medical professional input as part of medical eligibility determinations.  The TSO Medical Clearance Form can be completed by any local licensed </w:t>
      </w:r>
      <w:r w:rsidRPr="00D4041F" w:rsidR="00D4041F">
        <w:t xml:space="preserve">physician or other licensed health practitioner </w:t>
      </w:r>
      <w:r w:rsidRPr="00EB7EDA" w:rsidR="00EB7EDA">
        <w:t xml:space="preserve">(e.g., personal physician or </w:t>
      </w:r>
      <w:r w:rsidR="00F653B9">
        <w:t xml:space="preserve">physician or </w:t>
      </w:r>
      <w:r w:rsidR="008C1D35">
        <w:t xml:space="preserve">practitioner </w:t>
      </w:r>
      <w:r w:rsidR="0025095C">
        <w:t>at an</w:t>
      </w:r>
      <w:r w:rsidRPr="00EB7EDA" w:rsidR="00EB7EDA">
        <w:t xml:space="preserve"> urgent care clinic)</w:t>
      </w:r>
      <w:r w:rsidR="00A71843">
        <w:t xml:space="preserve">, thereby greatly increasing the geographic network of </w:t>
      </w:r>
      <w:r w:rsidR="0094611D">
        <w:t>health</w:t>
      </w:r>
      <w:r w:rsidR="00A71843">
        <w:t xml:space="preserve"> p</w:t>
      </w:r>
      <w:r w:rsidR="0094611D">
        <w:t>ractitioner</w:t>
      </w:r>
      <w:r w:rsidR="00A71843">
        <w:t>s who TSOs can use to provide the necessary medical eligibility determination</w:t>
      </w:r>
      <w:r w:rsidRPr="00EB7EDA" w:rsidR="00EB7EDA">
        <w:t>.</w:t>
      </w:r>
      <w:r w:rsidR="0012306A">
        <w:t xml:space="preserve">  </w:t>
      </w:r>
      <w:r w:rsidR="00472EB3">
        <w:t xml:space="preserve">Because the currently approved collection </w:t>
      </w:r>
      <w:r w:rsidR="005F2A82">
        <w:t xml:space="preserve">only includes a paper-based SOMQ, TSA is seeking to renew and revise the collection to </w:t>
      </w:r>
      <w:r w:rsidR="00846C21">
        <w:t>reflect</w:t>
      </w:r>
      <w:r w:rsidR="005F2A82">
        <w:t xml:space="preserve"> </w:t>
      </w:r>
      <w:r w:rsidR="00486DA4">
        <w:t>that</w:t>
      </w:r>
      <w:r w:rsidR="005F2A82">
        <w:t xml:space="preserve"> the SOMQ</w:t>
      </w:r>
      <w:r w:rsidR="00486DA4">
        <w:t xml:space="preserve"> is now </w:t>
      </w:r>
      <w:r w:rsidR="005F2A82">
        <w:t xml:space="preserve">online and </w:t>
      </w:r>
      <w:r w:rsidR="00AD7E3E">
        <w:t xml:space="preserve">to include </w:t>
      </w:r>
      <w:r w:rsidR="00057332">
        <w:t xml:space="preserve">the </w:t>
      </w:r>
      <w:r w:rsidR="005F2A82">
        <w:t>new TSO Medical Clearance Form.</w:t>
      </w:r>
    </w:p>
    <w:p w:rsidR="006356AF" w:rsidP="0047537A" w14:paraId="23F7E132" w14:textId="77777777"/>
    <w:p w:rsidR="0047537A" w:rsidRPr="00801299" w:rsidP="00F633AB" w14:paraId="63A819B4" w14:textId="7AA23CA3">
      <w:pPr>
        <w:widowControl w:val="0"/>
        <w:autoSpaceDE w:val="0"/>
        <w:autoSpaceDN w:val="0"/>
        <w:adjustRightInd w:val="0"/>
        <w:ind w:left="360"/>
        <w:rPr>
          <w:u w:val="single"/>
        </w:rPr>
      </w:pPr>
      <w:r w:rsidRPr="00801299">
        <w:rPr>
          <w:u w:val="single"/>
        </w:rPr>
        <w:t>Emergency request</w:t>
      </w:r>
    </w:p>
    <w:p w:rsidR="00FF5B3F" w:rsidRPr="00801299" w:rsidP="00F633AB" w14:paraId="5F69FFE2" w14:textId="77777777">
      <w:pPr>
        <w:widowControl w:val="0"/>
        <w:autoSpaceDE w:val="0"/>
        <w:autoSpaceDN w:val="0"/>
        <w:adjustRightInd w:val="0"/>
        <w:ind w:left="360"/>
        <w:rPr>
          <w:u w:val="single"/>
        </w:rPr>
      </w:pPr>
    </w:p>
    <w:p w:rsidR="00521B5A" w:rsidP="00F633AB" w14:paraId="6C1E9E82" w14:textId="3D1AEF58">
      <w:pPr>
        <w:widowControl w:val="0"/>
        <w:autoSpaceDE w:val="0"/>
        <w:autoSpaceDN w:val="0"/>
        <w:adjustRightInd w:val="0"/>
        <w:ind w:left="360"/>
      </w:pPr>
      <w:r>
        <w:t>T</w:t>
      </w:r>
      <w:r>
        <w:t xml:space="preserve">SA is </w:t>
      </w:r>
      <w:r w:rsidR="00F25DE7">
        <w:t xml:space="preserve">seeking emergency approval of the </w:t>
      </w:r>
      <w:r>
        <w:t>revis</w:t>
      </w:r>
      <w:r w:rsidR="00F25DE7">
        <w:t>ed</w:t>
      </w:r>
      <w:r>
        <w:t xml:space="preserve"> information collection </w:t>
      </w:r>
      <w:r w:rsidR="00B055EC">
        <w:t>to replace</w:t>
      </w:r>
      <w:r>
        <w:t xml:space="preserve"> the prior </w:t>
      </w:r>
      <w:r>
        <w:t xml:space="preserve">paper-based SOMQ </w:t>
      </w:r>
      <w:r w:rsidR="00A23B2B">
        <w:t>with</w:t>
      </w:r>
      <w:r>
        <w:t xml:space="preserve"> the online SOMQ and </w:t>
      </w:r>
      <w:r w:rsidR="00A23B2B">
        <w:t xml:space="preserve">add </w:t>
      </w:r>
      <w:r>
        <w:t xml:space="preserve">the new </w:t>
      </w:r>
      <w:r w:rsidR="008C2CC2">
        <w:t xml:space="preserve">TSO </w:t>
      </w:r>
      <w:r w:rsidRPr="00521B5A">
        <w:t>Medical Clearance Form</w:t>
      </w:r>
      <w:r w:rsidR="00141FAD">
        <w:t xml:space="preserve"> because </w:t>
      </w:r>
      <w:r w:rsidR="009245EE">
        <w:t>delays</w:t>
      </w:r>
      <w:r w:rsidR="006C5AE0">
        <w:t xml:space="preserve"> attributable to</w:t>
      </w:r>
      <w:r w:rsidR="00141FAD">
        <w:t xml:space="preserve"> the current </w:t>
      </w:r>
      <w:r w:rsidR="00626597">
        <w:t xml:space="preserve">hiring </w:t>
      </w:r>
      <w:r w:rsidR="00141FAD">
        <w:t xml:space="preserve">solution </w:t>
      </w:r>
      <w:r w:rsidR="00545752">
        <w:t>have significantly impacted TSA’s ability to hire sufficient front-line TSOs in many locations</w:t>
      </w:r>
      <w:r w:rsidRPr="00521B5A">
        <w:t>.</w:t>
      </w:r>
      <w:r w:rsidR="00B6293B">
        <w:t xml:space="preserve">  </w:t>
      </w:r>
      <w:r w:rsidR="004D3BE4">
        <w:t>Implementation of th</w:t>
      </w:r>
      <w:r w:rsidR="00545752">
        <w:t xml:space="preserve">e </w:t>
      </w:r>
      <w:r w:rsidR="004A5E93">
        <w:t>new</w:t>
      </w:r>
      <w:r w:rsidR="004D3BE4">
        <w:t xml:space="preserve"> solution</w:t>
      </w:r>
      <w:r w:rsidR="00C508D8">
        <w:t xml:space="preserve"> is critical to </w:t>
      </w:r>
      <w:r w:rsidR="00AB49FC">
        <w:t xml:space="preserve">enable TSA to hire </w:t>
      </w:r>
      <w:r w:rsidRPr="007047A5" w:rsidR="00AB49FC">
        <w:rPr>
          <w:bCs/>
        </w:rPr>
        <w:t>sufficient front-line TSOs</w:t>
      </w:r>
      <w:r w:rsidR="00AB49FC">
        <w:rPr>
          <w:bCs/>
        </w:rPr>
        <w:t xml:space="preserve"> to screen passengers</w:t>
      </w:r>
      <w:r w:rsidR="00B260BE">
        <w:rPr>
          <w:bCs/>
        </w:rPr>
        <w:t>.</w:t>
      </w:r>
      <w:r w:rsidR="004D3BE4">
        <w:t xml:space="preserve"> </w:t>
      </w:r>
      <w:r w:rsidR="00EE3108">
        <w:t xml:space="preserve"> </w:t>
      </w:r>
      <w:r w:rsidR="00CA2786">
        <w:rPr>
          <w:bCs/>
        </w:rPr>
        <w:t>T</w:t>
      </w:r>
      <w:r w:rsidRPr="007047A5" w:rsidR="00B6293B">
        <w:rPr>
          <w:bCs/>
        </w:rPr>
        <w:t>he public’s ability to travel</w:t>
      </w:r>
      <w:r w:rsidRPr="00801299" w:rsidR="00AF0F23">
        <w:rPr>
          <w:bCs/>
        </w:rPr>
        <w:t xml:space="preserve"> will be significantl</w:t>
      </w:r>
      <w:r w:rsidRPr="00801299" w:rsidR="007047A5">
        <w:rPr>
          <w:bCs/>
        </w:rPr>
        <w:t>y impacted</w:t>
      </w:r>
      <w:r w:rsidRPr="007047A5" w:rsidR="00B6293B">
        <w:rPr>
          <w:bCs/>
        </w:rPr>
        <w:t xml:space="preserve"> if airports are not able to operate </w:t>
      </w:r>
      <w:r w:rsidR="00EF334C">
        <w:rPr>
          <w:bCs/>
        </w:rPr>
        <w:t xml:space="preserve">efficiently </w:t>
      </w:r>
      <w:r w:rsidRPr="007047A5" w:rsidR="00B6293B">
        <w:rPr>
          <w:bCs/>
        </w:rPr>
        <w:t xml:space="preserve">because </w:t>
      </w:r>
      <w:r w:rsidR="002516A4">
        <w:rPr>
          <w:bCs/>
        </w:rPr>
        <w:t xml:space="preserve">TSA </w:t>
      </w:r>
      <w:r w:rsidR="008C7697">
        <w:rPr>
          <w:bCs/>
        </w:rPr>
        <w:t>is</w:t>
      </w:r>
      <w:r w:rsidR="002516A4">
        <w:rPr>
          <w:bCs/>
        </w:rPr>
        <w:t xml:space="preserve"> unable </w:t>
      </w:r>
      <w:r w:rsidR="00043D58">
        <w:rPr>
          <w:bCs/>
        </w:rPr>
        <w:t xml:space="preserve">to provide sufficient personnel to </w:t>
      </w:r>
      <w:r w:rsidR="0004784E">
        <w:rPr>
          <w:bCs/>
        </w:rPr>
        <w:t>perform screening</w:t>
      </w:r>
      <w:r w:rsidRPr="007047A5" w:rsidR="00B6293B">
        <w:rPr>
          <w:bCs/>
        </w:rPr>
        <w:t>.</w:t>
      </w:r>
    </w:p>
    <w:p w:rsidR="005C571E" w:rsidP="00F633AB" w14:paraId="1AB4EBCF" w14:textId="509744DC">
      <w:pPr>
        <w:widowControl w:val="0"/>
        <w:autoSpaceDE w:val="0"/>
        <w:autoSpaceDN w:val="0"/>
        <w:adjustRightInd w:val="0"/>
        <w:ind w:left="360"/>
      </w:pPr>
    </w:p>
    <w:p w:rsidR="00320387" w:rsidP="00320387" w14:paraId="3C6B3AF0"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78C0CD5E" w14:textId="77777777">
      <w:pPr>
        <w:keepNext/>
        <w:numPr>
          <w:ilvl w:val="12"/>
          <w:numId w:val="0"/>
        </w:numPr>
        <w:ind w:left="360"/>
      </w:pPr>
    </w:p>
    <w:p w:rsidR="007303EC" w:rsidP="008D5832" w14:paraId="182A435E" w14:textId="52571988">
      <w:pPr>
        <w:widowControl w:val="0"/>
        <w:autoSpaceDE w:val="0"/>
        <w:autoSpaceDN w:val="0"/>
        <w:adjustRightInd w:val="0"/>
        <w:ind w:left="360"/>
      </w:pPr>
      <w:r>
        <w:t xml:space="preserve">This collection of information assists the agency in </w:t>
      </w:r>
      <w:r w:rsidRPr="00CF3117" w:rsidR="00630420">
        <w:rPr>
          <w:rFonts w:cs="Times New Roman"/>
          <w:szCs w:val="24"/>
        </w:rPr>
        <w:t>meet</w:t>
      </w:r>
      <w:r w:rsidR="00CF3117">
        <w:rPr>
          <w:rFonts w:cs="Times New Roman"/>
          <w:szCs w:val="24"/>
        </w:rPr>
        <w:t>ing</w:t>
      </w:r>
      <w:r w:rsidRPr="00CF3117" w:rsidR="00630420">
        <w:rPr>
          <w:rFonts w:cs="Times New Roman"/>
          <w:szCs w:val="24"/>
        </w:rPr>
        <w:t xml:space="preserve"> its statutory obligation</w:t>
      </w:r>
      <w:r w:rsidRPr="00CF3117" w:rsidR="00CF3117">
        <w:rPr>
          <w:rFonts w:cs="Times New Roman"/>
          <w:szCs w:val="24"/>
        </w:rPr>
        <w:t xml:space="preserve"> to ensure that</w:t>
      </w:r>
      <w:r w:rsidRPr="00CF3117" w:rsidR="00630420">
        <w:rPr>
          <w:rFonts w:cs="Times New Roman"/>
          <w:szCs w:val="24"/>
        </w:rPr>
        <w:t xml:space="preserve"> no individual serve</w:t>
      </w:r>
      <w:r w:rsidR="009546DD">
        <w:rPr>
          <w:rFonts w:cs="Times New Roman"/>
          <w:szCs w:val="24"/>
        </w:rPr>
        <w:t>s</w:t>
      </w:r>
      <w:r w:rsidRPr="00CF3117" w:rsidR="00630420">
        <w:rPr>
          <w:rFonts w:cs="Times New Roman"/>
          <w:szCs w:val="24"/>
        </w:rPr>
        <w:t xml:space="preserve"> as a </w:t>
      </w:r>
      <w:r w:rsidR="00061479">
        <w:rPr>
          <w:rFonts w:cs="Times New Roman"/>
          <w:szCs w:val="24"/>
        </w:rPr>
        <w:t>TSO</w:t>
      </w:r>
      <w:r w:rsidRPr="00CF3117" w:rsidR="00630420">
        <w:rPr>
          <w:rFonts w:cs="Times New Roman"/>
          <w:szCs w:val="24"/>
        </w:rPr>
        <w:t xml:space="preserve"> </w:t>
      </w:r>
      <w:r w:rsidRPr="00CF3117" w:rsidR="00CF3117">
        <w:rPr>
          <w:rFonts w:cs="Times New Roman"/>
          <w:szCs w:val="24"/>
        </w:rPr>
        <w:t>who does not “</w:t>
      </w:r>
      <w:r w:rsidRPr="00CF3117" w:rsidR="00CF3117">
        <w:rPr>
          <w:rStyle w:val="ptext-3"/>
          <w:rFonts w:cs="Times New Roman"/>
          <w:szCs w:val="24"/>
        </w:rPr>
        <w:t xml:space="preserve">possess basic aptitudes and physical abilities, including color perception, visual and aural acuity, physical coordination, and motor skills.” </w:t>
      </w:r>
      <w:r w:rsidR="00E96C5A">
        <w:rPr>
          <w:rStyle w:val="ptext-3"/>
          <w:rFonts w:cs="Times New Roman"/>
          <w:szCs w:val="24"/>
        </w:rPr>
        <w:t xml:space="preserve"> </w:t>
      </w:r>
      <w:r w:rsidR="00E96C5A">
        <w:rPr>
          <w:rStyle w:val="ptext-3"/>
          <w:rFonts w:cs="Times New Roman"/>
          <w:i/>
          <w:szCs w:val="24"/>
        </w:rPr>
        <w:t xml:space="preserve">See </w:t>
      </w:r>
      <w:r w:rsidRPr="00CF3117" w:rsidR="00CF3117">
        <w:rPr>
          <w:rStyle w:val="ptext-3"/>
          <w:rFonts w:cs="Times New Roman"/>
          <w:szCs w:val="24"/>
        </w:rPr>
        <w:t>49 U.S.C. 44935(f)(1)(B)</w:t>
      </w:r>
      <w:r w:rsidRPr="00CF3117">
        <w:rPr>
          <w:rFonts w:cs="Times New Roman"/>
          <w:szCs w:val="24"/>
        </w:rPr>
        <w:t>.</w:t>
      </w:r>
    </w:p>
    <w:p w:rsidR="007303EC" w:rsidP="008D5832" w14:paraId="1338F4C3" w14:textId="77777777">
      <w:pPr>
        <w:widowControl w:val="0"/>
        <w:autoSpaceDE w:val="0"/>
        <w:autoSpaceDN w:val="0"/>
        <w:adjustRightInd w:val="0"/>
        <w:ind w:left="360"/>
      </w:pPr>
    </w:p>
    <w:p w:rsidR="006527AD" w:rsidP="008D5832" w14:paraId="17939A98" w14:textId="173EF0D6">
      <w:pPr>
        <w:widowControl w:val="0"/>
        <w:autoSpaceDE w:val="0"/>
        <w:autoSpaceDN w:val="0"/>
        <w:adjustRightInd w:val="0"/>
        <w:ind w:left="360"/>
      </w:pPr>
      <w:r>
        <w:t xml:space="preserve">The </w:t>
      </w:r>
      <w:r w:rsidR="00B055EC">
        <w:t xml:space="preserve">online </w:t>
      </w:r>
      <w:r>
        <w:t>SOMQ enable</w:t>
      </w:r>
      <w:r w:rsidR="00814590">
        <w:t>s</w:t>
      </w:r>
      <w:r>
        <w:t xml:space="preserve"> TSA to collect the information necessary to </w:t>
      </w:r>
      <w:r w:rsidR="007A3BC3">
        <w:t xml:space="preserve">assist in making </w:t>
      </w:r>
      <w:r>
        <w:t xml:space="preserve">determinations regarding candidates’ medical and physical abilities to successfully perform the job without being overly intrusive.  The scope of this determination provides a </w:t>
      </w:r>
      <w:r>
        <w:t>candidate’s current and past medical history, including visual and aural acuity, physical coordination, and motor skills to be able to: (a) distinguish on screening equipment monitors the appropriate imaging standard; (b) distinguish each color displayed on every type of screening equipment and explain what each color signifies; (c) hear and respond to the spoken voice and to audible alarms in an active checkpoint environment; (d) perform physical searches by efficiently and thoroughly manipulating and handling baggage containers, and other objects; (e) perform pat-downs or hand-held metal detector searches of individuals with sufficient dexterity and capacity to thoroughly conduct the procedures over an individual’s entire body; and (f) demonstrate a daily fitness for duty without impairment due to illegal drugs, sleep deprivation, medication, or alcohol.</w:t>
      </w:r>
    </w:p>
    <w:p w:rsidR="00814590" w:rsidP="008D5832" w14:paraId="4673AF38" w14:textId="77777777">
      <w:pPr>
        <w:widowControl w:val="0"/>
        <w:autoSpaceDE w:val="0"/>
        <w:autoSpaceDN w:val="0"/>
        <w:adjustRightInd w:val="0"/>
        <w:ind w:left="360"/>
      </w:pPr>
    </w:p>
    <w:p w:rsidR="00814590" w:rsidP="008D5832" w14:paraId="507D7291" w14:textId="1FE63520">
      <w:pPr>
        <w:widowControl w:val="0"/>
        <w:autoSpaceDE w:val="0"/>
        <w:autoSpaceDN w:val="0"/>
        <w:adjustRightInd w:val="0"/>
        <w:ind w:left="360"/>
      </w:pPr>
      <w:r>
        <w:t>The new TSO Medical Clearance Form</w:t>
      </w:r>
      <w:r w:rsidR="002B384B">
        <w:t xml:space="preserve"> also</w:t>
      </w:r>
      <w:r w:rsidR="000D289E">
        <w:t xml:space="preserve"> helps TSA to</w:t>
      </w:r>
      <w:r w:rsidR="00390C82">
        <w:t xml:space="preserve"> ascertain</w:t>
      </w:r>
      <w:r w:rsidR="000D289E">
        <w:t xml:space="preserve"> the </w:t>
      </w:r>
      <w:r w:rsidR="00FB4B2C">
        <w:t>c</w:t>
      </w:r>
      <w:r w:rsidRPr="00FB4B2C" w:rsidR="00FB4B2C">
        <w:t>andidates’ medical and physical abilities to successfully perform the job</w:t>
      </w:r>
      <w:r w:rsidR="009E5BEA">
        <w:t xml:space="preserve">.  The </w:t>
      </w:r>
      <w:r w:rsidR="00AA41C5">
        <w:t>TSO Medical Clearance</w:t>
      </w:r>
      <w:r w:rsidR="009E5BEA">
        <w:t xml:space="preserve"> Form</w:t>
      </w:r>
      <w:r w:rsidRPr="00FB4B2C" w:rsidR="00FB4B2C">
        <w:t xml:space="preserve"> </w:t>
      </w:r>
      <w:r>
        <w:t>is completed by a licensed physician or other licensed health practitioner</w:t>
      </w:r>
      <w:r w:rsidR="006647A8">
        <w:t xml:space="preserve"> to</w:t>
      </w:r>
      <w:r w:rsidR="0074754B">
        <w:t xml:space="preserve"> </w:t>
      </w:r>
      <w:r w:rsidR="00E94678">
        <w:t xml:space="preserve">indicate whether the </w:t>
      </w:r>
      <w:r w:rsidR="00564FD5">
        <w:t xml:space="preserve">candidate is able to perform a list of </w:t>
      </w:r>
      <w:r w:rsidR="00761B1C">
        <w:t xml:space="preserve">the duties of a </w:t>
      </w:r>
      <w:r w:rsidR="001152F5">
        <w:t>TSO</w:t>
      </w:r>
      <w:r w:rsidR="00BA193D">
        <w:t xml:space="preserve">.  The </w:t>
      </w:r>
      <w:r w:rsidR="00C15B11">
        <w:t>physician or</w:t>
      </w:r>
      <w:r w:rsidR="00BA193D">
        <w:t xml:space="preserve"> health practitioner also uses the </w:t>
      </w:r>
      <w:r w:rsidR="00AA41C5">
        <w:t xml:space="preserve">TSO Medical Clearance </w:t>
      </w:r>
      <w:r w:rsidR="00BA193D">
        <w:t>Form t</w:t>
      </w:r>
      <w:r w:rsidR="002906D4">
        <w:t xml:space="preserve">o provide the results of the medical examination, including </w:t>
      </w:r>
      <w:r w:rsidR="00BA193D">
        <w:t>vital signs, visual acuity</w:t>
      </w:r>
      <w:r w:rsidR="006848B3">
        <w:t>, peripheral</w:t>
      </w:r>
      <w:r w:rsidR="00392D71">
        <w:t xml:space="preserve"> vision, color vision and hearing.</w:t>
      </w:r>
    </w:p>
    <w:p w:rsidR="006527AD" w:rsidP="006527AD" w14:paraId="149E6E0C" w14:textId="77777777">
      <w:pPr>
        <w:tabs>
          <w:tab w:val="left" w:pos="360"/>
        </w:tabs>
        <w:ind w:left="360"/>
      </w:pPr>
    </w:p>
    <w:p w:rsidR="00320387" w:rsidRPr="009B7B1E" w:rsidP="00B65D1E" w14:paraId="2C440EBA" w14:textId="7777777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 xml:space="preserve">[Effective 03/22/01, your response must SPECIFICALLY reference the Government Paperwork Elimination Act (GPEA), which addresses electronic filing and recordkeeping, and what you are doing </w:t>
      </w:r>
      <w:r>
        <w:rPr>
          <w:b/>
          <w:i/>
          <w:snapToGrid w:val="0"/>
        </w:rPr>
        <w:t xml:space="preserve">to adhere to it.  You must explain how you will provide a fully electronic reporting option by October </w:t>
      </w:r>
      <w:r w:rsidRPr="003F5F68">
        <w:rPr>
          <w:b/>
          <w:i/>
          <w:snapToGrid w:val="0"/>
        </w:rPr>
        <w:t>2003</w:t>
      </w:r>
      <w:r>
        <w:rPr>
          <w:b/>
          <w:i/>
          <w:snapToGrid w:val="0"/>
        </w:rPr>
        <w:t>, or an explanation of why this is not practicable.]</w:t>
      </w:r>
    </w:p>
    <w:p w:rsidR="009B7B1E" w:rsidRPr="00AB7CEA" w:rsidP="009B7B1E" w14:paraId="49F5CEA9" w14:textId="77777777">
      <w:pPr>
        <w:keepNext/>
        <w:tabs>
          <w:tab w:val="left" w:pos="360"/>
        </w:tabs>
        <w:ind w:left="360"/>
        <w:rPr>
          <w:b/>
          <w:i/>
        </w:rPr>
      </w:pPr>
    </w:p>
    <w:p w:rsidR="0019311F" w:rsidP="00F633AB" w14:paraId="1D0CB5D3" w14:textId="1A01C681">
      <w:pPr>
        <w:ind w:left="360"/>
      </w:pPr>
      <w:r>
        <w:t xml:space="preserve">Consistent with the </w:t>
      </w:r>
      <w:r w:rsidRPr="009603D6" w:rsidR="00EE3108">
        <w:rPr>
          <w:bCs/>
          <w:iCs/>
          <w:snapToGrid w:val="0"/>
        </w:rPr>
        <w:t>Government Paperwork Elimination Act</w:t>
      </w:r>
      <w:r>
        <w:t>, TSA</w:t>
      </w:r>
      <w:r w:rsidR="00F2768B">
        <w:t xml:space="preserve"> </w:t>
      </w:r>
      <w:r w:rsidR="007C451A">
        <w:t xml:space="preserve">routinely </w:t>
      </w:r>
      <w:r w:rsidR="005D617A">
        <w:t xml:space="preserve">considers </w:t>
      </w:r>
      <w:r w:rsidR="008D0A57">
        <w:t>technology to reduce the burden of this collection</w:t>
      </w:r>
      <w:r w:rsidR="007C451A">
        <w:t xml:space="preserve">.  </w:t>
      </w:r>
      <w:r w:rsidR="004400FA">
        <w:t xml:space="preserve">As such, </w:t>
      </w:r>
      <w:r w:rsidR="009250D8">
        <w:t>TSA</w:t>
      </w:r>
      <w:r w:rsidR="004400FA">
        <w:t xml:space="preserve"> successfully moved from a </w:t>
      </w:r>
      <w:r w:rsidR="007A3BC3">
        <w:t>paper-based SOMQ to a full electronic version.</w:t>
      </w:r>
      <w:r w:rsidR="00EE3108">
        <w:t xml:space="preserve"> </w:t>
      </w:r>
      <w:r w:rsidR="007A3BC3">
        <w:t xml:space="preserve"> </w:t>
      </w:r>
      <w:r w:rsidR="00C24959">
        <w:t>Can</w:t>
      </w:r>
      <w:r w:rsidR="009250D8">
        <w:t>didates</w:t>
      </w:r>
      <w:r w:rsidR="00533D46">
        <w:t xml:space="preserve"> </w:t>
      </w:r>
      <w:r w:rsidR="00933052">
        <w:t>can</w:t>
      </w:r>
      <w:r w:rsidR="00C24959">
        <w:t xml:space="preserve"> </w:t>
      </w:r>
      <w:r w:rsidR="00533D46">
        <w:t xml:space="preserve">access </w:t>
      </w:r>
      <w:r w:rsidR="009250D8">
        <w:t>the SOMQ</w:t>
      </w:r>
      <w:r w:rsidR="00533D46">
        <w:t xml:space="preserve"> via an electronic portal</w:t>
      </w:r>
      <w:r w:rsidRPr="00C24959" w:rsidR="00C24959">
        <w:t xml:space="preserve"> </w:t>
      </w:r>
      <w:r w:rsidR="00C24959">
        <w:t>and complete the form electronically</w:t>
      </w:r>
      <w:r w:rsidR="00533D46">
        <w:t xml:space="preserve">.  </w:t>
      </w:r>
      <w:r w:rsidR="007A3BC3">
        <w:t>Candidates must print the TSO Medical Clearance</w:t>
      </w:r>
      <w:r w:rsidR="00E96C5A">
        <w:t xml:space="preserve"> form </w:t>
      </w:r>
      <w:r w:rsidR="007A3BC3">
        <w:t xml:space="preserve">to take </w:t>
      </w:r>
      <w:r w:rsidR="00AC71FA">
        <w:t xml:space="preserve">to </w:t>
      </w:r>
      <w:r w:rsidR="00897AF8">
        <w:t>a</w:t>
      </w:r>
      <w:r w:rsidRPr="00406370" w:rsidR="00406370">
        <w:t xml:space="preserve"> </w:t>
      </w:r>
      <w:r w:rsidRPr="00897AF8" w:rsidR="00897AF8">
        <w:rPr>
          <w:rStyle w:val="cf01"/>
          <w:rFonts w:ascii="Times New Roman" w:hAnsi="Times New Roman" w:cs="Times New Roman"/>
          <w:sz w:val="24"/>
          <w:szCs w:val="24"/>
        </w:rPr>
        <w:t>licensed physician or other licensed health practitioner</w:t>
      </w:r>
      <w:r w:rsidR="00406370">
        <w:rPr>
          <w:rStyle w:val="cf01"/>
        </w:rPr>
        <w:t xml:space="preserve"> </w:t>
      </w:r>
      <w:r w:rsidR="007A3BC3">
        <w:t>for an employment exam</w:t>
      </w:r>
      <w:r w:rsidR="009250D8">
        <w:t xml:space="preserve">.  </w:t>
      </w:r>
      <w:r w:rsidR="00604461">
        <w:t>The</w:t>
      </w:r>
      <w:r w:rsidR="007A3BC3">
        <w:t xml:space="preserve"> </w:t>
      </w:r>
      <w:r w:rsidRPr="00897AF8" w:rsidR="00194CCF">
        <w:rPr>
          <w:rStyle w:val="cf01"/>
          <w:rFonts w:ascii="Times New Roman" w:hAnsi="Times New Roman" w:cs="Times New Roman"/>
          <w:sz w:val="24"/>
          <w:szCs w:val="24"/>
        </w:rPr>
        <w:t>physician or health practitioner</w:t>
      </w:r>
      <w:r w:rsidR="007A3BC3">
        <w:rPr>
          <w:rStyle w:val="cf01"/>
        </w:rPr>
        <w:t xml:space="preserve"> </w:t>
      </w:r>
      <w:r w:rsidR="007A3BC3">
        <w:t>completes an</w:t>
      </w:r>
      <w:r w:rsidR="00B055EC">
        <w:t>d</w:t>
      </w:r>
      <w:r w:rsidR="007A3BC3">
        <w:t xml:space="preserve"> </w:t>
      </w:r>
      <w:r w:rsidR="00733608">
        <w:t>signs</w:t>
      </w:r>
      <w:r w:rsidR="007A3BC3">
        <w:t xml:space="preserve"> </w:t>
      </w:r>
      <w:r w:rsidR="00AA2FF0">
        <w:t xml:space="preserve">the </w:t>
      </w:r>
      <w:r w:rsidR="007A3BC3">
        <w:t>TSO Medical Clearance Form</w:t>
      </w:r>
      <w:r w:rsidR="00B055EC">
        <w:t xml:space="preserve">, which </w:t>
      </w:r>
      <w:r w:rsidR="007A3BC3">
        <w:t xml:space="preserve">the candidate then </w:t>
      </w:r>
      <w:r w:rsidR="00FD37F9">
        <w:t xml:space="preserve">emails </w:t>
      </w:r>
      <w:r w:rsidR="007A3BC3">
        <w:t xml:space="preserve">to TSA for use in the pre-hire medical eligibility determination process. </w:t>
      </w:r>
      <w:r w:rsidR="00EE3108">
        <w:t xml:space="preserve"> </w:t>
      </w:r>
      <w:r w:rsidR="007A3BC3">
        <w:t xml:space="preserve">The TSA Office of Chief Medical Officer reviews the candidate’s electronic </w:t>
      </w:r>
      <w:r w:rsidR="00604461">
        <w:t xml:space="preserve">SOMQ </w:t>
      </w:r>
      <w:r w:rsidR="00B97704">
        <w:t xml:space="preserve">along </w:t>
      </w:r>
      <w:r w:rsidR="00604461">
        <w:t xml:space="preserve">with the </w:t>
      </w:r>
      <w:r w:rsidR="007A3BC3">
        <w:t>TSO Medical Clearance Form for final eligibility determination in accordance with the TSO Medical Guidelines</w:t>
      </w:r>
      <w:r w:rsidR="00603935">
        <w:t>.</w:t>
      </w:r>
    </w:p>
    <w:p w:rsidR="00896DE0" w:rsidP="00F633AB" w14:paraId="6FA7986C" w14:textId="2885943A">
      <w:pPr>
        <w:ind w:left="360"/>
      </w:pPr>
    </w:p>
    <w:p w:rsidR="00320387" w:rsidP="00320387" w14:paraId="10942EB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6527AD" w:rsidP="006527AD" w14:paraId="1FD0589A" w14:textId="77777777">
      <w:pPr>
        <w:widowControl w:val="0"/>
        <w:autoSpaceDE w:val="0"/>
        <w:autoSpaceDN w:val="0"/>
        <w:adjustRightInd w:val="0"/>
        <w:ind w:left="360"/>
      </w:pPr>
    </w:p>
    <w:p w:rsidR="00CE7397" w:rsidP="006527AD" w14:paraId="5A92A934" w14:textId="6AFF7CFA">
      <w:pPr>
        <w:widowControl w:val="0"/>
        <w:autoSpaceDE w:val="0"/>
        <w:autoSpaceDN w:val="0"/>
        <w:adjustRightInd w:val="0"/>
        <w:ind w:left="360"/>
      </w:pPr>
      <w:r>
        <w:t>T</w:t>
      </w:r>
      <w:r w:rsidR="006527AD">
        <w:t>he S</w:t>
      </w:r>
      <w:r w:rsidR="00B853AB">
        <w:t>O</w:t>
      </w:r>
      <w:r w:rsidR="006527AD">
        <w:t xml:space="preserve">MQ </w:t>
      </w:r>
      <w:r w:rsidR="00B055EC">
        <w:t xml:space="preserve">online </w:t>
      </w:r>
      <w:r w:rsidR="006527AD">
        <w:t xml:space="preserve">form </w:t>
      </w:r>
      <w:r w:rsidRPr="00B055EC" w:rsidR="00B055EC">
        <w:t xml:space="preserve">and the new </w:t>
      </w:r>
      <w:bookmarkStart w:id="0" w:name="_Hlk227320088"/>
      <w:r w:rsidRPr="00B055EC" w:rsidR="00B055EC">
        <w:t xml:space="preserve">TSO Medical Clearance Form </w:t>
      </w:r>
      <w:bookmarkEnd w:id="0"/>
      <w:r w:rsidR="00B055EC">
        <w:t>are</w:t>
      </w:r>
      <w:r>
        <w:t xml:space="preserve"> the most effective and appropriate method</w:t>
      </w:r>
      <w:r w:rsidR="00B055EC">
        <w:t>s</w:t>
      </w:r>
      <w:r>
        <w:t xml:space="preserve"> for collecting </w:t>
      </w:r>
      <w:r w:rsidR="006527AD">
        <w:t xml:space="preserve">the information necessary to assist </w:t>
      </w:r>
      <w:r w:rsidR="003A6F07">
        <w:t>TSA</w:t>
      </w:r>
      <w:r w:rsidR="006527AD">
        <w:t xml:space="preserve"> in making determinations regarding </w:t>
      </w:r>
      <w:r w:rsidR="00084DC2">
        <w:t>candidate</w:t>
      </w:r>
      <w:r w:rsidR="006527AD">
        <w:t>s’ medical and physical abilities to successfully perform the job without being overly intrusive.</w:t>
      </w:r>
    </w:p>
    <w:p w:rsidR="00320387" w:rsidP="00320387" w14:paraId="3F636828" w14:textId="521988EF">
      <w:pPr>
        <w:numPr>
          <w:ilvl w:val="12"/>
          <w:numId w:val="0"/>
        </w:numPr>
      </w:pPr>
    </w:p>
    <w:p w:rsidR="00320387" w:rsidP="00320387" w14:paraId="639FAE28"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7FE91662" w14:textId="77777777">
      <w:pPr>
        <w:keepNext/>
        <w:numPr>
          <w:ilvl w:val="12"/>
          <w:numId w:val="0"/>
        </w:numPr>
        <w:ind w:left="360"/>
      </w:pPr>
    </w:p>
    <w:p w:rsidR="006527AD" w:rsidP="006527AD" w14:paraId="2C0CB659" w14:textId="025CD093">
      <w:pPr>
        <w:numPr>
          <w:ilvl w:val="12"/>
          <w:numId w:val="0"/>
        </w:numPr>
        <w:ind w:left="360"/>
      </w:pPr>
      <w:r>
        <w:t xml:space="preserve">The collection of information does not have a significant impact on a substantial number of small businesses or other small entities.  As described above, the </w:t>
      </w:r>
      <w:r w:rsidR="00F2702E">
        <w:t xml:space="preserve">online </w:t>
      </w:r>
      <w:r w:rsidR="006D0738">
        <w:t>SOMQ</w:t>
      </w:r>
      <w:r>
        <w:t xml:space="preserve"> </w:t>
      </w:r>
      <w:r w:rsidR="00634847">
        <w:t xml:space="preserve">and the TSO Medical Clearance Form </w:t>
      </w:r>
      <w:r w:rsidR="00764703">
        <w:t>are</w:t>
      </w:r>
      <w:r>
        <w:t xml:space="preserve"> collected from candidates under employment consideration for </w:t>
      </w:r>
      <w:r w:rsidR="00476F4D">
        <w:t>TSO</w:t>
      </w:r>
      <w:r>
        <w:t xml:space="preserve"> positions</w:t>
      </w:r>
      <w:r w:rsidR="00764703">
        <w:t xml:space="preserve"> and </w:t>
      </w:r>
      <w:r w:rsidR="00E00242">
        <w:t xml:space="preserve">reviewed by </w:t>
      </w:r>
      <w:r w:rsidR="00743B72">
        <w:t xml:space="preserve">licensed </w:t>
      </w:r>
      <w:r w:rsidR="00EA7677">
        <w:t>physician</w:t>
      </w:r>
      <w:r w:rsidR="00E67A9B">
        <w:t>s</w:t>
      </w:r>
      <w:r w:rsidR="00EA7677">
        <w:t xml:space="preserve"> or </w:t>
      </w:r>
      <w:r w:rsidR="00F72159">
        <w:t xml:space="preserve">other </w:t>
      </w:r>
      <w:r w:rsidR="00764703">
        <w:t xml:space="preserve">health </w:t>
      </w:r>
      <w:r w:rsidR="00EA7677">
        <w:t>pra</w:t>
      </w:r>
      <w:r w:rsidR="00E67A9B">
        <w:t>cti</w:t>
      </w:r>
      <w:r w:rsidR="00251F11">
        <w:t>ti</w:t>
      </w:r>
      <w:r w:rsidR="00E67A9B">
        <w:t>oner</w:t>
      </w:r>
      <w:r w:rsidR="00EA7677">
        <w:t>s</w:t>
      </w:r>
      <w:r>
        <w:t>.</w:t>
      </w:r>
    </w:p>
    <w:p w:rsidR="00320387" w:rsidP="00320387" w14:paraId="7EBC3AD6" w14:textId="77777777">
      <w:pPr>
        <w:numPr>
          <w:ilvl w:val="12"/>
          <w:numId w:val="0"/>
        </w:numPr>
      </w:pPr>
    </w:p>
    <w:p w:rsidR="00320387" w:rsidP="00320387" w14:paraId="162A2106"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6941B1A1" w14:textId="77777777">
      <w:pPr>
        <w:keepNext/>
        <w:numPr>
          <w:ilvl w:val="12"/>
          <w:numId w:val="0"/>
        </w:numPr>
        <w:ind w:left="360"/>
      </w:pPr>
    </w:p>
    <w:p w:rsidR="006527AD" w:rsidP="006527AD" w14:paraId="18484E26" w14:textId="715A71D0">
      <w:pPr>
        <w:numPr>
          <w:ilvl w:val="12"/>
          <w:numId w:val="0"/>
        </w:numPr>
        <w:ind w:left="360"/>
      </w:pPr>
      <w:r>
        <w:t xml:space="preserve">The determination that </w:t>
      </w:r>
      <w:r w:rsidR="00476F4D">
        <w:t xml:space="preserve">TSO </w:t>
      </w:r>
      <w:r>
        <w:t>candidates successfully meet the</w:t>
      </w:r>
      <w:r w:rsidR="002351D0">
        <w:t xml:space="preserve"> statutory</w:t>
      </w:r>
      <w:r>
        <w:t xml:space="preserve"> qualification requirements described above is essential to create and maintain a national workforce of skilled and medically qualified employees charged with protecting the Nation’s transportation systems by ensuring the freedom of movement for people and commerce.  The security of the Nation’s transportation systems would be severely compromised if this collection is not conducted or is conducted less frequently.</w:t>
      </w:r>
    </w:p>
    <w:p w:rsidR="00D05B9B" w:rsidP="006527AD" w14:paraId="24C8B2CA" w14:textId="77777777">
      <w:pPr>
        <w:numPr>
          <w:ilvl w:val="12"/>
          <w:numId w:val="0"/>
        </w:numPr>
        <w:ind w:left="360"/>
      </w:pPr>
    </w:p>
    <w:p w:rsidR="00D05B9B" w:rsidP="006527AD" w14:paraId="6C26C0BE" w14:textId="0195405F">
      <w:pPr>
        <w:numPr>
          <w:ilvl w:val="12"/>
          <w:numId w:val="0"/>
        </w:numPr>
        <w:ind w:left="360"/>
      </w:pPr>
      <w:r>
        <w:t xml:space="preserve">Without emergency approval, TSA will be unable to </w:t>
      </w:r>
      <w:r w:rsidR="008E22BB">
        <w:t xml:space="preserve">hire sufficient TSOs to provide screening at </w:t>
      </w:r>
      <w:r w:rsidR="0067565E">
        <w:t xml:space="preserve">all federalized </w:t>
      </w:r>
      <w:r w:rsidR="008E22BB">
        <w:t>airports.</w:t>
      </w:r>
    </w:p>
    <w:p w:rsidR="00320387" w:rsidP="00320387" w14:paraId="28EAC76C" w14:textId="77777777">
      <w:pPr>
        <w:numPr>
          <w:ilvl w:val="12"/>
          <w:numId w:val="0"/>
        </w:numPr>
      </w:pPr>
    </w:p>
    <w:p w:rsidR="00320387" w:rsidP="00320387" w14:paraId="51F135E0"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2DACC2B2" w14:textId="77777777">
      <w:pPr>
        <w:keepNext/>
        <w:numPr>
          <w:ilvl w:val="12"/>
          <w:numId w:val="0"/>
        </w:numPr>
        <w:ind w:left="360"/>
      </w:pPr>
    </w:p>
    <w:p w:rsidR="006527AD" w:rsidP="006527AD" w14:paraId="57B5E4DA" w14:textId="77777777">
      <w:pPr>
        <w:tabs>
          <w:tab w:val="left" w:pos="360"/>
        </w:tabs>
        <w:ind w:left="360"/>
      </w:pPr>
      <w:r>
        <w:t>There are no special circumstances that require the collection to be conducted in a manner inconsistent with the general information collection guidelines in 5 CFR 1320.5(d)(2).</w:t>
      </w:r>
    </w:p>
    <w:p w:rsidR="00320387" w:rsidP="00320387" w14:paraId="78197641" w14:textId="77777777">
      <w:pPr>
        <w:numPr>
          <w:ilvl w:val="12"/>
          <w:numId w:val="0"/>
        </w:numPr>
      </w:pPr>
    </w:p>
    <w:p w:rsidR="00320387" w:rsidP="00320387" w14:paraId="03DA8D82"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72736B4C" w14:textId="77777777">
      <w:pPr>
        <w:keepNext/>
        <w:numPr>
          <w:ilvl w:val="12"/>
          <w:numId w:val="0"/>
        </w:numPr>
        <w:ind w:left="360"/>
      </w:pPr>
    </w:p>
    <w:p w:rsidR="00ED0B49" w:rsidRPr="001D078F" w:rsidP="006527AD" w14:paraId="00F1B3C0" w14:textId="678D113A">
      <w:pPr>
        <w:numPr>
          <w:ilvl w:val="12"/>
          <w:numId w:val="0"/>
        </w:numPr>
        <w:ind w:left="360"/>
        <w:rPr>
          <w:color w:val="auto"/>
        </w:rPr>
      </w:pPr>
      <w:r w:rsidRPr="001D078F">
        <w:t>TSA</w:t>
      </w:r>
      <w:r w:rsidR="00D74540">
        <w:t xml:space="preserve"> </w:t>
      </w:r>
      <w:r w:rsidR="00B055EC">
        <w:t xml:space="preserve">is currently seeking </w:t>
      </w:r>
      <w:r w:rsidR="00232128">
        <w:t>e</w:t>
      </w:r>
      <w:r w:rsidR="00B055EC">
        <w:t xml:space="preserve">mergency </w:t>
      </w:r>
      <w:r w:rsidR="00232128">
        <w:t>clearance</w:t>
      </w:r>
      <w:r w:rsidR="00B055EC">
        <w:t xml:space="preserve"> </w:t>
      </w:r>
      <w:r w:rsidR="00232128">
        <w:t>for</w:t>
      </w:r>
      <w:r w:rsidR="00B055EC">
        <w:t xml:space="preserve"> </w:t>
      </w:r>
      <w:r w:rsidRPr="001D078F">
        <w:t>this information collection</w:t>
      </w:r>
      <w:r w:rsidR="00D74540">
        <w:t xml:space="preserve">. </w:t>
      </w:r>
      <w:r w:rsidR="00EE3108">
        <w:t xml:space="preserve"> </w:t>
      </w:r>
      <w:r w:rsidR="00D74540">
        <w:t xml:space="preserve">In light of </w:t>
      </w:r>
      <w:r w:rsidRPr="00D74540" w:rsidR="00D74540">
        <w:t>urgent hiring requirements for front-line, mission critical TSO positions</w:t>
      </w:r>
      <w:r w:rsidR="00D74540">
        <w:t xml:space="preserve">, TSA is seeking a waiver of the requirement in 5 CFR 1320.13(d) to publish a </w:t>
      </w:r>
      <w:r w:rsidRPr="00B8368A">
        <w:rPr>
          <w:i/>
        </w:rPr>
        <w:t>Federal Register</w:t>
      </w:r>
      <w:r w:rsidRPr="00CC427D">
        <w:t xml:space="preserve"> </w:t>
      </w:r>
      <w:r w:rsidR="00D74540">
        <w:t xml:space="preserve">notice announcing TSA is seeking emergency processing of this ICR.  Upon approval of the </w:t>
      </w:r>
      <w:r w:rsidR="00232128">
        <w:t>e</w:t>
      </w:r>
      <w:r w:rsidR="00D74540">
        <w:t xml:space="preserve">mergency </w:t>
      </w:r>
      <w:r w:rsidR="00232128">
        <w:t>r</w:t>
      </w:r>
      <w:r w:rsidR="00D74540">
        <w:t xml:space="preserve">equest, TSA will seek public comment on the collection following the normal clearance process providing a </w:t>
      </w:r>
      <w:r w:rsidR="00D74540">
        <w:rPr>
          <w:color w:val="auto"/>
        </w:rPr>
        <w:t>6</w:t>
      </w:r>
      <w:r w:rsidRPr="00CC427D" w:rsidR="007711B4">
        <w:rPr>
          <w:color w:val="auto"/>
        </w:rPr>
        <w:t>0</w:t>
      </w:r>
      <w:r w:rsidR="00D74540">
        <w:rPr>
          <w:color w:val="auto"/>
        </w:rPr>
        <w:t xml:space="preserve"> and 30-</w:t>
      </w:r>
      <w:r w:rsidRPr="00CC427D" w:rsidR="007711B4">
        <w:rPr>
          <w:color w:val="auto"/>
        </w:rPr>
        <w:t xml:space="preserve">day </w:t>
      </w:r>
      <w:r w:rsidR="00D74540">
        <w:rPr>
          <w:color w:val="auto"/>
        </w:rPr>
        <w:t>commenting period.</w:t>
      </w:r>
    </w:p>
    <w:p w:rsidR="00320387" w:rsidP="00320387" w14:paraId="4323AB97" w14:textId="77777777">
      <w:pPr>
        <w:pStyle w:val="IndexHeading"/>
        <w:keepNext w:val="0"/>
        <w:numPr>
          <w:ilvl w:val="12"/>
          <w:numId w:val="0"/>
        </w:numPr>
        <w:spacing w:line="240" w:lineRule="auto"/>
        <w:rPr>
          <w:rFonts w:ascii="Times New Roman" w:hAnsi="Times New Roman"/>
          <w:spacing w:val="0"/>
        </w:rPr>
      </w:pPr>
    </w:p>
    <w:p w:rsidR="00320387" w:rsidP="00320387" w14:paraId="4A7A9A4B"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5C7E124D" w14:textId="77777777">
      <w:pPr>
        <w:keepNext/>
        <w:numPr>
          <w:ilvl w:val="12"/>
          <w:numId w:val="0"/>
        </w:numPr>
        <w:ind w:left="360"/>
      </w:pPr>
    </w:p>
    <w:p w:rsidR="006527AD" w:rsidP="006527AD" w14:paraId="6B90F2C1" w14:textId="77777777">
      <w:pPr>
        <w:tabs>
          <w:tab w:val="left" w:pos="360"/>
        </w:tabs>
        <w:ind w:left="360"/>
      </w:pPr>
      <w:r>
        <w:t>TSA will not provide any payment or gift to respondents.</w:t>
      </w:r>
    </w:p>
    <w:p w:rsidR="00320387" w:rsidP="00320387" w14:paraId="32BDCDB3" w14:textId="77777777">
      <w:pPr>
        <w:numPr>
          <w:ilvl w:val="12"/>
          <w:numId w:val="0"/>
        </w:numPr>
      </w:pPr>
    </w:p>
    <w:p w:rsidR="00320387" w:rsidP="00320387" w14:paraId="368921F9"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45E90E0C" w14:textId="77777777">
      <w:pPr>
        <w:keepNext/>
        <w:numPr>
          <w:ilvl w:val="12"/>
          <w:numId w:val="0"/>
        </w:numPr>
        <w:ind w:left="360"/>
      </w:pPr>
    </w:p>
    <w:p w:rsidR="006527AD" w:rsidP="005714A1" w14:paraId="18CCABDE" w14:textId="40603AF3">
      <w:pPr>
        <w:tabs>
          <w:tab w:val="left" w:pos="360"/>
        </w:tabs>
        <w:ind w:left="360"/>
      </w:pPr>
      <w:r>
        <w:t>TSA will maintain the information according to the Privacy Act, OPM/GOVT-10 System</w:t>
      </w:r>
      <w:r w:rsidR="00B853AB">
        <w:t>, Employee Medical File</w:t>
      </w:r>
      <w:r>
        <w:t xml:space="preserve"> of Records </w:t>
      </w:r>
      <w:r w:rsidR="007B6B26">
        <w:t xml:space="preserve">of </w:t>
      </w:r>
      <w:r w:rsidR="00476F4D">
        <w:t>TSO</w:t>
      </w:r>
      <w:r w:rsidR="007B6B26">
        <w:t xml:space="preserve"> candidates who are </w:t>
      </w:r>
      <w:r>
        <w:t>hired, or under the OPM/GOVT-5</w:t>
      </w:r>
      <w:r w:rsidR="00B853AB">
        <w:t>, Recruiting, Examining, and Placement</w:t>
      </w:r>
      <w:r>
        <w:t xml:space="preserve"> System of Records </w:t>
      </w:r>
      <w:r w:rsidR="007B6B26">
        <w:t xml:space="preserve">of </w:t>
      </w:r>
      <w:r w:rsidR="00476F4D">
        <w:t>TSO</w:t>
      </w:r>
      <w:r w:rsidR="007B6B26">
        <w:t xml:space="preserve"> candidates who are </w:t>
      </w:r>
      <w:r>
        <w:t xml:space="preserve">not hired.  TSA will maintain the information in a secured area with access limited to authorized personnel </w:t>
      </w:r>
      <w:r w:rsidR="00B55F8E">
        <w:t>who have a business need to know the information</w:t>
      </w:r>
      <w:r>
        <w:t>.</w:t>
      </w:r>
      <w:r w:rsidRPr="005714A1" w:rsidR="005714A1">
        <w:t xml:space="preserve"> </w:t>
      </w:r>
      <w:r w:rsidR="00EC1475">
        <w:t xml:space="preserve"> </w:t>
      </w:r>
      <w:r w:rsidR="00C836AD">
        <w:t xml:space="preserve">The collection is also covered by SORN – DHS/TSA-022, which reflects TSA’s move from its legacy payroll and personnel system to become a payroll customer of the USDA’s National Finance Center.  </w:t>
      </w:r>
      <w:r w:rsidR="00E96C5A">
        <w:t>DHS published a</w:t>
      </w:r>
      <w:r w:rsidR="005714A1">
        <w:t xml:space="preserve"> Privacy Impact Assessment for the HRAccess Program on July 28, 2009.</w:t>
      </w:r>
    </w:p>
    <w:p w:rsidR="00B853AB" w:rsidP="006527AD" w14:paraId="7EEA1E64" w14:textId="77777777">
      <w:pPr>
        <w:tabs>
          <w:tab w:val="left" w:pos="360"/>
        </w:tabs>
        <w:ind w:left="360"/>
      </w:pPr>
    </w:p>
    <w:p w:rsidR="00B853AB" w:rsidP="00B853AB" w14:paraId="769CCBC0"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BC502D" w:rsidP="00B853AB" w14:paraId="78417477" w14:textId="77777777">
      <w:pPr>
        <w:numPr>
          <w:ilvl w:val="12"/>
          <w:numId w:val="0"/>
        </w:numPr>
      </w:pPr>
    </w:p>
    <w:p w:rsidR="00F52394" w14:paraId="021DF2D8" w14:textId="46942BEC">
      <w:pPr>
        <w:numPr>
          <w:ilvl w:val="12"/>
          <w:numId w:val="0"/>
        </w:numPr>
        <w:ind w:left="360"/>
      </w:pPr>
      <w:r>
        <w:t xml:space="preserve">While some of the questions TSA </w:t>
      </w:r>
      <w:r w:rsidR="00D74540">
        <w:t>poses</w:t>
      </w:r>
      <w:r>
        <w:t xml:space="preserve"> could be considered to be of a </w:t>
      </w:r>
      <w:r w:rsidR="00E96C5A">
        <w:t xml:space="preserve">private, </w:t>
      </w:r>
      <w:r>
        <w:t xml:space="preserve">sensitive nature, TSA deems this collection necessary to evaluate a candidate’s medical suitability for the TSO job.  </w:t>
      </w:r>
      <w:r w:rsidR="00E96C5A">
        <w:t>Consistent with the requirements in 49 U.S.C. 44935, t</w:t>
      </w:r>
      <w:r>
        <w:t>h</w:t>
      </w:r>
      <w:r w:rsidR="00E96C5A">
        <w:t>is</w:t>
      </w:r>
      <w:r>
        <w:t xml:space="preserve"> collection is essential to ensure that individuals performing TSA’s security mission are physically able to perform their duties safely, with minimal risk of injury to themselves or others, and in a manner that does not compromise security.</w:t>
      </w:r>
      <w:r w:rsidR="00BC502D">
        <w:t xml:space="preserve">  As noted above, TSA will follow appropriate procedures to protect this information from unauthorized disclosure.</w:t>
      </w:r>
    </w:p>
    <w:p w:rsidR="00B853AB" w:rsidP="00B853AB" w14:paraId="51F9F473" w14:textId="77777777">
      <w:pPr>
        <w:numPr>
          <w:ilvl w:val="12"/>
          <w:numId w:val="0"/>
        </w:numPr>
      </w:pPr>
    </w:p>
    <w:p w:rsidR="00B853AB" w:rsidP="00B853AB" w14:paraId="7D23D184" w14:textId="77777777">
      <w:pPr>
        <w:keepNext/>
        <w:numPr>
          <w:ilvl w:val="0"/>
          <w:numId w:val="1"/>
        </w:numPr>
        <w:tabs>
          <w:tab w:val="left" w:pos="360"/>
        </w:tabs>
        <w:rPr>
          <w:b/>
          <w:i/>
        </w:rPr>
      </w:pPr>
      <w:r>
        <w:rPr>
          <w:b/>
          <w:i/>
        </w:rPr>
        <w:t>Provide estimates of hour</w:t>
      </w:r>
      <w:r w:rsidR="002A42C2">
        <w:rPr>
          <w:b/>
          <w:i/>
        </w:rPr>
        <w:t xml:space="preserve"> and cost burden</w:t>
      </w:r>
      <w:r>
        <w:rPr>
          <w:b/>
          <w:i/>
        </w:rPr>
        <w:t xml:space="preserve"> of the collection of information.</w:t>
      </w:r>
    </w:p>
    <w:p w:rsidR="00B853AB" w:rsidP="00B853AB" w14:paraId="6229C1D1" w14:textId="77777777">
      <w:pPr>
        <w:keepNext/>
        <w:numPr>
          <w:ilvl w:val="12"/>
          <w:numId w:val="0"/>
        </w:numPr>
        <w:ind w:left="360"/>
      </w:pPr>
    </w:p>
    <w:p w:rsidR="004054E6" w:rsidRPr="004054E6" w:rsidP="004054E6" w14:paraId="76FD5B58" w14:textId="36250566">
      <w:pPr>
        <w:ind w:left="360"/>
        <w:rPr>
          <w:rFonts w:eastAsia="Calibri" w:cs="Times New Roman"/>
          <w:color w:val="auto"/>
        </w:rPr>
      </w:pPr>
      <w:r w:rsidRPr="7507F861">
        <w:rPr>
          <w:rFonts w:eastAsia="Calibri" w:cs="Times New Roman"/>
          <w:color w:val="auto"/>
        </w:rPr>
        <w:t>TSA uses the SOMQ</w:t>
      </w:r>
      <w:r w:rsidRPr="7507F861" w:rsidR="00D74540">
        <w:rPr>
          <w:rFonts w:eastAsia="Calibri" w:cs="Times New Roman"/>
          <w:color w:val="auto"/>
        </w:rPr>
        <w:t xml:space="preserve"> and will use the</w:t>
      </w:r>
      <w:r w:rsidRPr="00E45735" w:rsidR="00E45735">
        <w:t xml:space="preserve"> </w:t>
      </w:r>
      <w:r w:rsidRPr="7507F861" w:rsidR="00E45735">
        <w:rPr>
          <w:rFonts w:eastAsia="Calibri" w:cs="Times New Roman"/>
          <w:color w:val="auto"/>
        </w:rPr>
        <w:t>TSO Medical Clearance Form</w:t>
      </w:r>
      <w:r w:rsidRPr="7507F861" w:rsidR="00D74540">
        <w:rPr>
          <w:rFonts w:eastAsia="Calibri" w:cs="Times New Roman"/>
          <w:color w:val="auto"/>
        </w:rPr>
        <w:t xml:space="preserve"> </w:t>
      </w:r>
      <w:r w:rsidRPr="7507F861">
        <w:rPr>
          <w:rFonts w:eastAsia="Calibri" w:cs="Times New Roman"/>
          <w:color w:val="auto"/>
        </w:rPr>
        <w:t xml:space="preserve">to collect the information necessary to assist in making determinations regarding the medical and physical abilities of </w:t>
      </w:r>
      <w:r w:rsidRPr="7507F861" w:rsidR="76D49C61">
        <w:rPr>
          <w:rFonts w:eastAsia="Calibri" w:cs="Times New Roman"/>
          <w:color w:val="auto"/>
        </w:rPr>
        <w:t>candidates</w:t>
      </w:r>
      <w:r w:rsidRPr="7507F861">
        <w:rPr>
          <w:rFonts w:eastAsia="Calibri" w:cs="Times New Roman"/>
          <w:color w:val="auto"/>
        </w:rPr>
        <w:t xml:space="preserve"> for </w:t>
      </w:r>
      <w:r w:rsidRPr="7507F861" w:rsidR="00A768CF">
        <w:rPr>
          <w:rFonts w:eastAsia="Calibri" w:cs="Times New Roman"/>
          <w:color w:val="auto"/>
        </w:rPr>
        <w:t xml:space="preserve">the position of </w:t>
      </w:r>
      <w:r w:rsidRPr="7507F861" w:rsidR="000F57B9">
        <w:rPr>
          <w:rFonts w:eastAsia="Calibri" w:cs="Times New Roman"/>
          <w:color w:val="auto"/>
        </w:rPr>
        <w:t xml:space="preserve">TSO </w:t>
      </w:r>
      <w:r w:rsidRPr="7507F861">
        <w:rPr>
          <w:rFonts w:eastAsia="Calibri" w:cs="Times New Roman"/>
          <w:color w:val="auto"/>
        </w:rPr>
        <w:t>to successfully perform the job.</w:t>
      </w:r>
      <w:r w:rsidRPr="7507F861" w:rsidR="00025714">
        <w:rPr>
          <w:rFonts w:eastAsia="Calibri" w:cs="Times New Roman"/>
          <w:color w:val="auto"/>
        </w:rPr>
        <w:t xml:space="preserve"> </w:t>
      </w:r>
      <w:r w:rsidRPr="7507F861">
        <w:rPr>
          <w:rFonts w:eastAsia="Calibri" w:cs="Times New Roman"/>
          <w:color w:val="auto"/>
        </w:rPr>
        <w:t xml:space="preserve"> The hour and cost burden calculations </w:t>
      </w:r>
      <w:r w:rsidRPr="7507F861" w:rsidR="00F20364">
        <w:rPr>
          <w:rFonts w:eastAsia="Calibri" w:cs="Times New Roman"/>
          <w:color w:val="auto"/>
        </w:rPr>
        <w:t>assume</w:t>
      </w:r>
      <w:r w:rsidRPr="7507F861">
        <w:rPr>
          <w:rFonts w:eastAsia="Calibri" w:cs="Times New Roman"/>
          <w:color w:val="auto"/>
        </w:rPr>
        <w:t xml:space="preserve"> all </w:t>
      </w:r>
      <w:r w:rsidRPr="7507F861" w:rsidR="76D49C61">
        <w:rPr>
          <w:rFonts w:eastAsia="Calibri" w:cs="Times New Roman"/>
          <w:color w:val="auto"/>
        </w:rPr>
        <w:t>candidates</w:t>
      </w:r>
      <w:r w:rsidRPr="7507F861">
        <w:rPr>
          <w:rFonts w:eastAsia="Calibri" w:cs="Times New Roman"/>
          <w:color w:val="auto"/>
        </w:rPr>
        <w:t xml:space="preserve"> for a TSO position complet</w:t>
      </w:r>
      <w:r w:rsidRPr="7507F861" w:rsidR="00213575">
        <w:rPr>
          <w:rFonts w:eastAsia="Calibri" w:cs="Times New Roman"/>
          <w:color w:val="auto"/>
        </w:rPr>
        <w:t>e</w:t>
      </w:r>
      <w:r w:rsidRPr="7507F861" w:rsidR="00B74405">
        <w:rPr>
          <w:rFonts w:eastAsia="Calibri" w:cs="Times New Roman"/>
          <w:color w:val="auto"/>
        </w:rPr>
        <w:t xml:space="preserve"> the required </w:t>
      </w:r>
      <w:r w:rsidRPr="7507F861">
        <w:rPr>
          <w:rFonts w:eastAsia="Calibri" w:cs="Times New Roman"/>
          <w:color w:val="auto"/>
        </w:rPr>
        <w:t>SOMQ</w:t>
      </w:r>
      <w:r w:rsidRPr="7507F861" w:rsidR="00E45735">
        <w:rPr>
          <w:rFonts w:eastAsia="Calibri" w:cs="Times New Roman"/>
          <w:color w:val="auto"/>
        </w:rPr>
        <w:t xml:space="preserve"> and the </w:t>
      </w:r>
      <w:r w:rsidRPr="00B055EC" w:rsidR="00E45735">
        <w:t>TSO Medical Clearance Form</w:t>
      </w:r>
      <w:r w:rsidRPr="02CC6D35">
        <w:rPr>
          <w:rFonts w:eastAsia="Calibri" w:cs="Times New Roman"/>
          <w:color w:val="auto"/>
        </w:rPr>
        <w:t>.</w:t>
      </w:r>
      <w:r>
        <w:rPr>
          <w:rStyle w:val="FootnoteReference"/>
          <w:rFonts w:eastAsia="Calibri" w:cs="Times New Roman"/>
          <w:color w:val="auto"/>
        </w:rPr>
        <w:footnoteReference w:id="2"/>
      </w:r>
    </w:p>
    <w:p w:rsidR="004054E6" w:rsidRPr="004054E6" w:rsidP="004054E6" w14:paraId="70A638CD" w14:textId="77777777">
      <w:pPr>
        <w:ind w:left="360"/>
        <w:rPr>
          <w:rFonts w:eastAsia="Calibri" w:cs="Times New Roman"/>
          <w:color w:val="auto"/>
          <w:szCs w:val="22"/>
        </w:rPr>
      </w:pPr>
    </w:p>
    <w:p w:rsidR="002A18B5" w14:paraId="6C04602B" w14:textId="0A07626C">
      <w:pPr>
        <w:spacing w:line="259" w:lineRule="auto"/>
        <w:ind w:left="360"/>
        <w:rPr>
          <w:rFonts w:eastAsia="Calibri" w:cs="Times New Roman"/>
          <w:color w:val="auto"/>
        </w:rPr>
      </w:pPr>
      <w:r w:rsidRPr="26B979E9">
        <w:rPr>
          <w:rFonts w:eastAsia="Calibri" w:cs="Times New Roman"/>
          <w:color w:val="auto"/>
        </w:rPr>
        <w:t xml:space="preserve">TSA estimates </w:t>
      </w:r>
      <w:r w:rsidR="002F1FE6">
        <w:rPr>
          <w:rFonts w:eastAsia="Calibri" w:cs="Times New Roman"/>
          <w:color w:val="auto"/>
        </w:rPr>
        <w:t xml:space="preserve">an </w:t>
      </w:r>
      <w:r w:rsidRPr="26B979E9">
        <w:rPr>
          <w:rFonts w:eastAsia="Calibri" w:cs="Times New Roman"/>
          <w:color w:val="auto"/>
        </w:rPr>
        <w:t xml:space="preserve">average annual number of </w:t>
      </w:r>
      <w:r w:rsidRPr="26B979E9" w:rsidR="00FC630C">
        <w:rPr>
          <w:rFonts w:eastAsia="Calibri" w:cs="Times New Roman"/>
          <w:color w:val="auto"/>
        </w:rPr>
        <w:t xml:space="preserve">respondents </w:t>
      </w:r>
      <w:r w:rsidR="00DA60DC">
        <w:rPr>
          <w:rFonts w:eastAsia="Calibri" w:cs="Times New Roman"/>
          <w:color w:val="auto"/>
        </w:rPr>
        <w:t xml:space="preserve">completing the SOMQ and </w:t>
      </w:r>
      <w:r w:rsidR="00A043EF">
        <w:rPr>
          <w:rFonts w:eastAsia="Calibri" w:cs="Times New Roman"/>
          <w:color w:val="auto"/>
        </w:rPr>
        <w:t xml:space="preserve">TSO Medical Clearance Form </w:t>
      </w:r>
      <w:r w:rsidR="00884CDF">
        <w:rPr>
          <w:rFonts w:eastAsia="Calibri" w:cs="Times New Roman"/>
          <w:color w:val="auto"/>
        </w:rPr>
        <w:t xml:space="preserve">of </w:t>
      </w:r>
      <w:r w:rsidRPr="26B979E9" w:rsidR="00EA48A1">
        <w:rPr>
          <w:rFonts w:eastAsia="Calibri" w:cs="Times New Roman"/>
          <w:color w:val="auto"/>
        </w:rPr>
        <w:t xml:space="preserve">approximately </w:t>
      </w:r>
      <w:r w:rsidRPr="26B979E9" w:rsidR="002137B1">
        <w:rPr>
          <w:rFonts w:eastAsia="Calibri" w:cs="Times New Roman"/>
          <w:color w:val="auto"/>
        </w:rPr>
        <w:t>18</w:t>
      </w:r>
      <w:r w:rsidRPr="26B979E9" w:rsidR="00EA48A1">
        <w:rPr>
          <w:rFonts w:eastAsia="Calibri" w:cs="Times New Roman"/>
          <w:color w:val="auto"/>
        </w:rPr>
        <w:t>,</w:t>
      </w:r>
      <w:r w:rsidRPr="26B979E9" w:rsidR="0076300D">
        <w:rPr>
          <w:rFonts w:eastAsia="Calibri" w:cs="Times New Roman"/>
          <w:color w:val="auto"/>
        </w:rPr>
        <w:t>0</w:t>
      </w:r>
      <w:r w:rsidRPr="26B979E9" w:rsidR="00EA48A1">
        <w:rPr>
          <w:rFonts w:eastAsia="Calibri" w:cs="Times New Roman"/>
          <w:color w:val="auto"/>
        </w:rPr>
        <w:t>00</w:t>
      </w:r>
      <w:r w:rsidRPr="26B979E9" w:rsidR="00BF32D9">
        <w:rPr>
          <w:rFonts w:eastAsia="Calibri" w:cs="Times New Roman"/>
          <w:color w:val="auto"/>
        </w:rPr>
        <w:t>.</w:t>
      </w:r>
      <w:r>
        <w:rPr>
          <w:rStyle w:val="FootnoteReference"/>
          <w:rFonts w:eastAsia="Calibri" w:cs="Times New Roman"/>
          <w:color w:val="auto"/>
        </w:rPr>
        <w:footnoteReference w:id="3"/>
      </w:r>
      <w:r w:rsidRPr="2CCF6B5C" w:rsidR="00FC630C">
        <w:rPr>
          <w:rFonts w:eastAsia="Calibri" w:cs="Times New Roman"/>
          <w:color w:val="auto"/>
        </w:rPr>
        <w:t xml:space="preserve"> </w:t>
      </w:r>
      <w:r w:rsidRPr="26B979E9" w:rsidR="00025714">
        <w:rPr>
          <w:rFonts w:eastAsia="Calibri" w:cs="Times New Roman"/>
          <w:color w:val="auto"/>
        </w:rPr>
        <w:t xml:space="preserve"> </w:t>
      </w:r>
      <w:r w:rsidRPr="26B979E9" w:rsidR="006B2936">
        <w:rPr>
          <w:rFonts w:eastAsia="Calibri" w:cs="Times New Roman"/>
          <w:color w:val="auto"/>
        </w:rPr>
        <w:t xml:space="preserve">TSA </w:t>
      </w:r>
      <w:r w:rsidR="00AD2429">
        <w:rPr>
          <w:rFonts w:eastAsia="Calibri" w:cs="Times New Roman"/>
          <w:color w:val="auto"/>
        </w:rPr>
        <w:t xml:space="preserve">estimates </w:t>
      </w:r>
      <w:r w:rsidR="0069748F">
        <w:rPr>
          <w:rFonts w:eastAsia="Calibri" w:cs="Times New Roman"/>
          <w:color w:val="auto"/>
        </w:rPr>
        <w:t>t</w:t>
      </w:r>
      <w:r w:rsidRPr="461B9A00" w:rsidR="006B2936">
        <w:rPr>
          <w:rFonts w:eastAsia="Calibri" w:cs="Times New Roman"/>
          <w:color w:val="auto"/>
        </w:rPr>
        <w:t>he</w:t>
      </w:r>
      <w:r w:rsidRPr="26B979E9" w:rsidR="006B2936">
        <w:rPr>
          <w:rFonts w:eastAsia="Calibri" w:cs="Times New Roman"/>
          <w:color w:val="auto"/>
        </w:rPr>
        <w:t xml:space="preserve"> </w:t>
      </w:r>
      <w:r w:rsidR="00EF15C9">
        <w:rPr>
          <w:rFonts w:eastAsia="Calibri" w:cs="Times New Roman"/>
          <w:color w:val="auto"/>
        </w:rPr>
        <w:t>average</w:t>
      </w:r>
      <w:r w:rsidRPr="26B979E9" w:rsidR="006B2936">
        <w:rPr>
          <w:rFonts w:eastAsia="Calibri" w:cs="Times New Roman"/>
          <w:color w:val="auto"/>
        </w:rPr>
        <w:t xml:space="preserve"> </w:t>
      </w:r>
      <w:r w:rsidRPr="26B979E9" w:rsidR="00E733EB">
        <w:rPr>
          <w:rFonts w:eastAsia="Calibri" w:cs="Times New Roman"/>
          <w:color w:val="auto"/>
        </w:rPr>
        <w:t xml:space="preserve">time to complete the </w:t>
      </w:r>
      <w:r w:rsidRPr="26B979E9" w:rsidR="00920EC1">
        <w:rPr>
          <w:rFonts w:eastAsia="Calibri" w:cs="Times New Roman"/>
          <w:color w:val="auto"/>
        </w:rPr>
        <w:t xml:space="preserve">SOMQ online tool </w:t>
      </w:r>
      <w:r w:rsidRPr="26B979E9" w:rsidR="0082363F">
        <w:rPr>
          <w:rFonts w:eastAsia="Calibri" w:cs="Times New Roman"/>
          <w:color w:val="auto"/>
        </w:rPr>
        <w:t>is</w:t>
      </w:r>
      <w:r w:rsidRPr="6F040CE4" w:rsidR="6A71475D">
        <w:rPr>
          <w:rFonts w:eastAsia="Calibri" w:cs="Times New Roman"/>
          <w:color w:val="auto"/>
        </w:rPr>
        <w:t xml:space="preserve"> </w:t>
      </w:r>
      <w:r w:rsidRPr="6F040CE4" w:rsidR="00920EC1">
        <w:rPr>
          <w:rFonts w:eastAsia="Calibri" w:cs="Times New Roman"/>
          <w:color w:val="auto"/>
        </w:rPr>
        <w:t>30</w:t>
      </w:r>
      <w:r w:rsidRPr="26B979E9" w:rsidR="0082363F">
        <w:rPr>
          <w:rFonts w:eastAsia="Calibri" w:cs="Times New Roman"/>
          <w:color w:val="auto"/>
        </w:rPr>
        <w:t xml:space="preserve"> minutes</w:t>
      </w:r>
      <w:r w:rsidRPr="26B979E9" w:rsidR="008B18A5">
        <w:rPr>
          <w:rFonts w:eastAsia="Calibri" w:cs="Times New Roman"/>
          <w:color w:val="auto"/>
        </w:rPr>
        <w:t xml:space="preserve"> (0.5</w:t>
      </w:r>
      <w:r w:rsidRPr="26B979E9" w:rsidR="00B7513D">
        <w:rPr>
          <w:rFonts w:eastAsia="Calibri" w:cs="Times New Roman"/>
          <w:color w:val="auto"/>
        </w:rPr>
        <w:t xml:space="preserve">0 </w:t>
      </w:r>
      <w:r w:rsidRPr="26B979E9" w:rsidR="00D01369">
        <w:rPr>
          <w:rFonts w:eastAsia="Calibri" w:cs="Times New Roman"/>
          <w:color w:val="auto"/>
        </w:rPr>
        <w:t>hours)</w:t>
      </w:r>
      <w:r w:rsidR="009028B7">
        <w:rPr>
          <w:rFonts w:eastAsia="Calibri" w:cs="Times New Roman"/>
          <w:color w:val="auto"/>
        </w:rPr>
        <w:t>.</w:t>
      </w:r>
      <w:r w:rsidR="00B175B7">
        <w:rPr>
          <w:rFonts w:eastAsia="Calibri" w:cs="Times New Roman"/>
          <w:color w:val="auto"/>
        </w:rPr>
        <w:t xml:space="preserve"> </w:t>
      </w:r>
      <w:r w:rsidR="00B52954">
        <w:rPr>
          <w:rFonts w:eastAsia="Calibri" w:cs="Times New Roman"/>
          <w:color w:val="auto"/>
        </w:rPr>
        <w:t xml:space="preserve"> </w:t>
      </w:r>
      <w:r w:rsidRPr="28786319" w:rsidR="253323E7">
        <w:rPr>
          <w:rFonts w:eastAsia="Calibri" w:cs="Times New Roman"/>
          <w:color w:val="auto"/>
        </w:rPr>
        <w:t>Previously the SOMQ was a written form</w:t>
      </w:r>
      <w:r w:rsidR="00B66A46">
        <w:rPr>
          <w:rFonts w:eastAsia="Calibri" w:cs="Times New Roman"/>
          <w:color w:val="auto"/>
        </w:rPr>
        <w:t xml:space="preserve">, </w:t>
      </w:r>
      <w:r w:rsidR="0020417C">
        <w:rPr>
          <w:rFonts w:eastAsia="Calibri" w:cs="Times New Roman"/>
          <w:color w:val="auto"/>
        </w:rPr>
        <w:t xml:space="preserve">which took respondents approximately 45 minutes to complete. </w:t>
      </w:r>
      <w:r w:rsidR="00772BBA">
        <w:rPr>
          <w:rFonts w:eastAsia="Calibri" w:cs="Times New Roman"/>
          <w:color w:val="auto"/>
        </w:rPr>
        <w:t xml:space="preserve"> The SOMQ</w:t>
      </w:r>
      <w:r w:rsidRPr="02CC6D35" w:rsidR="253323E7">
        <w:rPr>
          <w:rFonts w:eastAsia="Calibri" w:cs="Times New Roman"/>
          <w:color w:val="auto"/>
        </w:rPr>
        <w:t xml:space="preserve"> </w:t>
      </w:r>
      <w:r w:rsidRPr="28786319" w:rsidR="253323E7">
        <w:rPr>
          <w:rFonts w:eastAsia="Calibri" w:cs="Times New Roman"/>
          <w:color w:val="auto"/>
        </w:rPr>
        <w:t xml:space="preserve">has been </w:t>
      </w:r>
      <w:r w:rsidR="00772BBA">
        <w:rPr>
          <w:rFonts w:eastAsia="Calibri" w:cs="Times New Roman"/>
          <w:color w:val="auto"/>
        </w:rPr>
        <w:t>transitioned</w:t>
      </w:r>
      <w:r w:rsidRPr="28786319" w:rsidR="253323E7">
        <w:rPr>
          <w:rFonts w:eastAsia="Calibri" w:cs="Times New Roman"/>
          <w:color w:val="auto"/>
        </w:rPr>
        <w:t xml:space="preserve"> to an online form</w:t>
      </w:r>
      <w:r w:rsidR="006B2CE1">
        <w:rPr>
          <w:rFonts w:eastAsia="Calibri" w:cs="Times New Roman"/>
          <w:color w:val="auto"/>
        </w:rPr>
        <w:t xml:space="preserve">, which </w:t>
      </w:r>
      <w:r w:rsidR="00F87A5B">
        <w:rPr>
          <w:rFonts w:eastAsia="Calibri" w:cs="Times New Roman"/>
          <w:color w:val="auto"/>
        </w:rPr>
        <w:t xml:space="preserve">is estimated to require </w:t>
      </w:r>
      <w:r w:rsidRPr="28786319" w:rsidR="253323E7">
        <w:rPr>
          <w:rFonts w:eastAsia="Calibri" w:cs="Times New Roman"/>
          <w:color w:val="auto"/>
        </w:rPr>
        <w:t xml:space="preserve">30 </w:t>
      </w:r>
      <w:r w:rsidRPr="02CC6D35" w:rsidR="253323E7">
        <w:rPr>
          <w:rFonts w:eastAsia="Calibri" w:cs="Times New Roman"/>
          <w:color w:val="auto"/>
        </w:rPr>
        <w:t>minut</w:t>
      </w:r>
      <w:r w:rsidR="00F87A5B">
        <w:rPr>
          <w:rFonts w:eastAsia="Calibri" w:cs="Times New Roman"/>
          <w:color w:val="auto"/>
        </w:rPr>
        <w:t>es to complete</w:t>
      </w:r>
      <w:r w:rsidR="00BE5A5F">
        <w:rPr>
          <w:rFonts w:eastAsia="Calibri" w:cs="Times New Roman"/>
          <w:color w:val="auto"/>
        </w:rPr>
        <w:t xml:space="preserve"> (a 15-</w:t>
      </w:r>
      <w:r w:rsidRPr="28786319" w:rsidR="253323E7">
        <w:rPr>
          <w:rFonts w:eastAsia="Calibri" w:cs="Times New Roman"/>
          <w:color w:val="auto"/>
        </w:rPr>
        <w:t xml:space="preserve">minute </w:t>
      </w:r>
      <w:r w:rsidR="00BE5A5F">
        <w:rPr>
          <w:rFonts w:eastAsia="Calibri" w:cs="Times New Roman"/>
          <w:color w:val="auto"/>
        </w:rPr>
        <w:t xml:space="preserve">reduction in </w:t>
      </w:r>
      <w:r w:rsidRPr="28786319" w:rsidR="253323E7">
        <w:rPr>
          <w:rFonts w:eastAsia="Calibri" w:cs="Times New Roman"/>
          <w:color w:val="auto"/>
        </w:rPr>
        <w:t>time burden)</w:t>
      </w:r>
      <w:r w:rsidR="00F87A5B">
        <w:rPr>
          <w:rFonts w:eastAsia="Calibri" w:cs="Times New Roman"/>
          <w:color w:val="auto"/>
        </w:rPr>
        <w:t xml:space="preserve">. </w:t>
      </w:r>
      <w:r w:rsidR="00B52954">
        <w:rPr>
          <w:rFonts w:eastAsia="Calibri" w:cs="Times New Roman"/>
          <w:color w:val="auto"/>
        </w:rPr>
        <w:t xml:space="preserve"> </w:t>
      </w:r>
      <w:r w:rsidR="009028B7">
        <w:rPr>
          <w:rFonts w:eastAsia="Calibri" w:cs="Times New Roman"/>
          <w:color w:val="auto"/>
        </w:rPr>
        <w:t xml:space="preserve">This </w:t>
      </w:r>
      <w:r w:rsidRPr="26B979E9" w:rsidR="00AA59D5">
        <w:rPr>
          <w:rFonts w:eastAsia="Calibri" w:cs="Times New Roman"/>
          <w:color w:val="auto"/>
        </w:rPr>
        <w:t>result</w:t>
      </w:r>
      <w:r w:rsidR="009028B7">
        <w:rPr>
          <w:rFonts w:eastAsia="Calibri" w:cs="Times New Roman"/>
          <w:color w:val="auto"/>
        </w:rPr>
        <w:t>s</w:t>
      </w:r>
      <w:r w:rsidRPr="26B979E9" w:rsidR="00AA59D5">
        <w:rPr>
          <w:rFonts w:eastAsia="Calibri" w:cs="Times New Roman"/>
          <w:color w:val="auto"/>
        </w:rPr>
        <w:t xml:space="preserve"> in an annual </w:t>
      </w:r>
      <w:r w:rsidR="009028B7">
        <w:rPr>
          <w:rFonts w:eastAsia="Calibri" w:cs="Times New Roman"/>
          <w:color w:val="auto"/>
        </w:rPr>
        <w:t xml:space="preserve">SOMQ </w:t>
      </w:r>
      <w:r w:rsidRPr="26B979E9" w:rsidR="00AA59D5">
        <w:rPr>
          <w:rFonts w:eastAsia="Calibri" w:cs="Times New Roman"/>
          <w:color w:val="auto"/>
        </w:rPr>
        <w:t>burden hour o</w:t>
      </w:r>
      <w:r w:rsidRPr="26B979E9" w:rsidR="007B6A9C">
        <w:rPr>
          <w:rFonts w:eastAsia="Calibri" w:cs="Times New Roman"/>
          <w:color w:val="auto"/>
        </w:rPr>
        <w:t xml:space="preserve">f </w:t>
      </w:r>
      <w:r w:rsidRPr="26B979E9" w:rsidR="00F43D25">
        <w:rPr>
          <w:rFonts w:eastAsia="Calibri" w:cs="Times New Roman"/>
          <w:color w:val="auto"/>
        </w:rPr>
        <w:t>9,000</w:t>
      </w:r>
      <w:r w:rsidRPr="26B979E9" w:rsidR="007B6A9C">
        <w:rPr>
          <w:rFonts w:eastAsia="Calibri" w:cs="Times New Roman"/>
          <w:color w:val="auto"/>
        </w:rPr>
        <w:t xml:space="preserve"> hours</w:t>
      </w:r>
      <w:r w:rsidRPr="26B979E9" w:rsidR="00195795">
        <w:rPr>
          <w:rFonts w:eastAsia="Calibri" w:cs="Times New Roman"/>
          <w:color w:val="auto"/>
        </w:rPr>
        <w:t xml:space="preserve"> (18,000 respondents x </w:t>
      </w:r>
      <w:r w:rsidRPr="26B979E9" w:rsidR="00D26416">
        <w:rPr>
          <w:rFonts w:eastAsia="Calibri" w:cs="Times New Roman"/>
          <w:color w:val="auto"/>
        </w:rPr>
        <w:t>0.50 hours</w:t>
      </w:r>
      <w:r w:rsidRPr="26B979E9" w:rsidR="00FD1973">
        <w:rPr>
          <w:rFonts w:eastAsia="Calibri" w:cs="Times New Roman"/>
          <w:color w:val="auto"/>
        </w:rPr>
        <w:t>)</w:t>
      </w:r>
      <w:r w:rsidRPr="26B979E9" w:rsidR="00D01369">
        <w:rPr>
          <w:rFonts w:eastAsia="Calibri" w:cs="Times New Roman"/>
          <w:color w:val="auto"/>
        </w:rPr>
        <w:t>.</w:t>
      </w:r>
    </w:p>
    <w:p w:rsidR="00137CE8" w14:paraId="798108B2" w14:textId="77777777">
      <w:pPr>
        <w:spacing w:line="259" w:lineRule="auto"/>
        <w:ind w:left="360"/>
        <w:rPr>
          <w:rFonts w:eastAsia="Calibri" w:cs="Times New Roman"/>
          <w:color w:val="auto"/>
        </w:rPr>
      </w:pPr>
    </w:p>
    <w:p w:rsidR="00AF3524" w14:paraId="34379F56" w14:textId="64370700">
      <w:pPr>
        <w:spacing w:line="259" w:lineRule="auto"/>
        <w:ind w:left="360"/>
        <w:rPr>
          <w:rFonts w:eastAsia="Calibri" w:cs="Times New Roman"/>
          <w:color w:val="auto"/>
        </w:rPr>
      </w:pPr>
      <w:r>
        <w:rPr>
          <w:rFonts w:eastAsia="Calibri" w:cs="Times New Roman"/>
          <w:color w:val="auto"/>
        </w:rPr>
        <w:t>In addition</w:t>
      </w:r>
      <w:r w:rsidRPr="26B979E9" w:rsidR="00E16AA2">
        <w:rPr>
          <w:rFonts w:eastAsia="Calibri" w:cs="Times New Roman"/>
          <w:color w:val="auto"/>
        </w:rPr>
        <w:t xml:space="preserve">, </w:t>
      </w:r>
      <w:r w:rsidRPr="26B979E9" w:rsidR="004054E6">
        <w:rPr>
          <w:rFonts w:eastAsia="Calibri" w:cs="Times New Roman"/>
          <w:color w:val="auto"/>
        </w:rPr>
        <w:t xml:space="preserve">TSA estimates the </w:t>
      </w:r>
      <w:r>
        <w:rPr>
          <w:rFonts w:eastAsia="Calibri" w:cs="Times New Roman"/>
          <w:color w:val="auto"/>
        </w:rPr>
        <w:t xml:space="preserve">average </w:t>
      </w:r>
      <w:r w:rsidRPr="26B979E9" w:rsidR="00E16AA2">
        <w:rPr>
          <w:rFonts w:eastAsia="Calibri" w:cs="Times New Roman"/>
          <w:color w:val="auto"/>
        </w:rPr>
        <w:t xml:space="preserve">time to </w:t>
      </w:r>
      <w:r w:rsidR="0038614F">
        <w:rPr>
          <w:rFonts w:eastAsia="Calibri" w:cs="Times New Roman"/>
          <w:color w:val="auto"/>
        </w:rPr>
        <w:t>undergo the</w:t>
      </w:r>
      <w:r w:rsidR="00E874F4">
        <w:rPr>
          <w:rFonts w:eastAsia="Calibri" w:cs="Times New Roman"/>
          <w:color w:val="auto"/>
        </w:rPr>
        <w:t xml:space="preserve"> </w:t>
      </w:r>
      <w:r w:rsidRPr="26B979E9" w:rsidR="004D6E84">
        <w:rPr>
          <w:rFonts w:eastAsia="Calibri" w:cs="Times New Roman"/>
          <w:color w:val="auto"/>
        </w:rPr>
        <w:t>medical examination</w:t>
      </w:r>
      <w:r w:rsidRPr="26B979E9" w:rsidR="00580EE1">
        <w:rPr>
          <w:rFonts w:eastAsia="Calibri" w:cs="Times New Roman"/>
          <w:color w:val="auto"/>
        </w:rPr>
        <w:t xml:space="preserve"> required to evaluate a candidate</w:t>
      </w:r>
      <w:r w:rsidRPr="26B979E9" w:rsidR="00580EE1">
        <w:rPr>
          <w:rFonts w:eastAsia="Calibri" w:cs="Times New Roman"/>
          <w:color w:val="auto"/>
        </w:rPr>
        <w:t xml:space="preserve"> </w:t>
      </w:r>
      <w:r w:rsidR="00C37C41">
        <w:rPr>
          <w:rFonts w:eastAsia="Calibri" w:cs="Times New Roman"/>
          <w:color w:val="auto"/>
        </w:rPr>
        <w:t>using the TSO Medical Clearance form</w:t>
      </w:r>
      <w:r w:rsidRPr="26B979E9" w:rsidR="00580EE1">
        <w:rPr>
          <w:rFonts w:eastAsia="Calibri" w:cs="Times New Roman"/>
          <w:color w:val="auto"/>
        </w:rPr>
        <w:t xml:space="preserve"> </w:t>
      </w:r>
      <w:r w:rsidRPr="26B979E9" w:rsidR="00084736">
        <w:rPr>
          <w:rFonts w:eastAsia="Calibri" w:cs="Times New Roman"/>
          <w:color w:val="auto"/>
        </w:rPr>
        <w:t>is</w:t>
      </w:r>
      <w:r w:rsidRPr="26B979E9" w:rsidR="00580EE1">
        <w:rPr>
          <w:rFonts w:eastAsia="Calibri" w:cs="Times New Roman"/>
          <w:color w:val="auto"/>
        </w:rPr>
        <w:t xml:space="preserve"> </w:t>
      </w:r>
      <w:r w:rsidRPr="26B979E9" w:rsidR="0076300D">
        <w:rPr>
          <w:rFonts w:eastAsia="Calibri" w:cs="Times New Roman"/>
          <w:color w:val="auto"/>
        </w:rPr>
        <w:t>30</w:t>
      </w:r>
      <w:r w:rsidRPr="26B979E9" w:rsidR="00580EE1">
        <w:rPr>
          <w:rFonts w:eastAsia="Calibri" w:cs="Times New Roman"/>
          <w:color w:val="auto"/>
        </w:rPr>
        <w:t xml:space="preserve"> minutes (0.5 hours)</w:t>
      </w:r>
      <w:r w:rsidR="0090753C">
        <w:rPr>
          <w:rFonts w:eastAsia="Calibri" w:cs="Times New Roman"/>
          <w:color w:val="auto"/>
        </w:rPr>
        <w:t>.  This</w:t>
      </w:r>
      <w:r w:rsidRPr="26B979E9" w:rsidR="00580EE1">
        <w:rPr>
          <w:rFonts w:eastAsia="Calibri" w:cs="Times New Roman"/>
          <w:color w:val="auto"/>
        </w:rPr>
        <w:t xml:space="preserve"> result</w:t>
      </w:r>
      <w:r w:rsidR="0090753C">
        <w:rPr>
          <w:rFonts w:eastAsia="Calibri" w:cs="Times New Roman"/>
          <w:color w:val="auto"/>
        </w:rPr>
        <w:t>s</w:t>
      </w:r>
      <w:r w:rsidRPr="26B979E9" w:rsidR="00580EE1">
        <w:rPr>
          <w:rFonts w:eastAsia="Calibri" w:cs="Times New Roman"/>
          <w:color w:val="auto"/>
        </w:rPr>
        <w:t xml:space="preserve"> in an annual hour burden of</w:t>
      </w:r>
      <w:r w:rsidRPr="26B979E9" w:rsidR="0076300D">
        <w:rPr>
          <w:rFonts w:eastAsia="Calibri" w:cs="Times New Roman"/>
          <w:color w:val="auto"/>
        </w:rPr>
        <w:t xml:space="preserve"> </w:t>
      </w:r>
      <w:r w:rsidRPr="26B979E9" w:rsidR="00BB7302">
        <w:rPr>
          <w:rFonts w:eastAsia="Calibri" w:cs="Times New Roman"/>
          <w:color w:val="auto"/>
        </w:rPr>
        <w:t>9,000</w:t>
      </w:r>
      <w:r w:rsidRPr="26B979E9" w:rsidR="00580EE1">
        <w:rPr>
          <w:rFonts w:eastAsia="Calibri" w:cs="Times New Roman"/>
          <w:color w:val="auto"/>
        </w:rPr>
        <w:t xml:space="preserve"> hours</w:t>
      </w:r>
      <w:r w:rsidRPr="26B979E9" w:rsidR="00FD1973">
        <w:rPr>
          <w:rFonts w:eastAsia="Calibri" w:cs="Times New Roman"/>
          <w:color w:val="auto"/>
        </w:rPr>
        <w:t xml:space="preserve"> (18,000 </w:t>
      </w:r>
      <w:r w:rsidRPr="26B979E9" w:rsidR="008F1904">
        <w:rPr>
          <w:rFonts w:eastAsia="Calibri" w:cs="Times New Roman"/>
          <w:color w:val="auto"/>
        </w:rPr>
        <w:t>exams x 0.5 hours)</w:t>
      </w:r>
      <w:r w:rsidRPr="26B979E9" w:rsidR="004054E6">
        <w:rPr>
          <w:rFonts w:eastAsia="Calibri" w:cs="Times New Roman"/>
          <w:color w:val="auto"/>
        </w:rPr>
        <w:t>.</w:t>
      </w:r>
      <w:r>
        <w:rPr>
          <w:rStyle w:val="FootnoteReference"/>
          <w:rFonts w:eastAsia="Calibri" w:cs="Times New Roman"/>
          <w:color w:val="auto"/>
        </w:rPr>
        <w:footnoteReference w:id="4"/>
      </w:r>
      <w:r w:rsidRPr="26B979E9" w:rsidR="004054E6">
        <w:rPr>
          <w:rFonts w:eastAsia="Calibri" w:cs="Times New Roman"/>
          <w:color w:val="auto"/>
        </w:rPr>
        <w:t xml:space="preserve">  </w:t>
      </w:r>
      <w:r w:rsidRPr="44C39949" w:rsidR="57F95A9B">
        <w:rPr>
          <w:rFonts w:eastAsia="Calibri" w:cs="Times New Roman"/>
          <w:color w:val="auto"/>
        </w:rPr>
        <w:t>P</w:t>
      </w:r>
      <w:r w:rsidRPr="44C39949" w:rsidR="00E17A1C">
        <w:rPr>
          <w:rFonts w:eastAsia="Calibri" w:cs="Times New Roman"/>
          <w:color w:val="auto"/>
        </w:rPr>
        <w:t>rinting</w:t>
      </w:r>
      <w:r w:rsidRPr="26B979E9" w:rsidR="00E17A1C">
        <w:rPr>
          <w:rFonts w:eastAsia="Calibri" w:cs="Times New Roman"/>
          <w:color w:val="auto"/>
        </w:rPr>
        <w:t xml:space="preserve"> and </w:t>
      </w:r>
      <w:r w:rsidR="00C64D96">
        <w:rPr>
          <w:rFonts w:eastAsia="Calibri" w:cs="Times New Roman"/>
          <w:color w:val="auto"/>
        </w:rPr>
        <w:t>subsequent submission (e.g</w:t>
      </w:r>
      <w:r w:rsidRPr="02CC6D35" w:rsidR="00C64D96">
        <w:rPr>
          <w:rFonts w:eastAsia="Calibri" w:cs="Times New Roman"/>
          <w:color w:val="auto"/>
        </w:rPr>
        <w:t>.</w:t>
      </w:r>
      <w:r w:rsidR="00585213">
        <w:rPr>
          <w:rFonts w:eastAsia="Calibri" w:cs="Times New Roman"/>
          <w:color w:val="auto"/>
        </w:rPr>
        <w:t>,</w:t>
      </w:r>
      <w:r w:rsidR="00C64D96">
        <w:rPr>
          <w:rFonts w:eastAsia="Calibri" w:cs="Times New Roman"/>
          <w:color w:val="auto"/>
        </w:rPr>
        <w:t xml:space="preserve"> </w:t>
      </w:r>
      <w:r w:rsidRPr="26B979E9" w:rsidR="00E17A1C">
        <w:rPr>
          <w:rFonts w:eastAsia="Calibri" w:cs="Times New Roman"/>
          <w:color w:val="auto"/>
        </w:rPr>
        <w:t>email</w:t>
      </w:r>
      <w:r w:rsidR="0090753C">
        <w:rPr>
          <w:rFonts w:eastAsia="Calibri" w:cs="Times New Roman"/>
          <w:color w:val="auto"/>
        </w:rPr>
        <w:t>)</w:t>
      </w:r>
      <w:r w:rsidRPr="26B979E9" w:rsidR="00E17A1C">
        <w:rPr>
          <w:rFonts w:eastAsia="Calibri" w:cs="Times New Roman"/>
          <w:color w:val="auto"/>
        </w:rPr>
        <w:t xml:space="preserve"> </w:t>
      </w:r>
      <w:r w:rsidR="0090753C">
        <w:rPr>
          <w:rFonts w:eastAsia="Calibri" w:cs="Times New Roman"/>
          <w:color w:val="auto"/>
        </w:rPr>
        <w:t>of</w:t>
      </w:r>
      <w:r w:rsidRPr="26B979E9" w:rsidR="00E17A1C">
        <w:rPr>
          <w:rFonts w:eastAsia="Calibri" w:cs="Times New Roman"/>
          <w:color w:val="auto"/>
        </w:rPr>
        <w:t xml:space="preserve"> the TSO Medical Clearance Form </w:t>
      </w:r>
      <w:r w:rsidRPr="2EB8A9CE" w:rsidR="1F5A5064">
        <w:rPr>
          <w:rFonts w:eastAsia="Calibri" w:cs="Times New Roman"/>
          <w:color w:val="auto"/>
        </w:rPr>
        <w:t xml:space="preserve">is </w:t>
      </w:r>
      <w:r w:rsidRPr="72305287" w:rsidR="1F5A5064">
        <w:rPr>
          <w:rFonts w:eastAsia="Calibri" w:cs="Times New Roman"/>
          <w:color w:val="auto"/>
        </w:rPr>
        <w:t xml:space="preserve">expected </w:t>
      </w:r>
      <w:r w:rsidRPr="4BA801A9" w:rsidR="1F5A5064">
        <w:rPr>
          <w:rFonts w:eastAsia="Calibri" w:cs="Times New Roman"/>
          <w:color w:val="auto"/>
        </w:rPr>
        <w:t xml:space="preserve">to </w:t>
      </w:r>
      <w:r w:rsidRPr="4BA801A9" w:rsidR="00E17A1C">
        <w:rPr>
          <w:rFonts w:eastAsia="Calibri" w:cs="Times New Roman"/>
          <w:color w:val="auto"/>
        </w:rPr>
        <w:t>take</w:t>
      </w:r>
      <w:r w:rsidRPr="26B979E9" w:rsidR="00E17A1C">
        <w:rPr>
          <w:rFonts w:eastAsia="Calibri" w:cs="Times New Roman"/>
          <w:color w:val="auto"/>
        </w:rPr>
        <w:t xml:space="preserve"> approximately </w:t>
      </w:r>
      <w:r w:rsidRPr="26B979E9" w:rsidR="00F5450E">
        <w:rPr>
          <w:rFonts w:eastAsia="Calibri" w:cs="Times New Roman"/>
          <w:color w:val="auto"/>
        </w:rPr>
        <w:t>5</w:t>
      </w:r>
      <w:r w:rsidRPr="26B979E9" w:rsidR="00E17A1C">
        <w:rPr>
          <w:rFonts w:eastAsia="Calibri" w:cs="Times New Roman"/>
          <w:color w:val="auto"/>
        </w:rPr>
        <w:t xml:space="preserve"> minutes</w:t>
      </w:r>
      <w:r w:rsidRPr="26B979E9" w:rsidR="000012E6">
        <w:rPr>
          <w:rFonts w:eastAsia="Calibri" w:cs="Times New Roman"/>
          <w:color w:val="auto"/>
        </w:rPr>
        <w:t xml:space="preserve"> </w:t>
      </w:r>
      <w:r w:rsidRPr="26B979E9" w:rsidR="00B66F15">
        <w:rPr>
          <w:rFonts w:eastAsia="Calibri" w:cs="Times New Roman"/>
          <w:color w:val="auto"/>
        </w:rPr>
        <w:t>(0.08</w:t>
      </w:r>
      <w:r w:rsidR="00082D04">
        <w:rPr>
          <w:rFonts w:eastAsia="Calibri" w:cs="Times New Roman"/>
          <w:color w:val="auto"/>
        </w:rPr>
        <w:t>3</w:t>
      </w:r>
      <w:r w:rsidR="00B56E74">
        <w:rPr>
          <w:rFonts w:eastAsia="Calibri" w:cs="Times New Roman"/>
          <w:color w:val="auto"/>
        </w:rPr>
        <w:t>3</w:t>
      </w:r>
      <w:r w:rsidR="0090098C">
        <w:rPr>
          <w:rFonts w:eastAsia="Calibri" w:cs="Times New Roman"/>
          <w:color w:val="auto"/>
        </w:rPr>
        <w:t>3</w:t>
      </w:r>
      <w:r w:rsidRPr="26B979E9" w:rsidR="00B66F15">
        <w:rPr>
          <w:rFonts w:eastAsia="Calibri" w:cs="Times New Roman"/>
          <w:color w:val="auto"/>
        </w:rPr>
        <w:t xml:space="preserve"> hours</w:t>
      </w:r>
      <w:r w:rsidRPr="4BA801A9" w:rsidR="00B66F15">
        <w:rPr>
          <w:rFonts w:eastAsia="Calibri" w:cs="Times New Roman"/>
          <w:color w:val="auto"/>
        </w:rPr>
        <w:t>)</w:t>
      </w:r>
      <w:r w:rsidRPr="4BA801A9" w:rsidR="229A7A59">
        <w:rPr>
          <w:rFonts w:eastAsia="Calibri" w:cs="Times New Roman"/>
          <w:color w:val="auto"/>
        </w:rPr>
        <w:t>,</w:t>
      </w:r>
      <w:r w:rsidRPr="26B979E9" w:rsidR="00B66F15">
        <w:rPr>
          <w:rFonts w:eastAsia="Calibri" w:cs="Times New Roman"/>
          <w:color w:val="auto"/>
        </w:rPr>
        <w:t xml:space="preserve"> </w:t>
      </w:r>
      <w:r w:rsidRPr="26B979E9" w:rsidR="000012E6">
        <w:rPr>
          <w:rFonts w:eastAsia="Calibri" w:cs="Times New Roman"/>
          <w:color w:val="auto"/>
        </w:rPr>
        <w:t xml:space="preserve">resulting in an annual </w:t>
      </w:r>
      <w:r w:rsidRPr="26B979E9" w:rsidR="00C82D01">
        <w:rPr>
          <w:rFonts w:eastAsia="Calibri" w:cs="Times New Roman"/>
          <w:color w:val="auto"/>
        </w:rPr>
        <w:t xml:space="preserve">hour burden of 1,500 </w:t>
      </w:r>
      <w:r w:rsidRPr="26B979E9" w:rsidR="009A41A3">
        <w:rPr>
          <w:rFonts w:eastAsia="Calibri" w:cs="Times New Roman"/>
          <w:color w:val="auto"/>
        </w:rPr>
        <w:t>hours</w:t>
      </w:r>
      <w:r w:rsidRPr="26B979E9" w:rsidR="00B66F15">
        <w:rPr>
          <w:rFonts w:eastAsia="Calibri" w:cs="Times New Roman"/>
          <w:color w:val="auto"/>
        </w:rPr>
        <w:t xml:space="preserve"> (</w:t>
      </w:r>
      <w:r w:rsidRPr="26B979E9" w:rsidR="00330F43">
        <w:rPr>
          <w:rFonts w:eastAsia="Calibri" w:cs="Times New Roman"/>
          <w:color w:val="auto"/>
        </w:rPr>
        <w:t xml:space="preserve">18,000 </w:t>
      </w:r>
      <w:r w:rsidRPr="26B979E9" w:rsidR="00C9505F">
        <w:rPr>
          <w:rFonts w:eastAsia="Calibri" w:cs="Times New Roman"/>
          <w:color w:val="auto"/>
        </w:rPr>
        <w:t xml:space="preserve">respondents x </w:t>
      </w:r>
      <w:r w:rsidRPr="26B979E9" w:rsidR="0087212B">
        <w:rPr>
          <w:rFonts w:eastAsia="Calibri" w:cs="Times New Roman"/>
          <w:color w:val="auto"/>
        </w:rPr>
        <w:t>0.08</w:t>
      </w:r>
      <w:r w:rsidR="0090098C">
        <w:rPr>
          <w:rFonts w:eastAsia="Calibri" w:cs="Times New Roman"/>
          <w:color w:val="auto"/>
        </w:rPr>
        <w:t>3</w:t>
      </w:r>
      <w:r w:rsidR="005B21F3">
        <w:rPr>
          <w:rFonts w:eastAsia="Calibri" w:cs="Times New Roman"/>
          <w:color w:val="auto"/>
        </w:rPr>
        <w:t>3</w:t>
      </w:r>
      <w:r w:rsidR="00B56E74">
        <w:rPr>
          <w:rFonts w:eastAsia="Calibri" w:cs="Times New Roman"/>
          <w:color w:val="auto"/>
        </w:rPr>
        <w:t>3</w:t>
      </w:r>
      <w:r w:rsidRPr="26B979E9" w:rsidR="0087212B">
        <w:rPr>
          <w:rFonts w:eastAsia="Calibri" w:cs="Times New Roman"/>
          <w:color w:val="auto"/>
        </w:rPr>
        <w:t xml:space="preserve"> hours)</w:t>
      </w:r>
      <w:r w:rsidRPr="26B979E9" w:rsidR="00E17A1C">
        <w:rPr>
          <w:rFonts w:eastAsia="Calibri" w:cs="Times New Roman"/>
          <w:color w:val="auto"/>
        </w:rPr>
        <w:t>.</w:t>
      </w:r>
    </w:p>
    <w:p w:rsidR="00AF3524" w14:paraId="0FC7B4BA" w14:textId="77777777">
      <w:pPr>
        <w:spacing w:line="259" w:lineRule="auto"/>
        <w:ind w:left="360"/>
        <w:rPr>
          <w:rFonts w:eastAsia="Calibri" w:cs="Times New Roman"/>
          <w:color w:val="auto"/>
        </w:rPr>
      </w:pPr>
    </w:p>
    <w:p w:rsidR="00205DC8" w14:paraId="29E9EEC8" w14:textId="7636256C">
      <w:pPr>
        <w:spacing w:line="259" w:lineRule="auto"/>
        <w:ind w:left="360"/>
        <w:rPr>
          <w:rFonts w:eastAsia="Calibri" w:cs="Times New Roman"/>
          <w:color w:val="auto"/>
        </w:rPr>
      </w:pPr>
      <w:r>
        <w:rPr>
          <w:rFonts w:eastAsia="Calibri" w:cs="Times New Roman"/>
          <w:color w:val="auto"/>
        </w:rPr>
        <w:t>Furthermore</w:t>
      </w:r>
      <w:r w:rsidRPr="26B979E9" w:rsidR="00580EE1">
        <w:rPr>
          <w:rFonts w:eastAsia="Calibri" w:cs="Times New Roman"/>
          <w:color w:val="auto"/>
        </w:rPr>
        <w:t xml:space="preserve">, </w:t>
      </w:r>
      <w:r w:rsidRPr="26B979E9" w:rsidR="76D49C61">
        <w:rPr>
          <w:rFonts w:eastAsia="Calibri" w:cs="Times New Roman"/>
          <w:color w:val="auto"/>
        </w:rPr>
        <w:t>candidates</w:t>
      </w:r>
      <w:r w:rsidRPr="26B979E9" w:rsidR="00580EE1">
        <w:rPr>
          <w:rFonts w:eastAsia="Calibri" w:cs="Times New Roman"/>
          <w:color w:val="auto"/>
        </w:rPr>
        <w:t xml:space="preserve"> to the TSO position </w:t>
      </w:r>
      <w:r w:rsidR="00F673B9">
        <w:rPr>
          <w:rFonts w:eastAsia="Calibri" w:cs="Times New Roman"/>
          <w:color w:val="auto"/>
        </w:rPr>
        <w:t>will spend time traveling to their</w:t>
      </w:r>
      <w:r w:rsidRPr="26B979E9" w:rsidR="00580EE1">
        <w:rPr>
          <w:rFonts w:eastAsia="Calibri" w:cs="Times New Roman"/>
          <w:color w:val="auto"/>
        </w:rPr>
        <w:t xml:space="preserve"> </w:t>
      </w:r>
      <w:r w:rsidRPr="26B979E9" w:rsidR="00DB46A9">
        <w:rPr>
          <w:rFonts w:eastAsia="Calibri" w:cs="Times New Roman"/>
          <w:color w:val="auto"/>
        </w:rPr>
        <w:t>local</w:t>
      </w:r>
      <w:r w:rsidRPr="26B979E9" w:rsidR="00580EE1">
        <w:rPr>
          <w:rFonts w:eastAsia="Calibri" w:cs="Times New Roman"/>
          <w:color w:val="auto"/>
        </w:rPr>
        <w:t xml:space="preserve"> </w:t>
      </w:r>
      <w:r w:rsidR="00B2233E">
        <w:rPr>
          <w:rFonts w:eastAsia="Calibri" w:cs="Times New Roman"/>
          <w:color w:val="auto"/>
        </w:rPr>
        <w:t>physician or healt</w:t>
      </w:r>
      <w:r w:rsidR="00D153C2">
        <w:rPr>
          <w:rFonts w:eastAsia="Calibri" w:cs="Times New Roman"/>
          <w:color w:val="auto"/>
        </w:rPr>
        <w:t>h practi</w:t>
      </w:r>
      <w:r w:rsidR="0046462D">
        <w:rPr>
          <w:rFonts w:eastAsia="Calibri" w:cs="Times New Roman"/>
          <w:color w:val="auto"/>
        </w:rPr>
        <w:t>ti</w:t>
      </w:r>
      <w:r w:rsidR="00D153C2">
        <w:rPr>
          <w:rFonts w:eastAsia="Calibri" w:cs="Times New Roman"/>
          <w:color w:val="auto"/>
        </w:rPr>
        <w:t>oner</w:t>
      </w:r>
      <w:r w:rsidRPr="26B979E9" w:rsidR="00580EE1">
        <w:rPr>
          <w:rFonts w:eastAsia="Calibri" w:cs="Times New Roman"/>
          <w:color w:val="auto"/>
        </w:rPr>
        <w:t xml:space="preserve"> to receive the necessary medical screening.</w:t>
      </w:r>
      <w:r w:rsidRPr="26B979E9" w:rsidR="00025714">
        <w:rPr>
          <w:rFonts w:eastAsia="Calibri" w:cs="Times New Roman"/>
          <w:color w:val="auto"/>
        </w:rPr>
        <w:t xml:space="preserve"> </w:t>
      </w:r>
      <w:r w:rsidR="00B52954">
        <w:rPr>
          <w:rFonts w:eastAsia="Calibri" w:cs="Times New Roman"/>
          <w:color w:val="auto"/>
        </w:rPr>
        <w:t xml:space="preserve"> </w:t>
      </w:r>
      <w:r w:rsidRPr="26B979E9" w:rsidR="00580EE1">
        <w:rPr>
          <w:rFonts w:eastAsia="Calibri" w:cs="Times New Roman"/>
          <w:color w:val="auto"/>
        </w:rPr>
        <w:t xml:space="preserve">TSA estimates round-trip travel time to the </w:t>
      </w:r>
      <w:r w:rsidRPr="26B979E9" w:rsidR="00DB46A9">
        <w:rPr>
          <w:rFonts w:eastAsia="Calibri" w:cs="Times New Roman"/>
          <w:color w:val="auto"/>
        </w:rPr>
        <w:t xml:space="preserve">local </w:t>
      </w:r>
      <w:r w:rsidR="00013D46">
        <w:rPr>
          <w:rFonts w:eastAsia="Calibri" w:cs="Times New Roman"/>
          <w:color w:val="auto"/>
        </w:rPr>
        <w:t>physician or health</w:t>
      </w:r>
      <w:r w:rsidRPr="26B979E9" w:rsidR="00DB46A9">
        <w:rPr>
          <w:rFonts w:eastAsia="Calibri" w:cs="Times New Roman"/>
          <w:color w:val="auto"/>
        </w:rPr>
        <w:t xml:space="preserve"> </w:t>
      </w:r>
      <w:r w:rsidRPr="26B979E9" w:rsidR="00580EE1">
        <w:rPr>
          <w:rFonts w:eastAsia="Calibri" w:cs="Times New Roman"/>
          <w:color w:val="auto"/>
        </w:rPr>
        <w:t>pr</w:t>
      </w:r>
      <w:r w:rsidR="0046462D">
        <w:rPr>
          <w:rFonts w:eastAsia="Calibri" w:cs="Times New Roman"/>
          <w:color w:val="auto"/>
        </w:rPr>
        <w:t>acti</w:t>
      </w:r>
      <w:r w:rsidR="00013D46">
        <w:rPr>
          <w:rFonts w:eastAsia="Calibri" w:cs="Times New Roman"/>
          <w:color w:val="auto"/>
        </w:rPr>
        <w:t>ti</w:t>
      </w:r>
      <w:r w:rsidR="009156DF">
        <w:rPr>
          <w:rFonts w:eastAsia="Calibri" w:cs="Times New Roman"/>
          <w:color w:val="auto"/>
        </w:rPr>
        <w:t>on</w:t>
      </w:r>
      <w:r w:rsidRPr="26B979E9" w:rsidR="00580EE1">
        <w:rPr>
          <w:rFonts w:eastAsia="Calibri" w:cs="Times New Roman"/>
          <w:color w:val="auto"/>
        </w:rPr>
        <w:t>er to be</w:t>
      </w:r>
      <w:r w:rsidR="00B93A90">
        <w:rPr>
          <w:rFonts w:eastAsia="Calibri" w:cs="Times New Roman"/>
          <w:color w:val="auto"/>
        </w:rPr>
        <w:t>, on average,</w:t>
      </w:r>
      <w:r w:rsidRPr="26B979E9" w:rsidR="00580EE1">
        <w:rPr>
          <w:rFonts w:eastAsia="Calibri" w:cs="Times New Roman"/>
          <w:color w:val="auto"/>
        </w:rPr>
        <w:t xml:space="preserve"> </w:t>
      </w:r>
      <w:r w:rsidRPr="066E5DF2" w:rsidR="15E0F380">
        <w:rPr>
          <w:rFonts w:eastAsia="Calibri" w:cs="Times New Roman"/>
          <w:color w:val="auto"/>
        </w:rPr>
        <w:t>34</w:t>
      </w:r>
      <w:r w:rsidRPr="26B979E9" w:rsidR="00580EE1">
        <w:rPr>
          <w:rFonts w:eastAsia="Calibri" w:cs="Times New Roman"/>
          <w:color w:val="auto"/>
        </w:rPr>
        <w:t xml:space="preserve"> minu</w:t>
      </w:r>
      <w:r w:rsidRPr="26B979E9" w:rsidR="00C42623">
        <w:rPr>
          <w:rFonts w:eastAsia="Calibri" w:cs="Times New Roman"/>
          <w:color w:val="auto"/>
        </w:rPr>
        <w:t>tes</w:t>
      </w:r>
      <w:r w:rsidRPr="26B979E9" w:rsidR="3A385874">
        <w:rPr>
          <w:rFonts w:eastAsia="Calibri" w:cs="Times New Roman"/>
          <w:color w:val="auto"/>
        </w:rPr>
        <w:t xml:space="preserve"> each way</w:t>
      </w:r>
      <w:r w:rsidR="00C96590">
        <w:rPr>
          <w:rFonts w:eastAsia="Calibri" w:cs="Times New Roman"/>
          <w:color w:val="auto"/>
        </w:rPr>
        <w:t>, or 1.1</w:t>
      </w:r>
      <w:r w:rsidR="00424DFC">
        <w:rPr>
          <w:rFonts w:eastAsia="Calibri" w:cs="Times New Roman"/>
          <w:color w:val="auto"/>
        </w:rPr>
        <w:t>33</w:t>
      </w:r>
      <w:r w:rsidR="00C96590">
        <w:rPr>
          <w:rFonts w:eastAsia="Calibri" w:cs="Times New Roman"/>
          <w:color w:val="auto"/>
        </w:rPr>
        <w:t>3</w:t>
      </w:r>
      <w:r w:rsidR="00424DFC">
        <w:rPr>
          <w:rFonts w:eastAsia="Calibri" w:cs="Times New Roman"/>
          <w:color w:val="auto"/>
        </w:rPr>
        <w:t>4</w:t>
      </w:r>
      <w:r w:rsidRPr="26B979E9" w:rsidR="0076300D">
        <w:rPr>
          <w:rFonts w:eastAsia="Calibri" w:cs="Times New Roman"/>
          <w:color w:val="auto"/>
        </w:rPr>
        <w:t xml:space="preserve"> </w:t>
      </w:r>
      <w:r w:rsidRPr="26B979E9" w:rsidR="00C42623">
        <w:rPr>
          <w:rFonts w:eastAsia="Calibri" w:cs="Times New Roman"/>
          <w:color w:val="auto"/>
        </w:rPr>
        <w:t>hours</w:t>
      </w:r>
      <w:r w:rsidR="00C96590">
        <w:rPr>
          <w:rFonts w:eastAsia="Calibri" w:cs="Times New Roman"/>
          <w:color w:val="auto"/>
        </w:rPr>
        <w:t xml:space="preserve"> roundtrip</w:t>
      </w:r>
      <w:r w:rsidRPr="26B979E9" w:rsidR="00C42623">
        <w:rPr>
          <w:rFonts w:eastAsia="Calibri" w:cs="Times New Roman"/>
          <w:color w:val="auto"/>
        </w:rPr>
        <w:t xml:space="preserve"> (</w:t>
      </w:r>
      <w:r w:rsidRPr="38EE54F3" w:rsidR="2B434025">
        <w:rPr>
          <w:rFonts w:eastAsia="Calibri" w:cs="Times New Roman"/>
          <w:color w:val="auto"/>
        </w:rPr>
        <w:t>0.</w:t>
      </w:r>
      <w:r w:rsidRPr="02CC6D35" w:rsidR="2B434025">
        <w:rPr>
          <w:rFonts w:eastAsia="Calibri" w:cs="Times New Roman"/>
          <w:color w:val="auto"/>
        </w:rPr>
        <w:t>5</w:t>
      </w:r>
      <w:r w:rsidR="005536FB">
        <w:rPr>
          <w:rFonts w:eastAsia="Calibri" w:cs="Times New Roman"/>
          <w:color w:val="auto"/>
        </w:rPr>
        <w:t>6</w:t>
      </w:r>
      <w:r w:rsidR="00185CD8">
        <w:rPr>
          <w:rFonts w:eastAsia="Calibri" w:cs="Times New Roman"/>
          <w:color w:val="auto"/>
        </w:rPr>
        <w:t>66</w:t>
      </w:r>
      <w:r w:rsidRPr="02CC6D35" w:rsidR="2B434025">
        <w:rPr>
          <w:rFonts w:eastAsia="Calibri" w:cs="Times New Roman"/>
          <w:color w:val="auto"/>
        </w:rPr>
        <w:t>7</w:t>
      </w:r>
      <w:r w:rsidRPr="26B979E9" w:rsidR="0076300D">
        <w:rPr>
          <w:rFonts w:eastAsia="Calibri" w:cs="Times New Roman"/>
          <w:color w:val="auto"/>
        </w:rPr>
        <w:t xml:space="preserve"> </w:t>
      </w:r>
      <w:r w:rsidRPr="26B979E9" w:rsidR="00C42623">
        <w:rPr>
          <w:rFonts w:eastAsia="Calibri" w:cs="Times New Roman"/>
          <w:color w:val="auto"/>
        </w:rPr>
        <w:t>hours</w:t>
      </w:r>
      <w:r w:rsidRPr="26B979E9" w:rsidR="0076300D">
        <w:rPr>
          <w:rFonts w:eastAsia="Calibri" w:cs="Times New Roman"/>
          <w:color w:val="auto"/>
        </w:rPr>
        <w:t xml:space="preserve"> </w:t>
      </w:r>
      <w:r w:rsidRPr="1088BE32" w:rsidR="2B434025">
        <w:rPr>
          <w:rFonts w:eastAsia="Calibri" w:cs="Times New Roman"/>
          <w:color w:val="auto"/>
        </w:rPr>
        <w:t xml:space="preserve">x 2 = </w:t>
      </w:r>
      <w:r w:rsidRPr="191D3839" w:rsidR="2B434025">
        <w:rPr>
          <w:rFonts w:eastAsia="Calibri" w:cs="Times New Roman"/>
          <w:color w:val="auto"/>
        </w:rPr>
        <w:t>1.</w:t>
      </w:r>
      <w:r w:rsidRPr="02CC6D35" w:rsidR="2B434025">
        <w:rPr>
          <w:rFonts w:eastAsia="Calibri" w:cs="Times New Roman"/>
          <w:color w:val="auto"/>
        </w:rPr>
        <w:t>13</w:t>
      </w:r>
      <w:r w:rsidR="003E212C">
        <w:rPr>
          <w:rFonts w:eastAsia="Calibri" w:cs="Times New Roman"/>
          <w:color w:val="auto"/>
        </w:rPr>
        <w:t>334</w:t>
      </w:r>
      <w:r w:rsidR="00FD53E4">
        <w:rPr>
          <w:rFonts w:eastAsia="Calibri" w:cs="Times New Roman"/>
          <w:color w:val="auto"/>
        </w:rPr>
        <w:t xml:space="preserve"> </w:t>
      </w:r>
      <w:r w:rsidRPr="26B979E9" w:rsidR="00C42623">
        <w:rPr>
          <w:rFonts w:eastAsia="Calibri" w:cs="Times New Roman"/>
          <w:color w:val="auto"/>
        </w:rPr>
        <w:t>hours)</w:t>
      </w:r>
      <w:r w:rsidRPr="02CC6D35">
        <w:rPr>
          <w:rFonts w:eastAsia="Calibri" w:cs="Times New Roman"/>
          <w:color w:val="auto"/>
        </w:rPr>
        <w:t>.</w:t>
      </w:r>
      <w:r>
        <w:rPr>
          <w:rStyle w:val="FootnoteReference"/>
          <w:rFonts w:eastAsia="Calibri" w:cs="Times New Roman"/>
          <w:color w:val="auto"/>
        </w:rPr>
        <w:footnoteReference w:id="5"/>
      </w:r>
      <w:r w:rsidRPr="26B979E9" w:rsidR="00C42623">
        <w:rPr>
          <w:rFonts w:eastAsia="Calibri" w:cs="Times New Roman"/>
          <w:color w:val="auto"/>
        </w:rPr>
        <w:t xml:space="preserve"> </w:t>
      </w:r>
      <w:r>
        <w:rPr>
          <w:rFonts w:eastAsia="Calibri" w:cs="Times New Roman"/>
          <w:color w:val="auto"/>
        </w:rPr>
        <w:t xml:space="preserve"> This </w:t>
      </w:r>
      <w:r w:rsidRPr="26B979E9" w:rsidR="00C42623">
        <w:rPr>
          <w:rFonts w:eastAsia="Calibri" w:cs="Times New Roman"/>
          <w:color w:val="auto"/>
        </w:rPr>
        <w:t>result</w:t>
      </w:r>
      <w:r>
        <w:rPr>
          <w:rFonts w:eastAsia="Calibri" w:cs="Times New Roman"/>
          <w:color w:val="auto"/>
        </w:rPr>
        <w:t>s</w:t>
      </w:r>
      <w:r w:rsidRPr="26B979E9" w:rsidR="00C42623">
        <w:rPr>
          <w:rFonts w:eastAsia="Calibri" w:cs="Times New Roman"/>
          <w:color w:val="auto"/>
        </w:rPr>
        <w:t xml:space="preserve"> in a</w:t>
      </w:r>
      <w:r w:rsidRPr="26B979E9" w:rsidR="00084736">
        <w:rPr>
          <w:rFonts w:eastAsia="Calibri" w:cs="Times New Roman"/>
          <w:color w:val="auto"/>
        </w:rPr>
        <w:t>n</w:t>
      </w:r>
      <w:r w:rsidRPr="26B979E9" w:rsidR="00C42623">
        <w:rPr>
          <w:rFonts w:eastAsia="Calibri" w:cs="Times New Roman"/>
          <w:color w:val="auto"/>
        </w:rPr>
        <w:t xml:space="preserve"> </w:t>
      </w:r>
      <w:r w:rsidRPr="26B979E9" w:rsidR="00580EE1">
        <w:rPr>
          <w:rFonts w:eastAsia="Calibri" w:cs="Times New Roman"/>
          <w:color w:val="auto"/>
        </w:rPr>
        <w:t>annual hour travel burden of</w:t>
      </w:r>
      <w:r w:rsidRPr="26B979E9" w:rsidR="0076300D">
        <w:rPr>
          <w:rFonts w:eastAsia="Calibri" w:cs="Times New Roman"/>
          <w:color w:val="auto"/>
        </w:rPr>
        <w:t xml:space="preserve"> </w:t>
      </w:r>
      <w:r w:rsidRPr="6F5CB057" w:rsidR="2CA72D66">
        <w:rPr>
          <w:rFonts w:eastAsia="Calibri" w:cs="Times New Roman"/>
          <w:color w:val="auto"/>
        </w:rPr>
        <w:t>20</w:t>
      </w:r>
      <w:r w:rsidRPr="1887621A" w:rsidR="2CA72D66">
        <w:rPr>
          <w:rFonts w:eastAsia="Calibri" w:cs="Times New Roman"/>
          <w:color w:val="auto"/>
        </w:rPr>
        <w:t>,</w:t>
      </w:r>
      <w:r w:rsidRPr="02CC6D35" w:rsidR="2CA72D66">
        <w:rPr>
          <w:rFonts w:eastAsia="Calibri" w:cs="Times New Roman"/>
          <w:color w:val="auto"/>
        </w:rPr>
        <w:t>40</w:t>
      </w:r>
      <w:r w:rsidR="00406ED4">
        <w:rPr>
          <w:rFonts w:eastAsia="Calibri" w:cs="Times New Roman"/>
          <w:color w:val="auto"/>
        </w:rPr>
        <w:t>0</w:t>
      </w:r>
      <w:r w:rsidRPr="26B979E9" w:rsidR="00580EE1">
        <w:rPr>
          <w:rFonts w:eastAsia="Calibri" w:cs="Times New Roman"/>
          <w:color w:val="auto"/>
        </w:rPr>
        <w:t xml:space="preserve"> hours</w:t>
      </w:r>
      <w:r w:rsidRPr="26B979E9" w:rsidR="006B5CAA">
        <w:rPr>
          <w:rFonts w:eastAsia="Calibri" w:cs="Times New Roman"/>
          <w:color w:val="auto"/>
        </w:rPr>
        <w:t xml:space="preserve"> (18,000 exams x </w:t>
      </w:r>
      <w:r w:rsidRPr="539B0567" w:rsidR="2631C63A">
        <w:rPr>
          <w:rFonts w:eastAsia="Calibri" w:cs="Times New Roman"/>
          <w:color w:val="auto"/>
        </w:rPr>
        <w:t>1.</w:t>
      </w:r>
      <w:r w:rsidRPr="02CC6D35" w:rsidR="2631C63A">
        <w:rPr>
          <w:rFonts w:eastAsia="Calibri" w:cs="Times New Roman"/>
          <w:color w:val="auto"/>
        </w:rPr>
        <w:t>13</w:t>
      </w:r>
      <w:r w:rsidR="00506C06">
        <w:rPr>
          <w:rFonts w:eastAsia="Calibri" w:cs="Times New Roman"/>
          <w:color w:val="auto"/>
        </w:rPr>
        <w:t>334</w:t>
      </w:r>
      <w:r w:rsidRPr="26B979E9" w:rsidR="006B5CAA">
        <w:rPr>
          <w:rFonts w:eastAsia="Calibri" w:cs="Times New Roman"/>
          <w:color w:val="auto"/>
        </w:rPr>
        <w:t xml:space="preserve"> hours)</w:t>
      </w:r>
      <w:r w:rsidRPr="26B979E9" w:rsidR="00580EE1">
        <w:rPr>
          <w:rFonts w:eastAsia="Calibri" w:cs="Times New Roman"/>
          <w:color w:val="auto"/>
        </w:rPr>
        <w:t>.</w:t>
      </w:r>
      <w:r w:rsidRPr="26B979E9" w:rsidR="00C42623">
        <w:rPr>
          <w:rFonts w:eastAsia="Calibri" w:cs="Times New Roman"/>
          <w:color w:val="auto"/>
        </w:rPr>
        <w:t xml:space="preserve"> </w:t>
      </w:r>
      <w:r w:rsidR="00B52954">
        <w:rPr>
          <w:rFonts w:eastAsia="Calibri" w:cs="Times New Roman"/>
          <w:color w:val="auto"/>
        </w:rPr>
        <w:t xml:space="preserve"> </w:t>
      </w:r>
      <w:r w:rsidRPr="26B979E9" w:rsidR="67FB58BC">
        <w:rPr>
          <w:rFonts w:eastAsia="Calibri" w:cs="Times New Roman"/>
          <w:color w:val="auto"/>
        </w:rPr>
        <w:t>Candidates will also</w:t>
      </w:r>
      <w:r w:rsidRPr="26B979E9" w:rsidR="00C42623">
        <w:rPr>
          <w:rFonts w:eastAsia="Calibri" w:cs="Times New Roman"/>
          <w:color w:val="auto"/>
        </w:rPr>
        <w:t xml:space="preserve"> </w:t>
      </w:r>
      <w:r w:rsidRPr="26B979E9" w:rsidR="67FB58BC">
        <w:rPr>
          <w:rFonts w:eastAsia="Calibri" w:cs="Times New Roman"/>
          <w:color w:val="auto"/>
        </w:rPr>
        <w:t>spend on average 11</w:t>
      </w:r>
      <w:r w:rsidRPr="26B979E9" w:rsidR="00C42623">
        <w:rPr>
          <w:rFonts w:eastAsia="Calibri" w:cs="Times New Roman"/>
          <w:color w:val="auto"/>
        </w:rPr>
        <w:t xml:space="preserve"> </w:t>
      </w:r>
      <w:r w:rsidRPr="26B979E9" w:rsidR="67FB58BC">
        <w:rPr>
          <w:rFonts w:eastAsia="Calibri" w:cs="Times New Roman"/>
          <w:color w:val="auto"/>
        </w:rPr>
        <w:t xml:space="preserve">minutes </w:t>
      </w:r>
      <w:r w:rsidRPr="26B979E9" w:rsidR="5DF26FDD">
        <w:rPr>
          <w:rFonts w:eastAsia="Calibri" w:cs="Times New Roman"/>
          <w:color w:val="auto"/>
        </w:rPr>
        <w:t>(0.18</w:t>
      </w:r>
      <w:r w:rsidR="00BD1AC3">
        <w:rPr>
          <w:rFonts w:eastAsia="Calibri" w:cs="Times New Roman"/>
          <w:color w:val="auto"/>
        </w:rPr>
        <w:t>3</w:t>
      </w:r>
      <w:r w:rsidR="004B1756">
        <w:rPr>
          <w:rFonts w:eastAsia="Calibri" w:cs="Times New Roman"/>
          <w:color w:val="auto"/>
        </w:rPr>
        <w:t>3</w:t>
      </w:r>
      <w:r w:rsidR="00BD1AC3">
        <w:rPr>
          <w:rFonts w:eastAsia="Calibri" w:cs="Times New Roman"/>
          <w:color w:val="auto"/>
        </w:rPr>
        <w:t>3</w:t>
      </w:r>
      <w:r w:rsidRPr="26B979E9" w:rsidR="5DF26FDD">
        <w:rPr>
          <w:rFonts w:eastAsia="Calibri" w:cs="Times New Roman"/>
          <w:color w:val="auto"/>
        </w:rPr>
        <w:t xml:space="preserve"> hours)</w:t>
      </w:r>
      <w:r w:rsidRPr="26B979E9" w:rsidR="67FB58BC">
        <w:rPr>
          <w:rFonts w:eastAsia="Calibri" w:cs="Times New Roman"/>
          <w:color w:val="auto"/>
        </w:rPr>
        <w:t xml:space="preserve"> in the waiting room of</w:t>
      </w:r>
      <w:r w:rsidRPr="26B979E9" w:rsidR="00C42623">
        <w:rPr>
          <w:rFonts w:eastAsia="Calibri" w:cs="Times New Roman"/>
          <w:color w:val="auto"/>
        </w:rPr>
        <w:t xml:space="preserve"> </w:t>
      </w:r>
      <w:r w:rsidRPr="26B979E9" w:rsidR="67FB58BC">
        <w:rPr>
          <w:rFonts w:eastAsia="Calibri" w:cs="Times New Roman"/>
          <w:color w:val="auto"/>
        </w:rPr>
        <w:t xml:space="preserve">the </w:t>
      </w:r>
      <w:r w:rsidR="00DA2F48">
        <w:rPr>
          <w:rFonts w:eastAsia="Calibri" w:cs="Times New Roman"/>
          <w:color w:val="auto"/>
        </w:rPr>
        <w:t>physician or health</w:t>
      </w:r>
      <w:r w:rsidR="00685089">
        <w:rPr>
          <w:rFonts w:eastAsia="Calibri" w:cs="Times New Roman"/>
          <w:color w:val="auto"/>
        </w:rPr>
        <w:t xml:space="preserve"> </w:t>
      </w:r>
      <w:r w:rsidRPr="26B979E9" w:rsidR="67FB58BC">
        <w:rPr>
          <w:rFonts w:eastAsia="Calibri" w:cs="Times New Roman"/>
          <w:color w:val="auto"/>
        </w:rPr>
        <w:t>pr</w:t>
      </w:r>
      <w:r w:rsidR="00685089">
        <w:rPr>
          <w:rFonts w:eastAsia="Calibri" w:cs="Times New Roman"/>
          <w:color w:val="auto"/>
        </w:rPr>
        <w:t>actitioner</w:t>
      </w:r>
      <w:r w:rsidRPr="26B979E9" w:rsidR="4E2E089C">
        <w:rPr>
          <w:rFonts w:eastAsia="Calibri" w:cs="Times New Roman"/>
          <w:color w:val="auto"/>
        </w:rPr>
        <w:t>.</w:t>
      </w:r>
      <w:r>
        <w:rPr>
          <w:rStyle w:val="FootnoteReference"/>
          <w:rFonts w:eastAsia="Calibri" w:cs="Times New Roman"/>
          <w:color w:val="auto"/>
        </w:rPr>
        <w:footnoteReference w:id="6"/>
      </w:r>
      <w:r w:rsidR="00FB5085">
        <w:rPr>
          <w:rFonts w:eastAsia="Calibri" w:cs="Times New Roman"/>
          <w:color w:val="auto"/>
        </w:rPr>
        <w:t xml:space="preserve">  This results </w:t>
      </w:r>
      <w:r w:rsidR="00CF4BF2">
        <w:rPr>
          <w:rFonts w:eastAsia="Calibri" w:cs="Times New Roman"/>
          <w:color w:val="auto"/>
        </w:rPr>
        <w:t xml:space="preserve">in annual wait time burden of </w:t>
      </w:r>
      <w:r w:rsidR="00DD07FC">
        <w:rPr>
          <w:rFonts w:eastAsia="Calibri" w:cs="Times New Roman"/>
          <w:color w:val="auto"/>
        </w:rPr>
        <w:t>3,</w:t>
      </w:r>
      <w:r w:rsidR="005A3368">
        <w:rPr>
          <w:rFonts w:eastAsia="Calibri" w:cs="Times New Roman"/>
          <w:color w:val="auto"/>
        </w:rPr>
        <w:t>300</w:t>
      </w:r>
      <w:r w:rsidR="00DD07FC">
        <w:rPr>
          <w:rFonts w:eastAsia="Calibri" w:cs="Times New Roman"/>
          <w:color w:val="auto"/>
        </w:rPr>
        <w:t xml:space="preserve"> hours</w:t>
      </w:r>
      <w:r w:rsidR="008C2EE1">
        <w:rPr>
          <w:rFonts w:eastAsia="Calibri" w:cs="Times New Roman"/>
          <w:color w:val="auto"/>
        </w:rPr>
        <w:t xml:space="preserve"> (</w:t>
      </w:r>
      <w:r w:rsidR="0004657B">
        <w:rPr>
          <w:rFonts w:eastAsia="Calibri" w:cs="Times New Roman"/>
          <w:color w:val="auto"/>
        </w:rPr>
        <w:t>18,000 exams x 0.18</w:t>
      </w:r>
      <w:r w:rsidR="00D635A8">
        <w:rPr>
          <w:rFonts w:eastAsia="Calibri" w:cs="Times New Roman"/>
          <w:color w:val="auto"/>
        </w:rPr>
        <w:t>33</w:t>
      </w:r>
      <w:r w:rsidR="002E535D">
        <w:rPr>
          <w:rFonts w:eastAsia="Calibri" w:cs="Times New Roman"/>
          <w:color w:val="auto"/>
        </w:rPr>
        <w:t>3</w:t>
      </w:r>
      <w:r w:rsidR="0004657B">
        <w:rPr>
          <w:rFonts w:eastAsia="Calibri" w:cs="Times New Roman"/>
          <w:color w:val="auto"/>
        </w:rPr>
        <w:t xml:space="preserve"> hours).</w:t>
      </w:r>
    </w:p>
    <w:p w:rsidR="00205DC8" w14:paraId="5A5D2CED" w14:textId="77777777">
      <w:pPr>
        <w:spacing w:line="259" w:lineRule="auto"/>
        <w:ind w:left="360"/>
        <w:rPr>
          <w:rFonts w:eastAsia="Calibri" w:cs="Times New Roman"/>
          <w:color w:val="auto"/>
        </w:rPr>
      </w:pPr>
    </w:p>
    <w:p w:rsidR="00C42623" w14:paraId="63F20B67" w14:textId="3D7137D4">
      <w:pPr>
        <w:spacing w:line="259" w:lineRule="auto"/>
        <w:ind w:left="360"/>
        <w:rPr>
          <w:rFonts w:eastAsia="Calibri" w:cs="Times New Roman"/>
          <w:color w:val="auto"/>
        </w:rPr>
      </w:pPr>
      <w:r w:rsidRPr="26B979E9">
        <w:rPr>
          <w:rFonts w:eastAsia="Calibri" w:cs="Times New Roman"/>
          <w:color w:val="auto"/>
        </w:rPr>
        <w:t>The total annual hour burden of this collection is</w:t>
      </w:r>
      <w:r w:rsidRPr="26B979E9" w:rsidR="007B6A9C">
        <w:rPr>
          <w:rFonts w:eastAsia="Calibri" w:cs="Times New Roman"/>
          <w:color w:val="auto"/>
        </w:rPr>
        <w:t xml:space="preserve"> </w:t>
      </w:r>
      <w:r w:rsidRPr="4780E1ED" w:rsidR="1CE1FBAA">
        <w:rPr>
          <w:rFonts w:eastAsia="Calibri" w:cs="Times New Roman"/>
          <w:color w:val="auto"/>
        </w:rPr>
        <w:t>43,200</w:t>
      </w:r>
      <w:r w:rsidRPr="26B979E9">
        <w:rPr>
          <w:rFonts w:eastAsia="Calibri" w:cs="Times New Roman"/>
          <w:color w:val="auto"/>
        </w:rPr>
        <w:t xml:space="preserve"> hours</w:t>
      </w:r>
      <w:r w:rsidR="00C04293">
        <w:rPr>
          <w:rFonts w:eastAsia="Calibri" w:cs="Times New Roman"/>
          <w:color w:val="auto"/>
        </w:rPr>
        <w:t>.</w:t>
      </w:r>
      <w:r>
        <w:rPr>
          <w:rStyle w:val="FootnoteReference"/>
          <w:rFonts w:eastAsia="Calibri" w:cs="Times New Roman"/>
          <w:color w:val="auto"/>
          <w:szCs w:val="22"/>
        </w:rPr>
        <w:footnoteReference w:id="7"/>
      </w:r>
      <w:r w:rsidRPr="26B979E9">
        <w:rPr>
          <w:rFonts w:eastAsia="Calibri" w:cs="Times New Roman"/>
          <w:color w:val="auto"/>
        </w:rPr>
        <w:t xml:space="preserve"> </w:t>
      </w:r>
      <w:r w:rsidR="00C04293">
        <w:rPr>
          <w:rFonts w:eastAsia="Calibri" w:cs="Times New Roman"/>
          <w:color w:val="auto"/>
        </w:rPr>
        <w:t xml:space="preserve"> This</w:t>
      </w:r>
      <w:r w:rsidRPr="26B979E9">
        <w:rPr>
          <w:rFonts w:eastAsia="Calibri" w:cs="Times New Roman"/>
          <w:color w:val="auto"/>
        </w:rPr>
        <w:t xml:space="preserve"> </w:t>
      </w:r>
      <w:r w:rsidRPr="26B979E9" w:rsidR="00A51FF0">
        <w:rPr>
          <w:rFonts w:eastAsia="Calibri" w:cs="Times New Roman"/>
          <w:color w:val="auto"/>
        </w:rPr>
        <w:t xml:space="preserve">equates to </w:t>
      </w:r>
      <w:r w:rsidRPr="690E05F2" w:rsidR="44D18A21">
        <w:rPr>
          <w:rFonts w:eastAsia="Calibri" w:cs="Times New Roman"/>
          <w:color w:val="auto"/>
        </w:rPr>
        <w:t>129,</w:t>
      </w:r>
      <w:r w:rsidRPr="6F2FBED9" w:rsidR="44D18A21">
        <w:rPr>
          <w:rFonts w:eastAsia="Calibri" w:cs="Times New Roman"/>
          <w:color w:val="auto"/>
        </w:rPr>
        <w:t>600</w:t>
      </w:r>
      <w:r w:rsidRPr="26B979E9">
        <w:rPr>
          <w:rFonts w:eastAsia="Calibri" w:cs="Times New Roman"/>
          <w:color w:val="auto"/>
        </w:rPr>
        <w:t xml:space="preserve"> hours over </w:t>
      </w:r>
      <w:r w:rsidR="00B52954">
        <w:rPr>
          <w:rFonts w:eastAsia="Calibri" w:cs="Times New Roman"/>
          <w:color w:val="auto"/>
        </w:rPr>
        <w:t>3</w:t>
      </w:r>
      <w:r w:rsidRPr="26B979E9" w:rsidR="00B52954">
        <w:rPr>
          <w:rFonts w:eastAsia="Calibri" w:cs="Times New Roman"/>
          <w:color w:val="auto"/>
        </w:rPr>
        <w:t xml:space="preserve"> </w:t>
      </w:r>
      <w:r w:rsidRPr="26B979E9">
        <w:rPr>
          <w:rFonts w:eastAsia="Calibri" w:cs="Times New Roman"/>
          <w:color w:val="auto"/>
        </w:rPr>
        <w:t>years</w:t>
      </w:r>
      <w:r w:rsidRPr="26B979E9" w:rsidR="00A51FF0">
        <w:rPr>
          <w:rFonts w:eastAsia="Calibri" w:cs="Times New Roman"/>
          <w:color w:val="auto"/>
        </w:rPr>
        <w:t xml:space="preserve"> (</w:t>
      </w:r>
      <w:r w:rsidRPr="1EAAA09A" w:rsidR="17837A8E">
        <w:rPr>
          <w:rFonts w:eastAsia="Calibri" w:cs="Times New Roman"/>
          <w:color w:val="auto"/>
        </w:rPr>
        <w:t xml:space="preserve">43,200 </w:t>
      </w:r>
      <w:r w:rsidRPr="26B979E9" w:rsidR="00A51FF0">
        <w:rPr>
          <w:rFonts w:eastAsia="Calibri" w:cs="Times New Roman"/>
          <w:color w:val="auto"/>
        </w:rPr>
        <w:t>hours x 3 years)</w:t>
      </w:r>
      <w:r w:rsidRPr="26B979E9">
        <w:rPr>
          <w:rFonts w:eastAsia="Calibri" w:cs="Times New Roman"/>
          <w:color w:val="auto"/>
        </w:rPr>
        <w:t xml:space="preserve">. </w:t>
      </w:r>
      <w:r w:rsidRPr="26B979E9" w:rsidR="00025714">
        <w:rPr>
          <w:rFonts w:eastAsia="Calibri" w:cs="Times New Roman"/>
          <w:color w:val="auto"/>
        </w:rPr>
        <w:t xml:space="preserve"> </w:t>
      </w:r>
      <w:r w:rsidRPr="26B979E9">
        <w:rPr>
          <w:rFonts w:eastAsia="Calibri" w:cs="Times New Roman"/>
          <w:color w:val="auto"/>
        </w:rPr>
        <w:t xml:space="preserve">As TSO </w:t>
      </w:r>
      <w:r w:rsidRPr="26B979E9" w:rsidR="76D49C61">
        <w:rPr>
          <w:rFonts w:eastAsia="Calibri" w:cs="Times New Roman"/>
          <w:color w:val="auto"/>
        </w:rPr>
        <w:t>candidates</w:t>
      </w:r>
      <w:r w:rsidRPr="26B979E9">
        <w:rPr>
          <w:rFonts w:eastAsia="Calibri" w:cs="Times New Roman"/>
          <w:color w:val="auto"/>
        </w:rPr>
        <w:t xml:space="preserve"> can be any member of the public, TSA uses </w:t>
      </w:r>
      <w:r w:rsidR="00B64EBF">
        <w:rPr>
          <w:rFonts w:eastAsia="Calibri" w:cs="Times New Roman"/>
          <w:color w:val="auto"/>
        </w:rPr>
        <w:t xml:space="preserve">the </w:t>
      </w:r>
      <w:r w:rsidR="008D648D">
        <w:rPr>
          <w:rFonts w:eastAsia="Calibri" w:cs="Times New Roman"/>
          <w:color w:val="auto"/>
        </w:rPr>
        <w:t xml:space="preserve">Bureau of Labor Statistics </w:t>
      </w:r>
      <w:r w:rsidR="00B52954">
        <w:rPr>
          <w:rFonts w:eastAsia="Calibri" w:cs="Times New Roman"/>
          <w:color w:val="auto"/>
        </w:rPr>
        <w:t xml:space="preserve">(BLS) </w:t>
      </w:r>
      <w:r w:rsidR="00B64EBF">
        <w:rPr>
          <w:rFonts w:eastAsia="Calibri" w:cs="Times New Roman"/>
          <w:color w:val="auto"/>
        </w:rPr>
        <w:t>all occupations (</w:t>
      </w:r>
      <w:r w:rsidR="001D7A7D">
        <w:rPr>
          <w:rFonts w:eastAsia="Calibri" w:cs="Times New Roman"/>
          <w:color w:val="auto"/>
        </w:rPr>
        <w:t xml:space="preserve">00-0000) </w:t>
      </w:r>
      <w:r w:rsidR="008D648D">
        <w:rPr>
          <w:rFonts w:eastAsia="Calibri" w:cs="Times New Roman"/>
          <w:color w:val="auto"/>
        </w:rPr>
        <w:t xml:space="preserve">mean wage rate </w:t>
      </w:r>
      <w:r w:rsidRPr="00BC6E0E" w:rsidR="008D648D">
        <w:rPr>
          <w:rFonts w:eastAsia="Calibri" w:cs="Times New Roman"/>
          <w:color w:val="auto"/>
        </w:rPr>
        <w:t>of $</w:t>
      </w:r>
      <w:r w:rsidRPr="00251D7C" w:rsidR="00291898">
        <w:rPr>
          <w:rFonts w:eastAsia="Calibri" w:cs="Times New Roman"/>
          <w:color w:val="auto"/>
        </w:rPr>
        <w:t>32.</w:t>
      </w:r>
      <w:r w:rsidRPr="00251D7C" w:rsidR="007E2E96">
        <w:rPr>
          <w:rFonts w:eastAsia="Calibri" w:cs="Times New Roman"/>
          <w:color w:val="auto"/>
        </w:rPr>
        <w:t>66</w:t>
      </w:r>
      <w:r w:rsidR="008D648D">
        <w:rPr>
          <w:rFonts w:eastAsia="Calibri" w:cs="Times New Roman"/>
          <w:color w:val="auto"/>
        </w:rPr>
        <w:t xml:space="preserve"> </w:t>
      </w:r>
      <w:r w:rsidR="00BE593F">
        <w:rPr>
          <w:rFonts w:eastAsia="Calibri" w:cs="Times New Roman"/>
          <w:color w:val="auto"/>
        </w:rPr>
        <w:t>per hour.</w:t>
      </w:r>
      <w:r>
        <w:rPr>
          <w:rStyle w:val="FootnoteReference"/>
          <w:rFonts w:eastAsia="Calibri" w:cs="Times New Roman"/>
          <w:color w:val="auto"/>
        </w:rPr>
        <w:footnoteReference w:id="8"/>
      </w:r>
      <w:r w:rsidR="00BE593F">
        <w:rPr>
          <w:rFonts w:eastAsia="Calibri" w:cs="Times New Roman"/>
          <w:color w:val="auto"/>
        </w:rPr>
        <w:t xml:space="preserve"> </w:t>
      </w:r>
      <w:r w:rsidR="004832A4">
        <w:rPr>
          <w:rFonts w:eastAsia="Calibri" w:cs="Times New Roman"/>
          <w:color w:val="auto"/>
        </w:rPr>
        <w:t xml:space="preserve"> TSA the</w:t>
      </w:r>
      <w:r w:rsidR="00250033">
        <w:rPr>
          <w:rFonts w:eastAsia="Calibri" w:cs="Times New Roman"/>
          <w:color w:val="auto"/>
        </w:rPr>
        <w:t>n</w:t>
      </w:r>
      <w:r w:rsidR="004832A4">
        <w:rPr>
          <w:rFonts w:eastAsia="Calibri" w:cs="Times New Roman"/>
          <w:color w:val="auto"/>
        </w:rPr>
        <w:t xml:space="preserve"> applies a load factor of 1.</w:t>
      </w:r>
      <w:r w:rsidRPr="00251D7C" w:rsidR="00FB71BA">
        <w:rPr>
          <w:rFonts w:eastAsia="Calibri" w:cs="Times New Roman"/>
          <w:color w:val="auto"/>
        </w:rPr>
        <w:t>4582</w:t>
      </w:r>
      <w:r w:rsidRPr="00BC6E0E" w:rsidR="004832A4">
        <w:rPr>
          <w:rFonts w:eastAsia="Calibri" w:cs="Times New Roman"/>
          <w:color w:val="auto"/>
        </w:rPr>
        <w:t xml:space="preserve"> to</w:t>
      </w:r>
      <w:r w:rsidR="004832A4">
        <w:rPr>
          <w:rFonts w:eastAsia="Calibri" w:cs="Times New Roman"/>
          <w:color w:val="auto"/>
        </w:rPr>
        <w:t xml:space="preserve"> account for </w:t>
      </w:r>
      <w:r w:rsidR="004832A4">
        <w:t>non-compensation costs of employment, such as health and retirement benefits</w:t>
      </w:r>
      <w:r w:rsidRPr="26B979E9">
        <w:rPr>
          <w:rFonts w:eastAsia="Calibri" w:cs="Times New Roman"/>
          <w:color w:val="auto"/>
        </w:rPr>
        <w:t>.</w:t>
      </w:r>
      <w:r>
        <w:rPr>
          <w:rStyle w:val="FootnoteReference"/>
          <w:rFonts w:eastAsia="Calibri" w:cs="Times New Roman"/>
          <w:color w:val="auto"/>
        </w:rPr>
        <w:footnoteReference w:id="9"/>
      </w:r>
      <w:r w:rsidRPr="26B979E9">
        <w:rPr>
          <w:rFonts w:eastAsia="Calibri" w:cs="Times New Roman"/>
          <w:color w:val="auto"/>
        </w:rPr>
        <w:t xml:space="preserve"> </w:t>
      </w:r>
      <w:r w:rsidRPr="26B979E9" w:rsidR="00025714">
        <w:rPr>
          <w:rFonts w:eastAsia="Calibri" w:cs="Times New Roman"/>
          <w:color w:val="auto"/>
        </w:rPr>
        <w:t xml:space="preserve"> </w:t>
      </w:r>
      <w:r w:rsidR="0065787D">
        <w:rPr>
          <w:rFonts w:eastAsia="Calibri" w:cs="Times New Roman"/>
          <w:color w:val="auto"/>
        </w:rPr>
        <w:t>This results in a fully loaded applicant compensation rate of $4</w:t>
      </w:r>
      <w:r w:rsidR="006B4982">
        <w:rPr>
          <w:rFonts w:eastAsia="Calibri" w:cs="Times New Roman"/>
          <w:color w:val="auto"/>
        </w:rPr>
        <w:t>7.6</w:t>
      </w:r>
      <w:r w:rsidR="00E32D7B">
        <w:rPr>
          <w:rFonts w:eastAsia="Calibri" w:cs="Times New Roman"/>
          <w:color w:val="auto"/>
        </w:rPr>
        <w:t>3</w:t>
      </w:r>
      <w:r w:rsidR="0048701D">
        <w:rPr>
          <w:rFonts w:eastAsia="Calibri" w:cs="Times New Roman"/>
          <w:color w:val="auto"/>
        </w:rPr>
        <w:t>.</w:t>
      </w:r>
      <w:r>
        <w:rPr>
          <w:rStyle w:val="FootnoteReference"/>
          <w:rFonts w:eastAsia="Calibri" w:cs="Times New Roman"/>
          <w:color w:val="auto"/>
        </w:rPr>
        <w:footnoteReference w:id="10"/>
      </w:r>
      <w:r w:rsidR="0048701D">
        <w:rPr>
          <w:rFonts w:eastAsia="Calibri" w:cs="Times New Roman"/>
          <w:color w:val="auto"/>
        </w:rPr>
        <w:t xml:space="preserve">  </w:t>
      </w:r>
      <w:r w:rsidR="003E288E">
        <w:rPr>
          <w:rFonts w:eastAsia="Calibri" w:cs="Times New Roman"/>
          <w:color w:val="auto"/>
        </w:rPr>
        <w:t xml:space="preserve">Multiplying </w:t>
      </w:r>
      <w:r w:rsidR="00150C03">
        <w:rPr>
          <w:rFonts w:eastAsia="Calibri" w:cs="Times New Roman"/>
          <w:color w:val="auto"/>
        </w:rPr>
        <w:t xml:space="preserve">the </w:t>
      </w:r>
      <w:r w:rsidRPr="26B979E9">
        <w:rPr>
          <w:rFonts w:eastAsia="Calibri" w:cs="Times New Roman"/>
          <w:color w:val="auto"/>
        </w:rPr>
        <w:t xml:space="preserve">total annual hour burden </w:t>
      </w:r>
      <w:r w:rsidR="00150C03">
        <w:rPr>
          <w:rFonts w:eastAsia="Calibri" w:cs="Times New Roman"/>
          <w:color w:val="auto"/>
        </w:rPr>
        <w:t>(</w:t>
      </w:r>
      <w:r w:rsidRPr="3E5E2BAF" w:rsidR="64308B3C">
        <w:rPr>
          <w:rFonts w:eastAsia="Calibri" w:cs="Times New Roman"/>
          <w:color w:val="auto"/>
        </w:rPr>
        <w:t>43</w:t>
      </w:r>
      <w:r w:rsidRPr="19CE3EC4" w:rsidR="64308B3C">
        <w:rPr>
          <w:rFonts w:eastAsia="Calibri" w:cs="Times New Roman"/>
          <w:color w:val="auto"/>
        </w:rPr>
        <w:t>,200</w:t>
      </w:r>
      <w:r w:rsidR="00150C03">
        <w:rPr>
          <w:rFonts w:eastAsia="Calibri" w:cs="Times New Roman"/>
          <w:color w:val="auto"/>
        </w:rPr>
        <w:t xml:space="preserve"> by the all occupation wage rate ($</w:t>
      </w:r>
      <w:r w:rsidR="00FE511B">
        <w:rPr>
          <w:rFonts w:eastAsia="Calibri" w:cs="Times New Roman"/>
          <w:color w:val="auto"/>
        </w:rPr>
        <w:t>47.6</w:t>
      </w:r>
      <w:r w:rsidR="00E32D7B">
        <w:rPr>
          <w:rFonts w:eastAsia="Calibri" w:cs="Times New Roman"/>
          <w:color w:val="auto"/>
        </w:rPr>
        <w:t>3</w:t>
      </w:r>
      <w:r w:rsidR="00150C03">
        <w:rPr>
          <w:rFonts w:eastAsia="Calibri" w:cs="Times New Roman"/>
          <w:color w:val="auto"/>
        </w:rPr>
        <w:t xml:space="preserve">) </w:t>
      </w:r>
      <w:r w:rsidR="003F59B4">
        <w:rPr>
          <w:rFonts w:eastAsia="Calibri" w:cs="Times New Roman"/>
          <w:color w:val="auto"/>
        </w:rPr>
        <w:t xml:space="preserve">results in an annual </w:t>
      </w:r>
      <w:r w:rsidRPr="26B979E9">
        <w:rPr>
          <w:rFonts w:eastAsia="Calibri" w:cs="Times New Roman"/>
          <w:color w:val="auto"/>
        </w:rPr>
        <w:t>cost of $</w:t>
      </w:r>
      <w:r w:rsidRPr="26B979E9" w:rsidR="6F0B0503">
        <w:rPr>
          <w:rFonts w:eastAsia="Calibri" w:cs="Times New Roman"/>
          <w:color w:val="auto"/>
        </w:rPr>
        <w:t>2,057,</w:t>
      </w:r>
      <w:r w:rsidRPr="4B2BEDBA" w:rsidR="007F35FB">
        <w:rPr>
          <w:rFonts w:eastAsia="Calibri" w:cs="Times New Roman"/>
          <w:color w:val="auto"/>
        </w:rPr>
        <w:t>616</w:t>
      </w:r>
      <w:r w:rsidRPr="1C9CA7BF" w:rsidR="003F16EB">
        <w:rPr>
          <w:rFonts w:eastAsia="Calibri" w:cs="Times New Roman"/>
          <w:color w:val="auto"/>
        </w:rPr>
        <w:t>.</w:t>
      </w:r>
      <w:r w:rsidRPr="26B979E9" w:rsidR="003F16EB">
        <w:rPr>
          <w:rFonts w:eastAsia="Calibri" w:cs="Times New Roman"/>
          <w:color w:val="auto"/>
        </w:rPr>
        <w:t xml:space="preserve"> </w:t>
      </w:r>
      <w:r w:rsidR="00D31295">
        <w:rPr>
          <w:rFonts w:eastAsia="Calibri" w:cs="Times New Roman"/>
          <w:color w:val="auto"/>
        </w:rPr>
        <w:t xml:space="preserve"> </w:t>
      </w:r>
      <w:r w:rsidRPr="00EE25FC" w:rsidR="00EF409A">
        <w:rPr>
          <w:rFonts w:eastAsia="Calibri" w:cs="Times New Roman"/>
          <w:i/>
          <w:iCs/>
          <w:color w:val="auto"/>
        </w:rPr>
        <w:t>See</w:t>
      </w:r>
      <w:r w:rsidR="00EF409A">
        <w:rPr>
          <w:rFonts w:eastAsia="Calibri" w:cs="Times New Roman"/>
          <w:color w:val="auto"/>
        </w:rPr>
        <w:t xml:space="preserve"> </w:t>
      </w:r>
      <w:r w:rsidRPr="26B979E9">
        <w:rPr>
          <w:rFonts w:eastAsia="Calibri" w:cs="Times New Roman"/>
          <w:color w:val="auto"/>
        </w:rPr>
        <w:t xml:space="preserve">Table 1 </w:t>
      </w:r>
      <w:r w:rsidR="00EF409A">
        <w:rPr>
          <w:rFonts w:eastAsia="Calibri" w:cs="Times New Roman"/>
          <w:color w:val="auto"/>
        </w:rPr>
        <w:t>for a summary of</w:t>
      </w:r>
      <w:r w:rsidRPr="26B979E9">
        <w:rPr>
          <w:rFonts w:eastAsia="Calibri" w:cs="Times New Roman"/>
          <w:color w:val="auto"/>
        </w:rPr>
        <w:t xml:space="preserve"> these calculations.</w:t>
      </w:r>
    </w:p>
    <w:p w:rsidR="00C42623" w:rsidP="004054E6" w14:paraId="05E95F08" w14:textId="77777777">
      <w:pPr>
        <w:ind w:left="360"/>
        <w:rPr>
          <w:rFonts w:eastAsia="Calibri" w:cs="Times New Roman"/>
          <w:color w:val="auto"/>
          <w:szCs w:val="22"/>
        </w:rPr>
      </w:pPr>
    </w:p>
    <w:p w:rsidR="00150CB6" w:rsidRPr="00081598" w:rsidP="00081598" w14:paraId="33AEFB6B" w14:textId="347F319A">
      <w:pPr>
        <w:pStyle w:val="Caption"/>
        <w:keepNext/>
        <w:keepLines/>
        <w:spacing w:after="0"/>
        <w:rPr>
          <w:b/>
          <w:color w:val="auto"/>
          <w:szCs w:val="24"/>
        </w:rPr>
      </w:pPr>
      <w:r w:rsidRPr="00081598">
        <w:rPr>
          <w:b/>
          <w:i w:val="0"/>
          <w:color w:val="auto"/>
          <w:sz w:val="24"/>
          <w:szCs w:val="24"/>
        </w:rPr>
        <w:t xml:space="preserve">Table </w:t>
      </w:r>
      <w:r w:rsidRPr="04C0ECAB">
        <w:rPr>
          <w:b/>
          <w:i w:val="0"/>
          <w:color w:val="auto"/>
          <w:sz w:val="24"/>
          <w:szCs w:val="24"/>
        </w:rPr>
        <w:fldChar w:fldCharType="begin"/>
      </w:r>
      <w:r w:rsidRPr="04C0ECAB">
        <w:rPr>
          <w:b/>
          <w:i w:val="0"/>
          <w:color w:val="auto"/>
          <w:sz w:val="24"/>
          <w:szCs w:val="24"/>
        </w:rPr>
        <w:instrText xml:space="preserve"> SEQ Table \* ARABIC </w:instrText>
      </w:r>
      <w:r w:rsidRPr="04C0ECAB">
        <w:rPr>
          <w:b/>
          <w:i w:val="0"/>
          <w:color w:val="auto"/>
          <w:sz w:val="24"/>
          <w:szCs w:val="24"/>
        </w:rPr>
        <w:fldChar w:fldCharType="separate"/>
      </w:r>
      <w:r w:rsidRPr="00081598">
        <w:rPr>
          <w:b/>
          <w:i w:val="0"/>
          <w:color w:val="auto"/>
          <w:sz w:val="24"/>
          <w:szCs w:val="24"/>
        </w:rPr>
        <w:t>1</w:t>
      </w:r>
      <w:r w:rsidRPr="04C0ECAB">
        <w:rPr>
          <w:b/>
          <w:i w:val="0"/>
          <w:color w:val="auto"/>
          <w:sz w:val="24"/>
          <w:szCs w:val="24"/>
        </w:rPr>
        <w:fldChar w:fldCharType="end"/>
      </w:r>
      <w:r w:rsidRPr="00081598">
        <w:rPr>
          <w:b/>
          <w:i w:val="0"/>
          <w:color w:val="auto"/>
          <w:sz w:val="24"/>
          <w:szCs w:val="24"/>
        </w:rPr>
        <w:t>: Hour Burden and Costs for TSO Medical Questionnaire</w:t>
      </w:r>
    </w:p>
    <w:tbl>
      <w:tblPr>
        <w:tblW w:w="0" w:type="auto"/>
        <w:jc w:val="center"/>
        <w:tblLook w:val="06A0"/>
      </w:tblPr>
      <w:tblGrid>
        <w:gridCol w:w="1979"/>
        <w:gridCol w:w="2300"/>
        <w:gridCol w:w="1131"/>
        <w:gridCol w:w="1662"/>
        <w:gridCol w:w="2268"/>
      </w:tblGrid>
      <w:tr w14:paraId="29BDA0E7" w14:textId="77777777" w:rsidTr="00EA064A">
        <w:tblPrEx>
          <w:tblW w:w="0" w:type="auto"/>
          <w:jc w:val="center"/>
          <w:tblLook w:val="06A0"/>
        </w:tblPrEx>
        <w:trPr>
          <w:trHeight w:val="885"/>
          <w:jc w:val="center"/>
        </w:trPr>
        <w:tc>
          <w:tcPr>
            <w:tcW w:w="1979" w:type="dxa"/>
            <w:tcBorders>
              <w:top w:val="single" w:sz="8" w:space="0" w:color="auto"/>
              <w:left w:val="single" w:sz="8" w:space="0" w:color="auto"/>
              <w:bottom w:val="single" w:sz="4" w:space="0" w:color="auto"/>
              <w:right w:val="single" w:sz="4" w:space="0" w:color="auto"/>
            </w:tcBorders>
            <w:vAlign w:val="center"/>
          </w:tcPr>
          <w:p w:rsidR="6C4949E7" w:rsidRPr="00081598" w:rsidP="00081598" w14:paraId="5E38F9F5" w14:textId="3780D9D9">
            <w:pPr>
              <w:jc w:val="center"/>
              <w:rPr>
                <w:rFonts w:cs="Times New Roman"/>
                <w:b/>
                <w:bCs/>
                <w:color w:val="000000" w:themeColor="text1"/>
                <w:szCs w:val="24"/>
              </w:rPr>
            </w:pPr>
            <w:r w:rsidRPr="00081598">
              <w:rPr>
                <w:rFonts w:cs="Times New Roman"/>
                <w:b/>
                <w:bCs/>
                <w:color w:val="000000" w:themeColor="text1"/>
                <w:szCs w:val="24"/>
              </w:rPr>
              <w:t>Activity</w:t>
            </w:r>
          </w:p>
        </w:tc>
        <w:tc>
          <w:tcPr>
            <w:tcW w:w="2300" w:type="dxa"/>
            <w:tcBorders>
              <w:top w:val="single" w:sz="8" w:space="0" w:color="auto"/>
              <w:left w:val="single" w:sz="4" w:space="0" w:color="auto"/>
              <w:bottom w:val="single" w:sz="4" w:space="0" w:color="auto"/>
              <w:right w:val="single" w:sz="4" w:space="0" w:color="auto"/>
            </w:tcBorders>
            <w:vAlign w:val="center"/>
          </w:tcPr>
          <w:p w:rsidR="6C4949E7" w:rsidRPr="00081598" w:rsidP="00081598" w14:paraId="758ACDE6" w14:textId="1E447CEB">
            <w:pPr>
              <w:jc w:val="center"/>
              <w:rPr>
                <w:rFonts w:cs="Times New Roman"/>
                <w:b/>
                <w:bCs/>
                <w:color w:val="000000" w:themeColor="text1"/>
                <w:szCs w:val="24"/>
              </w:rPr>
            </w:pPr>
            <w:r w:rsidRPr="00081598">
              <w:rPr>
                <w:rFonts w:cs="Times New Roman"/>
                <w:b/>
                <w:bCs/>
                <w:color w:val="000000" w:themeColor="text1"/>
                <w:szCs w:val="24"/>
              </w:rPr>
              <w:t>Number of TSO Medical Screenings</w:t>
            </w:r>
          </w:p>
        </w:tc>
        <w:tc>
          <w:tcPr>
            <w:tcW w:w="1131" w:type="dxa"/>
            <w:tcBorders>
              <w:top w:val="single" w:sz="8" w:space="0" w:color="auto"/>
              <w:left w:val="single" w:sz="4" w:space="0" w:color="auto"/>
              <w:bottom w:val="single" w:sz="4" w:space="0" w:color="auto"/>
              <w:right w:val="single" w:sz="4" w:space="0" w:color="auto"/>
            </w:tcBorders>
            <w:vAlign w:val="center"/>
          </w:tcPr>
          <w:p w:rsidR="6C4949E7" w:rsidRPr="00081598" w:rsidP="00081598" w14:paraId="4D031E23" w14:textId="16619398">
            <w:pPr>
              <w:jc w:val="center"/>
              <w:rPr>
                <w:rFonts w:cs="Times New Roman"/>
                <w:b/>
                <w:bCs/>
                <w:color w:val="000000" w:themeColor="text1"/>
                <w:szCs w:val="24"/>
              </w:rPr>
            </w:pPr>
            <w:r w:rsidRPr="00081598">
              <w:rPr>
                <w:rFonts w:cs="Times New Roman"/>
                <w:b/>
                <w:bCs/>
                <w:color w:val="000000" w:themeColor="text1"/>
                <w:szCs w:val="24"/>
              </w:rPr>
              <w:t xml:space="preserve">Hour Burden </w:t>
            </w:r>
          </w:p>
        </w:tc>
        <w:tc>
          <w:tcPr>
            <w:tcW w:w="1662" w:type="dxa"/>
            <w:tcBorders>
              <w:top w:val="single" w:sz="8" w:space="0" w:color="auto"/>
              <w:left w:val="single" w:sz="4" w:space="0" w:color="auto"/>
              <w:bottom w:val="single" w:sz="4" w:space="0" w:color="auto"/>
              <w:right w:val="single" w:sz="4" w:space="0" w:color="auto"/>
            </w:tcBorders>
            <w:vAlign w:val="center"/>
          </w:tcPr>
          <w:p w:rsidR="6C4949E7" w:rsidRPr="00081598" w:rsidP="00081598" w14:paraId="35FA62DB" w14:textId="7F33E4C9">
            <w:pPr>
              <w:jc w:val="center"/>
              <w:rPr>
                <w:rFonts w:cs="Times New Roman"/>
                <w:b/>
                <w:bCs/>
                <w:color w:val="000000" w:themeColor="text1"/>
                <w:szCs w:val="24"/>
              </w:rPr>
            </w:pPr>
            <w:r w:rsidRPr="00081598">
              <w:rPr>
                <w:rFonts w:cs="Times New Roman"/>
                <w:b/>
                <w:bCs/>
                <w:color w:val="000000" w:themeColor="text1"/>
                <w:szCs w:val="24"/>
              </w:rPr>
              <w:t>Annual Hour Burden</w:t>
            </w:r>
          </w:p>
        </w:tc>
        <w:tc>
          <w:tcPr>
            <w:tcW w:w="2268" w:type="dxa"/>
            <w:tcBorders>
              <w:top w:val="single" w:sz="8" w:space="0" w:color="auto"/>
              <w:left w:val="single" w:sz="4" w:space="0" w:color="auto"/>
              <w:bottom w:val="single" w:sz="4" w:space="0" w:color="auto"/>
              <w:right w:val="single" w:sz="8" w:space="0" w:color="auto"/>
            </w:tcBorders>
            <w:vAlign w:val="center"/>
          </w:tcPr>
          <w:p w:rsidR="6C4949E7" w:rsidRPr="00081598" w:rsidP="00081598" w14:paraId="3D8C4174" w14:textId="44263174">
            <w:pPr>
              <w:jc w:val="center"/>
              <w:rPr>
                <w:rFonts w:cs="Times New Roman"/>
                <w:b/>
                <w:bCs/>
                <w:color w:val="000000" w:themeColor="text1"/>
                <w:szCs w:val="24"/>
              </w:rPr>
            </w:pPr>
            <w:r w:rsidRPr="00081598">
              <w:rPr>
                <w:rFonts w:cs="Times New Roman"/>
                <w:b/>
                <w:bCs/>
                <w:color w:val="000000" w:themeColor="text1"/>
                <w:szCs w:val="24"/>
              </w:rPr>
              <w:t>Annual Hour Burden Cost</w:t>
            </w:r>
          </w:p>
        </w:tc>
      </w:tr>
      <w:tr w14:paraId="6AD01E16" w14:textId="77777777" w:rsidTr="00EA064A">
        <w:tblPrEx>
          <w:tblW w:w="0" w:type="auto"/>
          <w:jc w:val="center"/>
          <w:tblLook w:val="06A0"/>
        </w:tblPrEx>
        <w:trPr>
          <w:trHeight w:val="300"/>
          <w:jc w:val="center"/>
        </w:trPr>
        <w:tc>
          <w:tcPr>
            <w:tcW w:w="1979" w:type="dxa"/>
            <w:tcBorders>
              <w:left w:val="single" w:sz="0" w:space="0" w:color="auto"/>
              <w:bottom w:val="single" w:sz="0" w:space="0" w:color="auto"/>
              <w:right w:val="single" w:sz="0" w:space="0" w:color="auto"/>
            </w:tcBorders>
            <w:vAlign w:val="center"/>
          </w:tcPr>
          <w:p w:rsidR="00E032B5" w14:paraId="680A8FB4" w14:textId="77777777"/>
        </w:tc>
        <w:tc>
          <w:tcPr>
            <w:tcW w:w="2300" w:type="dxa"/>
            <w:tcBorders>
              <w:top w:val="single" w:sz="4" w:space="0" w:color="auto"/>
              <w:left w:val="nil"/>
              <w:bottom w:val="single" w:sz="8" w:space="0" w:color="auto"/>
              <w:right w:val="single" w:sz="4" w:space="0" w:color="auto"/>
            </w:tcBorders>
            <w:vAlign w:val="center"/>
          </w:tcPr>
          <w:p w:rsidR="244138BB" w:rsidRPr="00081598" w:rsidP="00081598" w14:paraId="4A269107" w14:textId="1B7F1594">
            <w:pPr>
              <w:jc w:val="center"/>
              <w:rPr>
                <w:rFonts w:eastAsia="Calibri" w:cs="Times New Roman"/>
                <w:b/>
                <w:color w:val="000000" w:themeColor="text1"/>
                <w:szCs w:val="24"/>
              </w:rPr>
            </w:pPr>
            <w:r w:rsidRPr="00081598">
              <w:rPr>
                <w:rFonts w:eastAsia="Calibri" w:cs="Times New Roman"/>
                <w:b/>
                <w:color w:val="000000" w:themeColor="text1"/>
                <w:szCs w:val="24"/>
              </w:rPr>
              <w:t>A</w:t>
            </w:r>
          </w:p>
        </w:tc>
        <w:tc>
          <w:tcPr>
            <w:tcW w:w="1131" w:type="dxa"/>
            <w:tcBorders>
              <w:top w:val="single" w:sz="4" w:space="0" w:color="auto"/>
              <w:left w:val="single" w:sz="4" w:space="0" w:color="auto"/>
              <w:bottom w:val="single" w:sz="8" w:space="0" w:color="auto"/>
              <w:right w:val="single" w:sz="4" w:space="0" w:color="auto"/>
            </w:tcBorders>
            <w:vAlign w:val="center"/>
          </w:tcPr>
          <w:p w:rsidR="244138BB" w:rsidRPr="00081598" w:rsidP="00081598" w14:paraId="7B133084" w14:textId="33A2E3F2">
            <w:pPr>
              <w:jc w:val="center"/>
              <w:rPr>
                <w:rFonts w:eastAsia="Calibri" w:cs="Times New Roman"/>
                <w:b/>
                <w:color w:val="000000" w:themeColor="text1"/>
                <w:szCs w:val="24"/>
              </w:rPr>
            </w:pPr>
            <w:r w:rsidRPr="00081598">
              <w:rPr>
                <w:rFonts w:eastAsia="Calibri" w:cs="Times New Roman"/>
                <w:b/>
                <w:color w:val="000000" w:themeColor="text1"/>
                <w:szCs w:val="24"/>
              </w:rPr>
              <w:t>B</w:t>
            </w:r>
          </w:p>
        </w:tc>
        <w:tc>
          <w:tcPr>
            <w:tcW w:w="1662" w:type="dxa"/>
            <w:tcBorders>
              <w:top w:val="single" w:sz="4" w:space="0" w:color="auto"/>
              <w:left w:val="single" w:sz="4" w:space="0" w:color="auto"/>
              <w:bottom w:val="single" w:sz="8" w:space="0" w:color="auto"/>
              <w:right w:val="single" w:sz="4" w:space="0" w:color="auto"/>
            </w:tcBorders>
            <w:vAlign w:val="center"/>
          </w:tcPr>
          <w:p w:rsidR="244138BB" w:rsidRPr="00081598" w:rsidP="00081598" w14:paraId="50A80506" w14:textId="637EDC4D">
            <w:pPr>
              <w:jc w:val="center"/>
              <w:rPr>
                <w:rFonts w:eastAsia="Calibri" w:cs="Times New Roman"/>
                <w:b/>
                <w:color w:val="000000" w:themeColor="text1"/>
                <w:szCs w:val="24"/>
              </w:rPr>
            </w:pPr>
            <w:r w:rsidRPr="00081598">
              <w:rPr>
                <w:rFonts w:eastAsia="Calibri" w:cs="Times New Roman"/>
                <w:b/>
                <w:color w:val="000000" w:themeColor="text1"/>
                <w:szCs w:val="24"/>
              </w:rPr>
              <w:t>C = A x B</w:t>
            </w:r>
          </w:p>
        </w:tc>
        <w:tc>
          <w:tcPr>
            <w:tcW w:w="2268" w:type="dxa"/>
            <w:tcBorders>
              <w:top w:val="single" w:sz="4" w:space="0" w:color="auto"/>
              <w:left w:val="single" w:sz="4" w:space="0" w:color="auto"/>
              <w:bottom w:val="single" w:sz="8" w:space="0" w:color="auto"/>
              <w:right w:val="single" w:sz="8" w:space="0" w:color="auto"/>
            </w:tcBorders>
            <w:vAlign w:val="center"/>
          </w:tcPr>
          <w:p w:rsidR="244138BB" w:rsidRPr="00081598" w:rsidP="00081598" w14:paraId="7E9A4E8E" w14:textId="423DAD41">
            <w:pPr>
              <w:jc w:val="center"/>
              <w:rPr>
                <w:rFonts w:eastAsia="Calibri" w:cs="Times New Roman"/>
                <w:b/>
                <w:color w:val="000000" w:themeColor="text1"/>
                <w:szCs w:val="24"/>
              </w:rPr>
            </w:pPr>
            <w:r w:rsidRPr="00081598">
              <w:rPr>
                <w:rFonts w:eastAsia="Calibri" w:cs="Times New Roman"/>
                <w:b/>
                <w:color w:val="000000" w:themeColor="text1"/>
                <w:szCs w:val="24"/>
              </w:rPr>
              <w:t>D = C x $47.63</w:t>
            </w:r>
          </w:p>
        </w:tc>
      </w:tr>
      <w:tr w14:paraId="5F8095CB" w14:textId="77777777" w:rsidTr="00EA064A">
        <w:tblPrEx>
          <w:tblW w:w="0" w:type="auto"/>
          <w:jc w:val="center"/>
          <w:tblLook w:val="06A0"/>
        </w:tblPrEx>
        <w:trPr>
          <w:trHeight w:val="285"/>
          <w:jc w:val="center"/>
        </w:trPr>
        <w:tc>
          <w:tcPr>
            <w:tcW w:w="1979" w:type="dxa"/>
            <w:tcBorders>
              <w:top w:val="single" w:sz="4" w:space="0" w:color="auto"/>
              <w:left w:val="single" w:sz="4" w:space="0" w:color="auto"/>
              <w:bottom w:val="single" w:sz="4" w:space="0" w:color="auto"/>
              <w:right w:val="single" w:sz="4" w:space="0" w:color="auto"/>
            </w:tcBorders>
            <w:vAlign w:val="center"/>
          </w:tcPr>
          <w:p w:rsidR="6C4949E7" w:rsidRPr="00081598" w:rsidP="00081598" w14:paraId="2CCB6C9B" w14:textId="0D2644D9">
            <w:pPr>
              <w:jc w:val="center"/>
              <w:rPr>
                <w:rFonts w:cs="Times New Roman"/>
                <w:color w:val="000000" w:themeColor="text1"/>
                <w:szCs w:val="24"/>
              </w:rPr>
            </w:pPr>
            <w:r w:rsidRPr="00081598">
              <w:rPr>
                <w:rFonts w:cs="Times New Roman"/>
                <w:color w:val="000000" w:themeColor="text1"/>
                <w:szCs w:val="24"/>
              </w:rPr>
              <w:t>Online SOMQ Form</w:t>
            </w:r>
          </w:p>
        </w:tc>
        <w:tc>
          <w:tcPr>
            <w:tcW w:w="2300" w:type="dxa"/>
            <w:vMerge w:val="restart"/>
            <w:tcBorders>
              <w:top w:val="single" w:sz="8" w:space="0" w:color="auto"/>
              <w:left w:val="single" w:sz="4" w:space="0" w:color="auto"/>
              <w:right w:val="single" w:sz="4" w:space="0" w:color="auto"/>
            </w:tcBorders>
            <w:vAlign w:val="center"/>
          </w:tcPr>
          <w:p w:rsidR="6C4949E7" w:rsidRPr="00081598" w:rsidP="00081598" w14:paraId="33526FC9" w14:textId="3F808905">
            <w:pPr>
              <w:jc w:val="center"/>
              <w:rPr>
                <w:rFonts w:cs="Times New Roman"/>
                <w:color w:val="000000" w:themeColor="text1"/>
                <w:szCs w:val="24"/>
              </w:rPr>
            </w:pPr>
            <w:r w:rsidRPr="00081598">
              <w:rPr>
                <w:rFonts w:cs="Times New Roman"/>
                <w:color w:val="000000" w:themeColor="text1"/>
                <w:szCs w:val="24"/>
              </w:rPr>
              <w:t xml:space="preserve">18,000 </w:t>
            </w:r>
          </w:p>
        </w:tc>
        <w:tc>
          <w:tcPr>
            <w:tcW w:w="1131" w:type="dxa"/>
            <w:tcBorders>
              <w:top w:val="single" w:sz="8" w:space="0" w:color="auto"/>
              <w:left w:val="single" w:sz="4" w:space="0" w:color="auto"/>
              <w:bottom w:val="single" w:sz="4" w:space="0" w:color="auto"/>
              <w:right w:val="single" w:sz="4" w:space="0" w:color="auto"/>
            </w:tcBorders>
            <w:vAlign w:val="center"/>
          </w:tcPr>
          <w:p w:rsidR="6C4949E7" w:rsidRPr="00081598" w:rsidP="00081598" w14:paraId="6333A662" w14:textId="2C9969BB">
            <w:pPr>
              <w:jc w:val="center"/>
              <w:rPr>
                <w:rFonts w:cs="Times New Roman"/>
                <w:color w:val="000000" w:themeColor="text1"/>
                <w:szCs w:val="24"/>
              </w:rPr>
            </w:pPr>
            <w:r w:rsidRPr="00081598">
              <w:rPr>
                <w:rFonts w:cs="Times New Roman"/>
                <w:color w:val="000000" w:themeColor="text1"/>
                <w:szCs w:val="24"/>
              </w:rPr>
              <w:t>0.5</w:t>
            </w:r>
          </w:p>
        </w:tc>
        <w:tc>
          <w:tcPr>
            <w:tcW w:w="1662" w:type="dxa"/>
            <w:tcBorders>
              <w:top w:val="single" w:sz="8" w:space="0" w:color="auto"/>
              <w:left w:val="single" w:sz="4" w:space="0" w:color="auto"/>
              <w:bottom w:val="single" w:sz="4" w:space="0" w:color="auto"/>
              <w:right w:val="single" w:sz="4" w:space="0" w:color="auto"/>
            </w:tcBorders>
            <w:vAlign w:val="center"/>
          </w:tcPr>
          <w:p w:rsidR="6C4949E7" w:rsidRPr="00081598" w:rsidP="00081598" w14:paraId="2E1EC2A1" w14:textId="6BC359C4">
            <w:pPr>
              <w:jc w:val="center"/>
              <w:rPr>
                <w:rFonts w:cs="Times New Roman"/>
                <w:color w:val="000000" w:themeColor="text1"/>
                <w:szCs w:val="24"/>
              </w:rPr>
            </w:pPr>
            <w:r w:rsidRPr="00081598">
              <w:rPr>
                <w:rFonts w:cs="Times New Roman"/>
                <w:color w:val="000000" w:themeColor="text1"/>
                <w:szCs w:val="24"/>
              </w:rPr>
              <w:t xml:space="preserve">9,000 </w:t>
            </w:r>
          </w:p>
        </w:tc>
        <w:tc>
          <w:tcPr>
            <w:tcW w:w="2268" w:type="dxa"/>
            <w:tcBorders>
              <w:top w:val="single" w:sz="8" w:space="0" w:color="auto"/>
              <w:left w:val="single" w:sz="4" w:space="0" w:color="auto"/>
              <w:bottom w:val="single" w:sz="4" w:space="0" w:color="auto"/>
              <w:right w:val="single" w:sz="8" w:space="0" w:color="auto"/>
            </w:tcBorders>
            <w:vAlign w:val="center"/>
          </w:tcPr>
          <w:p w:rsidR="6C4949E7" w:rsidRPr="00081598" w:rsidP="00081598" w14:paraId="2894952A" w14:textId="66137CCB">
            <w:pPr>
              <w:jc w:val="center"/>
              <w:rPr>
                <w:rFonts w:cs="Times New Roman"/>
                <w:color w:val="000000" w:themeColor="text1"/>
                <w:szCs w:val="24"/>
              </w:rPr>
            </w:pPr>
            <w:r w:rsidRPr="00081598">
              <w:rPr>
                <w:rFonts w:cs="Times New Roman"/>
                <w:color w:val="000000" w:themeColor="text1"/>
                <w:szCs w:val="24"/>
              </w:rPr>
              <w:t>$428,6</w:t>
            </w:r>
            <w:r w:rsidR="00FC22C5">
              <w:rPr>
                <w:rFonts w:cs="Times New Roman"/>
                <w:color w:val="000000" w:themeColor="text1"/>
                <w:szCs w:val="24"/>
              </w:rPr>
              <w:t>70</w:t>
            </w:r>
          </w:p>
        </w:tc>
      </w:tr>
      <w:tr w14:paraId="75A6D802" w14:textId="77777777" w:rsidTr="00EA064A">
        <w:tblPrEx>
          <w:tblW w:w="0" w:type="auto"/>
          <w:jc w:val="center"/>
          <w:tblLook w:val="06A0"/>
        </w:tblPrEx>
        <w:trPr>
          <w:trHeight w:val="585"/>
          <w:jc w:val="center"/>
        </w:trPr>
        <w:tc>
          <w:tcPr>
            <w:tcW w:w="1979" w:type="dxa"/>
            <w:tcBorders>
              <w:top w:val="single" w:sz="4" w:space="0" w:color="auto"/>
              <w:left w:val="single" w:sz="4" w:space="0" w:color="auto"/>
              <w:bottom w:val="single" w:sz="4" w:space="0" w:color="auto"/>
              <w:right w:val="single" w:sz="4" w:space="0" w:color="auto"/>
            </w:tcBorders>
            <w:vAlign w:val="center"/>
          </w:tcPr>
          <w:p w:rsidR="244138BB" w:rsidRPr="00081598" w:rsidP="00081598" w14:paraId="31F6F80A" w14:textId="61C799F1">
            <w:pPr>
              <w:jc w:val="center"/>
              <w:rPr>
                <w:rFonts w:eastAsia="Calibri" w:cs="Times New Roman"/>
                <w:color w:val="000000" w:themeColor="text1"/>
                <w:szCs w:val="24"/>
              </w:rPr>
            </w:pPr>
            <w:r w:rsidRPr="00081598">
              <w:rPr>
                <w:rFonts w:eastAsia="Calibri" w:cs="Times New Roman"/>
                <w:color w:val="000000" w:themeColor="text1"/>
                <w:szCs w:val="24"/>
              </w:rPr>
              <w:t>Travel to/from Doctor's Office</w:t>
            </w:r>
          </w:p>
        </w:tc>
        <w:tc>
          <w:tcPr>
            <w:tcW w:w="2300" w:type="dxa"/>
            <w:vMerge/>
            <w:tcBorders>
              <w:left w:val="single" w:sz="4" w:space="0" w:color="auto"/>
              <w:right w:val="single" w:sz="4" w:space="0" w:color="auto"/>
            </w:tcBorders>
            <w:vAlign w:val="center"/>
          </w:tcPr>
          <w:p w:rsidR="00E032B5" w14:paraId="5D4F1F2E" w14:textId="77777777"/>
        </w:tc>
        <w:tc>
          <w:tcPr>
            <w:tcW w:w="1131" w:type="dxa"/>
            <w:tcBorders>
              <w:top w:val="single" w:sz="4" w:space="0" w:color="auto"/>
              <w:left w:val="single" w:sz="4" w:space="0" w:color="auto"/>
              <w:bottom w:val="single" w:sz="4" w:space="0" w:color="auto"/>
              <w:right w:val="single" w:sz="4" w:space="0" w:color="auto"/>
            </w:tcBorders>
            <w:vAlign w:val="center"/>
          </w:tcPr>
          <w:p w:rsidR="244138BB" w:rsidRPr="00081598" w:rsidP="00081598" w14:paraId="22956433" w14:textId="72590A3F">
            <w:pPr>
              <w:jc w:val="center"/>
              <w:rPr>
                <w:rFonts w:eastAsia="Calibri" w:cs="Times New Roman"/>
                <w:color w:val="000000" w:themeColor="text1"/>
                <w:szCs w:val="24"/>
              </w:rPr>
            </w:pPr>
            <w:r w:rsidRPr="00081598">
              <w:rPr>
                <w:rFonts w:eastAsia="Calibri" w:cs="Times New Roman"/>
                <w:color w:val="000000" w:themeColor="text1"/>
                <w:szCs w:val="24"/>
              </w:rPr>
              <w:t>1.</w:t>
            </w:r>
            <w:r w:rsidRPr="00081598" w:rsidR="00402F15">
              <w:rPr>
                <w:rFonts w:eastAsia="Calibri" w:cs="Times New Roman"/>
                <w:color w:val="000000" w:themeColor="text1"/>
                <w:szCs w:val="24"/>
              </w:rPr>
              <w:t>13</w:t>
            </w:r>
            <w:r w:rsidR="001B2EF1">
              <w:rPr>
                <w:rFonts w:eastAsia="Calibri" w:cs="Times New Roman"/>
                <w:color w:val="000000" w:themeColor="text1"/>
                <w:szCs w:val="24"/>
              </w:rPr>
              <w:t>334</w:t>
            </w:r>
          </w:p>
        </w:tc>
        <w:tc>
          <w:tcPr>
            <w:tcW w:w="1662" w:type="dxa"/>
            <w:tcBorders>
              <w:top w:val="single" w:sz="4" w:space="0" w:color="auto"/>
              <w:left w:val="single" w:sz="4" w:space="0" w:color="auto"/>
              <w:bottom w:val="single" w:sz="4" w:space="0" w:color="auto"/>
              <w:right w:val="single" w:sz="4" w:space="0" w:color="auto"/>
            </w:tcBorders>
            <w:vAlign w:val="center"/>
          </w:tcPr>
          <w:p w:rsidR="244138BB" w:rsidRPr="00081598" w:rsidP="00081598" w14:paraId="4F7C35F6" w14:textId="2626C782">
            <w:pPr>
              <w:jc w:val="center"/>
              <w:rPr>
                <w:rFonts w:eastAsia="Calibri" w:cs="Times New Roman"/>
                <w:color w:val="000000" w:themeColor="text1"/>
                <w:szCs w:val="24"/>
              </w:rPr>
            </w:pPr>
            <w:r w:rsidRPr="00081598">
              <w:rPr>
                <w:rFonts w:eastAsia="Calibri" w:cs="Times New Roman"/>
                <w:color w:val="000000" w:themeColor="text1"/>
                <w:szCs w:val="24"/>
              </w:rPr>
              <w:t>20,</w:t>
            </w:r>
            <w:r w:rsidRPr="00081598" w:rsidR="00402F15">
              <w:rPr>
                <w:rFonts w:eastAsia="Calibri" w:cs="Times New Roman"/>
                <w:color w:val="000000" w:themeColor="text1"/>
                <w:szCs w:val="24"/>
              </w:rPr>
              <w:t>40</w:t>
            </w:r>
            <w:r w:rsidR="00406ED4">
              <w:rPr>
                <w:rFonts w:eastAsia="Calibri" w:cs="Times New Roman"/>
                <w:color w:val="000000" w:themeColor="text1"/>
                <w:szCs w:val="24"/>
              </w:rPr>
              <w:t>0</w:t>
            </w:r>
            <w:r w:rsidRPr="00081598">
              <w:rPr>
                <w:rFonts w:eastAsia="Calibri" w:cs="Times New Roman"/>
                <w:color w:val="000000" w:themeColor="text1"/>
                <w:szCs w:val="24"/>
              </w:rPr>
              <w:t xml:space="preserve"> </w:t>
            </w:r>
          </w:p>
        </w:tc>
        <w:tc>
          <w:tcPr>
            <w:tcW w:w="2268" w:type="dxa"/>
            <w:tcBorders>
              <w:top w:val="single" w:sz="4" w:space="0" w:color="auto"/>
              <w:left w:val="single" w:sz="4" w:space="0" w:color="auto"/>
              <w:bottom w:val="single" w:sz="4" w:space="0" w:color="auto"/>
              <w:right w:val="single" w:sz="8" w:space="0" w:color="auto"/>
            </w:tcBorders>
            <w:vAlign w:val="center"/>
          </w:tcPr>
          <w:p w:rsidR="244138BB" w:rsidRPr="00081598" w:rsidP="00081598" w14:paraId="7B99F647" w14:textId="2DF98D1E">
            <w:pPr>
              <w:jc w:val="center"/>
              <w:rPr>
                <w:rFonts w:eastAsia="Calibri" w:cs="Times New Roman"/>
                <w:color w:val="000000" w:themeColor="text1"/>
                <w:szCs w:val="24"/>
              </w:rPr>
            </w:pPr>
            <w:r w:rsidRPr="00081598">
              <w:rPr>
                <w:rFonts w:eastAsia="Calibri" w:cs="Times New Roman"/>
                <w:color w:val="000000" w:themeColor="text1"/>
                <w:szCs w:val="24"/>
              </w:rPr>
              <w:t>$971,6</w:t>
            </w:r>
            <w:r w:rsidR="00AB5B21">
              <w:rPr>
                <w:rFonts w:eastAsia="Calibri" w:cs="Times New Roman"/>
                <w:color w:val="000000" w:themeColor="text1"/>
                <w:szCs w:val="24"/>
              </w:rPr>
              <w:t>52</w:t>
            </w:r>
          </w:p>
        </w:tc>
      </w:tr>
      <w:tr w14:paraId="0E534AF1" w14:textId="77777777" w:rsidTr="00EA064A">
        <w:tblPrEx>
          <w:tblW w:w="0" w:type="auto"/>
          <w:jc w:val="center"/>
          <w:tblLook w:val="06A0"/>
        </w:tblPrEx>
        <w:trPr>
          <w:trHeight w:val="285"/>
          <w:jc w:val="center"/>
        </w:trPr>
        <w:tc>
          <w:tcPr>
            <w:tcW w:w="1979" w:type="dxa"/>
            <w:tcBorders>
              <w:top w:val="single" w:sz="4" w:space="0" w:color="auto"/>
              <w:left w:val="single" w:sz="4" w:space="0" w:color="auto"/>
              <w:bottom w:val="single" w:sz="4" w:space="0" w:color="auto"/>
              <w:right w:val="single" w:sz="4" w:space="0" w:color="auto"/>
            </w:tcBorders>
            <w:vAlign w:val="center"/>
          </w:tcPr>
          <w:p w:rsidR="244138BB" w:rsidRPr="006405EF" w:rsidP="006405EF" w14:paraId="50DFE9FF" w14:textId="0D899613">
            <w:pPr>
              <w:jc w:val="center"/>
              <w:rPr>
                <w:rFonts w:eastAsia="Calibri" w:cs="Times New Roman"/>
                <w:color w:val="000000" w:themeColor="text1"/>
                <w:szCs w:val="24"/>
              </w:rPr>
            </w:pPr>
            <w:r w:rsidRPr="006405EF">
              <w:rPr>
                <w:rFonts w:eastAsia="Calibri" w:cs="Times New Roman"/>
                <w:color w:val="000000" w:themeColor="text1"/>
                <w:szCs w:val="24"/>
              </w:rPr>
              <w:t>In Office Wait Time</w:t>
            </w:r>
          </w:p>
        </w:tc>
        <w:tc>
          <w:tcPr>
            <w:tcW w:w="2300" w:type="dxa"/>
            <w:vMerge/>
            <w:tcBorders>
              <w:left w:val="single" w:sz="4" w:space="0" w:color="auto"/>
              <w:right w:val="single" w:sz="4" w:space="0" w:color="auto"/>
            </w:tcBorders>
            <w:vAlign w:val="center"/>
          </w:tcPr>
          <w:p w:rsidR="00E032B5" w14:paraId="2071A8A6" w14:textId="77777777"/>
        </w:tc>
        <w:tc>
          <w:tcPr>
            <w:tcW w:w="1131" w:type="dxa"/>
            <w:tcBorders>
              <w:top w:val="single" w:sz="4" w:space="0" w:color="auto"/>
              <w:left w:val="single" w:sz="4" w:space="0" w:color="auto"/>
              <w:bottom w:val="single" w:sz="4" w:space="0" w:color="auto"/>
              <w:right w:val="single" w:sz="4" w:space="0" w:color="auto"/>
            </w:tcBorders>
            <w:vAlign w:val="center"/>
          </w:tcPr>
          <w:p w:rsidR="244138BB" w:rsidRPr="006405EF" w:rsidP="006405EF" w14:paraId="1DC0093A" w14:textId="7A5FB766">
            <w:pPr>
              <w:jc w:val="center"/>
              <w:rPr>
                <w:rFonts w:eastAsia="Calibri" w:cs="Times New Roman"/>
                <w:color w:val="000000" w:themeColor="text1"/>
                <w:szCs w:val="24"/>
              </w:rPr>
            </w:pPr>
            <w:r w:rsidRPr="006405EF">
              <w:rPr>
                <w:rFonts w:eastAsia="Calibri" w:cs="Times New Roman"/>
                <w:color w:val="000000" w:themeColor="text1"/>
                <w:szCs w:val="24"/>
              </w:rPr>
              <w:t>0.</w:t>
            </w:r>
            <w:r w:rsidRPr="006405EF" w:rsidR="00402F15">
              <w:rPr>
                <w:rFonts w:eastAsia="Calibri" w:cs="Times New Roman"/>
                <w:color w:val="000000" w:themeColor="text1"/>
                <w:szCs w:val="24"/>
              </w:rPr>
              <w:t>18</w:t>
            </w:r>
            <w:r w:rsidR="00712DD6">
              <w:rPr>
                <w:rFonts w:eastAsia="Calibri" w:cs="Times New Roman"/>
                <w:color w:val="000000" w:themeColor="text1"/>
                <w:szCs w:val="24"/>
              </w:rPr>
              <w:t>333</w:t>
            </w:r>
          </w:p>
        </w:tc>
        <w:tc>
          <w:tcPr>
            <w:tcW w:w="1662" w:type="dxa"/>
            <w:tcBorders>
              <w:top w:val="single" w:sz="4" w:space="0" w:color="auto"/>
              <w:left w:val="single" w:sz="4" w:space="0" w:color="auto"/>
              <w:bottom w:val="single" w:sz="4" w:space="0" w:color="auto"/>
              <w:right w:val="single" w:sz="4" w:space="0" w:color="auto"/>
            </w:tcBorders>
            <w:vAlign w:val="center"/>
          </w:tcPr>
          <w:p w:rsidR="244138BB" w:rsidRPr="006405EF" w:rsidP="006405EF" w14:paraId="3C9D4773" w14:textId="55CF218A">
            <w:pPr>
              <w:jc w:val="center"/>
              <w:rPr>
                <w:rFonts w:eastAsia="Calibri" w:cs="Times New Roman"/>
                <w:color w:val="000000" w:themeColor="text1"/>
                <w:szCs w:val="24"/>
              </w:rPr>
            </w:pPr>
            <w:r w:rsidRPr="006405EF">
              <w:rPr>
                <w:rFonts w:eastAsia="Calibri" w:cs="Times New Roman"/>
                <w:color w:val="000000" w:themeColor="text1"/>
                <w:szCs w:val="24"/>
              </w:rPr>
              <w:t>3,</w:t>
            </w:r>
            <w:r w:rsidR="00DE6E42">
              <w:rPr>
                <w:rFonts w:eastAsia="Calibri" w:cs="Times New Roman"/>
                <w:color w:val="000000" w:themeColor="text1"/>
                <w:szCs w:val="24"/>
              </w:rPr>
              <w:t>300</w:t>
            </w:r>
            <w:r w:rsidRPr="006405EF">
              <w:rPr>
                <w:rFonts w:eastAsia="Calibri" w:cs="Times New Roman"/>
                <w:color w:val="000000" w:themeColor="text1"/>
                <w:szCs w:val="24"/>
              </w:rPr>
              <w:t xml:space="preserve"> </w:t>
            </w:r>
          </w:p>
        </w:tc>
        <w:tc>
          <w:tcPr>
            <w:tcW w:w="2268" w:type="dxa"/>
            <w:tcBorders>
              <w:top w:val="single" w:sz="4" w:space="0" w:color="auto"/>
              <w:left w:val="single" w:sz="4" w:space="0" w:color="auto"/>
              <w:bottom w:val="single" w:sz="4" w:space="0" w:color="auto"/>
              <w:right w:val="single" w:sz="8" w:space="0" w:color="auto"/>
            </w:tcBorders>
            <w:vAlign w:val="center"/>
          </w:tcPr>
          <w:p w:rsidR="244138BB" w:rsidRPr="006405EF" w:rsidP="006405EF" w14:paraId="6BDF1F91" w14:textId="2B4BDCC1">
            <w:pPr>
              <w:jc w:val="center"/>
              <w:rPr>
                <w:rFonts w:eastAsia="Calibri" w:cs="Times New Roman"/>
                <w:color w:val="000000" w:themeColor="text1"/>
                <w:szCs w:val="24"/>
              </w:rPr>
            </w:pPr>
            <w:r w:rsidRPr="006405EF">
              <w:rPr>
                <w:rFonts w:eastAsia="Calibri" w:cs="Times New Roman"/>
                <w:color w:val="000000" w:themeColor="text1"/>
                <w:szCs w:val="24"/>
              </w:rPr>
              <w:t>$157,</w:t>
            </w:r>
            <w:r w:rsidRPr="006405EF" w:rsidR="00402F15">
              <w:rPr>
                <w:rFonts w:eastAsia="Calibri" w:cs="Times New Roman"/>
                <w:color w:val="000000" w:themeColor="text1"/>
                <w:szCs w:val="24"/>
              </w:rPr>
              <w:t>17</w:t>
            </w:r>
            <w:r w:rsidR="007C3086">
              <w:rPr>
                <w:rFonts w:eastAsia="Calibri" w:cs="Times New Roman"/>
                <w:color w:val="000000" w:themeColor="text1"/>
                <w:szCs w:val="24"/>
              </w:rPr>
              <w:t>9</w:t>
            </w:r>
          </w:p>
        </w:tc>
      </w:tr>
      <w:tr w14:paraId="05411268" w14:textId="77777777" w:rsidTr="00EA064A">
        <w:tblPrEx>
          <w:tblW w:w="0" w:type="auto"/>
          <w:jc w:val="center"/>
          <w:tblLook w:val="06A0"/>
        </w:tblPrEx>
        <w:trPr>
          <w:trHeight w:val="585"/>
          <w:jc w:val="center"/>
        </w:trPr>
        <w:tc>
          <w:tcPr>
            <w:tcW w:w="1979" w:type="dxa"/>
            <w:tcBorders>
              <w:top w:val="single" w:sz="4" w:space="0" w:color="auto"/>
              <w:left w:val="single" w:sz="4" w:space="0" w:color="auto"/>
              <w:bottom w:val="single" w:sz="4" w:space="0" w:color="auto"/>
              <w:right w:val="single" w:sz="4" w:space="0" w:color="auto"/>
            </w:tcBorders>
            <w:vAlign w:val="center"/>
          </w:tcPr>
          <w:p w:rsidR="244138BB" w:rsidRPr="006405EF" w:rsidP="006405EF" w14:paraId="6E66C143" w14:textId="02A5E043">
            <w:pPr>
              <w:jc w:val="center"/>
              <w:rPr>
                <w:rFonts w:eastAsia="Calibri" w:cs="Times New Roman"/>
                <w:color w:val="000000" w:themeColor="text1"/>
                <w:szCs w:val="24"/>
              </w:rPr>
            </w:pPr>
            <w:r w:rsidRPr="006405EF">
              <w:rPr>
                <w:rFonts w:eastAsia="Calibri" w:cs="Times New Roman"/>
                <w:color w:val="000000" w:themeColor="text1"/>
                <w:szCs w:val="24"/>
              </w:rPr>
              <w:t>TSO Medical Examination</w:t>
            </w:r>
          </w:p>
        </w:tc>
        <w:tc>
          <w:tcPr>
            <w:tcW w:w="2300" w:type="dxa"/>
            <w:vMerge/>
            <w:tcBorders>
              <w:left w:val="single" w:sz="4" w:space="0" w:color="auto"/>
              <w:right w:val="single" w:sz="4" w:space="0" w:color="auto"/>
            </w:tcBorders>
            <w:vAlign w:val="center"/>
          </w:tcPr>
          <w:p w:rsidR="00E032B5" w14:paraId="4D4D85CC" w14:textId="77777777"/>
        </w:tc>
        <w:tc>
          <w:tcPr>
            <w:tcW w:w="1131" w:type="dxa"/>
            <w:tcBorders>
              <w:top w:val="single" w:sz="4" w:space="0" w:color="auto"/>
              <w:left w:val="single" w:sz="4" w:space="0" w:color="auto"/>
              <w:bottom w:val="single" w:sz="4" w:space="0" w:color="auto"/>
              <w:right w:val="single" w:sz="4" w:space="0" w:color="auto"/>
            </w:tcBorders>
            <w:vAlign w:val="center"/>
          </w:tcPr>
          <w:p w:rsidR="244138BB" w:rsidRPr="006405EF" w:rsidP="006405EF" w14:paraId="3A4DB46C" w14:textId="633FDC33">
            <w:pPr>
              <w:jc w:val="center"/>
              <w:rPr>
                <w:rFonts w:eastAsia="Calibri" w:cs="Times New Roman"/>
                <w:color w:val="000000" w:themeColor="text1"/>
                <w:szCs w:val="24"/>
              </w:rPr>
            </w:pPr>
            <w:r w:rsidRPr="006405EF">
              <w:rPr>
                <w:rFonts w:eastAsia="Calibri" w:cs="Times New Roman"/>
                <w:color w:val="000000" w:themeColor="text1"/>
                <w:szCs w:val="24"/>
              </w:rPr>
              <w:t>0.50</w:t>
            </w:r>
          </w:p>
        </w:tc>
        <w:tc>
          <w:tcPr>
            <w:tcW w:w="1662" w:type="dxa"/>
            <w:tcBorders>
              <w:top w:val="single" w:sz="4" w:space="0" w:color="auto"/>
              <w:left w:val="single" w:sz="4" w:space="0" w:color="auto"/>
              <w:bottom w:val="single" w:sz="4" w:space="0" w:color="auto"/>
              <w:right w:val="single" w:sz="4" w:space="0" w:color="auto"/>
            </w:tcBorders>
            <w:vAlign w:val="center"/>
          </w:tcPr>
          <w:p w:rsidR="244138BB" w:rsidRPr="006405EF" w:rsidP="006405EF" w14:paraId="663225AC" w14:textId="622E5E98">
            <w:pPr>
              <w:jc w:val="center"/>
              <w:rPr>
                <w:rFonts w:eastAsia="Calibri" w:cs="Times New Roman"/>
                <w:color w:val="000000" w:themeColor="text1"/>
                <w:szCs w:val="24"/>
              </w:rPr>
            </w:pPr>
            <w:r w:rsidRPr="006405EF">
              <w:rPr>
                <w:rFonts w:eastAsia="Calibri" w:cs="Times New Roman"/>
                <w:color w:val="000000" w:themeColor="text1"/>
                <w:szCs w:val="24"/>
              </w:rPr>
              <w:t xml:space="preserve">9,000 </w:t>
            </w:r>
          </w:p>
        </w:tc>
        <w:tc>
          <w:tcPr>
            <w:tcW w:w="2268" w:type="dxa"/>
            <w:tcBorders>
              <w:top w:val="single" w:sz="4" w:space="0" w:color="auto"/>
              <w:left w:val="single" w:sz="4" w:space="0" w:color="auto"/>
              <w:bottom w:val="single" w:sz="4" w:space="0" w:color="auto"/>
              <w:right w:val="single" w:sz="8" w:space="0" w:color="auto"/>
            </w:tcBorders>
            <w:vAlign w:val="center"/>
          </w:tcPr>
          <w:p w:rsidR="244138BB" w:rsidRPr="006405EF" w:rsidP="006405EF" w14:paraId="7C7C6949" w14:textId="4FFF1ECA">
            <w:pPr>
              <w:jc w:val="center"/>
              <w:rPr>
                <w:rFonts w:eastAsia="Calibri" w:cs="Times New Roman"/>
                <w:color w:val="000000" w:themeColor="text1"/>
                <w:szCs w:val="24"/>
              </w:rPr>
            </w:pPr>
            <w:r w:rsidRPr="006405EF">
              <w:rPr>
                <w:rFonts w:eastAsia="Calibri" w:cs="Times New Roman"/>
                <w:color w:val="000000" w:themeColor="text1"/>
                <w:szCs w:val="24"/>
              </w:rPr>
              <w:t>$428,6</w:t>
            </w:r>
            <w:r w:rsidR="00C87D06">
              <w:rPr>
                <w:rFonts w:eastAsia="Calibri" w:cs="Times New Roman"/>
                <w:color w:val="000000" w:themeColor="text1"/>
                <w:szCs w:val="24"/>
              </w:rPr>
              <w:t>70</w:t>
            </w:r>
          </w:p>
        </w:tc>
      </w:tr>
      <w:tr w14:paraId="3721ED81" w14:textId="77777777" w:rsidTr="00EA064A">
        <w:tblPrEx>
          <w:tblW w:w="0" w:type="auto"/>
          <w:jc w:val="center"/>
          <w:tblLook w:val="06A0"/>
        </w:tblPrEx>
        <w:trPr>
          <w:trHeight w:val="585"/>
          <w:jc w:val="center"/>
        </w:trPr>
        <w:tc>
          <w:tcPr>
            <w:tcW w:w="1979" w:type="dxa"/>
            <w:tcBorders>
              <w:top w:val="single" w:sz="4" w:space="0" w:color="auto"/>
              <w:left w:val="single" w:sz="4" w:space="0" w:color="auto"/>
              <w:bottom w:val="single" w:sz="4" w:space="0" w:color="auto"/>
              <w:right w:val="single" w:sz="4" w:space="0" w:color="auto"/>
            </w:tcBorders>
            <w:vAlign w:val="center"/>
          </w:tcPr>
          <w:p w:rsidR="244138BB" w:rsidRPr="006405EF" w:rsidP="006405EF" w14:paraId="1FC0F0C9" w14:textId="7B0C0B12">
            <w:pPr>
              <w:jc w:val="center"/>
              <w:rPr>
                <w:rFonts w:eastAsia="Calibri" w:cs="Times New Roman"/>
                <w:color w:val="000000" w:themeColor="text1"/>
                <w:szCs w:val="24"/>
              </w:rPr>
            </w:pPr>
            <w:r w:rsidRPr="006405EF">
              <w:rPr>
                <w:rFonts w:eastAsia="Calibri" w:cs="Times New Roman"/>
                <w:color w:val="000000" w:themeColor="text1"/>
                <w:szCs w:val="24"/>
              </w:rPr>
              <w:t>Print/Email Clearance Form</w:t>
            </w:r>
          </w:p>
        </w:tc>
        <w:tc>
          <w:tcPr>
            <w:tcW w:w="2300" w:type="dxa"/>
            <w:vMerge/>
            <w:tcBorders>
              <w:left w:val="single" w:sz="4" w:space="0" w:color="auto"/>
              <w:bottom w:val="single" w:sz="0" w:space="0" w:color="000000" w:themeColor="text1"/>
              <w:right w:val="single" w:sz="4" w:space="0" w:color="auto"/>
            </w:tcBorders>
            <w:vAlign w:val="center"/>
          </w:tcPr>
          <w:p w:rsidR="00E032B5" w14:paraId="345624B0" w14:textId="77777777"/>
        </w:tc>
        <w:tc>
          <w:tcPr>
            <w:tcW w:w="1131" w:type="dxa"/>
            <w:tcBorders>
              <w:top w:val="single" w:sz="4" w:space="0" w:color="auto"/>
              <w:left w:val="single" w:sz="4" w:space="0" w:color="auto"/>
              <w:bottom w:val="nil"/>
              <w:right w:val="nil"/>
            </w:tcBorders>
            <w:vAlign w:val="center"/>
          </w:tcPr>
          <w:p w:rsidR="244138BB" w:rsidRPr="006405EF" w:rsidP="006405EF" w14:paraId="2D0D8C2C" w14:textId="33E91BF3">
            <w:pPr>
              <w:jc w:val="center"/>
              <w:rPr>
                <w:rFonts w:eastAsia="Calibri" w:cs="Times New Roman"/>
                <w:color w:val="000000" w:themeColor="text1"/>
                <w:szCs w:val="24"/>
              </w:rPr>
            </w:pPr>
            <w:r w:rsidRPr="006405EF">
              <w:rPr>
                <w:rFonts w:eastAsia="Calibri" w:cs="Times New Roman"/>
                <w:color w:val="000000" w:themeColor="text1"/>
                <w:szCs w:val="24"/>
              </w:rPr>
              <w:t>0.</w:t>
            </w:r>
            <w:r w:rsidRPr="006405EF" w:rsidR="00402F15">
              <w:rPr>
                <w:rFonts w:eastAsia="Calibri" w:cs="Times New Roman"/>
                <w:color w:val="000000" w:themeColor="text1"/>
                <w:szCs w:val="24"/>
              </w:rPr>
              <w:t>08</w:t>
            </w:r>
            <w:r w:rsidR="00B56E74">
              <w:rPr>
                <w:rFonts w:eastAsia="Calibri" w:cs="Times New Roman"/>
                <w:color w:val="000000" w:themeColor="text1"/>
                <w:szCs w:val="24"/>
              </w:rPr>
              <w:t>3</w:t>
            </w:r>
            <w:r w:rsidR="0090098C">
              <w:rPr>
                <w:rFonts w:eastAsia="Calibri" w:cs="Times New Roman"/>
                <w:color w:val="000000" w:themeColor="text1"/>
                <w:szCs w:val="24"/>
              </w:rPr>
              <w:t>3</w:t>
            </w:r>
            <w:r w:rsidRPr="006405EF" w:rsidR="00402F15">
              <w:rPr>
                <w:rFonts w:eastAsia="Calibri" w:cs="Times New Roman"/>
                <w:color w:val="000000" w:themeColor="text1"/>
                <w:szCs w:val="24"/>
              </w:rPr>
              <w:t>3</w:t>
            </w:r>
          </w:p>
        </w:tc>
        <w:tc>
          <w:tcPr>
            <w:tcW w:w="1662" w:type="dxa"/>
            <w:tcBorders>
              <w:top w:val="single" w:sz="4" w:space="0" w:color="auto"/>
              <w:left w:val="single" w:sz="4" w:space="0" w:color="auto"/>
              <w:bottom w:val="single" w:sz="4" w:space="0" w:color="auto"/>
              <w:right w:val="single" w:sz="4" w:space="0" w:color="auto"/>
            </w:tcBorders>
            <w:vAlign w:val="center"/>
          </w:tcPr>
          <w:p w:rsidR="244138BB" w:rsidRPr="006405EF" w:rsidP="006405EF" w14:paraId="7DD49AF7" w14:textId="1362CC6F">
            <w:pPr>
              <w:jc w:val="center"/>
              <w:rPr>
                <w:rFonts w:eastAsia="Calibri" w:cs="Times New Roman"/>
                <w:color w:val="000000" w:themeColor="text1"/>
                <w:szCs w:val="24"/>
              </w:rPr>
            </w:pPr>
            <w:r w:rsidRPr="006405EF">
              <w:rPr>
                <w:rFonts w:eastAsia="Calibri" w:cs="Times New Roman"/>
                <w:color w:val="000000" w:themeColor="text1"/>
                <w:szCs w:val="24"/>
              </w:rPr>
              <w:t xml:space="preserve">1,500 </w:t>
            </w:r>
          </w:p>
        </w:tc>
        <w:tc>
          <w:tcPr>
            <w:tcW w:w="2268" w:type="dxa"/>
            <w:tcBorders>
              <w:top w:val="single" w:sz="4" w:space="0" w:color="auto"/>
              <w:left w:val="single" w:sz="4" w:space="0" w:color="auto"/>
              <w:bottom w:val="single" w:sz="4" w:space="0" w:color="auto"/>
              <w:right w:val="single" w:sz="8" w:space="0" w:color="auto"/>
            </w:tcBorders>
            <w:vAlign w:val="center"/>
          </w:tcPr>
          <w:p w:rsidR="244138BB" w:rsidRPr="006405EF" w:rsidP="006405EF" w14:paraId="7F8C184E" w14:textId="6FB2709D">
            <w:pPr>
              <w:jc w:val="center"/>
              <w:rPr>
                <w:rFonts w:eastAsia="Calibri" w:cs="Times New Roman"/>
                <w:color w:val="000000" w:themeColor="text1"/>
                <w:szCs w:val="24"/>
              </w:rPr>
            </w:pPr>
            <w:r w:rsidRPr="006405EF">
              <w:rPr>
                <w:rFonts w:eastAsia="Calibri" w:cs="Times New Roman"/>
                <w:color w:val="000000" w:themeColor="text1"/>
                <w:szCs w:val="24"/>
              </w:rPr>
              <w:t>$71,</w:t>
            </w:r>
            <w:r w:rsidRPr="006405EF" w:rsidR="00402F15">
              <w:rPr>
                <w:rFonts w:eastAsia="Calibri" w:cs="Times New Roman"/>
                <w:color w:val="000000" w:themeColor="text1"/>
                <w:szCs w:val="24"/>
              </w:rPr>
              <w:t>44</w:t>
            </w:r>
            <w:r w:rsidR="00C67103">
              <w:rPr>
                <w:rFonts w:eastAsia="Calibri" w:cs="Times New Roman"/>
                <w:color w:val="000000" w:themeColor="text1"/>
                <w:szCs w:val="24"/>
              </w:rPr>
              <w:t>5</w:t>
            </w:r>
          </w:p>
        </w:tc>
      </w:tr>
      <w:tr w14:paraId="26B54BF4" w14:textId="77777777" w:rsidTr="00EA064A">
        <w:tblPrEx>
          <w:tblW w:w="0" w:type="auto"/>
          <w:jc w:val="center"/>
          <w:tblLook w:val="06A0"/>
        </w:tblPrEx>
        <w:trPr>
          <w:trHeight w:val="300"/>
          <w:jc w:val="center"/>
        </w:trPr>
        <w:tc>
          <w:tcPr>
            <w:tcW w:w="1979" w:type="dxa"/>
            <w:tcBorders>
              <w:top w:val="single" w:sz="4" w:space="0" w:color="auto"/>
              <w:left w:val="single" w:sz="8" w:space="0" w:color="auto"/>
              <w:bottom w:val="single" w:sz="8" w:space="0" w:color="auto"/>
              <w:right w:val="single" w:sz="4" w:space="0" w:color="auto"/>
            </w:tcBorders>
            <w:vAlign w:val="center"/>
          </w:tcPr>
          <w:p w:rsidR="6C4949E7" w:rsidRPr="006405EF" w:rsidP="006405EF" w14:paraId="7389DEFA" w14:textId="06D14B10">
            <w:pPr>
              <w:jc w:val="center"/>
              <w:rPr>
                <w:rFonts w:cs="Times New Roman"/>
                <w:b/>
                <w:bCs/>
                <w:color w:val="000000" w:themeColor="text1"/>
                <w:szCs w:val="24"/>
              </w:rPr>
            </w:pPr>
            <w:r w:rsidRPr="006405EF">
              <w:rPr>
                <w:rFonts w:cs="Times New Roman"/>
                <w:b/>
                <w:bCs/>
                <w:color w:val="000000" w:themeColor="text1"/>
                <w:szCs w:val="24"/>
              </w:rPr>
              <w:t>Total</w:t>
            </w:r>
          </w:p>
        </w:tc>
        <w:tc>
          <w:tcPr>
            <w:tcW w:w="2300" w:type="dxa"/>
            <w:tcBorders>
              <w:top w:val="nil"/>
              <w:left w:val="single" w:sz="4" w:space="0" w:color="auto"/>
              <w:bottom w:val="single" w:sz="8" w:space="0" w:color="000000" w:themeColor="text1"/>
              <w:right w:val="single" w:sz="4" w:space="0" w:color="auto"/>
            </w:tcBorders>
            <w:vAlign w:val="center"/>
          </w:tcPr>
          <w:p w:rsidR="6C4949E7" w:rsidRPr="006405EF" w:rsidP="006405EF" w14:paraId="54C24634" w14:textId="5A79C3A5">
            <w:pPr>
              <w:jc w:val="center"/>
              <w:rPr>
                <w:rFonts w:cs="Times New Roman"/>
                <w:b/>
                <w:bCs/>
                <w:color w:val="000000" w:themeColor="text1"/>
                <w:szCs w:val="24"/>
              </w:rPr>
            </w:pPr>
            <w:r w:rsidRPr="006405EF">
              <w:rPr>
                <w:rFonts w:cs="Times New Roman"/>
                <w:b/>
                <w:bCs/>
                <w:color w:val="000000" w:themeColor="text1"/>
                <w:szCs w:val="24"/>
              </w:rPr>
              <w:t xml:space="preserve">18,000 </w:t>
            </w:r>
          </w:p>
        </w:tc>
        <w:tc>
          <w:tcPr>
            <w:tcW w:w="1131" w:type="dxa"/>
            <w:tcBorders>
              <w:top w:val="single" w:sz="8" w:space="0" w:color="auto"/>
              <w:left w:val="single" w:sz="4" w:space="0" w:color="auto"/>
              <w:bottom w:val="single" w:sz="8" w:space="0" w:color="auto"/>
              <w:right w:val="single" w:sz="4" w:space="0" w:color="auto"/>
            </w:tcBorders>
            <w:shd w:val="clear" w:color="auto" w:fill="A5A5A5"/>
            <w:vAlign w:val="center"/>
          </w:tcPr>
          <w:p w:rsidR="6C4949E7" w:rsidRPr="006405EF" w:rsidP="006405EF" w14:paraId="35B86D93" w14:textId="1A1EC71B">
            <w:pPr>
              <w:jc w:val="center"/>
              <w:rPr>
                <w:rFonts w:cs="Times New Roman"/>
                <w:b/>
                <w:bCs/>
                <w:color w:val="000000" w:themeColor="text1"/>
                <w:szCs w:val="24"/>
              </w:rPr>
            </w:pPr>
            <w:r w:rsidRPr="006405EF">
              <w:rPr>
                <w:rFonts w:cs="Times New Roman"/>
                <w:b/>
                <w:bCs/>
                <w:color w:val="000000" w:themeColor="text1"/>
                <w:szCs w:val="24"/>
              </w:rPr>
              <w:t xml:space="preserve"> </w:t>
            </w:r>
          </w:p>
        </w:tc>
        <w:tc>
          <w:tcPr>
            <w:tcW w:w="1662" w:type="dxa"/>
            <w:tcBorders>
              <w:top w:val="single" w:sz="8" w:space="0" w:color="auto"/>
              <w:left w:val="single" w:sz="4" w:space="0" w:color="auto"/>
              <w:bottom w:val="single" w:sz="8" w:space="0" w:color="auto"/>
              <w:right w:val="single" w:sz="4" w:space="0" w:color="auto"/>
            </w:tcBorders>
            <w:vAlign w:val="center"/>
          </w:tcPr>
          <w:p w:rsidR="6C4949E7" w:rsidRPr="006405EF" w:rsidP="006405EF" w14:paraId="11E0E16C" w14:textId="044203D4">
            <w:pPr>
              <w:jc w:val="center"/>
              <w:rPr>
                <w:rFonts w:cs="Times New Roman"/>
                <w:b/>
                <w:bCs/>
                <w:color w:val="000000" w:themeColor="text1"/>
                <w:szCs w:val="24"/>
              </w:rPr>
            </w:pPr>
            <w:r w:rsidRPr="006405EF">
              <w:rPr>
                <w:rFonts w:cs="Times New Roman"/>
                <w:b/>
                <w:bCs/>
                <w:color w:val="000000" w:themeColor="text1"/>
                <w:szCs w:val="24"/>
              </w:rPr>
              <w:t xml:space="preserve">43,200 </w:t>
            </w:r>
          </w:p>
        </w:tc>
        <w:tc>
          <w:tcPr>
            <w:tcW w:w="2268" w:type="dxa"/>
            <w:tcBorders>
              <w:top w:val="single" w:sz="8" w:space="0" w:color="auto"/>
              <w:left w:val="single" w:sz="4" w:space="0" w:color="auto"/>
              <w:bottom w:val="single" w:sz="8" w:space="0" w:color="auto"/>
              <w:right w:val="single" w:sz="8" w:space="0" w:color="auto"/>
            </w:tcBorders>
            <w:vAlign w:val="center"/>
          </w:tcPr>
          <w:p w:rsidR="6C4949E7" w:rsidRPr="006405EF" w:rsidP="006405EF" w14:paraId="2A70D1EF" w14:textId="677764D7">
            <w:pPr>
              <w:jc w:val="center"/>
              <w:rPr>
                <w:rFonts w:cs="Times New Roman"/>
                <w:color w:val="auto"/>
                <w:szCs w:val="24"/>
              </w:rPr>
            </w:pPr>
            <w:r w:rsidRPr="006405EF">
              <w:rPr>
                <w:rFonts w:cs="Times New Roman"/>
                <w:b/>
                <w:bCs/>
                <w:color w:val="000000" w:themeColor="text1"/>
                <w:szCs w:val="24"/>
              </w:rPr>
              <w:t>$2,057,</w:t>
            </w:r>
            <w:r w:rsidR="00C67103">
              <w:rPr>
                <w:rFonts w:cs="Times New Roman"/>
                <w:b/>
                <w:bCs/>
                <w:color w:val="000000" w:themeColor="text1"/>
                <w:szCs w:val="24"/>
              </w:rPr>
              <w:t>616</w:t>
            </w:r>
          </w:p>
        </w:tc>
      </w:tr>
    </w:tbl>
    <w:p w:rsidR="004054E6" w:rsidRPr="009A35B3" w:rsidP="004054E6" w14:paraId="33DDF7CD" w14:textId="7182B7A9">
      <w:pPr>
        <w:ind w:left="360"/>
        <w:rPr>
          <w:rFonts w:eastAsia="Calibri" w:cs="Times New Roman"/>
          <w:color w:val="auto"/>
          <w:sz w:val="20"/>
        </w:rPr>
      </w:pPr>
      <w:r w:rsidRPr="009A35B3">
        <w:rPr>
          <w:rFonts w:eastAsia="Calibri" w:cs="Times New Roman"/>
          <w:color w:val="auto"/>
          <w:sz w:val="20"/>
        </w:rPr>
        <w:t>Note: Totals may not add due to rounding.</w:t>
      </w:r>
    </w:p>
    <w:p w:rsidR="000C7FF1" w:rsidP="00A51F4D" w14:paraId="79B02225" w14:textId="77777777"/>
    <w:p w:rsidR="00B853AB" w:rsidP="00B853AB" w14:paraId="751ADC80" w14:textId="77777777">
      <w:pPr>
        <w:keepNext/>
        <w:numPr>
          <w:ilvl w:val="0"/>
          <w:numId w:val="1"/>
        </w:numPr>
        <w:tabs>
          <w:tab w:val="left" w:pos="360"/>
        </w:tabs>
        <w:rPr>
          <w:b/>
          <w:i/>
        </w:rPr>
      </w:pPr>
      <w:r>
        <w:rPr>
          <w:b/>
          <w:i/>
        </w:rPr>
        <w:t xml:space="preserve">Provide an estimate of the total annual cost burden to respondents or </w:t>
      </w:r>
      <w:r w:rsidR="00F20CD4">
        <w:rPr>
          <w:b/>
          <w:i/>
        </w:rPr>
        <w:t>record keepers</w:t>
      </w:r>
      <w:r>
        <w:rPr>
          <w:b/>
          <w:i/>
        </w:rPr>
        <w:t xml:space="preserve"> resulting from the collection of information.</w:t>
      </w:r>
    </w:p>
    <w:p w:rsidR="00B853AB" w:rsidP="00B853AB" w14:paraId="228A0C78" w14:textId="77777777">
      <w:pPr>
        <w:keepNext/>
        <w:numPr>
          <w:ilvl w:val="12"/>
          <w:numId w:val="0"/>
        </w:numPr>
        <w:ind w:left="360"/>
      </w:pPr>
    </w:p>
    <w:p w:rsidR="00CC669C" w:rsidP="008B1788" w14:paraId="061FB6C4" w14:textId="1B6EAE04">
      <w:pPr>
        <w:pStyle w:val="NormalLeft025"/>
        <w:rPr>
          <w:rFonts w:eastAsia="Calibri"/>
        </w:rPr>
      </w:pPr>
      <w:r>
        <w:rPr>
          <w:color w:val="auto"/>
        </w:rPr>
        <w:t>TSA assumes</w:t>
      </w:r>
      <w:r w:rsidR="006C480E">
        <w:rPr>
          <w:color w:val="auto"/>
        </w:rPr>
        <w:t xml:space="preserve"> that </w:t>
      </w:r>
      <w:r w:rsidR="00D14026">
        <w:rPr>
          <w:color w:val="auto"/>
        </w:rPr>
        <w:t xml:space="preserve">TSO candidates </w:t>
      </w:r>
      <w:r w:rsidR="00931754">
        <w:rPr>
          <w:color w:val="auto"/>
        </w:rPr>
        <w:t xml:space="preserve">will </w:t>
      </w:r>
      <w:r w:rsidR="00140C23">
        <w:rPr>
          <w:color w:val="auto"/>
        </w:rPr>
        <w:t>incur out-of</w:t>
      </w:r>
      <w:r w:rsidR="009D2BD0">
        <w:rPr>
          <w:color w:val="auto"/>
        </w:rPr>
        <w:t xml:space="preserve">-pocket costs to </w:t>
      </w:r>
      <w:r w:rsidR="00931754">
        <w:rPr>
          <w:color w:val="auto"/>
        </w:rPr>
        <w:t>travel to the exam</w:t>
      </w:r>
      <w:r w:rsidR="00FE1CFA">
        <w:rPr>
          <w:color w:val="auto"/>
        </w:rPr>
        <w:t xml:space="preserve"> location </w:t>
      </w:r>
      <w:r w:rsidR="00AF7E7C">
        <w:rPr>
          <w:color w:val="auto"/>
        </w:rPr>
        <w:t xml:space="preserve">by </w:t>
      </w:r>
      <w:r w:rsidR="00F95379">
        <w:rPr>
          <w:color w:val="auto"/>
        </w:rPr>
        <w:t>vehicle</w:t>
      </w:r>
      <w:r w:rsidR="00585634">
        <w:rPr>
          <w:color w:val="auto"/>
        </w:rPr>
        <w:t xml:space="preserve">. </w:t>
      </w:r>
      <w:r w:rsidR="00B52954">
        <w:rPr>
          <w:color w:val="auto"/>
        </w:rPr>
        <w:t xml:space="preserve"> </w:t>
      </w:r>
      <w:r w:rsidR="00F8708F">
        <w:rPr>
          <w:color w:val="auto"/>
        </w:rPr>
        <w:t>It is estimated that</w:t>
      </w:r>
      <w:r w:rsidR="005D52A6">
        <w:rPr>
          <w:color w:val="auto"/>
        </w:rPr>
        <w:t xml:space="preserve"> </w:t>
      </w:r>
      <w:r w:rsidR="00721D65">
        <w:rPr>
          <w:color w:val="auto"/>
        </w:rPr>
        <w:t>candidates</w:t>
      </w:r>
      <w:r w:rsidR="005D52A6">
        <w:rPr>
          <w:color w:val="auto"/>
        </w:rPr>
        <w:t xml:space="preserve"> will </w:t>
      </w:r>
      <w:r w:rsidR="00BB2887">
        <w:rPr>
          <w:color w:val="auto"/>
        </w:rPr>
        <w:t xml:space="preserve">travel </w:t>
      </w:r>
      <w:r w:rsidR="00BC68ED">
        <w:rPr>
          <w:color w:val="auto"/>
        </w:rPr>
        <w:t>34 minutes each way</w:t>
      </w:r>
      <w:r w:rsidR="00997A65">
        <w:rPr>
          <w:color w:val="auto"/>
        </w:rPr>
        <w:t>, or 1.13</w:t>
      </w:r>
      <w:r w:rsidR="00140210">
        <w:rPr>
          <w:color w:val="auto"/>
        </w:rPr>
        <w:t>334</w:t>
      </w:r>
      <w:r w:rsidR="00997A65">
        <w:rPr>
          <w:color w:val="auto"/>
        </w:rPr>
        <w:t xml:space="preserve"> hours round trip</w:t>
      </w:r>
      <w:r w:rsidR="00BC68ED">
        <w:rPr>
          <w:color w:val="auto"/>
        </w:rPr>
        <w:t xml:space="preserve"> (</w:t>
      </w:r>
      <w:r w:rsidRPr="02CC6D35" w:rsidR="00AF7107">
        <w:rPr>
          <w:rFonts w:eastAsia="Calibri"/>
          <w:color w:val="auto"/>
        </w:rPr>
        <w:t>0.5</w:t>
      </w:r>
      <w:r w:rsidR="00DD2C29">
        <w:rPr>
          <w:rFonts w:eastAsia="Calibri"/>
          <w:color w:val="auto"/>
        </w:rPr>
        <w:t>666</w:t>
      </w:r>
      <w:r w:rsidRPr="02CC6D35" w:rsidR="00AF7107">
        <w:rPr>
          <w:rFonts w:eastAsia="Calibri"/>
          <w:color w:val="auto"/>
        </w:rPr>
        <w:t>7</w:t>
      </w:r>
      <w:r w:rsidRPr="26B979E9" w:rsidR="00AF7107">
        <w:rPr>
          <w:rFonts w:eastAsia="Calibri"/>
          <w:color w:val="auto"/>
        </w:rPr>
        <w:t xml:space="preserve"> hours</w:t>
      </w:r>
      <w:r w:rsidRPr="02CC6D35" w:rsidR="00AF7107">
        <w:rPr>
          <w:rFonts w:eastAsia="Calibri"/>
          <w:color w:val="auto"/>
        </w:rPr>
        <w:t xml:space="preserve"> x 2 = 1.13</w:t>
      </w:r>
      <w:r w:rsidR="00DD2C29">
        <w:rPr>
          <w:rFonts w:eastAsia="Calibri"/>
          <w:color w:val="auto"/>
        </w:rPr>
        <w:t>334</w:t>
      </w:r>
      <w:r w:rsidR="00AF7107">
        <w:rPr>
          <w:rFonts w:eastAsia="Calibri"/>
          <w:color w:val="auto"/>
        </w:rPr>
        <w:t xml:space="preserve"> </w:t>
      </w:r>
      <w:r w:rsidRPr="26B979E9" w:rsidR="00AF7107">
        <w:rPr>
          <w:rFonts w:eastAsia="Calibri"/>
          <w:color w:val="auto"/>
        </w:rPr>
        <w:t>hours</w:t>
      </w:r>
      <w:r w:rsidR="00AF7107">
        <w:rPr>
          <w:rFonts w:eastAsia="Calibri"/>
          <w:color w:val="auto"/>
        </w:rPr>
        <w:t>)</w:t>
      </w:r>
      <w:r w:rsidRPr="02CC6D35" w:rsidR="00AF7107">
        <w:rPr>
          <w:color w:val="auto"/>
        </w:rPr>
        <w:t xml:space="preserve"> </w:t>
      </w:r>
      <w:r w:rsidR="00691EAB">
        <w:rPr>
          <w:color w:val="auto"/>
        </w:rPr>
        <w:t xml:space="preserve">to reach </w:t>
      </w:r>
      <w:r w:rsidR="00702BB0">
        <w:rPr>
          <w:color w:val="auto"/>
        </w:rPr>
        <w:t>the medical exam</w:t>
      </w:r>
      <w:r w:rsidR="008E615B">
        <w:rPr>
          <w:color w:val="auto"/>
        </w:rPr>
        <w:t>.</w:t>
      </w:r>
      <w:r>
        <w:rPr>
          <w:rStyle w:val="FootnoteReference"/>
          <w:rFonts w:eastAsia="Calibri"/>
          <w:color w:val="auto"/>
        </w:rPr>
        <w:footnoteReference w:id="11"/>
      </w:r>
      <w:r w:rsidR="00DA3E5F">
        <w:rPr>
          <w:rFonts w:eastAsia="Calibri"/>
          <w:color w:val="auto"/>
        </w:rPr>
        <w:t xml:space="preserve"> </w:t>
      </w:r>
      <w:r w:rsidR="003050AD">
        <w:rPr>
          <w:rFonts w:eastAsia="Calibri"/>
          <w:color w:val="auto"/>
        </w:rPr>
        <w:t xml:space="preserve"> TSA</w:t>
      </w:r>
      <w:r w:rsidR="00BB3BC6">
        <w:rPr>
          <w:rFonts w:eastAsia="Calibri"/>
          <w:color w:val="auto"/>
        </w:rPr>
        <w:t xml:space="preserve"> assume</w:t>
      </w:r>
      <w:r w:rsidR="003050AD">
        <w:rPr>
          <w:rFonts w:eastAsia="Calibri"/>
          <w:color w:val="auto"/>
        </w:rPr>
        <w:t>s</w:t>
      </w:r>
      <w:r w:rsidR="00BB3BC6">
        <w:rPr>
          <w:rFonts w:eastAsia="Calibri"/>
          <w:color w:val="auto"/>
        </w:rPr>
        <w:t xml:space="preserve"> the average speed during this </w:t>
      </w:r>
      <w:r w:rsidR="005C22F6">
        <w:rPr>
          <w:rFonts w:eastAsia="Calibri"/>
          <w:color w:val="auto"/>
        </w:rPr>
        <w:t xml:space="preserve">round trip is </w:t>
      </w:r>
      <w:r w:rsidR="00A3061B">
        <w:rPr>
          <w:rFonts w:eastAsia="Calibri"/>
          <w:color w:val="auto"/>
        </w:rPr>
        <w:t>53.19 miles per hour</w:t>
      </w:r>
      <w:r w:rsidR="006B23D8">
        <w:rPr>
          <w:rFonts w:eastAsia="Calibri"/>
          <w:color w:val="auto"/>
        </w:rPr>
        <w:t>,</w:t>
      </w:r>
      <w:r>
        <w:rPr>
          <w:rStyle w:val="FootnoteReference"/>
          <w:rFonts w:eastAsia="Calibri"/>
          <w:color w:val="auto"/>
        </w:rPr>
        <w:footnoteReference w:id="12"/>
      </w:r>
      <w:r w:rsidR="006B23D8">
        <w:rPr>
          <w:rFonts w:eastAsia="Calibri"/>
          <w:color w:val="auto"/>
        </w:rPr>
        <w:t xml:space="preserve"> resulting in a total of </w:t>
      </w:r>
      <w:r w:rsidR="00A85273">
        <w:rPr>
          <w:rFonts w:eastAsia="Calibri"/>
          <w:color w:val="auto"/>
        </w:rPr>
        <w:t>60.28 miles traveled (</w:t>
      </w:r>
      <w:r w:rsidR="004541A4">
        <w:rPr>
          <w:rFonts w:eastAsia="Calibri"/>
          <w:color w:val="auto"/>
        </w:rPr>
        <w:t>1.13</w:t>
      </w:r>
      <w:r w:rsidR="00BB3B43">
        <w:rPr>
          <w:rFonts w:eastAsia="Calibri"/>
          <w:color w:val="auto"/>
        </w:rPr>
        <w:t>334</w:t>
      </w:r>
      <w:r w:rsidR="00EC47DD">
        <w:rPr>
          <w:rFonts w:eastAsia="Calibri"/>
          <w:color w:val="auto"/>
        </w:rPr>
        <w:t xml:space="preserve"> hours x </w:t>
      </w:r>
      <w:r w:rsidR="007B2248">
        <w:rPr>
          <w:rFonts w:eastAsia="Calibri"/>
          <w:color w:val="auto"/>
        </w:rPr>
        <w:t>53.19 miles per hour = 60.28</w:t>
      </w:r>
      <w:r w:rsidR="00CC5434">
        <w:rPr>
          <w:rFonts w:eastAsia="Calibri"/>
          <w:color w:val="auto"/>
        </w:rPr>
        <w:t xml:space="preserve"> miles</w:t>
      </w:r>
      <w:r w:rsidR="007B2248">
        <w:rPr>
          <w:rFonts w:eastAsia="Calibri"/>
          <w:color w:val="auto"/>
        </w:rPr>
        <w:t xml:space="preserve">). </w:t>
      </w:r>
      <w:r w:rsidR="00B52954">
        <w:rPr>
          <w:rFonts w:eastAsia="Calibri"/>
          <w:color w:val="auto"/>
        </w:rPr>
        <w:t xml:space="preserve"> </w:t>
      </w:r>
      <w:r w:rsidR="00F54061">
        <w:rPr>
          <w:rFonts w:eastAsia="Calibri"/>
          <w:color w:val="auto"/>
        </w:rPr>
        <w:t xml:space="preserve">TSA </w:t>
      </w:r>
      <w:r w:rsidR="00806B19">
        <w:rPr>
          <w:rFonts w:eastAsia="Calibri"/>
          <w:color w:val="auto"/>
        </w:rPr>
        <w:t xml:space="preserve">uses the </w:t>
      </w:r>
      <w:r w:rsidR="00806B19">
        <w:t xml:space="preserve">General Services Administration’s (GSA) </w:t>
      </w:r>
      <w:r w:rsidRPr="00C207BE" w:rsidR="00806B19">
        <w:t>Privately owned vehicle (POV) mileage reimbursement rates</w:t>
      </w:r>
      <w:r w:rsidR="00806B19">
        <w:rPr>
          <w:rFonts w:eastAsia="Calibri"/>
          <w:color w:val="auto"/>
        </w:rPr>
        <w:t xml:space="preserve"> </w:t>
      </w:r>
      <w:r w:rsidR="00C17F86">
        <w:rPr>
          <w:rFonts w:eastAsia="Calibri"/>
          <w:color w:val="auto"/>
        </w:rPr>
        <w:t xml:space="preserve">of </w:t>
      </w:r>
      <w:r w:rsidR="000610D1">
        <w:rPr>
          <w:rFonts w:eastAsia="Calibri"/>
          <w:color w:val="auto"/>
        </w:rPr>
        <w:t>$0.7</w:t>
      </w:r>
      <w:r w:rsidR="00BE71CD">
        <w:rPr>
          <w:rFonts w:eastAsia="Calibri"/>
          <w:color w:val="auto"/>
        </w:rPr>
        <w:t>25</w:t>
      </w:r>
      <w:r w:rsidR="000610D1">
        <w:rPr>
          <w:rFonts w:eastAsia="Calibri"/>
          <w:color w:val="auto"/>
        </w:rPr>
        <w:t xml:space="preserve"> per mile to </w:t>
      </w:r>
      <w:r w:rsidR="006C39B5">
        <w:rPr>
          <w:rFonts w:eastAsia="Calibri"/>
          <w:color w:val="auto"/>
        </w:rPr>
        <w:t xml:space="preserve">estimate </w:t>
      </w:r>
      <w:r w:rsidR="00925786">
        <w:rPr>
          <w:rFonts w:eastAsia="Calibri"/>
          <w:color w:val="auto"/>
        </w:rPr>
        <w:t>trans</w:t>
      </w:r>
      <w:r w:rsidR="00C21BE6">
        <w:rPr>
          <w:rFonts w:eastAsia="Calibri"/>
          <w:color w:val="auto"/>
        </w:rPr>
        <w:t>portation costs</w:t>
      </w:r>
      <w:r w:rsidR="000610D1">
        <w:rPr>
          <w:rFonts w:eastAsia="Calibri"/>
          <w:color w:val="auto"/>
        </w:rPr>
        <w:t>.</w:t>
      </w:r>
      <w:r>
        <w:rPr>
          <w:rStyle w:val="FootnoteReference"/>
          <w:rFonts w:eastAsia="Calibri"/>
          <w:color w:val="auto"/>
        </w:rPr>
        <w:footnoteReference w:id="13"/>
      </w:r>
      <w:r w:rsidR="008E615B">
        <w:rPr>
          <w:color w:val="auto"/>
        </w:rPr>
        <w:t xml:space="preserve"> </w:t>
      </w:r>
      <w:r w:rsidR="00B52954">
        <w:rPr>
          <w:color w:val="auto"/>
        </w:rPr>
        <w:t xml:space="preserve"> </w:t>
      </w:r>
      <w:r w:rsidR="00CC5434">
        <w:rPr>
          <w:color w:val="auto"/>
        </w:rPr>
        <w:t>Accordingly, the cost of operating a vehicle to the exam</w:t>
      </w:r>
      <w:r w:rsidR="005C4344">
        <w:rPr>
          <w:color w:val="auto"/>
        </w:rPr>
        <w:t xml:space="preserve"> location is </w:t>
      </w:r>
      <w:r w:rsidR="000B32D6">
        <w:rPr>
          <w:color w:val="auto"/>
        </w:rPr>
        <w:t>$43.70 per round trip (60.28 miles x $0.7</w:t>
      </w:r>
      <w:r w:rsidR="00BE71CD">
        <w:rPr>
          <w:color w:val="auto"/>
        </w:rPr>
        <w:t>25</w:t>
      </w:r>
      <w:r w:rsidR="000B32D6">
        <w:rPr>
          <w:color w:val="auto"/>
        </w:rPr>
        <w:t xml:space="preserve"> per mile = $43.70). </w:t>
      </w:r>
      <w:r w:rsidR="00B52954">
        <w:rPr>
          <w:color w:val="auto"/>
        </w:rPr>
        <w:t xml:space="preserve"> </w:t>
      </w:r>
      <w:r w:rsidR="00513557">
        <w:rPr>
          <w:color w:val="auto"/>
        </w:rPr>
        <w:t xml:space="preserve">Table 2 summarizes the </w:t>
      </w:r>
      <w:r w:rsidR="00743059">
        <w:rPr>
          <w:color w:val="auto"/>
        </w:rPr>
        <w:t>out-of-pocket travel costs incurred by respondents.</w:t>
      </w:r>
    </w:p>
    <w:p w:rsidR="00DD0101" w:rsidP="008B1788" w14:paraId="0206B0DA" w14:textId="77777777">
      <w:pPr>
        <w:pStyle w:val="NormalLeft025"/>
      </w:pPr>
    </w:p>
    <w:p w:rsidR="00DD389D" w:rsidRPr="00685BF2" w:rsidP="00685BF2" w14:paraId="630A6ACA" w14:textId="20905176">
      <w:pPr>
        <w:pStyle w:val="NormalLeft025"/>
        <w:ind w:left="0"/>
        <w:rPr>
          <w:b/>
          <w:bCs/>
        </w:rPr>
      </w:pPr>
      <w:r w:rsidRPr="00685BF2">
        <w:rPr>
          <w:b/>
          <w:bCs/>
        </w:rPr>
        <w:t xml:space="preserve">Table 2: </w:t>
      </w:r>
      <w:r w:rsidR="004D714B">
        <w:rPr>
          <w:b/>
          <w:bCs/>
        </w:rPr>
        <w:t xml:space="preserve">Annual Costs of </w:t>
      </w:r>
      <w:r w:rsidR="00F96A39">
        <w:rPr>
          <w:b/>
          <w:bCs/>
        </w:rPr>
        <w:t>Travel to Medical Examination</w:t>
      </w:r>
    </w:p>
    <w:tbl>
      <w:tblPr>
        <w:tblW w:w="0" w:type="auto"/>
        <w:tblLook w:val="04A0"/>
      </w:tblPr>
      <w:tblGrid>
        <w:gridCol w:w="1983"/>
        <w:gridCol w:w="1738"/>
        <w:gridCol w:w="1248"/>
        <w:gridCol w:w="1049"/>
        <w:gridCol w:w="1590"/>
        <w:gridCol w:w="1737"/>
      </w:tblGrid>
      <w:tr w14:paraId="5E8C1E4A" w14:textId="77777777" w:rsidTr="00475B04">
        <w:tblPrEx>
          <w:tblW w:w="0" w:type="auto"/>
          <w:tblLook w:val="04A0"/>
        </w:tblPrEx>
        <w:trPr>
          <w:trHeight w:val="580"/>
        </w:trPr>
        <w:tc>
          <w:tcPr>
            <w:tcW w:w="0" w:type="auto"/>
            <w:vMerge w:val="restart"/>
            <w:tcBorders>
              <w:top w:val="single" w:sz="8" w:space="0" w:color="auto"/>
              <w:left w:val="single" w:sz="8" w:space="0" w:color="auto"/>
              <w:bottom w:val="single" w:sz="8" w:space="0" w:color="000000"/>
              <w:right w:val="single" w:sz="4" w:space="0" w:color="auto"/>
            </w:tcBorders>
            <w:vAlign w:val="center"/>
            <w:hideMark/>
          </w:tcPr>
          <w:p w:rsidR="00475B04" w:rsidRPr="00685BF2" w:rsidP="00475B04" w14:paraId="4BA2282B" w14:textId="77777777">
            <w:pPr>
              <w:jc w:val="center"/>
              <w:rPr>
                <w:rFonts w:cs="Times New Roman"/>
                <w:b/>
                <w:bCs/>
                <w:sz w:val="22"/>
                <w:szCs w:val="22"/>
              </w:rPr>
            </w:pPr>
            <w:r w:rsidRPr="00685BF2">
              <w:rPr>
                <w:rFonts w:cs="Times New Roman"/>
                <w:b/>
                <w:bCs/>
                <w:sz w:val="22"/>
                <w:szCs w:val="22"/>
              </w:rPr>
              <w:t>Activity</w:t>
            </w:r>
          </w:p>
        </w:tc>
        <w:tc>
          <w:tcPr>
            <w:tcW w:w="0" w:type="auto"/>
            <w:tcBorders>
              <w:top w:val="single" w:sz="8" w:space="0" w:color="auto"/>
              <w:left w:val="nil"/>
              <w:bottom w:val="single" w:sz="4" w:space="0" w:color="auto"/>
              <w:right w:val="single" w:sz="4" w:space="0" w:color="auto"/>
            </w:tcBorders>
            <w:vAlign w:val="center"/>
            <w:hideMark/>
          </w:tcPr>
          <w:p w:rsidR="00475B04" w:rsidRPr="00685BF2" w:rsidP="00475B04" w14:paraId="26EBE9B7" w14:textId="77777777">
            <w:pPr>
              <w:jc w:val="center"/>
              <w:rPr>
                <w:rFonts w:cs="Times New Roman"/>
                <w:b/>
                <w:bCs/>
                <w:sz w:val="22"/>
                <w:szCs w:val="22"/>
              </w:rPr>
            </w:pPr>
            <w:r w:rsidRPr="00685BF2">
              <w:rPr>
                <w:rFonts w:cs="Times New Roman"/>
                <w:b/>
                <w:bCs/>
                <w:sz w:val="22"/>
                <w:szCs w:val="22"/>
              </w:rPr>
              <w:t>Number of TSO Medical Exams</w:t>
            </w:r>
          </w:p>
        </w:tc>
        <w:tc>
          <w:tcPr>
            <w:tcW w:w="0" w:type="auto"/>
            <w:tcBorders>
              <w:top w:val="single" w:sz="8" w:space="0" w:color="auto"/>
              <w:left w:val="nil"/>
              <w:bottom w:val="single" w:sz="4" w:space="0" w:color="auto"/>
              <w:right w:val="single" w:sz="4" w:space="0" w:color="auto"/>
            </w:tcBorders>
            <w:vAlign w:val="center"/>
            <w:hideMark/>
          </w:tcPr>
          <w:p w:rsidR="00475B04" w:rsidRPr="00685BF2" w:rsidP="00475B04" w14:paraId="4371E121" w14:textId="77777777">
            <w:pPr>
              <w:jc w:val="center"/>
              <w:rPr>
                <w:rFonts w:cs="Times New Roman"/>
                <w:b/>
                <w:bCs/>
                <w:sz w:val="22"/>
                <w:szCs w:val="22"/>
              </w:rPr>
            </w:pPr>
            <w:r w:rsidRPr="00685BF2">
              <w:rPr>
                <w:rFonts w:cs="Times New Roman"/>
                <w:b/>
                <w:bCs/>
                <w:sz w:val="22"/>
                <w:szCs w:val="22"/>
              </w:rPr>
              <w:t>Miles Traveled</w:t>
            </w:r>
          </w:p>
        </w:tc>
        <w:tc>
          <w:tcPr>
            <w:tcW w:w="0" w:type="auto"/>
            <w:tcBorders>
              <w:top w:val="single" w:sz="8" w:space="0" w:color="auto"/>
              <w:left w:val="nil"/>
              <w:bottom w:val="single" w:sz="4" w:space="0" w:color="auto"/>
              <w:right w:val="single" w:sz="4" w:space="0" w:color="auto"/>
            </w:tcBorders>
            <w:vAlign w:val="center"/>
            <w:hideMark/>
          </w:tcPr>
          <w:p w:rsidR="00475B04" w:rsidRPr="00685BF2" w:rsidP="00475B04" w14:paraId="02D68C0E" w14:textId="77777777">
            <w:pPr>
              <w:jc w:val="center"/>
              <w:rPr>
                <w:rFonts w:cs="Times New Roman"/>
                <w:b/>
                <w:bCs/>
                <w:sz w:val="22"/>
                <w:szCs w:val="22"/>
              </w:rPr>
            </w:pPr>
            <w:r w:rsidRPr="00685BF2">
              <w:rPr>
                <w:rFonts w:cs="Times New Roman"/>
                <w:b/>
                <w:bCs/>
                <w:sz w:val="22"/>
                <w:szCs w:val="22"/>
              </w:rPr>
              <w:t>Cost Per Mile</w:t>
            </w:r>
          </w:p>
        </w:tc>
        <w:tc>
          <w:tcPr>
            <w:tcW w:w="0" w:type="auto"/>
            <w:tcBorders>
              <w:top w:val="single" w:sz="8" w:space="0" w:color="auto"/>
              <w:left w:val="nil"/>
              <w:bottom w:val="single" w:sz="4" w:space="0" w:color="auto"/>
              <w:right w:val="single" w:sz="4" w:space="0" w:color="auto"/>
            </w:tcBorders>
            <w:vAlign w:val="center"/>
            <w:hideMark/>
          </w:tcPr>
          <w:p w:rsidR="00475B04" w:rsidRPr="00685BF2" w:rsidP="00475B04" w14:paraId="7BC79920" w14:textId="77777777">
            <w:pPr>
              <w:jc w:val="center"/>
              <w:rPr>
                <w:rFonts w:cs="Times New Roman"/>
                <w:b/>
                <w:bCs/>
                <w:sz w:val="22"/>
                <w:szCs w:val="22"/>
              </w:rPr>
            </w:pPr>
            <w:r w:rsidRPr="00685BF2">
              <w:rPr>
                <w:rFonts w:cs="Times New Roman"/>
                <w:b/>
                <w:bCs/>
                <w:sz w:val="22"/>
                <w:szCs w:val="22"/>
              </w:rPr>
              <w:t>Vehicle Operating Cost</w:t>
            </w:r>
          </w:p>
        </w:tc>
        <w:tc>
          <w:tcPr>
            <w:tcW w:w="0" w:type="auto"/>
            <w:tcBorders>
              <w:top w:val="single" w:sz="8" w:space="0" w:color="auto"/>
              <w:left w:val="nil"/>
              <w:bottom w:val="single" w:sz="4" w:space="0" w:color="auto"/>
              <w:right w:val="single" w:sz="4" w:space="0" w:color="auto"/>
            </w:tcBorders>
            <w:vAlign w:val="center"/>
            <w:hideMark/>
          </w:tcPr>
          <w:p w:rsidR="00475B04" w:rsidRPr="00685BF2" w:rsidP="00475B04" w14:paraId="334A48A1" w14:textId="77777777">
            <w:pPr>
              <w:jc w:val="center"/>
              <w:rPr>
                <w:rFonts w:cs="Times New Roman"/>
                <w:b/>
                <w:bCs/>
                <w:sz w:val="22"/>
                <w:szCs w:val="22"/>
              </w:rPr>
            </w:pPr>
            <w:r w:rsidRPr="00685BF2">
              <w:rPr>
                <w:rFonts w:cs="Times New Roman"/>
                <w:b/>
                <w:bCs/>
                <w:sz w:val="22"/>
                <w:szCs w:val="22"/>
              </w:rPr>
              <w:t>Annual Respondent Cost</w:t>
            </w:r>
          </w:p>
        </w:tc>
      </w:tr>
      <w:tr w14:paraId="5264C4BA" w14:textId="77777777" w:rsidTr="00475B04">
        <w:tblPrEx>
          <w:tblW w:w="0" w:type="auto"/>
          <w:tblLook w:val="04A0"/>
        </w:tblPrEx>
        <w:trPr>
          <w:trHeight w:val="30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475B04" w:rsidRPr="00685BF2" w:rsidP="00475B04" w14:paraId="4780D4CF" w14:textId="77777777">
            <w:pPr>
              <w:rPr>
                <w:rFonts w:cs="Times New Roman"/>
                <w:b/>
                <w:bCs/>
                <w:sz w:val="22"/>
                <w:szCs w:val="22"/>
              </w:rPr>
            </w:pPr>
          </w:p>
        </w:tc>
        <w:tc>
          <w:tcPr>
            <w:tcW w:w="0" w:type="auto"/>
            <w:tcBorders>
              <w:top w:val="nil"/>
              <w:left w:val="nil"/>
              <w:bottom w:val="single" w:sz="8" w:space="0" w:color="auto"/>
              <w:right w:val="single" w:sz="4" w:space="0" w:color="auto"/>
            </w:tcBorders>
            <w:noWrap/>
            <w:vAlign w:val="center"/>
            <w:hideMark/>
          </w:tcPr>
          <w:p w:rsidR="00475B04" w:rsidRPr="00685BF2" w:rsidP="00475B04" w14:paraId="3470F493" w14:textId="77777777">
            <w:pPr>
              <w:jc w:val="center"/>
              <w:rPr>
                <w:rFonts w:cs="Times New Roman"/>
                <w:b/>
                <w:bCs/>
                <w:sz w:val="22"/>
                <w:szCs w:val="22"/>
              </w:rPr>
            </w:pPr>
            <w:r w:rsidRPr="00685BF2">
              <w:rPr>
                <w:rFonts w:cs="Times New Roman"/>
                <w:b/>
                <w:bCs/>
                <w:sz w:val="22"/>
                <w:szCs w:val="22"/>
              </w:rPr>
              <w:t>A</w:t>
            </w:r>
          </w:p>
        </w:tc>
        <w:tc>
          <w:tcPr>
            <w:tcW w:w="0" w:type="auto"/>
            <w:tcBorders>
              <w:top w:val="nil"/>
              <w:left w:val="nil"/>
              <w:bottom w:val="single" w:sz="8" w:space="0" w:color="auto"/>
              <w:right w:val="single" w:sz="4" w:space="0" w:color="auto"/>
            </w:tcBorders>
            <w:noWrap/>
            <w:vAlign w:val="center"/>
            <w:hideMark/>
          </w:tcPr>
          <w:p w:rsidR="00475B04" w:rsidRPr="00685BF2" w:rsidP="00475B04" w14:paraId="6C636A0A" w14:textId="77777777">
            <w:pPr>
              <w:jc w:val="center"/>
              <w:rPr>
                <w:rFonts w:cs="Times New Roman"/>
                <w:b/>
                <w:bCs/>
                <w:sz w:val="22"/>
                <w:szCs w:val="22"/>
              </w:rPr>
            </w:pPr>
            <w:r w:rsidRPr="00685BF2">
              <w:rPr>
                <w:rFonts w:cs="Times New Roman"/>
                <w:b/>
                <w:bCs/>
                <w:sz w:val="22"/>
                <w:szCs w:val="22"/>
              </w:rPr>
              <w:t>B</w:t>
            </w:r>
          </w:p>
        </w:tc>
        <w:tc>
          <w:tcPr>
            <w:tcW w:w="0" w:type="auto"/>
            <w:tcBorders>
              <w:top w:val="nil"/>
              <w:left w:val="nil"/>
              <w:bottom w:val="single" w:sz="8" w:space="0" w:color="auto"/>
              <w:right w:val="nil"/>
            </w:tcBorders>
            <w:noWrap/>
            <w:vAlign w:val="center"/>
            <w:hideMark/>
          </w:tcPr>
          <w:p w:rsidR="00475B04" w:rsidRPr="00685BF2" w:rsidP="00475B04" w14:paraId="3CE7FC24" w14:textId="77777777">
            <w:pPr>
              <w:jc w:val="center"/>
              <w:rPr>
                <w:rFonts w:cs="Times New Roman"/>
                <w:b/>
                <w:bCs/>
                <w:sz w:val="22"/>
                <w:szCs w:val="22"/>
              </w:rPr>
            </w:pPr>
            <w:r w:rsidRPr="00685BF2">
              <w:rPr>
                <w:rFonts w:cs="Times New Roman"/>
                <w:b/>
                <w:bCs/>
                <w:sz w:val="22"/>
                <w:szCs w:val="22"/>
              </w:rPr>
              <w:t>C</w:t>
            </w:r>
          </w:p>
        </w:tc>
        <w:tc>
          <w:tcPr>
            <w:tcW w:w="0" w:type="auto"/>
            <w:tcBorders>
              <w:top w:val="nil"/>
              <w:left w:val="single" w:sz="4" w:space="0" w:color="auto"/>
              <w:bottom w:val="single" w:sz="8" w:space="0" w:color="auto"/>
              <w:right w:val="nil"/>
            </w:tcBorders>
            <w:noWrap/>
            <w:vAlign w:val="center"/>
            <w:hideMark/>
          </w:tcPr>
          <w:p w:rsidR="00475B04" w:rsidRPr="00685BF2" w:rsidP="00475B04" w14:paraId="2AC0CA52" w14:textId="77777777">
            <w:pPr>
              <w:jc w:val="center"/>
              <w:rPr>
                <w:rFonts w:cs="Times New Roman"/>
                <w:b/>
                <w:bCs/>
                <w:sz w:val="22"/>
                <w:szCs w:val="22"/>
              </w:rPr>
            </w:pPr>
            <w:r w:rsidRPr="00685BF2">
              <w:rPr>
                <w:rFonts w:cs="Times New Roman"/>
                <w:b/>
                <w:bCs/>
                <w:sz w:val="22"/>
                <w:szCs w:val="22"/>
              </w:rPr>
              <w:t>D = B x C</w:t>
            </w:r>
          </w:p>
        </w:tc>
        <w:tc>
          <w:tcPr>
            <w:tcW w:w="0" w:type="auto"/>
            <w:tcBorders>
              <w:top w:val="nil"/>
              <w:left w:val="single" w:sz="4" w:space="0" w:color="auto"/>
              <w:bottom w:val="single" w:sz="8" w:space="0" w:color="auto"/>
              <w:right w:val="single" w:sz="8" w:space="0" w:color="auto"/>
            </w:tcBorders>
            <w:noWrap/>
            <w:vAlign w:val="center"/>
            <w:hideMark/>
          </w:tcPr>
          <w:p w:rsidR="00475B04" w:rsidRPr="00685BF2" w:rsidP="00475B04" w14:paraId="411E6C14" w14:textId="77777777">
            <w:pPr>
              <w:jc w:val="center"/>
              <w:rPr>
                <w:rFonts w:cs="Times New Roman"/>
                <w:b/>
                <w:bCs/>
                <w:sz w:val="22"/>
                <w:szCs w:val="22"/>
              </w:rPr>
            </w:pPr>
            <w:r w:rsidRPr="00685BF2">
              <w:rPr>
                <w:rFonts w:cs="Times New Roman"/>
                <w:b/>
                <w:bCs/>
                <w:sz w:val="22"/>
                <w:szCs w:val="22"/>
              </w:rPr>
              <w:t>E = A x D</w:t>
            </w:r>
          </w:p>
        </w:tc>
      </w:tr>
      <w:tr w14:paraId="58988A53" w14:textId="77777777" w:rsidTr="00475B04">
        <w:tblPrEx>
          <w:tblW w:w="0" w:type="auto"/>
          <w:tblLook w:val="04A0"/>
        </w:tblPrEx>
        <w:trPr>
          <w:trHeight w:val="615"/>
        </w:trPr>
        <w:tc>
          <w:tcPr>
            <w:tcW w:w="0" w:type="auto"/>
            <w:tcBorders>
              <w:top w:val="nil"/>
              <w:left w:val="single" w:sz="8" w:space="0" w:color="auto"/>
              <w:bottom w:val="nil"/>
              <w:right w:val="single" w:sz="4" w:space="0" w:color="auto"/>
            </w:tcBorders>
            <w:vAlign w:val="center"/>
            <w:hideMark/>
          </w:tcPr>
          <w:p w:rsidR="00475B04" w:rsidRPr="00685BF2" w:rsidP="00475B04" w14:paraId="73C74891" w14:textId="23C34EBE">
            <w:pPr>
              <w:jc w:val="center"/>
              <w:rPr>
                <w:rFonts w:cs="Times New Roman"/>
                <w:sz w:val="22"/>
                <w:szCs w:val="22"/>
              </w:rPr>
            </w:pPr>
            <w:r w:rsidRPr="00685BF2">
              <w:rPr>
                <w:rFonts w:cs="Times New Roman"/>
                <w:sz w:val="22"/>
                <w:szCs w:val="22"/>
              </w:rPr>
              <w:t xml:space="preserve">Respondent Travel </w:t>
            </w:r>
            <w:r w:rsidR="00E72977">
              <w:rPr>
                <w:rFonts w:cs="Times New Roman"/>
                <w:sz w:val="22"/>
                <w:szCs w:val="22"/>
              </w:rPr>
              <w:t>t</w:t>
            </w:r>
            <w:r w:rsidRPr="00685BF2">
              <w:rPr>
                <w:rFonts w:cs="Times New Roman"/>
                <w:sz w:val="22"/>
                <w:szCs w:val="22"/>
              </w:rPr>
              <w:t>o Medical Exam</w:t>
            </w:r>
          </w:p>
        </w:tc>
        <w:tc>
          <w:tcPr>
            <w:tcW w:w="0" w:type="auto"/>
            <w:tcBorders>
              <w:top w:val="nil"/>
              <w:left w:val="nil"/>
              <w:bottom w:val="nil"/>
              <w:right w:val="single" w:sz="4" w:space="0" w:color="auto"/>
            </w:tcBorders>
            <w:noWrap/>
            <w:vAlign w:val="center"/>
            <w:hideMark/>
          </w:tcPr>
          <w:p w:rsidR="00475B04" w:rsidRPr="00685BF2" w:rsidP="00475B04" w14:paraId="3F37CA9A" w14:textId="527768E4">
            <w:pPr>
              <w:jc w:val="center"/>
              <w:rPr>
                <w:rFonts w:cs="Times New Roman"/>
                <w:sz w:val="22"/>
                <w:szCs w:val="22"/>
              </w:rPr>
            </w:pPr>
            <w:r w:rsidRPr="00685BF2">
              <w:rPr>
                <w:rFonts w:cs="Times New Roman"/>
                <w:sz w:val="22"/>
                <w:szCs w:val="22"/>
              </w:rPr>
              <w:t>18,000</w:t>
            </w:r>
          </w:p>
        </w:tc>
        <w:tc>
          <w:tcPr>
            <w:tcW w:w="0" w:type="auto"/>
            <w:tcBorders>
              <w:top w:val="nil"/>
              <w:left w:val="nil"/>
              <w:bottom w:val="single" w:sz="8" w:space="0" w:color="auto"/>
              <w:right w:val="single" w:sz="4" w:space="0" w:color="auto"/>
            </w:tcBorders>
            <w:noWrap/>
            <w:vAlign w:val="center"/>
            <w:hideMark/>
          </w:tcPr>
          <w:p w:rsidR="00475B04" w:rsidRPr="00685BF2" w:rsidP="00475B04" w14:paraId="5A644D63" w14:textId="3AD44A17">
            <w:pPr>
              <w:jc w:val="center"/>
              <w:rPr>
                <w:rFonts w:cs="Times New Roman"/>
                <w:sz w:val="22"/>
                <w:szCs w:val="22"/>
              </w:rPr>
            </w:pPr>
            <w:r w:rsidRPr="00685BF2">
              <w:rPr>
                <w:rFonts w:cs="Times New Roman"/>
                <w:sz w:val="22"/>
                <w:szCs w:val="22"/>
              </w:rPr>
              <w:t>60.28</w:t>
            </w:r>
          </w:p>
        </w:tc>
        <w:tc>
          <w:tcPr>
            <w:tcW w:w="0" w:type="auto"/>
            <w:tcBorders>
              <w:top w:val="nil"/>
              <w:left w:val="nil"/>
              <w:bottom w:val="nil"/>
              <w:right w:val="nil"/>
            </w:tcBorders>
            <w:noWrap/>
            <w:vAlign w:val="center"/>
            <w:hideMark/>
          </w:tcPr>
          <w:p w:rsidR="00475B04" w:rsidRPr="00685BF2" w:rsidP="00475B04" w14:paraId="54F9A7D4" w14:textId="0308A081">
            <w:pPr>
              <w:jc w:val="center"/>
              <w:rPr>
                <w:rFonts w:cs="Times New Roman"/>
                <w:sz w:val="22"/>
                <w:szCs w:val="22"/>
              </w:rPr>
            </w:pPr>
            <w:r w:rsidRPr="00685BF2">
              <w:rPr>
                <w:rFonts w:cs="Times New Roman"/>
                <w:sz w:val="22"/>
                <w:szCs w:val="22"/>
              </w:rPr>
              <w:t>$0.7</w:t>
            </w:r>
            <w:r w:rsidR="009C5AE9">
              <w:rPr>
                <w:rFonts w:cs="Times New Roman"/>
                <w:sz w:val="22"/>
                <w:szCs w:val="22"/>
              </w:rPr>
              <w:t>25</w:t>
            </w:r>
          </w:p>
        </w:tc>
        <w:tc>
          <w:tcPr>
            <w:tcW w:w="0" w:type="auto"/>
            <w:tcBorders>
              <w:top w:val="nil"/>
              <w:left w:val="single" w:sz="4" w:space="0" w:color="auto"/>
              <w:bottom w:val="nil"/>
              <w:right w:val="nil"/>
            </w:tcBorders>
            <w:noWrap/>
            <w:vAlign w:val="center"/>
            <w:hideMark/>
          </w:tcPr>
          <w:p w:rsidR="00475B04" w:rsidRPr="00685BF2" w:rsidP="00475B04" w14:paraId="08A85A31" w14:textId="77777777">
            <w:pPr>
              <w:jc w:val="center"/>
              <w:rPr>
                <w:rFonts w:cs="Times New Roman"/>
                <w:sz w:val="22"/>
                <w:szCs w:val="22"/>
              </w:rPr>
            </w:pPr>
            <w:r w:rsidRPr="00685BF2">
              <w:rPr>
                <w:rFonts w:cs="Times New Roman"/>
                <w:sz w:val="22"/>
                <w:szCs w:val="22"/>
              </w:rPr>
              <w:t>$43.70</w:t>
            </w:r>
          </w:p>
        </w:tc>
        <w:tc>
          <w:tcPr>
            <w:tcW w:w="0" w:type="auto"/>
            <w:tcBorders>
              <w:top w:val="nil"/>
              <w:left w:val="single" w:sz="4" w:space="0" w:color="auto"/>
              <w:bottom w:val="nil"/>
              <w:right w:val="single" w:sz="8" w:space="0" w:color="auto"/>
            </w:tcBorders>
            <w:noWrap/>
            <w:vAlign w:val="center"/>
            <w:hideMark/>
          </w:tcPr>
          <w:p w:rsidR="00475B04" w:rsidRPr="00685BF2" w:rsidP="00475B04" w14:paraId="3D98CC0A" w14:textId="77777777">
            <w:pPr>
              <w:jc w:val="center"/>
              <w:rPr>
                <w:rFonts w:cs="Times New Roman"/>
                <w:sz w:val="22"/>
                <w:szCs w:val="22"/>
              </w:rPr>
            </w:pPr>
            <w:r w:rsidRPr="00685BF2">
              <w:rPr>
                <w:rFonts w:cs="Times New Roman"/>
                <w:sz w:val="22"/>
                <w:szCs w:val="22"/>
              </w:rPr>
              <w:t>$786,680</w:t>
            </w:r>
          </w:p>
        </w:tc>
      </w:tr>
      <w:tr w14:paraId="742374D2" w14:textId="77777777" w:rsidTr="00475B04">
        <w:tblPrEx>
          <w:tblW w:w="0" w:type="auto"/>
          <w:tblLook w:val="04A0"/>
        </w:tblPrEx>
        <w:trPr>
          <w:trHeight w:val="300"/>
        </w:trPr>
        <w:tc>
          <w:tcPr>
            <w:tcW w:w="0" w:type="auto"/>
            <w:tcBorders>
              <w:top w:val="single" w:sz="8" w:space="0" w:color="auto"/>
              <w:left w:val="single" w:sz="8" w:space="0" w:color="auto"/>
              <w:bottom w:val="single" w:sz="8" w:space="0" w:color="auto"/>
              <w:right w:val="single" w:sz="4" w:space="0" w:color="auto"/>
            </w:tcBorders>
            <w:noWrap/>
            <w:vAlign w:val="bottom"/>
            <w:hideMark/>
          </w:tcPr>
          <w:p w:rsidR="00475B04" w:rsidRPr="00685BF2" w:rsidP="00475B04" w14:paraId="6DA71114" w14:textId="77777777">
            <w:pPr>
              <w:rPr>
                <w:rFonts w:cs="Times New Roman"/>
                <w:sz w:val="22"/>
                <w:szCs w:val="22"/>
              </w:rPr>
            </w:pPr>
            <w:r w:rsidRPr="00685BF2">
              <w:rPr>
                <w:rFonts w:cs="Times New Roman"/>
                <w:sz w:val="22"/>
                <w:szCs w:val="22"/>
              </w:rPr>
              <w:t>Total</w:t>
            </w:r>
          </w:p>
        </w:tc>
        <w:tc>
          <w:tcPr>
            <w:tcW w:w="0" w:type="auto"/>
            <w:tcBorders>
              <w:top w:val="single" w:sz="8" w:space="0" w:color="auto"/>
              <w:left w:val="nil"/>
              <w:bottom w:val="single" w:sz="8" w:space="0" w:color="auto"/>
              <w:right w:val="single" w:sz="4" w:space="0" w:color="auto"/>
            </w:tcBorders>
            <w:noWrap/>
            <w:vAlign w:val="center"/>
            <w:hideMark/>
          </w:tcPr>
          <w:p w:rsidR="00475B04" w:rsidRPr="00685BF2" w:rsidP="00475B04" w14:paraId="3D471DEF" w14:textId="0746C190">
            <w:pPr>
              <w:jc w:val="center"/>
              <w:rPr>
                <w:rFonts w:cs="Times New Roman"/>
                <w:b/>
                <w:bCs/>
                <w:sz w:val="22"/>
                <w:szCs w:val="22"/>
              </w:rPr>
            </w:pPr>
            <w:r w:rsidRPr="00685BF2">
              <w:rPr>
                <w:rFonts w:cs="Times New Roman"/>
                <w:b/>
                <w:bCs/>
                <w:sz w:val="22"/>
                <w:szCs w:val="22"/>
              </w:rPr>
              <w:t>18,000</w:t>
            </w:r>
          </w:p>
        </w:tc>
        <w:tc>
          <w:tcPr>
            <w:tcW w:w="0" w:type="auto"/>
            <w:tcBorders>
              <w:top w:val="nil"/>
              <w:left w:val="nil"/>
              <w:bottom w:val="single" w:sz="8" w:space="0" w:color="auto"/>
              <w:right w:val="single" w:sz="4" w:space="0" w:color="auto"/>
            </w:tcBorders>
            <w:shd w:val="clear" w:color="000000" w:fill="A5A5A5"/>
            <w:noWrap/>
            <w:vAlign w:val="center"/>
            <w:hideMark/>
          </w:tcPr>
          <w:p w:rsidR="00475B04" w:rsidRPr="00685BF2" w:rsidP="00475B04" w14:paraId="6C54226D" w14:textId="77777777">
            <w:pPr>
              <w:jc w:val="center"/>
              <w:rPr>
                <w:rFonts w:cs="Times New Roman"/>
                <w:b/>
                <w:bCs/>
                <w:sz w:val="22"/>
                <w:szCs w:val="22"/>
              </w:rPr>
            </w:pPr>
            <w:r w:rsidRPr="00685BF2">
              <w:rPr>
                <w:rFonts w:cs="Times New Roman"/>
                <w:b/>
                <w:bCs/>
                <w:sz w:val="22"/>
                <w:szCs w:val="22"/>
              </w:rPr>
              <w:t> </w:t>
            </w:r>
          </w:p>
        </w:tc>
        <w:tc>
          <w:tcPr>
            <w:tcW w:w="0" w:type="auto"/>
            <w:tcBorders>
              <w:top w:val="single" w:sz="8" w:space="0" w:color="auto"/>
              <w:left w:val="nil"/>
              <w:bottom w:val="single" w:sz="8" w:space="0" w:color="auto"/>
              <w:right w:val="single" w:sz="4" w:space="0" w:color="auto"/>
            </w:tcBorders>
            <w:shd w:val="clear" w:color="000000" w:fill="A5A5A5"/>
            <w:noWrap/>
            <w:vAlign w:val="center"/>
            <w:hideMark/>
          </w:tcPr>
          <w:p w:rsidR="00475B04" w:rsidRPr="00685BF2" w:rsidP="00475B04" w14:paraId="72B9B02C" w14:textId="77777777">
            <w:pPr>
              <w:jc w:val="center"/>
              <w:rPr>
                <w:rFonts w:cs="Times New Roman"/>
                <w:b/>
                <w:bCs/>
                <w:sz w:val="22"/>
                <w:szCs w:val="22"/>
              </w:rPr>
            </w:pPr>
            <w:r w:rsidRPr="00685BF2">
              <w:rPr>
                <w:rFonts w:cs="Times New Roman"/>
                <w:b/>
                <w:bCs/>
                <w:sz w:val="22"/>
                <w:szCs w:val="22"/>
              </w:rPr>
              <w:t> </w:t>
            </w:r>
          </w:p>
        </w:tc>
        <w:tc>
          <w:tcPr>
            <w:tcW w:w="0" w:type="auto"/>
            <w:tcBorders>
              <w:top w:val="single" w:sz="8" w:space="0" w:color="auto"/>
              <w:left w:val="nil"/>
              <w:bottom w:val="single" w:sz="8" w:space="0" w:color="auto"/>
              <w:right w:val="single" w:sz="4" w:space="0" w:color="auto"/>
            </w:tcBorders>
            <w:noWrap/>
            <w:vAlign w:val="center"/>
            <w:hideMark/>
          </w:tcPr>
          <w:p w:rsidR="00475B04" w:rsidRPr="00685BF2" w:rsidP="00475B04" w14:paraId="58A87C7F" w14:textId="438A1429">
            <w:pPr>
              <w:jc w:val="center"/>
              <w:rPr>
                <w:rFonts w:cs="Times New Roman"/>
                <w:b/>
                <w:bCs/>
                <w:sz w:val="22"/>
                <w:szCs w:val="22"/>
              </w:rPr>
            </w:pPr>
            <w:r w:rsidRPr="00685BF2">
              <w:rPr>
                <w:rFonts w:cs="Times New Roman"/>
                <w:b/>
                <w:bCs/>
                <w:sz w:val="22"/>
                <w:szCs w:val="22"/>
              </w:rPr>
              <w:t>43.70</w:t>
            </w:r>
          </w:p>
        </w:tc>
        <w:tc>
          <w:tcPr>
            <w:tcW w:w="0" w:type="auto"/>
            <w:tcBorders>
              <w:top w:val="single" w:sz="8" w:space="0" w:color="auto"/>
              <w:left w:val="nil"/>
              <w:bottom w:val="single" w:sz="8" w:space="0" w:color="auto"/>
              <w:right w:val="single" w:sz="8" w:space="0" w:color="auto"/>
            </w:tcBorders>
            <w:noWrap/>
            <w:vAlign w:val="center"/>
            <w:hideMark/>
          </w:tcPr>
          <w:p w:rsidR="00475B04" w:rsidRPr="00685BF2" w:rsidP="00475B04" w14:paraId="52BCFF5C" w14:textId="77777777">
            <w:pPr>
              <w:jc w:val="center"/>
              <w:rPr>
                <w:rFonts w:cs="Times New Roman"/>
                <w:b/>
                <w:bCs/>
                <w:sz w:val="22"/>
                <w:szCs w:val="22"/>
              </w:rPr>
            </w:pPr>
            <w:r w:rsidRPr="00685BF2">
              <w:rPr>
                <w:rFonts w:cs="Times New Roman"/>
                <w:b/>
                <w:bCs/>
                <w:sz w:val="22"/>
                <w:szCs w:val="22"/>
              </w:rPr>
              <w:t>$786,680</w:t>
            </w:r>
          </w:p>
        </w:tc>
      </w:tr>
    </w:tbl>
    <w:p w:rsidR="004B73E1" w:rsidP="004B73E1" w14:paraId="48FEEBE1" w14:textId="77777777">
      <w:pPr>
        <w:pStyle w:val="NormalLeft025"/>
        <w:rPr>
          <w:color w:val="auto"/>
        </w:rPr>
      </w:pPr>
    </w:p>
    <w:p w:rsidR="004B73E1" w:rsidP="004B73E1" w14:paraId="09671EB6" w14:textId="31C664BC">
      <w:pPr>
        <w:pStyle w:val="NormalLeft025"/>
        <w:rPr>
          <w:color w:val="auto"/>
        </w:rPr>
      </w:pPr>
      <w:r>
        <w:rPr>
          <w:color w:val="auto"/>
        </w:rPr>
        <w:t>In addition, r</w:t>
      </w:r>
      <w:r w:rsidRPr="02CC6D35">
        <w:rPr>
          <w:color w:val="auto"/>
        </w:rPr>
        <w:t>espondent burden includes out-of-pocket cost for the required pre-employment medical examination</w:t>
      </w:r>
      <w:r>
        <w:rPr>
          <w:color w:val="auto"/>
        </w:rPr>
        <w:t>.</w:t>
      </w:r>
      <w:r w:rsidRPr="02CC6D35">
        <w:rPr>
          <w:color w:val="auto"/>
        </w:rPr>
        <w:t xml:space="preserve">  </w:t>
      </w:r>
      <w:r>
        <w:rPr>
          <w:color w:val="auto"/>
        </w:rPr>
        <w:t xml:space="preserve">To estimate the out-of-pocket cost associated with the medical examination, </w:t>
      </w:r>
      <w:r w:rsidRPr="02CC6D35">
        <w:rPr>
          <w:color w:val="auto"/>
        </w:rPr>
        <w:t>TSA assumes a cost similar to TSA’s previously contracted medical exam rate of $150 per exam which is within current market prices for job-related medical exams (approximately $82 – $150).</w:t>
      </w:r>
      <w:r>
        <w:rPr>
          <w:rStyle w:val="FootnoteReference"/>
          <w:color w:val="auto"/>
        </w:rPr>
        <w:footnoteReference w:id="14"/>
      </w:r>
      <w:r w:rsidRPr="02CC6D35">
        <w:rPr>
          <w:color w:val="auto"/>
        </w:rPr>
        <w:t xml:space="preserve">  The resulting total annual cost burden to respondents is approximately $2,700,000 (</w:t>
      </w:r>
      <w:r w:rsidRPr="26B979E9">
        <w:rPr>
          <w:rFonts w:eastAsia="Calibri"/>
          <w:color w:val="auto"/>
        </w:rPr>
        <w:t xml:space="preserve">18,000 exams x </w:t>
      </w:r>
      <w:r>
        <w:rPr>
          <w:rFonts w:eastAsia="Calibri"/>
          <w:color w:val="auto"/>
        </w:rPr>
        <w:t>$150)</w:t>
      </w:r>
      <w:r w:rsidRPr="02CC6D35">
        <w:rPr>
          <w:color w:val="auto"/>
        </w:rPr>
        <w:t>.</w:t>
      </w:r>
    </w:p>
    <w:p w:rsidR="007B3A4B" w:rsidP="004B73E1" w14:paraId="5848003A" w14:textId="77777777">
      <w:pPr>
        <w:pStyle w:val="NormalLeft025"/>
        <w:rPr>
          <w:color w:val="auto"/>
        </w:rPr>
      </w:pPr>
    </w:p>
    <w:p w:rsidR="007B3A4B" w:rsidP="004B73E1" w14:paraId="1BC976A2" w14:textId="6A01195E">
      <w:pPr>
        <w:pStyle w:val="NormalLeft025"/>
        <w:rPr>
          <w:color w:val="auto"/>
        </w:rPr>
      </w:pPr>
      <w:r>
        <w:rPr>
          <w:color w:val="auto"/>
        </w:rPr>
        <w:t>The total</w:t>
      </w:r>
      <w:r w:rsidR="00046C39">
        <w:rPr>
          <w:color w:val="auto"/>
        </w:rPr>
        <w:t xml:space="preserve"> out-of-pocket </w:t>
      </w:r>
      <w:r w:rsidR="0084418D">
        <w:rPr>
          <w:color w:val="auto"/>
        </w:rPr>
        <w:t xml:space="preserve">cost </w:t>
      </w:r>
      <w:r w:rsidR="005D2CF1">
        <w:rPr>
          <w:color w:val="auto"/>
        </w:rPr>
        <w:t>for candidates to</w:t>
      </w:r>
      <w:r w:rsidR="002A7295">
        <w:rPr>
          <w:color w:val="auto"/>
        </w:rPr>
        <w:t xml:space="preserve"> travel</w:t>
      </w:r>
      <w:r w:rsidR="00046C39">
        <w:rPr>
          <w:color w:val="auto"/>
        </w:rPr>
        <w:t xml:space="preserve"> to </w:t>
      </w:r>
      <w:r w:rsidR="00763001">
        <w:rPr>
          <w:color w:val="auto"/>
        </w:rPr>
        <w:t xml:space="preserve">the </w:t>
      </w:r>
      <w:r w:rsidR="00F23357">
        <w:rPr>
          <w:color w:val="auto"/>
        </w:rPr>
        <w:t>medical exam</w:t>
      </w:r>
      <w:r w:rsidR="005D2CF1">
        <w:rPr>
          <w:color w:val="auto"/>
        </w:rPr>
        <w:t xml:space="preserve"> and pay</w:t>
      </w:r>
      <w:r w:rsidR="004A663C">
        <w:rPr>
          <w:color w:val="auto"/>
        </w:rPr>
        <w:t xml:space="preserve"> fees associated with the exam</w:t>
      </w:r>
      <w:r w:rsidR="0084418D">
        <w:rPr>
          <w:color w:val="auto"/>
        </w:rPr>
        <w:t xml:space="preserve"> is </w:t>
      </w:r>
      <w:r w:rsidR="004A663C">
        <w:rPr>
          <w:color w:val="auto"/>
        </w:rPr>
        <w:t xml:space="preserve">estimated at </w:t>
      </w:r>
      <w:r>
        <w:rPr>
          <w:color w:val="auto"/>
        </w:rPr>
        <w:t>$3</w:t>
      </w:r>
      <w:r w:rsidR="00BA4659">
        <w:rPr>
          <w:color w:val="auto"/>
        </w:rPr>
        <w:t>,486,680 (</w:t>
      </w:r>
      <w:r w:rsidR="00DB77B9">
        <w:rPr>
          <w:color w:val="auto"/>
        </w:rPr>
        <w:t>$</w:t>
      </w:r>
      <w:r w:rsidR="00BC7EB4">
        <w:rPr>
          <w:color w:val="auto"/>
        </w:rPr>
        <w:t>786,680 in travel costs + $2,700,000 in exam fees)</w:t>
      </w:r>
      <w:r w:rsidR="00BA4659">
        <w:rPr>
          <w:color w:val="auto"/>
        </w:rPr>
        <w:t>.</w:t>
      </w:r>
    </w:p>
    <w:p w:rsidR="00080F37" w:rsidP="002E3914" w14:paraId="5B619367" w14:textId="77777777">
      <w:pPr>
        <w:keepNext/>
        <w:tabs>
          <w:tab w:val="left" w:pos="360"/>
        </w:tabs>
        <w:ind w:left="360"/>
        <w:rPr>
          <w:b/>
          <w:i/>
        </w:rPr>
      </w:pPr>
    </w:p>
    <w:p w:rsidR="00B853AB" w:rsidP="00B853AB" w14:paraId="55BB447B" w14:textId="4B642162">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B853AB" w:rsidP="00B853AB" w14:paraId="0C3EFFC0" w14:textId="77777777">
      <w:pPr>
        <w:keepNext/>
        <w:numPr>
          <w:ilvl w:val="12"/>
          <w:numId w:val="0"/>
        </w:numPr>
        <w:ind w:left="360"/>
      </w:pPr>
    </w:p>
    <w:p w:rsidR="006E5F60" w:rsidP="006E5F60" w14:paraId="6ED3A795" w14:textId="5EDE0FA3">
      <w:pPr>
        <w:autoSpaceDE w:val="0"/>
        <w:autoSpaceDN w:val="0"/>
        <w:adjustRightInd w:val="0"/>
        <w:ind w:left="360"/>
        <w:rPr>
          <w:rFonts w:eastAsia="Calibri" w:cs="Times New Roman"/>
          <w:color w:val="auto"/>
        </w:rPr>
      </w:pPr>
      <w:r w:rsidRPr="75733C26">
        <w:rPr>
          <w:rFonts w:eastAsia="Calibri" w:cs="Times New Roman"/>
          <w:color w:val="auto"/>
        </w:rPr>
        <w:t xml:space="preserve">TSA </w:t>
      </w:r>
      <w:r w:rsidRPr="75733C26" w:rsidR="00411759">
        <w:rPr>
          <w:rFonts w:eastAsia="Calibri" w:cs="Times New Roman"/>
          <w:color w:val="auto"/>
        </w:rPr>
        <w:t xml:space="preserve">medical </w:t>
      </w:r>
      <w:r w:rsidRPr="75733C26">
        <w:rPr>
          <w:rFonts w:eastAsia="Calibri" w:cs="Times New Roman"/>
          <w:color w:val="auto"/>
        </w:rPr>
        <w:t xml:space="preserve">staff will </w:t>
      </w:r>
      <w:r w:rsidRPr="75733C26" w:rsidR="00DE3C1E">
        <w:rPr>
          <w:rFonts w:eastAsia="Calibri" w:cs="Times New Roman"/>
          <w:color w:val="auto"/>
        </w:rPr>
        <w:t>review and process the SOMQ and TSO Medical Clearance Form</w:t>
      </w:r>
      <w:r w:rsidRPr="75733C26" w:rsidR="008120FE">
        <w:rPr>
          <w:rFonts w:eastAsia="Calibri" w:cs="Times New Roman"/>
          <w:color w:val="auto"/>
        </w:rPr>
        <w:t>s</w:t>
      </w:r>
      <w:r w:rsidRPr="75733C26" w:rsidR="001A6A29">
        <w:rPr>
          <w:rFonts w:eastAsia="Calibri" w:cs="Times New Roman"/>
          <w:color w:val="auto"/>
        </w:rPr>
        <w:t xml:space="preserve"> </w:t>
      </w:r>
      <w:r w:rsidRPr="75733C26" w:rsidR="008120FE">
        <w:rPr>
          <w:rFonts w:eastAsia="Calibri" w:cs="Times New Roman"/>
          <w:color w:val="auto"/>
        </w:rPr>
        <w:t>once</w:t>
      </w:r>
      <w:r w:rsidRPr="75733C26" w:rsidR="001A6A29">
        <w:rPr>
          <w:rFonts w:eastAsia="Calibri" w:cs="Times New Roman"/>
          <w:color w:val="auto"/>
        </w:rPr>
        <w:t xml:space="preserve"> they are submitted. </w:t>
      </w:r>
      <w:r w:rsidRPr="75733C26" w:rsidR="00411759">
        <w:rPr>
          <w:rFonts w:eastAsia="Calibri" w:cs="Times New Roman"/>
          <w:color w:val="auto"/>
        </w:rPr>
        <w:t xml:space="preserve"> </w:t>
      </w:r>
      <w:r w:rsidRPr="75733C26" w:rsidR="001A6A29">
        <w:rPr>
          <w:rFonts w:eastAsia="Calibri" w:cs="Times New Roman"/>
          <w:color w:val="auto"/>
        </w:rPr>
        <w:t xml:space="preserve">TSA estimates that </w:t>
      </w:r>
      <w:r w:rsidRPr="75733C26" w:rsidR="00115BFF">
        <w:rPr>
          <w:rFonts w:eastAsia="Calibri" w:cs="Times New Roman"/>
          <w:color w:val="auto"/>
        </w:rPr>
        <w:t>it take</w:t>
      </w:r>
      <w:r w:rsidR="00F871E4">
        <w:rPr>
          <w:rFonts w:eastAsia="Calibri" w:cs="Times New Roman"/>
          <w:color w:val="auto"/>
        </w:rPr>
        <w:t>s, on average, about</w:t>
      </w:r>
      <w:r w:rsidRPr="75733C26" w:rsidR="00115BFF">
        <w:rPr>
          <w:rFonts w:eastAsia="Calibri" w:cs="Times New Roman"/>
          <w:color w:val="auto"/>
        </w:rPr>
        <w:t xml:space="preserve"> </w:t>
      </w:r>
      <w:r w:rsidRPr="75733C26" w:rsidR="00867E4F">
        <w:rPr>
          <w:rFonts w:eastAsia="Calibri" w:cs="Times New Roman"/>
          <w:color w:val="auto"/>
        </w:rPr>
        <w:t xml:space="preserve">10 minutes (0.17 hours) </w:t>
      </w:r>
      <w:r w:rsidRPr="75733C26" w:rsidR="00115BFF">
        <w:rPr>
          <w:rFonts w:eastAsia="Calibri" w:cs="Times New Roman"/>
          <w:color w:val="auto"/>
        </w:rPr>
        <w:t xml:space="preserve">for </w:t>
      </w:r>
      <w:r w:rsidRPr="75733C26" w:rsidR="0053518A">
        <w:rPr>
          <w:rFonts w:eastAsia="Calibri" w:cs="Times New Roman"/>
          <w:color w:val="auto"/>
        </w:rPr>
        <w:t xml:space="preserve">a </w:t>
      </w:r>
      <w:r w:rsidRPr="75733C26" w:rsidR="00115BFF">
        <w:rPr>
          <w:rFonts w:eastAsia="Calibri" w:cs="Times New Roman"/>
          <w:color w:val="auto"/>
        </w:rPr>
        <w:t xml:space="preserve">TSA </w:t>
      </w:r>
      <w:r w:rsidRPr="75733C26" w:rsidR="0053518A">
        <w:rPr>
          <w:rFonts w:eastAsia="Calibri" w:cs="Times New Roman"/>
          <w:color w:val="auto"/>
        </w:rPr>
        <w:t>employee</w:t>
      </w:r>
      <w:r w:rsidRPr="75733C26" w:rsidR="00115BFF">
        <w:rPr>
          <w:rFonts w:eastAsia="Calibri" w:cs="Times New Roman"/>
          <w:color w:val="auto"/>
        </w:rPr>
        <w:t xml:space="preserve"> to review</w:t>
      </w:r>
      <w:r w:rsidRPr="75733C26" w:rsidR="000A38F1">
        <w:rPr>
          <w:rFonts w:eastAsia="Calibri" w:cs="Times New Roman"/>
          <w:color w:val="auto"/>
        </w:rPr>
        <w:t xml:space="preserve"> and process each respondent’s forms (the SOMQ and the TSO Medical Clearance Form)</w:t>
      </w:r>
      <w:r w:rsidRPr="75733C26" w:rsidR="00663DAF">
        <w:rPr>
          <w:rFonts w:eastAsia="Calibri" w:cs="Times New Roman"/>
          <w:color w:val="auto"/>
        </w:rPr>
        <w:t xml:space="preserve">. </w:t>
      </w:r>
      <w:r w:rsidRPr="75733C26" w:rsidR="00411759">
        <w:rPr>
          <w:rFonts w:eastAsia="Calibri" w:cs="Times New Roman"/>
          <w:color w:val="auto"/>
        </w:rPr>
        <w:t xml:space="preserve"> </w:t>
      </w:r>
      <w:r w:rsidR="00A92993">
        <w:rPr>
          <w:rFonts w:eastAsia="Calibri" w:cs="Times New Roman"/>
          <w:color w:val="auto"/>
        </w:rPr>
        <w:t xml:space="preserve">TSA uses a </w:t>
      </w:r>
      <w:r w:rsidRPr="75733C26" w:rsidR="00663DAF">
        <w:rPr>
          <w:rFonts w:eastAsia="Calibri" w:cs="Times New Roman"/>
          <w:color w:val="auto"/>
        </w:rPr>
        <w:t>fully loaded average hourly wage rate for a</w:t>
      </w:r>
      <w:r w:rsidRPr="75733C26" w:rsidR="00730BC3">
        <w:rPr>
          <w:rFonts w:eastAsia="Calibri" w:cs="Times New Roman"/>
          <w:color w:val="auto"/>
        </w:rPr>
        <w:t>n I-</w:t>
      </w:r>
      <w:r w:rsidRPr="75733C26" w:rsidR="0066110A">
        <w:rPr>
          <w:rFonts w:eastAsia="Calibri" w:cs="Times New Roman"/>
          <w:color w:val="auto"/>
        </w:rPr>
        <w:t>Band</w:t>
      </w:r>
      <w:r w:rsidRPr="75733C26" w:rsidR="00663DAF">
        <w:rPr>
          <w:rFonts w:eastAsia="Calibri" w:cs="Times New Roman"/>
          <w:color w:val="auto"/>
        </w:rPr>
        <w:t xml:space="preserve"> </w:t>
      </w:r>
      <w:r w:rsidRPr="75733C26" w:rsidR="00157BB0">
        <w:rPr>
          <w:rFonts w:eastAsia="Calibri" w:cs="Times New Roman"/>
          <w:color w:val="auto"/>
        </w:rPr>
        <w:t xml:space="preserve">TSA employee </w:t>
      </w:r>
      <w:r w:rsidRPr="75733C26" w:rsidR="00663DAF">
        <w:rPr>
          <w:rFonts w:eastAsia="Calibri" w:cs="Times New Roman"/>
          <w:color w:val="auto"/>
        </w:rPr>
        <w:t xml:space="preserve">involved in the adjudication </w:t>
      </w:r>
      <w:r w:rsidR="006056F4">
        <w:rPr>
          <w:rFonts w:eastAsia="Calibri" w:cs="Times New Roman"/>
          <w:color w:val="auto"/>
        </w:rPr>
        <w:t>of</w:t>
      </w:r>
      <w:r w:rsidRPr="75733C26" w:rsidR="00663DAF">
        <w:rPr>
          <w:rFonts w:eastAsia="Calibri" w:cs="Times New Roman"/>
          <w:color w:val="auto"/>
        </w:rPr>
        <w:t xml:space="preserve"> $88.39.</w:t>
      </w:r>
      <w:r>
        <w:rPr>
          <w:rStyle w:val="FootnoteReference"/>
          <w:rFonts w:eastAsia="Calibri" w:cs="Times New Roman"/>
          <w:color w:val="auto"/>
        </w:rPr>
        <w:footnoteReference w:id="15"/>
      </w:r>
      <w:r w:rsidRPr="75733C26" w:rsidR="00663DAF">
        <w:rPr>
          <w:rFonts w:eastAsia="Calibri" w:cs="Times New Roman"/>
          <w:color w:val="auto"/>
        </w:rPr>
        <w:t xml:space="preserve">  </w:t>
      </w:r>
      <w:r w:rsidRPr="3FA5B9C2" w:rsidR="55B734BC">
        <w:rPr>
          <w:rFonts w:eastAsia="Calibri" w:cs="Times New Roman"/>
          <w:color w:val="auto"/>
        </w:rPr>
        <w:t>Based on</w:t>
      </w:r>
      <w:r w:rsidRPr="65191A49" w:rsidR="4EDE018F">
        <w:rPr>
          <w:rFonts w:eastAsia="Calibri" w:cs="Times New Roman"/>
          <w:color w:val="auto"/>
        </w:rPr>
        <w:t xml:space="preserve"> </w:t>
      </w:r>
      <w:r w:rsidRPr="65191A49" w:rsidR="3AC8800E">
        <w:rPr>
          <w:rFonts w:eastAsia="Calibri" w:cs="Times New Roman"/>
          <w:color w:val="auto"/>
        </w:rPr>
        <w:t>18</w:t>
      </w:r>
      <w:r w:rsidRPr="02EA9B28" w:rsidR="3AC8800E">
        <w:rPr>
          <w:rFonts w:eastAsia="Calibri" w:cs="Times New Roman"/>
          <w:color w:val="auto"/>
        </w:rPr>
        <w:t>,</w:t>
      </w:r>
      <w:r w:rsidRPr="01C3A2F9" w:rsidR="3AC8800E">
        <w:rPr>
          <w:rFonts w:eastAsia="Calibri" w:cs="Times New Roman"/>
          <w:color w:val="auto"/>
        </w:rPr>
        <w:t xml:space="preserve">000 annual </w:t>
      </w:r>
      <w:r w:rsidRPr="23740DE5" w:rsidR="3AC8800E">
        <w:rPr>
          <w:rFonts w:eastAsia="Calibri" w:cs="Times New Roman"/>
          <w:color w:val="auto"/>
        </w:rPr>
        <w:t xml:space="preserve">respondents, </w:t>
      </w:r>
      <w:r w:rsidRPr="23740DE5" w:rsidR="32ABA998">
        <w:rPr>
          <w:rFonts w:eastAsia="Calibri" w:cs="Times New Roman"/>
          <w:color w:val="auto"/>
        </w:rPr>
        <w:t>T</w:t>
      </w:r>
      <w:r w:rsidRPr="23740DE5" w:rsidR="00073DC8">
        <w:rPr>
          <w:rFonts w:eastAsia="Calibri" w:cs="Times New Roman"/>
          <w:color w:val="auto"/>
        </w:rPr>
        <w:t>SA</w:t>
      </w:r>
      <w:r w:rsidRPr="75733C26" w:rsidR="00073DC8">
        <w:rPr>
          <w:rFonts w:eastAsia="Calibri" w:cs="Times New Roman"/>
          <w:color w:val="auto"/>
        </w:rPr>
        <w:t xml:space="preserve"> estimates that the total annual cost incurred by the Federal </w:t>
      </w:r>
      <w:r w:rsidR="00B52954">
        <w:rPr>
          <w:rFonts w:eastAsia="Calibri" w:cs="Times New Roman"/>
          <w:color w:val="auto"/>
        </w:rPr>
        <w:t>g</w:t>
      </w:r>
      <w:r w:rsidRPr="75733C26" w:rsidR="00073DC8">
        <w:rPr>
          <w:rFonts w:eastAsia="Calibri" w:cs="Times New Roman"/>
          <w:color w:val="auto"/>
        </w:rPr>
        <w:t>overnment is $</w:t>
      </w:r>
      <w:r w:rsidR="00707682">
        <w:rPr>
          <w:rFonts w:eastAsia="Calibri" w:cs="Times New Roman"/>
          <w:color w:val="auto"/>
        </w:rPr>
        <w:t>270,473</w:t>
      </w:r>
      <w:r w:rsidRPr="75733C26" w:rsidR="003F5628">
        <w:rPr>
          <w:rFonts w:eastAsia="Calibri" w:cs="Times New Roman"/>
          <w:color w:val="auto"/>
        </w:rPr>
        <w:t xml:space="preserve"> </w:t>
      </w:r>
      <w:r w:rsidRPr="75733C26" w:rsidR="00DB4EF7">
        <w:rPr>
          <w:rFonts w:eastAsia="Calibri" w:cs="Times New Roman"/>
          <w:color w:val="auto"/>
        </w:rPr>
        <w:t>(0.17 hours x $88.39 per hour x 18,000 respondents)</w:t>
      </w:r>
      <w:r w:rsidRPr="75733C26" w:rsidR="00663DAF">
        <w:rPr>
          <w:rFonts w:eastAsia="Calibri" w:cs="Times New Roman"/>
          <w:color w:val="auto"/>
        </w:rPr>
        <w:t>.</w:t>
      </w:r>
    </w:p>
    <w:p w:rsidR="00B853AB" w:rsidP="00B853AB" w14:paraId="24A353DD" w14:textId="77777777">
      <w:pPr>
        <w:pStyle w:val="IndexHeading"/>
        <w:keepNext w:val="0"/>
        <w:numPr>
          <w:ilvl w:val="12"/>
          <w:numId w:val="0"/>
        </w:numPr>
        <w:spacing w:line="240" w:lineRule="auto"/>
        <w:rPr>
          <w:rFonts w:ascii="Times New Roman" w:hAnsi="Times New Roman"/>
          <w:spacing w:val="0"/>
        </w:rPr>
      </w:pPr>
    </w:p>
    <w:p w:rsidR="00B853AB" w:rsidP="00B853AB" w14:paraId="28D51DDA" w14:textId="77777777">
      <w:pPr>
        <w:keepNext/>
        <w:numPr>
          <w:ilvl w:val="0"/>
          <w:numId w:val="1"/>
        </w:numPr>
        <w:tabs>
          <w:tab w:val="left" w:pos="360"/>
        </w:tabs>
        <w:rPr>
          <w:b/>
          <w:i/>
        </w:rPr>
      </w:pPr>
      <w:r>
        <w:rPr>
          <w:b/>
          <w:i/>
        </w:rPr>
        <w:t>Explain the reasons for any program changes or adjustments reported in Items 13 or 14 of the OMB Form 83-I.</w:t>
      </w:r>
    </w:p>
    <w:p w:rsidR="00B853AB" w:rsidP="00B853AB" w14:paraId="435794DC" w14:textId="62015A0B">
      <w:pPr>
        <w:numPr>
          <w:ilvl w:val="12"/>
          <w:numId w:val="0"/>
        </w:numPr>
        <w:ind w:left="360"/>
      </w:pPr>
    </w:p>
    <w:p w:rsidR="00D226F5" w:rsidP="000F6521" w14:paraId="0EB8BDCC" w14:textId="46DCF151">
      <w:pPr>
        <w:ind w:left="360"/>
      </w:pPr>
      <w:r>
        <w:t>TSA</w:t>
      </w:r>
      <w:r w:rsidR="00D57416">
        <w:t xml:space="preserve"> </w:t>
      </w:r>
      <w:r w:rsidR="0033279B">
        <w:t>adjuste</w:t>
      </w:r>
      <w:r w:rsidR="008F4444">
        <w:t xml:space="preserve">d the number of </w:t>
      </w:r>
      <w:r w:rsidR="006E24F6">
        <w:t xml:space="preserve">respondents from </w:t>
      </w:r>
      <w:r w:rsidR="0086708A">
        <w:t>22,500 to 18,000</w:t>
      </w:r>
      <w:r w:rsidR="006663A7">
        <w:t xml:space="preserve"> to more accurately reflect</w:t>
      </w:r>
      <w:r w:rsidR="00713D45">
        <w:t xml:space="preserve"> </w:t>
      </w:r>
      <w:r w:rsidR="006663A7">
        <w:t>the agency’s current</w:t>
      </w:r>
      <w:r w:rsidR="007C1BE6">
        <w:t xml:space="preserve"> </w:t>
      </w:r>
      <w:r w:rsidR="005C5468">
        <w:t>anticipated hiring needs.</w:t>
      </w:r>
      <w:r>
        <w:rPr>
          <w:rStyle w:val="FootnoteReference"/>
        </w:rPr>
        <w:footnoteReference w:id="16"/>
      </w:r>
      <w:r w:rsidR="0078758F">
        <w:t xml:space="preserve"> </w:t>
      </w:r>
      <w:r w:rsidR="00D501A9">
        <w:t xml:space="preserve"> </w:t>
      </w:r>
      <w:r w:rsidRPr="002A0CEE" w:rsidR="002A0CEE">
        <w:t>The annual time burden to respondents has been updated to incorporate the most recent wage data</w:t>
      </w:r>
      <w:r w:rsidR="00523197">
        <w:t xml:space="preserve"> (e.g., the </w:t>
      </w:r>
      <w:r w:rsidRPr="002A0CEE" w:rsidR="002A0CEE">
        <w:t>hourly wage rate for TSO candidates</w:t>
      </w:r>
      <w:r w:rsidR="00523197">
        <w:t>)</w:t>
      </w:r>
      <w:r w:rsidRPr="002A0CEE" w:rsidR="002A0CEE">
        <w:t xml:space="preserve">. </w:t>
      </w:r>
      <w:r w:rsidR="009B45D2">
        <w:t xml:space="preserve"> </w:t>
      </w:r>
      <w:r w:rsidRPr="002A0CEE" w:rsidR="002A0CEE">
        <w:t>Time burden estimates now reflect a 15-minute reduction resulting from the completion of the SOMQ form online.</w:t>
      </w:r>
      <w:r w:rsidR="00740349">
        <w:t xml:space="preserve"> </w:t>
      </w:r>
      <w:r w:rsidR="009B45D2">
        <w:t xml:space="preserve"> </w:t>
      </w:r>
      <w:r w:rsidR="00740349">
        <w:t xml:space="preserve">This form had </w:t>
      </w:r>
      <w:r w:rsidR="00C90D74">
        <w:t xml:space="preserve">previously been </w:t>
      </w:r>
      <w:r w:rsidR="00F7584E">
        <w:t>provided</w:t>
      </w:r>
      <w:r w:rsidR="00C90D74">
        <w:t xml:space="preserve"> in a written format.</w:t>
      </w:r>
      <w:r w:rsidR="009B45D2">
        <w:t xml:space="preserve"> </w:t>
      </w:r>
      <w:r w:rsidRPr="002A0CEE" w:rsidR="002A0CEE">
        <w:t xml:space="preserve"> </w:t>
      </w:r>
      <w:r w:rsidR="006A5049">
        <w:t xml:space="preserve">In addition, </w:t>
      </w:r>
      <w:r w:rsidRPr="002A0CEE" w:rsidR="002A0CEE">
        <w:t>time costs have been updated to account for expenses associated with operating a vehicle to and from the medical appointment.</w:t>
      </w:r>
    </w:p>
    <w:p w:rsidR="00D226F5" w:rsidP="000F6521" w14:paraId="4C599BF5" w14:textId="77777777">
      <w:pPr>
        <w:ind w:left="360"/>
      </w:pPr>
    </w:p>
    <w:p w:rsidR="00B53E84" w:rsidP="02CC6D35" w14:paraId="03AE4D79" w14:textId="0C342872">
      <w:pPr>
        <w:ind w:left="360"/>
      </w:pPr>
      <w:r>
        <w:t>TSA has moved away from using a TSA contracted medical provider to conduct the TSO candidates’ medical exam</w:t>
      </w:r>
      <w:r w:rsidR="00A5422D">
        <w:t xml:space="preserve">. </w:t>
      </w:r>
      <w:r w:rsidR="009B45D2">
        <w:t xml:space="preserve"> </w:t>
      </w:r>
      <w:r w:rsidR="00A5422D">
        <w:t xml:space="preserve">As such, the federal cost burden has changed. </w:t>
      </w:r>
      <w:r w:rsidR="009B45D2">
        <w:t xml:space="preserve"> </w:t>
      </w:r>
      <w:r w:rsidR="00A5422D">
        <w:t xml:space="preserve">The government cost no longer includes $2,531,250 in annual fees paid to a contracted medical provider. </w:t>
      </w:r>
      <w:r w:rsidR="009B45D2">
        <w:t xml:space="preserve"> </w:t>
      </w:r>
      <w:r w:rsidR="00A5422D">
        <w:t>However</w:t>
      </w:r>
      <w:r w:rsidR="0096451C">
        <w:t xml:space="preserve">, </w:t>
      </w:r>
      <w:r w:rsidR="0078758F">
        <w:t xml:space="preserve">TSO candidates </w:t>
      </w:r>
      <w:r w:rsidR="0096451C">
        <w:t xml:space="preserve">will now </w:t>
      </w:r>
      <w:r w:rsidR="00A5422D">
        <w:t>incur an out-of-pocket cost</w:t>
      </w:r>
      <w:r w:rsidR="0096451C">
        <w:t xml:space="preserve"> </w:t>
      </w:r>
      <w:r w:rsidR="0078758F">
        <w:t xml:space="preserve">to use a local health care provider to </w:t>
      </w:r>
      <w:r w:rsidR="00A5422D">
        <w:t xml:space="preserve">conduct a medical exam and </w:t>
      </w:r>
      <w:r w:rsidR="0078758F">
        <w:t xml:space="preserve">complete the new Medical Clearance Form.  </w:t>
      </w:r>
      <w:r w:rsidR="003B2CB2">
        <w:t xml:space="preserve">TSA estimates </w:t>
      </w:r>
      <w:r w:rsidR="00AD4617">
        <w:t>th</w:t>
      </w:r>
      <w:r w:rsidR="00660B6E">
        <w:t xml:space="preserve">e cost burden </w:t>
      </w:r>
      <w:r w:rsidR="00A5422D">
        <w:t>to TSO ca</w:t>
      </w:r>
      <w:r w:rsidR="00D037B1">
        <w:t xml:space="preserve">ndidates </w:t>
      </w:r>
      <w:r w:rsidR="00DC73D0">
        <w:t>for medical exams</w:t>
      </w:r>
      <w:r w:rsidRPr="00F56EA7" w:rsidR="00F56EA7">
        <w:t xml:space="preserve"> </w:t>
      </w:r>
      <w:r w:rsidR="00E368DA">
        <w:t xml:space="preserve">at </w:t>
      </w:r>
      <w:r w:rsidR="00DC73D0">
        <w:t xml:space="preserve">approximately </w:t>
      </w:r>
      <w:r w:rsidRPr="00F56EA7" w:rsidR="00F56EA7">
        <w:t>$2,700,000 (18,000 exams x $150</w:t>
      </w:r>
      <w:r w:rsidR="00C703A1">
        <w:t xml:space="preserve"> per exam</w:t>
      </w:r>
      <w:r w:rsidRPr="00F56EA7" w:rsidR="00F56EA7">
        <w:t>).</w:t>
      </w:r>
      <w:r w:rsidR="00D26FEB">
        <w:t xml:space="preserve"> </w:t>
      </w:r>
      <w:r w:rsidR="009B45D2">
        <w:t xml:space="preserve"> </w:t>
      </w:r>
      <w:r w:rsidRPr="00025DB9" w:rsidR="00025DB9">
        <w:t xml:space="preserve">Since TSA staff </w:t>
      </w:r>
      <w:r w:rsidR="00735E5E">
        <w:t>will</w:t>
      </w:r>
      <w:r w:rsidRPr="00025DB9" w:rsidR="00025DB9">
        <w:t xml:space="preserve"> now </w:t>
      </w:r>
      <w:r w:rsidR="00735E5E">
        <w:t>be</w:t>
      </w:r>
      <w:r w:rsidRPr="00025DB9" w:rsidR="00025DB9">
        <w:t xml:space="preserve"> responsible for processing the </w:t>
      </w:r>
      <w:r w:rsidRPr="00025DB9" w:rsidR="00025DB9">
        <w:t>SOMQ and Medical Clearance Form, cost estimates have been updated to account for the time required by an I-band employee to conduct the necessary review of these medical forms.</w:t>
      </w:r>
    </w:p>
    <w:p w:rsidR="00B853AB" w:rsidP="00D30CCE" w14:paraId="11F683C8" w14:textId="14682B34">
      <w:pPr>
        <w:numPr>
          <w:ilvl w:val="12"/>
          <w:numId w:val="0"/>
        </w:numPr>
        <w:ind w:left="360"/>
      </w:pPr>
    </w:p>
    <w:p w:rsidR="00B853AB" w:rsidP="00B853AB" w14:paraId="392A4A8D"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853AB" w:rsidP="00B853AB" w14:paraId="267AD439" w14:textId="77777777">
      <w:pPr>
        <w:keepNext/>
        <w:numPr>
          <w:ilvl w:val="12"/>
          <w:numId w:val="0"/>
        </w:numPr>
        <w:ind w:left="360"/>
      </w:pPr>
    </w:p>
    <w:p w:rsidR="00B853AB" w:rsidRPr="008D5832" w:rsidP="00B853AB" w14:paraId="512C4FBE" w14:textId="77777777">
      <w:pPr>
        <w:pStyle w:val="BodyTextIndent"/>
        <w:rPr>
          <w:color w:val="auto"/>
        </w:rPr>
      </w:pPr>
      <w:r>
        <w:t>TSA will not publish the information collected.</w:t>
      </w:r>
    </w:p>
    <w:p w:rsidR="00B853AB" w:rsidRPr="002723B5" w:rsidP="00B853AB" w14:paraId="2BFC1F57" w14:textId="77777777">
      <w:pPr>
        <w:pStyle w:val="IndexHeading"/>
        <w:keepNext w:val="0"/>
        <w:numPr>
          <w:ilvl w:val="12"/>
          <w:numId w:val="0"/>
        </w:numPr>
        <w:spacing w:line="240" w:lineRule="auto"/>
        <w:rPr>
          <w:rFonts w:ascii="Times New Roman" w:hAnsi="Times New Roman"/>
          <w:spacing w:val="0"/>
        </w:rPr>
      </w:pPr>
    </w:p>
    <w:p w:rsidR="00B853AB" w:rsidP="00B853AB" w14:paraId="024B14FE"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B853AB" w:rsidP="00B853AB" w14:paraId="1570F339" w14:textId="77777777">
      <w:pPr>
        <w:keepNext/>
        <w:numPr>
          <w:ilvl w:val="12"/>
          <w:numId w:val="0"/>
        </w:numPr>
        <w:ind w:left="360"/>
      </w:pPr>
    </w:p>
    <w:p w:rsidR="00B853AB" w:rsidP="00B853AB" w14:paraId="292F85DC" w14:textId="77777777">
      <w:pPr>
        <w:tabs>
          <w:tab w:val="left" w:pos="360"/>
        </w:tabs>
        <w:ind w:left="360"/>
      </w:pPr>
      <w:r>
        <w:t>TSA is not seeking such approval and will display the expiration date for OMB approval of the information collection.</w:t>
      </w:r>
    </w:p>
    <w:p w:rsidR="00B853AB" w:rsidP="00B853AB" w14:paraId="1F2F2396" w14:textId="77777777">
      <w:pPr>
        <w:numPr>
          <w:ilvl w:val="12"/>
          <w:numId w:val="0"/>
        </w:numPr>
        <w:tabs>
          <w:tab w:val="left" w:pos="360"/>
        </w:tabs>
      </w:pPr>
    </w:p>
    <w:p w:rsidR="00B853AB" w:rsidP="00B853AB" w14:paraId="6E750316"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B853AB" w:rsidP="00B853AB" w14:paraId="1A045BC7" w14:textId="77777777">
      <w:pPr>
        <w:keepNext/>
        <w:numPr>
          <w:ilvl w:val="12"/>
          <w:numId w:val="0"/>
        </w:numPr>
        <w:ind w:left="360"/>
      </w:pPr>
    </w:p>
    <w:p w:rsidR="003C0F11" w:rsidP="00024049" w14:paraId="3441B3A4" w14:textId="77777777">
      <w:pPr>
        <w:ind w:left="360"/>
      </w:pPr>
      <w:r>
        <w:t>TSA is not seeking any exceptions to the certification statement identified in Item 19, OMB Form 83-I, Certification for Paperwork Reduction Act Submissions.</w:t>
      </w:r>
    </w:p>
    <w:sectPr w:rsidSect="00D32902">
      <w:headerReference w:type="default" r:id="rId5"/>
      <w:headerReference w:type="first" r:id="rId6"/>
      <w:footerReference w:type="first" r:id="rId7"/>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9A1" w14:paraId="7DA85454"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54C1D" w14:paraId="2F246DDB" w14:textId="77777777">
      <w:r>
        <w:separator/>
      </w:r>
    </w:p>
  </w:footnote>
  <w:footnote w:type="continuationSeparator" w:id="1">
    <w:p w:rsidR="00B54C1D" w14:paraId="78EEFF5A" w14:textId="77777777">
      <w:r>
        <w:continuationSeparator/>
      </w:r>
    </w:p>
  </w:footnote>
  <w:footnote w:id="2">
    <w:p w:rsidR="6ACAB00E" w:rsidP="00D30CCE" w14:paraId="2F502B7A" w14:textId="08659BE9">
      <w:pPr>
        <w:pStyle w:val="FootnoteText"/>
      </w:pPr>
      <w:r w:rsidRPr="6ACAB00E">
        <w:rPr>
          <w:rStyle w:val="FootnoteReference"/>
        </w:rPr>
        <w:footnoteRef/>
      </w:r>
      <w:r w:rsidR="14E0657F">
        <w:t xml:space="preserve"> The TSO Medical Clearance </w:t>
      </w:r>
      <w:r w:rsidR="2524DB5F">
        <w:t xml:space="preserve">Form </w:t>
      </w:r>
      <w:r w:rsidR="63FFB3E8">
        <w:t xml:space="preserve">is filled out by </w:t>
      </w:r>
      <w:r w:rsidR="1B58E180">
        <w:t xml:space="preserve">a </w:t>
      </w:r>
      <w:r w:rsidR="00F464BC">
        <w:t>licensed physician or health practitioner</w:t>
      </w:r>
      <w:r w:rsidR="51B98C4F">
        <w:t xml:space="preserve">. </w:t>
      </w:r>
      <w:r w:rsidR="00B52954">
        <w:t xml:space="preserve"> </w:t>
      </w:r>
      <w:r w:rsidR="3346CF8D">
        <w:t xml:space="preserve">The candidate is </w:t>
      </w:r>
      <w:r w:rsidR="53ED530D">
        <w:t xml:space="preserve">expected </w:t>
      </w:r>
      <w:r w:rsidR="16F4F4F6">
        <w:t xml:space="preserve">to </w:t>
      </w:r>
      <w:r w:rsidR="673141F2">
        <w:t>submit</w:t>
      </w:r>
      <w:r w:rsidR="1D372AC9">
        <w:t xml:space="preserve"> (</w:t>
      </w:r>
      <w:r w:rsidR="29996F1C">
        <w:t>email)</w:t>
      </w:r>
      <w:r w:rsidR="673141F2">
        <w:t xml:space="preserve"> the form </w:t>
      </w:r>
      <w:r w:rsidR="08B0406B">
        <w:t xml:space="preserve">once the </w:t>
      </w:r>
      <w:r w:rsidR="7AAEB73D">
        <w:t xml:space="preserve">medical exam </w:t>
      </w:r>
      <w:r w:rsidR="53A6CC67">
        <w:t>has concluded.</w:t>
      </w:r>
    </w:p>
  </w:footnote>
  <w:footnote w:id="3">
    <w:p w:rsidR="02CC6D35" w:rsidP="00D30CCE" w14:paraId="475CD991" w14:textId="511079AA">
      <w:pPr>
        <w:pStyle w:val="FootnoteText"/>
      </w:pPr>
      <w:r w:rsidRPr="02CC6D35">
        <w:rPr>
          <w:rStyle w:val="FootnoteReference"/>
        </w:rPr>
        <w:footnoteRef/>
      </w:r>
      <w:r>
        <w:t xml:space="preserve"> The </w:t>
      </w:r>
      <w:r w:rsidR="005D4D0D">
        <w:t xml:space="preserve">estimated </w:t>
      </w:r>
      <w:r>
        <w:t xml:space="preserve">18,000 </w:t>
      </w:r>
      <w:r w:rsidR="005D4D0D">
        <w:t>respondents</w:t>
      </w:r>
      <w:r>
        <w:t xml:space="preserve"> is based on TSA’s anticipated need to hire an average of 4,500 TSOs per year, multiplied by four to </w:t>
      </w:r>
      <w:r w:rsidR="008E77EE">
        <w:t>estimate</w:t>
      </w:r>
      <w:r>
        <w:t xml:space="preserve"> the number of candidates </w:t>
      </w:r>
      <w:r w:rsidR="00A11F6B">
        <w:t xml:space="preserve">necessary to </w:t>
      </w:r>
      <w:r w:rsidR="00BD5D1A">
        <w:t>advance</w:t>
      </w:r>
      <w:r>
        <w:t xml:space="preserve"> </w:t>
      </w:r>
      <w:r w:rsidR="00A11F6B">
        <w:t>beyond</w:t>
      </w:r>
      <w:r>
        <w:t xml:space="preserve"> the medical stage (4,500 × 4 = 18,000 medical exams). </w:t>
      </w:r>
      <w:r w:rsidR="00B52954">
        <w:t xml:space="preserve"> </w:t>
      </w:r>
      <w:r>
        <w:t xml:space="preserve">Advancing four times the hiring need accounts for candidates who do not pass the medical exam, drug screening, or pre-hire background adjudication, as well as those who decline final job offers, fail to report for orientation, or delay entry on duty (e.g. to complete an academic term). </w:t>
      </w:r>
      <w:r w:rsidR="00B52954">
        <w:t xml:space="preserve"> </w:t>
      </w:r>
      <w:r>
        <w:t>Thus, TSA expects to hire approximately 25</w:t>
      </w:r>
      <w:r w:rsidR="00B52954">
        <w:t xml:space="preserve"> percent</w:t>
      </w:r>
      <w:r>
        <w:t xml:space="preserve"> of candidates who reach the medical stage.</w:t>
      </w:r>
    </w:p>
  </w:footnote>
  <w:footnote w:id="4">
    <w:p w:rsidR="00642EB3" w14:paraId="0EB87990" w14:textId="0D3E1700">
      <w:pPr>
        <w:pStyle w:val="FootnoteText"/>
      </w:pPr>
      <w:r>
        <w:rPr>
          <w:rStyle w:val="FootnoteReference"/>
        </w:rPr>
        <w:footnoteRef/>
      </w:r>
      <w:r>
        <w:t xml:space="preserve"> </w:t>
      </w:r>
      <w:r w:rsidR="00AB11E4">
        <w:t>Physician or health practitioner</w:t>
      </w:r>
      <w:r w:rsidR="005D6172">
        <w:t xml:space="preserve"> c</w:t>
      </w:r>
      <w:r w:rsidR="00C07421">
        <w:t xml:space="preserve">osts associated with the time spent </w:t>
      </w:r>
      <w:r w:rsidRPr="008228F0" w:rsidR="008228F0">
        <w:t>conducting the exam</w:t>
      </w:r>
      <w:r w:rsidR="00C07421">
        <w:t xml:space="preserve"> </w:t>
      </w:r>
      <w:r w:rsidRPr="008228F0" w:rsidR="008228F0">
        <w:t xml:space="preserve">and </w:t>
      </w:r>
      <w:r w:rsidR="005D6172">
        <w:t>completing</w:t>
      </w:r>
      <w:r w:rsidRPr="008228F0" w:rsidR="008228F0">
        <w:t xml:space="preserve"> the </w:t>
      </w:r>
      <w:r w:rsidR="00725F0A">
        <w:t xml:space="preserve">TSO Medical </w:t>
      </w:r>
      <w:r w:rsidR="00F2212D">
        <w:t>Clearance</w:t>
      </w:r>
      <w:r w:rsidR="00725F0A">
        <w:t xml:space="preserve"> </w:t>
      </w:r>
      <w:r w:rsidRPr="008228F0" w:rsidR="008228F0">
        <w:t>form</w:t>
      </w:r>
      <w:r w:rsidR="00725F0A">
        <w:t xml:space="preserve"> are captured by the fee identified in Question 13.</w:t>
      </w:r>
    </w:p>
  </w:footnote>
  <w:footnote w:id="5">
    <w:p w:rsidR="00F90252" w:rsidP="00F90252" w14:paraId="78D343BA" w14:textId="77777777">
      <w:pPr>
        <w:pStyle w:val="FootnoteText"/>
      </w:pPr>
      <w:r>
        <w:rPr>
          <w:rStyle w:val="FootnoteReference"/>
        </w:rPr>
        <w:footnoteRef/>
      </w:r>
      <w:r>
        <w:t xml:space="preserve"> </w:t>
      </w:r>
      <w:r w:rsidRPr="003009A6" w:rsidR="003009A6">
        <w:t>Altarum Center for Value in Health Care</w:t>
      </w:r>
      <w:r w:rsidR="00006CF3">
        <w:t>, “</w:t>
      </w:r>
      <w:r>
        <w:t xml:space="preserve">Travel and Wait Times are Longest for Health Care Services </w:t>
      </w:r>
    </w:p>
    <w:p w:rsidR="00FA226A" w:rsidP="00F90252" w14:paraId="751808EF" w14:textId="2CC25632">
      <w:pPr>
        <w:pStyle w:val="FootnoteText"/>
      </w:pPr>
      <w:r>
        <w:t>and Result in an Annual Opportunity Cost of $89 Billion” (</w:t>
      </w:r>
      <w:r w:rsidR="002A2280">
        <w:t xml:space="preserve">Retrieved </w:t>
      </w:r>
      <w:r w:rsidR="00EA31B4">
        <w:t>April 2026)</w:t>
      </w:r>
      <w:r w:rsidR="00402978">
        <w:t xml:space="preserve">: See: </w:t>
      </w:r>
      <w:hyperlink r:id="rId1" w:history="1">
        <w:r w:rsidRPr="00BF714C" w:rsidR="00A145A9">
          <w:rPr>
            <w:rStyle w:val="Hyperlink"/>
          </w:rPr>
          <w:t>https://altarum.org/sites/default/files/Altarum_Travel-and-Wait-Times-for-Health-Care-Services_Feb-22.pdf</w:t>
        </w:r>
      </w:hyperlink>
      <w:r w:rsidR="00E43A89">
        <w:t>, page 1</w:t>
      </w:r>
      <w:r w:rsidR="00A145A9">
        <w:t>.</w:t>
      </w:r>
    </w:p>
  </w:footnote>
  <w:footnote w:id="6">
    <w:p w:rsidR="00D020D4" w:rsidP="00D020D4" w14:paraId="4A042157" w14:textId="77777777">
      <w:pPr>
        <w:pStyle w:val="FootnoteText"/>
      </w:pPr>
      <w:r>
        <w:rPr>
          <w:rStyle w:val="FootnoteReference"/>
        </w:rPr>
        <w:footnoteRef/>
      </w:r>
      <w:r>
        <w:t xml:space="preserve"> </w:t>
      </w:r>
      <w:r w:rsidRPr="003009A6">
        <w:t>Altarum Center for Value in Health Care</w:t>
      </w:r>
      <w:r>
        <w:t xml:space="preserve">, “Travel and Wait Times are Longest for Health Care Services </w:t>
      </w:r>
    </w:p>
    <w:p w:rsidR="00D020D4" w14:paraId="0970E619" w14:textId="33B3DB9F">
      <w:pPr>
        <w:pStyle w:val="FootnoteText"/>
      </w:pPr>
      <w:r>
        <w:t xml:space="preserve">and Result in an Annual Opportunity Cost of $89 Billion” (Retrieved April 2026): See: </w:t>
      </w:r>
      <w:hyperlink r:id="rId1" w:history="1">
        <w:r w:rsidRPr="00BF714C">
          <w:rPr>
            <w:rStyle w:val="Hyperlink"/>
          </w:rPr>
          <w:t>https://altarum.org/sites/default/files/Altarum_Travel-and-Wait-Times-for-Health-Care-Services_Feb-22.pdf</w:t>
        </w:r>
      </w:hyperlink>
      <w:r w:rsidR="007325DA">
        <w:t>, page 1</w:t>
      </w:r>
      <w:r>
        <w:t>.</w:t>
      </w:r>
    </w:p>
  </w:footnote>
  <w:footnote w:id="7">
    <w:p w:rsidR="00F64DB9" w14:paraId="3376764E" w14:textId="6E623CB2">
      <w:pPr>
        <w:pStyle w:val="FootnoteText"/>
      </w:pPr>
      <w:r>
        <w:rPr>
          <w:rStyle w:val="FootnoteReference"/>
        </w:rPr>
        <w:footnoteRef/>
      </w:r>
      <w:r>
        <w:t xml:space="preserve"> </w:t>
      </w:r>
      <w:r w:rsidR="00652190">
        <w:t xml:space="preserve">9,000 hours to complete the </w:t>
      </w:r>
      <w:r w:rsidR="00BF7AC5">
        <w:t xml:space="preserve">SOMQ online + </w:t>
      </w:r>
      <w:r w:rsidR="4B2BEDBA">
        <w:t>20,400</w:t>
      </w:r>
      <w:r w:rsidR="00C82CA1">
        <w:t xml:space="preserve"> hour</w:t>
      </w:r>
      <w:r w:rsidR="0052173E">
        <w:t>s</w:t>
      </w:r>
      <w:r w:rsidR="00AE727C">
        <w:t xml:space="preserve"> travel burden </w:t>
      </w:r>
      <w:r w:rsidR="00C82CA1">
        <w:t xml:space="preserve">+ </w:t>
      </w:r>
      <w:r w:rsidR="4B2BEDBA">
        <w:t xml:space="preserve">3,300 hours waiting at a medical office + </w:t>
      </w:r>
      <w:r w:rsidR="00C82CA1">
        <w:t xml:space="preserve">9,000 </w:t>
      </w:r>
      <w:r w:rsidR="009C3C82">
        <w:t xml:space="preserve">hours to undergo exams and complete the TSO </w:t>
      </w:r>
      <w:r w:rsidR="00E3497C">
        <w:t>M</w:t>
      </w:r>
      <w:r w:rsidR="009C3C82">
        <w:t xml:space="preserve">edical </w:t>
      </w:r>
      <w:r w:rsidR="00E3497C">
        <w:t>C</w:t>
      </w:r>
      <w:r w:rsidR="009C3C82">
        <w:t xml:space="preserve">learance </w:t>
      </w:r>
      <w:r w:rsidR="00E3497C">
        <w:t>Form + 1,500 hours to print and email the TSO Medical Clearance Form.</w:t>
      </w:r>
    </w:p>
  </w:footnote>
  <w:footnote w:id="8">
    <w:p w:rsidR="00BE593F" w14:paraId="04F7A1B2" w14:textId="56A7DB9E">
      <w:pPr>
        <w:pStyle w:val="FootnoteText"/>
      </w:pPr>
      <w:r>
        <w:rPr>
          <w:rStyle w:val="FootnoteReference"/>
        </w:rPr>
        <w:footnoteRef/>
      </w:r>
      <w:r>
        <w:t xml:space="preserve"> </w:t>
      </w:r>
      <w:r w:rsidRPr="005C2B0F" w:rsidR="005C2B0F">
        <w:t xml:space="preserve">Hourly mean wage for all occupations </w:t>
      </w:r>
      <w:r w:rsidR="00EB347E">
        <w:t xml:space="preserve">(00-0000) </w:t>
      </w:r>
      <w:r w:rsidRPr="005C2B0F" w:rsidR="005C2B0F">
        <w:t xml:space="preserve">is $32.66. </w:t>
      </w:r>
      <w:r w:rsidR="00B52954">
        <w:t xml:space="preserve"> </w:t>
      </w:r>
      <w:r w:rsidRPr="005C2B0F" w:rsidR="005C2B0F">
        <w:t xml:space="preserve">Source: BLS. </w:t>
      </w:r>
      <w:r w:rsidR="00B52954">
        <w:t xml:space="preserve"> </w:t>
      </w:r>
      <w:r w:rsidRPr="005C2B0F" w:rsidR="005C2B0F">
        <w:t xml:space="preserve">Occupational Employment and Wage Statistics May 2024. </w:t>
      </w:r>
      <w:r w:rsidR="00B52954">
        <w:t xml:space="preserve"> </w:t>
      </w:r>
      <w:r w:rsidR="4B2BEDBA">
        <w:t xml:space="preserve">All Occupations (00-0000)  </w:t>
      </w:r>
      <w:hyperlink r:id="rId2" w:anchor="/industry/000000" w:history="1">
        <w:r w:rsidRPr="4B2BEDBA" w:rsidR="4B2BEDBA">
          <w:rPr>
            <w:rStyle w:val="Hyperlink"/>
          </w:rPr>
          <w:t>https://data.bls.gov/oes/#/industry/000000</w:t>
        </w:r>
      </w:hyperlink>
    </w:p>
  </w:footnote>
  <w:footnote w:id="9">
    <w:p w:rsidR="006D59C9" w:rsidP="006D59C9" w14:paraId="5BA52433" w14:textId="53D6F9A9">
      <w:pPr>
        <w:pStyle w:val="FootnoteText"/>
      </w:pPr>
      <w:r w:rsidRPr="009A35B3">
        <w:rPr>
          <w:rStyle w:val="FootnoteReference"/>
          <w:rFonts w:cs="Times New Roman"/>
        </w:rPr>
        <w:footnoteRef/>
      </w:r>
      <w:r w:rsidRPr="009A35B3">
        <w:rPr>
          <w:rFonts w:cs="Times New Roman"/>
        </w:rPr>
        <w:t xml:space="preserve"> </w:t>
      </w:r>
      <w:r>
        <w:t>The compensation factor was calculated by dividing the total compensation for civilian workers, $48.78, by the wages and salary rate of that group, $33.45</w:t>
      </w:r>
      <w:r w:rsidR="00FB71BA">
        <w:t xml:space="preserve"> resulting in a</w:t>
      </w:r>
      <w:r>
        <w:t xml:space="preserve"> compensation factor </w:t>
      </w:r>
      <w:r w:rsidR="00FB71BA">
        <w:t xml:space="preserve">of </w:t>
      </w:r>
      <w:r>
        <w:t xml:space="preserve">1.4582.  Source: </w:t>
      </w:r>
      <w:r w:rsidRPr="00931636">
        <w:t xml:space="preserve">BLS. </w:t>
      </w:r>
      <w:r w:rsidR="00B52954">
        <w:t xml:space="preserve"> </w:t>
      </w:r>
      <w:r w:rsidRPr="00931636">
        <w:t xml:space="preserve">Employer Costs for Employee Compensation - March 2026. Table 1. Employer costs per hour worked for employee compensation and costs as a percent of total compensation: civilian workers. </w:t>
      </w:r>
      <w:r w:rsidR="00B52954">
        <w:t xml:space="preserve"> </w:t>
      </w:r>
      <w:r w:rsidRPr="00931636">
        <w:t>All Workers. Last modified March 20, 2026 (accessed April 21, 2026).</w:t>
      </w:r>
      <w:r w:rsidR="00B52954">
        <w:t xml:space="preserve"> </w:t>
      </w:r>
      <w:r w:rsidRPr="00931636">
        <w:t xml:space="preserve"> </w:t>
      </w:r>
      <w:hyperlink r:id="rId3" w:history="1">
        <w:r w:rsidRPr="006B443D">
          <w:rPr>
            <w:rStyle w:val="Hyperlink"/>
          </w:rPr>
          <w:t>https://www.bls.gov/news.release/archives/ecec_03202026.htm</w:t>
        </w:r>
      </w:hyperlink>
      <w:r>
        <w:t xml:space="preserve"> </w:t>
      </w:r>
    </w:p>
    <w:p w:rsidR="00C42623" w:rsidP="008D5832" w14:paraId="5CFC63B4" w14:textId="2BAC92C3">
      <w:hyperlink r:id="rId3" w:history="1">
        <w:r w:rsidRPr="00995B8D">
          <w:rPr>
            <w:rStyle w:val="Hyperlink"/>
            <w:rFonts w:cs="Times New Roman"/>
            <w:sz w:val="20"/>
          </w:rPr>
          <w:t>Https://www.bls.gov/news.release/archives/ecec_03202026.htm</w:t>
        </w:r>
      </w:hyperlink>
      <w:r>
        <w:rPr>
          <w:rFonts w:cs="Times New Roman"/>
          <w:sz w:val="20"/>
        </w:rPr>
        <w:t>.</w:t>
      </w:r>
    </w:p>
  </w:footnote>
  <w:footnote w:id="10">
    <w:p w:rsidR="0048701D" w14:paraId="0FA6F95B" w14:textId="1B9661EF">
      <w:pPr>
        <w:pStyle w:val="FootnoteText"/>
      </w:pPr>
      <w:r>
        <w:rPr>
          <w:rStyle w:val="FootnoteReference"/>
        </w:rPr>
        <w:footnoteRef/>
      </w:r>
      <w:r>
        <w:t xml:space="preserve"> </w:t>
      </w:r>
      <w:r w:rsidR="00C10962">
        <w:t>Fully loaded</w:t>
      </w:r>
      <w:r w:rsidR="003A30E1">
        <w:t xml:space="preserve"> wage rate for all occupations </w:t>
      </w:r>
      <w:r w:rsidR="00D73221">
        <w:t xml:space="preserve">is </w:t>
      </w:r>
      <w:r w:rsidR="00044DB4">
        <w:t>$47.6</w:t>
      </w:r>
      <w:r w:rsidR="00AA5F6A">
        <w:t>3</w:t>
      </w:r>
      <w:r w:rsidR="00044DB4">
        <w:t xml:space="preserve"> (</w:t>
      </w:r>
      <w:r w:rsidR="000851E3">
        <w:t>$</w:t>
      </w:r>
      <w:r w:rsidR="008F2602">
        <w:t xml:space="preserve">32.66 x </w:t>
      </w:r>
      <w:r w:rsidR="00625A46">
        <w:t>1.4582).</w:t>
      </w:r>
    </w:p>
  </w:footnote>
  <w:footnote w:id="11">
    <w:p w:rsidR="00DA3E5F" w:rsidP="00DA3E5F" w14:paraId="1D21C568" w14:textId="77777777">
      <w:pPr>
        <w:pStyle w:val="FootnoteText"/>
      </w:pPr>
      <w:r>
        <w:rPr>
          <w:rStyle w:val="FootnoteReference"/>
        </w:rPr>
        <w:footnoteRef/>
      </w:r>
      <w:r>
        <w:t xml:space="preserve"> </w:t>
      </w:r>
      <w:r w:rsidRPr="003009A6">
        <w:t>Altarum Center for Value in Health Care</w:t>
      </w:r>
      <w:r>
        <w:t xml:space="preserve">, “Travel and Wait Times are Longest for Health Care Services </w:t>
      </w:r>
    </w:p>
    <w:p w:rsidR="00DA3E5F" w:rsidP="00DA3E5F" w14:paraId="339EDBC2" w14:textId="77777777">
      <w:pPr>
        <w:pStyle w:val="FootnoteText"/>
      </w:pPr>
      <w:r>
        <w:t xml:space="preserve">and Result in an Annual Opportunity Cost of $89 Billion” (Retrieved April 2026): See: </w:t>
      </w:r>
      <w:hyperlink r:id="rId1" w:history="1">
        <w:r w:rsidRPr="00BF714C">
          <w:rPr>
            <w:rStyle w:val="Hyperlink"/>
          </w:rPr>
          <w:t>https://altarum.org/sites/default/files/Altarum_Travel-and-Wait-Times-for-Health-Care-Services_Feb-22.pdf</w:t>
        </w:r>
      </w:hyperlink>
      <w:r>
        <w:t>.</w:t>
      </w:r>
    </w:p>
  </w:footnote>
  <w:footnote w:id="12">
    <w:p w:rsidR="00EA420D" w14:paraId="6C728A8B" w14:textId="1C7B40C9">
      <w:pPr>
        <w:pStyle w:val="FootnoteText"/>
      </w:pPr>
      <w:r>
        <w:rPr>
          <w:rStyle w:val="FootnoteReference"/>
        </w:rPr>
        <w:footnoteRef/>
      </w:r>
      <w:r>
        <w:t xml:space="preserve"> </w:t>
      </w:r>
      <w:r w:rsidR="00A85CD0">
        <w:t xml:space="preserve">According to the </w:t>
      </w:r>
      <w:r w:rsidR="00452066">
        <w:t>National Traffic Speeds Survey III</w:t>
      </w:r>
      <w:r w:rsidR="0080136B">
        <w:t xml:space="preserve"> (2015),</w:t>
      </w:r>
      <w:r w:rsidR="00D3035E">
        <w:t xml:space="preserve"> </w:t>
      </w:r>
      <w:r w:rsidR="004B4F4C">
        <w:t xml:space="preserve">the </w:t>
      </w:r>
      <w:r w:rsidR="00052EA3">
        <w:t xml:space="preserve">median </w:t>
      </w:r>
      <w:r w:rsidR="00AD23BB">
        <w:t>speed</w:t>
      </w:r>
      <w:r w:rsidR="00052EA3">
        <w:t xml:space="preserve"> </w:t>
      </w:r>
      <w:r w:rsidR="00A23544">
        <w:t xml:space="preserve">driven on </w:t>
      </w:r>
      <w:r w:rsidR="006F4FFD">
        <w:t xml:space="preserve">major arterial roads </w:t>
      </w:r>
      <w:r w:rsidR="00385CB8">
        <w:t xml:space="preserve">was </w:t>
      </w:r>
      <w:r w:rsidR="00D71DB8">
        <w:t>57.34</w:t>
      </w:r>
      <w:r w:rsidR="00AD23BB">
        <w:t xml:space="preserve"> miles per hour</w:t>
      </w:r>
      <w:r w:rsidR="00D71DB8">
        <w:t xml:space="preserve"> </w:t>
      </w:r>
      <w:r w:rsidR="00EA1078">
        <w:t xml:space="preserve">and the median </w:t>
      </w:r>
      <w:r w:rsidR="00AD23BB">
        <w:t>speed</w:t>
      </w:r>
      <w:r w:rsidR="00EA1078">
        <w:t xml:space="preserve"> driven on minor arterial roads was </w:t>
      </w:r>
      <w:r w:rsidR="00AD23BB">
        <w:t xml:space="preserve">49.04 miles per hour. </w:t>
      </w:r>
      <w:r w:rsidR="00B52954">
        <w:t xml:space="preserve"> </w:t>
      </w:r>
      <w:r w:rsidR="00AD23BB">
        <w:t xml:space="preserve">As the exact nature of roadways driven </w:t>
      </w:r>
      <w:r w:rsidR="00763908">
        <w:t xml:space="preserve">by </w:t>
      </w:r>
      <w:r w:rsidR="00FF174C">
        <w:t xml:space="preserve">respondents </w:t>
      </w:r>
      <w:r w:rsidR="00995D9C">
        <w:t xml:space="preserve">is unknown, TSA averages these two speeds to produce an estimated travel </w:t>
      </w:r>
      <w:r w:rsidR="00A737FC">
        <w:t xml:space="preserve">speed of 53.19 miles per hour. </w:t>
      </w:r>
      <w:r w:rsidR="00B52954">
        <w:t xml:space="preserve"> </w:t>
      </w:r>
      <w:r w:rsidR="003A3281">
        <w:t xml:space="preserve">See: </w:t>
      </w:r>
      <w:hyperlink r:id="rId4" w:history="1">
        <w:r w:rsidR="00377EC4">
          <w:rPr>
            <w:rStyle w:val="Hyperlink"/>
          </w:rPr>
          <w:t>https://www.nhtsa.gov/sites/nhtsa.gov/files/traffic_tech/812489_tt-national-traffic-speeds-survey-iii-2015.pdf</w:t>
        </w:r>
      </w:hyperlink>
    </w:p>
  </w:footnote>
  <w:footnote w:id="13">
    <w:p w:rsidR="000610D1" w14:paraId="3E093789" w14:textId="7A8DE36D">
      <w:pPr>
        <w:pStyle w:val="FootnoteText"/>
      </w:pPr>
      <w:r>
        <w:rPr>
          <w:rStyle w:val="FootnoteReference"/>
        </w:rPr>
        <w:footnoteRef/>
      </w:r>
      <w:r>
        <w:t xml:space="preserve"> </w:t>
      </w:r>
      <w:r w:rsidR="00956057">
        <w:t xml:space="preserve">GSA </w:t>
      </w:r>
      <w:r w:rsidRPr="00C207BE" w:rsidR="00C207BE">
        <w:t>POV mileage reimbursement rates</w:t>
      </w:r>
      <w:r w:rsidR="00965651">
        <w:t xml:space="preserve"> (as of January 2026). </w:t>
      </w:r>
      <w:r w:rsidR="00B52954">
        <w:t xml:space="preserve"> </w:t>
      </w:r>
      <w:r w:rsidR="00965651">
        <w:t xml:space="preserve">This reimbursement rate is intended to cover the costs, both fixed and variable, of operating a private vehicle. </w:t>
      </w:r>
      <w:r w:rsidR="00B52954">
        <w:t xml:space="preserve"> </w:t>
      </w:r>
      <w:r w:rsidR="00965651">
        <w:t xml:space="preserve">See: </w:t>
      </w:r>
      <w:hyperlink r:id="rId5" w:history="1">
        <w:r w:rsidR="003C3DBA">
          <w:rPr>
            <w:rStyle w:val="Hyperlink"/>
          </w:rPr>
          <w:t>https://www.gsa.gov/travel/plan-a-trip/transportation-airfare-rates-pov-rates/privately-owned-vehicle-pov-mileage-reimbursement</w:t>
        </w:r>
      </w:hyperlink>
    </w:p>
  </w:footnote>
  <w:footnote w:id="14">
    <w:p w:rsidR="004B73E1" w:rsidP="004B73E1" w14:paraId="01307448" w14:textId="3B9B0618">
      <w:pPr>
        <w:pStyle w:val="FootnoteText"/>
      </w:pPr>
      <w:r w:rsidRPr="02CC6D35">
        <w:rPr>
          <w:rStyle w:val="FootnoteReference"/>
        </w:rPr>
        <w:footnoteRef/>
      </w:r>
      <w:r>
        <w:t xml:space="preserve"> Physical exams range from $82 to $150. </w:t>
      </w:r>
      <w:r w:rsidR="009B45D2">
        <w:t xml:space="preserve"> </w:t>
      </w:r>
      <w:r>
        <w:t xml:space="preserve">Source: </w:t>
      </w:r>
      <w:hyperlink r:id="rId6" w:history="1">
        <w:r w:rsidRPr="02CC6D35">
          <w:rPr>
            <w:rStyle w:val="Hyperlink"/>
          </w:rPr>
          <w:t>https://www.cvs.com/minuteclinic/services/price-lists</w:t>
        </w:r>
      </w:hyperlink>
    </w:p>
  </w:footnote>
  <w:footnote w:id="15">
    <w:p w:rsidR="006056F4" w14:paraId="6A4BE72E" w14:textId="2629979E">
      <w:pPr>
        <w:pStyle w:val="FootnoteText"/>
      </w:pPr>
      <w:r>
        <w:rPr>
          <w:rStyle w:val="FootnoteReference"/>
        </w:rPr>
        <w:footnoteRef/>
      </w:r>
      <w:r w:rsidR="00B62057">
        <w:t xml:space="preserve"> </w:t>
      </w:r>
      <w:r w:rsidR="6C4949E7">
        <w:t>The I‑Band pay level is equivalent to a GS‑13, Step 5 position.</w:t>
      </w:r>
      <w:r w:rsidR="009B45D2">
        <w:t xml:space="preserve"> </w:t>
      </w:r>
      <w:r w:rsidR="6C4949E7">
        <w:t xml:space="preserve"> “Personnel Compensation” reflects the annual base salary only.</w:t>
      </w:r>
      <w:r w:rsidR="009B45D2">
        <w:t xml:space="preserve"> </w:t>
      </w:r>
      <w:r w:rsidR="6C4949E7">
        <w:t xml:space="preserve"> “Total” reflects the fully loaded annual compensation, including base pay, awards, bonuses, overtime (where applicable), personnel benefits, and transit benefits. </w:t>
      </w:r>
      <w:r w:rsidR="009B45D2">
        <w:t xml:space="preserve"> </w:t>
      </w:r>
      <w:r w:rsidR="02CC6D35">
        <w:t>The fully loaded annual cost, derived by adding 1.5</w:t>
      </w:r>
      <w:r w:rsidR="009B45D2">
        <w:t xml:space="preserve"> percent </w:t>
      </w:r>
      <w:r w:rsidR="02CC6D35">
        <w:t xml:space="preserve">for awards, overtime equivalent to 2 hours per </w:t>
      </w:r>
      <w:r w:rsidR="00C53B11">
        <w:t>week</w:t>
      </w:r>
      <w:r w:rsidR="02CC6D35">
        <w:t xml:space="preserve"> , 1</w:t>
      </w:r>
      <w:r w:rsidR="009B45D2">
        <w:t xml:space="preserve"> percent</w:t>
      </w:r>
      <w:r w:rsidR="02CC6D35">
        <w:t xml:space="preserve"> for bonuses, 30.2</w:t>
      </w:r>
      <w:r w:rsidR="009B45D2">
        <w:t xml:space="preserve"> percent</w:t>
      </w:r>
      <w:r w:rsidR="02CC6D35">
        <w:t xml:space="preserve"> for personnel benefits, and $3,120 in transit benefits (for National Capital Region)</w:t>
      </w:r>
      <w:r w:rsidR="002419EF">
        <w:t>.</w:t>
      </w:r>
      <w:r w:rsidR="009B45D2">
        <w:t xml:space="preserve"> </w:t>
      </w:r>
      <w:r w:rsidR="02CC6D35">
        <w:t xml:space="preserve"> The</w:t>
      </w:r>
      <w:r w:rsidR="6C4949E7">
        <w:t xml:space="preserve"> compensation factor (loaded to unloaded wage) for the I‑Band/GS‑13, Step 5 is </w:t>
      </w:r>
      <w:r w:rsidR="02CC6D35">
        <w:t>1.</w:t>
      </w:r>
      <w:r w:rsidR="6C4949E7">
        <w:t>35 (i.e</w:t>
      </w:r>
      <w:r w:rsidR="02CC6D35">
        <w:t>.</w:t>
      </w:r>
      <w:r w:rsidR="6C4949E7">
        <w:t xml:space="preserve"> $184,465 ÷ $136,658), and the loaded hourly wage of $88.39 is calculated by dividing the loaded annual compensation </w:t>
      </w:r>
      <w:r w:rsidR="02CC6D35">
        <w:t xml:space="preserve">($184,465) by 2,087 work hours per year. </w:t>
      </w:r>
      <w:r w:rsidR="009B45D2">
        <w:t xml:space="preserve"> </w:t>
      </w:r>
      <w:r w:rsidR="02CC6D35">
        <w:t xml:space="preserve">Salaries are based on the DC locality pay adjustments. </w:t>
      </w:r>
      <w:r w:rsidR="009B45D2">
        <w:t xml:space="preserve"> </w:t>
      </w:r>
      <w:r w:rsidR="02CC6D35">
        <w:t xml:space="preserve">Source: </w:t>
      </w:r>
      <w:hyperlink r:id="rId7" w:history="1">
        <w:r w:rsidRPr="02CC6D35" w:rsidR="02CC6D35">
          <w:rPr>
            <w:rStyle w:val="Hyperlink"/>
          </w:rPr>
          <w:t>https://www.opm.gov/policy-data-oversight/pay-leave/salaries-wages/salary-tables/pdf/2025/DCB.pdf</w:t>
        </w:r>
      </w:hyperlink>
      <w:r w:rsidR="02CC6D35">
        <w:t xml:space="preserve"> </w:t>
      </w:r>
    </w:p>
  </w:footnote>
  <w:footnote w:id="16">
    <w:p w:rsidR="00E21F42" w:rsidP="00E21F42" w14:paraId="5849FBFE" w14:textId="52AC952F">
      <w:pPr>
        <w:pStyle w:val="FootnoteText"/>
      </w:pPr>
      <w:r>
        <w:rPr>
          <w:rStyle w:val="FootnoteReference"/>
        </w:rPr>
        <w:footnoteRef/>
      </w:r>
      <w:r>
        <w:t xml:space="preserve"> TSA</w:t>
      </w:r>
      <w:r w:rsidR="00E62F58">
        <w:t xml:space="preserve"> is </w:t>
      </w:r>
      <w:r>
        <w:t>anticipat</w:t>
      </w:r>
      <w:r w:rsidR="00E62F58">
        <w:t>ing</w:t>
      </w:r>
      <w:r>
        <w:t xml:space="preserve"> to hire an average of 4,500 TSOs per year, multiplied by four to determine the number of candidates advanced to the medical stage (4,500 × 4 = 18,000 medical exams). </w:t>
      </w:r>
      <w:r w:rsidR="009B45D2">
        <w:t xml:space="preserve"> </w:t>
      </w:r>
      <w:r>
        <w:t>Advancing four times the hiring need accounts for candidates who do not pass the medical exam</w:t>
      </w:r>
      <w:r w:rsidR="005C5468">
        <w:t xml:space="preserve"> or fail to successfully complete the hiring process for other reasons.</w:t>
      </w:r>
    </w:p>
    <w:p w:rsidR="00E21F42" w14:paraId="44251FD7" w14:textId="29552A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9A1" w14:paraId="1550E0AE" w14:textId="38757975">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FF4088">
      <w:rPr>
        <w:rStyle w:val="PageNumber"/>
        <w:rFonts w:ascii="Times New Roman" w:hAnsi="Times New Roman"/>
        <w:noProof/>
        <w:sz w:val="24"/>
      </w:rPr>
      <w:t>5</w:t>
    </w:r>
    <w:r>
      <w:rPr>
        <w:rStyle w:val="PageNumber"/>
        <w:rFonts w:ascii="Times New Roman" w:hAnsi="Times New Roman"/>
        <w:sz w:val="24"/>
      </w:rPr>
      <w:fldChar w:fldCharType="end"/>
    </w:r>
  </w:p>
  <w:p w:rsidR="003209A1" w:rsidRPr="00320387" w14:paraId="5AC83226"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9A1" w14:paraId="16F02656"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3209A1" w14:paraId="15FB6C10" w14:textId="77777777">
    <w:pPr>
      <w:jc w:val="center"/>
      <w:rPr>
        <w:rFonts w:cs="Times New Roman"/>
        <w:b/>
        <w:sz w:val="28"/>
      </w:rPr>
    </w:pPr>
  </w:p>
  <w:p w:rsidR="003209A1" w:rsidP="00DB0916" w14:paraId="696D6BD7" w14:textId="77777777">
    <w:pPr>
      <w:jc w:val="center"/>
      <w:rPr>
        <w:rFonts w:cs="Times New Roman"/>
        <w:b/>
        <w:i/>
        <w:sz w:val="28"/>
        <w:szCs w:val="28"/>
      </w:rPr>
    </w:pPr>
    <w:r w:rsidRPr="00E25FE6">
      <w:rPr>
        <w:rFonts w:cs="Times New Roman"/>
        <w:b/>
        <w:i/>
        <w:sz w:val="28"/>
        <w:szCs w:val="28"/>
      </w:rPr>
      <w:t xml:space="preserve">Transportation Security </w:t>
    </w:r>
    <w:r>
      <w:rPr>
        <w:rFonts w:cs="Times New Roman"/>
        <w:b/>
        <w:i/>
        <w:sz w:val="28"/>
        <w:szCs w:val="28"/>
      </w:rPr>
      <w:t>Officer</w:t>
    </w:r>
    <w:r w:rsidRPr="00E25FE6">
      <w:rPr>
        <w:rFonts w:cs="Times New Roman"/>
        <w:b/>
        <w:i/>
        <w:sz w:val="28"/>
        <w:szCs w:val="28"/>
      </w:rPr>
      <w:t xml:space="preserve"> </w:t>
    </w:r>
    <w:r>
      <w:rPr>
        <w:rFonts w:cs="Times New Roman"/>
        <w:b/>
        <w:i/>
        <w:sz w:val="28"/>
        <w:szCs w:val="28"/>
      </w:rPr>
      <w:t xml:space="preserve">(TSO) </w:t>
    </w:r>
    <w:r w:rsidRPr="00E25FE6">
      <w:rPr>
        <w:rFonts w:cs="Times New Roman"/>
        <w:b/>
        <w:i/>
        <w:sz w:val="28"/>
        <w:szCs w:val="28"/>
      </w:rPr>
      <w:t>Medical Questionnaire</w:t>
    </w:r>
  </w:p>
  <w:p w:rsidR="003209A1" w:rsidP="00DB0916" w14:paraId="25CF02A1" w14:textId="77777777">
    <w:pPr>
      <w:jc w:val="center"/>
      <w:rPr>
        <w:rFonts w:cs="Times New Roman"/>
        <w:sz w:val="28"/>
        <w:szCs w:val="28"/>
      </w:rPr>
    </w:pPr>
  </w:p>
  <w:p w:rsidR="003209A1" w:rsidP="00DB0916" w14:paraId="11A4A711" w14:textId="29EBE52A">
    <w:pPr>
      <w:jc w:val="center"/>
      <w:rPr>
        <w:rFonts w:cs="Times New Roman"/>
        <w:sz w:val="28"/>
        <w:szCs w:val="28"/>
      </w:rPr>
    </w:pPr>
    <w:r>
      <w:rPr>
        <w:rFonts w:cs="Times New Roman"/>
        <w:sz w:val="28"/>
        <w:szCs w:val="28"/>
      </w:rPr>
      <w:t xml:space="preserve">OMB </w:t>
    </w:r>
    <w:r w:rsidR="0091556C">
      <w:rPr>
        <w:rFonts w:cs="Times New Roman"/>
        <w:sz w:val="28"/>
        <w:szCs w:val="28"/>
      </w:rPr>
      <w:t>control number</w:t>
    </w:r>
    <w:r>
      <w:rPr>
        <w:rFonts w:cs="Times New Roman"/>
        <w:sz w:val="28"/>
        <w:szCs w:val="28"/>
      </w:rPr>
      <w:t xml:space="preserve"> 1652-0032</w:t>
    </w:r>
  </w:p>
  <w:p w:rsidR="003209A1" w:rsidRPr="005B0F49" w:rsidP="00DB0916" w14:paraId="74AA0313" w14:textId="383D87C0">
    <w:pPr>
      <w:jc w:val="center"/>
      <w:rPr>
        <w:rFonts w:cs="Times New Roman"/>
        <w:sz w:val="28"/>
        <w:szCs w:val="28"/>
      </w:rPr>
    </w:pPr>
    <w:r w:rsidRPr="003F5F68">
      <w:rPr>
        <w:rFonts w:cs="Times New Roman"/>
        <w:sz w:val="28"/>
        <w:szCs w:val="28"/>
      </w:rPr>
      <w:t xml:space="preserve">Exp. </w:t>
    </w:r>
    <w:r w:rsidR="007236AB">
      <w:rPr>
        <w:rFonts w:cs="Times New Roman"/>
        <w:sz w:val="28"/>
        <w:szCs w:val="28"/>
      </w:rPr>
      <w:t>10</w:t>
    </w:r>
    <w:r w:rsidRPr="003F5F68">
      <w:rPr>
        <w:rFonts w:cs="Times New Roman"/>
        <w:sz w:val="28"/>
        <w:szCs w:val="28"/>
      </w:rPr>
      <w:t>/31/</w:t>
    </w:r>
    <w:r w:rsidRPr="003F5F68" w:rsidR="00DB41BF">
      <w:rPr>
        <w:rFonts w:cs="Times New Roman"/>
        <w:sz w:val="28"/>
        <w:szCs w:val="28"/>
      </w:rPr>
      <w:t>20</w:t>
    </w:r>
    <w:r w:rsidR="00DB41BF">
      <w:rPr>
        <w:rFonts w:cs="Times New Roman"/>
        <w:sz w:val="28"/>
        <w:szCs w:val="28"/>
      </w:rPr>
      <w:t>2</w:t>
    </w:r>
    <w:r w:rsidR="007236AB">
      <w:rPr>
        <w:rFonts w:cs="Times New Roman"/>
        <w:sz w:val="28"/>
        <w:szCs w:val="28"/>
      </w:rPr>
      <w:t>6</w:t>
    </w:r>
  </w:p>
  <w:p w:rsidR="003209A1" w14:paraId="3944F02E" w14:textId="77777777">
    <w:pPr>
      <w:jc w:val="center"/>
      <w:rPr>
        <w:rFonts w:cs="Times New Roman"/>
        <w:b/>
        <w:sz w:val="28"/>
      </w:rPr>
    </w:pPr>
  </w:p>
  <w:p w:rsidR="003209A1" w:rsidP="00D32902" w14:paraId="24BEED5A"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65AD814"/>
    <w:lvl w:ilvl="0">
      <w:start w:val="0"/>
      <w:numFmt w:val="decimal"/>
      <w:lvlText w:val="*"/>
      <w:lvlJc w:val="left"/>
    </w:lvl>
  </w:abstractNum>
  <w:abstractNum w:abstractNumId="1">
    <w:nsid w:val="17861D93"/>
    <w:multiLevelType w:val="hybridMultilevel"/>
    <w:tmpl w:val="A8847EEC"/>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95F0DC4"/>
    <w:multiLevelType w:val="singleLevel"/>
    <w:tmpl w:val="768E828A"/>
    <w:lvl w:ilvl="0">
      <w:start w:val="1"/>
      <w:numFmt w:val="decimal"/>
      <w:lvlText w:val="%1."/>
      <w:legacy w:legacy="1" w:legacySpace="0" w:legacyIndent="360"/>
      <w:lvlJc w:val="left"/>
      <w:pPr>
        <w:ind w:left="360" w:hanging="360"/>
      </w:pPr>
    </w:lvl>
  </w:abstractNum>
  <w:abstractNum w:abstractNumId="3">
    <w:nsid w:val="6D5F1897"/>
    <w:multiLevelType w:val="hybridMultilevel"/>
    <w:tmpl w:val="F844E2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0463797">
    <w:abstractNumId w:val="2"/>
  </w:num>
  <w:num w:numId="2" w16cid:durableId="1249653803">
    <w:abstractNumId w:val="1"/>
  </w:num>
  <w:num w:numId="3" w16cid:durableId="1106003780">
    <w:abstractNumId w:val="0"/>
    <w:lvlOverride w:ilvl="0">
      <w:lvl w:ilvl="0">
        <w:start w:val="0"/>
        <w:numFmt w:val="bullet"/>
        <w:lvlText w:val=""/>
        <w:legacy w:legacy="1" w:legacySpace="0" w:legacyIndent="0"/>
        <w:lvlJc w:val="left"/>
        <w:rPr>
          <w:rFonts w:ascii="Symbol" w:hAnsi="Symbol" w:hint="default"/>
        </w:rPr>
      </w:lvl>
    </w:lvlOverride>
  </w:num>
  <w:num w:numId="4" w16cid:durableId="1934851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A82"/>
    <w:rsid w:val="00000AC7"/>
    <w:rsid w:val="00000AE4"/>
    <w:rsid w:val="00000F81"/>
    <w:rsid w:val="000012E6"/>
    <w:rsid w:val="000016A1"/>
    <w:rsid w:val="00004678"/>
    <w:rsid w:val="00004ABB"/>
    <w:rsid w:val="00005155"/>
    <w:rsid w:val="00005ADA"/>
    <w:rsid w:val="00005C60"/>
    <w:rsid w:val="0000611A"/>
    <w:rsid w:val="0000652D"/>
    <w:rsid w:val="00006CF3"/>
    <w:rsid w:val="00007C27"/>
    <w:rsid w:val="000100D8"/>
    <w:rsid w:val="00010C8F"/>
    <w:rsid w:val="00011A02"/>
    <w:rsid w:val="00011C4D"/>
    <w:rsid w:val="00012342"/>
    <w:rsid w:val="00012B20"/>
    <w:rsid w:val="00012CEA"/>
    <w:rsid w:val="00012D5A"/>
    <w:rsid w:val="00013819"/>
    <w:rsid w:val="00013CB8"/>
    <w:rsid w:val="00013D46"/>
    <w:rsid w:val="00014E97"/>
    <w:rsid w:val="00015A9E"/>
    <w:rsid w:val="00016403"/>
    <w:rsid w:val="00016E27"/>
    <w:rsid w:val="000178DC"/>
    <w:rsid w:val="00020456"/>
    <w:rsid w:val="00020D1D"/>
    <w:rsid w:val="00020F27"/>
    <w:rsid w:val="000218C1"/>
    <w:rsid w:val="00022DBF"/>
    <w:rsid w:val="00022F20"/>
    <w:rsid w:val="00024049"/>
    <w:rsid w:val="0002480E"/>
    <w:rsid w:val="00025714"/>
    <w:rsid w:val="00025C67"/>
    <w:rsid w:val="00025DB9"/>
    <w:rsid w:val="00026093"/>
    <w:rsid w:val="00026DEB"/>
    <w:rsid w:val="000278D4"/>
    <w:rsid w:val="0003014F"/>
    <w:rsid w:val="000304BB"/>
    <w:rsid w:val="00030961"/>
    <w:rsid w:val="00031D4C"/>
    <w:rsid w:val="00033A4B"/>
    <w:rsid w:val="00033AC7"/>
    <w:rsid w:val="000343A1"/>
    <w:rsid w:val="00034995"/>
    <w:rsid w:val="00035460"/>
    <w:rsid w:val="000366FC"/>
    <w:rsid w:val="00036CC6"/>
    <w:rsid w:val="0003727C"/>
    <w:rsid w:val="00040E3E"/>
    <w:rsid w:val="00040E90"/>
    <w:rsid w:val="00041FB6"/>
    <w:rsid w:val="00042827"/>
    <w:rsid w:val="000435E7"/>
    <w:rsid w:val="00043D58"/>
    <w:rsid w:val="000440D7"/>
    <w:rsid w:val="00044DB4"/>
    <w:rsid w:val="00045367"/>
    <w:rsid w:val="00045687"/>
    <w:rsid w:val="00045D76"/>
    <w:rsid w:val="00046009"/>
    <w:rsid w:val="000464FF"/>
    <w:rsid w:val="0004657B"/>
    <w:rsid w:val="00046C39"/>
    <w:rsid w:val="00047659"/>
    <w:rsid w:val="0004784E"/>
    <w:rsid w:val="00052EA3"/>
    <w:rsid w:val="00053E29"/>
    <w:rsid w:val="0005407B"/>
    <w:rsid w:val="000541AE"/>
    <w:rsid w:val="00054DDE"/>
    <w:rsid w:val="00054E1F"/>
    <w:rsid w:val="00055251"/>
    <w:rsid w:val="000552BA"/>
    <w:rsid w:val="000566E3"/>
    <w:rsid w:val="00056A70"/>
    <w:rsid w:val="00057332"/>
    <w:rsid w:val="00057C91"/>
    <w:rsid w:val="000600E2"/>
    <w:rsid w:val="000610D1"/>
    <w:rsid w:val="00061405"/>
    <w:rsid w:val="00061479"/>
    <w:rsid w:val="00061A6F"/>
    <w:rsid w:val="00061C70"/>
    <w:rsid w:val="0006373A"/>
    <w:rsid w:val="00063C5E"/>
    <w:rsid w:val="00067A45"/>
    <w:rsid w:val="00070317"/>
    <w:rsid w:val="00070899"/>
    <w:rsid w:val="000715BC"/>
    <w:rsid w:val="000718DF"/>
    <w:rsid w:val="00072326"/>
    <w:rsid w:val="00072883"/>
    <w:rsid w:val="00073DC8"/>
    <w:rsid w:val="000749DC"/>
    <w:rsid w:val="00074D66"/>
    <w:rsid w:val="00075B04"/>
    <w:rsid w:val="00075CC0"/>
    <w:rsid w:val="0007707C"/>
    <w:rsid w:val="00080F37"/>
    <w:rsid w:val="00081598"/>
    <w:rsid w:val="00081DD5"/>
    <w:rsid w:val="00082D04"/>
    <w:rsid w:val="00084736"/>
    <w:rsid w:val="00084DC2"/>
    <w:rsid w:val="000851E3"/>
    <w:rsid w:val="000852BB"/>
    <w:rsid w:val="00085C6C"/>
    <w:rsid w:val="00086A70"/>
    <w:rsid w:val="00086B3A"/>
    <w:rsid w:val="00086C48"/>
    <w:rsid w:val="00086F59"/>
    <w:rsid w:val="00087DAC"/>
    <w:rsid w:val="00087F14"/>
    <w:rsid w:val="00090062"/>
    <w:rsid w:val="000904A4"/>
    <w:rsid w:val="0009299A"/>
    <w:rsid w:val="00092B12"/>
    <w:rsid w:val="00094503"/>
    <w:rsid w:val="0009542D"/>
    <w:rsid w:val="0009551E"/>
    <w:rsid w:val="00096D97"/>
    <w:rsid w:val="000976AD"/>
    <w:rsid w:val="000A0FDD"/>
    <w:rsid w:val="000A266F"/>
    <w:rsid w:val="000A2D67"/>
    <w:rsid w:val="000A2D6C"/>
    <w:rsid w:val="000A3195"/>
    <w:rsid w:val="000A38F1"/>
    <w:rsid w:val="000A3C85"/>
    <w:rsid w:val="000A4161"/>
    <w:rsid w:val="000A5B08"/>
    <w:rsid w:val="000A6FC8"/>
    <w:rsid w:val="000B03B2"/>
    <w:rsid w:val="000B142A"/>
    <w:rsid w:val="000B17F9"/>
    <w:rsid w:val="000B1D7B"/>
    <w:rsid w:val="000B1F19"/>
    <w:rsid w:val="000B2126"/>
    <w:rsid w:val="000B32D6"/>
    <w:rsid w:val="000B3475"/>
    <w:rsid w:val="000B3BFB"/>
    <w:rsid w:val="000B3C16"/>
    <w:rsid w:val="000B4EE4"/>
    <w:rsid w:val="000B50CD"/>
    <w:rsid w:val="000B50EA"/>
    <w:rsid w:val="000B5F4F"/>
    <w:rsid w:val="000B6743"/>
    <w:rsid w:val="000B6BBC"/>
    <w:rsid w:val="000B73E0"/>
    <w:rsid w:val="000B75E9"/>
    <w:rsid w:val="000B7FA4"/>
    <w:rsid w:val="000C2362"/>
    <w:rsid w:val="000C3490"/>
    <w:rsid w:val="000C4EB0"/>
    <w:rsid w:val="000C5E28"/>
    <w:rsid w:val="000C6202"/>
    <w:rsid w:val="000C6853"/>
    <w:rsid w:val="000C6E06"/>
    <w:rsid w:val="000C7FF1"/>
    <w:rsid w:val="000D07F9"/>
    <w:rsid w:val="000D08DE"/>
    <w:rsid w:val="000D0B86"/>
    <w:rsid w:val="000D14BF"/>
    <w:rsid w:val="000D19D8"/>
    <w:rsid w:val="000D1A8F"/>
    <w:rsid w:val="000D2223"/>
    <w:rsid w:val="000D289E"/>
    <w:rsid w:val="000D2C6D"/>
    <w:rsid w:val="000D4F27"/>
    <w:rsid w:val="000D5080"/>
    <w:rsid w:val="000D510B"/>
    <w:rsid w:val="000D52B2"/>
    <w:rsid w:val="000D69FB"/>
    <w:rsid w:val="000D6A30"/>
    <w:rsid w:val="000D6F47"/>
    <w:rsid w:val="000D7B96"/>
    <w:rsid w:val="000D7F58"/>
    <w:rsid w:val="000E1C73"/>
    <w:rsid w:val="000E1F36"/>
    <w:rsid w:val="000E41C2"/>
    <w:rsid w:val="000E550C"/>
    <w:rsid w:val="000E5A28"/>
    <w:rsid w:val="000E7273"/>
    <w:rsid w:val="000E78A9"/>
    <w:rsid w:val="000F00FF"/>
    <w:rsid w:val="000F12F9"/>
    <w:rsid w:val="000F156B"/>
    <w:rsid w:val="000F1800"/>
    <w:rsid w:val="000F2367"/>
    <w:rsid w:val="000F2A59"/>
    <w:rsid w:val="000F2F62"/>
    <w:rsid w:val="000F3286"/>
    <w:rsid w:val="000F3D33"/>
    <w:rsid w:val="000F57B9"/>
    <w:rsid w:val="000F5916"/>
    <w:rsid w:val="000F6521"/>
    <w:rsid w:val="000F703C"/>
    <w:rsid w:val="000F7F45"/>
    <w:rsid w:val="00100C76"/>
    <w:rsid w:val="001010E8"/>
    <w:rsid w:val="001020FC"/>
    <w:rsid w:val="001022F2"/>
    <w:rsid w:val="0010276E"/>
    <w:rsid w:val="001028D0"/>
    <w:rsid w:val="001030B1"/>
    <w:rsid w:val="00103FC9"/>
    <w:rsid w:val="001042A5"/>
    <w:rsid w:val="00104578"/>
    <w:rsid w:val="00104FA9"/>
    <w:rsid w:val="001051EC"/>
    <w:rsid w:val="00105291"/>
    <w:rsid w:val="00105E06"/>
    <w:rsid w:val="00106482"/>
    <w:rsid w:val="00110790"/>
    <w:rsid w:val="00110A45"/>
    <w:rsid w:val="001111DA"/>
    <w:rsid w:val="0011142F"/>
    <w:rsid w:val="001119A0"/>
    <w:rsid w:val="00111D72"/>
    <w:rsid w:val="00111F21"/>
    <w:rsid w:val="001132D4"/>
    <w:rsid w:val="00113FB6"/>
    <w:rsid w:val="001152F5"/>
    <w:rsid w:val="00115A57"/>
    <w:rsid w:val="00115BFF"/>
    <w:rsid w:val="00115CEC"/>
    <w:rsid w:val="00116C54"/>
    <w:rsid w:val="00116E1C"/>
    <w:rsid w:val="001171E1"/>
    <w:rsid w:val="00117B38"/>
    <w:rsid w:val="00120447"/>
    <w:rsid w:val="00120483"/>
    <w:rsid w:val="00120A21"/>
    <w:rsid w:val="00120DE7"/>
    <w:rsid w:val="00120F9B"/>
    <w:rsid w:val="00121017"/>
    <w:rsid w:val="0012113C"/>
    <w:rsid w:val="00121A64"/>
    <w:rsid w:val="00122D1B"/>
    <w:rsid w:val="0012306A"/>
    <w:rsid w:val="001232B8"/>
    <w:rsid w:val="001233BF"/>
    <w:rsid w:val="00125C8D"/>
    <w:rsid w:val="001268DB"/>
    <w:rsid w:val="00126A5C"/>
    <w:rsid w:val="00126D52"/>
    <w:rsid w:val="00126DA5"/>
    <w:rsid w:val="00126EB1"/>
    <w:rsid w:val="00127939"/>
    <w:rsid w:val="00131120"/>
    <w:rsid w:val="00131445"/>
    <w:rsid w:val="00131A52"/>
    <w:rsid w:val="00132B24"/>
    <w:rsid w:val="00133D54"/>
    <w:rsid w:val="001341DA"/>
    <w:rsid w:val="001341F8"/>
    <w:rsid w:val="00134272"/>
    <w:rsid w:val="001356FD"/>
    <w:rsid w:val="00135821"/>
    <w:rsid w:val="00137219"/>
    <w:rsid w:val="00137CE8"/>
    <w:rsid w:val="00140210"/>
    <w:rsid w:val="00140C23"/>
    <w:rsid w:val="00141455"/>
    <w:rsid w:val="00141E31"/>
    <w:rsid w:val="00141FAD"/>
    <w:rsid w:val="0014239C"/>
    <w:rsid w:val="001424FD"/>
    <w:rsid w:val="00142A41"/>
    <w:rsid w:val="00142C03"/>
    <w:rsid w:val="00143537"/>
    <w:rsid w:val="00143D9D"/>
    <w:rsid w:val="00144009"/>
    <w:rsid w:val="001443FB"/>
    <w:rsid w:val="001458DB"/>
    <w:rsid w:val="00146148"/>
    <w:rsid w:val="00146E11"/>
    <w:rsid w:val="001479D4"/>
    <w:rsid w:val="00147E02"/>
    <w:rsid w:val="00147EE7"/>
    <w:rsid w:val="001501EC"/>
    <w:rsid w:val="00150C03"/>
    <w:rsid w:val="00150CB6"/>
    <w:rsid w:val="001525FA"/>
    <w:rsid w:val="0015349C"/>
    <w:rsid w:val="00157843"/>
    <w:rsid w:val="00157BB0"/>
    <w:rsid w:val="00157F6E"/>
    <w:rsid w:val="00160070"/>
    <w:rsid w:val="00160363"/>
    <w:rsid w:val="001608E4"/>
    <w:rsid w:val="001612C2"/>
    <w:rsid w:val="00161B10"/>
    <w:rsid w:val="00161C98"/>
    <w:rsid w:val="001622E5"/>
    <w:rsid w:val="00162C54"/>
    <w:rsid w:val="00164D38"/>
    <w:rsid w:val="001668C5"/>
    <w:rsid w:val="00166B39"/>
    <w:rsid w:val="00170EC5"/>
    <w:rsid w:val="0017299E"/>
    <w:rsid w:val="001731DF"/>
    <w:rsid w:val="00173787"/>
    <w:rsid w:val="00173E01"/>
    <w:rsid w:val="00173F57"/>
    <w:rsid w:val="00174764"/>
    <w:rsid w:val="00175EBC"/>
    <w:rsid w:val="001768EE"/>
    <w:rsid w:val="00176F4B"/>
    <w:rsid w:val="00177E05"/>
    <w:rsid w:val="001809CD"/>
    <w:rsid w:val="00181E9C"/>
    <w:rsid w:val="001828D0"/>
    <w:rsid w:val="0018362E"/>
    <w:rsid w:val="00183BB5"/>
    <w:rsid w:val="0018407E"/>
    <w:rsid w:val="0018431A"/>
    <w:rsid w:val="00184E24"/>
    <w:rsid w:val="00185CD8"/>
    <w:rsid w:val="00186C03"/>
    <w:rsid w:val="001873CE"/>
    <w:rsid w:val="00187D06"/>
    <w:rsid w:val="00190066"/>
    <w:rsid w:val="0019033C"/>
    <w:rsid w:val="00191680"/>
    <w:rsid w:val="0019187D"/>
    <w:rsid w:val="00191E76"/>
    <w:rsid w:val="00192005"/>
    <w:rsid w:val="0019213E"/>
    <w:rsid w:val="0019311F"/>
    <w:rsid w:val="0019358D"/>
    <w:rsid w:val="001940A1"/>
    <w:rsid w:val="00194307"/>
    <w:rsid w:val="00194CCF"/>
    <w:rsid w:val="00195605"/>
    <w:rsid w:val="00195671"/>
    <w:rsid w:val="00195795"/>
    <w:rsid w:val="00197683"/>
    <w:rsid w:val="001976F2"/>
    <w:rsid w:val="001A0328"/>
    <w:rsid w:val="001A05AF"/>
    <w:rsid w:val="001A1FEF"/>
    <w:rsid w:val="001A5B60"/>
    <w:rsid w:val="001A6A29"/>
    <w:rsid w:val="001A6B25"/>
    <w:rsid w:val="001A6FEF"/>
    <w:rsid w:val="001A774F"/>
    <w:rsid w:val="001B0A01"/>
    <w:rsid w:val="001B0A84"/>
    <w:rsid w:val="001B0FAE"/>
    <w:rsid w:val="001B1B6E"/>
    <w:rsid w:val="001B1F4B"/>
    <w:rsid w:val="001B2343"/>
    <w:rsid w:val="001B27A5"/>
    <w:rsid w:val="001B2B85"/>
    <w:rsid w:val="001B2EF1"/>
    <w:rsid w:val="001B437E"/>
    <w:rsid w:val="001B4A1F"/>
    <w:rsid w:val="001B4CB0"/>
    <w:rsid w:val="001B55C8"/>
    <w:rsid w:val="001B5609"/>
    <w:rsid w:val="001B72BD"/>
    <w:rsid w:val="001B7AEA"/>
    <w:rsid w:val="001C003B"/>
    <w:rsid w:val="001C0093"/>
    <w:rsid w:val="001C0104"/>
    <w:rsid w:val="001C09C1"/>
    <w:rsid w:val="001C10F1"/>
    <w:rsid w:val="001C242E"/>
    <w:rsid w:val="001C24BF"/>
    <w:rsid w:val="001C2991"/>
    <w:rsid w:val="001C313D"/>
    <w:rsid w:val="001C4996"/>
    <w:rsid w:val="001C5A30"/>
    <w:rsid w:val="001C6552"/>
    <w:rsid w:val="001C68A5"/>
    <w:rsid w:val="001C6B97"/>
    <w:rsid w:val="001C7410"/>
    <w:rsid w:val="001C7DE0"/>
    <w:rsid w:val="001D00D9"/>
    <w:rsid w:val="001D035A"/>
    <w:rsid w:val="001D078F"/>
    <w:rsid w:val="001D0ADE"/>
    <w:rsid w:val="001D0EB3"/>
    <w:rsid w:val="001D1136"/>
    <w:rsid w:val="001D1191"/>
    <w:rsid w:val="001D1E18"/>
    <w:rsid w:val="001D3441"/>
    <w:rsid w:val="001D4B88"/>
    <w:rsid w:val="001D4DF4"/>
    <w:rsid w:val="001D5144"/>
    <w:rsid w:val="001D5569"/>
    <w:rsid w:val="001D582E"/>
    <w:rsid w:val="001D5E41"/>
    <w:rsid w:val="001D7627"/>
    <w:rsid w:val="001D764E"/>
    <w:rsid w:val="001D7A7D"/>
    <w:rsid w:val="001E001D"/>
    <w:rsid w:val="001E01FC"/>
    <w:rsid w:val="001E0C74"/>
    <w:rsid w:val="001E0E24"/>
    <w:rsid w:val="001E10C7"/>
    <w:rsid w:val="001E14EA"/>
    <w:rsid w:val="001E184E"/>
    <w:rsid w:val="001E1A02"/>
    <w:rsid w:val="001E1D97"/>
    <w:rsid w:val="001E2727"/>
    <w:rsid w:val="001E2D29"/>
    <w:rsid w:val="001E3085"/>
    <w:rsid w:val="001E4A4C"/>
    <w:rsid w:val="001E529E"/>
    <w:rsid w:val="001E671D"/>
    <w:rsid w:val="001E6FAE"/>
    <w:rsid w:val="001E701F"/>
    <w:rsid w:val="001E7516"/>
    <w:rsid w:val="001F0EB1"/>
    <w:rsid w:val="001F1CE4"/>
    <w:rsid w:val="001F1D67"/>
    <w:rsid w:val="001F1D71"/>
    <w:rsid w:val="001F25CE"/>
    <w:rsid w:val="001F2A55"/>
    <w:rsid w:val="001F404F"/>
    <w:rsid w:val="001F42C9"/>
    <w:rsid w:val="001F4600"/>
    <w:rsid w:val="001F485E"/>
    <w:rsid w:val="001F658C"/>
    <w:rsid w:val="001F6685"/>
    <w:rsid w:val="001F6E31"/>
    <w:rsid w:val="001F6EDF"/>
    <w:rsid w:val="001F784D"/>
    <w:rsid w:val="00200B2D"/>
    <w:rsid w:val="0020181E"/>
    <w:rsid w:val="00201E6B"/>
    <w:rsid w:val="0020269A"/>
    <w:rsid w:val="00202BE5"/>
    <w:rsid w:val="0020367B"/>
    <w:rsid w:val="002036A3"/>
    <w:rsid w:val="00203BAF"/>
    <w:rsid w:val="00203C71"/>
    <w:rsid w:val="00203CCF"/>
    <w:rsid w:val="0020417C"/>
    <w:rsid w:val="00205B41"/>
    <w:rsid w:val="00205DC8"/>
    <w:rsid w:val="0020764C"/>
    <w:rsid w:val="00207680"/>
    <w:rsid w:val="002078F3"/>
    <w:rsid w:val="00210DB2"/>
    <w:rsid w:val="00211100"/>
    <w:rsid w:val="002121DF"/>
    <w:rsid w:val="002126BC"/>
    <w:rsid w:val="00213318"/>
    <w:rsid w:val="0021352F"/>
    <w:rsid w:val="00213575"/>
    <w:rsid w:val="002137B1"/>
    <w:rsid w:val="002138CC"/>
    <w:rsid w:val="00213D16"/>
    <w:rsid w:val="00213DDB"/>
    <w:rsid w:val="00213EB2"/>
    <w:rsid w:val="00214616"/>
    <w:rsid w:val="00214840"/>
    <w:rsid w:val="00214984"/>
    <w:rsid w:val="00215A37"/>
    <w:rsid w:val="00215BD1"/>
    <w:rsid w:val="00215EF5"/>
    <w:rsid w:val="00216AB1"/>
    <w:rsid w:val="002178F4"/>
    <w:rsid w:val="00220968"/>
    <w:rsid w:val="00221542"/>
    <w:rsid w:val="002218D1"/>
    <w:rsid w:val="00221AAE"/>
    <w:rsid w:val="00222857"/>
    <w:rsid w:val="00222866"/>
    <w:rsid w:val="00222C26"/>
    <w:rsid w:val="002236BD"/>
    <w:rsid w:val="00223BD9"/>
    <w:rsid w:val="00225013"/>
    <w:rsid w:val="002250F6"/>
    <w:rsid w:val="00225D20"/>
    <w:rsid w:val="002261EB"/>
    <w:rsid w:val="00226768"/>
    <w:rsid w:val="002273DB"/>
    <w:rsid w:val="0022747C"/>
    <w:rsid w:val="0022774C"/>
    <w:rsid w:val="00232128"/>
    <w:rsid w:val="0023297C"/>
    <w:rsid w:val="002330FA"/>
    <w:rsid w:val="00233FC5"/>
    <w:rsid w:val="00234135"/>
    <w:rsid w:val="002351D0"/>
    <w:rsid w:val="0023716E"/>
    <w:rsid w:val="002372F4"/>
    <w:rsid w:val="00240221"/>
    <w:rsid w:val="00240661"/>
    <w:rsid w:val="002406AC"/>
    <w:rsid w:val="00241583"/>
    <w:rsid w:val="002419EF"/>
    <w:rsid w:val="00242012"/>
    <w:rsid w:val="00242EAF"/>
    <w:rsid w:val="002432BC"/>
    <w:rsid w:val="0024480B"/>
    <w:rsid w:val="00244AA7"/>
    <w:rsid w:val="002456F6"/>
    <w:rsid w:val="002473A6"/>
    <w:rsid w:val="00247646"/>
    <w:rsid w:val="00247A15"/>
    <w:rsid w:val="00250033"/>
    <w:rsid w:val="00250385"/>
    <w:rsid w:val="0025095C"/>
    <w:rsid w:val="002516A4"/>
    <w:rsid w:val="00251D7C"/>
    <w:rsid w:val="00251F11"/>
    <w:rsid w:val="002532A5"/>
    <w:rsid w:val="002536D7"/>
    <w:rsid w:val="002541E7"/>
    <w:rsid w:val="002547BC"/>
    <w:rsid w:val="00255A21"/>
    <w:rsid w:val="002561D6"/>
    <w:rsid w:val="00256ACB"/>
    <w:rsid w:val="00260A44"/>
    <w:rsid w:val="00260EFC"/>
    <w:rsid w:val="00260F82"/>
    <w:rsid w:val="00263523"/>
    <w:rsid w:val="002643DB"/>
    <w:rsid w:val="00264B21"/>
    <w:rsid w:val="00264DA9"/>
    <w:rsid w:val="00264E07"/>
    <w:rsid w:val="002651B3"/>
    <w:rsid w:val="002657FA"/>
    <w:rsid w:val="00266494"/>
    <w:rsid w:val="00266F22"/>
    <w:rsid w:val="00267386"/>
    <w:rsid w:val="00267EC7"/>
    <w:rsid w:val="00270610"/>
    <w:rsid w:val="00270774"/>
    <w:rsid w:val="00270EE7"/>
    <w:rsid w:val="002716BF"/>
    <w:rsid w:val="00271F1D"/>
    <w:rsid w:val="002723B5"/>
    <w:rsid w:val="002726DE"/>
    <w:rsid w:val="002730EC"/>
    <w:rsid w:val="00273E66"/>
    <w:rsid w:val="002744BD"/>
    <w:rsid w:val="002748B8"/>
    <w:rsid w:val="00275660"/>
    <w:rsid w:val="00275E09"/>
    <w:rsid w:val="00275EB4"/>
    <w:rsid w:val="002766B6"/>
    <w:rsid w:val="00276881"/>
    <w:rsid w:val="00276960"/>
    <w:rsid w:val="002772B2"/>
    <w:rsid w:val="002806D6"/>
    <w:rsid w:val="00280818"/>
    <w:rsid w:val="0028090B"/>
    <w:rsid w:val="00280E80"/>
    <w:rsid w:val="00281FDA"/>
    <w:rsid w:val="002832B8"/>
    <w:rsid w:val="00283811"/>
    <w:rsid w:val="002840C9"/>
    <w:rsid w:val="002844A0"/>
    <w:rsid w:val="0028490F"/>
    <w:rsid w:val="00285C9C"/>
    <w:rsid w:val="002864CD"/>
    <w:rsid w:val="00286704"/>
    <w:rsid w:val="0028725D"/>
    <w:rsid w:val="002877DB"/>
    <w:rsid w:val="002906D4"/>
    <w:rsid w:val="0029144F"/>
    <w:rsid w:val="00291898"/>
    <w:rsid w:val="00294A54"/>
    <w:rsid w:val="00295E50"/>
    <w:rsid w:val="002966E4"/>
    <w:rsid w:val="00296DA5"/>
    <w:rsid w:val="0029727A"/>
    <w:rsid w:val="00297D1D"/>
    <w:rsid w:val="002A0CEE"/>
    <w:rsid w:val="002A0F5F"/>
    <w:rsid w:val="002A18B5"/>
    <w:rsid w:val="002A195F"/>
    <w:rsid w:val="002A1AF4"/>
    <w:rsid w:val="002A1DE4"/>
    <w:rsid w:val="002A2280"/>
    <w:rsid w:val="002A2DF8"/>
    <w:rsid w:val="002A3663"/>
    <w:rsid w:val="002A3869"/>
    <w:rsid w:val="002A42C2"/>
    <w:rsid w:val="002A430B"/>
    <w:rsid w:val="002A4890"/>
    <w:rsid w:val="002A496D"/>
    <w:rsid w:val="002A5AA7"/>
    <w:rsid w:val="002A5B89"/>
    <w:rsid w:val="002A6380"/>
    <w:rsid w:val="002A7295"/>
    <w:rsid w:val="002A7AD4"/>
    <w:rsid w:val="002B0B67"/>
    <w:rsid w:val="002B21AB"/>
    <w:rsid w:val="002B384B"/>
    <w:rsid w:val="002B3D07"/>
    <w:rsid w:val="002B421F"/>
    <w:rsid w:val="002B43A4"/>
    <w:rsid w:val="002B5931"/>
    <w:rsid w:val="002B5DD4"/>
    <w:rsid w:val="002B5E89"/>
    <w:rsid w:val="002B60E8"/>
    <w:rsid w:val="002B7708"/>
    <w:rsid w:val="002C1039"/>
    <w:rsid w:val="002C127C"/>
    <w:rsid w:val="002C18B1"/>
    <w:rsid w:val="002C1B0A"/>
    <w:rsid w:val="002C1DE6"/>
    <w:rsid w:val="002C22E1"/>
    <w:rsid w:val="002C27BA"/>
    <w:rsid w:val="002C27EC"/>
    <w:rsid w:val="002C3901"/>
    <w:rsid w:val="002C4E1B"/>
    <w:rsid w:val="002C523E"/>
    <w:rsid w:val="002C5B95"/>
    <w:rsid w:val="002C5CE4"/>
    <w:rsid w:val="002C5F23"/>
    <w:rsid w:val="002C6B4B"/>
    <w:rsid w:val="002C7462"/>
    <w:rsid w:val="002C7493"/>
    <w:rsid w:val="002C74C0"/>
    <w:rsid w:val="002C79C4"/>
    <w:rsid w:val="002D388D"/>
    <w:rsid w:val="002D3E64"/>
    <w:rsid w:val="002D4128"/>
    <w:rsid w:val="002D4BA7"/>
    <w:rsid w:val="002D4E7A"/>
    <w:rsid w:val="002E0D3C"/>
    <w:rsid w:val="002E3914"/>
    <w:rsid w:val="002E4C24"/>
    <w:rsid w:val="002E5292"/>
    <w:rsid w:val="002E535D"/>
    <w:rsid w:val="002E5805"/>
    <w:rsid w:val="002E6989"/>
    <w:rsid w:val="002E6B3A"/>
    <w:rsid w:val="002E725B"/>
    <w:rsid w:val="002E78A0"/>
    <w:rsid w:val="002E7ABB"/>
    <w:rsid w:val="002E7FD6"/>
    <w:rsid w:val="002F1BB0"/>
    <w:rsid w:val="002F1FE6"/>
    <w:rsid w:val="002F2ABC"/>
    <w:rsid w:val="002F2C90"/>
    <w:rsid w:val="002F5029"/>
    <w:rsid w:val="002F5D81"/>
    <w:rsid w:val="002F65E0"/>
    <w:rsid w:val="002F7C8E"/>
    <w:rsid w:val="0030076C"/>
    <w:rsid w:val="003009A6"/>
    <w:rsid w:val="003027A0"/>
    <w:rsid w:val="00302857"/>
    <w:rsid w:val="00302BBC"/>
    <w:rsid w:val="003037D4"/>
    <w:rsid w:val="0030406A"/>
    <w:rsid w:val="003050AD"/>
    <w:rsid w:val="00306754"/>
    <w:rsid w:val="003070E3"/>
    <w:rsid w:val="003079F3"/>
    <w:rsid w:val="003101B2"/>
    <w:rsid w:val="00310483"/>
    <w:rsid w:val="00310AE3"/>
    <w:rsid w:val="00312368"/>
    <w:rsid w:val="003125E1"/>
    <w:rsid w:val="003128D5"/>
    <w:rsid w:val="00312FAC"/>
    <w:rsid w:val="0031323D"/>
    <w:rsid w:val="003141F9"/>
    <w:rsid w:val="00314714"/>
    <w:rsid w:val="0031537E"/>
    <w:rsid w:val="00317078"/>
    <w:rsid w:val="00320387"/>
    <w:rsid w:val="003209A1"/>
    <w:rsid w:val="00320A23"/>
    <w:rsid w:val="00320BFF"/>
    <w:rsid w:val="00323668"/>
    <w:rsid w:val="003239F3"/>
    <w:rsid w:val="0032423C"/>
    <w:rsid w:val="003250C4"/>
    <w:rsid w:val="003253BF"/>
    <w:rsid w:val="003272D6"/>
    <w:rsid w:val="003278B0"/>
    <w:rsid w:val="00327BD1"/>
    <w:rsid w:val="00330F43"/>
    <w:rsid w:val="0033175D"/>
    <w:rsid w:val="0033279B"/>
    <w:rsid w:val="00332EEF"/>
    <w:rsid w:val="003343BE"/>
    <w:rsid w:val="0033586B"/>
    <w:rsid w:val="00335A06"/>
    <w:rsid w:val="00340015"/>
    <w:rsid w:val="003400C8"/>
    <w:rsid w:val="003402E4"/>
    <w:rsid w:val="00341B9A"/>
    <w:rsid w:val="0034244F"/>
    <w:rsid w:val="003442A6"/>
    <w:rsid w:val="003455F5"/>
    <w:rsid w:val="0034749D"/>
    <w:rsid w:val="003509D2"/>
    <w:rsid w:val="00351EAE"/>
    <w:rsid w:val="00354336"/>
    <w:rsid w:val="003543E3"/>
    <w:rsid w:val="0035691C"/>
    <w:rsid w:val="00356F95"/>
    <w:rsid w:val="00357CE2"/>
    <w:rsid w:val="00360330"/>
    <w:rsid w:val="00360A78"/>
    <w:rsid w:val="00360EF7"/>
    <w:rsid w:val="00361079"/>
    <w:rsid w:val="003634FB"/>
    <w:rsid w:val="00366CCD"/>
    <w:rsid w:val="00367B36"/>
    <w:rsid w:val="00370224"/>
    <w:rsid w:val="003716CF"/>
    <w:rsid w:val="00372F0E"/>
    <w:rsid w:val="00373F1D"/>
    <w:rsid w:val="003740DC"/>
    <w:rsid w:val="00374A6E"/>
    <w:rsid w:val="00375076"/>
    <w:rsid w:val="00375836"/>
    <w:rsid w:val="0037784F"/>
    <w:rsid w:val="00377EC4"/>
    <w:rsid w:val="00377F18"/>
    <w:rsid w:val="00380E1D"/>
    <w:rsid w:val="003811C6"/>
    <w:rsid w:val="0038123F"/>
    <w:rsid w:val="003819AF"/>
    <w:rsid w:val="00382507"/>
    <w:rsid w:val="0038256C"/>
    <w:rsid w:val="00382AEC"/>
    <w:rsid w:val="0038317D"/>
    <w:rsid w:val="003831F0"/>
    <w:rsid w:val="00383C9C"/>
    <w:rsid w:val="00383D4F"/>
    <w:rsid w:val="003847BC"/>
    <w:rsid w:val="00384C9B"/>
    <w:rsid w:val="00385210"/>
    <w:rsid w:val="003852E3"/>
    <w:rsid w:val="00385CB8"/>
    <w:rsid w:val="0038611C"/>
    <w:rsid w:val="0038614F"/>
    <w:rsid w:val="0038670F"/>
    <w:rsid w:val="00386A36"/>
    <w:rsid w:val="00386D85"/>
    <w:rsid w:val="00386FC5"/>
    <w:rsid w:val="00387476"/>
    <w:rsid w:val="00390C82"/>
    <w:rsid w:val="00390CBC"/>
    <w:rsid w:val="00391366"/>
    <w:rsid w:val="00392784"/>
    <w:rsid w:val="00392D71"/>
    <w:rsid w:val="00392E55"/>
    <w:rsid w:val="0039376F"/>
    <w:rsid w:val="00393859"/>
    <w:rsid w:val="0039552A"/>
    <w:rsid w:val="0039597A"/>
    <w:rsid w:val="00396D25"/>
    <w:rsid w:val="003A01AA"/>
    <w:rsid w:val="003A0993"/>
    <w:rsid w:val="003A1FA9"/>
    <w:rsid w:val="003A26C1"/>
    <w:rsid w:val="003A28D9"/>
    <w:rsid w:val="003A30E1"/>
    <w:rsid w:val="003A3281"/>
    <w:rsid w:val="003A3D4F"/>
    <w:rsid w:val="003A3D83"/>
    <w:rsid w:val="003A45D7"/>
    <w:rsid w:val="003A5714"/>
    <w:rsid w:val="003A5F56"/>
    <w:rsid w:val="003A6263"/>
    <w:rsid w:val="003A62DF"/>
    <w:rsid w:val="003A67CB"/>
    <w:rsid w:val="003A6BAA"/>
    <w:rsid w:val="003A6F07"/>
    <w:rsid w:val="003A7F4A"/>
    <w:rsid w:val="003B0911"/>
    <w:rsid w:val="003B12F6"/>
    <w:rsid w:val="003B1617"/>
    <w:rsid w:val="003B18D5"/>
    <w:rsid w:val="003B19B9"/>
    <w:rsid w:val="003B22DB"/>
    <w:rsid w:val="003B2914"/>
    <w:rsid w:val="003B2C33"/>
    <w:rsid w:val="003B2CB2"/>
    <w:rsid w:val="003B2F27"/>
    <w:rsid w:val="003B4142"/>
    <w:rsid w:val="003B4258"/>
    <w:rsid w:val="003B6E75"/>
    <w:rsid w:val="003C073E"/>
    <w:rsid w:val="003C0F11"/>
    <w:rsid w:val="003C1A3F"/>
    <w:rsid w:val="003C1F15"/>
    <w:rsid w:val="003C21EB"/>
    <w:rsid w:val="003C2C9A"/>
    <w:rsid w:val="003C348D"/>
    <w:rsid w:val="003C3DBA"/>
    <w:rsid w:val="003C3F0A"/>
    <w:rsid w:val="003C427D"/>
    <w:rsid w:val="003C4A0B"/>
    <w:rsid w:val="003C786D"/>
    <w:rsid w:val="003D03D9"/>
    <w:rsid w:val="003D11C9"/>
    <w:rsid w:val="003D17E4"/>
    <w:rsid w:val="003D2A13"/>
    <w:rsid w:val="003D34AC"/>
    <w:rsid w:val="003D4E19"/>
    <w:rsid w:val="003D6B26"/>
    <w:rsid w:val="003D7003"/>
    <w:rsid w:val="003D72B0"/>
    <w:rsid w:val="003D7B8B"/>
    <w:rsid w:val="003D7C66"/>
    <w:rsid w:val="003E0094"/>
    <w:rsid w:val="003E0AAB"/>
    <w:rsid w:val="003E0D28"/>
    <w:rsid w:val="003E10F0"/>
    <w:rsid w:val="003E1329"/>
    <w:rsid w:val="003E14CA"/>
    <w:rsid w:val="003E14F7"/>
    <w:rsid w:val="003E1BB0"/>
    <w:rsid w:val="003E212C"/>
    <w:rsid w:val="003E288E"/>
    <w:rsid w:val="003E289A"/>
    <w:rsid w:val="003E32E7"/>
    <w:rsid w:val="003E4488"/>
    <w:rsid w:val="003E595F"/>
    <w:rsid w:val="003E7090"/>
    <w:rsid w:val="003E77E2"/>
    <w:rsid w:val="003F056C"/>
    <w:rsid w:val="003F05B8"/>
    <w:rsid w:val="003F065A"/>
    <w:rsid w:val="003F0D67"/>
    <w:rsid w:val="003F107F"/>
    <w:rsid w:val="003F16EB"/>
    <w:rsid w:val="003F19CF"/>
    <w:rsid w:val="003F272D"/>
    <w:rsid w:val="003F2B0E"/>
    <w:rsid w:val="003F2C3C"/>
    <w:rsid w:val="003F4414"/>
    <w:rsid w:val="003F51EC"/>
    <w:rsid w:val="003F5628"/>
    <w:rsid w:val="003F59B4"/>
    <w:rsid w:val="003F59BB"/>
    <w:rsid w:val="003F5F68"/>
    <w:rsid w:val="003F62CA"/>
    <w:rsid w:val="003F6B91"/>
    <w:rsid w:val="003F706F"/>
    <w:rsid w:val="003F786B"/>
    <w:rsid w:val="00400314"/>
    <w:rsid w:val="0040048E"/>
    <w:rsid w:val="00400767"/>
    <w:rsid w:val="00400A88"/>
    <w:rsid w:val="0040192F"/>
    <w:rsid w:val="004022DE"/>
    <w:rsid w:val="00402978"/>
    <w:rsid w:val="00402F15"/>
    <w:rsid w:val="00403B97"/>
    <w:rsid w:val="00404FF2"/>
    <w:rsid w:val="004054E6"/>
    <w:rsid w:val="00405679"/>
    <w:rsid w:val="00405847"/>
    <w:rsid w:val="004058C4"/>
    <w:rsid w:val="00406278"/>
    <w:rsid w:val="00406370"/>
    <w:rsid w:val="004068EF"/>
    <w:rsid w:val="00406CA3"/>
    <w:rsid w:val="00406E50"/>
    <w:rsid w:val="00406ED4"/>
    <w:rsid w:val="00410B15"/>
    <w:rsid w:val="004112E6"/>
    <w:rsid w:val="004114BE"/>
    <w:rsid w:val="00411759"/>
    <w:rsid w:val="004121C5"/>
    <w:rsid w:val="00413535"/>
    <w:rsid w:val="00413B8B"/>
    <w:rsid w:val="00413DB5"/>
    <w:rsid w:val="00413DD7"/>
    <w:rsid w:val="00413E98"/>
    <w:rsid w:val="004144F9"/>
    <w:rsid w:val="00415D6F"/>
    <w:rsid w:val="00415F02"/>
    <w:rsid w:val="00416F10"/>
    <w:rsid w:val="00417B03"/>
    <w:rsid w:val="00421284"/>
    <w:rsid w:val="00421AE2"/>
    <w:rsid w:val="00422705"/>
    <w:rsid w:val="0042279F"/>
    <w:rsid w:val="004227E8"/>
    <w:rsid w:val="00422890"/>
    <w:rsid w:val="00422C5A"/>
    <w:rsid w:val="00422D67"/>
    <w:rsid w:val="004230CD"/>
    <w:rsid w:val="00423372"/>
    <w:rsid w:val="00423A29"/>
    <w:rsid w:val="00423E6D"/>
    <w:rsid w:val="00424088"/>
    <w:rsid w:val="004243D1"/>
    <w:rsid w:val="00424793"/>
    <w:rsid w:val="00424DFC"/>
    <w:rsid w:val="00424FCD"/>
    <w:rsid w:val="0042551D"/>
    <w:rsid w:val="00427324"/>
    <w:rsid w:val="00427CAC"/>
    <w:rsid w:val="004300FD"/>
    <w:rsid w:val="0043259E"/>
    <w:rsid w:val="00432869"/>
    <w:rsid w:val="004333F9"/>
    <w:rsid w:val="00433C02"/>
    <w:rsid w:val="00434B7F"/>
    <w:rsid w:val="00434FCE"/>
    <w:rsid w:val="004355D3"/>
    <w:rsid w:val="00435ED9"/>
    <w:rsid w:val="004372C6"/>
    <w:rsid w:val="00437625"/>
    <w:rsid w:val="00437CC4"/>
    <w:rsid w:val="004400FA"/>
    <w:rsid w:val="0044031D"/>
    <w:rsid w:val="00440A64"/>
    <w:rsid w:val="00440D8D"/>
    <w:rsid w:val="00440DFF"/>
    <w:rsid w:val="0044210B"/>
    <w:rsid w:val="00442DF9"/>
    <w:rsid w:val="0044308D"/>
    <w:rsid w:val="00443441"/>
    <w:rsid w:val="00443CA7"/>
    <w:rsid w:val="004449CA"/>
    <w:rsid w:val="00444E62"/>
    <w:rsid w:val="00444FDF"/>
    <w:rsid w:val="00445CF3"/>
    <w:rsid w:val="00445E0A"/>
    <w:rsid w:val="004466FB"/>
    <w:rsid w:val="0044674A"/>
    <w:rsid w:val="00450320"/>
    <w:rsid w:val="00450A90"/>
    <w:rsid w:val="004519B3"/>
    <w:rsid w:val="00452066"/>
    <w:rsid w:val="004539D3"/>
    <w:rsid w:val="00453FB6"/>
    <w:rsid w:val="004541A4"/>
    <w:rsid w:val="00454214"/>
    <w:rsid w:val="0045463F"/>
    <w:rsid w:val="00455508"/>
    <w:rsid w:val="004570C1"/>
    <w:rsid w:val="004600F6"/>
    <w:rsid w:val="00460B4C"/>
    <w:rsid w:val="004621B6"/>
    <w:rsid w:val="004623EA"/>
    <w:rsid w:val="00462DD1"/>
    <w:rsid w:val="00463CC0"/>
    <w:rsid w:val="0046462D"/>
    <w:rsid w:val="00464C7A"/>
    <w:rsid w:val="004653E1"/>
    <w:rsid w:val="00465F57"/>
    <w:rsid w:val="00467016"/>
    <w:rsid w:val="00470393"/>
    <w:rsid w:val="00471B2C"/>
    <w:rsid w:val="00472B8C"/>
    <w:rsid w:val="00472EB3"/>
    <w:rsid w:val="00472F78"/>
    <w:rsid w:val="00473C9D"/>
    <w:rsid w:val="00473EC2"/>
    <w:rsid w:val="00474B3E"/>
    <w:rsid w:val="0047537A"/>
    <w:rsid w:val="00475B04"/>
    <w:rsid w:val="00475DE4"/>
    <w:rsid w:val="0047603F"/>
    <w:rsid w:val="004766D9"/>
    <w:rsid w:val="00476DE6"/>
    <w:rsid w:val="00476F4D"/>
    <w:rsid w:val="00477AD5"/>
    <w:rsid w:val="00477B4F"/>
    <w:rsid w:val="00481033"/>
    <w:rsid w:val="004824CC"/>
    <w:rsid w:val="004832A4"/>
    <w:rsid w:val="004840AB"/>
    <w:rsid w:val="004845D8"/>
    <w:rsid w:val="00484CE0"/>
    <w:rsid w:val="00485613"/>
    <w:rsid w:val="00486851"/>
    <w:rsid w:val="00486AFC"/>
    <w:rsid w:val="00486CD8"/>
    <w:rsid w:val="00486DA4"/>
    <w:rsid w:val="0048701D"/>
    <w:rsid w:val="004878F4"/>
    <w:rsid w:val="00487D29"/>
    <w:rsid w:val="00487F2D"/>
    <w:rsid w:val="00490494"/>
    <w:rsid w:val="004913E6"/>
    <w:rsid w:val="00491C43"/>
    <w:rsid w:val="0049227F"/>
    <w:rsid w:val="004925DA"/>
    <w:rsid w:val="00493749"/>
    <w:rsid w:val="0049550D"/>
    <w:rsid w:val="004956F8"/>
    <w:rsid w:val="00495EE5"/>
    <w:rsid w:val="00496057"/>
    <w:rsid w:val="004966BA"/>
    <w:rsid w:val="00496F0D"/>
    <w:rsid w:val="004978E4"/>
    <w:rsid w:val="004A0544"/>
    <w:rsid w:val="004A0647"/>
    <w:rsid w:val="004A0F32"/>
    <w:rsid w:val="004A1481"/>
    <w:rsid w:val="004A1976"/>
    <w:rsid w:val="004A1ACD"/>
    <w:rsid w:val="004A21CF"/>
    <w:rsid w:val="004A24AC"/>
    <w:rsid w:val="004A3B41"/>
    <w:rsid w:val="004A4189"/>
    <w:rsid w:val="004A4487"/>
    <w:rsid w:val="004A462B"/>
    <w:rsid w:val="004A4C9C"/>
    <w:rsid w:val="004A5622"/>
    <w:rsid w:val="004A5CD9"/>
    <w:rsid w:val="004A5E93"/>
    <w:rsid w:val="004A5FB4"/>
    <w:rsid w:val="004A663C"/>
    <w:rsid w:val="004A72A9"/>
    <w:rsid w:val="004A7349"/>
    <w:rsid w:val="004B0313"/>
    <w:rsid w:val="004B0AB7"/>
    <w:rsid w:val="004B0ED7"/>
    <w:rsid w:val="004B13E9"/>
    <w:rsid w:val="004B1756"/>
    <w:rsid w:val="004B2E08"/>
    <w:rsid w:val="004B31DD"/>
    <w:rsid w:val="004B3663"/>
    <w:rsid w:val="004B378F"/>
    <w:rsid w:val="004B37B9"/>
    <w:rsid w:val="004B3CB6"/>
    <w:rsid w:val="004B42FD"/>
    <w:rsid w:val="004B4AE6"/>
    <w:rsid w:val="004B4F4C"/>
    <w:rsid w:val="004B5025"/>
    <w:rsid w:val="004B6A1F"/>
    <w:rsid w:val="004B6B0F"/>
    <w:rsid w:val="004B6B73"/>
    <w:rsid w:val="004B7033"/>
    <w:rsid w:val="004B703D"/>
    <w:rsid w:val="004B73E1"/>
    <w:rsid w:val="004C0216"/>
    <w:rsid w:val="004C145E"/>
    <w:rsid w:val="004C2044"/>
    <w:rsid w:val="004C232E"/>
    <w:rsid w:val="004C2D16"/>
    <w:rsid w:val="004C395A"/>
    <w:rsid w:val="004C516D"/>
    <w:rsid w:val="004C5FCD"/>
    <w:rsid w:val="004C6D3B"/>
    <w:rsid w:val="004C782C"/>
    <w:rsid w:val="004D0F3C"/>
    <w:rsid w:val="004D2301"/>
    <w:rsid w:val="004D25ED"/>
    <w:rsid w:val="004D2971"/>
    <w:rsid w:val="004D2B18"/>
    <w:rsid w:val="004D2C91"/>
    <w:rsid w:val="004D3230"/>
    <w:rsid w:val="004D3BE4"/>
    <w:rsid w:val="004D4B56"/>
    <w:rsid w:val="004D5CD0"/>
    <w:rsid w:val="004D6461"/>
    <w:rsid w:val="004D6E84"/>
    <w:rsid w:val="004D714B"/>
    <w:rsid w:val="004D7916"/>
    <w:rsid w:val="004D7B0D"/>
    <w:rsid w:val="004D7E52"/>
    <w:rsid w:val="004E1417"/>
    <w:rsid w:val="004E15CE"/>
    <w:rsid w:val="004E40F8"/>
    <w:rsid w:val="004E4704"/>
    <w:rsid w:val="004E6031"/>
    <w:rsid w:val="004E6E10"/>
    <w:rsid w:val="004E7004"/>
    <w:rsid w:val="004F1108"/>
    <w:rsid w:val="004F18E7"/>
    <w:rsid w:val="004F32C1"/>
    <w:rsid w:val="004F419D"/>
    <w:rsid w:val="004F41EF"/>
    <w:rsid w:val="004F4468"/>
    <w:rsid w:val="004F4BD2"/>
    <w:rsid w:val="004F5B4C"/>
    <w:rsid w:val="004F61AA"/>
    <w:rsid w:val="004F662F"/>
    <w:rsid w:val="004F6B66"/>
    <w:rsid w:val="004F6F99"/>
    <w:rsid w:val="004F7EE8"/>
    <w:rsid w:val="00500187"/>
    <w:rsid w:val="00500E43"/>
    <w:rsid w:val="0050208A"/>
    <w:rsid w:val="005020CB"/>
    <w:rsid w:val="00502247"/>
    <w:rsid w:val="005027AB"/>
    <w:rsid w:val="005034CF"/>
    <w:rsid w:val="0050359F"/>
    <w:rsid w:val="00504326"/>
    <w:rsid w:val="00504366"/>
    <w:rsid w:val="00505486"/>
    <w:rsid w:val="00506B5D"/>
    <w:rsid w:val="00506B88"/>
    <w:rsid w:val="00506C06"/>
    <w:rsid w:val="005072C8"/>
    <w:rsid w:val="005077B0"/>
    <w:rsid w:val="00507D26"/>
    <w:rsid w:val="00510006"/>
    <w:rsid w:val="00511BB4"/>
    <w:rsid w:val="005125FA"/>
    <w:rsid w:val="00512D86"/>
    <w:rsid w:val="00513557"/>
    <w:rsid w:val="005137B7"/>
    <w:rsid w:val="00513B80"/>
    <w:rsid w:val="00513C21"/>
    <w:rsid w:val="00514DC0"/>
    <w:rsid w:val="005157FC"/>
    <w:rsid w:val="00516683"/>
    <w:rsid w:val="005169BA"/>
    <w:rsid w:val="0051768E"/>
    <w:rsid w:val="0052173E"/>
    <w:rsid w:val="00521B5A"/>
    <w:rsid w:val="00523197"/>
    <w:rsid w:val="005256EA"/>
    <w:rsid w:val="00525E0D"/>
    <w:rsid w:val="00525ED7"/>
    <w:rsid w:val="0052661D"/>
    <w:rsid w:val="00527689"/>
    <w:rsid w:val="00527A45"/>
    <w:rsid w:val="005301FC"/>
    <w:rsid w:val="00530C56"/>
    <w:rsid w:val="00531287"/>
    <w:rsid w:val="005316F8"/>
    <w:rsid w:val="00531D08"/>
    <w:rsid w:val="00533D46"/>
    <w:rsid w:val="00533EF0"/>
    <w:rsid w:val="00534B2F"/>
    <w:rsid w:val="0053518A"/>
    <w:rsid w:val="00535221"/>
    <w:rsid w:val="005355BB"/>
    <w:rsid w:val="00535756"/>
    <w:rsid w:val="00535C7C"/>
    <w:rsid w:val="00536401"/>
    <w:rsid w:val="005365F7"/>
    <w:rsid w:val="00536CD0"/>
    <w:rsid w:val="00537223"/>
    <w:rsid w:val="00537351"/>
    <w:rsid w:val="00537E0F"/>
    <w:rsid w:val="0054063B"/>
    <w:rsid w:val="005410F2"/>
    <w:rsid w:val="0054129E"/>
    <w:rsid w:val="005417F0"/>
    <w:rsid w:val="00541BAF"/>
    <w:rsid w:val="00542100"/>
    <w:rsid w:val="0054309A"/>
    <w:rsid w:val="00543DD7"/>
    <w:rsid w:val="00543EA0"/>
    <w:rsid w:val="00545012"/>
    <w:rsid w:val="00545752"/>
    <w:rsid w:val="00546E27"/>
    <w:rsid w:val="005472AE"/>
    <w:rsid w:val="00547379"/>
    <w:rsid w:val="0055004C"/>
    <w:rsid w:val="0055089A"/>
    <w:rsid w:val="00550A23"/>
    <w:rsid w:val="00551900"/>
    <w:rsid w:val="00551CA2"/>
    <w:rsid w:val="00552310"/>
    <w:rsid w:val="005531E2"/>
    <w:rsid w:val="00553454"/>
    <w:rsid w:val="005536FB"/>
    <w:rsid w:val="0055371D"/>
    <w:rsid w:val="00556BD3"/>
    <w:rsid w:val="005602FA"/>
    <w:rsid w:val="00560EA4"/>
    <w:rsid w:val="00561501"/>
    <w:rsid w:val="00561B58"/>
    <w:rsid w:val="00561D0D"/>
    <w:rsid w:val="00562422"/>
    <w:rsid w:val="0056339F"/>
    <w:rsid w:val="00563611"/>
    <w:rsid w:val="00564FD5"/>
    <w:rsid w:val="00565F1C"/>
    <w:rsid w:val="00565FA0"/>
    <w:rsid w:val="00566115"/>
    <w:rsid w:val="00570FA5"/>
    <w:rsid w:val="00571491"/>
    <w:rsid w:val="005714A1"/>
    <w:rsid w:val="00572679"/>
    <w:rsid w:val="00572F3D"/>
    <w:rsid w:val="00573677"/>
    <w:rsid w:val="005742EA"/>
    <w:rsid w:val="0057447E"/>
    <w:rsid w:val="00574D93"/>
    <w:rsid w:val="0057557D"/>
    <w:rsid w:val="00575E96"/>
    <w:rsid w:val="005764C1"/>
    <w:rsid w:val="005775E8"/>
    <w:rsid w:val="00580B28"/>
    <w:rsid w:val="00580EE1"/>
    <w:rsid w:val="00583504"/>
    <w:rsid w:val="00583512"/>
    <w:rsid w:val="005838D1"/>
    <w:rsid w:val="00584280"/>
    <w:rsid w:val="00584471"/>
    <w:rsid w:val="005844CB"/>
    <w:rsid w:val="00584DF0"/>
    <w:rsid w:val="00584E62"/>
    <w:rsid w:val="00585213"/>
    <w:rsid w:val="005854F9"/>
    <w:rsid w:val="00585634"/>
    <w:rsid w:val="005857AA"/>
    <w:rsid w:val="00585C6B"/>
    <w:rsid w:val="00585D73"/>
    <w:rsid w:val="0058617A"/>
    <w:rsid w:val="00586C76"/>
    <w:rsid w:val="00586EEC"/>
    <w:rsid w:val="00587332"/>
    <w:rsid w:val="00587D4E"/>
    <w:rsid w:val="0059074A"/>
    <w:rsid w:val="00590A4A"/>
    <w:rsid w:val="00590D87"/>
    <w:rsid w:val="005910E7"/>
    <w:rsid w:val="00591196"/>
    <w:rsid w:val="005916D2"/>
    <w:rsid w:val="0059322E"/>
    <w:rsid w:val="00593295"/>
    <w:rsid w:val="00593D3F"/>
    <w:rsid w:val="00593D4F"/>
    <w:rsid w:val="00594EE1"/>
    <w:rsid w:val="005953CB"/>
    <w:rsid w:val="00595F55"/>
    <w:rsid w:val="005962ED"/>
    <w:rsid w:val="00597289"/>
    <w:rsid w:val="0059767F"/>
    <w:rsid w:val="005978B3"/>
    <w:rsid w:val="00597AD3"/>
    <w:rsid w:val="005A0112"/>
    <w:rsid w:val="005A0146"/>
    <w:rsid w:val="005A0413"/>
    <w:rsid w:val="005A2882"/>
    <w:rsid w:val="005A2A5D"/>
    <w:rsid w:val="005A2ABE"/>
    <w:rsid w:val="005A3368"/>
    <w:rsid w:val="005A3DBE"/>
    <w:rsid w:val="005A4037"/>
    <w:rsid w:val="005A4159"/>
    <w:rsid w:val="005A5836"/>
    <w:rsid w:val="005A61CC"/>
    <w:rsid w:val="005A64B5"/>
    <w:rsid w:val="005A6539"/>
    <w:rsid w:val="005A6957"/>
    <w:rsid w:val="005A6DAB"/>
    <w:rsid w:val="005B0C54"/>
    <w:rsid w:val="005B0F49"/>
    <w:rsid w:val="005B0F8C"/>
    <w:rsid w:val="005B11D8"/>
    <w:rsid w:val="005B21F3"/>
    <w:rsid w:val="005B277A"/>
    <w:rsid w:val="005B29F2"/>
    <w:rsid w:val="005B2B75"/>
    <w:rsid w:val="005B3731"/>
    <w:rsid w:val="005B4F00"/>
    <w:rsid w:val="005B628F"/>
    <w:rsid w:val="005B77E7"/>
    <w:rsid w:val="005C057B"/>
    <w:rsid w:val="005C1413"/>
    <w:rsid w:val="005C148D"/>
    <w:rsid w:val="005C22F6"/>
    <w:rsid w:val="005C2B0F"/>
    <w:rsid w:val="005C3075"/>
    <w:rsid w:val="005C3585"/>
    <w:rsid w:val="005C361A"/>
    <w:rsid w:val="005C3927"/>
    <w:rsid w:val="005C3DFF"/>
    <w:rsid w:val="005C4344"/>
    <w:rsid w:val="005C5468"/>
    <w:rsid w:val="005C571E"/>
    <w:rsid w:val="005C63DB"/>
    <w:rsid w:val="005C7296"/>
    <w:rsid w:val="005D002A"/>
    <w:rsid w:val="005D0276"/>
    <w:rsid w:val="005D0ADF"/>
    <w:rsid w:val="005D14CF"/>
    <w:rsid w:val="005D2225"/>
    <w:rsid w:val="005D2CF1"/>
    <w:rsid w:val="005D35B1"/>
    <w:rsid w:val="005D3739"/>
    <w:rsid w:val="005D4D0D"/>
    <w:rsid w:val="005D52A6"/>
    <w:rsid w:val="005D5361"/>
    <w:rsid w:val="005D56EF"/>
    <w:rsid w:val="005D59EF"/>
    <w:rsid w:val="005D6172"/>
    <w:rsid w:val="005D617A"/>
    <w:rsid w:val="005D6D45"/>
    <w:rsid w:val="005D7C3D"/>
    <w:rsid w:val="005E1874"/>
    <w:rsid w:val="005E1BA9"/>
    <w:rsid w:val="005E2133"/>
    <w:rsid w:val="005E2DF1"/>
    <w:rsid w:val="005E2E94"/>
    <w:rsid w:val="005E5187"/>
    <w:rsid w:val="005E5C62"/>
    <w:rsid w:val="005E6BC5"/>
    <w:rsid w:val="005F0258"/>
    <w:rsid w:val="005F03FF"/>
    <w:rsid w:val="005F04ED"/>
    <w:rsid w:val="005F066F"/>
    <w:rsid w:val="005F0F3C"/>
    <w:rsid w:val="005F2A82"/>
    <w:rsid w:val="005F2BF2"/>
    <w:rsid w:val="005F3381"/>
    <w:rsid w:val="005F3BB7"/>
    <w:rsid w:val="005F3E94"/>
    <w:rsid w:val="005F4C6E"/>
    <w:rsid w:val="005F534D"/>
    <w:rsid w:val="005F5C73"/>
    <w:rsid w:val="005F6223"/>
    <w:rsid w:val="005F7314"/>
    <w:rsid w:val="005F7693"/>
    <w:rsid w:val="005F7843"/>
    <w:rsid w:val="00600A74"/>
    <w:rsid w:val="00601F90"/>
    <w:rsid w:val="00603935"/>
    <w:rsid w:val="006039C0"/>
    <w:rsid w:val="0060401F"/>
    <w:rsid w:val="006043EA"/>
    <w:rsid w:val="00604461"/>
    <w:rsid w:val="00604A49"/>
    <w:rsid w:val="00604F99"/>
    <w:rsid w:val="006056F4"/>
    <w:rsid w:val="00606101"/>
    <w:rsid w:val="00606EA3"/>
    <w:rsid w:val="00606ECD"/>
    <w:rsid w:val="00607E40"/>
    <w:rsid w:val="00610C3C"/>
    <w:rsid w:val="00610C9D"/>
    <w:rsid w:val="00610CEA"/>
    <w:rsid w:val="00614E8C"/>
    <w:rsid w:val="00615132"/>
    <w:rsid w:val="006167D2"/>
    <w:rsid w:val="00617159"/>
    <w:rsid w:val="0061746E"/>
    <w:rsid w:val="00617827"/>
    <w:rsid w:val="00620F5F"/>
    <w:rsid w:val="00621BFA"/>
    <w:rsid w:val="00622670"/>
    <w:rsid w:val="00622E88"/>
    <w:rsid w:val="00622FAF"/>
    <w:rsid w:val="006240D0"/>
    <w:rsid w:val="00624843"/>
    <w:rsid w:val="006258BE"/>
    <w:rsid w:val="00625A46"/>
    <w:rsid w:val="006261F9"/>
    <w:rsid w:val="00626597"/>
    <w:rsid w:val="00626B17"/>
    <w:rsid w:val="006271ED"/>
    <w:rsid w:val="006272CB"/>
    <w:rsid w:val="00630083"/>
    <w:rsid w:val="00630420"/>
    <w:rsid w:val="00630E74"/>
    <w:rsid w:val="00631B4B"/>
    <w:rsid w:val="006323E7"/>
    <w:rsid w:val="0063314A"/>
    <w:rsid w:val="006335FA"/>
    <w:rsid w:val="00633AF0"/>
    <w:rsid w:val="00634847"/>
    <w:rsid w:val="00634A43"/>
    <w:rsid w:val="00635430"/>
    <w:rsid w:val="00635500"/>
    <w:rsid w:val="006356AF"/>
    <w:rsid w:val="00636231"/>
    <w:rsid w:val="0063749E"/>
    <w:rsid w:val="00640445"/>
    <w:rsid w:val="006405EF"/>
    <w:rsid w:val="00640AB5"/>
    <w:rsid w:val="00640D4B"/>
    <w:rsid w:val="00641F96"/>
    <w:rsid w:val="00642BB6"/>
    <w:rsid w:val="00642EB3"/>
    <w:rsid w:val="00644908"/>
    <w:rsid w:val="00645CB8"/>
    <w:rsid w:val="00645DBD"/>
    <w:rsid w:val="00646309"/>
    <w:rsid w:val="0064633A"/>
    <w:rsid w:val="0064721C"/>
    <w:rsid w:val="00647324"/>
    <w:rsid w:val="0064758B"/>
    <w:rsid w:val="00647A50"/>
    <w:rsid w:val="0065075B"/>
    <w:rsid w:val="00650DC8"/>
    <w:rsid w:val="00651324"/>
    <w:rsid w:val="00651B26"/>
    <w:rsid w:val="00651CC3"/>
    <w:rsid w:val="00652190"/>
    <w:rsid w:val="006527AD"/>
    <w:rsid w:val="00652EB0"/>
    <w:rsid w:val="00654BC0"/>
    <w:rsid w:val="00657564"/>
    <w:rsid w:val="0065787B"/>
    <w:rsid w:val="0065787D"/>
    <w:rsid w:val="006600B4"/>
    <w:rsid w:val="0066053B"/>
    <w:rsid w:val="00660B6E"/>
    <w:rsid w:val="0066110A"/>
    <w:rsid w:val="0066259F"/>
    <w:rsid w:val="00662771"/>
    <w:rsid w:val="00662CA6"/>
    <w:rsid w:val="00662DB8"/>
    <w:rsid w:val="00663737"/>
    <w:rsid w:val="00663DAF"/>
    <w:rsid w:val="006647A8"/>
    <w:rsid w:val="00664E1A"/>
    <w:rsid w:val="006656CA"/>
    <w:rsid w:val="00665A2C"/>
    <w:rsid w:val="006661D1"/>
    <w:rsid w:val="0066634F"/>
    <w:rsid w:val="006663A7"/>
    <w:rsid w:val="006675AD"/>
    <w:rsid w:val="006711CB"/>
    <w:rsid w:val="00671244"/>
    <w:rsid w:val="00671E56"/>
    <w:rsid w:val="00671E91"/>
    <w:rsid w:val="00672EA7"/>
    <w:rsid w:val="0067356D"/>
    <w:rsid w:val="00673D15"/>
    <w:rsid w:val="006741E3"/>
    <w:rsid w:val="006742F7"/>
    <w:rsid w:val="0067477C"/>
    <w:rsid w:val="00674A5C"/>
    <w:rsid w:val="00674CD5"/>
    <w:rsid w:val="0067564C"/>
    <w:rsid w:val="0067565E"/>
    <w:rsid w:val="00675CB0"/>
    <w:rsid w:val="006760A1"/>
    <w:rsid w:val="00676B5A"/>
    <w:rsid w:val="0067726B"/>
    <w:rsid w:val="00677485"/>
    <w:rsid w:val="00677525"/>
    <w:rsid w:val="00677E74"/>
    <w:rsid w:val="0068040C"/>
    <w:rsid w:val="00680479"/>
    <w:rsid w:val="00681E9A"/>
    <w:rsid w:val="00682D0F"/>
    <w:rsid w:val="00683B7C"/>
    <w:rsid w:val="00683BA5"/>
    <w:rsid w:val="0068452D"/>
    <w:rsid w:val="006848B3"/>
    <w:rsid w:val="00684AB2"/>
    <w:rsid w:val="00685089"/>
    <w:rsid w:val="00685BF2"/>
    <w:rsid w:val="00691841"/>
    <w:rsid w:val="00691EAB"/>
    <w:rsid w:val="00692161"/>
    <w:rsid w:val="00692C1F"/>
    <w:rsid w:val="006935F1"/>
    <w:rsid w:val="00694538"/>
    <w:rsid w:val="00696715"/>
    <w:rsid w:val="0069748F"/>
    <w:rsid w:val="00697526"/>
    <w:rsid w:val="006A0C50"/>
    <w:rsid w:val="006A12F0"/>
    <w:rsid w:val="006A1E7A"/>
    <w:rsid w:val="006A21A6"/>
    <w:rsid w:val="006A2CD7"/>
    <w:rsid w:val="006A3BD8"/>
    <w:rsid w:val="006A3BE3"/>
    <w:rsid w:val="006A3C9A"/>
    <w:rsid w:val="006A3D8F"/>
    <w:rsid w:val="006A4E83"/>
    <w:rsid w:val="006A4F00"/>
    <w:rsid w:val="006A5049"/>
    <w:rsid w:val="006A54C2"/>
    <w:rsid w:val="006A59BF"/>
    <w:rsid w:val="006A5A00"/>
    <w:rsid w:val="006A5BDC"/>
    <w:rsid w:val="006A6AF0"/>
    <w:rsid w:val="006A6C33"/>
    <w:rsid w:val="006B23D8"/>
    <w:rsid w:val="006B2936"/>
    <w:rsid w:val="006B29C2"/>
    <w:rsid w:val="006B2CE1"/>
    <w:rsid w:val="006B3029"/>
    <w:rsid w:val="006B443D"/>
    <w:rsid w:val="006B4982"/>
    <w:rsid w:val="006B5996"/>
    <w:rsid w:val="006B5CAA"/>
    <w:rsid w:val="006B5D2B"/>
    <w:rsid w:val="006B6757"/>
    <w:rsid w:val="006B685C"/>
    <w:rsid w:val="006B6946"/>
    <w:rsid w:val="006B725A"/>
    <w:rsid w:val="006C39B5"/>
    <w:rsid w:val="006C480E"/>
    <w:rsid w:val="006C4A75"/>
    <w:rsid w:val="006C4F6C"/>
    <w:rsid w:val="006C5AE0"/>
    <w:rsid w:val="006C6A1C"/>
    <w:rsid w:val="006C6C52"/>
    <w:rsid w:val="006C7167"/>
    <w:rsid w:val="006D0738"/>
    <w:rsid w:val="006D0C32"/>
    <w:rsid w:val="006D1ABD"/>
    <w:rsid w:val="006D3F7E"/>
    <w:rsid w:val="006D40AB"/>
    <w:rsid w:val="006D59C9"/>
    <w:rsid w:val="006D737B"/>
    <w:rsid w:val="006D78B8"/>
    <w:rsid w:val="006E0078"/>
    <w:rsid w:val="006E0216"/>
    <w:rsid w:val="006E021A"/>
    <w:rsid w:val="006E0B69"/>
    <w:rsid w:val="006E14B1"/>
    <w:rsid w:val="006E1851"/>
    <w:rsid w:val="006E1961"/>
    <w:rsid w:val="006E1CCF"/>
    <w:rsid w:val="006E1E46"/>
    <w:rsid w:val="006E24F6"/>
    <w:rsid w:val="006E2DE9"/>
    <w:rsid w:val="006E30C1"/>
    <w:rsid w:val="006E427C"/>
    <w:rsid w:val="006E5F60"/>
    <w:rsid w:val="006E67DC"/>
    <w:rsid w:val="006E69F3"/>
    <w:rsid w:val="006F097A"/>
    <w:rsid w:val="006F1F96"/>
    <w:rsid w:val="006F24B7"/>
    <w:rsid w:val="006F2CCC"/>
    <w:rsid w:val="006F440D"/>
    <w:rsid w:val="006F4940"/>
    <w:rsid w:val="006F4FFD"/>
    <w:rsid w:val="006F5971"/>
    <w:rsid w:val="006F636B"/>
    <w:rsid w:val="006F701C"/>
    <w:rsid w:val="006F7184"/>
    <w:rsid w:val="006F74E8"/>
    <w:rsid w:val="006F7E44"/>
    <w:rsid w:val="007016A3"/>
    <w:rsid w:val="007019B6"/>
    <w:rsid w:val="00701AE4"/>
    <w:rsid w:val="00701DA7"/>
    <w:rsid w:val="00702BB0"/>
    <w:rsid w:val="00703ACA"/>
    <w:rsid w:val="0070456C"/>
    <w:rsid w:val="007047A5"/>
    <w:rsid w:val="00704C84"/>
    <w:rsid w:val="00706228"/>
    <w:rsid w:val="007067FD"/>
    <w:rsid w:val="00706C53"/>
    <w:rsid w:val="00707271"/>
    <w:rsid w:val="00707682"/>
    <w:rsid w:val="00710D87"/>
    <w:rsid w:val="00710FBA"/>
    <w:rsid w:val="00711ADD"/>
    <w:rsid w:val="00712424"/>
    <w:rsid w:val="00712583"/>
    <w:rsid w:val="00712B2F"/>
    <w:rsid w:val="00712DD6"/>
    <w:rsid w:val="007133F0"/>
    <w:rsid w:val="00713D45"/>
    <w:rsid w:val="00714440"/>
    <w:rsid w:val="00714A77"/>
    <w:rsid w:val="00714B8C"/>
    <w:rsid w:val="00714C52"/>
    <w:rsid w:val="0071539C"/>
    <w:rsid w:val="0071556F"/>
    <w:rsid w:val="007158CF"/>
    <w:rsid w:val="007176AB"/>
    <w:rsid w:val="00721AC8"/>
    <w:rsid w:val="00721BD2"/>
    <w:rsid w:val="00721D65"/>
    <w:rsid w:val="00722595"/>
    <w:rsid w:val="007236AB"/>
    <w:rsid w:val="00723777"/>
    <w:rsid w:val="00724427"/>
    <w:rsid w:val="00724C88"/>
    <w:rsid w:val="00725366"/>
    <w:rsid w:val="00725F0A"/>
    <w:rsid w:val="007276B2"/>
    <w:rsid w:val="007278B8"/>
    <w:rsid w:val="0073014F"/>
    <w:rsid w:val="007303EC"/>
    <w:rsid w:val="0073043E"/>
    <w:rsid w:val="00730BC3"/>
    <w:rsid w:val="007313D6"/>
    <w:rsid w:val="007319EA"/>
    <w:rsid w:val="00731BD6"/>
    <w:rsid w:val="007325DA"/>
    <w:rsid w:val="00733608"/>
    <w:rsid w:val="00733C5A"/>
    <w:rsid w:val="00734261"/>
    <w:rsid w:val="0073432B"/>
    <w:rsid w:val="0073513E"/>
    <w:rsid w:val="0073521E"/>
    <w:rsid w:val="007352AB"/>
    <w:rsid w:val="00735E5E"/>
    <w:rsid w:val="007363AB"/>
    <w:rsid w:val="007370BA"/>
    <w:rsid w:val="00737936"/>
    <w:rsid w:val="00740349"/>
    <w:rsid w:val="007404D5"/>
    <w:rsid w:val="0074076D"/>
    <w:rsid w:val="007412EF"/>
    <w:rsid w:val="007413BF"/>
    <w:rsid w:val="0074140B"/>
    <w:rsid w:val="00741761"/>
    <w:rsid w:val="00741A4B"/>
    <w:rsid w:val="00742483"/>
    <w:rsid w:val="00743059"/>
    <w:rsid w:val="007431B8"/>
    <w:rsid w:val="00743B72"/>
    <w:rsid w:val="00743C14"/>
    <w:rsid w:val="00743D3B"/>
    <w:rsid w:val="00744B04"/>
    <w:rsid w:val="00744F97"/>
    <w:rsid w:val="0074517A"/>
    <w:rsid w:val="007453AA"/>
    <w:rsid w:val="0074735C"/>
    <w:rsid w:val="0074754B"/>
    <w:rsid w:val="00747E49"/>
    <w:rsid w:val="00750A82"/>
    <w:rsid w:val="00750CD9"/>
    <w:rsid w:val="00751770"/>
    <w:rsid w:val="007522CF"/>
    <w:rsid w:val="00752437"/>
    <w:rsid w:val="00752551"/>
    <w:rsid w:val="007530DC"/>
    <w:rsid w:val="00754457"/>
    <w:rsid w:val="0075559D"/>
    <w:rsid w:val="00755672"/>
    <w:rsid w:val="00755AA0"/>
    <w:rsid w:val="00755AC4"/>
    <w:rsid w:val="007561F8"/>
    <w:rsid w:val="0075681D"/>
    <w:rsid w:val="007601A6"/>
    <w:rsid w:val="00760323"/>
    <w:rsid w:val="007604B2"/>
    <w:rsid w:val="00761777"/>
    <w:rsid w:val="00761B1C"/>
    <w:rsid w:val="00762AD7"/>
    <w:rsid w:val="00762DEC"/>
    <w:rsid w:val="00763001"/>
    <w:rsid w:val="0076300D"/>
    <w:rsid w:val="00763020"/>
    <w:rsid w:val="00763908"/>
    <w:rsid w:val="007639FD"/>
    <w:rsid w:val="00764703"/>
    <w:rsid w:val="007651E0"/>
    <w:rsid w:val="00765D13"/>
    <w:rsid w:val="0076710C"/>
    <w:rsid w:val="00767C77"/>
    <w:rsid w:val="007704DE"/>
    <w:rsid w:val="007711B4"/>
    <w:rsid w:val="00772ACC"/>
    <w:rsid w:val="00772BBA"/>
    <w:rsid w:val="00772FA7"/>
    <w:rsid w:val="007739C1"/>
    <w:rsid w:val="00774AB2"/>
    <w:rsid w:val="00775993"/>
    <w:rsid w:val="0077606B"/>
    <w:rsid w:val="007760BC"/>
    <w:rsid w:val="007768C2"/>
    <w:rsid w:val="00777E20"/>
    <w:rsid w:val="00777F5F"/>
    <w:rsid w:val="007802C9"/>
    <w:rsid w:val="007811B4"/>
    <w:rsid w:val="007838B0"/>
    <w:rsid w:val="0078485B"/>
    <w:rsid w:val="00784CFB"/>
    <w:rsid w:val="0078561F"/>
    <w:rsid w:val="00785623"/>
    <w:rsid w:val="007857F0"/>
    <w:rsid w:val="00785802"/>
    <w:rsid w:val="00786051"/>
    <w:rsid w:val="00786C3C"/>
    <w:rsid w:val="0078758F"/>
    <w:rsid w:val="00790527"/>
    <w:rsid w:val="00790749"/>
    <w:rsid w:val="00791427"/>
    <w:rsid w:val="0079171D"/>
    <w:rsid w:val="00792290"/>
    <w:rsid w:val="00792B9B"/>
    <w:rsid w:val="00794EC9"/>
    <w:rsid w:val="0079555E"/>
    <w:rsid w:val="007961F0"/>
    <w:rsid w:val="00796F1C"/>
    <w:rsid w:val="007A2623"/>
    <w:rsid w:val="007A2B43"/>
    <w:rsid w:val="007A3BC3"/>
    <w:rsid w:val="007A5A2D"/>
    <w:rsid w:val="007A5D9D"/>
    <w:rsid w:val="007A6EB0"/>
    <w:rsid w:val="007A7AA6"/>
    <w:rsid w:val="007B0398"/>
    <w:rsid w:val="007B0E82"/>
    <w:rsid w:val="007B2248"/>
    <w:rsid w:val="007B3A4B"/>
    <w:rsid w:val="007B4790"/>
    <w:rsid w:val="007B626E"/>
    <w:rsid w:val="007B63BB"/>
    <w:rsid w:val="007B6A9C"/>
    <w:rsid w:val="007B6B26"/>
    <w:rsid w:val="007B7AA5"/>
    <w:rsid w:val="007B7B6C"/>
    <w:rsid w:val="007C1BE6"/>
    <w:rsid w:val="007C2ECB"/>
    <w:rsid w:val="007C3086"/>
    <w:rsid w:val="007C34A1"/>
    <w:rsid w:val="007C3854"/>
    <w:rsid w:val="007C38FA"/>
    <w:rsid w:val="007C451A"/>
    <w:rsid w:val="007C4919"/>
    <w:rsid w:val="007C4D74"/>
    <w:rsid w:val="007C621D"/>
    <w:rsid w:val="007C660F"/>
    <w:rsid w:val="007D0541"/>
    <w:rsid w:val="007D0757"/>
    <w:rsid w:val="007D09C0"/>
    <w:rsid w:val="007D0C84"/>
    <w:rsid w:val="007D0F4B"/>
    <w:rsid w:val="007D12AA"/>
    <w:rsid w:val="007D1533"/>
    <w:rsid w:val="007D1C4A"/>
    <w:rsid w:val="007D1F51"/>
    <w:rsid w:val="007D215E"/>
    <w:rsid w:val="007D35EB"/>
    <w:rsid w:val="007D5988"/>
    <w:rsid w:val="007D6112"/>
    <w:rsid w:val="007E0A48"/>
    <w:rsid w:val="007E1570"/>
    <w:rsid w:val="007E26CA"/>
    <w:rsid w:val="007E2E96"/>
    <w:rsid w:val="007E305D"/>
    <w:rsid w:val="007E38CF"/>
    <w:rsid w:val="007E3C9A"/>
    <w:rsid w:val="007E425B"/>
    <w:rsid w:val="007E4D3B"/>
    <w:rsid w:val="007E57B6"/>
    <w:rsid w:val="007E666F"/>
    <w:rsid w:val="007E79C2"/>
    <w:rsid w:val="007E7A4B"/>
    <w:rsid w:val="007E7E19"/>
    <w:rsid w:val="007F01F1"/>
    <w:rsid w:val="007F0871"/>
    <w:rsid w:val="007F0FE0"/>
    <w:rsid w:val="007F1DE4"/>
    <w:rsid w:val="007F25BB"/>
    <w:rsid w:val="007F298F"/>
    <w:rsid w:val="007F3444"/>
    <w:rsid w:val="007F35FB"/>
    <w:rsid w:val="007F3B06"/>
    <w:rsid w:val="007F3C20"/>
    <w:rsid w:val="007F426D"/>
    <w:rsid w:val="007F441A"/>
    <w:rsid w:val="007F444E"/>
    <w:rsid w:val="007F49F0"/>
    <w:rsid w:val="007F5D7D"/>
    <w:rsid w:val="007F6BCE"/>
    <w:rsid w:val="007F772F"/>
    <w:rsid w:val="007F7F63"/>
    <w:rsid w:val="00800362"/>
    <w:rsid w:val="00801299"/>
    <w:rsid w:val="0080136B"/>
    <w:rsid w:val="008016C4"/>
    <w:rsid w:val="00801DDF"/>
    <w:rsid w:val="00802E8E"/>
    <w:rsid w:val="008039EE"/>
    <w:rsid w:val="00806964"/>
    <w:rsid w:val="00806ACA"/>
    <w:rsid w:val="00806B19"/>
    <w:rsid w:val="00806B3A"/>
    <w:rsid w:val="00806C9B"/>
    <w:rsid w:val="00807621"/>
    <w:rsid w:val="00810778"/>
    <w:rsid w:val="00810B64"/>
    <w:rsid w:val="008115DC"/>
    <w:rsid w:val="008120FE"/>
    <w:rsid w:val="00812436"/>
    <w:rsid w:val="00812593"/>
    <w:rsid w:val="00812658"/>
    <w:rsid w:val="00812F84"/>
    <w:rsid w:val="00812FF5"/>
    <w:rsid w:val="008137CF"/>
    <w:rsid w:val="00814590"/>
    <w:rsid w:val="008162B6"/>
    <w:rsid w:val="008164EE"/>
    <w:rsid w:val="008167BA"/>
    <w:rsid w:val="0081682D"/>
    <w:rsid w:val="00816ECC"/>
    <w:rsid w:val="00817169"/>
    <w:rsid w:val="008176BD"/>
    <w:rsid w:val="0081793C"/>
    <w:rsid w:val="008201A6"/>
    <w:rsid w:val="00820595"/>
    <w:rsid w:val="008228F0"/>
    <w:rsid w:val="00822EAA"/>
    <w:rsid w:val="00823358"/>
    <w:rsid w:val="00823468"/>
    <w:rsid w:val="0082363F"/>
    <w:rsid w:val="00823A18"/>
    <w:rsid w:val="00823BE4"/>
    <w:rsid w:val="00823C62"/>
    <w:rsid w:val="008243DF"/>
    <w:rsid w:val="008249CF"/>
    <w:rsid w:val="00825B9A"/>
    <w:rsid w:val="00825ED0"/>
    <w:rsid w:val="00826234"/>
    <w:rsid w:val="00826DB9"/>
    <w:rsid w:val="008270AD"/>
    <w:rsid w:val="00827F5F"/>
    <w:rsid w:val="00830292"/>
    <w:rsid w:val="008320C7"/>
    <w:rsid w:val="008324EB"/>
    <w:rsid w:val="008327D0"/>
    <w:rsid w:val="0083540B"/>
    <w:rsid w:val="00835690"/>
    <w:rsid w:val="008357F9"/>
    <w:rsid w:val="00836D21"/>
    <w:rsid w:val="008400A8"/>
    <w:rsid w:val="008402DA"/>
    <w:rsid w:val="00840442"/>
    <w:rsid w:val="008404BB"/>
    <w:rsid w:val="008409B2"/>
    <w:rsid w:val="00840B43"/>
    <w:rsid w:val="00842F22"/>
    <w:rsid w:val="008432EB"/>
    <w:rsid w:val="00843493"/>
    <w:rsid w:val="0084418D"/>
    <w:rsid w:val="00845148"/>
    <w:rsid w:val="00845C07"/>
    <w:rsid w:val="00845CCE"/>
    <w:rsid w:val="00846B5B"/>
    <w:rsid w:val="00846C21"/>
    <w:rsid w:val="008506D3"/>
    <w:rsid w:val="0085093F"/>
    <w:rsid w:val="008509A9"/>
    <w:rsid w:val="00850E9E"/>
    <w:rsid w:val="00851410"/>
    <w:rsid w:val="00852C9A"/>
    <w:rsid w:val="0085302D"/>
    <w:rsid w:val="00853280"/>
    <w:rsid w:val="008540A1"/>
    <w:rsid w:val="0085441D"/>
    <w:rsid w:val="008547DC"/>
    <w:rsid w:val="008553FE"/>
    <w:rsid w:val="00855594"/>
    <w:rsid w:val="00855C5C"/>
    <w:rsid w:val="008564F9"/>
    <w:rsid w:val="0085690E"/>
    <w:rsid w:val="00857A5E"/>
    <w:rsid w:val="00860383"/>
    <w:rsid w:val="00860ADB"/>
    <w:rsid w:val="00861A53"/>
    <w:rsid w:val="00861AD1"/>
    <w:rsid w:val="0086211F"/>
    <w:rsid w:val="0086220E"/>
    <w:rsid w:val="0086249C"/>
    <w:rsid w:val="00862924"/>
    <w:rsid w:val="0086465F"/>
    <w:rsid w:val="00864F8C"/>
    <w:rsid w:val="00865217"/>
    <w:rsid w:val="00865A5B"/>
    <w:rsid w:val="00865D5A"/>
    <w:rsid w:val="00865E0A"/>
    <w:rsid w:val="0086657A"/>
    <w:rsid w:val="0086708A"/>
    <w:rsid w:val="0086747B"/>
    <w:rsid w:val="00867CCC"/>
    <w:rsid w:val="00867E4F"/>
    <w:rsid w:val="008700BA"/>
    <w:rsid w:val="008707E0"/>
    <w:rsid w:val="00871431"/>
    <w:rsid w:val="008718BE"/>
    <w:rsid w:val="00871ABE"/>
    <w:rsid w:val="0087212B"/>
    <w:rsid w:val="0087238F"/>
    <w:rsid w:val="00872662"/>
    <w:rsid w:val="00872A58"/>
    <w:rsid w:val="00872CDB"/>
    <w:rsid w:val="00873C38"/>
    <w:rsid w:val="0087404F"/>
    <w:rsid w:val="00874938"/>
    <w:rsid w:val="00874FB7"/>
    <w:rsid w:val="00875359"/>
    <w:rsid w:val="00875687"/>
    <w:rsid w:val="0087578D"/>
    <w:rsid w:val="008761CD"/>
    <w:rsid w:val="00876B40"/>
    <w:rsid w:val="00876C6B"/>
    <w:rsid w:val="00876F76"/>
    <w:rsid w:val="0088021D"/>
    <w:rsid w:val="00880C69"/>
    <w:rsid w:val="00881CE0"/>
    <w:rsid w:val="00882132"/>
    <w:rsid w:val="0088308B"/>
    <w:rsid w:val="008843DB"/>
    <w:rsid w:val="00884CDF"/>
    <w:rsid w:val="0088699A"/>
    <w:rsid w:val="008909C0"/>
    <w:rsid w:val="008916B9"/>
    <w:rsid w:val="008920FD"/>
    <w:rsid w:val="0089389C"/>
    <w:rsid w:val="00895D05"/>
    <w:rsid w:val="008967E1"/>
    <w:rsid w:val="00896DE0"/>
    <w:rsid w:val="00897AF8"/>
    <w:rsid w:val="008A0EB8"/>
    <w:rsid w:val="008A0F80"/>
    <w:rsid w:val="008A13D7"/>
    <w:rsid w:val="008A22E0"/>
    <w:rsid w:val="008A3440"/>
    <w:rsid w:val="008A4BC4"/>
    <w:rsid w:val="008A4D14"/>
    <w:rsid w:val="008A5973"/>
    <w:rsid w:val="008A5ED4"/>
    <w:rsid w:val="008A7B1E"/>
    <w:rsid w:val="008B1788"/>
    <w:rsid w:val="008B18A5"/>
    <w:rsid w:val="008B2834"/>
    <w:rsid w:val="008B347B"/>
    <w:rsid w:val="008B3B52"/>
    <w:rsid w:val="008B484B"/>
    <w:rsid w:val="008B4D28"/>
    <w:rsid w:val="008B4D64"/>
    <w:rsid w:val="008B60F4"/>
    <w:rsid w:val="008B6157"/>
    <w:rsid w:val="008B6864"/>
    <w:rsid w:val="008B6CB3"/>
    <w:rsid w:val="008B71AC"/>
    <w:rsid w:val="008B7354"/>
    <w:rsid w:val="008C092C"/>
    <w:rsid w:val="008C12F0"/>
    <w:rsid w:val="008C15C6"/>
    <w:rsid w:val="008C1D35"/>
    <w:rsid w:val="008C1DE4"/>
    <w:rsid w:val="008C1FE8"/>
    <w:rsid w:val="008C2066"/>
    <w:rsid w:val="008C21D0"/>
    <w:rsid w:val="008C22AB"/>
    <w:rsid w:val="008C262D"/>
    <w:rsid w:val="008C2CC2"/>
    <w:rsid w:val="008C2EE1"/>
    <w:rsid w:val="008C4D3F"/>
    <w:rsid w:val="008C60B2"/>
    <w:rsid w:val="008C7688"/>
    <w:rsid w:val="008C7697"/>
    <w:rsid w:val="008C76E9"/>
    <w:rsid w:val="008D04BB"/>
    <w:rsid w:val="008D0A57"/>
    <w:rsid w:val="008D0E88"/>
    <w:rsid w:val="008D167B"/>
    <w:rsid w:val="008D2676"/>
    <w:rsid w:val="008D30ED"/>
    <w:rsid w:val="008D4D6C"/>
    <w:rsid w:val="008D5146"/>
    <w:rsid w:val="008D51DB"/>
    <w:rsid w:val="008D5832"/>
    <w:rsid w:val="008D5DBF"/>
    <w:rsid w:val="008D6295"/>
    <w:rsid w:val="008D63E4"/>
    <w:rsid w:val="008D648D"/>
    <w:rsid w:val="008D6F1E"/>
    <w:rsid w:val="008D6F74"/>
    <w:rsid w:val="008D728E"/>
    <w:rsid w:val="008D7C93"/>
    <w:rsid w:val="008E1547"/>
    <w:rsid w:val="008E1C64"/>
    <w:rsid w:val="008E1E11"/>
    <w:rsid w:val="008E2268"/>
    <w:rsid w:val="008E22BB"/>
    <w:rsid w:val="008E3377"/>
    <w:rsid w:val="008E4E94"/>
    <w:rsid w:val="008E615B"/>
    <w:rsid w:val="008E6554"/>
    <w:rsid w:val="008E6691"/>
    <w:rsid w:val="008E7316"/>
    <w:rsid w:val="008E75B2"/>
    <w:rsid w:val="008E77EE"/>
    <w:rsid w:val="008E7A42"/>
    <w:rsid w:val="008F123A"/>
    <w:rsid w:val="008F1904"/>
    <w:rsid w:val="008F1910"/>
    <w:rsid w:val="008F1BFF"/>
    <w:rsid w:val="008F2602"/>
    <w:rsid w:val="008F4444"/>
    <w:rsid w:val="008F4925"/>
    <w:rsid w:val="008F51DE"/>
    <w:rsid w:val="008F57DE"/>
    <w:rsid w:val="008F5D69"/>
    <w:rsid w:val="008F66C0"/>
    <w:rsid w:val="008F6EDE"/>
    <w:rsid w:val="008F6FE6"/>
    <w:rsid w:val="009002C2"/>
    <w:rsid w:val="0090098C"/>
    <w:rsid w:val="00901A75"/>
    <w:rsid w:val="00901E8C"/>
    <w:rsid w:val="009022A3"/>
    <w:rsid w:val="009028B7"/>
    <w:rsid w:val="0090344B"/>
    <w:rsid w:val="009038C6"/>
    <w:rsid w:val="00904201"/>
    <w:rsid w:val="00905C86"/>
    <w:rsid w:val="00906E07"/>
    <w:rsid w:val="0090753C"/>
    <w:rsid w:val="00907579"/>
    <w:rsid w:val="0090770E"/>
    <w:rsid w:val="00907D18"/>
    <w:rsid w:val="00907D8C"/>
    <w:rsid w:val="00910A2F"/>
    <w:rsid w:val="0091154C"/>
    <w:rsid w:val="00911734"/>
    <w:rsid w:val="00912327"/>
    <w:rsid w:val="009131C4"/>
    <w:rsid w:val="00914FC9"/>
    <w:rsid w:val="0091556C"/>
    <w:rsid w:val="009156DF"/>
    <w:rsid w:val="009157BB"/>
    <w:rsid w:val="00915F27"/>
    <w:rsid w:val="00916740"/>
    <w:rsid w:val="00916CA8"/>
    <w:rsid w:val="00917196"/>
    <w:rsid w:val="00917871"/>
    <w:rsid w:val="0092037B"/>
    <w:rsid w:val="00920571"/>
    <w:rsid w:val="00920611"/>
    <w:rsid w:val="00920C2C"/>
    <w:rsid w:val="00920EC1"/>
    <w:rsid w:val="00921817"/>
    <w:rsid w:val="00923D50"/>
    <w:rsid w:val="00923DCE"/>
    <w:rsid w:val="00923E3D"/>
    <w:rsid w:val="009241C3"/>
    <w:rsid w:val="009245EE"/>
    <w:rsid w:val="009250D8"/>
    <w:rsid w:val="009252A4"/>
    <w:rsid w:val="009253A0"/>
    <w:rsid w:val="00925786"/>
    <w:rsid w:val="00926091"/>
    <w:rsid w:val="009267CD"/>
    <w:rsid w:val="0092689B"/>
    <w:rsid w:val="009268A4"/>
    <w:rsid w:val="00927ECB"/>
    <w:rsid w:val="00927FD1"/>
    <w:rsid w:val="009300D9"/>
    <w:rsid w:val="0093084A"/>
    <w:rsid w:val="00931636"/>
    <w:rsid w:val="009316A0"/>
    <w:rsid w:val="00931754"/>
    <w:rsid w:val="009319FE"/>
    <w:rsid w:val="00933052"/>
    <w:rsid w:val="009342BC"/>
    <w:rsid w:val="009345F5"/>
    <w:rsid w:val="00935C31"/>
    <w:rsid w:val="00936186"/>
    <w:rsid w:val="009369A2"/>
    <w:rsid w:val="00936AE1"/>
    <w:rsid w:val="009370F5"/>
    <w:rsid w:val="0093750F"/>
    <w:rsid w:val="009400C5"/>
    <w:rsid w:val="00940628"/>
    <w:rsid w:val="00940851"/>
    <w:rsid w:val="009416B3"/>
    <w:rsid w:val="00942044"/>
    <w:rsid w:val="009423A5"/>
    <w:rsid w:val="009435B1"/>
    <w:rsid w:val="00944B61"/>
    <w:rsid w:val="00944E2B"/>
    <w:rsid w:val="00945000"/>
    <w:rsid w:val="00945066"/>
    <w:rsid w:val="009457D3"/>
    <w:rsid w:val="0094611D"/>
    <w:rsid w:val="009477B4"/>
    <w:rsid w:val="00947D05"/>
    <w:rsid w:val="00950989"/>
    <w:rsid w:val="00950B07"/>
    <w:rsid w:val="00950DE2"/>
    <w:rsid w:val="00951332"/>
    <w:rsid w:val="00951AF2"/>
    <w:rsid w:val="00952AB1"/>
    <w:rsid w:val="00953049"/>
    <w:rsid w:val="009541EB"/>
    <w:rsid w:val="009546DD"/>
    <w:rsid w:val="0095521F"/>
    <w:rsid w:val="00956057"/>
    <w:rsid w:val="0095612F"/>
    <w:rsid w:val="00957E3D"/>
    <w:rsid w:val="00957F67"/>
    <w:rsid w:val="009603D6"/>
    <w:rsid w:val="00960776"/>
    <w:rsid w:val="00960B3C"/>
    <w:rsid w:val="00961B0F"/>
    <w:rsid w:val="00961CA5"/>
    <w:rsid w:val="00962555"/>
    <w:rsid w:val="00963FC3"/>
    <w:rsid w:val="009643A0"/>
    <w:rsid w:val="0096451C"/>
    <w:rsid w:val="009646E2"/>
    <w:rsid w:val="00965133"/>
    <w:rsid w:val="009653BA"/>
    <w:rsid w:val="00965651"/>
    <w:rsid w:val="00965BE5"/>
    <w:rsid w:val="00965EF9"/>
    <w:rsid w:val="00966EDC"/>
    <w:rsid w:val="00967383"/>
    <w:rsid w:val="0097014F"/>
    <w:rsid w:val="00970437"/>
    <w:rsid w:val="0097073B"/>
    <w:rsid w:val="009708FF"/>
    <w:rsid w:val="0097091A"/>
    <w:rsid w:val="00971357"/>
    <w:rsid w:val="009736A5"/>
    <w:rsid w:val="00973B85"/>
    <w:rsid w:val="00974EBF"/>
    <w:rsid w:val="00974F71"/>
    <w:rsid w:val="00975949"/>
    <w:rsid w:val="00976102"/>
    <w:rsid w:val="0097686B"/>
    <w:rsid w:val="009808CC"/>
    <w:rsid w:val="00981563"/>
    <w:rsid w:val="00984FD8"/>
    <w:rsid w:val="0098549A"/>
    <w:rsid w:val="00985B12"/>
    <w:rsid w:val="009867C9"/>
    <w:rsid w:val="0099099E"/>
    <w:rsid w:val="009914E3"/>
    <w:rsid w:val="009919DB"/>
    <w:rsid w:val="0099272C"/>
    <w:rsid w:val="00994087"/>
    <w:rsid w:val="00994812"/>
    <w:rsid w:val="009948A7"/>
    <w:rsid w:val="00994B56"/>
    <w:rsid w:val="00994C3B"/>
    <w:rsid w:val="00995ADC"/>
    <w:rsid w:val="00995B8D"/>
    <w:rsid w:val="00995D9C"/>
    <w:rsid w:val="00995FAA"/>
    <w:rsid w:val="00996941"/>
    <w:rsid w:val="00996D57"/>
    <w:rsid w:val="00996F67"/>
    <w:rsid w:val="00996FE8"/>
    <w:rsid w:val="00997A65"/>
    <w:rsid w:val="00997AF4"/>
    <w:rsid w:val="009A0957"/>
    <w:rsid w:val="009A131D"/>
    <w:rsid w:val="009A1C53"/>
    <w:rsid w:val="009A20A1"/>
    <w:rsid w:val="009A3058"/>
    <w:rsid w:val="009A31CA"/>
    <w:rsid w:val="009A32B4"/>
    <w:rsid w:val="009A35B3"/>
    <w:rsid w:val="009A41A3"/>
    <w:rsid w:val="009A42B5"/>
    <w:rsid w:val="009A44F3"/>
    <w:rsid w:val="009A4CBB"/>
    <w:rsid w:val="009A6FD8"/>
    <w:rsid w:val="009B0BA6"/>
    <w:rsid w:val="009B0EC0"/>
    <w:rsid w:val="009B1522"/>
    <w:rsid w:val="009B16E8"/>
    <w:rsid w:val="009B20FB"/>
    <w:rsid w:val="009B29CD"/>
    <w:rsid w:val="009B2ABE"/>
    <w:rsid w:val="009B35FA"/>
    <w:rsid w:val="009B3A37"/>
    <w:rsid w:val="009B458C"/>
    <w:rsid w:val="009B45D2"/>
    <w:rsid w:val="009B4EA9"/>
    <w:rsid w:val="009B4F9D"/>
    <w:rsid w:val="009B5537"/>
    <w:rsid w:val="009B60EB"/>
    <w:rsid w:val="009B6476"/>
    <w:rsid w:val="009B6C59"/>
    <w:rsid w:val="009B7529"/>
    <w:rsid w:val="009B7B1E"/>
    <w:rsid w:val="009C0784"/>
    <w:rsid w:val="009C080B"/>
    <w:rsid w:val="009C12AD"/>
    <w:rsid w:val="009C155C"/>
    <w:rsid w:val="009C1E6E"/>
    <w:rsid w:val="009C2937"/>
    <w:rsid w:val="009C2A45"/>
    <w:rsid w:val="009C3B18"/>
    <w:rsid w:val="009C3C82"/>
    <w:rsid w:val="009C5A9E"/>
    <w:rsid w:val="009C5AE9"/>
    <w:rsid w:val="009C5CA8"/>
    <w:rsid w:val="009D006F"/>
    <w:rsid w:val="009D08BD"/>
    <w:rsid w:val="009D232D"/>
    <w:rsid w:val="009D2454"/>
    <w:rsid w:val="009D28C1"/>
    <w:rsid w:val="009D2BD0"/>
    <w:rsid w:val="009D387B"/>
    <w:rsid w:val="009D3B28"/>
    <w:rsid w:val="009D3C27"/>
    <w:rsid w:val="009D450F"/>
    <w:rsid w:val="009D4819"/>
    <w:rsid w:val="009D49C7"/>
    <w:rsid w:val="009D4AD2"/>
    <w:rsid w:val="009D4B5E"/>
    <w:rsid w:val="009D4D41"/>
    <w:rsid w:val="009D4F70"/>
    <w:rsid w:val="009D5939"/>
    <w:rsid w:val="009D5CA3"/>
    <w:rsid w:val="009D60C7"/>
    <w:rsid w:val="009E03CE"/>
    <w:rsid w:val="009E0E76"/>
    <w:rsid w:val="009E1517"/>
    <w:rsid w:val="009E25B8"/>
    <w:rsid w:val="009E2D48"/>
    <w:rsid w:val="009E2FC1"/>
    <w:rsid w:val="009E376F"/>
    <w:rsid w:val="009E4E7D"/>
    <w:rsid w:val="009E5BEA"/>
    <w:rsid w:val="009E6260"/>
    <w:rsid w:val="009E6B72"/>
    <w:rsid w:val="009E73B9"/>
    <w:rsid w:val="009E788D"/>
    <w:rsid w:val="009F1415"/>
    <w:rsid w:val="009F17AA"/>
    <w:rsid w:val="009F1957"/>
    <w:rsid w:val="009F23E7"/>
    <w:rsid w:val="009F59F6"/>
    <w:rsid w:val="009F5B57"/>
    <w:rsid w:val="009F5D6A"/>
    <w:rsid w:val="009F63DE"/>
    <w:rsid w:val="009F6ED1"/>
    <w:rsid w:val="009F7741"/>
    <w:rsid w:val="009F781C"/>
    <w:rsid w:val="009F7AB5"/>
    <w:rsid w:val="009F7DE3"/>
    <w:rsid w:val="00A01121"/>
    <w:rsid w:val="00A0197B"/>
    <w:rsid w:val="00A02A30"/>
    <w:rsid w:val="00A0349D"/>
    <w:rsid w:val="00A035D2"/>
    <w:rsid w:val="00A037D6"/>
    <w:rsid w:val="00A03ED6"/>
    <w:rsid w:val="00A043EF"/>
    <w:rsid w:val="00A04942"/>
    <w:rsid w:val="00A064C0"/>
    <w:rsid w:val="00A066F1"/>
    <w:rsid w:val="00A06D40"/>
    <w:rsid w:val="00A0741C"/>
    <w:rsid w:val="00A10CAB"/>
    <w:rsid w:val="00A11645"/>
    <w:rsid w:val="00A11F6B"/>
    <w:rsid w:val="00A13165"/>
    <w:rsid w:val="00A13FEB"/>
    <w:rsid w:val="00A145A9"/>
    <w:rsid w:val="00A15BB9"/>
    <w:rsid w:val="00A16AC8"/>
    <w:rsid w:val="00A1790C"/>
    <w:rsid w:val="00A2070E"/>
    <w:rsid w:val="00A20CD8"/>
    <w:rsid w:val="00A21577"/>
    <w:rsid w:val="00A22512"/>
    <w:rsid w:val="00A22893"/>
    <w:rsid w:val="00A22FEB"/>
    <w:rsid w:val="00A23542"/>
    <w:rsid w:val="00A23544"/>
    <w:rsid w:val="00A23574"/>
    <w:rsid w:val="00A239B5"/>
    <w:rsid w:val="00A23B2B"/>
    <w:rsid w:val="00A23CD9"/>
    <w:rsid w:val="00A24B1B"/>
    <w:rsid w:val="00A269C8"/>
    <w:rsid w:val="00A26CC4"/>
    <w:rsid w:val="00A2775F"/>
    <w:rsid w:val="00A277B3"/>
    <w:rsid w:val="00A3061B"/>
    <w:rsid w:val="00A307D9"/>
    <w:rsid w:val="00A31DF9"/>
    <w:rsid w:val="00A322DC"/>
    <w:rsid w:val="00A32EB5"/>
    <w:rsid w:val="00A336FE"/>
    <w:rsid w:val="00A337D5"/>
    <w:rsid w:val="00A34614"/>
    <w:rsid w:val="00A359CC"/>
    <w:rsid w:val="00A3665E"/>
    <w:rsid w:val="00A366C9"/>
    <w:rsid w:val="00A3692E"/>
    <w:rsid w:val="00A37487"/>
    <w:rsid w:val="00A41051"/>
    <w:rsid w:val="00A4199F"/>
    <w:rsid w:val="00A41ACA"/>
    <w:rsid w:val="00A41FF5"/>
    <w:rsid w:val="00A42AB5"/>
    <w:rsid w:val="00A4310B"/>
    <w:rsid w:val="00A43766"/>
    <w:rsid w:val="00A439CF"/>
    <w:rsid w:val="00A46000"/>
    <w:rsid w:val="00A465CD"/>
    <w:rsid w:val="00A46ADA"/>
    <w:rsid w:val="00A47218"/>
    <w:rsid w:val="00A515D0"/>
    <w:rsid w:val="00A5167F"/>
    <w:rsid w:val="00A51AA8"/>
    <w:rsid w:val="00A51F4D"/>
    <w:rsid w:val="00A51F67"/>
    <w:rsid w:val="00A51FF0"/>
    <w:rsid w:val="00A53B8B"/>
    <w:rsid w:val="00A53C50"/>
    <w:rsid w:val="00A5422D"/>
    <w:rsid w:val="00A54366"/>
    <w:rsid w:val="00A5447B"/>
    <w:rsid w:val="00A54614"/>
    <w:rsid w:val="00A55F6D"/>
    <w:rsid w:val="00A57B8E"/>
    <w:rsid w:val="00A57D5B"/>
    <w:rsid w:val="00A601FB"/>
    <w:rsid w:val="00A606C0"/>
    <w:rsid w:val="00A6081C"/>
    <w:rsid w:val="00A60EA5"/>
    <w:rsid w:val="00A6201B"/>
    <w:rsid w:val="00A631C0"/>
    <w:rsid w:val="00A6323A"/>
    <w:rsid w:val="00A63C2F"/>
    <w:rsid w:val="00A65061"/>
    <w:rsid w:val="00A65795"/>
    <w:rsid w:val="00A66379"/>
    <w:rsid w:val="00A6659E"/>
    <w:rsid w:val="00A70288"/>
    <w:rsid w:val="00A70903"/>
    <w:rsid w:val="00A709DE"/>
    <w:rsid w:val="00A715B1"/>
    <w:rsid w:val="00A71843"/>
    <w:rsid w:val="00A72614"/>
    <w:rsid w:val="00A72F40"/>
    <w:rsid w:val="00A730B3"/>
    <w:rsid w:val="00A7357E"/>
    <w:rsid w:val="00A737FC"/>
    <w:rsid w:val="00A741DE"/>
    <w:rsid w:val="00A74224"/>
    <w:rsid w:val="00A7498C"/>
    <w:rsid w:val="00A74A8E"/>
    <w:rsid w:val="00A74B0F"/>
    <w:rsid w:val="00A763BF"/>
    <w:rsid w:val="00A768CF"/>
    <w:rsid w:val="00A778A4"/>
    <w:rsid w:val="00A77A81"/>
    <w:rsid w:val="00A77E6F"/>
    <w:rsid w:val="00A808DA"/>
    <w:rsid w:val="00A81076"/>
    <w:rsid w:val="00A82496"/>
    <w:rsid w:val="00A836F4"/>
    <w:rsid w:val="00A85273"/>
    <w:rsid w:val="00A85789"/>
    <w:rsid w:val="00A85B0E"/>
    <w:rsid w:val="00A85CD0"/>
    <w:rsid w:val="00A87A69"/>
    <w:rsid w:val="00A87E43"/>
    <w:rsid w:val="00A901F7"/>
    <w:rsid w:val="00A91575"/>
    <w:rsid w:val="00A91FFA"/>
    <w:rsid w:val="00A9227A"/>
    <w:rsid w:val="00A92993"/>
    <w:rsid w:val="00A93512"/>
    <w:rsid w:val="00A93F87"/>
    <w:rsid w:val="00A9476F"/>
    <w:rsid w:val="00A94B40"/>
    <w:rsid w:val="00A94F09"/>
    <w:rsid w:val="00A95853"/>
    <w:rsid w:val="00A95F4A"/>
    <w:rsid w:val="00A97416"/>
    <w:rsid w:val="00A97AB0"/>
    <w:rsid w:val="00AA0E14"/>
    <w:rsid w:val="00AA0F53"/>
    <w:rsid w:val="00AA115C"/>
    <w:rsid w:val="00AA2950"/>
    <w:rsid w:val="00AA2FF0"/>
    <w:rsid w:val="00AA3B7D"/>
    <w:rsid w:val="00AA41C5"/>
    <w:rsid w:val="00AA467D"/>
    <w:rsid w:val="00AA516D"/>
    <w:rsid w:val="00AA59D5"/>
    <w:rsid w:val="00AA5E56"/>
    <w:rsid w:val="00AA5F6A"/>
    <w:rsid w:val="00AA68D2"/>
    <w:rsid w:val="00AA6C98"/>
    <w:rsid w:val="00AA7223"/>
    <w:rsid w:val="00AA781B"/>
    <w:rsid w:val="00AB0A4C"/>
    <w:rsid w:val="00AB0E7D"/>
    <w:rsid w:val="00AB11E4"/>
    <w:rsid w:val="00AB123F"/>
    <w:rsid w:val="00AB174F"/>
    <w:rsid w:val="00AB1A38"/>
    <w:rsid w:val="00AB1DBA"/>
    <w:rsid w:val="00AB2D84"/>
    <w:rsid w:val="00AB36B6"/>
    <w:rsid w:val="00AB49FC"/>
    <w:rsid w:val="00AB4A41"/>
    <w:rsid w:val="00AB5B21"/>
    <w:rsid w:val="00AB67EE"/>
    <w:rsid w:val="00AB6DE0"/>
    <w:rsid w:val="00AB7474"/>
    <w:rsid w:val="00AB7691"/>
    <w:rsid w:val="00AB7CEA"/>
    <w:rsid w:val="00AC1676"/>
    <w:rsid w:val="00AC1DC9"/>
    <w:rsid w:val="00AC2998"/>
    <w:rsid w:val="00AC3C6C"/>
    <w:rsid w:val="00AC3E55"/>
    <w:rsid w:val="00AC4510"/>
    <w:rsid w:val="00AC6441"/>
    <w:rsid w:val="00AC71FA"/>
    <w:rsid w:val="00AD0235"/>
    <w:rsid w:val="00AD0BDA"/>
    <w:rsid w:val="00AD0C8E"/>
    <w:rsid w:val="00AD0FDA"/>
    <w:rsid w:val="00AD1298"/>
    <w:rsid w:val="00AD1443"/>
    <w:rsid w:val="00AD23BB"/>
    <w:rsid w:val="00AD2429"/>
    <w:rsid w:val="00AD324D"/>
    <w:rsid w:val="00AD421E"/>
    <w:rsid w:val="00AD4617"/>
    <w:rsid w:val="00AD49C3"/>
    <w:rsid w:val="00AD4F6A"/>
    <w:rsid w:val="00AD513E"/>
    <w:rsid w:val="00AD5536"/>
    <w:rsid w:val="00AD5EF4"/>
    <w:rsid w:val="00AD6E18"/>
    <w:rsid w:val="00AD71CD"/>
    <w:rsid w:val="00AD7703"/>
    <w:rsid w:val="00AD7B98"/>
    <w:rsid w:val="00AD7E3E"/>
    <w:rsid w:val="00AE0864"/>
    <w:rsid w:val="00AE0D37"/>
    <w:rsid w:val="00AE11F2"/>
    <w:rsid w:val="00AE1A5A"/>
    <w:rsid w:val="00AE281F"/>
    <w:rsid w:val="00AE4142"/>
    <w:rsid w:val="00AE4270"/>
    <w:rsid w:val="00AE4B31"/>
    <w:rsid w:val="00AE53A4"/>
    <w:rsid w:val="00AE6798"/>
    <w:rsid w:val="00AE727C"/>
    <w:rsid w:val="00AE7B34"/>
    <w:rsid w:val="00AF07B7"/>
    <w:rsid w:val="00AF0E6F"/>
    <w:rsid w:val="00AF0F23"/>
    <w:rsid w:val="00AF1F27"/>
    <w:rsid w:val="00AF20F0"/>
    <w:rsid w:val="00AF263E"/>
    <w:rsid w:val="00AF2804"/>
    <w:rsid w:val="00AF3524"/>
    <w:rsid w:val="00AF4B18"/>
    <w:rsid w:val="00AF527D"/>
    <w:rsid w:val="00AF5299"/>
    <w:rsid w:val="00AF5499"/>
    <w:rsid w:val="00AF54FA"/>
    <w:rsid w:val="00AF5BBF"/>
    <w:rsid w:val="00AF6305"/>
    <w:rsid w:val="00AF70EB"/>
    <w:rsid w:val="00AF7107"/>
    <w:rsid w:val="00AF7E7C"/>
    <w:rsid w:val="00B018F0"/>
    <w:rsid w:val="00B02047"/>
    <w:rsid w:val="00B03361"/>
    <w:rsid w:val="00B04100"/>
    <w:rsid w:val="00B041B8"/>
    <w:rsid w:val="00B04AD2"/>
    <w:rsid w:val="00B055EC"/>
    <w:rsid w:val="00B05C4A"/>
    <w:rsid w:val="00B06A05"/>
    <w:rsid w:val="00B06C0B"/>
    <w:rsid w:val="00B073B1"/>
    <w:rsid w:val="00B07A2F"/>
    <w:rsid w:val="00B07C06"/>
    <w:rsid w:val="00B115C4"/>
    <w:rsid w:val="00B117F0"/>
    <w:rsid w:val="00B1187C"/>
    <w:rsid w:val="00B11E71"/>
    <w:rsid w:val="00B12473"/>
    <w:rsid w:val="00B12B8D"/>
    <w:rsid w:val="00B130C1"/>
    <w:rsid w:val="00B1399E"/>
    <w:rsid w:val="00B13FBB"/>
    <w:rsid w:val="00B14860"/>
    <w:rsid w:val="00B150A1"/>
    <w:rsid w:val="00B163E5"/>
    <w:rsid w:val="00B175B3"/>
    <w:rsid w:val="00B175B7"/>
    <w:rsid w:val="00B178CE"/>
    <w:rsid w:val="00B17F1F"/>
    <w:rsid w:val="00B2035F"/>
    <w:rsid w:val="00B20437"/>
    <w:rsid w:val="00B2233E"/>
    <w:rsid w:val="00B228C3"/>
    <w:rsid w:val="00B2312C"/>
    <w:rsid w:val="00B2312D"/>
    <w:rsid w:val="00B23843"/>
    <w:rsid w:val="00B24526"/>
    <w:rsid w:val="00B25313"/>
    <w:rsid w:val="00B25CAD"/>
    <w:rsid w:val="00B260BE"/>
    <w:rsid w:val="00B265B0"/>
    <w:rsid w:val="00B2681A"/>
    <w:rsid w:val="00B268A2"/>
    <w:rsid w:val="00B279D3"/>
    <w:rsid w:val="00B30093"/>
    <w:rsid w:val="00B30891"/>
    <w:rsid w:val="00B31403"/>
    <w:rsid w:val="00B32055"/>
    <w:rsid w:val="00B3215F"/>
    <w:rsid w:val="00B33217"/>
    <w:rsid w:val="00B342A6"/>
    <w:rsid w:val="00B36033"/>
    <w:rsid w:val="00B404A3"/>
    <w:rsid w:val="00B41267"/>
    <w:rsid w:val="00B42B8D"/>
    <w:rsid w:val="00B43E34"/>
    <w:rsid w:val="00B43E46"/>
    <w:rsid w:val="00B44AC8"/>
    <w:rsid w:val="00B46A4E"/>
    <w:rsid w:val="00B47563"/>
    <w:rsid w:val="00B4759B"/>
    <w:rsid w:val="00B47A4A"/>
    <w:rsid w:val="00B47C30"/>
    <w:rsid w:val="00B506B6"/>
    <w:rsid w:val="00B5267F"/>
    <w:rsid w:val="00B52954"/>
    <w:rsid w:val="00B5344A"/>
    <w:rsid w:val="00B53E84"/>
    <w:rsid w:val="00B54C1D"/>
    <w:rsid w:val="00B55563"/>
    <w:rsid w:val="00B55B88"/>
    <w:rsid w:val="00B55E7C"/>
    <w:rsid w:val="00B55F8E"/>
    <w:rsid w:val="00B56E74"/>
    <w:rsid w:val="00B56EB2"/>
    <w:rsid w:val="00B6073E"/>
    <w:rsid w:val="00B60BB3"/>
    <w:rsid w:val="00B615FE"/>
    <w:rsid w:val="00B62057"/>
    <w:rsid w:val="00B62431"/>
    <w:rsid w:val="00B62581"/>
    <w:rsid w:val="00B6293B"/>
    <w:rsid w:val="00B62A85"/>
    <w:rsid w:val="00B63240"/>
    <w:rsid w:val="00B635FC"/>
    <w:rsid w:val="00B63647"/>
    <w:rsid w:val="00B6496C"/>
    <w:rsid w:val="00B64EBF"/>
    <w:rsid w:val="00B6557A"/>
    <w:rsid w:val="00B65D1E"/>
    <w:rsid w:val="00B6687A"/>
    <w:rsid w:val="00B66A46"/>
    <w:rsid w:val="00B66F15"/>
    <w:rsid w:val="00B67710"/>
    <w:rsid w:val="00B7014B"/>
    <w:rsid w:val="00B711F8"/>
    <w:rsid w:val="00B72780"/>
    <w:rsid w:val="00B72DA4"/>
    <w:rsid w:val="00B736F8"/>
    <w:rsid w:val="00B7434C"/>
    <w:rsid w:val="00B74405"/>
    <w:rsid w:val="00B7440C"/>
    <w:rsid w:val="00B7513D"/>
    <w:rsid w:val="00B76DA0"/>
    <w:rsid w:val="00B77730"/>
    <w:rsid w:val="00B777A4"/>
    <w:rsid w:val="00B779EF"/>
    <w:rsid w:val="00B77AC5"/>
    <w:rsid w:val="00B80CE1"/>
    <w:rsid w:val="00B8122C"/>
    <w:rsid w:val="00B81C88"/>
    <w:rsid w:val="00B81F49"/>
    <w:rsid w:val="00B82B13"/>
    <w:rsid w:val="00B8368A"/>
    <w:rsid w:val="00B83C35"/>
    <w:rsid w:val="00B83D67"/>
    <w:rsid w:val="00B842B2"/>
    <w:rsid w:val="00B853AB"/>
    <w:rsid w:val="00B85B52"/>
    <w:rsid w:val="00B85BF0"/>
    <w:rsid w:val="00B8624E"/>
    <w:rsid w:val="00B9049D"/>
    <w:rsid w:val="00B90D02"/>
    <w:rsid w:val="00B9180B"/>
    <w:rsid w:val="00B92097"/>
    <w:rsid w:val="00B9299F"/>
    <w:rsid w:val="00B93A03"/>
    <w:rsid w:val="00B93A90"/>
    <w:rsid w:val="00B94C95"/>
    <w:rsid w:val="00B94F55"/>
    <w:rsid w:val="00B9528B"/>
    <w:rsid w:val="00B95473"/>
    <w:rsid w:val="00B95738"/>
    <w:rsid w:val="00B9634B"/>
    <w:rsid w:val="00B96711"/>
    <w:rsid w:val="00B96C63"/>
    <w:rsid w:val="00B97536"/>
    <w:rsid w:val="00B97704"/>
    <w:rsid w:val="00B97960"/>
    <w:rsid w:val="00BA0312"/>
    <w:rsid w:val="00BA10FD"/>
    <w:rsid w:val="00BA11F0"/>
    <w:rsid w:val="00BA127A"/>
    <w:rsid w:val="00BA193D"/>
    <w:rsid w:val="00BA37E4"/>
    <w:rsid w:val="00BA396D"/>
    <w:rsid w:val="00BA4659"/>
    <w:rsid w:val="00BA4E08"/>
    <w:rsid w:val="00BA5ABE"/>
    <w:rsid w:val="00BB02CA"/>
    <w:rsid w:val="00BB2887"/>
    <w:rsid w:val="00BB2C5C"/>
    <w:rsid w:val="00BB2C7A"/>
    <w:rsid w:val="00BB2CB6"/>
    <w:rsid w:val="00BB3B43"/>
    <w:rsid w:val="00BB3BC6"/>
    <w:rsid w:val="00BB3E4C"/>
    <w:rsid w:val="00BB408A"/>
    <w:rsid w:val="00BB4A77"/>
    <w:rsid w:val="00BB4F2A"/>
    <w:rsid w:val="00BB5384"/>
    <w:rsid w:val="00BB5A5B"/>
    <w:rsid w:val="00BB66CB"/>
    <w:rsid w:val="00BB71AC"/>
    <w:rsid w:val="00BB7302"/>
    <w:rsid w:val="00BB791A"/>
    <w:rsid w:val="00BB7BDA"/>
    <w:rsid w:val="00BC0C21"/>
    <w:rsid w:val="00BC11C7"/>
    <w:rsid w:val="00BC2049"/>
    <w:rsid w:val="00BC24BC"/>
    <w:rsid w:val="00BC2D2A"/>
    <w:rsid w:val="00BC4A49"/>
    <w:rsid w:val="00BC502D"/>
    <w:rsid w:val="00BC56CF"/>
    <w:rsid w:val="00BC56F1"/>
    <w:rsid w:val="00BC5B96"/>
    <w:rsid w:val="00BC622B"/>
    <w:rsid w:val="00BC68ED"/>
    <w:rsid w:val="00BC69A9"/>
    <w:rsid w:val="00BC6E0E"/>
    <w:rsid w:val="00BC7B1E"/>
    <w:rsid w:val="00BC7EB4"/>
    <w:rsid w:val="00BD01D4"/>
    <w:rsid w:val="00BD1069"/>
    <w:rsid w:val="00BD1AC3"/>
    <w:rsid w:val="00BD2C37"/>
    <w:rsid w:val="00BD45E3"/>
    <w:rsid w:val="00BD5510"/>
    <w:rsid w:val="00BD59BC"/>
    <w:rsid w:val="00BD5D1A"/>
    <w:rsid w:val="00BD5FF8"/>
    <w:rsid w:val="00BD60FF"/>
    <w:rsid w:val="00BD68D8"/>
    <w:rsid w:val="00BD7E79"/>
    <w:rsid w:val="00BE0C70"/>
    <w:rsid w:val="00BE0DF3"/>
    <w:rsid w:val="00BE17E2"/>
    <w:rsid w:val="00BE2B9D"/>
    <w:rsid w:val="00BE2DF6"/>
    <w:rsid w:val="00BE305C"/>
    <w:rsid w:val="00BE34DF"/>
    <w:rsid w:val="00BE3D7C"/>
    <w:rsid w:val="00BE5539"/>
    <w:rsid w:val="00BE5668"/>
    <w:rsid w:val="00BE5764"/>
    <w:rsid w:val="00BE593F"/>
    <w:rsid w:val="00BE5A5F"/>
    <w:rsid w:val="00BE71CD"/>
    <w:rsid w:val="00BE765D"/>
    <w:rsid w:val="00BE7DD6"/>
    <w:rsid w:val="00BF0359"/>
    <w:rsid w:val="00BF1057"/>
    <w:rsid w:val="00BF220E"/>
    <w:rsid w:val="00BF2563"/>
    <w:rsid w:val="00BF2587"/>
    <w:rsid w:val="00BF31D0"/>
    <w:rsid w:val="00BF32D9"/>
    <w:rsid w:val="00BF3981"/>
    <w:rsid w:val="00BF5D1E"/>
    <w:rsid w:val="00BF5E50"/>
    <w:rsid w:val="00BF680A"/>
    <w:rsid w:val="00BF6B71"/>
    <w:rsid w:val="00BF6F34"/>
    <w:rsid w:val="00BF714C"/>
    <w:rsid w:val="00BF737D"/>
    <w:rsid w:val="00BF7AC5"/>
    <w:rsid w:val="00C01227"/>
    <w:rsid w:val="00C01585"/>
    <w:rsid w:val="00C016F4"/>
    <w:rsid w:val="00C01C01"/>
    <w:rsid w:val="00C01F56"/>
    <w:rsid w:val="00C02165"/>
    <w:rsid w:val="00C03761"/>
    <w:rsid w:val="00C0399A"/>
    <w:rsid w:val="00C04293"/>
    <w:rsid w:val="00C0438F"/>
    <w:rsid w:val="00C05EC6"/>
    <w:rsid w:val="00C06717"/>
    <w:rsid w:val="00C06A0E"/>
    <w:rsid w:val="00C06E79"/>
    <w:rsid w:val="00C07234"/>
    <w:rsid w:val="00C07421"/>
    <w:rsid w:val="00C10962"/>
    <w:rsid w:val="00C10B25"/>
    <w:rsid w:val="00C11624"/>
    <w:rsid w:val="00C1164F"/>
    <w:rsid w:val="00C139C3"/>
    <w:rsid w:val="00C13BFD"/>
    <w:rsid w:val="00C1414B"/>
    <w:rsid w:val="00C15B11"/>
    <w:rsid w:val="00C1662B"/>
    <w:rsid w:val="00C17339"/>
    <w:rsid w:val="00C17C27"/>
    <w:rsid w:val="00C17F86"/>
    <w:rsid w:val="00C17FC4"/>
    <w:rsid w:val="00C20350"/>
    <w:rsid w:val="00C207BE"/>
    <w:rsid w:val="00C20977"/>
    <w:rsid w:val="00C212CF"/>
    <w:rsid w:val="00C219E5"/>
    <w:rsid w:val="00C21BE6"/>
    <w:rsid w:val="00C21DF5"/>
    <w:rsid w:val="00C226F7"/>
    <w:rsid w:val="00C22A75"/>
    <w:rsid w:val="00C22DEA"/>
    <w:rsid w:val="00C2315A"/>
    <w:rsid w:val="00C23EC5"/>
    <w:rsid w:val="00C2422C"/>
    <w:rsid w:val="00C24959"/>
    <w:rsid w:val="00C259AE"/>
    <w:rsid w:val="00C25F37"/>
    <w:rsid w:val="00C263CA"/>
    <w:rsid w:val="00C2688C"/>
    <w:rsid w:val="00C268C5"/>
    <w:rsid w:val="00C277C1"/>
    <w:rsid w:val="00C27F7C"/>
    <w:rsid w:val="00C31572"/>
    <w:rsid w:val="00C32271"/>
    <w:rsid w:val="00C32DC7"/>
    <w:rsid w:val="00C32F5D"/>
    <w:rsid w:val="00C333AD"/>
    <w:rsid w:val="00C335FF"/>
    <w:rsid w:val="00C355C1"/>
    <w:rsid w:val="00C3560E"/>
    <w:rsid w:val="00C35812"/>
    <w:rsid w:val="00C36074"/>
    <w:rsid w:val="00C37673"/>
    <w:rsid w:val="00C37B18"/>
    <w:rsid w:val="00C37C41"/>
    <w:rsid w:val="00C4211E"/>
    <w:rsid w:val="00C42623"/>
    <w:rsid w:val="00C43708"/>
    <w:rsid w:val="00C44EA2"/>
    <w:rsid w:val="00C45141"/>
    <w:rsid w:val="00C464A5"/>
    <w:rsid w:val="00C4690C"/>
    <w:rsid w:val="00C508D8"/>
    <w:rsid w:val="00C50A6C"/>
    <w:rsid w:val="00C50E44"/>
    <w:rsid w:val="00C5125D"/>
    <w:rsid w:val="00C51586"/>
    <w:rsid w:val="00C519BB"/>
    <w:rsid w:val="00C52BC4"/>
    <w:rsid w:val="00C52E0C"/>
    <w:rsid w:val="00C535B2"/>
    <w:rsid w:val="00C53B08"/>
    <w:rsid w:val="00C53B11"/>
    <w:rsid w:val="00C54287"/>
    <w:rsid w:val="00C558DF"/>
    <w:rsid w:val="00C56534"/>
    <w:rsid w:val="00C57484"/>
    <w:rsid w:val="00C574D2"/>
    <w:rsid w:val="00C5793D"/>
    <w:rsid w:val="00C604D4"/>
    <w:rsid w:val="00C60908"/>
    <w:rsid w:val="00C60A38"/>
    <w:rsid w:val="00C62554"/>
    <w:rsid w:val="00C639DE"/>
    <w:rsid w:val="00C64030"/>
    <w:rsid w:val="00C642E0"/>
    <w:rsid w:val="00C64D96"/>
    <w:rsid w:val="00C6532D"/>
    <w:rsid w:val="00C653D4"/>
    <w:rsid w:val="00C653E2"/>
    <w:rsid w:val="00C654BB"/>
    <w:rsid w:val="00C657AA"/>
    <w:rsid w:val="00C65E27"/>
    <w:rsid w:val="00C65FF9"/>
    <w:rsid w:val="00C666CC"/>
    <w:rsid w:val="00C66F1A"/>
    <w:rsid w:val="00C67103"/>
    <w:rsid w:val="00C675A0"/>
    <w:rsid w:val="00C67DBA"/>
    <w:rsid w:val="00C703A1"/>
    <w:rsid w:val="00C714E0"/>
    <w:rsid w:val="00C725CF"/>
    <w:rsid w:val="00C72DC4"/>
    <w:rsid w:val="00C735ED"/>
    <w:rsid w:val="00C744F6"/>
    <w:rsid w:val="00C74AAD"/>
    <w:rsid w:val="00C74BE8"/>
    <w:rsid w:val="00C74FA0"/>
    <w:rsid w:val="00C75005"/>
    <w:rsid w:val="00C750FD"/>
    <w:rsid w:val="00C75CF0"/>
    <w:rsid w:val="00C760D8"/>
    <w:rsid w:val="00C767B4"/>
    <w:rsid w:val="00C775F1"/>
    <w:rsid w:val="00C80CF5"/>
    <w:rsid w:val="00C81666"/>
    <w:rsid w:val="00C816B2"/>
    <w:rsid w:val="00C81EF1"/>
    <w:rsid w:val="00C82CA1"/>
    <w:rsid w:val="00C82D01"/>
    <w:rsid w:val="00C82D52"/>
    <w:rsid w:val="00C836AD"/>
    <w:rsid w:val="00C850A8"/>
    <w:rsid w:val="00C8588F"/>
    <w:rsid w:val="00C85CEE"/>
    <w:rsid w:val="00C8608F"/>
    <w:rsid w:val="00C86D2E"/>
    <w:rsid w:val="00C878BA"/>
    <w:rsid w:val="00C87D06"/>
    <w:rsid w:val="00C87E1C"/>
    <w:rsid w:val="00C9022C"/>
    <w:rsid w:val="00C903BC"/>
    <w:rsid w:val="00C90D74"/>
    <w:rsid w:val="00C90E6D"/>
    <w:rsid w:val="00C91DCD"/>
    <w:rsid w:val="00C91EF8"/>
    <w:rsid w:val="00C92012"/>
    <w:rsid w:val="00C92342"/>
    <w:rsid w:val="00C925D8"/>
    <w:rsid w:val="00C93337"/>
    <w:rsid w:val="00C93608"/>
    <w:rsid w:val="00C93FF3"/>
    <w:rsid w:val="00C94C5A"/>
    <w:rsid w:val="00C9505F"/>
    <w:rsid w:val="00C95C79"/>
    <w:rsid w:val="00C96590"/>
    <w:rsid w:val="00CA08EC"/>
    <w:rsid w:val="00CA21DD"/>
    <w:rsid w:val="00CA2786"/>
    <w:rsid w:val="00CA2AFA"/>
    <w:rsid w:val="00CA2C41"/>
    <w:rsid w:val="00CA3261"/>
    <w:rsid w:val="00CA3915"/>
    <w:rsid w:val="00CA3BCB"/>
    <w:rsid w:val="00CA4A5B"/>
    <w:rsid w:val="00CA5D26"/>
    <w:rsid w:val="00CA6A9C"/>
    <w:rsid w:val="00CA757E"/>
    <w:rsid w:val="00CA77F1"/>
    <w:rsid w:val="00CA7984"/>
    <w:rsid w:val="00CB0F45"/>
    <w:rsid w:val="00CB0FEF"/>
    <w:rsid w:val="00CB16AE"/>
    <w:rsid w:val="00CB1916"/>
    <w:rsid w:val="00CB2C51"/>
    <w:rsid w:val="00CB2CB3"/>
    <w:rsid w:val="00CB439E"/>
    <w:rsid w:val="00CB4700"/>
    <w:rsid w:val="00CB5F97"/>
    <w:rsid w:val="00CB64C2"/>
    <w:rsid w:val="00CB7899"/>
    <w:rsid w:val="00CC01F2"/>
    <w:rsid w:val="00CC0D67"/>
    <w:rsid w:val="00CC142E"/>
    <w:rsid w:val="00CC1CD1"/>
    <w:rsid w:val="00CC206E"/>
    <w:rsid w:val="00CC26C0"/>
    <w:rsid w:val="00CC2987"/>
    <w:rsid w:val="00CC3009"/>
    <w:rsid w:val="00CC3E82"/>
    <w:rsid w:val="00CC427D"/>
    <w:rsid w:val="00CC4A68"/>
    <w:rsid w:val="00CC5434"/>
    <w:rsid w:val="00CC5C4E"/>
    <w:rsid w:val="00CC669C"/>
    <w:rsid w:val="00CC77B7"/>
    <w:rsid w:val="00CD0350"/>
    <w:rsid w:val="00CD2B4D"/>
    <w:rsid w:val="00CD381E"/>
    <w:rsid w:val="00CD4A8E"/>
    <w:rsid w:val="00CD53F6"/>
    <w:rsid w:val="00CD54EF"/>
    <w:rsid w:val="00CD57C1"/>
    <w:rsid w:val="00CD6EF0"/>
    <w:rsid w:val="00CD729B"/>
    <w:rsid w:val="00CD7685"/>
    <w:rsid w:val="00CD7BC1"/>
    <w:rsid w:val="00CD7E81"/>
    <w:rsid w:val="00CE067F"/>
    <w:rsid w:val="00CE0898"/>
    <w:rsid w:val="00CE0EAB"/>
    <w:rsid w:val="00CE140C"/>
    <w:rsid w:val="00CE5715"/>
    <w:rsid w:val="00CE607E"/>
    <w:rsid w:val="00CE6A85"/>
    <w:rsid w:val="00CE6F06"/>
    <w:rsid w:val="00CE7397"/>
    <w:rsid w:val="00CE78F9"/>
    <w:rsid w:val="00CE7A2D"/>
    <w:rsid w:val="00CF14BE"/>
    <w:rsid w:val="00CF2085"/>
    <w:rsid w:val="00CF213B"/>
    <w:rsid w:val="00CF25CE"/>
    <w:rsid w:val="00CF26DA"/>
    <w:rsid w:val="00CF3117"/>
    <w:rsid w:val="00CF358E"/>
    <w:rsid w:val="00CF35D8"/>
    <w:rsid w:val="00CF36B2"/>
    <w:rsid w:val="00CF3975"/>
    <w:rsid w:val="00CF4BF2"/>
    <w:rsid w:val="00CF7E5E"/>
    <w:rsid w:val="00D00BC8"/>
    <w:rsid w:val="00D01369"/>
    <w:rsid w:val="00D01B0A"/>
    <w:rsid w:val="00D020D4"/>
    <w:rsid w:val="00D037B1"/>
    <w:rsid w:val="00D05756"/>
    <w:rsid w:val="00D05900"/>
    <w:rsid w:val="00D05B9B"/>
    <w:rsid w:val="00D06918"/>
    <w:rsid w:val="00D10EB8"/>
    <w:rsid w:val="00D11F28"/>
    <w:rsid w:val="00D126C7"/>
    <w:rsid w:val="00D14026"/>
    <w:rsid w:val="00D14985"/>
    <w:rsid w:val="00D153C2"/>
    <w:rsid w:val="00D171B5"/>
    <w:rsid w:val="00D17455"/>
    <w:rsid w:val="00D17559"/>
    <w:rsid w:val="00D17AE0"/>
    <w:rsid w:val="00D205FE"/>
    <w:rsid w:val="00D20C0D"/>
    <w:rsid w:val="00D20C73"/>
    <w:rsid w:val="00D21314"/>
    <w:rsid w:val="00D226F5"/>
    <w:rsid w:val="00D23977"/>
    <w:rsid w:val="00D2447E"/>
    <w:rsid w:val="00D24F78"/>
    <w:rsid w:val="00D25D7C"/>
    <w:rsid w:val="00D26416"/>
    <w:rsid w:val="00D2656E"/>
    <w:rsid w:val="00D26667"/>
    <w:rsid w:val="00D26FEB"/>
    <w:rsid w:val="00D27C1B"/>
    <w:rsid w:val="00D30044"/>
    <w:rsid w:val="00D3035E"/>
    <w:rsid w:val="00D30CCE"/>
    <w:rsid w:val="00D31295"/>
    <w:rsid w:val="00D31A0C"/>
    <w:rsid w:val="00D32902"/>
    <w:rsid w:val="00D32F19"/>
    <w:rsid w:val="00D33EC5"/>
    <w:rsid w:val="00D35AD4"/>
    <w:rsid w:val="00D36C34"/>
    <w:rsid w:val="00D37054"/>
    <w:rsid w:val="00D375B2"/>
    <w:rsid w:val="00D37A57"/>
    <w:rsid w:val="00D400D4"/>
    <w:rsid w:val="00D4041F"/>
    <w:rsid w:val="00D407E7"/>
    <w:rsid w:val="00D40CEC"/>
    <w:rsid w:val="00D422D6"/>
    <w:rsid w:val="00D42C9B"/>
    <w:rsid w:val="00D43A21"/>
    <w:rsid w:val="00D456A1"/>
    <w:rsid w:val="00D456DF"/>
    <w:rsid w:val="00D461D3"/>
    <w:rsid w:val="00D47372"/>
    <w:rsid w:val="00D47595"/>
    <w:rsid w:val="00D47F74"/>
    <w:rsid w:val="00D50041"/>
    <w:rsid w:val="00D501A9"/>
    <w:rsid w:val="00D509C4"/>
    <w:rsid w:val="00D50C3D"/>
    <w:rsid w:val="00D51181"/>
    <w:rsid w:val="00D51993"/>
    <w:rsid w:val="00D53D9A"/>
    <w:rsid w:val="00D541D6"/>
    <w:rsid w:val="00D545D4"/>
    <w:rsid w:val="00D54E11"/>
    <w:rsid w:val="00D55B6C"/>
    <w:rsid w:val="00D573A1"/>
    <w:rsid w:val="00D57416"/>
    <w:rsid w:val="00D60DA8"/>
    <w:rsid w:val="00D61F51"/>
    <w:rsid w:val="00D628D6"/>
    <w:rsid w:val="00D6318C"/>
    <w:rsid w:val="00D635A8"/>
    <w:rsid w:val="00D63E4D"/>
    <w:rsid w:val="00D64347"/>
    <w:rsid w:val="00D64A80"/>
    <w:rsid w:val="00D651F7"/>
    <w:rsid w:val="00D6627C"/>
    <w:rsid w:val="00D6634D"/>
    <w:rsid w:val="00D706E4"/>
    <w:rsid w:val="00D71237"/>
    <w:rsid w:val="00D71504"/>
    <w:rsid w:val="00D71C2A"/>
    <w:rsid w:val="00D71DB8"/>
    <w:rsid w:val="00D73221"/>
    <w:rsid w:val="00D73277"/>
    <w:rsid w:val="00D73B64"/>
    <w:rsid w:val="00D742C4"/>
    <w:rsid w:val="00D74540"/>
    <w:rsid w:val="00D74932"/>
    <w:rsid w:val="00D74BAB"/>
    <w:rsid w:val="00D74C19"/>
    <w:rsid w:val="00D75D8F"/>
    <w:rsid w:val="00D769A6"/>
    <w:rsid w:val="00D77166"/>
    <w:rsid w:val="00D80533"/>
    <w:rsid w:val="00D821B5"/>
    <w:rsid w:val="00D8297A"/>
    <w:rsid w:val="00D83154"/>
    <w:rsid w:val="00D833A5"/>
    <w:rsid w:val="00D8616D"/>
    <w:rsid w:val="00D86829"/>
    <w:rsid w:val="00D869B3"/>
    <w:rsid w:val="00D86B2A"/>
    <w:rsid w:val="00D86DDC"/>
    <w:rsid w:val="00D86DEC"/>
    <w:rsid w:val="00D87A82"/>
    <w:rsid w:val="00D87A9E"/>
    <w:rsid w:val="00D90610"/>
    <w:rsid w:val="00D9241E"/>
    <w:rsid w:val="00D92B26"/>
    <w:rsid w:val="00D92D51"/>
    <w:rsid w:val="00D92D9C"/>
    <w:rsid w:val="00D945EE"/>
    <w:rsid w:val="00D94F4D"/>
    <w:rsid w:val="00D967BE"/>
    <w:rsid w:val="00D969AE"/>
    <w:rsid w:val="00D96CAD"/>
    <w:rsid w:val="00D96D8B"/>
    <w:rsid w:val="00D973B2"/>
    <w:rsid w:val="00DA00AE"/>
    <w:rsid w:val="00DA0517"/>
    <w:rsid w:val="00DA0D97"/>
    <w:rsid w:val="00DA1624"/>
    <w:rsid w:val="00DA202A"/>
    <w:rsid w:val="00DA22A4"/>
    <w:rsid w:val="00DA25E9"/>
    <w:rsid w:val="00DA2F48"/>
    <w:rsid w:val="00DA3E5F"/>
    <w:rsid w:val="00DA4B1D"/>
    <w:rsid w:val="00DA4BC9"/>
    <w:rsid w:val="00DA4D9F"/>
    <w:rsid w:val="00DA60DC"/>
    <w:rsid w:val="00DA63C8"/>
    <w:rsid w:val="00DA763C"/>
    <w:rsid w:val="00DA7A56"/>
    <w:rsid w:val="00DB00A9"/>
    <w:rsid w:val="00DB0916"/>
    <w:rsid w:val="00DB1952"/>
    <w:rsid w:val="00DB20C4"/>
    <w:rsid w:val="00DB24CA"/>
    <w:rsid w:val="00DB41BF"/>
    <w:rsid w:val="00DB468D"/>
    <w:rsid w:val="00DB46A9"/>
    <w:rsid w:val="00DB4EF7"/>
    <w:rsid w:val="00DB6712"/>
    <w:rsid w:val="00DB67DF"/>
    <w:rsid w:val="00DB6A02"/>
    <w:rsid w:val="00DB7496"/>
    <w:rsid w:val="00DB77B9"/>
    <w:rsid w:val="00DB79E4"/>
    <w:rsid w:val="00DB7FE4"/>
    <w:rsid w:val="00DC0BFC"/>
    <w:rsid w:val="00DC0DA3"/>
    <w:rsid w:val="00DC1FAD"/>
    <w:rsid w:val="00DC27E5"/>
    <w:rsid w:val="00DC2927"/>
    <w:rsid w:val="00DC35F5"/>
    <w:rsid w:val="00DC3A2E"/>
    <w:rsid w:val="00DC4664"/>
    <w:rsid w:val="00DC4956"/>
    <w:rsid w:val="00DC599F"/>
    <w:rsid w:val="00DC5CF4"/>
    <w:rsid w:val="00DC62B9"/>
    <w:rsid w:val="00DC647C"/>
    <w:rsid w:val="00DC7301"/>
    <w:rsid w:val="00DC73D0"/>
    <w:rsid w:val="00DC741F"/>
    <w:rsid w:val="00DC77A3"/>
    <w:rsid w:val="00DD0101"/>
    <w:rsid w:val="00DD0661"/>
    <w:rsid w:val="00DD07FC"/>
    <w:rsid w:val="00DD0A0C"/>
    <w:rsid w:val="00DD13A2"/>
    <w:rsid w:val="00DD22A7"/>
    <w:rsid w:val="00DD2783"/>
    <w:rsid w:val="00DD2A36"/>
    <w:rsid w:val="00DD2C29"/>
    <w:rsid w:val="00DD2F1E"/>
    <w:rsid w:val="00DD3293"/>
    <w:rsid w:val="00DD3348"/>
    <w:rsid w:val="00DD33F7"/>
    <w:rsid w:val="00DD340F"/>
    <w:rsid w:val="00DD3470"/>
    <w:rsid w:val="00DD3713"/>
    <w:rsid w:val="00DD389D"/>
    <w:rsid w:val="00DD38CB"/>
    <w:rsid w:val="00DD5088"/>
    <w:rsid w:val="00DD50CB"/>
    <w:rsid w:val="00DD5455"/>
    <w:rsid w:val="00DD5541"/>
    <w:rsid w:val="00DD615E"/>
    <w:rsid w:val="00DD61E0"/>
    <w:rsid w:val="00DD6979"/>
    <w:rsid w:val="00DD7142"/>
    <w:rsid w:val="00DD7D77"/>
    <w:rsid w:val="00DE2EA6"/>
    <w:rsid w:val="00DE37A7"/>
    <w:rsid w:val="00DE3C1E"/>
    <w:rsid w:val="00DE401B"/>
    <w:rsid w:val="00DE4052"/>
    <w:rsid w:val="00DE4513"/>
    <w:rsid w:val="00DE497C"/>
    <w:rsid w:val="00DE5CA7"/>
    <w:rsid w:val="00DE6948"/>
    <w:rsid w:val="00DE69E2"/>
    <w:rsid w:val="00DE6E42"/>
    <w:rsid w:val="00DE7430"/>
    <w:rsid w:val="00DF0056"/>
    <w:rsid w:val="00DF2A9D"/>
    <w:rsid w:val="00DF2DD7"/>
    <w:rsid w:val="00DF34FB"/>
    <w:rsid w:val="00DF3CE5"/>
    <w:rsid w:val="00DF40CE"/>
    <w:rsid w:val="00DF4959"/>
    <w:rsid w:val="00DF62CD"/>
    <w:rsid w:val="00DF650A"/>
    <w:rsid w:val="00DF7C46"/>
    <w:rsid w:val="00E00242"/>
    <w:rsid w:val="00E00637"/>
    <w:rsid w:val="00E00667"/>
    <w:rsid w:val="00E014BF"/>
    <w:rsid w:val="00E0171A"/>
    <w:rsid w:val="00E0197E"/>
    <w:rsid w:val="00E019F2"/>
    <w:rsid w:val="00E01D44"/>
    <w:rsid w:val="00E02452"/>
    <w:rsid w:val="00E032B5"/>
    <w:rsid w:val="00E03304"/>
    <w:rsid w:val="00E034B4"/>
    <w:rsid w:val="00E04595"/>
    <w:rsid w:val="00E06569"/>
    <w:rsid w:val="00E07973"/>
    <w:rsid w:val="00E07C5C"/>
    <w:rsid w:val="00E10210"/>
    <w:rsid w:val="00E10D5C"/>
    <w:rsid w:val="00E129EE"/>
    <w:rsid w:val="00E12A72"/>
    <w:rsid w:val="00E12DB2"/>
    <w:rsid w:val="00E13054"/>
    <w:rsid w:val="00E1349E"/>
    <w:rsid w:val="00E145A5"/>
    <w:rsid w:val="00E14601"/>
    <w:rsid w:val="00E1506E"/>
    <w:rsid w:val="00E157EF"/>
    <w:rsid w:val="00E15A5C"/>
    <w:rsid w:val="00E168CB"/>
    <w:rsid w:val="00E16AA2"/>
    <w:rsid w:val="00E16AB6"/>
    <w:rsid w:val="00E16EC5"/>
    <w:rsid w:val="00E17A1C"/>
    <w:rsid w:val="00E17A4C"/>
    <w:rsid w:val="00E201C9"/>
    <w:rsid w:val="00E20431"/>
    <w:rsid w:val="00E2059D"/>
    <w:rsid w:val="00E20ABC"/>
    <w:rsid w:val="00E21DDD"/>
    <w:rsid w:val="00E21F42"/>
    <w:rsid w:val="00E21F7A"/>
    <w:rsid w:val="00E224A7"/>
    <w:rsid w:val="00E23324"/>
    <w:rsid w:val="00E23652"/>
    <w:rsid w:val="00E23732"/>
    <w:rsid w:val="00E23B5C"/>
    <w:rsid w:val="00E24207"/>
    <w:rsid w:val="00E24AC0"/>
    <w:rsid w:val="00E25B06"/>
    <w:rsid w:val="00E25E0F"/>
    <w:rsid w:val="00E25FE6"/>
    <w:rsid w:val="00E3084E"/>
    <w:rsid w:val="00E31465"/>
    <w:rsid w:val="00E322BA"/>
    <w:rsid w:val="00E32B8D"/>
    <w:rsid w:val="00E32D7B"/>
    <w:rsid w:val="00E32F67"/>
    <w:rsid w:val="00E34340"/>
    <w:rsid w:val="00E34701"/>
    <w:rsid w:val="00E3497C"/>
    <w:rsid w:val="00E35054"/>
    <w:rsid w:val="00E350B3"/>
    <w:rsid w:val="00E35731"/>
    <w:rsid w:val="00E35A13"/>
    <w:rsid w:val="00E35BCD"/>
    <w:rsid w:val="00E35C94"/>
    <w:rsid w:val="00E368DA"/>
    <w:rsid w:val="00E36DA2"/>
    <w:rsid w:val="00E37194"/>
    <w:rsid w:val="00E41210"/>
    <w:rsid w:val="00E41250"/>
    <w:rsid w:val="00E41456"/>
    <w:rsid w:val="00E41AFC"/>
    <w:rsid w:val="00E42542"/>
    <w:rsid w:val="00E43424"/>
    <w:rsid w:val="00E43523"/>
    <w:rsid w:val="00E43A89"/>
    <w:rsid w:val="00E43D54"/>
    <w:rsid w:val="00E43FDF"/>
    <w:rsid w:val="00E45735"/>
    <w:rsid w:val="00E4575B"/>
    <w:rsid w:val="00E45786"/>
    <w:rsid w:val="00E45C29"/>
    <w:rsid w:val="00E47353"/>
    <w:rsid w:val="00E47386"/>
    <w:rsid w:val="00E510C5"/>
    <w:rsid w:val="00E5186B"/>
    <w:rsid w:val="00E51AF7"/>
    <w:rsid w:val="00E52697"/>
    <w:rsid w:val="00E52FA8"/>
    <w:rsid w:val="00E5384C"/>
    <w:rsid w:val="00E54055"/>
    <w:rsid w:val="00E54179"/>
    <w:rsid w:val="00E547EB"/>
    <w:rsid w:val="00E5488A"/>
    <w:rsid w:val="00E54A08"/>
    <w:rsid w:val="00E54A61"/>
    <w:rsid w:val="00E54DC5"/>
    <w:rsid w:val="00E55F26"/>
    <w:rsid w:val="00E60981"/>
    <w:rsid w:val="00E6121E"/>
    <w:rsid w:val="00E62F58"/>
    <w:rsid w:val="00E62FB0"/>
    <w:rsid w:val="00E631CF"/>
    <w:rsid w:val="00E63585"/>
    <w:rsid w:val="00E6392C"/>
    <w:rsid w:val="00E63CE4"/>
    <w:rsid w:val="00E64894"/>
    <w:rsid w:val="00E66DE8"/>
    <w:rsid w:val="00E672AB"/>
    <w:rsid w:val="00E67A9B"/>
    <w:rsid w:val="00E67B98"/>
    <w:rsid w:val="00E70490"/>
    <w:rsid w:val="00E70BF4"/>
    <w:rsid w:val="00E70F71"/>
    <w:rsid w:val="00E71B66"/>
    <w:rsid w:val="00E71E5C"/>
    <w:rsid w:val="00E720F2"/>
    <w:rsid w:val="00E7242D"/>
    <w:rsid w:val="00E726B1"/>
    <w:rsid w:val="00E72703"/>
    <w:rsid w:val="00E72977"/>
    <w:rsid w:val="00E72F32"/>
    <w:rsid w:val="00E733EB"/>
    <w:rsid w:val="00E73C6B"/>
    <w:rsid w:val="00E74C5F"/>
    <w:rsid w:val="00E75EC6"/>
    <w:rsid w:val="00E771D8"/>
    <w:rsid w:val="00E81006"/>
    <w:rsid w:val="00E81B42"/>
    <w:rsid w:val="00E81D52"/>
    <w:rsid w:val="00E82482"/>
    <w:rsid w:val="00E828A4"/>
    <w:rsid w:val="00E82940"/>
    <w:rsid w:val="00E8389B"/>
    <w:rsid w:val="00E839F1"/>
    <w:rsid w:val="00E84194"/>
    <w:rsid w:val="00E845E5"/>
    <w:rsid w:val="00E849AA"/>
    <w:rsid w:val="00E86333"/>
    <w:rsid w:val="00E86FB6"/>
    <w:rsid w:val="00E8725E"/>
    <w:rsid w:val="00E87402"/>
    <w:rsid w:val="00E874F4"/>
    <w:rsid w:val="00E90125"/>
    <w:rsid w:val="00E9087F"/>
    <w:rsid w:val="00E90911"/>
    <w:rsid w:val="00E90994"/>
    <w:rsid w:val="00E90B6E"/>
    <w:rsid w:val="00E92712"/>
    <w:rsid w:val="00E93935"/>
    <w:rsid w:val="00E9453D"/>
    <w:rsid w:val="00E94678"/>
    <w:rsid w:val="00E94ABE"/>
    <w:rsid w:val="00E96C5A"/>
    <w:rsid w:val="00E96DC9"/>
    <w:rsid w:val="00E97AFC"/>
    <w:rsid w:val="00E97B08"/>
    <w:rsid w:val="00EA0024"/>
    <w:rsid w:val="00EA064A"/>
    <w:rsid w:val="00EA0D46"/>
    <w:rsid w:val="00EA0FB4"/>
    <w:rsid w:val="00EA1017"/>
    <w:rsid w:val="00EA1078"/>
    <w:rsid w:val="00EA15E3"/>
    <w:rsid w:val="00EA2C12"/>
    <w:rsid w:val="00EA31B4"/>
    <w:rsid w:val="00EA3B0C"/>
    <w:rsid w:val="00EA3CC0"/>
    <w:rsid w:val="00EA3F03"/>
    <w:rsid w:val="00EA420D"/>
    <w:rsid w:val="00EA480B"/>
    <w:rsid w:val="00EA48A1"/>
    <w:rsid w:val="00EA4989"/>
    <w:rsid w:val="00EA4DA9"/>
    <w:rsid w:val="00EA6B97"/>
    <w:rsid w:val="00EA717A"/>
    <w:rsid w:val="00EA71A4"/>
    <w:rsid w:val="00EA7677"/>
    <w:rsid w:val="00EB1971"/>
    <w:rsid w:val="00EB20F7"/>
    <w:rsid w:val="00EB278B"/>
    <w:rsid w:val="00EB2AA9"/>
    <w:rsid w:val="00EB32DB"/>
    <w:rsid w:val="00EB347E"/>
    <w:rsid w:val="00EB3C38"/>
    <w:rsid w:val="00EB4A22"/>
    <w:rsid w:val="00EB52FC"/>
    <w:rsid w:val="00EB52FE"/>
    <w:rsid w:val="00EB5A59"/>
    <w:rsid w:val="00EB67C7"/>
    <w:rsid w:val="00EB700B"/>
    <w:rsid w:val="00EB727B"/>
    <w:rsid w:val="00EB7EDA"/>
    <w:rsid w:val="00EC0ABC"/>
    <w:rsid w:val="00EC1475"/>
    <w:rsid w:val="00EC281D"/>
    <w:rsid w:val="00EC2EB8"/>
    <w:rsid w:val="00EC3B19"/>
    <w:rsid w:val="00EC3B5C"/>
    <w:rsid w:val="00EC3EF4"/>
    <w:rsid w:val="00EC43E3"/>
    <w:rsid w:val="00EC47DD"/>
    <w:rsid w:val="00EC4B14"/>
    <w:rsid w:val="00EC5131"/>
    <w:rsid w:val="00EC5465"/>
    <w:rsid w:val="00EC6B3D"/>
    <w:rsid w:val="00EC746C"/>
    <w:rsid w:val="00EC7DC4"/>
    <w:rsid w:val="00ED0B49"/>
    <w:rsid w:val="00ED0BE6"/>
    <w:rsid w:val="00ED1603"/>
    <w:rsid w:val="00ED29A5"/>
    <w:rsid w:val="00ED2D6D"/>
    <w:rsid w:val="00ED2E54"/>
    <w:rsid w:val="00ED328B"/>
    <w:rsid w:val="00ED4308"/>
    <w:rsid w:val="00ED4C44"/>
    <w:rsid w:val="00ED53BA"/>
    <w:rsid w:val="00ED62BD"/>
    <w:rsid w:val="00ED71F7"/>
    <w:rsid w:val="00ED7D57"/>
    <w:rsid w:val="00EE1E33"/>
    <w:rsid w:val="00EE220E"/>
    <w:rsid w:val="00EE2408"/>
    <w:rsid w:val="00EE25FC"/>
    <w:rsid w:val="00EE2907"/>
    <w:rsid w:val="00EE3108"/>
    <w:rsid w:val="00EE4D37"/>
    <w:rsid w:val="00EE606A"/>
    <w:rsid w:val="00EE6377"/>
    <w:rsid w:val="00EF0BD6"/>
    <w:rsid w:val="00EF12B5"/>
    <w:rsid w:val="00EF15C9"/>
    <w:rsid w:val="00EF1E17"/>
    <w:rsid w:val="00EF334C"/>
    <w:rsid w:val="00EF409A"/>
    <w:rsid w:val="00EF420B"/>
    <w:rsid w:val="00EF4331"/>
    <w:rsid w:val="00EF4B74"/>
    <w:rsid w:val="00EF5610"/>
    <w:rsid w:val="00EF5A06"/>
    <w:rsid w:val="00EF6971"/>
    <w:rsid w:val="00EF71CC"/>
    <w:rsid w:val="00F003BB"/>
    <w:rsid w:val="00F009D5"/>
    <w:rsid w:val="00F01009"/>
    <w:rsid w:val="00F0127E"/>
    <w:rsid w:val="00F0128E"/>
    <w:rsid w:val="00F01E4D"/>
    <w:rsid w:val="00F01F85"/>
    <w:rsid w:val="00F025A7"/>
    <w:rsid w:val="00F025DC"/>
    <w:rsid w:val="00F02D0E"/>
    <w:rsid w:val="00F04267"/>
    <w:rsid w:val="00F05553"/>
    <w:rsid w:val="00F060A7"/>
    <w:rsid w:val="00F064A2"/>
    <w:rsid w:val="00F064D1"/>
    <w:rsid w:val="00F0658B"/>
    <w:rsid w:val="00F06619"/>
    <w:rsid w:val="00F06BBC"/>
    <w:rsid w:val="00F07816"/>
    <w:rsid w:val="00F079BC"/>
    <w:rsid w:val="00F07A90"/>
    <w:rsid w:val="00F1076D"/>
    <w:rsid w:val="00F116DF"/>
    <w:rsid w:val="00F11C92"/>
    <w:rsid w:val="00F121F5"/>
    <w:rsid w:val="00F130CC"/>
    <w:rsid w:val="00F13678"/>
    <w:rsid w:val="00F143B4"/>
    <w:rsid w:val="00F146C4"/>
    <w:rsid w:val="00F14CF7"/>
    <w:rsid w:val="00F154A9"/>
    <w:rsid w:val="00F1589A"/>
    <w:rsid w:val="00F165BA"/>
    <w:rsid w:val="00F16B16"/>
    <w:rsid w:val="00F16C7F"/>
    <w:rsid w:val="00F16E0A"/>
    <w:rsid w:val="00F17B00"/>
    <w:rsid w:val="00F20364"/>
    <w:rsid w:val="00F20CD4"/>
    <w:rsid w:val="00F2192E"/>
    <w:rsid w:val="00F21DCD"/>
    <w:rsid w:val="00F21FC7"/>
    <w:rsid w:val="00F2212D"/>
    <w:rsid w:val="00F22561"/>
    <w:rsid w:val="00F227AF"/>
    <w:rsid w:val="00F2289E"/>
    <w:rsid w:val="00F229CF"/>
    <w:rsid w:val="00F23357"/>
    <w:rsid w:val="00F23814"/>
    <w:rsid w:val="00F2386B"/>
    <w:rsid w:val="00F23AAE"/>
    <w:rsid w:val="00F24C6E"/>
    <w:rsid w:val="00F24D6E"/>
    <w:rsid w:val="00F257D0"/>
    <w:rsid w:val="00F25978"/>
    <w:rsid w:val="00F25DE7"/>
    <w:rsid w:val="00F26743"/>
    <w:rsid w:val="00F2702E"/>
    <w:rsid w:val="00F2768B"/>
    <w:rsid w:val="00F277A8"/>
    <w:rsid w:val="00F31038"/>
    <w:rsid w:val="00F31DFD"/>
    <w:rsid w:val="00F31F71"/>
    <w:rsid w:val="00F35B5C"/>
    <w:rsid w:val="00F36629"/>
    <w:rsid w:val="00F3663F"/>
    <w:rsid w:val="00F36952"/>
    <w:rsid w:val="00F36D3D"/>
    <w:rsid w:val="00F37B7C"/>
    <w:rsid w:val="00F37D5E"/>
    <w:rsid w:val="00F37F62"/>
    <w:rsid w:val="00F400BF"/>
    <w:rsid w:val="00F4085D"/>
    <w:rsid w:val="00F41A80"/>
    <w:rsid w:val="00F42132"/>
    <w:rsid w:val="00F42680"/>
    <w:rsid w:val="00F43D0D"/>
    <w:rsid w:val="00F43D25"/>
    <w:rsid w:val="00F4429C"/>
    <w:rsid w:val="00F444F8"/>
    <w:rsid w:val="00F4465B"/>
    <w:rsid w:val="00F450B2"/>
    <w:rsid w:val="00F45441"/>
    <w:rsid w:val="00F4551B"/>
    <w:rsid w:val="00F45700"/>
    <w:rsid w:val="00F464BC"/>
    <w:rsid w:val="00F46ECF"/>
    <w:rsid w:val="00F52394"/>
    <w:rsid w:val="00F53032"/>
    <w:rsid w:val="00F53870"/>
    <w:rsid w:val="00F54061"/>
    <w:rsid w:val="00F5450E"/>
    <w:rsid w:val="00F5458F"/>
    <w:rsid w:val="00F56A0F"/>
    <w:rsid w:val="00F56EA7"/>
    <w:rsid w:val="00F56EAB"/>
    <w:rsid w:val="00F57156"/>
    <w:rsid w:val="00F57249"/>
    <w:rsid w:val="00F572E1"/>
    <w:rsid w:val="00F5799F"/>
    <w:rsid w:val="00F57D68"/>
    <w:rsid w:val="00F6002B"/>
    <w:rsid w:val="00F617CB"/>
    <w:rsid w:val="00F61E54"/>
    <w:rsid w:val="00F626DD"/>
    <w:rsid w:val="00F6295B"/>
    <w:rsid w:val="00F62BB3"/>
    <w:rsid w:val="00F633AB"/>
    <w:rsid w:val="00F639B7"/>
    <w:rsid w:val="00F64D8A"/>
    <w:rsid w:val="00F64DB9"/>
    <w:rsid w:val="00F653B9"/>
    <w:rsid w:val="00F65691"/>
    <w:rsid w:val="00F66D89"/>
    <w:rsid w:val="00F67213"/>
    <w:rsid w:val="00F6721E"/>
    <w:rsid w:val="00F673B9"/>
    <w:rsid w:val="00F71A38"/>
    <w:rsid w:val="00F72159"/>
    <w:rsid w:val="00F72795"/>
    <w:rsid w:val="00F728ED"/>
    <w:rsid w:val="00F7339E"/>
    <w:rsid w:val="00F75474"/>
    <w:rsid w:val="00F756CC"/>
    <w:rsid w:val="00F7584E"/>
    <w:rsid w:val="00F761D7"/>
    <w:rsid w:val="00F77E68"/>
    <w:rsid w:val="00F80107"/>
    <w:rsid w:val="00F80F55"/>
    <w:rsid w:val="00F81B03"/>
    <w:rsid w:val="00F81C24"/>
    <w:rsid w:val="00F82EBF"/>
    <w:rsid w:val="00F841C0"/>
    <w:rsid w:val="00F845C7"/>
    <w:rsid w:val="00F849C4"/>
    <w:rsid w:val="00F854A8"/>
    <w:rsid w:val="00F8564F"/>
    <w:rsid w:val="00F85CED"/>
    <w:rsid w:val="00F86335"/>
    <w:rsid w:val="00F86BAC"/>
    <w:rsid w:val="00F8708F"/>
    <w:rsid w:val="00F871E4"/>
    <w:rsid w:val="00F8793E"/>
    <w:rsid w:val="00F87A5B"/>
    <w:rsid w:val="00F87C56"/>
    <w:rsid w:val="00F90252"/>
    <w:rsid w:val="00F907AD"/>
    <w:rsid w:val="00F912B4"/>
    <w:rsid w:val="00F92D80"/>
    <w:rsid w:val="00F92F43"/>
    <w:rsid w:val="00F9327F"/>
    <w:rsid w:val="00F936A8"/>
    <w:rsid w:val="00F94213"/>
    <w:rsid w:val="00F94827"/>
    <w:rsid w:val="00F950C5"/>
    <w:rsid w:val="00F95379"/>
    <w:rsid w:val="00F957AC"/>
    <w:rsid w:val="00F95F1B"/>
    <w:rsid w:val="00F96A39"/>
    <w:rsid w:val="00F97E3C"/>
    <w:rsid w:val="00FA0AE6"/>
    <w:rsid w:val="00FA1AC8"/>
    <w:rsid w:val="00FA226A"/>
    <w:rsid w:val="00FA23C2"/>
    <w:rsid w:val="00FA2FC2"/>
    <w:rsid w:val="00FA4EA9"/>
    <w:rsid w:val="00FA4F3A"/>
    <w:rsid w:val="00FA5877"/>
    <w:rsid w:val="00FA63D1"/>
    <w:rsid w:val="00FA70FE"/>
    <w:rsid w:val="00FA7A12"/>
    <w:rsid w:val="00FA7B66"/>
    <w:rsid w:val="00FB1502"/>
    <w:rsid w:val="00FB1821"/>
    <w:rsid w:val="00FB269C"/>
    <w:rsid w:val="00FB2D78"/>
    <w:rsid w:val="00FB443B"/>
    <w:rsid w:val="00FB445C"/>
    <w:rsid w:val="00FB4B2C"/>
    <w:rsid w:val="00FB5085"/>
    <w:rsid w:val="00FB5DBF"/>
    <w:rsid w:val="00FB5EFD"/>
    <w:rsid w:val="00FB657D"/>
    <w:rsid w:val="00FB71BA"/>
    <w:rsid w:val="00FB752D"/>
    <w:rsid w:val="00FC22C5"/>
    <w:rsid w:val="00FC398A"/>
    <w:rsid w:val="00FC3B43"/>
    <w:rsid w:val="00FC4025"/>
    <w:rsid w:val="00FC4119"/>
    <w:rsid w:val="00FC54B2"/>
    <w:rsid w:val="00FC5567"/>
    <w:rsid w:val="00FC5E6E"/>
    <w:rsid w:val="00FC630C"/>
    <w:rsid w:val="00FC68FF"/>
    <w:rsid w:val="00FC71B7"/>
    <w:rsid w:val="00FC72FA"/>
    <w:rsid w:val="00FD1973"/>
    <w:rsid w:val="00FD30A0"/>
    <w:rsid w:val="00FD37F9"/>
    <w:rsid w:val="00FD468D"/>
    <w:rsid w:val="00FD53E4"/>
    <w:rsid w:val="00FD6021"/>
    <w:rsid w:val="00FD6341"/>
    <w:rsid w:val="00FD67B1"/>
    <w:rsid w:val="00FD7070"/>
    <w:rsid w:val="00FD7EDC"/>
    <w:rsid w:val="00FE114A"/>
    <w:rsid w:val="00FE1477"/>
    <w:rsid w:val="00FE1CFA"/>
    <w:rsid w:val="00FE1E4A"/>
    <w:rsid w:val="00FE4AC9"/>
    <w:rsid w:val="00FE4DF8"/>
    <w:rsid w:val="00FE511B"/>
    <w:rsid w:val="00FE5D0B"/>
    <w:rsid w:val="00FE67B8"/>
    <w:rsid w:val="00FF020A"/>
    <w:rsid w:val="00FF045B"/>
    <w:rsid w:val="00FF119F"/>
    <w:rsid w:val="00FF174C"/>
    <w:rsid w:val="00FF18A2"/>
    <w:rsid w:val="00FF1D31"/>
    <w:rsid w:val="00FF2891"/>
    <w:rsid w:val="00FF2FA1"/>
    <w:rsid w:val="00FF31CA"/>
    <w:rsid w:val="00FF361F"/>
    <w:rsid w:val="00FF3935"/>
    <w:rsid w:val="00FF3E94"/>
    <w:rsid w:val="00FF3FB1"/>
    <w:rsid w:val="00FF4088"/>
    <w:rsid w:val="00FF4680"/>
    <w:rsid w:val="00FF46B0"/>
    <w:rsid w:val="00FF5406"/>
    <w:rsid w:val="00FF582A"/>
    <w:rsid w:val="00FF5B3F"/>
    <w:rsid w:val="00FF6AA9"/>
    <w:rsid w:val="00FF780C"/>
    <w:rsid w:val="0134E11C"/>
    <w:rsid w:val="017E0879"/>
    <w:rsid w:val="01C3A2F9"/>
    <w:rsid w:val="02CC6D35"/>
    <w:rsid w:val="02EA9B28"/>
    <w:rsid w:val="03539616"/>
    <w:rsid w:val="04C0ECAB"/>
    <w:rsid w:val="060F177C"/>
    <w:rsid w:val="066E5DF2"/>
    <w:rsid w:val="069FCAF0"/>
    <w:rsid w:val="0770E5E8"/>
    <w:rsid w:val="0793B2C6"/>
    <w:rsid w:val="07FC6883"/>
    <w:rsid w:val="08B0406B"/>
    <w:rsid w:val="0BED84DF"/>
    <w:rsid w:val="0C3F79B7"/>
    <w:rsid w:val="0C6DE40D"/>
    <w:rsid w:val="0D84D72A"/>
    <w:rsid w:val="0E0E043E"/>
    <w:rsid w:val="0ECAFD90"/>
    <w:rsid w:val="104DE6EE"/>
    <w:rsid w:val="1068E509"/>
    <w:rsid w:val="1088BE32"/>
    <w:rsid w:val="14E0657F"/>
    <w:rsid w:val="155B30F7"/>
    <w:rsid w:val="15C6DA89"/>
    <w:rsid w:val="15E0F380"/>
    <w:rsid w:val="16B542FB"/>
    <w:rsid w:val="16EA3CDA"/>
    <w:rsid w:val="16F4F4F6"/>
    <w:rsid w:val="17837A8E"/>
    <w:rsid w:val="1887621A"/>
    <w:rsid w:val="191D3839"/>
    <w:rsid w:val="19CE3EC4"/>
    <w:rsid w:val="1A6A0934"/>
    <w:rsid w:val="1AA2619B"/>
    <w:rsid w:val="1AAC4929"/>
    <w:rsid w:val="1B58E180"/>
    <w:rsid w:val="1B6B420D"/>
    <w:rsid w:val="1BF0F8EE"/>
    <w:rsid w:val="1C9CA7BF"/>
    <w:rsid w:val="1CE1FBAA"/>
    <w:rsid w:val="1CFA3F7E"/>
    <w:rsid w:val="1D372AC9"/>
    <w:rsid w:val="1D90B8CD"/>
    <w:rsid w:val="1E9A7E85"/>
    <w:rsid w:val="1EAAA09A"/>
    <w:rsid w:val="1F5A5064"/>
    <w:rsid w:val="201E17D2"/>
    <w:rsid w:val="20FF4523"/>
    <w:rsid w:val="21AA7414"/>
    <w:rsid w:val="21EB6C24"/>
    <w:rsid w:val="2259FA42"/>
    <w:rsid w:val="229A7A59"/>
    <w:rsid w:val="23166EC0"/>
    <w:rsid w:val="232C3A11"/>
    <w:rsid w:val="235D0710"/>
    <w:rsid w:val="23740DE5"/>
    <w:rsid w:val="244138BB"/>
    <w:rsid w:val="24BEC30C"/>
    <w:rsid w:val="250F59CA"/>
    <w:rsid w:val="2524DB5F"/>
    <w:rsid w:val="253323E7"/>
    <w:rsid w:val="25D43328"/>
    <w:rsid w:val="2631C63A"/>
    <w:rsid w:val="26B979E9"/>
    <w:rsid w:val="26BDB626"/>
    <w:rsid w:val="28786319"/>
    <w:rsid w:val="28DDFC0B"/>
    <w:rsid w:val="29996F1C"/>
    <w:rsid w:val="29D47B17"/>
    <w:rsid w:val="2B434025"/>
    <w:rsid w:val="2BBB415E"/>
    <w:rsid w:val="2C4A0483"/>
    <w:rsid w:val="2CA72D66"/>
    <w:rsid w:val="2CCF6B5C"/>
    <w:rsid w:val="2D21D403"/>
    <w:rsid w:val="2D55998B"/>
    <w:rsid w:val="2D5D2A63"/>
    <w:rsid w:val="2DA4D606"/>
    <w:rsid w:val="2E8ABF43"/>
    <w:rsid w:val="2EAF2B24"/>
    <w:rsid w:val="2EB8A9CE"/>
    <w:rsid w:val="2F171158"/>
    <w:rsid w:val="2F4B7039"/>
    <w:rsid w:val="2FD9FFF3"/>
    <w:rsid w:val="30F96844"/>
    <w:rsid w:val="3124D9E1"/>
    <w:rsid w:val="32135A85"/>
    <w:rsid w:val="3263CF24"/>
    <w:rsid w:val="32ABA998"/>
    <w:rsid w:val="331246C2"/>
    <w:rsid w:val="3346CF8D"/>
    <w:rsid w:val="345B72E7"/>
    <w:rsid w:val="36A2DD1E"/>
    <w:rsid w:val="36BE2E97"/>
    <w:rsid w:val="371F9E34"/>
    <w:rsid w:val="382F412F"/>
    <w:rsid w:val="3844698F"/>
    <w:rsid w:val="38E9DC45"/>
    <w:rsid w:val="38EE54F3"/>
    <w:rsid w:val="3A385874"/>
    <w:rsid w:val="3AC8800E"/>
    <w:rsid w:val="3B6AF5AA"/>
    <w:rsid w:val="3BD6DEC7"/>
    <w:rsid w:val="3BFD66E3"/>
    <w:rsid w:val="3C367AD8"/>
    <w:rsid w:val="3CBDAE96"/>
    <w:rsid w:val="3E5E2BAF"/>
    <w:rsid w:val="3E68B09F"/>
    <w:rsid w:val="3ECBFAD8"/>
    <w:rsid w:val="3EE19FB6"/>
    <w:rsid w:val="3FA5B9C2"/>
    <w:rsid w:val="411A6698"/>
    <w:rsid w:val="42268707"/>
    <w:rsid w:val="425A4D92"/>
    <w:rsid w:val="425D503E"/>
    <w:rsid w:val="429D8C6E"/>
    <w:rsid w:val="44C39949"/>
    <w:rsid w:val="44CE235E"/>
    <w:rsid w:val="44D18A21"/>
    <w:rsid w:val="456EDB6E"/>
    <w:rsid w:val="45D51C3C"/>
    <w:rsid w:val="461B9A00"/>
    <w:rsid w:val="46766543"/>
    <w:rsid w:val="46826104"/>
    <w:rsid w:val="46B01C8E"/>
    <w:rsid w:val="4780E1ED"/>
    <w:rsid w:val="4896C01A"/>
    <w:rsid w:val="48D06AD7"/>
    <w:rsid w:val="4B2BEDBA"/>
    <w:rsid w:val="4BA801A9"/>
    <w:rsid w:val="4D6360F9"/>
    <w:rsid w:val="4E2AB580"/>
    <w:rsid w:val="4E2E089C"/>
    <w:rsid w:val="4EDE018F"/>
    <w:rsid w:val="4FCC91F6"/>
    <w:rsid w:val="5004E5B9"/>
    <w:rsid w:val="5092CAF5"/>
    <w:rsid w:val="5138CCCC"/>
    <w:rsid w:val="51B98C4F"/>
    <w:rsid w:val="51FEF78C"/>
    <w:rsid w:val="522D290F"/>
    <w:rsid w:val="527BA51B"/>
    <w:rsid w:val="539B0567"/>
    <w:rsid w:val="53A3BA80"/>
    <w:rsid w:val="53A6CC67"/>
    <w:rsid w:val="53ED530D"/>
    <w:rsid w:val="54048B65"/>
    <w:rsid w:val="555BBC67"/>
    <w:rsid w:val="55B734BC"/>
    <w:rsid w:val="560CA283"/>
    <w:rsid w:val="56921FB7"/>
    <w:rsid w:val="56D8870A"/>
    <w:rsid w:val="56F1A147"/>
    <w:rsid w:val="5710F824"/>
    <w:rsid w:val="57F95A9B"/>
    <w:rsid w:val="582B24A5"/>
    <w:rsid w:val="5CA2A6B6"/>
    <w:rsid w:val="5DF26FDD"/>
    <w:rsid w:val="5FF54C5F"/>
    <w:rsid w:val="6062C34B"/>
    <w:rsid w:val="6080A5C3"/>
    <w:rsid w:val="61834577"/>
    <w:rsid w:val="6199993A"/>
    <w:rsid w:val="61A9D502"/>
    <w:rsid w:val="62999EEA"/>
    <w:rsid w:val="63FFB3E8"/>
    <w:rsid w:val="64308B3C"/>
    <w:rsid w:val="6494DCB8"/>
    <w:rsid w:val="65191A49"/>
    <w:rsid w:val="65BCFF8D"/>
    <w:rsid w:val="65D81A84"/>
    <w:rsid w:val="660ADB9C"/>
    <w:rsid w:val="6631D51A"/>
    <w:rsid w:val="673141F2"/>
    <w:rsid w:val="67FB58BC"/>
    <w:rsid w:val="686E9514"/>
    <w:rsid w:val="690E05F2"/>
    <w:rsid w:val="69C20363"/>
    <w:rsid w:val="6A71475D"/>
    <w:rsid w:val="6A8A8FA5"/>
    <w:rsid w:val="6ACAB00E"/>
    <w:rsid w:val="6B994D95"/>
    <w:rsid w:val="6C32A672"/>
    <w:rsid w:val="6C4949E7"/>
    <w:rsid w:val="6C7E1D3A"/>
    <w:rsid w:val="6C8AE903"/>
    <w:rsid w:val="6D17012A"/>
    <w:rsid w:val="6DE04C6C"/>
    <w:rsid w:val="6E143185"/>
    <w:rsid w:val="6EF03F87"/>
    <w:rsid w:val="6F040CE4"/>
    <w:rsid w:val="6F0B0503"/>
    <w:rsid w:val="6F10E0D2"/>
    <w:rsid w:val="6F2FBED9"/>
    <w:rsid w:val="6F5CB057"/>
    <w:rsid w:val="7063A87F"/>
    <w:rsid w:val="71FB66AA"/>
    <w:rsid w:val="72305287"/>
    <w:rsid w:val="737E1794"/>
    <w:rsid w:val="73B8C264"/>
    <w:rsid w:val="74213912"/>
    <w:rsid w:val="7507F861"/>
    <w:rsid w:val="75733C26"/>
    <w:rsid w:val="7669CF01"/>
    <w:rsid w:val="76D49C61"/>
    <w:rsid w:val="773825C9"/>
    <w:rsid w:val="77E351BE"/>
    <w:rsid w:val="7AAEB73D"/>
    <w:rsid w:val="7B0B7135"/>
    <w:rsid w:val="7B416A4C"/>
    <w:rsid w:val="7CB32F27"/>
    <w:rsid w:val="7D20336B"/>
    <w:rsid w:val="7E76DBE1"/>
    <w:rsid w:val="7E83B5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56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6527AD"/>
    <w:rPr>
      <w:rFonts w:ascii="Tahoma" w:hAnsi="Tahoma" w:cs="Tahoma"/>
      <w:sz w:val="16"/>
      <w:szCs w:val="16"/>
    </w:rPr>
  </w:style>
  <w:style w:type="character" w:customStyle="1" w:styleId="BalloonTextChar">
    <w:name w:val="Balloon Text Char"/>
    <w:basedOn w:val="DefaultParagraphFont"/>
    <w:link w:val="BalloonText"/>
    <w:rsid w:val="006527AD"/>
    <w:rPr>
      <w:rFonts w:ascii="Tahoma" w:hAnsi="Tahoma" w:cs="Tahoma"/>
      <w:color w:val="000000"/>
      <w:sz w:val="16"/>
      <w:szCs w:val="16"/>
    </w:rPr>
  </w:style>
  <w:style w:type="paragraph" w:styleId="BodyTextIndent">
    <w:name w:val="Body Text Indent"/>
    <w:basedOn w:val="Normal"/>
    <w:link w:val="BodyTextIndentChar"/>
    <w:rsid w:val="00DB0916"/>
    <w:pPr>
      <w:numPr>
        <w:ilvl w:val="12"/>
      </w:numPr>
      <w:ind w:left="432"/>
    </w:pPr>
  </w:style>
  <w:style w:type="character" w:customStyle="1" w:styleId="BodyTextIndentChar">
    <w:name w:val="Body Text Indent Char"/>
    <w:basedOn w:val="DefaultParagraphFont"/>
    <w:link w:val="BodyTextIndent"/>
    <w:rsid w:val="00DB0916"/>
    <w:rPr>
      <w:rFonts w:cs="Arial"/>
      <w:color w:val="000000"/>
      <w:sz w:val="24"/>
    </w:rPr>
  </w:style>
  <w:style w:type="paragraph" w:styleId="CommentText">
    <w:name w:val="annotation text"/>
    <w:basedOn w:val="Normal"/>
    <w:link w:val="CommentTextChar"/>
    <w:rsid w:val="00A41FF5"/>
    <w:rPr>
      <w:rFonts w:cs="Times New Roman"/>
      <w:color w:val="auto"/>
      <w:sz w:val="20"/>
    </w:rPr>
  </w:style>
  <w:style w:type="character" w:customStyle="1" w:styleId="CommentTextChar">
    <w:name w:val="Comment Text Char"/>
    <w:basedOn w:val="DefaultParagraphFont"/>
    <w:link w:val="CommentText"/>
    <w:rsid w:val="00A41FF5"/>
  </w:style>
  <w:style w:type="character" w:styleId="CommentReference">
    <w:name w:val="annotation reference"/>
    <w:basedOn w:val="DefaultParagraphFont"/>
    <w:rsid w:val="00247646"/>
    <w:rPr>
      <w:sz w:val="16"/>
      <w:szCs w:val="16"/>
    </w:rPr>
  </w:style>
  <w:style w:type="paragraph" w:styleId="CommentSubject">
    <w:name w:val="annotation subject"/>
    <w:basedOn w:val="CommentText"/>
    <w:next w:val="CommentText"/>
    <w:link w:val="CommentSubjectChar"/>
    <w:rsid w:val="00247646"/>
    <w:rPr>
      <w:rFonts w:cs="Arial"/>
      <w:b/>
      <w:bCs/>
      <w:color w:val="000000"/>
    </w:rPr>
  </w:style>
  <w:style w:type="character" w:customStyle="1" w:styleId="CommentSubjectChar">
    <w:name w:val="Comment Subject Char"/>
    <w:basedOn w:val="CommentTextChar"/>
    <w:link w:val="CommentSubject"/>
    <w:rsid w:val="00247646"/>
    <w:rPr>
      <w:rFonts w:cs="Arial"/>
      <w:b/>
      <w:bCs/>
      <w:color w:val="000000"/>
    </w:rPr>
  </w:style>
  <w:style w:type="table" w:styleId="TableGrid">
    <w:name w:val="Table Grid"/>
    <w:basedOn w:val="TableNormal"/>
    <w:rsid w:val="001458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text-3">
    <w:name w:val="ptext-3"/>
    <w:basedOn w:val="DefaultParagraphFont"/>
    <w:rsid w:val="00CF3117"/>
    <w:rPr>
      <w:b w:val="0"/>
      <w:bCs w:val="0"/>
    </w:rPr>
  </w:style>
  <w:style w:type="paragraph" w:styleId="ListParagraph">
    <w:name w:val="List Paragraph"/>
    <w:basedOn w:val="Normal"/>
    <w:uiPriority w:val="34"/>
    <w:qFormat/>
    <w:rsid w:val="002A42C2"/>
    <w:pPr>
      <w:ind w:left="720"/>
      <w:contextualSpacing/>
    </w:pPr>
  </w:style>
  <w:style w:type="paragraph" w:styleId="Revision">
    <w:name w:val="Revision"/>
    <w:hidden/>
    <w:uiPriority w:val="99"/>
    <w:semiHidden/>
    <w:rsid w:val="002A42C2"/>
    <w:rPr>
      <w:rFonts w:cs="Arial"/>
      <w:color w:val="000000"/>
      <w:sz w:val="24"/>
    </w:rPr>
  </w:style>
  <w:style w:type="paragraph" w:styleId="FootnoteText">
    <w:name w:val="footnote text"/>
    <w:basedOn w:val="Normal"/>
    <w:link w:val="FootnoteTextChar"/>
    <w:rsid w:val="00E70490"/>
    <w:rPr>
      <w:sz w:val="20"/>
    </w:rPr>
  </w:style>
  <w:style w:type="character" w:customStyle="1" w:styleId="FootnoteTextChar">
    <w:name w:val="Footnote Text Char"/>
    <w:basedOn w:val="DefaultParagraphFont"/>
    <w:link w:val="FootnoteText"/>
    <w:rsid w:val="00E70490"/>
    <w:rPr>
      <w:rFonts w:cs="Arial"/>
      <w:color w:val="000000"/>
    </w:rPr>
  </w:style>
  <w:style w:type="character" w:styleId="FootnoteReference">
    <w:name w:val="footnote reference"/>
    <w:basedOn w:val="DefaultParagraphFont"/>
    <w:rsid w:val="00E70490"/>
    <w:rPr>
      <w:vertAlign w:val="superscript"/>
    </w:rPr>
  </w:style>
  <w:style w:type="paragraph" w:customStyle="1" w:styleId="NormalLeft025">
    <w:name w:val="Normal + Left:  0.25&quot;"/>
    <w:basedOn w:val="Normal"/>
    <w:rsid w:val="003E0AAB"/>
    <w:pPr>
      <w:numPr>
        <w:ilvl w:val="12"/>
      </w:numPr>
      <w:ind w:left="360"/>
    </w:pPr>
    <w:rPr>
      <w:rFonts w:cs="Times New Roman"/>
    </w:rPr>
  </w:style>
  <w:style w:type="character" w:styleId="Hyperlink">
    <w:name w:val="Hyperlink"/>
    <w:basedOn w:val="DefaultParagraphFont"/>
    <w:unhideWhenUsed/>
    <w:rsid w:val="006E5F60"/>
    <w:rPr>
      <w:color w:val="0000FF" w:themeColor="hyperlink"/>
      <w:u w:val="single"/>
    </w:rPr>
  </w:style>
  <w:style w:type="character" w:styleId="Mention">
    <w:name w:val="Mention"/>
    <w:basedOn w:val="DefaultParagraphFont"/>
    <w:uiPriority w:val="99"/>
    <w:unhideWhenUsed/>
    <w:rsid w:val="0047537A"/>
    <w:rPr>
      <w:color w:val="2B579A"/>
      <w:shd w:val="clear" w:color="auto" w:fill="E1DFDD"/>
    </w:rPr>
  </w:style>
  <w:style w:type="character" w:styleId="UnresolvedMention">
    <w:name w:val="Unresolved Mention"/>
    <w:basedOn w:val="DefaultParagraphFont"/>
    <w:uiPriority w:val="99"/>
    <w:semiHidden/>
    <w:unhideWhenUsed/>
    <w:rsid w:val="00995B8D"/>
    <w:rPr>
      <w:color w:val="605E5C"/>
      <w:shd w:val="clear" w:color="auto" w:fill="E1DFDD"/>
    </w:rPr>
  </w:style>
  <w:style w:type="paragraph" w:styleId="Caption">
    <w:name w:val="caption"/>
    <w:basedOn w:val="Normal"/>
    <w:next w:val="Normal"/>
    <w:unhideWhenUsed/>
    <w:qFormat/>
    <w:rsid w:val="00150CB6"/>
    <w:pPr>
      <w:spacing w:after="200"/>
    </w:pPr>
    <w:rPr>
      <w:i/>
      <w:iCs/>
      <w:color w:val="1F497D" w:themeColor="text2"/>
      <w:sz w:val="18"/>
      <w:szCs w:val="18"/>
    </w:rPr>
  </w:style>
  <w:style w:type="character" w:styleId="FollowedHyperlink">
    <w:name w:val="FollowedHyperlink"/>
    <w:basedOn w:val="DefaultParagraphFont"/>
    <w:semiHidden/>
    <w:unhideWhenUsed/>
    <w:rsid w:val="007E4D3B"/>
    <w:rPr>
      <w:color w:val="800080" w:themeColor="followedHyperlink"/>
      <w:u w:val="single"/>
    </w:rPr>
  </w:style>
  <w:style w:type="character" w:customStyle="1" w:styleId="cf01">
    <w:name w:val="cf01"/>
    <w:basedOn w:val="DefaultParagraphFont"/>
    <w:rsid w:val="006A5B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altarum.org/sites/default/files/Altarum_Travel-and-Wait-Times-for-Health-Care-Services_Feb-22.pdf" TargetMode="External" /><Relationship Id="rId2" Type="http://schemas.openxmlformats.org/officeDocument/2006/relationships/hyperlink" Target="https://data.bls.gov/oes/" TargetMode="External" /><Relationship Id="rId3" Type="http://schemas.openxmlformats.org/officeDocument/2006/relationships/hyperlink" Target="https://www.bls.gov/news.release/archives/ecec_03202026.htm" TargetMode="External" /><Relationship Id="rId4" Type="http://schemas.openxmlformats.org/officeDocument/2006/relationships/hyperlink" Target="https://www.nhtsa.gov/sites/nhtsa.gov/files/traffic_tech/812489_tt-national-traffic-speeds-survey-iii-2015.pdf" TargetMode="External" /><Relationship Id="rId5" Type="http://schemas.openxmlformats.org/officeDocument/2006/relationships/hyperlink" Target="https://www.gsa.gov/travel/plan-a-trip/transportation-airfare-rates-pov-rates/privately-owned-vehicle-pov-mileage-reimbursement" TargetMode="External" /><Relationship Id="rId6" Type="http://schemas.openxmlformats.org/officeDocument/2006/relationships/hyperlink" Target="https://www.cvs.com/minuteclinic/services/price-lists" TargetMode="External" /><Relationship Id="rId7" Type="http://schemas.openxmlformats.org/officeDocument/2006/relationships/hyperlink" Target="https://www.opm.gov/policy-data-oversight/pay-leave/salaries-wages/salary-tables/pdf/2025/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3250</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2026-06-08T18:21:00Z</dcterms:created>
  <dcterms:modified xsi:type="dcterms:W3CDTF">2026-06-08T18:21:00Z</dcterms:modified>
</cp:coreProperties>
</file>