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C1691" w:rsidRPr="00FA12AC" w:rsidP="00CE3562" w14:paraId="179AD0E9" w14:textId="40E9CC1E">
      <w:pPr>
        <w:widowControl w:val="0"/>
        <w:spacing w:before="240" w:after="240"/>
        <w:jc w:val="center"/>
        <w:rPr>
          <w:b/>
          <w:i/>
          <w:color w:val="0000FF"/>
          <w:sz w:val="28"/>
          <w:szCs w:val="18"/>
        </w:rPr>
      </w:pPr>
      <w:r w:rsidRPr="00FA12AC">
        <w:rPr>
          <w:b/>
          <w:sz w:val="28"/>
          <w:szCs w:val="18"/>
        </w:rPr>
        <w:t xml:space="preserve">SUPPORTING STATEMENT FOR </w:t>
      </w:r>
      <w:r w:rsidRPr="00FA12AC">
        <w:rPr>
          <w:b/>
          <w:sz w:val="28"/>
          <w:szCs w:val="18"/>
        </w:rPr>
        <w:br/>
        <w:t>PAPERWORK REDUCTION ACT SUBMISSION</w:t>
      </w:r>
      <w:r w:rsidRPr="00FA12AC" w:rsidR="00D11A71">
        <w:rPr>
          <w:b/>
          <w:sz w:val="28"/>
          <w:szCs w:val="18"/>
        </w:rPr>
        <w:br/>
      </w:r>
      <w:r w:rsidRPr="00FA12AC" w:rsidR="00A16DA3">
        <w:rPr>
          <w:b/>
          <w:sz w:val="28"/>
          <w:szCs w:val="18"/>
        </w:rPr>
        <w:t>O</w:t>
      </w:r>
      <w:r w:rsidRPr="00FA12AC" w:rsidR="008C757D">
        <w:rPr>
          <w:b/>
          <w:sz w:val="28"/>
          <w:szCs w:val="18"/>
        </w:rPr>
        <w:t>MB Control Number 1405-0177 (SV 2012-0006</w:t>
      </w:r>
      <w:r w:rsidRPr="00FA12AC" w:rsidR="00986F63">
        <w:rPr>
          <w:b/>
          <w:sz w:val="28"/>
          <w:szCs w:val="18"/>
        </w:rPr>
        <w:t>)</w:t>
      </w:r>
      <w:r w:rsidRPr="00FA12AC" w:rsidR="00D11A71">
        <w:rPr>
          <w:b/>
          <w:sz w:val="28"/>
          <w:szCs w:val="18"/>
        </w:rPr>
        <w:br/>
      </w:r>
      <w:r w:rsidRPr="00FA12AC" w:rsidR="00982670">
        <w:rPr>
          <w:b/>
          <w:sz w:val="28"/>
          <w:szCs w:val="18"/>
        </w:rPr>
        <w:t>Passport De</w:t>
      </w:r>
      <w:r w:rsidRPr="00FA12AC" w:rsidR="00032CDC">
        <w:rPr>
          <w:b/>
          <w:sz w:val="28"/>
          <w:szCs w:val="18"/>
        </w:rPr>
        <w:t>mand Forecasting Study</w:t>
      </w:r>
    </w:p>
    <w:p w:rsidR="00FA12AC" w:rsidRPr="00CE3562" w:rsidP="00CE3562" w14:paraId="79A01364" w14:textId="3803BD78">
      <w:pPr>
        <w:pStyle w:val="Heading1"/>
        <w:keepNext w:val="0"/>
        <w:widowControl w:val="0"/>
        <w:numPr>
          <w:ilvl w:val="0"/>
          <w:numId w:val="30"/>
        </w:numPr>
        <w:spacing w:before="240"/>
        <w:ind w:left="720"/>
        <w:rPr>
          <w:sz w:val="28"/>
          <w:szCs w:val="22"/>
        </w:rPr>
      </w:pPr>
      <w:r w:rsidRPr="00CE3562">
        <w:rPr>
          <w:sz w:val="28"/>
          <w:szCs w:val="22"/>
        </w:rPr>
        <w:t>J</w:t>
      </w:r>
      <w:r w:rsidRPr="00CE3562">
        <w:rPr>
          <w:sz w:val="28"/>
          <w:szCs w:val="22"/>
        </w:rPr>
        <w:t>ustification</w:t>
      </w:r>
    </w:p>
    <w:p w:rsidR="00BE447F" w:rsidRPr="00BE447F" w:rsidP="00CE3562" w14:paraId="18BB0A50" w14:textId="197D5E87">
      <w:pPr>
        <w:pStyle w:val="ListParagraph"/>
        <w:widowControl w:val="0"/>
        <w:numPr>
          <w:ilvl w:val="0"/>
          <w:numId w:val="2"/>
        </w:numPr>
        <w:spacing w:before="120"/>
        <w:contextualSpacing w:val="0"/>
        <w:rPr>
          <w:bCs/>
        </w:rPr>
      </w:pPr>
      <w:r w:rsidRPr="006007AB">
        <w:rPr>
          <w:i/>
          <w:color w:val="000000" w:themeColor="text1"/>
          <w:szCs w:val="24"/>
        </w:rPr>
        <w:t>Why is this collection necessary and what are the legal statutes that allow this?</w:t>
      </w:r>
    </w:p>
    <w:p w:rsidR="00FA12AC" w:rsidP="00CE3562" w14:paraId="6F308211" w14:textId="734BD785">
      <w:pPr>
        <w:pStyle w:val="ListParagraph"/>
        <w:widowControl w:val="0"/>
        <w:spacing w:before="120"/>
        <w:ind w:left="420"/>
        <w:contextualSpacing w:val="0"/>
        <w:rPr>
          <w:bCs/>
        </w:rPr>
      </w:pPr>
      <w:r w:rsidRPr="00A16DA3">
        <w:t>The United States border management community is tasked with the protection of the United States and its territories from foreign threats, the enforcement of immigration and customs laws, and the promotion of economic prosperity for the U</w:t>
      </w:r>
      <w:r w:rsidRPr="00A16DA3" w:rsidR="000515F8">
        <w:t>nited States and our</w:t>
      </w:r>
      <w:r w:rsidRPr="00A16DA3">
        <w:t xml:space="preserve"> allies</w:t>
      </w:r>
      <w:r w:rsidR="007C73B7">
        <w:t xml:space="preserve">. </w:t>
      </w:r>
      <w:r w:rsidRPr="00A16DA3">
        <w:t>The Department of State plays a vital role in this community through several offices, including its Bureau of Consular Affairs’ Passport Services Directorate</w:t>
      </w:r>
      <w:r w:rsidR="007C73B7">
        <w:t xml:space="preserve">. </w:t>
      </w:r>
      <w:r w:rsidRPr="00A16DA3" w:rsidR="000515F8">
        <w:t>Passport Services</w:t>
      </w:r>
      <w:r w:rsidRPr="00A16DA3">
        <w:t xml:space="preserve"> is primarily responsible for issuing U.S. Passports to U.S. </w:t>
      </w:r>
      <w:r w:rsidRPr="00A16DA3" w:rsidR="000515F8">
        <w:t xml:space="preserve">Citizens and </w:t>
      </w:r>
      <w:r w:rsidRPr="00A16DA3">
        <w:t>Nationals who apply and meet all requirements</w:t>
      </w:r>
      <w:r w:rsidR="007C73B7">
        <w:t xml:space="preserve">. </w:t>
      </w:r>
      <w:r w:rsidRPr="00A16DA3">
        <w:t>Passport Services assist</w:t>
      </w:r>
      <w:r w:rsidRPr="00A16DA3" w:rsidR="00F752EB">
        <w:t>s</w:t>
      </w:r>
      <w:r w:rsidRPr="00A16DA3">
        <w:rPr>
          <w:bCs/>
        </w:rPr>
        <w:t xml:space="preserve"> U.S. Citizens and</w:t>
      </w:r>
      <w:r w:rsidRPr="00A16DA3">
        <w:t xml:space="preserve"> Nationals</w:t>
      </w:r>
      <w:r w:rsidRPr="00A16DA3">
        <w:rPr>
          <w:bCs/>
        </w:rPr>
        <w:t xml:space="preserve"> intending to travel internationally by issuing passports and protecting the integrity of the U.S. Passport as proof of U.S. Citizenship at home and around the world</w:t>
      </w:r>
      <w:r w:rsidR="007C73B7">
        <w:rPr>
          <w:bCs/>
        </w:rPr>
        <w:t xml:space="preserve">. </w:t>
      </w:r>
      <w:r w:rsidRPr="00A16DA3">
        <w:t xml:space="preserve">Section 7209 of the Intelligence Reform and Terrorism Prevention Act (IRTPA), enacted on December 17, 2004, </w:t>
      </w:r>
      <w:r w:rsidRPr="00A16DA3" w:rsidR="00F752EB">
        <w:t xml:space="preserve">called </w:t>
      </w:r>
      <w:r w:rsidRPr="00A16DA3" w:rsidR="000515F8">
        <w:t>for</w:t>
      </w:r>
      <w:r w:rsidRPr="00A16DA3">
        <w:t xml:space="preserve"> the Secretary of Homeland Security (DHS), in consultation with the Secretary of State, to develop and implement a plan to require U.S. </w:t>
      </w:r>
      <w:r w:rsidRPr="00A16DA3" w:rsidR="00F752EB">
        <w:t xml:space="preserve">citizens </w:t>
      </w:r>
      <w:r w:rsidRPr="00A16DA3" w:rsidR="000515F8">
        <w:t>and</w:t>
      </w:r>
      <w:r w:rsidRPr="00A16DA3">
        <w:t xml:space="preserve"> </w:t>
      </w:r>
      <w:r w:rsidRPr="00A16DA3" w:rsidR="00F752EB">
        <w:t xml:space="preserve">nationals </w:t>
      </w:r>
      <w:r w:rsidRPr="00A16DA3">
        <w:t>to present a passport and/or other sufficien</w:t>
      </w:r>
      <w:r w:rsidRPr="00A16DA3" w:rsidR="000515F8">
        <w:t xml:space="preserve">t documentation of </w:t>
      </w:r>
      <w:r w:rsidRPr="00A16DA3">
        <w:t xml:space="preserve">citizenship </w:t>
      </w:r>
      <w:r w:rsidRPr="00A16DA3" w:rsidR="000515F8">
        <w:t xml:space="preserve">and identity </w:t>
      </w:r>
      <w:r w:rsidRPr="00A16DA3">
        <w:t>when entering the U</w:t>
      </w:r>
      <w:r w:rsidR="00986F63">
        <w:t>nited States</w:t>
      </w:r>
      <w:r w:rsidR="007C73B7">
        <w:t xml:space="preserve">. </w:t>
      </w:r>
      <w:r w:rsidRPr="00A16DA3" w:rsidR="00F752EB">
        <w:rPr>
          <w:color w:val="000000" w:themeColor="text1"/>
        </w:rPr>
        <w:t>This resulted in an increase in the demand for U.S. passports</w:t>
      </w:r>
      <w:r w:rsidR="007C73B7">
        <w:rPr>
          <w:color w:val="000000" w:themeColor="text1"/>
        </w:rPr>
        <w:t xml:space="preserve">. </w:t>
      </w:r>
      <w:r w:rsidRPr="00A16DA3" w:rsidR="00E661D7">
        <w:rPr>
          <w:szCs w:val="24"/>
          <w:shd w:val="clear" w:color="auto" w:fill="FFFFFF"/>
        </w:rPr>
        <w:t>In fiscal year 2007, the U</w:t>
      </w:r>
      <w:r w:rsidR="00986F63">
        <w:rPr>
          <w:szCs w:val="24"/>
          <w:shd w:val="clear" w:color="auto" w:fill="FFFFFF"/>
        </w:rPr>
        <w:t>nited States</w:t>
      </w:r>
      <w:r w:rsidRPr="00A16DA3" w:rsidR="00E661D7">
        <w:rPr>
          <w:szCs w:val="24"/>
          <w:shd w:val="clear" w:color="auto" w:fill="FFFFFF"/>
        </w:rPr>
        <w:t xml:space="preserve"> experienced an unprecedented surge in passport applications, issuing over 18 million passports </w:t>
      </w:r>
      <w:r w:rsidR="0027297F">
        <w:rPr>
          <w:szCs w:val="24"/>
          <w:shd w:val="clear" w:color="auto" w:fill="FFFFFF"/>
        </w:rPr>
        <w:t xml:space="preserve">because </w:t>
      </w:r>
      <w:r w:rsidRPr="00A16DA3" w:rsidR="00E661D7">
        <w:rPr>
          <w:szCs w:val="24"/>
          <w:shd w:val="clear" w:color="auto" w:fill="FFFFFF"/>
        </w:rPr>
        <w:t>of the Western Hemisphere Travel Initiative (WHTI)</w:t>
      </w:r>
      <w:r w:rsidR="007C73B7">
        <w:rPr>
          <w:szCs w:val="24"/>
          <w:shd w:val="clear" w:color="auto" w:fill="FFFFFF"/>
        </w:rPr>
        <w:t xml:space="preserve">. </w:t>
      </w:r>
      <w:r w:rsidRPr="001B7546" w:rsidR="001B7546">
        <w:rPr>
          <w:szCs w:val="24"/>
          <w:shd w:val="clear" w:color="auto" w:fill="FFFFFF"/>
        </w:rPr>
        <w:t>In fiscal year 2019, the Department of State eclipsed the 2007 numbers with over 20 million passports issued</w:t>
      </w:r>
      <w:r w:rsidR="007C73B7">
        <w:rPr>
          <w:szCs w:val="24"/>
          <w:shd w:val="clear" w:color="auto" w:fill="FFFFFF"/>
        </w:rPr>
        <w:t xml:space="preserve">. </w:t>
      </w:r>
      <w:r w:rsidR="00AA17F4">
        <w:rPr>
          <w:szCs w:val="24"/>
          <w:shd w:val="clear" w:color="auto" w:fill="FFFFFF"/>
        </w:rPr>
        <w:t>W</w:t>
      </w:r>
      <w:r w:rsidR="00E27A17">
        <w:rPr>
          <w:szCs w:val="24"/>
          <w:shd w:val="clear" w:color="auto" w:fill="FFFFFF"/>
        </w:rPr>
        <w:t xml:space="preserve">ith new variables including the </w:t>
      </w:r>
      <w:r w:rsidR="00A5308C">
        <w:rPr>
          <w:szCs w:val="24"/>
          <w:shd w:val="clear" w:color="auto" w:fill="FFFFFF"/>
        </w:rPr>
        <w:t xml:space="preserve">recent </w:t>
      </w:r>
      <w:r w:rsidR="00E27A17">
        <w:rPr>
          <w:szCs w:val="24"/>
          <w:shd w:val="clear" w:color="auto" w:fill="FFFFFF"/>
        </w:rPr>
        <w:t>deadline for the REAL ID Act</w:t>
      </w:r>
      <w:r w:rsidR="00740D1E">
        <w:rPr>
          <w:szCs w:val="24"/>
          <w:shd w:val="clear" w:color="auto" w:fill="FFFFFF"/>
        </w:rPr>
        <w:t xml:space="preserve"> and implementation of the mobile-friendly online passport renewal 3.0</w:t>
      </w:r>
      <w:r w:rsidR="00E27A17">
        <w:rPr>
          <w:szCs w:val="24"/>
          <w:shd w:val="clear" w:color="auto" w:fill="FFFFFF"/>
        </w:rPr>
        <w:t xml:space="preserve">, the ability to gather </w:t>
      </w:r>
      <w:r w:rsidR="006B1545">
        <w:rPr>
          <w:szCs w:val="24"/>
          <w:shd w:val="clear" w:color="auto" w:fill="FFFFFF"/>
        </w:rPr>
        <w:t xml:space="preserve">accurate </w:t>
      </w:r>
      <w:r w:rsidR="00E27A17">
        <w:rPr>
          <w:szCs w:val="24"/>
          <w:shd w:val="clear" w:color="auto" w:fill="FFFFFF"/>
        </w:rPr>
        <w:t xml:space="preserve">statistical data to </w:t>
      </w:r>
      <w:r w:rsidR="00274AEA">
        <w:rPr>
          <w:szCs w:val="24"/>
          <w:shd w:val="clear" w:color="auto" w:fill="FFFFFF"/>
        </w:rPr>
        <w:t xml:space="preserve">help </w:t>
      </w:r>
      <w:r w:rsidR="00E27A17">
        <w:rPr>
          <w:szCs w:val="24"/>
          <w:shd w:val="clear" w:color="auto" w:fill="FFFFFF"/>
        </w:rPr>
        <w:t xml:space="preserve">forecast </w:t>
      </w:r>
      <w:r w:rsidR="006B1545">
        <w:rPr>
          <w:szCs w:val="24"/>
          <w:shd w:val="clear" w:color="auto" w:fill="FFFFFF"/>
        </w:rPr>
        <w:t xml:space="preserve">the demand for passport books and passport cards is </w:t>
      </w:r>
      <w:r w:rsidR="00AA17F4">
        <w:rPr>
          <w:szCs w:val="24"/>
          <w:shd w:val="clear" w:color="auto" w:fill="FFFFFF"/>
        </w:rPr>
        <w:t xml:space="preserve">now </w:t>
      </w:r>
      <w:r w:rsidR="006B1545">
        <w:rPr>
          <w:szCs w:val="24"/>
          <w:shd w:val="clear" w:color="auto" w:fill="FFFFFF"/>
        </w:rPr>
        <w:t>more critical than ever</w:t>
      </w:r>
      <w:r w:rsidR="007C73B7">
        <w:rPr>
          <w:szCs w:val="24"/>
          <w:shd w:val="clear" w:color="auto" w:fill="FFFFFF"/>
        </w:rPr>
        <w:t xml:space="preserve">. </w:t>
      </w:r>
    </w:p>
    <w:p w:rsidR="00BE447F" w:rsidRPr="00E93EEE" w:rsidP="00CE3562" w14:paraId="6F9A7AD0" w14:textId="025AC47C">
      <w:pPr>
        <w:pStyle w:val="ListParagraph"/>
        <w:widowControl w:val="0"/>
        <w:numPr>
          <w:ilvl w:val="0"/>
          <w:numId w:val="2"/>
        </w:numPr>
        <w:spacing w:before="120"/>
        <w:contextualSpacing w:val="0"/>
        <w:rPr>
          <w:i/>
          <w:color w:val="000000" w:themeColor="text1"/>
          <w:szCs w:val="24"/>
        </w:rPr>
      </w:pPr>
      <w:r w:rsidRPr="00E93EEE">
        <w:rPr>
          <w:i/>
          <w:color w:val="000000" w:themeColor="text1"/>
          <w:szCs w:val="24"/>
        </w:rPr>
        <w:t>What business purpose is the information gathered going to be used for?</w:t>
      </w:r>
    </w:p>
    <w:p w:rsidR="00FA12AC" w:rsidP="00CE3562" w14:paraId="73DCBA69" w14:textId="29CB84DB">
      <w:pPr>
        <w:pStyle w:val="NoSpacing"/>
        <w:spacing w:before="120" w:after="120"/>
        <w:ind w:left="420"/>
        <w:rPr>
          <w:strike/>
        </w:rPr>
      </w:pPr>
      <w:r w:rsidRPr="00A16DA3">
        <w:t xml:space="preserve">The objective of </w:t>
      </w:r>
      <w:r w:rsidRPr="00A16DA3">
        <w:t>the statistical</w:t>
      </w:r>
      <w:r w:rsidRPr="00A16DA3">
        <w:t xml:space="preserve"> data and research is to </w:t>
      </w:r>
      <w:r w:rsidR="0070569D">
        <w:t xml:space="preserve">help </w:t>
      </w:r>
      <w:r w:rsidRPr="00A16DA3">
        <w:t>estimate the ov</w:t>
      </w:r>
      <w:r w:rsidRPr="00A16DA3" w:rsidR="00F53990">
        <w:t>erall demand for passport books and</w:t>
      </w:r>
      <w:r w:rsidRPr="00A16DA3">
        <w:t xml:space="preserve"> passport cards</w:t>
      </w:r>
      <w:r w:rsidR="007C73B7">
        <w:t xml:space="preserve">. </w:t>
      </w:r>
      <w:r w:rsidRPr="00A16DA3">
        <w:t>Statistical data and information will aid Passport Services in developing demand projections monthly, semi-annually, annually</w:t>
      </w:r>
      <w:r w:rsidRPr="00A16DA3" w:rsidR="00521031">
        <w:t>,</w:t>
      </w:r>
      <w:r w:rsidRPr="00A16DA3">
        <w:t xml:space="preserve"> and across multiple years as desired</w:t>
      </w:r>
      <w:r w:rsidR="007C73B7">
        <w:t xml:space="preserve">. </w:t>
      </w:r>
      <w:r w:rsidRPr="00A16DA3">
        <w:rPr>
          <w:bCs/>
        </w:rPr>
        <w:t xml:space="preserve">The data is predicated and populated from </w:t>
      </w:r>
      <w:r w:rsidRPr="00A16DA3">
        <w:t>ongoing monthly surveys</w:t>
      </w:r>
      <w:r w:rsidR="007C73B7">
        <w:t xml:space="preserve">. </w:t>
      </w:r>
      <w:r w:rsidRPr="00A16DA3">
        <w:t xml:space="preserve">The surveys will include a nationally representative sample of </w:t>
      </w:r>
      <w:r w:rsidR="00ED4786">
        <w:t>the U.S. population,</w:t>
      </w:r>
      <w:r w:rsidRPr="00A16DA3">
        <w:t xml:space="preserve"> age 1</w:t>
      </w:r>
      <w:r w:rsidRPr="00A16DA3" w:rsidR="00F72475">
        <w:t>8</w:t>
      </w:r>
      <w:r w:rsidRPr="00A16DA3">
        <w:t xml:space="preserve"> and older</w:t>
      </w:r>
      <w:r w:rsidR="00327E8E">
        <w:t>.</w:t>
      </w:r>
      <w:r w:rsidR="000B3FE0">
        <w:t xml:space="preserve"> </w:t>
      </w:r>
      <w:r w:rsidR="00416044">
        <w:t>Use of the survey to directly measure annual passport demand results in overpredicted demand by 200-250%, due to the intention-behavior gap (IBG). As such, the survey results are proxy variables used in statistical models with other features to forecast passport demand.</w:t>
      </w:r>
    </w:p>
    <w:p w:rsidR="00BE447F" w:rsidRPr="00E93EEE" w:rsidP="00CE3562" w14:paraId="25A6316F" w14:textId="38B17673">
      <w:pPr>
        <w:pStyle w:val="ListParagraph"/>
        <w:widowControl w:val="0"/>
        <w:numPr>
          <w:ilvl w:val="0"/>
          <w:numId w:val="2"/>
        </w:numPr>
        <w:spacing w:before="120"/>
        <w:contextualSpacing w:val="0"/>
        <w:rPr>
          <w:i/>
          <w:color w:val="000000" w:themeColor="text1"/>
          <w:szCs w:val="24"/>
        </w:rPr>
      </w:pPr>
      <w:r w:rsidRPr="00E93EEE">
        <w:rPr>
          <w:i/>
          <w:color w:val="000000" w:themeColor="text1"/>
          <w:szCs w:val="24"/>
        </w:rPr>
        <w:t>Is this collection able to be completed electronically</w:t>
      </w:r>
      <w:r w:rsidR="00FA12AC">
        <w:rPr>
          <w:i/>
          <w:color w:val="000000" w:themeColor="text1"/>
          <w:szCs w:val="24"/>
        </w:rPr>
        <w:t>?</w:t>
      </w:r>
    </w:p>
    <w:p w:rsidR="00FA12AC" w:rsidP="00CE3562" w14:paraId="15BFAA2A" w14:textId="77777777">
      <w:pPr>
        <w:pStyle w:val="FRNoticeHeading2"/>
        <w:widowControl w:val="0"/>
        <w:spacing w:before="120" w:after="120" w:line="240" w:lineRule="auto"/>
        <w:ind w:left="420"/>
        <w:rPr>
          <w:bCs w:val="0"/>
          <w:i w:val="0"/>
        </w:rPr>
      </w:pPr>
      <w:r w:rsidRPr="00A16DA3">
        <w:rPr>
          <w:i w:val="0"/>
        </w:rPr>
        <w:t xml:space="preserve">In </w:t>
      </w:r>
      <w:r w:rsidRPr="00A16DA3" w:rsidR="00C42ED9">
        <w:rPr>
          <w:i w:val="0"/>
        </w:rPr>
        <w:t>furtherance</w:t>
      </w:r>
      <w:r w:rsidRPr="00A16DA3" w:rsidR="0055290B">
        <w:t xml:space="preserve"> </w:t>
      </w:r>
      <w:r w:rsidR="004F1FE9">
        <w:rPr>
          <w:i w:val="0"/>
        </w:rPr>
        <w:t>of</w:t>
      </w:r>
      <w:r w:rsidRPr="00A16DA3" w:rsidR="004F1FE9">
        <w:rPr>
          <w:i w:val="0"/>
        </w:rPr>
        <w:t xml:space="preserve"> </w:t>
      </w:r>
      <w:r w:rsidRPr="00A16DA3">
        <w:rPr>
          <w:i w:val="0"/>
        </w:rPr>
        <w:t xml:space="preserve">the Department of State’s </w:t>
      </w:r>
      <w:r w:rsidRPr="00A16DA3" w:rsidR="00C42ED9">
        <w:rPr>
          <w:i w:val="0"/>
        </w:rPr>
        <w:t xml:space="preserve">efforts </w:t>
      </w:r>
      <w:r w:rsidRPr="00A16DA3">
        <w:rPr>
          <w:i w:val="0"/>
        </w:rPr>
        <w:t>to provide an electronic option for data collection</w:t>
      </w:r>
      <w:r w:rsidRPr="00A16DA3" w:rsidR="00E91B87">
        <w:rPr>
          <w:i w:val="0"/>
        </w:rPr>
        <w:t xml:space="preserve">, </w:t>
      </w:r>
      <w:r w:rsidRPr="00A16DA3" w:rsidR="00972742">
        <w:rPr>
          <w:i w:val="0"/>
        </w:rPr>
        <w:t xml:space="preserve">a letter inviting persons </w:t>
      </w:r>
      <w:r w:rsidRPr="00A16DA3" w:rsidR="00E91B87">
        <w:rPr>
          <w:i w:val="0"/>
        </w:rPr>
        <w:t>to participate in the study is</w:t>
      </w:r>
      <w:r w:rsidRPr="00A16DA3" w:rsidR="00972742">
        <w:rPr>
          <w:i w:val="0"/>
        </w:rPr>
        <w:t xml:space="preserve"> mailed via USPS </w:t>
      </w:r>
      <w:r w:rsidRPr="00A16DA3" w:rsidR="00E91B87">
        <w:rPr>
          <w:i w:val="0"/>
        </w:rPr>
        <w:t xml:space="preserve">to persons residing at sampled addresses </w:t>
      </w:r>
      <w:r w:rsidRPr="00A16DA3" w:rsidR="00972742">
        <w:rPr>
          <w:i w:val="0"/>
        </w:rPr>
        <w:t>each month</w:t>
      </w:r>
      <w:r w:rsidR="007C73B7">
        <w:rPr>
          <w:i w:val="0"/>
        </w:rPr>
        <w:t xml:space="preserve">. </w:t>
      </w:r>
      <w:r w:rsidRPr="00A16DA3" w:rsidR="00972742">
        <w:rPr>
          <w:i w:val="0"/>
        </w:rPr>
        <w:t>The letter provide</w:t>
      </w:r>
      <w:r w:rsidRPr="00A16DA3" w:rsidR="00E91B87">
        <w:rPr>
          <w:i w:val="0"/>
        </w:rPr>
        <w:t>s</w:t>
      </w:r>
      <w:r w:rsidRPr="00A16DA3" w:rsidR="00972742">
        <w:rPr>
          <w:i w:val="0"/>
        </w:rPr>
        <w:t xml:space="preserve"> the options of voluntarily </w:t>
      </w:r>
      <w:r w:rsidRPr="00A16DA3" w:rsidR="00972742">
        <w:rPr>
          <w:i w:val="0"/>
        </w:rPr>
        <w:t xml:space="preserve">participating </w:t>
      </w:r>
      <w:r w:rsidRPr="00A16DA3" w:rsidR="00E91B87">
        <w:rPr>
          <w:i w:val="0"/>
        </w:rPr>
        <w:t>in</w:t>
      </w:r>
      <w:r w:rsidRPr="00A16DA3" w:rsidR="00972742">
        <w:rPr>
          <w:i w:val="0"/>
        </w:rPr>
        <w:t xml:space="preserve"> the study by the web/internet or telephone.</w:t>
      </w:r>
    </w:p>
    <w:p w:rsidR="00BE447F" w:rsidRPr="00E93EEE" w:rsidP="00CE3562" w14:paraId="5A7D951D" w14:textId="10CFFA3D">
      <w:pPr>
        <w:pStyle w:val="ListParagraph"/>
        <w:widowControl w:val="0"/>
        <w:numPr>
          <w:ilvl w:val="0"/>
          <w:numId w:val="2"/>
        </w:numPr>
        <w:spacing w:before="120"/>
        <w:contextualSpacing w:val="0"/>
        <w:rPr>
          <w:i/>
          <w:color w:val="000000" w:themeColor="text1"/>
          <w:szCs w:val="24"/>
        </w:rPr>
      </w:pPr>
      <w:r w:rsidRPr="00E93EEE">
        <w:rPr>
          <w:i/>
          <w:color w:val="000000" w:themeColor="text1"/>
          <w:szCs w:val="24"/>
        </w:rPr>
        <w:t>Does this collection duplicate any other collection of information?</w:t>
      </w:r>
    </w:p>
    <w:p w:rsidR="00DB5AA8" w:rsidRPr="00FA12AC" w:rsidP="00CE3562" w14:paraId="179AD0F2" w14:textId="383F205A">
      <w:pPr>
        <w:pStyle w:val="FRNoticeHeading2"/>
        <w:widowControl w:val="0"/>
        <w:spacing w:before="120" w:after="120" w:line="240" w:lineRule="auto"/>
        <w:ind w:left="420"/>
      </w:pPr>
      <w:r w:rsidRPr="00A16DA3">
        <w:rPr>
          <w:bCs w:val="0"/>
          <w:i w:val="0"/>
        </w:rPr>
        <w:t xml:space="preserve">This collection </w:t>
      </w:r>
      <w:r w:rsidRPr="00A16DA3" w:rsidR="00972742">
        <w:rPr>
          <w:bCs w:val="0"/>
          <w:i w:val="0"/>
        </w:rPr>
        <w:t xml:space="preserve">does </w:t>
      </w:r>
      <w:r w:rsidRPr="00A16DA3">
        <w:rPr>
          <w:bCs w:val="0"/>
          <w:i w:val="0"/>
        </w:rPr>
        <w:t>not duplicate any other information collection</w:t>
      </w:r>
      <w:r w:rsidR="007C73B7">
        <w:rPr>
          <w:bCs w:val="0"/>
          <w:i w:val="0"/>
        </w:rPr>
        <w:t xml:space="preserve">. </w:t>
      </w:r>
      <w:r w:rsidRPr="00A16DA3">
        <w:rPr>
          <w:bCs w:val="0"/>
          <w:i w:val="0"/>
        </w:rPr>
        <w:t>The Department of State has attempted to establish an accurate demand figure by an extensive review of all known passport statistical databases</w:t>
      </w:r>
      <w:r w:rsidR="007C73B7">
        <w:rPr>
          <w:bCs w:val="0"/>
          <w:i w:val="0"/>
        </w:rPr>
        <w:t xml:space="preserve">. </w:t>
      </w:r>
      <w:r w:rsidRPr="00A16DA3" w:rsidR="00E53D27">
        <w:rPr>
          <w:bCs w:val="0"/>
          <w:i w:val="0"/>
        </w:rPr>
        <w:t>Passport Services</w:t>
      </w:r>
      <w:r w:rsidRPr="00A16DA3">
        <w:rPr>
          <w:bCs w:val="0"/>
          <w:i w:val="0"/>
        </w:rPr>
        <w:t xml:space="preserve"> has undertaken several prior surveys, with the initial </w:t>
      </w:r>
      <w:r w:rsidRPr="00A16DA3" w:rsidR="00E53D27">
        <w:rPr>
          <w:bCs w:val="0"/>
          <w:i w:val="0"/>
        </w:rPr>
        <w:t>Passport Demand Forecasting Study being implemented in 2007</w:t>
      </w:r>
      <w:r w:rsidRPr="00A16DA3">
        <w:rPr>
          <w:bCs w:val="0"/>
          <w:i w:val="0"/>
        </w:rPr>
        <w:t>.</w:t>
      </w:r>
    </w:p>
    <w:p w:rsidR="00BE447F" w:rsidRPr="00E93EEE" w:rsidP="00CE3562" w14:paraId="6D2A927E" w14:textId="533E488F">
      <w:pPr>
        <w:pStyle w:val="ListParagraph"/>
        <w:widowControl w:val="0"/>
        <w:numPr>
          <w:ilvl w:val="0"/>
          <w:numId w:val="2"/>
        </w:numPr>
        <w:spacing w:before="120"/>
        <w:contextualSpacing w:val="0"/>
        <w:rPr>
          <w:i/>
          <w:color w:val="000000" w:themeColor="text1"/>
          <w:szCs w:val="24"/>
        </w:rPr>
      </w:pPr>
      <w:bookmarkStart w:id="0" w:name="_Hlk31189431"/>
      <w:r w:rsidRPr="00E93EEE">
        <w:rPr>
          <w:i/>
          <w:color w:val="000000" w:themeColor="text1"/>
          <w:szCs w:val="24"/>
        </w:rPr>
        <w:t>Describe any impacts on small business</w:t>
      </w:r>
      <w:bookmarkEnd w:id="0"/>
      <w:r w:rsidRPr="00E93EEE">
        <w:rPr>
          <w:i/>
          <w:color w:val="000000" w:themeColor="text1"/>
          <w:szCs w:val="24"/>
        </w:rPr>
        <w:t>.</w:t>
      </w:r>
    </w:p>
    <w:p w:rsidR="00FA12AC" w:rsidP="00CE3562" w14:paraId="689F4A51" w14:textId="77777777">
      <w:pPr>
        <w:pStyle w:val="FRNoticeHeading2"/>
        <w:widowControl w:val="0"/>
        <w:spacing w:before="120" w:after="120" w:line="240" w:lineRule="auto"/>
        <w:ind w:left="420"/>
        <w:rPr>
          <w:bCs w:val="0"/>
          <w:i w:val="0"/>
        </w:rPr>
      </w:pPr>
      <w:r w:rsidRPr="00A16DA3">
        <w:rPr>
          <w:i w:val="0"/>
        </w:rPr>
        <w:t>The collection of information does not impact small businesses or other small entities</w:t>
      </w:r>
      <w:r w:rsidRPr="00A16DA3">
        <w:rPr>
          <w:b/>
        </w:rPr>
        <w:t>.</w:t>
      </w:r>
    </w:p>
    <w:p w:rsidR="00BE447F" w:rsidRPr="00E93EEE" w:rsidP="00CE3562" w14:paraId="4055CABE" w14:textId="6AF58940">
      <w:pPr>
        <w:pStyle w:val="ListParagraph"/>
        <w:widowControl w:val="0"/>
        <w:numPr>
          <w:ilvl w:val="0"/>
          <w:numId w:val="2"/>
        </w:numPr>
        <w:spacing w:before="120"/>
        <w:contextualSpacing w:val="0"/>
        <w:rPr>
          <w:i/>
          <w:color w:val="000000" w:themeColor="text1"/>
          <w:szCs w:val="24"/>
        </w:rPr>
      </w:pPr>
      <w:r>
        <w:rPr>
          <w:i/>
          <w:color w:val="000000" w:themeColor="text1"/>
          <w:szCs w:val="24"/>
        </w:rPr>
        <w:t>What are the consequences if this collection is not done?</w:t>
      </w:r>
    </w:p>
    <w:p w:rsidR="00FA12AC" w:rsidP="00CE3562" w14:paraId="458DED1A" w14:textId="4268461A">
      <w:pPr>
        <w:widowControl w:val="0"/>
        <w:spacing w:before="120"/>
        <w:ind w:left="420"/>
      </w:pPr>
      <w:r w:rsidRPr="00A16DA3">
        <w:t>The requested survey data is necessary</w:t>
      </w:r>
      <w:r w:rsidRPr="00A16DA3" w:rsidR="00DB5AA8">
        <w:t xml:space="preserve"> to establish an accurate estimate of the volume and timing of passport applications for the purpose of monitoring, assessing, and forecasting passport demand on a continuous basis for the U.S. population</w:t>
      </w:r>
      <w:r w:rsidR="007C73B7">
        <w:t xml:space="preserve">. </w:t>
      </w:r>
      <w:r w:rsidRPr="00A16DA3">
        <w:t>Without such information, Passport Services</w:t>
      </w:r>
      <w:r w:rsidRPr="00A16DA3" w:rsidR="00DB5AA8">
        <w:t xml:space="preserve"> will not be able to make duly informed decisions on hiring and training </w:t>
      </w:r>
      <w:r w:rsidRPr="00A16DA3" w:rsidR="00327E8E">
        <w:t>staff or</w:t>
      </w:r>
      <w:r w:rsidRPr="00A16DA3" w:rsidR="00DB5AA8">
        <w:t xml:space="preserve"> increasing other resources and infrastructure to handle passport demand</w:t>
      </w:r>
      <w:r w:rsidR="007C73B7">
        <w:t xml:space="preserve">. </w:t>
      </w:r>
      <w:r w:rsidRPr="00A16DA3" w:rsidR="00DB5AA8">
        <w:t xml:space="preserve">If the survey is not conducted, </w:t>
      </w:r>
      <w:r w:rsidRPr="00A16DA3">
        <w:t xml:space="preserve">Passport Services </w:t>
      </w:r>
      <w:r w:rsidRPr="00A16DA3" w:rsidR="00DB5AA8">
        <w:t xml:space="preserve">will have </w:t>
      </w:r>
      <w:r w:rsidR="00EC7BCC">
        <w:t>less,</w:t>
      </w:r>
      <w:r w:rsidR="0070569D">
        <w:t xml:space="preserve"> </w:t>
      </w:r>
      <w:r w:rsidRPr="00A16DA3" w:rsidR="00DB5AA8">
        <w:t>reliable information to make resource-related decisions</w:t>
      </w:r>
      <w:r w:rsidR="007C73B7">
        <w:t xml:space="preserve">. </w:t>
      </w:r>
      <w:r w:rsidRPr="00A16DA3" w:rsidR="00DB5AA8">
        <w:t>This situation could result in the under or over estimation of demand, delayed passport issuance, adverse customer service, and</w:t>
      </w:r>
      <w:r w:rsidRPr="00A16DA3" w:rsidR="00C42ED9">
        <w:t>/or</w:t>
      </w:r>
      <w:r w:rsidRPr="00A16DA3" w:rsidR="00DB5AA8">
        <w:t xml:space="preserve"> excessive resource allocation, which </w:t>
      </w:r>
      <w:r w:rsidRPr="00A16DA3" w:rsidR="00DE4667">
        <w:t xml:space="preserve">could result in a </w:t>
      </w:r>
      <w:r w:rsidRPr="00A16DA3" w:rsidR="00DB5AA8">
        <w:t xml:space="preserve">waste </w:t>
      </w:r>
      <w:r w:rsidRPr="00A16DA3" w:rsidR="00DE4667">
        <w:t xml:space="preserve">of </w:t>
      </w:r>
      <w:r w:rsidRPr="00A16DA3" w:rsidR="00DB5AA8">
        <w:t>taxpayer money and Department resources.</w:t>
      </w:r>
    </w:p>
    <w:p w:rsidR="00BE447F" w:rsidRPr="00E93EEE" w:rsidP="00CE3562" w14:paraId="2D165A39" w14:textId="21975468">
      <w:pPr>
        <w:pStyle w:val="ListParagraph"/>
        <w:widowControl w:val="0"/>
        <w:numPr>
          <w:ilvl w:val="0"/>
          <w:numId w:val="2"/>
        </w:numPr>
        <w:spacing w:before="120"/>
        <w:contextualSpacing w:val="0"/>
        <w:rPr>
          <w:i/>
          <w:color w:val="000000" w:themeColor="text1"/>
          <w:szCs w:val="24"/>
        </w:rPr>
      </w:pPr>
      <w:bookmarkStart w:id="1" w:name="_Hlk31189460"/>
      <w:r w:rsidRPr="006007AB">
        <w:rPr>
          <w:i/>
          <w:color w:val="000000" w:themeColor="text1"/>
          <w:szCs w:val="24"/>
        </w:rPr>
        <w:t>Are there any special collection circumstances?</w:t>
      </w:r>
      <w:bookmarkEnd w:id="1"/>
    </w:p>
    <w:p w:rsidR="00FA12AC" w:rsidP="00CE3562" w14:paraId="3BD115BC" w14:textId="77777777">
      <w:pPr>
        <w:widowControl w:val="0"/>
        <w:spacing w:before="120"/>
        <w:ind w:left="420"/>
      </w:pPr>
      <w:r w:rsidRPr="00A16DA3">
        <w:t xml:space="preserve">This </w:t>
      </w:r>
      <w:r w:rsidRPr="00A16DA3" w:rsidR="00F21BBD">
        <w:t>data collection consists of a</w:t>
      </w:r>
      <w:r w:rsidRPr="00A16DA3">
        <w:t xml:space="preserve"> voluntary survey</w:t>
      </w:r>
      <w:r w:rsidR="007C73B7">
        <w:t xml:space="preserve">. </w:t>
      </w:r>
      <w:r w:rsidRPr="00A16DA3" w:rsidR="000F610B">
        <w:t xml:space="preserve">Respondents </w:t>
      </w:r>
      <w:r w:rsidRPr="00A16DA3" w:rsidR="00972742">
        <w:t>ar</w:t>
      </w:r>
      <w:r w:rsidRPr="00A16DA3" w:rsidR="000F610B">
        <w:t xml:space="preserve">e told at the onset of the survey that the data </w:t>
      </w:r>
      <w:r w:rsidRPr="00A16DA3" w:rsidR="00972742">
        <w:rPr>
          <w:iCs/>
          <w:szCs w:val="24"/>
        </w:rPr>
        <w:t>is</w:t>
      </w:r>
      <w:r w:rsidRPr="00A16DA3" w:rsidR="000F610B">
        <w:rPr>
          <w:iCs/>
          <w:szCs w:val="24"/>
        </w:rPr>
        <w:t xml:space="preserve"> kept strictly private to the extent permitted by law</w:t>
      </w:r>
      <w:r w:rsidRPr="00A16DA3" w:rsidR="000F610B">
        <w:t xml:space="preserve"> and that identifying information </w:t>
      </w:r>
      <w:r w:rsidRPr="00A16DA3" w:rsidR="00972742">
        <w:t xml:space="preserve">is </w:t>
      </w:r>
      <w:r w:rsidRPr="00A16DA3" w:rsidR="000F610B">
        <w:t>not released outside of the Department</w:t>
      </w:r>
      <w:r w:rsidR="007C73B7">
        <w:t xml:space="preserve">. </w:t>
      </w:r>
      <w:r w:rsidRPr="00EC7AD7" w:rsidR="000F610B">
        <w:t xml:space="preserve">This notice </w:t>
      </w:r>
      <w:r w:rsidRPr="00EC7AD7" w:rsidR="00972742">
        <w:t xml:space="preserve">is </w:t>
      </w:r>
      <w:r w:rsidRPr="00EC7AD7" w:rsidR="000F610B">
        <w:t>also repeated to the respondents prior to soliciting any demographic information</w:t>
      </w:r>
      <w:r w:rsidRPr="00EC7AD7" w:rsidR="007C73B7">
        <w:t>.</w:t>
      </w:r>
      <w:r w:rsidR="007C73B7">
        <w:t xml:space="preserve"> </w:t>
      </w:r>
    </w:p>
    <w:p w:rsidR="00BE447F" w:rsidRPr="00E93EEE" w:rsidP="00CE3562" w14:paraId="2981C445" w14:textId="4CED0477">
      <w:pPr>
        <w:pStyle w:val="ListParagraph"/>
        <w:widowControl w:val="0"/>
        <w:numPr>
          <w:ilvl w:val="0"/>
          <w:numId w:val="2"/>
        </w:numPr>
        <w:spacing w:before="120"/>
        <w:contextualSpacing w:val="0"/>
        <w:rPr>
          <w:i/>
          <w:color w:val="000000" w:themeColor="text1"/>
          <w:szCs w:val="24"/>
        </w:rPr>
      </w:pPr>
      <w:bookmarkStart w:id="2" w:name="_Hlk31189563"/>
      <w:r w:rsidRPr="006007AB">
        <w:rPr>
          <w:i/>
          <w:color w:val="000000" w:themeColor="text1"/>
          <w:szCs w:val="24"/>
        </w:rPr>
        <w:t>Document publication (or intent to publish) a request for public comments in the Federal Registe</w:t>
      </w:r>
      <w:bookmarkEnd w:id="2"/>
      <w:r w:rsidRPr="006007AB">
        <w:rPr>
          <w:i/>
          <w:color w:val="000000" w:themeColor="text1"/>
          <w:szCs w:val="24"/>
        </w:rPr>
        <w:t>r</w:t>
      </w:r>
    </w:p>
    <w:p w:rsidR="00F506FC" w:rsidP="00CE3562" w14:paraId="235F3D9D" w14:textId="7151D13B">
      <w:pPr>
        <w:widowControl w:val="0"/>
        <w:spacing w:before="120"/>
        <w:ind w:left="360"/>
      </w:pPr>
      <w:r w:rsidRPr="00C93B78">
        <w:t xml:space="preserve">The Department </w:t>
      </w:r>
      <w:r>
        <w:t xml:space="preserve">plans to submit a 60-day notice </w:t>
      </w:r>
      <w:r w:rsidR="00E51C40">
        <w:t xml:space="preserve">of proposed regulation </w:t>
      </w:r>
      <w:r>
        <w:t xml:space="preserve">to the </w:t>
      </w:r>
      <w:r w:rsidRPr="002A56AA">
        <w:rPr>
          <w:i/>
          <w:iCs/>
        </w:rPr>
        <w:t>Federal Register</w:t>
      </w:r>
      <w:r>
        <w:t xml:space="preserve"> (OMB Number 1405-0177</w:t>
      </w:r>
      <w:r w:rsidR="007B582B">
        <w:t>)</w:t>
      </w:r>
      <w:r>
        <w:t xml:space="preserve"> </w:t>
      </w:r>
      <w:r w:rsidR="007B582B">
        <w:t xml:space="preserve">as soon as possible </w:t>
      </w:r>
      <w:r>
        <w:t>to solicit public comments</w:t>
      </w:r>
      <w:r w:rsidR="007B582B">
        <w:t xml:space="preserve">. It will be followed by the requisite </w:t>
      </w:r>
      <w:r w:rsidR="00E51C40">
        <w:t>30-day notice of final rule</w:t>
      </w:r>
      <w:r w:rsidR="002A56AA">
        <w:t xml:space="preserve"> in the </w:t>
      </w:r>
      <w:r w:rsidRPr="002A56AA" w:rsidR="002A56AA">
        <w:rPr>
          <w:i/>
          <w:iCs/>
        </w:rPr>
        <w:t>Federal Register</w:t>
      </w:r>
      <w:r w:rsidR="002A56AA">
        <w:t xml:space="preserve"> for public comment.</w:t>
      </w:r>
    </w:p>
    <w:p w:rsidR="00BE447F" w:rsidRPr="00E93EEE" w:rsidP="00CE3562" w14:paraId="0D40D97E" w14:textId="0E1A8329">
      <w:pPr>
        <w:pStyle w:val="ListParagraph"/>
        <w:widowControl w:val="0"/>
        <w:numPr>
          <w:ilvl w:val="0"/>
          <w:numId w:val="2"/>
        </w:numPr>
        <w:spacing w:before="120"/>
        <w:contextualSpacing w:val="0"/>
        <w:rPr>
          <w:i/>
          <w:color w:val="000000" w:themeColor="text1"/>
          <w:szCs w:val="24"/>
        </w:rPr>
      </w:pPr>
      <w:bookmarkStart w:id="3" w:name="_Hlk31189598"/>
      <w:r w:rsidRPr="006007AB">
        <w:rPr>
          <w:i/>
          <w:color w:val="000000" w:themeColor="text1"/>
          <w:szCs w:val="24"/>
        </w:rPr>
        <w:t>Are payments or gifts given to the respondents</w:t>
      </w:r>
      <w:bookmarkEnd w:id="3"/>
      <w:r w:rsidRPr="006007AB">
        <w:rPr>
          <w:i/>
          <w:color w:val="000000" w:themeColor="text1"/>
          <w:szCs w:val="24"/>
        </w:rPr>
        <w:t>?</w:t>
      </w:r>
    </w:p>
    <w:p w:rsidR="00FA12AC" w:rsidP="00CE3562" w14:paraId="5DCD4CB9" w14:textId="77777777">
      <w:pPr>
        <w:widowControl w:val="0"/>
        <w:spacing w:before="120"/>
        <w:ind w:left="420"/>
      </w:pPr>
      <w:r w:rsidRPr="00A16DA3">
        <w:t xml:space="preserve">Passport Services </w:t>
      </w:r>
      <w:r w:rsidRPr="00A16DA3" w:rsidR="009262E1">
        <w:t xml:space="preserve">does </w:t>
      </w:r>
      <w:r w:rsidRPr="00A16DA3">
        <w:t>not</w:t>
      </w:r>
      <w:r w:rsidRPr="00A16DA3" w:rsidR="00E91B87">
        <w:t xml:space="preserve"> </w:t>
      </w:r>
      <w:r w:rsidRPr="00A16DA3" w:rsidR="009262E1">
        <w:t xml:space="preserve">provide </w:t>
      </w:r>
      <w:r w:rsidRPr="00A16DA3">
        <w:t>any payments or gifts to respondents</w:t>
      </w:r>
      <w:r w:rsidRPr="00A16DA3" w:rsidR="009262E1">
        <w:t xml:space="preserve"> for participation in the survey</w:t>
      </w:r>
      <w:r w:rsidRPr="00A16DA3">
        <w:t>.</w:t>
      </w:r>
    </w:p>
    <w:p w:rsidR="00BE447F" w:rsidRPr="00E93EEE" w:rsidP="00CE3562" w14:paraId="55066856" w14:textId="3FA5FC50">
      <w:pPr>
        <w:pStyle w:val="ListParagraph"/>
        <w:widowControl w:val="0"/>
        <w:numPr>
          <w:ilvl w:val="0"/>
          <w:numId w:val="2"/>
        </w:numPr>
        <w:spacing w:before="120"/>
        <w:contextualSpacing w:val="0"/>
        <w:rPr>
          <w:i/>
          <w:color w:val="000000" w:themeColor="text1"/>
          <w:szCs w:val="24"/>
        </w:rPr>
      </w:pPr>
      <w:bookmarkStart w:id="4" w:name="_Hlk31189925"/>
      <w:r w:rsidRPr="006007AB">
        <w:rPr>
          <w:i/>
          <w:color w:val="000000" w:themeColor="text1"/>
          <w:szCs w:val="24"/>
        </w:rPr>
        <w:t>Describe assurances of privacy/confidentiality</w:t>
      </w:r>
      <w:bookmarkEnd w:id="4"/>
    </w:p>
    <w:p w:rsidR="00FA12AC" w:rsidP="00CE3562" w14:paraId="518B36C4" w14:textId="7FC32F98">
      <w:pPr>
        <w:widowControl w:val="0"/>
        <w:spacing w:before="120"/>
        <w:ind w:left="420"/>
      </w:pPr>
      <w:r w:rsidRPr="00A16DA3">
        <w:t xml:space="preserve">Respondents </w:t>
      </w:r>
      <w:r w:rsidRPr="00A16DA3" w:rsidR="009262E1">
        <w:t>ar</w:t>
      </w:r>
      <w:r w:rsidRPr="00A16DA3">
        <w:t xml:space="preserve">e </w:t>
      </w:r>
      <w:r w:rsidR="007C73B7">
        <w:t>assured</w:t>
      </w:r>
      <w:r w:rsidRPr="00A16DA3">
        <w:t xml:space="preserve"> at the onset of the survey that the data </w:t>
      </w:r>
      <w:r w:rsidRPr="00A16DA3" w:rsidR="00AC0D89">
        <w:rPr>
          <w:iCs/>
          <w:szCs w:val="24"/>
        </w:rPr>
        <w:t>will be kept strictly private to the extent permitted by law</w:t>
      </w:r>
      <w:r w:rsidRPr="00A16DA3">
        <w:t xml:space="preserve"> and that identifying information will not be released outside of the Department</w:t>
      </w:r>
      <w:r w:rsidR="007C73B7">
        <w:t xml:space="preserve">. </w:t>
      </w:r>
      <w:r w:rsidRPr="00EC7AD7">
        <w:t xml:space="preserve">This notice </w:t>
      </w:r>
      <w:r w:rsidRPr="00EC7AD7" w:rsidR="009262E1">
        <w:t xml:space="preserve">is </w:t>
      </w:r>
      <w:r w:rsidRPr="00EC7AD7">
        <w:t>also repeated to the respondents prior to soliciting any demographic information</w:t>
      </w:r>
      <w:r w:rsidRPr="00EC7AD7" w:rsidR="007C73B7">
        <w:t>.</w:t>
      </w:r>
      <w:r w:rsidR="007C73B7">
        <w:t xml:space="preserve"> </w:t>
      </w:r>
    </w:p>
    <w:p w:rsidR="00BE447F" w:rsidRPr="00E93EEE" w:rsidP="00CE3562" w14:paraId="595B92E7" w14:textId="54295ABF">
      <w:pPr>
        <w:pStyle w:val="ListParagraph"/>
        <w:widowControl w:val="0"/>
        <w:numPr>
          <w:ilvl w:val="0"/>
          <w:numId w:val="2"/>
        </w:numPr>
        <w:spacing w:before="120"/>
        <w:contextualSpacing w:val="0"/>
        <w:rPr>
          <w:i/>
          <w:color w:val="000000" w:themeColor="text1"/>
          <w:szCs w:val="24"/>
        </w:rPr>
      </w:pPr>
      <w:bookmarkStart w:id="5" w:name="_Hlk31189945"/>
      <w:r w:rsidRPr="006007AB">
        <w:rPr>
          <w:i/>
          <w:color w:val="000000" w:themeColor="text1"/>
          <w:szCs w:val="24"/>
        </w:rPr>
        <w:t>Are any questions of a sensitive nature asked?</w:t>
      </w:r>
      <w:bookmarkEnd w:id="5"/>
    </w:p>
    <w:p w:rsidR="00FA12AC" w:rsidP="00CE3562" w14:paraId="54C32B3D" w14:textId="7E05C969">
      <w:pPr>
        <w:widowControl w:val="0"/>
        <w:spacing w:before="120"/>
        <w:ind w:left="420"/>
      </w:pPr>
      <w:r>
        <w:t>The Department collects demographic information on this survey, including gender information</w:t>
      </w:r>
      <w:r w:rsidR="007C73B7">
        <w:t xml:space="preserve">. </w:t>
      </w:r>
      <w:r w:rsidR="00AD4307">
        <w:t>As in</w:t>
      </w:r>
      <w:r w:rsidR="007C73B7">
        <w:t xml:space="preserve"> virtually all</w:t>
      </w:r>
      <w:r w:rsidR="00AD4307">
        <w:t xml:space="preserve"> scientific studies using survey data, t</w:t>
      </w:r>
      <w:r w:rsidR="00A240EB">
        <w:t>his</w:t>
      </w:r>
      <w:r w:rsidR="00AD4307">
        <w:t xml:space="preserve"> </w:t>
      </w:r>
      <w:r w:rsidR="00527C32">
        <w:t xml:space="preserve">demographic </w:t>
      </w:r>
      <w:r w:rsidR="00653067">
        <w:t>data</w:t>
      </w:r>
      <w:r w:rsidR="00AD4307">
        <w:t xml:space="preserve"> is </w:t>
      </w:r>
      <w:r w:rsidR="00AD4307">
        <w:t xml:space="preserve">used </w:t>
      </w:r>
      <w:r w:rsidR="00653067">
        <w:t xml:space="preserve">to weigh the </w:t>
      </w:r>
      <w:r w:rsidR="004F3AFF">
        <w:t>responses</w:t>
      </w:r>
      <w:r w:rsidR="00653067">
        <w:t xml:space="preserve"> </w:t>
      </w:r>
      <w:r w:rsidR="00DB2522">
        <w:t xml:space="preserve">of </w:t>
      </w:r>
      <w:r w:rsidR="00B72AB9">
        <w:t xml:space="preserve">those who complete the survey against the national </w:t>
      </w:r>
      <w:r w:rsidR="00916EB4">
        <w:t>demographics</w:t>
      </w:r>
      <w:r w:rsidR="007C73B7">
        <w:t xml:space="preserve">. </w:t>
      </w:r>
      <w:r w:rsidR="00916EB4">
        <w:t xml:space="preserve">Doing so ensures </w:t>
      </w:r>
      <w:r w:rsidR="00375C35">
        <w:t>our findings</w:t>
      </w:r>
      <w:r w:rsidR="00E239D1">
        <w:t xml:space="preserve"> </w:t>
      </w:r>
      <w:r w:rsidR="00587B99">
        <w:t xml:space="preserve">give proper </w:t>
      </w:r>
      <w:r w:rsidR="00E239D1">
        <w:t>representat</w:t>
      </w:r>
      <w:r w:rsidR="00587B99">
        <w:t xml:space="preserve">ion to </w:t>
      </w:r>
      <w:r w:rsidR="00916EB4">
        <w:t xml:space="preserve">people of different </w:t>
      </w:r>
      <w:r w:rsidR="001F3E9C">
        <w:t>genders, ethnicities, age groups,</w:t>
      </w:r>
      <w:r w:rsidR="00916EB4">
        <w:t xml:space="preserve"> and </w:t>
      </w:r>
      <w:r w:rsidR="000C4C18">
        <w:t xml:space="preserve">income levels and does not skew our findings towards </w:t>
      </w:r>
      <w:r w:rsidR="00B93643">
        <w:t xml:space="preserve">the opinions of the </w:t>
      </w:r>
      <w:r w:rsidR="000C4C18">
        <w:t xml:space="preserve">most responsive </w:t>
      </w:r>
      <w:r w:rsidR="00B93643">
        <w:t>demographics</w:t>
      </w:r>
      <w:r w:rsidR="007C73B7">
        <w:t xml:space="preserve">. </w:t>
      </w:r>
      <w:r w:rsidR="00681C4F">
        <w:t xml:space="preserve">This demographic data is </w:t>
      </w:r>
      <w:r w:rsidR="00E411D4">
        <w:t xml:space="preserve">only </w:t>
      </w:r>
      <w:r w:rsidR="00681C4F">
        <w:t xml:space="preserve">used </w:t>
      </w:r>
      <w:r w:rsidR="00B93643">
        <w:t xml:space="preserve">by the Department of State </w:t>
      </w:r>
      <w:r w:rsidR="009C4F15">
        <w:t xml:space="preserve">to ensure our survey results </w:t>
      </w:r>
      <w:r w:rsidR="005124F4">
        <w:t xml:space="preserve">accurately represent </w:t>
      </w:r>
      <w:r w:rsidR="009C4F15">
        <w:t>the broad swathe of the American public</w:t>
      </w:r>
      <w:r w:rsidR="00E44B25">
        <w:t>.</w:t>
      </w:r>
      <w:r w:rsidR="00520134">
        <w:t xml:space="preserve"> We do not use it </w:t>
      </w:r>
      <w:r w:rsidR="001663D1">
        <w:t xml:space="preserve">directly </w:t>
      </w:r>
      <w:r w:rsidR="00520134">
        <w:t xml:space="preserve">for </w:t>
      </w:r>
      <w:r w:rsidR="001663D1">
        <w:t xml:space="preserve">any other reason, including </w:t>
      </w:r>
      <w:r w:rsidR="00520134">
        <w:t>programmatic</w:t>
      </w:r>
      <w:r w:rsidR="00571FC6">
        <w:t xml:space="preserve"> ones</w:t>
      </w:r>
      <w:r w:rsidR="00520134">
        <w:t>.</w:t>
      </w:r>
    </w:p>
    <w:p w:rsidR="00FA12AC" w:rsidP="00CE3562" w14:paraId="39A88EDB" w14:textId="77777777">
      <w:pPr>
        <w:widowControl w:val="0"/>
        <w:spacing w:before="120"/>
        <w:ind w:left="420"/>
        <w:rPr>
          <w:szCs w:val="24"/>
        </w:rPr>
      </w:pPr>
      <w:r>
        <w:rPr>
          <w:szCs w:val="24"/>
        </w:rPr>
        <w:t>The survey results delivered to the Department of State are anonymous and do not include</w:t>
      </w:r>
      <w:r w:rsidR="00184995">
        <w:rPr>
          <w:szCs w:val="24"/>
        </w:rPr>
        <w:t xml:space="preserve"> </w:t>
      </w:r>
      <w:r>
        <w:rPr>
          <w:szCs w:val="24"/>
        </w:rPr>
        <w:t xml:space="preserve">address, name, or other PII </w:t>
      </w:r>
      <w:r w:rsidR="00184995">
        <w:rPr>
          <w:szCs w:val="24"/>
        </w:rPr>
        <w:t xml:space="preserve">besides the </w:t>
      </w:r>
      <w:r w:rsidR="00D22B66">
        <w:rPr>
          <w:szCs w:val="24"/>
        </w:rPr>
        <w:t xml:space="preserve">described </w:t>
      </w:r>
      <w:r w:rsidR="00E67472">
        <w:rPr>
          <w:szCs w:val="24"/>
        </w:rPr>
        <w:t xml:space="preserve">demographic </w:t>
      </w:r>
      <w:r>
        <w:rPr>
          <w:szCs w:val="24"/>
        </w:rPr>
        <w:t>data</w:t>
      </w:r>
      <w:r w:rsidR="007C73B7">
        <w:rPr>
          <w:szCs w:val="24"/>
        </w:rPr>
        <w:t xml:space="preserve">. </w:t>
      </w:r>
      <w:r w:rsidR="00184995">
        <w:rPr>
          <w:szCs w:val="24"/>
        </w:rPr>
        <w:t xml:space="preserve">It </w:t>
      </w:r>
      <w:r w:rsidR="00D22B66">
        <w:rPr>
          <w:szCs w:val="24"/>
        </w:rPr>
        <w:t>could still theoretically be possible</w:t>
      </w:r>
      <w:r w:rsidR="007C73B7">
        <w:rPr>
          <w:szCs w:val="24"/>
        </w:rPr>
        <w:t>, although improbable,</w:t>
      </w:r>
      <w:r w:rsidR="00D22B66">
        <w:rPr>
          <w:szCs w:val="24"/>
        </w:rPr>
        <w:t xml:space="preserve"> to identify respondents </w:t>
      </w:r>
      <w:r w:rsidR="00794342">
        <w:rPr>
          <w:szCs w:val="24"/>
        </w:rPr>
        <w:t>with unique demographic characterist</w:t>
      </w:r>
      <w:r w:rsidR="00880652">
        <w:rPr>
          <w:szCs w:val="24"/>
        </w:rPr>
        <w:t xml:space="preserve">ics within constrained geographic </w:t>
      </w:r>
      <w:r w:rsidR="00946C3E">
        <w:rPr>
          <w:szCs w:val="24"/>
        </w:rPr>
        <w:t>areas served by the various regional offices</w:t>
      </w:r>
      <w:r w:rsidR="007C73B7">
        <w:rPr>
          <w:szCs w:val="24"/>
        </w:rPr>
        <w:t xml:space="preserve">. </w:t>
      </w:r>
      <w:r w:rsidR="00946C3E">
        <w:rPr>
          <w:szCs w:val="24"/>
        </w:rPr>
        <w:t>So appropriate measures are being taken to safeguard the data and only report it in aggregated form.</w:t>
      </w:r>
    </w:p>
    <w:p w:rsidR="00FA12AC" w:rsidP="00CE3562" w14:paraId="17E2A892" w14:textId="77777777">
      <w:pPr>
        <w:widowControl w:val="0"/>
        <w:spacing w:before="120"/>
        <w:ind w:left="420"/>
        <w:rPr>
          <w:szCs w:val="24"/>
        </w:rPr>
      </w:pPr>
      <w:r>
        <w:rPr>
          <w:szCs w:val="24"/>
        </w:rPr>
        <w:t>Given the sensitive nature of this information, e</w:t>
      </w:r>
      <w:r w:rsidR="006F1037">
        <w:rPr>
          <w:szCs w:val="24"/>
        </w:rPr>
        <w:t xml:space="preserve">very effort </w:t>
      </w:r>
      <w:r w:rsidR="001D3F78">
        <w:rPr>
          <w:szCs w:val="24"/>
        </w:rPr>
        <w:t xml:space="preserve">will be </w:t>
      </w:r>
      <w:r w:rsidR="006F1037">
        <w:rPr>
          <w:szCs w:val="24"/>
        </w:rPr>
        <w:t xml:space="preserve">taken to safeguard </w:t>
      </w:r>
      <w:r>
        <w:rPr>
          <w:szCs w:val="24"/>
        </w:rPr>
        <w:t>it</w:t>
      </w:r>
      <w:r w:rsidR="006F1037">
        <w:rPr>
          <w:szCs w:val="24"/>
        </w:rPr>
        <w:t xml:space="preserve">, including </w:t>
      </w:r>
      <w:r w:rsidR="0044320E">
        <w:rPr>
          <w:szCs w:val="24"/>
        </w:rPr>
        <w:t xml:space="preserve">implementing </w:t>
      </w:r>
      <w:r w:rsidR="006F1037">
        <w:rPr>
          <w:szCs w:val="24"/>
        </w:rPr>
        <w:t xml:space="preserve">encryption in transit, </w:t>
      </w:r>
      <w:r w:rsidR="0044320E">
        <w:rPr>
          <w:szCs w:val="24"/>
        </w:rPr>
        <w:t xml:space="preserve">implementing </w:t>
      </w:r>
      <w:r w:rsidR="001D3F78">
        <w:rPr>
          <w:szCs w:val="24"/>
        </w:rPr>
        <w:t xml:space="preserve">encryption at rest, and </w:t>
      </w:r>
      <w:r w:rsidR="0065302A">
        <w:rPr>
          <w:szCs w:val="24"/>
        </w:rPr>
        <w:t xml:space="preserve">controlling access to </w:t>
      </w:r>
      <w:r w:rsidR="0044320E">
        <w:rPr>
          <w:szCs w:val="24"/>
        </w:rPr>
        <w:t xml:space="preserve">approved </w:t>
      </w:r>
      <w:r w:rsidR="0065302A">
        <w:rPr>
          <w:szCs w:val="24"/>
        </w:rPr>
        <w:t>State Department employees and contractors</w:t>
      </w:r>
      <w:r w:rsidR="00DE3EA3">
        <w:rPr>
          <w:szCs w:val="24"/>
        </w:rPr>
        <w:t>.</w:t>
      </w:r>
    </w:p>
    <w:p w:rsidR="00BE447F" w:rsidRPr="00E93EEE" w:rsidP="00CE3562" w14:paraId="3D568C62" w14:textId="7BD43ADA">
      <w:pPr>
        <w:pStyle w:val="ListParagraph"/>
        <w:widowControl w:val="0"/>
        <w:numPr>
          <w:ilvl w:val="0"/>
          <w:numId w:val="2"/>
        </w:numPr>
        <w:spacing w:before="120"/>
        <w:contextualSpacing w:val="0"/>
        <w:rPr>
          <w:i/>
          <w:color w:val="000000" w:themeColor="text1"/>
          <w:szCs w:val="24"/>
        </w:rPr>
      </w:pPr>
      <w:bookmarkStart w:id="6" w:name="_Hlk31189969"/>
      <w:r w:rsidRPr="006007AB">
        <w:rPr>
          <w:i/>
          <w:color w:val="000000" w:themeColor="text1"/>
          <w:szCs w:val="24"/>
        </w:rPr>
        <w:t>Describe the hour time burden and the hour cost burden on the respondent needed to complete this collection</w:t>
      </w:r>
      <w:bookmarkEnd w:id="6"/>
    </w:p>
    <w:p w:rsidR="00BE1352" w:rsidRPr="00A16DA3" w:rsidP="00CE3562" w14:paraId="179AD102" w14:textId="426070E9">
      <w:pPr>
        <w:widowControl w:val="0"/>
        <w:spacing w:before="120"/>
        <w:ind w:left="420"/>
      </w:pPr>
      <w:r w:rsidRPr="00A16DA3">
        <w:t xml:space="preserve">The annual burden time for Passport Demand Forecasting Monthly Survey is estimated to be </w:t>
      </w:r>
      <w:r w:rsidR="00B17750">
        <w:t xml:space="preserve">approximately </w:t>
      </w:r>
      <w:r w:rsidR="00731379">
        <w:t>4</w:t>
      </w:r>
      <w:r w:rsidR="00B17750">
        <w:t>,000</w:t>
      </w:r>
      <w:r w:rsidRPr="00A16DA3">
        <w:t xml:space="preserve"> hours</w:t>
      </w:r>
      <w:r w:rsidR="007C73B7">
        <w:t xml:space="preserve">. </w:t>
      </w:r>
      <w:r w:rsidRPr="00A16DA3">
        <w:t xml:space="preserve">Each survey is estimated to take 10 minutes and will be conducted </w:t>
      </w:r>
      <w:r w:rsidR="00956DB8">
        <w:t>each month</w:t>
      </w:r>
      <w:r w:rsidR="007C73B7">
        <w:t xml:space="preserve">. </w:t>
      </w:r>
      <w:r w:rsidR="00AA2824">
        <w:t xml:space="preserve">Approximately </w:t>
      </w:r>
      <w:r w:rsidR="00487FF3">
        <w:t>2,000</w:t>
      </w:r>
      <w:r w:rsidRPr="00A16DA3">
        <w:t xml:space="preserve"> respondents will be surveyed per month</w:t>
      </w:r>
      <w:r w:rsidR="00DC3C1B">
        <w:t xml:space="preserve">, totaling </w:t>
      </w:r>
      <w:r w:rsidR="00487FF3">
        <w:t>24</w:t>
      </w:r>
      <w:r w:rsidR="00DC3C1B">
        <w:t>,000 respondents per year</w:t>
      </w:r>
      <w:r w:rsidRPr="00A16DA3">
        <w:t xml:space="preserve">, </w:t>
      </w:r>
      <w:r w:rsidR="00240CA0">
        <w:t>and an approximate</w:t>
      </w:r>
      <w:r w:rsidRPr="00A16DA3">
        <w:t xml:space="preserve"> annual total of </w:t>
      </w:r>
      <w:r w:rsidR="00487FF3">
        <w:t>4</w:t>
      </w:r>
      <w:r w:rsidRPr="00A16DA3">
        <w:t>,000 hours</w:t>
      </w:r>
      <w:r w:rsidR="00DC3C1B">
        <w:t xml:space="preserve"> (</w:t>
      </w:r>
      <w:r w:rsidR="00487FF3">
        <w:t>24</w:t>
      </w:r>
      <w:r w:rsidR="00DC3C1B">
        <w:t>,000 x 10 minutes /</w:t>
      </w:r>
      <w:r w:rsidR="00487FF3">
        <w:t xml:space="preserve"> </w:t>
      </w:r>
      <w:r w:rsidR="00DC3C1B">
        <w:t>60)</w:t>
      </w:r>
      <w:r w:rsidRPr="00A16DA3">
        <w:t>.</w:t>
      </w:r>
      <w:r w:rsidR="001E5524">
        <w:t xml:space="preserve"> </w:t>
      </w:r>
      <w:r>
        <w:t>Based on the chart below, the estimated annual hour cost burden is $</w:t>
      </w:r>
      <w:r w:rsidR="00A11536">
        <w:t>18</w:t>
      </w:r>
      <w:r w:rsidR="00CF65B4">
        <w:t>2</w:t>
      </w:r>
      <w:r w:rsidR="00A11536">
        <w:t>,6</w:t>
      </w:r>
      <w:r w:rsidR="00CF65B4">
        <w:t>5</w:t>
      </w:r>
      <w:r w:rsidR="00A11536">
        <w:t>0</w:t>
      </w:r>
      <w:r>
        <w:t>.</w:t>
      </w:r>
    </w:p>
    <w:tbl>
      <w:tblPr>
        <w:tblW w:w="5000" w:type="pct"/>
        <w:jc w:val="center"/>
        <w:tblCellMar>
          <w:left w:w="0" w:type="dxa"/>
          <w:right w:w="0" w:type="dxa"/>
        </w:tblCellMar>
        <w:tblLook w:val="04A0"/>
      </w:tblPr>
      <w:tblGrid>
        <w:gridCol w:w="2335"/>
        <w:gridCol w:w="2335"/>
        <w:gridCol w:w="2335"/>
        <w:gridCol w:w="2335"/>
      </w:tblGrid>
      <w:tr w14:paraId="179AD10B" w14:textId="77777777" w:rsidTr="00E93EEE">
        <w:tblPrEx>
          <w:tblW w:w="5000" w:type="pct"/>
          <w:jc w:val="center"/>
          <w:tblCellMar>
            <w:left w:w="0" w:type="dxa"/>
            <w:right w:w="0" w:type="dxa"/>
          </w:tblCellMar>
          <w:tblLook w:val="04A0"/>
        </w:tblPrEx>
        <w:trPr>
          <w:trHeight w:val="255"/>
          <w:tblHeader/>
          <w:jc w:val="center"/>
        </w:trPr>
        <w:tc>
          <w:tcPr>
            <w:tcW w:w="23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11BC0" w:rsidP="00CE3562" w14:paraId="179AD104" w14:textId="417F1309">
            <w:pPr>
              <w:widowControl w:val="0"/>
              <w:spacing w:before="120"/>
              <w:jc w:val="center"/>
              <w:rPr>
                <w:rFonts w:eastAsiaTheme="minorHAnsi"/>
                <w:i/>
              </w:rPr>
            </w:pPr>
            <w:r>
              <w:rPr>
                <w:i/>
              </w:rPr>
              <w:t>(a)</w:t>
            </w:r>
            <w:r w:rsidR="007C73B7">
              <w:rPr>
                <w:i/>
              </w:rPr>
              <w:t xml:space="preserve"> </w:t>
            </w:r>
            <w:r>
              <w:rPr>
                <w:i/>
              </w:rPr>
              <w:t>Description of the Collection Activity</w:t>
            </w:r>
          </w:p>
        </w:tc>
        <w:tc>
          <w:tcPr>
            <w:tcW w:w="233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311BC0" w:rsidP="00CE3562" w14:paraId="179AD106" w14:textId="34C4FC28">
            <w:pPr>
              <w:widowControl w:val="0"/>
              <w:spacing w:before="120"/>
              <w:jc w:val="center"/>
              <w:rPr>
                <w:rFonts w:eastAsiaTheme="minorHAnsi"/>
                <w:i/>
              </w:rPr>
            </w:pPr>
            <w:r>
              <w:rPr>
                <w:i/>
              </w:rPr>
              <w:t>(b)</w:t>
            </w:r>
            <w:r w:rsidR="007C73B7">
              <w:rPr>
                <w:i/>
              </w:rPr>
              <w:t xml:space="preserve"> </w:t>
            </w:r>
            <w:r>
              <w:rPr>
                <w:i/>
              </w:rPr>
              <w:t>Estimated Total Annual Burden on Respondents (Hours)</w:t>
            </w:r>
          </w:p>
        </w:tc>
        <w:tc>
          <w:tcPr>
            <w:tcW w:w="233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311BC0" w:rsidRPr="007C73B7" w:rsidP="00CE3562" w14:paraId="179AD108" w14:textId="462A51FE">
            <w:pPr>
              <w:widowControl w:val="0"/>
              <w:spacing w:before="120"/>
              <w:jc w:val="center"/>
              <w:rPr>
                <w:i/>
              </w:rPr>
            </w:pPr>
            <w:r>
              <w:rPr>
                <w:i/>
              </w:rPr>
              <w:t>(c)</w:t>
            </w:r>
            <w:r>
              <w:rPr>
                <w:rStyle w:val="FootnoteReference"/>
                <w:rFonts w:eastAsiaTheme="minorHAnsi"/>
                <w:i/>
              </w:rPr>
              <w:footnoteReference w:id="3"/>
            </w:r>
            <w:r w:rsidR="007C73B7">
              <w:rPr>
                <w:i/>
              </w:rPr>
              <w:t xml:space="preserve"> </w:t>
            </w:r>
            <w:r>
              <w:rPr>
                <w:i/>
              </w:rPr>
              <w:t>Estimated Average Income per Hour</w:t>
            </w:r>
          </w:p>
        </w:tc>
        <w:tc>
          <w:tcPr>
            <w:tcW w:w="233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311BC0" w:rsidP="00CE3562" w14:paraId="179AD10A" w14:textId="04026497">
            <w:pPr>
              <w:widowControl w:val="0"/>
              <w:spacing w:before="120"/>
              <w:jc w:val="center"/>
              <w:rPr>
                <w:rFonts w:eastAsiaTheme="minorHAnsi"/>
                <w:i/>
              </w:rPr>
            </w:pPr>
            <w:r>
              <w:rPr>
                <w:i/>
              </w:rPr>
              <w:t>(d)</w:t>
            </w:r>
            <w:r w:rsidR="007C73B7">
              <w:rPr>
                <w:i/>
              </w:rPr>
              <w:t xml:space="preserve"> </w:t>
            </w:r>
            <w:r>
              <w:rPr>
                <w:i/>
              </w:rPr>
              <w:t>Estimated Cost to Respondents</w:t>
            </w:r>
          </w:p>
        </w:tc>
      </w:tr>
      <w:tr w14:paraId="179AD110" w14:textId="77777777" w:rsidTr="00E93EEE">
        <w:tblPrEx>
          <w:tblW w:w="5000" w:type="pct"/>
          <w:jc w:val="center"/>
          <w:tblCellMar>
            <w:left w:w="0" w:type="dxa"/>
            <w:right w:w="0" w:type="dxa"/>
          </w:tblCellMar>
          <w:tblLook w:val="04A0"/>
        </w:tblPrEx>
        <w:trPr>
          <w:trHeight w:val="255"/>
          <w:jc w:val="center"/>
        </w:trPr>
        <w:tc>
          <w:tcPr>
            <w:tcW w:w="23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11BC0" w:rsidP="00CE3562" w14:paraId="179AD10C" w14:textId="77777777">
            <w:pPr>
              <w:widowControl w:val="0"/>
              <w:spacing w:before="120"/>
              <w:jc w:val="center"/>
              <w:rPr>
                <w:rFonts w:eastAsiaTheme="minorHAnsi"/>
                <w:i/>
              </w:rPr>
            </w:pPr>
            <w:r>
              <w:rPr>
                <w:i/>
              </w:rPr>
              <w:t>Phone survey</w:t>
            </w:r>
          </w:p>
        </w:tc>
        <w:tc>
          <w:tcPr>
            <w:tcW w:w="23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11BC0" w:rsidP="00CE3562" w14:paraId="179AD10D" w14:textId="75411076">
            <w:pPr>
              <w:widowControl w:val="0"/>
              <w:spacing w:before="120"/>
              <w:jc w:val="center"/>
              <w:rPr>
                <w:rFonts w:eastAsiaTheme="minorHAnsi"/>
                <w:i/>
              </w:rPr>
            </w:pPr>
            <w:r>
              <w:rPr>
                <w:i/>
              </w:rPr>
              <w:t>2,</w:t>
            </w:r>
            <w:r w:rsidR="00487FF3">
              <w:rPr>
                <w:i/>
              </w:rPr>
              <w:t xml:space="preserve">000 </w:t>
            </w:r>
            <w:r w:rsidR="007878B3">
              <w:rPr>
                <w:i/>
              </w:rPr>
              <w:t>hours</w:t>
            </w:r>
          </w:p>
        </w:tc>
        <w:tc>
          <w:tcPr>
            <w:tcW w:w="23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11BC0" w:rsidP="00CE3562" w14:paraId="179AD10E" w14:textId="1EF413D7">
            <w:pPr>
              <w:widowControl w:val="0"/>
              <w:spacing w:before="120"/>
              <w:jc w:val="center"/>
              <w:rPr>
                <w:rFonts w:eastAsiaTheme="minorHAnsi"/>
                <w:i/>
              </w:rPr>
            </w:pPr>
            <w:r>
              <w:rPr>
                <w:i/>
              </w:rPr>
              <w:t>$</w:t>
            </w:r>
            <w:r w:rsidR="00CF65B4">
              <w:rPr>
                <w:i/>
              </w:rPr>
              <w:t>36.53</w:t>
            </w:r>
          </w:p>
        </w:tc>
        <w:tc>
          <w:tcPr>
            <w:tcW w:w="23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11BC0" w:rsidP="00CE3562" w14:paraId="179AD10F" w14:textId="557B87B5">
            <w:pPr>
              <w:widowControl w:val="0"/>
              <w:spacing w:before="120"/>
              <w:jc w:val="center"/>
              <w:rPr>
                <w:rFonts w:eastAsiaTheme="minorHAnsi"/>
                <w:i/>
              </w:rPr>
            </w:pPr>
            <w:r>
              <w:rPr>
                <w:i/>
              </w:rPr>
              <w:t>$</w:t>
            </w:r>
            <w:r w:rsidR="00FC0370">
              <w:rPr>
                <w:i/>
              </w:rPr>
              <w:t>73,060</w:t>
            </w:r>
          </w:p>
        </w:tc>
      </w:tr>
      <w:tr w14:paraId="179AD115" w14:textId="77777777" w:rsidTr="00E93EEE">
        <w:tblPrEx>
          <w:tblW w:w="5000" w:type="pct"/>
          <w:jc w:val="center"/>
          <w:tblCellMar>
            <w:left w:w="0" w:type="dxa"/>
            <w:right w:w="0" w:type="dxa"/>
          </w:tblCellMar>
          <w:tblLook w:val="04A0"/>
        </w:tblPrEx>
        <w:trPr>
          <w:trHeight w:val="255"/>
          <w:jc w:val="center"/>
        </w:trPr>
        <w:tc>
          <w:tcPr>
            <w:tcW w:w="23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11BC0" w:rsidP="00CE3562" w14:paraId="179AD111" w14:textId="70F0C451">
            <w:pPr>
              <w:widowControl w:val="0"/>
              <w:spacing w:before="120"/>
              <w:jc w:val="center"/>
              <w:rPr>
                <w:i/>
              </w:rPr>
            </w:pPr>
            <w:r>
              <w:rPr>
                <w:i/>
              </w:rPr>
              <w:t>Internet/ web-based survey</w:t>
            </w:r>
          </w:p>
        </w:tc>
        <w:tc>
          <w:tcPr>
            <w:tcW w:w="23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11BC0" w:rsidP="00CE3562" w14:paraId="179AD112" w14:textId="753ADF5D">
            <w:pPr>
              <w:widowControl w:val="0"/>
              <w:spacing w:before="120"/>
              <w:jc w:val="center"/>
              <w:rPr>
                <w:rFonts w:eastAsiaTheme="minorHAnsi"/>
                <w:i/>
              </w:rPr>
            </w:pPr>
            <w:r>
              <w:rPr>
                <w:i/>
              </w:rPr>
              <w:t>2,</w:t>
            </w:r>
            <w:r w:rsidR="00487FF3">
              <w:rPr>
                <w:i/>
              </w:rPr>
              <w:t xml:space="preserve">000 </w:t>
            </w:r>
            <w:r w:rsidR="007878B3">
              <w:rPr>
                <w:i/>
              </w:rPr>
              <w:t>hours</w:t>
            </w:r>
          </w:p>
        </w:tc>
        <w:tc>
          <w:tcPr>
            <w:tcW w:w="23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11BC0" w:rsidP="00CE3562" w14:paraId="179AD113" w14:textId="369B0C68">
            <w:pPr>
              <w:widowControl w:val="0"/>
              <w:spacing w:before="120"/>
              <w:jc w:val="center"/>
              <w:rPr>
                <w:rFonts w:eastAsiaTheme="minorHAnsi"/>
                <w:i/>
              </w:rPr>
            </w:pPr>
            <w:r>
              <w:rPr>
                <w:i/>
              </w:rPr>
              <w:t>$</w:t>
            </w:r>
            <w:r w:rsidR="00CF65B4">
              <w:rPr>
                <w:i/>
              </w:rPr>
              <w:t>36.53</w:t>
            </w:r>
          </w:p>
        </w:tc>
        <w:tc>
          <w:tcPr>
            <w:tcW w:w="23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11BC0" w:rsidP="00CE3562" w14:paraId="179AD114" w14:textId="76A59A49">
            <w:pPr>
              <w:widowControl w:val="0"/>
              <w:spacing w:before="120"/>
              <w:jc w:val="center"/>
              <w:rPr>
                <w:i/>
              </w:rPr>
            </w:pPr>
            <w:r>
              <w:rPr>
                <w:i/>
              </w:rPr>
              <w:t>$</w:t>
            </w:r>
            <w:r w:rsidR="00FC0370">
              <w:rPr>
                <w:i/>
              </w:rPr>
              <w:t>73,060</w:t>
            </w:r>
          </w:p>
        </w:tc>
      </w:tr>
      <w:tr w14:paraId="179AD11F" w14:textId="77777777" w:rsidTr="00E93EEE">
        <w:tblPrEx>
          <w:tblW w:w="5000" w:type="pct"/>
          <w:jc w:val="center"/>
          <w:tblCellMar>
            <w:left w:w="0" w:type="dxa"/>
            <w:right w:w="0" w:type="dxa"/>
          </w:tblCellMar>
          <w:tblLook w:val="04A0"/>
        </w:tblPrEx>
        <w:trPr>
          <w:trHeight w:val="255"/>
          <w:jc w:val="center"/>
        </w:trPr>
        <w:tc>
          <w:tcPr>
            <w:tcW w:w="23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11BC0" w:rsidRPr="00E93EEE" w:rsidP="00CE3562" w14:paraId="179AD11B" w14:textId="77777777">
            <w:pPr>
              <w:widowControl w:val="0"/>
              <w:spacing w:before="120"/>
              <w:jc w:val="center"/>
              <w:rPr>
                <w:rFonts w:eastAsiaTheme="minorHAnsi"/>
                <w:b/>
                <w:bCs/>
                <w:i/>
              </w:rPr>
            </w:pPr>
            <w:r w:rsidRPr="00E93EEE">
              <w:rPr>
                <w:b/>
                <w:bCs/>
                <w:i/>
              </w:rPr>
              <w:t>Totals</w:t>
            </w:r>
          </w:p>
        </w:tc>
        <w:tc>
          <w:tcPr>
            <w:tcW w:w="23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11BC0" w:rsidRPr="00E93EEE" w:rsidP="00CE3562" w14:paraId="179AD11C" w14:textId="4A1CE844">
            <w:pPr>
              <w:widowControl w:val="0"/>
              <w:spacing w:before="120"/>
              <w:jc w:val="center"/>
              <w:rPr>
                <w:rFonts w:eastAsiaTheme="minorHAnsi"/>
                <w:b/>
                <w:bCs/>
                <w:i/>
              </w:rPr>
            </w:pPr>
            <w:r>
              <w:rPr>
                <w:b/>
                <w:bCs/>
                <w:i/>
              </w:rPr>
              <w:t>4</w:t>
            </w:r>
            <w:r w:rsidR="00CF65B4">
              <w:rPr>
                <w:b/>
                <w:bCs/>
                <w:i/>
              </w:rPr>
              <w:t>,</w:t>
            </w:r>
            <w:r w:rsidRPr="00E93EEE" w:rsidR="00240CA0">
              <w:rPr>
                <w:b/>
                <w:bCs/>
                <w:i/>
              </w:rPr>
              <w:t xml:space="preserve">000 </w:t>
            </w:r>
            <w:r w:rsidRPr="00E93EEE" w:rsidR="007878B3">
              <w:rPr>
                <w:b/>
                <w:bCs/>
                <w:i/>
              </w:rPr>
              <w:t>hours</w:t>
            </w:r>
          </w:p>
        </w:tc>
        <w:tc>
          <w:tcPr>
            <w:tcW w:w="23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11BC0" w:rsidRPr="00E93EEE" w:rsidP="00CE3562" w14:paraId="179AD11D" w14:textId="77777777">
            <w:pPr>
              <w:widowControl w:val="0"/>
              <w:spacing w:before="120"/>
              <w:jc w:val="center"/>
              <w:rPr>
                <w:rFonts w:eastAsiaTheme="minorHAnsi"/>
                <w:b/>
                <w:bCs/>
                <w:i/>
              </w:rPr>
            </w:pPr>
            <w:r w:rsidRPr="00E93EEE">
              <w:rPr>
                <w:b/>
                <w:bCs/>
                <w:i/>
              </w:rPr>
              <w:t>---</w:t>
            </w:r>
          </w:p>
        </w:tc>
        <w:tc>
          <w:tcPr>
            <w:tcW w:w="23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11BC0" w:rsidRPr="00E93EEE" w:rsidP="00CE3562" w14:paraId="179AD11E" w14:textId="46AECA1C">
            <w:pPr>
              <w:widowControl w:val="0"/>
              <w:spacing w:before="120"/>
              <w:jc w:val="center"/>
              <w:rPr>
                <w:rFonts w:eastAsiaTheme="minorHAnsi"/>
                <w:b/>
                <w:bCs/>
                <w:i/>
              </w:rPr>
            </w:pPr>
            <w:r w:rsidRPr="00E93EEE">
              <w:rPr>
                <w:b/>
                <w:bCs/>
                <w:i/>
              </w:rPr>
              <w:t>$</w:t>
            </w:r>
            <w:r w:rsidR="001A0A01">
              <w:rPr>
                <w:b/>
                <w:bCs/>
                <w:i/>
              </w:rPr>
              <w:t>146,120</w:t>
            </w:r>
          </w:p>
        </w:tc>
      </w:tr>
    </w:tbl>
    <w:p w:rsidR="00BE447F" w:rsidRPr="007C73B7" w:rsidP="00CE3562" w14:paraId="0DB0271F" w14:textId="266079E5">
      <w:pPr>
        <w:pStyle w:val="ListParagraph"/>
        <w:widowControl w:val="0"/>
        <w:numPr>
          <w:ilvl w:val="0"/>
          <w:numId w:val="2"/>
        </w:numPr>
        <w:spacing w:before="120"/>
        <w:contextualSpacing w:val="0"/>
        <w:rPr>
          <w:i/>
          <w:color w:val="000000" w:themeColor="text1"/>
          <w:szCs w:val="24"/>
        </w:rPr>
      </w:pPr>
      <w:bookmarkStart w:id="7" w:name="_Hlk31190006"/>
      <w:r w:rsidRPr="006007AB">
        <w:rPr>
          <w:i/>
          <w:color w:val="000000" w:themeColor="text1"/>
          <w:szCs w:val="24"/>
        </w:rPr>
        <w:t>Describe the monetary burden to respondents (out of pocket costs) needed to complete this collection.</w:t>
      </w:r>
      <w:bookmarkEnd w:id="7"/>
    </w:p>
    <w:p w:rsidR="00FA12AC" w:rsidP="00CE3562" w14:paraId="3CB4883C" w14:textId="77777777">
      <w:pPr>
        <w:widowControl w:val="0"/>
        <w:spacing w:before="120"/>
        <w:ind w:left="420"/>
      </w:pPr>
      <w:r w:rsidRPr="00A16DA3">
        <w:t>T</w:t>
      </w:r>
      <w:r w:rsidR="0022454A">
        <w:t>he</w:t>
      </w:r>
      <w:r w:rsidR="003630E5">
        <w:t xml:space="preserve">re </w:t>
      </w:r>
      <w:r w:rsidR="003630E5">
        <w:t>are</w:t>
      </w:r>
      <w:r w:rsidR="003630E5">
        <w:t xml:space="preserve"> </w:t>
      </w:r>
      <w:r w:rsidRPr="00A16DA3">
        <w:t xml:space="preserve">no </w:t>
      </w:r>
      <w:r w:rsidR="003630E5">
        <w:t xml:space="preserve">cost </w:t>
      </w:r>
      <w:r w:rsidRPr="00A16DA3">
        <w:t>to respondents</w:t>
      </w:r>
      <w:r w:rsidR="003630E5">
        <w:t>.</w:t>
      </w:r>
    </w:p>
    <w:p w:rsidR="00BE447F" w:rsidRPr="00E93EEE" w:rsidP="00CE3562" w14:paraId="69A82F6F" w14:textId="6BE49EFF">
      <w:pPr>
        <w:pStyle w:val="ListParagraph"/>
        <w:widowControl w:val="0"/>
        <w:numPr>
          <w:ilvl w:val="0"/>
          <w:numId w:val="2"/>
        </w:numPr>
        <w:spacing w:before="120"/>
        <w:contextualSpacing w:val="0"/>
        <w:rPr>
          <w:i/>
          <w:color w:val="000000" w:themeColor="text1"/>
          <w:szCs w:val="24"/>
        </w:rPr>
      </w:pPr>
      <w:bookmarkStart w:id="8" w:name="_Hlk31190022"/>
      <w:r w:rsidRPr="006007AB">
        <w:rPr>
          <w:i/>
          <w:color w:val="000000" w:themeColor="text1"/>
          <w:szCs w:val="24"/>
        </w:rPr>
        <w:t>Describe the cost incurred by the Federal Government to complete this collection</w:t>
      </w:r>
      <w:bookmarkEnd w:id="8"/>
      <w:r w:rsidRPr="006007AB">
        <w:rPr>
          <w:i/>
          <w:color w:val="000000" w:themeColor="text1"/>
          <w:szCs w:val="24"/>
        </w:rPr>
        <w:t>.</w:t>
      </w:r>
    </w:p>
    <w:p w:rsidR="00FA12AC" w:rsidP="00CE3562" w14:paraId="2E70BE0C" w14:textId="3B4816FB">
      <w:pPr>
        <w:widowControl w:val="0"/>
        <w:spacing w:before="120"/>
        <w:ind w:left="420"/>
      </w:pPr>
      <w:r w:rsidRPr="00A16DA3">
        <w:t xml:space="preserve">The estimated cost to the Federal Government is </w:t>
      </w:r>
      <w:r w:rsidRPr="00693C8D" w:rsidR="00693C8D">
        <w:t>$1,872,409.18</w:t>
      </w:r>
      <w:r w:rsidR="00693C8D">
        <w:t xml:space="preserve"> </w:t>
      </w:r>
      <w:r w:rsidRPr="00A16DA3">
        <w:t xml:space="preserve">for the Passport Demand </w:t>
      </w:r>
      <w:r w:rsidRPr="00A16DA3">
        <w:t>survey</w:t>
      </w:r>
      <w:r w:rsidR="007C73B7">
        <w:t xml:space="preserve">. </w:t>
      </w:r>
    </w:p>
    <w:p w:rsidR="00BE447F" w:rsidRPr="00E93EEE" w:rsidP="00CE3562" w14:paraId="068C48F3" w14:textId="4D00B01A">
      <w:pPr>
        <w:pStyle w:val="ListParagraph"/>
        <w:widowControl w:val="0"/>
        <w:numPr>
          <w:ilvl w:val="0"/>
          <w:numId w:val="2"/>
        </w:numPr>
        <w:spacing w:before="120"/>
        <w:contextualSpacing w:val="0"/>
        <w:rPr>
          <w:i/>
          <w:color w:val="000000" w:themeColor="text1"/>
          <w:szCs w:val="24"/>
        </w:rPr>
      </w:pPr>
      <w:bookmarkStart w:id="9" w:name="_Hlk31190082"/>
      <w:r w:rsidRPr="006007AB">
        <w:rPr>
          <w:i/>
          <w:color w:val="000000" w:themeColor="text1"/>
          <w:szCs w:val="24"/>
        </w:rPr>
        <w:t>Explain any changes/adjustments to this collection since the previous submission</w:t>
      </w:r>
      <w:bookmarkEnd w:id="9"/>
      <w:r w:rsidR="00FA12AC">
        <w:rPr>
          <w:i/>
          <w:color w:val="000000" w:themeColor="text1"/>
          <w:szCs w:val="24"/>
        </w:rPr>
        <w:t>.</w:t>
      </w:r>
    </w:p>
    <w:p w:rsidR="00FA12AC" w:rsidP="00CE3562" w14:paraId="6B1EE299" w14:textId="61A4B48A">
      <w:pPr>
        <w:widowControl w:val="0"/>
        <w:spacing w:before="120"/>
        <w:ind w:left="420"/>
      </w:pPr>
      <w:r w:rsidRPr="00A16DA3">
        <w:t>The</w:t>
      </w:r>
      <w:r w:rsidR="00EC5AD1">
        <w:t xml:space="preserve">re is </w:t>
      </w:r>
      <w:r w:rsidR="00240CA0">
        <w:t>a reduction</w:t>
      </w:r>
      <w:r w:rsidRPr="00A16DA3">
        <w:t xml:space="preserve"> in burden.</w:t>
      </w:r>
      <w:r w:rsidRPr="00A16DA3" w:rsidR="00DB5AA8">
        <w:t xml:space="preserve"> </w:t>
      </w:r>
      <w:r w:rsidR="00E025B7">
        <w:t xml:space="preserve">The sample size was reduced from </w:t>
      </w:r>
      <w:r w:rsidR="00DF4A9F">
        <w:t>2</w:t>
      </w:r>
      <w:r w:rsidR="00E025B7">
        <w:t>,</w:t>
      </w:r>
      <w:r w:rsidR="00DF4A9F">
        <w:t>5</w:t>
      </w:r>
      <w:r w:rsidR="00E025B7">
        <w:t xml:space="preserve">00 respondents per month to </w:t>
      </w:r>
      <w:r w:rsidRPr="00DF4A9F" w:rsidR="00E025B7">
        <w:t xml:space="preserve">approximately </w:t>
      </w:r>
      <w:r w:rsidRPr="00C91885" w:rsidR="00AE13AD">
        <w:t>2,000</w:t>
      </w:r>
      <w:r w:rsidRPr="00DF4A9F" w:rsidR="00E025B7">
        <w:t xml:space="preserve"> respondents per month since</w:t>
      </w:r>
      <w:r w:rsidR="00E025B7">
        <w:t xml:space="preserve"> the last collection was approved.</w:t>
      </w:r>
    </w:p>
    <w:p w:rsidR="00BE447F" w:rsidRPr="00E93EEE" w:rsidP="00CE3562" w14:paraId="55C083E9" w14:textId="25167F50">
      <w:pPr>
        <w:pStyle w:val="ListParagraph"/>
        <w:widowControl w:val="0"/>
        <w:numPr>
          <w:ilvl w:val="0"/>
          <w:numId w:val="2"/>
        </w:numPr>
        <w:spacing w:before="120"/>
        <w:contextualSpacing w:val="0"/>
        <w:rPr>
          <w:i/>
          <w:color w:val="000000" w:themeColor="text1"/>
          <w:szCs w:val="24"/>
        </w:rPr>
      </w:pPr>
      <w:bookmarkStart w:id="10" w:name="_Hlk31190148"/>
      <w:r w:rsidRPr="006007AB">
        <w:rPr>
          <w:i/>
          <w:color w:val="000000" w:themeColor="text1"/>
          <w:szCs w:val="24"/>
        </w:rPr>
        <w:t>Specify if the data gathered by this collection will be published</w:t>
      </w:r>
      <w:bookmarkEnd w:id="10"/>
      <w:r w:rsidRPr="006007AB">
        <w:rPr>
          <w:i/>
          <w:color w:val="000000" w:themeColor="text1"/>
          <w:szCs w:val="24"/>
        </w:rPr>
        <w:t>.</w:t>
      </w:r>
    </w:p>
    <w:p w:rsidR="00FA12AC" w:rsidP="00CE3562" w14:paraId="70B3CB6E" w14:textId="77777777">
      <w:pPr>
        <w:widowControl w:val="0"/>
        <w:spacing w:before="120"/>
        <w:ind w:left="420"/>
      </w:pPr>
      <w:r w:rsidRPr="00A16DA3">
        <w:t>No information that can be used to identify an individual will be published</w:t>
      </w:r>
      <w:r w:rsidR="007C73B7">
        <w:t xml:space="preserve">. </w:t>
      </w:r>
      <w:r w:rsidRPr="00A16DA3">
        <w:t>In order to</w:t>
      </w:r>
      <w:r w:rsidRPr="00A16DA3">
        <w:t xml:space="preserve"> meet informational requests and promote transparency, aggregated reports and analyses may be published concerning the covariates of passport demand and forecasts of passport demand.</w:t>
      </w:r>
    </w:p>
    <w:p w:rsidR="00BE447F" w:rsidRPr="00E93EEE" w:rsidP="00CE3562" w14:paraId="4815ABB0" w14:textId="01F35FED">
      <w:pPr>
        <w:pStyle w:val="ListParagraph"/>
        <w:widowControl w:val="0"/>
        <w:numPr>
          <w:ilvl w:val="0"/>
          <w:numId w:val="2"/>
        </w:numPr>
        <w:spacing w:before="120"/>
        <w:contextualSpacing w:val="0"/>
        <w:rPr>
          <w:i/>
          <w:color w:val="000000" w:themeColor="text1"/>
          <w:szCs w:val="24"/>
        </w:rPr>
      </w:pPr>
      <w:bookmarkStart w:id="11" w:name="_Hlk31190171"/>
      <w:r w:rsidRPr="006007AB">
        <w:rPr>
          <w:i/>
          <w:color w:val="000000" w:themeColor="text1"/>
          <w:szCs w:val="24"/>
        </w:rPr>
        <w:t>If applicable, explain the reason(s) for seeking approval to not display the OMB expiration date</w:t>
      </w:r>
      <w:bookmarkEnd w:id="11"/>
      <w:r w:rsidRPr="006007AB">
        <w:rPr>
          <w:i/>
          <w:color w:val="000000" w:themeColor="text1"/>
          <w:szCs w:val="24"/>
        </w:rPr>
        <w:t>.</w:t>
      </w:r>
    </w:p>
    <w:p w:rsidR="00FA12AC" w:rsidP="00CE3562" w14:paraId="5D8F65A3" w14:textId="77777777">
      <w:pPr>
        <w:widowControl w:val="0"/>
        <w:spacing w:before="120"/>
        <w:ind w:left="420"/>
      </w:pPr>
      <w:r w:rsidRPr="00EC7AD7">
        <w:t>The Department of State display</w:t>
      </w:r>
      <w:r w:rsidRPr="00EC7AD7" w:rsidR="009F0892">
        <w:t>s</w:t>
      </w:r>
      <w:r w:rsidRPr="00EC7AD7">
        <w:t xml:space="preserve"> the expiration date for OMB approval on the survey collection instruments </w:t>
      </w:r>
      <w:r w:rsidRPr="00EC7AD7" w:rsidR="009F0892">
        <w:t>and</w:t>
      </w:r>
      <w:r w:rsidRPr="00EC7AD7">
        <w:t xml:space="preserve"> provide</w:t>
      </w:r>
      <w:r w:rsidRPr="00EC7AD7" w:rsidR="009F0892">
        <w:t>s</w:t>
      </w:r>
      <w:r w:rsidRPr="00EC7AD7">
        <w:t xml:space="preserve"> it over the phone to respondents.</w:t>
      </w:r>
    </w:p>
    <w:p w:rsidR="00BE447F" w:rsidRPr="00E93EEE" w:rsidP="00CE3562" w14:paraId="7892B6EB" w14:textId="340C791F">
      <w:pPr>
        <w:pStyle w:val="ListParagraph"/>
        <w:widowControl w:val="0"/>
        <w:numPr>
          <w:ilvl w:val="0"/>
          <w:numId w:val="2"/>
        </w:numPr>
        <w:spacing w:before="120"/>
        <w:contextualSpacing w:val="0"/>
        <w:rPr>
          <w:i/>
          <w:color w:val="000000" w:themeColor="text1"/>
          <w:szCs w:val="24"/>
        </w:rPr>
      </w:pPr>
      <w:bookmarkStart w:id="12" w:name="_Hlk31190205"/>
      <w:r w:rsidRPr="006007AB">
        <w:rPr>
          <w:i/>
          <w:color w:val="000000" w:themeColor="text1"/>
          <w:szCs w:val="24"/>
        </w:rPr>
        <w:t>Explain any exceptions to the OMB certification statement below.</w:t>
      </w:r>
      <w:bookmarkEnd w:id="12"/>
    </w:p>
    <w:p w:rsidR="00FA12AC" w:rsidP="00CE3562" w14:paraId="45E47286" w14:textId="77777777">
      <w:pPr>
        <w:widowControl w:val="0"/>
        <w:spacing w:before="120"/>
        <w:ind w:left="420"/>
      </w:pPr>
      <w:r w:rsidRPr="00A16DA3">
        <w:t xml:space="preserve">Passport Services </w:t>
      </w:r>
      <w:r w:rsidRPr="00A16DA3" w:rsidR="00DB5AA8">
        <w:t>is not requesting any exceptions to the certification statement identified.</w:t>
      </w:r>
    </w:p>
    <w:p w:rsidR="00FA12AC" w:rsidRPr="008207D1" w:rsidP="00CE3562" w14:paraId="317E1A82" w14:textId="6B5A16AF">
      <w:pPr>
        <w:pStyle w:val="Heading1"/>
        <w:keepNext w:val="0"/>
        <w:widowControl w:val="0"/>
        <w:numPr>
          <w:ilvl w:val="0"/>
          <w:numId w:val="30"/>
        </w:numPr>
        <w:spacing w:before="240"/>
        <w:ind w:left="720"/>
        <w:rPr>
          <w:rFonts w:ascii="Times New Roman Bold" w:hAnsi="Times New Roman Bold"/>
          <w:smallCaps/>
          <w:sz w:val="28"/>
          <w:szCs w:val="24"/>
        </w:rPr>
      </w:pPr>
      <w:r w:rsidRPr="008207D1">
        <w:rPr>
          <w:rFonts w:ascii="Times New Roman Bold" w:hAnsi="Times New Roman Bold"/>
          <w:smallCaps/>
          <w:sz w:val="28"/>
          <w:szCs w:val="24"/>
        </w:rPr>
        <w:t>C</w:t>
      </w:r>
      <w:r w:rsidRPr="008207D1">
        <w:rPr>
          <w:rFonts w:ascii="Times New Roman Bold" w:hAnsi="Times New Roman Bold"/>
          <w:smallCaps/>
          <w:sz w:val="28"/>
          <w:szCs w:val="24"/>
        </w:rPr>
        <w:t>ollection</w:t>
      </w:r>
      <w:r w:rsidRPr="008207D1">
        <w:rPr>
          <w:rFonts w:ascii="Times New Roman Bold" w:hAnsi="Times New Roman Bold"/>
          <w:smallCaps/>
          <w:sz w:val="28"/>
          <w:szCs w:val="24"/>
        </w:rPr>
        <w:t xml:space="preserve"> </w:t>
      </w:r>
      <w:r w:rsidRPr="008207D1">
        <w:rPr>
          <w:rFonts w:ascii="Times New Roman Bold" w:hAnsi="Times New Roman Bold"/>
          <w:smallCaps/>
          <w:sz w:val="28"/>
          <w:szCs w:val="24"/>
        </w:rPr>
        <w:t>of</w:t>
      </w:r>
      <w:r w:rsidRPr="008207D1">
        <w:rPr>
          <w:rFonts w:ascii="Times New Roman Bold" w:hAnsi="Times New Roman Bold"/>
          <w:smallCaps/>
          <w:sz w:val="28"/>
          <w:szCs w:val="24"/>
        </w:rPr>
        <w:t xml:space="preserve"> I</w:t>
      </w:r>
      <w:r w:rsidRPr="008207D1">
        <w:rPr>
          <w:rFonts w:ascii="Times New Roman Bold" w:hAnsi="Times New Roman Bold"/>
          <w:smallCaps/>
          <w:sz w:val="28"/>
          <w:szCs w:val="24"/>
        </w:rPr>
        <w:t>nformation</w:t>
      </w:r>
      <w:r w:rsidRPr="008207D1">
        <w:rPr>
          <w:rFonts w:ascii="Times New Roman Bold" w:hAnsi="Times New Roman Bold"/>
          <w:smallCaps/>
          <w:sz w:val="28"/>
          <w:szCs w:val="24"/>
        </w:rPr>
        <w:t xml:space="preserve"> E</w:t>
      </w:r>
      <w:r w:rsidRPr="008207D1">
        <w:rPr>
          <w:rFonts w:ascii="Times New Roman Bold" w:hAnsi="Times New Roman Bold"/>
          <w:smallCaps/>
          <w:sz w:val="28"/>
          <w:szCs w:val="24"/>
        </w:rPr>
        <w:t>mploying Statistical Methods</w:t>
      </w:r>
    </w:p>
    <w:p w:rsidR="00FA12AC" w:rsidP="00CE3562" w14:paraId="0250E541" w14:textId="1A9060BC">
      <w:pPr>
        <w:widowControl w:val="0"/>
        <w:spacing w:before="120"/>
        <w:rPr>
          <w:szCs w:val="24"/>
        </w:rPr>
      </w:pPr>
      <w:bookmarkStart w:id="13" w:name="_Toc459797339"/>
      <w:r w:rsidRPr="00A16DA3">
        <w:rPr>
          <w:szCs w:val="24"/>
        </w:rPr>
        <w:t>More than ever before, key decision makers rely on empirical guidance for improving the operations of their organizations</w:t>
      </w:r>
      <w:r w:rsidR="007C73B7">
        <w:rPr>
          <w:szCs w:val="24"/>
        </w:rPr>
        <w:t xml:space="preserve">. </w:t>
      </w:r>
      <w:r w:rsidRPr="00A16DA3" w:rsidR="00736A37">
        <w:rPr>
          <w:szCs w:val="24"/>
        </w:rPr>
        <w:t>Passport Services’ study relies on s</w:t>
      </w:r>
      <w:r w:rsidRPr="00A16DA3">
        <w:rPr>
          <w:szCs w:val="24"/>
        </w:rPr>
        <w:t xml:space="preserve">cientific sample </w:t>
      </w:r>
      <w:r w:rsidR="00CE3562">
        <w:rPr>
          <w:szCs w:val="24"/>
        </w:rPr>
        <w:t>survey</w:t>
      </w:r>
      <w:r w:rsidRPr="00A16DA3" w:rsidR="00736A37">
        <w:rPr>
          <w:szCs w:val="24"/>
        </w:rPr>
        <w:t>,</w:t>
      </w:r>
      <w:r w:rsidRPr="00A16DA3" w:rsidR="00314769">
        <w:rPr>
          <w:szCs w:val="24"/>
        </w:rPr>
        <w:t xml:space="preserve"> </w:t>
      </w:r>
      <w:r w:rsidRPr="00A16DA3">
        <w:rPr>
          <w:szCs w:val="24"/>
        </w:rPr>
        <w:t>diligent survey administration</w:t>
      </w:r>
      <w:r w:rsidRPr="00A16DA3" w:rsidR="00736A37">
        <w:rPr>
          <w:szCs w:val="24"/>
        </w:rPr>
        <w:t>,</w:t>
      </w:r>
      <w:r w:rsidRPr="00A16DA3">
        <w:rPr>
          <w:szCs w:val="24"/>
        </w:rPr>
        <w:t xml:space="preserve"> effective analysis of survey data</w:t>
      </w:r>
      <w:r w:rsidRPr="00A16DA3" w:rsidR="00736A37">
        <w:rPr>
          <w:szCs w:val="24"/>
        </w:rPr>
        <w:t>,</w:t>
      </w:r>
      <w:r w:rsidRPr="00A16DA3">
        <w:rPr>
          <w:szCs w:val="24"/>
        </w:rPr>
        <w:t xml:space="preserve"> and </w:t>
      </w:r>
      <w:r w:rsidRPr="00A16DA3" w:rsidR="00736A37">
        <w:rPr>
          <w:szCs w:val="24"/>
        </w:rPr>
        <w:t xml:space="preserve">accurate </w:t>
      </w:r>
      <w:r w:rsidRPr="00A16DA3">
        <w:rPr>
          <w:szCs w:val="24"/>
        </w:rPr>
        <w:t>interpretation of the results</w:t>
      </w:r>
      <w:r w:rsidRPr="00A16DA3" w:rsidR="00736A37">
        <w:rPr>
          <w:szCs w:val="24"/>
        </w:rPr>
        <w:t>. The Passport Demand Forecasting Survey is a critical component of Passport Services’ strategy to marshal empirical data for making efficient, accurate management decisions</w:t>
      </w:r>
      <w:r w:rsidR="00693C8D">
        <w:rPr>
          <w:szCs w:val="24"/>
        </w:rPr>
        <w:t>,</w:t>
      </w:r>
      <w:r w:rsidRPr="00A16DA3" w:rsidR="00736A37">
        <w:rPr>
          <w:szCs w:val="24"/>
        </w:rPr>
        <w:t xml:space="preserve"> because it </w:t>
      </w:r>
      <w:r w:rsidR="00693C8D">
        <w:rPr>
          <w:szCs w:val="24"/>
        </w:rPr>
        <w:t>helps</w:t>
      </w:r>
      <w:r w:rsidRPr="00A16DA3" w:rsidR="00693C8D">
        <w:rPr>
          <w:szCs w:val="24"/>
        </w:rPr>
        <w:t xml:space="preserve"> </w:t>
      </w:r>
      <w:r w:rsidRPr="00A16DA3" w:rsidR="00736A37">
        <w:rPr>
          <w:szCs w:val="24"/>
        </w:rPr>
        <w:t>Passport Services</w:t>
      </w:r>
      <w:r w:rsidRPr="00A16DA3" w:rsidR="00314769">
        <w:rPr>
          <w:szCs w:val="24"/>
        </w:rPr>
        <w:t xml:space="preserve"> </w:t>
      </w:r>
      <w:r w:rsidR="00693C8D">
        <w:rPr>
          <w:szCs w:val="24"/>
        </w:rPr>
        <w:t xml:space="preserve">obtain </w:t>
      </w:r>
      <w:r w:rsidRPr="00A16DA3">
        <w:rPr>
          <w:szCs w:val="24"/>
        </w:rPr>
        <w:t xml:space="preserve">reliable projections of demand for </w:t>
      </w:r>
      <w:r w:rsidRPr="00A16DA3" w:rsidR="00736A37">
        <w:rPr>
          <w:szCs w:val="24"/>
        </w:rPr>
        <w:t>U.S. passports</w:t>
      </w:r>
      <w:r w:rsidR="007C73B7">
        <w:rPr>
          <w:szCs w:val="24"/>
        </w:rPr>
        <w:t>.</w:t>
      </w:r>
    </w:p>
    <w:p w:rsidR="00FA12AC" w:rsidP="00CE3562" w14:paraId="227166FC" w14:textId="53B0F526">
      <w:pPr>
        <w:widowControl w:val="0"/>
        <w:spacing w:before="120"/>
        <w:rPr>
          <w:szCs w:val="24"/>
        </w:rPr>
      </w:pPr>
      <w:r>
        <w:rPr>
          <w:szCs w:val="24"/>
        </w:rPr>
        <w:t>F</w:t>
      </w:r>
      <w:r w:rsidRPr="00A16DA3" w:rsidR="009A56D5">
        <w:rPr>
          <w:szCs w:val="24"/>
        </w:rPr>
        <w:t xml:space="preserve">undamental </w:t>
      </w:r>
      <w:r>
        <w:rPr>
          <w:szCs w:val="24"/>
        </w:rPr>
        <w:t xml:space="preserve">to </w:t>
      </w:r>
      <w:r w:rsidRPr="00A16DA3" w:rsidR="009A56D5">
        <w:rPr>
          <w:szCs w:val="24"/>
        </w:rPr>
        <w:t xml:space="preserve">our strategy is recognition of the fact that rigorous survey research programs are designed and implemented to minimize the so-called </w:t>
      </w:r>
      <w:r w:rsidRPr="00A16DA3" w:rsidR="009A56D5">
        <w:rPr>
          <w:i/>
          <w:szCs w:val="24"/>
        </w:rPr>
        <w:t>Total Survey Error</w:t>
      </w:r>
      <w:r w:rsidRPr="00A16DA3" w:rsidR="009A56D5">
        <w:rPr>
          <w:szCs w:val="24"/>
        </w:rPr>
        <w:t>, as depicted in the following diagram</w:t>
      </w:r>
      <w:r w:rsidR="007C73B7">
        <w:rPr>
          <w:szCs w:val="24"/>
        </w:rPr>
        <w:t xml:space="preserve">. </w:t>
      </w:r>
      <w:r w:rsidRPr="00A16DA3" w:rsidR="009A56D5">
        <w:rPr>
          <w:szCs w:val="24"/>
        </w:rPr>
        <w:t xml:space="preserve">Under this comprehensive framework each component of error receives proper attention, since with imbalanced focus on any </w:t>
      </w:r>
      <w:r w:rsidRPr="00A16DA3" w:rsidR="009A56D5">
        <w:rPr>
          <w:szCs w:val="24"/>
        </w:rPr>
        <w:t>particular source</w:t>
      </w:r>
      <w:r w:rsidRPr="00A16DA3" w:rsidR="009A56D5">
        <w:rPr>
          <w:szCs w:val="24"/>
        </w:rPr>
        <w:t xml:space="preserve"> of error other error components will gain opportunities to grow and create weak links in the survey process.</w:t>
      </w:r>
    </w:p>
    <w:p w:rsidR="009A56D5" w:rsidRPr="00A16DA3" w:rsidP="00CE3562" w14:paraId="179AD1A8" w14:textId="34044254">
      <w:pPr>
        <w:widowControl w:val="0"/>
        <w:spacing w:before="120"/>
        <w:rPr>
          <w:color w:val="000000"/>
          <w:szCs w:val="24"/>
        </w:rPr>
      </w:pPr>
      <w:r w:rsidRPr="00A16DA3">
        <w:rPr>
          <w:b/>
          <w:color w:val="000000"/>
          <w:szCs w:val="24"/>
        </w:rPr>
        <w:t>Figure 1</w:t>
      </w:r>
      <w:r w:rsidR="007C73B7">
        <w:rPr>
          <w:b/>
          <w:color w:val="000000"/>
          <w:szCs w:val="24"/>
        </w:rPr>
        <w:t xml:space="preserve">. </w:t>
      </w:r>
      <w:r w:rsidRPr="00A16DA3">
        <w:rPr>
          <w:color w:val="000000"/>
          <w:szCs w:val="24"/>
        </w:rPr>
        <w:t>Components of total survey error</w:t>
      </w:r>
    </w:p>
    <w:tbl>
      <w:tblPr>
        <w:tblW w:w="5000" w:type="pct"/>
        <w:tblLayout w:type="fixed"/>
        <w:tblLook w:val="04A0"/>
      </w:tblPr>
      <w:tblGrid>
        <w:gridCol w:w="411"/>
        <w:gridCol w:w="415"/>
        <w:gridCol w:w="273"/>
        <w:gridCol w:w="578"/>
        <w:gridCol w:w="279"/>
        <w:gridCol w:w="271"/>
        <w:gridCol w:w="439"/>
        <w:gridCol w:w="527"/>
        <w:gridCol w:w="252"/>
        <w:gridCol w:w="613"/>
        <w:gridCol w:w="353"/>
        <w:gridCol w:w="264"/>
        <w:gridCol w:w="561"/>
        <w:gridCol w:w="406"/>
        <w:gridCol w:w="299"/>
        <w:gridCol w:w="473"/>
        <w:gridCol w:w="458"/>
        <w:gridCol w:w="271"/>
        <w:gridCol w:w="466"/>
        <w:gridCol w:w="430"/>
        <w:gridCol w:w="260"/>
        <w:gridCol w:w="43"/>
        <w:gridCol w:w="598"/>
        <w:gridCol w:w="410"/>
      </w:tblGrid>
      <w:tr w14:paraId="179AD1AA" w14:textId="77777777" w:rsidTr="004B3D3E">
        <w:tblPrEx>
          <w:tblW w:w="5000" w:type="pct"/>
          <w:tblLayout w:type="fixed"/>
          <w:tblLook w:val="04A0"/>
        </w:tblPrEx>
        <w:trPr>
          <w:trHeight w:val="432"/>
        </w:trPr>
        <w:tc>
          <w:tcPr>
            <w:tcW w:w="5000" w:type="pct"/>
            <w:gridSpan w:val="24"/>
            <w:tcBorders>
              <w:top w:val="single" w:sz="4" w:space="0" w:color="auto"/>
              <w:left w:val="single" w:sz="4" w:space="0" w:color="auto"/>
              <w:bottom w:val="single" w:sz="4" w:space="0" w:color="auto"/>
              <w:right w:val="single" w:sz="4" w:space="0" w:color="auto"/>
            </w:tcBorders>
            <w:shd w:val="clear" w:color="auto" w:fill="000000"/>
            <w:vAlign w:val="center"/>
            <w:hideMark/>
          </w:tcPr>
          <w:p w:rsidR="009A56D5" w:rsidRPr="00CE3562" w:rsidP="00CE3562" w14:paraId="179AD1A9" w14:textId="77777777">
            <w:pPr>
              <w:widowControl w:val="0"/>
              <w:spacing w:before="120"/>
              <w:jc w:val="center"/>
              <w:rPr>
                <w:b/>
                <w:bCs/>
                <w:color w:val="FFFFFF"/>
                <w:sz w:val="28"/>
                <w:szCs w:val="28"/>
              </w:rPr>
            </w:pPr>
            <w:r w:rsidRPr="00CE3562">
              <w:rPr>
                <w:b/>
                <w:bCs/>
                <w:color w:val="FFFFFF"/>
                <w:sz w:val="28"/>
                <w:szCs w:val="28"/>
              </w:rPr>
              <w:t>Total Survey Error</w:t>
            </w:r>
          </w:p>
        </w:tc>
      </w:tr>
      <w:tr w14:paraId="179AD1B6" w14:textId="77777777" w:rsidTr="004B3D3E">
        <w:tblPrEx>
          <w:tblW w:w="5000" w:type="pct"/>
          <w:tblLayout w:type="fixed"/>
          <w:tblLook w:val="04A0"/>
        </w:tblPrEx>
        <w:trPr>
          <w:trHeight w:val="432"/>
        </w:trPr>
        <w:tc>
          <w:tcPr>
            <w:tcW w:w="587" w:type="pct"/>
            <w:gridSpan w:val="3"/>
            <w:tcBorders>
              <w:top w:val="single" w:sz="4" w:space="0" w:color="auto"/>
              <w:left w:val="nil"/>
              <w:bottom w:val="single" w:sz="4" w:space="0" w:color="auto"/>
              <w:right w:val="single" w:sz="4" w:space="0" w:color="auto"/>
            </w:tcBorders>
            <w:vAlign w:val="center"/>
            <w:hideMark/>
          </w:tcPr>
          <w:p w:rsidR="009A56D5" w:rsidRPr="00A16DA3" w:rsidP="00CE3562" w14:paraId="179AD1AB" w14:textId="77777777">
            <w:pPr>
              <w:widowControl w:val="0"/>
              <w:spacing w:after="0"/>
              <w:jc w:val="center"/>
              <w:rPr>
                <w:b/>
                <w:bCs/>
                <w:color w:val="FFFFFF"/>
                <w:szCs w:val="24"/>
              </w:rPr>
            </w:pPr>
          </w:p>
        </w:tc>
        <w:tc>
          <w:tcPr>
            <w:tcW w:w="458" w:type="pct"/>
            <w:gridSpan w:val="2"/>
            <w:tcBorders>
              <w:top w:val="single" w:sz="4" w:space="0" w:color="auto"/>
              <w:left w:val="single" w:sz="4" w:space="0" w:color="auto"/>
              <w:bottom w:val="single" w:sz="4" w:space="0" w:color="auto"/>
              <w:right w:val="nil"/>
            </w:tcBorders>
            <w:vAlign w:val="center"/>
            <w:hideMark/>
          </w:tcPr>
          <w:p w:rsidR="009A56D5" w:rsidRPr="00A16DA3" w:rsidP="00CE3562" w14:paraId="179AD1AC" w14:textId="77777777">
            <w:pPr>
              <w:widowControl w:val="0"/>
              <w:spacing w:after="0"/>
              <w:jc w:val="center"/>
              <w:rPr>
                <w:b/>
                <w:bCs/>
                <w:color w:val="FFFFFF"/>
                <w:szCs w:val="24"/>
              </w:rPr>
            </w:pPr>
            <w:r w:rsidRPr="00A16DA3">
              <w:rPr>
                <w:b/>
                <w:bCs/>
                <w:color w:val="FFFFFF"/>
                <w:szCs w:val="24"/>
              </w:rPr>
              <w:t> </w:t>
            </w:r>
          </w:p>
        </w:tc>
        <w:tc>
          <w:tcPr>
            <w:tcW w:w="145" w:type="pct"/>
            <w:tcBorders>
              <w:top w:val="single" w:sz="4" w:space="0" w:color="auto"/>
              <w:left w:val="nil"/>
              <w:right w:val="nil"/>
            </w:tcBorders>
            <w:vAlign w:val="center"/>
            <w:hideMark/>
          </w:tcPr>
          <w:p w:rsidR="009A56D5" w:rsidRPr="00A16DA3" w:rsidP="00CE3562" w14:paraId="179AD1AD" w14:textId="77777777">
            <w:pPr>
              <w:widowControl w:val="0"/>
              <w:spacing w:after="0"/>
              <w:jc w:val="center"/>
              <w:rPr>
                <w:b/>
                <w:bCs/>
                <w:color w:val="FFFFFF"/>
                <w:szCs w:val="24"/>
              </w:rPr>
            </w:pPr>
          </w:p>
        </w:tc>
        <w:tc>
          <w:tcPr>
            <w:tcW w:w="652" w:type="pct"/>
            <w:gridSpan w:val="3"/>
            <w:tcBorders>
              <w:top w:val="single" w:sz="4" w:space="0" w:color="auto"/>
              <w:left w:val="nil"/>
              <w:bottom w:val="single" w:sz="4" w:space="0" w:color="auto"/>
              <w:right w:val="single" w:sz="4" w:space="0" w:color="auto"/>
            </w:tcBorders>
            <w:vAlign w:val="center"/>
            <w:hideMark/>
          </w:tcPr>
          <w:p w:rsidR="009A56D5" w:rsidRPr="00A16DA3" w:rsidP="00CE3562" w14:paraId="179AD1AE" w14:textId="77777777">
            <w:pPr>
              <w:widowControl w:val="0"/>
              <w:spacing w:after="0"/>
              <w:jc w:val="center"/>
              <w:rPr>
                <w:b/>
                <w:bCs/>
                <w:color w:val="FFFFFF"/>
                <w:szCs w:val="24"/>
              </w:rPr>
            </w:pPr>
          </w:p>
        </w:tc>
        <w:tc>
          <w:tcPr>
            <w:tcW w:w="517" w:type="pct"/>
            <w:gridSpan w:val="2"/>
            <w:tcBorders>
              <w:top w:val="single" w:sz="4" w:space="0" w:color="auto"/>
              <w:left w:val="single" w:sz="4" w:space="0" w:color="auto"/>
              <w:bottom w:val="single" w:sz="4" w:space="0" w:color="auto"/>
              <w:right w:val="nil"/>
            </w:tcBorders>
            <w:vAlign w:val="center"/>
            <w:hideMark/>
          </w:tcPr>
          <w:p w:rsidR="009A56D5" w:rsidRPr="00A16DA3" w:rsidP="00CE3562" w14:paraId="179AD1AF" w14:textId="77777777">
            <w:pPr>
              <w:widowControl w:val="0"/>
              <w:spacing w:after="0"/>
              <w:jc w:val="center"/>
              <w:rPr>
                <w:b/>
                <w:bCs/>
                <w:color w:val="FFFFFF"/>
                <w:szCs w:val="24"/>
              </w:rPr>
            </w:pPr>
            <w:r w:rsidRPr="00A16DA3">
              <w:rPr>
                <w:b/>
                <w:bCs/>
                <w:color w:val="FFFFFF"/>
                <w:szCs w:val="24"/>
              </w:rPr>
              <w:t> </w:t>
            </w:r>
          </w:p>
        </w:tc>
        <w:tc>
          <w:tcPr>
            <w:tcW w:w="141" w:type="pct"/>
            <w:tcBorders>
              <w:top w:val="single" w:sz="4" w:space="0" w:color="auto"/>
              <w:left w:val="nil"/>
              <w:right w:val="nil"/>
            </w:tcBorders>
            <w:vAlign w:val="center"/>
            <w:hideMark/>
          </w:tcPr>
          <w:p w:rsidR="009A56D5" w:rsidRPr="00A16DA3" w:rsidP="00CE3562" w14:paraId="179AD1B0" w14:textId="77777777">
            <w:pPr>
              <w:widowControl w:val="0"/>
              <w:spacing w:after="0"/>
              <w:jc w:val="center"/>
              <w:rPr>
                <w:b/>
                <w:bCs/>
                <w:color w:val="FFFFFF"/>
                <w:szCs w:val="24"/>
              </w:rPr>
            </w:pPr>
          </w:p>
        </w:tc>
        <w:tc>
          <w:tcPr>
            <w:tcW w:w="677" w:type="pct"/>
            <w:gridSpan w:val="3"/>
            <w:tcBorders>
              <w:top w:val="single" w:sz="4" w:space="0" w:color="auto"/>
              <w:left w:val="nil"/>
              <w:bottom w:val="single" w:sz="4" w:space="0" w:color="auto"/>
              <w:right w:val="single" w:sz="4" w:space="0" w:color="auto"/>
            </w:tcBorders>
            <w:vAlign w:val="center"/>
            <w:hideMark/>
          </w:tcPr>
          <w:p w:rsidR="009A56D5" w:rsidRPr="00A16DA3" w:rsidP="00CE3562" w14:paraId="179AD1B1" w14:textId="77777777">
            <w:pPr>
              <w:widowControl w:val="0"/>
              <w:spacing w:after="0"/>
              <w:jc w:val="center"/>
              <w:rPr>
                <w:b/>
                <w:bCs/>
                <w:color w:val="FFFFFF"/>
                <w:szCs w:val="24"/>
              </w:rPr>
            </w:pPr>
            <w:r w:rsidRPr="00A16DA3">
              <w:rPr>
                <w:b/>
                <w:bCs/>
                <w:color w:val="FFFFFF"/>
                <w:szCs w:val="24"/>
              </w:rPr>
              <w:t> </w:t>
            </w:r>
          </w:p>
        </w:tc>
        <w:tc>
          <w:tcPr>
            <w:tcW w:w="498" w:type="pct"/>
            <w:gridSpan w:val="2"/>
            <w:tcBorders>
              <w:top w:val="single" w:sz="4" w:space="0" w:color="auto"/>
              <w:left w:val="single" w:sz="4" w:space="0" w:color="auto"/>
              <w:bottom w:val="single" w:sz="4" w:space="0" w:color="auto"/>
              <w:right w:val="nil"/>
            </w:tcBorders>
            <w:vAlign w:val="center"/>
            <w:hideMark/>
          </w:tcPr>
          <w:p w:rsidR="009A56D5" w:rsidRPr="00A16DA3" w:rsidP="00CE3562" w14:paraId="179AD1B2" w14:textId="77777777">
            <w:pPr>
              <w:widowControl w:val="0"/>
              <w:spacing w:after="0"/>
              <w:jc w:val="center"/>
              <w:rPr>
                <w:b/>
                <w:bCs/>
                <w:color w:val="FFFFFF"/>
                <w:szCs w:val="24"/>
              </w:rPr>
            </w:pPr>
          </w:p>
        </w:tc>
        <w:tc>
          <w:tcPr>
            <w:tcW w:w="145" w:type="pct"/>
            <w:tcBorders>
              <w:top w:val="single" w:sz="4" w:space="0" w:color="auto"/>
              <w:left w:val="nil"/>
              <w:right w:val="nil"/>
            </w:tcBorders>
            <w:vAlign w:val="center"/>
            <w:hideMark/>
          </w:tcPr>
          <w:p w:rsidR="009A56D5" w:rsidRPr="00A16DA3" w:rsidP="00CE3562" w14:paraId="179AD1B3" w14:textId="77777777">
            <w:pPr>
              <w:widowControl w:val="0"/>
              <w:spacing w:after="0"/>
              <w:jc w:val="center"/>
              <w:rPr>
                <w:b/>
                <w:bCs/>
                <w:color w:val="FFFFFF"/>
                <w:szCs w:val="24"/>
              </w:rPr>
            </w:pPr>
          </w:p>
        </w:tc>
        <w:tc>
          <w:tcPr>
            <w:tcW w:w="641" w:type="pct"/>
            <w:gridSpan w:val="4"/>
            <w:tcBorders>
              <w:top w:val="single" w:sz="4" w:space="0" w:color="auto"/>
              <w:left w:val="nil"/>
              <w:bottom w:val="single" w:sz="4" w:space="0" w:color="auto"/>
              <w:right w:val="single" w:sz="4" w:space="0" w:color="auto"/>
            </w:tcBorders>
            <w:vAlign w:val="center"/>
            <w:hideMark/>
          </w:tcPr>
          <w:p w:rsidR="009A56D5" w:rsidRPr="00A16DA3" w:rsidP="00CE3562" w14:paraId="179AD1B4" w14:textId="77777777">
            <w:pPr>
              <w:widowControl w:val="0"/>
              <w:spacing w:after="0"/>
              <w:jc w:val="center"/>
              <w:rPr>
                <w:b/>
                <w:bCs/>
                <w:color w:val="FFFFFF"/>
                <w:szCs w:val="24"/>
              </w:rPr>
            </w:pPr>
            <w:r w:rsidRPr="00A16DA3">
              <w:rPr>
                <w:b/>
                <w:bCs/>
                <w:color w:val="FFFFFF"/>
                <w:szCs w:val="24"/>
              </w:rPr>
              <w:t> </w:t>
            </w:r>
          </w:p>
        </w:tc>
        <w:tc>
          <w:tcPr>
            <w:tcW w:w="539" w:type="pct"/>
            <w:gridSpan w:val="2"/>
            <w:tcBorders>
              <w:top w:val="single" w:sz="4" w:space="0" w:color="auto"/>
              <w:left w:val="single" w:sz="4" w:space="0" w:color="auto"/>
              <w:bottom w:val="single" w:sz="4" w:space="0" w:color="auto"/>
              <w:right w:val="nil"/>
            </w:tcBorders>
            <w:vAlign w:val="center"/>
            <w:hideMark/>
          </w:tcPr>
          <w:p w:rsidR="009A56D5" w:rsidRPr="00A16DA3" w:rsidP="00CE3562" w14:paraId="179AD1B5" w14:textId="77777777">
            <w:pPr>
              <w:widowControl w:val="0"/>
              <w:spacing w:after="0"/>
              <w:jc w:val="center"/>
              <w:rPr>
                <w:b/>
                <w:bCs/>
                <w:color w:val="FFFFFF"/>
                <w:szCs w:val="24"/>
              </w:rPr>
            </w:pPr>
          </w:p>
        </w:tc>
      </w:tr>
      <w:tr w14:paraId="179AD1BE" w14:textId="77777777" w:rsidTr="004B3D3E">
        <w:tblPrEx>
          <w:tblW w:w="5000" w:type="pct"/>
          <w:tblLayout w:type="fixed"/>
          <w:tblLook w:val="04A0"/>
        </w:tblPrEx>
        <w:trPr>
          <w:trHeight w:val="432"/>
        </w:trPr>
        <w:tc>
          <w:tcPr>
            <w:tcW w:w="1045" w:type="pct"/>
            <w:gridSpan w:val="5"/>
            <w:tcBorders>
              <w:top w:val="single" w:sz="4" w:space="0" w:color="auto"/>
              <w:left w:val="single" w:sz="4" w:space="0" w:color="auto"/>
              <w:bottom w:val="single" w:sz="4" w:space="0" w:color="auto"/>
              <w:right w:val="single" w:sz="4" w:space="0" w:color="auto"/>
            </w:tcBorders>
            <w:shd w:val="clear" w:color="auto" w:fill="595959"/>
            <w:vAlign w:val="center"/>
            <w:hideMark/>
          </w:tcPr>
          <w:p w:rsidR="009A56D5" w:rsidRPr="00A16DA3" w:rsidP="00CE3562" w14:paraId="179AD1B7" w14:textId="77777777">
            <w:pPr>
              <w:widowControl w:val="0"/>
              <w:spacing w:before="120"/>
              <w:jc w:val="center"/>
              <w:rPr>
                <w:b/>
                <w:bCs/>
                <w:color w:val="FFFFFF"/>
                <w:szCs w:val="24"/>
              </w:rPr>
            </w:pPr>
            <w:r w:rsidRPr="00A16DA3">
              <w:rPr>
                <w:b/>
                <w:bCs/>
                <w:color w:val="FFFFFF"/>
                <w:szCs w:val="24"/>
              </w:rPr>
              <w:t>Errors of</w:t>
            </w:r>
            <w:r w:rsidRPr="00A16DA3">
              <w:rPr>
                <w:b/>
                <w:bCs/>
                <w:color w:val="FFFFFF"/>
                <w:szCs w:val="24"/>
              </w:rPr>
              <w:br/>
            </w:r>
            <w:r w:rsidRPr="00A16DA3">
              <w:rPr>
                <w:b/>
                <w:bCs/>
                <w:color w:val="FFFFFF"/>
                <w:szCs w:val="24"/>
              </w:rPr>
              <w:t>Non-observation</w:t>
            </w:r>
          </w:p>
        </w:tc>
        <w:tc>
          <w:tcPr>
            <w:tcW w:w="145" w:type="pct"/>
            <w:tcBorders>
              <w:top w:val="nil"/>
              <w:left w:val="single" w:sz="4" w:space="0" w:color="auto"/>
              <w:bottom w:val="nil"/>
              <w:right w:val="single" w:sz="4" w:space="0" w:color="auto"/>
            </w:tcBorders>
            <w:vAlign w:val="center"/>
            <w:hideMark/>
          </w:tcPr>
          <w:p w:rsidR="009A56D5" w:rsidRPr="00A16DA3" w:rsidP="00CE3562" w14:paraId="179AD1B8" w14:textId="77777777">
            <w:pPr>
              <w:widowControl w:val="0"/>
              <w:spacing w:before="120"/>
              <w:jc w:val="center"/>
              <w:rPr>
                <w:b/>
                <w:bCs/>
                <w:color w:val="FFFFFF"/>
                <w:szCs w:val="24"/>
              </w:rPr>
            </w:pPr>
          </w:p>
        </w:tc>
        <w:tc>
          <w:tcPr>
            <w:tcW w:w="1169" w:type="pct"/>
            <w:gridSpan w:val="5"/>
            <w:tcBorders>
              <w:top w:val="single" w:sz="4" w:space="0" w:color="auto"/>
              <w:left w:val="single" w:sz="4" w:space="0" w:color="auto"/>
              <w:bottom w:val="single" w:sz="4" w:space="0" w:color="auto"/>
              <w:right w:val="single" w:sz="4" w:space="0" w:color="auto"/>
            </w:tcBorders>
            <w:shd w:val="clear" w:color="auto" w:fill="595959"/>
            <w:vAlign w:val="center"/>
            <w:hideMark/>
          </w:tcPr>
          <w:p w:rsidR="009A56D5" w:rsidRPr="00A16DA3" w:rsidP="00CE3562" w14:paraId="179AD1B9" w14:textId="77777777">
            <w:pPr>
              <w:widowControl w:val="0"/>
              <w:spacing w:before="120"/>
              <w:jc w:val="center"/>
              <w:rPr>
                <w:b/>
                <w:bCs/>
                <w:color w:val="FFFFFF"/>
                <w:szCs w:val="24"/>
              </w:rPr>
            </w:pPr>
            <w:r w:rsidRPr="00A16DA3">
              <w:rPr>
                <w:b/>
                <w:bCs/>
                <w:color w:val="FFFFFF"/>
                <w:szCs w:val="24"/>
              </w:rPr>
              <w:t>Errors of</w:t>
            </w:r>
            <w:r w:rsidRPr="00A16DA3">
              <w:rPr>
                <w:b/>
                <w:bCs/>
                <w:color w:val="FFFFFF"/>
                <w:szCs w:val="24"/>
              </w:rPr>
              <w:br/>
              <w:t>Observation</w:t>
            </w:r>
          </w:p>
        </w:tc>
        <w:tc>
          <w:tcPr>
            <w:tcW w:w="141" w:type="pct"/>
            <w:tcBorders>
              <w:top w:val="nil"/>
              <w:left w:val="single" w:sz="4" w:space="0" w:color="auto"/>
              <w:bottom w:val="nil"/>
              <w:right w:val="single" w:sz="4" w:space="0" w:color="auto"/>
            </w:tcBorders>
            <w:vAlign w:val="center"/>
            <w:hideMark/>
          </w:tcPr>
          <w:p w:rsidR="009A56D5" w:rsidRPr="00A16DA3" w:rsidP="00CE3562" w14:paraId="179AD1BA" w14:textId="77777777">
            <w:pPr>
              <w:widowControl w:val="0"/>
              <w:spacing w:before="120"/>
              <w:jc w:val="center"/>
              <w:rPr>
                <w:b/>
                <w:bCs/>
                <w:color w:val="FFFFFF"/>
                <w:szCs w:val="24"/>
              </w:rPr>
            </w:pPr>
          </w:p>
        </w:tc>
        <w:tc>
          <w:tcPr>
            <w:tcW w:w="1175" w:type="pct"/>
            <w:gridSpan w:val="5"/>
            <w:tcBorders>
              <w:top w:val="single" w:sz="4" w:space="0" w:color="auto"/>
              <w:left w:val="single" w:sz="4" w:space="0" w:color="auto"/>
              <w:bottom w:val="single" w:sz="4" w:space="0" w:color="auto"/>
              <w:right w:val="single" w:sz="4" w:space="0" w:color="auto"/>
            </w:tcBorders>
            <w:shd w:val="clear" w:color="auto" w:fill="595959"/>
            <w:vAlign w:val="center"/>
            <w:hideMark/>
          </w:tcPr>
          <w:p w:rsidR="009A56D5" w:rsidRPr="00A16DA3" w:rsidP="00CE3562" w14:paraId="179AD1BB" w14:textId="77777777">
            <w:pPr>
              <w:widowControl w:val="0"/>
              <w:spacing w:before="120"/>
              <w:jc w:val="center"/>
              <w:rPr>
                <w:b/>
                <w:bCs/>
                <w:color w:val="FFFFFF"/>
                <w:szCs w:val="24"/>
              </w:rPr>
            </w:pPr>
            <w:r w:rsidRPr="00A16DA3">
              <w:rPr>
                <w:b/>
                <w:bCs/>
                <w:color w:val="FFFFFF"/>
                <w:szCs w:val="24"/>
              </w:rPr>
              <w:t>Errors of</w:t>
            </w:r>
            <w:r w:rsidRPr="00A16DA3">
              <w:rPr>
                <w:b/>
                <w:bCs/>
                <w:color w:val="FFFFFF"/>
                <w:szCs w:val="24"/>
              </w:rPr>
              <w:br/>
              <w:t>Processing</w:t>
            </w:r>
          </w:p>
        </w:tc>
        <w:tc>
          <w:tcPr>
            <w:tcW w:w="145" w:type="pct"/>
            <w:tcBorders>
              <w:top w:val="nil"/>
              <w:left w:val="single" w:sz="4" w:space="0" w:color="auto"/>
              <w:bottom w:val="nil"/>
              <w:right w:val="single" w:sz="4" w:space="0" w:color="auto"/>
            </w:tcBorders>
            <w:vAlign w:val="center"/>
            <w:hideMark/>
          </w:tcPr>
          <w:p w:rsidR="009A56D5" w:rsidRPr="00A16DA3" w:rsidP="00CE3562" w14:paraId="179AD1BC" w14:textId="77777777">
            <w:pPr>
              <w:widowControl w:val="0"/>
              <w:spacing w:before="120"/>
              <w:jc w:val="center"/>
              <w:rPr>
                <w:b/>
                <w:bCs/>
                <w:color w:val="FFFFFF"/>
                <w:szCs w:val="24"/>
              </w:rPr>
            </w:pPr>
          </w:p>
        </w:tc>
        <w:tc>
          <w:tcPr>
            <w:tcW w:w="1180" w:type="pct"/>
            <w:gridSpan w:val="6"/>
            <w:tcBorders>
              <w:top w:val="single" w:sz="4" w:space="0" w:color="auto"/>
              <w:left w:val="single" w:sz="4" w:space="0" w:color="auto"/>
              <w:bottom w:val="single" w:sz="4" w:space="0" w:color="auto"/>
              <w:right w:val="single" w:sz="4" w:space="0" w:color="auto"/>
            </w:tcBorders>
            <w:shd w:val="clear" w:color="auto" w:fill="595959"/>
            <w:vAlign w:val="center"/>
            <w:hideMark/>
          </w:tcPr>
          <w:p w:rsidR="009A56D5" w:rsidRPr="00A16DA3" w:rsidP="00CE3562" w14:paraId="179AD1BD" w14:textId="77777777">
            <w:pPr>
              <w:widowControl w:val="0"/>
              <w:spacing w:before="120"/>
              <w:jc w:val="center"/>
              <w:rPr>
                <w:b/>
                <w:bCs/>
                <w:color w:val="FFFFFF"/>
                <w:szCs w:val="24"/>
              </w:rPr>
            </w:pPr>
            <w:r w:rsidRPr="00A16DA3">
              <w:rPr>
                <w:b/>
                <w:bCs/>
                <w:color w:val="FFFFFF"/>
                <w:szCs w:val="24"/>
              </w:rPr>
              <w:t>Errors of Dissemination</w:t>
            </w:r>
          </w:p>
        </w:tc>
      </w:tr>
      <w:tr w14:paraId="179AD1D6" w14:textId="77777777" w:rsidTr="004B3D3E">
        <w:tblPrEx>
          <w:tblW w:w="5000" w:type="pct"/>
          <w:tblLayout w:type="fixed"/>
          <w:tblLook w:val="04A0"/>
        </w:tblPrEx>
        <w:trPr>
          <w:trHeight w:val="432"/>
        </w:trPr>
        <w:tc>
          <w:tcPr>
            <w:tcW w:w="219" w:type="pct"/>
            <w:tcBorders>
              <w:top w:val="single" w:sz="4" w:space="0" w:color="auto"/>
              <w:left w:val="nil"/>
              <w:bottom w:val="nil"/>
              <w:right w:val="single" w:sz="4" w:space="0" w:color="auto"/>
            </w:tcBorders>
            <w:vAlign w:val="center"/>
            <w:hideMark/>
          </w:tcPr>
          <w:p w:rsidR="009A56D5" w:rsidRPr="00A16DA3" w:rsidP="00CE3562" w14:paraId="179AD1BF" w14:textId="77777777">
            <w:pPr>
              <w:widowControl w:val="0"/>
              <w:spacing w:after="0"/>
              <w:jc w:val="center"/>
              <w:rPr>
                <w:b/>
                <w:bCs/>
                <w:color w:val="FFFFFF"/>
                <w:szCs w:val="24"/>
              </w:rPr>
            </w:pPr>
          </w:p>
        </w:tc>
        <w:tc>
          <w:tcPr>
            <w:tcW w:w="222" w:type="pct"/>
            <w:tcBorders>
              <w:top w:val="single" w:sz="4" w:space="0" w:color="auto"/>
              <w:left w:val="single" w:sz="4" w:space="0" w:color="auto"/>
              <w:bottom w:val="single" w:sz="4" w:space="0" w:color="auto"/>
              <w:right w:val="nil"/>
            </w:tcBorders>
            <w:vAlign w:val="center"/>
            <w:hideMark/>
          </w:tcPr>
          <w:p w:rsidR="009A56D5" w:rsidRPr="00A16DA3" w:rsidP="00CE3562" w14:paraId="179AD1C0" w14:textId="77777777">
            <w:pPr>
              <w:widowControl w:val="0"/>
              <w:spacing w:after="0"/>
              <w:jc w:val="center"/>
              <w:rPr>
                <w:b/>
                <w:bCs/>
                <w:color w:val="FFFFFF"/>
                <w:szCs w:val="24"/>
              </w:rPr>
            </w:pPr>
            <w:r w:rsidRPr="00A16DA3">
              <w:rPr>
                <w:b/>
                <w:bCs/>
                <w:color w:val="FFFFFF"/>
                <w:szCs w:val="24"/>
              </w:rPr>
              <w:t> </w:t>
            </w:r>
          </w:p>
        </w:tc>
        <w:tc>
          <w:tcPr>
            <w:tcW w:w="146" w:type="pct"/>
            <w:tcBorders>
              <w:top w:val="single" w:sz="4" w:space="0" w:color="auto"/>
              <w:left w:val="nil"/>
              <w:right w:val="nil"/>
            </w:tcBorders>
            <w:vAlign w:val="center"/>
            <w:hideMark/>
          </w:tcPr>
          <w:p w:rsidR="009A56D5" w:rsidRPr="00A16DA3" w:rsidP="00CE3562" w14:paraId="179AD1C1" w14:textId="77777777">
            <w:pPr>
              <w:widowControl w:val="0"/>
              <w:spacing w:after="0"/>
              <w:jc w:val="center"/>
              <w:rPr>
                <w:b/>
                <w:bCs/>
                <w:color w:val="FFFFFF"/>
                <w:szCs w:val="24"/>
              </w:rPr>
            </w:pPr>
          </w:p>
        </w:tc>
        <w:tc>
          <w:tcPr>
            <w:tcW w:w="309" w:type="pct"/>
            <w:tcBorders>
              <w:top w:val="single" w:sz="4" w:space="0" w:color="auto"/>
              <w:left w:val="nil"/>
              <w:bottom w:val="single" w:sz="8" w:space="0" w:color="auto"/>
              <w:right w:val="single" w:sz="4" w:space="0" w:color="auto"/>
            </w:tcBorders>
            <w:vAlign w:val="center"/>
            <w:hideMark/>
          </w:tcPr>
          <w:p w:rsidR="009A56D5" w:rsidRPr="00A16DA3" w:rsidP="00CE3562" w14:paraId="179AD1C2" w14:textId="77777777">
            <w:pPr>
              <w:widowControl w:val="0"/>
              <w:spacing w:after="0"/>
              <w:jc w:val="center"/>
              <w:rPr>
                <w:b/>
                <w:bCs/>
                <w:color w:val="FFFFFF"/>
                <w:szCs w:val="24"/>
              </w:rPr>
            </w:pPr>
            <w:r w:rsidRPr="00A16DA3">
              <w:rPr>
                <w:b/>
                <w:bCs/>
                <w:color w:val="FFFFFF"/>
                <w:szCs w:val="24"/>
              </w:rPr>
              <w:t> </w:t>
            </w:r>
          </w:p>
        </w:tc>
        <w:tc>
          <w:tcPr>
            <w:tcW w:w="149" w:type="pct"/>
            <w:tcBorders>
              <w:top w:val="single" w:sz="4" w:space="0" w:color="auto"/>
              <w:left w:val="single" w:sz="4" w:space="0" w:color="auto"/>
              <w:bottom w:val="single" w:sz="4" w:space="0" w:color="auto"/>
              <w:right w:val="nil"/>
            </w:tcBorders>
            <w:vAlign w:val="center"/>
            <w:hideMark/>
          </w:tcPr>
          <w:p w:rsidR="009A56D5" w:rsidRPr="00A16DA3" w:rsidP="00CE3562" w14:paraId="179AD1C3" w14:textId="77777777">
            <w:pPr>
              <w:widowControl w:val="0"/>
              <w:spacing w:after="0"/>
              <w:jc w:val="center"/>
              <w:rPr>
                <w:b/>
                <w:bCs/>
                <w:color w:val="FFFFFF"/>
                <w:szCs w:val="24"/>
              </w:rPr>
            </w:pPr>
          </w:p>
        </w:tc>
        <w:tc>
          <w:tcPr>
            <w:tcW w:w="145" w:type="pct"/>
            <w:tcBorders>
              <w:top w:val="nil"/>
              <w:left w:val="nil"/>
              <w:right w:val="nil"/>
            </w:tcBorders>
            <w:vAlign w:val="center"/>
            <w:hideMark/>
          </w:tcPr>
          <w:p w:rsidR="009A56D5" w:rsidRPr="00A16DA3" w:rsidP="00CE3562" w14:paraId="179AD1C4" w14:textId="77777777">
            <w:pPr>
              <w:widowControl w:val="0"/>
              <w:spacing w:after="0"/>
              <w:jc w:val="center"/>
              <w:rPr>
                <w:b/>
                <w:bCs/>
                <w:color w:val="FFFFFF"/>
                <w:szCs w:val="24"/>
              </w:rPr>
            </w:pPr>
          </w:p>
        </w:tc>
        <w:tc>
          <w:tcPr>
            <w:tcW w:w="235" w:type="pct"/>
            <w:tcBorders>
              <w:top w:val="nil"/>
              <w:left w:val="nil"/>
              <w:bottom w:val="nil"/>
              <w:right w:val="single" w:sz="4" w:space="0" w:color="auto"/>
            </w:tcBorders>
            <w:vAlign w:val="center"/>
            <w:hideMark/>
          </w:tcPr>
          <w:p w:rsidR="009A56D5" w:rsidRPr="00A16DA3" w:rsidP="00CE3562" w14:paraId="179AD1C5" w14:textId="77777777">
            <w:pPr>
              <w:widowControl w:val="0"/>
              <w:spacing w:after="0"/>
              <w:jc w:val="center"/>
              <w:rPr>
                <w:b/>
                <w:bCs/>
                <w:color w:val="FFFFFF"/>
                <w:szCs w:val="24"/>
              </w:rPr>
            </w:pPr>
          </w:p>
        </w:tc>
        <w:tc>
          <w:tcPr>
            <w:tcW w:w="282" w:type="pct"/>
            <w:tcBorders>
              <w:top w:val="single" w:sz="4" w:space="0" w:color="auto"/>
              <w:left w:val="single" w:sz="4" w:space="0" w:color="auto"/>
              <w:bottom w:val="single" w:sz="4" w:space="0" w:color="auto"/>
              <w:right w:val="nil"/>
            </w:tcBorders>
            <w:vAlign w:val="center"/>
            <w:hideMark/>
          </w:tcPr>
          <w:p w:rsidR="009A56D5" w:rsidRPr="00A16DA3" w:rsidP="00CE3562" w14:paraId="179AD1C6" w14:textId="77777777">
            <w:pPr>
              <w:widowControl w:val="0"/>
              <w:spacing w:after="0"/>
              <w:jc w:val="center"/>
              <w:rPr>
                <w:b/>
                <w:bCs/>
                <w:color w:val="FFFFFF"/>
                <w:szCs w:val="24"/>
              </w:rPr>
            </w:pPr>
            <w:r w:rsidRPr="00A16DA3">
              <w:rPr>
                <w:b/>
                <w:bCs/>
                <w:color w:val="FFFFFF"/>
                <w:szCs w:val="24"/>
              </w:rPr>
              <w:t> </w:t>
            </w:r>
          </w:p>
        </w:tc>
        <w:tc>
          <w:tcPr>
            <w:tcW w:w="135" w:type="pct"/>
            <w:tcBorders>
              <w:top w:val="nil"/>
              <w:left w:val="nil"/>
              <w:right w:val="nil"/>
            </w:tcBorders>
            <w:vAlign w:val="center"/>
            <w:hideMark/>
          </w:tcPr>
          <w:p w:rsidR="009A56D5" w:rsidRPr="00A16DA3" w:rsidP="00CE3562" w14:paraId="179AD1C7" w14:textId="77777777">
            <w:pPr>
              <w:widowControl w:val="0"/>
              <w:spacing w:after="0"/>
              <w:jc w:val="center"/>
              <w:rPr>
                <w:b/>
                <w:bCs/>
                <w:color w:val="FFFFFF"/>
                <w:szCs w:val="24"/>
              </w:rPr>
            </w:pPr>
          </w:p>
        </w:tc>
        <w:tc>
          <w:tcPr>
            <w:tcW w:w="328" w:type="pct"/>
            <w:tcBorders>
              <w:top w:val="nil"/>
              <w:left w:val="nil"/>
              <w:bottom w:val="single" w:sz="8" w:space="0" w:color="auto"/>
              <w:right w:val="single" w:sz="4" w:space="0" w:color="auto"/>
            </w:tcBorders>
            <w:vAlign w:val="center"/>
            <w:hideMark/>
          </w:tcPr>
          <w:p w:rsidR="009A56D5" w:rsidRPr="00A16DA3" w:rsidP="00CE3562" w14:paraId="179AD1C8" w14:textId="77777777">
            <w:pPr>
              <w:widowControl w:val="0"/>
              <w:spacing w:after="0"/>
              <w:jc w:val="center"/>
              <w:rPr>
                <w:b/>
                <w:bCs/>
                <w:color w:val="FFFFFF"/>
                <w:szCs w:val="24"/>
              </w:rPr>
            </w:pPr>
            <w:r w:rsidRPr="00A16DA3">
              <w:rPr>
                <w:b/>
                <w:bCs/>
                <w:color w:val="FFFFFF"/>
                <w:szCs w:val="24"/>
              </w:rPr>
              <w:t> </w:t>
            </w:r>
          </w:p>
        </w:tc>
        <w:tc>
          <w:tcPr>
            <w:tcW w:w="189" w:type="pct"/>
            <w:tcBorders>
              <w:top w:val="single" w:sz="4" w:space="0" w:color="auto"/>
              <w:left w:val="single" w:sz="4" w:space="0" w:color="auto"/>
              <w:bottom w:val="single" w:sz="4" w:space="0" w:color="auto"/>
              <w:right w:val="nil"/>
            </w:tcBorders>
            <w:vAlign w:val="center"/>
            <w:hideMark/>
          </w:tcPr>
          <w:p w:rsidR="009A56D5" w:rsidRPr="00A16DA3" w:rsidP="00CE3562" w14:paraId="179AD1C9" w14:textId="77777777">
            <w:pPr>
              <w:widowControl w:val="0"/>
              <w:spacing w:after="0"/>
              <w:jc w:val="center"/>
              <w:rPr>
                <w:b/>
                <w:bCs/>
                <w:color w:val="FFFFFF"/>
                <w:szCs w:val="24"/>
              </w:rPr>
            </w:pPr>
          </w:p>
        </w:tc>
        <w:tc>
          <w:tcPr>
            <w:tcW w:w="141" w:type="pct"/>
            <w:tcBorders>
              <w:top w:val="nil"/>
              <w:left w:val="nil"/>
              <w:right w:val="nil"/>
            </w:tcBorders>
            <w:vAlign w:val="center"/>
            <w:hideMark/>
          </w:tcPr>
          <w:p w:rsidR="009A56D5" w:rsidRPr="00A16DA3" w:rsidP="00CE3562" w14:paraId="179AD1CA" w14:textId="77777777">
            <w:pPr>
              <w:widowControl w:val="0"/>
              <w:spacing w:after="0"/>
              <w:jc w:val="center"/>
              <w:rPr>
                <w:b/>
                <w:bCs/>
                <w:color w:val="FFFFFF"/>
                <w:szCs w:val="24"/>
              </w:rPr>
            </w:pPr>
          </w:p>
        </w:tc>
        <w:tc>
          <w:tcPr>
            <w:tcW w:w="300" w:type="pct"/>
            <w:tcBorders>
              <w:top w:val="nil"/>
              <w:left w:val="nil"/>
              <w:bottom w:val="nil"/>
              <w:right w:val="single" w:sz="4" w:space="0" w:color="auto"/>
            </w:tcBorders>
            <w:vAlign w:val="center"/>
            <w:hideMark/>
          </w:tcPr>
          <w:p w:rsidR="009A56D5" w:rsidRPr="00A16DA3" w:rsidP="00CE3562" w14:paraId="179AD1CB" w14:textId="77777777">
            <w:pPr>
              <w:widowControl w:val="0"/>
              <w:spacing w:after="0"/>
              <w:jc w:val="center"/>
              <w:rPr>
                <w:b/>
                <w:bCs/>
                <w:color w:val="FFFFFF"/>
                <w:szCs w:val="24"/>
              </w:rPr>
            </w:pPr>
          </w:p>
        </w:tc>
        <w:tc>
          <w:tcPr>
            <w:tcW w:w="217" w:type="pct"/>
            <w:tcBorders>
              <w:top w:val="single" w:sz="4" w:space="0" w:color="auto"/>
              <w:left w:val="single" w:sz="4" w:space="0" w:color="auto"/>
              <w:bottom w:val="single" w:sz="4" w:space="0" w:color="auto"/>
              <w:right w:val="nil"/>
            </w:tcBorders>
            <w:vAlign w:val="center"/>
            <w:hideMark/>
          </w:tcPr>
          <w:p w:rsidR="009A56D5" w:rsidRPr="00A16DA3" w:rsidP="00CE3562" w14:paraId="179AD1CC" w14:textId="77777777">
            <w:pPr>
              <w:widowControl w:val="0"/>
              <w:spacing w:after="0"/>
              <w:jc w:val="center"/>
              <w:rPr>
                <w:b/>
                <w:bCs/>
                <w:color w:val="FFFFFF"/>
                <w:szCs w:val="24"/>
              </w:rPr>
            </w:pPr>
            <w:r w:rsidRPr="00A16DA3">
              <w:rPr>
                <w:b/>
                <w:bCs/>
                <w:color w:val="FFFFFF"/>
                <w:szCs w:val="24"/>
              </w:rPr>
              <w:t> </w:t>
            </w:r>
          </w:p>
        </w:tc>
        <w:tc>
          <w:tcPr>
            <w:tcW w:w="160" w:type="pct"/>
            <w:tcBorders>
              <w:top w:val="nil"/>
              <w:left w:val="nil"/>
              <w:right w:val="nil"/>
            </w:tcBorders>
            <w:vAlign w:val="center"/>
            <w:hideMark/>
          </w:tcPr>
          <w:p w:rsidR="009A56D5" w:rsidRPr="00A16DA3" w:rsidP="00CE3562" w14:paraId="179AD1CD" w14:textId="77777777">
            <w:pPr>
              <w:widowControl w:val="0"/>
              <w:spacing w:after="0"/>
              <w:jc w:val="center"/>
              <w:rPr>
                <w:b/>
                <w:bCs/>
                <w:color w:val="FFFFFF"/>
                <w:szCs w:val="24"/>
              </w:rPr>
            </w:pPr>
          </w:p>
        </w:tc>
        <w:tc>
          <w:tcPr>
            <w:tcW w:w="253" w:type="pct"/>
            <w:tcBorders>
              <w:top w:val="nil"/>
              <w:left w:val="nil"/>
              <w:bottom w:val="single" w:sz="8" w:space="0" w:color="auto"/>
              <w:right w:val="single" w:sz="4" w:space="0" w:color="auto"/>
            </w:tcBorders>
            <w:vAlign w:val="center"/>
            <w:hideMark/>
          </w:tcPr>
          <w:p w:rsidR="009A56D5" w:rsidRPr="00A16DA3" w:rsidP="00CE3562" w14:paraId="179AD1CE" w14:textId="77777777">
            <w:pPr>
              <w:widowControl w:val="0"/>
              <w:spacing w:after="0"/>
              <w:jc w:val="center"/>
              <w:rPr>
                <w:b/>
                <w:bCs/>
                <w:color w:val="FFFFFF"/>
                <w:szCs w:val="24"/>
              </w:rPr>
            </w:pPr>
            <w:r w:rsidRPr="00A16DA3">
              <w:rPr>
                <w:b/>
                <w:bCs/>
                <w:color w:val="FFFFFF"/>
                <w:szCs w:val="24"/>
              </w:rPr>
              <w:t> </w:t>
            </w:r>
          </w:p>
        </w:tc>
        <w:tc>
          <w:tcPr>
            <w:tcW w:w="245" w:type="pct"/>
            <w:tcBorders>
              <w:top w:val="single" w:sz="4" w:space="0" w:color="auto"/>
              <w:left w:val="single" w:sz="4" w:space="0" w:color="auto"/>
              <w:bottom w:val="single" w:sz="4" w:space="0" w:color="auto"/>
              <w:right w:val="nil"/>
            </w:tcBorders>
            <w:vAlign w:val="center"/>
            <w:hideMark/>
          </w:tcPr>
          <w:p w:rsidR="009A56D5" w:rsidRPr="00A16DA3" w:rsidP="00CE3562" w14:paraId="179AD1CF" w14:textId="77777777">
            <w:pPr>
              <w:widowControl w:val="0"/>
              <w:spacing w:after="0"/>
              <w:jc w:val="center"/>
              <w:rPr>
                <w:b/>
                <w:bCs/>
                <w:color w:val="FFFFFF"/>
                <w:szCs w:val="24"/>
              </w:rPr>
            </w:pPr>
          </w:p>
        </w:tc>
        <w:tc>
          <w:tcPr>
            <w:tcW w:w="145" w:type="pct"/>
            <w:tcBorders>
              <w:top w:val="nil"/>
              <w:left w:val="nil"/>
              <w:right w:val="nil"/>
            </w:tcBorders>
            <w:vAlign w:val="center"/>
            <w:hideMark/>
          </w:tcPr>
          <w:p w:rsidR="009A56D5" w:rsidRPr="00A16DA3" w:rsidP="00CE3562" w14:paraId="179AD1D0" w14:textId="77777777">
            <w:pPr>
              <w:widowControl w:val="0"/>
              <w:spacing w:after="0"/>
              <w:jc w:val="center"/>
              <w:rPr>
                <w:b/>
                <w:bCs/>
                <w:color w:val="FFFFFF"/>
                <w:szCs w:val="24"/>
              </w:rPr>
            </w:pPr>
          </w:p>
        </w:tc>
        <w:tc>
          <w:tcPr>
            <w:tcW w:w="249" w:type="pct"/>
            <w:tcBorders>
              <w:top w:val="nil"/>
              <w:left w:val="nil"/>
              <w:bottom w:val="nil"/>
              <w:right w:val="single" w:sz="4" w:space="0" w:color="auto"/>
            </w:tcBorders>
            <w:vAlign w:val="center"/>
            <w:hideMark/>
          </w:tcPr>
          <w:p w:rsidR="009A56D5" w:rsidRPr="00A16DA3" w:rsidP="00CE3562" w14:paraId="179AD1D1" w14:textId="77777777">
            <w:pPr>
              <w:widowControl w:val="0"/>
              <w:spacing w:after="0"/>
              <w:jc w:val="center"/>
              <w:rPr>
                <w:b/>
                <w:bCs/>
                <w:color w:val="FFFFFF"/>
                <w:szCs w:val="24"/>
              </w:rPr>
            </w:pPr>
          </w:p>
        </w:tc>
        <w:tc>
          <w:tcPr>
            <w:tcW w:w="230" w:type="pct"/>
            <w:tcBorders>
              <w:top w:val="single" w:sz="4" w:space="0" w:color="auto"/>
              <w:left w:val="single" w:sz="4" w:space="0" w:color="auto"/>
              <w:bottom w:val="single" w:sz="4" w:space="0" w:color="auto"/>
              <w:right w:val="nil"/>
            </w:tcBorders>
            <w:vAlign w:val="center"/>
            <w:hideMark/>
          </w:tcPr>
          <w:p w:rsidR="009A56D5" w:rsidRPr="00A16DA3" w:rsidP="00CE3562" w14:paraId="179AD1D2" w14:textId="77777777">
            <w:pPr>
              <w:widowControl w:val="0"/>
              <w:spacing w:after="0"/>
              <w:jc w:val="center"/>
              <w:rPr>
                <w:b/>
                <w:bCs/>
                <w:color w:val="FFFFFF"/>
                <w:szCs w:val="24"/>
              </w:rPr>
            </w:pPr>
            <w:r w:rsidRPr="00A16DA3">
              <w:rPr>
                <w:b/>
                <w:bCs/>
                <w:color w:val="FFFFFF"/>
                <w:szCs w:val="24"/>
              </w:rPr>
              <w:t> </w:t>
            </w:r>
          </w:p>
        </w:tc>
        <w:tc>
          <w:tcPr>
            <w:tcW w:w="139" w:type="pct"/>
            <w:tcBorders>
              <w:top w:val="nil"/>
              <w:left w:val="nil"/>
              <w:right w:val="nil"/>
            </w:tcBorders>
            <w:vAlign w:val="center"/>
            <w:hideMark/>
          </w:tcPr>
          <w:p w:rsidR="009A56D5" w:rsidRPr="00A16DA3" w:rsidP="00CE3562" w14:paraId="179AD1D3" w14:textId="77777777">
            <w:pPr>
              <w:widowControl w:val="0"/>
              <w:spacing w:after="0"/>
              <w:jc w:val="center"/>
              <w:rPr>
                <w:b/>
                <w:bCs/>
                <w:color w:val="FFFFFF"/>
                <w:szCs w:val="24"/>
              </w:rPr>
            </w:pPr>
          </w:p>
        </w:tc>
        <w:tc>
          <w:tcPr>
            <w:tcW w:w="343" w:type="pct"/>
            <w:gridSpan w:val="2"/>
            <w:tcBorders>
              <w:top w:val="nil"/>
              <w:left w:val="nil"/>
              <w:bottom w:val="single" w:sz="8" w:space="0" w:color="auto"/>
              <w:right w:val="single" w:sz="4" w:space="0" w:color="auto"/>
            </w:tcBorders>
            <w:vAlign w:val="center"/>
            <w:hideMark/>
          </w:tcPr>
          <w:p w:rsidR="009A56D5" w:rsidRPr="00A16DA3" w:rsidP="00CE3562" w14:paraId="179AD1D4" w14:textId="77777777">
            <w:pPr>
              <w:widowControl w:val="0"/>
              <w:spacing w:after="0"/>
              <w:jc w:val="center"/>
              <w:rPr>
                <w:b/>
                <w:bCs/>
                <w:color w:val="FFFFFF"/>
                <w:szCs w:val="24"/>
              </w:rPr>
            </w:pPr>
            <w:r w:rsidRPr="00A16DA3">
              <w:rPr>
                <w:b/>
                <w:bCs/>
                <w:color w:val="FFFFFF"/>
                <w:szCs w:val="24"/>
              </w:rPr>
              <w:t> </w:t>
            </w:r>
          </w:p>
        </w:tc>
        <w:tc>
          <w:tcPr>
            <w:tcW w:w="219" w:type="pct"/>
            <w:tcBorders>
              <w:top w:val="single" w:sz="4" w:space="0" w:color="auto"/>
              <w:left w:val="single" w:sz="4" w:space="0" w:color="auto"/>
              <w:bottom w:val="single" w:sz="4" w:space="0" w:color="auto"/>
              <w:right w:val="nil"/>
            </w:tcBorders>
            <w:vAlign w:val="center"/>
            <w:hideMark/>
          </w:tcPr>
          <w:p w:rsidR="009A56D5" w:rsidRPr="00A16DA3" w:rsidP="00CE3562" w14:paraId="179AD1D5" w14:textId="77777777">
            <w:pPr>
              <w:widowControl w:val="0"/>
              <w:spacing w:after="0"/>
              <w:jc w:val="center"/>
              <w:rPr>
                <w:b/>
                <w:bCs/>
                <w:color w:val="FFFFFF"/>
                <w:szCs w:val="24"/>
              </w:rPr>
            </w:pPr>
          </w:p>
        </w:tc>
      </w:tr>
      <w:tr w14:paraId="179AD1E6" w14:textId="77777777" w:rsidTr="004B3D3E">
        <w:tblPrEx>
          <w:tblW w:w="5000" w:type="pct"/>
          <w:tblLayout w:type="fixed"/>
          <w:tblLook w:val="04A0"/>
        </w:tblPrEx>
        <w:trPr>
          <w:trHeight w:val="432"/>
        </w:trPr>
        <w:tc>
          <w:tcPr>
            <w:tcW w:w="441" w:type="pct"/>
            <w:gridSpan w:val="2"/>
            <w:tcBorders>
              <w:top w:val="single" w:sz="8" w:space="0" w:color="auto"/>
              <w:left w:val="single" w:sz="8" w:space="0" w:color="auto"/>
              <w:bottom w:val="single" w:sz="8" w:space="0" w:color="auto"/>
              <w:right w:val="single" w:sz="8" w:space="0" w:color="000000"/>
            </w:tcBorders>
            <w:shd w:val="clear" w:color="auto" w:fill="EEECE1"/>
            <w:vAlign w:val="center"/>
            <w:hideMark/>
          </w:tcPr>
          <w:p w:rsidR="009A56D5" w:rsidRPr="00CE3562" w:rsidP="00CE3562" w14:paraId="179AD1D7" w14:textId="77777777">
            <w:pPr>
              <w:widowControl w:val="0"/>
              <w:spacing w:before="120"/>
              <w:jc w:val="center"/>
              <w:rPr>
                <w:rFonts w:ascii="Arial Narrow" w:hAnsi="Arial Narrow"/>
                <w:b/>
                <w:bCs/>
                <w:spacing w:val="-10"/>
                <w:sz w:val="18"/>
                <w:szCs w:val="28"/>
              </w:rPr>
            </w:pPr>
            <w:r w:rsidRPr="00CE3562">
              <w:rPr>
                <w:rFonts w:ascii="Arial Narrow" w:hAnsi="Arial Narrow"/>
                <w:b/>
                <w:bCs/>
                <w:spacing w:val="-10"/>
                <w:sz w:val="18"/>
                <w:szCs w:val="28"/>
              </w:rPr>
              <w:t>Sample Coverage</w:t>
            </w:r>
          </w:p>
        </w:tc>
        <w:tc>
          <w:tcPr>
            <w:tcW w:w="146" w:type="pct"/>
            <w:tcBorders>
              <w:top w:val="nil"/>
              <w:left w:val="nil"/>
              <w:bottom w:val="nil"/>
              <w:right w:val="nil"/>
            </w:tcBorders>
            <w:vAlign w:val="center"/>
            <w:hideMark/>
          </w:tcPr>
          <w:p w:rsidR="009A56D5" w:rsidRPr="00CE3562" w:rsidP="00CE3562" w14:paraId="179AD1D8" w14:textId="77777777">
            <w:pPr>
              <w:widowControl w:val="0"/>
              <w:spacing w:before="120"/>
              <w:jc w:val="center"/>
              <w:rPr>
                <w:rFonts w:ascii="Arial Narrow" w:hAnsi="Arial Narrow"/>
                <w:b/>
                <w:bCs/>
                <w:spacing w:val="-10"/>
                <w:sz w:val="18"/>
                <w:szCs w:val="28"/>
              </w:rPr>
            </w:pPr>
          </w:p>
        </w:tc>
        <w:tc>
          <w:tcPr>
            <w:tcW w:w="458" w:type="pct"/>
            <w:gridSpan w:val="2"/>
            <w:tcBorders>
              <w:top w:val="single" w:sz="8" w:space="0" w:color="auto"/>
              <w:left w:val="single" w:sz="8" w:space="0" w:color="auto"/>
              <w:bottom w:val="single" w:sz="8" w:space="0" w:color="auto"/>
              <w:right w:val="single" w:sz="8" w:space="0" w:color="000000"/>
            </w:tcBorders>
            <w:shd w:val="clear" w:color="auto" w:fill="EEECE1"/>
            <w:vAlign w:val="center"/>
            <w:hideMark/>
          </w:tcPr>
          <w:p w:rsidR="009A56D5" w:rsidRPr="00CE3562" w:rsidP="00CE3562" w14:paraId="179AD1D9" w14:textId="77777777">
            <w:pPr>
              <w:widowControl w:val="0"/>
              <w:spacing w:before="120"/>
              <w:jc w:val="center"/>
              <w:rPr>
                <w:rFonts w:ascii="Arial Narrow" w:hAnsi="Arial Narrow"/>
                <w:b/>
                <w:bCs/>
                <w:spacing w:val="-10"/>
                <w:sz w:val="18"/>
                <w:szCs w:val="28"/>
              </w:rPr>
            </w:pPr>
            <w:r w:rsidRPr="00CE3562">
              <w:rPr>
                <w:rFonts w:ascii="Arial Narrow" w:hAnsi="Arial Narrow"/>
                <w:b/>
                <w:bCs/>
                <w:spacing w:val="-10"/>
                <w:sz w:val="18"/>
                <w:szCs w:val="28"/>
              </w:rPr>
              <w:t>Response Rates</w:t>
            </w:r>
          </w:p>
        </w:tc>
        <w:tc>
          <w:tcPr>
            <w:tcW w:w="145" w:type="pct"/>
            <w:tcBorders>
              <w:top w:val="nil"/>
              <w:left w:val="nil"/>
              <w:bottom w:val="nil"/>
              <w:right w:val="nil"/>
            </w:tcBorders>
            <w:vAlign w:val="center"/>
            <w:hideMark/>
          </w:tcPr>
          <w:p w:rsidR="009A56D5" w:rsidRPr="00CE3562" w:rsidP="00CE3562" w14:paraId="179AD1DA" w14:textId="77777777">
            <w:pPr>
              <w:widowControl w:val="0"/>
              <w:spacing w:before="120"/>
              <w:jc w:val="center"/>
              <w:rPr>
                <w:rFonts w:ascii="Arial Narrow" w:hAnsi="Arial Narrow"/>
                <w:b/>
                <w:bCs/>
                <w:spacing w:val="-10"/>
                <w:sz w:val="18"/>
                <w:szCs w:val="28"/>
              </w:rPr>
            </w:pPr>
          </w:p>
        </w:tc>
        <w:tc>
          <w:tcPr>
            <w:tcW w:w="517" w:type="pct"/>
            <w:gridSpan w:val="2"/>
            <w:tcBorders>
              <w:top w:val="single" w:sz="8" w:space="0" w:color="auto"/>
              <w:left w:val="single" w:sz="8" w:space="0" w:color="auto"/>
              <w:bottom w:val="single" w:sz="8" w:space="0" w:color="auto"/>
              <w:right w:val="single" w:sz="8" w:space="0" w:color="000000"/>
            </w:tcBorders>
            <w:shd w:val="clear" w:color="auto" w:fill="EEECE1"/>
            <w:vAlign w:val="center"/>
            <w:hideMark/>
          </w:tcPr>
          <w:p w:rsidR="009A56D5" w:rsidRPr="00CE3562" w:rsidP="00CE3562" w14:paraId="179AD1DB" w14:textId="77777777">
            <w:pPr>
              <w:widowControl w:val="0"/>
              <w:spacing w:before="120"/>
              <w:jc w:val="center"/>
              <w:rPr>
                <w:rFonts w:ascii="Arial Narrow" w:hAnsi="Arial Narrow"/>
                <w:b/>
                <w:bCs/>
                <w:spacing w:val="-10"/>
                <w:sz w:val="18"/>
                <w:szCs w:val="28"/>
              </w:rPr>
            </w:pPr>
            <w:r w:rsidRPr="00CE3562">
              <w:rPr>
                <w:rFonts w:ascii="Arial Narrow" w:hAnsi="Arial Narrow"/>
                <w:b/>
                <w:bCs/>
                <w:spacing w:val="-10"/>
                <w:sz w:val="18"/>
                <w:szCs w:val="28"/>
              </w:rPr>
              <w:t>Instrument</w:t>
            </w:r>
          </w:p>
        </w:tc>
        <w:tc>
          <w:tcPr>
            <w:tcW w:w="135" w:type="pct"/>
            <w:tcBorders>
              <w:top w:val="nil"/>
              <w:left w:val="nil"/>
              <w:bottom w:val="nil"/>
              <w:right w:val="nil"/>
            </w:tcBorders>
            <w:vAlign w:val="center"/>
            <w:hideMark/>
          </w:tcPr>
          <w:p w:rsidR="009A56D5" w:rsidRPr="00CE3562" w:rsidP="00CE3562" w14:paraId="179AD1DC" w14:textId="77777777">
            <w:pPr>
              <w:widowControl w:val="0"/>
              <w:spacing w:before="120"/>
              <w:jc w:val="center"/>
              <w:rPr>
                <w:rFonts w:ascii="Arial Narrow" w:hAnsi="Arial Narrow"/>
                <w:b/>
                <w:bCs/>
                <w:spacing w:val="-10"/>
                <w:sz w:val="18"/>
                <w:szCs w:val="28"/>
              </w:rPr>
            </w:pPr>
          </w:p>
        </w:tc>
        <w:tc>
          <w:tcPr>
            <w:tcW w:w="517" w:type="pct"/>
            <w:gridSpan w:val="2"/>
            <w:tcBorders>
              <w:top w:val="single" w:sz="8" w:space="0" w:color="auto"/>
              <w:left w:val="single" w:sz="8" w:space="0" w:color="auto"/>
              <w:bottom w:val="single" w:sz="8" w:space="0" w:color="auto"/>
              <w:right w:val="single" w:sz="8" w:space="0" w:color="000000"/>
            </w:tcBorders>
            <w:shd w:val="clear" w:color="auto" w:fill="EEECE1"/>
            <w:vAlign w:val="center"/>
            <w:hideMark/>
          </w:tcPr>
          <w:p w:rsidR="009A56D5" w:rsidRPr="00CE3562" w:rsidP="00CE3562" w14:paraId="179AD1DD" w14:textId="77777777">
            <w:pPr>
              <w:widowControl w:val="0"/>
              <w:spacing w:before="120"/>
              <w:jc w:val="center"/>
              <w:rPr>
                <w:rFonts w:ascii="Arial Narrow" w:hAnsi="Arial Narrow"/>
                <w:b/>
                <w:bCs/>
                <w:spacing w:val="-10"/>
                <w:sz w:val="18"/>
                <w:szCs w:val="28"/>
              </w:rPr>
            </w:pPr>
            <w:r w:rsidRPr="00CE3562">
              <w:rPr>
                <w:rFonts w:ascii="Arial Narrow" w:hAnsi="Arial Narrow"/>
                <w:b/>
                <w:bCs/>
                <w:spacing w:val="-10"/>
                <w:sz w:val="18"/>
                <w:szCs w:val="28"/>
              </w:rPr>
              <w:t>Data Collection</w:t>
            </w:r>
          </w:p>
        </w:tc>
        <w:tc>
          <w:tcPr>
            <w:tcW w:w="141" w:type="pct"/>
            <w:tcBorders>
              <w:top w:val="nil"/>
              <w:left w:val="nil"/>
              <w:bottom w:val="nil"/>
              <w:right w:val="nil"/>
            </w:tcBorders>
            <w:vAlign w:val="center"/>
            <w:hideMark/>
          </w:tcPr>
          <w:p w:rsidR="009A56D5" w:rsidRPr="00CE3562" w:rsidP="00CE3562" w14:paraId="179AD1DE" w14:textId="77777777">
            <w:pPr>
              <w:widowControl w:val="0"/>
              <w:spacing w:before="120"/>
              <w:jc w:val="center"/>
              <w:rPr>
                <w:rFonts w:ascii="Arial Narrow" w:hAnsi="Arial Narrow"/>
                <w:b/>
                <w:bCs/>
                <w:spacing w:val="-10"/>
                <w:sz w:val="18"/>
                <w:szCs w:val="28"/>
              </w:rPr>
            </w:pPr>
          </w:p>
        </w:tc>
        <w:tc>
          <w:tcPr>
            <w:tcW w:w="517" w:type="pct"/>
            <w:gridSpan w:val="2"/>
            <w:tcBorders>
              <w:top w:val="single" w:sz="8" w:space="0" w:color="auto"/>
              <w:left w:val="single" w:sz="8" w:space="0" w:color="auto"/>
              <w:bottom w:val="single" w:sz="8" w:space="0" w:color="auto"/>
              <w:right w:val="single" w:sz="8" w:space="0" w:color="000000"/>
            </w:tcBorders>
            <w:shd w:val="clear" w:color="auto" w:fill="EEECE1"/>
            <w:vAlign w:val="center"/>
            <w:hideMark/>
          </w:tcPr>
          <w:p w:rsidR="009A56D5" w:rsidRPr="00CE3562" w:rsidP="00CE3562" w14:paraId="179AD1DF" w14:textId="77777777">
            <w:pPr>
              <w:widowControl w:val="0"/>
              <w:spacing w:before="120"/>
              <w:jc w:val="center"/>
              <w:rPr>
                <w:rFonts w:ascii="Arial Narrow" w:hAnsi="Arial Narrow"/>
                <w:b/>
                <w:bCs/>
                <w:spacing w:val="-10"/>
                <w:sz w:val="18"/>
                <w:szCs w:val="28"/>
              </w:rPr>
            </w:pPr>
            <w:r w:rsidRPr="00CE3562">
              <w:rPr>
                <w:rFonts w:ascii="Arial Narrow" w:hAnsi="Arial Narrow"/>
                <w:b/>
                <w:bCs/>
                <w:spacing w:val="-10"/>
                <w:sz w:val="18"/>
                <w:szCs w:val="28"/>
              </w:rPr>
              <w:t>Data Editing &amp; Compilation</w:t>
            </w:r>
          </w:p>
        </w:tc>
        <w:tc>
          <w:tcPr>
            <w:tcW w:w="160" w:type="pct"/>
            <w:tcBorders>
              <w:top w:val="nil"/>
              <w:left w:val="nil"/>
              <w:bottom w:val="nil"/>
              <w:right w:val="nil"/>
            </w:tcBorders>
            <w:vAlign w:val="center"/>
            <w:hideMark/>
          </w:tcPr>
          <w:p w:rsidR="009A56D5" w:rsidRPr="00CE3562" w:rsidP="00CE3562" w14:paraId="179AD1E0" w14:textId="77777777">
            <w:pPr>
              <w:widowControl w:val="0"/>
              <w:spacing w:before="120"/>
              <w:jc w:val="center"/>
              <w:rPr>
                <w:rFonts w:ascii="Arial Narrow" w:hAnsi="Arial Narrow"/>
                <w:b/>
                <w:bCs/>
                <w:spacing w:val="-10"/>
                <w:sz w:val="18"/>
                <w:szCs w:val="28"/>
              </w:rPr>
            </w:pPr>
          </w:p>
        </w:tc>
        <w:tc>
          <w:tcPr>
            <w:tcW w:w="498" w:type="pct"/>
            <w:gridSpan w:val="2"/>
            <w:tcBorders>
              <w:top w:val="single" w:sz="8" w:space="0" w:color="auto"/>
              <w:left w:val="single" w:sz="8" w:space="0" w:color="auto"/>
              <w:bottom w:val="single" w:sz="8" w:space="0" w:color="auto"/>
              <w:right w:val="single" w:sz="8" w:space="0" w:color="000000"/>
            </w:tcBorders>
            <w:shd w:val="clear" w:color="auto" w:fill="EEECE1"/>
            <w:vAlign w:val="center"/>
            <w:hideMark/>
          </w:tcPr>
          <w:p w:rsidR="009A56D5" w:rsidRPr="00CE3562" w:rsidP="00CE3562" w14:paraId="179AD1E1" w14:textId="77777777">
            <w:pPr>
              <w:widowControl w:val="0"/>
              <w:spacing w:before="120"/>
              <w:jc w:val="center"/>
              <w:rPr>
                <w:rFonts w:ascii="Arial Narrow" w:hAnsi="Arial Narrow"/>
                <w:b/>
                <w:bCs/>
                <w:spacing w:val="-10"/>
                <w:sz w:val="18"/>
                <w:szCs w:val="28"/>
              </w:rPr>
            </w:pPr>
            <w:r w:rsidRPr="00CE3562">
              <w:rPr>
                <w:rFonts w:ascii="Arial Narrow" w:hAnsi="Arial Narrow"/>
                <w:b/>
                <w:bCs/>
                <w:spacing w:val="-10"/>
                <w:sz w:val="18"/>
                <w:szCs w:val="28"/>
              </w:rPr>
              <w:t>Imputation &amp; Weighting</w:t>
            </w:r>
          </w:p>
        </w:tc>
        <w:tc>
          <w:tcPr>
            <w:tcW w:w="145" w:type="pct"/>
            <w:tcBorders>
              <w:top w:val="nil"/>
              <w:left w:val="nil"/>
              <w:bottom w:val="nil"/>
              <w:right w:val="nil"/>
            </w:tcBorders>
            <w:vAlign w:val="center"/>
            <w:hideMark/>
          </w:tcPr>
          <w:p w:rsidR="009A56D5" w:rsidRPr="00CE3562" w:rsidP="00CE3562" w14:paraId="179AD1E2" w14:textId="77777777">
            <w:pPr>
              <w:widowControl w:val="0"/>
              <w:spacing w:before="120"/>
              <w:jc w:val="center"/>
              <w:rPr>
                <w:rFonts w:ascii="Arial Narrow" w:hAnsi="Arial Narrow"/>
                <w:b/>
                <w:bCs/>
                <w:spacing w:val="-10"/>
                <w:sz w:val="18"/>
                <w:szCs w:val="28"/>
              </w:rPr>
            </w:pPr>
          </w:p>
        </w:tc>
        <w:tc>
          <w:tcPr>
            <w:tcW w:w="479" w:type="pct"/>
            <w:gridSpan w:val="2"/>
            <w:tcBorders>
              <w:top w:val="single" w:sz="8" w:space="0" w:color="auto"/>
              <w:left w:val="single" w:sz="8" w:space="0" w:color="auto"/>
              <w:bottom w:val="single" w:sz="8" w:space="0" w:color="auto"/>
              <w:right w:val="single" w:sz="8" w:space="0" w:color="000000"/>
            </w:tcBorders>
            <w:shd w:val="clear" w:color="auto" w:fill="EEECE1"/>
            <w:vAlign w:val="center"/>
            <w:hideMark/>
          </w:tcPr>
          <w:p w:rsidR="009A56D5" w:rsidRPr="00CE3562" w:rsidP="00CE3562" w14:paraId="179AD1E3" w14:textId="77777777">
            <w:pPr>
              <w:widowControl w:val="0"/>
              <w:spacing w:before="120"/>
              <w:jc w:val="center"/>
              <w:rPr>
                <w:rFonts w:ascii="Arial Narrow" w:hAnsi="Arial Narrow"/>
                <w:b/>
                <w:bCs/>
                <w:spacing w:val="-10"/>
                <w:sz w:val="18"/>
                <w:szCs w:val="28"/>
              </w:rPr>
            </w:pPr>
            <w:r w:rsidRPr="00CE3562">
              <w:rPr>
                <w:rFonts w:ascii="Arial Narrow" w:hAnsi="Arial Narrow"/>
                <w:b/>
                <w:bCs/>
                <w:spacing w:val="-10"/>
                <w:sz w:val="18"/>
                <w:szCs w:val="28"/>
              </w:rPr>
              <w:t>Analysis of Survey Data</w:t>
            </w:r>
          </w:p>
        </w:tc>
        <w:tc>
          <w:tcPr>
            <w:tcW w:w="139" w:type="pct"/>
            <w:tcBorders>
              <w:top w:val="nil"/>
              <w:left w:val="nil"/>
              <w:bottom w:val="nil"/>
              <w:right w:val="nil"/>
            </w:tcBorders>
            <w:vAlign w:val="center"/>
            <w:hideMark/>
          </w:tcPr>
          <w:p w:rsidR="009A56D5" w:rsidRPr="00CE3562" w:rsidP="00CE3562" w14:paraId="179AD1E4" w14:textId="77777777">
            <w:pPr>
              <w:widowControl w:val="0"/>
              <w:spacing w:before="120"/>
              <w:jc w:val="center"/>
              <w:rPr>
                <w:rFonts w:ascii="Arial Narrow" w:hAnsi="Arial Narrow"/>
                <w:b/>
                <w:bCs/>
                <w:spacing w:val="-10"/>
                <w:sz w:val="18"/>
                <w:szCs w:val="28"/>
              </w:rPr>
            </w:pPr>
          </w:p>
        </w:tc>
        <w:tc>
          <w:tcPr>
            <w:tcW w:w="562" w:type="pct"/>
            <w:gridSpan w:val="3"/>
            <w:tcBorders>
              <w:top w:val="single" w:sz="8" w:space="0" w:color="auto"/>
              <w:left w:val="single" w:sz="8" w:space="0" w:color="auto"/>
              <w:bottom w:val="single" w:sz="8" w:space="0" w:color="auto"/>
              <w:right w:val="single" w:sz="8" w:space="0" w:color="000000"/>
            </w:tcBorders>
            <w:shd w:val="clear" w:color="auto" w:fill="EEECE1"/>
            <w:vAlign w:val="center"/>
            <w:hideMark/>
          </w:tcPr>
          <w:p w:rsidR="009A56D5" w:rsidRPr="00CE3562" w:rsidP="00CE3562" w14:paraId="179AD1E5" w14:textId="77777777">
            <w:pPr>
              <w:widowControl w:val="0"/>
              <w:spacing w:before="120"/>
              <w:jc w:val="center"/>
              <w:rPr>
                <w:rFonts w:ascii="Arial Narrow" w:hAnsi="Arial Narrow"/>
                <w:b/>
                <w:bCs/>
                <w:spacing w:val="-10"/>
                <w:sz w:val="18"/>
                <w:szCs w:val="28"/>
              </w:rPr>
            </w:pPr>
            <w:r w:rsidRPr="00CE3562">
              <w:rPr>
                <w:rFonts w:ascii="Arial Narrow" w:hAnsi="Arial Narrow"/>
                <w:b/>
                <w:bCs/>
                <w:spacing w:val="-10"/>
                <w:sz w:val="18"/>
                <w:szCs w:val="28"/>
              </w:rPr>
              <w:t>Interpretation &amp; Action Plans</w:t>
            </w:r>
          </w:p>
        </w:tc>
      </w:tr>
    </w:tbl>
    <w:bookmarkEnd w:id="13"/>
    <w:p w:rsidR="009A56D5" w:rsidRPr="00A16DA3" w:rsidP="00CE3562" w14:paraId="179AD1E8" w14:textId="4734D76B">
      <w:pPr>
        <w:widowControl w:val="0"/>
        <w:spacing w:before="120"/>
        <w:rPr>
          <w:szCs w:val="24"/>
        </w:rPr>
      </w:pPr>
      <w:r w:rsidRPr="00A16DA3">
        <w:rPr>
          <w:szCs w:val="24"/>
        </w:rPr>
        <w:t>Striking an optimal balance requires academic knowledge, hand</w:t>
      </w:r>
      <w:r w:rsidR="00BB46D9">
        <w:rPr>
          <w:szCs w:val="24"/>
        </w:rPr>
        <w:t>s</w:t>
      </w:r>
      <w:r w:rsidRPr="00A16DA3">
        <w:rPr>
          <w:szCs w:val="24"/>
        </w:rPr>
        <w:t>-on experience, and transparent execution</w:t>
      </w:r>
      <w:r w:rsidR="007C73B7">
        <w:rPr>
          <w:szCs w:val="24"/>
        </w:rPr>
        <w:t xml:space="preserve">. </w:t>
      </w:r>
      <w:r w:rsidRPr="00A16DA3">
        <w:rPr>
          <w:szCs w:val="24"/>
        </w:rPr>
        <w:t>Conducive to this objective is the solid – yet intuitive – design th</w:t>
      </w:r>
      <w:r w:rsidR="00BB46D9">
        <w:rPr>
          <w:szCs w:val="24"/>
        </w:rPr>
        <w:t xml:space="preserve">at </w:t>
      </w:r>
      <w:r w:rsidRPr="00A16DA3">
        <w:rPr>
          <w:szCs w:val="24"/>
        </w:rPr>
        <w:t>Passport Services has envisioned for this study, the main components of which are outlined in this section</w:t>
      </w:r>
      <w:r w:rsidR="007C73B7">
        <w:rPr>
          <w:szCs w:val="24"/>
        </w:rPr>
        <w:t xml:space="preserve">. </w:t>
      </w:r>
      <w:r w:rsidRPr="00A16DA3">
        <w:rPr>
          <w:szCs w:val="24"/>
        </w:rPr>
        <w:t>Specifically, we will discuss:</w:t>
      </w:r>
    </w:p>
    <w:p w:rsidR="009A56D5" w:rsidRPr="00A16DA3" w:rsidP="00CE3562" w14:paraId="179AD1E9" w14:textId="77777777">
      <w:pPr>
        <w:widowControl w:val="0"/>
        <w:numPr>
          <w:ilvl w:val="0"/>
          <w:numId w:val="6"/>
        </w:numPr>
        <w:spacing w:before="120"/>
        <w:rPr>
          <w:szCs w:val="24"/>
        </w:rPr>
      </w:pPr>
      <w:r w:rsidRPr="00A16DA3">
        <w:rPr>
          <w:szCs w:val="24"/>
        </w:rPr>
        <w:t>Design and selection of representative samples that are probability-based;</w:t>
      </w:r>
    </w:p>
    <w:p w:rsidR="009A56D5" w:rsidRPr="00A16DA3" w:rsidP="00CE3562" w14:paraId="179AD1EA" w14:textId="77777777">
      <w:pPr>
        <w:widowControl w:val="0"/>
        <w:numPr>
          <w:ilvl w:val="0"/>
          <w:numId w:val="6"/>
        </w:numPr>
        <w:spacing w:before="120"/>
        <w:rPr>
          <w:szCs w:val="24"/>
        </w:rPr>
      </w:pPr>
      <w:r w:rsidRPr="00A16DA3">
        <w:rPr>
          <w:szCs w:val="24"/>
        </w:rPr>
        <w:t>Collection of reliable data using a respondent-friendly protocol;</w:t>
      </w:r>
    </w:p>
    <w:p w:rsidR="009A56D5" w:rsidRPr="00A16DA3" w:rsidP="00CE3562" w14:paraId="179AD1EB" w14:textId="77777777">
      <w:pPr>
        <w:widowControl w:val="0"/>
        <w:numPr>
          <w:ilvl w:val="0"/>
          <w:numId w:val="6"/>
        </w:numPr>
        <w:spacing w:before="120"/>
        <w:rPr>
          <w:szCs w:val="24"/>
        </w:rPr>
      </w:pPr>
      <w:r w:rsidRPr="00A16DA3">
        <w:rPr>
          <w:szCs w:val="24"/>
        </w:rPr>
        <w:t>Effective data enhancements procedures; and</w:t>
      </w:r>
    </w:p>
    <w:p w:rsidR="00FA12AC" w:rsidP="00CE3562" w14:paraId="5ACC6E76" w14:textId="77777777">
      <w:pPr>
        <w:widowControl w:val="0"/>
        <w:numPr>
          <w:ilvl w:val="0"/>
          <w:numId w:val="6"/>
        </w:numPr>
        <w:spacing w:before="120"/>
        <w:rPr>
          <w:szCs w:val="24"/>
        </w:rPr>
      </w:pPr>
      <w:r w:rsidRPr="00A16DA3">
        <w:rPr>
          <w:szCs w:val="24"/>
        </w:rPr>
        <w:t xml:space="preserve">Reliable demand projections and timely reporting of the results. </w:t>
      </w:r>
    </w:p>
    <w:p w:rsidR="009A56D5" w:rsidRPr="00FA12AC" w:rsidP="00CE3562" w14:paraId="179AD1EE" w14:textId="1647C7E6">
      <w:pPr>
        <w:pStyle w:val="Heading1"/>
        <w:keepNext w:val="0"/>
        <w:widowControl w:val="0"/>
        <w:numPr>
          <w:ilvl w:val="0"/>
          <w:numId w:val="38"/>
        </w:numPr>
        <w:spacing w:before="240"/>
        <w:rPr>
          <w:rFonts w:ascii="Times New Roman Bold" w:hAnsi="Times New Roman Bold"/>
          <w:smallCaps/>
        </w:rPr>
      </w:pPr>
      <w:r w:rsidRPr="00FA12AC">
        <w:rPr>
          <w:rFonts w:ascii="Times New Roman Bold" w:hAnsi="Times New Roman Bold"/>
          <w:smallCaps/>
        </w:rPr>
        <w:t>Design and Selection of Representative Samples</w:t>
      </w:r>
    </w:p>
    <w:p w:rsidR="009A56D5" w:rsidRPr="00A16DA3" w:rsidP="00CE3562" w14:paraId="179AD1EF" w14:textId="06AEEA41">
      <w:pPr>
        <w:widowControl w:val="0"/>
        <w:spacing w:before="120"/>
        <w:rPr>
          <w:szCs w:val="24"/>
        </w:rPr>
      </w:pPr>
      <w:r w:rsidRPr="00A16DA3">
        <w:rPr>
          <w:szCs w:val="24"/>
        </w:rPr>
        <w:t>This forecast study employ</w:t>
      </w:r>
      <w:r w:rsidRPr="00A16DA3" w:rsidR="00832EB2">
        <w:rPr>
          <w:szCs w:val="24"/>
        </w:rPr>
        <w:t>s</w:t>
      </w:r>
      <w:r w:rsidRPr="00A16DA3">
        <w:rPr>
          <w:szCs w:val="24"/>
        </w:rPr>
        <w:t xml:space="preserve"> an address-based sampling (ABS) methodology to reach a probability-based sample of the U</w:t>
      </w:r>
      <w:r w:rsidR="00BB46D9">
        <w:rPr>
          <w:szCs w:val="24"/>
        </w:rPr>
        <w:t>.</w:t>
      </w:r>
      <w:r w:rsidRPr="00A16DA3">
        <w:rPr>
          <w:szCs w:val="24"/>
        </w:rPr>
        <w:t>S</w:t>
      </w:r>
      <w:r w:rsidR="00BB46D9">
        <w:rPr>
          <w:szCs w:val="24"/>
        </w:rPr>
        <w:t>.</w:t>
      </w:r>
      <w:r w:rsidRPr="00A16DA3">
        <w:rPr>
          <w:szCs w:val="24"/>
        </w:rPr>
        <w:t xml:space="preserve"> households every month</w:t>
      </w:r>
      <w:r w:rsidR="007C73B7">
        <w:rPr>
          <w:szCs w:val="24"/>
        </w:rPr>
        <w:t xml:space="preserve">. </w:t>
      </w:r>
      <w:r w:rsidRPr="00A16DA3">
        <w:rPr>
          <w:szCs w:val="24"/>
        </w:rPr>
        <w:t xml:space="preserve">Increasingly, survey researchers are considering address-based sampling (ABS) methodologies to reach the </w:t>
      </w:r>
      <w:r w:rsidRPr="00A16DA3" w:rsidR="00215443">
        <w:rPr>
          <w:szCs w:val="24"/>
        </w:rPr>
        <w:t>public</w:t>
      </w:r>
      <w:r w:rsidRPr="00A16DA3">
        <w:rPr>
          <w:szCs w:val="24"/>
        </w:rPr>
        <w:t xml:space="preserve"> for data collection applications</w:t>
      </w:r>
      <w:r w:rsidR="007C73B7">
        <w:rPr>
          <w:szCs w:val="24"/>
        </w:rPr>
        <w:t xml:space="preserve">. </w:t>
      </w:r>
      <w:r w:rsidRPr="00A16DA3">
        <w:rPr>
          <w:szCs w:val="24"/>
        </w:rPr>
        <w:t>Essentially, there are three main factors for this change:</w:t>
      </w:r>
    </w:p>
    <w:p w:rsidR="009A56D5" w:rsidRPr="006C1222" w:rsidP="006C1222" w14:paraId="179AD1F0" w14:textId="77777777">
      <w:pPr>
        <w:pStyle w:val="ListParagraph"/>
        <w:widowControl w:val="0"/>
        <w:numPr>
          <w:ilvl w:val="0"/>
          <w:numId w:val="40"/>
        </w:numPr>
        <w:spacing w:before="120"/>
        <w:rPr>
          <w:szCs w:val="24"/>
        </w:rPr>
      </w:pPr>
      <w:r w:rsidRPr="006C1222">
        <w:rPr>
          <w:szCs w:val="24"/>
        </w:rPr>
        <w:t>Evolving coverage problems associated with the traditional methods of sampling;</w:t>
      </w:r>
    </w:p>
    <w:p w:rsidR="009A56D5" w:rsidRPr="006C1222" w:rsidP="006C1222" w14:paraId="179AD1F1" w14:textId="77777777">
      <w:pPr>
        <w:pStyle w:val="ListParagraph"/>
        <w:widowControl w:val="0"/>
        <w:numPr>
          <w:ilvl w:val="0"/>
          <w:numId w:val="40"/>
        </w:numPr>
        <w:spacing w:before="120"/>
        <w:rPr>
          <w:szCs w:val="24"/>
        </w:rPr>
      </w:pPr>
      <w:r w:rsidRPr="006C1222">
        <w:rPr>
          <w:szCs w:val="24"/>
        </w:rPr>
        <w:t xml:space="preserve">Eroding rates of response to single modes of contact; and </w:t>
      </w:r>
    </w:p>
    <w:p w:rsidR="009A56D5" w:rsidRPr="006C1222" w:rsidP="006C1222" w14:paraId="179AD1F2" w14:textId="7F5D641A">
      <w:pPr>
        <w:pStyle w:val="ListParagraph"/>
        <w:widowControl w:val="0"/>
        <w:numPr>
          <w:ilvl w:val="0"/>
          <w:numId w:val="40"/>
        </w:numPr>
        <w:spacing w:before="120"/>
        <w:rPr>
          <w:szCs w:val="24"/>
        </w:rPr>
      </w:pPr>
      <w:r w:rsidRPr="006C1222">
        <w:rPr>
          <w:szCs w:val="24"/>
        </w:rPr>
        <w:t>I</w:t>
      </w:r>
      <w:r w:rsidRPr="006C1222">
        <w:rPr>
          <w:szCs w:val="24"/>
        </w:rPr>
        <w:t>mprovements in the databases of household addresses available to researchers.</w:t>
      </w:r>
    </w:p>
    <w:p w:rsidR="009A56D5" w:rsidRPr="00A16DA3" w:rsidP="00CE3562" w14:paraId="179AD1F3" w14:textId="2DD893A5">
      <w:pPr>
        <w:widowControl w:val="0"/>
        <w:spacing w:before="120"/>
        <w:rPr>
          <w:szCs w:val="24"/>
        </w:rPr>
      </w:pPr>
      <w:r w:rsidRPr="00A16DA3">
        <w:rPr>
          <w:szCs w:val="24"/>
        </w:rPr>
        <w:t>Indeed, recent advances in databases of household addresses have provided a promising alternative for surveys that require contacts with representative samples of households</w:t>
      </w:r>
      <w:r w:rsidR="007C73B7">
        <w:rPr>
          <w:szCs w:val="24"/>
        </w:rPr>
        <w:t xml:space="preserve">. </w:t>
      </w:r>
      <w:r w:rsidRPr="00A16DA3">
        <w:rPr>
          <w:szCs w:val="24"/>
        </w:rPr>
        <w:t xml:space="preserve">The </w:t>
      </w:r>
      <w:r w:rsidRPr="00A16DA3">
        <w:rPr>
          <w:i/>
          <w:szCs w:val="24"/>
        </w:rPr>
        <w:t>Computerized Delivery Sequence File</w:t>
      </w:r>
      <w:r w:rsidRPr="00A16DA3">
        <w:rPr>
          <w:szCs w:val="24"/>
        </w:rPr>
        <w:t xml:space="preserve"> (CDSF) of the USPS is a database that contains all delivery points in the </w:t>
      </w:r>
      <w:r w:rsidR="00BB46D9">
        <w:rPr>
          <w:szCs w:val="24"/>
        </w:rPr>
        <w:t>United States</w:t>
      </w:r>
      <w:r w:rsidRPr="00A16DA3">
        <w:rPr>
          <w:szCs w:val="24"/>
        </w:rPr>
        <w:t>, a summary of which is provided in the following table</w:t>
      </w:r>
      <w:r w:rsidR="007C73B7">
        <w:rPr>
          <w:szCs w:val="24"/>
        </w:rPr>
        <w:t xml:space="preserve">. </w:t>
      </w:r>
      <w:r w:rsidRPr="00A16DA3">
        <w:rPr>
          <w:szCs w:val="24"/>
        </w:rPr>
        <w:t xml:space="preserve">For this survey the monthly sample of addresses </w:t>
      </w:r>
      <w:r w:rsidRPr="00A16DA3" w:rsidR="0040728C">
        <w:rPr>
          <w:szCs w:val="24"/>
        </w:rPr>
        <w:t>ar</w:t>
      </w:r>
      <w:r w:rsidRPr="00A16DA3">
        <w:rPr>
          <w:szCs w:val="24"/>
        </w:rPr>
        <w:t>e obtained from the enhanced ABS frame developed by Marketing Systems Group (MSG).</w:t>
      </w:r>
    </w:p>
    <w:p w:rsidR="009A56D5" w:rsidRPr="00A16DA3" w:rsidP="00CE3562" w14:paraId="179AD1F5" w14:textId="4980B40E">
      <w:pPr>
        <w:pStyle w:val="NormalWeb"/>
        <w:widowControl w:val="0"/>
        <w:spacing w:before="120" w:beforeAutospacing="0" w:after="120" w:afterAutospacing="0"/>
      </w:pPr>
      <w:r w:rsidRPr="00A16DA3">
        <w:rPr>
          <w:b/>
        </w:rPr>
        <w:t xml:space="preserve">Table </w:t>
      </w:r>
      <w:r w:rsidR="00D75EF5">
        <w:rPr>
          <w:b/>
        </w:rPr>
        <w:t>2</w:t>
      </w:r>
      <w:r w:rsidR="007C73B7">
        <w:rPr>
          <w:b/>
        </w:rPr>
        <w:t xml:space="preserve">. </w:t>
      </w:r>
      <w:r w:rsidRPr="00A16DA3">
        <w:t>Distribution of the CDSF delivery type points</w:t>
      </w:r>
    </w:p>
    <w:tbl>
      <w:tblPr>
        <w:tblW w:w="5000" w:type="pct"/>
        <w:tblLook w:val="04A0"/>
      </w:tblPr>
      <w:tblGrid>
        <w:gridCol w:w="6172"/>
        <w:gridCol w:w="3188"/>
      </w:tblGrid>
      <w:tr w14:paraId="179AD1F8" w14:textId="77777777" w:rsidTr="004B3D3E">
        <w:tblPrEx>
          <w:tblW w:w="5000" w:type="pct"/>
          <w:tblLook w:val="04A0"/>
        </w:tblPrEx>
        <w:trPr>
          <w:trHeight w:val="288"/>
        </w:trPr>
        <w:tc>
          <w:tcPr>
            <w:tcW w:w="3297" w:type="pct"/>
            <w:tcBorders>
              <w:top w:val="single" w:sz="4" w:space="0" w:color="000000"/>
              <w:left w:val="nil"/>
              <w:bottom w:val="single" w:sz="4" w:space="0" w:color="000000"/>
              <w:right w:val="single" w:sz="4" w:space="0" w:color="000000"/>
            </w:tcBorders>
            <w:noWrap/>
            <w:vAlign w:val="center"/>
            <w:hideMark/>
          </w:tcPr>
          <w:p w:rsidR="004A76E1" w:rsidRPr="00A16DA3" w:rsidP="004A76E1" w14:paraId="179AD1F6" w14:textId="12F365F7">
            <w:pPr>
              <w:widowControl w:val="0"/>
              <w:spacing w:after="0"/>
              <w:jc w:val="center"/>
              <w:rPr>
                <w:b/>
                <w:bCs/>
                <w:color w:val="000000"/>
                <w:szCs w:val="24"/>
              </w:rPr>
            </w:pPr>
            <w:r>
              <w:rPr>
                <w:rFonts w:eastAsiaTheme="minorHAnsi"/>
                <w:b/>
                <w:bCs/>
                <w:color w:val="000000"/>
                <w:sz w:val="22"/>
                <w:szCs w:val="22"/>
              </w:rPr>
              <w:t>Total Address</w:t>
            </w:r>
          </w:p>
        </w:tc>
        <w:tc>
          <w:tcPr>
            <w:tcW w:w="1703" w:type="pct"/>
            <w:tcBorders>
              <w:top w:val="single" w:sz="4" w:space="0" w:color="000000"/>
              <w:left w:val="single" w:sz="4" w:space="0" w:color="000000"/>
              <w:bottom w:val="single" w:sz="4" w:space="0" w:color="000000"/>
            </w:tcBorders>
            <w:noWrap/>
            <w:vAlign w:val="center"/>
            <w:hideMark/>
          </w:tcPr>
          <w:p w:rsidR="004A76E1" w:rsidRPr="00A16DA3" w:rsidP="004A76E1" w14:paraId="179AD1F7" w14:textId="49CBB881">
            <w:pPr>
              <w:widowControl w:val="0"/>
              <w:spacing w:after="0"/>
              <w:jc w:val="center"/>
              <w:rPr>
                <w:b/>
                <w:bCs/>
                <w:color w:val="000000"/>
                <w:szCs w:val="24"/>
              </w:rPr>
            </w:pPr>
            <w:r>
              <w:rPr>
                <w:rFonts w:eastAsiaTheme="minorHAnsi"/>
                <w:b/>
                <w:bCs/>
                <w:color w:val="000000"/>
                <w:sz w:val="22"/>
                <w:szCs w:val="22"/>
              </w:rPr>
              <w:t>149,249,675</w:t>
            </w:r>
          </w:p>
        </w:tc>
      </w:tr>
      <w:tr w14:paraId="179AD1FB" w14:textId="77777777" w:rsidTr="004B3D3E">
        <w:tblPrEx>
          <w:tblW w:w="5000" w:type="pct"/>
          <w:tblLook w:val="04A0"/>
        </w:tblPrEx>
        <w:trPr>
          <w:trHeight w:val="288"/>
        </w:trPr>
        <w:tc>
          <w:tcPr>
            <w:tcW w:w="3297" w:type="pct"/>
            <w:tcBorders>
              <w:top w:val="single" w:sz="4" w:space="0" w:color="000000"/>
              <w:left w:val="nil"/>
              <w:bottom w:val="nil"/>
              <w:right w:val="single" w:sz="4" w:space="0" w:color="000000"/>
            </w:tcBorders>
            <w:noWrap/>
            <w:vAlign w:val="center"/>
            <w:hideMark/>
          </w:tcPr>
          <w:p w:rsidR="004A76E1" w:rsidRPr="00A16DA3" w:rsidP="004A76E1" w14:paraId="179AD1F9" w14:textId="5E01C758">
            <w:pPr>
              <w:widowControl w:val="0"/>
              <w:spacing w:after="0"/>
              <w:rPr>
                <w:color w:val="000000"/>
                <w:szCs w:val="24"/>
              </w:rPr>
            </w:pPr>
            <w:r>
              <w:rPr>
                <w:rFonts w:eastAsiaTheme="minorHAnsi"/>
                <w:color w:val="000000"/>
                <w:sz w:val="22"/>
                <w:szCs w:val="22"/>
              </w:rPr>
              <w:t>City Style</w:t>
            </w:r>
          </w:p>
        </w:tc>
        <w:tc>
          <w:tcPr>
            <w:tcW w:w="1703" w:type="pct"/>
            <w:tcBorders>
              <w:top w:val="single" w:sz="4" w:space="0" w:color="000000"/>
              <w:left w:val="single" w:sz="4" w:space="0" w:color="000000"/>
              <w:bottom w:val="nil"/>
            </w:tcBorders>
            <w:noWrap/>
            <w:vAlign w:val="center"/>
            <w:hideMark/>
          </w:tcPr>
          <w:p w:rsidR="004A76E1" w:rsidRPr="00A16DA3" w:rsidP="004A76E1" w14:paraId="179AD1FA" w14:textId="6AD6E8E4">
            <w:pPr>
              <w:widowControl w:val="0"/>
              <w:spacing w:after="0"/>
              <w:ind w:right="900"/>
              <w:jc w:val="right"/>
              <w:rPr>
                <w:color w:val="000000"/>
                <w:szCs w:val="22"/>
              </w:rPr>
            </w:pPr>
            <w:r>
              <w:rPr>
                <w:rFonts w:eastAsiaTheme="minorHAnsi"/>
                <w:color w:val="000000"/>
                <w:sz w:val="22"/>
                <w:szCs w:val="22"/>
              </w:rPr>
              <w:t>133,491,398</w:t>
            </w:r>
          </w:p>
        </w:tc>
      </w:tr>
      <w:tr w14:paraId="179AD1FE" w14:textId="77777777" w:rsidTr="004B3D3E">
        <w:tblPrEx>
          <w:tblW w:w="5000" w:type="pct"/>
          <w:tblLook w:val="04A0"/>
        </w:tblPrEx>
        <w:trPr>
          <w:trHeight w:val="288"/>
        </w:trPr>
        <w:tc>
          <w:tcPr>
            <w:tcW w:w="3297" w:type="pct"/>
            <w:tcBorders>
              <w:top w:val="nil"/>
              <w:left w:val="nil"/>
              <w:bottom w:val="nil"/>
              <w:right w:val="single" w:sz="4" w:space="0" w:color="000000"/>
            </w:tcBorders>
            <w:noWrap/>
            <w:vAlign w:val="center"/>
            <w:hideMark/>
          </w:tcPr>
          <w:p w:rsidR="004A76E1" w:rsidRPr="00A16DA3" w:rsidP="004A76E1" w14:paraId="179AD1FC" w14:textId="1FEA27D4">
            <w:pPr>
              <w:widowControl w:val="0"/>
              <w:spacing w:after="0"/>
              <w:rPr>
                <w:color w:val="000000"/>
                <w:szCs w:val="24"/>
              </w:rPr>
            </w:pPr>
            <w:r>
              <w:rPr>
                <w:rFonts w:eastAsiaTheme="minorHAnsi"/>
                <w:color w:val="000000"/>
                <w:sz w:val="22"/>
                <w:szCs w:val="22"/>
              </w:rPr>
              <w:t>Drop Units (From 689,532 Drop Points)</w:t>
            </w:r>
          </w:p>
        </w:tc>
        <w:tc>
          <w:tcPr>
            <w:tcW w:w="1703" w:type="pct"/>
            <w:tcBorders>
              <w:top w:val="nil"/>
              <w:left w:val="single" w:sz="4" w:space="0" w:color="000000"/>
              <w:bottom w:val="nil"/>
            </w:tcBorders>
            <w:noWrap/>
            <w:vAlign w:val="center"/>
            <w:hideMark/>
          </w:tcPr>
          <w:p w:rsidR="004A76E1" w:rsidRPr="00A16DA3" w:rsidP="004A76E1" w14:paraId="179AD1FD" w14:textId="1FBFD0A4">
            <w:pPr>
              <w:widowControl w:val="0"/>
              <w:spacing w:after="0"/>
              <w:ind w:right="900"/>
              <w:jc w:val="right"/>
              <w:rPr>
                <w:color w:val="000000"/>
                <w:szCs w:val="22"/>
              </w:rPr>
            </w:pPr>
            <w:r>
              <w:rPr>
                <w:rFonts w:eastAsiaTheme="minorHAnsi"/>
                <w:color w:val="000000"/>
                <w:sz w:val="22"/>
                <w:szCs w:val="22"/>
              </w:rPr>
              <w:t>1,903,690</w:t>
            </w:r>
          </w:p>
        </w:tc>
      </w:tr>
      <w:tr w14:paraId="179AD201" w14:textId="77777777" w:rsidTr="004B3D3E">
        <w:tblPrEx>
          <w:tblW w:w="5000" w:type="pct"/>
          <w:tblLook w:val="04A0"/>
        </w:tblPrEx>
        <w:trPr>
          <w:trHeight w:val="288"/>
        </w:trPr>
        <w:tc>
          <w:tcPr>
            <w:tcW w:w="3297" w:type="pct"/>
            <w:tcBorders>
              <w:top w:val="nil"/>
              <w:left w:val="nil"/>
              <w:bottom w:val="nil"/>
              <w:right w:val="single" w:sz="4" w:space="0" w:color="000000"/>
            </w:tcBorders>
            <w:noWrap/>
            <w:vAlign w:val="center"/>
            <w:hideMark/>
          </w:tcPr>
          <w:p w:rsidR="004A76E1" w:rsidRPr="00A16DA3" w:rsidP="004A76E1" w14:paraId="179AD1FF" w14:textId="3A25C792">
            <w:pPr>
              <w:widowControl w:val="0"/>
              <w:spacing w:after="0"/>
              <w:rPr>
                <w:color w:val="000000"/>
                <w:szCs w:val="24"/>
              </w:rPr>
            </w:pPr>
            <w:r>
              <w:rPr>
                <w:rFonts w:eastAsiaTheme="minorHAnsi"/>
                <w:color w:val="000000"/>
                <w:sz w:val="22"/>
                <w:szCs w:val="22"/>
              </w:rPr>
              <w:t>Drop Unit Augments (MSG)</w:t>
            </w:r>
          </w:p>
        </w:tc>
        <w:tc>
          <w:tcPr>
            <w:tcW w:w="1703" w:type="pct"/>
            <w:tcBorders>
              <w:top w:val="nil"/>
              <w:left w:val="single" w:sz="4" w:space="0" w:color="000000"/>
              <w:bottom w:val="nil"/>
            </w:tcBorders>
            <w:noWrap/>
            <w:vAlign w:val="center"/>
            <w:hideMark/>
          </w:tcPr>
          <w:p w:rsidR="004A76E1" w:rsidRPr="00A16DA3" w:rsidP="004A76E1" w14:paraId="179AD200" w14:textId="2010FC0A">
            <w:pPr>
              <w:widowControl w:val="0"/>
              <w:spacing w:after="0"/>
              <w:ind w:right="900"/>
              <w:jc w:val="right"/>
              <w:rPr>
                <w:color w:val="000000"/>
                <w:szCs w:val="22"/>
              </w:rPr>
            </w:pPr>
            <w:r>
              <w:rPr>
                <w:rFonts w:eastAsiaTheme="minorHAnsi"/>
                <w:color w:val="000000"/>
                <w:sz w:val="22"/>
                <w:szCs w:val="22"/>
              </w:rPr>
              <w:t>39,842</w:t>
            </w:r>
          </w:p>
        </w:tc>
      </w:tr>
      <w:tr w14:paraId="179AD204" w14:textId="77777777" w:rsidTr="004B3D3E">
        <w:tblPrEx>
          <w:tblW w:w="5000" w:type="pct"/>
          <w:tblLook w:val="04A0"/>
        </w:tblPrEx>
        <w:trPr>
          <w:trHeight w:val="288"/>
        </w:trPr>
        <w:tc>
          <w:tcPr>
            <w:tcW w:w="3297" w:type="pct"/>
            <w:tcBorders>
              <w:top w:val="nil"/>
              <w:left w:val="nil"/>
              <w:bottom w:val="nil"/>
              <w:right w:val="single" w:sz="4" w:space="0" w:color="000000"/>
            </w:tcBorders>
            <w:noWrap/>
            <w:vAlign w:val="center"/>
            <w:hideMark/>
          </w:tcPr>
          <w:p w:rsidR="004A76E1" w:rsidRPr="00A16DA3" w:rsidP="004A76E1" w14:paraId="179AD202" w14:textId="45B4AC46">
            <w:pPr>
              <w:widowControl w:val="0"/>
              <w:spacing w:after="0"/>
              <w:rPr>
                <w:color w:val="000000"/>
                <w:szCs w:val="24"/>
              </w:rPr>
            </w:pPr>
            <w:r>
              <w:rPr>
                <w:rFonts w:eastAsiaTheme="minorHAnsi"/>
                <w:color w:val="000000"/>
                <w:sz w:val="22"/>
                <w:szCs w:val="22"/>
              </w:rPr>
              <w:t>Seasonal</w:t>
            </w:r>
          </w:p>
        </w:tc>
        <w:tc>
          <w:tcPr>
            <w:tcW w:w="1703" w:type="pct"/>
            <w:tcBorders>
              <w:top w:val="nil"/>
              <w:left w:val="single" w:sz="4" w:space="0" w:color="000000"/>
              <w:bottom w:val="nil"/>
            </w:tcBorders>
            <w:noWrap/>
            <w:vAlign w:val="center"/>
            <w:hideMark/>
          </w:tcPr>
          <w:p w:rsidR="004A76E1" w:rsidRPr="00A16DA3" w:rsidP="004A76E1" w14:paraId="179AD203" w14:textId="5E32AEA1">
            <w:pPr>
              <w:widowControl w:val="0"/>
              <w:spacing w:after="0"/>
              <w:ind w:right="900"/>
              <w:jc w:val="right"/>
              <w:rPr>
                <w:color w:val="000000"/>
                <w:szCs w:val="22"/>
              </w:rPr>
            </w:pPr>
            <w:r>
              <w:rPr>
                <w:rFonts w:eastAsiaTheme="minorHAnsi"/>
                <w:color w:val="000000"/>
                <w:sz w:val="22"/>
                <w:szCs w:val="22"/>
              </w:rPr>
              <w:t>782,477</w:t>
            </w:r>
          </w:p>
        </w:tc>
      </w:tr>
      <w:tr w14:paraId="179AD207" w14:textId="77777777" w:rsidTr="004B3D3E">
        <w:tblPrEx>
          <w:tblW w:w="5000" w:type="pct"/>
          <w:tblLook w:val="04A0"/>
        </w:tblPrEx>
        <w:trPr>
          <w:trHeight w:val="288"/>
        </w:trPr>
        <w:tc>
          <w:tcPr>
            <w:tcW w:w="3297" w:type="pct"/>
            <w:tcBorders>
              <w:top w:val="nil"/>
              <w:left w:val="nil"/>
              <w:bottom w:val="nil"/>
              <w:right w:val="single" w:sz="4" w:space="0" w:color="000000"/>
            </w:tcBorders>
            <w:noWrap/>
            <w:vAlign w:val="center"/>
            <w:hideMark/>
          </w:tcPr>
          <w:p w:rsidR="004A76E1" w:rsidRPr="00A16DA3" w:rsidP="004A76E1" w14:paraId="179AD205" w14:textId="29B377DC">
            <w:pPr>
              <w:widowControl w:val="0"/>
              <w:spacing w:after="0"/>
              <w:rPr>
                <w:color w:val="000000"/>
                <w:szCs w:val="24"/>
              </w:rPr>
            </w:pPr>
            <w:r>
              <w:rPr>
                <w:rFonts w:eastAsiaTheme="minorHAnsi"/>
                <w:color w:val="000000"/>
                <w:sz w:val="22"/>
                <w:szCs w:val="22"/>
              </w:rPr>
              <w:t>Educational</w:t>
            </w:r>
          </w:p>
        </w:tc>
        <w:tc>
          <w:tcPr>
            <w:tcW w:w="1703" w:type="pct"/>
            <w:tcBorders>
              <w:top w:val="nil"/>
              <w:left w:val="single" w:sz="4" w:space="0" w:color="000000"/>
              <w:bottom w:val="nil"/>
            </w:tcBorders>
            <w:noWrap/>
            <w:vAlign w:val="center"/>
            <w:hideMark/>
          </w:tcPr>
          <w:p w:rsidR="004A76E1" w:rsidRPr="00A16DA3" w:rsidP="004A76E1" w14:paraId="179AD206" w14:textId="489C1FEF">
            <w:pPr>
              <w:widowControl w:val="0"/>
              <w:spacing w:after="0"/>
              <w:ind w:right="900"/>
              <w:jc w:val="right"/>
              <w:rPr>
                <w:color w:val="000000"/>
                <w:szCs w:val="22"/>
              </w:rPr>
            </w:pPr>
            <w:r>
              <w:rPr>
                <w:rFonts w:eastAsiaTheme="minorHAnsi"/>
                <w:color w:val="000000"/>
                <w:sz w:val="22"/>
                <w:szCs w:val="22"/>
              </w:rPr>
              <w:t>99,962</w:t>
            </w:r>
          </w:p>
        </w:tc>
      </w:tr>
      <w:tr w14:paraId="179AD20A" w14:textId="77777777" w:rsidTr="004B3D3E">
        <w:tblPrEx>
          <w:tblW w:w="5000" w:type="pct"/>
          <w:tblLook w:val="04A0"/>
        </w:tblPrEx>
        <w:trPr>
          <w:trHeight w:val="288"/>
        </w:trPr>
        <w:tc>
          <w:tcPr>
            <w:tcW w:w="3297" w:type="pct"/>
            <w:tcBorders>
              <w:top w:val="nil"/>
              <w:left w:val="nil"/>
              <w:bottom w:val="nil"/>
              <w:right w:val="single" w:sz="4" w:space="0" w:color="000000"/>
            </w:tcBorders>
            <w:noWrap/>
            <w:vAlign w:val="center"/>
            <w:hideMark/>
          </w:tcPr>
          <w:p w:rsidR="004A76E1" w:rsidRPr="00A16DA3" w:rsidP="004A76E1" w14:paraId="179AD208" w14:textId="19B5B962">
            <w:pPr>
              <w:widowControl w:val="0"/>
              <w:spacing w:after="0"/>
              <w:rPr>
                <w:color w:val="000000"/>
                <w:szCs w:val="24"/>
              </w:rPr>
            </w:pPr>
            <w:r>
              <w:rPr>
                <w:rFonts w:eastAsiaTheme="minorHAnsi"/>
                <w:color w:val="000000"/>
                <w:sz w:val="22"/>
                <w:szCs w:val="22"/>
              </w:rPr>
              <w:t>Vacant</w:t>
            </w:r>
          </w:p>
        </w:tc>
        <w:tc>
          <w:tcPr>
            <w:tcW w:w="1703" w:type="pct"/>
            <w:tcBorders>
              <w:top w:val="nil"/>
              <w:left w:val="single" w:sz="4" w:space="0" w:color="000000"/>
              <w:bottom w:val="nil"/>
            </w:tcBorders>
            <w:noWrap/>
            <w:vAlign w:val="center"/>
            <w:hideMark/>
          </w:tcPr>
          <w:p w:rsidR="004A76E1" w:rsidRPr="00A16DA3" w:rsidP="004A76E1" w14:paraId="179AD209" w14:textId="6736EF12">
            <w:pPr>
              <w:widowControl w:val="0"/>
              <w:spacing w:after="0"/>
              <w:ind w:right="900"/>
              <w:jc w:val="right"/>
              <w:rPr>
                <w:color w:val="000000"/>
                <w:szCs w:val="22"/>
              </w:rPr>
            </w:pPr>
            <w:r>
              <w:rPr>
                <w:rFonts w:eastAsiaTheme="minorHAnsi"/>
                <w:color w:val="000000"/>
                <w:sz w:val="22"/>
                <w:szCs w:val="22"/>
              </w:rPr>
              <w:t>3,044,307</w:t>
            </w:r>
          </w:p>
        </w:tc>
      </w:tr>
      <w:tr w14:paraId="179AD20D" w14:textId="77777777" w:rsidTr="004B3D3E">
        <w:tblPrEx>
          <w:tblW w:w="5000" w:type="pct"/>
          <w:tblLook w:val="04A0"/>
        </w:tblPrEx>
        <w:trPr>
          <w:trHeight w:val="288"/>
        </w:trPr>
        <w:tc>
          <w:tcPr>
            <w:tcW w:w="3297" w:type="pct"/>
            <w:tcBorders>
              <w:top w:val="nil"/>
              <w:left w:val="nil"/>
              <w:bottom w:val="nil"/>
              <w:right w:val="single" w:sz="4" w:space="0" w:color="000000"/>
            </w:tcBorders>
            <w:noWrap/>
            <w:vAlign w:val="center"/>
            <w:hideMark/>
          </w:tcPr>
          <w:p w:rsidR="004A76E1" w:rsidRPr="00A16DA3" w:rsidP="004A76E1" w14:paraId="179AD20B" w14:textId="2B093C49">
            <w:pPr>
              <w:widowControl w:val="0"/>
              <w:spacing w:after="0"/>
              <w:rPr>
                <w:color w:val="000000"/>
                <w:szCs w:val="24"/>
              </w:rPr>
            </w:pPr>
            <w:r>
              <w:rPr>
                <w:rFonts w:eastAsiaTheme="minorHAnsi"/>
                <w:color w:val="000000"/>
                <w:sz w:val="22"/>
                <w:szCs w:val="22"/>
              </w:rPr>
              <w:t>Throwback</w:t>
            </w:r>
          </w:p>
        </w:tc>
        <w:tc>
          <w:tcPr>
            <w:tcW w:w="1703" w:type="pct"/>
            <w:tcBorders>
              <w:top w:val="nil"/>
              <w:left w:val="single" w:sz="4" w:space="0" w:color="000000"/>
              <w:bottom w:val="nil"/>
            </w:tcBorders>
            <w:noWrap/>
            <w:vAlign w:val="center"/>
            <w:hideMark/>
          </w:tcPr>
          <w:p w:rsidR="004A76E1" w:rsidRPr="00A16DA3" w:rsidP="004A76E1" w14:paraId="179AD20C" w14:textId="5A9D5536">
            <w:pPr>
              <w:widowControl w:val="0"/>
              <w:spacing w:after="0"/>
              <w:ind w:right="900"/>
              <w:jc w:val="right"/>
              <w:rPr>
                <w:color w:val="000000"/>
                <w:szCs w:val="22"/>
              </w:rPr>
            </w:pPr>
            <w:r>
              <w:rPr>
                <w:rFonts w:eastAsiaTheme="minorHAnsi"/>
                <w:color w:val="000000"/>
                <w:sz w:val="22"/>
                <w:szCs w:val="22"/>
              </w:rPr>
              <w:t>186,522</w:t>
            </w:r>
          </w:p>
        </w:tc>
      </w:tr>
      <w:tr w14:paraId="179AD210" w14:textId="77777777" w:rsidTr="004B3D3E">
        <w:tblPrEx>
          <w:tblW w:w="5000" w:type="pct"/>
          <w:tblLook w:val="04A0"/>
        </w:tblPrEx>
        <w:trPr>
          <w:trHeight w:val="288"/>
        </w:trPr>
        <w:tc>
          <w:tcPr>
            <w:tcW w:w="3297" w:type="pct"/>
            <w:tcBorders>
              <w:top w:val="nil"/>
              <w:left w:val="nil"/>
              <w:bottom w:val="nil"/>
              <w:right w:val="single" w:sz="4" w:space="0" w:color="000000"/>
            </w:tcBorders>
            <w:noWrap/>
            <w:vAlign w:val="center"/>
            <w:hideMark/>
          </w:tcPr>
          <w:p w:rsidR="004A76E1" w:rsidRPr="00A16DA3" w:rsidP="004A76E1" w14:paraId="179AD20E" w14:textId="4A2F717B">
            <w:pPr>
              <w:widowControl w:val="0"/>
              <w:spacing w:after="0"/>
              <w:rPr>
                <w:color w:val="000000"/>
                <w:szCs w:val="24"/>
              </w:rPr>
            </w:pPr>
            <w:r>
              <w:rPr>
                <w:rFonts w:eastAsiaTheme="minorHAnsi"/>
                <w:color w:val="000000"/>
                <w:sz w:val="22"/>
                <w:szCs w:val="22"/>
              </w:rPr>
              <w:t>Augments (MSG)</w:t>
            </w:r>
          </w:p>
        </w:tc>
        <w:tc>
          <w:tcPr>
            <w:tcW w:w="1703" w:type="pct"/>
            <w:tcBorders>
              <w:top w:val="nil"/>
              <w:left w:val="single" w:sz="4" w:space="0" w:color="000000"/>
              <w:bottom w:val="nil"/>
            </w:tcBorders>
            <w:noWrap/>
            <w:vAlign w:val="center"/>
            <w:hideMark/>
          </w:tcPr>
          <w:p w:rsidR="004A76E1" w:rsidRPr="00A16DA3" w:rsidP="004A76E1" w14:paraId="179AD20F" w14:textId="2E288F5F">
            <w:pPr>
              <w:widowControl w:val="0"/>
              <w:spacing w:after="0"/>
              <w:ind w:right="900"/>
              <w:jc w:val="right"/>
              <w:rPr>
                <w:color w:val="000000"/>
                <w:szCs w:val="22"/>
              </w:rPr>
            </w:pPr>
            <w:r>
              <w:rPr>
                <w:rFonts w:eastAsiaTheme="minorHAnsi"/>
                <w:color w:val="000000"/>
                <w:sz w:val="22"/>
                <w:szCs w:val="22"/>
              </w:rPr>
              <w:t>71,078</w:t>
            </w:r>
          </w:p>
        </w:tc>
      </w:tr>
      <w:tr w14:paraId="0E93AE5C" w14:textId="77777777" w:rsidTr="004B3D3E">
        <w:tblPrEx>
          <w:tblW w:w="5000" w:type="pct"/>
          <w:tblLook w:val="04A0"/>
        </w:tblPrEx>
        <w:trPr>
          <w:trHeight w:val="288"/>
        </w:trPr>
        <w:tc>
          <w:tcPr>
            <w:tcW w:w="3297" w:type="pct"/>
            <w:tcBorders>
              <w:top w:val="nil"/>
              <w:left w:val="nil"/>
              <w:bottom w:val="nil"/>
              <w:right w:val="single" w:sz="4" w:space="0" w:color="000000"/>
            </w:tcBorders>
            <w:noWrap/>
            <w:vAlign w:val="center"/>
          </w:tcPr>
          <w:p w:rsidR="004A76E1" w:rsidP="004A76E1" w14:paraId="493F16D2" w14:textId="6510FBDD">
            <w:pPr>
              <w:widowControl w:val="0"/>
              <w:spacing w:after="0"/>
              <w:rPr>
                <w:rFonts w:eastAsiaTheme="minorHAnsi"/>
                <w:color w:val="000000"/>
                <w:sz w:val="22"/>
                <w:szCs w:val="22"/>
              </w:rPr>
            </w:pPr>
            <w:r>
              <w:rPr>
                <w:rFonts w:eastAsiaTheme="minorHAnsi"/>
                <w:color w:val="000000"/>
                <w:sz w:val="22"/>
                <w:szCs w:val="22"/>
              </w:rPr>
              <w:t>Rural Route/Highway Contract</w:t>
            </w:r>
          </w:p>
        </w:tc>
        <w:tc>
          <w:tcPr>
            <w:tcW w:w="1703" w:type="pct"/>
            <w:tcBorders>
              <w:top w:val="nil"/>
              <w:left w:val="single" w:sz="4" w:space="0" w:color="000000"/>
              <w:bottom w:val="nil"/>
            </w:tcBorders>
            <w:noWrap/>
            <w:vAlign w:val="center"/>
          </w:tcPr>
          <w:p w:rsidR="004A76E1" w:rsidP="004A76E1" w14:paraId="145B5334" w14:textId="579B2AA5">
            <w:pPr>
              <w:widowControl w:val="0"/>
              <w:spacing w:after="0"/>
              <w:ind w:right="900"/>
              <w:jc w:val="right"/>
              <w:rPr>
                <w:rFonts w:eastAsiaTheme="minorHAnsi"/>
                <w:color w:val="000000"/>
                <w:sz w:val="22"/>
                <w:szCs w:val="22"/>
              </w:rPr>
            </w:pPr>
            <w:r>
              <w:rPr>
                <w:rFonts w:eastAsiaTheme="minorHAnsi"/>
                <w:color w:val="000000"/>
                <w:sz w:val="22"/>
                <w:szCs w:val="22"/>
              </w:rPr>
              <w:t>38,813</w:t>
            </w:r>
          </w:p>
        </w:tc>
      </w:tr>
      <w:tr w14:paraId="6E4F1E5E" w14:textId="77777777" w:rsidTr="004B3D3E">
        <w:tblPrEx>
          <w:tblW w:w="5000" w:type="pct"/>
          <w:tblLook w:val="04A0"/>
        </w:tblPrEx>
        <w:trPr>
          <w:trHeight w:val="288"/>
        </w:trPr>
        <w:tc>
          <w:tcPr>
            <w:tcW w:w="3297" w:type="pct"/>
            <w:tcBorders>
              <w:top w:val="nil"/>
              <w:left w:val="nil"/>
              <w:bottom w:val="nil"/>
              <w:right w:val="single" w:sz="4" w:space="0" w:color="000000"/>
            </w:tcBorders>
            <w:noWrap/>
            <w:vAlign w:val="center"/>
          </w:tcPr>
          <w:p w:rsidR="004A76E1" w:rsidP="004A76E1" w14:paraId="732E19DD" w14:textId="76BFE237">
            <w:pPr>
              <w:widowControl w:val="0"/>
              <w:spacing w:after="0"/>
              <w:rPr>
                <w:rFonts w:eastAsiaTheme="minorHAnsi"/>
                <w:color w:val="000000"/>
                <w:sz w:val="22"/>
                <w:szCs w:val="22"/>
              </w:rPr>
            </w:pPr>
            <w:r>
              <w:rPr>
                <w:rFonts w:eastAsiaTheme="minorHAnsi"/>
                <w:color w:val="000000"/>
                <w:sz w:val="22"/>
                <w:szCs w:val="22"/>
              </w:rPr>
              <w:t>PO Box</w:t>
            </w:r>
          </w:p>
        </w:tc>
        <w:tc>
          <w:tcPr>
            <w:tcW w:w="1703" w:type="pct"/>
            <w:tcBorders>
              <w:top w:val="nil"/>
              <w:left w:val="single" w:sz="4" w:space="0" w:color="000000"/>
              <w:bottom w:val="nil"/>
            </w:tcBorders>
            <w:noWrap/>
            <w:vAlign w:val="center"/>
          </w:tcPr>
          <w:p w:rsidR="004A76E1" w:rsidP="004A76E1" w14:paraId="4AA31AFC" w14:textId="3A5655DC">
            <w:pPr>
              <w:widowControl w:val="0"/>
              <w:spacing w:after="0"/>
              <w:ind w:right="900"/>
              <w:jc w:val="right"/>
              <w:rPr>
                <w:rFonts w:eastAsiaTheme="minorHAnsi"/>
                <w:color w:val="000000"/>
                <w:sz w:val="22"/>
                <w:szCs w:val="22"/>
              </w:rPr>
            </w:pPr>
            <w:r>
              <w:rPr>
                <w:rFonts w:eastAsiaTheme="minorHAnsi"/>
                <w:color w:val="000000"/>
                <w:sz w:val="22"/>
                <w:szCs w:val="22"/>
              </w:rPr>
              <w:t>15,719,464</w:t>
            </w:r>
          </w:p>
        </w:tc>
      </w:tr>
      <w:tr w14:paraId="6FAFEBE2" w14:textId="77777777" w:rsidTr="004B3D3E">
        <w:tblPrEx>
          <w:tblW w:w="5000" w:type="pct"/>
          <w:tblLook w:val="04A0"/>
        </w:tblPrEx>
        <w:trPr>
          <w:trHeight w:val="288"/>
        </w:trPr>
        <w:tc>
          <w:tcPr>
            <w:tcW w:w="3297" w:type="pct"/>
            <w:tcBorders>
              <w:top w:val="nil"/>
              <w:left w:val="nil"/>
              <w:bottom w:val="nil"/>
              <w:right w:val="single" w:sz="4" w:space="0" w:color="000000"/>
            </w:tcBorders>
            <w:noWrap/>
            <w:vAlign w:val="center"/>
          </w:tcPr>
          <w:p w:rsidR="004A76E1" w:rsidP="004A76E1" w14:paraId="266A0409" w14:textId="1D28B8C2">
            <w:pPr>
              <w:widowControl w:val="0"/>
              <w:spacing w:after="0"/>
              <w:rPr>
                <w:rFonts w:eastAsiaTheme="minorHAnsi"/>
                <w:color w:val="000000"/>
                <w:sz w:val="22"/>
                <w:szCs w:val="22"/>
              </w:rPr>
            </w:pPr>
            <w:r>
              <w:rPr>
                <w:rFonts w:eastAsiaTheme="minorHAnsi"/>
                <w:color w:val="000000"/>
                <w:sz w:val="22"/>
                <w:szCs w:val="22"/>
              </w:rPr>
              <w:t>PO Box (Traditional)</w:t>
            </w:r>
          </w:p>
        </w:tc>
        <w:tc>
          <w:tcPr>
            <w:tcW w:w="1703" w:type="pct"/>
            <w:tcBorders>
              <w:top w:val="nil"/>
              <w:left w:val="single" w:sz="4" w:space="0" w:color="000000"/>
              <w:bottom w:val="nil"/>
            </w:tcBorders>
            <w:noWrap/>
            <w:vAlign w:val="center"/>
          </w:tcPr>
          <w:p w:rsidR="004A76E1" w:rsidP="004A76E1" w14:paraId="4C2983BE" w14:textId="3E44AA2B">
            <w:pPr>
              <w:widowControl w:val="0"/>
              <w:spacing w:after="0"/>
              <w:ind w:right="900"/>
              <w:jc w:val="right"/>
              <w:rPr>
                <w:rFonts w:eastAsiaTheme="minorHAnsi"/>
                <w:color w:val="000000"/>
                <w:sz w:val="22"/>
                <w:szCs w:val="22"/>
              </w:rPr>
            </w:pPr>
            <w:r>
              <w:rPr>
                <w:rFonts w:eastAsiaTheme="minorHAnsi"/>
                <w:color w:val="000000"/>
                <w:sz w:val="22"/>
                <w:szCs w:val="22"/>
              </w:rPr>
              <w:t>14,299,960</w:t>
            </w:r>
          </w:p>
        </w:tc>
      </w:tr>
      <w:tr w14:paraId="179AD213" w14:textId="77777777" w:rsidTr="004B3D3E">
        <w:tblPrEx>
          <w:tblW w:w="5000" w:type="pct"/>
          <w:tblLook w:val="04A0"/>
        </w:tblPrEx>
        <w:trPr>
          <w:trHeight w:val="288"/>
        </w:trPr>
        <w:tc>
          <w:tcPr>
            <w:tcW w:w="3297" w:type="pct"/>
            <w:tcBorders>
              <w:top w:val="nil"/>
              <w:left w:val="nil"/>
              <w:bottom w:val="single" w:sz="4" w:space="0" w:color="000000"/>
              <w:right w:val="single" w:sz="4" w:space="0" w:color="000000"/>
            </w:tcBorders>
            <w:noWrap/>
            <w:vAlign w:val="center"/>
            <w:hideMark/>
          </w:tcPr>
          <w:p w:rsidR="004A76E1" w:rsidRPr="00A16DA3" w:rsidP="004A76E1" w14:paraId="179AD211" w14:textId="363321A2">
            <w:pPr>
              <w:widowControl w:val="0"/>
              <w:spacing w:after="0"/>
              <w:rPr>
                <w:color w:val="000000"/>
                <w:szCs w:val="24"/>
              </w:rPr>
            </w:pPr>
            <w:r>
              <w:rPr>
                <w:rFonts w:eastAsiaTheme="minorHAnsi"/>
                <w:color w:val="000000"/>
                <w:sz w:val="22"/>
                <w:szCs w:val="22"/>
              </w:rPr>
              <w:t>PO Box (OWGM)</w:t>
            </w:r>
          </w:p>
        </w:tc>
        <w:tc>
          <w:tcPr>
            <w:tcW w:w="1703" w:type="pct"/>
            <w:tcBorders>
              <w:top w:val="nil"/>
              <w:left w:val="single" w:sz="4" w:space="0" w:color="000000"/>
              <w:bottom w:val="single" w:sz="4" w:space="0" w:color="000000"/>
            </w:tcBorders>
            <w:noWrap/>
            <w:vAlign w:val="center"/>
            <w:hideMark/>
          </w:tcPr>
          <w:p w:rsidR="004A76E1" w:rsidRPr="00A16DA3" w:rsidP="004A76E1" w14:paraId="179AD212" w14:textId="62CF900C">
            <w:pPr>
              <w:widowControl w:val="0"/>
              <w:spacing w:after="0"/>
              <w:ind w:right="900"/>
              <w:jc w:val="right"/>
              <w:rPr>
                <w:color w:val="000000"/>
                <w:szCs w:val="22"/>
              </w:rPr>
            </w:pPr>
            <w:r>
              <w:rPr>
                <w:rFonts w:eastAsiaTheme="minorHAnsi"/>
                <w:color w:val="000000"/>
                <w:sz w:val="22"/>
                <w:szCs w:val="22"/>
              </w:rPr>
              <w:t>1,418,552</w:t>
            </w:r>
          </w:p>
        </w:tc>
      </w:tr>
      <w:tr w14:paraId="179AD216" w14:textId="77777777" w:rsidTr="004B3D3E">
        <w:tblPrEx>
          <w:tblW w:w="5000" w:type="pct"/>
          <w:tblLook w:val="04A0"/>
        </w:tblPrEx>
        <w:trPr>
          <w:trHeight w:val="288"/>
        </w:trPr>
        <w:tc>
          <w:tcPr>
            <w:tcW w:w="3297" w:type="pct"/>
            <w:tcBorders>
              <w:top w:val="single" w:sz="4" w:space="0" w:color="000000"/>
              <w:left w:val="nil"/>
              <w:bottom w:val="single" w:sz="4" w:space="0" w:color="000000"/>
              <w:right w:val="single" w:sz="4" w:space="0" w:color="000000"/>
            </w:tcBorders>
            <w:noWrap/>
            <w:vAlign w:val="center"/>
            <w:hideMark/>
          </w:tcPr>
          <w:p w:rsidR="00D72B4C" w:rsidRPr="00A16DA3" w:rsidP="00CE3562" w14:paraId="179AD214" w14:textId="77777777">
            <w:pPr>
              <w:widowControl w:val="0"/>
              <w:spacing w:after="0"/>
              <w:jc w:val="center"/>
              <w:rPr>
                <w:b/>
                <w:bCs/>
                <w:color w:val="000000"/>
                <w:szCs w:val="24"/>
              </w:rPr>
            </w:pPr>
            <w:r w:rsidRPr="00A16DA3">
              <w:rPr>
                <w:b/>
                <w:bCs/>
                <w:color w:val="000000"/>
                <w:szCs w:val="24"/>
              </w:rPr>
              <w:t>Total</w:t>
            </w:r>
          </w:p>
        </w:tc>
        <w:tc>
          <w:tcPr>
            <w:tcW w:w="1703" w:type="pct"/>
            <w:tcBorders>
              <w:top w:val="single" w:sz="4" w:space="0" w:color="000000"/>
              <w:left w:val="single" w:sz="4" w:space="0" w:color="000000"/>
              <w:bottom w:val="single" w:sz="4" w:space="0" w:color="000000"/>
            </w:tcBorders>
            <w:noWrap/>
            <w:vAlign w:val="center"/>
            <w:hideMark/>
          </w:tcPr>
          <w:p w:rsidR="00D72B4C" w:rsidRPr="00A16DA3" w:rsidP="00CE3562" w14:paraId="179AD215" w14:textId="0E5ED74E">
            <w:pPr>
              <w:widowControl w:val="0"/>
              <w:spacing w:after="0"/>
              <w:ind w:right="900"/>
              <w:jc w:val="right"/>
              <w:rPr>
                <w:b/>
                <w:color w:val="000000"/>
                <w:szCs w:val="22"/>
              </w:rPr>
            </w:pPr>
            <w:r>
              <w:rPr>
                <w:b/>
                <w:bCs/>
                <w:color w:val="000000"/>
              </w:rPr>
              <w:t>320,345,740</w:t>
            </w:r>
          </w:p>
        </w:tc>
      </w:tr>
    </w:tbl>
    <w:p w:rsidR="00FA12AC" w:rsidP="00CE3562" w14:paraId="4CA93F80" w14:textId="77777777">
      <w:pPr>
        <w:widowControl w:val="0"/>
        <w:spacing w:before="120"/>
        <w:rPr>
          <w:szCs w:val="24"/>
        </w:rPr>
      </w:pPr>
      <w:r w:rsidRPr="00A16DA3">
        <w:rPr>
          <w:szCs w:val="24"/>
        </w:rPr>
        <w:t xml:space="preserve">By identifying the latitude and longitude of each address MSG </w:t>
      </w:r>
      <w:r w:rsidR="0099624E">
        <w:rPr>
          <w:szCs w:val="24"/>
        </w:rPr>
        <w:t xml:space="preserve">can </w:t>
      </w:r>
      <w:r w:rsidRPr="00A16DA3">
        <w:rPr>
          <w:szCs w:val="24"/>
        </w:rPr>
        <w:t>create a one-to-one correspondence between the Postal geographic indicators, which are suitable for mail delivery, and those suitable for sampling designs based on the Census geographic definitions</w:t>
      </w:r>
      <w:r w:rsidR="007C73B7">
        <w:rPr>
          <w:szCs w:val="24"/>
        </w:rPr>
        <w:t xml:space="preserve">. </w:t>
      </w:r>
      <w:r w:rsidRPr="00A16DA3">
        <w:rPr>
          <w:szCs w:val="24"/>
        </w:rPr>
        <w:t>Subsequently, the resulting database is augmented with a list of geo-demographic indicators to evolve the raw CDSF into an effective sampling frame suitable for selection of probability-based samples.</w:t>
      </w:r>
    </w:p>
    <w:p w:rsidR="00FA12AC" w:rsidP="00CE3562" w14:paraId="76E04C5D" w14:textId="7E522AF2">
      <w:pPr>
        <w:widowControl w:val="0"/>
        <w:spacing w:before="120"/>
        <w:rPr>
          <w:szCs w:val="24"/>
        </w:rPr>
      </w:pPr>
      <w:r w:rsidRPr="00A16DA3">
        <w:rPr>
          <w:szCs w:val="24"/>
        </w:rPr>
        <w:t xml:space="preserve">For this study a monthly sample of approximately </w:t>
      </w:r>
      <w:r w:rsidR="00240CA0">
        <w:rPr>
          <w:szCs w:val="24"/>
        </w:rPr>
        <w:t>28,100</w:t>
      </w:r>
      <w:r w:rsidRPr="00A16DA3">
        <w:rPr>
          <w:szCs w:val="24"/>
        </w:rPr>
        <w:t xml:space="preserve"> addresses </w:t>
      </w:r>
      <w:r w:rsidR="00ED4786">
        <w:rPr>
          <w:szCs w:val="24"/>
        </w:rPr>
        <w:t>will be</w:t>
      </w:r>
      <w:r w:rsidRPr="00A16DA3">
        <w:rPr>
          <w:szCs w:val="24"/>
        </w:rPr>
        <w:t xml:space="preserve"> selected to represent the nation</w:t>
      </w:r>
      <w:r w:rsidR="007C73B7">
        <w:rPr>
          <w:szCs w:val="24"/>
        </w:rPr>
        <w:t xml:space="preserve">. </w:t>
      </w:r>
      <w:r w:rsidRPr="00A16DA3">
        <w:rPr>
          <w:szCs w:val="24"/>
        </w:rPr>
        <w:t xml:space="preserve">This sample </w:t>
      </w:r>
      <w:r w:rsidRPr="00A16DA3" w:rsidR="0040728C">
        <w:rPr>
          <w:szCs w:val="24"/>
        </w:rPr>
        <w:t>is</w:t>
      </w:r>
      <w:r w:rsidRPr="00A16DA3">
        <w:rPr>
          <w:szCs w:val="24"/>
        </w:rPr>
        <w:t xml:space="preserve"> selected from the MSG-enhanced ABS frame, which </w:t>
      </w:r>
      <w:r w:rsidRPr="00A16DA3" w:rsidR="0040728C">
        <w:rPr>
          <w:szCs w:val="24"/>
        </w:rPr>
        <w:t>is</w:t>
      </w:r>
      <w:r w:rsidRPr="00A16DA3">
        <w:rPr>
          <w:szCs w:val="24"/>
        </w:rPr>
        <w:t xml:space="preserve"> updated on a quarterly basis</w:t>
      </w:r>
      <w:r w:rsidR="007C73B7">
        <w:rPr>
          <w:szCs w:val="24"/>
        </w:rPr>
        <w:t xml:space="preserve">. </w:t>
      </w:r>
      <w:r w:rsidRPr="00A16DA3">
        <w:rPr>
          <w:szCs w:val="24"/>
        </w:rPr>
        <w:t xml:space="preserve">Each sample address </w:t>
      </w:r>
      <w:r w:rsidRPr="00A16DA3" w:rsidR="0040728C">
        <w:rPr>
          <w:szCs w:val="24"/>
        </w:rPr>
        <w:t>is</w:t>
      </w:r>
      <w:r w:rsidRPr="00A16DA3">
        <w:rPr>
          <w:szCs w:val="24"/>
        </w:rPr>
        <w:t xml:space="preserve"> name and telephone matched, with the expectation that </w:t>
      </w:r>
      <w:r w:rsidRPr="00A16DA3" w:rsidR="00832EB2">
        <w:rPr>
          <w:szCs w:val="24"/>
        </w:rPr>
        <w:t xml:space="preserve">up to </w:t>
      </w:r>
      <w:r w:rsidR="005B38FC">
        <w:rPr>
          <w:szCs w:val="24"/>
        </w:rPr>
        <w:t>52</w:t>
      </w:r>
      <w:r w:rsidRPr="00A16DA3">
        <w:rPr>
          <w:szCs w:val="24"/>
        </w:rPr>
        <w:t xml:space="preserve"> percent of addresses link to a telephone number</w:t>
      </w:r>
      <w:r w:rsidR="007C73B7">
        <w:rPr>
          <w:szCs w:val="24"/>
        </w:rPr>
        <w:t xml:space="preserve">. </w:t>
      </w:r>
      <w:r w:rsidRPr="00A16DA3">
        <w:rPr>
          <w:szCs w:val="24"/>
        </w:rPr>
        <w:t xml:space="preserve">Moreover, each address </w:t>
      </w:r>
      <w:r w:rsidRPr="00A16DA3" w:rsidR="0040728C">
        <w:rPr>
          <w:szCs w:val="24"/>
        </w:rPr>
        <w:t>has</w:t>
      </w:r>
      <w:r w:rsidRPr="00A16DA3">
        <w:rPr>
          <w:szCs w:val="24"/>
        </w:rPr>
        <w:t xml:space="preserve"> a </w:t>
      </w:r>
      <w:r w:rsidRPr="00A16DA3" w:rsidR="0040728C">
        <w:rPr>
          <w:szCs w:val="24"/>
        </w:rPr>
        <w:t xml:space="preserve">set </w:t>
      </w:r>
      <w:r w:rsidRPr="00A16DA3">
        <w:rPr>
          <w:szCs w:val="24"/>
        </w:rPr>
        <w:t xml:space="preserve">of geo-demographic data </w:t>
      </w:r>
      <w:r w:rsidRPr="00A16DA3" w:rsidR="0040728C">
        <w:rPr>
          <w:szCs w:val="24"/>
        </w:rPr>
        <w:t xml:space="preserve">appended to it </w:t>
      </w:r>
      <w:r w:rsidRPr="00A16DA3">
        <w:rPr>
          <w:szCs w:val="24"/>
        </w:rPr>
        <w:t>by relying on public and commercial sources.</w:t>
      </w:r>
      <w:r w:rsidR="00981573">
        <w:rPr>
          <w:szCs w:val="24"/>
        </w:rPr>
        <w:t xml:space="preserve"> </w:t>
      </w:r>
    </w:p>
    <w:p w:rsidR="00FA12AC" w:rsidP="00CE3562" w14:paraId="3CBA543E" w14:textId="094AA18E">
      <w:pPr>
        <w:widowControl w:val="0"/>
        <w:spacing w:before="120"/>
        <w:rPr>
          <w:szCs w:val="24"/>
        </w:rPr>
      </w:pPr>
      <w:r w:rsidRPr="00A16DA3">
        <w:rPr>
          <w:szCs w:val="24"/>
        </w:rPr>
        <w:t xml:space="preserve">As detailed later, matched telephone numbers </w:t>
      </w:r>
      <w:r w:rsidRPr="00A16DA3" w:rsidR="0040728C">
        <w:rPr>
          <w:szCs w:val="24"/>
        </w:rPr>
        <w:t>ar</w:t>
      </w:r>
      <w:r w:rsidRPr="00A16DA3">
        <w:rPr>
          <w:szCs w:val="24"/>
        </w:rPr>
        <w:t xml:space="preserve">e used as part of our </w:t>
      </w:r>
      <w:r w:rsidR="00A1436E">
        <w:rPr>
          <w:szCs w:val="24"/>
        </w:rPr>
        <w:t>nonresponse</w:t>
      </w:r>
      <w:r w:rsidRPr="00A16DA3">
        <w:rPr>
          <w:szCs w:val="24"/>
        </w:rPr>
        <w:t xml:space="preserve"> follow-up to maximize response rates, whereas the appended ancillary data support</w:t>
      </w:r>
      <w:r w:rsidRPr="00A16DA3" w:rsidR="0040728C">
        <w:rPr>
          <w:szCs w:val="24"/>
        </w:rPr>
        <w:t>s</w:t>
      </w:r>
      <w:r w:rsidRPr="00A16DA3">
        <w:rPr>
          <w:szCs w:val="24"/>
        </w:rPr>
        <w:t xml:space="preserve"> our </w:t>
      </w:r>
      <w:r w:rsidR="00A1436E">
        <w:rPr>
          <w:szCs w:val="24"/>
        </w:rPr>
        <w:t>nonresponse</w:t>
      </w:r>
      <w:r w:rsidRPr="00A16DA3">
        <w:rPr>
          <w:szCs w:val="24"/>
        </w:rPr>
        <w:t xml:space="preserve"> bias analysis to help develop effective weighting procedures</w:t>
      </w:r>
      <w:r w:rsidR="007C73B7">
        <w:rPr>
          <w:szCs w:val="24"/>
        </w:rPr>
        <w:t xml:space="preserve">. </w:t>
      </w:r>
      <w:r w:rsidRPr="00A16DA3">
        <w:rPr>
          <w:szCs w:val="24"/>
        </w:rPr>
        <w:t xml:space="preserve">While a subset of such data </w:t>
      </w:r>
      <w:r w:rsidRPr="00A16DA3" w:rsidR="0040728C">
        <w:rPr>
          <w:szCs w:val="24"/>
        </w:rPr>
        <w:t>is</w:t>
      </w:r>
      <w:r w:rsidRPr="00A16DA3">
        <w:rPr>
          <w:szCs w:val="24"/>
        </w:rPr>
        <w:t xml:space="preserve"> available for individual addresses, others </w:t>
      </w:r>
      <w:r w:rsidRPr="00A16DA3" w:rsidR="00832EB2">
        <w:rPr>
          <w:szCs w:val="24"/>
        </w:rPr>
        <w:t>are</w:t>
      </w:r>
      <w:r w:rsidRPr="00A16DA3">
        <w:rPr>
          <w:szCs w:val="24"/>
        </w:rPr>
        <w:t xml:space="preserve"> retrieved at higher levels of aggregation, such as Census Block Group (CBG) or ZIP Code.</w:t>
      </w:r>
    </w:p>
    <w:p w:rsidR="00DF10B1" w:rsidP="00CE3562" w14:paraId="18616D77" w14:textId="52B8FC88">
      <w:pPr>
        <w:widowControl w:val="0"/>
        <w:spacing w:before="120"/>
        <w:rPr>
          <w:szCs w:val="24"/>
        </w:rPr>
      </w:pPr>
      <w:r w:rsidRPr="00A16DA3">
        <w:rPr>
          <w:szCs w:val="24"/>
        </w:rPr>
        <w:t xml:space="preserve">On </w:t>
      </w:r>
      <w:r w:rsidR="00BB46D9">
        <w:rPr>
          <w:szCs w:val="24"/>
        </w:rPr>
        <w:t xml:space="preserve">a </w:t>
      </w:r>
      <w:r w:rsidR="00240CA0">
        <w:rPr>
          <w:szCs w:val="24"/>
        </w:rPr>
        <w:t>monthly</w:t>
      </w:r>
      <w:r w:rsidRPr="00A16DA3" w:rsidR="00240CA0">
        <w:rPr>
          <w:szCs w:val="24"/>
        </w:rPr>
        <w:t xml:space="preserve"> </w:t>
      </w:r>
      <w:r w:rsidRPr="00A16DA3">
        <w:rPr>
          <w:szCs w:val="24"/>
        </w:rPr>
        <w:t xml:space="preserve">basis, </w:t>
      </w:r>
      <w:r w:rsidR="00240CA0">
        <w:rPr>
          <w:szCs w:val="24"/>
        </w:rPr>
        <w:t>national</w:t>
      </w:r>
      <w:r w:rsidRPr="00A16DA3">
        <w:rPr>
          <w:szCs w:val="24"/>
        </w:rPr>
        <w:t xml:space="preserve"> estimates are required for this st</w:t>
      </w:r>
      <w:r w:rsidR="00340953">
        <w:rPr>
          <w:szCs w:val="24"/>
        </w:rPr>
        <w:t xml:space="preserve">udy. </w:t>
      </w:r>
      <w:r w:rsidR="00422374">
        <w:rPr>
          <w:szCs w:val="24"/>
        </w:rPr>
        <w:t>Each monthly sample is randomized across all geographies in the United State</w:t>
      </w:r>
      <w:r w:rsidR="0075722D">
        <w:rPr>
          <w:szCs w:val="24"/>
        </w:rPr>
        <w:t>s</w:t>
      </w:r>
      <w:r w:rsidR="00422374">
        <w:rPr>
          <w:szCs w:val="24"/>
        </w:rPr>
        <w:t xml:space="preserve"> of America, but with some oversampling of small areas t</w:t>
      </w:r>
      <w:r w:rsidRPr="00A16DA3">
        <w:rPr>
          <w:szCs w:val="24"/>
        </w:rPr>
        <w:t xml:space="preserve">o ensure that survey </w:t>
      </w:r>
      <w:r w:rsidR="00422374">
        <w:rPr>
          <w:szCs w:val="24"/>
        </w:rPr>
        <w:t xml:space="preserve">responses are sufficient </w:t>
      </w:r>
      <w:r w:rsidRPr="00A16DA3">
        <w:rPr>
          <w:szCs w:val="24"/>
        </w:rPr>
        <w:t xml:space="preserve">for each of the </w:t>
      </w:r>
      <w:r w:rsidR="00422374">
        <w:rPr>
          <w:szCs w:val="24"/>
        </w:rPr>
        <w:t>31</w:t>
      </w:r>
      <w:r w:rsidR="008670BC">
        <w:rPr>
          <w:szCs w:val="24"/>
        </w:rPr>
        <w:t xml:space="preserve"> </w:t>
      </w:r>
      <w:r w:rsidR="00240CA0">
        <w:rPr>
          <w:szCs w:val="24"/>
        </w:rPr>
        <w:t>geographically-based</w:t>
      </w:r>
      <w:r w:rsidR="00240CA0">
        <w:rPr>
          <w:szCs w:val="24"/>
        </w:rPr>
        <w:t xml:space="preserve"> </w:t>
      </w:r>
      <w:r w:rsidR="008670BC">
        <w:rPr>
          <w:szCs w:val="24"/>
        </w:rPr>
        <w:t xml:space="preserve">extant or planned </w:t>
      </w:r>
      <w:r w:rsidR="00240CA0">
        <w:rPr>
          <w:szCs w:val="24"/>
        </w:rPr>
        <w:t xml:space="preserve">passport </w:t>
      </w:r>
      <w:r w:rsidRPr="00A16DA3">
        <w:rPr>
          <w:szCs w:val="24"/>
        </w:rPr>
        <w:t xml:space="preserve">agencies </w:t>
      </w:r>
      <w:r w:rsidR="008670BC">
        <w:rPr>
          <w:szCs w:val="24"/>
        </w:rPr>
        <w:t>to generate aggregate reports of each geography</w:t>
      </w:r>
      <w:r w:rsidR="007C73B7">
        <w:rPr>
          <w:szCs w:val="24"/>
        </w:rPr>
        <w:t xml:space="preserve">. </w:t>
      </w:r>
      <w:r w:rsidRPr="00A16DA3">
        <w:rPr>
          <w:szCs w:val="24"/>
        </w:rPr>
        <w:t xml:space="preserve">Specifically, the total monthly sample of approximately </w:t>
      </w:r>
      <w:r w:rsidR="00981573">
        <w:rPr>
          <w:szCs w:val="24"/>
        </w:rPr>
        <w:t>28,100</w:t>
      </w:r>
      <w:r w:rsidRPr="00A16DA3">
        <w:rPr>
          <w:szCs w:val="24"/>
        </w:rPr>
        <w:t xml:space="preserve"> addresses is </w:t>
      </w:r>
      <w:r w:rsidR="008670BC">
        <w:rPr>
          <w:szCs w:val="24"/>
        </w:rPr>
        <w:t xml:space="preserve">divided into the </w:t>
      </w:r>
      <w:r w:rsidR="00AB7AA8">
        <w:rPr>
          <w:szCs w:val="24"/>
        </w:rPr>
        <w:t xml:space="preserve">geographic areas surrounding the </w:t>
      </w:r>
      <w:r w:rsidR="00303E81">
        <w:rPr>
          <w:szCs w:val="24"/>
        </w:rPr>
        <w:t xml:space="preserve">following </w:t>
      </w:r>
      <w:r w:rsidR="00AB7AA8">
        <w:rPr>
          <w:szCs w:val="24"/>
        </w:rPr>
        <w:t>passport agencies</w:t>
      </w:r>
      <w:r w:rsidR="008670BC">
        <w:rPr>
          <w:szCs w:val="24"/>
        </w:rPr>
        <w:t>:</w:t>
      </w:r>
      <w:r>
        <w:rPr>
          <w:szCs w:val="24"/>
        </w:rPr>
        <w:br/>
      </w:r>
    </w:p>
    <w:p w:rsidR="008569EA" w:rsidP="00CE3562" w14:paraId="65506ECD" w14:textId="5A6C363A">
      <w:pPr>
        <w:widowControl w:val="0"/>
        <w:spacing w:before="120"/>
        <w:rPr>
          <w:szCs w:val="24"/>
        </w:rPr>
      </w:pPr>
      <w:r w:rsidRPr="00A16DA3">
        <w:rPr>
          <w:b/>
        </w:rPr>
        <w:t xml:space="preserve">Table </w:t>
      </w:r>
      <w:r>
        <w:rPr>
          <w:b/>
        </w:rPr>
        <w:t xml:space="preserve">3. </w:t>
      </w:r>
      <w:r>
        <w:t>Passport Agencies on which to Center Strata</w:t>
      </w:r>
    </w:p>
    <w:tbl>
      <w:tblPr>
        <w:tblStyle w:val="TableGrid"/>
        <w:tblW w:w="9360" w:type="dxa"/>
        <w:tblLook w:val="04A0"/>
      </w:tblPr>
      <w:tblGrid>
        <w:gridCol w:w="2233"/>
        <w:gridCol w:w="2319"/>
        <w:gridCol w:w="2404"/>
        <w:gridCol w:w="2404"/>
      </w:tblGrid>
      <w:tr w14:paraId="70105267" w14:textId="230AAF16" w:rsidTr="001528C1">
        <w:tblPrEx>
          <w:tblW w:w="9360" w:type="dxa"/>
          <w:tblLook w:val="04A0"/>
        </w:tblPrEx>
        <w:tc>
          <w:tcPr>
            <w:tcW w:w="2233" w:type="dxa"/>
          </w:tcPr>
          <w:p w:rsidR="001528C1" w:rsidP="001528C1" w14:paraId="2A8CF8A0" w14:textId="1FEA6DE5">
            <w:pPr>
              <w:spacing w:after="0"/>
              <w:rPr>
                <w:szCs w:val="24"/>
              </w:rPr>
            </w:pPr>
            <w:r>
              <w:rPr>
                <w:szCs w:val="24"/>
              </w:rPr>
              <w:t>Atlanta</w:t>
            </w:r>
          </w:p>
        </w:tc>
        <w:tc>
          <w:tcPr>
            <w:tcW w:w="2319" w:type="dxa"/>
          </w:tcPr>
          <w:p w:rsidR="001528C1" w:rsidP="001528C1" w14:paraId="7D8A5550" w14:textId="5CA97E1F">
            <w:pPr>
              <w:spacing w:after="0"/>
              <w:rPr>
                <w:szCs w:val="24"/>
              </w:rPr>
            </w:pPr>
            <w:r>
              <w:rPr>
                <w:szCs w:val="24"/>
              </w:rPr>
              <w:t>Dallas</w:t>
            </w:r>
          </w:p>
        </w:tc>
        <w:tc>
          <w:tcPr>
            <w:tcW w:w="2404" w:type="dxa"/>
          </w:tcPr>
          <w:p w:rsidR="001528C1" w:rsidP="001528C1" w14:paraId="7D2ADA94" w14:textId="1F1DD970">
            <w:pPr>
              <w:spacing w:after="0"/>
              <w:rPr>
                <w:szCs w:val="24"/>
              </w:rPr>
            </w:pPr>
            <w:r>
              <w:rPr>
                <w:szCs w:val="24"/>
              </w:rPr>
              <w:t>Minneapolis</w:t>
            </w:r>
          </w:p>
        </w:tc>
        <w:tc>
          <w:tcPr>
            <w:tcW w:w="2404" w:type="dxa"/>
          </w:tcPr>
          <w:p w:rsidR="001528C1" w:rsidP="001528C1" w14:paraId="6BEB9BE8" w14:textId="39AB72F9">
            <w:pPr>
              <w:spacing w:after="0"/>
              <w:rPr>
                <w:szCs w:val="24"/>
              </w:rPr>
            </w:pPr>
            <w:r>
              <w:rPr>
                <w:szCs w:val="24"/>
              </w:rPr>
              <w:t>Seattle</w:t>
            </w:r>
          </w:p>
        </w:tc>
      </w:tr>
      <w:tr w14:paraId="127BDA66" w14:textId="74AC517D" w:rsidTr="001528C1">
        <w:tblPrEx>
          <w:tblW w:w="9360" w:type="dxa"/>
          <w:tblLook w:val="04A0"/>
        </w:tblPrEx>
        <w:tc>
          <w:tcPr>
            <w:tcW w:w="2233" w:type="dxa"/>
          </w:tcPr>
          <w:p w:rsidR="001528C1" w:rsidP="001528C1" w14:paraId="3D363653" w14:textId="0982F81A">
            <w:pPr>
              <w:spacing w:after="0"/>
              <w:rPr>
                <w:szCs w:val="24"/>
              </w:rPr>
            </w:pPr>
            <w:r>
              <w:rPr>
                <w:szCs w:val="24"/>
              </w:rPr>
              <w:t>Boston</w:t>
            </w:r>
          </w:p>
        </w:tc>
        <w:tc>
          <w:tcPr>
            <w:tcW w:w="2319" w:type="dxa"/>
          </w:tcPr>
          <w:p w:rsidR="001528C1" w:rsidP="001528C1" w14:paraId="60D402DD" w14:textId="6D58433A">
            <w:pPr>
              <w:spacing w:after="0"/>
              <w:rPr>
                <w:szCs w:val="24"/>
              </w:rPr>
            </w:pPr>
            <w:r>
              <w:rPr>
                <w:szCs w:val="24"/>
              </w:rPr>
              <w:t>Detroit</w:t>
            </w:r>
          </w:p>
        </w:tc>
        <w:tc>
          <w:tcPr>
            <w:tcW w:w="2404" w:type="dxa"/>
          </w:tcPr>
          <w:p w:rsidR="001528C1" w:rsidP="001528C1" w14:paraId="63CEE032" w14:textId="572B58A8">
            <w:pPr>
              <w:spacing w:after="0"/>
              <w:rPr>
                <w:szCs w:val="24"/>
              </w:rPr>
            </w:pPr>
            <w:r>
              <w:rPr>
                <w:szCs w:val="24"/>
              </w:rPr>
              <w:t>National Capital</w:t>
            </w:r>
          </w:p>
        </w:tc>
        <w:tc>
          <w:tcPr>
            <w:tcW w:w="2404" w:type="dxa"/>
          </w:tcPr>
          <w:p w:rsidR="001528C1" w:rsidP="001528C1" w14:paraId="11BF2B2A" w14:textId="01669C9E">
            <w:pPr>
              <w:spacing w:after="0"/>
              <w:rPr>
                <w:szCs w:val="24"/>
              </w:rPr>
            </w:pPr>
            <w:r>
              <w:rPr>
                <w:szCs w:val="24"/>
              </w:rPr>
              <w:t>Vermont</w:t>
            </w:r>
          </w:p>
        </w:tc>
      </w:tr>
      <w:tr w14:paraId="78FF68B0" w14:textId="3A73BF74" w:rsidTr="001528C1">
        <w:tblPrEx>
          <w:tblW w:w="9360" w:type="dxa"/>
          <w:tblLook w:val="04A0"/>
        </w:tblPrEx>
        <w:tc>
          <w:tcPr>
            <w:tcW w:w="2233" w:type="dxa"/>
          </w:tcPr>
          <w:p w:rsidR="001528C1" w:rsidP="001528C1" w14:paraId="347634AD" w14:textId="1A93FE4D">
            <w:pPr>
              <w:spacing w:after="0"/>
              <w:rPr>
                <w:szCs w:val="24"/>
              </w:rPr>
            </w:pPr>
            <w:r>
              <w:rPr>
                <w:szCs w:val="24"/>
              </w:rPr>
              <w:t>Buffalo</w:t>
            </w:r>
          </w:p>
        </w:tc>
        <w:tc>
          <w:tcPr>
            <w:tcW w:w="2319" w:type="dxa"/>
          </w:tcPr>
          <w:p w:rsidR="001528C1" w:rsidP="001528C1" w14:paraId="7B1AAEFA" w14:textId="6E17EB59">
            <w:pPr>
              <w:spacing w:after="0"/>
              <w:rPr>
                <w:szCs w:val="24"/>
              </w:rPr>
            </w:pPr>
            <w:r>
              <w:rPr>
                <w:szCs w:val="24"/>
              </w:rPr>
              <w:t>El Paso</w:t>
            </w:r>
          </w:p>
        </w:tc>
        <w:tc>
          <w:tcPr>
            <w:tcW w:w="2404" w:type="dxa"/>
          </w:tcPr>
          <w:p w:rsidR="001528C1" w:rsidP="001528C1" w14:paraId="35CF9E79" w14:textId="34F4FD00">
            <w:pPr>
              <w:spacing w:after="0"/>
              <w:rPr>
                <w:szCs w:val="24"/>
              </w:rPr>
            </w:pPr>
            <w:r>
              <w:rPr>
                <w:szCs w:val="24"/>
              </w:rPr>
              <w:t>New Orleans</w:t>
            </w:r>
          </w:p>
        </w:tc>
        <w:tc>
          <w:tcPr>
            <w:tcW w:w="2404" w:type="dxa"/>
          </w:tcPr>
          <w:p w:rsidR="001528C1" w:rsidP="001528C1" w14:paraId="05848CA0" w14:textId="58930AED">
            <w:pPr>
              <w:spacing w:after="0"/>
              <w:rPr>
                <w:szCs w:val="24"/>
              </w:rPr>
            </w:pPr>
            <w:r>
              <w:rPr>
                <w:szCs w:val="24"/>
              </w:rPr>
              <w:t>Washington</w:t>
            </w:r>
          </w:p>
        </w:tc>
      </w:tr>
      <w:tr w14:paraId="1228170F" w14:textId="32D0ACD3" w:rsidTr="001528C1">
        <w:tblPrEx>
          <w:tblW w:w="9360" w:type="dxa"/>
          <w:tblLook w:val="04A0"/>
        </w:tblPrEx>
        <w:tc>
          <w:tcPr>
            <w:tcW w:w="2233" w:type="dxa"/>
          </w:tcPr>
          <w:p w:rsidR="001528C1" w:rsidP="001528C1" w14:paraId="796014E1" w14:textId="31814F9F">
            <w:pPr>
              <w:spacing w:after="0"/>
              <w:rPr>
                <w:szCs w:val="24"/>
              </w:rPr>
            </w:pPr>
            <w:r>
              <w:rPr>
                <w:szCs w:val="24"/>
              </w:rPr>
              <w:t>Charleston</w:t>
            </w:r>
          </w:p>
        </w:tc>
        <w:tc>
          <w:tcPr>
            <w:tcW w:w="2319" w:type="dxa"/>
          </w:tcPr>
          <w:p w:rsidR="001528C1" w:rsidP="001528C1" w14:paraId="5C9B6F93" w14:textId="26ACA919">
            <w:pPr>
              <w:spacing w:after="0"/>
              <w:rPr>
                <w:szCs w:val="24"/>
              </w:rPr>
            </w:pPr>
            <w:r>
              <w:rPr>
                <w:szCs w:val="24"/>
              </w:rPr>
              <w:t>Honolulu</w:t>
            </w:r>
          </w:p>
        </w:tc>
        <w:tc>
          <w:tcPr>
            <w:tcW w:w="2404" w:type="dxa"/>
          </w:tcPr>
          <w:p w:rsidR="001528C1" w:rsidP="001528C1" w14:paraId="760E0022" w14:textId="359AA5EB">
            <w:pPr>
              <w:spacing w:after="0"/>
              <w:rPr>
                <w:szCs w:val="24"/>
              </w:rPr>
            </w:pPr>
            <w:r>
              <w:rPr>
                <w:szCs w:val="24"/>
              </w:rPr>
              <w:t>New York</w:t>
            </w:r>
          </w:p>
        </w:tc>
        <w:tc>
          <w:tcPr>
            <w:tcW w:w="2404" w:type="dxa"/>
          </w:tcPr>
          <w:p w:rsidR="001528C1" w:rsidP="001528C1" w14:paraId="0A82F937" w14:textId="7D70A4CF">
            <w:pPr>
              <w:spacing w:after="0"/>
              <w:rPr>
                <w:szCs w:val="24"/>
              </w:rPr>
            </w:pPr>
            <w:r>
              <w:rPr>
                <w:szCs w:val="24"/>
              </w:rPr>
              <w:t>Western</w:t>
            </w:r>
          </w:p>
        </w:tc>
      </w:tr>
      <w:tr w14:paraId="157ECC36" w14:textId="15602ED7" w:rsidTr="001528C1">
        <w:tblPrEx>
          <w:tblW w:w="9360" w:type="dxa"/>
          <w:tblLook w:val="04A0"/>
        </w:tblPrEx>
        <w:tc>
          <w:tcPr>
            <w:tcW w:w="2233" w:type="dxa"/>
          </w:tcPr>
          <w:p w:rsidR="001528C1" w:rsidP="001528C1" w14:paraId="270953EC" w14:textId="2D3305D2">
            <w:pPr>
              <w:spacing w:after="0"/>
              <w:rPr>
                <w:szCs w:val="24"/>
              </w:rPr>
            </w:pPr>
            <w:r>
              <w:rPr>
                <w:szCs w:val="24"/>
              </w:rPr>
              <w:t>Chicago</w:t>
            </w:r>
          </w:p>
        </w:tc>
        <w:tc>
          <w:tcPr>
            <w:tcW w:w="2319" w:type="dxa"/>
          </w:tcPr>
          <w:p w:rsidR="001528C1" w:rsidP="001528C1" w14:paraId="52180AE5" w14:textId="48DFEFFC">
            <w:pPr>
              <w:spacing w:after="0"/>
              <w:rPr>
                <w:szCs w:val="24"/>
              </w:rPr>
            </w:pPr>
            <w:r>
              <w:rPr>
                <w:szCs w:val="24"/>
              </w:rPr>
              <w:t>Houston</w:t>
            </w:r>
          </w:p>
        </w:tc>
        <w:tc>
          <w:tcPr>
            <w:tcW w:w="2404" w:type="dxa"/>
          </w:tcPr>
          <w:p w:rsidR="001528C1" w:rsidP="001528C1" w14:paraId="2BE5446D" w14:textId="4077D4E2">
            <w:pPr>
              <w:spacing w:after="0"/>
              <w:rPr>
                <w:szCs w:val="24"/>
              </w:rPr>
            </w:pPr>
            <w:r>
              <w:rPr>
                <w:szCs w:val="24"/>
              </w:rPr>
              <w:t>Philadelphia</w:t>
            </w:r>
          </w:p>
        </w:tc>
        <w:tc>
          <w:tcPr>
            <w:tcW w:w="2404" w:type="dxa"/>
          </w:tcPr>
          <w:p w:rsidR="001528C1" w:rsidP="001528C1" w14:paraId="25F19BD0" w14:textId="1A819004">
            <w:pPr>
              <w:spacing w:after="0"/>
              <w:rPr>
                <w:szCs w:val="24"/>
              </w:rPr>
            </w:pPr>
          </w:p>
        </w:tc>
      </w:tr>
      <w:tr w14:paraId="1A3E0DEF" w14:textId="05FCABE7" w:rsidTr="001528C1">
        <w:tblPrEx>
          <w:tblW w:w="9360" w:type="dxa"/>
          <w:tblLook w:val="04A0"/>
        </w:tblPrEx>
        <w:tc>
          <w:tcPr>
            <w:tcW w:w="2233" w:type="dxa"/>
          </w:tcPr>
          <w:p w:rsidR="001528C1" w:rsidP="001528C1" w14:paraId="3C6CF973" w14:textId="794AA99F">
            <w:pPr>
              <w:spacing w:after="0"/>
              <w:rPr>
                <w:szCs w:val="24"/>
              </w:rPr>
            </w:pPr>
            <w:r>
              <w:rPr>
                <w:szCs w:val="24"/>
              </w:rPr>
              <w:t>Colorado</w:t>
            </w:r>
          </w:p>
        </w:tc>
        <w:tc>
          <w:tcPr>
            <w:tcW w:w="2319" w:type="dxa"/>
          </w:tcPr>
          <w:p w:rsidR="001528C1" w:rsidP="001528C1" w14:paraId="4D4B7068" w14:textId="26144522">
            <w:pPr>
              <w:spacing w:after="0"/>
              <w:rPr>
                <w:szCs w:val="24"/>
              </w:rPr>
            </w:pPr>
            <w:r>
              <w:rPr>
                <w:szCs w:val="24"/>
              </w:rPr>
              <w:t>Los Angeles</w:t>
            </w:r>
          </w:p>
        </w:tc>
        <w:tc>
          <w:tcPr>
            <w:tcW w:w="2404" w:type="dxa"/>
          </w:tcPr>
          <w:p w:rsidR="001528C1" w:rsidP="001528C1" w14:paraId="3BAA95B5" w14:textId="502EB545">
            <w:pPr>
              <w:spacing w:after="0"/>
              <w:rPr>
                <w:szCs w:val="24"/>
              </w:rPr>
            </w:pPr>
            <w:r>
              <w:rPr>
                <w:szCs w:val="24"/>
              </w:rPr>
              <w:t>San Diego</w:t>
            </w:r>
          </w:p>
        </w:tc>
        <w:tc>
          <w:tcPr>
            <w:tcW w:w="2404" w:type="dxa"/>
          </w:tcPr>
          <w:p w:rsidR="001528C1" w:rsidP="001528C1" w14:paraId="495B64EE" w14:textId="777E98F4">
            <w:pPr>
              <w:spacing w:after="0"/>
              <w:rPr>
                <w:szCs w:val="24"/>
              </w:rPr>
            </w:pPr>
          </w:p>
        </w:tc>
      </w:tr>
      <w:tr w14:paraId="758210F9" w14:textId="77777777" w:rsidTr="001528C1">
        <w:tblPrEx>
          <w:tblW w:w="9360" w:type="dxa"/>
          <w:tblLook w:val="04A0"/>
        </w:tblPrEx>
        <w:tc>
          <w:tcPr>
            <w:tcW w:w="2233" w:type="dxa"/>
          </w:tcPr>
          <w:p w:rsidR="001528C1" w:rsidP="001528C1" w14:paraId="5985F507" w14:textId="2ED7F2E8">
            <w:pPr>
              <w:spacing w:after="0"/>
              <w:rPr>
                <w:szCs w:val="24"/>
              </w:rPr>
            </w:pPr>
            <w:r>
              <w:rPr>
                <w:szCs w:val="24"/>
              </w:rPr>
              <w:t>Connecticut</w:t>
            </w:r>
          </w:p>
        </w:tc>
        <w:tc>
          <w:tcPr>
            <w:tcW w:w="2319" w:type="dxa"/>
          </w:tcPr>
          <w:p w:rsidR="001528C1" w:rsidP="001528C1" w14:paraId="0315FC97" w14:textId="72ACFEEB">
            <w:pPr>
              <w:spacing w:after="0"/>
              <w:rPr>
                <w:szCs w:val="24"/>
              </w:rPr>
            </w:pPr>
            <w:r>
              <w:rPr>
                <w:szCs w:val="24"/>
              </w:rPr>
              <w:t>Miami</w:t>
            </w:r>
          </w:p>
        </w:tc>
        <w:tc>
          <w:tcPr>
            <w:tcW w:w="2404" w:type="dxa"/>
          </w:tcPr>
          <w:p w:rsidR="001528C1" w:rsidP="001528C1" w14:paraId="7D87E7AC" w14:textId="2AED09BC">
            <w:pPr>
              <w:spacing w:after="0"/>
              <w:rPr>
                <w:szCs w:val="24"/>
              </w:rPr>
            </w:pPr>
            <w:r>
              <w:rPr>
                <w:szCs w:val="24"/>
              </w:rPr>
              <w:t>San Francisco</w:t>
            </w:r>
          </w:p>
        </w:tc>
        <w:tc>
          <w:tcPr>
            <w:tcW w:w="2404" w:type="dxa"/>
          </w:tcPr>
          <w:p w:rsidR="001528C1" w:rsidP="001528C1" w14:paraId="61CFA1E1" w14:textId="77777777">
            <w:pPr>
              <w:spacing w:after="0"/>
              <w:rPr>
                <w:szCs w:val="24"/>
              </w:rPr>
            </w:pPr>
          </w:p>
        </w:tc>
      </w:tr>
    </w:tbl>
    <w:p w:rsidR="00FA12AC" w:rsidP="00CE3562" w14:paraId="55F322CD" w14:textId="4F234D83">
      <w:pPr>
        <w:widowControl w:val="0"/>
        <w:spacing w:before="120"/>
        <w:rPr>
          <w:szCs w:val="24"/>
        </w:rPr>
      </w:pPr>
      <w:r>
        <w:rPr>
          <w:szCs w:val="24"/>
        </w:rPr>
        <w:t xml:space="preserve"> </w:t>
      </w:r>
    </w:p>
    <w:p w:rsidR="00FA12AC" w:rsidP="00CE3562" w14:paraId="68794A93" w14:textId="08CED3B9">
      <w:pPr>
        <w:widowControl w:val="0"/>
        <w:spacing w:before="120"/>
        <w:rPr>
          <w:szCs w:val="24"/>
        </w:rPr>
      </w:pPr>
      <w:r w:rsidRPr="00A16DA3">
        <w:rPr>
          <w:szCs w:val="24"/>
        </w:rPr>
        <w:t xml:space="preserve">Note that less than 3 percent of all addresses are currently marked as “vacant” according to the CDSF. Given that a small percentage of such addresses can be occupied by the time the survey administration begins for a given month, it is possible to include a nominal fraction of such households as part of the sampling frame to minimize </w:t>
      </w:r>
      <w:r w:rsidRPr="00A16DA3" w:rsidR="00BB46D9">
        <w:rPr>
          <w:szCs w:val="24"/>
        </w:rPr>
        <w:t>under</w:t>
      </w:r>
      <w:r w:rsidR="00BB46D9">
        <w:rPr>
          <w:szCs w:val="24"/>
        </w:rPr>
        <w:t>-</w:t>
      </w:r>
      <w:r w:rsidRPr="00A16DA3">
        <w:rPr>
          <w:szCs w:val="24"/>
        </w:rPr>
        <w:t>coverage.</w:t>
      </w:r>
    </w:p>
    <w:p w:rsidR="009A56D5" w:rsidRPr="00FA12AC" w:rsidP="00CE3562" w14:paraId="179AD222" w14:textId="6BFD1E1E">
      <w:pPr>
        <w:pStyle w:val="Heading1"/>
        <w:keepNext w:val="0"/>
        <w:widowControl w:val="0"/>
        <w:numPr>
          <w:ilvl w:val="0"/>
          <w:numId w:val="38"/>
        </w:numPr>
        <w:spacing w:before="240"/>
        <w:rPr>
          <w:rFonts w:ascii="Times New Roman Bold" w:hAnsi="Times New Roman Bold"/>
          <w:smallCaps/>
        </w:rPr>
      </w:pPr>
      <w:r w:rsidRPr="00FA12AC">
        <w:rPr>
          <w:rFonts w:ascii="Times New Roman Bold" w:hAnsi="Times New Roman Bold"/>
          <w:smallCaps/>
        </w:rPr>
        <w:t>Data Collection</w:t>
      </w:r>
    </w:p>
    <w:p w:rsidR="009A56D5" w:rsidRPr="00A16DA3" w:rsidP="00CE3562" w14:paraId="179AD223" w14:textId="53D6A8DA">
      <w:pPr>
        <w:widowControl w:val="0"/>
        <w:spacing w:before="120"/>
        <w:rPr>
          <w:szCs w:val="24"/>
        </w:rPr>
      </w:pPr>
      <w:r w:rsidRPr="00A16DA3">
        <w:rPr>
          <w:szCs w:val="24"/>
        </w:rPr>
        <w:t>E</w:t>
      </w:r>
      <w:r w:rsidRPr="00A16DA3">
        <w:rPr>
          <w:szCs w:val="24"/>
        </w:rPr>
        <w:t xml:space="preserve">ach month about </w:t>
      </w:r>
      <w:r w:rsidR="007B0EAD">
        <w:rPr>
          <w:szCs w:val="24"/>
        </w:rPr>
        <w:t>2,000</w:t>
      </w:r>
      <w:r w:rsidR="00693C8D">
        <w:rPr>
          <w:szCs w:val="24"/>
        </w:rPr>
        <w:t xml:space="preserve"> </w:t>
      </w:r>
      <w:r w:rsidRPr="00A16DA3">
        <w:rPr>
          <w:szCs w:val="24"/>
        </w:rPr>
        <w:t xml:space="preserve">completed surveys </w:t>
      </w:r>
      <w:r w:rsidR="00981573">
        <w:rPr>
          <w:szCs w:val="24"/>
        </w:rPr>
        <w:t>will be</w:t>
      </w:r>
      <w:r w:rsidRPr="00A16DA3" w:rsidR="00981573">
        <w:rPr>
          <w:szCs w:val="24"/>
        </w:rPr>
        <w:t xml:space="preserve"> </w:t>
      </w:r>
      <w:r w:rsidRPr="00A16DA3">
        <w:rPr>
          <w:szCs w:val="24"/>
        </w:rPr>
        <w:t>secured</w:t>
      </w:r>
      <w:r w:rsidRPr="00A16DA3">
        <w:rPr>
          <w:szCs w:val="24"/>
        </w:rPr>
        <w:t xml:space="preserve"> u</w:t>
      </w:r>
      <w:r w:rsidR="00340953">
        <w:rPr>
          <w:szCs w:val="24"/>
        </w:rPr>
        <w:t xml:space="preserve">sing multiple methods of survey </w:t>
      </w:r>
      <w:r w:rsidRPr="00A16DA3">
        <w:rPr>
          <w:szCs w:val="24"/>
        </w:rPr>
        <w:t>administration</w:t>
      </w:r>
      <w:r w:rsidR="007C73B7">
        <w:rPr>
          <w:szCs w:val="24"/>
        </w:rPr>
        <w:t xml:space="preserve">. </w:t>
      </w:r>
      <w:r w:rsidRPr="00A16DA3">
        <w:rPr>
          <w:szCs w:val="24"/>
        </w:rPr>
        <w:t xml:space="preserve">For this study both web and telephone modes of data collection </w:t>
      </w:r>
      <w:r w:rsidRPr="00A16DA3">
        <w:rPr>
          <w:szCs w:val="24"/>
        </w:rPr>
        <w:t>ar</w:t>
      </w:r>
      <w:r w:rsidRPr="00A16DA3">
        <w:rPr>
          <w:szCs w:val="24"/>
        </w:rPr>
        <w:t>e used to produce the highest rates of response by making the survey experience as convenient for respondents as possible</w:t>
      </w:r>
      <w:r w:rsidR="007C73B7">
        <w:rPr>
          <w:szCs w:val="24"/>
        </w:rPr>
        <w:t xml:space="preserve">. </w:t>
      </w:r>
      <w:r w:rsidRPr="00A16DA3">
        <w:rPr>
          <w:szCs w:val="24"/>
        </w:rPr>
        <w:t>Briefly, our survey administration protocol consists of the following main steps:</w:t>
      </w:r>
    </w:p>
    <w:p w:rsidR="009A56D5" w:rsidP="00CE3562" w14:paraId="179AD224" w14:textId="4733C538">
      <w:pPr>
        <w:widowControl w:val="0"/>
        <w:numPr>
          <w:ilvl w:val="0"/>
          <w:numId w:val="35"/>
        </w:numPr>
        <w:spacing w:before="120"/>
        <w:rPr>
          <w:szCs w:val="24"/>
        </w:rPr>
      </w:pPr>
      <w:r>
        <w:rPr>
          <w:szCs w:val="24"/>
        </w:rPr>
        <w:t>Approximately 25 days</w:t>
      </w:r>
      <w:r w:rsidRPr="00A16DA3">
        <w:rPr>
          <w:szCs w:val="24"/>
        </w:rPr>
        <w:t xml:space="preserve"> before the beginning of the </w:t>
      </w:r>
      <w:r>
        <w:rPr>
          <w:szCs w:val="24"/>
        </w:rPr>
        <w:t xml:space="preserve">study </w:t>
      </w:r>
      <w:r w:rsidRPr="00A16DA3">
        <w:rPr>
          <w:szCs w:val="24"/>
        </w:rPr>
        <w:t xml:space="preserve">month a cross-sectional random sample of approximately </w:t>
      </w:r>
      <w:r>
        <w:rPr>
          <w:szCs w:val="24"/>
        </w:rPr>
        <w:t>28,100</w:t>
      </w:r>
      <w:r w:rsidRPr="00A16DA3">
        <w:rPr>
          <w:szCs w:val="24"/>
        </w:rPr>
        <w:t xml:space="preserve"> addresses </w:t>
      </w:r>
      <w:r w:rsidRPr="00A16DA3" w:rsidR="0000395A">
        <w:rPr>
          <w:szCs w:val="24"/>
        </w:rPr>
        <w:t>is</w:t>
      </w:r>
      <w:r w:rsidRPr="00A16DA3">
        <w:rPr>
          <w:szCs w:val="24"/>
        </w:rPr>
        <w:t xml:space="preserve"> selected from the latest MSG-enhanced version </w:t>
      </w:r>
      <w:r w:rsidRPr="00A16DA3">
        <w:rPr>
          <w:szCs w:val="24"/>
        </w:rPr>
        <w:t>of the CDSF</w:t>
      </w:r>
      <w:r w:rsidR="007B0EAD">
        <w:rPr>
          <w:szCs w:val="24"/>
        </w:rPr>
        <w:t xml:space="preserve"> and provided to the survey vendor SSRS</w:t>
      </w:r>
      <w:r w:rsidRPr="00A16DA3">
        <w:rPr>
          <w:szCs w:val="24"/>
        </w:rPr>
        <w:t>.</w:t>
      </w:r>
    </w:p>
    <w:p w:rsidR="00B66537" w:rsidRPr="00A16DA3" w:rsidP="00CE3562" w14:paraId="179AD225" w14:textId="187E8334">
      <w:pPr>
        <w:widowControl w:val="0"/>
        <w:numPr>
          <w:ilvl w:val="0"/>
          <w:numId w:val="35"/>
        </w:numPr>
        <w:spacing w:before="120"/>
        <w:rPr>
          <w:szCs w:val="24"/>
        </w:rPr>
      </w:pPr>
      <w:r>
        <w:rPr>
          <w:szCs w:val="24"/>
        </w:rPr>
        <w:t>Approximate</w:t>
      </w:r>
      <w:r w:rsidR="000A6472">
        <w:rPr>
          <w:szCs w:val="24"/>
        </w:rPr>
        <w:t>ly</w:t>
      </w:r>
      <w:r>
        <w:rPr>
          <w:szCs w:val="24"/>
        </w:rPr>
        <w:t xml:space="preserve"> ten </w:t>
      </w:r>
      <w:r w:rsidRPr="00A16DA3">
        <w:rPr>
          <w:szCs w:val="24"/>
        </w:rPr>
        <w:t xml:space="preserve">days before the beginning of the month, invitation letters </w:t>
      </w:r>
      <w:r w:rsidRPr="00A16DA3" w:rsidR="0000395A">
        <w:rPr>
          <w:szCs w:val="24"/>
        </w:rPr>
        <w:t>ar</w:t>
      </w:r>
      <w:r w:rsidRPr="00A16DA3">
        <w:rPr>
          <w:szCs w:val="24"/>
        </w:rPr>
        <w:t>e mailed</w:t>
      </w:r>
      <w:r>
        <w:rPr>
          <w:szCs w:val="24"/>
        </w:rPr>
        <w:t xml:space="preserve">.  Prior to mailing, the mailing list is presorted by zip code to </w:t>
      </w:r>
      <w:r w:rsidR="00EC7AD7">
        <w:rPr>
          <w:szCs w:val="24"/>
        </w:rPr>
        <w:t xml:space="preserve">reduce </w:t>
      </w:r>
      <w:r>
        <w:rPr>
          <w:szCs w:val="24"/>
        </w:rPr>
        <w:t xml:space="preserve">processing time by the USPS and to </w:t>
      </w:r>
      <w:r w:rsidR="003D1351">
        <w:rPr>
          <w:szCs w:val="24"/>
        </w:rPr>
        <w:t>target</w:t>
      </w:r>
      <w:r>
        <w:rPr>
          <w:szCs w:val="24"/>
        </w:rPr>
        <w:t xml:space="preserve"> for receipt of the invitations to occur simultaneously throughout all selected households nationwide.  </w:t>
      </w:r>
    </w:p>
    <w:p w:rsidR="009A56D5" w:rsidRPr="00A16DA3" w:rsidP="00CE3562" w14:paraId="179AD228" w14:textId="2A97C034">
      <w:pPr>
        <w:widowControl w:val="0"/>
        <w:numPr>
          <w:ilvl w:val="0"/>
          <w:numId w:val="35"/>
        </w:numPr>
        <w:spacing w:before="120"/>
        <w:rPr>
          <w:szCs w:val="24"/>
        </w:rPr>
      </w:pPr>
      <w:r w:rsidRPr="00A16DA3">
        <w:rPr>
          <w:szCs w:val="24"/>
        </w:rPr>
        <w:t xml:space="preserve">Sample households may begin responding to the invitation by web or inbound telephone call </w:t>
      </w:r>
      <w:r w:rsidR="006B78CE">
        <w:rPr>
          <w:szCs w:val="24"/>
        </w:rPr>
        <w:t>upon the receipt of the invitation letter</w:t>
      </w:r>
      <w:r w:rsidRPr="00A16DA3" w:rsidR="00CA63AE">
        <w:rPr>
          <w:szCs w:val="24"/>
        </w:rPr>
        <w:t xml:space="preserve">, estimated to be </w:t>
      </w:r>
      <w:r w:rsidR="006B78CE">
        <w:rPr>
          <w:szCs w:val="24"/>
        </w:rPr>
        <w:t>the first day of the month</w:t>
      </w:r>
      <w:r w:rsidRPr="00A16DA3">
        <w:rPr>
          <w:szCs w:val="24"/>
        </w:rPr>
        <w:t>.</w:t>
      </w:r>
    </w:p>
    <w:p w:rsidR="009A56D5" w:rsidRPr="00A16DA3" w:rsidP="00CE3562" w14:paraId="179AD229" w14:textId="50DE1176">
      <w:pPr>
        <w:widowControl w:val="0"/>
        <w:numPr>
          <w:ilvl w:val="0"/>
          <w:numId w:val="35"/>
        </w:numPr>
        <w:spacing w:before="120"/>
        <w:rPr>
          <w:szCs w:val="24"/>
        </w:rPr>
      </w:pPr>
      <w:r>
        <w:rPr>
          <w:szCs w:val="24"/>
        </w:rPr>
        <w:t>Approximately five days after the first day of the month,</w:t>
      </w:r>
      <w:r w:rsidRPr="00A16DA3">
        <w:rPr>
          <w:szCs w:val="24"/>
        </w:rPr>
        <w:t xml:space="preserve"> outbound telephone calls begin to all non-responding households with telephone numbers appended to their records</w:t>
      </w:r>
      <w:r>
        <w:rPr>
          <w:szCs w:val="24"/>
        </w:rPr>
        <w:t>.</w:t>
      </w:r>
    </w:p>
    <w:p w:rsidR="00B66537" w:rsidRPr="00A16DA3" w:rsidP="00CE3562" w14:paraId="179AD22A" w14:textId="165CAB17">
      <w:pPr>
        <w:widowControl w:val="0"/>
        <w:numPr>
          <w:ilvl w:val="0"/>
          <w:numId w:val="35"/>
        </w:numPr>
        <w:spacing w:before="120"/>
        <w:rPr>
          <w:szCs w:val="24"/>
        </w:rPr>
      </w:pPr>
      <w:r>
        <w:rPr>
          <w:szCs w:val="24"/>
        </w:rPr>
        <w:t xml:space="preserve">Approximately twelve days after the first day of the month, reminder invitation letters are mailed.  The mailing is presorted to </w:t>
      </w:r>
      <w:r w:rsidR="003D1351">
        <w:rPr>
          <w:szCs w:val="24"/>
        </w:rPr>
        <w:t xml:space="preserve">target </w:t>
      </w:r>
      <w:r>
        <w:rPr>
          <w:szCs w:val="24"/>
        </w:rPr>
        <w:t xml:space="preserve">simultaneous receipt by the sampled households.  </w:t>
      </w:r>
    </w:p>
    <w:p w:rsidR="00FA12AC" w:rsidP="00CE3562" w14:paraId="444FFDE7" w14:textId="5F853B13">
      <w:pPr>
        <w:widowControl w:val="0"/>
        <w:numPr>
          <w:ilvl w:val="0"/>
          <w:numId w:val="35"/>
        </w:numPr>
        <w:spacing w:before="120"/>
        <w:rPr>
          <w:szCs w:val="24"/>
        </w:rPr>
      </w:pPr>
      <w:r w:rsidRPr="00A16DA3">
        <w:rPr>
          <w:szCs w:val="24"/>
        </w:rPr>
        <w:t>Data collection close</w:t>
      </w:r>
      <w:r w:rsidRPr="00A16DA3" w:rsidR="0000395A">
        <w:rPr>
          <w:szCs w:val="24"/>
        </w:rPr>
        <w:t>s</w:t>
      </w:r>
      <w:r w:rsidRPr="00A16DA3">
        <w:rPr>
          <w:szCs w:val="24"/>
        </w:rPr>
        <w:t xml:space="preserve"> on </w:t>
      </w:r>
      <w:r w:rsidR="00981573">
        <w:rPr>
          <w:szCs w:val="24"/>
        </w:rPr>
        <w:t xml:space="preserve">the last </w:t>
      </w:r>
      <w:r w:rsidR="00190B37">
        <w:rPr>
          <w:szCs w:val="24"/>
        </w:rPr>
        <w:t xml:space="preserve">business </w:t>
      </w:r>
      <w:r w:rsidR="00981573">
        <w:rPr>
          <w:szCs w:val="24"/>
        </w:rPr>
        <w:t>day</w:t>
      </w:r>
      <w:r w:rsidRPr="00A16DA3">
        <w:rPr>
          <w:szCs w:val="24"/>
        </w:rPr>
        <w:t xml:space="preserve"> of each month.</w:t>
      </w:r>
    </w:p>
    <w:p w:rsidR="00FA12AC" w:rsidP="00CE3562" w14:paraId="570F212B" w14:textId="3D89CF6B">
      <w:pPr>
        <w:widowControl w:val="0"/>
        <w:spacing w:before="120"/>
        <w:rPr>
          <w:szCs w:val="24"/>
        </w:rPr>
      </w:pPr>
      <w:bookmarkStart w:id="14" w:name="_Toc10952804"/>
      <w:bookmarkStart w:id="15" w:name="_Toc11644623"/>
      <w:r w:rsidRPr="00A16DA3">
        <w:rPr>
          <w:szCs w:val="24"/>
        </w:rPr>
        <w:t>Prior to the start of the month, the survey instrument</w:t>
      </w:r>
      <w:r w:rsidRPr="00A16DA3" w:rsidR="00C1339B">
        <w:rPr>
          <w:szCs w:val="24"/>
        </w:rPr>
        <w:t>s</w:t>
      </w:r>
      <w:r w:rsidRPr="00A16DA3">
        <w:rPr>
          <w:szCs w:val="24"/>
        </w:rPr>
        <w:t xml:space="preserve"> </w:t>
      </w:r>
      <w:r w:rsidRPr="00A16DA3" w:rsidR="0000395A">
        <w:rPr>
          <w:szCs w:val="24"/>
        </w:rPr>
        <w:t>ar</w:t>
      </w:r>
      <w:r w:rsidRPr="00A16DA3">
        <w:rPr>
          <w:szCs w:val="24"/>
        </w:rPr>
        <w:t>e programmed and tested in two versions: one for telephone interviewing (whether inbound or outbound); and the other for self-administration via the web</w:t>
      </w:r>
      <w:r w:rsidR="007C73B7">
        <w:rPr>
          <w:szCs w:val="24"/>
        </w:rPr>
        <w:t xml:space="preserve">. </w:t>
      </w:r>
      <w:r w:rsidRPr="00A16DA3">
        <w:rPr>
          <w:szCs w:val="24"/>
        </w:rPr>
        <w:t xml:space="preserve">Data </w:t>
      </w:r>
      <w:r w:rsidRPr="00A16DA3" w:rsidR="0000395A">
        <w:rPr>
          <w:szCs w:val="24"/>
        </w:rPr>
        <w:t>is</w:t>
      </w:r>
      <w:r w:rsidRPr="00A16DA3">
        <w:rPr>
          <w:szCs w:val="24"/>
        </w:rPr>
        <w:t xml:space="preserve"> collected throughout the month using all the available modes</w:t>
      </w:r>
      <w:r w:rsidRPr="00A16DA3" w:rsidR="00BE1352">
        <w:rPr>
          <w:szCs w:val="24"/>
        </w:rPr>
        <w:t xml:space="preserve"> that uses</w:t>
      </w:r>
      <w:r w:rsidRPr="00A16DA3">
        <w:rPr>
          <w:szCs w:val="24"/>
        </w:rPr>
        <w:t xml:space="preserve"> one single sample file containing both the records with phone number matched and the unmatched records</w:t>
      </w:r>
      <w:r w:rsidR="007C73B7">
        <w:rPr>
          <w:szCs w:val="24"/>
        </w:rPr>
        <w:t xml:space="preserve">. </w:t>
      </w:r>
      <w:r w:rsidRPr="00A16DA3">
        <w:rPr>
          <w:szCs w:val="24"/>
        </w:rPr>
        <w:t xml:space="preserve">The sample file </w:t>
      </w:r>
      <w:r w:rsidRPr="00A16DA3" w:rsidR="0000395A">
        <w:rPr>
          <w:szCs w:val="24"/>
        </w:rPr>
        <w:t>is</w:t>
      </w:r>
      <w:r w:rsidRPr="00A16DA3">
        <w:rPr>
          <w:szCs w:val="24"/>
        </w:rPr>
        <w:t xml:space="preserve"> simultaneously managed regardless of the mode of survey completion</w:t>
      </w:r>
      <w:r w:rsidR="007C73B7">
        <w:rPr>
          <w:szCs w:val="24"/>
        </w:rPr>
        <w:t xml:space="preserve">. </w:t>
      </w:r>
      <w:r w:rsidRPr="00A16DA3">
        <w:rPr>
          <w:szCs w:val="24"/>
        </w:rPr>
        <w:t xml:space="preserve">Survey responses, overall progress, progress by geographical areas, and sub-groups of interest </w:t>
      </w:r>
      <w:r w:rsidRPr="00A16DA3" w:rsidR="0000395A">
        <w:rPr>
          <w:szCs w:val="24"/>
        </w:rPr>
        <w:t>ar</w:t>
      </w:r>
      <w:r w:rsidRPr="00A16DA3">
        <w:rPr>
          <w:szCs w:val="24"/>
        </w:rPr>
        <w:t xml:space="preserve">e monitored in real time as every mode is </w:t>
      </w:r>
      <w:r w:rsidRPr="00A16DA3" w:rsidR="00832EB2">
        <w:rPr>
          <w:szCs w:val="24"/>
        </w:rPr>
        <w:t xml:space="preserve">captured </w:t>
      </w:r>
      <w:r w:rsidRPr="00A16DA3">
        <w:rPr>
          <w:szCs w:val="24"/>
        </w:rPr>
        <w:t>in the same program and data file.</w:t>
      </w:r>
    </w:p>
    <w:p w:rsidR="009A56D5" w:rsidRPr="00FA12AC" w:rsidP="00CE3562" w14:paraId="179AD232" w14:textId="3C448F4B">
      <w:pPr>
        <w:widowControl w:val="0"/>
        <w:spacing w:before="120"/>
        <w:rPr>
          <w:iCs/>
          <w:szCs w:val="24"/>
        </w:rPr>
      </w:pPr>
      <w:r>
        <w:rPr>
          <w:szCs w:val="24"/>
        </w:rPr>
        <w:t xml:space="preserve">In the sample selection process, </w:t>
      </w:r>
      <w:r w:rsidRPr="00A16DA3">
        <w:rPr>
          <w:szCs w:val="24"/>
        </w:rPr>
        <w:t xml:space="preserve">the sample </w:t>
      </w:r>
      <w:r w:rsidRPr="00A16DA3" w:rsidR="0000395A">
        <w:rPr>
          <w:szCs w:val="24"/>
        </w:rPr>
        <w:t>is</w:t>
      </w:r>
      <w:r w:rsidRPr="00A16DA3">
        <w:rPr>
          <w:szCs w:val="24"/>
        </w:rPr>
        <w:t xml:space="preserve"> matched to external records systems to generate as many mailings as possible addressed to the surname of the household members</w:t>
      </w:r>
      <w:r w:rsidR="007C73B7">
        <w:rPr>
          <w:szCs w:val="24"/>
        </w:rPr>
        <w:t xml:space="preserve">. </w:t>
      </w:r>
      <w:r w:rsidRPr="00A16DA3" w:rsidR="00232130">
        <w:rPr>
          <w:iCs/>
          <w:szCs w:val="24"/>
        </w:rPr>
        <w:t>The salutation strategy insert</w:t>
      </w:r>
      <w:r w:rsidRPr="00A16DA3" w:rsidR="0000395A">
        <w:rPr>
          <w:iCs/>
          <w:szCs w:val="24"/>
        </w:rPr>
        <w:t>s</w:t>
      </w:r>
      <w:r w:rsidRPr="00A16DA3" w:rsidR="00232130">
        <w:rPr>
          <w:iCs/>
          <w:szCs w:val="24"/>
        </w:rPr>
        <w:t xml:space="preserve"> </w:t>
      </w:r>
      <w:r w:rsidRPr="00A16DA3" w:rsidR="00A944C8">
        <w:rPr>
          <w:iCs/>
          <w:szCs w:val="24"/>
        </w:rPr>
        <w:t xml:space="preserve">a </w:t>
      </w:r>
      <w:r w:rsidRPr="00A16DA3" w:rsidR="00232130">
        <w:rPr>
          <w:iCs/>
          <w:szCs w:val="24"/>
        </w:rPr>
        <w:t>name when available, in addition to including “or Current Resident” on all outgoing mail pieces.</w:t>
      </w:r>
    </w:p>
    <w:p w:rsidR="00B27AA0" w:rsidRPr="00A16DA3" w:rsidP="00CE3562" w14:paraId="179AD236" w14:textId="5489D7AD">
      <w:pPr>
        <w:widowControl w:val="0"/>
        <w:spacing w:before="120"/>
        <w:rPr>
          <w:szCs w:val="24"/>
        </w:rPr>
      </w:pPr>
      <w:r w:rsidRPr="00A16DA3">
        <w:rPr>
          <w:szCs w:val="24"/>
        </w:rPr>
        <w:t xml:space="preserve">Within each responding household eligible for this study an adult householder familiar with the </w:t>
      </w:r>
      <w:r w:rsidRPr="00A16DA3" w:rsidR="00CA63AE">
        <w:rPr>
          <w:szCs w:val="24"/>
        </w:rPr>
        <w:t>general travel habits</w:t>
      </w:r>
      <w:r w:rsidRPr="00A16DA3">
        <w:rPr>
          <w:szCs w:val="24"/>
        </w:rPr>
        <w:t xml:space="preserve"> of the given household </w:t>
      </w:r>
      <w:r w:rsidRPr="00A16DA3" w:rsidR="0000395A">
        <w:rPr>
          <w:szCs w:val="24"/>
        </w:rPr>
        <w:t>is</w:t>
      </w:r>
      <w:r w:rsidRPr="00A16DA3">
        <w:rPr>
          <w:szCs w:val="24"/>
        </w:rPr>
        <w:t xml:space="preserve"> asked to participate on behalf of all members of his/her household</w:t>
      </w:r>
      <w:r w:rsidR="007C73B7">
        <w:rPr>
          <w:szCs w:val="24"/>
        </w:rPr>
        <w:t xml:space="preserve">. </w:t>
      </w:r>
      <w:r w:rsidRPr="00A16DA3">
        <w:rPr>
          <w:szCs w:val="24"/>
        </w:rPr>
        <w:t xml:space="preserve">While web </w:t>
      </w:r>
      <w:r w:rsidRPr="00A16DA3" w:rsidR="00A944C8">
        <w:rPr>
          <w:szCs w:val="24"/>
        </w:rPr>
        <w:t xml:space="preserve">response </w:t>
      </w:r>
      <w:r w:rsidRPr="00A16DA3" w:rsidR="0000395A">
        <w:rPr>
          <w:szCs w:val="24"/>
        </w:rPr>
        <w:t>is</w:t>
      </w:r>
      <w:r w:rsidRPr="00A16DA3">
        <w:rPr>
          <w:szCs w:val="24"/>
        </w:rPr>
        <w:t xml:space="preserve"> encouraged as the preferred mode when appropriate, inbound and outbound telephone </w:t>
      </w:r>
      <w:r w:rsidRPr="00A16DA3" w:rsidR="0000395A">
        <w:rPr>
          <w:szCs w:val="24"/>
        </w:rPr>
        <w:t>are</w:t>
      </w:r>
      <w:r w:rsidRPr="00A16DA3">
        <w:rPr>
          <w:szCs w:val="24"/>
        </w:rPr>
        <w:t xml:space="preserve"> used as alternative means of completing the survey to increase response rates</w:t>
      </w:r>
      <w:r w:rsidR="007C73B7">
        <w:rPr>
          <w:szCs w:val="24"/>
        </w:rPr>
        <w:t xml:space="preserve">. </w:t>
      </w:r>
      <w:r w:rsidRPr="00A16DA3">
        <w:rPr>
          <w:szCs w:val="24"/>
        </w:rPr>
        <w:t>Both the invitation</w:t>
      </w:r>
      <w:r w:rsidRPr="00A16DA3" w:rsidR="00832EB2">
        <w:rPr>
          <w:szCs w:val="24"/>
        </w:rPr>
        <w:t>,</w:t>
      </w:r>
      <w:r w:rsidRPr="00A16DA3">
        <w:rPr>
          <w:szCs w:val="24"/>
        </w:rPr>
        <w:t xml:space="preserve"> as well as outbound and in-bound phone efforts</w:t>
      </w:r>
      <w:r w:rsidRPr="00A16DA3" w:rsidR="00832EB2">
        <w:rPr>
          <w:szCs w:val="24"/>
        </w:rPr>
        <w:t>,</w:t>
      </w:r>
      <w:r w:rsidRPr="00A16DA3">
        <w:rPr>
          <w:szCs w:val="24"/>
        </w:rPr>
        <w:t xml:space="preserve"> stress the importance of selecting a respondent within the household who is at least 18 years of age and is familiar with the </w:t>
      </w:r>
      <w:r w:rsidRPr="00A16DA3" w:rsidR="0000395A">
        <w:rPr>
          <w:szCs w:val="24"/>
        </w:rPr>
        <w:t xml:space="preserve">general </w:t>
      </w:r>
      <w:r w:rsidRPr="00A16DA3">
        <w:rPr>
          <w:szCs w:val="24"/>
        </w:rPr>
        <w:t>travel habits and travel document needs of all household members</w:t>
      </w:r>
      <w:r w:rsidR="007C73B7">
        <w:rPr>
          <w:szCs w:val="24"/>
        </w:rPr>
        <w:t xml:space="preserve">. </w:t>
      </w:r>
      <w:r w:rsidRPr="00FF459A">
        <w:rPr>
          <w:szCs w:val="24"/>
        </w:rPr>
        <w:t xml:space="preserve">Subsequently, the respondent </w:t>
      </w:r>
      <w:r w:rsidRPr="00FF459A" w:rsidR="0000395A">
        <w:rPr>
          <w:szCs w:val="24"/>
        </w:rPr>
        <w:t>is</w:t>
      </w:r>
      <w:r w:rsidRPr="00FF459A">
        <w:rPr>
          <w:szCs w:val="24"/>
        </w:rPr>
        <w:t xml:space="preserve"> a</w:t>
      </w:r>
      <w:r w:rsidRPr="00FF459A" w:rsidR="009E4952">
        <w:rPr>
          <w:szCs w:val="24"/>
        </w:rPr>
        <w:t>sked to provide the number of individuals by age in</w:t>
      </w:r>
      <w:r w:rsidRPr="00FF459A">
        <w:rPr>
          <w:szCs w:val="24"/>
        </w:rPr>
        <w:t xml:space="preserve"> the entire household</w:t>
      </w:r>
      <w:r w:rsidRPr="00FF459A" w:rsidR="009E4952">
        <w:rPr>
          <w:szCs w:val="24"/>
        </w:rPr>
        <w:t>,</w:t>
      </w:r>
      <w:r w:rsidRPr="00FF459A">
        <w:rPr>
          <w:szCs w:val="24"/>
        </w:rPr>
        <w:t xml:space="preserve"> as well as </w:t>
      </w:r>
      <w:r w:rsidRPr="00FF459A" w:rsidR="0000395A">
        <w:rPr>
          <w:szCs w:val="24"/>
        </w:rPr>
        <w:t xml:space="preserve">to </w:t>
      </w:r>
      <w:r w:rsidRPr="00FF459A">
        <w:rPr>
          <w:szCs w:val="24"/>
        </w:rPr>
        <w:t>respond to questions about the travel needs for both the selected respondent and all eligible household members.</w:t>
      </w:r>
    </w:p>
    <w:p w:rsidR="00FA12AC" w:rsidP="00CE3562" w14:paraId="3C53AF2F" w14:textId="4B6F3CC7">
      <w:pPr>
        <w:widowControl w:val="0"/>
        <w:spacing w:before="120"/>
        <w:rPr>
          <w:szCs w:val="24"/>
        </w:rPr>
      </w:pPr>
      <w:r w:rsidRPr="00A16DA3">
        <w:rPr>
          <w:szCs w:val="24"/>
        </w:rPr>
        <w:t xml:space="preserve">All completed surveys </w:t>
      </w:r>
      <w:r w:rsidRPr="00A16DA3" w:rsidR="0000395A">
        <w:rPr>
          <w:szCs w:val="24"/>
        </w:rPr>
        <w:t>ar</w:t>
      </w:r>
      <w:r w:rsidRPr="00A16DA3">
        <w:rPr>
          <w:szCs w:val="24"/>
        </w:rPr>
        <w:t>e managed through a unified system and sample file</w:t>
      </w:r>
      <w:r w:rsidR="007C73B7">
        <w:rPr>
          <w:szCs w:val="24"/>
        </w:rPr>
        <w:t xml:space="preserve">. </w:t>
      </w:r>
      <w:r w:rsidRPr="00A16DA3">
        <w:rPr>
          <w:szCs w:val="24"/>
        </w:rPr>
        <w:t>This ensure</w:t>
      </w:r>
      <w:r w:rsidRPr="00A16DA3" w:rsidR="0000395A">
        <w:rPr>
          <w:szCs w:val="24"/>
        </w:rPr>
        <w:t>s</w:t>
      </w:r>
      <w:r w:rsidRPr="00A16DA3">
        <w:rPr>
          <w:szCs w:val="24"/>
        </w:rPr>
        <w:t xml:space="preserve"> that if a respondent completes the survey online or by calling the toll-free number, he or she </w:t>
      </w:r>
      <w:r w:rsidRPr="00A16DA3" w:rsidR="0000395A">
        <w:rPr>
          <w:szCs w:val="24"/>
        </w:rPr>
        <w:t xml:space="preserve">is </w:t>
      </w:r>
      <w:r w:rsidRPr="00A16DA3">
        <w:rPr>
          <w:szCs w:val="24"/>
        </w:rPr>
        <w:t>not contacted by an outbound dialing interviewer</w:t>
      </w:r>
      <w:r w:rsidR="007C73B7">
        <w:rPr>
          <w:szCs w:val="24"/>
        </w:rPr>
        <w:t xml:space="preserve">. </w:t>
      </w:r>
      <w:r w:rsidRPr="00A16DA3">
        <w:rPr>
          <w:szCs w:val="24"/>
        </w:rPr>
        <w:t>Returns of invitations determined by the USPS to be</w:t>
      </w:r>
      <w:r w:rsidRPr="00A16DA3">
        <w:rPr>
          <w:i/>
          <w:szCs w:val="24"/>
        </w:rPr>
        <w:t xml:space="preserve"> Undeliverable as Addressed</w:t>
      </w:r>
      <w:r w:rsidRPr="00A16DA3">
        <w:rPr>
          <w:szCs w:val="24"/>
        </w:rPr>
        <w:t xml:space="preserve"> are expected to be received starting around the seventh day of the month</w:t>
      </w:r>
      <w:r w:rsidR="007C73B7">
        <w:rPr>
          <w:szCs w:val="24"/>
        </w:rPr>
        <w:t xml:space="preserve">. </w:t>
      </w:r>
      <w:r w:rsidRPr="00A16DA3">
        <w:rPr>
          <w:szCs w:val="24"/>
        </w:rPr>
        <w:t xml:space="preserve">These records </w:t>
      </w:r>
      <w:r w:rsidRPr="00A16DA3" w:rsidR="0000395A">
        <w:rPr>
          <w:szCs w:val="24"/>
        </w:rPr>
        <w:t>ar</w:t>
      </w:r>
      <w:r w:rsidRPr="00A16DA3">
        <w:rPr>
          <w:szCs w:val="24"/>
        </w:rPr>
        <w:t xml:space="preserve">e processed and </w:t>
      </w:r>
      <w:r w:rsidR="00EF6B04">
        <w:rPr>
          <w:szCs w:val="24"/>
        </w:rPr>
        <w:t xml:space="preserve">outcome is noted and stored in </w:t>
      </w:r>
      <w:r w:rsidRPr="00A16DA3">
        <w:rPr>
          <w:szCs w:val="24"/>
        </w:rPr>
        <w:t>the sample file accordingly</w:t>
      </w:r>
      <w:r w:rsidR="007C73B7">
        <w:rPr>
          <w:szCs w:val="24"/>
        </w:rPr>
        <w:t xml:space="preserve">. </w:t>
      </w:r>
    </w:p>
    <w:p w:rsidR="00956978" w:rsidP="00CE3562" w14:paraId="0268B783" w14:textId="167DF05F">
      <w:pPr>
        <w:widowControl w:val="0"/>
        <w:spacing w:before="120"/>
        <w:rPr>
          <w:szCs w:val="24"/>
        </w:rPr>
      </w:pPr>
      <w:r w:rsidRPr="00956978">
        <w:rPr>
          <w:szCs w:val="24"/>
        </w:rPr>
        <w:t>SSRS will keep its facilities open and available for inbound and outbound calls from 9:00 a.m.</w:t>
      </w:r>
      <w:r>
        <w:rPr>
          <w:szCs w:val="24"/>
        </w:rPr>
        <w:t xml:space="preserve"> (Eastern)</w:t>
      </w:r>
      <w:r w:rsidRPr="00956978">
        <w:rPr>
          <w:szCs w:val="24"/>
        </w:rPr>
        <w:t xml:space="preserve"> to 9:00 p.m.</w:t>
      </w:r>
      <w:r>
        <w:rPr>
          <w:szCs w:val="24"/>
        </w:rPr>
        <w:t xml:space="preserve"> (Pacific)</w:t>
      </w:r>
      <w:r w:rsidRPr="00956978">
        <w:rPr>
          <w:szCs w:val="24"/>
        </w:rPr>
        <w:t xml:space="preserve"> Monday through Friday and noon</w:t>
      </w:r>
      <w:r>
        <w:rPr>
          <w:szCs w:val="24"/>
        </w:rPr>
        <w:t xml:space="preserve"> (Eastern)</w:t>
      </w:r>
      <w:r w:rsidRPr="00956978">
        <w:rPr>
          <w:szCs w:val="24"/>
        </w:rPr>
        <w:t xml:space="preserve"> to 8:00 p.m.</w:t>
      </w:r>
      <w:r>
        <w:rPr>
          <w:szCs w:val="24"/>
        </w:rPr>
        <w:t xml:space="preserve"> (Pacific)</w:t>
      </w:r>
      <w:r w:rsidRPr="00956978">
        <w:rPr>
          <w:szCs w:val="24"/>
        </w:rPr>
        <w:t xml:space="preserve"> </w:t>
      </w:r>
      <w:r w:rsidRPr="00956978">
        <w:rPr>
          <w:szCs w:val="24"/>
        </w:rPr>
        <w:t>on Saturday and Sunday.</w:t>
      </w:r>
    </w:p>
    <w:p w:rsidR="00FA12AC" w:rsidP="00CE3562" w14:paraId="5CF6C28C" w14:textId="77777777">
      <w:pPr>
        <w:widowControl w:val="0"/>
        <w:spacing w:before="120"/>
        <w:rPr>
          <w:szCs w:val="24"/>
        </w:rPr>
      </w:pPr>
      <w:r w:rsidRPr="00A16DA3">
        <w:rPr>
          <w:szCs w:val="24"/>
        </w:rPr>
        <w:t xml:space="preserve">All interviewers used for data collection </w:t>
      </w:r>
      <w:r w:rsidRPr="00A16DA3" w:rsidR="0000395A">
        <w:rPr>
          <w:szCs w:val="24"/>
        </w:rPr>
        <w:t>are</w:t>
      </w:r>
      <w:r w:rsidRPr="00A16DA3">
        <w:rPr>
          <w:szCs w:val="24"/>
        </w:rPr>
        <w:t xml:space="preserve"> experienced survey research interviewers with prior training in use of </w:t>
      </w:r>
      <w:r w:rsidRPr="00A16DA3" w:rsidR="00F7041F">
        <w:rPr>
          <w:szCs w:val="24"/>
        </w:rPr>
        <w:t>Computer Assisted Te</w:t>
      </w:r>
      <w:r w:rsidRPr="00A16DA3" w:rsidR="007A47B1">
        <w:rPr>
          <w:szCs w:val="24"/>
        </w:rPr>
        <w:t>lephone Interviewing (CATI) techniques</w:t>
      </w:r>
      <w:r w:rsidR="007C73B7">
        <w:rPr>
          <w:szCs w:val="24"/>
        </w:rPr>
        <w:t xml:space="preserve">. </w:t>
      </w:r>
      <w:r w:rsidRPr="00A16DA3">
        <w:rPr>
          <w:szCs w:val="24"/>
        </w:rPr>
        <w:t>The training of</w:t>
      </w:r>
      <w:r w:rsidR="008C349E">
        <w:rPr>
          <w:szCs w:val="24"/>
        </w:rPr>
        <w:t xml:space="preserve"> </w:t>
      </w:r>
      <w:r w:rsidR="00981573">
        <w:rPr>
          <w:szCs w:val="24"/>
        </w:rPr>
        <w:t>SSRS</w:t>
      </w:r>
      <w:r w:rsidRPr="00A16DA3">
        <w:rPr>
          <w:szCs w:val="24"/>
        </w:rPr>
        <w:t xml:space="preserve"> interviewers surpasses industry standards, averaging about 24 hours before starting on any study</w:t>
      </w:r>
      <w:r w:rsidR="007C73B7">
        <w:rPr>
          <w:szCs w:val="24"/>
        </w:rPr>
        <w:t xml:space="preserve">. </w:t>
      </w:r>
      <w:r w:rsidRPr="00A16DA3">
        <w:rPr>
          <w:szCs w:val="24"/>
        </w:rPr>
        <w:t>Their training includes an overview of survey research, equipment, and quality standards, as well as role playing and internal survey work</w:t>
      </w:r>
      <w:r w:rsidR="007C73B7">
        <w:rPr>
          <w:szCs w:val="24"/>
        </w:rPr>
        <w:t xml:space="preserve">. </w:t>
      </w:r>
      <w:r w:rsidRPr="00A16DA3">
        <w:rPr>
          <w:szCs w:val="24"/>
        </w:rPr>
        <w:t xml:space="preserve">In addition, </w:t>
      </w:r>
      <w:r w:rsidR="00981573">
        <w:rPr>
          <w:szCs w:val="24"/>
        </w:rPr>
        <w:t>SSRS</w:t>
      </w:r>
      <w:r w:rsidRPr="00A16DA3" w:rsidR="00981573">
        <w:rPr>
          <w:szCs w:val="24"/>
        </w:rPr>
        <w:t xml:space="preserve"> </w:t>
      </w:r>
      <w:r w:rsidRPr="00A16DA3">
        <w:rPr>
          <w:szCs w:val="24"/>
        </w:rPr>
        <w:t>has an interviewer mentoring program whereby new interviewers are partnered with experienced supervisors and executive interviewers to allow for one-on-one training</w:t>
      </w:r>
      <w:r w:rsidR="007C73B7">
        <w:rPr>
          <w:szCs w:val="24"/>
        </w:rPr>
        <w:t xml:space="preserve">. </w:t>
      </w:r>
      <w:r w:rsidRPr="00A16DA3">
        <w:rPr>
          <w:szCs w:val="24"/>
        </w:rPr>
        <w:t>Interviews are digitally recorded and reviewed with interviewers as part of the process of becoming high-quality, dedicated interviewers.</w:t>
      </w:r>
    </w:p>
    <w:p w:rsidR="00FA12AC" w:rsidRPr="00D75EF5" w:rsidP="00CE3562" w14:paraId="59B6FB63" w14:textId="77777777">
      <w:pPr>
        <w:pStyle w:val="Heading1"/>
        <w:keepNext w:val="0"/>
        <w:widowControl w:val="0"/>
        <w:numPr>
          <w:ilvl w:val="0"/>
          <w:numId w:val="38"/>
        </w:numPr>
        <w:spacing w:before="240"/>
        <w:rPr>
          <w:rFonts w:ascii="Times New Roman Bold" w:hAnsi="Times New Roman Bold"/>
          <w:smallCaps/>
        </w:rPr>
      </w:pPr>
      <w:r w:rsidRPr="00D75EF5">
        <w:rPr>
          <w:rFonts w:ascii="Times New Roman Bold" w:hAnsi="Times New Roman Bold"/>
          <w:smallCaps/>
        </w:rPr>
        <w:t>Degree of accuracy needed for the purpose described in the justification</w:t>
      </w:r>
      <w:r w:rsidRPr="00D75EF5" w:rsidR="00A944C8">
        <w:rPr>
          <w:rFonts w:ascii="Times New Roman Bold" w:hAnsi="Times New Roman Bold"/>
          <w:smallCaps/>
        </w:rPr>
        <w:t>:</w:t>
      </w:r>
    </w:p>
    <w:p w:rsidR="00FA12AC" w:rsidP="00CE3562" w14:paraId="428E41F7" w14:textId="0A300C40">
      <w:pPr>
        <w:widowControl w:val="0"/>
        <w:autoSpaceDE w:val="0"/>
        <w:autoSpaceDN w:val="0"/>
        <w:adjustRightInd w:val="0"/>
        <w:spacing w:before="120"/>
        <w:rPr>
          <w:rFonts w:eastAsia="Calibri"/>
          <w:szCs w:val="24"/>
        </w:rPr>
      </w:pPr>
      <w:r w:rsidRPr="00A16DA3">
        <w:rPr>
          <w:szCs w:val="24"/>
        </w:rPr>
        <w:t xml:space="preserve">As mentioned earlier, </w:t>
      </w:r>
      <w:r w:rsidRPr="00A16DA3" w:rsidR="009A56D5">
        <w:rPr>
          <w:szCs w:val="24"/>
        </w:rPr>
        <w:t xml:space="preserve">Passport Services requires </w:t>
      </w:r>
      <w:r w:rsidRPr="00A16DA3" w:rsidR="00232130">
        <w:rPr>
          <w:szCs w:val="24"/>
        </w:rPr>
        <w:t xml:space="preserve">monthly national level estimates with </w:t>
      </w:r>
      <w:r w:rsidRPr="00A16DA3" w:rsidR="009A56D5">
        <w:rPr>
          <w:szCs w:val="24"/>
        </w:rPr>
        <w:t xml:space="preserve">a margin of error no larger than </w:t>
      </w:r>
      <w:r w:rsidRPr="00A16DA3" w:rsidR="009A56D5">
        <w:rPr>
          <w:szCs w:val="24"/>
          <w:u w:val="single"/>
        </w:rPr>
        <w:t>+</w:t>
      </w:r>
      <w:r w:rsidR="00981573">
        <w:rPr>
          <w:szCs w:val="24"/>
        </w:rPr>
        <w:t>5</w:t>
      </w:r>
      <w:r w:rsidRPr="00A16DA3" w:rsidR="009A56D5">
        <w:rPr>
          <w:szCs w:val="24"/>
        </w:rPr>
        <w:t>%</w:t>
      </w:r>
      <w:r w:rsidRPr="00A16DA3" w:rsidR="0035007B">
        <w:rPr>
          <w:szCs w:val="24"/>
        </w:rPr>
        <w:t xml:space="preserve"> </w:t>
      </w:r>
      <w:r w:rsidRPr="00A16DA3" w:rsidR="009A56D5">
        <w:rPr>
          <w:szCs w:val="24"/>
        </w:rPr>
        <w:t>at the 95% confidence level</w:t>
      </w:r>
      <w:r w:rsidR="007C73B7">
        <w:rPr>
          <w:szCs w:val="24"/>
        </w:rPr>
        <w:t xml:space="preserve">. </w:t>
      </w:r>
      <w:r w:rsidRPr="00A16DA3" w:rsidR="00E3438D">
        <w:rPr>
          <w:szCs w:val="24"/>
        </w:rPr>
        <w:t>In order to</w:t>
      </w:r>
      <w:r w:rsidRPr="00A16DA3" w:rsidR="00E3438D">
        <w:rPr>
          <w:szCs w:val="24"/>
          <w:u w:val="words"/>
        </w:rPr>
        <w:t xml:space="preserve"> </w:t>
      </w:r>
      <w:r w:rsidRPr="00A16DA3" w:rsidR="009A56D5">
        <w:rPr>
          <w:szCs w:val="24"/>
        </w:rPr>
        <w:t>meet th</w:t>
      </w:r>
      <w:r w:rsidRPr="00A16DA3" w:rsidR="00C00541">
        <w:rPr>
          <w:szCs w:val="24"/>
        </w:rPr>
        <w:t>ese</w:t>
      </w:r>
      <w:r w:rsidRPr="00A16DA3" w:rsidR="009A56D5">
        <w:rPr>
          <w:szCs w:val="24"/>
        </w:rPr>
        <w:t xml:space="preserve"> requirement</w:t>
      </w:r>
      <w:r w:rsidRPr="00A16DA3" w:rsidR="00C00541">
        <w:rPr>
          <w:szCs w:val="24"/>
        </w:rPr>
        <w:t>s</w:t>
      </w:r>
      <w:r w:rsidRPr="00A16DA3" w:rsidR="009A56D5">
        <w:rPr>
          <w:szCs w:val="24"/>
        </w:rPr>
        <w:t xml:space="preserve">, the </w:t>
      </w:r>
      <w:r w:rsidR="00FF459A">
        <w:rPr>
          <w:szCs w:val="24"/>
        </w:rPr>
        <w:t>Koniag</w:t>
      </w:r>
      <w:r w:rsidR="008C349E">
        <w:rPr>
          <w:szCs w:val="24"/>
        </w:rPr>
        <w:t xml:space="preserve"> Team</w:t>
      </w:r>
      <w:r w:rsidRPr="00A16DA3" w:rsidR="009A56D5">
        <w:rPr>
          <w:szCs w:val="24"/>
        </w:rPr>
        <w:t xml:space="preserve"> </w:t>
      </w:r>
      <w:r w:rsidR="00981573">
        <w:rPr>
          <w:szCs w:val="24"/>
        </w:rPr>
        <w:t>will complete</w:t>
      </w:r>
      <w:r w:rsidRPr="00A16DA3" w:rsidR="00981573">
        <w:rPr>
          <w:szCs w:val="24"/>
        </w:rPr>
        <w:t xml:space="preserve"> </w:t>
      </w:r>
      <w:r w:rsidR="00F47DBC">
        <w:rPr>
          <w:szCs w:val="24"/>
        </w:rPr>
        <w:t xml:space="preserve">up </w:t>
      </w:r>
      <w:r w:rsidR="00F47DBC">
        <w:rPr>
          <w:szCs w:val="24"/>
        </w:rPr>
        <w:t xml:space="preserve">to </w:t>
      </w:r>
      <w:r w:rsidRPr="00A16DA3" w:rsidR="00C00541">
        <w:rPr>
          <w:szCs w:val="24"/>
        </w:rPr>
        <w:t>about</w:t>
      </w:r>
      <w:r w:rsidRPr="00A16DA3" w:rsidR="00C00541">
        <w:rPr>
          <w:szCs w:val="24"/>
        </w:rPr>
        <w:t xml:space="preserve"> </w:t>
      </w:r>
      <w:r w:rsidR="00981573">
        <w:rPr>
          <w:szCs w:val="24"/>
        </w:rPr>
        <w:t>2,</w:t>
      </w:r>
      <w:r w:rsidR="00D90E9D">
        <w:rPr>
          <w:szCs w:val="24"/>
        </w:rPr>
        <w:t>000</w:t>
      </w:r>
      <w:r w:rsidRPr="00A16DA3" w:rsidR="00D90E9D">
        <w:rPr>
          <w:szCs w:val="24"/>
        </w:rPr>
        <w:t xml:space="preserve"> </w:t>
      </w:r>
      <w:r w:rsidRPr="00A16DA3" w:rsidR="009A56D5">
        <w:rPr>
          <w:szCs w:val="24"/>
        </w:rPr>
        <w:t>surveys per month</w:t>
      </w:r>
      <w:r w:rsidR="007C73B7">
        <w:rPr>
          <w:szCs w:val="24"/>
        </w:rPr>
        <w:t xml:space="preserve">. </w:t>
      </w:r>
      <w:r w:rsidRPr="00A16DA3" w:rsidR="00FF0C73">
        <w:rPr>
          <w:rFonts w:eastAsia="Calibri"/>
          <w:szCs w:val="24"/>
        </w:rPr>
        <w:t xml:space="preserve">  </w:t>
      </w:r>
      <w:r w:rsidRPr="00A16DA3" w:rsidR="009A56D5">
        <w:rPr>
          <w:szCs w:val="24"/>
        </w:rPr>
        <w:t>T</w:t>
      </w:r>
      <w:r w:rsidRPr="00A16DA3" w:rsidR="009A56D5">
        <w:rPr>
          <w:rFonts w:eastAsia="Calibri"/>
          <w:szCs w:val="24"/>
        </w:rPr>
        <w:t xml:space="preserve">he sampling error associated with </w:t>
      </w:r>
      <w:r w:rsidRPr="00A16DA3" w:rsidR="00232130">
        <w:rPr>
          <w:rFonts w:eastAsia="Calibri"/>
          <w:szCs w:val="24"/>
        </w:rPr>
        <w:t xml:space="preserve">the national </w:t>
      </w:r>
      <w:r w:rsidRPr="00A16DA3" w:rsidR="009A56D5">
        <w:rPr>
          <w:rFonts w:eastAsia="Calibri"/>
          <w:szCs w:val="24"/>
        </w:rPr>
        <w:t xml:space="preserve">estimates based on a sample size of </w:t>
      </w:r>
      <w:r w:rsidR="00981573">
        <w:rPr>
          <w:rFonts w:eastAsia="Calibri"/>
          <w:szCs w:val="24"/>
        </w:rPr>
        <w:t>2,</w:t>
      </w:r>
      <w:r w:rsidR="00D90E9D">
        <w:rPr>
          <w:rFonts w:eastAsia="Calibri"/>
          <w:szCs w:val="24"/>
        </w:rPr>
        <w:t>000</w:t>
      </w:r>
      <w:r w:rsidRPr="00A16DA3" w:rsidR="009A56D5">
        <w:rPr>
          <w:rFonts w:eastAsia="Calibri"/>
          <w:szCs w:val="24"/>
        </w:rPr>
        <w:t>,</w:t>
      </w:r>
      <w:r w:rsidRPr="00A16DA3" w:rsidR="00232130">
        <w:rPr>
          <w:rFonts w:eastAsia="Calibri"/>
          <w:szCs w:val="24"/>
        </w:rPr>
        <w:t xml:space="preserve"> </w:t>
      </w:r>
      <w:r w:rsidRPr="00A16DA3" w:rsidR="00C00541">
        <w:rPr>
          <w:rFonts w:eastAsia="Calibri"/>
          <w:szCs w:val="24"/>
        </w:rPr>
        <w:t xml:space="preserve">including anticipated larger </w:t>
      </w:r>
      <w:r w:rsidRPr="00A16DA3" w:rsidR="009A56D5">
        <w:rPr>
          <w:rFonts w:eastAsia="Calibri"/>
          <w:szCs w:val="24"/>
        </w:rPr>
        <w:t xml:space="preserve">design effect, is about </w:t>
      </w:r>
      <w:r w:rsidRPr="00A16DA3" w:rsidR="009A56D5">
        <w:rPr>
          <w:rFonts w:eastAsia="Calibri"/>
          <w:szCs w:val="24"/>
          <w:u w:val="words"/>
        </w:rPr>
        <w:t>+</w:t>
      </w:r>
      <w:r w:rsidR="004B3590">
        <w:rPr>
          <w:rFonts w:eastAsia="Calibri"/>
          <w:szCs w:val="24"/>
        </w:rPr>
        <w:t>3</w:t>
      </w:r>
      <w:r w:rsidRPr="00A16DA3" w:rsidR="009A56D5">
        <w:rPr>
          <w:rFonts w:eastAsia="Calibri"/>
          <w:szCs w:val="24"/>
        </w:rPr>
        <w:t xml:space="preserve">% at the 95% </w:t>
      </w:r>
      <w:r w:rsidRPr="00A16DA3" w:rsidR="009A56D5">
        <w:rPr>
          <w:szCs w:val="24"/>
        </w:rPr>
        <w:t xml:space="preserve">confidence </w:t>
      </w:r>
      <w:r w:rsidRPr="00A16DA3" w:rsidR="009A56D5">
        <w:rPr>
          <w:rFonts w:eastAsia="Calibri"/>
          <w:szCs w:val="24"/>
        </w:rPr>
        <w:t>level.</w:t>
      </w:r>
    </w:p>
    <w:p w:rsidR="00FA12AC" w:rsidRPr="00D75EF5" w:rsidP="008207D1" w14:paraId="5356BA57" w14:textId="77777777">
      <w:pPr>
        <w:pStyle w:val="Heading1"/>
        <w:keepNext w:val="0"/>
        <w:widowControl w:val="0"/>
        <w:numPr>
          <w:ilvl w:val="0"/>
          <w:numId w:val="38"/>
        </w:numPr>
        <w:spacing w:before="240"/>
        <w:rPr>
          <w:rFonts w:ascii="Times New Roman Bold" w:hAnsi="Times New Roman Bold"/>
          <w:smallCaps/>
        </w:rPr>
      </w:pPr>
      <w:r w:rsidRPr="00D75EF5">
        <w:rPr>
          <w:rFonts w:ascii="Times New Roman Bold" w:hAnsi="Times New Roman Bold"/>
          <w:smallCaps/>
        </w:rPr>
        <w:t>Unusual problems requiring specialized sampling procedures</w:t>
      </w:r>
    </w:p>
    <w:p w:rsidR="00FA12AC" w:rsidP="00CE3562" w14:paraId="41E7B0C3" w14:textId="0574CCD8">
      <w:pPr>
        <w:widowControl w:val="0"/>
        <w:autoSpaceDE w:val="0"/>
        <w:autoSpaceDN w:val="0"/>
        <w:adjustRightInd w:val="0"/>
        <w:spacing w:before="120"/>
        <w:rPr>
          <w:szCs w:val="24"/>
        </w:rPr>
      </w:pPr>
      <w:r w:rsidRPr="00A16DA3">
        <w:rPr>
          <w:szCs w:val="24"/>
        </w:rPr>
        <w:t xml:space="preserve">Passport Services desires that the survey be representative of </w:t>
      </w:r>
      <w:r w:rsidR="00981573">
        <w:rPr>
          <w:szCs w:val="24"/>
        </w:rPr>
        <w:t>the U.S. population,</w:t>
      </w:r>
      <w:r w:rsidRPr="00A16DA3">
        <w:rPr>
          <w:szCs w:val="24"/>
        </w:rPr>
        <w:t xml:space="preserve"> age </w:t>
      </w:r>
      <w:r w:rsidRPr="00A16DA3" w:rsidR="00260317">
        <w:rPr>
          <w:szCs w:val="24"/>
        </w:rPr>
        <w:t xml:space="preserve">18 </w:t>
      </w:r>
      <w:r w:rsidRPr="00A16DA3">
        <w:rPr>
          <w:szCs w:val="24"/>
        </w:rPr>
        <w:t>and older</w:t>
      </w:r>
      <w:r w:rsidR="007C73B7">
        <w:rPr>
          <w:szCs w:val="24"/>
        </w:rPr>
        <w:t xml:space="preserve">. </w:t>
      </w:r>
      <w:r w:rsidRPr="00A16DA3">
        <w:rPr>
          <w:szCs w:val="24"/>
        </w:rPr>
        <w:t>At this time</w:t>
      </w:r>
      <w:r w:rsidRPr="00A16DA3">
        <w:rPr>
          <w:szCs w:val="24"/>
        </w:rPr>
        <w:t>, there are no anticipated problems requiring specialized sampling procedures</w:t>
      </w:r>
      <w:r w:rsidR="007C73B7">
        <w:rPr>
          <w:szCs w:val="24"/>
        </w:rPr>
        <w:t xml:space="preserve">. </w:t>
      </w:r>
      <w:r w:rsidRPr="00A16DA3">
        <w:rPr>
          <w:szCs w:val="24"/>
        </w:rPr>
        <w:t xml:space="preserve">The </w:t>
      </w:r>
      <w:r w:rsidR="00FF459A">
        <w:rPr>
          <w:szCs w:val="24"/>
        </w:rPr>
        <w:t>Koniag</w:t>
      </w:r>
      <w:r w:rsidRPr="00A16DA3" w:rsidR="00FF459A">
        <w:rPr>
          <w:szCs w:val="24"/>
        </w:rPr>
        <w:t xml:space="preserve"> </w:t>
      </w:r>
      <w:r w:rsidRPr="00A16DA3">
        <w:rPr>
          <w:szCs w:val="24"/>
        </w:rPr>
        <w:t xml:space="preserve">Team can and will </w:t>
      </w:r>
      <w:r w:rsidRPr="00A16DA3" w:rsidR="00915A1D">
        <w:rPr>
          <w:szCs w:val="24"/>
        </w:rPr>
        <w:t>adjust</w:t>
      </w:r>
      <w:r w:rsidRPr="00A16DA3">
        <w:rPr>
          <w:szCs w:val="24"/>
        </w:rPr>
        <w:t xml:space="preserve"> as necessary.</w:t>
      </w:r>
    </w:p>
    <w:p w:rsidR="00FA12AC" w:rsidRPr="008A5EFF" w:rsidP="008A5EFF" w14:paraId="1E64A477" w14:textId="77777777">
      <w:pPr>
        <w:pStyle w:val="Heading1"/>
        <w:keepNext w:val="0"/>
        <w:widowControl w:val="0"/>
        <w:numPr>
          <w:ilvl w:val="0"/>
          <w:numId w:val="38"/>
        </w:numPr>
        <w:spacing w:before="240"/>
        <w:rPr>
          <w:rFonts w:ascii="Times New Roman Bold" w:hAnsi="Times New Roman Bold"/>
          <w:smallCaps/>
        </w:rPr>
      </w:pPr>
      <w:r w:rsidRPr="008A5EFF">
        <w:rPr>
          <w:rFonts w:ascii="Times New Roman Bold" w:hAnsi="Times New Roman Bold"/>
          <w:smallCaps/>
        </w:rPr>
        <w:t>Any use of periodic (less frequent than annual) data collection cycles to reduce burden</w:t>
      </w:r>
    </w:p>
    <w:p w:rsidR="00FA12AC" w:rsidP="00CE3562" w14:paraId="194681FA" w14:textId="507A6E3E">
      <w:pPr>
        <w:widowControl w:val="0"/>
        <w:spacing w:before="120"/>
        <w:rPr>
          <w:szCs w:val="24"/>
        </w:rPr>
      </w:pPr>
      <w:r w:rsidRPr="00A16DA3">
        <w:rPr>
          <w:szCs w:val="24"/>
        </w:rPr>
        <w:t>Passport Services</w:t>
      </w:r>
      <w:r w:rsidRPr="00A16DA3" w:rsidR="00313D81">
        <w:rPr>
          <w:szCs w:val="24"/>
        </w:rPr>
        <w:t xml:space="preserve"> does not anticipate the use of additional periodic data collection cycles</w:t>
      </w:r>
      <w:r w:rsidR="00274AEA">
        <w:rPr>
          <w:szCs w:val="24"/>
        </w:rPr>
        <w:t xml:space="preserve"> besides those indicated above</w:t>
      </w:r>
      <w:r w:rsidRPr="00A16DA3" w:rsidR="00313D81">
        <w:rPr>
          <w:szCs w:val="24"/>
        </w:rPr>
        <w:t>.</w:t>
      </w:r>
    </w:p>
    <w:p w:rsidR="00FA12AC" w:rsidRPr="008207D1" w:rsidP="00CE3562" w14:paraId="4177A88B" w14:textId="0F248600">
      <w:pPr>
        <w:pStyle w:val="Heading1"/>
        <w:keepNext w:val="0"/>
        <w:widowControl w:val="0"/>
        <w:numPr>
          <w:ilvl w:val="0"/>
          <w:numId w:val="30"/>
        </w:numPr>
        <w:spacing w:before="240"/>
        <w:ind w:left="720"/>
        <w:rPr>
          <w:rFonts w:ascii="Times New Roman Bold" w:hAnsi="Times New Roman Bold"/>
          <w:smallCaps/>
          <w:sz w:val="28"/>
          <w:szCs w:val="24"/>
        </w:rPr>
      </w:pPr>
      <w:r w:rsidRPr="008207D1">
        <w:rPr>
          <w:rFonts w:ascii="Times New Roman Bold" w:hAnsi="Times New Roman Bold"/>
          <w:smallCaps/>
          <w:sz w:val="28"/>
          <w:szCs w:val="24"/>
        </w:rPr>
        <w:t xml:space="preserve">Methods to Maximize Response Rates and Adjust for </w:t>
      </w:r>
      <w:r w:rsidR="00A1436E">
        <w:rPr>
          <w:rFonts w:ascii="Times New Roman Bold" w:hAnsi="Times New Roman Bold"/>
          <w:smallCaps/>
          <w:sz w:val="28"/>
          <w:szCs w:val="24"/>
        </w:rPr>
        <w:t>Nonresponse</w:t>
      </w:r>
    </w:p>
    <w:p w:rsidR="009A56D5" w:rsidRPr="00A16DA3" w:rsidP="00CE3562" w14:paraId="179AD247" w14:textId="13370997">
      <w:pPr>
        <w:widowControl w:val="0"/>
        <w:spacing w:before="120"/>
        <w:rPr>
          <w:szCs w:val="24"/>
        </w:rPr>
      </w:pPr>
      <w:r w:rsidRPr="00A16DA3">
        <w:rPr>
          <w:szCs w:val="24"/>
        </w:rPr>
        <w:t>All practical steps will be taken to maximize response rates to this survey</w:t>
      </w:r>
      <w:r w:rsidR="007C73B7">
        <w:rPr>
          <w:szCs w:val="24"/>
        </w:rPr>
        <w:t xml:space="preserve">. </w:t>
      </w:r>
      <w:r w:rsidRPr="00A16DA3">
        <w:rPr>
          <w:szCs w:val="24"/>
        </w:rPr>
        <w:t>A sample of such steps include</w:t>
      </w:r>
      <w:r w:rsidRPr="00A16DA3" w:rsidR="00313D81">
        <w:rPr>
          <w:szCs w:val="24"/>
        </w:rPr>
        <w:t>s</w:t>
      </w:r>
      <w:r w:rsidRPr="00A16DA3">
        <w:rPr>
          <w:szCs w:val="24"/>
        </w:rPr>
        <w:t>:</w:t>
      </w:r>
    </w:p>
    <w:p w:rsidR="009A56D5" w:rsidRPr="00D1662D" w:rsidP="00D1662D" w14:paraId="179AD248" w14:textId="77777777">
      <w:pPr>
        <w:pStyle w:val="ListParagraph"/>
        <w:widowControl w:val="0"/>
        <w:numPr>
          <w:ilvl w:val="0"/>
          <w:numId w:val="42"/>
        </w:numPr>
        <w:spacing w:before="120"/>
        <w:rPr>
          <w:szCs w:val="24"/>
        </w:rPr>
      </w:pPr>
      <w:r w:rsidRPr="00D1662D">
        <w:rPr>
          <w:szCs w:val="24"/>
        </w:rPr>
        <w:t>Building Credibility Through Use of an Advance Mailing:</w:t>
      </w:r>
    </w:p>
    <w:p w:rsidR="009A56D5" w:rsidRPr="00D1662D" w:rsidP="00D1662D" w14:paraId="179AD249" w14:textId="77777777">
      <w:pPr>
        <w:pStyle w:val="ListParagraph"/>
        <w:widowControl w:val="0"/>
        <w:numPr>
          <w:ilvl w:val="1"/>
          <w:numId w:val="42"/>
        </w:numPr>
        <w:spacing w:before="120"/>
        <w:rPr>
          <w:szCs w:val="24"/>
        </w:rPr>
      </w:pPr>
      <w:r w:rsidRPr="00D1662D">
        <w:rPr>
          <w:szCs w:val="24"/>
        </w:rPr>
        <w:t>Constructing the survey instrument to be as respondent-friendly as possible</w:t>
      </w:r>
    </w:p>
    <w:p w:rsidR="009A56D5" w:rsidRPr="00D1662D" w:rsidP="00D1662D" w14:paraId="179AD24A" w14:textId="77777777">
      <w:pPr>
        <w:pStyle w:val="ListParagraph"/>
        <w:widowControl w:val="0"/>
        <w:numPr>
          <w:ilvl w:val="1"/>
          <w:numId w:val="42"/>
        </w:numPr>
        <w:spacing w:before="120"/>
        <w:rPr>
          <w:szCs w:val="24"/>
        </w:rPr>
      </w:pPr>
      <w:r w:rsidRPr="00D1662D">
        <w:rPr>
          <w:szCs w:val="24"/>
        </w:rPr>
        <w:t>Sponsor identification via</w:t>
      </w:r>
      <w:r w:rsidRPr="00D1662D" w:rsidR="00E3438D">
        <w:rPr>
          <w:szCs w:val="24"/>
        </w:rPr>
        <w:t xml:space="preserve"> </w:t>
      </w:r>
      <w:r w:rsidRPr="00D1662D">
        <w:rPr>
          <w:szCs w:val="24"/>
        </w:rPr>
        <w:t>signed letters by a Department of State official</w:t>
      </w:r>
    </w:p>
    <w:p w:rsidR="009A56D5" w:rsidRPr="00D1662D" w:rsidP="00D1662D" w14:paraId="179AD24B" w14:textId="77777777">
      <w:pPr>
        <w:pStyle w:val="ListParagraph"/>
        <w:widowControl w:val="0"/>
        <w:numPr>
          <w:ilvl w:val="1"/>
          <w:numId w:val="42"/>
        </w:numPr>
        <w:spacing w:before="120"/>
        <w:rPr>
          <w:szCs w:val="24"/>
        </w:rPr>
      </w:pPr>
      <w:r w:rsidRPr="00D1662D">
        <w:rPr>
          <w:szCs w:val="24"/>
        </w:rPr>
        <w:t>Use of Department of State Graphics and color scheme</w:t>
      </w:r>
    </w:p>
    <w:p w:rsidR="009A56D5" w:rsidP="00D1662D" w14:paraId="179AD24C" w14:textId="7A656CA1">
      <w:pPr>
        <w:pStyle w:val="ListParagraph"/>
        <w:widowControl w:val="0"/>
        <w:numPr>
          <w:ilvl w:val="1"/>
          <w:numId w:val="42"/>
        </w:numPr>
        <w:spacing w:before="120"/>
        <w:rPr>
          <w:szCs w:val="24"/>
        </w:rPr>
      </w:pPr>
      <w:r w:rsidRPr="00D1662D">
        <w:rPr>
          <w:szCs w:val="24"/>
        </w:rPr>
        <w:t xml:space="preserve">Reference to </w:t>
      </w:r>
      <w:r w:rsidRPr="00D1662D" w:rsidR="00704285">
        <w:rPr>
          <w:szCs w:val="24"/>
        </w:rPr>
        <w:t>we</w:t>
      </w:r>
      <w:r w:rsidRPr="00D1662D">
        <w:rPr>
          <w:szCs w:val="24"/>
        </w:rPr>
        <w:t xml:space="preserve">bsite </w:t>
      </w:r>
      <w:r w:rsidRPr="00D1662D">
        <w:rPr>
          <w:szCs w:val="24"/>
        </w:rPr>
        <w:t>URL’s</w:t>
      </w:r>
      <w:r w:rsidRPr="00D1662D">
        <w:rPr>
          <w:szCs w:val="24"/>
        </w:rPr>
        <w:t xml:space="preserve"> for study legitimacy validation</w:t>
      </w:r>
    </w:p>
    <w:p w:rsidR="009C706C" w:rsidRPr="00D1662D" w:rsidP="00D1662D" w14:paraId="092AAD68" w14:textId="1D5E3067">
      <w:pPr>
        <w:pStyle w:val="ListParagraph"/>
        <w:widowControl w:val="0"/>
        <w:numPr>
          <w:ilvl w:val="1"/>
          <w:numId w:val="42"/>
        </w:numPr>
        <w:spacing w:before="120"/>
        <w:rPr>
          <w:szCs w:val="24"/>
        </w:rPr>
      </w:pPr>
      <w:r>
        <w:rPr>
          <w:szCs w:val="24"/>
        </w:rPr>
        <w:t>Inclusion of a QR code to allow quick access to the household’s unique survey link</w:t>
      </w:r>
    </w:p>
    <w:p w:rsidR="009A56D5" w:rsidRPr="00D1662D" w:rsidP="00D1662D" w14:paraId="179AD24D" w14:textId="77777777">
      <w:pPr>
        <w:pStyle w:val="ListParagraph"/>
        <w:widowControl w:val="0"/>
        <w:numPr>
          <w:ilvl w:val="1"/>
          <w:numId w:val="42"/>
        </w:numPr>
        <w:spacing w:before="120"/>
        <w:rPr>
          <w:szCs w:val="24"/>
        </w:rPr>
      </w:pPr>
      <w:r w:rsidRPr="00D1662D">
        <w:rPr>
          <w:szCs w:val="24"/>
        </w:rPr>
        <w:t xml:space="preserve">Provision of toll-free information line </w:t>
      </w:r>
      <w:r w:rsidRPr="00D1662D" w:rsidR="00313D81">
        <w:rPr>
          <w:szCs w:val="24"/>
        </w:rPr>
        <w:t xml:space="preserve">and email address </w:t>
      </w:r>
      <w:r w:rsidRPr="00D1662D">
        <w:rPr>
          <w:szCs w:val="24"/>
        </w:rPr>
        <w:t>to field respondents’ questions</w:t>
      </w:r>
    </w:p>
    <w:p w:rsidR="009A56D5" w:rsidRPr="00D1662D" w:rsidP="00D1662D" w14:paraId="179AD24E" w14:textId="77777777">
      <w:pPr>
        <w:pStyle w:val="ListParagraph"/>
        <w:widowControl w:val="0"/>
        <w:numPr>
          <w:ilvl w:val="1"/>
          <w:numId w:val="42"/>
        </w:numPr>
        <w:spacing w:before="120"/>
        <w:rPr>
          <w:szCs w:val="24"/>
        </w:rPr>
      </w:pPr>
      <w:r w:rsidRPr="00D1662D">
        <w:rPr>
          <w:szCs w:val="24"/>
        </w:rPr>
        <w:t>Call to action to respond by a specific deadline</w:t>
      </w:r>
    </w:p>
    <w:p w:rsidR="009A56D5" w:rsidRPr="00D1662D" w:rsidP="00D1662D" w14:paraId="179AD24F" w14:textId="77777777">
      <w:pPr>
        <w:pStyle w:val="ListParagraph"/>
        <w:widowControl w:val="0"/>
        <w:numPr>
          <w:ilvl w:val="1"/>
          <w:numId w:val="42"/>
        </w:numPr>
        <w:spacing w:before="120"/>
        <w:rPr>
          <w:szCs w:val="24"/>
        </w:rPr>
      </w:pPr>
      <w:r w:rsidRPr="00D1662D">
        <w:rPr>
          <w:szCs w:val="24"/>
        </w:rPr>
        <w:t>Notification of on-going efforts to be conducted through the month to reach the selected household</w:t>
      </w:r>
    </w:p>
    <w:p w:rsidR="009A56D5" w:rsidRPr="00D1662D" w:rsidP="00D1662D" w14:paraId="179AD250" w14:textId="77777777">
      <w:pPr>
        <w:pStyle w:val="ListParagraph"/>
        <w:widowControl w:val="0"/>
        <w:numPr>
          <w:ilvl w:val="0"/>
          <w:numId w:val="42"/>
        </w:numPr>
        <w:spacing w:before="120"/>
        <w:rPr>
          <w:szCs w:val="24"/>
        </w:rPr>
      </w:pPr>
      <w:r w:rsidRPr="00D1662D">
        <w:rPr>
          <w:szCs w:val="24"/>
        </w:rPr>
        <w:t>Outbound Calling Effort:</w:t>
      </w:r>
    </w:p>
    <w:p w:rsidR="009A56D5" w:rsidRPr="00D1662D" w:rsidP="00D1662D" w14:paraId="179AD251" w14:textId="1A42C33E">
      <w:pPr>
        <w:pStyle w:val="ListParagraph"/>
        <w:widowControl w:val="0"/>
        <w:numPr>
          <w:ilvl w:val="1"/>
          <w:numId w:val="42"/>
        </w:numPr>
        <w:spacing w:before="120"/>
        <w:rPr>
          <w:szCs w:val="24"/>
        </w:rPr>
      </w:pPr>
      <w:r w:rsidRPr="00D1662D">
        <w:rPr>
          <w:szCs w:val="24"/>
        </w:rPr>
        <w:t xml:space="preserve">Up to </w:t>
      </w:r>
      <w:r w:rsidRPr="00D1662D" w:rsidR="00981573">
        <w:rPr>
          <w:szCs w:val="24"/>
        </w:rPr>
        <w:t xml:space="preserve">eight </w:t>
      </w:r>
      <w:r w:rsidRPr="00D1662D">
        <w:rPr>
          <w:szCs w:val="24"/>
        </w:rPr>
        <w:t xml:space="preserve">attempts rotated through various day times:  </w:t>
      </w:r>
      <w:r w:rsidR="009C706C">
        <w:rPr>
          <w:szCs w:val="24"/>
        </w:rPr>
        <w:t xml:space="preserve">daytime, </w:t>
      </w:r>
      <w:r w:rsidRPr="00D1662D">
        <w:rPr>
          <w:szCs w:val="24"/>
        </w:rPr>
        <w:t>early evening, later evening, and weekends</w:t>
      </w:r>
    </w:p>
    <w:p w:rsidR="009A56D5" w:rsidRPr="00D1662D" w:rsidP="00D1662D" w14:paraId="179AD253" w14:textId="1574152A">
      <w:pPr>
        <w:pStyle w:val="ListParagraph"/>
        <w:widowControl w:val="0"/>
        <w:numPr>
          <w:ilvl w:val="1"/>
          <w:numId w:val="42"/>
        </w:numPr>
        <w:spacing w:before="120"/>
        <w:rPr>
          <w:szCs w:val="24"/>
        </w:rPr>
      </w:pPr>
      <w:r w:rsidRPr="00D1662D">
        <w:rPr>
          <w:szCs w:val="24"/>
        </w:rPr>
        <w:t xml:space="preserve">Specific </w:t>
      </w:r>
      <w:r w:rsidRPr="00D1662D" w:rsidR="00BB46D9">
        <w:rPr>
          <w:szCs w:val="24"/>
        </w:rPr>
        <w:t>call-</w:t>
      </w:r>
      <w:r w:rsidRPr="00D1662D">
        <w:rPr>
          <w:szCs w:val="24"/>
        </w:rPr>
        <w:t>back scheduling</w:t>
      </w:r>
    </w:p>
    <w:p w:rsidR="009A56D5" w:rsidRPr="00D1662D" w:rsidP="00D1662D" w14:paraId="179AD254" w14:textId="77777777">
      <w:pPr>
        <w:pStyle w:val="ListParagraph"/>
        <w:widowControl w:val="0"/>
        <w:numPr>
          <w:ilvl w:val="1"/>
          <w:numId w:val="42"/>
        </w:numPr>
        <w:spacing w:before="120"/>
        <w:rPr>
          <w:szCs w:val="24"/>
        </w:rPr>
      </w:pPr>
      <w:r w:rsidRPr="00D1662D">
        <w:rPr>
          <w:szCs w:val="24"/>
        </w:rPr>
        <w:t>Offering respondents the most convenient mode of data collection</w:t>
      </w:r>
    </w:p>
    <w:p w:rsidR="009A56D5" w:rsidRPr="00D1662D" w:rsidP="00D1662D" w14:paraId="179AD255" w14:textId="77777777">
      <w:pPr>
        <w:pStyle w:val="ListParagraph"/>
        <w:widowControl w:val="0"/>
        <w:numPr>
          <w:ilvl w:val="0"/>
          <w:numId w:val="42"/>
        </w:numPr>
        <w:spacing w:before="120"/>
        <w:rPr>
          <w:szCs w:val="24"/>
        </w:rPr>
      </w:pPr>
      <w:r w:rsidRPr="00D1662D">
        <w:rPr>
          <w:szCs w:val="24"/>
        </w:rPr>
        <w:t>Reminder Attempts:</w:t>
      </w:r>
    </w:p>
    <w:p w:rsidR="009A56D5" w:rsidRPr="00D1662D" w:rsidP="00D1662D" w14:paraId="179AD257" w14:textId="150A2AAC">
      <w:pPr>
        <w:pStyle w:val="ListParagraph"/>
        <w:widowControl w:val="0"/>
        <w:numPr>
          <w:ilvl w:val="1"/>
          <w:numId w:val="42"/>
        </w:numPr>
        <w:spacing w:before="120"/>
        <w:rPr>
          <w:szCs w:val="24"/>
        </w:rPr>
      </w:pPr>
      <w:r w:rsidRPr="00D1662D">
        <w:rPr>
          <w:szCs w:val="24"/>
        </w:rPr>
        <w:t>Reminder effort reiterate</w:t>
      </w:r>
      <w:r w:rsidRPr="00D1662D" w:rsidR="00313D81">
        <w:rPr>
          <w:szCs w:val="24"/>
        </w:rPr>
        <w:t>s</w:t>
      </w:r>
      <w:r w:rsidRPr="00D1662D">
        <w:rPr>
          <w:szCs w:val="24"/>
        </w:rPr>
        <w:t xml:space="preserve"> the importance of the study and contain</w:t>
      </w:r>
      <w:r w:rsidR="00FA5A7F">
        <w:rPr>
          <w:szCs w:val="24"/>
        </w:rPr>
        <w:t>s</w:t>
      </w:r>
      <w:r w:rsidRPr="00D1662D">
        <w:rPr>
          <w:szCs w:val="24"/>
        </w:rPr>
        <w:t xml:space="preserve"> all information in the original mailing in terms of rapport building</w:t>
      </w:r>
    </w:p>
    <w:p w:rsidR="009A56D5" w:rsidRPr="00D1662D" w:rsidP="00D1662D" w14:paraId="179AD258" w14:textId="77777777">
      <w:pPr>
        <w:pStyle w:val="ListParagraph"/>
        <w:widowControl w:val="0"/>
        <w:numPr>
          <w:ilvl w:val="1"/>
          <w:numId w:val="42"/>
        </w:numPr>
        <w:spacing w:before="120"/>
        <w:rPr>
          <w:szCs w:val="24"/>
        </w:rPr>
      </w:pPr>
      <w:r w:rsidRPr="00D1662D">
        <w:rPr>
          <w:szCs w:val="24"/>
        </w:rPr>
        <w:t>Establishment of legitimacy and availability of web and phone information for respondents who may have questions</w:t>
      </w:r>
    </w:p>
    <w:bookmarkEnd w:id="14"/>
    <w:bookmarkEnd w:id="15"/>
    <w:p w:rsidR="00FA12AC" w:rsidP="00CE3562" w14:paraId="22928601" w14:textId="1A599CC2">
      <w:pPr>
        <w:widowControl w:val="0"/>
        <w:spacing w:before="120"/>
        <w:rPr>
          <w:szCs w:val="24"/>
        </w:rPr>
      </w:pPr>
      <w:r>
        <w:rPr>
          <w:szCs w:val="24"/>
        </w:rPr>
        <w:t xml:space="preserve">Above and beyond the above measures, monthly survey </w:t>
      </w:r>
      <w:r w:rsidRPr="00A16DA3" w:rsidR="009A56D5">
        <w:rPr>
          <w:szCs w:val="24"/>
        </w:rPr>
        <w:t xml:space="preserve">data </w:t>
      </w:r>
      <w:r w:rsidRPr="00A16DA3" w:rsidR="00313D81">
        <w:rPr>
          <w:szCs w:val="24"/>
        </w:rPr>
        <w:t>ar</w:t>
      </w:r>
      <w:r w:rsidRPr="00A16DA3" w:rsidR="009A56D5">
        <w:rPr>
          <w:szCs w:val="24"/>
        </w:rPr>
        <w:t xml:space="preserve">e adjusted to </w:t>
      </w:r>
      <w:r>
        <w:rPr>
          <w:szCs w:val="24"/>
        </w:rPr>
        <w:t xml:space="preserve">compensate for the inevitable </w:t>
      </w:r>
      <w:r w:rsidR="00A1436E">
        <w:rPr>
          <w:szCs w:val="24"/>
        </w:rPr>
        <w:t>nonresponse</w:t>
      </w:r>
      <w:r w:rsidR="007C73B7">
        <w:rPr>
          <w:szCs w:val="24"/>
        </w:rPr>
        <w:t xml:space="preserve">. </w:t>
      </w:r>
      <w:r w:rsidRPr="00A16DA3" w:rsidR="009A56D5">
        <w:rPr>
          <w:szCs w:val="24"/>
        </w:rPr>
        <w:t xml:space="preserve">We describe our approach to survey </w:t>
      </w:r>
      <w:r w:rsidR="00A1436E">
        <w:rPr>
          <w:szCs w:val="24"/>
        </w:rPr>
        <w:t>nonresponse</w:t>
      </w:r>
      <w:r w:rsidRPr="00A16DA3" w:rsidR="009A56D5">
        <w:rPr>
          <w:szCs w:val="24"/>
        </w:rPr>
        <w:t xml:space="preserve"> adjustments and enhancements below.</w:t>
      </w:r>
    </w:p>
    <w:p w:rsidR="00FA12AC" w:rsidP="00CE3562" w14:paraId="36D5C04F" w14:textId="3156708D">
      <w:pPr>
        <w:widowControl w:val="0"/>
        <w:spacing w:before="120"/>
        <w:rPr>
          <w:szCs w:val="24"/>
        </w:rPr>
      </w:pPr>
      <w:r w:rsidRPr="00A16DA3">
        <w:rPr>
          <w:szCs w:val="24"/>
        </w:rPr>
        <w:t>Data from all scientific surveys are weighted before the resulting data can be used to produce reliable estimates of population parameters</w:t>
      </w:r>
      <w:r w:rsidR="007C73B7">
        <w:rPr>
          <w:szCs w:val="24"/>
        </w:rPr>
        <w:t xml:space="preserve">. </w:t>
      </w:r>
      <w:r w:rsidRPr="00A16DA3">
        <w:rPr>
          <w:szCs w:val="24"/>
        </w:rPr>
        <w:t xml:space="preserve">While reflecting the selection probabilities of sample units, weighting also attempts to compensate for practical limitations of a sample survey, such as differential </w:t>
      </w:r>
      <w:r w:rsidR="00A1436E">
        <w:rPr>
          <w:szCs w:val="24"/>
        </w:rPr>
        <w:t>nonresponse</w:t>
      </w:r>
      <w:r w:rsidRPr="00A16DA3">
        <w:rPr>
          <w:szCs w:val="24"/>
        </w:rPr>
        <w:t xml:space="preserve"> and under coverage</w:t>
      </w:r>
      <w:r w:rsidR="007C73B7">
        <w:rPr>
          <w:szCs w:val="24"/>
        </w:rPr>
        <w:t xml:space="preserve">. </w:t>
      </w:r>
      <w:r w:rsidRPr="00A16DA3">
        <w:rPr>
          <w:szCs w:val="24"/>
        </w:rPr>
        <w:t>Furthermore, by taking advantage of auxiliary information about the survey population, weighting can reduce the bias of survey estimates by enabling the responding subset of the sample to better represent its target universe</w:t>
      </w:r>
      <w:r w:rsidR="007C73B7">
        <w:rPr>
          <w:szCs w:val="24"/>
        </w:rPr>
        <w:t xml:space="preserve">. </w:t>
      </w:r>
      <w:r w:rsidRPr="00A16DA3">
        <w:rPr>
          <w:szCs w:val="24"/>
        </w:rPr>
        <w:t>This is of particular importance for a tracking survey of this nature, since some of the month-to-month random variations can be minimized by weighting the data before survey estimates are produced.</w:t>
      </w:r>
    </w:p>
    <w:p w:rsidR="00274AEA" w:rsidP="00CE3562" w14:paraId="218C458F" w14:textId="77777777">
      <w:pPr>
        <w:widowControl w:val="0"/>
        <w:spacing w:before="120"/>
        <w:rPr>
          <w:szCs w:val="24"/>
        </w:rPr>
      </w:pPr>
      <w:r w:rsidRPr="00A16DA3">
        <w:rPr>
          <w:szCs w:val="24"/>
        </w:rPr>
        <w:t>Typically, the weighting process entails three major steps</w:t>
      </w:r>
      <w:r w:rsidR="007C73B7">
        <w:rPr>
          <w:szCs w:val="24"/>
        </w:rPr>
        <w:t xml:space="preserve">. </w:t>
      </w:r>
      <w:r w:rsidRPr="00A16DA3">
        <w:rPr>
          <w:szCs w:val="24"/>
        </w:rPr>
        <w:t xml:space="preserve">The first step consists of computation of </w:t>
      </w:r>
      <w:r w:rsidRPr="00A16DA3">
        <w:rPr>
          <w:i/>
          <w:szCs w:val="24"/>
        </w:rPr>
        <w:t>design weights</w:t>
      </w:r>
      <w:r w:rsidRPr="00A16DA3">
        <w:rPr>
          <w:szCs w:val="24"/>
        </w:rPr>
        <w:t xml:space="preserve"> as the reciprocal of selection probabilities</w:t>
      </w:r>
      <w:r w:rsidR="008207D1">
        <w:rPr>
          <w:szCs w:val="24"/>
        </w:rPr>
        <w:t>, resulting from the disproportional allocation of the sample addresses to different passport agency areas</w:t>
      </w:r>
      <w:r w:rsidR="007C73B7">
        <w:rPr>
          <w:szCs w:val="24"/>
        </w:rPr>
        <w:t xml:space="preserve">. </w:t>
      </w:r>
      <w:r w:rsidRPr="00A16DA3">
        <w:rPr>
          <w:szCs w:val="24"/>
        </w:rPr>
        <w:t xml:space="preserve">In the second step, design weights </w:t>
      </w:r>
      <w:r w:rsidRPr="00A16DA3" w:rsidR="00313D81">
        <w:rPr>
          <w:szCs w:val="24"/>
        </w:rPr>
        <w:t>ar</w:t>
      </w:r>
      <w:r w:rsidRPr="00A16DA3">
        <w:rPr>
          <w:szCs w:val="24"/>
        </w:rPr>
        <w:t xml:space="preserve">e adjusted for </w:t>
      </w:r>
      <w:r w:rsidR="00A1436E">
        <w:rPr>
          <w:szCs w:val="24"/>
        </w:rPr>
        <w:t>nonresponse</w:t>
      </w:r>
      <w:r w:rsidRPr="00A16DA3">
        <w:rPr>
          <w:szCs w:val="24"/>
        </w:rPr>
        <w:t xml:space="preserve"> – a process that </w:t>
      </w:r>
      <w:r w:rsidRPr="00A16DA3" w:rsidR="00313D81">
        <w:rPr>
          <w:szCs w:val="24"/>
        </w:rPr>
        <w:t>is</w:t>
      </w:r>
      <w:r w:rsidRPr="00A16DA3">
        <w:rPr>
          <w:szCs w:val="24"/>
        </w:rPr>
        <w:t xml:space="preserve"> guided by a comprehensive </w:t>
      </w:r>
      <w:r w:rsidR="008207D1">
        <w:rPr>
          <w:szCs w:val="24"/>
        </w:rPr>
        <w:t xml:space="preserve">examination of </w:t>
      </w:r>
      <w:r w:rsidR="00A1436E">
        <w:rPr>
          <w:szCs w:val="24"/>
        </w:rPr>
        <w:t>nonresponse</w:t>
      </w:r>
      <w:r w:rsidRPr="00A16DA3">
        <w:rPr>
          <w:szCs w:val="24"/>
        </w:rPr>
        <w:t xml:space="preserve"> </w:t>
      </w:r>
      <w:r w:rsidR="008207D1">
        <w:rPr>
          <w:szCs w:val="24"/>
        </w:rPr>
        <w:t>patterns observed every month</w:t>
      </w:r>
      <w:r>
        <w:rPr>
          <w:szCs w:val="24"/>
        </w:rPr>
        <w:t>.</w:t>
      </w:r>
    </w:p>
    <w:p w:rsidR="00FA12AC" w:rsidP="00CE3562" w14:paraId="0279C060" w14:textId="5626976E">
      <w:pPr>
        <w:widowControl w:val="0"/>
        <w:spacing w:before="120"/>
        <w:rPr>
          <w:szCs w:val="24"/>
        </w:rPr>
      </w:pPr>
      <w:r>
        <w:rPr>
          <w:szCs w:val="24"/>
        </w:rPr>
        <w:t xml:space="preserve"> </w:t>
      </w:r>
      <w:r w:rsidRPr="00A16DA3" w:rsidR="009A56D5">
        <w:rPr>
          <w:szCs w:val="24"/>
        </w:rPr>
        <w:t xml:space="preserve">In the third step, </w:t>
      </w:r>
      <w:r w:rsidR="00A1436E">
        <w:rPr>
          <w:szCs w:val="24"/>
        </w:rPr>
        <w:t>nonresponse</w:t>
      </w:r>
      <w:r w:rsidRPr="00A16DA3" w:rsidR="009A56D5">
        <w:rPr>
          <w:szCs w:val="24"/>
        </w:rPr>
        <w:t xml:space="preserve">-adjusted weights </w:t>
      </w:r>
      <w:r w:rsidRPr="00A16DA3" w:rsidR="00313D81">
        <w:rPr>
          <w:szCs w:val="24"/>
        </w:rPr>
        <w:t>ar</w:t>
      </w:r>
      <w:r w:rsidRPr="00A16DA3" w:rsidR="009A56D5">
        <w:rPr>
          <w:szCs w:val="24"/>
        </w:rPr>
        <w:t xml:space="preserve">e further </w:t>
      </w:r>
      <w:r w:rsidR="00A1436E">
        <w:rPr>
          <w:szCs w:val="24"/>
        </w:rPr>
        <w:t>calibrated</w:t>
      </w:r>
      <w:r w:rsidRPr="00A16DA3" w:rsidR="009A56D5">
        <w:rPr>
          <w:szCs w:val="24"/>
        </w:rPr>
        <w:t xml:space="preserve"> to known population </w:t>
      </w:r>
      <w:r w:rsidR="00A1436E">
        <w:rPr>
          <w:szCs w:val="24"/>
        </w:rPr>
        <w:t>benchmarks</w:t>
      </w:r>
      <w:r w:rsidRPr="00A16DA3" w:rsidR="00A1436E">
        <w:rPr>
          <w:szCs w:val="24"/>
        </w:rPr>
        <w:t xml:space="preserve"> </w:t>
      </w:r>
      <w:r w:rsidRPr="00A16DA3" w:rsidR="009A56D5">
        <w:rPr>
          <w:szCs w:val="24"/>
        </w:rPr>
        <w:t xml:space="preserve">to </w:t>
      </w:r>
      <w:r w:rsidR="00A1436E">
        <w:rPr>
          <w:szCs w:val="24"/>
        </w:rPr>
        <w:t>further improve the representation of respondents.</w:t>
      </w:r>
      <w:r>
        <w:rPr>
          <w:szCs w:val="24"/>
        </w:rPr>
        <w:t xml:space="preserve"> </w:t>
      </w:r>
      <w:r w:rsidRPr="00A16DA3" w:rsidR="009A56D5">
        <w:rPr>
          <w:szCs w:val="24"/>
        </w:rPr>
        <w:t xml:space="preserve">All weighting adjustment steps </w:t>
      </w:r>
      <w:r w:rsidR="00A1436E">
        <w:rPr>
          <w:szCs w:val="24"/>
        </w:rPr>
        <w:t xml:space="preserve">will </w:t>
      </w:r>
      <w:r w:rsidRPr="00A16DA3" w:rsidR="009A56D5">
        <w:rPr>
          <w:szCs w:val="24"/>
        </w:rPr>
        <w:t>go through a series of quality control checks to detect extreme outliers and to prevent computational inefficiencies.</w:t>
      </w:r>
    </w:p>
    <w:p w:rsidR="00FA12AC" w:rsidP="00CE3562" w14:paraId="4771D562" w14:textId="756D6993">
      <w:pPr>
        <w:widowControl w:val="0"/>
        <w:autoSpaceDE w:val="0"/>
        <w:autoSpaceDN w:val="0"/>
        <w:adjustRightInd w:val="0"/>
        <w:spacing w:before="120"/>
        <w:rPr>
          <w:szCs w:val="24"/>
        </w:rPr>
      </w:pPr>
      <w:r w:rsidRPr="00A16DA3">
        <w:rPr>
          <w:szCs w:val="24"/>
        </w:rPr>
        <w:t>For this survey we use the</w:t>
      </w:r>
      <w:r w:rsidR="00417F02">
        <w:rPr>
          <w:szCs w:val="24"/>
        </w:rPr>
        <w:t xml:space="preserve"> Weighted Adjustment</w:t>
      </w:r>
      <w:r w:rsidRPr="00A16DA3">
        <w:rPr>
          <w:szCs w:val="24"/>
        </w:rPr>
        <w:t xml:space="preserve"> </w:t>
      </w:r>
      <w:r w:rsidRPr="00A16DA3">
        <w:rPr>
          <w:i/>
          <w:szCs w:val="24"/>
        </w:rPr>
        <w:t>WTADJUST</w:t>
      </w:r>
      <w:r w:rsidRPr="00A16DA3">
        <w:rPr>
          <w:szCs w:val="24"/>
        </w:rPr>
        <w:t xml:space="preserve"> procedure of SUDAAN to </w:t>
      </w:r>
      <w:r w:rsidRPr="00A16DA3">
        <w:rPr>
          <w:szCs w:val="24"/>
        </w:rPr>
        <w:t>weight</w:t>
      </w:r>
      <w:r w:rsidRPr="00A16DA3">
        <w:rPr>
          <w:szCs w:val="24"/>
        </w:rPr>
        <w:t xml:space="preserve"> the monthly survey data</w:t>
      </w:r>
      <w:r w:rsidR="00274AEA">
        <w:rPr>
          <w:szCs w:val="24"/>
        </w:rPr>
        <w:t>.</w:t>
      </w:r>
      <w:r>
        <w:rPr>
          <w:rStyle w:val="FootnoteReference"/>
          <w:szCs w:val="24"/>
        </w:rPr>
        <w:footnoteReference w:id="4"/>
      </w:r>
      <w:r w:rsidR="007C73B7">
        <w:rPr>
          <w:szCs w:val="24"/>
        </w:rPr>
        <w:t xml:space="preserve"> </w:t>
      </w:r>
      <w:r w:rsidRPr="00A16DA3">
        <w:rPr>
          <w:szCs w:val="24"/>
        </w:rPr>
        <w:t>Unlike traditional ra</w:t>
      </w:r>
      <w:r w:rsidR="00BB46D9">
        <w:rPr>
          <w:szCs w:val="24"/>
        </w:rPr>
        <w:t>n</w:t>
      </w:r>
      <w:r w:rsidRPr="00A16DA3">
        <w:rPr>
          <w:szCs w:val="24"/>
        </w:rPr>
        <w:t>king procedures that are based on iterative proportional fitting, this model-based approach incorporate</w:t>
      </w:r>
      <w:r w:rsidRPr="00A16DA3" w:rsidR="00313D81">
        <w:rPr>
          <w:szCs w:val="24"/>
        </w:rPr>
        <w:t>s</w:t>
      </w:r>
      <w:r w:rsidRPr="00A16DA3">
        <w:rPr>
          <w:szCs w:val="24"/>
        </w:rPr>
        <w:t xml:space="preserve"> more main effects and lower-order interactions of variables when computing weights</w:t>
      </w:r>
      <w:r w:rsidR="007C73B7">
        <w:rPr>
          <w:szCs w:val="24"/>
        </w:rPr>
        <w:t xml:space="preserve">. </w:t>
      </w:r>
      <w:r w:rsidRPr="00A16DA3">
        <w:rPr>
          <w:szCs w:val="24"/>
        </w:rPr>
        <w:t>Moreover, because this procedure allows limiting the resulting weight adjustment factors, one can eliminate extreme weights early in the process and control the variability of the final weights</w:t>
      </w:r>
      <w:r w:rsidR="007C73B7">
        <w:rPr>
          <w:szCs w:val="24"/>
        </w:rPr>
        <w:t xml:space="preserve">. </w:t>
      </w:r>
      <w:r w:rsidRPr="00A16DA3">
        <w:rPr>
          <w:szCs w:val="24"/>
        </w:rPr>
        <w:t>Consequently, with this alternative it is generally possible to achieve balance with respect to an expanded set of control totals while at the same time reducing the variance of weighted statistics.</w:t>
      </w:r>
    </w:p>
    <w:p w:rsidR="00FA12AC" w:rsidP="00CE3562" w14:paraId="67655AFE" w14:textId="699B1B22">
      <w:pPr>
        <w:widowControl w:val="0"/>
        <w:autoSpaceDE w:val="0"/>
        <w:autoSpaceDN w:val="0"/>
        <w:adjustRightInd w:val="0"/>
        <w:spacing w:before="120"/>
        <w:rPr>
          <w:szCs w:val="24"/>
        </w:rPr>
      </w:pPr>
      <w:r w:rsidRPr="00A16DA3">
        <w:rPr>
          <w:szCs w:val="24"/>
        </w:rPr>
        <w:t xml:space="preserve">Our </w:t>
      </w:r>
      <w:r w:rsidR="00A1436E">
        <w:rPr>
          <w:szCs w:val="24"/>
        </w:rPr>
        <w:t>nonresponse</w:t>
      </w:r>
      <w:r w:rsidRPr="00A16DA3">
        <w:rPr>
          <w:szCs w:val="24"/>
        </w:rPr>
        <w:t xml:space="preserve"> bias analysis include</w:t>
      </w:r>
      <w:r w:rsidRPr="00A16DA3" w:rsidR="00313D81">
        <w:rPr>
          <w:szCs w:val="24"/>
        </w:rPr>
        <w:t>s</w:t>
      </w:r>
      <w:r w:rsidRPr="00A16DA3">
        <w:rPr>
          <w:szCs w:val="24"/>
        </w:rPr>
        <w:t xml:space="preserve"> comprehensive comparisons of the geo-demographic composition of respondents with their corresponding estimates as reported by Current Population Survey (CPS), or the American Community Survey (ACS) for smaller geographic levels</w:t>
      </w:r>
      <w:r w:rsidR="007C73B7">
        <w:rPr>
          <w:szCs w:val="24"/>
        </w:rPr>
        <w:t xml:space="preserve">. </w:t>
      </w:r>
      <w:r w:rsidRPr="00A16DA3">
        <w:rPr>
          <w:szCs w:val="24"/>
        </w:rPr>
        <w:t xml:space="preserve">Each month a fresh round of </w:t>
      </w:r>
      <w:r w:rsidR="00A1436E">
        <w:rPr>
          <w:szCs w:val="24"/>
        </w:rPr>
        <w:t>nonresponse</w:t>
      </w:r>
      <w:r w:rsidRPr="00A16DA3">
        <w:rPr>
          <w:szCs w:val="24"/>
        </w:rPr>
        <w:t xml:space="preserve"> bias analysis </w:t>
      </w:r>
      <w:r w:rsidRPr="00A16DA3" w:rsidR="00313D81">
        <w:rPr>
          <w:szCs w:val="24"/>
        </w:rPr>
        <w:t>is</w:t>
      </w:r>
      <w:r w:rsidRPr="00A16DA3">
        <w:rPr>
          <w:szCs w:val="24"/>
        </w:rPr>
        <w:t xml:space="preserve"> carried out to provide current guidelines for </w:t>
      </w:r>
      <w:r w:rsidRPr="00A16DA3">
        <w:rPr>
          <w:szCs w:val="24"/>
        </w:rPr>
        <w:t>weight adjustments</w:t>
      </w:r>
      <w:r w:rsidR="007C73B7">
        <w:rPr>
          <w:szCs w:val="24"/>
        </w:rPr>
        <w:t xml:space="preserve">. </w:t>
      </w:r>
      <w:r w:rsidRPr="00A16DA3">
        <w:rPr>
          <w:szCs w:val="24"/>
        </w:rPr>
        <w:t xml:space="preserve">In addition to compensating for differential </w:t>
      </w:r>
      <w:r w:rsidR="00A1436E">
        <w:rPr>
          <w:szCs w:val="24"/>
        </w:rPr>
        <w:t>nonresponse</w:t>
      </w:r>
      <w:r w:rsidRPr="00A16DA3">
        <w:rPr>
          <w:szCs w:val="24"/>
        </w:rPr>
        <w:t xml:space="preserve"> patterns </w:t>
      </w:r>
      <w:r w:rsidR="00A1436E">
        <w:rPr>
          <w:szCs w:val="24"/>
        </w:rPr>
        <w:t xml:space="preserve">on </w:t>
      </w:r>
      <w:r w:rsidR="005640DB">
        <w:rPr>
          <w:szCs w:val="24"/>
        </w:rPr>
        <w:t xml:space="preserve">a </w:t>
      </w:r>
      <w:r w:rsidR="00A1436E">
        <w:rPr>
          <w:szCs w:val="24"/>
        </w:rPr>
        <w:t>monthly basis</w:t>
      </w:r>
      <w:r w:rsidRPr="00A16DA3">
        <w:rPr>
          <w:szCs w:val="24"/>
        </w:rPr>
        <w:t xml:space="preserve">, this approach also </w:t>
      </w:r>
      <w:r w:rsidRPr="00A16DA3">
        <w:rPr>
          <w:szCs w:val="24"/>
        </w:rPr>
        <w:t>take</w:t>
      </w:r>
      <w:r w:rsidRPr="00A16DA3" w:rsidR="00313D81">
        <w:rPr>
          <w:szCs w:val="24"/>
        </w:rPr>
        <w:t>s</w:t>
      </w:r>
      <w:r w:rsidRPr="00A16DA3">
        <w:rPr>
          <w:szCs w:val="24"/>
        </w:rPr>
        <w:t xml:space="preserve"> into account</w:t>
      </w:r>
      <w:r w:rsidRPr="00A16DA3">
        <w:rPr>
          <w:szCs w:val="24"/>
        </w:rPr>
        <w:t xml:space="preserve"> seasonal variations when creating the final weights.</w:t>
      </w:r>
    </w:p>
    <w:p w:rsidR="00FA12AC" w:rsidP="00CE3562" w14:paraId="5A6F0CB5" w14:textId="330D437C">
      <w:pPr>
        <w:pStyle w:val="Arial12Text"/>
        <w:widowControl w:val="0"/>
        <w:ind w:firstLine="0"/>
        <w:rPr>
          <w:rFonts w:cs="Times New Roman"/>
        </w:rPr>
      </w:pPr>
      <w:bookmarkStart w:id="16" w:name="_Toc286904701"/>
      <w:r w:rsidRPr="00A16DA3">
        <w:rPr>
          <w:rFonts w:cs="Times New Roman"/>
        </w:rPr>
        <w:t xml:space="preserve">It should be noted that prior to computation of survey weights, it </w:t>
      </w:r>
      <w:r w:rsidRPr="00A16DA3" w:rsidR="00313D81">
        <w:rPr>
          <w:rFonts w:cs="Times New Roman"/>
        </w:rPr>
        <w:t>is</w:t>
      </w:r>
      <w:r w:rsidRPr="00A16DA3">
        <w:rPr>
          <w:rFonts w:cs="Times New Roman"/>
        </w:rPr>
        <w:t xml:space="preserve"> necessary to impute missing data that will result from item </w:t>
      </w:r>
      <w:r w:rsidR="00A1436E">
        <w:rPr>
          <w:rFonts w:cs="Times New Roman"/>
        </w:rPr>
        <w:t>nonresponse</w:t>
      </w:r>
      <w:r w:rsidRPr="00A16DA3">
        <w:rPr>
          <w:rFonts w:cs="Times New Roman"/>
        </w:rPr>
        <w:t xml:space="preserve"> and data items that fail edit checks</w:t>
      </w:r>
      <w:r w:rsidR="007C73B7">
        <w:rPr>
          <w:rFonts w:cs="Times New Roman"/>
        </w:rPr>
        <w:t xml:space="preserve">. </w:t>
      </w:r>
      <w:r w:rsidRPr="00A16DA3">
        <w:rPr>
          <w:rFonts w:cs="Times New Roman"/>
        </w:rPr>
        <w:t xml:space="preserve">Since missing data can create inefficiencies for demand projections, when appropriate we use the method of </w:t>
      </w:r>
      <w:r w:rsidRPr="00A16DA3">
        <w:rPr>
          <w:rFonts w:cs="Times New Roman"/>
          <w:i/>
        </w:rPr>
        <w:t xml:space="preserve">weighted sequential </w:t>
      </w:r>
      <w:r w:rsidRPr="00A16DA3">
        <w:rPr>
          <w:rFonts w:cs="Times New Roman"/>
          <w:i/>
        </w:rPr>
        <w:t>hot-deck</w:t>
      </w:r>
      <w:r>
        <w:rPr>
          <w:rStyle w:val="FootnoteReference"/>
          <w:rFonts w:cs="Times New Roman"/>
          <w:i/>
        </w:rPr>
        <w:footnoteReference w:id="5"/>
      </w:r>
      <w:r w:rsidRPr="00A16DA3">
        <w:rPr>
          <w:rFonts w:cs="Times New Roman"/>
          <w:i/>
        </w:rPr>
        <w:t xml:space="preserve"> </w:t>
      </w:r>
      <w:r w:rsidRPr="00A16DA3">
        <w:rPr>
          <w:rFonts w:cs="Times New Roman"/>
        </w:rPr>
        <w:t>to impute missing survey data</w:t>
      </w:r>
      <w:r w:rsidR="007C73B7">
        <w:rPr>
          <w:rFonts w:cs="Times New Roman"/>
        </w:rPr>
        <w:t xml:space="preserve">. </w:t>
      </w:r>
      <w:r w:rsidRPr="00A16DA3">
        <w:rPr>
          <w:rFonts w:cs="Times New Roman"/>
        </w:rPr>
        <w:t>By incorporating the sampling weights, this method of imputation reflect</w:t>
      </w:r>
      <w:r w:rsidRPr="00A16DA3" w:rsidR="00313D81">
        <w:rPr>
          <w:rFonts w:cs="Times New Roman"/>
        </w:rPr>
        <w:t>s</w:t>
      </w:r>
      <w:r w:rsidRPr="00A16DA3">
        <w:rPr>
          <w:rFonts w:cs="Times New Roman"/>
        </w:rPr>
        <w:t xml:space="preserve"> the unequal probabilities of selection in the monthly sample while controlling the expected number of times a particular respondent’s answer </w:t>
      </w:r>
      <w:r w:rsidRPr="00A16DA3" w:rsidR="00313D81">
        <w:rPr>
          <w:rFonts w:cs="Times New Roman"/>
        </w:rPr>
        <w:t>is</w:t>
      </w:r>
      <w:r w:rsidRPr="00A16DA3">
        <w:rPr>
          <w:rFonts w:cs="Times New Roman"/>
        </w:rPr>
        <w:t xml:space="preserve"> used as a donor to replace missing values.</w:t>
      </w:r>
    </w:p>
    <w:p w:rsidR="00FA12AC" w:rsidP="00CE3562" w14:paraId="2BC812C9" w14:textId="77777777">
      <w:pPr>
        <w:pStyle w:val="Arial12Text"/>
        <w:widowControl w:val="0"/>
        <w:ind w:firstLine="0"/>
        <w:rPr>
          <w:rFonts w:cs="Times New Roman"/>
          <w:spacing w:val="-3"/>
        </w:rPr>
      </w:pPr>
      <w:r w:rsidRPr="00A16DA3">
        <w:rPr>
          <w:rFonts w:cs="Times New Roman"/>
        </w:rPr>
        <w:t xml:space="preserve">Finally, survey estimates can only be interpreted properly </w:t>
      </w:r>
      <w:r w:rsidRPr="00A16DA3">
        <w:rPr>
          <w:rFonts w:cs="Times New Roman"/>
        </w:rPr>
        <w:t>in light of</w:t>
      </w:r>
      <w:r w:rsidRPr="00A16DA3">
        <w:rPr>
          <w:rFonts w:cs="Times New Roman"/>
        </w:rPr>
        <w:t xml:space="preserve"> their associated sampling errors</w:t>
      </w:r>
      <w:r w:rsidR="007C73B7">
        <w:rPr>
          <w:rFonts w:cs="Times New Roman"/>
        </w:rPr>
        <w:t xml:space="preserve">. </w:t>
      </w:r>
      <w:r w:rsidRPr="00A16DA3">
        <w:rPr>
          <w:rFonts w:cs="Times New Roman"/>
        </w:rPr>
        <w:t>Since weighting often increases variances of estimates, use of standard variance calculation formulae with weighted data can result in misleading statistical inferences</w:t>
      </w:r>
      <w:r w:rsidR="007C73B7">
        <w:rPr>
          <w:rFonts w:cs="Times New Roman"/>
        </w:rPr>
        <w:t xml:space="preserve">. </w:t>
      </w:r>
      <w:r w:rsidRPr="00A16DA3">
        <w:rPr>
          <w:rFonts w:cs="Times New Roman"/>
          <w:spacing w:val="-3"/>
        </w:rPr>
        <w:t xml:space="preserve">For this survey we will use SUDAAN and </w:t>
      </w:r>
      <w:r w:rsidR="007878B3">
        <w:rPr>
          <w:rFonts w:cs="Times New Roman"/>
          <w:spacing w:val="-3"/>
        </w:rPr>
        <w:t>Statistical Analysis System (</w:t>
      </w:r>
      <w:r w:rsidRPr="00A16DA3">
        <w:rPr>
          <w:rFonts w:cs="Times New Roman"/>
          <w:spacing w:val="-3"/>
        </w:rPr>
        <w:t>SAS</w:t>
      </w:r>
      <w:r w:rsidR="007878B3">
        <w:rPr>
          <w:rFonts w:cs="Times New Roman"/>
          <w:spacing w:val="-3"/>
        </w:rPr>
        <w:t>)</w:t>
      </w:r>
      <w:r w:rsidRPr="00A16DA3">
        <w:rPr>
          <w:rFonts w:cs="Times New Roman"/>
          <w:spacing w:val="-3"/>
        </w:rPr>
        <w:t xml:space="preserve"> </w:t>
      </w:r>
      <w:r w:rsidR="007878B3">
        <w:rPr>
          <w:rFonts w:cs="Times New Roman"/>
          <w:spacing w:val="-3"/>
        </w:rPr>
        <w:t xml:space="preserve">software </w:t>
      </w:r>
      <w:r w:rsidRPr="00A16DA3">
        <w:rPr>
          <w:rFonts w:cs="Times New Roman"/>
          <w:spacing w:val="-3"/>
        </w:rPr>
        <w:t xml:space="preserve">to compute weighted demand, variances of which </w:t>
      </w:r>
      <w:r w:rsidRPr="00A16DA3" w:rsidR="007C0FD8">
        <w:rPr>
          <w:rFonts w:cs="Times New Roman"/>
          <w:spacing w:val="-3"/>
        </w:rPr>
        <w:t>ar</w:t>
      </w:r>
      <w:r w:rsidRPr="00A16DA3">
        <w:rPr>
          <w:rFonts w:cs="Times New Roman"/>
          <w:spacing w:val="-3"/>
        </w:rPr>
        <w:t xml:space="preserve">e approximated using the </w:t>
      </w:r>
      <w:r w:rsidRPr="00A16DA3">
        <w:rPr>
          <w:rFonts w:cs="Times New Roman"/>
          <w:i/>
          <w:spacing w:val="-3"/>
        </w:rPr>
        <w:t>Taylor Series Linearization</w:t>
      </w:r>
      <w:r w:rsidRPr="00A16DA3">
        <w:rPr>
          <w:rFonts w:cs="Times New Roman"/>
          <w:spacing w:val="-3"/>
        </w:rPr>
        <w:t xml:space="preserve"> technique</w:t>
      </w:r>
      <w:r w:rsidR="007C73B7">
        <w:rPr>
          <w:rFonts w:cs="Times New Roman"/>
          <w:spacing w:val="-3"/>
        </w:rPr>
        <w:t xml:space="preserve">. </w:t>
      </w:r>
      <w:r w:rsidRPr="00A16DA3">
        <w:rPr>
          <w:rFonts w:cs="Times New Roman"/>
          <w:spacing w:val="-3"/>
        </w:rPr>
        <w:t xml:space="preserve">Without this any projections of demand </w:t>
      </w:r>
      <w:r w:rsidRPr="00A16DA3" w:rsidR="007C0FD8">
        <w:rPr>
          <w:rFonts w:cs="Times New Roman"/>
          <w:spacing w:val="-3"/>
        </w:rPr>
        <w:t>are</w:t>
      </w:r>
      <w:r w:rsidRPr="00A16DA3">
        <w:rPr>
          <w:rFonts w:cs="Times New Roman"/>
          <w:spacing w:val="-3"/>
        </w:rPr>
        <w:t xml:space="preserve"> subject to confidence intervals with artificially narrow widths</w:t>
      </w:r>
      <w:r w:rsidR="007C73B7">
        <w:rPr>
          <w:rFonts w:cs="Times New Roman"/>
          <w:spacing w:val="-3"/>
        </w:rPr>
        <w:t xml:space="preserve">. </w:t>
      </w:r>
      <w:r w:rsidRPr="00A16DA3">
        <w:rPr>
          <w:rFonts w:cs="Times New Roman"/>
          <w:spacing w:val="-3"/>
        </w:rPr>
        <w:t xml:space="preserve">That is, survey estimates show a larger level of confidence </w:t>
      </w:r>
      <w:r w:rsidRPr="00A16DA3">
        <w:rPr>
          <w:rFonts w:cs="Times New Roman"/>
          <w:spacing w:val="-3"/>
        </w:rPr>
        <w:t>than what</w:t>
      </w:r>
      <w:r w:rsidRPr="00A16DA3">
        <w:rPr>
          <w:rFonts w:cs="Times New Roman"/>
          <w:spacing w:val="-3"/>
        </w:rPr>
        <w:t xml:space="preserve"> they </w:t>
      </w:r>
      <w:r w:rsidRPr="00A16DA3">
        <w:rPr>
          <w:rFonts w:cs="Times New Roman"/>
          <w:spacing w:val="-3"/>
        </w:rPr>
        <w:t>actually should</w:t>
      </w:r>
      <w:r w:rsidRPr="00A16DA3">
        <w:rPr>
          <w:rFonts w:cs="Times New Roman"/>
          <w:spacing w:val="-3"/>
        </w:rPr>
        <w:t>.</w:t>
      </w:r>
    </w:p>
    <w:p w:rsidR="009A56D5" w:rsidRPr="00A1436E" w:rsidP="00CE3562" w14:paraId="179AD267" w14:textId="7C2ED5AC">
      <w:pPr>
        <w:pStyle w:val="Heading1"/>
        <w:keepNext w:val="0"/>
        <w:widowControl w:val="0"/>
        <w:numPr>
          <w:ilvl w:val="0"/>
          <w:numId w:val="30"/>
        </w:numPr>
        <w:spacing w:before="240"/>
        <w:ind w:left="720"/>
        <w:rPr>
          <w:rFonts w:ascii="Times New Roman Bold" w:hAnsi="Times New Roman Bold"/>
          <w:smallCaps/>
          <w:sz w:val="28"/>
          <w:szCs w:val="24"/>
        </w:rPr>
      </w:pPr>
      <w:r w:rsidRPr="00A1436E">
        <w:rPr>
          <w:rFonts w:ascii="Times New Roman Bold" w:hAnsi="Times New Roman Bold"/>
          <w:smallCaps/>
          <w:sz w:val="28"/>
          <w:szCs w:val="24"/>
        </w:rPr>
        <w:t>Testing</w:t>
      </w:r>
    </w:p>
    <w:p w:rsidR="00FA12AC" w:rsidP="00CE3562" w14:paraId="4D707D6A" w14:textId="77777777">
      <w:pPr>
        <w:widowControl w:val="0"/>
        <w:spacing w:before="120"/>
        <w:rPr>
          <w:szCs w:val="24"/>
        </w:rPr>
      </w:pPr>
      <w:r w:rsidRPr="00A16DA3">
        <w:rPr>
          <w:szCs w:val="24"/>
        </w:rPr>
        <w:t xml:space="preserve">The survey questionnaire </w:t>
      </w:r>
      <w:r w:rsidRPr="00A16DA3" w:rsidR="007C0FD8">
        <w:rPr>
          <w:szCs w:val="24"/>
        </w:rPr>
        <w:t xml:space="preserve">has </w:t>
      </w:r>
      <w:r w:rsidRPr="00A16DA3">
        <w:rPr>
          <w:szCs w:val="24"/>
        </w:rPr>
        <w:t>be</w:t>
      </w:r>
      <w:r w:rsidRPr="00A16DA3" w:rsidR="007C0FD8">
        <w:rPr>
          <w:szCs w:val="24"/>
        </w:rPr>
        <w:t>en</w:t>
      </w:r>
      <w:r w:rsidRPr="00A16DA3">
        <w:rPr>
          <w:szCs w:val="24"/>
        </w:rPr>
        <w:t xml:space="preserve"> internally pre-tested for timing, content, and clarity</w:t>
      </w:r>
      <w:r w:rsidR="007C73B7">
        <w:rPr>
          <w:szCs w:val="24"/>
        </w:rPr>
        <w:t xml:space="preserve">. </w:t>
      </w:r>
      <w:r w:rsidRPr="00A16DA3">
        <w:rPr>
          <w:szCs w:val="24"/>
        </w:rPr>
        <w:t>Moreover, S</w:t>
      </w:r>
      <w:r w:rsidR="00981573">
        <w:rPr>
          <w:szCs w:val="24"/>
        </w:rPr>
        <w:t>SRS</w:t>
      </w:r>
      <w:r w:rsidRPr="00A16DA3">
        <w:rPr>
          <w:szCs w:val="24"/>
        </w:rPr>
        <w:t xml:space="preserve"> engage</w:t>
      </w:r>
      <w:r w:rsidRPr="00A16DA3" w:rsidR="007C0FD8">
        <w:rPr>
          <w:szCs w:val="24"/>
        </w:rPr>
        <w:t>d</w:t>
      </w:r>
      <w:r w:rsidRPr="00A16DA3">
        <w:rPr>
          <w:szCs w:val="24"/>
        </w:rPr>
        <w:t xml:space="preserve"> in a formal initial pre-test of the survey instrument, conducted with a sample of 30 households to confirm that the screening questions and procedures, as well as all survey logic work</w:t>
      </w:r>
      <w:r w:rsidRPr="00A16DA3" w:rsidR="007C0FD8">
        <w:rPr>
          <w:szCs w:val="24"/>
        </w:rPr>
        <w:t>ed</w:t>
      </w:r>
      <w:r w:rsidRPr="00A16DA3">
        <w:rPr>
          <w:szCs w:val="24"/>
        </w:rPr>
        <w:t xml:space="preserve"> as intended</w:t>
      </w:r>
      <w:r w:rsidR="007C73B7">
        <w:rPr>
          <w:szCs w:val="24"/>
        </w:rPr>
        <w:t xml:space="preserve">. </w:t>
      </w:r>
      <w:r w:rsidRPr="00A16DA3">
        <w:rPr>
          <w:szCs w:val="24"/>
        </w:rPr>
        <w:t xml:space="preserve">Although the pre-test </w:t>
      </w:r>
      <w:r w:rsidRPr="00A16DA3" w:rsidR="007C0FD8">
        <w:rPr>
          <w:szCs w:val="24"/>
        </w:rPr>
        <w:t>was</w:t>
      </w:r>
      <w:r w:rsidRPr="00A16DA3">
        <w:rPr>
          <w:szCs w:val="24"/>
        </w:rPr>
        <w:t xml:space="preserve"> designed as a confirmatory procedure, any issues uncovered with survey instructions (such as item wording or incomplete response categories) </w:t>
      </w:r>
      <w:r w:rsidRPr="00A16DA3" w:rsidR="007C0FD8">
        <w:rPr>
          <w:szCs w:val="24"/>
        </w:rPr>
        <w:t xml:space="preserve">were addressed with </w:t>
      </w:r>
      <w:r w:rsidRPr="00A16DA3">
        <w:rPr>
          <w:szCs w:val="24"/>
        </w:rPr>
        <w:t xml:space="preserve">revisions </w:t>
      </w:r>
      <w:r w:rsidRPr="00A16DA3" w:rsidR="007C0FD8">
        <w:rPr>
          <w:szCs w:val="24"/>
        </w:rPr>
        <w:t>that were</w:t>
      </w:r>
      <w:r w:rsidRPr="00A16DA3">
        <w:rPr>
          <w:szCs w:val="24"/>
        </w:rPr>
        <w:t xml:space="preserve"> incorporated into the final survey materials upon receipt of agency approval.</w:t>
      </w:r>
    </w:p>
    <w:p w:rsidR="008C32AA" w:rsidP="00CE3562" w14:paraId="4EAF1F1A" w14:textId="449BAFF8">
      <w:pPr>
        <w:widowControl w:val="0"/>
        <w:spacing w:before="120"/>
        <w:rPr>
          <w:szCs w:val="24"/>
        </w:rPr>
      </w:pPr>
      <w:r>
        <w:rPr>
          <w:szCs w:val="24"/>
        </w:rPr>
        <w:t>T</w:t>
      </w:r>
      <w:r w:rsidR="00740DB2">
        <w:rPr>
          <w:szCs w:val="24"/>
        </w:rPr>
        <w:t xml:space="preserve">he survey </w:t>
      </w:r>
      <w:r>
        <w:rPr>
          <w:szCs w:val="24"/>
        </w:rPr>
        <w:t xml:space="preserve">and/or the way it is conducted </w:t>
      </w:r>
      <w:r w:rsidR="00740DB2">
        <w:rPr>
          <w:szCs w:val="24"/>
        </w:rPr>
        <w:t xml:space="preserve">may be </w:t>
      </w:r>
      <w:r>
        <w:rPr>
          <w:szCs w:val="24"/>
        </w:rPr>
        <w:t xml:space="preserve">altered </w:t>
      </w:r>
      <w:r w:rsidR="00D04564">
        <w:rPr>
          <w:szCs w:val="24"/>
        </w:rPr>
        <w:t xml:space="preserve">slightly to pilot experimental initiatives designed to </w:t>
      </w:r>
      <w:r w:rsidR="0050671A">
        <w:rPr>
          <w:szCs w:val="24"/>
        </w:rPr>
        <w:t xml:space="preserve">reverse </w:t>
      </w:r>
      <w:r w:rsidR="008A24BD">
        <w:rPr>
          <w:szCs w:val="24"/>
        </w:rPr>
        <w:t xml:space="preserve">declining </w:t>
      </w:r>
      <w:r w:rsidR="00D04564">
        <w:rPr>
          <w:szCs w:val="24"/>
        </w:rPr>
        <w:t>response</w:t>
      </w:r>
      <w:r w:rsidR="000D41B2">
        <w:rPr>
          <w:szCs w:val="24"/>
        </w:rPr>
        <w:t xml:space="preserve"> rates</w:t>
      </w:r>
      <w:r w:rsidR="00D04564">
        <w:rPr>
          <w:szCs w:val="24"/>
        </w:rPr>
        <w:t xml:space="preserve">. These could include cell phone dialing, </w:t>
      </w:r>
      <w:r w:rsidR="00040B10">
        <w:rPr>
          <w:szCs w:val="24"/>
        </w:rPr>
        <w:t>supplemental outreach via email and/or text messaging, questionnaire changes</w:t>
      </w:r>
      <w:r>
        <w:rPr>
          <w:szCs w:val="24"/>
        </w:rPr>
        <w:t xml:space="preserve">, and others. </w:t>
      </w:r>
      <w:r w:rsidR="003B685C">
        <w:rPr>
          <w:szCs w:val="24"/>
        </w:rPr>
        <w:t>These are mostly additional ways for respondents to access the same survey</w:t>
      </w:r>
      <w:r w:rsidR="00FD5A26">
        <w:rPr>
          <w:szCs w:val="24"/>
        </w:rPr>
        <w:t xml:space="preserve">, so a formal pre-test will not be required. Instead, </w:t>
      </w:r>
      <w:r w:rsidR="00274AEA">
        <w:rPr>
          <w:szCs w:val="24"/>
        </w:rPr>
        <w:t>the team</w:t>
      </w:r>
      <w:r w:rsidRPr="006552F5" w:rsidR="00274AEA">
        <w:rPr>
          <w:szCs w:val="24"/>
        </w:rPr>
        <w:t xml:space="preserve"> </w:t>
      </w:r>
      <w:r w:rsidR="006552F5">
        <w:rPr>
          <w:szCs w:val="24"/>
        </w:rPr>
        <w:t xml:space="preserve">will </w:t>
      </w:r>
      <w:r w:rsidRPr="006552F5" w:rsidR="006552F5">
        <w:rPr>
          <w:szCs w:val="24"/>
        </w:rPr>
        <w:t xml:space="preserve">experiment with a portion of the monthly sample receiving the new protocols and </w:t>
      </w:r>
      <w:r w:rsidR="00274AEA">
        <w:rPr>
          <w:szCs w:val="24"/>
        </w:rPr>
        <w:t xml:space="preserve">will conduct </w:t>
      </w:r>
      <w:r w:rsidRPr="006552F5" w:rsidR="006552F5">
        <w:rPr>
          <w:szCs w:val="24"/>
        </w:rPr>
        <w:t>an analysis of the outcomes at the end of the data collection month to determine if the changes had a positive impact on response rate.</w:t>
      </w:r>
    </w:p>
    <w:p w:rsidR="00FA12AC" w:rsidP="00CE3562" w14:paraId="438EC406" w14:textId="6D682061">
      <w:pPr>
        <w:widowControl w:val="0"/>
        <w:spacing w:before="120"/>
        <w:rPr>
          <w:szCs w:val="24"/>
        </w:rPr>
      </w:pPr>
      <w:r w:rsidRPr="00A16DA3">
        <w:rPr>
          <w:szCs w:val="24"/>
        </w:rPr>
        <w:t xml:space="preserve">Survey procedures </w:t>
      </w:r>
      <w:r w:rsidRPr="00A16DA3" w:rsidR="007C0FD8">
        <w:rPr>
          <w:szCs w:val="24"/>
        </w:rPr>
        <w:t>ar</w:t>
      </w:r>
      <w:r w:rsidRPr="00A16DA3">
        <w:rPr>
          <w:szCs w:val="24"/>
        </w:rPr>
        <w:t>e tested in several ways and will be on-going when any changes are made to the base survey instrument</w:t>
      </w:r>
      <w:r w:rsidR="007C73B7">
        <w:rPr>
          <w:szCs w:val="24"/>
        </w:rPr>
        <w:t xml:space="preserve">. </w:t>
      </w:r>
      <w:r w:rsidRPr="00A16DA3">
        <w:rPr>
          <w:szCs w:val="24"/>
        </w:rPr>
        <w:t>These tests will involv</w:t>
      </w:r>
      <w:r w:rsidRPr="00A16DA3" w:rsidR="00997C4B">
        <w:rPr>
          <w:szCs w:val="24"/>
        </w:rPr>
        <w:t>e</w:t>
      </w:r>
      <w:r w:rsidRPr="00A16DA3">
        <w:rPr>
          <w:szCs w:val="24"/>
        </w:rPr>
        <w:t xml:space="preserve"> no more than nine participants to examine the comprehensibility, structure</w:t>
      </w:r>
      <w:r w:rsidR="00A1436E">
        <w:rPr>
          <w:szCs w:val="24"/>
        </w:rPr>
        <w:t>,</w:t>
      </w:r>
      <w:r w:rsidRPr="00A16DA3">
        <w:rPr>
          <w:szCs w:val="24"/>
        </w:rPr>
        <w:t xml:space="preserve"> and order of survey questions.</w:t>
      </w:r>
      <w:r w:rsidR="00A1436E">
        <w:rPr>
          <w:szCs w:val="24"/>
        </w:rPr>
        <w:t xml:space="preserve"> </w:t>
      </w:r>
      <w:r w:rsidRPr="00A16DA3">
        <w:rPr>
          <w:szCs w:val="24"/>
        </w:rPr>
        <w:t xml:space="preserve">All testing </w:t>
      </w:r>
      <w:r w:rsidRPr="00A16DA3" w:rsidR="000E421B">
        <w:rPr>
          <w:szCs w:val="24"/>
        </w:rPr>
        <w:t>is</w:t>
      </w:r>
      <w:r w:rsidRPr="00A16DA3">
        <w:rPr>
          <w:szCs w:val="24"/>
        </w:rPr>
        <w:t xml:space="preserve"> done in the conduct of the monthly survey utilizing replicated sub-samples of the main sample file.</w:t>
      </w:r>
    </w:p>
    <w:p w:rsidR="005F2754" w:rsidRPr="00AF2F66" w:rsidP="00CE3562" w14:paraId="179AD281" w14:textId="39AB7F71">
      <w:pPr>
        <w:widowControl w:val="0"/>
        <w:spacing w:before="120"/>
      </w:pPr>
      <w:r w:rsidRPr="00A16DA3">
        <w:t>Based on its experience, S</w:t>
      </w:r>
      <w:r w:rsidR="00ED4786">
        <w:t>SRS</w:t>
      </w:r>
      <w:r w:rsidRPr="00A16DA3">
        <w:t xml:space="preserve"> has developed mailing materials and protocols, which should produce the rates of response required to reach the desired number of monthly interviews</w:t>
      </w:r>
      <w:r w:rsidR="007C73B7">
        <w:t xml:space="preserve">. </w:t>
      </w:r>
      <w:r w:rsidR="00364878">
        <w:t>SSRS</w:t>
      </w:r>
      <w:r w:rsidRPr="00A16DA3" w:rsidR="00364878">
        <w:t xml:space="preserve"> </w:t>
      </w:r>
      <w:r w:rsidRPr="00A16DA3">
        <w:t xml:space="preserve">plans no testing/experiments of different mailing procedures as a matter of course during the </w:t>
      </w:r>
      <w:r w:rsidRPr="00A16DA3">
        <w:t>conduct of the fieldwork</w:t>
      </w:r>
      <w:r w:rsidR="007C73B7">
        <w:t xml:space="preserve">. </w:t>
      </w:r>
      <w:r w:rsidRPr="00A16DA3">
        <w:t>Any contemplated mailing procedure changes will be based on observed response rates, mail return rates, and respondent feedback where available</w:t>
      </w:r>
      <w:r w:rsidR="007C73B7">
        <w:t xml:space="preserve">. </w:t>
      </w:r>
      <w:r w:rsidRPr="00A16DA3">
        <w:t>Any proposed mailing procedure changes or experiments will be submitted for app</w:t>
      </w:r>
      <w:r w:rsidR="00E74059">
        <w:t>roval prior to implementation.</w:t>
      </w:r>
    </w:p>
    <w:bookmarkEnd w:id="16"/>
    <w:p w:rsidR="00FA12AC" w:rsidRPr="00AF2F66" w:rsidP="00CE3562" w14:paraId="7E9F2A5C" w14:textId="77777777">
      <w:pPr>
        <w:pStyle w:val="Heading1"/>
        <w:keepNext w:val="0"/>
        <w:widowControl w:val="0"/>
        <w:numPr>
          <w:ilvl w:val="0"/>
          <w:numId w:val="30"/>
        </w:numPr>
        <w:spacing w:before="240"/>
        <w:ind w:left="720"/>
        <w:rPr>
          <w:rFonts w:ascii="Times New Roman Bold" w:hAnsi="Times New Roman Bold"/>
          <w:smallCaps/>
        </w:rPr>
      </w:pPr>
      <w:r w:rsidRPr="00AF2F66">
        <w:rPr>
          <w:rFonts w:ascii="Times New Roman Bold" w:hAnsi="Times New Roman Bold"/>
          <w:smallCaps/>
        </w:rPr>
        <w:t>Points of Contact for Statistical Design:</w:t>
      </w:r>
    </w:p>
    <w:p w:rsidR="00FD62B6" w:rsidRPr="00AF2F66" w:rsidP="00CE3562" w14:paraId="50CCAA64" w14:textId="5D31C5C0">
      <w:pPr>
        <w:widowControl w:val="0"/>
        <w:spacing w:before="120"/>
        <w:rPr>
          <w:szCs w:val="24"/>
        </w:rPr>
      </w:pPr>
      <w:r>
        <w:t>Dr. Mansour Fahimi</w:t>
      </w:r>
      <w:r w:rsidR="00FA1363">
        <w:t xml:space="preserve"> P</w:t>
      </w:r>
      <w:r w:rsidR="00FA30A7">
        <w:t>h</w:t>
      </w:r>
      <w:r w:rsidR="00FA1363">
        <w:t>.D</w:t>
      </w:r>
      <w:r>
        <w:t>.</w:t>
      </w:r>
      <w:r w:rsidR="00AF2F66">
        <w:br/>
      </w:r>
      <w:r>
        <w:t>Executive Vice President, Chief Data Scientist</w:t>
      </w:r>
      <w:r w:rsidR="00AF2F66">
        <w:br/>
      </w:r>
      <w:hyperlink r:id="rId9" w:history="1">
        <w:r w:rsidRPr="00AF2F66">
          <w:rPr>
            <w:rStyle w:val="Hyperlink"/>
            <w:szCs w:val="24"/>
          </w:rPr>
          <w:t>mfahimi@m-s-g.com</w:t>
        </w:r>
      </w:hyperlink>
    </w:p>
    <w:p w:rsidR="006E6095" w:rsidP="00CE3562" w14:paraId="219A22DD" w14:textId="106696EA">
      <w:pPr>
        <w:widowControl w:val="0"/>
        <w:spacing w:before="120"/>
      </w:pPr>
      <w:r>
        <w:t>Nathan Shepherd</w:t>
      </w:r>
      <w:r w:rsidR="00AF2F66">
        <w:br/>
      </w:r>
      <w:r>
        <w:t>Project Manager and SME, Data Science</w:t>
      </w:r>
      <w:r w:rsidR="00AF2F66">
        <w:br/>
      </w:r>
      <w:hyperlink r:id="rId10" w:history="1">
        <w:r w:rsidRPr="00310735" w:rsidR="00310735">
          <w:rPr>
            <w:rStyle w:val="Hyperlink"/>
          </w:rPr>
          <w:t>nshepherd@lmi.org</w:t>
        </w:r>
      </w:hyperlink>
    </w:p>
    <w:sectPr w:rsidSect="00F74F52">
      <w:headerReference w:type="default" r:id="rId11"/>
      <w:pgSz w:w="12240" w:h="15840" w:code="1"/>
      <w:pgMar w:top="1440"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Neue Condensed">
    <w:altName w:val="Courier New"/>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00606040000020004"/>
    <w:charset w:val="00"/>
    <w:family w:val="swiss"/>
    <w:pitch w:val="variable"/>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069BC" w14:paraId="218E9F8E" w14:textId="77777777">
      <w:r>
        <w:separator/>
      </w:r>
    </w:p>
  </w:footnote>
  <w:footnote w:type="continuationSeparator" w:id="1">
    <w:p w:rsidR="009069BC" w14:paraId="4782D7EC" w14:textId="77777777">
      <w:r>
        <w:continuationSeparator/>
      </w:r>
    </w:p>
  </w:footnote>
  <w:footnote w:type="continuationNotice" w:id="2">
    <w:p w:rsidR="009069BC" w14:paraId="4D68CA80" w14:textId="77777777">
      <w:pPr>
        <w:spacing w:after="0"/>
      </w:pPr>
    </w:p>
  </w:footnote>
  <w:footnote w:id="3">
    <w:p w:rsidR="00311BC0" w:rsidRPr="00FA12AC" w:rsidP="00CE3562" w14:paraId="179AD299" w14:textId="5389BBC0">
      <w:pPr>
        <w:pStyle w:val="FootnoteText"/>
        <w:spacing w:after="0"/>
        <w:rPr>
          <w:rFonts w:ascii="Times New Roman" w:hAnsi="Times New Roman"/>
          <w:sz w:val="20"/>
          <w:szCs w:val="22"/>
        </w:rPr>
      </w:pPr>
      <w:r w:rsidRPr="00FA12AC">
        <w:rPr>
          <w:rStyle w:val="FootnoteReference"/>
          <w:rFonts w:ascii="Times New Roman" w:hAnsi="Times New Roman"/>
          <w:sz w:val="20"/>
          <w:szCs w:val="22"/>
        </w:rPr>
        <w:footnoteRef/>
      </w:r>
      <w:r w:rsidRPr="00FA12AC">
        <w:rPr>
          <w:rFonts w:ascii="Times New Roman" w:hAnsi="Times New Roman"/>
          <w:sz w:val="20"/>
          <w:szCs w:val="22"/>
        </w:rPr>
        <w:t xml:space="preserve"> Bureau of Labor Statistics</w:t>
      </w:r>
      <w:r w:rsidR="004338C4">
        <w:rPr>
          <w:rFonts w:ascii="Times New Roman" w:hAnsi="Times New Roman"/>
          <w:sz w:val="20"/>
          <w:szCs w:val="22"/>
        </w:rPr>
        <w:t>, average hourly earnings, Aug 2025</w:t>
      </w:r>
      <w:r w:rsidRPr="00215443" w:rsidR="00215443">
        <w:rPr>
          <w:rFonts w:ascii="Times New Roman" w:hAnsi="Times New Roman"/>
          <w:sz w:val="20"/>
          <w:szCs w:val="22"/>
        </w:rPr>
        <w:t>: http://www.bls.gov/news.release/empsit.t19.htm, updated 11/5/2025</w:t>
      </w:r>
    </w:p>
  </w:footnote>
  <w:footnote w:id="4">
    <w:p w:rsidR="00AF1B1B" w:rsidRPr="007D72D6" w:rsidP="009A56D5" w14:paraId="179AD29A" w14:textId="77777777">
      <w:pPr>
        <w:pStyle w:val="FootnoteText"/>
        <w:spacing w:after="0"/>
        <w:ind w:left="187" w:hanging="184"/>
        <w:rPr>
          <w:rFonts w:ascii="Times New Roman" w:hAnsi="Times New Roman"/>
          <w:spacing w:val="0"/>
          <w:sz w:val="20"/>
          <w:szCs w:val="18"/>
        </w:rPr>
      </w:pPr>
      <w:r w:rsidRPr="007D72D6">
        <w:rPr>
          <w:rStyle w:val="FootnoteReference"/>
          <w:rFonts w:ascii="Times New Roman" w:hAnsi="Times New Roman"/>
          <w:spacing w:val="0"/>
          <w:sz w:val="20"/>
          <w:szCs w:val="18"/>
        </w:rPr>
        <w:footnoteRef/>
      </w:r>
      <w:r w:rsidRPr="007D72D6">
        <w:rPr>
          <w:rFonts w:ascii="Times New Roman" w:hAnsi="Times New Roman"/>
          <w:spacing w:val="0"/>
          <w:sz w:val="20"/>
          <w:szCs w:val="18"/>
        </w:rPr>
        <w:t>.</w:t>
      </w:r>
      <w:r w:rsidRPr="007D72D6">
        <w:rPr>
          <w:rFonts w:ascii="Times New Roman" w:hAnsi="Times New Roman"/>
          <w:spacing w:val="0"/>
          <w:sz w:val="20"/>
          <w:szCs w:val="18"/>
        </w:rPr>
        <w:tab/>
        <w:t xml:space="preserve">R.E. Folsom and A.C. Singh (2000).  “The Generalized Exponential Model for Sampling Weight Calibration.”  </w:t>
      </w:r>
      <w:r w:rsidRPr="007D72D6">
        <w:rPr>
          <w:rFonts w:ascii="Times New Roman" w:hAnsi="Times New Roman"/>
          <w:i/>
          <w:spacing w:val="0"/>
          <w:sz w:val="20"/>
          <w:szCs w:val="18"/>
        </w:rPr>
        <w:t xml:space="preserve">Proceedings of the Section on Survey Research </w:t>
      </w:r>
      <w:smartTag w:uri="urn:schemas-microsoft-com:office:smarttags" w:element="PersonName">
        <w:r w:rsidRPr="007D72D6">
          <w:rPr>
            <w:rFonts w:ascii="Times New Roman" w:hAnsi="Times New Roman"/>
            <w:i/>
            <w:spacing w:val="0"/>
            <w:sz w:val="20"/>
            <w:szCs w:val="18"/>
          </w:rPr>
          <w:t>Me</w:t>
        </w:r>
      </w:smartTag>
      <w:r w:rsidRPr="007D72D6">
        <w:rPr>
          <w:rFonts w:ascii="Times New Roman" w:hAnsi="Times New Roman"/>
          <w:i/>
          <w:spacing w:val="0"/>
          <w:sz w:val="20"/>
          <w:szCs w:val="18"/>
        </w:rPr>
        <w:t>thods of the American Statistical Association</w:t>
      </w:r>
      <w:r w:rsidRPr="007D72D6">
        <w:rPr>
          <w:rFonts w:ascii="Times New Roman" w:hAnsi="Times New Roman"/>
          <w:spacing w:val="0"/>
          <w:sz w:val="20"/>
          <w:szCs w:val="18"/>
        </w:rPr>
        <w:t>, pp. 598-603.</w:t>
      </w:r>
    </w:p>
  </w:footnote>
  <w:footnote w:id="5">
    <w:p w:rsidR="00FA12AC" w:rsidP="009A56D5" w14:paraId="3BCDC0BD" w14:textId="77777777">
      <w:pPr>
        <w:spacing w:after="0"/>
        <w:ind w:left="187" w:hanging="187"/>
        <w:rPr>
          <w:noProof/>
          <w:sz w:val="20"/>
          <w:szCs w:val="18"/>
        </w:rPr>
      </w:pPr>
      <w:r w:rsidRPr="007D72D6">
        <w:rPr>
          <w:noProof/>
          <w:sz w:val="20"/>
          <w:szCs w:val="18"/>
        </w:rPr>
        <w:footnoteRef/>
      </w:r>
      <w:r w:rsidRPr="007D72D6">
        <w:rPr>
          <w:noProof/>
          <w:sz w:val="20"/>
          <w:szCs w:val="18"/>
        </w:rPr>
        <w:t>.</w:t>
      </w:r>
      <w:r w:rsidRPr="007D72D6">
        <w:rPr>
          <w:noProof/>
          <w:sz w:val="20"/>
          <w:szCs w:val="18"/>
        </w:rPr>
        <w:tab/>
        <w:t xml:space="preserve">Iannacchione, V.G.  (1982).  Weighted Sequential Hot Deck Imputation Macros.  In Proceedings of the Seventh Annual SAS User’s Group International Conference (pp.759–763).  </w:t>
      </w:r>
      <w:smartTag w:uri="urn:schemas-microsoft-com:office:smarttags" w:element="place">
        <w:smartTag w:uri="urn:schemas-microsoft-com:office:smarttags" w:element="City">
          <w:r w:rsidRPr="007D72D6">
            <w:rPr>
              <w:noProof/>
              <w:sz w:val="20"/>
              <w:szCs w:val="18"/>
            </w:rPr>
            <w:t>Cary</w:t>
          </w:r>
        </w:smartTag>
        <w:r w:rsidRPr="007D72D6">
          <w:rPr>
            <w:noProof/>
            <w:sz w:val="20"/>
            <w:szCs w:val="18"/>
          </w:rPr>
          <w:t xml:space="preserve">, </w:t>
        </w:r>
        <w:smartTag w:uri="urn:schemas-microsoft-com:office:smarttags" w:element="State">
          <w:r w:rsidRPr="007D72D6">
            <w:rPr>
              <w:noProof/>
              <w:sz w:val="20"/>
              <w:szCs w:val="18"/>
            </w:rPr>
            <w:t>NC</w:t>
          </w:r>
        </w:smartTag>
      </w:smartTag>
      <w:r w:rsidRPr="007D72D6">
        <w:rPr>
          <w:noProof/>
          <w:sz w:val="20"/>
          <w:szCs w:val="18"/>
        </w:rPr>
        <w:t>: SAS Institute, Inc.</w:t>
      </w:r>
    </w:p>
    <w:p w:rsidR="00AF1B1B" w:rsidP="009A56D5" w14:paraId="179AD29C" w14:textId="3F04F23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1B1B" w14:paraId="179AD298" w14:textId="79088256">
    <w:pPr>
      <w:pStyle w:val="Header"/>
      <w:jc w:val="center"/>
    </w:pPr>
    <w:r>
      <w:rPr>
        <w:rStyle w:val="PageNumber"/>
      </w:rPr>
      <w:fldChar w:fldCharType="begin"/>
    </w:r>
    <w:r>
      <w:rPr>
        <w:rStyle w:val="PageNumber"/>
      </w:rPr>
      <w:instrText xml:space="preserve"> PAGE </w:instrText>
    </w:r>
    <w:r>
      <w:rPr>
        <w:rStyle w:val="PageNumber"/>
      </w:rPr>
      <w:fldChar w:fldCharType="separate"/>
    </w:r>
    <w:r w:rsidR="0061043B">
      <w:rPr>
        <w:rStyle w:val="PageNumber"/>
        <w:noProof/>
      </w:rPr>
      <w:t>4</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C03E4"/>
    <w:multiLevelType w:val="multilevel"/>
    <w:tmpl w:val="9D38F3EA"/>
    <w:lvl w:ilvl="0">
      <w:start w:val="1"/>
      <w:numFmt w:val="bullet"/>
      <w:lvlText w:val=""/>
      <w:lvlJc w:val="left"/>
      <w:pPr>
        <w:tabs>
          <w:tab w:val="num" w:pos="1800"/>
        </w:tabs>
        <w:ind w:left="1800" w:hanging="1440"/>
      </w:pPr>
      <w:rPr>
        <w:rFonts w:ascii="Symbol" w:hAnsi="Symbol" w:hint="default"/>
        <w:b/>
        <w:i w:val="0"/>
        <w:caps w:val="0"/>
        <w:strike w:val="0"/>
        <w:dstrike w:val="0"/>
        <w:vanish w:val="0"/>
        <w:color w:val="000000"/>
        <w:sz w:val="24"/>
        <w:vertAlign w:val="baseline"/>
      </w:rPr>
    </w:lvl>
    <w:lvl w:ilvl="1">
      <w:start w:val="1"/>
      <w:numFmt w:val="decimal"/>
      <w:lvlText w:val="%1.%2"/>
      <w:lvlJc w:val="left"/>
      <w:pPr>
        <w:tabs>
          <w:tab w:val="num" w:pos="1080"/>
        </w:tabs>
        <w:ind w:left="1080" w:hanging="720"/>
      </w:pPr>
      <w:rPr>
        <w:rFonts w:ascii="HelveticaNeue Condensed" w:hAnsi="HelveticaNeue Condensed" w:hint="default"/>
        <w:b/>
        <w:i w:val="0"/>
        <w:sz w:val="24"/>
      </w:rPr>
    </w:lvl>
    <w:lvl w:ilvl="2">
      <w:start w:val="1"/>
      <w:numFmt w:val="decimal"/>
      <w:lvlText w:val="%1.%2.%3"/>
      <w:lvlJc w:val="left"/>
      <w:pPr>
        <w:tabs>
          <w:tab w:val="num" w:pos="1296"/>
        </w:tabs>
        <w:ind w:left="1296" w:hanging="936"/>
      </w:pPr>
      <w:rPr>
        <w:rFonts w:ascii="HelveticaNeue Condensed" w:hAnsi="HelveticaNeue Condensed" w:hint="default"/>
        <w:b/>
        <w:i w:val="0"/>
        <w:caps w:val="0"/>
        <w:sz w:val="22"/>
      </w:rPr>
    </w:lvl>
    <w:lvl w:ilvl="3">
      <w:start w:val="1"/>
      <w:numFmt w:val="decimal"/>
      <w:lvlText w:val="%1.%2.%3.%4"/>
      <w:lvlJc w:val="left"/>
      <w:pPr>
        <w:tabs>
          <w:tab w:val="num" w:pos="1800"/>
        </w:tabs>
        <w:ind w:left="1440" w:hanging="1080"/>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1">
    <w:nsid w:val="03214ADA"/>
    <w:multiLevelType w:val="singleLevel"/>
    <w:tmpl w:val="0409000F"/>
    <w:lvl w:ilvl="0">
      <w:start w:val="1"/>
      <w:numFmt w:val="decimal"/>
      <w:lvlText w:val="%1."/>
      <w:lvlJc w:val="left"/>
      <w:pPr>
        <w:tabs>
          <w:tab w:val="num" w:pos="360"/>
        </w:tabs>
        <w:ind w:left="360" w:hanging="360"/>
      </w:pPr>
    </w:lvl>
  </w:abstractNum>
  <w:abstractNum w:abstractNumId="2">
    <w:nsid w:val="03741A0C"/>
    <w:multiLevelType w:val="hybridMultilevel"/>
    <w:tmpl w:val="135ABEF0"/>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5DD2C86"/>
    <w:multiLevelType w:val="hybridMultilevel"/>
    <w:tmpl w:val="7EF26B4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630048F"/>
    <w:multiLevelType w:val="hybridMultilevel"/>
    <w:tmpl w:val="FF168F2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063C5542"/>
    <w:multiLevelType w:val="hybridMultilevel"/>
    <w:tmpl w:val="FD8EE7E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C456889"/>
    <w:multiLevelType w:val="hybridMultilevel"/>
    <w:tmpl w:val="2DE287C8"/>
    <w:lvl w:ilvl="0">
      <w:start w:val="1"/>
      <w:numFmt w:val="decimal"/>
      <w:lvlText w:val="%1."/>
      <w:lvlJc w:val="left"/>
      <w:pPr>
        <w:ind w:left="720" w:hanging="360"/>
      </w:pPr>
      <w:rPr>
        <w:rFonts w:hint="default"/>
        <w:b/>
        <w:i w:val="0"/>
        <w:caps w:val="0"/>
        <w:strike w:val="0"/>
        <w:dstrike w:val="0"/>
        <w:vanish w:val="0"/>
        <w:color w:val="000000"/>
        <w:sz w:val="28"/>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0AE11CD"/>
    <w:multiLevelType w:val="hybridMultilevel"/>
    <w:tmpl w:val="ED9AE242"/>
    <w:lvl w:ilvl="0">
      <w:start w:val="1"/>
      <w:numFmt w:val="upp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14C55D3"/>
    <w:multiLevelType w:val="hybridMultilevel"/>
    <w:tmpl w:val="969A2A7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12D23CFF"/>
    <w:multiLevelType w:val="hybridMultilevel"/>
    <w:tmpl w:val="2DE287C8"/>
    <w:lvl w:ilvl="0">
      <w:start w:val="1"/>
      <w:numFmt w:val="decimal"/>
      <w:lvlText w:val="%1."/>
      <w:lvlJc w:val="left"/>
      <w:pPr>
        <w:ind w:left="720" w:hanging="360"/>
      </w:pPr>
      <w:rPr>
        <w:rFonts w:hint="default"/>
        <w:b/>
        <w:i w:val="0"/>
        <w:caps w:val="0"/>
        <w:strike w:val="0"/>
        <w:dstrike w:val="0"/>
        <w:vanish w:val="0"/>
        <w:color w:val="000000"/>
        <w:sz w:val="28"/>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9992912"/>
    <w:multiLevelType w:val="hybridMultilevel"/>
    <w:tmpl w:val="C9D8DD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DA91C68"/>
    <w:multiLevelType w:val="multilevel"/>
    <w:tmpl w:val="0E08C996"/>
    <w:lvl w:ilvl="0">
      <w:start w:val="1"/>
      <w:numFmt w:val="bullet"/>
      <w:lvlText w:val=""/>
      <w:lvlJc w:val="left"/>
      <w:pPr>
        <w:tabs>
          <w:tab w:val="num" w:pos="1800"/>
        </w:tabs>
        <w:ind w:left="1800" w:hanging="1440"/>
      </w:pPr>
      <w:rPr>
        <w:rFonts w:ascii="Symbol" w:hAnsi="Symbol" w:hint="default"/>
        <w:b/>
        <w:i w:val="0"/>
        <w:caps w:val="0"/>
        <w:strike w:val="0"/>
        <w:dstrike w:val="0"/>
        <w:vanish w:val="0"/>
        <w:color w:val="000000"/>
        <w:sz w:val="24"/>
        <w:vertAlign w:val="baseline"/>
      </w:rPr>
    </w:lvl>
    <w:lvl w:ilvl="1">
      <w:start w:val="1"/>
      <w:numFmt w:val="decimal"/>
      <w:lvlText w:val="%1.%2"/>
      <w:lvlJc w:val="left"/>
      <w:pPr>
        <w:tabs>
          <w:tab w:val="num" w:pos="1080"/>
        </w:tabs>
        <w:ind w:left="1080" w:hanging="720"/>
      </w:pPr>
      <w:rPr>
        <w:rFonts w:ascii="HelveticaNeue Condensed" w:hAnsi="HelveticaNeue Condensed" w:hint="default"/>
        <w:b/>
        <w:i w:val="0"/>
        <w:sz w:val="24"/>
      </w:rPr>
    </w:lvl>
    <w:lvl w:ilvl="2">
      <w:start w:val="1"/>
      <w:numFmt w:val="decimal"/>
      <w:lvlText w:val="%1.%2.%3"/>
      <w:lvlJc w:val="left"/>
      <w:pPr>
        <w:tabs>
          <w:tab w:val="num" w:pos="1296"/>
        </w:tabs>
        <w:ind w:left="1296" w:hanging="936"/>
      </w:pPr>
      <w:rPr>
        <w:rFonts w:ascii="HelveticaNeue Condensed" w:hAnsi="HelveticaNeue Condensed" w:hint="default"/>
        <w:b/>
        <w:i w:val="0"/>
        <w:caps w:val="0"/>
        <w:sz w:val="22"/>
      </w:rPr>
    </w:lvl>
    <w:lvl w:ilvl="3">
      <w:start w:val="1"/>
      <w:numFmt w:val="decimal"/>
      <w:lvlText w:val="%1.%2.%3.%4"/>
      <w:lvlJc w:val="left"/>
      <w:pPr>
        <w:tabs>
          <w:tab w:val="num" w:pos="1800"/>
        </w:tabs>
        <w:ind w:left="1440" w:hanging="1080"/>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12">
    <w:nsid w:val="1F926945"/>
    <w:multiLevelType w:val="hybridMultilevel"/>
    <w:tmpl w:val="85A8EBA8"/>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44242EE"/>
    <w:multiLevelType w:val="multilevel"/>
    <w:tmpl w:val="26225FBE"/>
    <w:lvl w:ilvl="0">
      <w:start w:val="1"/>
      <w:numFmt w:val="decimal"/>
      <w:lvlText w:val="%1."/>
      <w:lvlJc w:val="left"/>
      <w:pPr>
        <w:ind w:left="420" w:hanging="420"/>
      </w:pPr>
      <w:rPr>
        <w:rFonts w:hint="default"/>
        <w:b/>
        <w:i/>
        <w:caps w:val="0"/>
        <w:strike w:val="0"/>
        <w:dstrike w:val="0"/>
        <w:vanish w:val="0"/>
        <w:sz w:val="24"/>
        <w:vertAlign w:val="baseline"/>
      </w:rPr>
    </w:lvl>
    <w:lvl w:ilvl="1">
      <w:start w:val="1"/>
      <w:numFmt w:val="upperLetter"/>
      <w:lvlText w:val="%2."/>
      <w:lvlJc w:val="left"/>
      <w:pPr>
        <w:ind w:left="1080" w:hanging="360"/>
      </w:pPr>
      <w:rPr>
        <w:rFonts w:hint="default"/>
        <w:b w:val="0"/>
        <w:i w:val="0"/>
        <w:sz w:val="24"/>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24AD32A2"/>
    <w:multiLevelType w:val="hybridMultilevel"/>
    <w:tmpl w:val="A530B35A"/>
    <w:lvl w:ilvl="0">
      <w:start w:val="11"/>
      <w:numFmt w:val="decimal"/>
      <w:lvlText w:val="%1."/>
      <w:lvlJc w:val="left"/>
      <w:pPr>
        <w:ind w:left="6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AB80550"/>
    <w:multiLevelType w:val="hybridMultilevel"/>
    <w:tmpl w:val="246499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AEE1A61"/>
    <w:multiLevelType w:val="hybridMultilevel"/>
    <w:tmpl w:val="862CD5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B436969"/>
    <w:multiLevelType w:val="hybridMultilevel"/>
    <w:tmpl w:val="4CD4C3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D972B3E"/>
    <w:multiLevelType w:val="hybridMultilevel"/>
    <w:tmpl w:val="4770ED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FFC1D4E"/>
    <w:multiLevelType w:val="hybridMultilevel"/>
    <w:tmpl w:val="FDC61AC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00609D3"/>
    <w:multiLevelType w:val="hybridMultilevel"/>
    <w:tmpl w:val="0382ED7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1">
    <w:nsid w:val="32D96143"/>
    <w:multiLevelType w:val="hybridMultilevel"/>
    <w:tmpl w:val="DA767F1E"/>
    <w:lvl w:ilvl="0">
      <w:start w:val="11"/>
      <w:numFmt w:val="decimal"/>
      <w:lvlText w:val="%1."/>
      <w:lvlJc w:val="left"/>
      <w:pPr>
        <w:ind w:left="6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3062BBC"/>
    <w:multiLevelType w:val="hybridMultilevel"/>
    <w:tmpl w:val="0C14B99A"/>
    <w:lvl w:ilvl="0">
      <w:start w:val="0"/>
      <w:numFmt w:val="decimal"/>
      <w:lvlText w:val="%1."/>
      <w:lvlJc w:val="left"/>
      <w:pPr>
        <w:ind w:left="360" w:hanging="360"/>
      </w:pPr>
      <w:rPr>
        <w:rFonts w:hint="default"/>
        <w:b/>
        <w:i w:val="0"/>
        <w:caps w:val="0"/>
        <w:strike w:val="0"/>
        <w:dstrike w:val="0"/>
        <w:vanish w:val="0"/>
        <w:color w:val="000000"/>
        <w:sz w:val="28"/>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378075EB"/>
    <w:multiLevelType w:val="multilevel"/>
    <w:tmpl w:val="220C9CB4"/>
    <w:lvl w:ilvl="0">
      <w:start w:val="1"/>
      <w:numFmt w:val="bullet"/>
      <w:lvlText w:val=""/>
      <w:lvlJc w:val="left"/>
      <w:pPr>
        <w:tabs>
          <w:tab w:val="num" w:pos="1710"/>
        </w:tabs>
        <w:ind w:left="1710" w:hanging="1440"/>
      </w:pPr>
      <w:rPr>
        <w:rFonts w:ascii="Symbol" w:hAnsi="Symbol" w:hint="default"/>
        <w:b/>
        <w:i w:val="0"/>
        <w:caps w:val="0"/>
        <w:strike w:val="0"/>
        <w:dstrike w:val="0"/>
        <w:vanish w:val="0"/>
        <w:color w:val="000000"/>
        <w:sz w:val="24"/>
        <w:vertAlign w:val="baseline"/>
      </w:rPr>
    </w:lvl>
    <w:lvl w:ilvl="1">
      <w:start w:val="1"/>
      <w:numFmt w:val="decimal"/>
      <w:lvlText w:val="%1.%2"/>
      <w:lvlJc w:val="left"/>
      <w:pPr>
        <w:tabs>
          <w:tab w:val="num" w:pos="990"/>
        </w:tabs>
        <w:ind w:left="990" w:hanging="720"/>
      </w:pPr>
      <w:rPr>
        <w:rFonts w:ascii="HelveticaNeue Condensed" w:hAnsi="HelveticaNeue Condensed" w:hint="default"/>
        <w:b/>
        <w:i w:val="0"/>
        <w:sz w:val="24"/>
      </w:rPr>
    </w:lvl>
    <w:lvl w:ilvl="2">
      <w:start w:val="1"/>
      <w:numFmt w:val="decimal"/>
      <w:lvlText w:val="%1.%2.%3"/>
      <w:lvlJc w:val="left"/>
      <w:pPr>
        <w:tabs>
          <w:tab w:val="num" w:pos="1206"/>
        </w:tabs>
        <w:ind w:left="1206" w:hanging="936"/>
      </w:pPr>
      <w:rPr>
        <w:rFonts w:ascii="HelveticaNeue Condensed" w:hAnsi="HelveticaNeue Condensed" w:hint="default"/>
        <w:b/>
        <w:i w:val="0"/>
        <w:caps w:val="0"/>
        <w:sz w:val="22"/>
      </w:rPr>
    </w:lvl>
    <w:lvl w:ilvl="3">
      <w:start w:val="1"/>
      <w:numFmt w:val="decimal"/>
      <w:lvlText w:val="%1.%2.%3.%4"/>
      <w:lvlJc w:val="left"/>
      <w:pPr>
        <w:tabs>
          <w:tab w:val="num" w:pos="1710"/>
        </w:tabs>
        <w:ind w:left="1350" w:hanging="1080"/>
      </w:pPr>
    </w:lvl>
    <w:lvl w:ilvl="4">
      <w:start w:val="1"/>
      <w:numFmt w:val="decimal"/>
      <w:lvlText w:val="%1.%2.%3.%4.%5"/>
      <w:lvlJc w:val="left"/>
      <w:pPr>
        <w:tabs>
          <w:tab w:val="num" w:pos="1278"/>
        </w:tabs>
        <w:ind w:left="1278" w:hanging="1008"/>
      </w:pPr>
    </w:lvl>
    <w:lvl w:ilvl="5">
      <w:start w:val="1"/>
      <w:numFmt w:val="decimal"/>
      <w:lvlText w:val="%1.%2.%3.%4.%5.%6"/>
      <w:lvlJc w:val="left"/>
      <w:pPr>
        <w:tabs>
          <w:tab w:val="num" w:pos="1422"/>
        </w:tabs>
        <w:ind w:left="1422" w:hanging="1152"/>
      </w:pPr>
    </w:lvl>
    <w:lvl w:ilvl="6">
      <w:start w:val="1"/>
      <w:numFmt w:val="decimal"/>
      <w:lvlText w:val="%1.%2.%3.%4.%5.%6.%7"/>
      <w:lvlJc w:val="left"/>
      <w:pPr>
        <w:tabs>
          <w:tab w:val="num" w:pos="1566"/>
        </w:tabs>
        <w:ind w:left="1566" w:hanging="1296"/>
      </w:pPr>
    </w:lvl>
    <w:lvl w:ilvl="7">
      <w:start w:val="1"/>
      <w:numFmt w:val="decimal"/>
      <w:lvlText w:val="%1.%2.%3.%4.%5.%6.%7.%8"/>
      <w:lvlJc w:val="left"/>
      <w:pPr>
        <w:tabs>
          <w:tab w:val="num" w:pos="1710"/>
        </w:tabs>
        <w:ind w:left="1710" w:hanging="1440"/>
      </w:pPr>
    </w:lvl>
    <w:lvl w:ilvl="8">
      <w:start w:val="1"/>
      <w:numFmt w:val="decimal"/>
      <w:lvlText w:val="%1.%2.%3.%4.%5.%6.%7.%8.%9"/>
      <w:lvlJc w:val="left"/>
      <w:pPr>
        <w:tabs>
          <w:tab w:val="num" w:pos="1854"/>
        </w:tabs>
        <w:ind w:left="1854" w:hanging="1584"/>
      </w:pPr>
    </w:lvl>
  </w:abstractNum>
  <w:abstractNum w:abstractNumId="24">
    <w:nsid w:val="39EE219E"/>
    <w:multiLevelType w:val="hybridMultilevel"/>
    <w:tmpl w:val="C8920EA6"/>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25">
    <w:nsid w:val="3CDC7DC5"/>
    <w:multiLevelType w:val="hybridMultilevel"/>
    <w:tmpl w:val="2EA020CA"/>
    <w:lvl w:ilvl="0">
      <w:start w:val="1"/>
      <w:numFmt w:val="decimal"/>
      <w:lvlText w:val="B%1."/>
      <w:lvlJc w:val="left"/>
      <w:pPr>
        <w:ind w:left="720" w:hanging="720"/>
      </w:pPr>
      <w:rPr>
        <w:rFonts w:ascii="Times New Roman Bold" w:hAnsi="Times New Roman Bold" w:hint="default"/>
        <w:b/>
        <w:i w:val="0"/>
        <w:color w:val="000000" w:themeColor="text1"/>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4062432D"/>
    <w:multiLevelType w:val="hybridMultilevel"/>
    <w:tmpl w:val="D90E7A7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43FD7884"/>
    <w:multiLevelType w:val="hybridMultilevel"/>
    <w:tmpl w:val="9B70912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455D3132"/>
    <w:multiLevelType w:val="hybridMultilevel"/>
    <w:tmpl w:val="F9F6EF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2C17D73"/>
    <w:multiLevelType w:val="hybridMultilevel"/>
    <w:tmpl w:val="F356AF1A"/>
    <w:lvl w:ilvl="0">
      <w:start w:val="1"/>
      <w:numFmt w:val="lowerLetter"/>
      <w:lvlText w:val="%1."/>
      <w:lvlJc w:val="left"/>
      <w:pPr>
        <w:ind w:left="360" w:hanging="360"/>
      </w:pPr>
      <w:rPr>
        <w:rFonts w:hint="default"/>
        <w:b w:val="0"/>
        <w:i w:val="0"/>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nsid w:val="53CB53D9"/>
    <w:multiLevelType w:val="hybridMultilevel"/>
    <w:tmpl w:val="F51CC6EE"/>
    <w:lvl w:ilvl="0">
      <w:start w:val="2"/>
      <w:numFmt w:val="decimal"/>
      <w:lvlText w:val="%1."/>
      <w:lvlJc w:val="left"/>
      <w:pPr>
        <w:ind w:left="720" w:hanging="360"/>
      </w:pPr>
      <w:rPr>
        <w:rFonts w:hint="default"/>
        <w:i w:val="0"/>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8366267"/>
    <w:multiLevelType w:val="hybridMultilevel"/>
    <w:tmpl w:val="8D101E1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nsid w:val="5E9C491F"/>
    <w:multiLevelType w:val="hybridMultilevel"/>
    <w:tmpl w:val="E27A14EA"/>
    <w:lvl w:ilvl="0">
      <w:start w:val="1"/>
      <w:numFmt w:val="lowerLetter"/>
      <w:lvlText w:val="%1."/>
      <w:lvlJc w:val="left"/>
      <w:pPr>
        <w:ind w:left="360" w:hanging="360"/>
      </w:pPr>
      <w:rPr>
        <w:rFonts w:hint="default"/>
        <w:b w:val="0"/>
        <w:i w:val="0"/>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63DE1939"/>
    <w:multiLevelType w:val="multilevel"/>
    <w:tmpl w:val="90220CD4"/>
    <w:lvl w:ilvl="0">
      <w:start w:val="1"/>
      <w:numFmt w:val="bullet"/>
      <w:lvlText w:val=""/>
      <w:lvlJc w:val="left"/>
      <w:pPr>
        <w:tabs>
          <w:tab w:val="num" w:pos="1800"/>
        </w:tabs>
        <w:ind w:left="1800" w:hanging="1440"/>
      </w:pPr>
      <w:rPr>
        <w:rFonts w:ascii="Symbol" w:hAnsi="Symbol" w:hint="default"/>
        <w:b/>
        <w:i w:val="0"/>
        <w:caps w:val="0"/>
        <w:strike w:val="0"/>
        <w:dstrike w:val="0"/>
        <w:vanish w:val="0"/>
        <w:color w:val="000000"/>
        <w:sz w:val="24"/>
        <w:vertAlign w:val="baseline"/>
      </w:rPr>
    </w:lvl>
    <w:lvl w:ilvl="1">
      <w:start w:val="1"/>
      <w:numFmt w:val="decimal"/>
      <w:lvlText w:val="%1.%2"/>
      <w:lvlJc w:val="left"/>
      <w:pPr>
        <w:tabs>
          <w:tab w:val="num" w:pos="1080"/>
        </w:tabs>
        <w:ind w:left="1080" w:hanging="720"/>
      </w:pPr>
      <w:rPr>
        <w:rFonts w:ascii="HelveticaNeue Condensed" w:hAnsi="HelveticaNeue Condensed" w:hint="default"/>
        <w:b/>
        <w:i w:val="0"/>
        <w:sz w:val="24"/>
      </w:rPr>
    </w:lvl>
    <w:lvl w:ilvl="2">
      <w:start w:val="1"/>
      <w:numFmt w:val="decimal"/>
      <w:lvlText w:val="%1.%2.%3"/>
      <w:lvlJc w:val="left"/>
      <w:pPr>
        <w:tabs>
          <w:tab w:val="num" w:pos="1296"/>
        </w:tabs>
        <w:ind w:left="1296" w:hanging="936"/>
      </w:pPr>
      <w:rPr>
        <w:rFonts w:ascii="HelveticaNeue Condensed" w:hAnsi="HelveticaNeue Condensed" w:hint="default"/>
        <w:b/>
        <w:i w:val="0"/>
        <w:caps w:val="0"/>
        <w:sz w:val="22"/>
      </w:rPr>
    </w:lvl>
    <w:lvl w:ilvl="3">
      <w:start w:val="1"/>
      <w:numFmt w:val="decimal"/>
      <w:lvlText w:val="%1.%2.%3.%4"/>
      <w:lvlJc w:val="left"/>
      <w:pPr>
        <w:tabs>
          <w:tab w:val="num" w:pos="1800"/>
        </w:tabs>
        <w:ind w:left="1440" w:hanging="1080"/>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34">
    <w:nsid w:val="66A05486"/>
    <w:multiLevelType w:val="hybridMultilevel"/>
    <w:tmpl w:val="A63AA486"/>
    <w:lvl w:ilvl="0">
      <w:start w:val="1"/>
      <w:numFmt w:val="decimal"/>
      <w:lvlText w:val="B%1."/>
      <w:lvlJc w:val="left"/>
      <w:pPr>
        <w:ind w:left="360" w:hanging="360"/>
      </w:pPr>
      <w:rPr>
        <w:rFonts w:hint="default"/>
        <w:b/>
        <w:i w:val="0"/>
        <w:caps w:val="0"/>
        <w:strike w:val="0"/>
        <w:dstrike w:val="0"/>
        <w:vanish w:val="0"/>
        <w:color w:val="000000"/>
        <w:sz w:val="22"/>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5">
    <w:nsid w:val="72062271"/>
    <w:multiLevelType w:val="hybridMultilevel"/>
    <w:tmpl w:val="12B40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CD67D81"/>
    <w:multiLevelType w:val="hybridMultilevel"/>
    <w:tmpl w:val="6C9C3BFA"/>
    <w:lvl w:ilvl="0">
      <w:start w:val="1"/>
      <w:numFmt w:val="upperLetter"/>
      <w:lvlText w:val="%1."/>
      <w:lvlJc w:val="left"/>
      <w:pPr>
        <w:ind w:left="720" w:hanging="360"/>
      </w:pPr>
      <w:rPr>
        <w:rFonts w:hint="default"/>
        <w:b/>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FB22B92"/>
    <w:multiLevelType w:val="hybridMultilevel"/>
    <w:tmpl w:val="58C28E0A"/>
    <w:lvl w:ilvl="0">
      <w:start w:val="1"/>
      <w:numFmt w:val="bullet"/>
      <w:lvlText w:val=""/>
      <w:lvlJc w:val="left"/>
      <w:pPr>
        <w:ind w:left="360" w:hanging="360"/>
      </w:pPr>
      <w:rPr>
        <w:rFonts w:ascii="Symbol" w:hAnsi="Symbol" w:hint="default"/>
        <w:b w:val="0"/>
        <w:i w:val="0"/>
        <w:color w:val="auto"/>
        <w:sz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8">
    <w:nsid w:val="7FD27E31"/>
    <w:multiLevelType w:val="hybridMultilevel"/>
    <w:tmpl w:val="D1124F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7862143">
    <w:abstractNumId w:val="1"/>
  </w:num>
  <w:num w:numId="2" w16cid:durableId="108473404">
    <w:abstractNumId w:val="13"/>
  </w:num>
  <w:num w:numId="3" w16cid:durableId="641541466">
    <w:abstractNumId w:val="30"/>
  </w:num>
  <w:num w:numId="4" w16cid:durableId="1009722798">
    <w:abstractNumId w:val="20"/>
  </w:num>
  <w:num w:numId="5" w16cid:durableId="895629323">
    <w:abstractNumId w:val="14"/>
  </w:num>
  <w:num w:numId="6" w16cid:durableId="1694963213">
    <w:abstractNumId w:val="34"/>
  </w:num>
  <w:num w:numId="7" w16cid:durableId="1048839094">
    <w:abstractNumId w:val="22"/>
  </w:num>
  <w:num w:numId="8" w16cid:durableId="2056349630">
    <w:abstractNumId w:val="10"/>
  </w:num>
  <w:num w:numId="9" w16cid:durableId="896816821">
    <w:abstractNumId w:val="0"/>
  </w:num>
  <w:num w:numId="10" w16cid:durableId="1912999936">
    <w:abstractNumId w:val="12"/>
  </w:num>
  <w:num w:numId="11" w16cid:durableId="808593120">
    <w:abstractNumId w:val="19"/>
  </w:num>
  <w:num w:numId="12" w16cid:durableId="826676438">
    <w:abstractNumId w:val="23"/>
  </w:num>
  <w:num w:numId="13" w16cid:durableId="1191379878">
    <w:abstractNumId w:val="11"/>
  </w:num>
  <w:num w:numId="14" w16cid:durableId="179468780">
    <w:abstractNumId w:val="33"/>
  </w:num>
  <w:num w:numId="15" w16cid:durableId="1862935950">
    <w:abstractNumId w:val="16"/>
  </w:num>
  <w:num w:numId="16" w16cid:durableId="1350762637">
    <w:abstractNumId w:val="24"/>
  </w:num>
  <w:num w:numId="17" w16cid:durableId="502597608">
    <w:abstractNumId w:val="17"/>
  </w:num>
  <w:num w:numId="18" w16cid:durableId="1575817256">
    <w:abstractNumId w:val="6"/>
  </w:num>
  <w:num w:numId="19" w16cid:durableId="27729709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56390511">
    <w:abstractNumId w:val="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51356671">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31721086">
    <w:abstractNumId w:val="3"/>
  </w:num>
  <w:num w:numId="23" w16cid:durableId="152332645">
    <w:abstractNumId w:val="21"/>
  </w:num>
  <w:num w:numId="24" w16cid:durableId="477958132">
    <w:abstractNumId w:val="38"/>
  </w:num>
  <w:num w:numId="25" w16cid:durableId="361974571">
    <w:abstractNumId w:val="15"/>
  </w:num>
  <w:num w:numId="26" w16cid:durableId="1990015203">
    <w:abstractNumId w:val="9"/>
  </w:num>
  <w:num w:numId="27" w16cid:durableId="937756383">
    <w:abstractNumId w:val="36"/>
  </w:num>
  <w:num w:numId="28" w16cid:durableId="327370654">
    <w:abstractNumId w:val="37"/>
  </w:num>
  <w:num w:numId="29" w16cid:durableId="1007516445">
    <w:abstractNumId w:val="5"/>
  </w:num>
  <w:num w:numId="30" w16cid:durableId="1607075491">
    <w:abstractNumId w:val="7"/>
  </w:num>
  <w:num w:numId="31" w16cid:durableId="253706529">
    <w:abstractNumId w:val="32"/>
  </w:num>
  <w:num w:numId="32" w16cid:durableId="1894000240">
    <w:abstractNumId w:val="29"/>
  </w:num>
  <w:num w:numId="33" w16cid:durableId="947544135">
    <w:abstractNumId w:val="31"/>
  </w:num>
  <w:num w:numId="34" w16cid:durableId="179197944">
    <w:abstractNumId w:val="4"/>
  </w:num>
  <w:num w:numId="35" w16cid:durableId="1290358495">
    <w:abstractNumId w:val="26"/>
  </w:num>
  <w:num w:numId="36" w16cid:durableId="1025135342">
    <w:abstractNumId w:val="27"/>
  </w:num>
  <w:num w:numId="37" w16cid:durableId="80765354">
    <w:abstractNumId w:val="2"/>
  </w:num>
  <w:num w:numId="38" w16cid:durableId="1437291408">
    <w:abstractNumId w:val="25"/>
  </w:num>
  <w:num w:numId="39" w16cid:durableId="1651711417">
    <w:abstractNumId w:val="35"/>
  </w:num>
  <w:num w:numId="40" w16cid:durableId="461928951">
    <w:abstractNumId w:val="28"/>
  </w:num>
  <w:num w:numId="41" w16cid:durableId="284777081">
    <w:abstractNumId w:val="18"/>
  </w:num>
  <w:num w:numId="42" w16cid:durableId="6974666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691"/>
    <w:rsid w:val="0000395A"/>
    <w:rsid w:val="0001227E"/>
    <w:rsid w:val="000164CB"/>
    <w:rsid w:val="00017DD2"/>
    <w:rsid w:val="000228D5"/>
    <w:rsid w:val="00032CDC"/>
    <w:rsid w:val="00040B10"/>
    <w:rsid w:val="00045653"/>
    <w:rsid w:val="000515F8"/>
    <w:rsid w:val="000549EB"/>
    <w:rsid w:val="00056E57"/>
    <w:rsid w:val="000643C1"/>
    <w:rsid w:val="00066148"/>
    <w:rsid w:val="0007538B"/>
    <w:rsid w:val="00077B3A"/>
    <w:rsid w:val="00086361"/>
    <w:rsid w:val="0009309A"/>
    <w:rsid w:val="00097CF3"/>
    <w:rsid w:val="000A6472"/>
    <w:rsid w:val="000A64E6"/>
    <w:rsid w:val="000B3FE0"/>
    <w:rsid w:val="000C1691"/>
    <w:rsid w:val="000C29C5"/>
    <w:rsid w:val="000C3186"/>
    <w:rsid w:val="000C4C18"/>
    <w:rsid w:val="000C6E04"/>
    <w:rsid w:val="000D08B4"/>
    <w:rsid w:val="000D41B2"/>
    <w:rsid w:val="000D60CE"/>
    <w:rsid w:val="000E421B"/>
    <w:rsid w:val="000E4872"/>
    <w:rsid w:val="000E7C5F"/>
    <w:rsid w:val="000F610B"/>
    <w:rsid w:val="001134EF"/>
    <w:rsid w:val="001177C2"/>
    <w:rsid w:val="001252A4"/>
    <w:rsid w:val="001254D1"/>
    <w:rsid w:val="00144C45"/>
    <w:rsid w:val="001528C1"/>
    <w:rsid w:val="00154CEA"/>
    <w:rsid w:val="001648FD"/>
    <w:rsid w:val="001663D1"/>
    <w:rsid w:val="00167387"/>
    <w:rsid w:val="001770C4"/>
    <w:rsid w:val="00184995"/>
    <w:rsid w:val="00187CB1"/>
    <w:rsid w:val="00190B37"/>
    <w:rsid w:val="00195466"/>
    <w:rsid w:val="001A0A01"/>
    <w:rsid w:val="001A0A42"/>
    <w:rsid w:val="001B183E"/>
    <w:rsid w:val="001B7546"/>
    <w:rsid w:val="001C2636"/>
    <w:rsid w:val="001C2821"/>
    <w:rsid w:val="001D3F78"/>
    <w:rsid w:val="001D4AEF"/>
    <w:rsid w:val="001D7AF0"/>
    <w:rsid w:val="001E1857"/>
    <w:rsid w:val="001E5524"/>
    <w:rsid w:val="001F3905"/>
    <w:rsid w:val="001F3E9C"/>
    <w:rsid w:val="002129E0"/>
    <w:rsid w:val="00215443"/>
    <w:rsid w:val="00221D05"/>
    <w:rsid w:val="0022454A"/>
    <w:rsid w:val="00232130"/>
    <w:rsid w:val="002375DB"/>
    <w:rsid w:val="0024045C"/>
    <w:rsid w:val="00240CA0"/>
    <w:rsid w:val="00241FBA"/>
    <w:rsid w:val="00243F46"/>
    <w:rsid w:val="00250AF0"/>
    <w:rsid w:val="002579E6"/>
    <w:rsid w:val="00260317"/>
    <w:rsid w:val="0026178D"/>
    <w:rsid w:val="0026631F"/>
    <w:rsid w:val="0027297F"/>
    <w:rsid w:val="00274AEA"/>
    <w:rsid w:val="00292B68"/>
    <w:rsid w:val="00292EB5"/>
    <w:rsid w:val="002A5477"/>
    <w:rsid w:val="002A56AA"/>
    <w:rsid w:val="002A70FA"/>
    <w:rsid w:val="002B0BC2"/>
    <w:rsid w:val="002B69E4"/>
    <w:rsid w:val="002B7118"/>
    <w:rsid w:val="002C1E83"/>
    <w:rsid w:val="002C75DE"/>
    <w:rsid w:val="002D1A46"/>
    <w:rsid w:val="002D3748"/>
    <w:rsid w:val="002E5816"/>
    <w:rsid w:val="002E6ABF"/>
    <w:rsid w:val="002F0BF8"/>
    <w:rsid w:val="0030094E"/>
    <w:rsid w:val="00303E81"/>
    <w:rsid w:val="00306B72"/>
    <w:rsid w:val="00310735"/>
    <w:rsid w:val="00311BC0"/>
    <w:rsid w:val="00313D81"/>
    <w:rsid w:val="00314769"/>
    <w:rsid w:val="00315CBF"/>
    <w:rsid w:val="00323D7E"/>
    <w:rsid w:val="00327E8E"/>
    <w:rsid w:val="00331148"/>
    <w:rsid w:val="00340953"/>
    <w:rsid w:val="00343652"/>
    <w:rsid w:val="0034753B"/>
    <w:rsid w:val="0035007B"/>
    <w:rsid w:val="00360877"/>
    <w:rsid w:val="003630E5"/>
    <w:rsid w:val="0036465D"/>
    <w:rsid w:val="00364878"/>
    <w:rsid w:val="00375C35"/>
    <w:rsid w:val="00387275"/>
    <w:rsid w:val="003A01AD"/>
    <w:rsid w:val="003A028A"/>
    <w:rsid w:val="003A202A"/>
    <w:rsid w:val="003A3C8F"/>
    <w:rsid w:val="003A4B5B"/>
    <w:rsid w:val="003A657F"/>
    <w:rsid w:val="003A7CC4"/>
    <w:rsid w:val="003B4312"/>
    <w:rsid w:val="003B685C"/>
    <w:rsid w:val="003D1351"/>
    <w:rsid w:val="003E0A1E"/>
    <w:rsid w:val="003F0408"/>
    <w:rsid w:val="003F3B2D"/>
    <w:rsid w:val="003F5BE1"/>
    <w:rsid w:val="004004F0"/>
    <w:rsid w:val="0040069E"/>
    <w:rsid w:val="00402CFA"/>
    <w:rsid w:val="0040676B"/>
    <w:rsid w:val="0040728C"/>
    <w:rsid w:val="00410CCB"/>
    <w:rsid w:val="00414849"/>
    <w:rsid w:val="00415095"/>
    <w:rsid w:val="00416044"/>
    <w:rsid w:val="00417F02"/>
    <w:rsid w:val="00420B96"/>
    <w:rsid w:val="00422374"/>
    <w:rsid w:val="004338C4"/>
    <w:rsid w:val="0044320E"/>
    <w:rsid w:val="00450C01"/>
    <w:rsid w:val="00451C8D"/>
    <w:rsid w:val="00452B4E"/>
    <w:rsid w:val="00455003"/>
    <w:rsid w:val="0046413D"/>
    <w:rsid w:val="004841D4"/>
    <w:rsid w:val="00487FF3"/>
    <w:rsid w:val="00491251"/>
    <w:rsid w:val="00491423"/>
    <w:rsid w:val="00492443"/>
    <w:rsid w:val="00497A1E"/>
    <w:rsid w:val="004A0CD7"/>
    <w:rsid w:val="004A4CDE"/>
    <w:rsid w:val="004A4CFF"/>
    <w:rsid w:val="004A5A6A"/>
    <w:rsid w:val="004A76E1"/>
    <w:rsid w:val="004B1770"/>
    <w:rsid w:val="004B34B5"/>
    <w:rsid w:val="004B3590"/>
    <w:rsid w:val="004B3D3E"/>
    <w:rsid w:val="004C43C4"/>
    <w:rsid w:val="004C5D51"/>
    <w:rsid w:val="004D271A"/>
    <w:rsid w:val="004D4414"/>
    <w:rsid w:val="004D6FE5"/>
    <w:rsid w:val="004E0A34"/>
    <w:rsid w:val="004E7A4E"/>
    <w:rsid w:val="004F03E6"/>
    <w:rsid w:val="004F1FE9"/>
    <w:rsid w:val="004F2D67"/>
    <w:rsid w:val="004F3AFF"/>
    <w:rsid w:val="004F5384"/>
    <w:rsid w:val="004F5E70"/>
    <w:rsid w:val="00502404"/>
    <w:rsid w:val="00502DEA"/>
    <w:rsid w:val="0050371E"/>
    <w:rsid w:val="005056A1"/>
    <w:rsid w:val="0050671A"/>
    <w:rsid w:val="005124F4"/>
    <w:rsid w:val="00513A63"/>
    <w:rsid w:val="00520134"/>
    <w:rsid w:val="00521031"/>
    <w:rsid w:val="00527C32"/>
    <w:rsid w:val="00533C9D"/>
    <w:rsid w:val="00536F85"/>
    <w:rsid w:val="00540F05"/>
    <w:rsid w:val="00542FAA"/>
    <w:rsid w:val="0054421C"/>
    <w:rsid w:val="0055290B"/>
    <w:rsid w:val="00563523"/>
    <w:rsid w:val="005640DB"/>
    <w:rsid w:val="00566A56"/>
    <w:rsid w:val="00571FC6"/>
    <w:rsid w:val="00586760"/>
    <w:rsid w:val="00587B99"/>
    <w:rsid w:val="00592065"/>
    <w:rsid w:val="00595053"/>
    <w:rsid w:val="00596571"/>
    <w:rsid w:val="00597257"/>
    <w:rsid w:val="005A1484"/>
    <w:rsid w:val="005A22EE"/>
    <w:rsid w:val="005B38FC"/>
    <w:rsid w:val="005B58CB"/>
    <w:rsid w:val="005B6F48"/>
    <w:rsid w:val="005C46AA"/>
    <w:rsid w:val="005C510D"/>
    <w:rsid w:val="005D1D54"/>
    <w:rsid w:val="005F2754"/>
    <w:rsid w:val="00600738"/>
    <w:rsid w:val="006007AB"/>
    <w:rsid w:val="00603008"/>
    <w:rsid w:val="00604B62"/>
    <w:rsid w:val="0061043B"/>
    <w:rsid w:val="00631B3C"/>
    <w:rsid w:val="006404BF"/>
    <w:rsid w:val="00652BFC"/>
    <w:rsid w:val="0065302A"/>
    <w:rsid w:val="00653067"/>
    <w:rsid w:val="006552F5"/>
    <w:rsid w:val="00656782"/>
    <w:rsid w:val="006669AD"/>
    <w:rsid w:val="00673134"/>
    <w:rsid w:val="006777B8"/>
    <w:rsid w:val="00681C4F"/>
    <w:rsid w:val="006843C6"/>
    <w:rsid w:val="00686DA5"/>
    <w:rsid w:val="00687205"/>
    <w:rsid w:val="00692241"/>
    <w:rsid w:val="00693C8D"/>
    <w:rsid w:val="00695FBC"/>
    <w:rsid w:val="006A07FB"/>
    <w:rsid w:val="006A427B"/>
    <w:rsid w:val="006B1545"/>
    <w:rsid w:val="006B7037"/>
    <w:rsid w:val="006B78CE"/>
    <w:rsid w:val="006C1222"/>
    <w:rsid w:val="006C67A8"/>
    <w:rsid w:val="006D2250"/>
    <w:rsid w:val="006E6095"/>
    <w:rsid w:val="006F1037"/>
    <w:rsid w:val="007016FD"/>
    <w:rsid w:val="00704285"/>
    <w:rsid w:val="0070569D"/>
    <w:rsid w:val="00710DC7"/>
    <w:rsid w:val="00716860"/>
    <w:rsid w:val="007208B7"/>
    <w:rsid w:val="00720936"/>
    <w:rsid w:val="00731379"/>
    <w:rsid w:val="007330CB"/>
    <w:rsid w:val="00736A37"/>
    <w:rsid w:val="00740D1E"/>
    <w:rsid w:val="00740DB2"/>
    <w:rsid w:val="00743123"/>
    <w:rsid w:val="0075722D"/>
    <w:rsid w:val="00757A04"/>
    <w:rsid w:val="00762082"/>
    <w:rsid w:val="007624DB"/>
    <w:rsid w:val="00786619"/>
    <w:rsid w:val="007878B3"/>
    <w:rsid w:val="00794342"/>
    <w:rsid w:val="007A47B1"/>
    <w:rsid w:val="007A5DED"/>
    <w:rsid w:val="007B0EAD"/>
    <w:rsid w:val="007B582B"/>
    <w:rsid w:val="007C0FD8"/>
    <w:rsid w:val="007C73B7"/>
    <w:rsid w:val="007C7E5F"/>
    <w:rsid w:val="007D72D6"/>
    <w:rsid w:val="007E329B"/>
    <w:rsid w:val="007E7821"/>
    <w:rsid w:val="008149DB"/>
    <w:rsid w:val="0081503B"/>
    <w:rsid w:val="0081529C"/>
    <w:rsid w:val="008207D1"/>
    <w:rsid w:val="00824AA5"/>
    <w:rsid w:val="008302D2"/>
    <w:rsid w:val="00832EB2"/>
    <w:rsid w:val="00843BDE"/>
    <w:rsid w:val="008569EA"/>
    <w:rsid w:val="008670BC"/>
    <w:rsid w:val="00880652"/>
    <w:rsid w:val="00885A12"/>
    <w:rsid w:val="00887DDD"/>
    <w:rsid w:val="00890D91"/>
    <w:rsid w:val="008928B1"/>
    <w:rsid w:val="008A18DB"/>
    <w:rsid w:val="008A24BD"/>
    <w:rsid w:val="008A5EFF"/>
    <w:rsid w:val="008B3229"/>
    <w:rsid w:val="008B4BC9"/>
    <w:rsid w:val="008C0025"/>
    <w:rsid w:val="008C32AA"/>
    <w:rsid w:val="008C349E"/>
    <w:rsid w:val="008C56F0"/>
    <w:rsid w:val="008C7045"/>
    <w:rsid w:val="008C757D"/>
    <w:rsid w:val="008D05D0"/>
    <w:rsid w:val="008F258C"/>
    <w:rsid w:val="008F6FDD"/>
    <w:rsid w:val="009001FE"/>
    <w:rsid w:val="00902D29"/>
    <w:rsid w:val="0090409A"/>
    <w:rsid w:val="009060D3"/>
    <w:rsid w:val="009069BC"/>
    <w:rsid w:val="009151F5"/>
    <w:rsid w:val="00915A1D"/>
    <w:rsid w:val="00916EB4"/>
    <w:rsid w:val="009210AC"/>
    <w:rsid w:val="00921E46"/>
    <w:rsid w:val="0092326A"/>
    <w:rsid w:val="0092381A"/>
    <w:rsid w:val="00925691"/>
    <w:rsid w:val="009262E1"/>
    <w:rsid w:val="009265F3"/>
    <w:rsid w:val="00932349"/>
    <w:rsid w:val="0093529B"/>
    <w:rsid w:val="009444FD"/>
    <w:rsid w:val="00946873"/>
    <w:rsid w:val="00946C3E"/>
    <w:rsid w:val="00950B4B"/>
    <w:rsid w:val="00955F1D"/>
    <w:rsid w:val="00956978"/>
    <w:rsid w:val="00956DB8"/>
    <w:rsid w:val="00970FF8"/>
    <w:rsid w:val="00972742"/>
    <w:rsid w:val="00977C3F"/>
    <w:rsid w:val="00981573"/>
    <w:rsid w:val="00982670"/>
    <w:rsid w:val="009861CB"/>
    <w:rsid w:val="00986F63"/>
    <w:rsid w:val="009870DC"/>
    <w:rsid w:val="0099624E"/>
    <w:rsid w:val="00997C4B"/>
    <w:rsid w:val="009A56D5"/>
    <w:rsid w:val="009A5A2E"/>
    <w:rsid w:val="009B2C6B"/>
    <w:rsid w:val="009B7C45"/>
    <w:rsid w:val="009C0A97"/>
    <w:rsid w:val="009C47B4"/>
    <w:rsid w:val="009C4AD6"/>
    <w:rsid w:val="009C4F15"/>
    <w:rsid w:val="009C706C"/>
    <w:rsid w:val="009D0A9F"/>
    <w:rsid w:val="009D6034"/>
    <w:rsid w:val="009E30FC"/>
    <w:rsid w:val="009E4952"/>
    <w:rsid w:val="009F0892"/>
    <w:rsid w:val="00A071D7"/>
    <w:rsid w:val="00A1041F"/>
    <w:rsid w:val="00A11536"/>
    <w:rsid w:val="00A1436E"/>
    <w:rsid w:val="00A16DA3"/>
    <w:rsid w:val="00A22B34"/>
    <w:rsid w:val="00A240EB"/>
    <w:rsid w:val="00A24DA8"/>
    <w:rsid w:val="00A327AA"/>
    <w:rsid w:val="00A32C2D"/>
    <w:rsid w:val="00A42A67"/>
    <w:rsid w:val="00A5308C"/>
    <w:rsid w:val="00A53529"/>
    <w:rsid w:val="00A601DC"/>
    <w:rsid w:val="00A63617"/>
    <w:rsid w:val="00A67090"/>
    <w:rsid w:val="00A72879"/>
    <w:rsid w:val="00A830FC"/>
    <w:rsid w:val="00A8479C"/>
    <w:rsid w:val="00A944C8"/>
    <w:rsid w:val="00AA17F4"/>
    <w:rsid w:val="00AA2824"/>
    <w:rsid w:val="00AA5732"/>
    <w:rsid w:val="00AB003A"/>
    <w:rsid w:val="00AB0B1F"/>
    <w:rsid w:val="00AB608A"/>
    <w:rsid w:val="00AB7AA8"/>
    <w:rsid w:val="00AC0D89"/>
    <w:rsid w:val="00AC1629"/>
    <w:rsid w:val="00AD085B"/>
    <w:rsid w:val="00AD4307"/>
    <w:rsid w:val="00AE13AD"/>
    <w:rsid w:val="00AE6BCC"/>
    <w:rsid w:val="00AF1B1B"/>
    <w:rsid w:val="00AF2348"/>
    <w:rsid w:val="00AF2F66"/>
    <w:rsid w:val="00AF3E85"/>
    <w:rsid w:val="00AF5145"/>
    <w:rsid w:val="00AF6158"/>
    <w:rsid w:val="00AF6D20"/>
    <w:rsid w:val="00B00D2E"/>
    <w:rsid w:val="00B0416F"/>
    <w:rsid w:val="00B149C8"/>
    <w:rsid w:val="00B17750"/>
    <w:rsid w:val="00B25AEA"/>
    <w:rsid w:val="00B27AA0"/>
    <w:rsid w:val="00B31811"/>
    <w:rsid w:val="00B416DB"/>
    <w:rsid w:val="00B47724"/>
    <w:rsid w:val="00B5318D"/>
    <w:rsid w:val="00B55B50"/>
    <w:rsid w:val="00B6011F"/>
    <w:rsid w:val="00B61717"/>
    <w:rsid w:val="00B62FEB"/>
    <w:rsid w:val="00B64464"/>
    <w:rsid w:val="00B66537"/>
    <w:rsid w:val="00B70D39"/>
    <w:rsid w:val="00B72AB9"/>
    <w:rsid w:val="00B84D6A"/>
    <w:rsid w:val="00B93643"/>
    <w:rsid w:val="00B96BAD"/>
    <w:rsid w:val="00B97698"/>
    <w:rsid w:val="00BB2F02"/>
    <w:rsid w:val="00BB46D9"/>
    <w:rsid w:val="00BB555C"/>
    <w:rsid w:val="00BC05FD"/>
    <w:rsid w:val="00BD5D4C"/>
    <w:rsid w:val="00BE04C9"/>
    <w:rsid w:val="00BE1352"/>
    <w:rsid w:val="00BE138E"/>
    <w:rsid w:val="00BE447F"/>
    <w:rsid w:val="00C00541"/>
    <w:rsid w:val="00C1339B"/>
    <w:rsid w:val="00C2117C"/>
    <w:rsid w:val="00C2460A"/>
    <w:rsid w:val="00C37137"/>
    <w:rsid w:val="00C413E9"/>
    <w:rsid w:val="00C42ED9"/>
    <w:rsid w:val="00C45F0A"/>
    <w:rsid w:val="00C46C46"/>
    <w:rsid w:val="00C51E8E"/>
    <w:rsid w:val="00C56FB8"/>
    <w:rsid w:val="00C57F6E"/>
    <w:rsid w:val="00C613AD"/>
    <w:rsid w:val="00C73D7C"/>
    <w:rsid w:val="00C76216"/>
    <w:rsid w:val="00C801D9"/>
    <w:rsid w:val="00C83667"/>
    <w:rsid w:val="00C90009"/>
    <w:rsid w:val="00C91885"/>
    <w:rsid w:val="00C93B78"/>
    <w:rsid w:val="00C95E98"/>
    <w:rsid w:val="00CA06E5"/>
    <w:rsid w:val="00CA4BB3"/>
    <w:rsid w:val="00CA63AE"/>
    <w:rsid w:val="00CB1824"/>
    <w:rsid w:val="00CC4034"/>
    <w:rsid w:val="00CD0D84"/>
    <w:rsid w:val="00CD5A68"/>
    <w:rsid w:val="00CE3562"/>
    <w:rsid w:val="00CF408A"/>
    <w:rsid w:val="00CF65B4"/>
    <w:rsid w:val="00D04564"/>
    <w:rsid w:val="00D045B3"/>
    <w:rsid w:val="00D04862"/>
    <w:rsid w:val="00D1158F"/>
    <w:rsid w:val="00D11A71"/>
    <w:rsid w:val="00D14066"/>
    <w:rsid w:val="00D1662D"/>
    <w:rsid w:val="00D172B2"/>
    <w:rsid w:val="00D17A96"/>
    <w:rsid w:val="00D21255"/>
    <w:rsid w:val="00D22B66"/>
    <w:rsid w:val="00D3027C"/>
    <w:rsid w:val="00D42368"/>
    <w:rsid w:val="00D47B0D"/>
    <w:rsid w:val="00D57DC7"/>
    <w:rsid w:val="00D657DB"/>
    <w:rsid w:val="00D72B4C"/>
    <w:rsid w:val="00D75EF5"/>
    <w:rsid w:val="00D8360F"/>
    <w:rsid w:val="00D902A9"/>
    <w:rsid w:val="00D90E9D"/>
    <w:rsid w:val="00D94ED5"/>
    <w:rsid w:val="00D94FB0"/>
    <w:rsid w:val="00D96E58"/>
    <w:rsid w:val="00D97827"/>
    <w:rsid w:val="00DA1EE0"/>
    <w:rsid w:val="00DA2226"/>
    <w:rsid w:val="00DA2FF6"/>
    <w:rsid w:val="00DA4C76"/>
    <w:rsid w:val="00DA5B46"/>
    <w:rsid w:val="00DB2522"/>
    <w:rsid w:val="00DB5AA8"/>
    <w:rsid w:val="00DC3C1B"/>
    <w:rsid w:val="00DD4E7A"/>
    <w:rsid w:val="00DD7911"/>
    <w:rsid w:val="00DE3EA3"/>
    <w:rsid w:val="00DE4667"/>
    <w:rsid w:val="00DF0CD5"/>
    <w:rsid w:val="00DF10B1"/>
    <w:rsid w:val="00DF4A9F"/>
    <w:rsid w:val="00E01086"/>
    <w:rsid w:val="00E025B7"/>
    <w:rsid w:val="00E072BA"/>
    <w:rsid w:val="00E10FB4"/>
    <w:rsid w:val="00E239D1"/>
    <w:rsid w:val="00E27A17"/>
    <w:rsid w:val="00E3438D"/>
    <w:rsid w:val="00E411D4"/>
    <w:rsid w:val="00E44B25"/>
    <w:rsid w:val="00E51447"/>
    <w:rsid w:val="00E51C40"/>
    <w:rsid w:val="00E53D27"/>
    <w:rsid w:val="00E56AEA"/>
    <w:rsid w:val="00E60B99"/>
    <w:rsid w:val="00E645CD"/>
    <w:rsid w:val="00E646EF"/>
    <w:rsid w:val="00E661D7"/>
    <w:rsid w:val="00E67472"/>
    <w:rsid w:val="00E7212C"/>
    <w:rsid w:val="00E74059"/>
    <w:rsid w:val="00E74B5B"/>
    <w:rsid w:val="00E81C25"/>
    <w:rsid w:val="00E85AC9"/>
    <w:rsid w:val="00E86E12"/>
    <w:rsid w:val="00E91B87"/>
    <w:rsid w:val="00E92BAE"/>
    <w:rsid w:val="00E93EEE"/>
    <w:rsid w:val="00E950D0"/>
    <w:rsid w:val="00E95F46"/>
    <w:rsid w:val="00EA0001"/>
    <w:rsid w:val="00EA44D2"/>
    <w:rsid w:val="00EA71A8"/>
    <w:rsid w:val="00EB091A"/>
    <w:rsid w:val="00EB1857"/>
    <w:rsid w:val="00EC38A1"/>
    <w:rsid w:val="00EC5AD1"/>
    <w:rsid w:val="00EC7AD7"/>
    <w:rsid w:val="00EC7BCC"/>
    <w:rsid w:val="00ED4786"/>
    <w:rsid w:val="00EE48B7"/>
    <w:rsid w:val="00EF6A7D"/>
    <w:rsid w:val="00EF6B04"/>
    <w:rsid w:val="00F04CC1"/>
    <w:rsid w:val="00F13699"/>
    <w:rsid w:val="00F16B66"/>
    <w:rsid w:val="00F20EF9"/>
    <w:rsid w:val="00F21BBD"/>
    <w:rsid w:val="00F238F2"/>
    <w:rsid w:val="00F25DB3"/>
    <w:rsid w:val="00F266B3"/>
    <w:rsid w:val="00F4211E"/>
    <w:rsid w:val="00F447FE"/>
    <w:rsid w:val="00F47DBC"/>
    <w:rsid w:val="00F506FC"/>
    <w:rsid w:val="00F52977"/>
    <w:rsid w:val="00F53990"/>
    <w:rsid w:val="00F57BEF"/>
    <w:rsid w:val="00F62C79"/>
    <w:rsid w:val="00F7041F"/>
    <w:rsid w:val="00F72475"/>
    <w:rsid w:val="00F7301C"/>
    <w:rsid w:val="00F74F52"/>
    <w:rsid w:val="00F752EB"/>
    <w:rsid w:val="00F76B52"/>
    <w:rsid w:val="00F91611"/>
    <w:rsid w:val="00FA12AC"/>
    <w:rsid w:val="00FA1363"/>
    <w:rsid w:val="00FA30A7"/>
    <w:rsid w:val="00FA4F14"/>
    <w:rsid w:val="00FA5A7F"/>
    <w:rsid w:val="00FB0331"/>
    <w:rsid w:val="00FB3EE9"/>
    <w:rsid w:val="00FC0370"/>
    <w:rsid w:val="00FD5A26"/>
    <w:rsid w:val="00FD62B6"/>
    <w:rsid w:val="00FE4B81"/>
    <w:rsid w:val="00FF0C73"/>
    <w:rsid w:val="00FF459A"/>
    <w:rsid w:val="00FF4FF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79AD0E9"/>
  <w15:docId w15:val="{CC3A3780-61DE-48DC-A79E-30DDF19D2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74F52"/>
    <w:pPr>
      <w:spacing w:after="120"/>
    </w:pPr>
    <w:rPr>
      <w:sz w:val="24"/>
    </w:rPr>
  </w:style>
  <w:style w:type="paragraph" w:styleId="Heading1">
    <w:name w:val="heading 1"/>
    <w:basedOn w:val="Normal"/>
    <w:next w:val="Normal"/>
    <w:qFormat/>
    <w:rsid w:val="00F74F52"/>
    <w:pPr>
      <w:keepNext/>
      <w:outlineLvl w:val="0"/>
    </w:pPr>
    <w:rPr>
      <w:b/>
    </w:rPr>
  </w:style>
  <w:style w:type="paragraph" w:styleId="Heading2">
    <w:name w:val="heading 2"/>
    <w:basedOn w:val="Normal"/>
    <w:next w:val="Normal"/>
    <w:link w:val="Heading2Char"/>
    <w:semiHidden/>
    <w:unhideWhenUsed/>
    <w:qFormat/>
    <w:rsid w:val="00DD4E7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9A56D5"/>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74F52"/>
    <w:pPr>
      <w:tabs>
        <w:tab w:val="center" w:pos="4320"/>
        <w:tab w:val="right" w:pos="8640"/>
      </w:tabs>
    </w:pPr>
  </w:style>
  <w:style w:type="paragraph" w:styleId="NormalIndent">
    <w:name w:val="Normal Indent"/>
    <w:basedOn w:val="Normal"/>
    <w:rsid w:val="00F74F52"/>
    <w:pPr>
      <w:ind w:left="360"/>
    </w:pPr>
  </w:style>
  <w:style w:type="paragraph" w:styleId="Footer">
    <w:name w:val="footer"/>
    <w:basedOn w:val="Normal"/>
    <w:rsid w:val="00F74F52"/>
    <w:pPr>
      <w:tabs>
        <w:tab w:val="center" w:pos="4320"/>
        <w:tab w:val="right" w:pos="8640"/>
      </w:tabs>
    </w:pPr>
  </w:style>
  <w:style w:type="character" w:styleId="PageNumber">
    <w:name w:val="page number"/>
    <w:basedOn w:val="DefaultParagraphFont"/>
    <w:rsid w:val="00F74F52"/>
  </w:style>
  <w:style w:type="paragraph" w:styleId="ListParagraph">
    <w:name w:val="List Paragraph"/>
    <w:basedOn w:val="Normal"/>
    <w:uiPriority w:val="34"/>
    <w:qFormat/>
    <w:rsid w:val="00DB5AA8"/>
    <w:pPr>
      <w:ind w:left="720"/>
      <w:contextualSpacing/>
    </w:pPr>
  </w:style>
  <w:style w:type="paragraph" w:styleId="NoSpacing">
    <w:name w:val="No Spacing"/>
    <w:link w:val="NoSpacingChar"/>
    <w:uiPriority w:val="1"/>
    <w:qFormat/>
    <w:rsid w:val="00DB5AA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Pr>
      <w:rFonts w:eastAsia="Calibri"/>
      <w:sz w:val="24"/>
      <w:szCs w:val="24"/>
    </w:rPr>
  </w:style>
  <w:style w:type="character" w:customStyle="1" w:styleId="NoSpacingChar">
    <w:name w:val="No Spacing Char"/>
    <w:basedOn w:val="DefaultParagraphFont"/>
    <w:link w:val="NoSpacing"/>
    <w:uiPriority w:val="1"/>
    <w:rsid w:val="00DB5AA8"/>
    <w:rPr>
      <w:rFonts w:eastAsia="Calibri"/>
      <w:sz w:val="24"/>
      <w:szCs w:val="24"/>
      <w:lang w:val="en-US" w:eastAsia="en-US" w:bidi="ar-SA"/>
    </w:rPr>
  </w:style>
  <w:style w:type="paragraph" w:customStyle="1" w:styleId="FRNoticeHeading2">
    <w:name w:val="FR Notice Heading 2"/>
    <w:basedOn w:val="Normal"/>
    <w:rsid w:val="00DB5AA8"/>
    <w:pPr>
      <w:spacing w:after="0" w:line="360" w:lineRule="auto"/>
    </w:pPr>
    <w:rPr>
      <w:bCs/>
      <w:i/>
      <w:iCs/>
    </w:rPr>
  </w:style>
  <w:style w:type="table" w:styleId="TableGrid">
    <w:name w:val="Table Grid"/>
    <w:basedOn w:val="TableNormal"/>
    <w:rsid w:val="00E01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9A56D5"/>
    <w:rPr>
      <w:rFonts w:ascii="Cambria" w:eastAsia="Times New Roman" w:hAnsi="Cambria" w:cs="Times New Roman"/>
      <w:b/>
      <w:bCs/>
      <w:sz w:val="26"/>
      <w:szCs w:val="26"/>
    </w:rPr>
  </w:style>
  <w:style w:type="paragraph" w:styleId="FootnoteText">
    <w:name w:val="footnote text"/>
    <w:link w:val="FootnoteTextChar"/>
    <w:rsid w:val="009A56D5"/>
    <w:pPr>
      <w:spacing w:after="120"/>
    </w:pPr>
    <w:rPr>
      <w:rFonts w:ascii="Helvetica" w:hAnsi="Helvetica"/>
      <w:noProof/>
      <w:spacing w:val="-5"/>
      <w:sz w:val="18"/>
    </w:rPr>
  </w:style>
  <w:style w:type="character" w:customStyle="1" w:styleId="FootnoteTextChar">
    <w:name w:val="Footnote Text Char"/>
    <w:basedOn w:val="DefaultParagraphFont"/>
    <w:link w:val="FootnoteText"/>
    <w:rsid w:val="009A56D5"/>
    <w:rPr>
      <w:rFonts w:ascii="Helvetica" w:hAnsi="Helvetica"/>
      <w:noProof/>
      <w:spacing w:val="-5"/>
      <w:sz w:val="18"/>
      <w:lang w:val="en-US" w:eastAsia="en-US" w:bidi="ar-SA"/>
    </w:rPr>
  </w:style>
  <w:style w:type="character" w:styleId="FootnoteReference">
    <w:name w:val="footnote reference"/>
    <w:rsid w:val="009A56D5"/>
    <w:rPr>
      <w:vertAlign w:val="superscript"/>
    </w:rPr>
  </w:style>
  <w:style w:type="paragraph" w:styleId="NormalWeb">
    <w:name w:val="Normal (Web)"/>
    <w:basedOn w:val="Normal"/>
    <w:uiPriority w:val="99"/>
    <w:unhideWhenUsed/>
    <w:rsid w:val="009A56D5"/>
    <w:pPr>
      <w:spacing w:before="100" w:beforeAutospacing="1" w:after="100" w:afterAutospacing="1"/>
    </w:pPr>
    <w:rPr>
      <w:szCs w:val="24"/>
    </w:rPr>
  </w:style>
  <w:style w:type="paragraph" w:customStyle="1" w:styleId="Arial12Text">
    <w:name w:val="Arial 12 Text"/>
    <w:basedOn w:val="PlainText"/>
    <w:rsid w:val="009A56D5"/>
    <w:pPr>
      <w:spacing w:before="120"/>
      <w:ind w:firstLine="720"/>
    </w:pPr>
    <w:rPr>
      <w:rFonts w:ascii="Times New Roman" w:hAnsi="Times New Roman" w:cs="Arial"/>
      <w:sz w:val="24"/>
      <w:szCs w:val="24"/>
    </w:rPr>
  </w:style>
  <w:style w:type="paragraph" w:styleId="PlainText">
    <w:name w:val="Plain Text"/>
    <w:basedOn w:val="Normal"/>
    <w:link w:val="PlainTextChar"/>
    <w:rsid w:val="009A56D5"/>
    <w:rPr>
      <w:rFonts w:ascii="Courier New" w:hAnsi="Courier New" w:cs="Courier New"/>
      <w:sz w:val="20"/>
    </w:rPr>
  </w:style>
  <w:style w:type="character" w:customStyle="1" w:styleId="PlainTextChar">
    <w:name w:val="Plain Text Char"/>
    <w:basedOn w:val="DefaultParagraphFont"/>
    <w:link w:val="PlainText"/>
    <w:rsid w:val="009A56D5"/>
    <w:rPr>
      <w:rFonts w:ascii="Courier New" w:hAnsi="Courier New" w:cs="Courier New"/>
    </w:rPr>
  </w:style>
  <w:style w:type="character" w:styleId="CommentReference">
    <w:name w:val="annotation reference"/>
    <w:basedOn w:val="DefaultParagraphFont"/>
    <w:rsid w:val="003E0A1E"/>
    <w:rPr>
      <w:sz w:val="16"/>
      <w:szCs w:val="16"/>
    </w:rPr>
  </w:style>
  <w:style w:type="paragraph" w:styleId="CommentText">
    <w:name w:val="annotation text"/>
    <w:basedOn w:val="Normal"/>
    <w:link w:val="CommentTextChar"/>
    <w:uiPriority w:val="99"/>
    <w:rsid w:val="003E0A1E"/>
    <w:rPr>
      <w:sz w:val="20"/>
    </w:rPr>
  </w:style>
  <w:style w:type="character" w:customStyle="1" w:styleId="CommentTextChar">
    <w:name w:val="Comment Text Char"/>
    <w:basedOn w:val="DefaultParagraphFont"/>
    <w:link w:val="CommentText"/>
    <w:uiPriority w:val="99"/>
    <w:rsid w:val="003E0A1E"/>
  </w:style>
  <w:style w:type="paragraph" w:styleId="CommentSubject">
    <w:name w:val="annotation subject"/>
    <w:basedOn w:val="CommentText"/>
    <w:next w:val="CommentText"/>
    <w:link w:val="CommentSubjectChar"/>
    <w:rsid w:val="003E0A1E"/>
    <w:rPr>
      <w:b/>
      <w:bCs/>
    </w:rPr>
  </w:style>
  <w:style w:type="character" w:customStyle="1" w:styleId="CommentSubjectChar">
    <w:name w:val="Comment Subject Char"/>
    <w:basedOn w:val="CommentTextChar"/>
    <w:link w:val="CommentSubject"/>
    <w:rsid w:val="003E0A1E"/>
    <w:rPr>
      <w:b/>
      <w:bCs/>
    </w:rPr>
  </w:style>
  <w:style w:type="paragraph" w:styleId="BalloonText">
    <w:name w:val="Balloon Text"/>
    <w:basedOn w:val="Normal"/>
    <w:link w:val="BalloonTextChar"/>
    <w:rsid w:val="003E0A1E"/>
    <w:pPr>
      <w:spacing w:after="0"/>
    </w:pPr>
    <w:rPr>
      <w:rFonts w:ascii="Tahoma" w:hAnsi="Tahoma" w:cs="Tahoma"/>
      <w:sz w:val="16"/>
      <w:szCs w:val="16"/>
    </w:rPr>
  </w:style>
  <w:style w:type="character" w:customStyle="1" w:styleId="BalloonTextChar">
    <w:name w:val="Balloon Text Char"/>
    <w:basedOn w:val="DefaultParagraphFont"/>
    <w:link w:val="BalloonText"/>
    <w:rsid w:val="003E0A1E"/>
    <w:rPr>
      <w:rFonts w:ascii="Tahoma" w:hAnsi="Tahoma" w:cs="Tahoma"/>
      <w:sz w:val="16"/>
      <w:szCs w:val="16"/>
    </w:rPr>
  </w:style>
  <w:style w:type="paragraph" w:styleId="Revision">
    <w:name w:val="Revision"/>
    <w:hidden/>
    <w:uiPriority w:val="99"/>
    <w:semiHidden/>
    <w:rsid w:val="001E1857"/>
    <w:rPr>
      <w:sz w:val="24"/>
    </w:rPr>
  </w:style>
  <w:style w:type="character" w:styleId="Hyperlink">
    <w:name w:val="Hyperlink"/>
    <w:basedOn w:val="DefaultParagraphFont"/>
    <w:unhideWhenUsed/>
    <w:rPr>
      <w:color w:val="0000FF" w:themeColor="hyperlink"/>
      <w:u w:val="single"/>
    </w:rPr>
  </w:style>
  <w:style w:type="character" w:customStyle="1" w:styleId="Heading2Char">
    <w:name w:val="Heading 2 Char"/>
    <w:basedOn w:val="DefaultParagraphFont"/>
    <w:link w:val="Heading2"/>
    <w:semiHidden/>
    <w:rsid w:val="00DD4E7A"/>
    <w:rPr>
      <w:rFonts w:asciiTheme="majorHAnsi" w:eastAsiaTheme="majorEastAsia" w:hAnsiTheme="majorHAnsi" w:cstheme="majorBidi"/>
      <w:color w:val="365F91" w:themeColor="accent1" w:themeShade="BF"/>
      <w:sz w:val="26"/>
      <w:szCs w:val="26"/>
    </w:rPr>
  </w:style>
  <w:style w:type="character" w:customStyle="1" w:styleId="basicattrheading">
    <w:name w:val="basicattrheading"/>
    <w:basedOn w:val="DefaultParagraphFont"/>
    <w:rsid w:val="00DD4E7A"/>
  </w:style>
  <w:style w:type="character" w:customStyle="1" w:styleId="breakword">
    <w:name w:val="breakword"/>
    <w:basedOn w:val="DefaultParagraphFont"/>
    <w:rsid w:val="00DD4E7A"/>
  </w:style>
  <w:style w:type="character" w:customStyle="1" w:styleId="UnresolvedMention1">
    <w:name w:val="Unresolved Mention1"/>
    <w:basedOn w:val="DefaultParagraphFont"/>
    <w:uiPriority w:val="99"/>
    <w:semiHidden/>
    <w:unhideWhenUsed/>
    <w:rsid w:val="00FD62B6"/>
    <w:rPr>
      <w:color w:val="605E5C"/>
      <w:shd w:val="clear" w:color="auto" w:fill="E1DFDD"/>
    </w:rPr>
  </w:style>
  <w:style w:type="character" w:styleId="UnresolvedMention">
    <w:name w:val="Unresolved Mention"/>
    <w:basedOn w:val="DefaultParagraphFont"/>
    <w:uiPriority w:val="99"/>
    <w:semiHidden/>
    <w:unhideWhenUsed/>
    <w:rsid w:val="00310735"/>
    <w:rPr>
      <w:color w:val="605E5C"/>
      <w:shd w:val="clear" w:color="auto" w:fill="E1DFDD"/>
    </w:rPr>
  </w:style>
  <w:style w:type="paragraph" w:styleId="Caption">
    <w:name w:val="caption"/>
    <w:basedOn w:val="Normal"/>
    <w:next w:val="Normal"/>
    <w:unhideWhenUsed/>
    <w:qFormat/>
    <w:rsid w:val="00C613AD"/>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mktsysgrp-my.sharepoint.com/personal/mansour_m-s-g_com/Documents/Documents/Mansour/MSG/Projects/LMI/OMB/nshepherd@lmi.org" TargetMode="Externa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mfahimi@m-s-g.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76995AEF857443993D2ED87C35AA42" ma:contentTypeVersion="11" ma:contentTypeDescription="Create a new document." ma:contentTypeScope="" ma:versionID="7061162c6c7397acfc5d1752e16ae396">
  <xsd:schema xmlns:xsd="http://www.w3.org/2001/XMLSchema" xmlns:xs="http://www.w3.org/2001/XMLSchema" xmlns:p="http://schemas.microsoft.com/office/2006/metadata/properties" xmlns:ns2="ef6e4b27-784b-4947-b146-575469362b8e" xmlns:ns3="daecfb9e-f056-4d23-8bdf-5155281358bf" targetNamespace="http://schemas.microsoft.com/office/2006/metadata/properties" ma:root="true" ma:fieldsID="629a74b8cc23c02f23f5f47e2749c151" ns2:_="" ns3:_="">
    <xsd:import namespace="ef6e4b27-784b-4947-b146-575469362b8e"/>
    <xsd:import namespace="daecfb9e-f056-4d23-8bdf-5155281358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6e4b27-784b-4947-b146-575469362b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be651d9-a337-42c8-9ecd-786563b1f67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ecfb9e-f056-4d23-8bdf-5155281358b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886bc3e-4eaf-4c86-a4bc-28fe0675ea75}" ma:internalName="TaxCatchAll" ma:showField="CatchAllData" ma:web="daecfb9e-f056-4d23-8bdf-5155281358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daecfb9e-f056-4d23-8bdf-5155281358bf" xsi:nil="true"/>
    <lcf76f155ced4ddcb4097134ff3c332f xmlns="ef6e4b27-784b-4947-b146-575469362b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B11A31-7960-45A2-8A58-4906DD8DB5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6e4b27-784b-4947-b146-575469362b8e"/>
    <ds:schemaRef ds:uri="daecfb9e-f056-4d23-8bdf-5155281358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898494-160C-46CE-AD90-8422FEDB93B0}">
  <ds:schemaRefs>
    <ds:schemaRef ds:uri="http://schemas.microsoft.com/sharepoint/v3/contenttype/forms"/>
  </ds:schemaRefs>
</ds:datastoreItem>
</file>

<file path=customXml/itemProps3.xml><?xml version="1.0" encoding="utf-8"?>
<ds:datastoreItem xmlns:ds="http://schemas.openxmlformats.org/officeDocument/2006/customXml" ds:itemID="{5C9686BA-F5CF-46B8-A166-328D85BF9D40}">
  <ds:schemaRefs>
    <ds:schemaRef ds:uri="http://schemas.openxmlformats.org/officeDocument/2006/bibliography"/>
  </ds:schemaRefs>
</ds:datastoreItem>
</file>

<file path=customXml/itemProps4.xml><?xml version="1.0" encoding="utf-8"?>
<ds:datastoreItem xmlns:ds="http://schemas.openxmlformats.org/officeDocument/2006/customXml" ds:itemID="{4A6F3377-2018-418E-AAD2-FC418DD3E730}">
  <ds:schemaRefs>
    <ds:schemaRef ds:uri="http://schemas.microsoft.com/office/2006/metadata/properties"/>
    <ds:schemaRef ds:uri="http://schemas.microsoft.com/office/infopath/2007/PartnerControls"/>
    <ds:schemaRef ds:uri="daecfb9e-f056-4d23-8bdf-5155281358bf"/>
    <ds:schemaRef ds:uri="ef6e4b27-784b-4947-b146-575469362b8e"/>
  </ds:schemaRefs>
</ds:datastoreItem>
</file>

<file path=docMetadata/LabelInfo.xml><?xml version="1.0" encoding="utf-8"?>
<clbl:labelList xmlns:clbl="http://schemas.microsoft.com/office/2020/mipLabelMetadata">
  <clbl:label id="{0d108003-91fa-4b33-baad-7a5a20b49de7}" enabled="0" method="" siteId="{0d108003-91fa-4b33-baad-7a5a20b49de7}" removed="1"/>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4433</Words>
  <Characters>25269</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Shepherd, Nathan J.</dc:creator>
  <cp:lastModifiedBy>Lindeman, Travis D</cp:lastModifiedBy>
  <cp:revision>2</cp:revision>
  <dcterms:created xsi:type="dcterms:W3CDTF">2026-05-27T17:55:00Z</dcterms:created>
  <dcterms:modified xsi:type="dcterms:W3CDTF">2026-05-27T17:55:00Z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0x010100D176995AEF857443993D2ED87C35AA42</vt:lpwstr>
  </property>
  <property fmtid="{D5CDD505-2E9C-101B-9397-08002B2CF9AE}" pid="3" name="MediaServiceImageTags">
    <vt:lpwstr/>
  </property>
  <property fmtid="{D5CDD505-2E9C-101B-9397-08002B2CF9AE}" pid="4" name="MSIP_Label_1665d9ee-429a-4d5f-97cc-cfb56e044a6e_ActionId">
    <vt:lpwstr>20b9d386-d967-4c41-b345-782258b02557</vt:lpwstr>
  </property>
  <property fmtid="{D5CDD505-2E9C-101B-9397-08002B2CF9AE}" pid="5" name="MSIP_Label_1665d9ee-429a-4d5f-97cc-cfb56e044a6e_Application">
    <vt:lpwstr>Microsoft Azure Information Protection</vt:lpwstr>
  </property>
  <property fmtid="{D5CDD505-2E9C-101B-9397-08002B2CF9AE}" pid="6" name="MSIP_Label_1665d9ee-429a-4d5f-97cc-cfb56e044a6e_Enabled">
    <vt:lpwstr>True</vt:lpwstr>
  </property>
  <property fmtid="{D5CDD505-2E9C-101B-9397-08002B2CF9AE}" pid="7" name="MSIP_Label_1665d9ee-429a-4d5f-97cc-cfb56e044a6e_Extended_MSFT_Method">
    <vt:lpwstr>Manual</vt:lpwstr>
  </property>
  <property fmtid="{D5CDD505-2E9C-101B-9397-08002B2CF9AE}" pid="8" name="MSIP_Label_1665d9ee-429a-4d5f-97cc-cfb56e044a6e_Name">
    <vt:lpwstr>Unclassified</vt:lpwstr>
  </property>
  <property fmtid="{D5CDD505-2E9C-101B-9397-08002B2CF9AE}" pid="9" name="MSIP_Label_1665d9ee-429a-4d5f-97cc-cfb56e044a6e_Owner">
    <vt:lpwstr>RitsickJ@state.gov</vt:lpwstr>
  </property>
  <property fmtid="{D5CDD505-2E9C-101B-9397-08002B2CF9AE}" pid="10" name="MSIP_Label_1665d9ee-429a-4d5f-97cc-cfb56e044a6e_SetDate">
    <vt:lpwstr>2020-09-24T19:28:21.7051136Z</vt:lpwstr>
  </property>
  <property fmtid="{D5CDD505-2E9C-101B-9397-08002B2CF9AE}" pid="11" name="MSIP_Label_1665d9ee-429a-4d5f-97cc-cfb56e044a6e_SiteId">
    <vt:lpwstr>66cf5074-5afe-48d1-a691-a12b2121f44b</vt:lpwstr>
  </property>
  <property fmtid="{D5CDD505-2E9C-101B-9397-08002B2CF9AE}" pid="12" name="Sensitivity">
    <vt:lpwstr>Unclassified</vt:lpwstr>
  </property>
</Properties>
</file>