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D7540" w:rsidRPr="00E259C0" w:rsidP="005A1C33" w14:paraId="394033B5" w14:textId="1D79321A">
      <w:pPr>
        <w:widowControl/>
        <w:tabs>
          <w:tab w:val="left" w:pos="6480"/>
        </w:tabs>
        <w:jc w:val="center"/>
        <w:rPr>
          <w:b/>
        </w:rPr>
      </w:pPr>
      <w:r w:rsidRPr="00E259C0">
        <w:rPr>
          <w:b/>
        </w:rPr>
        <w:t xml:space="preserve">SUPPORTING STATEMENT FOR PAPERWORK REDUCTION ACT </w:t>
      </w:r>
      <w:r w:rsidRPr="00E259C0" w:rsidR="00A02274">
        <w:rPr>
          <w:b/>
        </w:rPr>
        <w:t xml:space="preserve">OF </w:t>
      </w:r>
      <w:r w:rsidRPr="00E259C0">
        <w:rPr>
          <w:b/>
        </w:rPr>
        <w:t xml:space="preserve">1995: </w:t>
      </w:r>
    </w:p>
    <w:p w:rsidR="00232503" w:rsidRPr="00E259C0" w:rsidP="006D7540" w14:paraId="6F0C76A0" w14:textId="77777777">
      <w:pPr>
        <w:widowControl/>
        <w:jc w:val="center"/>
        <w:rPr>
          <w:b/>
        </w:rPr>
      </w:pPr>
      <w:r w:rsidRPr="00E259C0">
        <w:rPr>
          <w:b/>
        </w:rPr>
        <w:t>INDEPENDENT DISPUTE RESOLUTION PROCESS</w:t>
      </w:r>
    </w:p>
    <w:p w:rsidR="00192D91" w:rsidRPr="00E259C0" w:rsidP="00192D91" w14:paraId="5FA8F5B5" w14:textId="77777777">
      <w:pPr>
        <w:widowControl/>
        <w:rPr>
          <w:b/>
          <w:bCs/>
        </w:rPr>
      </w:pPr>
    </w:p>
    <w:p w:rsidR="00FC2F3E" w:rsidRPr="00E259C0" w:rsidP="0058584C" w14:paraId="3FDA2F5F" w14:textId="0253E721">
      <w:pPr>
        <w:widowControl/>
        <w:rPr>
          <w:b/>
        </w:rPr>
      </w:pPr>
      <w:r w:rsidRPr="00E259C0">
        <w:rPr>
          <w:b/>
          <w:bCs/>
        </w:rPr>
        <w:t xml:space="preserve">This information collection request (ICR) seeks approval for </w:t>
      </w:r>
      <w:r w:rsidRPr="00E259C0" w:rsidR="00361D34">
        <w:rPr>
          <w:b/>
          <w:bCs/>
        </w:rPr>
        <w:t xml:space="preserve">a revision </w:t>
      </w:r>
      <w:r w:rsidRPr="00E259C0">
        <w:rPr>
          <w:b/>
          <w:bCs/>
        </w:rPr>
        <w:t xml:space="preserve">of an existing control number. </w:t>
      </w:r>
    </w:p>
    <w:p w:rsidR="00AE49C4" w:rsidRPr="00E259C0" w:rsidP="0058584C" w14:paraId="6E29E081" w14:textId="77777777">
      <w:pPr>
        <w:widowControl/>
        <w:rPr>
          <w:b/>
          <w:bCs/>
        </w:rPr>
      </w:pPr>
    </w:p>
    <w:p w:rsidR="00AE49C4" w:rsidRPr="00E259C0" w:rsidP="00AE49C4" w14:paraId="471E136E" w14:textId="5CE9DD1C">
      <w:pPr>
        <w:pStyle w:val="ListParagraph"/>
        <w:widowControl/>
        <w:numPr>
          <w:ilvl w:val="0"/>
          <w:numId w:val="26"/>
        </w:numPr>
        <w:ind w:hanging="720"/>
        <w:rPr>
          <w:b/>
          <w:bCs/>
        </w:rPr>
      </w:pPr>
      <w:r w:rsidRPr="00E259C0">
        <w:rPr>
          <w:b/>
          <w:bCs/>
        </w:rPr>
        <w:t>JUSTIFICATION</w:t>
      </w:r>
    </w:p>
    <w:p w:rsidR="00FC2F3E" w:rsidRPr="00E259C0" w:rsidP="00AE49C4" w14:paraId="30581A11" w14:textId="2CA9D684">
      <w:pPr>
        <w:pStyle w:val="Heading1"/>
        <w:numPr>
          <w:ilvl w:val="0"/>
          <w:numId w:val="23"/>
        </w:numPr>
        <w:ind w:hanging="720"/>
        <w:rPr>
          <w:rFonts w:ascii="Times New Roman" w:hAnsi="Times New Roman" w:cs="Times New Roman"/>
          <w:b/>
          <w:color w:val="auto"/>
          <w:sz w:val="24"/>
          <w:szCs w:val="24"/>
        </w:rPr>
      </w:pPr>
      <w:r w:rsidRPr="00E259C0">
        <w:rPr>
          <w:rFonts w:ascii="Times New Roman" w:hAnsi="Times New Roman" w:cs="Times New Roman"/>
          <w:b/>
          <w:color w:val="auto"/>
          <w:sz w:val="24"/>
          <w:szCs w:val="24"/>
        </w:rPr>
        <w:t>Explain the circumstances that make the collection of information necessary.</w:t>
      </w:r>
      <w:r w:rsidR="00263C28">
        <w:rPr>
          <w:rFonts w:ascii="Times New Roman" w:hAnsi="Times New Roman" w:cs="Times New Roman"/>
          <w:b/>
          <w:color w:val="auto"/>
          <w:sz w:val="24"/>
          <w:szCs w:val="24"/>
        </w:rPr>
        <w:t xml:space="preserve"> </w:t>
      </w:r>
      <w:r w:rsidRPr="00E259C0">
        <w:rPr>
          <w:rFonts w:ascii="Times New Roman" w:hAnsi="Times New Roman" w:cs="Times New Roman"/>
          <w:b/>
          <w:color w:val="auto"/>
          <w:sz w:val="24"/>
          <w:szCs w:val="24"/>
        </w:rPr>
        <w:t>Identify any legal or administrative requirements that necessitate the collection.</w:t>
      </w:r>
      <w:r w:rsidR="00263C28">
        <w:rPr>
          <w:rFonts w:ascii="Times New Roman" w:hAnsi="Times New Roman" w:cs="Times New Roman"/>
          <w:b/>
          <w:color w:val="auto"/>
          <w:sz w:val="24"/>
          <w:szCs w:val="24"/>
        </w:rPr>
        <w:t xml:space="preserve"> </w:t>
      </w:r>
      <w:r w:rsidRPr="00E259C0">
        <w:rPr>
          <w:rFonts w:ascii="Times New Roman" w:hAnsi="Times New Roman" w:cs="Times New Roman"/>
          <w:b/>
          <w:color w:val="auto"/>
          <w:sz w:val="24"/>
          <w:szCs w:val="24"/>
        </w:rPr>
        <w:t>Attach a copy of the appropriate section of each statute and regulation mandating or authorizing the collection of information.</w:t>
      </w:r>
    </w:p>
    <w:p w:rsidR="00AE7AF5" w:rsidRPr="00E259C0" w:rsidP="00AE7AF5" w14:paraId="3EECCDC0" w14:textId="77777777">
      <w:pPr>
        <w:widowControl/>
        <w:ind w:left="720"/>
      </w:pPr>
    </w:p>
    <w:p w:rsidR="006F49BC" w:rsidRPr="00E259C0" w:rsidP="006F49BC" w14:paraId="1D9E14D8" w14:textId="68CD6840">
      <w:pPr>
        <w:widowControl/>
        <w:ind w:left="720"/>
      </w:pPr>
      <w:r w:rsidRPr="00E259C0">
        <w:t>On December 27, 2020, the Consolidated Appropriations Act, 2021 (CAA), which includes the No Surprises Act, was signed into law.</w:t>
      </w:r>
      <w:r w:rsidR="00263C28">
        <w:t xml:space="preserve"> </w:t>
      </w:r>
      <w:r w:rsidRPr="00E259C0">
        <w:t xml:space="preserve">The No Surprises Act provides </w:t>
      </w:r>
      <w:r w:rsidRPr="00E259C0" w:rsidR="002E4F01">
        <w:t>F</w:t>
      </w:r>
      <w:r w:rsidRPr="00E259C0">
        <w:t xml:space="preserve">ederal protections against surprise billing and limits out-of-network cost sharing under many of the circumstances in which surprise bills arise most frequently. </w:t>
      </w:r>
    </w:p>
    <w:p w:rsidR="006F49BC" w:rsidRPr="00E259C0" w:rsidP="006F49BC" w14:paraId="549270FE" w14:textId="77777777">
      <w:pPr>
        <w:widowControl/>
        <w:ind w:left="720"/>
      </w:pPr>
    </w:p>
    <w:p w:rsidR="00C959B3" w:rsidRPr="00E259C0" w:rsidP="00301EA6" w14:paraId="1105A7E7" w14:textId="100E36FA">
      <w:pPr>
        <w:widowControl/>
        <w:ind w:left="720"/>
      </w:pPr>
      <w:r w:rsidRPr="00E259C0">
        <w:t>The CAA added provisions applicable to group health plans and health insurance issuers in the group and individual market</w:t>
      </w:r>
      <w:r w:rsidRPr="00E259C0" w:rsidR="00E60FAD">
        <w:t>s</w:t>
      </w:r>
      <w:r w:rsidRPr="00E259C0">
        <w:t xml:space="preserve"> in new Part D of title XXVII of the Public Health Service Act (PHS Act) and also added new provisions to </w:t>
      </w:r>
      <w:r w:rsidRPr="00E259C0" w:rsidR="007C732E">
        <w:t xml:space="preserve">part 7 of the </w:t>
      </w:r>
      <w:r w:rsidRPr="00E259C0">
        <w:t>Employee Retirement Income Security Act (ERISA), and Subchapter B of chapter 100 of the Internal Revenue Code (Code).</w:t>
      </w:r>
      <w:r w:rsidR="00263C28">
        <w:t xml:space="preserve"> </w:t>
      </w:r>
      <w:r w:rsidRPr="00E259C0">
        <w:t>Section 102 of the No Surprises Act added Code section 9816, ERISA section 716, and PHS Act section 2799A-1, which contain limitations on cost</w:t>
      </w:r>
      <w:r w:rsidRPr="00E259C0" w:rsidR="40508431">
        <w:t>-</w:t>
      </w:r>
      <w:r w:rsidRPr="00E259C0">
        <w:t xml:space="preserve">sharing and requirements </w:t>
      </w:r>
      <w:r w:rsidRPr="00E259C0" w:rsidR="006B174C">
        <w:t xml:space="preserve">regarding the timing of initial payments </w:t>
      </w:r>
      <w:r w:rsidRPr="00E259C0" w:rsidR="00D57A18">
        <w:t xml:space="preserve">and notices of denial of payment </w:t>
      </w:r>
      <w:r w:rsidRPr="00E259C0" w:rsidR="006B174C">
        <w:t xml:space="preserve">for emergency services furnished by nonparticipating providers and emergency facilities, and for </w:t>
      </w:r>
      <w:r w:rsidRPr="00E259C0" w:rsidR="00D57A18">
        <w:t>non-emergency</w:t>
      </w:r>
      <w:r w:rsidRPr="00E259C0" w:rsidR="006B174C">
        <w:t xml:space="preserve"> services furnished by nonparticipating providers </w:t>
      </w:r>
      <w:r w:rsidRPr="00E259C0" w:rsidR="00D57A18">
        <w:t>with respect to patient visits to</w:t>
      </w:r>
      <w:r w:rsidRPr="00E259C0" w:rsidR="006B174C">
        <w:t xml:space="preserve"> participating health care facilities</w:t>
      </w:r>
      <w:r w:rsidRPr="00E259C0" w:rsidR="00D57A18">
        <w:t>, defined as hospitals, hospital outpatient departments, critical access hospitals, and ambulatory surgical centers</w:t>
      </w:r>
      <w:r w:rsidRPr="00E259C0" w:rsidR="006B174C">
        <w:t>.</w:t>
      </w:r>
      <w:r w:rsidR="00263C28">
        <w:t xml:space="preserve"> </w:t>
      </w:r>
      <w:r w:rsidRPr="00E259C0">
        <w:t xml:space="preserve">Section 103 of the No Surprises Act </w:t>
      </w:r>
      <w:r w:rsidRPr="00E259C0" w:rsidR="00797C5F">
        <w:t>also</w:t>
      </w:r>
      <w:r w:rsidRPr="00E259C0">
        <w:t xml:space="preserve"> establish</w:t>
      </w:r>
      <w:r w:rsidRPr="00E259C0" w:rsidR="00223561">
        <w:t>ed</w:t>
      </w:r>
      <w:r w:rsidRPr="00E259C0" w:rsidR="00266E03">
        <w:t>,</w:t>
      </w:r>
      <w:r w:rsidRPr="00E259C0" w:rsidR="004F294F">
        <w:t xml:space="preserve"> under Code section 9816, ERISA section 716, and PHS Act section 2799A-1,</w:t>
      </w:r>
      <w:r w:rsidRPr="00E259C0">
        <w:t xml:space="preserve"> a </w:t>
      </w:r>
      <w:r w:rsidRPr="00E259C0" w:rsidR="00C7520D">
        <w:t>F</w:t>
      </w:r>
      <w:r w:rsidRPr="00E259C0" w:rsidR="00F03FB8">
        <w:t>ederal</w:t>
      </w:r>
      <w:r w:rsidRPr="00E259C0">
        <w:t xml:space="preserve"> independent dispute resolution (IDR) process that </w:t>
      </w:r>
      <w:r w:rsidRPr="00E259C0" w:rsidR="00923AC3">
        <w:t xml:space="preserve">nonparticipating providers or facilities and group health plans and health insurance issuers in the group and individual market may use following the end of an unsuccessful open negotiation period to determine the out-of-network rate for certain </w:t>
      </w:r>
      <w:r w:rsidRPr="00E259C0" w:rsidR="00384CD0">
        <w:t xml:space="preserve">qualified </w:t>
      </w:r>
      <w:r w:rsidRPr="00E259C0" w:rsidR="00E27A45">
        <w:t xml:space="preserve">items and </w:t>
      </w:r>
      <w:r w:rsidRPr="00E259C0" w:rsidR="00923AC3">
        <w:t>services.</w:t>
      </w:r>
      <w:r w:rsidR="00263C28">
        <w:t xml:space="preserve"> </w:t>
      </w:r>
      <w:r w:rsidRPr="00E259C0" w:rsidR="00923AC3">
        <w:t xml:space="preserve">More specifically, the </w:t>
      </w:r>
      <w:r w:rsidRPr="00E259C0" w:rsidR="0076038B">
        <w:t>F</w:t>
      </w:r>
      <w:r w:rsidRPr="00E259C0" w:rsidR="00923AC3">
        <w:t xml:space="preserve">ederal IDR </w:t>
      </w:r>
      <w:r w:rsidRPr="00E259C0" w:rsidR="00EA4FC3">
        <w:t xml:space="preserve">process </w:t>
      </w:r>
      <w:r w:rsidRPr="00E259C0" w:rsidR="00923AC3">
        <w:t>may be used to determine the out-of-network rate for services</w:t>
      </w:r>
      <w:r w:rsidRPr="00E259C0" w:rsidR="00703760">
        <w:t xml:space="preserve"> furnished by </w:t>
      </w:r>
      <w:r w:rsidRPr="00E259C0" w:rsidR="00AE3715">
        <w:t xml:space="preserve">nonparticipating </w:t>
      </w:r>
      <w:r w:rsidRPr="00E259C0" w:rsidR="002D2960">
        <w:t>emergency</w:t>
      </w:r>
      <w:r w:rsidRPr="00E259C0" w:rsidR="00923AC3">
        <w:t xml:space="preserve"> </w:t>
      </w:r>
      <w:r w:rsidRPr="00E259C0" w:rsidR="00AE3715">
        <w:t xml:space="preserve">facilities </w:t>
      </w:r>
      <w:r w:rsidRPr="00E259C0" w:rsidR="00C62AAE">
        <w:t>and</w:t>
      </w:r>
      <w:r w:rsidRPr="00E259C0" w:rsidR="00923AC3">
        <w:t xml:space="preserve"> nonemergency items and services furnished by nonparticipating providers at participating facilities where an All-Payer Model Agreement or specified </w:t>
      </w:r>
      <w:r w:rsidRPr="00E259C0" w:rsidR="00A86C45">
        <w:t xml:space="preserve">State </w:t>
      </w:r>
      <w:r w:rsidRPr="00E259C0" w:rsidR="00923AC3">
        <w:t>law does not apply.</w:t>
      </w:r>
      <w:r w:rsidR="00263C28">
        <w:t xml:space="preserve"> </w:t>
      </w:r>
      <w:r w:rsidRPr="00E259C0">
        <w:t xml:space="preserve">Section 105 of the No Surprises Act </w:t>
      </w:r>
      <w:r w:rsidRPr="00E259C0" w:rsidR="0015593C">
        <w:t xml:space="preserve">added </w:t>
      </w:r>
      <w:r w:rsidRPr="00E259C0">
        <w:t>Code section 9817, ERISA section 717, and PHS Act section 2799A-2</w:t>
      </w:r>
      <w:r w:rsidRPr="00E259C0" w:rsidR="005E376B">
        <w:t>,</w:t>
      </w:r>
      <w:r w:rsidRPr="00E259C0">
        <w:t xml:space="preserve"> which contain limitations on cost </w:t>
      </w:r>
      <w:r w:rsidRPr="00E259C0">
        <w:t xml:space="preserve">sharing and requirements for initial payments for air ambulance services and allow plans and issuers and providers of air ambulance services to access the </w:t>
      </w:r>
      <w:r w:rsidRPr="00E259C0" w:rsidR="0076038B">
        <w:t>F</w:t>
      </w:r>
      <w:r w:rsidRPr="00E259C0" w:rsidR="00545FAA">
        <w:t xml:space="preserve">ederal </w:t>
      </w:r>
      <w:r w:rsidRPr="00E259C0">
        <w:t>IDR process.</w:t>
      </w:r>
      <w:r w:rsidR="00263C28">
        <w:t xml:space="preserve"> </w:t>
      </w:r>
      <w:r w:rsidRPr="00E259C0">
        <w:t>CAA provisions that apply to health care providers and facilities and providers of air ambulance services, such as requirements around cost sharing, prohibitions on balance billing for certain items and services, and requirements related to disclosures about balance billing protections, were added to title XXVII of the PHS Act in new part E.</w:t>
      </w:r>
      <w:r w:rsidRPr="00E259C0" w:rsidR="0005424F">
        <w:t xml:space="preserve"> </w:t>
      </w:r>
    </w:p>
    <w:p w:rsidR="00484952" w:rsidRPr="00E259C0" w:rsidP="00301EA6" w14:paraId="68A78D52" w14:textId="1E6385DB">
      <w:pPr>
        <w:widowControl/>
        <w:ind w:left="720"/>
      </w:pPr>
    </w:p>
    <w:p w:rsidR="00FF1AD2" w:rsidRPr="00E259C0" w:rsidP="00FD1897" w14:paraId="5488A57B" w14:textId="0AFC2CAE">
      <w:pPr>
        <w:widowControl/>
        <w:ind w:left="720"/>
      </w:pPr>
      <w:r w:rsidRPr="00E259C0">
        <w:t>The Departments of the Treasury, Labor, and Health and Human Services (the Departments) previously issued interim final rules implementing provisions of sections 9816 and 9817 of the Code, sections 716 and 717 of ERISA, and sections 2799A-1 and 2799A-2 of the PHS Act to protect consumers from surprise medical bills for emergency services, non-emergency services furnished by nonparticipating providers with respect to patient visits to participating facilities in certain circumstances, and air ambulance services furnished by nonparticipating providers of air ambulance services. The interim final rules also implement provisions requiring the Departments to create a Federal IDR process to determine payment amounts when there is a dispute between payers and providers or facilities over the out-of-network rate due for emergency services, non-emergency services furnished by nonparticipating providers with respect to patient visits to participating facilities in certain circumstances, and air ambulance services furnished by nonparticipating providers of air ambulance services.</w:t>
      </w:r>
      <w:r w:rsidRPr="00E259C0" w:rsidR="00251D33">
        <w:rPr>
          <w:vertAlign w:val="superscript"/>
        </w:rPr>
        <w:t xml:space="preserve"> </w:t>
      </w:r>
    </w:p>
    <w:p w:rsidR="00FF1AD2" w:rsidRPr="00E259C0" w:rsidP="00484952" w14:paraId="66B2E4A2" w14:textId="77777777">
      <w:pPr>
        <w:widowControl/>
        <w:ind w:left="720"/>
      </w:pPr>
    </w:p>
    <w:p w:rsidR="00F4028A" w:rsidRPr="00E259C0" w:rsidP="00F4028A" w14:paraId="6FA770AB" w14:textId="77777777">
      <w:pPr>
        <w:widowControl/>
        <w:ind w:left="720"/>
        <w:rPr>
          <w:b/>
          <w:bCs/>
          <w:i/>
          <w:iCs/>
          <w:u w:val="single"/>
        </w:rPr>
      </w:pPr>
      <w:r w:rsidRPr="00E259C0">
        <w:rPr>
          <w:b/>
          <w:bCs/>
          <w:i/>
          <w:iCs/>
          <w:u w:val="single"/>
        </w:rPr>
        <w:t>July 2021 and October 2021 Interim Final Rules</w:t>
      </w:r>
    </w:p>
    <w:p w:rsidR="00EB3849" w:rsidRPr="00E259C0" w:rsidP="00E9456C" w14:paraId="354EBEA7" w14:textId="77777777">
      <w:pPr>
        <w:widowControl/>
      </w:pPr>
    </w:p>
    <w:p w:rsidR="00F07D01" w:rsidRPr="00E259C0" w:rsidP="00F07D01" w14:paraId="70A0E8D2" w14:textId="5068EABB">
      <w:pPr>
        <w:widowControl/>
        <w:ind w:left="720"/>
      </w:pPr>
      <w:r w:rsidRPr="00E259C0">
        <w:t>To implement these</w:t>
      </w:r>
      <w:r w:rsidRPr="00E259C0" w:rsidR="00133AFB">
        <w:t xml:space="preserve"> No Surprises Act</w:t>
      </w:r>
      <w:r w:rsidRPr="00E259C0">
        <w:t xml:space="preserve"> provisions, the Departments published in the Federal Register the July 2021 interim final rules on July 13, 2021 (86 FR 36872) and the October 2021 interim final rules on October 7, 2021 (86 FR 55980).</w:t>
      </w:r>
      <w:r w:rsidR="00263C28">
        <w:rPr>
          <w:vertAlign w:val="superscript"/>
        </w:rPr>
        <w:t xml:space="preserve"> </w:t>
      </w:r>
    </w:p>
    <w:p w:rsidR="00E97050" w:rsidRPr="00E259C0" w:rsidP="00F07D01" w14:paraId="25862D7A" w14:textId="77777777">
      <w:pPr>
        <w:widowControl/>
        <w:ind w:left="720"/>
      </w:pPr>
    </w:p>
    <w:p w:rsidR="00F07D01" w:rsidRPr="00E259C0" w:rsidP="00F07D01" w14:paraId="244ECE1F" w14:textId="440AE285">
      <w:pPr>
        <w:widowControl/>
        <w:ind w:left="720"/>
      </w:pPr>
      <w:r w:rsidRPr="00E259C0">
        <w:t xml:space="preserve">The July 2021 interim final rules implemented provisions of the No Surprises Act to protect participants, beneficiaries, and enrollees in group health plans and group and individual health insurance coverage from surprise medical bills when they receive emergency services, non-emergency services furnished by nonparticipating providers with respect to patient visits to certain participating facilities, and air ambulance services provided by nonparticipating providers of air ambulance services. </w:t>
      </w:r>
    </w:p>
    <w:p w:rsidR="00E97050" w:rsidRPr="00E259C0" w:rsidP="00F07D01" w14:paraId="1D8CE5EA" w14:textId="77777777">
      <w:pPr>
        <w:widowControl/>
        <w:ind w:left="720"/>
      </w:pPr>
    </w:p>
    <w:p w:rsidR="00FF1AD2" w:rsidRPr="00E259C0" w:rsidP="00F07D01" w14:paraId="5CCFED07" w14:textId="382AEFFF">
      <w:pPr>
        <w:widowControl/>
        <w:ind w:left="720"/>
      </w:pPr>
      <w:r w:rsidRPr="00E259C0">
        <w:t>The October 2021 interim final rules build on the July 2021 interim final rules and implement the Federal IDR process.</w:t>
      </w:r>
      <w:r w:rsidR="00263C28">
        <w:rPr>
          <w:vertAlign w:val="superscript"/>
        </w:rPr>
        <w:t xml:space="preserve"> </w:t>
      </w:r>
      <w:r w:rsidRPr="00E259C0" w:rsidR="00566349">
        <w:t xml:space="preserve">The October interim final rules also include </w:t>
      </w:r>
      <w:r w:rsidRPr="00E259C0" w:rsidR="007E0232">
        <w:t xml:space="preserve">HHS-only </w:t>
      </w:r>
      <w:r w:rsidRPr="00E259C0" w:rsidR="00F53E71">
        <w:t xml:space="preserve">provisions </w:t>
      </w:r>
      <w:r w:rsidRPr="00E259C0" w:rsidR="00C12715">
        <w:t>implementing the</w:t>
      </w:r>
      <w:r w:rsidRPr="00E259C0" w:rsidR="00566349">
        <w:t xml:space="preserve"> good faith estimate (GFE) requirements for uninsured (or self-pay) individuals, the </w:t>
      </w:r>
      <w:r w:rsidRPr="00E259C0" w:rsidR="00454856">
        <w:t>patient-</w:t>
      </w:r>
      <w:r w:rsidRPr="00E259C0" w:rsidR="00566349">
        <w:t>provider dispute resolution (PPDR) process, and the external review provisions of the No Surprises Act</w:t>
      </w:r>
      <w:r w:rsidRPr="00E259C0" w:rsidR="00454856">
        <w:t>.</w:t>
      </w:r>
    </w:p>
    <w:p w:rsidR="00566349" w:rsidRPr="00E259C0" w:rsidP="00484952" w14:paraId="08E4B41E" w14:textId="77777777">
      <w:pPr>
        <w:widowControl/>
        <w:ind w:left="720"/>
      </w:pPr>
    </w:p>
    <w:p w:rsidR="00484952" w:rsidRPr="00E259C0" w:rsidP="00484952" w14:paraId="47CD302B" w14:textId="3740B4AA">
      <w:pPr>
        <w:widowControl/>
        <w:ind w:left="720"/>
      </w:pPr>
      <w:r w:rsidRPr="00E259C0">
        <w:t>The July and October 2021 interim final rules generally apply to group health plans and health insurance issuers offering group or individual health insurance coverage (including grandfathered health plans) with respect to plan years (in the individual market, policy years) beginning on or after January 1, 2022 and to health care providers and facilities, and providers of air ambulance services with respect to items and services provided during plan years (in the individual market, policy years) beginning on or after January 1, 2022.</w:t>
      </w:r>
      <w:r>
        <w:rPr>
          <w:vertAlign w:val="superscript"/>
        </w:rPr>
        <w:footnoteReference w:id="3"/>
      </w:r>
      <w:r w:rsidRPr="00E259C0">
        <w:t xml:space="preserve"> </w:t>
      </w:r>
      <w:r w:rsidRPr="00E259C0" w:rsidR="00D724E4">
        <w:t xml:space="preserve">The July and October 2021 interim final rules also include interim final regulations under 5 U.S.C. 8902(p) issued by </w:t>
      </w:r>
      <w:r w:rsidRPr="00E259C0" w:rsidR="00F90CF5">
        <w:t>the Office of Personnel Management (</w:t>
      </w:r>
      <w:r w:rsidRPr="00E259C0" w:rsidR="00D724E4">
        <w:t>OPM</w:t>
      </w:r>
      <w:r w:rsidRPr="00E259C0" w:rsidR="00F90CF5">
        <w:t>)</w:t>
      </w:r>
      <w:r w:rsidRPr="00E259C0" w:rsidR="00D724E4">
        <w:t xml:space="preserve"> that specify how certain provisions of the No Surprises Act apply to health benefit plans offered by carriers under the Federal Employees Health Benefits </w:t>
      </w:r>
      <w:r w:rsidRPr="00E259C0" w:rsidR="00F90CF5">
        <w:t xml:space="preserve">(FEHB) </w:t>
      </w:r>
      <w:r w:rsidRPr="00E259C0" w:rsidR="00D724E4">
        <w:t>Act. The rules apply to carriers in the FEHB Program with respect to contract years beginning on or after January 1, 2022.</w:t>
      </w:r>
    </w:p>
    <w:p w:rsidR="00D25C23" w:rsidRPr="00E259C0" w:rsidP="00156536" w14:paraId="0AA76C68" w14:textId="77777777">
      <w:pPr>
        <w:widowControl/>
      </w:pPr>
    </w:p>
    <w:p w:rsidR="00130A73" w:rsidRPr="00E259C0" w:rsidP="006F49BC" w14:paraId="607BD88D" w14:textId="70D951C0">
      <w:pPr>
        <w:widowControl/>
        <w:ind w:left="720"/>
      </w:pPr>
      <w:r w:rsidRPr="00E259C0">
        <w:t xml:space="preserve">The OPM </w:t>
      </w:r>
      <w:r w:rsidRPr="00E259C0" w:rsidR="00B626F2">
        <w:t xml:space="preserve">interim </w:t>
      </w:r>
      <w:r w:rsidRPr="00E259C0">
        <w:t xml:space="preserve">final rules amend existing 5 CFR 890.114(a) to </w:t>
      </w:r>
      <w:r w:rsidRPr="00E259C0" w:rsidR="0071352B">
        <w:t xml:space="preserve">provide that </w:t>
      </w:r>
      <w:r w:rsidRPr="00E259C0">
        <w:t xml:space="preserve">FEHB carriers are subject to the </w:t>
      </w:r>
      <w:r w:rsidRPr="00E259C0" w:rsidR="0076038B">
        <w:t>F</w:t>
      </w:r>
      <w:r w:rsidRPr="00E259C0">
        <w:t>ederal IDR process set forth in those regulations with respect to a</w:t>
      </w:r>
      <w:r w:rsidRPr="00E259C0" w:rsidR="005D7645">
        <w:t xml:space="preserve"> qualified</w:t>
      </w:r>
      <w:r w:rsidRPr="00E259C0">
        <w:t xml:space="preserve"> item or service eligible for determination through open negotiation </w:t>
      </w:r>
      <w:r w:rsidRPr="00E259C0" w:rsidR="000F1C69">
        <w:t>and</w:t>
      </w:r>
      <w:r w:rsidRPr="00E259C0">
        <w:t xml:space="preserve"> the </w:t>
      </w:r>
      <w:r w:rsidRPr="00E259C0" w:rsidR="0076038B">
        <w:t>F</w:t>
      </w:r>
      <w:r w:rsidRPr="00E259C0">
        <w:t>ederal IDR process furnished by a carrier offering a health benefits plan in the same manner as those provisions apply to a group health plan or health insurance issuer offering group or individual health insurance coverage, subject to 5 U.S.C. 8902(m)(1) and the provisions of the carrier’s contract.</w:t>
      </w:r>
      <w:r w:rsidR="00263C28">
        <w:t xml:space="preserve"> </w:t>
      </w:r>
    </w:p>
    <w:p w:rsidR="00CB7D0E" w:rsidRPr="00E259C0" w:rsidP="006F49BC" w14:paraId="177494B9" w14:textId="77777777">
      <w:pPr>
        <w:widowControl/>
        <w:ind w:left="720"/>
      </w:pPr>
    </w:p>
    <w:p w:rsidR="00CB7D0E" w:rsidRPr="00E259C0" w:rsidP="006F49BC" w14:paraId="20FE632A" w14:textId="357896CC">
      <w:pPr>
        <w:widowControl/>
        <w:ind w:left="720"/>
        <w:rPr>
          <w:b/>
          <w:bCs/>
          <w:i/>
          <w:iCs/>
          <w:u w:val="single"/>
        </w:rPr>
      </w:pPr>
      <w:r w:rsidRPr="00E259C0">
        <w:rPr>
          <w:b/>
          <w:bCs/>
          <w:i/>
          <w:iCs/>
          <w:u w:val="single"/>
        </w:rPr>
        <w:t>August 2022 Final Rules</w:t>
      </w:r>
    </w:p>
    <w:p w:rsidR="00CA1CA2" w:rsidRPr="00E259C0" w:rsidP="006F49BC" w14:paraId="0F4BE7BC" w14:textId="77777777">
      <w:pPr>
        <w:widowControl/>
        <w:ind w:left="720"/>
      </w:pPr>
    </w:p>
    <w:p w:rsidR="00B61709" w:rsidRPr="00E259C0" w:rsidP="00B61709" w14:paraId="2C546703" w14:textId="1EF742AE">
      <w:pPr>
        <w:widowControl/>
        <w:ind w:left="720"/>
        <w:rPr>
          <w:bCs/>
        </w:rPr>
      </w:pPr>
      <w:r w:rsidRPr="00E259C0">
        <w:t>After consideration of comments and in light of the District Court’s February and July 2022 decisions, in conjunction with this ICR Revision submission, the Departments issued the August 2022 final rules</w:t>
      </w:r>
      <w:r>
        <w:rPr>
          <w:rStyle w:val="FootnoteReference"/>
          <w:vertAlign w:val="superscript"/>
        </w:rPr>
        <w:footnoteReference w:id="4"/>
      </w:r>
      <w:r w:rsidRPr="00E259C0">
        <w:t xml:space="preserve"> published as a joint rule in the Federal Register that finalized select provisions under the July and October 2021 interim final rules to address certain requirements related to consideration of information when a certified IDR entity makes a payment determination, including the requirement for the certified IDR entity to provide a written decision. </w:t>
      </w:r>
      <w:r w:rsidRPr="00E259C0">
        <w:rPr>
          <w:bCs/>
        </w:rPr>
        <w:t>The August 2022 final rules also specify information required to be provided where a qualifying payment amount (QPA) is calculated based on a downcoded service code, in addition to the information already required to be provided with an initial payment or notice of denial of payment under the July 2021 interim final rules.</w:t>
      </w:r>
      <w:r w:rsidRPr="00E259C0" w:rsidR="00A8638D">
        <w:rPr>
          <w:bCs/>
        </w:rPr>
        <w:t xml:space="preserve"> </w:t>
      </w:r>
    </w:p>
    <w:p w:rsidR="005305D0" w:rsidRPr="00E259C0" w:rsidP="006F49BC" w14:paraId="66BFC87B" w14:textId="3D00B5FB">
      <w:pPr>
        <w:widowControl/>
        <w:ind w:left="720"/>
      </w:pPr>
    </w:p>
    <w:p w:rsidR="00CA1CA2" w:rsidRPr="00E259C0" w:rsidP="006F49BC" w14:paraId="5B1E10BC" w14:textId="77777777">
      <w:pPr>
        <w:widowControl/>
        <w:ind w:left="720"/>
      </w:pPr>
    </w:p>
    <w:p w:rsidR="00AA384F" w:rsidRPr="00E259C0" w:rsidP="006F49BC" w14:paraId="5DE4F2BF" w14:textId="7386AD4D">
      <w:pPr>
        <w:widowControl/>
        <w:ind w:left="720"/>
      </w:pPr>
      <w:r w:rsidRPr="00E259C0">
        <w:t xml:space="preserve">The August 2022 final rules </w:t>
      </w:r>
      <w:r w:rsidRPr="00E259C0" w:rsidR="00FC0A6B">
        <w:t>also</w:t>
      </w:r>
      <w:r w:rsidRPr="00E259C0">
        <w:t xml:space="preserve"> included amendments to remove from the regulations the language vacated by the United States District Court for the Eastern District of Texas (District Court) in </w:t>
      </w:r>
      <w:r w:rsidRPr="00E259C0">
        <w:rPr>
          <w:i/>
          <w:iCs/>
        </w:rPr>
        <w:t>TMA</w:t>
      </w:r>
      <w:r w:rsidRPr="00E259C0">
        <w:t xml:space="preserve"> </w:t>
      </w:r>
      <w:r w:rsidRPr="00E259C0">
        <w:rPr>
          <w:i/>
          <w:iCs/>
        </w:rPr>
        <w:t>I</w:t>
      </w:r>
      <w:r w:rsidRPr="00E259C0">
        <w:t xml:space="preserve"> and </w:t>
      </w:r>
      <w:r w:rsidRPr="00E259C0">
        <w:rPr>
          <w:i/>
          <w:iCs/>
        </w:rPr>
        <w:t>LifeNet</w:t>
      </w:r>
      <w:r w:rsidRPr="00E259C0">
        <w:t>, as</w:t>
      </w:r>
      <w:r w:rsidRPr="00E259C0">
        <w:rPr>
          <w:i/>
          <w:iCs/>
        </w:rPr>
        <w:t xml:space="preserve"> </w:t>
      </w:r>
      <w:r w:rsidRPr="00E259C0">
        <w:t xml:space="preserve">described in the following section. </w:t>
      </w:r>
    </w:p>
    <w:p w:rsidR="00AA384F" w:rsidRPr="00E259C0" w:rsidP="00470321" w14:paraId="4AC47017" w14:textId="77777777">
      <w:pPr>
        <w:widowControl/>
      </w:pPr>
    </w:p>
    <w:p w:rsidR="00AA384F" w:rsidRPr="00E259C0" w:rsidP="00AD366D" w14:paraId="5A90DFF8" w14:textId="0336EAF3">
      <w:pPr>
        <w:widowControl/>
        <w:ind w:left="720"/>
        <w:rPr>
          <w:b/>
          <w:bCs/>
          <w:i/>
          <w:iCs/>
          <w:u w:val="single"/>
        </w:rPr>
      </w:pPr>
      <w:r w:rsidRPr="00E259C0">
        <w:rPr>
          <w:b/>
          <w:bCs/>
          <w:i/>
          <w:iCs/>
          <w:u w:val="single"/>
        </w:rPr>
        <w:t>Litigation</w:t>
      </w:r>
    </w:p>
    <w:p w:rsidR="00AA384F" w:rsidRPr="00E259C0" w:rsidP="00AD366D" w14:paraId="794AB98A" w14:textId="77777777">
      <w:pPr>
        <w:widowControl/>
        <w:ind w:left="720"/>
      </w:pPr>
    </w:p>
    <w:p w:rsidR="00AD366D" w:rsidRPr="00E259C0" w:rsidP="00AD366D" w14:paraId="04B49CC0" w14:textId="264BD4ED">
      <w:pPr>
        <w:widowControl/>
        <w:ind w:left="720"/>
      </w:pPr>
      <w:r w:rsidRPr="00E259C0">
        <w:t xml:space="preserve">On February 23, 2022 and July 26, 2022, the </w:t>
      </w:r>
      <w:r w:rsidRPr="00E259C0" w:rsidR="005E05D2">
        <w:t>District Court</w:t>
      </w:r>
      <w:r w:rsidRPr="00E259C0">
        <w:t xml:space="preserve">, in the cases of </w:t>
      </w:r>
      <w:r w:rsidRPr="00E259C0">
        <w:rPr>
          <w:i/>
        </w:rPr>
        <w:t>Texas Medical Association, et al. v. United States Department of Health and Human Services, et al.,</w:t>
      </w:r>
      <w:r w:rsidRPr="00E259C0">
        <w:t xml:space="preserve"> Case No. 6:21-cv-425 (E.D. Tex.)</w:t>
      </w:r>
      <w:r w:rsidRPr="00E259C0" w:rsidR="003E42FD">
        <w:t xml:space="preserve"> </w:t>
      </w:r>
      <w:r w:rsidRPr="00E259C0" w:rsidR="007E0BED">
        <w:t>(</w:t>
      </w:r>
      <w:r w:rsidRPr="00E259C0" w:rsidR="007E0BED">
        <w:rPr>
          <w:i/>
          <w:iCs/>
        </w:rPr>
        <w:t>TMA I</w:t>
      </w:r>
      <w:r w:rsidRPr="00E259C0" w:rsidR="007E0BED">
        <w:t>)</w:t>
      </w:r>
      <w:r w:rsidRPr="00E259C0">
        <w:t xml:space="preserve"> and </w:t>
      </w:r>
      <w:r w:rsidRPr="00E259C0">
        <w:rPr>
          <w:i/>
          <w:iCs/>
        </w:rPr>
        <w:t>LifeNet, Inc. v. United States Department of Health and Human Services, et al.</w:t>
      </w:r>
      <w:r w:rsidRPr="00E259C0">
        <w:t>, Case No. 6:22-cv-162 (E.D. Tex.) (</w:t>
      </w:r>
      <w:r w:rsidRPr="00E259C0">
        <w:rPr>
          <w:i/>
          <w:iCs/>
        </w:rPr>
        <w:t>LifeNet</w:t>
      </w:r>
      <w:r w:rsidRPr="00E259C0">
        <w:t xml:space="preserve">), vacated portions of </w:t>
      </w:r>
      <w:r w:rsidRPr="00E259C0" w:rsidR="00C55FD1">
        <w:t xml:space="preserve">the </w:t>
      </w:r>
      <w:r w:rsidRPr="00E259C0">
        <w:t>October 2021 interim final rules.</w:t>
      </w:r>
      <w:r w:rsidR="00263C28">
        <w:t xml:space="preserve"> </w:t>
      </w:r>
      <w:r w:rsidRPr="00E259C0" w:rsidR="00F35F81">
        <w:t xml:space="preserve">On February 6, 2023, the District Court issued an opinion and order in </w:t>
      </w:r>
      <w:r w:rsidRPr="00E259C0" w:rsidR="00F35F81">
        <w:rPr>
          <w:i/>
          <w:iCs/>
        </w:rPr>
        <w:t>Texas Medical Association, et al. v. United States Department of Health and Human Services, et al.</w:t>
      </w:r>
      <w:r w:rsidRPr="00E259C0" w:rsidR="00F35F81">
        <w:t>, Case No. 6:22-cv-372</w:t>
      </w:r>
      <w:r w:rsidRPr="00E259C0" w:rsidR="0044641D">
        <w:t xml:space="preserve"> (E.D. Tex)</w:t>
      </w:r>
      <w:r w:rsidRPr="00E259C0" w:rsidR="009C5CED">
        <w:t xml:space="preserve"> (</w:t>
      </w:r>
      <w:r w:rsidRPr="00E259C0" w:rsidR="009C5CED">
        <w:rPr>
          <w:i/>
          <w:iCs/>
        </w:rPr>
        <w:t>TMA II</w:t>
      </w:r>
      <w:r w:rsidRPr="00E259C0" w:rsidR="009C5CED">
        <w:t>)</w:t>
      </w:r>
      <w:r w:rsidRPr="00E259C0" w:rsidR="00CB7D0E">
        <w:t xml:space="preserve"> that vacated portions of the August 2022 </w:t>
      </w:r>
      <w:r w:rsidRPr="00E259C0" w:rsidR="007E0BED">
        <w:t>final rules</w:t>
      </w:r>
      <w:r w:rsidRPr="00E259C0" w:rsidR="00F35F81">
        <w:t xml:space="preserve">. </w:t>
      </w:r>
      <w:r w:rsidRPr="00E259C0" w:rsidR="00933289">
        <w:t xml:space="preserve">Later, the District Court in </w:t>
      </w:r>
      <w:r w:rsidRPr="00E259C0" w:rsidR="0083631C">
        <w:rPr>
          <w:i/>
        </w:rPr>
        <w:t>Texas Medical Association</w:t>
      </w:r>
      <w:r w:rsidRPr="00E259C0" w:rsidR="00DE16AE">
        <w:rPr>
          <w:i/>
          <w:iCs/>
        </w:rPr>
        <w:t>,</w:t>
      </w:r>
      <w:r w:rsidRPr="00E259C0" w:rsidR="00933289">
        <w:rPr>
          <w:i/>
          <w:iCs/>
        </w:rPr>
        <w:t xml:space="preserve"> </w:t>
      </w:r>
      <w:r w:rsidRPr="00E259C0" w:rsidR="00BA31EF">
        <w:rPr>
          <w:i/>
          <w:iCs/>
        </w:rPr>
        <w:t>et al.</w:t>
      </w:r>
      <w:r w:rsidRPr="00E259C0" w:rsidR="00933289">
        <w:rPr>
          <w:i/>
          <w:iCs/>
        </w:rPr>
        <w:t xml:space="preserve"> v. </w:t>
      </w:r>
      <w:r w:rsidRPr="00E259C0" w:rsidR="0083631C">
        <w:rPr>
          <w:i/>
        </w:rPr>
        <w:t>United States Department of Health and Human Services,</w:t>
      </w:r>
      <w:r w:rsidRPr="00E259C0" w:rsidR="0083631C">
        <w:rPr>
          <w:i/>
          <w:iCs/>
        </w:rPr>
        <w:t xml:space="preserve"> </w:t>
      </w:r>
      <w:r w:rsidRPr="00E259C0" w:rsidR="00600841">
        <w:t>et al.</w:t>
      </w:r>
      <w:r w:rsidRPr="00E259C0" w:rsidR="00E3692E">
        <w:t>,</w:t>
      </w:r>
      <w:r w:rsidRPr="00E259C0" w:rsidR="00933289">
        <w:t xml:space="preserve"> No. 6:23-cv-00059-JDK (E.D. Tex. Aug</w:t>
      </w:r>
      <w:r w:rsidRPr="00E259C0" w:rsidR="006622D3">
        <w:t>.</w:t>
      </w:r>
      <w:r w:rsidRPr="00E259C0" w:rsidR="00933289">
        <w:t xml:space="preserve"> 3, 2023)</w:t>
      </w:r>
      <w:r w:rsidRPr="00E259C0" w:rsidR="00FF714C">
        <w:t xml:space="preserve"> (</w:t>
      </w:r>
      <w:r w:rsidRPr="00E259C0" w:rsidR="00FF714C">
        <w:rPr>
          <w:i/>
          <w:iCs/>
        </w:rPr>
        <w:t>TMA IV</w:t>
      </w:r>
      <w:r w:rsidRPr="00E259C0" w:rsidR="00FF714C">
        <w:t>)</w:t>
      </w:r>
      <w:r w:rsidRPr="00E259C0" w:rsidR="00933289">
        <w:t xml:space="preserve">and </w:t>
      </w:r>
      <w:r w:rsidRPr="00E259C0" w:rsidR="00933289">
        <w:rPr>
          <w:i/>
          <w:iCs/>
        </w:rPr>
        <w:t>Texas Med</w:t>
      </w:r>
      <w:r w:rsidRPr="00E259C0" w:rsidR="0083631C">
        <w:rPr>
          <w:i/>
          <w:iCs/>
        </w:rPr>
        <w:t>ical</w:t>
      </w:r>
      <w:r w:rsidRPr="00E259C0" w:rsidR="00933289">
        <w:rPr>
          <w:i/>
          <w:iCs/>
        </w:rPr>
        <w:t xml:space="preserve"> Ass</w:t>
      </w:r>
      <w:r w:rsidRPr="00E259C0" w:rsidR="0083631C">
        <w:rPr>
          <w:i/>
          <w:iCs/>
        </w:rPr>
        <w:t>ociatio</w:t>
      </w:r>
      <w:r w:rsidRPr="00E259C0" w:rsidR="00933289">
        <w:rPr>
          <w:i/>
          <w:iCs/>
        </w:rPr>
        <w:t>n</w:t>
      </w:r>
      <w:r w:rsidRPr="00E259C0" w:rsidR="00DE16AE">
        <w:rPr>
          <w:i/>
          <w:iCs/>
        </w:rPr>
        <w:t>,</w:t>
      </w:r>
      <w:r w:rsidRPr="00E259C0" w:rsidR="00933289">
        <w:rPr>
          <w:i/>
          <w:iCs/>
        </w:rPr>
        <w:t xml:space="preserve"> et al. v</w:t>
      </w:r>
      <w:r w:rsidRPr="00E259C0" w:rsidR="0083631C">
        <w:rPr>
          <w:i/>
        </w:rPr>
        <w:t xml:space="preserve"> United States Department of Health and Human Services, et al.</w:t>
      </w:r>
      <w:r w:rsidRPr="00E259C0" w:rsidR="00933289">
        <w:t>,</w:t>
      </w:r>
      <w:r w:rsidRPr="00E259C0" w:rsidR="0044641D">
        <w:t xml:space="preserve"> Case </w:t>
      </w:r>
      <w:r w:rsidRPr="00E259C0" w:rsidR="00933289">
        <w:t xml:space="preserve">No. 6:22-cv-450-JDK (E.D. Tex. Aug. 24, 2023) </w:t>
      </w:r>
      <w:r w:rsidRPr="00E259C0" w:rsidR="00FF714C">
        <w:t>(</w:t>
      </w:r>
      <w:r w:rsidRPr="00E259C0" w:rsidR="00FF714C">
        <w:rPr>
          <w:i/>
          <w:iCs/>
        </w:rPr>
        <w:t>TMA III</w:t>
      </w:r>
      <w:r w:rsidRPr="00E259C0" w:rsidR="00FF714C">
        <w:t xml:space="preserve">) </w:t>
      </w:r>
      <w:r w:rsidRPr="00E259C0" w:rsidR="00933289">
        <w:t>vacated additional portions of the October 2021 interim final rules and July 2021 interim final rules, respectively, among other guidance documents.</w:t>
      </w:r>
      <w:r w:rsidRPr="00E259C0" w:rsidR="00C96C8A">
        <w:t xml:space="preserve"> </w:t>
      </w:r>
    </w:p>
    <w:p w:rsidR="00DF1F78" w:rsidRPr="00E259C0" w:rsidP="009A3842" w14:paraId="4085FF64" w14:textId="41B1296D">
      <w:pPr>
        <w:widowControl/>
        <w:rPr>
          <w:bCs/>
        </w:rPr>
      </w:pPr>
    </w:p>
    <w:p w:rsidR="00DF1F78" w:rsidRPr="00E259C0" w:rsidP="00AD366D" w14:paraId="448EFFAE" w14:textId="0656E272">
      <w:pPr>
        <w:widowControl/>
        <w:ind w:left="720"/>
        <w:rPr>
          <w:b/>
          <w:i/>
          <w:iCs/>
          <w:u w:val="single"/>
        </w:rPr>
      </w:pPr>
      <w:r>
        <w:rPr>
          <w:b/>
          <w:i/>
          <w:iCs/>
          <w:u w:val="single"/>
        </w:rPr>
        <w:t>202</w:t>
      </w:r>
      <w:r w:rsidR="00191A84">
        <w:rPr>
          <w:b/>
          <w:i/>
          <w:iCs/>
          <w:u w:val="single"/>
        </w:rPr>
        <w:t>6</w:t>
      </w:r>
      <w:r w:rsidRPr="00E259C0">
        <w:rPr>
          <w:b/>
          <w:i/>
          <w:iCs/>
          <w:u w:val="single"/>
        </w:rPr>
        <w:t xml:space="preserve"> </w:t>
      </w:r>
      <w:r w:rsidRPr="00E259C0" w:rsidR="00445508">
        <w:rPr>
          <w:b/>
          <w:i/>
          <w:iCs/>
          <w:u w:val="single"/>
        </w:rPr>
        <w:t>Final Rules</w:t>
      </w:r>
      <w:r w:rsidRPr="00E259C0" w:rsidR="00D10844">
        <w:rPr>
          <w:b/>
          <w:i/>
          <w:iCs/>
          <w:u w:val="single"/>
        </w:rPr>
        <w:t xml:space="preserve"> </w:t>
      </w:r>
    </w:p>
    <w:p w:rsidR="00425A65" w:rsidRPr="00E259C0" w:rsidP="004A0135" w14:paraId="558AE7B1" w14:textId="77777777">
      <w:pPr>
        <w:widowControl/>
        <w:rPr>
          <w:bCs/>
        </w:rPr>
      </w:pPr>
    </w:p>
    <w:p w:rsidR="00AC3F4F" w:rsidRPr="00E259C0" w:rsidP="001B2D4E" w14:paraId="27D38BCD" w14:textId="2207B4B4">
      <w:pPr>
        <w:widowControl/>
        <w:ind w:left="720"/>
      </w:pPr>
      <w:r w:rsidRPr="00E259C0">
        <w:t xml:space="preserve">The </w:t>
      </w:r>
      <w:r w:rsidRPr="00E259C0" w:rsidR="0008050A">
        <w:t xml:space="preserve">Federal Independent Dispute Resolution Notice of </w:t>
      </w:r>
      <w:r w:rsidR="00B262CE">
        <w:t xml:space="preserve">Final </w:t>
      </w:r>
      <w:r w:rsidRPr="00E259C0" w:rsidR="0008050A">
        <w:t>Rulemaking (</w:t>
      </w:r>
      <w:r w:rsidRPr="00E259C0" w:rsidR="003F0EA0">
        <w:t>202</w:t>
      </w:r>
      <w:r w:rsidR="00191A84">
        <w:t>6</w:t>
      </w:r>
      <w:r w:rsidRPr="00E259C0" w:rsidR="003F0EA0">
        <w:t xml:space="preserve"> </w:t>
      </w:r>
      <w:r w:rsidRPr="00E259C0" w:rsidR="001E4F8B">
        <w:t>final rules</w:t>
      </w:r>
      <w:r w:rsidRPr="00E259C0" w:rsidR="0008050A">
        <w:t>)</w:t>
      </w:r>
      <w:r w:rsidRPr="00E259C0">
        <w:t xml:space="preserve"> relate to certain provisions of the N</w:t>
      </w:r>
      <w:r w:rsidRPr="00E259C0" w:rsidR="73A7C966">
        <w:t xml:space="preserve">o </w:t>
      </w:r>
      <w:r w:rsidRPr="00E259C0">
        <w:t>S</w:t>
      </w:r>
      <w:r w:rsidRPr="00E259C0" w:rsidR="73A7C966">
        <w:t xml:space="preserve">urprises </w:t>
      </w:r>
      <w:r w:rsidRPr="00E259C0">
        <w:t>A</w:t>
      </w:r>
      <w:r w:rsidRPr="00E259C0" w:rsidR="73A7C966">
        <w:t>ct</w:t>
      </w:r>
      <w:r w:rsidRPr="00E259C0">
        <w:t xml:space="preserve"> regarding the </w:t>
      </w:r>
      <w:r w:rsidRPr="00E259C0" w:rsidR="3FFB790F">
        <w:t xml:space="preserve">Federal </w:t>
      </w:r>
      <w:r w:rsidRPr="00E259C0">
        <w:t>IDR</w:t>
      </w:r>
      <w:r w:rsidRPr="00E259C0" w:rsidR="3FFB790F">
        <w:t xml:space="preserve"> p</w:t>
      </w:r>
      <w:r w:rsidRPr="00E259C0">
        <w:t xml:space="preserve">rocess. </w:t>
      </w:r>
      <w:r w:rsidRPr="008501C8" w:rsidR="008501C8">
        <w:t>These rules finalize new requirements relating to the disclosure of information that group health plans and health insurance issuers offering group or individual health insurance coverage must include along with the initial payment or notice of denial of payment for certain items and services subject to the surprise billing protections in the No Surprises Act. These final rules also require plans and issuers to communicate information by using claim adjustment reason codes (CARCs) and remittance advice remark codes (RARCs), as specified in guidance, when providing any paper or electronic remittance advice (ERA) to an entity that does not have a contractual relationship with the plan or issuer. This</w:t>
      </w:r>
      <w:r w:rsidR="008501C8">
        <w:t xml:space="preserve"> rule</w:t>
      </w:r>
      <w:r w:rsidRPr="008501C8" w:rsidR="008501C8">
        <w:t xml:space="preserve"> also finalizes amendments to certain requirements related to the open negotiation period preceding the Federal IDR process, the initiation of the Federal IDR process, the Federal IDR dispute eligibility review process, and the payment and collection of administrative fees and certified IDR entity fees. This </w:t>
      </w:r>
      <w:r w:rsidR="008501C8">
        <w:t>rule</w:t>
      </w:r>
      <w:r w:rsidRPr="008501C8" w:rsidR="008501C8">
        <w:t xml:space="preserve"> also finalizes the definition of bundled payment arrangements, amends requirements related to batched items and services and amends th</w:t>
      </w:r>
      <w:bookmarkStart w:id="0" w:name="_Hlk125534610"/>
      <w:r w:rsidRPr="008501C8" w:rsidR="008501C8">
        <w:t xml:space="preserve">e rules for extensions of timeframes due to extenuating </w:t>
      </w:r>
      <w:r w:rsidRPr="008501C8" w:rsidR="008501C8">
        <w:t>circumstances</w:t>
      </w:r>
      <w:bookmarkEnd w:id="0"/>
      <w:r w:rsidRPr="008501C8" w:rsidR="008501C8">
        <w:t xml:space="preserve">. Additionally, this </w:t>
      </w:r>
      <w:r w:rsidR="008501C8">
        <w:t xml:space="preserve">rule </w:t>
      </w:r>
      <w:r w:rsidRPr="008501C8" w:rsidR="008501C8">
        <w:t xml:space="preserve">finalizes provisions that require plans and issuers to register in the Federal IDR portal. </w:t>
      </w:r>
    </w:p>
    <w:p w:rsidR="00FC2F3E" w:rsidRPr="00504ACA" w:rsidP="00946258" w14:paraId="4155C450" w14:textId="2581D2A7">
      <w:pPr>
        <w:pStyle w:val="HeadingStyle"/>
        <w:rPr>
          <w:rFonts w:ascii="Times New Roman" w:hAnsi="Times New Roman" w:cs="Times New Roman"/>
          <w:color w:val="auto"/>
        </w:rPr>
      </w:pPr>
      <w:r w:rsidRPr="00E259C0">
        <w:rPr>
          <w:rFonts w:ascii="Times New Roman" w:hAnsi="Times New Roman" w:cs="Times New Roman"/>
          <w:color w:val="auto"/>
        </w:rPr>
        <w:t>2</w:t>
      </w:r>
      <w:r w:rsidRPr="00504ACA">
        <w:rPr>
          <w:rFonts w:ascii="Times New Roman" w:hAnsi="Times New Roman" w:cs="Times New Roman"/>
          <w:color w:val="auto"/>
        </w:rPr>
        <w:t>.</w:t>
      </w:r>
      <w:r w:rsidRPr="00504ACA" w:rsidR="7D708777">
        <w:rPr>
          <w:rFonts w:ascii="Times New Roman" w:hAnsi="Times New Roman" w:cs="Times New Roman"/>
          <w:color w:val="auto"/>
        </w:rPr>
        <w:tab/>
      </w:r>
      <w:r w:rsidRPr="00504ACA">
        <w:rPr>
          <w:rFonts w:ascii="Times New Roman" w:hAnsi="Times New Roman" w:cs="Times New Roman"/>
          <w:color w:val="auto"/>
        </w:rPr>
        <w:t>Indicate how, by whom, and for what purpose the information is to be used.</w:t>
      </w:r>
      <w:r w:rsidR="00263C28">
        <w:rPr>
          <w:rFonts w:ascii="Times New Roman" w:hAnsi="Times New Roman" w:cs="Times New Roman"/>
          <w:color w:val="auto"/>
        </w:rPr>
        <w:t xml:space="preserve"> </w:t>
      </w:r>
      <w:r w:rsidRPr="00504ACA">
        <w:rPr>
          <w:rFonts w:ascii="Times New Roman" w:hAnsi="Times New Roman" w:cs="Times New Roman"/>
          <w:color w:val="auto"/>
        </w:rPr>
        <w:t>Except for a new collection, indicate the actual use the agency has made of the information received from the current collection.</w:t>
      </w:r>
    </w:p>
    <w:p w:rsidR="0035080C" w:rsidRPr="00E259C0" w:rsidP="00E9456C" w14:paraId="427A464A" w14:textId="77777777">
      <w:pPr>
        <w:widowControl/>
      </w:pPr>
    </w:p>
    <w:p w:rsidR="00D5672C" w:rsidRPr="00A82210" w:rsidP="00A82210" w14:paraId="0DAC17DD" w14:textId="25E31897">
      <w:pPr>
        <w:widowControl/>
        <w:ind w:left="720"/>
      </w:pPr>
      <w:r w:rsidRPr="00E259C0">
        <w:t>The</w:t>
      </w:r>
      <w:r w:rsidRPr="00E259C0" w:rsidR="08AF5504">
        <w:t xml:space="preserve"> </w:t>
      </w:r>
      <w:r w:rsidRPr="00E259C0" w:rsidR="4C99B9BF">
        <w:t xml:space="preserve">October 2021 </w:t>
      </w:r>
      <w:r w:rsidRPr="00E259C0" w:rsidR="5255F8FA">
        <w:t>interim final rules</w:t>
      </w:r>
      <w:r w:rsidRPr="00E259C0" w:rsidR="002C1F19">
        <w:t xml:space="preserve">, </w:t>
      </w:r>
      <w:r w:rsidRPr="00E259C0">
        <w:t xml:space="preserve">the </w:t>
      </w:r>
      <w:r w:rsidRPr="00E259C0" w:rsidR="76941BBF">
        <w:t>August 2022</w:t>
      </w:r>
      <w:r w:rsidRPr="00E259C0">
        <w:t xml:space="preserve"> </w:t>
      </w:r>
      <w:r w:rsidRPr="00E259C0" w:rsidR="255BE783">
        <w:t>f</w:t>
      </w:r>
      <w:r w:rsidRPr="00E259C0" w:rsidR="10139ADD">
        <w:t>inal rules</w:t>
      </w:r>
      <w:r w:rsidRPr="00E259C0" w:rsidR="008616D7">
        <w:t xml:space="preserve">, and </w:t>
      </w:r>
      <w:r w:rsidR="00F620E9">
        <w:t>202</w:t>
      </w:r>
      <w:r w:rsidR="00191A84">
        <w:t>6</w:t>
      </w:r>
      <w:r w:rsidR="00F620E9">
        <w:t xml:space="preserve"> </w:t>
      </w:r>
      <w:r w:rsidRPr="00E259C0" w:rsidR="001E4F8B">
        <w:t>final rules</w:t>
      </w:r>
      <w:r w:rsidRPr="00E259C0" w:rsidR="10139ADD">
        <w:t xml:space="preserve"> </w:t>
      </w:r>
      <w:r w:rsidRPr="00E259C0" w:rsidR="0C05F7FD">
        <w:t xml:space="preserve">associated with this ICR Revision submission, </w:t>
      </w:r>
      <w:r w:rsidRPr="00E259C0">
        <w:t xml:space="preserve">set forth </w:t>
      </w:r>
      <w:r w:rsidR="0079696D">
        <w:t>1</w:t>
      </w:r>
      <w:r w:rsidR="00EE560A">
        <w:t>9</w:t>
      </w:r>
      <w:r w:rsidRPr="00E259C0" w:rsidR="5683853C">
        <w:t xml:space="preserve"> </w:t>
      </w:r>
      <w:r w:rsidRPr="00E259C0" w:rsidR="4B3BE63A">
        <w:t xml:space="preserve">required </w:t>
      </w:r>
      <w:r w:rsidRPr="00E259C0" w:rsidR="08AF5504">
        <w:t xml:space="preserve">components, </w:t>
      </w:r>
      <w:r w:rsidRPr="00E259C0" w:rsidR="4B3BE63A">
        <w:t>applicable to group health plans and health insurance issuers offering group or individual health insurance coverage (including grandfathered health plans)</w:t>
      </w:r>
      <w:r>
        <w:rPr>
          <w:rStyle w:val="FootnoteReference"/>
          <w:vertAlign w:val="superscript"/>
        </w:rPr>
        <w:footnoteReference w:id="5"/>
      </w:r>
      <w:r w:rsidRPr="00E259C0" w:rsidR="42EE1E56">
        <w:t>,</w:t>
      </w:r>
      <w:r w:rsidRPr="00E259C0" w:rsidR="4B3BE63A">
        <w:t xml:space="preserve"> providers</w:t>
      </w:r>
      <w:r w:rsidRPr="00E259C0" w:rsidR="42EE1E56">
        <w:t>,</w:t>
      </w:r>
      <w:r w:rsidRPr="00E259C0" w:rsidR="4B3BE63A">
        <w:t xml:space="preserve"> and </w:t>
      </w:r>
      <w:r w:rsidRPr="00E259C0" w:rsidR="210E6BC3">
        <w:t>facilities</w:t>
      </w:r>
      <w:r w:rsidRPr="00E259C0" w:rsidR="08AF5504">
        <w:t>.</w:t>
      </w:r>
      <w:r w:rsidR="00263C28">
        <w:t xml:space="preserve"> </w:t>
      </w:r>
      <w:r w:rsidRPr="00E259C0" w:rsidR="00084D8B">
        <w:t>The</w:t>
      </w:r>
      <w:r w:rsidRPr="00E259C0" w:rsidR="4B3BE63A">
        <w:t>se</w:t>
      </w:r>
      <w:r w:rsidRPr="00E259C0" w:rsidR="00084D8B">
        <w:t xml:space="preserve"> </w:t>
      </w:r>
      <w:r w:rsidRPr="00E259C0" w:rsidR="256D2A13">
        <w:t>requirements consist of no</w:t>
      </w:r>
      <w:r w:rsidRPr="00E259C0" w:rsidR="38FCFE16">
        <w:t xml:space="preserve">tices necessary for the </w:t>
      </w:r>
      <w:r w:rsidRPr="00E259C0" w:rsidR="0076038B">
        <w:t>F</w:t>
      </w:r>
      <w:r w:rsidRPr="00E259C0" w:rsidR="0D002FBF">
        <w:t xml:space="preserve">ederal </w:t>
      </w:r>
      <w:r w:rsidRPr="00E259C0" w:rsidR="38FCFE16">
        <w:t>IDR process</w:t>
      </w:r>
      <w:r w:rsidRPr="00E259C0" w:rsidR="00084D8B">
        <w:t>,</w:t>
      </w:r>
      <w:r w:rsidRPr="00E259C0" w:rsidR="38FCFE16">
        <w:t xml:space="preserve"> requirements associated with the certification of IDR entities, and reporting requirement</w:t>
      </w:r>
      <w:r w:rsidRPr="00E259C0" w:rsidR="00084D8B">
        <w:t>s</w:t>
      </w:r>
      <w:r w:rsidRPr="00E259C0" w:rsidR="38FCFE16">
        <w:t xml:space="preserve"> for </w:t>
      </w:r>
      <w:r w:rsidRPr="00E259C0" w:rsidR="0D002FBF">
        <w:t xml:space="preserve">certified </w:t>
      </w:r>
      <w:r w:rsidRPr="00E259C0" w:rsidR="38FCFE16">
        <w:t>IDR entities</w:t>
      </w:r>
      <w:r w:rsidRPr="00E259C0" w:rsidR="298A8716">
        <w:t>.</w:t>
      </w:r>
      <w:r w:rsidR="001B2D4E">
        <w:t xml:space="preserve"> </w:t>
      </w:r>
    </w:p>
    <w:p w:rsidR="00BA5E8D" w:rsidRPr="00E259C0" w:rsidP="00947E4A" w14:paraId="0CEF352B" w14:textId="752BF345">
      <w:pPr>
        <w:pStyle w:val="ListParagraph"/>
        <w:ind w:left="1440"/>
        <w:rPr>
          <w:i/>
          <w:iCs/>
        </w:rPr>
      </w:pPr>
    </w:p>
    <w:p w:rsidR="00B409A7" w:rsidRPr="00E259C0" w:rsidP="00B409A7" w14:paraId="2A5449F8" w14:textId="5DB3C6BA">
      <w:pPr>
        <w:pStyle w:val="ListParagraph"/>
        <w:numPr>
          <w:ilvl w:val="0"/>
          <w:numId w:val="9"/>
        </w:numPr>
      </w:pPr>
      <w:r w:rsidRPr="00E259C0">
        <w:rPr>
          <w:i/>
          <w:iCs/>
        </w:rPr>
        <w:t>Registration of Group Health Plans and Health Insurance Issuers</w:t>
      </w:r>
      <w:r w:rsidRPr="00E259C0" w:rsidR="00F41FB4">
        <w:rPr>
          <w:i/>
          <w:iCs/>
        </w:rPr>
        <w:t>.</w:t>
      </w:r>
      <w:r w:rsidRPr="00E259C0" w:rsidR="00F41FB4">
        <w:t xml:space="preserve"> The</w:t>
      </w:r>
      <w:r w:rsidRPr="00E259C0" w:rsidR="003C1119">
        <w:t xml:space="preserve"> </w:t>
      </w:r>
      <w:r w:rsidR="003F0EA0">
        <w:t>202</w:t>
      </w:r>
      <w:r w:rsidR="00191A84">
        <w:t>6</w:t>
      </w:r>
      <w:r w:rsidRPr="00E259C0" w:rsidR="001E4F8B">
        <w:t xml:space="preserve"> final rules</w:t>
      </w:r>
      <w:r w:rsidRPr="00E259C0" w:rsidR="00F41FB4">
        <w:t xml:space="preserve"> </w:t>
      </w:r>
      <w:r w:rsidR="003B5ABF">
        <w:t>will</w:t>
      </w:r>
      <w:r w:rsidRPr="00E259C0" w:rsidR="00F41FB4">
        <w:t xml:space="preserve"> require plans and issuers that are subject to the Federal IDR process to register and submit certain information to the Departments. </w:t>
      </w:r>
      <w:r w:rsidRPr="00E259C0" w:rsidR="00947E4A">
        <w:t xml:space="preserve">The </w:t>
      </w:r>
      <w:r w:rsidR="004A66C1">
        <w:t>final</w:t>
      </w:r>
      <w:r w:rsidRPr="00E259C0" w:rsidR="00947E4A">
        <w:t xml:space="preserve"> regulation also requires that plans update the information associated with their registration no later than 30 </w:t>
      </w:r>
      <w:r w:rsidRPr="00E259C0" w:rsidR="005308E6">
        <w:t xml:space="preserve">calendar </w:t>
      </w:r>
      <w:r w:rsidRPr="00E259C0" w:rsidR="00947E4A">
        <w:t>days after such information changes</w:t>
      </w:r>
      <w:r w:rsidRPr="00E259C0" w:rsidR="005D5B97">
        <w:t>, and confirm the accuracy of its registration</w:t>
      </w:r>
      <w:r w:rsidRPr="00E259C0" w:rsidR="00947E4A">
        <w:t xml:space="preserve"> annually</w:t>
      </w:r>
      <w:r w:rsidRPr="00E259C0" w:rsidR="005D5B97">
        <w:t xml:space="preserve"> in the fourth quarter of each calendar year</w:t>
      </w:r>
      <w:r w:rsidRPr="00E259C0" w:rsidR="00947E4A">
        <w:t>.</w:t>
      </w:r>
      <w:r w:rsidRPr="00E259C0" w:rsidR="009B5E64">
        <w:t xml:space="preserve"> Plans and issuers would be required to provide the following information upon registration: (1) the legal business name </w:t>
      </w:r>
      <w:r w:rsidRPr="00E259C0" w:rsidR="00D10322">
        <w:t xml:space="preserve">(if any) </w:t>
      </w:r>
      <w:r w:rsidRPr="00E259C0" w:rsidR="009B5E64">
        <w:t>of the group health plan</w:t>
      </w:r>
      <w:r w:rsidRPr="00E259C0" w:rsidR="00D85D1A">
        <w:t xml:space="preserve">, </w:t>
      </w:r>
      <w:r w:rsidRPr="00E259C0" w:rsidR="009B5E64">
        <w:t>issuer</w:t>
      </w:r>
      <w:r w:rsidRPr="00E259C0" w:rsidR="00D85D1A">
        <w:t>, or FEHB carrier, and, if applicable,</w:t>
      </w:r>
      <w:r w:rsidRPr="00E259C0" w:rsidR="009B5E64">
        <w:t xml:space="preserve"> the legal business name of the </w:t>
      </w:r>
      <w:r w:rsidRPr="00E259C0" w:rsidR="004C3BF1">
        <w:t xml:space="preserve">group health </w:t>
      </w:r>
      <w:r w:rsidRPr="00E259C0" w:rsidR="009B5E64">
        <w:t xml:space="preserve">plan sponsor; (2) whether the </w:t>
      </w:r>
      <w:r w:rsidR="00C67828">
        <w:t>registrant</w:t>
      </w:r>
      <w:r w:rsidRPr="00E259C0" w:rsidR="00C67828">
        <w:t xml:space="preserve"> </w:t>
      </w:r>
      <w:r w:rsidRPr="00E259C0" w:rsidR="009B5E64">
        <w:t xml:space="preserve">is a self-insured ERISA group health plan, </w:t>
      </w:r>
      <w:r w:rsidR="00090EF6">
        <w:t>an issuer offering individual or group market insurance coverage</w:t>
      </w:r>
      <w:r w:rsidRPr="00E259C0" w:rsidR="009B5E64">
        <w:t xml:space="preserve">, an FEHB </w:t>
      </w:r>
      <w:r w:rsidR="00E76E14">
        <w:t>carrier</w:t>
      </w:r>
      <w:r w:rsidRPr="00E259C0" w:rsidR="009B5E64">
        <w:t xml:space="preserve">, a self- or fully-insured non-Federal governmental plan, or a self-insured church plan; (3) </w:t>
      </w:r>
      <w:r w:rsidR="001D4E91">
        <w:t xml:space="preserve">for </w:t>
      </w:r>
      <w:r w:rsidR="00254106">
        <w:t>issuers</w:t>
      </w:r>
      <w:r w:rsidR="00C23436">
        <w:t xml:space="preserve"> and self-insured non-federal government plans, </w:t>
      </w:r>
      <w:r w:rsidRPr="00E259C0" w:rsidR="009B5E64">
        <w:t xml:space="preserve">the state(s) in which the plan </w:t>
      </w:r>
      <w:r w:rsidR="00362AAB">
        <w:t>is offered or the coverage is licensed</w:t>
      </w:r>
      <w:r w:rsidRPr="00E259C0" w:rsidR="009B5E64">
        <w:t>;; (</w:t>
      </w:r>
      <w:r w:rsidR="00FA426B">
        <w:t>4</w:t>
      </w:r>
      <w:r w:rsidRPr="00E259C0" w:rsidR="009B5E64">
        <w:t>) for self-</w:t>
      </w:r>
      <w:r w:rsidRPr="00E259C0" w:rsidR="00B30747">
        <w:t xml:space="preserve">insured </w:t>
      </w:r>
      <w:r w:rsidRPr="00E259C0" w:rsidR="009B5E64">
        <w:t>group health plans</w:t>
      </w:r>
      <w:r w:rsidR="002064A3">
        <w:t>, self-insured church plans</w:t>
      </w:r>
      <w:r w:rsidR="00CF2FDB">
        <w:t>, and self-insured</w:t>
      </w:r>
      <w:r w:rsidR="000F375D">
        <w:t xml:space="preserve"> non-Federal governmental plans</w:t>
      </w:r>
      <w:r w:rsidRPr="00E259C0" w:rsidR="009B5E64">
        <w:t xml:space="preserve"> not otherwise subject to state law, </w:t>
      </w:r>
      <w:r w:rsidRPr="00E259C0" w:rsidR="00B30747">
        <w:t xml:space="preserve">any </w:t>
      </w:r>
      <w:r w:rsidRPr="00E259C0" w:rsidR="009B5E64">
        <w:t xml:space="preserve">state(s) in which the plan has properly effectuated an election to opt in to a specified state law, if that state allows a plan not otherwise subject to the state law to opt in; and, for FEHB plans that adopt a specified state law as a term of coverage, any state(s) in which they have made such an adoption; </w:t>
      </w:r>
      <w:r w:rsidR="00A85582">
        <w:t xml:space="preserve">and whether </w:t>
      </w:r>
      <w:r w:rsidR="002B06E7">
        <w:t>the self-insured group health plan</w:t>
      </w:r>
      <w:r w:rsidR="007B6785">
        <w:t>, self-insured</w:t>
      </w:r>
      <w:r w:rsidR="00A319F6">
        <w:t xml:space="preserve"> church plan, </w:t>
      </w:r>
      <w:r w:rsidR="00B82A3C">
        <w:t>self-insured non-Federal governmental plan, or FEHB</w:t>
      </w:r>
      <w:r w:rsidR="00DB7B0D">
        <w:t xml:space="preserve"> is subject to </w:t>
      </w:r>
      <w:r w:rsidR="0065130A">
        <w:t xml:space="preserve">an All Payer Model Agreement under </w:t>
      </w:r>
      <w:r w:rsidR="00D6261B">
        <w:t>section 1115A of the Social Secur</w:t>
      </w:r>
      <w:r w:rsidR="00BF3BA2">
        <w:t xml:space="preserve">ity Act </w:t>
      </w:r>
      <w:r w:rsidRPr="00E259C0" w:rsidR="009B5E64">
        <w:t>(</w:t>
      </w:r>
      <w:r w:rsidR="00670D8C">
        <w:t>5</w:t>
      </w:r>
      <w:r w:rsidRPr="00E259C0" w:rsidR="009B5E64">
        <w:t xml:space="preserve">) </w:t>
      </w:r>
      <w:r w:rsidRPr="00E259C0" w:rsidR="00F07D10">
        <w:t xml:space="preserve">contact information, including a telephone number and </w:t>
      </w:r>
      <w:r w:rsidRPr="00E259C0" w:rsidR="00F07D10">
        <w:t>email address, for the appropriate person or office to initiate open negotiations</w:t>
      </w:r>
      <w:r w:rsidR="00E817C5">
        <w:t xml:space="preserve"> and the Federal IDR </w:t>
      </w:r>
      <w:r w:rsidR="00FF62AC">
        <w:t>process</w:t>
      </w:r>
      <w:r w:rsidRPr="00E259C0" w:rsidR="00F07D10">
        <w:t xml:space="preserve"> for purposes of determining an amount of payment (including cost sharing) for such item or service. </w:t>
      </w:r>
      <w:r w:rsidRPr="00E259C0" w:rsidR="009B5E64">
        <w:t>(</w:t>
      </w:r>
      <w:r w:rsidR="009F2DBE">
        <w:t>6</w:t>
      </w:r>
      <w:r w:rsidRPr="00E259C0" w:rsidR="009B5E64">
        <w:t>) the 5-digit HIOS identifier, or if no HIOS identifier is available, the plan</w:t>
      </w:r>
      <w:r w:rsidRPr="00E259C0" w:rsidR="003839E7">
        <w:t xml:space="preserve"> or plan sponsor</w:t>
      </w:r>
      <w:r w:rsidRPr="00E259C0" w:rsidR="009B5E64">
        <w:t>’s Employer Identification Number (EIN)</w:t>
      </w:r>
      <w:r w:rsidRPr="00E259C0" w:rsidR="00506BA1">
        <w:t xml:space="preserve"> and</w:t>
      </w:r>
      <w:r w:rsidRPr="00E259C0" w:rsidR="009B5E64">
        <w:t xml:space="preserve"> the plan’s plan number (PN), if a PN is available</w:t>
      </w:r>
      <w:r w:rsidRPr="00E259C0" w:rsidR="006E4856">
        <w:t>, or for FEHB carriers, the applicable contract number(s) and plan code(s)</w:t>
      </w:r>
      <w:r w:rsidRPr="00E259C0" w:rsidR="009B5E64">
        <w:t>; (</w:t>
      </w:r>
      <w:r w:rsidR="00251BF9">
        <w:t>7</w:t>
      </w:r>
      <w:r w:rsidRPr="00E259C0" w:rsidR="009B5E64">
        <w:t>) additional information needed to identify the plan</w:t>
      </w:r>
      <w:r w:rsidRPr="00E259C0" w:rsidR="00BC72C8">
        <w:t xml:space="preserve">, </w:t>
      </w:r>
      <w:r w:rsidRPr="00E259C0" w:rsidR="009B5E64">
        <w:t>issuer</w:t>
      </w:r>
      <w:r w:rsidRPr="00E259C0" w:rsidR="00BC72C8">
        <w:t>, or FEHB carrier,</w:t>
      </w:r>
      <w:r w:rsidRPr="00E259C0" w:rsidR="009B5E64">
        <w:t xml:space="preserve"> and the applicable Federal and State requirements for determining appropriate out-of-network payment rates for items or services to which the protections against balance billing apply, as specified by the Departments in guidance</w:t>
      </w:r>
      <w:r w:rsidRPr="00E259C0" w:rsidR="00294918">
        <w:t>, or such additional information needed with respect to FEHB carriers as specified by the OPM Director in guidance; and (</w:t>
      </w:r>
      <w:r w:rsidR="003A199B">
        <w:t>8</w:t>
      </w:r>
      <w:r w:rsidRPr="00E259C0" w:rsidR="00294918">
        <w:t xml:space="preserve">) </w:t>
      </w:r>
      <w:r w:rsidRPr="00E259C0" w:rsidR="003C67D7">
        <w:t>additional information needed for purposes of administrative fee collection, as specified by the Departments in guidance, or such additional information needed with respect to FEHB carriers as specified by the OPM Director in guidance</w:t>
      </w:r>
      <w:r w:rsidRPr="00E259C0" w:rsidR="009B5E64">
        <w:t>.</w:t>
      </w:r>
    </w:p>
    <w:p w:rsidR="00B409A7" w:rsidRPr="00E259C0" w:rsidP="00B409A7" w14:paraId="43BFB178" w14:textId="77777777">
      <w:pPr>
        <w:pStyle w:val="ListParagraph"/>
        <w:ind w:left="1440"/>
      </w:pPr>
    </w:p>
    <w:p w:rsidR="00B409A7" w:rsidRPr="00E259C0" w:rsidP="00B409A7" w14:paraId="7C1162A9" w14:textId="051BF50B">
      <w:pPr>
        <w:pStyle w:val="ListParagraph"/>
        <w:numPr>
          <w:ilvl w:val="0"/>
          <w:numId w:val="9"/>
        </w:numPr>
      </w:pPr>
      <w:r w:rsidRPr="00E259C0">
        <w:rPr>
          <w:i/>
        </w:rPr>
        <w:t>Open Negotiation Notice</w:t>
      </w:r>
      <w:r w:rsidRPr="00E259C0">
        <w:t>.</w:t>
      </w:r>
      <w:r w:rsidR="00263C28">
        <w:t xml:space="preserve"> </w:t>
      </w:r>
      <w:r w:rsidRPr="00E259C0">
        <w:t xml:space="preserve">Before accessing the </w:t>
      </w:r>
      <w:r w:rsidRPr="00E259C0" w:rsidR="0076038B">
        <w:t>F</w:t>
      </w:r>
      <w:r w:rsidRPr="00E259C0" w:rsidR="001D52F1">
        <w:t xml:space="preserve">ederal </w:t>
      </w:r>
      <w:r w:rsidRPr="00E259C0">
        <w:t xml:space="preserve">IDR process to determine the out-of-network rate for a qualified </w:t>
      </w:r>
      <w:r w:rsidRPr="00E259C0" w:rsidR="00EE7BF5">
        <w:t xml:space="preserve">IDR </w:t>
      </w:r>
      <w:r w:rsidRPr="00E259C0">
        <w:t xml:space="preserve">item or service, the </w:t>
      </w:r>
      <w:r w:rsidRPr="00E259C0" w:rsidR="004E4FC9">
        <w:t>parties</w:t>
      </w:r>
      <w:r w:rsidRPr="00E259C0">
        <w:t xml:space="preserve"> must engage in a 30-business-day open negotiation period to attempt to reach an agreement regarding the total out-of-network rate (including any cost sharing</w:t>
      </w:r>
      <w:r w:rsidRPr="00E259C0" w:rsidR="00C41CC9">
        <w:t>)</w:t>
      </w:r>
      <w:r w:rsidRPr="00E259C0" w:rsidR="00E60814">
        <w:t>.</w:t>
      </w:r>
      <w:r w:rsidR="00AD2339">
        <w:t xml:space="preserve"> </w:t>
      </w:r>
      <w:r w:rsidRPr="00E259C0" w:rsidR="00C80999">
        <w:t>In order to engage in open negotiation</w:t>
      </w:r>
      <w:r w:rsidRPr="00E259C0" w:rsidR="005E3A20">
        <w:t>,</w:t>
      </w:r>
      <w:r w:rsidRPr="00E259C0" w:rsidR="00C80999">
        <w:t xml:space="preserve"> </w:t>
      </w:r>
      <w:r w:rsidRPr="00E259C0" w:rsidR="001D5EB2">
        <w:t xml:space="preserve">a party must send the other party an </w:t>
      </w:r>
      <w:r w:rsidRPr="00E259C0" w:rsidR="00454856">
        <w:t>“Open Negotiation Notice</w:t>
      </w:r>
      <w:r w:rsidRPr="00E259C0" w:rsidR="001D5EB2">
        <w:t xml:space="preserve">.” </w:t>
      </w:r>
      <w:r w:rsidRPr="00E259C0" w:rsidR="004D491A">
        <w:t xml:space="preserve">Under the </w:t>
      </w:r>
      <w:r w:rsidR="003F0EA0">
        <w:t>20</w:t>
      </w:r>
      <w:r w:rsidR="00191A84">
        <w:t>26</w:t>
      </w:r>
      <w:r w:rsidRPr="00E259C0" w:rsidR="001E4F8B">
        <w:t xml:space="preserve"> final rules</w:t>
      </w:r>
      <w:r w:rsidRPr="00E259C0" w:rsidR="001E18BE">
        <w:t>,</w:t>
      </w:r>
      <w:r w:rsidRPr="00E259C0" w:rsidR="004D491A">
        <w:t xml:space="preserve"> the open negotiation notice must be provided to the other party and to the Departments through the Federal IDR portal to initiate the open negotiation period</w:t>
      </w:r>
      <w:r w:rsidRPr="00E259C0" w:rsidR="001E18BE">
        <w:t xml:space="preserve">. </w:t>
      </w:r>
      <w:r w:rsidRPr="00E259C0" w:rsidR="00C747F8">
        <w:t xml:space="preserve">The </w:t>
      </w:r>
      <w:r w:rsidR="003F0EA0">
        <w:t>202</w:t>
      </w:r>
      <w:r w:rsidR="00191A84">
        <w:t xml:space="preserve">6 </w:t>
      </w:r>
      <w:r w:rsidRPr="00E259C0" w:rsidR="001E4F8B">
        <w:t>final rules</w:t>
      </w:r>
      <w:r w:rsidRPr="00E259C0" w:rsidR="00C747F8">
        <w:t xml:space="preserve"> </w:t>
      </w:r>
      <w:r w:rsidRPr="00E259C0" w:rsidR="00295D5D">
        <w:t xml:space="preserve">also </w:t>
      </w:r>
      <w:r w:rsidRPr="00E259C0" w:rsidR="00E05CB7">
        <w:t>amend the content elements of the open negotiation</w:t>
      </w:r>
      <w:r w:rsidRPr="00E259C0" w:rsidR="00F121C6">
        <w:t xml:space="preserve"> notice </w:t>
      </w:r>
      <w:r w:rsidRPr="00E259C0" w:rsidR="00F826AF">
        <w:t xml:space="preserve">and </w:t>
      </w:r>
      <w:r w:rsidRPr="00E259C0" w:rsidR="00295D5D">
        <w:t xml:space="preserve">add additional elements that must be included in the </w:t>
      </w:r>
      <w:r w:rsidRPr="00E259C0" w:rsidR="00656B41">
        <w:t>open negotiation notice</w:t>
      </w:r>
      <w:r w:rsidRPr="00E259C0" w:rsidR="002E6FCF">
        <w:t>.</w:t>
      </w:r>
      <w:r w:rsidRPr="00E259C0" w:rsidR="00656B41">
        <w:t xml:space="preserve"> </w:t>
      </w:r>
      <w:r w:rsidRPr="00E259C0" w:rsidR="00836EDC">
        <w:t>W</w:t>
      </w:r>
      <w:r w:rsidRPr="00E259C0" w:rsidR="00FB560B">
        <w:t xml:space="preserve">ith respect to the item or service subject to the open negotiation notice, information about the item or service and the parties including: </w:t>
      </w:r>
      <w:r w:rsidRPr="00E259C0" w:rsidR="00683111">
        <w:t xml:space="preserve">(1) </w:t>
      </w:r>
      <w:r w:rsidRPr="00E259C0" w:rsidR="00FB560B">
        <w:t xml:space="preserve">information sufficient to identify the provider, facility, or provider of air ambulance services, </w:t>
      </w:r>
      <w:r w:rsidRPr="00E259C0" w:rsidR="00EC6A79">
        <w:t>including the name and current contact information (including the legal business name, email address, phone number, and mailing address) as provided with the claim form submitted by the provider, facility, or air ambulance provider to the plan</w:t>
      </w:r>
      <w:r w:rsidRPr="00E259C0" w:rsidR="00BC72C8">
        <w:t xml:space="preserve">, </w:t>
      </w:r>
      <w:r w:rsidRPr="00E259C0" w:rsidR="00EC6A79">
        <w:t>issuer,</w:t>
      </w:r>
      <w:r w:rsidRPr="00E259C0" w:rsidR="00BC72C8">
        <w:t xml:space="preserve"> or FEHB carrier,</w:t>
      </w:r>
      <w:r w:rsidRPr="00E259C0" w:rsidR="00EC6A79">
        <w:t xml:space="preserve"> and the National Provider Identifier (NPI);</w:t>
      </w:r>
      <w:r w:rsidRPr="00E259C0" w:rsidR="00FB560B">
        <w:t xml:space="preserve"> </w:t>
      </w:r>
      <w:r w:rsidRPr="00E259C0" w:rsidR="00683111">
        <w:t xml:space="preserve">(2) </w:t>
      </w:r>
      <w:r w:rsidRPr="00E259C0" w:rsidR="00FB560B">
        <w:t>information sufficient to identify the plan</w:t>
      </w:r>
      <w:r w:rsidRPr="00E259C0" w:rsidR="00BC72C8">
        <w:t xml:space="preserve">, </w:t>
      </w:r>
      <w:r w:rsidRPr="00E259C0" w:rsidR="00FB560B">
        <w:t>issuer,</w:t>
      </w:r>
      <w:r w:rsidRPr="00E259C0" w:rsidR="00BC72C8">
        <w:t xml:space="preserve"> or FEHB carrier,</w:t>
      </w:r>
      <w:r w:rsidRPr="00E259C0" w:rsidR="00FB560B">
        <w:t xml:space="preserve"> such as the plan’s or issuer’s registration number, as required under </w:t>
      </w:r>
      <w:r w:rsidR="004F0671">
        <w:t>finalized</w:t>
      </w:r>
      <w:r w:rsidRPr="00E259C0" w:rsidR="00C229D6">
        <w:t xml:space="preserve"> 26 CFR 54.9816-9, 29 CFR 2590.716-9, and 45 CFR 149.530</w:t>
      </w:r>
      <w:r w:rsidRPr="00E259C0" w:rsidR="00A25F86">
        <w:t>, if the plan</w:t>
      </w:r>
      <w:r w:rsidRPr="00E259C0" w:rsidR="00BC72C8">
        <w:t xml:space="preserve">, </w:t>
      </w:r>
      <w:r w:rsidRPr="00E259C0" w:rsidR="00A25F86">
        <w:t>issuer</w:t>
      </w:r>
      <w:r w:rsidRPr="00E259C0" w:rsidR="00BC72C8">
        <w:t>, or FEHB carrier</w:t>
      </w:r>
      <w:r w:rsidRPr="00E259C0" w:rsidR="00A25F86">
        <w:t xml:space="preserve"> is registered</w:t>
      </w:r>
      <w:r w:rsidRPr="00E259C0" w:rsidR="00442748">
        <w:t xml:space="preserve"> under </w:t>
      </w:r>
      <w:r w:rsidR="004F0671">
        <w:t xml:space="preserve">finalized </w:t>
      </w:r>
      <w:r w:rsidRPr="00E259C0" w:rsidR="00442748">
        <w:t>26 CFR 54.9816-9, 29 CFR 2590.716-9, and 45 CFR 149.530</w:t>
      </w:r>
      <w:r w:rsidRPr="00E259C0" w:rsidR="00A25F86">
        <w:t>, or an attestation from the party submitting the open negotiation notice that the plan</w:t>
      </w:r>
      <w:r w:rsidR="008414DB">
        <w:t>’s</w:t>
      </w:r>
      <w:r w:rsidRPr="00E259C0" w:rsidR="00BC72C8">
        <w:t xml:space="preserve">, </w:t>
      </w:r>
      <w:r w:rsidRPr="00E259C0" w:rsidR="00A25F86">
        <w:t>issuer</w:t>
      </w:r>
      <w:r w:rsidR="008414DB">
        <w:t>’s</w:t>
      </w:r>
      <w:r w:rsidRPr="00E259C0" w:rsidR="00BC72C8">
        <w:t>, or FEHB carrier</w:t>
      </w:r>
      <w:r w:rsidR="008414DB">
        <w:t>’s</w:t>
      </w:r>
      <w:r w:rsidRPr="00E259C0" w:rsidR="00A25F86">
        <w:t xml:space="preserve"> </w:t>
      </w:r>
      <w:r w:rsidRPr="008414DB" w:rsidR="008414DB">
        <w:t>registration number</w:t>
      </w:r>
      <w:r w:rsidRPr="00E259C0" w:rsidR="00A25F86">
        <w:t xml:space="preserve"> was not </w:t>
      </w:r>
      <w:r w:rsidRPr="008414DB" w:rsidR="008414DB">
        <w:t xml:space="preserve">provided on any remittance advice associated with the initial payment or notice of denial of </w:t>
      </w:r>
      <w:r w:rsidRPr="008414DB" w:rsidR="008414DB">
        <w:t>payment for the item or service</w:t>
      </w:r>
      <w:r w:rsidRPr="00E259C0" w:rsidR="00A25F86">
        <w:t>; the legal business name of the plan</w:t>
      </w:r>
      <w:r w:rsidRPr="00E259C0" w:rsidR="00BC72C8">
        <w:t xml:space="preserve">, </w:t>
      </w:r>
      <w:r w:rsidRPr="00E259C0" w:rsidR="00A25F86">
        <w:t>issuer,</w:t>
      </w:r>
      <w:r w:rsidRPr="00E259C0" w:rsidR="00BC72C8">
        <w:t xml:space="preserve"> or FEHB carrier</w:t>
      </w:r>
      <w:r w:rsidR="000C514A">
        <w:t xml:space="preserve"> </w:t>
      </w:r>
      <w:r w:rsidRPr="009615AE" w:rsidR="00635D5B">
        <w:t>(or, in the case of a self-insured group health plan that does not have a leg</w:t>
      </w:r>
      <w:r w:rsidR="00635D5B">
        <w:t>a</w:t>
      </w:r>
      <w:r w:rsidRPr="009615AE" w:rsidR="00635D5B">
        <w:t>l business name, the legal business name of the plan sponsor)</w:t>
      </w:r>
      <w:r w:rsidR="00635D5B">
        <w:t xml:space="preserve"> </w:t>
      </w:r>
      <w:r w:rsidRPr="00E259C0" w:rsidR="00A25F86">
        <w:t>as well as the current contact information (name, email address, phone number, and mailing address) of the plan</w:t>
      </w:r>
      <w:r w:rsidRPr="00E259C0" w:rsidR="00BC72C8">
        <w:t xml:space="preserve">, </w:t>
      </w:r>
      <w:r w:rsidRPr="00E259C0" w:rsidR="00A25F86">
        <w:t>issuer</w:t>
      </w:r>
      <w:r w:rsidRPr="00E259C0" w:rsidR="00BC72C8">
        <w:t>, or FEHB carrier</w:t>
      </w:r>
      <w:r w:rsidRPr="00E259C0" w:rsidR="00A25F86">
        <w:t xml:space="preserve"> as provided with the initial payment or notice of denial of payment; and if the party submitting the open negotiation notice is a plan</w:t>
      </w:r>
      <w:r w:rsidRPr="00E259C0" w:rsidR="00BC72C8">
        <w:t xml:space="preserve">, </w:t>
      </w:r>
      <w:r w:rsidRPr="00E259C0" w:rsidR="00A25F86">
        <w:t>issuer,</w:t>
      </w:r>
      <w:r w:rsidRPr="00E259C0" w:rsidR="00BC72C8">
        <w:t xml:space="preserve"> or FEHB carrier,</w:t>
      </w:r>
      <w:r w:rsidRPr="00E259C0" w:rsidR="00A25F86">
        <w:t xml:space="preserve"> the plan type (for example, self-insured or fully-insured)</w:t>
      </w:r>
      <w:r w:rsidRPr="00E259C0" w:rsidR="00FB560B">
        <w:t>;</w:t>
      </w:r>
      <w:r w:rsidRPr="00E259C0" w:rsidR="00740515">
        <w:t xml:space="preserve"> </w:t>
      </w:r>
      <w:r w:rsidRPr="00E259C0" w:rsidR="00683111">
        <w:t>(3)</w:t>
      </w:r>
      <w:r w:rsidRPr="00E259C0" w:rsidR="002E749A">
        <w:t xml:space="preserve"> </w:t>
      </w:r>
      <w:r w:rsidRPr="00E259C0" w:rsidR="00FB560B">
        <w:t>the</w:t>
      </w:r>
      <w:r w:rsidRPr="00E259C0" w:rsidR="002E749A">
        <w:t xml:space="preserve"> name and contact information (including</w:t>
      </w:r>
      <w:r w:rsidRPr="00E259C0" w:rsidR="00FB560B">
        <w:t xml:space="preserve"> legal business</w:t>
      </w:r>
      <w:r w:rsidRPr="00E259C0" w:rsidR="002E749A">
        <w:t xml:space="preserve">, </w:t>
      </w:r>
      <w:r w:rsidRPr="00E259C0" w:rsidR="00FB560B">
        <w:t>email address, phone number, and mailing address)</w:t>
      </w:r>
      <w:r w:rsidR="007A6618">
        <w:t xml:space="preserve"> </w:t>
      </w:r>
      <w:r w:rsidRPr="00E259C0" w:rsidR="003212C5">
        <w:t>for any third party representing the party submitting the open negotiation notice, and an attestation that the third party has the authority to act on behalf of the party it represents in the open negotiation</w:t>
      </w:r>
      <w:r w:rsidRPr="00E259C0" w:rsidR="00FB560B">
        <w:t xml:space="preserve">; </w:t>
      </w:r>
      <w:r w:rsidRPr="00E259C0" w:rsidR="000B32FA">
        <w:t xml:space="preserve">(4) </w:t>
      </w:r>
      <w:r w:rsidRPr="00E259C0" w:rsidR="00C805ED">
        <w:t xml:space="preserve">information sufficient to identify the item or service, </w:t>
      </w:r>
      <w:r w:rsidR="006F0CE2">
        <w:t>including</w:t>
      </w:r>
      <w:r w:rsidRPr="00E259C0" w:rsidR="00C805ED">
        <w:t>: the date(s) the item or service was furnished and</w:t>
      </w:r>
      <w:r w:rsidRPr="00E259C0" w:rsidR="003923C9">
        <w:t>,</w:t>
      </w:r>
      <w:r w:rsidRPr="00E259C0" w:rsidR="00C805ED">
        <w:t xml:space="preserve"> </w:t>
      </w:r>
      <w:r w:rsidRPr="00E259C0" w:rsidR="003923C9">
        <w:t>if the party submitting the open negotiation notice is a provider, facility, or provider of air ambulance services, the date(s) that the provider, facility, or provider of air ambulance services received the initial payment or notice of denial of payment for the item or service from the plan</w:t>
      </w:r>
      <w:r w:rsidRPr="00E259C0" w:rsidR="00BC72C8">
        <w:t>,</w:t>
      </w:r>
      <w:r w:rsidRPr="00E259C0" w:rsidR="003923C9">
        <w:t xml:space="preserve"> issuer</w:t>
      </w:r>
      <w:r w:rsidRPr="00E259C0" w:rsidR="00BC72C8">
        <w:t>, or FEHB carrier</w:t>
      </w:r>
      <w:r w:rsidRPr="00E259C0" w:rsidR="003923C9">
        <w:t xml:space="preserve">; the type of item or service (specifically, whether the item or service is an emergency service as defined in </w:t>
      </w:r>
      <w:r w:rsidRPr="00E259C0" w:rsidR="00C11AD5">
        <w:t>26 CFR</w:t>
      </w:r>
      <w:r w:rsidRPr="00E259C0" w:rsidR="003923C9">
        <w:t xml:space="preserve"> 54.9816-4T(c)(2)(i) or (ii),</w:t>
      </w:r>
      <w:r w:rsidRPr="00E259C0" w:rsidR="00F105D9">
        <w:t xml:space="preserve"> 29 CFR </w:t>
      </w:r>
      <w:r w:rsidRPr="00E259C0" w:rsidR="00B5070A">
        <w:t>2590.716-4(c)(2)(i) or (ii)</w:t>
      </w:r>
      <w:r w:rsidRPr="00E259C0" w:rsidR="00EA02A1">
        <w:t xml:space="preserve">, </w:t>
      </w:r>
      <w:r w:rsidRPr="00E259C0" w:rsidR="00FC6A99">
        <w:t>45 CFR</w:t>
      </w:r>
      <w:r w:rsidRPr="00E259C0" w:rsidR="00363386">
        <w:t xml:space="preserve"> 149.110(c)(2)(i) or (ii)</w:t>
      </w:r>
      <w:r w:rsidR="00FC0CB1">
        <w:t>, a</w:t>
      </w:r>
      <w:r w:rsidRPr="00E259C0" w:rsidR="00363386">
        <w:t xml:space="preserve"> </w:t>
      </w:r>
      <w:r w:rsidRPr="00E259C0" w:rsidR="003923C9">
        <w:t xml:space="preserve">non-emergency items and services as described in </w:t>
      </w:r>
      <w:r w:rsidRPr="00E259C0" w:rsidR="00C0040A">
        <w:t>26 CFR</w:t>
      </w:r>
      <w:r w:rsidRPr="00E259C0" w:rsidR="003923C9">
        <w:t xml:space="preserve"> 54.9816-5T(b),</w:t>
      </w:r>
      <w:r w:rsidRPr="00E259C0" w:rsidR="002A6FCB">
        <w:t xml:space="preserve"> 29 CFR </w:t>
      </w:r>
      <w:r w:rsidRPr="00E259C0" w:rsidR="00623CD3">
        <w:t>2590.716-5(b)</w:t>
      </w:r>
      <w:r w:rsidRPr="00E259C0" w:rsidR="00363386">
        <w:t>,</w:t>
      </w:r>
      <w:r w:rsidRPr="00E259C0" w:rsidR="003923C9">
        <w:t xml:space="preserve"> </w:t>
      </w:r>
      <w:r w:rsidRPr="00E259C0" w:rsidR="00DF2A07">
        <w:t xml:space="preserve">45 CFR 149.120(b) </w:t>
      </w:r>
      <w:r w:rsidRPr="00E259C0" w:rsidR="003923C9">
        <w:t xml:space="preserve">or an air ambulance service as defined in </w:t>
      </w:r>
      <w:r w:rsidRPr="00E259C0" w:rsidR="00C0040A">
        <w:t>26 CFR</w:t>
      </w:r>
      <w:r w:rsidRPr="00E259C0" w:rsidR="003923C9">
        <w:t xml:space="preserve"> 54.9816-3T</w:t>
      </w:r>
      <w:r w:rsidRPr="00E259C0" w:rsidR="004A0979">
        <w:t>, 29 CFR 2590.716-3</w:t>
      </w:r>
      <w:r w:rsidRPr="00E259C0" w:rsidR="00DF2A07">
        <w:t xml:space="preserve">, </w:t>
      </w:r>
      <w:r w:rsidRPr="00E259C0" w:rsidR="005F5614">
        <w:t>45 CFR 149.30</w:t>
      </w:r>
      <w:r w:rsidRPr="00E259C0" w:rsidR="003923C9">
        <w:t>); whether the service is a professional service or facility-based service; the State where the item or service was furnished; the claim number; the service code; and information to identify the location where the item or service was furnished (such as, place of service code or bill type code)</w:t>
      </w:r>
      <w:r w:rsidRPr="00E259C0" w:rsidR="00C805ED">
        <w:t>;</w:t>
      </w:r>
      <w:r w:rsidRPr="00E259C0" w:rsidR="00A83675">
        <w:t xml:space="preserve"> (5) the initial payment amount</w:t>
      </w:r>
      <w:r w:rsidRPr="00E259C0" w:rsidR="00A52C27">
        <w:t xml:space="preserve"> (including $0 if, for example, payment is denied)</w:t>
      </w:r>
      <w:r w:rsidRPr="00E259C0" w:rsidR="00A83675">
        <w:t>; (6) the qualifying payment amount, if provided with the initial payment or notice of denial of payment</w:t>
      </w:r>
      <w:r w:rsidRPr="00E259C0" w:rsidR="00A52C27">
        <w:t xml:space="preserve"> or if the party submitting the open negotiation notice is a plan</w:t>
      </w:r>
      <w:r w:rsidRPr="00E259C0" w:rsidR="00BC72C8">
        <w:t>,</w:t>
      </w:r>
      <w:r w:rsidRPr="00E259C0" w:rsidR="00A52C27">
        <w:t xml:space="preserve"> issuer</w:t>
      </w:r>
      <w:r w:rsidRPr="00E259C0" w:rsidR="00BC72C8">
        <w:t>, or FEHB carrier</w:t>
      </w:r>
      <w:r w:rsidRPr="00E259C0" w:rsidR="00FC1F42">
        <w:t>; (7)</w:t>
      </w:r>
      <w:r w:rsidRPr="00E259C0" w:rsidR="00A83675">
        <w:t xml:space="preserve"> an offer of an out-of-network rate for each item or service; </w:t>
      </w:r>
      <w:r w:rsidRPr="00E259C0" w:rsidR="00A435FD">
        <w:t>(8) if the party submitting the open negotiation notice is a plan</w:t>
      </w:r>
      <w:r w:rsidRPr="00E259C0" w:rsidR="00BC72C8">
        <w:t xml:space="preserve">, </w:t>
      </w:r>
      <w:r w:rsidRPr="00E259C0" w:rsidR="00A435FD">
        <w:t>issuer</w:t>
      </w:r>
      <w:r w:rsidRPr="00E259C0" w:rsidR="00BC72C8">
        <w:t>, or FEHB carrier</w:t>
      </w:r>
      <w:r w:rsidRPr="00E259C0" w:rsidR="00A435FD">
        <w:t>, the amount of cost sharing imposed for the item or service, if any;</w:t>
      </w:r>
      <w:r w:rsidRPr="00E259C0" w:rsidR="002A2DDD">
        <w:t xml:space="preserve"> (9) if the party submitting the open negotiation notice is a provider or facility, a statement that the items and services do not qualify for the notice and consent exception described at 45 CFR 149.410(b) or 149.420(c) through (i);</w:t>
      </w:r>
      <w:r w:rsidRPr="00E259C0" w:rsidR="007E5C05">
        <w:t xml:space="preserve"> (10) </w:t>
      </w:r>
      <w:r w:rsidRPr="00E259C0" w:rsidR="00505B48">
        <w:t xml:space="preserve">a statement that the provider, facility, or provider of air ambulance services was a nonparticipating provider, nonparticipating emergency facility, or nonparticipating provider of air ambulance services on the date the item or service was furnished; (11) </w:t>
      </w:r>
      <w:r w:rsidRPr="00E259C0" w:rsidR="0023710E">
        <w:t>general information listed in the standard open negotiation notice developed by the Secretary</w:t>
      </w:r>
      <w:r w:rsidRPr="00E259C0" w:rsidR="007E009C">
        <w:t xml:space="preserve"> describing the open negotiation period and the </w:t>
      </w:r>
      <w:r w:rsidRPr="00E259C0" w:rsidR="007E009C">
        <w:t>Federal IDR process</w:t>
      </w:r>
      <w:r w:rsidRPr="00E259C0" w:rsidR="00B7550D">
        <w:t>; and (12)</w:t>
      </w:r>
      <w:r w:rsidRPr="00E259C0" w:rsidR="00C12444">
        <w:t xml:space="preserve"> </w:t>
      </w:r>
      <w:r w:rsidR="009B0D78">
        <w:t>a copy of any remittance advice associated with the initial payment or notice of denial of payment for the item or service</w:t>
      </w:r>
      <w:r w:rsidRPr="00E259C0" w:rsidR="00C12444">
        <w:t>.</w:t>
      </w:r>
      <w:r w:rsidR="00263C28">
        <w:t xml:space="preserve"> </w:t>
      </w:r>
    </w:p>
    <w:p w:rsidR="00B409A7" w:rsidRPr="00E259C0" w:rsidP="00B409A7" w14:paraId="2D0A4C5E" w14:textId="77777777">
      <w:pPr>
        <w:pStyle w:val="ListParagraph"/>
        <w:ind w:left="1440"/>
      </w:pPr>
    </w:p>
    <w:p w:rsidR="00B409A7" w:rsidRPr="00E259C0" w:rsidP="00B409A7" w14:paraId="16EBD0CB" w14:textId="578AA9AE">
      <w:pPr>
        <w:pStyle w:val="ListParagraph"/>
        <w:numPr>
          <w:ilvl w:val="0"/>
          <w:numId w:val="9"/>
        </w:numPr>
      </w:pPr>
      <w:r w:rsidRPr="00E259C0">
        <w:rPr>
          <w:i/>
          <w:iCs/>
        </w:rPr>
        <w:t>Open Negotiation Response</w:t>
      </w:r>
      <w:r w:rsidRPr="00E259C0" w:rsidR="001D3334">
        <w:rPr>
          <w:i/>
          <w:iCs/>
        </w:rPr>
        <w:t xml:space="preserve"> Notice</w:t>
      </w:r>
      <w:r w:rsidRPr="00E259C0">
        <w:rPr>
          <w:i/>
          <w:iCs/>
        </w:rPr>
        <w:t xml:space="preserve">. </w:t>
      </w:r>
      <w:r w:rsidRPr="00E259C0" w:rsidR="0089593C">
        <w:t xml:space="preserve">Under the </w:t>
      </w:r>
      <w:r w:rsidR="0089593C">
        <w:t>2026</w:t>
      </w:r>
      <w:r w:rsidRPr="00E259C0" w:rsidR="0089593C">
        <w:t xml:space="preserve"> final rules</w:t>
      </w:r>
      <w:r w:rsidR="00FC6459">
        <w:t>,</w:t>
      </w:r>
      <w:r>
        <w:t xml:space="preserve"> </w:t>
      </w:r>
      <w:r w:rsidRPr="00E259C0">
        <w:t xml:space="preserve">the party in receipt of the open negotiation notice would be required to provide a response to the open negotiation notice that is provided to the other party and the Departments no later than the </w:t>
      </w:r>
      <w:r w:rsidRPr="00E259C0" w:rsidR="00EC0C4C">
        <w:t>15</w:t>
      </w:r>
      <w:r w:rsidRPr="00E259C0">
        <w:t xml:space="preserve">th business day of the 30-business-day open negotiation period. The Departments </w:t>
      </w:r>
      <w:r w:rsidR="009C2351">
        <w:t>finalized</w:t>
      </w:r>
      <w:r w:rsidRPr="00E259C0" w:rsidR="009C2351">
        <w:t xml:space="preserve"> </w:t>
      </w:r>
      <w:r w:rsidRPr="00E259C0">
        <w:t xml:space="preserve">a standard notice that the parties </w:t>
      </w:r>
      <w:r w:rsidRPr="00E259C0" w:rsidR="000D2BF1">
        <w:t xml:space="preserve">would be required to </w:t>
      </w:r>
      <w:r w:rsidRPr="00E259C0">
        <w:t xml:space="preserve">use to satisfy the open negotiation </w:t>
      </w:r>
      <w:r w:rsidRPr="00E259C0" w:rsidR="000D2BF1">
        <w:t xml:space="preserve">response </w:t>
      </w:r>
      <w:r w:rsidRPr="00E259C0">
        <w:t>notice requirement.</w:t>
      </w:r>
      <w:r w:rsidRPr="00E259C0" w:rsidR="00E01956">
        <w:t xml:space="preserve"> Th</w:t>
      </w:r>
      <w:r w:rsidRPr="00E259C0" w:rsidR="0086703F">
        <w:t xml:space="preserve">e </w:t>
      </w:r>
      <w:r w:rsidR="009C2351">
        <w:t>finalized</w:t>
      </w:r>
      <w:r w:rsidRPr="00E259C0" w:rsidR="009C2351">
        <w:t xml:space="preserve"> </w:t>
      </w:r>
      <w:r w:rsidRPr="00E259C0" w:rsidR="0086703F">
        <w:t xml:space="preserve">open negotiation response notice </w:t>
      </w:r>
      <w:r w:rsidRPr="00E259C0" w:rsidR="00A47BA0">
        <w:t>would be required to</w:t>
      </w:r>
      <w:r w:rsidRPr="00E259C0" w:rsidR="0086703F">
        <w:t xml:space="preserve"> include</w:t>
      </w:r>
      <w:r w:rsidRPr="00E259C0" w:rsidR="00B174FF">
        <w:t>:</w:t>
      </w:r>
      <w:r w:rsidRPr="00E259C0" w:rsidR="0086703F">
        <w:t xml:space="preserve"> </w:t>
      </w:r>
      <w:r w:rsidRPr="00E259C0" w:rsidR="00B174FF">
        <w:t>(1) i</w:t>
      </w:r>
      <w:r w:rsidRPr="00E259C0" w:rsidR="00C67806">
        <w:t>nformation</w:t>
      </w:r>
      <w:bookmarkStart w:id="1" w:name="_Hlk135082024"/>
      <w:bookmarkStart w:id="2" w:name="_Hlk134016248"/>
      <w:r w:rsidRPr="00E259C0" w:rsidR="00C67806">
        <w:t xml:space="preserve"> sufficient to identify the </w:t>
      </w:r>
      <w:bookmarkEnd w:id="1"/>
      <w:r w:rsidRPr="00E259C0" w:rsidR="00C67806">
        <w:t>provider, facility, or provider of air ambulance services, including the name and current contact information (including the legal business name, email address, phone number, and mailing address) as provided with the claim form submitted by the provider, facility, or provider of air ambulance services to the plan</w:t>
      </w:r>
      <w:r w:rsidRPr="00E259C0" w:rsidR="00BC72C8">
        <w:t>,</w:t>
      </w:r>
      <w:r w:rsidRPr="00E259C0" w:rsidR="00C67806">
        <w:t xml:space="preserve"> issuer</w:t>
      </w:r>
      <w:r w:rsidRPr="00E259C0" w:rsidR="00BC72C8">
        <w:t>, or FEHB carrier</w:t>
      </w:r>
      <w:r w:rsidRPr="00E259C0" w:rsidR="00C67806">
        <w:t>, and the NPI</w:t>
      </w:r>
      <w:bookmarkEnd w:id="2"/>
      <w:r w:rsidRPr="00E259C0" w:rsidR="00C67806">
        <w:t>;</w:t>
      </w:r>
      <w:r w:rsidRPr="00E259C0" w:rsidR="001F52FD">
        <w:t xml:space="preserve"> (2) information sufficient to identify the plan</w:t>
      </w:r>
      <w:r w:rsidRPr="00E259C0" w:rsidR="00BC72C8">
        <w:t xml:space="preserve">, </w:t>
      </w:r>
      <w:r w:rsidRPr="00E259C0" w:rsidR="001F52FD">
        <w:t>issuer,</w:t>
      </w:r>
      <w:r w:rsidRPr="00E259C0" w:rsidR="00BC72C8">
        <w:t xml:space="preserve"> or FEHB carrier</w:t>
      </w:r>
      <w:r w:rsidR="00272C1B">
        <w:t>,</w:t>
      </w:r>
      <w:r w:rsidRPr="00E259C0" w:rsidR="001F52FD">
        <w:t xml:space="preserve"> </w:t>
      </w:r>
      <w:r w:rsidR="00272C1B">
        <w:t>including</w:t>
      </w:r>
      <w:r w:rsidRPr="00E259C0" w:rsidR="001F52FD">
        <w:t xml:space="preserve"> the plan’s or issuer’s registration number, as required under </w:t>
      </w:r>
      <w:bookmarkStart w:id="3" w:name="_Hlk134016362"/>
      <w:r w:rsidR="009C2351">
        <w:t>finalized</w:t>
      </w:r>
      <w:r w:rsidRPr="00E259C0" w:rsidR="00BD5C17">
        <w:t xml:space="preserve"> 26 CFR 54.9816-9, 29 CFR 2590.716-9, and 45 CFR 149.530</w:t>
      </w:r>
      <w:bookmarkStart w:id="4" w:name="_Hlk134016391"/>
      <w:bookmarkEnd w:id="3"/>
      <w:r w:rsidRPr="00E259C0" w:rsidR="001F52FD">
        <w:t>, if the plan</w:t>
      </w:r>
      <w:r w:rsidRPr="00E259C0" w:rsidR="00BC72C8">
        <w:t xml:space="preserve">, </w:t>
      </w:r>
      <w:r w:rsidRPr="00E259C0" w:rsidR="001F52FD">
        <w:t>issuer</w:t>
      </w:r>
      <w:r w:rsidRPr="00E259C0" w:rsidR="00BC72C8">
        <w:t>, or FEHB carrier</w:t>
      </w:r>
      <w:r w:rsidRPr="00E259C0" w:rsidR="001F52FD">
        <w:t xml:space="preserve"> is registered under </w:t>
      </w:r>
      <w:r w:rsidR="009C2351">
        <w:t>finalized</w:t>
      </w:r>
      <w:r w:rsidRPr="00E259C0" w:rsidR="009C2351">
        <w:t xml:space="preserve"> </w:t>
      </w:r>
      <w:r w:rsidRPr="00E259C0" w:rsidR="00442748">
        <w:t>26 CFR 54.9816-9, 29 CFR 2590.716-9, and 45 CFR 149.530</w:t>
      </w:r>
      <w:r w:rsidRPr="00E259C0" w:rsidR="00284C3C">
        <w:t xml:space="preserve">, </w:t>
      </w:r>
      <w:r w:rsidRPr="00E259C0" w:rsidR="00DF48DB">
        <w:t xml:space="preserve">or an attestation from the party submitting the open negotiation response notice that the </w:t>
      </w:r>
      <w:r w:rsidRPr="00E259C0" w:rsidR="00F36518">
        <w:t>plan</w:t>
      </w:r>
      <w:r w:rsidR="003410AA">
        <w:t>’s</w:t>
      </w:r>
      <w:r w:rsidRPr="00E259C0" w:rsidR="00F36518">
        <w:t>, issuer</w:t>
      </w:r>
      <w:r w:rsidR="003410AA">
        <w:t>’s</w:t>
      </w:r>
      <w:r w:rsidRPr="00E259C0" w:rsidR="00F36518">
        <w:t>, or FEHB carrier</w:t>
      </w:r>
      <w:r w:rsidR="003410AA">
        <w:t>’s</w:t>
      </w:r>
      <w:r w:rsidR="007E6C4D">
        <w:t xml:space="preserve"> </w:t>
      </w:r>
      <w:r w:rsidRPr="007E6C4D" w:rsidR="007E6C4D">
        <w:t>registration number</w:t>
      </w:r>
      <w:r w:rsidRPr="00E259C0" w:rsidR="00DF48DB">
        <w:t xml:space="preserve"> was not </w:t>
      </w:r>
      <w:r w:rsidRPr="007E6C4D" w:rsidR="007E6C4D">
        <w:t xml:space="preserve">provided on any remittance advice associated with the initial payment or notice of denial of payment for the item or service </w:t>
      </w:r>
      <w:r w:rsidRPr="00E259C0" w:rsidR="001F52FD">
        <w:t xml:space="preserve">; the legal business name of the </w:t>
      </w:r>
      <w:r w:rsidRPr="00E259C0" w:rsidR="00F36518">
        <w:t>plan, issuer, or FEHB carrier</w:t>
      </w:r>
      <w:r w:rsidR="009269EB">
        <w:t xml:space="preserve"> </w:t>
      </w:r>
      <w:r w:rsidRPr="009615AE" w:rsidR="009269EB">
        <w:t>(or, in the case of a self-insured group health plan that does not have a leg</w:t>
      </w:r>
      <w:r w:rsidR="00F05E53">
        <w:t>a</w:t>
      </w:r>
      <w:r w:rsidRPr="009615AE" w:rsidR="009269EB">
        <w:t>l business name, the legal business name of the plan sponsor)</w:t>
      </w:r>
      <w:r w:rsidRPr="00E259C0" w:rsidR="001F52FD">
        <w:t xml:space="preserve">, as well as the current contact information (name, email address, phone number, and mailing address) of the </w:t>
      </w:r>
      <w:r w:rsidRPr="00E259C0" w:rsidR="00F36518">
        <w:t>plan, issuer, or FEHB carrier</w:t>
      </w:r>
      <w:r w:rsidRPr="00E259C0" w:rsidR="001F52FD">
        <w:t xml:space="preserve"> as provided with the payment remittance or notice of denial of payment; and if the party submitting the open negotiation response notice is a </w:t>
      </w:r>
      <w:r w:rsidRPr="00E259C0" w:rsidR="00F36518">
        <w:t>plan, issuer, or FEHB carrier</w:t>
      </w:r>
      <w:r w:rsidRPr="00E259C0" w:rsidR="001F52FD">
        <w:t>, the plan type (for example, self-insured or fully-insured)</w:t>
      </w:r>
      <w:bookmarkEnd w:id="4"/>
      <w:r w:rsidRPr="00E259C0" w:rsidR="001F52FD">
        <w:t xml:space="preserve">; </w:t>
      </w:r>
      <w:r w:rsidRPr="00E259C0" w:rsidR="00DF7669">
        <w:t xml:space="preserve">(3) </w:t>
      </w:r>
      <w:bookmarkStart w:id="5" w:name="_Hlk134016430"/>
      <w:r w:rsidRPr="00E259C0" w:rsidR="00DF48DB">
        <w:t>the</w:t>
      </w:r>
      <w:r w:rsidRPr="00E259C0" w:rsidR="00DF7669">
        <w:t xml:space="preserve"> name and contact information (including the legal business name, email address, phone number, and mailing address) for any third party representing the party submitting the open negotiation response notice, and an attestation that the third party has the authority to act on behalf of the party it represents in the open negotiation</w:t>
      </w:r>
      <w:bookmarkEnd w:id="5"/>
      <w:r w:rsidRPr="00E259C0" w:rsidR="000B225E">
        <w:t>; (4)</w:t>
      </w:r>
      <w:r w:rsidRPr="00E259C0" w:rsidR="009D52D6">
        <w:t xml:space="preserve"> </w:t>
      </w:r>
      <w:r w:rsidRPr="00E259C0" w:rsidR="003F046A">
        <w:t>i</w:t>
      </w:r>
      <w:r w:rsidRPr="00E259C0" w:rsidR="009D52D6">
        <w:t xml:space="preserve">nformation sufficient to identify the item or service included in the open negotiation notice including the date(s) the item or service was furnished, and if the party submitting the open negotiation response notice is a provider, facility, or provider of air ambulance services, the date(s) that the provider, facility, or provider of air ambulance services received the initial payment or notice of denial of payment for such item or service from the </w:t>
      </w:r>
      <w:r w:rsidRPr="00E259C0" w:rsidR="00F36518">
        <w:t>plan, issuer, or FEHB carrier</w:t>
      </w:r>
      <w:r w:rsidRPr="00E259C0" w:rsidR="009D52D6">
        <w:t xml:space="preserve">, and </w:t>
      </w:r>
      <w:r w:rsidRPr="00E259C0" w:rsidR="009D52D6">
        <w:t xml:space="preserve">the claim number; </w:t>
      </w:r>
      <w:r w:rsidRPr="00E259C0" w:rsidR="00245ADC">
        <w:t>(5)</w:t>
      </w:r>
      <w:r w:rsidRPr="00E259C0" w:rsidR="003F046A">
        <w:t xml:space="preserve"> if the party </w:t>
      </w:r>
      <w:r w:rsidR="00B56481">
        <w:t>submitting</w:t>
      </w:r>
      <w:r w:rsidRPr="00E259C0" w:rsidR="003F046A">
        <w:t xml:space="preserve"> the open negotiation </w:t>
      </w:r>
      <w:r w:rsidR="00B56481">
        <w:t xml:space="preserve">response </w:t>
      </w:r>
      <w:r w:rsidRPr="00E259C0" w:rsidR="003F046A">
        <w:t xml:space="preserve">notice is a </w:t>
      </w:r>
      <w:r w:rsidRPr="00E259C0" w:rsidR="00F36518">
        <w:t>plan, issuer, or FEHB carrier</w:t>
      </w:r>
      <w:r w:rsidRPr="00E259C0" w:rsidR="003F046A">
        <w:t xml:space="preserve">, a statement as to whether </w:t>
      </w:r>
      <w:r w:rsidR="00780463">
        <w:t>it</w:t>
      </w:r>
      <w:r w:rsidRPr="00E259C0" w:rsidR="003F046A">
        <w:t xml:space="preserve"> agrees that the initial payment amount (including $0 if</w:t>
      </w:r>
      <w:r w:rsidRPr="00E259C0" w:rsidR="00DF48DB">
        <w:t>, for example,</w:t>
      </w:r>
      <w:r w:rsidRPr="00E259C0" w:rsidR="003F046A">
        <w:t xml:space="preserve"> payment is denied) and the qualifying payment amount reflected in the open negotiation notice is accurate for the item or service, and if not, </w:t>
      </w:r>
      <w:r w:rsidRPr="00E259C0" w:rsidR="00F9760B">
        <w:t xml:space="preserve">or if the open negotiation notice indicates that the initial payment amount or qualifying payment amount was not communicated by the </w:t>
      </w:r>
      <w:r w:rsidRPr="00E259C0" w:rsidR="00F36518">
        <w:t>plan, issuer, or FEHB carrier</w:t>
      </w:r>
      <w:r w:rsidRPr="00E259C0" w:rsidR="00F9760B">
        <w:t xml:space="preserve"> in connection with the initial payment or notice of denial of payment or other remittance, the initial payment amount (including $0 if, for example, payment is denied) and/or qualifying payment amount it believes to be correct, and documentation to support the statement (for example, the remittance advice confirming the qualifying payment amount);</w:t>
      </w:r>
      <w:r w:rsidRPr="00E259C0" w:rsidR="00852D8B">
        <w:t xml:space="preserve"> (6)</w:t>
      </w:r>
      <w:r w:rsidRPr="00E259C0" w:rsidR="007C0D97">
        <w:t xml:space="preserve"> if the party </w:t>
      </w:r>
      <w:r w:rsidR="00E5349A">
        <w:t xml:space="preserve">submitting the </w:t>
      </w:r>
      <w:r w:rsidRPr="00E259C0" w:rsidR="007C0D97">
        <w:t xml:space="preserve">open negotiation </w:t>
      </w:r>
      <w:r w:rsidR="00E5349A">
        <w:t>response</w:t>
      </w:r>
      <w:r w:rsidRPr="00E259C0" w:rsidR="007C0D97">
        <w:t xml:space="preserve"> notice is a </w:t>
      </w:r>
      <w:r w:rsidRPr="00E259C0" w:rsidR="00F36518">
        <w:t>plan, issuer, or FEHB carrier</w:t>
      </w:r>
      <w:r w:rsidRPr="00E259C0" w:rsidR="007C0D97">
        <w:t>, the amount of cost sharing imposed for the item or service</w:t>
      </w:r>
      <w:r w:rsidR="00A511E7">
        <w:t>, if any</w:t>
      </w:r>
      <w:r w:rsidRPr="00E259C0" w:rsidR="007C0D97">
        <w:t>;</w:t>
      </w:r>
      <w:r w:rsidRPr="00E259C0" w:rsidR="00DA586D">
        <w:t xml:space="preserve"> (7)</w:t>
      </w:r>
      <w:r w:rsidRPr="00E259C0" w:rsidR="00C34C5A">
        <w:t xml:space="preserve"> </w:t>
      </w:r>
      <w:r w:rsidRPr="00E259C0" w:rsidR="00150030">
        <w:t xml:space="preserve">if the party </w:t>
      </w:r>
      <w:r w:rsidR="00EC6529">
        <w:t xml:space="preserve">submitting </w:t>
      </w:r>
      <w:r w:rsidRPr="00E259C0" w:rsidR="00150030">
        <w:t xml:space="preserve">the open negotiation </w:t>
      </w:r>
      <w:r w:rsidR="00EC6529">
        <w:t>response</w:t>
      </w:r>
      <w:r w:rsidRPr="00E259C0" w:rsidR="00150030">
        <w:t xml:space="preserve"> notice is a provider or facility, a statement that the patient who received the item or service did not receive notice and did not provide consent as described in </w:t>
      </w:r>
      <w:r w:rsidRPr="00E259C0" w:rsidR="00202831">
        <w:t xml:space="preserve">45 CFR </w:t>
      </w:r>
      <w:r w:rsidRPr="00E259C0" w:rsidR="00150030">
        <w:t>149.410(b) or § 149.420(c) through (i) to be treated by a nonparticipating provider or nonparticipating emergency facility</w:t>
      </w:r>
      <w:r w:rsidRPr="00E259C0" w:rsidR="004E2282">
        <w:t>; (</w:t>
      </w:r>
      <w:r w:rsidR="00935AA9">
        <w:t>8</w:t>
      </w:r>
      <w:r w:rsidRPr="00E259C0" w:rsidR="004E2282">
        <w:t xml:space="preserve">) </w:t>
      </w:r>
      <w:r w:rsidRPr="00E259C0" w:rsidR="009F0B45">
        <w:t xml:space="preserve">with respect to each item or service, either a statement and supporting documentation that explains why the item or service is not subject to the Federal IDR process or a statement agreeing that the item or service is subject to the Federal IDR process; </w:t>
      </w:r>
      <w:r w:rsidRPr="00E259C0" w:rsidR="00B0057D">
        <w:t>(</w:t>
      </w:r>
      <w:r w:rsidR="004B4DE0">
        <w:t>9</w:t>
      </w:r>
      <w:r w:rsidRPr="00E259C0" w:rsidR="00B0057D">
        <w:t>) a statement as to whether any of the information provided in the open negotiation notice is inaccurate and the basis for the statement, as well as supporting documentation; and</w:t>
      </w:r>
      <w:r w:rsidRPr="00E259C0" w:rsidR="00061D44">
        <w:t xml:space="preserve"> (1</w:t>
      </w:r>
      <w:r w:rsidR="00696D1C">
        <w:t>0</w:t>
      </w:r>
      <w:r w:rsidRPr="00E259C0" w:rsidR="00061D44">
        <w:t>)</w:t>
      </w:r>
      <w:r w:rsidRPr="00E259C0" w:rsidR="00950584">
        <w:t xml:space="preserve"> a statement confirming that the </w:t>
      </w:r>
      <w:r w:rsidR="00696D1C">
        <w:t xml:space="preserve">initial </w:t>
      </w:r>
      <w:r w:rsidRPr="00E259C0" w:rsidR="00950584">
        <w:t>payment or notice of denial of payment or other remittance provided by the party submitting the open negotiation notice is accurate, and if inaccurate, a copy of the accurate payment remittance or notice of denial of payment or other remittance with respect to the item or service.</w:t>
      </w:r>
    </w:p>
    <w:p w:rsidR="00B409A7" w:rsidRPr="00E259C0" w:rsidP="00B409A7" w14:paraId="59652A2E" w14:textId="77777777">
      <w:pPr>
        <w:pStyle w:val="ListParagraph"/>
        <w:ind w:left="1440"/>
      </w:pPr>
    </w:p>
    <w:p w:rsidR="00A27BCA" w:rsidRPr="00E259C0" w:rsidP="00FB0916" w14:paraId="3DE87710" w14:textId="10F334D7">
      <w:pPr>
        <w:pStyle w:val="ListParagraph"/>
        <w:numPr>
          <w:ilvl w:val="0"/>
          <w:numId w:val="9"/>
        </w:numPr>
      </w:pPr>
      <w:r w:rsidRPr="00E259C0">
        <w:rPr>
          <w:i/>
        </w:rPr>
        <w:t>Notice of IDR Initiation.</w:t>
      </w:r>
      <w:r w:rsidR="00AD2339">
        <w:rPr>
          <w:i/>
        </w:rPr>
        <w:t xml:space="preserve"> </w:t>
      </w:r>
      <w:r w:rsidRPr="00E259C0" w:rsidR="00DE3932">
        <w:rPr>
          <w:bCs/>
          <w:iCs/>
        </w:rPr>
        <w:t xml:space="preserve">Under the </w:t>
      </w:r>
      <w:r w:rsidR="003F0EA0">
        <w:rPr>
          <w:bCs/>
          <w:iCs/>
        </w:rPr>
        <w:t>202</w:t>
      </w:r>
      <w:r w:rsidR="00191A84">
        <w:rPr>
          <w:bCs/>
          <w:iCs/>
        </w:rPr>
        <w:t>6</w:t>
      </w:r>
      <w:r w:rsidRPr="00E259C0" w:rsidR="001E4F8B">
        <w:rPr>
          <w:bCs/>
          <w:iCs/>
        </w:rPr>
        <w:t xml:space="preserve"> final rules</w:t>
      </w:r>
      <w:r w:rsidRPr="00E259C0" w:rsidR="00DE3932">
        <w:rPr>
          <w:bCs/>
          <w:iCs/>
        </w:rPr>
        <w:t xml:space="preserve">, </w:t>
      </w:r>
      <w:r w:rsidRPr="00E259C0" w:rsidR="00DE3932">
        <w:t>t</w:t>
      </w:r>
      <w:r w:rsidRPr="00E259C0">
        <w:t xml:space="preserve">he notice of IDR initiation </w:t>
      </w:r>
      <w:r w:rsidRPr="00E259C0" w:rsidR="00DE3932">
        <w:t xml:space="preserve">would be required to </w:t>
      </w:r>
      <w:r w:rsidRPr="00E259C0">
        <w:t>include, with respect to the item or service subject to the notice</w:t>
      </w:r>
      <w:r w:rsidRPr="00E259C0" w:rsidR="00DE3932">
        <w:t>, information about the item or service and the parties including:</w:t>
      </w:r>
      <w:r w:rsidRPr="00E259C0">
        <w:t xml:space="preserve"> </w:t>
      </w:r>
      <w:r w:rsidRPr="00E259C0" w:rsidR="00DE3932">
        <w:t xml:space="preserve">(1) </w:t>
      </w:r>
      <w:r w:rsidRPr="00E259C0">
        <w:t>information sufficient to identify the provider, facility, or provider of air</w:t>
      </w:r>
      <w:r w:rsidR="00263C28">
        <w:t xml:space="preserve"> </w:t>
      </w:r>
      <w:r w:rsidRPr="00E259C0">
        <w:t>services, such as the name and current contact information (including legal business name, email address, phone number, and mailing address)</w:t>
      </w:r>
      <w:r w:rsidRPr="00E259C0" w:rsidR="00DE3932">
        <w:t>, and the</w:t>
      </w:r>
      <w:r w:rsidRPr="00E259C0">
        <w:t xml:space="preserve"> NPI</w:t>
      </w:r>
      <w:r w:rsidRPr="00E259C0" w:rsidR="00DE3932">
        <w:t xml:space="preserve">; and if the initiating party is a provider, facility, or provider of air ambulance services, </w:t>
      </w:r>
      <w:r w:rsidRPr="00E259C0">
        <w:t xml:space="preserve">the Tax Identification Number (TIN); </w:t>
      </w:r>
      <w:r w:rsidRPr="00E259C0" w:rsidR="00EC5A13">
        <w:t xml:space="preserve">(2) </w:t>
      </w:r>
      <w:r w:rsidRPr="00E259C0">
        <w:t xml:space="preserve">information sufficient to identify the </w:t>
      </w:r>
      <w:r w:rsidRPr="00E259C0" w:rsidR="00F36518">
        <w:t>plan, issuer, or FEHB carrier</w:t>
      </w:r>
      <w:r w:rsidRPr="00E259C0">
        <w:t xml:space="preserve">; </w:t>
      </w:r>
      <w:r w:rsidR="00DB346B">
        <w:t>including</w:t>
      </w:r>
      <w:r w:rsidRPr="00E259C0">
        <w:t xml:space="preserve"> the plan’s or issuer’s registration number, as required under </w:t>
      </w:r>
      <w:r w:rsidR="0064683F">
        <w:t>finalized</w:t>
      </w:r>
      <w:r w:rsidRPr="00E259C0" w:rsidR="0064683F">
        <w:t xml:space="preserve"> </w:t>
      </w:r>
      <w:r w:rsidRPr="00E259C0" w:rsidR="00343A8C">
        <w:t>26 CFR 54.9816-9, 29 CFR 2590.716-9, and 45 CFR 149.530</w:t>
      </w:r>
      <w:r w:rsidR="00816BC1">
        <w:t xml:space="preserve"> </w:t>
      </w:r>
      <w:r w:rsidRPr="00E259C0" w:rsidR="00343A8C">
        <w:t xml:space="preserve">if the </w:t>
      </w:r>
      <w:r w:rsidRPr="00E259C0" w:rsidR="00F36518">
        <w:t>plan, issuer, or FEHB carrier</w:t>
      </w:r>
      <w:r w:rsidRPr="00E259C0" w:rsidR="00343A8C">
        <w:t xml:space="preserve"> is registered</w:t>
      </w:r>
      <w:r w:rsidRPr="00E259C0" w:rsidR="00442748">
        <w:t xml:space="preserve"> under </w:t>
      </w:r>
      <w:r w:rsidR="0064683F">
        <w:t>finalized</w:t>
      </w:r>
      <w:r w:rsidRPr="00E259C0" w:rsidR="0064683F">
        <w:t xml:space="preserve"> </w:t>
      </w:r>
      <w:r w:rsidRPr="00E259C0" w:rsidR="00442748">
        <w:t>26 CFR 54.9816-9, 29 CFR 2590.716-9, and 45 CFR 149.530</w:t>
      </w:r>
      <w:r w:rsidRPr="00E259C0" w:rsidR="00343A8C">
        <w:t xml:space="preserve">, or an attestation from the </w:t>
      </w:r>
      <w:r w:rsidRPr="00E259C0" w:rsidR="00343A8C">
        <w:t xml:space="preserve">initiating party that the </w:t>
      </w:r>
      <w:r w:rsidRPr="00E259C0" w:rsidR="00F36518">
        <w:t>plan</w:t>
      </w:r>
      <w:r w:rsidR="000245BE">
        <w:t>’s</w:t>
      </w:r>
      <w:r w:rsidRPr="00E259C0" w:rsidR="00F36518">
        <w:t>, issuer</w:t>
      </w:r>
      <w:r w:rsidR="000245BE">
        <w:t>’s</w:t>
      </w:r>
      <w:r w:rsidRPr="00E259C0" w:rsidR="00F36518">
        <w:t>, or FEHB carrier</w:t>
      </w:r>
      <w:r w:rsidR="000245BE">
        <w:t>’s</w:t>
      </w:r>
      <w:r w:rsidRPr="00E259C0" w:rsidR="00343A8C">
        <w:t xml:space="preserve"> </w:t>
      </w:r>
      <w:r w:rsidRPr="000245BE" w:rsidR="000245BE">
        <w:t>registration number was not provided on any remittance advice associated with the initial payment or notice of denial of payment for the item or service</w:t>
      </w:r>
      <w:r w:rsidRPr="00E259C0">
        <w:t xml:space="preserve">; the legal business name of the </w:t>
      </w:r>
      <w:r w:rsidRPr="00E259C0" w:rsidR="00F36518">
        <w:t>plan, issuer, or FEHB carrier</w:t>
      </w:r>
      <w:r w:rsidRPr="00E259C0">
        <w:t xml:space="preserve"> </w:t>
      </w:r>
      <w:r w:rsidRPr="009615AE" w:rsidR="006E1038">
        <w:t>(or, in the case of a self-insured group health plan that does not have a legal business name, the legal business name of the plan sponsor),</w:t>
      </w:r>
      <w:r w:rsidRPr="00E259C0">
        <w:t xml:space="preserve"> as well as the current contact information (name, email address, phone number, and mailing address) of the </w:t>
      </w:r>
      <w:r w:rsidRPr="00E259C0" w:rsidR="00F36518">
        <w:t>plan, issuer, or FEHB carrier</w:t>
      </w:r>
      <w:r w:rsidRPr="00E259C0">
        <w:t xml:space="preserve"> as provided with the initial payment remittance or notice of denial of payment; and if the party submitting the notice of IDR initiation is a </w:t>
      </w:r>
      <w:r w:rsidRPr="00E259C0" w:rsidR="00F36518">
        <w:t>plan, issuer, or FEHB carrier</w:t>
      </w:r>
      <w:r w:rsidRPr="00E259C0">
        <w:t>, the plan type (for example, self-insured or fully-insured) and TIN (or, in the case of a plan that does not have a TIN, the TIN of the plan sponsor);</w:t>
      </w:r>
      <w:r w:rsidRPr="00E259C0" w:rsidR="0065254A">
        <w:t xml:space="preserve"> (3)</w:t>
      </w:r>
      <w:r w:rsidRPr="00E259C0">
        <w:t xml:space="preserve"> the name and contact information (including the legal business name, email address, phone number, and mailing address) for any third party representing the </w:t>
      </w:r>
      <w:r w:rsidRPr="00E259C0" w:rsidR="00867BC8">
        <w:t>initiating party</w:t>
      </w:r>
      <w:r w:rsidRPr="00E259C0">
        <w:t>, and an attestation that the third party has the authority to act on behalf of the party it represents in the</w:t>
      </w:r>
      <w:r w:rsidRPr="00E259C0" w:rsidR="00EE3BE6">
        <w:t xml:space="preserve"> Federal</w:t>
      </w:r>
      <w:r w:rsidRPr="00E259C0">
        <w:t xml:space="preserve"> IDR process; </w:t>
      </w:r>
      <w:r w:rsidRPr="00E259C0" w:rsidR="00EE3BE6">
        <w:t xml:space="preserve">(4) </w:t>
      </w:r>
      <w:r w:rsidRPr="00E259C0">
        <w:t xml:space="preserve">information sufficient to identify if the dispute is being initiated as batched or bundled qualified IDR items or services as described in </w:t>
      </w:r>
      <w:r w:rsidRPr="00E259C0" w:rsidR="00AD4B14">
        <w:t>26 CFR 54.9816-8(c)(4), 29 CFR 2590.716-8(c)(4), and 45 CFR 149.510(c)(4)</w:t>
      </w:r>
      <w:r w:rsidRPr="00E259C0">
        <w:t xml:space="preserve">; </w:t>
      </w:r>
      <w:r w:rsidRPr="00E259C0" w:rsidR="00AC3287">
        <w:t xml:space="preserve">(5) </w:t>
      </w:r>
      <w:r w:rsidRPr="00E259C0">
        <w:t xml:space="preserve">information sufficient to identify the qualified IDR item or service that is the subject of the notice of IDR initiation, </w:t>
      </w:r>
      <w:r w:rsidRPr="00E259C0" w:rsidR="00AC3287">
        <w:t>including</w:t>
      </w:r>
      <w:r w:rsidRPr="00E259C0">
        <w:t xml:space="preserve"> the date(s) the qualified IDR item or service was furnished; </w:t>
      </w:r>
      <w:r w:rsidRPr="00E259C0" w:rsidR="00D944AD">
        <w:t xml:space="preserve">if the initiating party is a provider, facility, or provider of air ambulance services, </w:t>
      </w:r>
      <w:r w:rsidRPr="00E259C0" w:rsidR="00A456B7">
        <w:t xml:space="preserve">the date(s) that the provider, facility, or provider of air ambulance services received the initial payment or notice of denial of payment for such item or service from the </w:t>
      </w:r>
      <w:r w:rsidRPr="00E259C0" w:rsidR="00F36518">
        <w:t>plan, issuer, or FEHB carrier</w:t>
      </w:r>
      <w:r w:rsidRPr="00E259C0" w:rsidR="00A456B7">
        <w:t>; the date the open negotiation period began; the type of item or service</w:t>
      </w:r>
      <w:r w:rsidRPr="00E259C0" w:rsidR="003539CC">
        <w:t xml:space="preserve">; </w:t>
      </w:r>
      <w:r w:rsidRPr="00E259C0" w:rsidR="00A456B7">
        <w:t>whether the service is a professional service or facility-based service; the State where the item or service was furnished; the claim number; the service code; and information to identify the location the item or service was furnished (including place of service code or bill type code)</w:t>
      </w:r>
      <w:r w:rsidRPr="00E259C0">
        <w:t xml:space="preserve">; </w:t>
      </w:r>
      <w:r w:rsidRPr="00E259C0" w:rsidR="00B520F8">
        <w:t xml:space="preserve">(6) </w:t>
      </w:r>
      <w:r w:rsidRPr="00E259C0">
        <w:t>the initial payment amount (including $0 if</w:t>
      </w:r>
      <w:r w:rsidRPr="00E259C0" w:rsidR="00B520F8">
        <w:t xml:space="preserve"> ,for example,</w:t>
      </w:r>
      <w:r w:rsidRPr="00E259C0">
        <w:t xml:space="preserve"> payment is denied); </w:t>
      </w:r>
      <w:r w:rsidRPr="00E259C0" w:rsidR="00B520F8">
        <w:t xml:space="preserve">(7) </w:t>
      </w:r>
      <w:r w:rsidRPr="009615AE" w:rsidR="00F37B3D">
        <w:t>If</w:t>
      </w:r>
      <w:r w:rsidRPr="00E259C0" w:rsidR="00800A49">
        <w:t xml:space="preserve"> the initiating party is a </w:t>
      </w:r>
      <w:r w:rsidRPr="00E259C0" w:rsidR="00F36518">
        <w:t>plan</w:t>
      </w:r>
      <w:r w:rsidRPr="009615AE" w:rsidR="00F37B3D">
        <w:t xml:space="preserve"> or issuer, the amount of cost sharing imposed for the item or service, if any</w:t>
      </w:r>
      <w:r w:rsidR="00F37B3D">
        <w:t>; (8)</w:t>
      </w:r>
      <w:r w:rsidRPr="00E259C0" w:rsidR="00F37B3D">
        <w:t xml:space="preserve"> </w:t>
      </w:r>
      <w:r w:rsidRPr="00E259C0">
        <w:t>the qualifying payment amount, if provided with the initial payment or notice of denial of payment</w:t>
      </w:r>
      <w:r w:rsidRPr="00E259C0" w:rsidR="00800A49">
        <w:t xml:space="preserve"> or if the initiating party is a </w:t>
      </w:r>
      <w:r w:rsidRPr="00E259C0" w:rsidR="00F36518">
        <w:t>plan, issuer, or FEHB carrier</w:t>
      </w:r>
      <w:r w:rsidRPr="00E259C0">
        <w:t xml:space="preserve">; </w:t>
      </w:r>
      <w:r w:rsidRPr="00E259C0" w:rsidR="00180CD4">
        <w:t>(</w:t>
      </w:r>
      <w:r w:rsidR="00F37B3D">
        <w:t>9</w:t>
      </w:r>
      <w:r w:rsidRPr="00E259C0" w:rsidR="00180CD4">
        <w:t xml:space="preserve">) </w:t>
      </w:r>
      <w:r w:rsidRPr="00E259C0">
        <w:t>if the initiating party is a provider or facility, a statement that the item</w:t>
      </w:r>
      <w:r w:rsidRPr="00E259C0" w:rsidR="00180CD4">
        <w:t>s</w:t>
      </w:r>
      <w:r w:rsidRPr="00E259C0">
        <w:t xml:space="preserve"> </w:t>
      </w:r>
      <w:r w:rsidRPr="00E259C0" w:rsidR="00180CD4">
        <w:t>and</w:t>
      </w:r>
      <w:r w:rsidRPr="00E259C0">
        <w:t xml:space="preserve"> servic</w:t>
      </w:r>
      <w:r w:rsidRPr="00E259C0" w:rsidR="00180CD4">
        <w:t>es</w:t>
      </w:r>
      <w:r w:rsidRPr="00E259C0">
        <w:t xml:space="preserve"> </w:t>
      </w:r>
      <w:r w:rsidRPr="00E259C0" w:rsidR="00180CD4">
        <w:t>do not qualify for the</w:t>
      </w:r>
      <w:r w:rsidRPr="00E259C0">
        <w:t xml:space="preserve"> notice </w:t>
      </w:r>
      <w:r w:rsidRPr="00E259C0" w:rsidR="00180CD4">
        <w:t>and consent exception described at 45 CFR</w:t>
      </w:r>
      <w:r w:rsidRPr="00E259C0">
        <w:t xml:space="preserve"> 149.410(b) or § 149.420(c) through (i</w:t>
      </w:r>
      <w:r w:rsidRPr="00E259C0" w:rsidR="00180CD4">
        <w:t>)</w:t>
      </w:r>
      <w:r w:rsidRPr="00E259C0">
        <w:t xml:space="preserve">; </w:t>
      </w:r>
      <w:r w:rsidRPr="00E259C0" w:rsidR="00180CD4">
        <w:t>(</w:t>
      </w:r>
      <w:r w:rsidR="00F37B3D">
        <w:t>10</w:t>
      </w:r>
      <w:r w:rsidRPr="00E259C0" w:rsidR="00180CD4">
        <w:t xml:space="preserve">) </w:t>
      </w:r>
      <w:r w:rsidRPr="00E259C0">
        <w:t>a statement that the provider, facility, or provider of air ambulance services was a nonparticipating provider, nonparticipating emergency facility, or nonparticipating provider of air ambulance services on the date the item or service was furnished;</w:t>
      </w:r>
      <w:r w:rsidRPr="00E259C0" w:rsidR="00180CD4">
        <w:t xml:space="preserve"> (1</w:t>
      </w:r>
      <w:r w:rsidR="00F37B3D">
        <w:t>1</w:t>
      </w:r>
      <w:r w:rsidRPr="00E259C0" w:rsidR="00180CD4">
        <w:t xml:space="preserve">) </w:t>
      </w:r>
      <w:r w:rsidRPr="00E259C0">
        <w:t xml:space="preserve">attestation that the item or service under dispute is a qualified IDR item or service, and the basis for the </w:t>
      </w:r>
      <w:r w:rsidRPr="00E259C0" w:rsidR="00F96628">
        <w:t>attestation</w:t>
      </w:r>
      <w:r w:rsidRPr="00E259C0">
        <w:t xml:space="preserve">; </w:t>
      </w:r>
      <w:r w:rsidRPr="00E259C0" w:rsidR="00F96628">
        <w:t>(1</w:t>
      </w:r>
      <w:r w:rsidR="00F37B3D">
        <w:t>2</w:t>
      </w:r>
      <w:r w:rsidRPr="00E259C0" w:rsidR="00F96628">
        <w:t xml:space="preserve">) </w:t>
      </w:r>
      <w:r w:rsidRPr="00E259C0">
        <w:t xml:space="preserve">general information listed in the standard notice of </w:t>
      </w:r>
      <w:r w:rsidRPr="00E259C0">
        <w:t xml:space="preserve">IDR initiation developed by the Secretary describing the Federal IDR process (including a description of the purpose of the Federal IDR process and key deadlines in the Federal IDR process); </w:t>
      </w:r>
      <w:r w:rsidRPr="00E259C0" w:rsidR="00F96628">
        <w:t>(1</w:t>
      </w:r>
      <w:r w:rsidR="00F37B3D">
        <w:t>3</w:t>
      </w:r>
      <w:r w:rsidRPr="00E259C0" w:rsidR="00F96628">
        <w:t xml:space="preserve">) </w:t>
      </w:r>
      <w:r w:rsidRPr="006B7BE7" w:rsidR="00E563B2">
        <w:t>a</w:t>
      </w:r>
      <w:r w:rsidRPr="00E563B2" w:rsidR="00E563B2">
        <w:t xml:space="preserve"> </w:t>
      </w:r>
      <w:r w:rsidRPr="009615AE" w:rsidR="00E563B2">
        <w:t>copy of any remittance advice associated with the initial payment or notice of denial of payment for the item or service</w:t>
      </w:r>
      <w:r w:rsidRPr="00E259C0">
        <w:t xml:space="preserve">; </w:t>
      </w:r>
      <w:r w:rsidR="00FE18B6">
        <w:t xml:space="preserve">and </w:t>
      </w:r>
      <w:r w:rsidRPr="00E259C0" w:rsidR="00F96628">
        <w:t>(1</w:t>
      </w:r>
      <w:r w:rsidR="00F37B3D">
        <w:t>4</w:t>
      </w:r>
      <w:r w:rsidRPr="00E259C0" w:rsidR="00F96628">
        <w:t xml:space="preserve">) </w:t>
      </w:r>
      <w:r w:rsidRPr="00E259C0">
        <w:t xml:space="preserve">preferred certified IDR entity; </w:t>
      </w:r>
    </w:p>
    <w:p w:rsidR="00B409A7" w:rsidRPr="0064683F" w:rsidP="0064683F" w14:paraId="1A585ECF" w14:textId="3E8739A0">
      <w:pPr>
        <w:pStyle w:val="ListParagraph"/>
        <w:numPr>
          <w:ilvl w:val="0"/>
          <w:numId w:val="9"/>
        </w:numPr>
      </w:pPr>
      <w:r w:rsidRPr="00E259C0">
        <w:rPr>
          <w:i/>
        </w:rPr>
        <w:t xml:space="preserve">Notice of IDR Initiation Response. </w:t>
      </w:r>
      <w:r w:rsidRPr="00E259C0">
        <w:t xml:space="preserve">The Departments </w:t>
      </w:r>
      <w:r w:rsidR="0064683F">
        <w:t>are finalizing</w:t>
      </w:r>
      <w:r w:rsidRPr="00E259C0">
        <w:t xml:space="preserve"> that, to initiate the </w:t>
      </w:r>
      <w:r w:rsidRPr="0064683F">
        <w:rPr>
          <w:bCs/>
        </w:rPr>
        <w:t xml:space="preserve">Federal IDR process, the initiating party must submit a written notice of IDR initiation to the non-initiating party and to the Departments (using the standard form developed by the Departments) during the 4-business-day period beginning on the 31st business day after the start of the open negotiation period. The Departments </w:t>
      </w:r>
      <w:r w:rsidR="0064683F">
        <w:rPr>
          <w:bCs/>
        </w:rPr>
        <w:t xml:space="preserve">are </w:t>
      </w:r>
      <w:r w:rsidRPr="0064683F">
        <w:rPr>
          <w:bCs/>
        </w:rPr>
        <w:t xml:space="preserve">also </w:t>
      </w:r>
      <w:r w:rsidR="0064683F">
        <w:rPr>
          <w:bCs/>
        </w:rPr>
        <w:t xml:space="preserve">finalizing </w:t>
      </w:r>
      <w:r w:rsidRPr="0064683F">
        <w:rPr>
          <w:bCs/>
        </w:rPr>
        <w:t xml:space="preserve">that the non-initiating party must submit a written response to the notice of IDR initiation to the initiating party and to the Departments (using the standard form developed by the Departments) during the 3-business-day period beginning on the day after the </w:t>
      </w:r>
      <w:r w:rsidRPr="0064683F" w:rsidR="00AF38DE">
        <w:rPr>
          <w:bCs/>
        </w:rPr>
        <w:t>N</w:t>
      </w:r>
      <w:r w:rsidRPr="0064683F">
        <w:rPr>
          <w:bCs/>
        </w:rPr>
        <w:t xml:space="preserve">otice of IDR </w:t>
      </w:r>
      <w:r w:rsidRPr="0064683F" w:rsidR="00AF38DE">
        <w:rPr>
          <w:bCs/>
        </w:rPr>
        <w:t>I</w:t>
      </w:r>
      <w:r w:rsidRPr="0064683F">
        <w:rPr>
          <w:bCs/>
        </w:rPr>
        <w:t xml:space="preserve">nitiation is received by the Departments. </w:t>
      </w:r>
      <w:r w:rsidRPr="0064683F" w:rsidR="00514A9A">
        <w:rPr>
          <w:bCs/>
        </w:rPr>
        <w:t xml:space="preserve">The </w:t>
      </w:r>
      <w:r w:rsidR="0064683F">
        <w:rPr>
          <w:bCs/>
        </w:rPr>
        <w:t>finalized</w:t>
      </w:r>
      <w:r w:rsidRPr="0064683F" w:rsidR="0064683F">
        <w:rPr>
          <w:bCs/>
        </w:rPr>
        <w:t xml:space="preserve"> </w:t>
      </w:r>
      <w:r w:rsidRPr="0064683F" w:rsidR="008C2884">
        <w:rPr>
          <w:bCs/>
        </w:rPr>
        <w:t xml:space="preserve">notice of IDR initiation </w:t>
      </w:r>
      <w:r w:rsidRPr="0064683F" w:rsidR="005F3F9D">
        <w:rPr>
          <w:bCs/>
        </w:rPr>
        <w:t xml:space="preserve">response must include: </w:t>
      </w:r>
      <w:r w:rsidRPr="0064683F" w:rsidR="00A60C55">
        <w:rPr>
          <w:bCs/>
        </w:rPr>
        <w:t xml:space="preserve">(1) information sufficient to identify the provider, facility, or provider of air ambulance services, including the name and current contact information (including the legal business name, email address, phone number, and mailing address), the NPI, and </w:t>
      </w:r>
      <w:r w:rsidRPr="0064683F" w:rsidR="00384326">
        <w:rPr>
          <w:bCs/>
        </w:rPr>
        <w:t xml:space="preserve">if the initiating party is a provider, facility, or provider of air ambulance services, the </w:t>
      </w:r>
      <w:r w:rsidRPr="0064683F" w:rsidR="00A60C55">
        <w:rPr>
          <w:bCs/>
        </w:rPr>
        <w:t>TIN;</w:t>
      </w:r>
      <w:r w:rsidRPr="0064683F">
        <w:rPr>
          <w:bCs/>
          <w:i/>
          <w:iCs/>
        </w:rPr>
        <w:t xml:space="preserve"> </w:t>
      </w:r>
      <w:bookmarkStart w:id="6" w:name="_Hlk134381642_0"/>
      <w:r w:rsidRPr="0064683F" w:rsidR="003E0B2D">
        <w:rPr>
          <w:bCs/>
        </w:rPr>
        <w:t xml:space="preserve">(2) information sufficient to identify the </w:t>
      </w:r>
      <w:r w:rsidRPr="0064683F" w:rsidR="00F36518">
        <w:rPr>
          <w:bCs/>
        </w:rPr>
        <w:t>plan, issuer, or FEHB carrier</w:t>
      </w:r>
      <w:r w:rsidRPr="0064683F" w:rsidR="003E0B2D">
        <w:rPr>
          <w:bCs/>
        </w:rPr>
        <w:t>, including the plan’s or issuer’s registration number, as required under</w:t>
      </w:r>
      <w:r w:rsidRPr="0064683F" w:rsidR="00384326">
        <w:rPr>
          <w:bCs/>
        </w:rPr>
        <w:t xml:space="preserve"> </w:t>
      </w:r>
      <w:r w:rsidR="0064683F">
        <w:rPr>
          <w:bCs/>
        </w:rPr>
        <w:t>finalized</w:t>
      </w:r>
      <w:r w:rsidRPr="0064683F" w:rsidR="003E0B2D">
        <w:rPr>
          <w:bCs/>
        </w:rPr>
        <w:t xml:space="preserve"> </w:t>
      </w:r>
      <w:r w:rsidRPr="00E259C0" w:rsidR="002147C8">
        <w:t>26 CFR 54.9816-9, 29 CFR 2590.716-9, and 45 CFR 149.530</w:t>
      </w:r>
      <w:r w:rsidRPr="0064683F" w:rsidR="003E0B2D">
        <w:rPr>
          <w:bCs/>
        </w:rPr>
        <w:t xml:space="preserve">, if the </w:t>
      </w:r>
      <w:r w:rsidRPr="0064683F" w:rsidR="00F36518">
        <w:rPr>
          <w:bCs/>
        </w:rPr>
        <w:t>plan, issuer, or FEHB carrier</w:t>
      </w:r>
      <w:r w:rsidRPr="0064683F" w:rsidR="003E0B2D">
        <w:rPr>
          <w:bCs/>
        </w:rPr>
        <w:t xml:space="preserve"> is registered under </w:t>
      </w:r>
      <w:r w:rsidR="0064683F">
        <w:t>finalized</w:t>
      </w:r>
      <w:r w:rsidRPr="00E259C0" w:rsidR="0064683F">
        <w:t xml:space="preserve"> </w:t>
      </w:r>
      <w:r w:rsidRPr="00E259C0" w:rsidR="00442748">
        <w:t>26 CFR 54.9816-9, 29 CFR 2590.716-9, and 45 CFR 149.530</w:t>
      </w:r>
      <w:r w:rsidRPr="00E259C0" w:rsidR="00787934">
        <w:t xml:space="preserve"> or an attestation from the non-initiating party that the </w:t>
      </w:r>
      <w:r w:rsidRPr="00E259C0" w:rsidR="00F36518">
        <w:t>plan, issuer, or FEHB carrier</w:t>
      </w:r>
      <w:r w:rsidRPr="00E259C0" w:rsidR="00787934">
        <w:t xml:space="preserve"> was not registered prior to the date that it submitted the notice;</w:t>
      </w:r>
      <w:r w:rsidRPr="0064683F" w:rsidR="003E0B2D">
        <w:rPr>
          <w:bCs/>
        </w:rPr>
        <w:t xml:space="preserve"> </w:t>
      </w:r>
      <w:bookmarkEnd w:id="6"/>
      <w:r w:rsidRPr="0064683F" w:rsidR="003E0B2D">
        <w:rPr>
          <w:bCs/>
        </w:rPr>
        <w:t xml:space="preserve">the legal business name of the </w:t>
      </w:r>
      <w:r w:rsidRPr="0064683F" w:rsidR="00F36518">
        <w:rPr>
          <w:bCs/>
        </w:rPr>
        <w:t>plan, issuer, or FEHB carrier</w:t>
      </w:r>
      <w:r w:rsidR="00320A2D">
        <w:rPr>
          <w:bCs/>
        </w:rPr>
        <w:t xml:space="preserve"> </w:t>
      </w:r>
      <w:r w:rsidRPr="009615AE" w:rsidR="00320A2D">
        <w:t>(or, in the case of a self-insured group health plan that does not have a legal business name, the legal business name of the plan sponsor)</w:t>
      </w:r>
      <w:r w:rsidRPr="0064683F" w:rsidR="00384326">
        <w:rPr>
          <w:bCs/>
        </w:rPr>
        <w:t>,</w:t>
      </w:r>
      <w:r w:rsidRPr="0064683F" w:rsidR="003E0B2D">
        <w:rPr>
          <w:bCs/>
        </w:rPr>
        <w:t xml:space="preserve"> as well as the current contact information (name, email address, phone number, and mailing address) of the </w:t>
      </w:r>
      <w:r w:rsidRPr="0064683F" w:rsidR="00F36518">
        <w:rPr>
          <w:bCs/>
        </w:rPr>
        <w:t>plan, issuer, or FEHB carrier</w:t>
      </w:r>
      <w:r w:rsidRPr="0064683F" w:rsidR="003E0B2D">
        <w:rPr>
          <w:bCs/>
        </w:rPr>
        <w:t xml:space="preserve"> as provided with </w:t>
      </w:r>
      <w:r w:rsidRPr="009615AE" w:rsidR="00DC750F">
        <w:t xml:space="preserve">any remittance advice associated with </w:t>
      </w:r>
      <w:r w:rsidRPr="0064683F" w:rsidR="003E0B2D">
        <w:rPr>
          <w:bCs/>
        </w:rPr>
        <w:t xml:space="preserve">the initial payment or notice of denial of payment; and </w:t>
      </w:r>
      <w:bookmarkStart w:id="7" w:name="_Hlk134363515_0"/>
      <w:r w:rsidRPr="0064683F" w:rsidR="003E0B2D">
        <w:rPr>
          <w:bCs/>
        </w:rPr>
        <w:t xml:space="preserve">if the party submitting the notice of IDR initiation response is a </w:t>
      </w:r>
      <w:r w:rsidRPr="0064683F" w:rsidR="00F36518">
        <w:rPr>
          <w:bCs/>
        </w:rPr>
        <w:t>plan, issuer, or FEHB carrier</w:t>
      </w:r>
      <w:r w:rsidRPr="0064683F" w:rsidR="003E0B2D">
        <w:rPr>
          <w:bCs/>
        </w:rPr>
        <w:t xml:space="preserve">, the plan type (for example, self-insured or fully-insured) </w:t>
      </w:r>
      <w:bookmarkEnd w:id="7"/>
      <w:r w:rsidRPr="0064683F" w:rsidR="003E0B2D">
        <w:rPr>
          <w:bCs/>
        </w:rPr>
        <w:t xml:space="preserve">and TIN (or, in the case of a plan that does not have a TIN, the TIN of the plan sponsor; </w:t>
      </w:r>
      <w:r w:rsidRPr="0064683F" w:rsidR="00D410CB">
        <w:rPr>
          <w:bCs/>
        </w:rPr>
        <w:t>(3) t</w:t>
      </w:r>
      <w:r w:rsidRPr="0064683F" w:rsidR="00D11837">
        <w:rPr>
          <w:bCs/>
        </w:rPr>
        <w:t>he name and contact information (including the legal business name, email address, phone number, and mailing address) f</w:t>
      </w:r>
      <w:bookmarkStart w:id="8" w:name="_Hlk134363705_0"/>
      <w:r w:rsidRPr="0064683F" w:rsidR="00D11837">
        <w:rPr>
          <w:bCs/>
        </w:rPr>
        <w:t xml:space="preserve">or any third party representing the </w:t>
      </w:r>
      <w:bookmarkEnd w:id="8"/>
      <w:r w:rsidRPr="0064683F" w:rsidR="00384326">
        <w:rPr>
          <w:bCs/>
        </w:rPr>
        <w:t>non-initiating party</w:t>
      </w:r>
      <w:r w:rsidRPr="0064683F" w:rsidR="00D11837">
        <w:rPr>
          <w:bCs/>
        </w:rPr>
        <w:t xml:space="preserve">, and </w:t>
      </w:r>
      <w:bookmarkStart w:id="9" w:name="_Hlk134363675_0"/>
      <w:r w:rsidRPr="0064683F" w:rsidR="00D11837">
        <w:rPr>
          <w:bCs/>
        </w:rPr>
        <w:t>an attestation that the third party has the authority to act on behalf of the party it represents in the Federal IDR process</w:t>
      </w:r>
      <w:bookmarkEnd w:id="9"/>
      <w:r w:rsidRPr="0064683F" w:rsidR="00D11837">
        <w:rPr>
          <w:bCs/>
        </w:rPr>
        <w:t>;</w:t>
      </w:r>
      <w:r w:rsidRPr="0064683F" w:rsidR="001C12D2">
        <w:rPr>
          <w:bCs/>
        </w:rPr>
        <w:t xml:space="preserve"> (4) information sufficient to identify each item or service included in the notice of IDR initiation</w:t>
      </w:r>
      <w:r w:rsidRPr="0064683F" w:rsidR="00384326">
        <w:rPr>
          <w:bCs/>
        </w:rPr>
        <w:t xml:space="preserve">, </w:t>
      </w:r>
      <w:r w:rsidRPr="0064683F" w:rsidR="001C12D2">
        <w:rPr>
          <w:bCs/>
        </w:rPr>
        <w:t>including the date(s) the item or service was furnished</w:t>
      </w:r>
      <w:r w:rsidRPr="0064683F" w:rsidR="00384326">
        <w:rPr>
          <w:bCs/>
        </w:rPr>
        <w:t>.</w:t>
      </w:r>
      <w:r w:rsidRPr="0064683F" w:rsidR="001C12D2">
        <w:rPr>
          <w:bCs/>
        </w:rPr>
        <w:t xml:space="preserve"> </w:t>
      </w:r>
      <w:r w:rsidRPr="0064683F" w:rsidR="00384326">
        <w:rPr>
          <w:bCs/>
        </w:rPr>
        <w:t>I</w:t>
      </w:r>
      <w:r w:rsidRPr="0064683F" w:rsidR="001C12D2">
        <w:rPr>
          <w:bCs/>
        </w:rPr>
        <w:t xml:space="preserve">f </w:t>
      </w:r>
      <w:r w:rsidRPr="0064683F" w:rsidR="001C12D2">
        <w:rPr>
          <w:bCs/>
        </w:rPr>
        <w:t xml:space="preserve">the </w:t>
      </w:r>
      <w:r w:rsidRPr="0064683F" w:rsidR="00384326">
        <w:rPr>
          <w:bCs/>
        </w:rPr>
        <w:t>non-initiating party</w:t>
      </w:r>
      <w:r w:rsidRPr="0064683F" w:rsidR="001C12D2">
        <w:rPr>
          <w:bCs/>
        </w:rPr>
        <w:t xml:space="preserve"> is a provider, facility, or provider of air ambulance services, the date(s) that the provider, facility, or provider of air ambulance services received the initial payment or notice of denial of payment for such item or service from the </w:t>
      </w:r>
      <w:r w:rsidRPr="0064683F" w:rsidR="00F36518">
        <w:rPr>
          <w:bCs/>
        </w:rPr>
        <w:t>plan, issuer, or FEHB carrier</w:t>
      </w:r>
      <w:r w:rsidRPr="0064683F" w:rsidR="001C12D2">
        <w:rPr>
          <w:bCs/>
        </w:rPr>
        <w:t>, and the claim number;</w:t>
      </w:r>
      <w:r w:rsidRPr="0064683F" w:rsidR="002B2425">
        <w:rPr>
          <w:bCs/>
        </w:rPr>
        <w:t xml:space="preserve"> (5)</w:t>
      </w:r>
      <w:bookmarkStart w:id="10" w:name="_Hlk134003948_0"/>
      <w:r w:rsidRPr="00E259C0" w:rsidR="00F605DB">
        <w:t xml:space="preserve"> </w:t>
      </w:r>
      <w:r w:rsidRPr="0064683F" w:rsidR="00F605DB">
        <w:rPr>
          <w:bCs/>
        </w:rPr>
        <w:t xml:space="preserve">if the non-initiating party is a </w:t>
      </w:r>
      <w:r w:rsidRPr="0064683F" w:rsidR="00F36518">
        <w:rPr>
          <w:bCs/>
        </w:rPr>
        <w:t>plan, issuer, or FEHB carrier</w:t>
      </w:r>
      <w:r w:rsidRPr="0064683F" w:rsidR="00F605DB">
        <w:rPr>
          <w:bCs/>
        </w:rPr>
        <w:t>, a statement as to whether the non-initiating party agrees that the initial payment (including $0 if</w:t>
      </w:r>
      <w:r w:rsidRPr="0064683F" w:rsidR="005C1061">
        <w:rPr>
          <w:bCs/>
        </w:rPr>
        <w:t>, for example</w:t>
      </w:r>
      <w:r w:rsidRPr="0064683F" w:rsidR="00F605DB">
        <w:rPr>
          <w:bCs/>
        </w:rPr>
        <w:t xml:space="preserve"> payment is denied) and the qualifying payment amount reflected in the notice of IDR initiation is accurate for the item or service that is the subject to the dispute, and if not,</w:t>
      </w:r>
      <w:r w:rsidRPr="0064683F" w:rsidR="00CD0B97">
        <w:rPr>
          <w:bCs/>
        </w:rPr>
        <w:t xml:space="preserve"> </w:t>
      </w:r>
      <w:r w:rsidRPr="00E259C0" w:rsidR="00CD0B97">
        <w:t>the initial payment amount (including $0 if, for example, payment is denied) and/or qualifying payment amount it believes to be correct, and documentation to support the statement (for example, the remittance advice confirming the qualifying payment amount)</w:t>
      </w:r>
      <w:bookmarkEnd w:id="10"/>
      <w:r w:rsidRPr="0064683F" w:rsidR="00F605DB">
        <w:rPr>
          <w:bCs/>
        </w:rPr>
        <w:t>;</w:t>
      </w:r>
      <w:r w:rsidRPr="0064683F" w:rsidR="00D118FE">
        <w:rPr>
          <w:bCs/>
        </w:rPr>
        <w:t xml:space="preserve"> (</w:t>
      </w:r>
      <w:r w:rsidRPr="0064683F" w:rsidR="003779C2">
        <w:rPr>
          <w:bCs/>
        </w:rPr>
        <w:t xml:space="preserve">6) </w:t>
      </w:r>
      <w:r w:rsidRPr="0064683F" w:rsidR="00334882">
        <w:rPr>
          <w:bCs/>
        </w:rPr>
        <w:t>i</w:t>
      </w:r>
      <w:r w:rsidRPr="0064683F" w:rsidR="003779C2">
        <w:rPr>
          <w:bCs/>
        </w:rPr>
        <w:t xml:space="preserve">f the non-initiating party is a </w:t>
      </w:r>
      <w:r w:rsidRPr="0064683F" w:rsidR="00F36518">
        <w:rPr>
          <w:bCs/>
        </w:rPr>
        <w:t>plan, issuer, or FEHB carrier</w:t>
      </w:r>
      <w:r w:rsidRPr="0064683F" w:rsidR="003779C2">
        <w:rPr>
          <w:bCs/>
        </w:rPr>
        <w:t>, the amount of cost sharing imposed for the item or service;</w:t>
      </w:r>
      <w:r w:rsidRPr="0064683F" w:rsidR="003C6F8C">
        <w:rPr>
          <w:bCs/>
        </w:rPr>
        <w:t xml:space="preserve"> (7)</w:t>
      </w:r>
      <w:r w:rsidR="003E3EB7">
        <w:rPr>
          <w:bCs/>
        </w:rPr>
        <w:t xml:space="preserve"> </w:t>
      </w:r>
      <w:r w:rsidRPr="0064683F" w:rsidR="0002155F">
        <w:rPr>
          <w:bCs/>
        </w:rPr>
        <w:t>if the non</w:t>
      </w:r>
      <w:r w:rsidRPr="0064683F" w:rsidR="00B75D5D">
        <w:rPr>
          <w:bCs/>
        </w:rPr>
        <w:t xml:space="preserve">-initiating party is a provider or facility, a statement that the items and services do not qualify for the notice and consent exception described at </w:t>
      </w:r>
      <w:r w:rsidRPr="00E259C0" w:rsidR="00A21EC9">
        <w:t>45 CFR 149.410(b) or 149.420(c) through (i)</w:t>
      </w:r>
      <w:r w:rsidRPr="0064683F" w:rsidR="003C6F8C">
        <w:rPr>
          <w:bCs/>
        </w:rPr>
        <w:t xml:space="preserve">; </w:t>
      </w:r>
      <w:r w:rsidRPr="0064683F" w:rsidR="00F61556">
        <w:rPr>
          <w:bCs/>
        </w:rPr>
        <w:t>(8)</w:t>
      </w:r>
      <w:r w:rsidRPr="00E259C0" w:rsidR="00D307CB">
        <w:t xml:space="preserve"> with respect to each item or service that is the subject of the dispute, either an attestation that the item or service is a qualified IDR item or service</w:t>
      </w:r>
      <w:r w:rsidR="00025549">
        <w:t xml:space="preserve"> and is eligible for the Federal IDR process</w:t>
      </w:r>
      <w:r w:rsidRPr="00E259C0" w:rsidR="00D307CB">
        <w:t xml:space="preserve">, or for each item or service that the non-initiating party asserts is not a qualified IDR item or service, an explanation and documentation to support the </w:t>
      </w:r>
      <w:r w:rsidR="005136E6">
        <w:t>assertion</w:t>
      </w:r>
      <w:r w:rsidRPr="00E259C0" w:rsidR="00D307CB">
        <w:t>;</w:t>
      </w:r>
      <w:r w:rsidR="00F46F04">
        <w:t xml:space="preserve"> </w:t>
      </w:r>
      <w:r w:rsidRPr="0064683F" w:rsidR="00C660E4">
        <w:rPr>
          <w:bCs/>
        </w:rPr>
        <w:t xml:space="preserve">(9) </w:t>
      </w:r>
      <w:r w:rsidRPr="00E259C0" w:rsidR="00E63A0D">
        <w:t xml:space="preserve">a statement confirming that the remittance </w:t>
      </w:r>
      <w:r w:rsidR="00FB2430">
        <w:t xml:space="preserve">advice associated with the initial payment </w:t>
      </w:r>
      <w:r w:rsidR="005B3F81">
        <w:t xml:space="preserve">or notice of denial </w:t>
      </w:r>
      <w:r w:rsidR="00A26F41">
        <w:t xml:space="preserve">of payment </w:t>
      </w:r>
      <w:r w:rsidRPr="00E259C0" w:rsidR="00E63A0D">
        <w:t xml:space="preserve">provided by the initiating party </w:t>
      </w:r>
      <w:r w:rsidRPr="00E259C0" w:rsidR="00F53C49">
        <w:t xml:space="preserve">at </w:t>
      </w:r>
      <w:r w:rsidR="0064683F">
        <w:t>finalized</w:t>
      </w:r>
      <w:r w:rsidRPr="00E259C0" w:rsidR="00F53C49">
        <w:t xml:space="preserve"> 26 CFR 54.9816-8(b)(1)</w:t>
      </w:r>
      <w:bookmarkStart w:id="11" w:name="_Hlk135252635"/>
      <w:r w:rsidRPr="00E259C0" w:rsidR="00F53C49">
        <w:t>(ii)(A)(</w:t>
      </w:r>
      <w:r w:rsidRPr="0064683F" w:rsidR="00F53C49">
        <w:rPr>
          <w:i/>
        </w:rPr>
        <w:t>1</w:t>
      </w:r>
      <w:r w:rsidR="00C8463F">
        <w:rPr>
          <w:i/>
        </w:rPr>
        <w:t>3</w:t>
      </w:r>
      <w:r w:rsidRPr="00E259C0" w:rsidR="00F53C49">
        <w:t xml:space="preserve">), </w:t>
      </w:r>
      <w:bookmarkEnd w:id="11"/>
      <w:r w:rsidRPr="00E259C0" w:rsidR="00F53C49">
        <w:t>29 CFR 2590.716-8(b)(1)(ii)(A)(</w:t>
      </w:r>
      <w:r w:rsidRPr="0064683F" w:rsidR="00F53C49">
        <w:rPr>
          <w:i/>
        </w:rPr>
        <w:t>1</w:t>
      </w:r>
      <w:r w:rsidR="00C8463F">
        <w:rPr>
          <w:i/>
        </w:rPr>
        <w:t>3</w:t>
      </w:r>
      <w:r w:rsidRPr="00E259C0" w:rsidR="00F53C49">
        <w:t>), and 45 CFR 149.510(b)(1) (ii)(A)(</w:t>
      </w:r>
      <w:r w:rsidRPr="0064683F" w:rsidR="00F53C49">
        <w:rPr>
          <w:i/>
        </w:rPr>
        <w:t>1</w:t>
      </w:r>
      <w:r w:rsidR="00C8463F">
        <w:rPr>
          <w:i/>
        </w:rPr>
        <w:t>3</w:t>
      </w:r>
      <w:r w:rsidRPr="00E259C0" w:rsidR="00F53C49">
        <w:t xml:space="preserve">) </w:t>
      </w:r>
      <w:r w:rsidRPr="00E259C0" w:rsidR="00E63A0D">
        <w:t xml:space="preserve">is accurate, and if inaccurate, a copy of the accurate remittance </w:t>
      </w:r>
      <w:r w:rsidR="004478D9">
        <w:t xml:space="preserve">advice associated </w:t>
      </w:r>
      <w:r w:rsidR="009F2314">
        <w:t>with</w:t>
      </w:r>
      <w:r w:rsidR="006653D5">
        <w:t xml:space="preserve"> the initial payment or notice of denial of payment </w:t>
      </w:r>
      <w:r w:rsidR="00CE7738">
        <w:t>for the item or service</w:t>
      </w:r>
      <w:r w:rsidRPr="00E259C0" w:rsidR="00E63A0D">
        <w:t>;</w:t>
      </w:r>
      <w:r w:rsidRPr="0064683F" w:rsidR="00E63A0D">
        <w:rPr>
          <w:bCs/>
        </w:rPr>
        <w:t xml:space="preserve"> </w:t>
      </w:r>
      <w:r w:rsidRPr="0064683F" w:rsidR="001C5858">
        <w:rPr>
          <w:bCs/>
        </w:rPr>
        <w:t xml:space="preserve">(10) </w:t>
      </w:r>
      <w:r w:rsidRPr="00E259C0" w:rsidR="00DE7A45">
        <w:t>a statement as to whether any of the information provided in the notice of IDR initiation is inaccurate and the basis for the statement as well as any supporting documentation; and</w:t>
      </w:r>
      <w:r w:rsidRPr="00E259C0" w:rsidR="00C23DFF">
        <w:t xml:space="preserve"> </w:t>
      </w:r>
      <w:r w:rsidRPr="00E259C0" w:rsidR="00DE7A45">
        <w:t>(11)</w:t>
      </w:r>
      <w:r w:rsidRPr="00E259C0" w:rsidR="00C23DFF">
        <w:t xml:space="preserve"> a statement as to whether the non-initiating party agrees or objects to the initiating party’s preferred certified IDR entity. If the non-initiating party objects to the initiating party’s preferred certified IDR entity, the notice of IDR initiation response must include the name of an alternative preferred certified IDR entity and, if applicable, an explanation of any conflict of interest with the initiating party’s preferred certified IDR entity.</w:t>
      </w:r>
      <w:r w:rsidRPr="00E259C0" w:rsidR="00DE7A45">
        <w:t xml:space="preserve"> </w:t>
      </w:r>
    </w:p>
    <w:p w:rsidR="00B409A7" w:rsidRPr="00E259C0" w:rsidP="00F36518" w14:paraId="747FD7F7" w14:textId="77777777">
      <w:pPr>
        <w:pStyle w:val="ListParagraph"/>
        <w:widowControl/>
        <w:ind w:left="1440"/>
        <w:rPr>
          <w:i/>
        </w:rPr>
      </w:pPr>
    </w:p>
    <w:p w:rsidR="00B409A7" w:rsidRPr="00E259C0" w:rsidP="00A27BCA" w14:paraId="5BE47497" w14:textId="5AA9FCA5">
      <w:pPr>
        <w:pStyle w:val="ListParagraph"/>
        <w:widowControl/>
        <w:numPr>
          <w:ilvl w:val="0"/>
          <w:numId w:val="9"/>
        </w:numPr>
      </w:pPr>
      <w:r w:rsidRPr="00E259C0">
        <w:rPr>
          <w:i/>
        </w:rPr>
        <w:t>Certified IDR Entity Selection.</w:t>
      </w:r>
      <w:r w:rsidR="00263C28">
        <w:rPr>
          <w:i/>
        </w:rPr>
        <w:t xml:space="preserve"> </w:t>
      </w:r>
      <w:r w:rsidRPr="00E259C0">
        <w:t xml:space="preserve">The parties to the </w:t>
      </w:r>
      <w:r w:rsidRPr="00E259C0" w:rsidR="00AE703C">
        <w:t>F</w:t>
      </w:r>
      <w:r w:rsidRPr="00E259C0">
        <w:t xml:space="preserve">ederal IDR process may </w:t>
      </w:r>
    </w:p>
    <w:p w:rsidR="00F36518" w:rsidRPr="00E259C0" w:rsidP="00B409A7" w14:paraId="310B1BA6" w14:textId="51A2B47C">
      <w:pPr>
        <w:widowControl/>
        <w:ind w:left="1440"/>
      </w:pPr>
      <w:r w:rsidRPr="00E259C0">
        <w:t xml:space="preserve">jointly select a certified IDR entity not later than 3 business days </w:t>
      </w:r>
      <w:r w:rsidRPr="00E259C0" w:rsidR="001C7854">
        <w:t xml:space="preserve">after </w:t>
      </w:r>
      <w:r w:rsidRPr="00E259C0">
        <w:t xml:space="preserve">the date of </w:t>
      </w:r>
      <w:r w:rsidRPr="00E259C0" w:rsidR="002A275C">
        <w:t>IDR initiation</w:t>
      </w:r>
      <w:r w:rsidRPr="00E259C0">
        <w:t>.</w:t>
      </w:r>
      <w:r w:rsidR="00263C28">
        <w:t xml:space="preserve"> </w:t>
      </w:r>
      <w:r w:rsidRPr="00E259C0" w:rsidR="0060232B">
        <w:t xml:space="preserve">The initiating party chooses a </w:t>
      </w:r>
      <w:r w:rsidRPr="00E259C0" w:rsidR="004208B5">
        <w:t>preferred certified IDR entity</w:t>
      </w:r>
      <w:r w:rsidRPr="00E259C0" w:rsidR="0030354D">
        <w:t xml:space="preserve">, which is named on the notice of IDR initiation. If the </w:t>
      </w:r>
      <w:r w:rsidRPr="00E259C0" w:rsidR="00B147D2">
        <w:t xml:space="preserve">non-initiating party </w:t>
      </w:r>
      <w:r w:rsidRPr="00E259C0" w:rsidR="00C05FA5">
        <w:t>a</w:t>
      </w:r>
      <w:r w:rsidRPr="00E259C0" w:rsidR="00FC0785">
        <w:t xml:space="preserve">grees or fails to object to the </w:t>
      </w:r>
      <w:r w:rsidRPr="00E259C0" w:rsidR="006F1D0C">
        <w:t xml:space="preserve">initiating party’s </w:t>
      </w:r>
      <w:r w:rsidRPr="00E259C0" w:rsidR="00FC1E05">
        <w:t xml:space="preserve">preferred certified IDR entity </w:t>
      </w:r>
      <w:r w:rsidRPr="00E259C0" w:rsidR="00982D0D">
        <w:t xml:space="preserve">within </w:t>
      </w:r>
      <w:r w:rsidRPr="00E259C0" w:rsidR="00013DB0">
        <w:t xml:space="preserve">3 business </w:t>
      </w:r>
      <w:r w:rsidRPr="00E259C0" w:rsidR="00013DB0">
        <w:t xml:space="preserve">days after the date of IDR initiation, </w:t>
      </w:r>
      <w:r w:rsidRPr="00E259C0" w:rsidR="002F37C2">
        <w:t xml:space="preserve">the initiating party’s preferred certified IDR entity would be considered </w:t>
      </w:r>
      <w:r w:rsidRPr="00E259C0" w:rsidR="00346D8B">
        <w:t xml:space="preserve">jointly selected </w:t>
      </w:r>
      <w:r w:rsidRPr="00E259C0" w:rsidR="002C6BBA">
        <w:t>by the parties</w:t>
      </w:r>
      <w:r w:rsidRPr="00E259C0" w:rsidR="00931BE0">
        <w:t xml:space="preserve">. However, if </w:t>
      </w:r>
      <w:r w:rsidRPr="00E259C0" w:rsidR="007A02F5">
        <w:t>on</w:t>
      </w:r>
      <w:r w:rsidRPr="00E259C0" w:rsidR="00931BE0">
        <w:t xml:space="preserve"> the</w:t>
      </w:r>
      <w:r w:rsidRPr="00E259C0" w:rsidR="00FD06B1">
        <w:t xml:space="preserve"> </w:t>
      </w:r>
      <w:r w:rsidRPr="00E259C0" w:rsidR="00013EDC">
        <w:t>notice of</w:t>
      </w:r>
      <w:r w:rsidRPr="00E259C0" w:rsidR="000A2F9D">
        <w:t xml:space="preserve"> </w:t>
      </w:r>
      <w:r w:rsidRPr="00E259C0" w:rsidR="00FD06B1">
        <w:t>IDR initiation</w:t>
      </w:r>
      <w:r w:rsidRPr="00E259C0" w:rsidR="000A2F9D">
        <w:t xml:space="preserve"> </w:t>
      </w:r>
      <w:r w:rsidRPr="00E259C0" w:rsidR="00B92D0E">
        <w:t>response the</w:t>
      </w:r>
      <w:r w:rsidRPr="00E259C0" w:rsidR="00931BE0">
        <w:t xml:space="preserve"> non-initiating party objects to the </w:t>
      </w:r>
      <w:r w:rsidRPr="00E259C0" w:rsidR="007A79EA">
        <w:t xml:space="preserve">initiating party’s preferred certified IDR entity, </w:t>
      </w:r>
      <w:r w:rsidRPr="00E259C0" w:rsidR="00027ABA">
        <w:t xml:space="preserve">the non-initiating party must </w:t>
      </w:r>
      <w:r w:rsidRPr="00E259C0" w:rsidR="000470A7">
        <w:t>designate an alternative</w:t>
      </w:r>
      <w:r w:rsidRPr="00E259C0" w:rsidR="00931BE0">
        <w:t xml:space="preserve"> </w:t>
      </w:r>
      <w:r w:rsidRPr="00E259C0" w:rsidR="00DE4A18">
        <w:t>preferred certifi</w:t>
      </w:r>
      <w:r w:rsidRPr="00E259C0" w:rsidR="00B92D0E">
        <w:t xml:space="preserve">ed </w:t>
      </w:r>
      <w:r w:rsidR="009775DD">
        <w:t xml:space="preserve">IDR entity </w:t>
      </w:r>
      <w:r w:rsidRPr="00E259C0" w:rsidR="001C1BC5">
        <w:t>on that form</w:t>
      </w:r>
      <w:r w:rsidRPr="00E259C0" w:rsidR="00BD2AFD">
        <w:t xml:space="preserve"> within the 3-business-day </w:t>
      </w:r>
      <w:r w:rsidRPr="00E259C0" w:rsidR="00197591">
        <w:t>timeframe after the date of IDR initiation</w:t>
      </w:r>
      <w:r w:rsidRPr="00E259C0" w:rsidR="001C1BC5">
        <w:t>.</w:t>
      </w:r>
      <w:r w:rsidRPr="00E259C0" w:rsidR="00403C53">
        <w:t xml:space="preserve"> </w:t>
      </w:r>
      <w:r w:rsidRPr="00E259C0" w:rsidR="00005C04">
        <w:t xml:space="preserve">If the non-initiating party objects in this manner, the initiating party is required to </w:t>
      </w:r>
      <w:r w:rsidRPr="00E259C0" w:rsidR="00900ABF">
        <w:t xml:space="preserve">agree or object to the </w:t>
      </w:r>
      <w:r w:rsidRPr="00E259C0" w:rsidR="009E1D9C">
        <w:t xml:space="preserve">alternative preferred certified IDR entity using the notice of certified IDR </w:t>
      </w:r>
      <w:r w:rsidRPr="00E259C0" w:rsidR="0066689F">
        <w:t>entity selection.</w:t>
      </w:r>
      <w:r w:rsidRPr="00E259C0" w:rsidR="00005C04">
        <w:t xml:space="preserve"> </w:t>
      </w:r>
      <w:r w:rsidRPr="00E259C0" w:rsidR="00024B6B">
        <w:t xml:space="preserve">If the initiating party has not </w:t>
      </w:r>
      <w:r w:rsidRPr="00E259C0" w:rsidR="00F412B9">
        <w:t xml:space="preserve">responded to the non-initiating party’s alternative preferred certified </w:t>
      </w:r>
      <w:r w:rsidR="009775DD">
        <w:t xml:space="preserve">IDR </w:t>
      </w:r>
      <w:r w:rsidRPr="00E259C0" w:rsidR="00F412B9">
        <w:t>entity within</w:t>
      </w:r>
      <w:r w:rsidRPr="00E259C0" w:rsidR="00024B6B">
        <w:t xml:space="preserve"> </w:t>
      </w:r>
      <w:r w:rsidRPr="00E259C0" w:rsidR="008305B9">
        <w:t xml:space="preserve">3 business days after the date of IDR initiation, then the alternative preferred certified IDR entity would be considered jointly selected by the parties. </w:t>
      </w:r>
      <w:r w:rsidRPr="00E259C0" w:rsidR="005474FA">
        <w:t xml:space="preserve">However, if the non-initiating party submits the </w:t>
      </w:r>
      <w:r w:rsidRPr="00E259C0" w:rsidR="00C03627">
        <w:t>notice of IDR initiation response</w:t>
      </w:r>
      <w:r w:rsidRPr="00E259C0" w:rsidR="00834AB3">
        <w:t xml:space="preserve"> </w:t>
      </w:r>
      <w:r w:rsidRPr="00E259C0" w:rsidR="007936A4">
        <w:t>with a</w:t>
      </w:r>
      <w:r w:rsidRPr="00E259C0" w:rsidR="00D23815">
        <w:t>n alternative preferred certified IDR entity</w:t>
      </w:r>
      <w:r w:rsidRPr="00E259C0" w:rsidR="002E22A4">
        <w:t xml:space="preserve"> </w:t>
      </w:r>
      <w:r w:rsidRPr="009615AE" w:rsidR="00D014EF">
        <w:t>on the third business day after the date of IDR initiation</w:t>
      </w:r>
      <w:r w:rsidRPr="00E259C0" w:rsidR="002E22A4">
        <w:t xml:space="preserve"> and the initiating party does not </w:t>
      </w:r>
      <w:r w:rsidRPr="00E259C0" w:rsidR="00EF4EFA">
        <w:t xml:space="preserve">agree to that alternative preferred certified IDR entity on the same day, the parties </w:t>
      </w:r>
      <w:r w:rsidRPr="00E259C0" w:rsidR="00B81EC4">
        <w:t xml:space="preserve">would have </w:t>
      </w:r>
      <w:r w:rsidRPr="00E259C0" w:rsidR="00843315">
        <w:t xml:space="preserve">failed to jointly select a certified IDR entity. </w:t>
      </w:r>
      <w:r w:rsidR="00CE2387">
        <w:t xml:space="preserve">If </w:t>
      </w:r>
      <w:r w:rsidR="00AB65D7">
        <w:t xml:space="preserve">either party submits </w:t>
      </w:r>
      <w:r w:rsidR="00652386">
        <w:t xml:space="preserve">a notice of IDR initiation response </w:t>
      </w:r>
      <w:r w:rsidR="00FE51D3">
        <w:t xml:space="preserve">or notice of certified IDR entity selection </w:t>
      </w:r>
      <w:r w:rsidR="00AB65D7">
        <w:t>w</w:t>
      </w:r>
      <w:r w:rsidR="00FE51D3">
        <w:t>ith an alternative</w:t>
      </w:r>
      <w:r w:rsidR="00AB65D7">
        <w:t xml:space="preserve"> </w:t>
      </w:r>
      <w:r w:rsidR="002D3412">
        <w:t>preferred certified IDR entity</w:t>
      </w:r>
      <w:r w:rsidR="009775DD">
        <w:t xml:space="preserve"> on the third business day after </w:t>
      </w:r>
      <w:r w:rsidR="00CD0815">
        <w:t>the date of IDR initiation and the other party does not agree</w:t>
      </w:r>
      <w:r w:rsidR="003C0467">
        <w:t xml:space="preserve"> on the same day, the Departments will prove the party last in receipt of the applicable notice </w:t>
      </w:r>
      <w:r w:rsidR="0065400E">
        <w:t xml:space="preserve">2 additional business days to agree or object. </w:t>
      </w:r>
      <w:r w:rsidRPr="00E259C0" w:rsidR="00843315">
        <w:t xml:space="preserve">The </w:t>
      </w:r>
      <w:r w:rsidR="003F0EA0">
        <w:t>202</w:t>
      </w:r>
      <w:r w:rsidR="00191A84">
        <w:t>6</w:t>
      </w:r>
      <w:r w:rsidRPr="00E259C0" w:rsidR="001E4F8B">
        <w:t xml:space="preserve"> final rules</w:t>
      </w:r>
      <w:r w:rsidRPr="00E259C0" w:rsidR="00867120">
        <w:t xml:space="preserve"> allow </w:t>
      </w:r>
      <w:r w:rsidRPr="00E259C0" w:rsidR="00AA281E">
        <w:t xml:space="preserve">the parties to go back and forth </w:t>
      </w:r>
      <w:r w:rsidRPr="00E259C0" w:rsidR="003D220A">
        <w:t xml:space="preserve">in selecting and responding to a selection of an alternative preferred certified IDR entity within the 3-business-day period after IDR initiation. </w:t>
      </w:r>
      <w:r w:rsidRPr="00E259C0" w:rsidR="00911BE4">
        <w:t xml:space="preserve">All of this is </w:t>
      </w:r>
      <w:r w:rsidRPr="00E259C0" w:rsidR="006F6775">
        <w:t>submitted through the Federal IDR portal</w:t>
      </w:r>
      <w:r w:rsidRPr="00E259C0" w:rsidR="00C63879">
        <w:t xml:space="preserve">. </w:t>
      </w:r>
      <w:r w:rsidRPr="00E259C0" w:rsidR="00C94433">
        <w:t xml:space="preserve">The data elements contained in the notice of IDR initiation and notice of IDR initiation response inform </w:t>
      </w:r>
      <w:r w:rsidRPr="00E259C0" w:rsidR="00EF05B4">
        <w:t>this process</w:t>
      </w:r>
      <w:r w:rsidRPr="00E259C0" w:rsidR="002F35AC">
        <w:t xml:space="preserve"> </w:t>
      </w:r>
      <w:r w:rsidRPr="00E259C0" w:rsidR="009F5E5D">
        <w:t xml:space="preserve">in the </w:t>
      </w:r>
      <w:r w:rsidRPr="00E259C0" w:rsidR="00A80303">
        <w:t>communication</w:t>
      </w:r>
      <w:r w:rsidRPr="00E259C0" w:rsidR="00EF05B4">
        <w:t xml:space="preserve">. </w:t>
      </w:r>
      <w:r w:rsidRPr="00E259C0" w:rsidR="009F5E5D">
        <w:t xml:space="preserve">However, </w:t>
      </w:r>
      <w:r w:rsidRPr="00E259C0" w:rsidR="004B40B6">
        <w:t>if there is disagreement after that communication and before the 3-business-day period after IDR initiation</w:t>
      </w:r>
      <w:r w:rsidRPr="00E259C0" w:rsidR="00596C88">
        <w:t>, the parties</w:t>
      </w:r>
      <w:r w:rsidRPr="00E259C0" w:rsidR="00AA26C0">
        <w:t xml:space="preserve"> w</w:t>
      </w:r>
      <w:r w:rsidRPr="00E259C0" w:rsidR="00BC2D46">
        <w:t xml:space="preserve">ould </w:t>
      </w:r>
      <w:r w:rsidRPr="00E259C0" w:rsidR="00384980">
        <w:t xml:space="preserve">use the </w:t>
      </w:r>
      <w:r w:rsidRPr="00E259C0" w:rsidR="00621ABA">
        <w:t>notice of certified IDR entity selection</w:t>
      </w:r>
      <w:r w:rsidRPr="00E259C0" w:rsidR="00D066B5">
        <w:t>.</w:t>
      </w:r>
      <w:r w:rsidRPr="00E259C0" w:rsidR="00F66426">
        <w:t xml:space="preserve"> </w:t>
      </w:r>
      <w:r w:rsidRPr="00E259C0" w:rsidR="00AB6BDA">
        <w:t xml:space="preserve">The information required </w:t>
      </w:r>
      <w:r w:rsidRPr="00E259C0" w:rsidR="00504223">
        <w:t>in that notice are</w:t>
      </w:r>
      <w:r w:rsidRPr="00E259C0" w:rsidR="008D3A0D">
        <w:t xml:space="preserve">: </w:t>
      </w:r>
      <w:r w:rsidRPr="00E259C0" w:rsidR="00F15610">
        <w:t xml:space="preserve">(1) </w:t>
      </w:r>
      <w:r w:rsidRPr="00E259C0" w:rsidR="00C32A46">
        <w:t xml:space="preserve">a statement </w:t>
      </w:r>
      <w:r w:rsidRPr="00E259C0" w:rsidR="00EE6B68">
        <w:t>indicating</w:t>
      </w:r>
      <w:r w:rsidRPr="00E259C0" w:rsidR="00F15610">
        <w:t xml:space="preserve"> </w:t>
      </w:r>
      <w:r w:rsidRPr="00E259C0" w:rsidR="00BC007B">
        <w:t xml:space="preserve">the party’s agreement with or objection to the other party’s alternative preferred certified IDR </w:t>
      </w:r>
      <w:r w:rsidRPr="00E259C0" w:rsidR="00F15610">
        <w:t>entity</w:t>
      </w:r>
      <w:r w:rsidRPr="00E259C0" w:rsidR="001C0B15">
        <w:t xml:space="preserve">; (2) </w:t>
      </w:r>
      <w:r w:rsidRPr="00E259C0" w:rsidR="00DF5B15">
        <w:t>if applicable,</w:t>
      </w:r>
      <w:r w:rsidRPr="00E259C0" w:rsidR="001C0B15">
        <w:t xml:space="preserve"> </w:t>
      </w:r>
      <w:r w:rsidRPr="00E259C0" w:rsidR="00363EF4">
        <w:t>a statement explaining any conflicts of interest that have contributed to the party’s objection to the selected alternative preferred</w:t>
      </w:r>
      <w:r w:rsidRPr="00E259C0" w:rsidR="00F15610">
        <w:t xml:space="preserve"> certified IDR entity</w:t>
      </w:r>
      <w:r w:rsidRPr="00E259C0" w:rsidR="00773695">
        <w:t xml:space="preserve">; and (3) </w:t>
      </w:r>
      <w:r w:rsidRPr="00E259C0" w:rsidR="00843D40">
        <w:t>the name of another alternative preferred certified IDR entity.</w:t>
      </w:r>
      <w:r w:rsidRPr="00E259C0" w:rsidR="001C1BC5">
        <w:t xml:space="preserve"> </w:t>
      </w:r>
    </w:p>
    <w:p w:rsidR="0054520F" w:rsidRPr="00E259C0" w:rsidP="00301424" w14:paraId="174A7113" w14:textId="77777777">
      <w:pPr>
        <w:widowControl/>
        <w:rPr>
          <w:i/>
        </w:rPr>
      </w:pPr>
    </w:p>
    <w:p w:rsidR="00254A41" w:rsidRPr="00E259C0" w:rsidP="00254A41" w14:paraId="1B4BBD1A" w14:textId="29F42FE7">
      <w:pPr>
        <w:pStyle w:val="ListParagraph"/>
        <w:widowControl/>
        <w:numPr>
          <w:ilvl w:val="0"/>
          <w:numId w:val="9"/>
        </w:numPr>
      </w:pPr>
      <w:r w:rsidRPr="00E259C0">
        <w:rPr>
          <w:i/>
        </w:rPr>
        <w:t>Notice of Agreement on an Out-of-Network Rate.</w:t>
      </w:r>
      <w:r w:rsidRPr="00E259C0">
        <w:t xml:space="preserve"> If the parties to the </w:t>
      </w:r>
      <w:r w:rsidRPr="00E259C0" w:rsidR="0076038B">
        <w:t>F</w:t>
      </w:r>
      <w:r w:rsidRPr="00E259C0">
        <w:t xml:space="preserve">ederal IDR process agree on an out-of-network rate for a qualified IDR item or service after providing a </w:t>
      </w:r>
      <w:r w:rsidRPr="00E259C0" w:rsidR="00700524">
        <w:t>“</w:t>
      </w:r>
      <w:r w:rsidRPr="00E259C0">
        <w:t>Notice of IDR Initiation</w:t>
      </w:r>
      <w:r w:rsidRPr="00E259C0" w:rsidR="00700524">
        <w:t>”</w:t>
      </w:r>
      <w:r w:rsidRPr="00E259C0">
        <w:t xml:space="preserve"> to the Departments, but before the certified IDR entity has made its </w:t>
      </w:r>
      <w:r w:rsidRPr="00E259C0" w:rsidR="000575A8">
        <w:t>payment determination</w:t>
      </w:r>
      <w:r w:rsidRPr="00E259C0">
        <w:t xml:space="preserve">, the initiating party must send a notification to the Departments and to the certified IDR entity (if selected) </w:t>
      </w:r>
      <w:r w:rsidRPr="00E259C0">
        <w:t>electronically</w:t>
      </w:r>
      <w:r w:rsidRPr="00E259C0" w:rsidR="00A421F6">
        <w:t>,</w:t>
      </w:r>
      <w:r w:rsidR="00263C28">
        <w:t xml:space="preserve"> </w:t>
      </w:r>
      <w:r w:rsidRPr="00E259C0">
        <w:t xml:space="preserve">through the </w:t>
      </w:r>
      <w:r w:rsidRPr="00E259C0" w:rsidR="0076038B">
        <w:t>F</w:t>
      </w:r>
      <w:r w:rsidRPr="00E259C0">
        <w:t>ederal IDR portal, as soon as possible</w:t>
      </w:r>
      <w:r w:rsidRPr="00E259C0" w:rsidR="00406537">
        <w:t>,</w:t>
      </w:r>
      <w:r w:rsidRPr="00E259C0">
        <w:t xml:space="preserve"> but no later than 3 business days after the date of the agreement. The notification must include the </w:t>
      </w:r>
      <w:r w:rsidRPr="00E259C0" w:rsidR="00A421F6">
        <w:t xml:space="preserve">dispute number, a statement of the </w:t>
      </w:r>
      <w:r w:rsidRPr="00E259C0">
        <w:t>out-of-network rate</w:t>
      </w:r>
      <w:r w:rsidRPr="00E259C0" w:rsidR="00FD0A7F">
        <w:t xml:space="preserve"> for the qualified IDR item or service</w:t>
      </w:r>
      <w:r w:rsidRPr="00E259C0">
        <w:t xml:space="preserve"> (that is, the total payment amount, including both cost sharing and the total plan or coverage payment)</w:t>
      </w:r>
      <w:r w:rsidRPr="00E259C0" w:rsidR="006616EE">
        <w:t>,</w:t>
      </w:r>
      <w:r w:rsidR="00263C28">
        <w:t xml:space="preserve"> </w:t>
      </w:r>
      <w:r w:rsidRPr="00E259C0" w:rsidR="00C95A80">
        <w:t>an allocation of how the parties agree to pay certified IDR entity fee (if the parties choose not to evenly split the fee),</w:t>
      </w:r>
      <w:r w:rsidRPr="00E259C0">
        <w:t xml:space="preserve"> and signatures from an authorized signatory for each party.</w:t>
      </w:r>
    </w:p>
    <w:p w:rsidR="00E92E38" w:rsidRPr="00E259C0" w:rsidP="00A977BC" w14:paraId="676EA5B6" w14:textId="77777777">
      <w:pPr>
        <w:pStyle w:val="ListParagraph"/>
      </w:pPr>
    </w:p>
    <w:p w:rsidR="00E92E38" w:rsidRPr="00E259C0" w:rsidP="00254A41" w14:paraId="020A7D1E" w14:textId="3C6D1C10">
      <w:pPr>
        <w:pStyle w:val="ListParagraph"/>
        <w:widowControl/>
        <w:numPr>
          <w:ilvl w:val="0"/>
          <w:numId w:val="9"/>
        </w:numPr>
      </w:pPr>
      <w:r w:rsidRPr="00E259C0">
        <w:rPr>
          <w:i/>
          <w:iCs/>
        </w:rPr>
        <w:t>Withdrawal</w:t>
      </w:r>
      <w:r w:rsidRPr="00E259C0" w:rsidR="00ED60F8">
        <w:rPr>
          <w:i/>
          <w:iCs/>
        </w:rPr>
        <w:t>.</w:t>
      </w:r>
      <w:r w:rsidRPr="00E259C0" w:rsidR="00753C17">
        <w:rPr>
          <w:i/>
          <w:iCs/>
        </w:rPr>
        <w:t xml:space="preserve"> </w:t>
      </w:r>
      <w:r w:rsidRPr="00E259C0" w:rsidR="00B918DA">
        <w:t>A dispute</w:t>
      </w:r>
      <w:r w:rsidRPr="00E259C0" w:rsidR="00A66B63">
        <w:t xml:space="preserve"> may be withdrawn from the</w:t>
      </w:r>
      <w:r w:rsidRPr="00E259C0" w:rsidR="00AF4CB7">
        <w:t xml:space="preserve"> Federal IDR process by the initiating party</w:t>
      </w:r>
      <w:r w:rsidRPr="00E259C0" w:rsidR="003D12C9">
        <w:t>,</w:t>
      </w:r>
      <w:r w:rsidRPr="00E259C0" w:rsidR="00177E7F">
        <w:t xml:space="preserve"> the Departments, or</w:t>
      </w:r>
      <w:r w:rsidRPr="00E259C0" w:rsidR="00F44A5A">
        <w:t xml:space="preserve"> a certified IDR entity</w:t>
      </w:r>
      <w:r w:rsidRPr="00E259C0" w:rsidR="009B3524">
        <w:t xml:space="preserve"> before a payment determination is made if one of the following </w:t>
      </w:r>
      <w:r w:rsidRPr="00E259C0" w:rsidR="00590AB3">
        <w:t>conditions met:</w:t>
      </w:r>
      <w:r w:rsidRPr="00E259C0" w:rsidR="00590AB3">
        <w:rPr>
          <w:i/>
          <w:iCs/>
        </w:rPr>
        <w:t xml:space="preserve"> </w:t>
      </w:r>
      <w:r w:rsidRPr="00E259C0" w:rsidR="000C75C0">
        <w:t>(1)</w:t>
      </w:r>
      <w:r w:rsidRPr="00E259C0" w:rsidR="000C75C0">
        <w:rPr>
          <w:i/>
          <w:iCs/>
        </w:rPr>
        <w:t xml:space="preserve"> </w:t>
      </w:r>
      <w:r w:rsidRPr="00E259C0" w:rsidR="00D77F7E">
        <w:t xml:space="preserve">the </w:t>
      </w:r>
      <w:r w:rsidRPr="00E259C0" w:rsidR="000C75C0">
        <w:t xml:space="preserve">initiating party provides notification through the Federal IDR portal to the </w:t>
      </w:r>
      <w:r w:rsidRPr="00E259C0" w:rsidR="001E0B9D">
        <w:t>Departments</w:t>
      </w:r>
      <w:r w:rsidRPr="00E259C0" w:rsidR="000C75C0">
        <w:t xml:space="preserve"> and the certified IDR entity (if selected) that both parties agree to withdraw the dispute from the Federal IDR process without agreement on an out-of-network rate</w:t>
      </w:r>
      <w:r w:rsidRPr="00E259C0" w:rsidR="001E0B9D">
        <w:t xml:space="preserve">; </w:t>
      </w:r>
      <w:r w:rsidRPr="00E259C0" w:rsidR="00C82963">
        <w:t>the notification must include the dispute number, a statement about both parties’ agreement to withdraw and signatures from authorized signatories for both parties</w:t>
      </w:r>
      <w:r w:rsidRPr="00E259C0" w:rsidR="001E0B9D">
        <w:t>; (2)</w:t>
      </w:r>
      <w:r w:rsidRPr="00E259C0" w:rsidR="003826B5">
        <w:t xml:space="preserve"> the initiating party provides notification through the Federal IDR portal to the </w:t>
      </w:r>
      <w:r w:rsidRPr="00E259C0" w:rsidR="0067193A">
        <w:t>Departments</w:t>
      </w:r>
      <w:r w:rsidRPr="00E259C0" w:rsidR="003826B5">
        <w:t xml:space="preserve">, the certified IDR entity (if selected), and the non-initiating party of its request to withdraw the dispute through the Federal IDR portal and the non-initiating party notifies the </w:t>
      </w:r>
      <w:r w:rsidRPr="00E259C0" w:rsidR="0067193A">
        <w:t>Departments</w:t>
      </w:r>
      <w:r w:rsidRPr="00E259C0" w:rsidR="003826B5">
        <w:t>, certified IDR entity (if selected), and initiating party of its agreement to withdraw through the Federal IDR portal</w:t>
      </w:r>
      <w:r w:rsidRPr="00E259C0" w:rsidR="008D3661">
        <w:t xml:space="preserve"> within 5 business days of the initiating party’s request</w:t>
      </w:r>
      <w:r w:rsidRPr="00E259C0" w:rsidR="003826B5">
        <w:t>.</w:t>
      </w:r>
      <w:r w:rsidRPr="00E259C0" w:rsidR="000B00F1">
        <w:t xml:space="preserve"> If the non-initiating party fails to respond within 5 business days of the initiating party’s request, the non-initiating party will be considered to have agreed to the withdrawal, and the dispute will be withdrawn</w:t>
      </w:r>
      <w:r w:rsidRPr="00E259C0" w:rsidR="000E41DB">
        <w:t xml:space="preserve">; (3) the certified IDR entity or </w:t>
      </w:r>
      <w:r w:rsidRPr="00E259C0" w:rsidR="0067193A">
        <w:t>the Departments</w:t>
      </w:r>
      <w:r w:rsidRPr="00E259C0" w:rsidR="000E41DB">
        <w:t xml:space="preserve"> cannot determine eligibility because both parties are unresponsive to any requests for additional information to determine eligibility; or (4) </w:t>
      </w:r>
      <w:r w:rsidRPr="00E259C0" w:rsidR="00426034">
        <w:t>the certified IDR entity cannot make a payment determination because both parties have failed to submit an offer.</w:t>
      </w:r>
    </w:p>
    <w:p w:rsidR="00B448F1" w:rsidRPr="00E259C0" w:rsidP="0054520F" w14:paraId="4E9C6D91" w14:textId="77777777">
      <w:pPr>
        <w:widowControl/>
        <w:ind w:left="720"/>
        <w:rPr>
          <w:i/>
        </w:rPr>
      </w:pPr>
    </w:p>
    <w:p w:rsidR="00F4209B" w:rsidRPr="00E259C0" w:rsidP="00F4209B" w14:paraId="771D8922" w14:textId="573FDAB0">
      <w:pPr>
        <w:pStyle w:val="ListParagraph"/>
        <w:widowControl/>
        <w:numPr>
          <w:ilvl w:val="0"/>
          <w:numId w:val="9"/>
        </w:numPr>
      </w:pPr>
      <w:r w:rsidRPr="00E259C0">
        <w:rPr>
          <w:i/>
        </w:rPr>
        <w:t>Notice of Offer.</w:t>
      </w:r>
      <w:r w:rsidR="00263C28">
        <w:rPr>
          <w:i/>
        </w:rPr>
        <w:t xml:space="preserve"> </w:t>
      </w:r>
      <w:r w:rsidRPr="00E259C0">
        <w:t xml:space="preserve">Not later than 10 business days after the </w:t>
      </w:r>
      <w:r w:rsidRPr="00E259C0" w:rsidR="008D3661">
        <w:t>date of the</w:t>
      </w:r>
      <w:r w:rsidRPr="00E259C0">
        <w:t xml:space="preserve"> certified IDR entity</w:t>
      </w:r>
      <w:r w:rsidRPr="00E259C0" w:rsidR="00807E85">
        <w:t xml:space="preserve"> </w:t>
      </w:r>
      <w:r w:rsidRPr="00E259C0" w:rsidR="008D3661">
        <w:t>selection</w:t>
      </w:r>
      <w:r w:rsidRPr="00E259C0" w:rsidR="006978BC">
        <w:t xml:space="preserve"> </w:t>
      </w:r>
      <w:r w:rsidRPr="00E259C0" w:rsidR="00B94716">
        <w:t>(</w:t>
      </w:r>
      <w:r w:rsidRPr="00E259C0" w:rsidR="00807E85">
        <w:t>or</w:t>
      </w:r>
      <w:r w:rsidRPr="00E259C0" w:rsidR="00911232">
        <w:t>, under</w:t>
      </w:r>
      <w:r w:rsidRPr="00E259C0">
        <w:t xml:space="preserve"> the </w:t>
      </w:r>
      <w:r w:rsidR="003F0EA0">
        <w:t>202</w:t>
      </w:r>
      <w:r w:rsidR="00191A84">
        <w:t xml:space="preserve">6 </w:t>
      </w:r>
      <w:r w:rsidRPr="00E259C0" w:rsidR="001E4F8B">
        <w:t>final rules</w:t>
      </w:r>
      <w:r w:rsidRPr="00E259C0" w:rsidR="00911232">
        <w:t>,</w:t>
      </w:r>
      <w:r w:rsidRPr="00E259C0" w:rsidR="00807E85">
        <w:t xml:space="preserve"> not later than 10 business days after </w:t>
      </w:r>
      <w:r w:rsidR="00704AA0">
        <w:t>final selection</w:t>
      </w:r>
      <w:r w:rsidR="00C21EE0">
        <w:t xml:space="preserve"> </w:t>
      </w:r>
      <w:r w:rsidR="002D6331">
        <w:t xml:space="preserve">of the certified IDR entity </w:t>
      </w:r>
      <w:r w:rsidR="00834132">
        <w:t xml:space="preserve">or not later than 10 business days after </w:t>
      </w:r>
      <w:r w:rsidRPr="00E259C0" w:rsidR="00807E85">
        <w:t xml:space="preserve">the </w:t>
      </w:r>
      <w:r w:rsidRPr="00E259C0" w:rsidR="001B3F71">
        <w:t xml:space="preserve">qualified IDR items </w:t>
      </w:r>
      <w:r w:rsidRPr="00E259C0">
        <w:t xml:space="preserve">and services </w:t>
      </w:r>
      <w:r w:rsidRPr="00E259C0" w:rsidR="001B3F71">
        <w:t>are determined</w:t>
      </w:r>
      <w:r w:rsidRPr="00E259C0">
        <w:t xml:space="preserve"> to </w:t>
      </w:r>
      <w:r w:rsidRPr="00E259C0" w:rsidR="001B3F71">
        <w:t>be eligible for the Federal IDR process</w:t>
      </w:r>
      <w:r w:rsidRPr="00E259C0" w:rsidR="007524B9">
        <w:t xml:space="preserve"> </w:t>
      </w:r>
      <w:r w:rsidR="00F518D0">
        <w:t>if the Departments determine that any of the extenuating circumstances</w:t>
      </w:r>
      <w:r w:rsidRPr="00F518D0" w:rsidR="00F518D0">
        <w:t xml:space="preserve"> necessitate extension of timeframes as set forth under finalized 26 CFR 54.9816-8T(g), 29 CFR 2590.716-8(g), and 45 CFR 149.510(g))</w:t>
      </w:r>
      <w:r w:rsidR="00F518D0">
        <w:t xml:space="preserve"> </w:t>
      </w:r>
      <w:r w:rsidR="00AC6E5B">
        <w:t>)</w:t>
      </w:r>
      <w:r w:rsidRPr="00E259C0">
        <w:t>, the plan</w:t>
      </w:r>
      <w:r w:rsidRPr="00E259C0" w:rsidR="00BC72C8">
        <w:t>,</w:t>
      </w:r>
      <w:r w:rsidRPr="00E259C0">
        <w:t xml:space="preserve"> issuer, or FEHB carrier and the nonparticipating provider</w:t>
      </w:r>
      <w:r w:rsidRPr="00E259C0" w:rsidR="00CF5EE2">
        <w:t>,</w:t>
      </w:r>
      <w:r w:rsidRPr="00E259C0">
        <w:t xml:space="preserve"> emergency facility</w:t>
      </w:r>
      <w:r w:rsidRPr="00E259C0" w:rsidR="004C223A">
        <w:t>,</w:t>
      </w:r>
      <w:r w:rsidRPr="00E259C0">
        <w:t xml:space="preserve"> or provider of air ambulance services must each submit a written offer to the certified IDR entity. This offer must be expressed as both a dollar amount and the </w:t>
      </w:r>
      <w:r w:rsidRPr="00E259C0">
        <w:t xml:space="preserve">corresponding percentage of the QPA represented by that dollar amount, to facilitate the certified IDR entity reporting the offer as a percentage of the QPA to the Departments. Parties to the </w:t>
      </w:r>
      <w:r w:rsidRPr="00E259C0" w:rsidR="008D05AF">
        <w:t>Federal</w:t>
      </w:r>
      <w:r w:rsidRPr="00E259C0">
        <w:t xml:space="preserve"> IDR process must also submit information requested by the certified IDR entity relating to the offer</w:t>
      </w:r>
      <w:r w:rsidRPr="00E259C0" w:rsidR="000D1789">
        <w:t>.</w:t>
      </w:r>
      <w:r w:rsidR="00263C28">
        <w:t xml:space="preserve"> </w:t>
      </w:r>
      <w:r w:rsidRPr="00E259C0" w:rsidR="00651FB2">
        <w:t xml:space="preserve">Parties must include the dispute reference number, </w:t>
      </w:r>
      <w:r w:rsidRPr="00E259C0" w:rsidR="00C36926">
        <w:t xml:space="preserve">their </w:t>
      </w:r>
      <w:r w:rsidRPr="00E259C0" w:rsidR="00651FB2">
        <w:t>organization name, primary and secondary points of contact (including mailing address, phone numbers and emails) and plan types</w:t>
      </w:r>
      <w:r w:rsidRPr="00E259C0" w:rsidR="002B2150">
        <w:t>.</w:t>
      </w:r>
      <w:r w:rsidRPr="00E259C0" w:rsidR="00C4083B">
        <w:t xml:space="preserve"> </w:t>
      </w:r>
      <w:r w:rsidRPr="00E259C0">
        <w:t>The provider must specify whether the provider</w:t>
      </w:r>
      <w:r w:rsidRPr="00E259C0" w:rsidR="001E31D2">
        <w:t>,</w:t>
      </w:r>
      <w:r w:rsidRPr="00E259C0">
        <w:t xml:space="preserve"> practice</w:t>
      </w:r>
      <w:r w:rsidRPr="00E259C0" w:rsidR="001E31D2">
        <w:t>,</w:t>
      </w:r>
      <w:r w:rsidRPr="00E259C0">
        <w:t xml:space="preserve"> or organization has fewer than 20 employees, 20 to 50 employees, 51 to 100 employees, 101 to 500 employees, or more than 500 employees.</w:t>
      </w:r>
      <w:r w:rsidR="00263C28">
        <w:t xml:space="preserve"> </w:t>
      </w:r>
      <w:r w:rsidRPr="00E259C0">
        <w:t>For facilities, the facility must specify whether the facility has 50 or fewer employees, 51 to 100 employees, 101 to 500 employees, or more than 500 employees. Providers and facilities must also provide information on the practice specialty or type, respectively (if applicable).</w:t>
      </w:r>
      <w:r w:rsidR="00263C28">
        <w:t xml:space="preserve"> </w:t>
      </w:r>
      <w:r w:rsidRPr="00E259C0">
        <w:t>Plans and issuers must provide</w:t>
      </w:r>
      <w:r w:rsidRPr="00E259C0" w:rsidR="00365870">
        <w:t xml:space="preserve"> the coverage area of the plan</w:t>
      </w:r>
      <w:r w:rsidRPr="00E259C0" w:rsidR="00BC72C8">
        <w:t xml:space="preserve">, </w:t>
      </w:r>
      <w:r w:rsidRPr="00E259C0" w:rsidR="00365870">
        <w:t>issuer,</w:t>
      </w:r>
      <w:r w:rsidRPr="00E259C0">
        <w:t xml:space="preserve"> </w:t>
      </w:r>
      <w:r w:rsidRPr="00E259C0" w:rsidR="00BC72C8">
        <w:t>or FEHB carrier</w:t>
      </w:r>
      <w:r w:rsidR="00AE7F5F">
        <w:t>,</w:t>
      </w:r>
      <w:r w:rsidRPr="00E259C0" w:rsidR="00BC72C8">
        <w:t xml:space="preserve"> </w:t>
      </w:r>
      <w:r w:rsidRPr="00E259C0">
        <w:t>the relevant geographic region for purposes of the QPA, and, for group health plans, whether they are fully</w:t>
      </w:r>
      <w:r w:rsidRPr="00E259C0" w:rsidR="002C5601">
        <w:t xml:space="preserve"> </w:t>
      </w:r>
      <w:r w:rsidRPr="00E259C0">
        <w:t xml:space="preserve">insured, or partially or fully self-insured (or an FEHB carrier, if the item or service relates to FEHB coverage). </w:t>
      </w:r>
      <w:r w:rsidRPr="00E259C0" w:rsidR="00F55DEF">
        <w:t xml:space="preserve">The offer must include the QPA for the applicable year for the same or similar items or services. Where batched items and services have different QPAs, the parties should provide these different QPAs and may provide different offers for these batched items and services, provided that the same offer should apply for all items and services with the same QPA. </w:t>
      </w:r>
      <w:r w:rsidRPr="00E259C0">
        <w:t xml:space="preserve">Parties may also submit any </w:t>
      </w:r>
      <w:r w:rsidRPr="00E259C0" w:rsidR="003324E8">
        <w:t xml:space="preserve">additional </w:t>
      </w:r>
      <w:r w:rsidRPr="00E259C0">
        <w:t xml:space="preserve">information relating to the offer </w:t>
      </w:r>
      <w:r w:rsidRPr="00E259C0" w:rsidR="00931D11">
        <w:t>for the payment amount for the qualified IDR item or service that is the subject of the payment determination</w:t>
      </w:r>
      <w:r w:rsidRPr="00E259C0">
        <w:t xml:space="preserve"> except that the information may not include information related to usual and customary charges, the amount that would have been billed if the protections of the No Surprises Act had no</w:t>
      </w:r>
      <w:r w:rsidRPr="00E259C0" w:rsidR="00B65255">
        <w:t>t</w:t>
      </w:r>
      <w:r w:rsidRPr="00E259C0">
        <w:t xml:space="preserve"> applied, or </w:t>
      </w:r>
      <w:r w:rsidRPr="00E259C0" w:rsidR="00B65DC1">
        <w:t>the payment or reimbursement rate for items and services furnished by the provider or facility payable by a public payor</w:t>
      </w:r>
      <w:r w:rsidRPr="00E259C0">
        <w:t>.</w:t>
      </w:r>
      <w:r w:rsidR="00263C28">
        <w:t xml:space="preserve"> </w:t>
      </w:r>
      <w:r w:rsidRPr="00E259C0" w:rsidR="00936CB4">
        <w:t>T</w:t>
      </w:r>
      <w:r w:rsidRPr="00E259C0">
        <w:t xml:space="preserve">he </w:t>
      </w:r>
      <w:r w:rsidRPr="00E259C0" w:rsidR="0076038B">
        <w:t>F</w:t>
      </w:r>
      <w:r w:rsidRPr="00E259C0">
        <w:t xml:space="preserve">ederal IDR portal </w:t>
      </w:r>
      <w:r w:rsidRPr="00E259C0" w:rsidR="00936CB4">
        <w:t>collects</w:t>
      </w:r>
      <w:r w:rsidRPr="00E259C0">
        <w:t xml:space="preserve"> this information as part of the offer submission process, such that certified IDR entities will not have to directly request this information.</w:t>
      </w:r>
    </w:p>
    <w:p w:rsidR="00EC6C1E" w:rsidRPr="00E259C0" w:rsidP="00EC6C1E" w14:paraId="080FC610" w14:textId="77777777">
      <w:pPr>
        <w:pStyle w:val="ListParagraph"/>
        <w:widowControl/>
        <w:ind w:left="1440"/>
      </w:pPr>
    </w:p>
    <w:p w:rsidR="00F07FCE" w:rsidRPr="00E259C0" w:rsidP="00AF38DE" w14:paraId="2030D0C8" w14:textId="264DB725">
      <w:pPr>
        <w:pStyle w:val="ListParagraph"/>
        <w:widowControl/>
        <w:numPr>
          <w:ilvl w:val="0"/>
          <w:numId w:val="9"/>
        </w:numPr>
      </w:pPr>
      <w:r w:rsidRPr="00E259C0">
        <w:rPr>
          <w:i/>
        </w:rPr>
        <w:t>IDR Payment Determination</w:t>
      </w:r>
      <w:r w:rsidRPr="00E259C0" w:rsidR="00BC0366">
        <w:rPr>
          <w:i/>
        </w:rPr>
        <w:t>.</w:t>
      </w:r>
      <w:r w:rsidR="00263C28">
        <w:rPr>
          <w:i/>
        </w:rPr>
        <w:t xml:space="preserve"> </w:t>
      </w:r>
      <w:r w:rsidRPr="00E259C0">
        <w:t>Not later than 30 business days after the selection of the certified IDR entity</w:t>
      </w:r>
      <w:r w:rsidRPr="00E259C0" w:rsidR="00362582">
        <w:t xml:space="preserve"> (or</w:t>
      </w:r>
      <w:r w:rsidR="00493F26">
        <w:t xml:space="preserve"> </w:t>
      </w:r>
      <w:r w:rsidRPr="00E259C0" w:rsidR="00362582">
        <w:t xml:space="preserve">, under the </w:t>
      </w:r>
      <w:r w:rsidR="003F0EA0">
        <w:t>202</w:t>
      </w:r>
      <w:r w:rsidR="00191A84">
        <w:t>6</w:t>
      </w:r>
      <w:r w:rsidRPr="00E259C0" w:rsidR="001E4F8B">
        <w:t xml:space="preserve"> final rules</w:t>
      </w:r>
      <w:r w:rsidRPr="00E259C0" w:rsidR="00362582">
        <w:t xml:space="preserve">, not later than </w:t>
      </w:r>
      <w:r w:rsidRPr="00E259C0" w:rsidR="009A03A5">
        <w:t>3</w:t>
      </w:r>
      <w:r w:rsidRPr="00E259C0" w:rsidR="00362582">
        <w:t xml:space="preserve">0 business days </w:t>
      </w:r>
      <w:r w:rsidR="00493F26">
        <w:t xml:space="preserve">after </w:t>
      </w:r>
      <w:r w:rsidR="006961CD">
        <w:t>final selection of the certified IDR entity</w:t>
      </w:r>
      <w:r w:rsidR="00C76324">
        <w:t xml:space="preserve"> or not later than 30 business day after </w:t>
      </w:r>
      <w:r w:rsidR="00493F26">
        <w:t>the qualified IDR items and services</w:t>
      </w:r>
      <w:r w:rsidR="003A0515">
        <w:t xml:space="preserve"> are determined eligible</w:t>
      </w:r>
      <w:r w:rsidRPr="00E259C0" w:rsidR="00362582">
        <w:t xml:space="preserve"> </w:t>
      </w:r>
      <w:r w:rsidRPr="00E259C0" w:rsidR="004B411C">
        <w:t xml:space="preserve">if the Departments determine </w:t>
      </w:r>
      <w:r w:rsidRPr="00E259C0" w:rsidR="00D41665">
        <w:t xml:space="preserve">that extenuating circumstances </w:t>
      </w:r>
      <w:r w:rsidRPr="00E259C0" w:rsidR="0096306B">
        <w:t xml:space="preserve">necessitate extension of timeframes as set forth under </w:t>
      </w:r>
      <w:r w:rsidR="0064683F">
        <w:t>finalized</w:t>
      </w:r>
      <w:r w:rsidRPr="00E259C0" w:rsidR="0064683F">
        <w:t xml:space="preserve"> </w:t>
      </w:r>
      <w:r w:rsidRPr="00E259C0" w:rsidR="00E32792">
        <w:t>26 CFR 54.9816-8T(g), 29 CFR 2590.716-8(g), and 45 CFR 149.510(g)</w:t>
      </w:r>
      <w:r w:rsidRPr="00E259C0" w:rsidR="00362582">
        <w:t>)</w:t>
      </w:r>
      <w:r w:rsidRPr="00E259C0">
        <w:t xml:space="preserve">, the certified IDR entity must notify the plan, issuer, or FEHB carrier and the provider, facility, or provider of air ambulance services of the selection of the offer and provide the written decision to the parties and the Departments. The certified IDR entity’s written decision must </w:t>
      </w:r>
      <w:r w:rsidRPr="00E259C0" w:rsidR="00526E56">
        <w:t xml:space="preserve">identify </w:t>
      </w:r>
      <w:r w:rsidRPr="00E259C0" w:rsidR="00526E56">
        <w:t>w</w:t>
      </w:r>
      <w:r w:rsidRPr="00E259C0">
        <w:t>hich of the parties’ offers the certified IDR entity selected to be the appropriate out-of</w:t>
      </w:r>
      <w:r w:rsidRPr="00E259C0" w:rsidR="00526E56">
        <w:t>-</w:t>
      </w:r>
      <w:r w:rsidRPr="00E259C0">
        <w:t>network rate for the qualified IDR item or service.</w:t>
      </w:r>
      <w:r w:rsidRPr="00E259C0" w:rsidR="00526E56">
        <w:t xml:space="preserve"> </w:t>
      </w:r>
      <w:r w:rsidRPr="00E259C0" w:rsidR="00D87D9D">
        <w:t xml:space="preserve">The certified IDR entity must provide an explanation of the decision that includes what information the certified IDR entity determined demonstrated that the offer selected as the out-of-network rate is the offer that best represents the value of the qualified IDR item or service, including the weight given to the QPA and any additional information submitted by a party in compliance with the rules. </w:t>
      </w:r>
      <w:r w:rsidRPr="00E259C0" w:rsidR="00DB1327">
        <w:t>For batched payment determinations, t</w:t>
      </w:r>
      <w:r w:rsidRPr="00E259C0" w:rsidR="00845728">
        <w:t xml:space="preserve">he certified IDR entity’s written decision must identify </w:t>
      </w:r>
      <w:r w:rsidRPr="00E259C0" w:rsidR="003C2F94">
        <w:t>f</w:t>
      </w:r>
      <w:r w:rsidRPr="00E259C0" w:rsidR="00845728">
        <w:t xml:space="preserve">or each qualified IDR item or service which of the parties’ offers </w:t>
      </w:r>
      <w:r w:rsidRPr="00E259C0" w:rsidR="003C2F94">
        <w:t>is</w:t>
      </w:r>
      <w:r w:rsidRPr="00E259C0" w:rsidR="00845728">
        <w:t xml:space="preserve"> selected to be the appropriate out-of-network rate for the item or service.</w:t>
      </w:r>
      <w:r w:rsidRPr="00E259C0" w:rsidR="00011EBD">
        <w:t xml:space="preserve"> </w:t>
      </w:r>
      <w:r w:rsidRPr="00E259C0" w:rsidR="00A651D6">
        <w:t xml:space="preserve">In addition, the certified IDR entity should indicate which party prevails in the overall payment determination, which will be the party with the higher number of determinations in its favor, should each party receive at least one favorable determination. </w:t>
      </w:r>
      <w:r w:rsidRPr="00E259C0" w:rsidR="009E104D">
        <w:t>If each party prevails in an equal number of determinations, neither party will be considered the prevailing party.</w:t>
      </w:r>
    </w:p>
    <w:p w:rsidR="00773DF7" w:rsidRPr="00E259C0" w:rsidP="00CB52B7" w14:paraId="429FB323" w14:textId="030CABF0">
      <w:pPr>
        <w:pStyle w:val="ListParagraph"/>
      </w:pPr>
    </w:p>
    <w:p w:rsidR="00F94921" w:rsidRPr="00E259C0" w:rsidP="00731B8A" w14:paraId="110D1729" w14:textId="47CB8B9E">
      <w:pPr>
        <w:pStyle w:val="ListParagraph"/>
        <w:numPr>
          <w:ilvl w:val="0"/>
          <w:numId w:val="9"/>
        </w:numPr>
        <w:rPr>
          <w:i/>
        </w:rPr>
      </w:pPr>
      <w:r w:rsidRPr="00E259C0">
        <w:rPr>
          <w:i/>
        </w:rPr>
        <w:t>Request of Extension of Time Periods for Extenuating Circumstances.</w:t>
      </w:r>
      <w:r w:rsidR="00263C28">
        <w:rPr>
          <w:i/>
        </w:rPr>
        <w:t xml:space="preserve"> </w:t>
      </w:r>
      <w:r w:rsidRPr="00E259C0">
        <w:t xml:space="preserve">The time periods specified in the </w:t>
      </w:r>
      <w:r w:rsidRPr="00E259C0" w:rsidR="00976481">
        <w:t xml:space="preserve">October 2021 </w:t>
      </w:r>
      <w:r w:rsidRPr="00E259C0">
        <w:t>interim final rules (other than the timing of the payments</w:t>
      </w:r>
      <w:r w:rsidRPr="00E259C0" w:rsidR="006322CD">
        <w:t xml:space="preserve"> following a final determination or settlement</w:t>
      </w:r>
      <w:r w:rsidRPr="00E259C0">
        <w:t xml:space="preserve">) may be extended in the case of extenuating circumstances at the Departments’ discretion on a case-by-case basis if </w:t>
      </w:r>
      <w:r w:rsidRPr="00E259C0" w:rsidR="00A00F06">
        <w:t>an</w:t>
      </w:r>
      <w:r w:rsidRPr="00E259C0">
        <w:t xml:space="preserve"> extension is necessary to address delays due to matters beyond the control of the parties or for good cause. </w:t>
      </w:r>
      <w:r w:rsidRPr="00E259C0" w:rsidR="0058358F">
        <w:t xml:space="preserve">Under the </w:t>
      </w:r>
      <w:r w:rsidR="003F0EA0">
        <w:t>202</w:t>
      </w:r>
      <w:r w:rsidR="00191A84">
        <w:t>6</w:t>
      </w:r>
      <w:r w:rsidRPr="00E259C0" w:rsidR="001E4F8B">
        <w:t xml:space="preserve"> final rules</w:t>
      </w:r>
      <w:r w:rsidRPr="00E259C0" w:rsidR="0058358F">
        <w:t xml:space="preserve">, the Departments </w:t>
      </w:r>
      <w:r w:rsidRPr="00E259C0" w:rsidR="004D3666">
        <w:t>could also</w:t>
      </w:r>
      <w:r w:rsidRPr="00E259C0" w:rsidR="0058358F">
        <w:t xml:space="preserve"> provide an extension of the time periods if they identify unforeseen or good cause delays on a case-by-case basis, as opposed to solely relying on one of the parties to submit an extension request.</w:t>
      </w:r>
      <w:r w:rsidR="00263C28">
        <w:t xml:space="preserve"> </w:t>
      </w:r>
      <w:r w:rsidRPr="00E259C0" w:rsidR="00681BA3">
        <w:t xml:space="preserve">The Departments may detect these issues before either party would and could immediately grant the necessary extension without having to wait for the submission of a formal request. </w:t>
      </w:r>
      <w:r w:rsidRPr="00E259C0" w:rsidR="00784B6B">
        <w:t>As under the current rules, t</w:t>
      </w:r>
      <w:r w:rsidRPr="00E259C0" w:rsidR="00E00053">
        <w:t>he certified IDR entity or either party</w:t>
      </w:r>
      <w:r w:rsidRPr="00E259C0">
        <w:t xml:space="preserve"> may request an extension by submitting a request for </w:t>
      </w:r>
      <w:r w:rsidRPr="00E259C0" w:rsidR="00A00F06">
        <w:t xml:space="preserve">an </w:t>
      </w:r>
      <w:r w:rsidRPr="00E259C0">
        <w:t xml:space="preserve">extension due to extenuating circumstances </w:t>
      </w:r>
      <w:r w:rsidRPr="00E259C0" w:rsidR="00E00053">
        <w:t>to the Departments</w:t>
      </w:r>
      <w:r w:rsidRPr="00E259C0">
        <w:t xml:space="preserve"> through the </w:t>
      </w:r>
      <w:r w:rsidRPr="00E259C0" w:rsidR="0076038B">
        <w:t>F</w:t>
      </w:r>
      <w:r w:rsidRPr="00E259C0">
        <w:t>ederal IDR portal</w:t>
      </w:r>
      <w:r w:rsidRPr="00E259C0" w:rsidR="00CD545E">
        <w:t xml:space="preserve"> </w:t>
      </w:r>
      <w:r w:rsidRPr="00E259C0">
        <w:t xml:space="preserve">including an explanation </w:t>
      </w:r>
      <w:r w:rsidRPr="00E259C0" w:rsidR="00D07AB7">
        <w:t xml:space="preserve">of </w:t>
      </w:r>
      <w:r w:rsidRPr="00E259C0">
        <w:t xml:space="preserve">the extenuating circumstances </w:t>
      </w:r>
      <w:r w:rsidRPr="00E259C0" w:rsidR="00506D11">
        <w:t>and why the extension is needed</w:t>
      </w:r>
      <w:r w:rsidRPr="00E259C0">
        <w:t>.</w:t>
      </w:r>
      <w:r w:rsidRPr="00E259C0" w:rsidR="00C32F82">
        <w:t xml:space="preserve"> </w:t>
      </w:r>
      <w:r w:rsidRPr="00E259C0">
        <w:t xml:space="preserve">The party requesting the extension must </w:t>
      </w:r>
      <w:r w:rsidRPr="00E259C0" w:rsidR="00952D2F">
        <w:t xml:space="preserve">identify and attach all relevant documentation to support the reasons for requesting the extension, and </w:t>
      </w:r>
      <w:r w:rsidRPr="00E259C0" w:rsidR="00D42613">
        <w:t xml:space="preserve">must </w:t>
      </w:r>
      <w:r w:rsidRPr="00E259C0">
        <w:t xml:space="preserve">attest that prompt action will be taken to ensure that the </w:t>
      </w:r>
      <w:r w:rsidRPr="00E259C0" w:rsidR="00685195">
        <w:t xml:space="preserve">certified IDR entity can make a </w:t>
      </w:r>
      <w:r w:rsidRPr="00E259C0">
        <w:t>payment determination as soon as administratively practicable</w:t>
      </w:r>
      <w:r w:rsidRPr="00E259C0" w:rsidR="000E0F32">
        <w:t xml:space="preserve"> under the circumstances</w:t>
      </w:r>
      <w:r w:rsidRPr="00E259C0">
        <w:t>.</w:t>
      </w:r>
      <w:r w:rsidR="00263C28">
        <w:t xml:space="preserve"> </w:t>
      </w:r>
      <w:r w:rsidRPr="00E259C0" w:rsidR="00E97664">
        <w:t xml:space="preserve">Under the </w:t>
      </w:r>
      <w:r w:rsidR="003F0EA0">
        <w:t>202</w:t>
      </w:r>
      <w:r w:rsidR="00191A84">
        <w:t>6</w:t>
      </w:r>
      <w:r w:rsidRPr="00E259C0" w:rsidR="001E4F8B">
        <w:t xml:space="preserve"> final rules</w:t>
      </w:r>
      <w:r w:rsidRPr="00E259C0" w:rsidR="00E97664">
        <w:t xml:space="preserve">, </w:t>
      </w:r>
      <w:r w:rsidRPr="00E259C0" w:rsidR="008D2D31">
        <w:t>the Departments</w:t>
      </w:r>
      <w:r w:rsidRPr="00E259C0" w:rsidR="004A32C3">
        <w:t xml:space="preserve"> may extend applicable</w:t>
      </w:r>
      <w:r w:rsidRPr="00E259C0" w:rsidR="00303D88">
        <w:t xml:space="preserve"> time periods (other than the timing of the payments following a final determination or settlement) when the Departments determine that the parties</w:t>
      </w:r>
      <w:r w:rsidRPr="00E259C0" w:rsidR="000767BB">
        <w:t xml:space="preserve"> or certified IDR entity </w:t>
      </w:r>
      <w:r w:rsidRPr="00E259C0" w:rsidR="000D53FC">
        <w:t xml:space="preserve">cannot meet applicable timelines due to systematic delays in processing disputes under the Federal IDR process, such as an unforeseen volume </w:t>
      </w:r>
      <w:r w:rsidRPr="00E259C0" w:rsidR="000D53FC">
        <w:t>of disputes or Federal IDR portal system failures.</w:t>
      </w:r>
    </w:p>
    <w:p w:rsidR="0054520F" w:rsidRPr="00E259C0" w:rsidP="0054520F" w14:paraId="1D4B2D46" w14:textId="77777777">
      <w:pPr>
        <w:widowControl/>
        <w:ind w:left="720"/>
        <w:rPr>
          <w:i/>
        </w:rPr>
      </w:pPr>
    </w:p>
    <w:p w:rsidR="00F25385" w:rsidRPr="00E259C0" w:rsidP="00F25385" w14:paraId="0970C698" w14:textId="23966076">
      <w:pPr>
        <w:pStyle w:val="ListParagraph"/>
        <w:widowControl/>
        <w:numPr>
          <w:ilvl w:val="0"/>
          <w:numId w:val="9"/>
        </w:numPr>
      </w:pPr>
      <w:r w:rsidRPr="00E259C0">
        <w:rPr>
          <w:i/>
        </w:rPr>
        <w:t>IDR Certification.</w:t>
      </w:r>
      <w:r w:rsidR="00263C28">
        <w:rPr>
          <w:i/>
        </w:rPr>
        <w:t xml:space="preserve"> </w:t>
      </w:r>
      <w:r w:rsidRPr="00E259C0">
        <w:t xml:space="preserve">The </w:t>
      </w:r>
      <w:r w:rsidRPr="00E259C0" w:rsidR="00685195">
        <w:t xml:space="preserve">October 2021 </w:t>
      </w:r>
      <w:r w:rsidRPr="00E259C0">
        <w:t xml:space="preserve">interim final rules provide that an IDR entity must provide written documentation to the Departments that demonstrates </w:t>
      </w:r>
      <w:r w:rsidRPr="00E259C0" w:rsidR="00B73E86">
        <w:t>that</w:t>
      </w:r>
      <w:r w:rsidRPr="00E259C0">
        <w:t xml:space="preserve"> the entity satisfies certain standards and procedures outlined in the </w:t>
      </w:r>
      <w:r w:rsidRPr="00E259C0" w:rsidR="00685195">
        <w:t xml:space="preserve">October 2021 </w:t>
      </w:r>
      <w:r w:rsidRPr="00E259C0">
        <w:t>interim final rules and set forth in guidance issued by the Departments.</w:t>
      </w:r>
      <w:r w:rsidR="00263C28">
        <w:t xml:space="preserve"> </w:t>
      </w:r>
      <w:r w:rsidRPr="00E259C0">
        <w:t xml:space="preserve">The guidance indicates the types of documentation that should be submitted for each certification standard, in what manner they should be submitted, and </w:t>
      </w:r>
      <w:r w:rsidRPr="00E259C0" w:rsidR="00014626">
        <w:t xml:space="preserve">what </w:t>
      </w:r>
      <w:r w:rsidRPr="00E259C0" w:rsidR="00DE4066">
        <w:t xml:space="preserve">the Departments </w:t>
      </w:r>
      <w:r w:rsidRPr="00E259C0" w:rsidR="00014626">
        <w:t>will require for certification</w:t>
      </w:r>
      <w:r w:rsidRPr="00E259C0">
        <w:t xml:space="preserve">. The required certification documentation </w:t>
      </w:r>
      <w:r w:rsidRPr="00E259C0" w:rsidR="00685195">
        <w:t xml:space="preserve">should </w:t>
      </w:r>
      <w:r w:rsidRPr="00E259C0">
        <w:t>be submitted by entities</w:t>
      </w:r>
      <w:r w:rsidRPr="00E259C0" w:rsidR="00685195">
        <w:t xml:space="preserve"> seeking certification</w:t>
      </w:r>
      <w:r w:rsidRPr="00E259C0">
        <w:t xml:space="preserve"> through an application on the </w:t>
      </w:r>
      <w:r w:rsidRPr="00E259C0" w:rsidR="0076038B">
        <w:t>F</w:t>
      </w:r>
      <w:r w:rsidRPr="00E259C0">
        <w:t>ederal IDR portal.</w:t>
      </w:r>
      <w:r w:rsidR="00263C28">
        <w:t xml:space="preserve"> </w:t>
      </w:r>
      <w:r w:rsidRPr="00E259C0">
        <w:t xml:space="preserve">An entity that satisfies the </w:t>
      </w:r>
      <w:r w:rsidRPr="00E259C0" w:rsidR="00957210">
        <w:t xml:space="preserve">required </w:t>
      </w:r>
      <w:r w:rsidRPr="00E259C0">
        <w:t xml:space="preserve">standards </w:t>
      </w:r>
      <w:r w:rsidRPr="00E259C0" w:rsidR="00957210">
        <w:t xml:space="preserve">set forth </w:t>
      </w:r>
      <w:r w:rsidRPr="00E259C0">
        <w:t>in the</w:t>
      </w:r>
      <w:r w:rsidRPr="00E259C0" w:rsidR="00685195">
        <w:t xml:space="preserve"> October 2021 </w:t>
      </w:r>
      <w:r w:rsidRPr="00E259C0">
        <w:t xml:space="preserve">interim final rules and guidance issued by the Departments will be </w:t>
      </w:r>
      <w:r w:rsidRPr="00E259C0" w:rsidR="001D4196">
        <w:t xml:space="preserve">assigned </w:t>
      </w:r>
      <w:r w:rsidRPr="00E259C0">
        <w:t>a certified IDR entity number and will be certified for a 5-year period</w:t>
      </w:r>
      <w:r w:rsidRPr="00E259C0" w:rsidR="00957210">
        <w:t xml:space="preserve"> and </w:t>
      </w:r>
      <w:r w:rsidRPr="00E259C0">
        <w:t>will need to be recertified every 5 years.</w:t>
      </w:r>
    </w:p>
    <w:p w:rsidR="006E148A" w:rsidRPr="00E259C0" w:rsidP="00CB52B7" w14:paraId="6EFA1BB3" w14:textId="77777777">
      <w:pPr>
        <w:pStyle w:val="ListParagraph"/>
        <w:widowControl/>
        <w:ind w:left="1440"/>
      </w:pPr>
    </w:p>
    <w:p w:rsidR="00E2207E" w:rsidP="00E2207E" w14:paraId="584B7D27" w14:textId="52980B38">
      <w:pPr>
        <w:pStyle w:val="ListParagraph"/>
        <w:widowControl/>
        <w:numPr>
          <w:ilvl w:val="0"/>
          <w:numId w:val="9"/>
        </w:numPr>
      </w:pPr>
      <w:r w:rsidRPr="00E259C0">
        <w:rPr>
          <w:i/>
        </w:rPr>
        <w:t>Petition for Denial or Revocation</w:t>
      </w:r>
      <w:r w:rsidRPr="00E259C0">
        <w:t>.</w:t>
      </w:r>
      <w:r w:rsidR="00263C28">
        <w:t xml:space="preserve"> </w:t>
      </w:r>
      <w:r w:rsidRPr="00E259C0">
        <w:t xml:space="preserve">An individual, provider, facility, provider of air ambulance services, plan, issuer, or FEHB carrier may petition for the denial of a certification of an IDR entity or a revocation of a certification of a certified IDR entity for failure to meet the requirements of Code section 9816(c), ERISA section 716(c), PHS Act section 2799A-1(c), or the </w:t>
      </w:r>
      <w:r w:rsidRPr="00E259C0" w:rsidR="00A00C69">
        <w:t xml:space="preserve">October 2021 </w:t>
      </w:r>
      <w:r w:rsidRPr="00E259C0">
        <w:t>interim final rules</w:t>
      </w:r>
      <w:r w:rsidRPr="00E259C0" w:rsidR="0079144D">
        <w:t>.</w:t>
      </w:r>
      <w:r w:rsidRPr="00E259C0">
        <w:t xml:space="preserve"> The petitioner must submit a written petition to the Departments that identifies the IDR entity seeking certification or the certified IDR entity that is the subject of the petition and outlines the reasons for the petition. The petition must also specify whether the petition seeks denial or revocation of a certification and must be signed by the petitioner. The petitioner </w:t>
      </w:r>
      <w:r w:rsidRPr="00E259C0" w:rsidR="00561A96">
        <w:t>must</w:t>
      </w:r>
      <w:r w:rsidRPr="00E259C0">
        <w:t xml:space="preserve"> use the standard petition notice issued by the Departments and submit any supporting documentation for consideration by the Departments. The Departments will make public the list of IDR entities seeking certification, as well as the list of certified IDR entities, to help facilitate the petition process.</w:t>
      </w:r>
    </w:p>
    <w:p w:rsidR="00061F14" w:rsidRPr="00E259C0" w:rsidP="00061F14" w14:paraId="014646C3" w14:textId="77777777">
      <w:pPr>
        <w:widowControl/>
      </w:pPr>
    </w:p>
    <w:p w:rsidR="004C0D42" w:rsidRPr="00E259C0" w:rsidP="00EE560A" w14:paraId="6DB35E42" w14:textId="0EE33487">
      <w:pPr>
        <w:pStyle w:val="ListParagraph"/>
        <w:numPr>
          <w:ilvl w:val="0"/>
          <w:numId w:val="9"/>
        </w:numPr>
        <w:tabs>
          <w:tab w:val="left" w:pos="3690"/>
        </w:tabs>
      </w:pPr>
      <w:r w:rsidRPr="00EE560A">
        <w:rPr>
          <w:i/>
        </w:rPr>
        <w:t>Administrative Fee</w:t>
      </w:r>
      <w:r w:rsidRPr="00E259C0">
        <w:t>.</w:t>
      </w:r>
      <w:r w:rsidR="00263C28">
        <w:t xml:space="preserve"> </w:t>
      </w:r>
      <w:r w:rsidRPr="00E259C0" w:rsidR="008B1A0D">
        <w:t xml:space="preserve">Under Code section 9816(c)(8), ERISA section 716(c)(8), PHS Act section 2799A-1(c)(8), and the </w:t>
      </w:r>
      <w:r w:rsidRPr="00E259C0" w:rsidR="0069355D">
        <w:t xml:space="preserve">October 2021 </w:t>
      </w:r>
      <w:r w:rsidRPr="00E259C0" w:rsidR="008B1A0D">
        <w:t xml:space="preserve">interim final rules, each party to a determination must pay an administrative fee for participating in the Federal IDR process. </w:t>
      </w:r>
      <w:r w:rsidR="00C94F18">
        <w:t>The</w:t>
      </w:r>
      <w:r w:rsidRPr="00E259C0" w:rsidR="0069355D">
        <w:t xml:space="preserve"> certified IDR entity collect</w:t>
      </w:r>
      <w:r w:rsidR="00C94F18">
        <w:t>s</w:t>
      </w:r>
      <w:r w:rsidRPr="00E259C0" w:rsidR="0069355D">
        <w:t xml:space="preserve"> the administrative fee directly from the parties</w:t>
      </w:r>
      <w:r w:rsidRPr="00E259C0" w:rsidR="00721CB8">
        <w:t xml:space="preserve"> at the time such certified IDR entity was selected</w:t>
      </w:r>
      <w:r w:rsidRPr="00E259C0" w:rsidR="0069355D">
        <w:t xml:space="preserve">. </w:t>
      </w:r>
      <w:r w:rsidRPr="007E04A6" w:rsidR="007E04A6">
        <w:t>Under the 2026 final rules</w:t>
      </w:r>
      <w:r w:rsidR="00FB0423">
        <w:t>, the Departments are finalizing a new administrative fee based on updated data and methodology. The Departments are also setting requirements for non-payment of administrative fees</w:t>
      </w:r>
      <w:r w:rsidR="005E3021">
        <w:t xml:space="preserve">, updating </w:t>
      </w:r>
      <w:r w:rsidR="00101CC2">
        <w:t xml:space="preserve">procedures </w:t>
      </w:r>
      <w:r w:rsidR="005E3021">
        <w:t xml:space="preserve">for timing and collection of certified IDR entity fees, and clarifying how these fees are allocated if parties reach an agreement or withdraw disputes at different stages of the </w:t>
      </w:r>
      <w:r w:rsidR="005E3021">
        <w:t xml:space="preserve">Federal IDR process. </w:t>
      </w:r>
    </w:p>
    <w:p w:rsidR="008F637B" w:rsidRPr="00E259C0" w:rsidP="0079696D" w14:paraId="4B77DDBE" w14:textId="77777777"/>
    <w:p w:rsidR="009E5343" w:rsidRPr="00E259C0" w:rsidP="00346E83" w14:paraId="199B2D77" w14:textId="6D773500">
      <w:pPr>
        <w:pStyle w:val="ListParagraph"/>
        <w:widowControl/>
        <w:numPr>
          <w:ilvl w:val="0"/>
          <w:numId w:val="9"/>
        </w:numPr>
        <w:rPr>
          <w:i/>
        </w:rPr>
      </w:pPr>
      <w:r w:rsidRPr="00E259C0">
        <w:rPr>
          <w:i/>
        </w:rPr>
        <w:t xml:space="preserve">Breach </w:t>
      </w:r>
      <w:r w:rsidRPr="00E259C0" w:rsidR="00AC53FA">
        <w:rPr>
          <w:i/>
        </w:rPr>
        <w:t xml:space="preserve">and Incident </w:t>
      </w:r>
      <w:r w:rsidRPr="00E259C0">
        <w:rPr>
          <w:i/>
        </w:rPr>
        <w:t>Notification</w:t>
      </w:r>
      <w:r w:rsidRPr="00E259C0">
        <w:t>.</w:t>
      </w:r>
      <w:r w:rsidR="00263C28">
        <w:t xml:space="preserve"> </w:t>
      </w:r>
      <w:r w:rsidRPr="00E259C0" w:rsidR="00B672BE">
        <w:t>A</w:t>
      </w:r>
      <w:r w:rsidRPr="00E259C0" w:rsidR="007F3A32">
        <w:t xml:space="preserve"> certified</w:t>
      </w:r>
      <w:r w:rsidRPr="00E259C0" w:rsidR="00B672BE">
        <w:t xml:space="preserve"> IDR entity must report any actual or suspected breach of unsecured </w:t>
      </w:r>
      <w:r w:rsidRPr="00E259C0" w:rsidR="00E109BC">
        <w:t>individually identifiable health information (</w:t>
      </w:r>
      <w:r w:rsidRPr="00E259C0" w:rsidR="00B672BE">
        <w:t>IIHI</w:t>
      </w:r>
      <w:r w:rsidRPr="00E259C0" w:rsidR="00E109BC">
        <w:t>)</w:t>
      </w:r>
      <w:r w:rsidRPr="00E259C0" w:rsidR="00B672BE">
        <w:t xml:space="preserve"> to the CMS IT Service Desk by telephone at (410) 786-2580 or 1-800-562-1963 or via email notification at cms_it_service_desk@cms.hhs.gov within 24 hours </w:t>
      </w:r>
      <w:r w:rsidRPr="00E259C0" w:rsidR="0079463B">
        <w:t xml:space="preserve">upon </w:t>
      </w:r>
      <w:r w:rsidRPr="00E259C0" w:rsidR="00B672BE">
        <w:t>discovery of the breach. Incidents</w:t>
      </w:r>
      <w:r w:rsidRPr="00E259C0" w:rsidR="00A00C69">
        <w:t>, as defined below,</w:t>
      </w:r>
      <w:r w:rsidRPr="00E259C0" w:rsidR="00B672BE">
        <w:t xml:space="preserve"> must be reported to the CMS IT Service Desk by the same means as breaches within 72 hours from discovery of the actual or suspected incident.</w:t>
      </w:r>
      <w:r w:rsidR="00263C28">
        <w:t xml:space="preserve"> </w:t>
      </w:r>
      <w:r w:rsidRPr="00E259C0" w:rsidR="00B672BE">
        <w:t xml:space="preserve">For this purpose, “security incident” or “incident” has the meaning contained in OMB Memoranda M 17-12 (January 3, 2017) and means an occurrence that, in relation to </w:t>
      </w:r>
      <w:r w:rsidRPr="00E259C0" w:rsidR="00F87605">
        <w:t>a</w:t>
      </w:r>
      <w:r w:rsidRPr="00E259C0" w:rsidR="00055D14">
        <w:t xml:space="preserve"> certified </w:t>
      </w:r>
      <w:r w:rsidRPr="00E259C0" w:rsidR="00B672BE">
        <w:t xml:space="preserve">IDR </w:t>
      </w:r>
      <w:r w:rsidRPr="00E259C0" w:rsidR="00F87605">
        <w:t>e</w:t>
      </w:r>
      <w:r w:rsidRPr="00E259C0" w:rsidR="00B672BE">
        <w:t>ntity’s information technology system that stores and maintains unsecured IIHI: (1) actually or imminently jeopardizes, without lawful authority, the integrity, confidentiality, or availability of information or the information system; or (2) constitutes a violation or imminent threat of violation of law, security policies, security procedures, or acceptable use policies.</w:t>
      </w:r>
    </w:p>
    <w:p w:rsidR="00FB3472" w:rsidRPr="00E259C0" w:rsidP="009D5A7A" w14:paraId="6EAF0301" w14:textId="77777777">
      <w:pPr>
        <w:pStyle w:val="ListParagraph"/>
        <w:ind w:left="1440"/>
      </w:pPr>
    </w:p>
    <w:p w:rsidR="009D5A7A" w:rsidRPr="00E259C0" w:rsidP="009D5A7A" w14:paraId="1A7F60CB" w14:textId="6A7F53D2">
      <w:pPr>
        <w:pStyle w:val="ListParagraph"/>
        <w:ind w:left="1440"/>
      </w:pPr>
      <w:r w:rsidRPr="00E259C0">
        <w:t xml:space="preserve">A </w:t>
      </w:r>
      <w:r w:rsidRPr="00E259C0" w:rsidR="00055D14">
        <w:t xml:space="preserve">certified </w:t>
      </w:r>
      <w:r w:rsidRPr="00E259C0">
        <w:t>IDR entity must, following the discovery of a breach or potential breach of unsecured IIHI, notify the applicable provider, facility, or provider of air ambulance services; the applicable plan, issuer, or FEHB carrier; the Departments; OPM in instances where the breach relates to IIHI of FEHB covered individuals, as applicable.</w:t>
      </w:r>
    </w:p>
    <w:p w:rsidR="009D5A7A" w:rsidRPr="00E259C0" w:rsidP="009D5A7A" w14:paraId="23B11EB2" w14:textId="77777777">
      <w:pPr>
        <w:pStyle w:val="ListParagraph"/>
        <w:ind w:left="1440"/>
      </w:pPr>
    </w:p>
    <w:p w:rsidR="009D5A7A" w:rsidRPr="00E259C0" w:rsidP="009D5A7A" w14:paraId="5CF34910" w14:textId="31BF9CF2">
      <w:pPr>
        <w:pStyle w:val="ListParagraph"/>
        <w:ind w:left="1440"/>
      </w:pPr>
      <w:r w:rsidRPr="00E259C0">
        <w:t xml:space="preserve">If an actual or attempted acquisition, access, use, or disclosure of unsecured IIHI in a manner not permitted under 26 CFR 54.9816-8T(e)(2)(v), 29 CFR 2590.716-8(e)(2)(v), and 45 CFR 149.510(e)(2)(v) is discovered, </w:t>
      </w:r>
      <w:r w:rsidRPr="00E259C0" w:rsidR="145BE82D">
        <w:t>a</w:t>
      </w:r>
      <w:r w:rsidRPr="00E259C0" w:rsidR="054CC6BB">
        <w:t xml:space="preserve"> certified</w:t>
      </w:r>
      <w:r w:rsidRPr="00E259C0" w:rsidR="145BE82D">
        <w:t xml:space="preserve"> </w:t>
      </w:r>
      <w:r w:rsidRPr="00E259C0">
        <w:t xml:space="preserve">IDR </w:t>
      </w:r>
      <w:r w:rsidRPr="00E259C0" w:rsidR="145BE82D">
        <w:t>e</w:t>
      </w:r>
      <w:r w:rsidRPr="00E259C0">
        <w:t>ntity must</w:t>
      </w:r>
      <w:r w:rsidRPr="00E259C0" w:rsidR="7A53CFCB">
        <w:t xml:space="preserve">, within five business days from discovery of the breach, </w:t>
      </w:r>
      <w:r w:rsidRPr="00E259C0">
        <w:t>conduct a risk assessment as described in 26 CFR 54.9816-8T(a)(2)(ii)(B), 29 CFR 2590.716-8(a)(2)(ii)(B), and 45 CFR 149.510(a)(2)(ii)(B), and notify the Departments of the potential or actual breach and provide to the Departments (and OPM, if applicable), in written form through the federal IDR portal</w:t>
      </w:r>
      <w:r w:rsidRPr="00E259C0" w:rsidR="7E455112">
        <w:t>,</w:t>
      </w:r>
      <w:r w:rsidRPr="00E259C0">
        <w:t xml:space="preserve"> its risk assessment determination as to whether any actual or suspected breach of unsecured IIHI occurred and whether there is likely a high or low probability this breach occurred. Further, the </w:t>
      </w:r>
      <w:r w:rsidRPr="00E259C0" w:rsidR="054CC6BB">
        <w:t xml:space="preserve">certified </w:t>
      </w:r>
      <w:r w:rsidRPr="00E259C0">
        <w:t>IDR Entity must notify the CMS IT Service Desk</w:t>
      </w:r>
      <w:r w:rsidRPr="00E259C0" w:rsidR="4E4494C0">
        <w:t>,</w:t>
      </w:r>
      <w:r w:rsidRPr="00E259C0" w:rsidR="2335D3EA">
        <w:t xml:space="preserve"> within five business days from discovery of the breach, </w:t>
      </w:r>
      <w:r w:rsidRPr="00E259C0">
        <w:t xml:space="preserve">by telephone at (410) 786-2580 or 1-800-562-1963 or via email notification at </w:t>
      </w:r>
      <w:r w:rsidRPr="00E259C0" w:rsidR="730FC9DE">
        <w:t>cms_it_service_desk@cms.hhs.gov</w:t>
      </w:r>
      <w:r w:rsidRPr="00E259C0">
        <w:t xml:space="preserve">, regarding its risk assessment determination as to whether any actual or suspected breach of unsecured IIHI occurred and whether there is likely a high or low probability this breach occurred. </w:t>
      </w:r>
    </w:p>
    <w:p w:rsidR="009D5A7A" w:rsidRPr="00E259C0" w:rsidP="009D5A7A" w14:paraId="7C46BFB4" w14:textId="77777777">
      <w:pPr>
        <w:pStyle w:val="ListParagraph"/>
        <w:ind w:left="1440"/>
        <w:rPr>
          <w:bCs/>
        </w:rPr>
      </w:pPr>
    </w:p>
    <w:p w:rsidR="00417FB5" w:rsidRPr="00E259C0" w:rsidP="009358E5" w14:paraId="1083A4BC" w14:textId="3C4C7AF6">
      <w:pPr>
        <w:pStyle w:val="ListParagraph"/>
        <w:widowControl/>
        <w:ind w:left="1440"/>
      </w:pPr>
      <w:r w:rsidRPr="00E259C0">
        <w:rPr>
          <w:bCs/>
        </w:rPr>
        <w:t xml:space="preserve">If an actual or attempted acquisition, access, use, or disclosure of unsecured IIHI in a manner not permitted under 26 CFR 54.9816-8T(e)(2)(v), 29 CFR 2590.716-8(e)(2)(v), and 45 CFR 149.510(e)(2)(v) is discovered and </w:t>
      </w:r>
      <w:r w:rsidRPr="00E259C0" w:rsidR="003D21D8">
        <w:rPr>
          <w:bCs/>
        </w:rPr>
        <w:t>a</w:t>
      </w:r>
      <w:r w:rsidRPr="00E259C0" w:rsidR="00055D14">
        <w:rPr>
          <w:bCs/>
        </w:rPr>
        <w:t xml:space="preserve"> certified</w:t>
      </w:r>
      <w:r w:rsidRPr="00E259C0" w:rsidR="00A201FD">
        <w:rPr>
          <w:bCs/>
        </w:rPr>
        <w:t xml:space="preserve"> </w:t>
      </w:r>
      <w:r w:rsidRPr="00E259C0">
        <w:rPr>
          <w:bCs/>
        </w:rPr>
        <w:t xml:space="preserve">IDR </w:t>
      </w:r>
      <w:r w:rsidRPr="00E259C0" w:rsidR="00A201FD">
        <w:rPr>
          <w:bCs/>
        </w:rPr>
        <w:t>e</w:t>
      </w:r>
      <w:r w:rsidRPr="00E259C0">
        <w:rPr>
          <w:bCs/>
        </w:rPr>
        <w:t>ntity finds there is a high probability that the security or privacy of unsecured IIHI has been compromised based on a risk assessment</w:t>
      </w:r>
      <w:r w:rsidRPr="00E259C0">
        <w:t xml:space="preserve"> </w:t>
      </w:r>
      <w:r w:rsidRPr="00E259C0">
        <w:rPr>
          <w:bCs/>
        </w:rPr>
        <w:t xml:space="preserve">as described in 26 CFR 54.9816-8T(a)(2)(ii)(B), 29 CFR 2590.716-8(a)(2)(ii)(B), and 45 CFR 149.510(a)(2)(ii)(B), then </w:t>
      </w:r>
      <w:r w:rsidRPr="00E259C0" w:rsidR="001A5DD0">
        <w:rPr>
          <w:bCs/>
        </w:rPr>
        <w:t>a</w:t>
      </w:r>
      <w:r w:rsidRPr="00E259C0" w:rsidR="00055D14">
        <w:rPr>
          <w:bCs/>
        </w:rPr>
        <w:t xml:space="preserve"> certified</w:t>
      </w:r>
      <w:r w:rsidRPr="00E259C0" w:rsidR="001A5DD0">
        <w:rPr>
          <w:bCs/>
        </w:rPr>
        <w:t xml:space="preserve"> </w:t>
      </w:r>
      <w:r w:rsidRPr="00E259C0">
        <w:rPr>
          <w:bCs/>
        </w:rPr>
        <w:t xml:space="preserve">IDR </w:t>
      </w:r>
      <w:r w:rsidRPr="00E259C0" w:rsidR="001A5DD0">
        <w:rPr>
          <w:bCs/>
        </w:rPr>
        <w:t>e</w:t>
      </w:r>
      <w:r w:rsidRPr="00E259C0">
        <w:rPr>
          <w:bCs/>
        </w:rPr>
        <w:t>ntity must provide notification of the breach or potential breach,</w:t>
      </w:r>
      <w:r w:rsidRPr="00E259C0">
        <w:t xml:space="preserve"> </w:t>
      </w:r>
      <w:r w:rsidRPr="00E259C0">
        <w:rPr>
          <w:bCs/>
        </w:rPr>
        <w:t xml:space="preserve">without unreasonable delay and in no case later than 60 calendar days after the discovery of the breach or potential breach, to: the Departments </w:t>
      </w:r>
      <w:r w:rsidRPr="00E259C0">
        <w:t>(and OPM, if applicable)</w:t>
      </w:r>
      <w:r w:rsidRPr="00E259C0">
        <w:rPr>
          <w:bCs/>
        </w:rPr>
        <w:t xml:space="preserve">; the plan, issuer, or FEHB carrier; the provider, facility, or provider of air ambulance services, as applicable; and each individual whose unsecured IIHI has been, or is reasonably believed to have been, subject to the breach. </w:t>
      </w:r>
      <w:r w:rsidRPr="00E259C0">
        <w:t xml:space="preserve">Additionally, </w:t>
      </w:r>
      <w:r w:rsidRPr="00E259C0" w:rsidR="00626FA4">
        <w:t>a</w:t>
      </w:r>
      <w:r w:rsidRPr="00E259C0" w:rsidR="00055D14">
        <w:t xml:space="preserve"> certified</w:t>
      </w:r>
      <w:r w:rsidRPr="00E259C0">
        <w:t xml:space="preserve"> IDR </w:t>
      </w:r>
      <w:r w:rsidRPr="00E259C0" w:rsidR="00626FA4">
        <w:t>e</w:t>
      </w:r>
      <w:r w:rsidRPr="00E259C0">
        <w:t>ntity must share the results of any risk assessment, including the probability that the security or privacy of IIHI has been compromised, with the Departments (and OPM, if applicable).</w:t>
      </w:r>
    </w:p>
    <w:p w:rsidR="005D56BA" w:rsidRPr="00E259C0" w:rsidP="009358E5" w14:paraId="7EB6EC6E" w14:textId="77777777">
      <w:pPr>
        <w:pStyle w:val="ListParagraph"/>
        <w:widowControl/>
        <w:ind w:left="1440"/>
      </w:pPr>
    </w:p>
    <w:p w:rsidR="005D56BA" w:rsidRPr="00E259C0" w:rsidP="00CB52B7" w14:paraId="1FD55736" w14:textId="3E96BC88">
      <w:pPr>
        <w:pStyle w:val="ListParagraph"/>
        <w:widowControl/>
        <w:numPr>
          <w:ilvl w:val="0"/>
          <w:numId w:val="9"/>
        </w:numPr>
      </w:pPr>
      <w:r w:rsidRPr="00E259C0">
        <w:rPr>
          <w:i/>
        </w:rPr>
        <w:t>Recordkeeping Requirements</w:t>
      </w:r>
      <w:r w:rsidRPr="00E259C0">
        <w:t>.</w:t>
      </w:r>
      <w:r w:rsidR="00263C28">
        <w:t xml:space="preserve"> </w:t>
      </w:r>
      <w:r w:rsidRPr="00E259C0" w:rsidR="00A7734F">
        <w:t>A certified IDR entity must maintain records of relevant documentation associated with any Federal IDR process determination for 6 years.</w:t>
      </w:r>
      <w:r w:rsidR="00263C28">
        <w:t xml:space="preserve"> </w:t>
      </w:r>
      <w:r w:rsidRPr="00E259C0" w:rsidR="00A7734F">
        <w:t xml:space="preserve">This recordkeeping requirement will help ensure that </w:t>
      </w:r>
      <w:r w:rsidRPr="00E259C0" w:rsidR="002A2C81">
        <w:t xml:space="preserve">State </w:t>
      </w:r>
      <w:r w:rsidRPr="00E259C0" w:rsidR="00A7734F">
        <w:t xml:space="preserve">and Federal oversight agencies are able to audit past determinations of certified IDR entities and that parties are able to obtain records of the determinations. Certified IDR entities must make these records available for examination by all parties to the dispute, except when disclosure would violate </w:t>
      </w:r>
      <w:r w:rsidRPr="00E259C0" w:rsidR="002A2C81">
        <w:t xml:space="preserve">State </w:t>
      </w:r>
      <w:r w:rsidRPr="00E259C0" w:rsidR="00A7734F">
        <w:t xml:space="preserve">or Federal privacy laws and regulations, as well as to </w:t>
      </w:r>
      <w:r w:rsidRPr="00E259C0" w:rsidR="002A2C81">
        <w:t xml:space="preserve">State </w:t>
      </w:r>
      <w:r w:rsidRPr="00E259C0" w:rsidR="00A7734F">
        <w:t>or Federal oversight agencies upon request for oversight purposes.</w:t>
      </w:r>
    </w:p>
    <w:p w:rsidR="006E3C90" w:rsidRPr="00E259C0" w:rsidP="00F25385" w14:paraId="04840E7D" w14:textId="77777777">
      <w:pPr>
        <w:widowControl/>
        <w:ind w:left="720"/>
        <w:rPr>
          <w:i/>
        </w:rPr>
      </w:pPr>
    </w:p>
    <w:p w:rsidR="00BD6D9A" w:rsidRPr="00E259C0" w:rsidP="00271DF0" w14:paraId="16C9390B" w14:textId="69C1FC14">
      <w:pPr>
        <w:pStyle w:val="ListParagraph"/>
        <w:widowControl/>
        <w:numPr>
          <w:ilvl w:val="0"/>
          <w:numId w:val="9"/>
        </w:numPr>
      </w:pPr>
      <w:r w:rsidRPr="00E259C0">
        <w:rPr>
          <w:i/>
        </w:rPr>
        <w:t xml:space="preserve">Monthly </w:t>
      </w:r>
      <w:r w:rsidRPr="00E259C0" w:rsidR="00095113">
        <w:rPr>
          <w:i/>
        </w:rPr>
        <w:t xml:space="preserve">Certified </w:t>
      </w:r>
      <w:r w:rsidRPr="00E259C0">
        <w:rPr>
          <w:i/>
        </w:rPr>
        <w:t>IDR Entity Reporting Requirements</w:t>
      </w:r>
      <w:r w:rsidRPr="00E259C0" w:rsidR="00095113">
        <w:rPr>
          <w:i/>
        </w:rPr>
        <w:t xml:space="preserve"> for Items and Services that are not Air Ambulance Services</w:t>
      </w:r>
      <w:r w:rsidRPr="00E259C0">
        <w:rPr>
          <w:i/>
        </w:rPr>
        <w:t>.</w:t>
      </w:r>
      <w:r w:rsidR="00263C28">
        <w:rPr>
          <w:i/>
        </w:rPr>
        <w:t xml:space="preserve"> </w:t>
      </w:r>
      <w:r w:rsidRPr="00E259C0">
        <w:t xml:space="preserve">Within 30 business days of the close of each month, each certified IDR entity must report certain data and information in a form and manner specified by the Departments. </w:t>
      </w:r>
      <w:r w:rsidRPr="00E259C0" w:rsidR="006333C1">
        <w:t>The report will be submitted through the Federal IDR portal.</w:t>
      </w:r>
      <w:r w:rsidR="00263C28">
        <w:t xml:space="preserve"> </w:t>
      </w:r>
      <w:r w:rsidRPr="00E259C0" w:rsidR="006333C1">
        <w:t>This information is to be processed by the Departments and published on the Departments’ websites for each calendar quarter.</w:t>
      </w:r>
      <w:r w:rsidR="00263C28">
        <w:t xml:space="preserve"> </w:t>
      </w:r>
      <w:r w:rsidRPr="00E259C0">
        <w:t xml:space="preserve">For </w:t>
      </w:r>
      <w:r w:rsidRPr="00E259C0" w:rsidR="008048F0">
        <w:t>qualified IDR</w:t>
      </w:r>
      <w:r w:rsidRPr="00E259C0">
        <w:t xml:space="preserve"> items and services</w:t>
      </w:r>
      <w:r w:rsidRPr="00E259C0" w:rsidR="008048F0">
        <w:t xml:space="preserve"> that are not air ambulance services</w:t>
      </w:r>
      <w:r w:rsidRPr="00E259C0">
        <w:t>, certified IDR entities must report the number of Notices of IDR Initiation submitted to the certified IDR entity during the preceding month and the number of Notices of IDR Initiation for which the certified IDR entity made a final determination</w:t>
      </w:r>
      <w:r w:rsidRPr="00E259C0" w:rsidR="001F792C">
        <w:t>.</w:t>
      </w:r>
      <w:r w:rsidRPr="00E259C0">
        <w:t xml:space="preserve"> </w:t>
      </w:r>
      <w:r w:rsidRPr="00E259C0" w:rsidR="001F792C">
        <w:t>I</w:t>
      </w:r>
      <w:r w:rsidRPr="00E259C0">
        <w:t xml:space="preserve">n instances </w:t>
      </w:r>
      <w:r w:rsidRPr="00E259C0" w:rsidR="00B61B1C">
        <w:t xml:space="preserve">in which </w:t>
      </w:r>
      <w:r w:rsidRPr="00E259C0">
        <w:t xml:space="preserve">the provider or facility submits the </w:t>
      </w:r>
      <w:r w:rsidRPr="00E259C0" w:rsidR="00407392">
        <w:t>“</w:t>
      </w:r>
      <w:r w:rsidRPr="00E259C0">
        <w:t>Notice of</w:t>
      </w:r>
      <w:r w:rsidRPr="00E259C0" w:rsidR="00454856">
        <w:t xml:space="preserve"> IDR</w:t>
      </w:r>
      <w:r w:rsidRPr="00E259C0">
        <w:t xml:space="preserve"> Initiation</w:t>
      </w:r>
      <w:r w:rsidRPr="00E259C0" w:rsidR="005E74F5">
        <w:t>,</w:t>
      </w:r>
      <w:r w:rsidRPr="00E259C0" w:rsidR="00454856">
        <w:t>”</w:t>
      </w:r>
      <w:r w:rsidRPr="00E259C0">
        <w:t xml:space="preserve"> </w:t>
      </w:r>
      <w:r w:rsidRPr="00E259C0" w:rsidR="001F792C">
        <w:t>the certified IDR entity must submit information on</w:t>
      </w:r>
      <w:r w:rsidRPr="00E259C0">
        <w:t xml:space="preserve"> the size of the provider practices or facilities submitting notifications. With respect to each </w:t>
      </w:r>
      <w:r w:rsidRPr="00E259C0" w:rsidR="00407392">
        <w:t>“</w:t>
      </w:r>
      <w:r w:rsidRPr="00E259C0" w:rsidR="008C53A5">
        <w:t>N</w:t>
      </w:r>
      <w:r w:rsidRPr="00E259C0">
        <w:t xml:space="preserve">otice of IDR </w:t>
      </w:r>
      <w:r w:rsidRPr="00E259C0" w:rsidR="00CF145C">
        <w:t>Initiation</w:t>
      </w:r>
      <w:r w:rsidRPr="00E259C0" w:rsidR="006C537D">
        <w:t>,”</w:t>
      </w:r>
      <w:r w:rsidRPr="00E259C0">
        <w:t xml:space="preserve"> the certified IDR entity should provide a description </w:t>
      </w:r>
      <w:r w:rsidRPr="00E259C0">
        <w:t>of the items and services included with respect to the notification, including the relevant billing and service codes.</w:t>
      </w:r>
      <w:r w:rsidR="00263C28">
        <w:t xml:space="preserve"> </w:t>
      </w:r>
      <w:r w:rsidRPr="00E259C0">
        <w:t xml:space="preserve">The certified IDR entity must also report the relevant geographic region for purposes of the QPA for the qualified </w:t>
      </w:r>
      <w:r w:rsidRPr="00E259C0" w:rsidR="00FD6BA0">
        <w:t xml:space="preserve">IDR </w:t>
      </w:r>
      <w:r w:rsidRPr="00E259C0">
        <w:t xml:space="preserve">items and services with respect to which the </w:t>
      </w:r>
      <w:r w:rsidRPr="00E259C0" w:rsidR="004967B0">
        <w:t>“</w:t>
      </w:r>
      <w:r w:rsidRPr="00E259C0">
        <w:t>Notice of IDR Initiation</w:t>
      </w:r>
      <w:r w:rsidRPr="00E259C0" w:rsidR="004967B0">
        <w:t>”</w:t>
      </w:r>
      <w:r w:rsidRPr="00E259C0">
        <w:t xml:space="preserve"> was provided. Certified IDR entities must also report, for each determination, the offers submitted by the disputing parties expressed as both a dollar amount and the corresponding percentage of the QPA represented by that dollar amount, and whether the offer selected by the certified IDR entity was submitted by the </w:t>
      </w:r>
      <w:r w:rsidRPr="00E259C0" w:rsidR="00F36518">
        <w:t>plan, issuer, or FEHB carrier</w:t>
      </w:r>
      <w:r w:rsidRPr="00E259C0">
        <w:t>,</w:t>
      </w:r>
      <w:r w:rsidRPr="00E259C0" w:rsidR="00C84F91">
        <w:t xml:space="preserve"> FEHB carrier,</w:t>
      </w:r>
      <w:r w:rsidRPr="00E259C0">
        <w:t xml:space="preserve"> or the provider or facility.</w:t>
      </w:r>
      <w:r w:rsidR="00263C28">
        <w:t xml:space="preserve"> </w:t>
      </w:r>
      <w:r w:rsidRPr="00E259C0" w:rsidR="00316DD9">
        <w:t xml:space="preserve">The certified IDR entity must report </w:t>
      </w:r>
      <w:r w:rsidRPr="00E259C0" w:rsidR="00D97A87">
        <w:t>the amount of the selected offer expressed as a dollar amount and as a percentage of the QPA.</w:t>
      </w:r>
      <w:r w:rsidRPr="00E259C0">
        <w:t xml:space="preserve"> Where batched items and services have multiple QPAs, the certified IDR entities must report the offer as a percentage of each QPA with respect to the batched items and services to which the offer applied.</w:t>
      </w:r>
      <w:r w:rsidR="00263C28">
        <w:t xml:space="preserve"> </w:t>
      </w:r>
      <w:r w:rsidRPr="00E259C0">
        <w:t xml:space="preserve">The certified IDR entity must report the number of times the out-of-network rate </w:t>
      </w:r>
      <w:r w:rsidRPr="00E259C0" w:rsidR="006E5095">
        <w:t xml:space="preserve">it </w:t>
      </w:r>
      <w:r w:rsidRPr="00E259C0">
        <w:t>determined exceeded the QPA.</w:t>
      </w:r>
      <w:r w:rsidR="00263C28">
        <w:t xml:space="preserve"> </w:t>
      </w:r>
      <w:r w:rsidRPr="00E259C0" w:rsidR="00C22F4A">
        <w:t xml:space="preserve">The certified IDR entity must report the rationale for the </w:t>
      </w:r>
      <w:r w:rsidRPr="00E259C0" w:rsidR="00F42AD2">
        <w:t>determination</w:t>
      </w:r>
      <w:r w:rsidRPr="00E259C0" w:rsidR="00704BB5">
        <w:t xml:space="preserve">, including the extent to which the </w:t>
      </w:r>
      <w:r w:rsidRPr="00E259C0" w:rsidR="006B02BE">
        <w:t>decision relied on the additional credible information regarding the relevant factors</w:t>
      </w:r>
      <w:r w:rsidRPr="00E259C0" w:rsidR="00412509">
        <w:t>.</w:t>
      </w:r>
      <w:r w:rsidRPr="00E259C0" w:rsidR="002D1166">
        <w:t xml:space="preserve"> </w:t>
      </w:r>
      <w:r w:rsidRPr="00E259C0">
        <w:t>For each determination, the certified IDR entity must also report the practice specialty or type of each provider or facility involved in furnishing the items and services at issue as well as each party’s name and address.</w:t>
      </w:r>
      <w:r w:rsidR="00263C28">
        <w:t xml:space="preserve"> </w:t>
      </w:r>
      <w:r w:rsidRPr="00E259C0">
        <w:t>For each determination, the certified IDR entity must also report the number of business days between the selection of the certified IDR entity and the payment determination. Finally, the certified IDR entity must report the total amount of certified IDR entity fees paid to the certified IDR entity during the preceding month</w:t>
      </w:r>
      <w:r w:rsidRPr="00E259C0" w:rsidR="00AC2D40">
        <w:t xml:space="preserve"> for determinations involving qualified IDR items and services that are not air ambulance services</w:t>
      </w:r>
      <w:r w:rsidRPr="00E259C0">
        <w:t>.</w:t>
      </w:r>
      <w:r w:rsidR="00263C28">
        <w:t xml:space="preserve"> </w:t>
      </w:r>
      <w:r w:rsidRPr="00E259C0">
        <w:t>This total amount of certified IDR entity fees should not include amounts refunded by the certified IDR entity to the prevailing party or the administrative fees that are collected on behalf of the Departments.</w:t>
      </w:r>
      <w:r w:rsidR="00263C28">
        <w:t xml:space="preserve"> </w:t>
      </w:r>
    </w:p>
    <w:p w:rsidR="00BD6D9A" w:rsidRPr="00E259C0" w:rsidP="00BD6D9A" w14:paraId="0BDFFB26" w14:textId="77777777">
      <w:pPr>
        <w:pStyle w:val="ListParagraph"/>
        <w:widowControl/>
        <w:ind w:left="1440"/>
        <w:rPr>
          <w:i/>
        </w:rPr>
      </w:pPr>
    </w:p>
    <w:p w:rsidR="00E2207E" w:rsidP="00946258" w14:paraId="2B5F2E46" w14:textId="75900B10">
      <w:pPr>
        <w:pStyle w:val="ListParagraph"/>
        <w:widowControl/>
        <w:numPr>
          <w:ilvl w:val="0"/>
          <w:numId w:val="9"/>
        </w:numPr>
      </w:pPr>
      <w:r w:rsidRPr="00E259C0">
        <w:rPr>
          <w:i/>
          <w:iCs/>
        </w:rPr>
        <w:t>Monthly Certified IDR Entity Reporting Requirements for Items and Services that are Air Ambulance Services</w:t>
      </w:r>
      <w:r w:rsidRPr="00E259C0">
        <w:t xml:space="preserve">. </w:t>
      </w:r>
      <w:r w:rsidRPr="00E259C0" w:rsidR="006E3C90">
        <w:t xml:space="preserve">With respect to claims involving air ambulance services, the certified IDR entity must report the number of </w:t>
      </w:r>
      <w:r w:rsidRPr="00E259C0" w:rsidR="004E431B">
        <w:t>N</w:t>
      </w:r>
      <w:r w:rsidRPr="00E259C0" w:rsidR="007B183E">
        <w:t xml:space="preserve">otices of IDR </w:t>
      </w:r>
      <w:r w:rsidRPr="00E259C0" w:rsidR="004E431B">
        <w:t>I</w:t>
      </w:r>
      <w:r w:rsidRPr="00E259C0" w:rsidR="007B183E">
        <w:t xml:space="preserve">nitiations </w:t>
      </w:r>
      <w:r w:rsidRPr="00E259C0" w:rsidR="006E3C90">
        <w:t xml:space="preserve">submitted to the certified IDR entity that pertain to air ambulance services during the </w:t>
      </w:r>
      <w:r w:rsidRPr="00E259C0" w:rsidR="00FF41CA">
        <w:t xml:space="preserve">immediately </w:t>
      </w:r>
      <w:r w:rsidRPr="00E259C0" w:rsidR="006E3C90">
        <w:t xml:space="preserve">preceding month; the number of such </w:t>
      </w:r>
      <w:r w:rsidRPr="00E259C0" w:rsidR="000C3FBD">
        <w:t xml:space="preserve">notices </w:t>
      </w:r>
      <w:r w:rsidRPr="00E259C0" w:rsidR="006E3C90">
        <w:t xml:space="preserve">with respect to which a final determination was made; </w:t>
      </w:r>
      <w:r w:rsidRPr="00E259C0" w:rsidR="00BD6D9A">
        <w:t xml:space="preserve">and </w:t>
      </w:r>
      <w:r w:rsidRPr="00E259C0" w:rsidR="006E3C90">
        <w:t>the number of times the out-of-network rate determined (or agreed to) exceeded the QPA</w:t>
      </w:r>
      <w:r w:rsidRPr="00E259C0" w:rsidR="00CE7572">
        <w:t xml:space="preserve">, specified by </w:t>
      </w:r>
      <w:r w:rsidRPr="00E259C0" w:rsidR="006E3C90">
        <w:t>services</w:t>
      </w:r>
      <w:r w:rsidRPr="00E259C0" w:rsidR="0077579E">
        <w:t>.</w:t>
      </w:r>
      <w:r w:rsidRPr="00E259C0" w:rsidR="006E3C90">
        <w:t xml:space="preserve"> With respect to each Notice of IDR Initiation, the certified IDR entity must provide a description of </w:t>
      </w:r>
      <w:r w:rsidRPr="00E259C0" w:rsidR="00D31B20">
        <w:t xml:space="preserve">the </w:t>
      </w:r>
      <w:r w:rsidRPr="00E259C0" w:rsidR="006E3C90">
        <w:t xml:space="preserve">air ambulance service, including the relevant billing and service codes and point of pick-up (as defined in 42 CFR 414.605) for the service included in such notification, the amount of the offer submitted by the </w:t>
      </w:r>
      <w:r w:rsidRPr="00E259C0" w:rsidR="006E3C90">
        <w:t xml:space="preserve">group health plan, health insurance issuer, or FEHB carrier and by the nonparticipating provider of air ambulance services expressed as a </w:t>
      </w:r>
      <w:r w:rsidRPr="00E259C0" w:rsidR="00B10EFC">
        <w:t xml:space="preserve">dollar amount and </w:t>
      </w:r>
      <w:r w:rsidRPr="00E259C0" w:rsidR="00CE6D36">
        <w:t xml:space="preserve">as a </w:t>
      </w:r>
      <w:r w:rsidRPr="00E259C0" w:rsidR="006E3C90">
        <w:t xml:space="preserve">percentage of the QPA; whether the offer selected by the certified IDR entity was the offer submitted by the </w:t>
      </w:r>
      <w:r w:rsidRPr="00E259C0" w:rsidR="00F36518">
        <w:t>plan, issuer, or FEHB carrier</w:t>
      </w:r>
      <w:r w:rsidRPr="00E259C0" w:rsidR="006E3C90">
        <w:t xml:space="preserve"> or by the provider of air ambulance services; and the amount of the offer so selected, expressed as a </w:t>
      </w:r>
      <w:r w:rsidRPr="00E259C0" w:rsidR="00F6246F">
        <w:t xml:space="preserve">dollar amount and as a </w:t>
      </w:r>
      <w:r w:rsidRPr="00E259C0" w:rsidR="006E3C90">
        <w:t xml:space="preserve">percentage of the QPA. The certified IDR entity must report the rationale for the </w:t>
      </w:r>
      <w:r w:rsidRPr="00E259C0" w:rsidR="00A977E4">
        <w:t>determination</w:t>
      </w:r>
      <w:r w:rsidRPr="00E259C0" w:rsidR="00867CB2">
        <w:t xml:space="preserve"> including the extent to which the decision relied on the additional credible information regarding the relevant factors</w:t>
      </w:r>
      <w:r w:rsidRPr="00E259C0" w:rsidR="00CF145C">
        <w:t>.</w:t>
      </w:r>
      <w:r w:rsidRPr="00E259C0" w:rsidR="006E3C90">
        <w:t xml:space="preserve"> Additionally, the certified IDR entity must identify the air ambulance vehicle type, including whether the vehicle is fixed wing or rotary wing (information which should be included in the relevant service code), and the clinical capability level of such vehicle (if the parties have provided such information); the identity of the plan, issuer, carrier, </w:t>
      </w:r>
      <w:r w:rsidRPr="00E259C0" w:rsidR="008531E3">
        <w:t xml:space="preserve">FEHB carrier, </w:t>
      </w:r>
      <w:r w:rsidRPr="00E259C0" w:rsidR="006E3C90">
        <w:t>or provider of air ambulance services with respect to such notification, providing each party’s name and address; and the number of business days elapsed between selection of the certified IDR entity and the selection of the payment amount by the certified IDR entity.</w:t>
      </w:r>
      <w:r w:rsidR="00263C28">
        <w:t xml:space="preserve"> </w:t>
      </w:r>
      <w:r w:rsidRPr="00E259C0" w:rsidR="006E3C90">
        <w:t xml:space="preserve">Finally, the certified IDR entity must also report the total amount of </w:t>
      </w:r>
      <w:r w:rsidRPr="00E259C0" w:rsidR="00136F18">
        <w:t xml:space="preserve">certified </w:t>
      </w:r>
      <w:r w:rsidRPr="00E259C0" w:rsidR="006E3C90">
        <w:t>IDR entity fees paid to the certified IDR entity for the preceding month</w:t>
      </w:r>
      <w:r w:rsidRPr="00E259C0" w:rsidR="00F03B68">
        <w:t xml:space="preserve"> for determinations involving air ambulance services</w:t>
      </w:r>
      <w:r w:rsidRPr="00E259C0" w:rsidR="006E3C90">
        <w:t>.</w:t>
      </w:r>
      <w:r w:rsidR="00263C28">
        <w:t xml:space="preserve"> </w:t>
      </w:r>
      <w:r w:rsidRPr="00E259C0" w:rsidR="006E3C90">
        <w:t xml:space="preserve">This total amount of </w:t>
      </w:r>
      <w:r w:rsidRPr="00E259C0" w:rsidR="00F77B00">
        <w:t xml:space="preserve">certified </w:t>
      </w:r>
      <w:r w:rsidRPr="00E259C0" w:rsidR="006E3C90">
        <w:t>IDR entity fees should not include amounts refunded by the certified IDR entity to prevailing parties.</w:t>
      </w:r>
      <w:r w:rsidR="00263C28">
        <w:t xml:space="preserve"> </w:t>
      </w:r>
    </w:p>
    <w:p w:rsidR="00200330" w:rsidP="00200330" w14:paraId="11D5D1AC" w14:textId="77777777">
      <w:pPr>
        <w:widowControl/>
        <w:ind w:left="720"/>
      </w:pPr>
    </w:p>
    <w:p w:rsidR="00160ABD" w:rsidRPr="00912029" w:rsidP="00160ABD" w14:paraId="1C69EFC5" w14:textId="77777777">
      <w:r>
        <w:t>The Federal IDR process is administered in the Federal IDR portal, which is an application accessible on CMS’ website relying on single-use web forms.</w:t>
      </w:r>
      <w:r>
        <w:rPr>
          <w:rStyle w:val="FootnoteReference"/>
          <w:vertAlign w:val="superscript"/>
        </w:rPr>
        <w:footnoteReference w:id="6"/>
      </w:r>
      <w:r w:rsidRPr="00D055DF">
        <w:rPr>
          <w:vertAlign w:val="superscript"/>
        </w:rPr>
        <w:t xml:space="preserve"> </w:t>
      </w:r>
      <w:r>
        <w:t xml:space="preserve">Beginning in the latter half of 2026, the Federal IDR process </w:t>
      </w:r>
      <w:r w:rsidRPr="00912029">
        <w:t>will transition from single-use web forms to the new IDR Gateway, which will provide a secure, centralized platform that parties can use to manage disputes. IDR Gateway users will be able to:  </w:t>
      </w:r>
    </w:p>
    <w:p w:rsidR="00160ABD" w:rsidRPr="00912029" w:rsidP="00160ABD" w14:paraId="2720291E" w14:textId="77777777">
      <w:pPr>
        <w:widowControl/>
        <w:numPr>
          <w:ilvl w:val="0"/>
          <w:numId w:val="28"/>
        </w:numPr>
        <w:autoSpaceDE/>
        <w:autoSpaceDN/>
        <w:adjustRightInd/>
      </w:pPr>
      <w:r w:rsidRPr="00912029">
        <w:t>Start and respond to disputes. </w:t>
      </w:r>
    </w:p>
    <w:p w:rsidR="00160ABD" w:rsidRPr="00912029" w:rsidP="00160ABD" w14:paraId="17D6217E" w14:textId="77777777">
      <w:pPr>
        <w:widowControl/>
        <w:numPr>
          <w:ilvl w:val="0"/>
          <w:numId w:val="28"/>
        </w:numPr>
        <w:autoSpaceDE/>
        <w:autoSpaceDN/>
        <w:adjustRightInd/>
      </w:pPr>
      <w:r w:rsidRPr="00912029">
        <w:t>Access dispute dashboards and reports associated with their organization.  </w:t>
      </w:r>
    </w:p>
    <w:p w:rsidR="00160ABD" w:rsidRPr="00912029" w:rsidP="00160ABD" w14:paraId="0CCF9E17" w14:textId="77777777">
      <w:pPr>
        <w:widowControl/>
        <w:numPr>
          <w:ilvl w:val="0"/>
          <w:numId w:val="28"/>
        </w:numPr>
        <w:autoSpaceDE/>
        <w:autoSpaceDN/>
        <w:adjustRightInd/>
      </w:pPr>
      <w:r w:rsidRPr="00912029">
        <w:t>Track dispute information, including disputes assigned to a certified IDR entity. </w:t>
      </w:r>
    </w:p>
    <w:p w:rsidR="00160ABD" w:rsidRPr="00912029" w:rsidP="00160ABD" w14:paraId="13F09E7E" w14:textId="77777777">
      <w:pPr>
        <w:widowControl/>
        <w:numPr>
          <w:ilvl w:val="0"/>
          <w:numId w:val="28"/>
        </w:numPr>
        <w:autoSpaceDE/>
        <w:autoSpaceDN/>
        <w:adjustRightInd/>
      </w:pPr>
      <w:r w:rsidRPr="00912029">
        <w:t>Monitor assigned disputes by process phase. </w:t>
      </w:r>
    </w:p>
    <w:p w:rsidR="00160ABD" w:rsidRPr="00912029" w:rsidP="00160ABD" w14:paraId="10FCFBDA" w14:textId="77777777">
      <w:pPr>
        <w:widowControl/>
        <w:numPr>
          <w:ilvl w:val="0"/>
          <w:numId w:val="28"/>
        </w:numPr>
        <w:autoSpaceDE/>
        <w:autoSpaceDN/>
        <w:adjustRightInd/>
      </w:pPr>
      <w:r w:rsidRPr="00912029">
        <w:t>Review notifications regarding dispute activity. </w:t>
      </w:r>
    </w:p>
    <w:p w:rsidR="00160ABD" w:rsidP="00160ABD" w14:paraId="545696E3" w14:textId="77777777"/>
    <w:p w:rsidR="00200330" w:rsidRPr="00E259C0" w:rsidP="00160ABD" w14:paraId="332E5195" w14:textId="7BA30F3F">
      <w:r w:rsidRPr="00912029">
        <w:t>The IDR Gateway will also bring important new security features, including identity verification processes</w:t>
      </w:r>
      <w:r>
        <w:t xml:space="preserve"> (through a credentialing service provider)</w:t>
      </w:r>
      <w:r w:rsidRPr="00912029">
        <w:t xml:space="preserve"> and protocols that permit only US-based users to access the Federal IDR process. </w:t>
      </w:r>
      <w:r>
        <w:t>Comments on this data collection are being solicited in the PRA package for CMS Identity Management (IDM) System (CMS-10452, OMB-0938-</w:t>
      </w:r>
      <w:r>
        <w:t>1236), which contains the burden associated with identi</w:t>
      </w:r>
      <w:r w:rsidR="004D7FC3">
        <w:t>t</w:t>
      </w:r>
      <w:r>
        <w:t xml:space="preserve">y verification for all CMS applications, including the IDR Gateway. </w:t>
      </w:r>
    </w:p>
    <w:p w:rsidR="00FC2F3E" w:rsidRPr="00E259C0" w:rsidP="00946258" w14:paraId="7161191C" w14:textId="13A80023">
      <w:pPr>
        <w:pStyle w:val="HeadingStyle"/>
        <w:numPr>
          <w:ilvl w:val="0"/>
          <w:numId w:val="24"/>
        </w:numPr>
        <w:ind w:hanging="720"/>
        <w:rPr>
          <w:rFonts w:ascii="Times New Roman" w:hAnsi="Times New Roman" w:cs="Times New Roman"/>
          <w:b w:val="0"/>
          <w:iCs/>
          <w:color w:val="auto"/>
        </w:rPr>
      </w:pPr>
      <w:r w:rsidRPr="00E259C0">
        <w:rPr>
          <w:rFonts w:ascii="Times New Roman" w:hAnsi="Times New Roman" w:cs="Times New Roman"/>
          <w:color w:val="auto"/>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263C28">
        <w:rPr>
          <w:rFonts w:ascii="Times New Roman" w:hAnsi="Times New Roman" w:cs="Times New Roman"/>
          <w:color w:val="auto"/>
        </w:rPr>
        <w:t xml:space="preserve"> </w:t>
      </w:r>
      <w:r w:rsidRPr="00E259C0">
        <w:rPr>
          <w:rFonts w:ascii="Times New Roman" w:hAnsi="Times New Roman" w:cs="Times New Roman"/>
          <w:color w:val="auto"/>
        </w:rPr>
        <w:t>Also describe any consideration for using information technology to reduce burden.</w:t>
      </w:r>
    </w:p>
    <w:p w:rsidR="004D7195" w:rsidRPr="00E259C0" w:rsidP="004D7195" w14:paraId="2B8E4847" w14:textId="77777777">
      <w:pPr>
        <w:widowControl/>
        <w:rPr>
          <w:iCs/>
        </w:rPr>
      </w:pPr>
    </w:p>
    <w:p w:rsidR="009C4C49" w:rsidRPr="00E259C0" w:rsidP="00292227" w14:paraId="60640B8B" w14:textId="16F17796">
      <w:pPr>
        <w:widowControl/>
        <w:ind w:left="720"/>
      </w:pPr>
      <w:r w:rsidRPr="00E259C0">
        <w:rPr>
          <w:iCs/>
        </w:rPr>
        <w:t>The</w:t>
      </w:r>
      <w:r w:rsidRPr="00E259C0" w:rsidR="00A67EAD">
        <w:rPr>
          <w:iCs/>
        </w:rPr>
        <w:t xml:space="preserve"> October 2021</w:t>
      </w:r>
      <w:r w:rsidRPr="00E259C0" w:rsidR="00530F4E">
        <w:rPr>
          <w:iCs/>
        </w:rPr>
        <w:t xml:space="preserve"> </w:t>
      </w:r>
      <w:r w:rsidRPr="00E259C0" w:rsidR="00AC7AFF">
        <w:rPr>
          <w:iCs/>
        </w:rPr>
        <w:t>interim final</w:t>
      </w:r>
      <w:r w:rsidRPr="00E259C0" w:rsidR="00A27742">
        <w:rPr>
          <w:iCs/>
        </w:rPr>
        <w:t xml:space="preserve"> rules</w:t>
      </w:r>
      <w:r w:rsidRPr="00E259C0" w:rsidR="00F07D10">
        <w:rPr>
          <w:iCs/>
        </w:rPr>
        <w:t>,</w:t>
      </w:r>
      <w:r w:rsidRPr="00E259C0" w:rsidR="00AC7AFF">
        <w:rPr>
          <w:iCs/>
        </w:rPr>
        <w:t xml:space="preserve"> </w:t>
      </w:r>
      <w:r w:rsidRPr="00E259C0" w:rsidR="00395E27">
        <w:rPr>
          <w:iCs/>
        </w:rPr>
        <w:t xml:space="preserve">the August 2022 </w:t>
      </w:r>
      <w:r w:rsidRPr="00E259C0" w:rsidR="00530F4E">
        <w:rPr>
          <w:iCs/>
        </w:rPr>
        <w:t>final rules</w:t>
      </w:r>
      <w:r w:rsidRPr="00E259C0" w:rsidR="00F07D10">
        <w:rPr>
          <w:iCs/>
        </w:rPr>
        <w:t xml:space="preserve">, and </w:t>
      </w:r>
      <w:r w:rsidR="003F0EA0">
        <w:rPr>
          <w:iCs/>
        </w:rPr>
        <w:t>202</w:t>
      </w:r>
      <w:r w:rsidR="00191A84">
        <w:rPr>
          <w:iCs/>
        </w:rPr>
        <w:t>6</w:t>
      </w:r>
      <w:r w:rsidRPr="00E259C0" w:rsidR="001E4F8B">
        <w:rPr>
          <w:iCs/>
        </w:rPr>
        <w:t xml:space="preserve"> final rules</w:t>
      </w:r>
      <w:r w:rsidRPr="00E259C0">
        <w:rPr>
          <w:iCs/>
        </w:rPr>
        <w:t xml:space="preserve"> do not restrict plans</w:t>
      </w:r>
      <w:r w:rsidRPr="00E259C0" w:rsidR="002C3C88">
        <w:rPr>
          <w:iCs/>
        </w:rPr>
        <w:t>,</w:t>
      </w:r>
      <w:r w:rsidRPr="00E259C0">
        <w:rPr>
          <w:iCs/>
        </w:rPr>
        <w:t xml:space="preserve"> </w:t>
      </w:r>
      <w:r w:rsidRPr="00E259C0" w:rsidR="00242703">
        <w:rPr>
          <w:iCs/>
        </w:rPr>
        <w:t>issuers</w:t>
      </w:r>
      <w:r w:rsidRPr="00E259C0" w:rsidR="00914BD5">
        <w:rPr>
          <w:iCs/>
        </w:rPr>
        <w:t>,</w:t>
      </w:r>
      <w:r w:rsidRPr="00E259C0" w:rsidR="0005424F">
        <w:rPr>
          <w:iCs/>
        </w:rPr>
        <w:t xml:space="preserve"> or </w:t>
      </w:r>
      <w:r w:rsidRPr="00E259C0" w:rsidR="00530F4E">
        <w:rPr>
          <w:iCs/>
        </w:rPr>
        <w:t xml:space="preserve">FEHB </w:t>
      </w:r>
      <w:r w:rsidRPr="00E259C0" w:rsidR="0005424F">
        <w:rPr>
          <w:iCs/>
        </w:rPr>
        <w:t>carriers</w:t>
      </w:r>
      <w:r w:rsidRPr="00E259C0">
        <w:rPr>
          <w:iCs/>
        </w:rPr>
        <w:t xml:space="preserve"> from using electronic technology to provide </w:t>
      </w:r>
      <w:r w:rsidRPr="00E259C0" w:rsidR="001217D8">
        <w:rPr>
          <w:iCs/>
        </w:rPr>
        <w:t>notices</w:t>
      </w:r>
      <w:r w:rsidRPr="00E259C0">
        <w:rPr>
          <w:iCs/>
        </w:rPr>
        <w:t>.</w:t>
      </w:r>
      <w:r w:rsidR="00263C28">
        <w:rPr>
          <w:iCs/>
        </w:rPr>
        <w:t xml:space="preserve"> </w:t>
      </w:r>
      <w:r w:rsidR="004455EC">
        <w:rPr>
          <w:iCs/>
        </w:rPr>
        <w:t>Under the October 2021 interim final rules, p</w:t>
      </w:r>
      <w:r w:rsidRPr="00E259C0" w:rsidR="00F821F6">
        <w:rPr>
          <w:iCs/>
        </w:rPr>
        <w:t xml:space="preserve">arties </w:t>
      </w:r>
      <w:r w:rsidR="004455EC">
        <w:rPr>
          <w:iCs/>
        </w:rPr>
        <w:t>were permitted to</w:t>
      </w:r>
      <w:r w:rsidRPr="00E259C0" w:rsidR="00F821F6">
        <w:rPr>
          <w:iCs/>
        </w:rPr>
        <w:t xml:space="preserve"> provide the </w:t>
      </w:r>
      <w:r w:rsidRPr="00E259C0" w:rsidR="00DF2B00">
        <w:rPr>
          <w:iCs/>
        </w:rPr>
        <w:t>“</w:t>
      </w:r>
      <w:r w:rsidRPr="00E259C0" w:rsidR="000B4300">
        <w:rPr>
          <w:iCs/>
        </w:rPr>
        <w:t xml:space="preserve">Open Negotiation </w:t>
      </w:r>
      <w:r w:rsidRPr="00E259C0" w:rsidR="00342B18">
        <w:rPr>
          <w:iCs/>
        </w:rPr>
        <w:t>Notice</w:t>
      </w:r>
      <w:r w:rsidRPr="00E259C0" w:rsidR="00633D9E">
        <w:rPr>
          <w:iCs/>
        </w:rPr>
        <w:t>,</w:t>
      </w:r>
      <w:r w:rsidRPr="00E259C0" w:rsidR="00DF2B00">
        <w:rPr>
          <w:iCs/>
        </w:rPr>
        <w:t>”</w:t>
      </w:r>
      <w:r w:rsidRPr="00E259C0" w:rsidR="00607195">
        <w:rPr>
          <w:iCs/>
        </w:rPr>
        <w:t xml:space="preserve"> and</w:t>
      </w:r>
      <w:r w:rsidRPr="00E259C0" w:rsidR="008531E3">
        <w:rPr>
          <w:iCs/>
        </w:rPr>
        <w:t xml:space="preserve"> </w:t>
      </w:r>
      <w:r w:rsidRPr="00E259C0" w:rsidR="00F821F6">
        <w:rPr>
          <w:iCs/>
        </w:rPr>
        <w:t xml:space="preserve">the </w:t>
      </w:r>
      <w:r w:rsidRPr="00E259C0" w:rsidR="00BF2017">
        <w:rPr>
          <w:iCs/>
        </w:rPr>
        <w:t>“</w:t>
      </w:r>
      <w:r w:rsidRPr="00E259C0" w:rsidR="000B4300">
        <w:rPr>
          <w:iCs/>
        </w:rPr>
        <w:t xml:space="preserve">Notice </w:t>
      </w:r>
      <w:r w:rsidRPr="00E259C0" w:rsidR="00F821F6">
        <w:rPr>
          <w:iCs/>
        </w:rPr>
        <w:t xml:space="preserve">of </w:t>
      </w:r>
      <w:r w:rsidRPr="00E259C0" w:rsidR="00F821F6">
        <w:t xml:space="preserve">IDR </w:t>
      </w:r>
      <w:r w:rsidRPr="00E259C0" w:rsidR="000B4300">
        <w:t>Initiation</w:t>
      </w:r>
      <w:r w:rsidRPr="00E259C0" w:rsidR="00BF2017">
        <w:t>”</w:t>
      </w:r>
      <w:r w:rsidRPr="00E259C0" w:rsidR="00F821F6">
        <w:t xml:space="preserve"> to the other party electronically if the initiating party has a good faith belief that the electronic method is readily accessible by the other party, and the notice is provided in paper form free of charge upon request.</w:t>
      </w:r>
      <w:r w:rsidR="00263C28">
        <w:t xml:space="preserve"> </w:t>
      </w:r>
      <w:r w:rsidRPr="00E259C0" w:rsidR="0078135E">
        <w:t>However, under</w:t>
      </w:r>
      <w:r w:rsidRPr="00E259C0" w:rsidR="009E416D">
        <w:t xml:space="preserve"> the</w:t>
      </w:r>
      <w:r w:rsidRPr="00E259C0" w:rsidR="00C02F92">
        <w:t xml:space="preserve"> </w:t>
      </w:r>
      <w:r w:rsidR="003F0EA0">
        <w:t>202</w:t>
      </w:r>
      <w:r w:rsidR="00191A84">
        <w:t>6</w:t>
      </w:r>
      <w:r w:rsidRPr="00E259C0" w:rsidR="001E4F8B">
        <w:t xml:space="preserve"> final rules</w:t>
      </w:r>
      <w:r w:rsidRPr="00E259C0" w:rsidR="009E416D">
        <w:t xml:space="preserve">, </w:t>
      </w:r>
      <w:r w:rsidRPr="00E259C0" w:rsidR="008F7743">
        <w:t>the</w:t>
      </w:r>
      <w:r w:rsidRPr="00E259C0" w:rsidR="00146C63">
        <w:t xml:space="preserve">se notices, along with the </w:t>
      </w:r>
      <w:r w:rsidR="004B0491">
        <w:t>finalized</w:t>
      </w:r>
      <w:r w:rsidRPr="00E259C0" w:rsidR="004B0491">
        <w:t xml:space="preserve"> </w:t>
      </w:r>
      <w:r w:rsidRPr="00E259C0" w:rsidR="00B375D1">
        <w:t>“</w:t>
      </w:r>
      <w:r w:rsidRPr="00E259C0" w:rsidR="004367A5">
        <w:t xml:space="preserve">Open Negotiation Response </w:t>
      </w:r>
      <w:r w:rsidRPr="00E259C0" w:rsidR="00C3339F">
        <w:t>Notice</w:t>
      </w:r>
      <w:r w:rsidRPr="00E259C0" w:rsidR="00913750">
        <w:t>”</w:t>
      </w:r>
      <w:r w:rsidRPr="00E259C0" w:rsidR="00C3339F">
        <w:t xml:space="preserve"> </w:t>
      </w:r>
      <w:r w:rsidRPr="00E259C0" w:rsidR="004367A5">
        <w:t xml:space="preserve">and </w:t>
      </w:r>
      <w:r w:rsidRPr="00E259C0" w:rsidR="00913750">
        <w:t>“</w:t>
      </w:r>
      <w:r w:rsidRPr="00E259C0" w:rsidR="004367A5">
        <w:t>Notice of IDR I</w:t>
      </w:r>
      <w:r w:rsidRPr="00E259C0" w:rsidR="007B2173">
        <w:t>nitiation Response</w:t>
      </w:r>
      <w:r w:rsidRPr="00E259C0" w:rsidR="00913750">
        <w:t>”</w:t>
      </w:r>
      <w:r w:rsidRPr="00E259C0" w:rsidR="000D131C">
        <w:t xml:space="preserve"> would be required to</w:t>
      </w:r>
      <w:r w:rsidRPr="00E259C0">
        <w:t xml:space="preserve"> be </w:t>
      </w:r>
      <w:r w:rsidRPr="00E259C0" w:rsidR="000F5FDB">
        <w:t xml:space="preserve">submitted </w:t>
      </w:r>
      <w:r w:rsidRPr="00E259C0">
        <w:t xml:space="preserve">electronically through the </w:t>
      </w:r>
      <w:r w:rsidRPr="00E259C0" w:rsidR="002779D7">
        <w:t>Federal</w:t>
      </w:r>
      <w:r w:rsidRPr="00E259C0">
        <w:t xml:space="preserve"> IDR portal</w:t>
      </w:r>
      <w:r w:rsidRPr="00E259C0" w:rsidR="009A6D95">
        <w:t xml:space="preserve"> </w:t>
      </w:r>
      <w:r w:rsidRPr="00E259C0" w:rsidR="00543FCE">
        <w:t xml:space="preserve">using </w:t>
      </w:r>
      <w:r w:rsidRPr="00E259C0" w:rsidR="009A6D95">
        <w:t>the standard forms developed by the Departments</w:t>
      </w:r>
      <w:r w:rsidRPr="00E259C0">
        <w:t>.</w:t>
      </w:r>
      <w:r w:rsidRPr="00E259C0" w:rsidR="00B7047A">
        <w:t xml:space="preserve"> The Departments have established the Federal IDR portal to administer the Federal IDR Process, available at </w:t>
      </w:r>
      <w:hyperlink r:id="rId9" w:history="1">
        <w:r w:rsidRPr="00E259C0" w:rsidR="00B7047A">
          <w:rPr>
            <w:rStyle w:val="Hyperlink"/>
            <w:color w:val="auto"/>
          </w:rPr>
          <w:t>https://www.nsa-idr.cms.gov</w:t>
        </w:r>
      </w:hyperlink>
      <w:r w:rsidRPr="00E259C0" w:rsidR="00B7047A">
        <w:t xml:space="preserve">. </w:t>
      </w:r>
    </w:p>
    <w:p w:rsidR="009C4C49" w:rsidRPr="00E259C0" w:rsidP="00CD1461" w14:paraId="0AF16D94" w14:textId="77777777">
      <w:pPr>
        <w:widowControl/>
        <w:ind w:left="720"/>
      </w:pPr>
    </w:p>
    <w:p w:rsidR="00F821F6" w:rsidRPr="00E259C0" w:rsidP="00CD1461" w14:paraId="57FF707D" w14:textId="2DA7C21F">
      <w:pPr>
        <w:widowControl/>
        <w:ind w:left="720"/>
      </w:pPr>
      <w:r w:rsidRPr="00E259C0">
        <w:t xml:space="preserve">Additionally, </w:t>
      </w:r>
      <w:r w:rsidRPr="00E259C0" w:rsidR="00EA2634">
        <w:t xml:space="preserve">use of </w:t>
      </w:r>
      <w:r w:rsidRPr="00E259C0">
        <w:t>t</w:t>
      </w:r>
      <w:r w:rsidRPr="00E259C0" w:rsidR="00B7047A">
        <w:t xml:space="preserve">he Federal IDR portal </w:t>
      </w:r>
      <w:r w:rsidRPr="00E259C0" w:rsidR="00EA2634">
        <w:t>would also be required to</w:t>
      </w:r>
      <w:r w:rsidRPr="00E259C0" w:rsidR="00B7047A">
        <w:t xml:space="preserve"> satisfy various</w:t>
      </w:r>
      <w:r w:rsidRPr="00E259C0" w:rsidR="0032354C">
        <w:t xml:space="preserve"> other</w:t>
      </w:r>
      <w:r w:rsidRPr="00E259C0" w:rsidR="00B7047A">
        <w:t xml:space="preserve"> requirements, including</w:t>
      </w:r>
      <w:r w:rsidRPr="00E259C0" w:rsidR="00404B7E">
        <w:t>,</w:t>
      </w:r>
      <w:r w:rsidRPr="00E259C0" w:rsidR="00B7047A">
        <w:t xml:space="preserve"> </w:t>
      </w:r>
      <w:r w:rsidRPr="00E259C0" w:rsidR="00291C81">
        <w:t xml:space="preserve">selection of the certified IDR entity, </w:t>
      </w:r>
      <w:r w:rsidRPr="00E259C0" w:rsidR="00B7047A">
        <w:t>the submission of offers</w:t>
      </w:r>
      <w:r w:rsidRPr="00E259C0" w:rsidR="006855FC">
        <w:t xml:space="preserve">, </w:t>
      </w:r>
      <w:r w:rsidRPr="00E259C0" w:rsidR="00683BFA">
        <w:t xml:space="preserve">and </w:t>
      </w:r>
      <w:r w:rsidRPr="00E259C0" w:rsidR="006855FC">
        <w:t xml:space="preserve">notification to the </w:t>
      </w:r>
      <w:r w:rsidRPr="00E259C0" w:rsidR="00596D91">
        <w:t xml:space="preserve">Departments </w:t>
      </w:r>
      <w:r w:rsidRPr="00E259C0" w:rsidR="006855FC">
        <w:t xml:space="preserve">and certified IDR entity (if selected) of </w:t>
      </w:r>
      <w:r w:rsidRPr="00E259C0" w:rsidR="00596D91">
        <w:t xml:space="preserve">an </w:t>
      </w:r>
      <w:r w:rsidRPr="00E259C0" w:rsidR="006855FC">
        <w:t xml:space="preserve">agreement by the parties to an out-of-network rate for </w:t>
      </w:r>
      <w:r w:rsidRPr="00E259C0" w:rsidR="00714E18">
        <w:t>the</w:t>
      </w:r>
      <w:r w:rsidRPr="00E259C0" w:rsidR="006855FC">
        <w:t xml:space="preserve"> qualified IDR item or service after providing the notice of IDR initiation to the </w:t>
      </w:r>
      <w:r w:rsidRPr="00E259C0" w:rsidR="00596D91">
        <w:t>Departments</w:t>
      </w:r>
      <w:r w:rsidRPr="00E259C0" w:rsidR="00B7047A">
        <w:t xml:space="preserve">. </w:t>
      </w:r>
      <w:r w:rsidRPr="00E259C0" w:rsidR="009C779A">
        <w:t>The Departments are of the view that mandatory use</w:t>
      </w:r>
      <w:r w:rsidRPr="00E259C0" w:rsidR="00B7047A">
        <w:t xml:space="preserve"> of the Federal IDR portal </w:t>
      </w:r>
      <w:r w:rsidRPr="00E259C0" w:rsidR="009C779A">
        <w:t xml:space="preserve">would </w:t>
      </w:r>
      <w:r w:rsidRPr="00E259C0" w:rsidR="00982227">
        <w:t>better ensure that</w:t>
      </w:r>
      <w:r w:rsidR="00263C28">
        <w:t xml:space="preserve"> </w:t>
      </w:r>
      <w:r w:rsidRPr="00E259C0" w:rsidR="00B7047A">
        <w:t xml:space="preserve">certified IDR entities and the Departments </w:t>
      </w:r>
      <w:r w:rsidRPr="00E259C0" w:rsidR="00982227">
        <w:t>can satisfy the</w:t>
      </w:r>
      <w:r w:rsidRPr="00E259C0" w:rsidR="00B7047A">
        <w:t xml:space="preserve"> timeline and process requirements of the Federal IDR </w:t>
      </w:r>
      <w:r w:rsidRPr="00E259C0" w:rsidR="00CF649F">
        <w:t>process</w:t>
      </w:r>
      <w:r w:rsidRPr="00E259C0" w:rsidR="00B7047A">
        <w:t>.</w:t>
      </w:r>
    </w:p>
    <w:p w:rsidR="00FC2F3E" w:rsidRPr="00E259C0" w:rsidP="00F821F6" w14:paraId="634595E9" w14:textId="77777777">
      <w:pPr>
        <w:widowControl/>
        <w:ind w:left="720"/>
        <w:rPr>
          <w:iCs/>
        </w:rPr>
      </w:pPr>
      <w:r w:rsidRPr="00E259C0">
        <w:rPr>
          <w:iCs/>
        </w:rPr>
        <w:t xml:space="preserve"> </w:t>
      </w:r>
    </w:p>
    <w:p w:rsidR="007C286A" w:rsidRPr="00E259C0" w:rsidP="00CD1461" w14:paraId="7F94FECE" w14:textId="754944E3">
      <w:pPr>
        <w:pStyle w:val="BodyText"/>
        <w:ind w:left="720"/>
      </w:pPr>
      <w:r w:rsidRPr="00E259C0">
        <w:rPr>
          <w:iCs/>
        </w:rPr>
        <w:t>The Government Paperwork Elimination Act (GPEA) requires agencies to allow customers the option to submit information or transact with the government electronically, when practicable.</w:t>
      </w:r>
      <w:r w:rsidR="00263C28">
        <w:rPr>
          <w:iCs/>
        </w:rPr>
        <w:t xml:space="preserve"> </w:t>
      </w:r>
      <w:r w:rsidRPr="00E259C0">
        <w:rPr>
          <w:iCs/>
        </w:rPr>
        <w:t xml:space="preserve">Where feasible, and subject to resource availability and resolution of legal issues, </w:t>
      </w:r>
      <w:r w:rsidRPr="00E259C0" w:rsidR="00530F4E">
        <w:rPr>
          <w:iCs/>
        </w:rPr>
        <w:t xml:space="preserve">the </w:t>
      </w:r>
      <w:r w:rsidRPr="00E259C0" w:rsidR="008A159F">
        <w:rPr>
          <w:iCs/>
        </w:rPr>
        <w:t>DOL</w:t>
      </w:r>
      <w:r w:rsidRPr="00E259C0">
        <w:rPr>
          <w:iCs/>
        </w:rPr>
        <w:t xml:space="preserve"> has implemented the electronic acceptance of information submitted by customers to the </w:t>
      </w:r>
      <w:r w:rsidRPr="00E259C0" w:rsidR="00BC5FC7">
        <w:rPr>
          <w:iCs/>
        </w:rPr>
        <w:t>F</w:t>
      </w:r>
      <w:r w:rsidRPr="00E259C0">
        <w:rPr>
          <w:iCs/>
        </w:rPr>
        <w:t>ederal government.</w:t>
      </w:r>
    </w:p>
    <w:p w:rsidR="00FC2F3E" w:rsidRPr="00E259C0" w:rsidP="00946258" w14:paraId="2BA51647" w14:textId="05C3C1EF">
      <w:pPr>
        <w:pStyle w:val="Heading1"/>
        <w:ind w:left="720" w:hanging="720"/>
        <w:rPr>
          <w:rFonts w:ascii="Times New Roman" w:hAnsi="Times New Roman" w:cs="Times New Roman"/>
          <w:b/>
          <w:color w:val="auto"/>
          <w:sz w:val="24"/>
          <w:szCs w:val="24"/>
        </w:rPr>
      </w:pPr>
      <w:r w:rsidRPr="00E259C0">
        <w:rPr>
          <w:rFonts w:ascii="Times New Roman" w:hAnsi="Times New Roman" w:cs="Times New Roman"/>
          <w:b/>
          <w:color w:val="auto"/>
          <w:sz w:val="24"/>
          <w:szCs w:val="24"/>
        </w:rPr>
        <w:t>4.</w:t>
      </w:r>
      <w:r w:rsidRPr="00E259C0">
        <w:rPr>
          <w:rFonts w:ascii="Times New Roman" w:hAnsi="Times New Roman" w:cs="Times New Roman"/>
          <w:b/>
          <w:color w:val="auto"/>
          <w:sz w:val="24"/>
          <w:szCs w:val="24"/>
        </w:rPr>
        <w:tab/>
        <w:t>Describe efforts to identify duplication.</w:t>
      </w:r>
      <w:r w:rsidR="00263C28">
        <w:rPr>
          <w:rFonts w:ascii="Times New Roman" w:hAnsi="Times New Roman" w:cs="Times New Roman"/>
          <w:b/>
          <w:color w:val="auto"/>
          <w:sz w:val="24"/>
          <w:szCs w:val="24"/>
        </w:rPr>
        <w:t xml:space="preserve"> </w:t>
      </w:r>
      <w:r w:rsidRPr="00E259C0">
        <w:rPr>
          <w:rFonts w:ascii="Times New Roman" w:hAnsi="Times New Roman" w:cs="Times New Roman"/>
          <w:b/>
          <w:color w:val="auto"/>
          <w:sz w:val="24"/>
          <w:szCs w:val="24"/>
        </w:rPr>
        <w:t>Show specifically why any similar information already available cannot be used or modified for use for the purposes described in Item 2 above.</w:t>
      </w:r>
      <w:r w:rsidR="00263C28">
        <w:rPr>
          <w:rFonts w:ascii="Times New Roman" w:hAnsi="Times New Roman" w:cs="Times New Roman"/>
          <w:b/>
          <w:color w:val="auto"/>
          <w:sz w:val="24"/>
          <w:szCs w:val="24"/>
        </w:rPr>
        <w:t xml:space="preserve"> </w:t>
      </w:r>
    </w:p>
    <w:p w:rsidR="00FC2F3E" w:rsidRPr="00E259C0" w:rsidP="00D31765" w14:paraId="77547B8E" w14:textId="3E844DED">
      <w:pPr>
        <w:widowControl/>
        <w:ind w:left="720"/>
      </w:pPr>
    </w:p>
    <w:p w:rsidR="005272A2" w:rsidRPr="00E259C0" w:rsidP="00D31765" w14:paraId="74AE6492" w14:textId="3929C809">
      <w:pPr>
        <w:widowControl/>
        <w:ind w:left="720"/>
      </w:pPr>
      <w:r w:rsidRPr="00E259C0">
        <w:t>Submitting documents</w:t>
      </w:r>
      <w:r w:rsidRPr="00E259C0" w:rsidR="004D044E">
        <w:t xml:space="preserve"> once</w:t>
      </w:r>
      <w:r w:rsidRPr="00E259C0">
        <w:t xml:space="preserve"> through the </w:t>
      </w:r>
      <w:r w:rsidRPr="00E259C0" w:rsidR="004D044E">
        <w:t>electronic Federal IDR portal satisfies related information collection requirements for all three agencies</w:t>
      </w:r>
      <w:r w:rsidRPr="00E259C0" w:rsidR="003308EF">
        <w:t xml:space="preserve"> without duplication of effort.</w:t>
      </w:r>
      <w:r w:rsidR="00263C28">
        <w:t xml:space="preserve"> </w:t>
      </w:r>
    </w:p>
    <w:p w:rsidR="005272A2" w:rsidRPr="00E259C0" w:rsidP="00D31765" w14:paraId="7E364F18" w14:textId="77777777">
      <w:pPr>
        <w:widowControl/>
        <w:ind w:left="720"/>
      </w:pPr>
    </w:p>
    <w:p w:rsidR="00B95CA7" w:rsidRPr="00E259C0" w:rsidP="00D31765" w14:paraId="34A5D92B" w14:textId="48857D80">
      <w:pPr>
        <w:widowControl/>
        <w:ind w:left="720"/>
      </w:pPr>
      <w:r w:rsidRPr="00E259C0">
        <w:t xml:space="preserve">The </w:t>
      </w:r>
      <w:r w:rsidRPr="00E259C0" w:rsidR="00457363">
        <w:t xml:space="preserve">No Surprises Act, </w:t>
      </w:r>
      <w:r w:rsidRPr="00E259C0" w:rsidR="00A67EAD">
        <w:t xml:space="preserve">October 2021 </w:t>
      </w:r>
      <w:r w:rsidRPr="00E259C0" w:rsidR="00AC7AFF">
        <w:t>interim final</w:t>
      </w:r>
      <w:r w:rsidRPr="00E259C0" w:rsidR="00A27742">
        <w:t xml:space="preserve"> rules</w:t>
      </w:r>
      <w:r w:rsidRPr="00E259C0" w:rsidR="007C044D">
        <w:t>,</w:t>
      </w:r>
      <w:r w:rsidRPr="00E259C0" w:rsidR="00AC7AFF">
        <w:t xml:space="preserve"> </w:t>
      </w:r>
      <w:r w:rsidRPr="00E259C0" w:rsidR="00457363">
        <w:t>and</w:t>
      </w:r>
      <w:r w:rsidRPr="00E259C0" w:rsidR="00AC7AFF">
        <w:t xml:space="preserve"> </w:t>
      </w:r>
      <w:r w:rsidRPr="00E259C0" w:rsidR="007C044D">
        <w:t>August 2022</w:t>
      </w:r>
      <w:r w:rsidRPr="00E259C0" w:rsidR="00AC7AFF">
        <w:t xml:space="preserve"> </w:t>
      </w:r>
      <w:r w:rsidRPr="00E259C0">
        <w:t xml:space="preserve">final rules amend and add provisions to existing rules under the </w:t>
      </w:r>
      <w:r w:rsidRPr="00E259C0" w:rsidR="00530F4E">
        <w:t>PHS Act, ERISA</w:t>
      </w:r>
      <w:r w:rsidRPr="00E259C0" w:rsidR="00811B89">
        <w:t>,</w:t>
      </w:r>
      <w:r w:rsidRPr="00E259C0" w:rsidR="00530F4E">
        <w:t xml:space="preserve"> and the </w:t>
      </w:r>
      <w:r w:rsidRPr="00E259C0">
        <w:t>Code.</w:t>
      </w:r>
      <w:r w:rsidR="00263C28">
        <w:t xml:space="preserve"> </w:t>
      </w:r>
      <w:r w:rsidRPr="00E259C0" w:rsidR="00F75D5D">
        <w:t xml:space="preserve">The </w:t>
      </w:r>
      <w:r w:rsidR="003F0EA0">
        <w:t>202</w:t>
      </w:r>
      <w:r w:rsidR="00191A84">
        <w:t>6</w:t>
      </w:r>
      <w:r w:rsidRPr="00E259C0" w:rsidR="001E4F8B">
        <w:t xml:space="preserve"> final rules</w:t>
      </w:r>
      <w:r w:rsidRPr="00E259C0" w:rsidR="00F75D5D">
        <w:t xml:space="preserve"> </w:t>
      </w:r>
      <w:r w:rsidR="003B5ABF">
        <w:t>will</w:t>
      </w:r>
      <w:r w:rsidRPr="00E259C0" w:rsidR="00F75D5D">
        <w:t xml:space="preserve"> further amend such rules. </w:t>
      </w:r>
      <w:r w:rsidRPr="00E259C0" w:rsidR="001217D8">
        <w:t xml:space="preserve">Several </w:t>
      </w:r>
      <w:r w:rsidRPr="00E259C0" w:rsidR="00335D57">
        <w:t xml:space="preserve">States </w:t>
      </w:r>
      <w:r w:rsidRPr="00E259C0" w:rsidR="001217D8">
        <w:t xml:space="preserve">already have their own </w:t>
      </w:r>
      <w:r w:rsidRPr="00E259C0" w:rsidR="00DE0B5B">
        <w:t xml:space="preserve">balance billing </w:t>
      </w:r>
      <w:r w:rsidRPr="00E259C0" w:rsidR="008A159F">
        <w:t>protections</w:t>
      </w:r>
      <w:r w:rsidRPr="00E259C0" w:rsidR="00DE0B5B">
        <w:t xml:space="preserve"> </w:t>
      </w:r>
      <w:r w:rsidRPr="00E259C0" w:rsidR="00405D7E">
        <w:t>or</w:t>
      </w:r>
      <w:r w:rsidRPr="00E259C0" w:rsidR="00DE0B5B">
        <w:t xml:space="preserve"> </w:t>
      </w:r>
      <w:r w:rsidRPr="00E259C0" w:rsidR="001217D8">
        <w:t>IDR processes.</w:t>
      </w:r>
      <w:r w:rsidR="00263C28">
        <w:t xml:space="preserve"> </w:t>
      </w:r>
      <w:r w:rsidRPr="00E259C0" w:rsidR="002576E1">
        <w:t xml:space="preserve">However, only </w:t>
      </w:r>
      <w:r w:rsidRPr="00E259C0" w:rsidR="00850FD6">
        <w:t>HHS</w:t>
      </w:r>
      <w:r w:rsidRPr="00E259C0" w:rsidR="002576E1">
        <w:t xml:space="preserve"> has jurisdiction over </w:t>
      </w:r>
      <w:r w:rsidRPr="00E259C0" w:rsidR="00850FD6">
        <w:t xml:space="preserve">non-Federal </w:t>
      </w:r>
      <w:r w:rsidRPr="00E259C0" w:rsidR="002576E1">
        <w:t xml:space="preserve">government plans and </w:t>
      </w:r>
      <w:r w:rsidRPr="00E259C0" w:rsidR="00850FD6">
        <w:t>small group and</w:t>
      </w:r>
      <w:r w:rsidRPr="00E259C0" w:rsidR="002576E1">
        <w:t xml:space="preserve"> individual market plans</w:t>
      </w:r>
      <w:r w:rsidRPr="00E259C0" w:rsidR="007C1A81">
        <w:t xml:space="preserve"> </w:t>
      </w:r>
      <w:r w:rsidRPr="00E259C0" w:rsidR="00850FD6">
        <w:t>in States that do not enforce the applicable provisions of the PHS Act,</w:t>
      </w:r>
      <w:r w:rsidRPr="00E259C0" w:rsidR="007C1A81">
        <w:t xml:space="preserve"> and</w:t>
      </w:r>
      <w:r w:rsidRPr="00E259C0" w:rsidR="002576E1">
        <w:t xml:space="preserve"> the </w:t>
      </w:r>
      <w:r w:rsidRPr="00E259C0" w:rsidR="008A159F">
        <w:t>DOL</w:t>
      </w:r>
      <w:r w:rsidRPr="00E259C0" w:rsidR="00F27744">
        <w:t xml:space="preserve"> </w:t>
      </w:r>
      <w:r w:rsidRPr="00E259C0" w:rsidR="00252550">
        <w:t xml:space="preserve">has jurisdiction over </w:t>
      </w:r>
      <w:r w:rsidRPr="00E259C0" w:rsidR="002576E1">
        <w:t>ERISA-covered group health plans.</w:t>
      </w:r>
      <w:r w:rsidR="00263C28">
        <w:t xml:space="preserve"> </w:t>
      </w:r>
      <w:r w:rsidRPr="00E259C0" w:rsidR="00252550">
        <w:t>The Internal Revenue Service has exclusive jurisdiction over certain church plans.</w:t>
      </w:r>
      <w:r w:rsidR="00263C28">
        <w:t xml:space="preserve"> </w:t>
      </w:r>
      <w:r w:rsidRPr="00E259C0" w:rsidR="009D7581">
        <w:t xml:space="preserve">OPM has jurisdiction over the FEHB plans, which are </w:t>
      </w:r>
      <w:r w:rsidRPr="00E259C0" w:rsidR="00BC5FC7">
        <w:t>F</w:t>
      </w:r>
      <w:r w:rsidRPr="00E259C0" w:rsidR="009D7581">
        <w:t xml:space="preserve">ederal governmental plans, and OPM both contracts with and regulates the carriers with respect to those plans. </w:t>
      </w:r>
      <w:r w:rsidRPr="00E259C0" w:rsidR="001217D8">
        <w:t>To limit duplication, qualified IDR items or services under th</w:t>
      </w:r>
      <w:r w:rsidRPr="00E259C0" w:rsidR="001E3FC7">
        <w:t>e</w:t>
      </w:r>
      <w:r w:rsidRPr="00E259C0" w:rsidR="001217D8">
        <w:t xml:space="preserve"> regulation</w:t>
      </w:r>
      <w:r w:rsidRPr="00E259C0" w:rsidR="00A67EAD">
        <w:t>s</w:t>
      </w:r>
      <w:r w:rsidRPr="00E259C0" w:rsidR="001217D8">
        <w:t xml:space="preserve"> are limited to items or services for which an out-of-network rate is not determined by reference to a specified State law or an All-Payer Model</w:t>
      </w:r>
      <w:r w:rsidRPr="00E259C0" w:rsidR="00D65473">
        <w:t xml:space="preserve"> Agreement</w:t>
      </w:r>
      <w:r w:rsidRPr="00E259C0" w:rsidR="001217D8">
        <w:t>.</w:t>
      </w:r>
      <w:r w:rsidR="00263C28">
        <w:t xml:space="preserve"> </w:t>
      </w:r>
      <w:r w:rsidRPr="00E259C0" w:rsidR="007C1A81">
        <w:t>Thus, t</w:t>
      </w:r>
      <w:r w:rsidRPr="00E259C0">
        <w:t xml:space="preserve">here will be no duplication of effort with </w:t>
      </w:r>
      <w:r w:rsidRPr="00E259C0" w:rsidR="001217D8">
        <w:t xml:space="preserve">other </w:t>
      </w:r>
      <w:r w:rsidRPr="00E259C0" w:rsidR="00B849FD">
        <w:t xml:space="preserve">Federal </w:t>
      </w:r>
      <w:r w:rsidRPr="00E259C0" w:rsidR="001217D8">
        <w:t xml:space="preserve">government agencies or </w:t>
      </w:r>
      <w:r w:rsidRPr="00E259C0" w:rsidR="00B849FD">
        <w:t xml:space="preserve">State </w:t>
      </w:r>
      <w:r w:rsidRPr="00E259C0" w:rsidR="001217D8">
        <w:t>governments.</w:t>
      </w:r>
    </w:p>
    <w:p w:rsidR="00FC2F3E" w:rsidRPr="00E259C0" w:rsidP="00487A1E" w14:paraId="5989227B" w14:textId="77777777">
      <w:pPr>
        <w:pStyle w:val="Heading1"/>
        <w:ind w:left="720" w:hanging="720"/>
        <w:rPr>
          <w:rFonts w:ascii="Times New Roman" w:hAnsi="Times New Roman" w:cs="Times New Roman"/>
          <w:b/>
          <w:color w:val="auto"/>
          <w:sz w:val="24"/>
          <w:szCs w:val="24"/>
        </w:rPr>
      </w:pPr>
      <w:r w:rsidRPr="00E259C0">
        <w:rPr>
          <w:rFonts w:ascii="Times New Roman" w:hAnsi="Times New Roman" w:cs="Times New Roman"/>
          <w:b/>
          <w:color w:val="auto"/>
          <w:sz w:val="24"/>
          <w:szCs w:val="24"/>
        </w:rPr>
        <w:t>5.</w:t>
      </w:r>
      <w:r w:rsidRPr="00E259C0">
        <w:rPr>
          <w:rFonts w:ascii="Times New Roman" w:hAnsi="Times New Roman" w:cs="Times New Roman"/>
          <w:b/>
          <w:color w:val="auto"/>
          <w:sz w:val="24"/>
          <w:szCs w:val="24"/>
        </w:rPr>
        <w:tab/>
        <w:t>If the collection of information impacts small businesses or other small entities</w:t>
      </w:r>
      <w:r w:rsidRPr="00E259C0" w:rsidR="009875D0">
        <w:rPr>
          <w:rFonts w:ascii="Times New Roman" w:hAnsi="Times New Roman" w:cs="Times New Roman"/>
          <w:b/>
          <w:color w:val="auto"/>
          <w:sz w:val="24"/>
          <w:szCs w:val="24"/>
        </w:rPr>
        <w:t xml:space="preserve"> </w:t>
      </w:r>
      <w:r w:rsidRPr="00E259C0">
        <w:rPr>
          <w:rFonts w:ascii="Times New Roman" w:hAnsi="Times New Roman" w:cs="Times New Roman"/>
          <w:b/>
          <w:color w:val="auto"/>
          <w:sz w:val="24"/>
          <w:szCs w:val="24"/>
        </w:rPr>
        <w:t>describe any methods used to minimize burden.</w:t>
      </w:r>
    </w:p>
    <w:p w:rsidR="00FC2F3E" w:rsidRPr="00E259C0" w:rsidP="00D31765" w14:paraId="7CFCBD0B" w14:textId="77777777">
      <w:pPr>
        <w:widowControl/>
        <w:ind w:left="720"/>
      </w:pPr>
    </w:p>
    <w:p w:rsidR="00C00E65" w:rsidRPr="00E259C0" w:rsidP="00CD1461" w14:paraId="59858361" w14:textId="564787FB">
      <w:pPr>
        <w:ind w:left="720"/>
      </w:pPr>
      <w:r w:rsidRPr="00E259C0">
        <w:t xml:space="preserve">Small </w:t>
      </w:r>
      <w:r w:rsidRPr="00E259C0" w:rsidR="0040181E">
        <w:t>issuers</w:t>
      </w:r>
      <w:r w:rsidRPr="00E259C0">
        <w:t xml:space="preserve">, plans, </w:t>
      </w:r>
      <w:r w:rsidRPr="00E259C0" w:rsidR="00F27744">
        <w:t xml:space="preserve">FEHB </w:t>
      </w:r>
      <w:r w:rsidRPr="00E259C0" w:rsidR="009D7581">
        <w:t>carriers</w:t>
      </w:r>
      <w:r w:rsidRPr="00E259C0" w:rsidR="004C102F">
        <w:t>, providers</w:t>
      </w:r>
      <w:r w:rsidRPr="00E259C0" w:rsidR="006A75D6">
        <w:t>,</w:t>
      </w:r>
      <w:r w:rsidRPr="00E259C0" w:rsidR="004C102F">
        <w:t xml:space="preserve"> facilities, </w:t>
      </w:r>
      <w:r w:rsidRPr="00E259C0" w:rsidR="006A75D6">
        <w:t xml:space="preserve">providers of air ambulance services, </w:t>
      </w:r>
      <w:r w:rsidRPr="00E259C0">
        <w:t>and</w:t>
      </w:r>
      <w:r w:rsidRPr="00E259C0" w:rsidR="006A75D6">
        <w:t xml:space="preserve"> certified</w:t>
      </w:r>
      <w:r w:rsidRPr="00E259C0">
        <w:t xml:space="preserve"> IDR </w:t>
      </w:r>
      <w:r w:rsidRPr="00E259C0" w:rsidR="001D6344">
        <w:t>entities</w:t>
      </w:r>
      <w:r w:rsidRPr="00E259C0" w:rsidR="00633D9E">
        <w:t>, regardless of size</w:t>
      </w:r>
      <w:r w:rsidRPr="00E259C0" w:rsidR="00A27742">
        <w:t xml:space="preserve"> need to satisfy requirements under the </w:t>
      </w:r>
      <w:r w:rsidRPr="00E259C0" w:rsidR="008E3F2F">
        <w:t xml:space="preserve">October 2021 </w:t>
      </w:r>
      <w:r w:rsidRPr="00E259C0" w:rsidR="00A27742">
        <w:t>interim final rules</w:t>
      </w:r>
      <w:r w:rsidRPr="00E259C0" w:rsidR="008E3F2F">
        <w:t xml:space="preserve"> and </w:t>
      </w:r>
      <w:r w:rsidRPr="00E259C0" w:rsidR="00E53492">
        <w:t xml:space="preserve">August 2022 </w:t>
      </w:r>
      <w:r w:rsidRPr="00E259C0" w:rsidR="008E3F2F">
        <w:t>final rules</w:t>
      </w:r>
      <w:r w:rsidRPr="00E259C0" w:rsidR="00FC7A5F">
        <w:t xml:space="preserve">, the </w:t>
      </w:r>
      <w:r w:rsidR="003F0EA0">
        <w:t>202</w:t>
      </w:r>
      <w:r w:rsidR="00191A84">
        <w:t>6</w:t>
      </w:r>
      <w:r w:rsidRPr="00E259C0" w:rsidR="001E4F8B">
        <w:t xml:space="preserve"> final rules</w:t>
      </w:r>
      <w:r w:rsidRPr="00E259C0" w:rsidR="001D6344">
        <w:t xml:space="preserve">; however, these costs are scalable to the number of </w:t>
      </w:r>
      <w:r w:rsidRPr="00E259C0" w:rsidR="00BC5FC7">
        <w:t>F</w:t>
      </w:r>
      <w:r w:rsidRPr="00E259C0" w:rsidR="007A5BF1">
        <w:t>ederal</w:t>
      </w:r>
      <w:r w:rsidRPr="00E259C0" w:rsidR="001D6344">
        <w:t xml:space="preserve"> IDR</w:t>
      </w:r>
      <w:r w:rsidRPr="00E259C0" w:rsidR="007A5BF1">
        <w:t xml:space="preserve"> process payment</w:t>
      </w:r>
      <w:r w:rsidRPr="00E259C0" w:rsidR="0040181E">
        <w:t xml:space="preserve"> determination</w:t>
      </w:r>
      <w:r w:rsidRPr="00E259C0" w:rsidR="001D6344">
        <w:t>s an entity is involved in.</w:t>
      </w:r>
      <w:r w:rsidR="00263C28">
        <w:t xml:space="preserve"> </w:t>
      </w:r>
      <w:r w:rsidRPr="00E259C0" w:rsidR="006743F2">
        <w:t xml:space="preserve">The rules permit </w:t>
      </w:r>
      <w:r w:rsidRPr="00E259C0" w:rsidR="00DF3EA4">
        <w:t>same or similar</w:t>
      </w:r>
      <w:r w:rsidRPr="00E259C0" w:rsidR="006743F2">
        <w:t xml:space="preserve"> </w:t>
      </w:r>
      <w:r w:rsidRPr="00E259C0" w:rsidR="00A466C7">
        <w:t>items and services</w:t>
      </w:r>
      <w:r w:rsidRPr="00E259C0" w:rsidR="006743F2">
        <w:t xml:space="preserve"> to be batched together in a single arbitration proceeding to encourage efficiency</w:t>
      </w:r>
      <w:r w:rsidRPr="00E259C0" w:rsidR="007A5BF1">
        <w:t>. B</w:t>
      </w:r>
      <w:r w:rsidRPr="00E259C0" w:rsidR="006743F2">
        <w:t xml:space="preserve">atched </w:t>
      </w:r>
      <w:r w:rsidRPr="00E259C0" w:rsidR="00A466C7">
        <w:t>items and services</w:t>
      </w:r>
      <w:r w:rsidRPr="00E259C0" w:rsidR="006743F2">
        <w:t xml:space="preserve"> </w:t>
      </w:r>
      <w:r w:rsidRPr="00E259C0" w:rsidR="007A5BF1">
        <w:t>must be billed by the same provider or group of providers or facility or same provider of air ambulance services; payment for the items and services must be made by the same group health plan or health insurance issuer; the items and services must be the same or similar items or services;</w:t>
      </w:r>
      <w:r>
        <w:rPr>
          <w:rStyle w:val="FootnoteReference"/>
          <w:vertAlign w:val="superscript"/>
        </w:rPr>
        <w:footnoteReference w:id="7"/>
      </w:r>
      <w:r w:rsidRPr="00E259C0" w:rsidR="007A5BF1">
        <w:t xml:space="preserve"> and all the items and services must have been furnished within the same 30-business-day period</w:t>
      </w:r>
      <w:r w:rsidRPr="00E259C0" w:rsidR="006E61EF">
        <w:t xml:space="preserve"> (or otherwise fall within the same 90-calendar-day cooling off period)</w:t>
      </w:r>
      <w:r w:rsidRPr="00E259C0" w:rsidR="007A5BF1">
        <w:t>.</w:t>
      </w:r>
      <w:r w:rsidRPr="00E259C0" w:rsidR="006743F2">
        <w:t xml:space="preserve"> By batching similar claims, the per-service cost of arbitration and potentially the aggregate administrative costs</w:t>
      </w:r>
      <w:r w:rsidR="00FA602C">
        <w:t xml:space="preserve"> may be </w:t>
      </w:r>
      <w:r w:rsidR="00FA602C">
        <w:t>reduced</w:t>
      </w:r>
      <w:r w:rsidRPr="00E259C0" w:rsidR="006743F2">
        <w:t>, since the arbitration process is likely to exhibit at least some economies of scale</w:t>
      </w:r>
      <w:r w:rsidRPr="00E259C0" w:rsidR="00242703">
        <w:t>.</w:t>
      </w:r>
      <w:r w:rsidR="00263C28">
        <w:t xml:space="preserve"> </w:t>
      </w:r>
      <w:r w:rsidRPr="00E259C0" w:rsidR="006743F2">
        <w:t>For example, the per-service cost of an arbitration case involving ten claims is likely to be less costly than the per-service cost of an arbitration case involving five claims</w:t>
      </w:r>
      <w:r w:rsidRPr="00E259C0" w:rsidR="00242703">
        <w:t>. Accordingly</w:t>
      </w:r>
      <w:r w:rsidRPr="00E259C0" w:rsidR="001D6344">
        <w:t xml:space="preserve">, </w:t>
      </w:r>
      <w:r w:rsidRPr="00E259C0" w:rsidR="001E1F1E">
        <w:t xml:space="preserve">the </w:t>
      </w:r>
      <w:r w:rsidRPr="00E259C0" w:rsidR="001D6344">
        <w:t>costs</w:t>
      </w:r>
      <w:r w:rsidRPr="00E259C0" w:rsidR="001E1F1E">
        <w:t xml:space="preserve"> for batching multiple claims, compared to batching one claim, </w:t>
      </w:r>
      <w:r w:rsidRPr="00E259C0" w:rsidR="001D6344">
        <w:t xml:space="preserve">are likely to </w:t>
      </w:r>
      <w:r w:rsidRPr="00E259C0" w:rsidR="003D447B">
        <w:t xml:space="preserve">be lower </w:t>
      </w:r>
      <w:r w:rsidRPr="00E259C0" w:rsidR="001D6344">
        <w:t xml:space="preserve">for smaller </w:t>
      </w:r>
      <w:r w:rsidRPr="00E259C0" w:rsidR="00E30E17">
        <w:t>providers and</w:t>
      </w:r>
      <w:r w:rsidRPr="00E259C0" w:rsidR="001D6344">
        <w:t xml:space="preserve"> </w:t>
      </w:r>
      <w:r w:rsidRPr="00E259C0" w:rsidR="0040181E">
        <w:t>entities</w:t>
      </w:r>
      <w:r w:rsidRPr="00E259C0" w:rsidR="001D6344">
        <w:t>.</w:t>
      </w:r>
      <w:r w:rsidR="00263C28">
        <w:t xml:space="preserve"> </w:t>
      </w:r>
      <w:r w:rsidRPr="00E259C0" w:rsidR="00736CF7">
        <w:t xml:space="preserve">The </w:t>
      </w:r>
      <w:r w:rsidR="003F0EA0">
        <w:t>202</w:t>
      </w:r>
      <w:r w:rsidR="00191A84">
        <w:t>6</w:t>
      </w:r>
      <w:r w:rsidRPr="00E259C0" w:rsidR="001E4F8B">
        <w:t xml:space="preserve"> final rules</w:t>
      </w:r>
      <w:r w:rsidRPr="00E259C0" w:rsidR="000A5362">
        <w:t xml:space="preserve"> </w:t>
      </w:r>
      <w:r w:rsidR="003B5ABF">
        <w:t>will</w:t>
      </w:r>
      <w:r w:rsidRPr="00E259C0" w:rsidR="003B5ABF">
        <w:t xml:space="preserve"> </w:t>
      </w:r>
      <w:r w:rsidRPr="00E259C0" w:rsidR="00736CF7">
        <w:t>permit additional flexibility in batching by adding, in addition to the existing batching policy, two new ways to batch multiple qualified IDR items and services: 1) if they were furnished during a single patient encounter; and 2) for</w:t>
      </w:r>
      <w:r w:rsidRPr="00E259C0" w:rsidR="00736CF7">
        <w:rPr>
          <w:rStyle w:val="ui-provider"/>
        </w:rPr>
        <w:t xml:space="preserve"> anesthesiology, radiology, pathology, and laboratory qualified IDR items and services, </w:t>
      </w:r>
      <w:r w:rsidRPr="00E259C0" w:rsidR="00464B62">
        <w:t>items and services would be considered to relate to the treatment of similar conditions when</w:t>
      </w:r>
      <w:r w:rsidRPr="00E259C0" w:rsidR="00712AB6">
        <w:t xml:space="preserve"> they are furnished to one or more patients and were billed under service codes belonging to the same Category I CPT code ranges</w:t>
      </w:r>
      <w:r w:rsidRPr="00E259C0" w:rsidR="00736CF7">
        <w:t>.</w:t>
      </w:r>
      <w:r w:rsidR="00EA267E">
        <w:t xml:space="preserve"> The 2026 final rules </w:t>
      </w:r>
      <w:r w:rsidR="003B5ABF">
        <w:t>will</w:t>
      </w:r>
      <w:r w:rsidR="00EA267E">
        <w:t xml:space="preserve"> also reduce the</w:t>
      </w:r>
      <w:r w:rsidR="002E6CFB">
        <w:t xml:space="preserve"> cooling off period to 30 business days.</w:t>
      </w:r>
    </w:p>
    <w:p w:rsidR="00FC2F3E" w:rsidRPr="00E259C0" w:rsidP="00487A1E" w14:paraId="720DFFFE" w14:textId="77777777">
      <w:pPr>
        <w:pStyle w:val="HeadingStyle"/>
        <w:rPr>
          <w:rFonts w:ascii="Times New Roman" w:hAnsi="Times New Roman" w:cs="Times New Roman"/>
          <w:b w:val="0"/>
          <w:color w:val="auto"/>
        </w:rPr>
      </w:pPr>
      <w:r w:rsidRPr="00E259C0">
        <w:rPr>
          <w:rFonts w:ascii="Times New Roman" w:hAnsi="Times New Roman" w:cs="Times New Roman"/>
          <w:color w:val="auto"/>
        </w:rPr>
        <w:t>6.</w:t>
      </w:r>
      <w:r w:rsidRPr="00E259C0">
        <w:rPr>
          <w:rFonts w:ascii="Times New Roman" w:hAnsi="Times New Roman" w:cs="Times New Roman"/>
          <w:color w:val="auto"/>
        </w:rPr>
        <w:tab/>
      </w:r>
      <w:r w:rsidRPr="00504ACA">
        <w:rPr>
          <w:rFonts w:ascii="Times New Roman" w:hAnsi="Times New Roman" w:cs="Times New Roman"/>
          <w:bCs w:val="0"/>
          <w:iCs/>
          <w:color w:val="auto"/>
        </w:rPr>
        <w:t>Describe the consequence to Federal program or policy activities if the collection is not conducted or is conducted less frequently, as well as any technical or legal obstacles to reducing burden.</w:t>
      </w:r>
    </w:p>
    <w:p w:rsidR="00FC2F3E" w:rsidRPr="00E259C0" w:rsidP="00D31765" w14:paraId="1E22B8B9" w14:textId="77777777">
      <w:pPr>
        <w:widowControl/>
        <w:ind w:left="720"/>
      </w:pPr>
    </w:p>
    <w:p w:rsidR="000D44DA" w:rsidRPr="00E259C0" w:rsidP="00D31765" w14:paraId="35155804" w14:textId="3F8252EA">
      <w:pPr>
        <w:widowControl/>
        <w:ind w:left="720"/>
      </w:pPr>
      <w:r w:rsidRPr="00E259C0">
        <w:t xml:space="preserve">The </w:t>
      </w:r>
      <w:r w:rsidRPr="00E259C0" w:rsidR="008E3F2F">
        <w:t xml:space="preserve">October 2021 </w:t>
      </w:r>
      <w:r w:rsidRPr="00E259C0" w:rsidR="006411FA">
        <w:t>interim final rules</w:t>
      </w:r>
      <w:r w:rsidRPr="00E259C0" w:rsidR="007E3753">
        <w:t xml:space="preserve">, </w:t>
      </w:r>
      <w:r w:rsidRPr="00E259C0" w:rsidR="00D75781">
        <w:t xml:space="preserve">August 2022 </w:t>
      </w:r>
      <w:r w:rsidRPr="00E259C0">
        <w:t>final rules</w:t>
      </w:r>
      <w:r w:rsidRPr="00E259C0" w:rsidR="007E3753">
        <w:t xml:space="preserve">, and </w:t>
      </w:r>
      <w:r w:rsidR="003F0EA0">
        <w:t>202</w:t>
      </w:r>
      <w:r w:rsidR="00191A84">
        <w:t>6</w:t>
      </w:r>
      <w:r w:rsidRPr="00E259C0" w:rsidR="001E4F8B">
        <w:t xml:space="preserve"> final rules</w:t>
      </w:r>
      <w:r w:rsidRPr="00E259C0" w:rsidR="007E3753">
        <w:t xml:space="preserve">, </w:t>
      </w:r>
      <w:r w:rsidRPr="00E259C0">
        <w:t>implement certain provisions of the No Surprises Act, which was enacted as part of the Consolidated Appropriations Act, 2021 (Pub. L. 116-260).</w:t>
      </w:r>
      <w:r w:rsidR="00263C28">
        <w:t xml:space="preserve"> </w:t>
      </w:r>
      <w:r w:rsidRPr="00E259C0">
        <w:t>Accordingly, not conducting these information collections or conducting these information collections less frequen</w:t>
      </w:r>
      <w:r w:rsidRPr="00E259C0" w:rsidR="002A661E">
        <w:t>tly</w:t>
      </w:r>
      <w:r w:rsidRPr="00E259C0" w:rsidR="00FE6F8B">
        <w:t xml:space="preserve"> </w:t>
      </w:r>
      <w:r w:rsidRPr="00E259C0">
        <w:t xml:space="preserve">will </w:t>
      </w:r>
      <w:r w:rsidRPr="00E259C0" w:rsidR="00FE6F8B">
        <w:t>prevent the Departments from fulfilling the requirements of these provisions.</w:t>
      </w:r>
    </w:p>
    <w:p w:rsidR="000D44DA" w:rsidRPr="00E259C0" w:rsidP="00D31765" w14:paraId="0EDE5DE2" w14:textId="77777777">
      <w:pPr>
        <w:widowControl/>
        <w:ind w:left="720"/>
      </w:pPr>
    </w:p>
    <w:p w:rsidR="0042539B" w:rsidRPr="00E259C0" w:rsidP="00D31765" w14:paraId="03C46512" w14:textId="2077681E">
      <w:pPr>
        <w:widowControl/>
        <w:ind w:left="720"/>
      </w:pPr>
      <w:r w:rsidRPr="00E259C0">
        <w:t>Because</w:t>
      </w:r>
      <w:r w:rsidRPr="00E259C0" w:rsidR="0040181E">
        <w:t xml:space="preserve"> t</w:t>
      </w:r>
      <w:r w:rsidRPr="00E259C0">
        <w:t>he</w:t>
      </w:r>
      <w:r w:rsidRPr="00E259C0" w:rsidR="00F27744">
        <w:t xml:space="preserve"> </w:t>
      </w:r>
      <w:r w:rsidRPr="00E259C0" w:rsidR="005F47CC">
        <w:t>F</w:t>
      </w:r>
      <w:r w:rsidRPr="00E259C0" w:rsidR="00F27744">
        <w:t>ederal</w:t>
      </w:r>
      <w:r w:rsidRPr="00E259C0">
        <w:t xml:space="preserve"> IDR process </w:t>
      </w:r>
      <w:r w:rsidRPr="00E259C0" w:rsidR="0040181E">
        <w:t>depends on the</w:t>
      </w:r>
      <w:r w:rsidRPr="00E259C0">
        <w:t xml:space="preserve"> sending and receiving </w:t>
      </w:r>
      <w:r w:rsidRPr="00E259C0" w:rsidR="0040181E">
        <w:t xml:space="preserve">of </w:t>
      </w:r>
      <w:r w:rsidRPr="00E259C0">
        <w:t>notices</w:t>
      </w:r>
      <w:r w:rsidRPr="00E259C0" w:rsidR="00EC3ED3">
        <w:t xml:space="preserve">, </w:t>
      </w:r>
      <w:r w:rsidRPr="00E259C0" w:rsidR="00D93F78">
        <w:t xml:space="preserve">discontinuing or reducing the frequency of these notices </w:t>
      </w:r>
      <w:r w:rsidRPr="00E259C0" w:rsidR="00667231">
        <w:t xml:space="preserve">will </w:t>
      </w:r>
      <w:r w:rsidRPr="00E259C0" w:rsidR="00D93F78">
        <w:t>not be possible</w:t>
      </w:r>
      <w:r w:rsidRPr="00E259C0">
        <w:t>.</w:t>
      </w:r>
      <w:r w:rsidRPr="00E259C0" w:rsidR="000D44DA">
        <w:t xml:space="preserve"> </w:t>
      </w:r>
      <w:r w:rsidRPr="00E259C0" w:rsidR="00616FBB">
        <w:t xml:space="preserve">Without these notices, the Departments </w:t>
      </w:r>
      <w:r w:rsidRPr="00E259C0" w:rsidR="00667231">
        <w:t xml:space="preserve">will </w:t>
      </w:r>
      <w:r w:rsidRPr="00E259C0" w:rsidR="00616FBB">
        <w:t>be unable to meet the statutory requirements of</w:t>
      </w:r>
      <w:r w:rsidRPr="00E259C0" w:rsidR="00F27744">
        <w:t xml:space="preserve"> PHS Act sections 2799A-1(c) and 2799A-2(b); ERISA sections 716(c) and 717(b)</w:t>
      </w:r>
      <w:r w:rsidRPr="00E259C0" w:rsidR="00033811">
        <w:t>;</w:t>
      </w:r>
      <w:r w:rsidRPr="00E259C0" w:rsidR="00F27744">
        <w:t xml:space="preserve"> and</w:t>
      </w:r>
      <w:r w:rsidRPr="00E259C0" w:rsidR="00616FBB">
        <w:t xml:space="preserve"> Code sections 9816(c) and 9817(b). </w:t>
      </w:r>
    </w:p>
    <w:p w:rsidR="0042539B" w:rsidRPr="00E259C0" w:rsidP="00D31765" w14:paraId="357E7CE1" w14:textId="77777777">
      <w:pPr>
        <w:widowControl/>
        <w:ind w:left="720"/>
      </w:pPr>
    </w:p>
    <w:p w:rsidR="0042539B" w:rsidRPr="00E259C0" w:rsidP="00D31765" w14:paraId="5089952F" w14:textId="5CF40AA4">
      <w:pPr>
        <w:widowControl/>
        <w:ind w:left="720"/>
      </w:pPr>
      <w:r w:rsidRPr="00E259C0">
        <w:t xml:space="preserve">The certification of IDR entities and the ability of parties to petition </w:t>
      </w:r>
      <w:r w:rsidRPr="00E259C0" w:rsidR="00836A8D">
        <w:t>for denial</w:t>
      </w:r>
      <w:r w:rsidRPr="00E259C0" w:rsidR="00AD08E4">
        <w:t xml:space="preserve"> of an IDR entity’s certification</w:t>
      </w:r>
      <w:r w:rsidRPr="00E259C0" w:rsidR="00836A8D">
        <w:t xml:space="preserve"> or </w:t>
      </w:r>
      <w:r w:rsidRPr="00E259C0" w:rsidR="00AD08E4">
        <w:t xml:space="preserve">the </w:t>
      </w:r>
      <w:r w:rsidRPr="00E259C0" w:rsidR="0040181E">
        <w:t>revocation</w:t>
      </w:r>
      <w:r w:rsidRPr="00E259C0">
        <w:t xml:space="preserve"> </w:t>
      </w:r>
      <w:r w:rsidRPr="00E259C0" w:rsidR="00720B22">
        <w:t xml:space="preserve">of </w:t>
      </w:r>
      <w:r w:rsidRPr="00E259C0">
        <w:t>a</w:t>
      </w:r>
      <w:r w:rsidRPr="00E259C0" w:rsidR="00AD08E4">
        <w:t xml:space="preserve"> certified</w:t>
      </w:r>
      <w:r w:rsidRPr="00E259C0">
        <w:t xml:space="preserve"> IDR entity</w:t>
      </w:r>
      <w:r w:rsidRPr="00E259C0" w:rsidR="0040181E">
        <w:t>’s certification</w:t>
      </w:r>
      <w:r w:rsidRPr="00E259C0">
        <w:t xml:space="preserve"> ensure that </w:t>
      </w:r>
      <w:r w:rsidRPr="00E259C0" w:rsidR="0040181E">
        <w:t xml:space="preserve">certified </w:t>
      </w:r>
      <w:r w:rsidRPr="00E259C0">
        <w:t xml:space="preserve">IDR entities meet </w:t>
      </w:r>
      <w:r w:rsidRPr="00E259C0" w:rsidR="008E3F2F">
        <w:t xml:space="preserve">and maintain </w:t>
      </w:r>
      <w:r w:rsidRPr="00E259C0">
        <w:t xml:space="preserve">a certain quality level. </w:t>
      </w:r>
      <w:r w:rsidRPr="00E259C0" w:rsidR="0040181E">
        <w:t xml:space="preserve">Certified </w:t>
      </w:r>
      <w:r w:rsidRPr="00E259C0">
        <w:t xml:space="preserve">IDR entities are required to be recertified every </w:t>
      </w:r>
      <w:r w:rsidR="003F0EA0">
        <w:t>five</w:t>
      </w:r>
      <w:r w:rsidRPr="00E259C0" w:rsidR="00D07BFB">
        <w:t xml:space="preserve"> </w:t>
      </w:r>
      <w:r w:rsidRPr="00E259C0">
        <w:t xml:space="preserve">years; extending this time period would decrease oversight of the performance of </w:t>
      </w:r>
      <w:r w:rsidRPr="00E259C0" w:rsidR="0040181E">
        <w:t xml:space="preserve">certified </w:t>
      </w:r>
      <w:r w:rsidRPr="00E259C0">
        <w:t>IDR entities.</w:t>
      </w:r>
    </w:p>
    <w:p w:rsidR="0042539B" w:rsidRPr="00E259C0" w:rsidP="00D31765" w14:paraId="492D16EC" w14:textId="77777777">
      <w:pPr>
        <w:widowControl/>
        <w:ind w:left="720"/>
      </w:pPr>
    </w:p>
    <w:p w:rsidR="0042539B" w:rsidRPr="00E259C0" w:rsidP="00D31765" w14:paraId="61D53652" w14:textId="562A8765">
      <w:pPr>
        <w:widowControl/>
        <w:ind w:left="720"/>
      </w:pPr>
      <w:r w:rsidRPr="00E259C0">
        <w:t>The</w:t>
      </w:r>
      <w:r w:rsidRPr="00E259C0" w:rsidR="008E3F2F">
        <w:t xml:space="preserve"> October 2021</w:t>
      </w:r>
      <w:r w:rsidRPr="00E259C0">
        <w:t xml:space="preserve"> </w:t>
      </w:r>
      <w:r w:rsidRPr="00E259C0" w:rsidR="00DE631E">
        <w:t>interim final rules</w:t>
      </w:r>
      <w:r w:rsidRPr="00E259C0" w:rsidR="00160656">
        <w:t xml:space="preserve"> and </w:t>
      </w:r>
      <w:r w:rsidRPr="00E259C0" w:rsidR="00D75781">
        <w:t xml:space="preserve">August 2022 </w:t>
      </w:r>
      <w:r w:rsidRPr="00E259C0" w:rsidR="00160656">
        <w:t>final rules</w:t>
      </w:r>
      <w:r w:rsidRPr="00E259C0">
        <w:t xml:space="preserve"> require </w:t>
      </w:r>
      <w:r w:rsidRPr="00E259C0" w:rsidR="00D90B05">
        <w:t xml:space="preserve">certified </w:t>
      </w:r>
      <w:r w:rsidRPr="00E259C0">
        <w:t xml:space="preserve">IDR entities to report </w:t>
      </w:r>
      <w:r w:rsidRPr="00E259C0" w:rsidR="003502F2">
        <w:t>data</w:t>
      </w:r>
      <w:r w:rsidRPr="00E259C0">
        <w:t xml:space="preserve"> on a monthly basis</w:t>
      </w:r>
      <w:r w:rsidRPr="00E259C0" w:rsidR="00D93F78">
        <w:t xml:space="preserve"> to the Department</w:t>
      </w:r>
      <w:r w:rsidRPr="00E259C0" w:rsidR="0040181E">
        <w:t>s</w:t>
      </w:r>
      <w:r w:rsidRPr="00E259C0">
        <w:t xml:space="preserve">. </w:t>
      </w:r>
      <w:r w:rsidRPr="00E259C0" w:rsidR="00D93F78">
        <w:t xml:space="preserve">If </w:t>
      </w:r>
      <w:r w:rsidRPr="00E259C0" w:rsidR="00D90B05">
        <w:t>certified</w:t>
      </w:r>
      <w:r w:rsidRPr="00E259C0" w:rsidR="00D93F78">
        <w:t xml:space="preserve"> IDR entities were required to report their activity less frequently, the Department</w:t>
      </w:r>
      <w:r w:rsidRPr="00E259C0" w:rsidR="0040181E">
        <w:t>s</w:t>
      </w:r>
      <w:r w:rsidRPr="00E259C0" w:rsidR="00D93F78">
        <w:t xml:space="preserve"> would not be able to monitor </w:t>
      </w:r>
      <w:r w:rsidRPr="00E259C0" w:rsidR="00CA4E79">
        <w:t xml:space="preserve">the </w:t>
      </w:r>
      <w:r w:rsidRPr="00E259C0" w:rsidR="003E0FEC">
        <w:t>Federal</w:t>
      </w:r>
      <w:r w:rsidRPr="00E259C0" w:rsidR="00D93F78">
        <w:t xml:space="preserve"> IDR process as closely, which could </w:t>
      </w:r>
      <w:r w:rsidRPr="00E259C0" w:rsidR="000C18F0">
        <w:t xml:space="preserve">harm </w:t>
      </w:r>
      <w:r w:rsidRPr="00E259C0" w:rsidR="0040181E">
        <w:t xml:space="preserve">individuals, plans, </w:t>
      </w:r>
      <w:r w:rsidRPr="00E259C0" w:rsidR="0040181E">
        <w:t xml:space="preserve">issuers, </w:t>
      </w:r>
      <w:r w:rsidRPr="00E259C0" w:rsidR="003B71FA">
        <w:t xml:space="preserve">FEHB </w:t>
      </w:r>
      <w:r w:rsidRPr="00E259C0" w:rsidR="003E0FEC">
        <w:t xml:space="preserve">carriers, </w:t>
      </w:r>
      <w:r w:rsidRPr="00E259C0" w:rsidR="0040181E">
        <w:t>provide</w:t>
      </w:r>
      <w:r w:rsidRPr="00E259C0" w:rsidR="00AD08E4">
        <w:t>r</w:t>
      </w:r>
      <w:r w:rsidRPr="00E259C0" w:rsidR="0040181E">
        <w:t>s</w:t>
      </w:r>
      <w:r w:rsidRPr="00E259C0" w:rsidR="00DE631E">
        <w:t>,</w:t>
      </w:r>
      <w:r w:rsidRPr="00E259C0" w:rsidR="0040181E">
        <w:t xml:space="preserve"> facilities, and </w:t>
      </w:r>
      <w:r w:rsidRPr="00E259C0" w:rsidR="00DE631E">
        <w:t>providers of air ambulance services,</w:t>
      </w:r>
      <w:r w:rsidRPr="00E259C0" w:rsidR="0040181E">
        <w:t xml:space="preserve"> and could cause harms to the wider health care market</w:t>
      </w:r>
      <w:r w:rsidRPr="00E259C0" w:rsidR="000C18F0">
        <w:t xml:space="preserve">. </w:t>
      </w:r>
      <w:r w:rsidRPr="00E259C0" w:rsidR="00794A65">
        <w:t>This would also affect the ability of the Departments to report certain information on their public websites as is required under the No Surprises Act.</w:t>
      </w:r>
    </w:p>
    <w:p w:rsidR="00A017BE" w:rsidRPr="00E259C0" w:rsidP="00D31765" w14:paraId="00080F4D" w14:textId="286D489C">
      <w:pPr>
        <w:widowControl/>
        <w:ind w:left="720"/>
      </w:pPr>
    </w:p>
    <w:p w:rsidR="00FC2F3E" w:rsidRPr="00E259C0" w:rsidP="00487A1E" w14:paraId="4B91D8C8" w14:textId="43C3851B">
      <w:pPr>
        <w:widowControl/>
        <w:ind w:left="720"/>
      </w:pPr>
      <w:r>
        <w:t>T</w:t>
      </w:r>
      <w:r w:rsidRPr="00E259C0" w:rsidR="00A017BE">
        <w:t xml:space="preserve">he </w:t>
      </w:r>
      <w:r w:rsidR="003F0EA0">
        <w:t>202</w:t>
      </w:r>
      <w:r w:rsidR="00191A84">
        <w:t>6</w:t>
      </w:r>
      <w:r w:rsidRPr="00E259C0" w:rsidR="001E4F8B">
        <w:t xml:space="preserve"> final rules</w:t>
      </w:r>
      <w:r w:rsidR="004B0491">
        <w:t xml:space="preserve"> </w:t>
      </w:r>
      <w:r w:rsidRPr="00E259C0" w:rsidR="00A017BE">
        <w:t>creat</w:t>
      </w:r>
      <w:r>
        <w:t>e</w:t>
      </w:r>
      <w:r w:rsidRPr="00E259C0" w:rsidR="00A017BE">
        <w:t xml:space="preserve"> a single registry of plans and issuers subject to the Federal IDR process. </w:t>
      </w:r>
      <w:r w:rsidRPr="00E259C0" w:rsidR="00F022AA">
        <w:t xml:space="preserve">Initial registration would be required to be completed by the later of the date that is </w:t>
      </w:r>
      <w:r w:rsidR="001F4839">
        <w:t>90</w:t>
      </w:r>
      <w:r w:rsidRPr="00E259C0" w:rsidR="001F4839">
        <w:t xml:space="preserve"> </w:t>
      </w:r>
      <w:r w:rsidRPr="00E259C0" w:rsidR="00F022AA">
        <w:t>business days after the registry becomes available, or the date the group health plan or health insurance issuer begins offering a group health plan or individual health insurance coverage subject to the Federal IDR process.</w:t>
      </w:r>
      <w:r w:rsidRPr="00E259C0" w:rsidR="00427AD7">
        <w:t xml:space="preserve"> </w:t>
      </w:r>
      <w:r w:rsidRPr="00E259C0" w:rsidR="00AA6328">
        <w:t xml:space="preserve">A </w:t>
      </w:r>
      <w:r w:rsidRPr="00E259C0" w:rsidR="00F36518">
        <w:t>plan, issuer, or FEHB carrier</w:t>
      </w:r>
      <w:r w:rsidRPr="00E259C0" w:rsidR="00AA6328">
        <w:t xml:space="preserve"> would be required to report to the Departments changes to the information required under this section within 30 calendar days after the information changes</w:t>
      </w:r>
      <w:r w:rsidRPr="00E259C0" w:rsidR="001E4143">
        <w:t xml:space="preserve"> and</w:t>
      </w:r>
      <w:r w:rsidRPr="00E259C0" w:rsidR="00AA6328">
        <w:t xml:space="preserve"> confirm the accuracy of its registration annually in the fourth quarter of each calendar year</w:t>
      </w:r>
      <w:r w:rsidRPr="00E259C0" w:rsidR="00AA6328">
        <w:rPr>
          <w:shd w:val="clear" w:color="auto" w:fill="FFFFFF"/>
        </w:rPr>
        <w:t xml:space="preserve">. </w:t>
      </w:r>
      <w:r w:rsidRPr="00E259C0" w:rsidR="003D310F">
        <w:rPr>
          <w:shd w:val="clear" w:color="auto" w:fill="FFFFFF"/>
        </w:rPr>
        <w:t xml:space="preserve">Not implementing this requirement, or </w:t>
      </w:r>
      <w:r w:rsidRPr="00E259C0" w:rsidR="003D310F">
        <w:t>r</w:t>
      </w:r>
      <w:r w:rsidRPr="00E259C0" w:rsidR="00427AD7">
        <w:t xml:space="preserve">equiring </w:t>
      </w:r>
      <w:r w:rsidRPr="00E259C0" w:rsidR="00AA6328">
        <w:t xml:space="preserve">plans and issuers </w:t>
      </w:r>
      <w:r w:rsidRPr="00E259C0" w:rsidR="00427AD7">
        <w:t xml:space="preserve">subject to the Federal IDR process </w:t>
      </w:r>
      <w:r w:rsidRPr="00E259C0" w:rsidR="00AA6328">
        <w:t xml:space="preserve">to update information </w:t>
      </w:r>
      <w:r w:rsidRPr="00E259C0" w:rsidR="00427AD7">
        <w:t xml:space="preserve">any less frequently would undermine </w:t>
      </w:r>
      <w:r w:rsidRPr="00E259C0" w:rsidR="00852540">
        <w:t xml:space="preserve">efforts by the Departments to </w:t>
      </w:r>
      <w:r w:rsidRPr="00E259C0" w:rsidR="00393137">
        <w:t>mitigate communication challenges</w:t>
      </w:r>
      <w:r w:rsidRPr="00E259C0" w:rsidR="003A6550">
        <w:t xml:space="preserve"> between disputing parties</w:t>
      </w:r>
      <w:r w:rsidRPr="00E259C0" w:rsidR="00393137">
        <w:t>,</w:t>
      </w:r>
      <w:r w:rsidRPr="00E259C0" w:rsidR="003A6550">
        <w:t xml:space="preserve"> </w:t>
      </w:r>
      <w:r w:rsidRPr="00E259C0" w:rsidR="000A548A">
        <w:t>including avoiding preventable</w:t>
      </w:r>
      <w:r w:rsidRPr="00E259C0" w:rsidR="00535B2F">
        <w:t xml:space="preserve"> instances </w:t>
      </w:r>
      <w:r w:rsidRPr="00E259C0" w:rsidR="00976DC2">
        <w:t xml:space="preserve">of misdirected </w:t>
      </w:r>
      <w:r w:rsidRPr="00E259C0" w:rsidR="00BF1081">
        <w:t>correspondence.</w:t>
      </w:r>
    </w:p>
    <w:p w:rsidR="00FC2F3E" w:rsidRPr="00E259C0" w:rsidP="00487A1E" w14:paraId="7E56417F" w14:textId="0AFBBE84">
      <w:pPr>
        <w:pStyle w:val="HeadingStyle"/>
        <w:rPr>
          <w:rFonts w:ascii="Times New Roman" w:hAnsi="Times New Roman" w:cs="Times New Roman"/>
          <w:color w:val="auto"/>
        </w:rPr>
      </w:pPr>
      <w:r w:rsidRPr="00E259C0">
        <w:rPr>
          <w:rFonts w:ascii="Times New Roman" w:hAnsi="Times New Roman" w:cs="Times New Roman"/>
          <w:color w:val="auto"/>
        </w:rPr>
        <w:t>7.</w:t>
      </w:r>
      <w:r w:rsidRPr="00E259C0">
        <w:rPr>
          <w:rFonts w:ascii="Times New Roman" w:hAnsi="Times New Roman" w:cs="Times New Roman"/>
          <w:color w:val="auto"/>
        </w:rPr>
        <w:tab/>
        <w:t>Explain any special circumstances that would cause an information collection to be conducted in a manner:</w:t>
      </w:r>
    </w:p>
    <w:p w:rsidR="003502F2" w:rsidRPr="00E259C0" w:rsidP="001E6850" w14:paraId="4E1B9A66" w14:textId="77777777">
      <w:pPr>
        <w:widowControl/>
        <w:tabs>
          <w:tab w:val="left" w:pos="-1440"/>
        </w:tabs>
        <w:ind w:left="1440" w:hanging="270"/>
        <w:rPr>
          <w:b/>
          <w:iCs/>
        </w:rPr>
      </w:pPr>
      <w:r w:rsidRPr="00E259C0">
        <w:rPr>
          <w:b/>
          <w:iCs/>
        </w:rPr>
        <w:t>•</w:t>
      </w:r>
      <w:r w:rsidRPr="00E259C0">
        <w:rPr>
          <w:b/>
          <w:iCs/>
        </w:rPr>
        <w:tab/>
        <w:t>requiring respondents to report information to the agency more often than quarterly;</w:t>
      </w:r>
    </w:p>
    <w:p w:rsidR="003502F2" w:rsidRPr="00E259C0" w:rsidP="001E6850" w14:paraId="13FF1F3D" w14:textId="77777777">
      <w:pPr>
        <w:widowControl/>
        <w:tabs>
          <w:tab w:val="left" w:pos="-1440"/>
        </w:tabs>
        <w:ind w:left="1440" w:hanging="270"/>
        <w:rPr>
          <w:b/>
          <w:iCs/>
        </w:rPr>
      </w:pPr>
      <w:r w:rsidRPr="00E259C0">
        <w:rPr>
          <w:b/>
          <w:iCs/>
        </w:rPr>
        <w:t>•</w:t>
      </w:r>
      <w:r w:rsidRPr="00E259C0">
        <w:rPr>
          <w:b/>
          <w:iCs/>
        </w:rPr>
        <w:tab/>
        <w:t>requiring respondents to prepare a written response to a collection of information in fewer than 30 days after receipt of it;</w:t>
      </w:r>
    </w:p>
    <w:p w:rsidR="003502F2" w:rsidRPr="00E259C0" w:rsidP="001E6850" w14:paraId="3D5E1504" w14:textId="77777777">
      <w:pPr>
        <w:widowControl/>
        <w:tabs>
          <w:tab w:val="left" w:pos="-1440"/>
        </w:tabs>
        <w:ind w:left="1440" w:hanging="270"/>
        <w:rPr>
          <w:b/>
          <w:iCs/>
        </w:rPr>
      </w:pPr>
      <w:r w:rsidRPr="00E259C0">
        <w:rPr>
          <w:b/>
          <w:iCs/>
        </w:rPr>
        <w:t>•</w:t>
      </w:r>
      <w:r w:rsidRPr="00E259C0">
        <w:rPr>
          <w:b/>
          <w:iCs/>
        </w:rPr>
        <w:tab/>
        <w:t>requiring respondents to submit more than an original and 2 copies of any document;</w:t>
      </w:r>
    </w:p>
    <w:p w:rsidR="003502F2" w:rsidRPr="00E259C0" w:rsidP="001E6850" w14:paraId="5D591A96" w14:textId="77777777">
      <w:pPr>
        <w:widowControl/>
        <w:tabs>
          <w:tab w:val="left" w:pos="-1440"/>
        </w:tabs>
        <w:ind w:left="1440" w:hanging="270"/>
        <w:rPr>
          <w:b/>
          <w:iCs/>
        </w:rPr>
      </w:pPr>
      <w:r w:rsidRPr="00E259C0">
        <w:rPr>
          <w:b/>
          <w:iCs/>
        </w:rPr>
        <w:t>•</w:t>
      </w:r>
      <w:r w:rsidRPr="00E259C0">
        <w:rPr>
          <w:b/>
          <w:iCs/>
        </w:rPr>
        <w:tab/>
        <w:t>requiring respondents to retain records, other than health, medical, government contract, grant-in-aid, or tax records for more than 3 years;</w:t>
      </w:r>
    </w:p>
    <w:p w:rsidR="003502F2" w:rsidRPr="00E259C0" w:rsidP="001E6850" w14:paraId="3E5DC80E" w14:textId="77777777">
      <w:pPr>
        <w:widowControl/>
        <w:tabs>
          <w:tab w:val="left" w:pos="-1440"/>
        </w:tabs>
        <w:ind w:left="1440" w:hanging="270"/>
        <w:rPr>
          <w:b/>
          <w:iCs/>
        </w:rPr>
      </w:pPr>
      <w:r w:rsidRPr="00E259C0">
        <w:rPr>
          <w:b/>
          <w:iCs/>
        </w:rPr>
        <w:t>•</w:t>
      </w:r>
      <w:r w:rsidRPr="00E259C0">
        <w:rPr>
          <w:b/>
          <w:iCs/>
        </w:rPr>
        <w:tab/>
        <w:t>in connection with a statistical survey, that is not designed to produce valid and reliable results that can be generalized to the universe of study;</w:t>
      </w:r>
    </w:p>
    <w:p w:rsidR="003502F2" w:rsidRPr="00E259C0" w:rsidP="001E6850" w14:paraId="2ED09994" w14:textId="77777777">
      <w:pPr>
        <w:widowControl/>
        <w:tabs>
          <w:tab w:val="left" w:pos="-1440"/>
        </w:tabs>
        <w:ind w:left="1440" w:hanging="270"/>
        <w:rPr>
          <w:b/>
          <w:iCs/>
        </w:rPr>
      </w:pPr>
      <w:r w:rsidRPr="00E259C0">
        <w:rPr>
          <w:b/>
          <w:iCs/>
        </w:rPr>
        <w:t>•</w:t>
      </w:r>
      <w:r w:rsidRPr="00E259C0">
        <w:rPr>
          <w:b/>
          <w:iCs/>
        </w:rPr>
        <w:tab/>
        <w:t>requiring the use of a statistical data classification that has not been reviewed and approved by OMB;</w:t>
      </w:r>
    </w:p>
    <w:p w:rsidR="003502F2" w:rsidRPr="00E259C0" w:rsidP="001E6850" w14:paraId="13A08A1A" w14:textId="77777777">
      <w:pPr>
        <w:widowControl/>
        <w:tabs>
          <w:tab w:val="left" w:pos="-1440"/>
        </w:tabs>
        <w:ind w:left="1440" w:hanging="270"/>
        <w:rPr>
          <w:b/>
          <w:iCs/>
        </w:rPr>
      </w:pPr>
      <w:r w:rsidRPr="00E259C0">
        <w:rPr>
          <w:b/>
          <w:iCs/>
        </w:rPr>
        <w:t>•</w:t>
      </w:r>
      <w:r w:rsidRPr="00E259C0">
        <w:rPr>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502F2" w:rsidRPr="00E259C0" w:rsidP="001E6850" w14:paraId="10DEB7ED" w14:textId="77777777">
      <w:pPr>
        <w:widowControl/>
        <w:tabs>
          <w:tab w:val="left" w:pos="-1440"/>
        </w:tabs>
        <w:ind w:left="1440" w:hanging="270"/>
        <w:rPr>
          <w:b/>
          <w:iCs/>
        </w:rPr>
      </w:pPr>
      <w:r w:rsidRPr="00E259C0">
        <w:rPr>
          <w:b/>
          <w:iCs/>
        </w:rPr>
        <w:t>•</w:t>
      </w:r>
      <w:r w:rsidRPr="00E259C0">
        <w:rPr>
          <w:b/>
          <w:iCs/>
        </w:rPr>
        <w:tab/>
        <w:t xml:space="preserve">requiring respondents to submit proprietary trade secret, or other confidential information unless the agency can demonstrate that it has </w:t>
      </w:r>
      <w:r w:rsidRPr="00E259C0">
        <w:rPr>
          <w:b/>
          <w:iCs/>
        </w:rPr>
        <w:t>instituted procedures to protect the information's confidentiality to the extent permitted by law.</w:t>
      </w:r>
    </w:p>
    <w:p w:rsidR="00FC2F3E" w:rsidRPr="00E259C0" w:rsidP="003502F2" w14:paraId="4B42C694" w14:textId="77777777">
      <w:pPr>
        <w:widowControl/>
        <w:tabs>
          <w:tab w:val="left" w:pos="-1440"/>
        </w:tabs>
        <w:ind w:left="1440" w:hanging="720"/>
      </w:pPr>
    </w:p>
    <w:p w:rsidR="00C240DF" w:rsidRPr="00E259C0" w:rsidP="00C240DF" w14:paraId="5BC9008B" w14:textId="08D03C69">
      <w:pPr>
        <w:ind w:left="720"/>
      </w:pPr>
      <w:r w:rsidRPr="00E259C0">
        <w:t xml:space="preserve">The </w:t>
      </w:r>
      <w:r w:rsidRPr="00E259C0" w:rsidR="007C6B37">
        <w:t xml:space="preserve">October 2021 </w:t>
      </w:r>
      <w:r w:rsidRPr="00E259C0" w:rsidR="00566DD4">
        <w:t>interim final</w:t>
      </w:r>
      <w:r w:rsidRPr="00E259C0" w:rsidR="002133C0">
        <w:t xml:space="preserve"> rules</w:t>
      </w:r>
      <w:r w:rsidRPr="00E259C0" w:rsidR="00A744B7">
        <w:t xml:space="preserve"> and </w:t>
      </w:r>
      <w:r w:rsidRPr="00E259C0" w:rsidR="00377113">
        <w:t xml:space="preserve">August 2022 </w:t>
      </w:r>
      <w:r w:rsidRPr="00E259C0" w:rsidR="00A744B7">
        <w:t>final</w:t>
      </w:r>
      <w:r w:rsidRPr="00E259C0" w:rsidR="00566DD4">
        <w:t xml:space="preserve"> rules</w:t>
      </w:r>
      <w:r w:rsidRPr="00E259C0">
        <w:t xml:space="preserve"> require each certified IDR entity to report specified information on the </w:t>
      </w:r>
      <w:r w:rsidRPr="00E259C0" w:rsidR="007F0771">
        <w:t xml:space="preserve">Federal </w:t>
      </w:r>
      <w:r w:rsidRPr="00E259C0">
        <w:t>IDR</w:t>
      </w:r>
      <w:r w:rsidRPr="00E259C0" w:rsidR="00566DD4">
        <w:t xml:space="preserve"> process</w:t>
      </w:r>
      <w:r w:rsidRPr="00E259C0">
        <w:t xml:space="preserve"> </w:t>
      </w:r>
      <w:r w:rsidRPr="00E259C0" w:rsidR="00B67826">
        <w:t xml:space="preserve">payment determinations </w:t>
      </w:r>
      <w:r w:rsidRPr="00E259C0" w:rsidR="00534F4B">
        <w:t>t</w:t>
      </w:r>
      <w:r w:rsidRPr="00E259C0" w:rsidR="00704105">
        <w:t>o the Department</w:t>
      </w:r>
      <w:r w:rsidRPr="00E259C0" w:rsidR="00B67826">
        <w:t>s</w:t>
      </w:r>
      <w:r w:rsidRPr="00E259C0" w:rsidR="00704105">
        <w:t xml:space="preserve"> </w:t>
      </w:r>
      <w:r w:rsidRPr="00E259C0">
        <w:t>on a monthly basis.</w:t>
      </w:r>
      <w:r w:rsidRPr="00E259C0" w:rsidR="0053357D">
        <w:t xml:space="preserve"> Additionally, for certification, IDR entities must </w:t>
      </w:r>
      <w:r w:rsidRPr="00E259C0" w:rsidR="00B67826">
        <w:t>submit</w:t>
      </w:r>
      <w:r w:rsidRPr="00E259C0" w:rsidR="0053357D">
        <w:t xml:space="preserve"> description</w:t>
      </w:r>
      <w:r w:rsidRPr="00E259C0" w:rsidR="00F944ED">
        <w:t>s</w:t>
      </w:r>
      <w:r w:rsidRPr="00E259C0" w:rsidR="008550C6">
        <w:t xml:space="preserve"> </w:t>
      </w:r>
      <w:r w:rsidRPr="00E259C0" w:rsidR="0053357D">
        <w:t xml:space="preserve">of </w:t>
      </w:r>
      <w:r w:rsidRPr="00E259C0" w:rsidR="00B67826">
        <w:t>their</w:t>
      </w:r>
      <w:r w:rsidRPr="00E259C0" w:rsidR="0053357D">
        <w:t xml:space="preserve"> organizational structure</w:t>
      </w:r>
      <w:r w:rsidRPr="00E259C0" w:rsidR="00B67826">
        <w:t>s</w:t>
      </w:r>
      <w:r w:rsidRPr="00E259C0" w:rsidR="0053357D">
        <w:t xml:space="preserve"> and capabilities, including an organizational chart, and the credentials, responsibilities, and number of personnel </w:t>
      </w:r>
      <w:r w:rsidRPr="00E259C0" w:rsidR="003502F2">
        <w:t xml:space="preserve">employed to make </w:t>
      </w:r>
      <w:r w:rsidRPr="00E259C0" w:rsidR="004F3A88">
        <w:t xml:space="preserve">payment </w:t>
      </w:r>
      <w:r w:rsidRPr="00E259C0" w:rsidR="003502F2">
        <w:t>determinations.</w:t>
      </w:r>
      <w:r w:rsidRPr="00E259C0" w:rsidR="00566DD4">
        <w:t xml:space="preserve"> Finally, the </w:t>
      </w:r>
      <w:r w:rsidRPr="00E259C0" w:rsidR="007C6B37">
        <w:t xml:space="preserve">October 2021 </w:t>
      </w:r>
      <w:r w:rsidRPr="00E259C0" w:rsidR="00566DD4">
        <w:t>interim final rule</w:t>
      </w:r>
      <w:r w:rsidRPr="00E259C0" w:rsidR="001E41E7">
        <w:t>s</w:t>
      </w:r>
      <w:r w:rsidRPr="00E259C0" w:rsidR="005975F3">
        <w:t xml:space="preserve"> and final rules</w:t>
      </w:r>
      <w:r w:rsidRPr="00E259C0" w:rsidR="00566DD4">
        <w:t xml:space="preserve"> require the parties </w:t>
      </w:r>
      <w:r w:rsidRPr="00E259C0" w:rsidR="00C60F96">
        <w:t xml:space="preserve">participating in </w:t>
      </w:r>
      <w:r w:rsidRPr="00E259C0" w:rsidR="00566DD4">
        <w:t xml:space="preserve">the </w:t>
      </w:r>
      <w:r w:rsidRPr="00E259C0" w:rsidR="007F0771">
        <w:t>F</w:t>
      </w:r>
      <w:r w:rsidRPr="00E259C0" w:rsidR="00566DD4">
        <w:t xml:space="preserve">ederal IDR process to provide </w:t>
      </w:r>
      <w:r w:rsidRPr="00E259C0" w:rsidR="00C00B36">
        <w:t xml:space="preserve">the required </w:t>
      </w:r>
      <w:r w:rsidRPr="00E259C0" w:rsidR="00566DD4">
        <w:t>notices to the</w:t>
      </w:r>
      <w:r w:rsidRPr="00E259C0" w:rsidR="002E32DE">
        <w:t xml:space="preserve"> </w:t>
      </w:r>
      <w:r w:rsidRPr="00E259C0" w:rsidR="00E67CF6">
        <w:t>certified IDR entities</w:t>
      </w:r>
      <w:r w:rsidRPr="00E259C0" w:rsidR="002E32DE">
        <w:t>,</w:t>
      </w:r>
      <w:r w:rsidRPr="00E259C0" w:rsidR="00566DD4">
        <w:t xml:space="preserve"> </w:t>
      </w:r>
      <w:r w:rsidRPr="00E259C0" w:rsidR="00E67CF6">
        <w:t>the opposing party</w:t>
      </w:r>
      <w:r w:rsidRPr="00E259C0" w:rsidR="002E32DE">
        <w:t>,</w:t>
      </w:r>
      <w:r w:rsidRPr="00E259C0" w:rsidR="00566DD4">
        <w:t xml:space="preserve"> and to the Departments. </w:t>
      </w:r>
      <w:r w:rsidRPr="00E259C0" w:rsidR="001E41E7">
        <w:t>This</w:t>
      </w:r>
      <w:r w:rsidRPr="00E259C0" w:rsidR="00566DD4">
        <w:t xml:space="preserve"> information is required to efficiently conduct the </w:t>
      </w:r>
      <w:r w:rsidRPr="00E259C0" w:rsidR="007F0771">
        <w:t xml:space="preserve">Federal </w:t>
      </w:r>
      <w:r w:rsidRPr="00E259C0" w:rsidR="00566DD4">
        <w:t xml:space="preserve">IDR process within the timeframes </w:t>
      </w:r>
      <w:r w:rsidRPr="00E259C0" w:rsidR="007C6B37">
        <w:t xml:space="preserve">required </w:t>
      </w:r>
      <w:r w:rsidRPr="00E259C0" w:rsidR="00566DD4">
        <w:t>by statute</w:t>
      </w:r>
      <w:r w:rsidRPr="00E259C0" w:rsidR="00DF080E">
        <w:t>.</w:t>
      </w:r>
    </w:p>
    <w:p w:rsidR="002401F1" w:rsidRPr="00E259C0" w:rsidP="00C240DF" w14:paraId="100207ED" w14:textId="0B2524F7">
      <w:pPr>
        <w:ind w:left="720"/>
      </w:pPr>
    </w:p>
    <w:p w:rsidR="00FC2F3E" w:rsidRPr="00E259C0" w:rsidP="00487A1E" w14:paraId="6DBE369B" w14:textId="6EF7FA46">
      <w:pPr>
        <w:ind w:left="720"/>
      </w:pPr>
      <w:r w:rsidRPr="00E259C0">
        <w:t xml:space="preserve">Also, per </w:t>
      </w:r>
      <w:r w:rsidRPr="00E259C0" w:rsidR="007D0614">
        <w:rPr>
          <w:bCs/>
        </w:rPr>
        <w:t>26 CFR 54.9816-8T(</w:t>
      </w:r>
      <w:r w:rsidRPr="00E259C0" w:rsidR="001139E3">
        <w:rPr>
          <w:bCs/>
        </w:rPr>
        <w:t>c</w:t>
      </w:r>
      <w:r w:rsidRPr="00E259C0" w:rsidR="007D0614">
        <w:rPr>
          <w:bCs/>
        </w:rPr>
        <w:t>)</w:t>
      </w:r>
      <w:r w:rsidRPr="00E259C0" w:rsidR="001A7BEF">
        <w:rPr>
          <w:bCs/>
        </w:rPr>
        <w:t>(4)</w:t>
      </w:r>
      <w:r w:rsidRPr="00E259C0" w:rsidR="00C4540C">
        <w:rPr>
          <w:bCs/>
        </w:rPr>
        <w:t>(viii</w:t>
      </w:r>
      <w:r w:rsidRPr="00E259C0" w:rsidR="007D0614">
        <w:rPr>
          <w:bCs/>
        </w:rPr>
        <w:t>), 29 CFR 2590.716-8(</w:t>
      </w:r>
      <w:r w:rsidRPr="00E259C0" w:rsidR="00C4540C">
        <w:rPr>
          <w:bCs/>
        </w:rPr>
        <w:t>c)(4)(viii</w:t>
      </w:r>
      <w:r w:rsidRPr="00E259C0" w:rsidR="007D0614">
        <w:rPr>
          <w:bCs/>
        </w:rPr>
        <w:t>), and 45 CFR 149.510(</w:t>
      </w:r>
      <w:r w:rsidRPr="00E259C0" w:rsidR="00C4540C">
        <w:rPr>
          <w:bCs/>
        </w:rPr>
        <w:t>c)(4)(viii)</w:t>
      </w:r>
      <w:r w:rsidRPr="00E259C0">
        <w:t>, a certified IDR entity must maintain records of relevant documentation associated with any Federal IDR process determination for 6 years.</w:t>
      </w:r>
    </w:p>
    <w:p w:rsidR="00FC2F3E" w:rsidRPr="00E259C0" w:rsidP="00487A1E" w14:paraId="3541DD3B" w14:textId="41AFB9BB">
      <w:pPr>
        <w:pStyle w:val="HeadingStyle"/>
        <w:rPr>
          <w:rFonts w:ascii="Times New Roman" w:hAnsi="Times New Roman" w:cs="Times New Roman"/>
          <w:b w:val="0"/>
          <w:iCs/>
          <w:color w:val="auto"/>
        </w:rPr>
      </w:pPr>
      <w:r w:rsidRPr="00E259C0">
        <w:rPr>
          <w:rFonts w:ascii="Times New Roman" w:hAnsi="Times New Roman" w:cs="Times New Roman"/>
          <w:color w:val="auto"/>
        </w:rPr>
        <w:t>8.</w:t>
      </w:r>
      <w:r w:rsidRPr="00E259C0">
        <w:rPr>
          <w:rFonts w:ascii="Times New Roman" w:hAnsi="Times New Roman" w:cs="Times New Roman"/>
          <w:color w:val="auto"/>
        </w:rPr>
        <w:tab/>
      </w:r>
      <w:r w:rsidRPr="00504ACA">
        <w:rPr>
          <w:rFonts w:ascii="Times New Roman" w:hAnsi="Times New Roman" w:cs="Times New Roman"/>
          <w:bCs w:val="0"/>
          <w:iCs/>
          <w:color w:val="auto"/>
        </w:rPr>
        <w:t>If applicable, provide a copy and identify the date and page number of publication in the Federal Register of the agency's notice, required by 5 CFR 1320.8(d), soliciting comments on the information collection prior to submission to OMB.</w:t>
      </w:r>
      <w:r w:rsidR="00263C28">
        <w:rPr>
          <w:rFonts w:ascii="Times New Roman" w:hAnsi="Times New Roman" w:cs="Times New Roman"/>
          <w:bCs w:val="0"/>
          <w:iCs/>
          <w:color w:val="auto"/>
        </w:rPr>
        <w:t xml:space="preserve"> </w:t>
      </w:r>
      <w:r w:rsidRPr="00504ACA">
        <w:rPr>
          <w:rFonts w:ascii="Times New Roman" w:hAnsi="Times New Roman" w:cs="Times New Roman"/>
          <w:bCs w:val="0"/>
          <w:iCs/>
          <w:color w:val="auto"/>
        </w:rPr>
        <w:t>Summarize public comments received in response to that notice and describe actions taken by the agency in response to these comments.</w:t>
      </w:r>
      <w:r w:rsidR="00263C28">
        <w:rPr>
          <w:rFonts w:ascii="Times New Roman" w:hAnsi="Times New Roman" w:cs="Times New Roman"/>
          <w:bCs w:val="0"/>
          <w:iCs/>
          <w:color w:val="auto"/>
        </w:rPr>
        <w:t xml:space="preserve"> </w:t>
      </w:r>
      <w:r w:rsidRPr="00504ACA">
        <w:rPr>
          <w:rFonts w:ascii="Times New Roman" w:hAnsi="Times New Roman" w:cs="Times New Roman"/>
          <w:bCs w:val="0"/>
          <w:iCs/>
          <w:color w:val="auto"/>
        </w:rPr>
        <w:t>Specifically address comments received on cost and hour burden</w:t>
      </w:r>
      <w:r w:rsidRPr="00E259C0">
        <w:rPr>
          <w:rFonts w:ascii="Times New Roman" w:hAnsi="Times New Roman" w:cs="Times New Roman"/>
          <w:b w:val="0"/>
          <w:iCs/>
          <w:color w:val="auto"/>
        </w:rPr>
        <w:t>.</w:t>
      </w:r>
    </w:p>
    <w:p w:rsidR="00FC2F3E" w:rsidRPr="00E259C0" w:rsidP="00D31765" w14:paraId="3AD10344" w14:textId="77777777">
      <w:pPr>
        <w:widowControl/>
        <w:ind w:left="720"/>
        <w:rPr>
          <w:b/>
          <w:iCs/>
        </w:rPr>
      </w:pPr>
    </w:p>
    <w:p w:rsidR="00FC2F3E" w:rsidRPr="00E259C0" w:rsidP="0058584C" w14:paraId="7F771194" w14:textId="77777777">
      <w:pPr>
        <w:widowControl/>
        <w:ind w:left="720"/>
        <w:rPr>
          <w:b/>
          <w:iCs/>
        </w:rPr>
      </w:pPr>
      <w:r w:rsidRPr="00E259C0">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C2F3E" w:rsidRPr="00E259C0" w:rsidP="00D31765" w14:paraId="15EA5EB8" w14:textId="77777777">
      <w:pPr>
        <w:widowControl/>
        <w:ind w:left="720"/>
        <w:rPr>
          <w:b/>
          <w:iCs/>
        </w:rPr>
      </w:pPr>
    </w:p>
    <w:p w:rsidR="00FC2F3E" w:rsidRPr="00E259C0" w:rsidP="0058584C" w14:paraId="5B40675F" w14:textId="3CBA3F3F">
      <w:pPr>
        <w:widowControl/>
        <w:ind w:left="720"/>
        <w:rPr>
          <w:b/>
          <w:iCs/>
        </w:rPr>
      </w:pPr>
      <w:r w:rsidRPr="00E259C0">
        <w:rPr>
          <w:b/>
          <w:iCs/>
        </w:rPr>
        <w:t>Consultation with representatives of those from whom information is to be obtained or those who must compile records should occur at least once every 3 years -- even if the collection of information activity is the same as in prior periods.</w:t>
      </w:r>
      <w:r w:rsidR="00263C28">
        <w:rPr>
          <w:b/>
          <w:iCs/>
        </w:rPr>
        <w:t xml:space="preserve"> </w:t>
      </w:r>
      <w:r w:rsidRPr="00E259C0">
        <w:rPr>
          <w:b/>
          <w:iCs/>
        </w:rPr>
        <w:t>There may be circumstances that may preclude consultation in a specific situation.</w:t>
      </w:r>
      <w:r w:rsidR="00263C28">
        <w:rPr>
          <w:b/>
          <w:iCs/>
        </w:rPr>
        <w:t xml:space="preserve"> </w:t>
      </w:r>
      <w:r w:rsidRPr="00E259C0">
        <w:rPr>
          <w:b/>
          <w:iCs/>
        </w:rPr>
        <w:t>These circumstances should be explained.</w:t>
      </w:r>
    </w:p>
    <w:p w:rsidR="002A6ABF" w:rsidRPr="00E259C0" w:rsidP="00D31765" w14:paraId="1C282D1C" w14:textId="77777777">
      <w:pPr>
        <w:widowControl/>
        <w:ind w:left="720"/>
      </w:pPr>
    </w:p>
    <w:p w:rsidR="00266500" w:rsidRPr="00E259C0" w:rsidP="00266500" w14:paraId="3F814E70" w14:textId="7D79C6F0">
      <w:pPr>
        <w:widowControl/>
        <w:ind w:left="720"/>
        <w:rPr>
          <w:bCs/>
          <w:iCs/>
        </w:rPr>
      </w:pPr>
      <w:r w:rsidRPr="00E259C0">
        <w:rPr>
          <w:bCs/>
          <w:iCs/>
        </w:rPr>
        <w:t xml:space="preserve">The Departments’ notice required by 5 CFR 1320.8(d), which provided the public with 60 days to comment on the information collection under the </w:t>
      </w:r>
      <w:r w:rsidRPr="00E259C0" w:rsidR="00DD0FDB">
        <w:rPr>
          <w:bCs/>
          <w:iCs/>
        </w:rPr>
        <w:t>November</w:t>
      </w:r>
      <w:r w:rsidRPr="00E259C0">
        <w:rPr>
          <w:bCs/>
          <w:iCs/>
        </w:rPr>
        <w:t xml:space="preserve"> </w:t>
      </w:r>
      <w:r w:rsidRPr="00E259C0" w:rsidR="001E4F8B">
        <w:rPr>
          <w:bCs/>
          <w:iCs/>
        </w:rPr>
        <w:t>202</w:t>
      </w:r>
      <w:r w:rsidR="00AD2339">
        <w:rPr>
          <w:bCs/>
          <w:iCs/>
        </w:rPr>
        <w:t>3</w:t>
      </w:r>
      <w:r w:rsidRPr="00E259C0" w:rsidR="001E4F8B">
        <w:rPr>
          <w:bCs/>
          <w:iCs/>
        </w:rPr>
        <w:t xml:space="preserve"> </w:t>
      </w:r>
      <w:r w:rsidR="0094063B">
        <w:rPr>
          <w:bCs/>
          <w:iCs/>
        </w:rPr>
        <w:t xml:space="preserve">proposed </w:t>
      </w:r>
      <w:r w:rsidRPr="00E259C0" w:rsidR="001E4F8B">
        <w:rPr>
          <w:bCs/>
          <w:iCs/>
        </w:rPr>
        <w:t>rules</w:t>
      </w:r>
      <w:r w:rsidRPr="00E259C0">
        <w:rPr>
          <w:bCs/>
          <w:iCs/>
        </w:rPr>
        <w:t xml:space="preserve">, was published in the Federal Register on </w:t>
      </w:r>
      <w:r w:rsidRPr="00E259C0" w:rsidR="00DD0FDB">
        <w:rPr>
          <w:bCs/>
          <w:iCs/>
        </w:rPr>
        <w:t xml:space="preserve">November </w:t>
      </w:r>
      <w:r w:rsidRPr="00E259C0">
        <w:rPr>
          <w:bCs/>
          <w:iCs/>
        </w:rPr>
        <w:t>3, 2023 (</w:t>
      </w:r>
      <w:r w:rsidRPr="00E259C0" w:rsidR="009A3587">
        <w:rPr>
          <w:bCs/>
          <w:iCs/>
        </w:rPr>
        <w:t>88 FR 75744</w:t>
      </w:r>
      <w:r w:rsidRPr="00E259C0">
        <w:rPr>
          <w:bCs/>
          <w:iCs/>
        </w:rPr>
        <w:t>).</w:t>
      </w:r>
      <w:r w:rsidR="00263C28">
        <w:rPr>
          <w:bCs/>
          <w:iCs/>
        </w:rPr>
        <w:t xml:space="preserve"> </w:t>
      </w:r>
    </w:p>
    <w:p w:rsidR="00266500" w:rsidRPr="00E259C0" w:rsidP="00266500" w14:paraId="5EAAF3CE" w14:textId="77777777">
      <w:pPr>
        <w:widowControl/>
        <w:ind w:left="720"/>
        <w:rPr>
          <w:bCs/>
          <w:iCs/>
        </w:rPr>
      </w:pPr>
    </w:p>
    <w:p w:rsidR="003A6D8E" w:rsidP="00AF4A8C" w14:paraId="7BBF45F5" w14:textId="496ECA01">
      <w:pPr>
        <w:widowControl/>
        <w:ind w:left="720"/>
        <w:rPr>
          <w:bCs/>
          <w:iCs/>
        </w:rPr>
      </w:pPr>
      <w:r w:rsidRPr="00E259C0">
        <w:rPr>
          <w:bCs/>
          <w:iCs/>
        </w:rPr>
        <w:t xml:space="preserve">The Department received comments on the </w:t>
      </w:r>
      <w:r w:rsidRPr="00E259C0" w:rsidR="00DD0FDB">
        <w:rPr>
          <w:bCs/>
          <w:iCs/>
        </w:rPr>
        <w:t>November</w:t>
      </w:r>
      <w:r w:rsidRPr="00E259C0">
        <w:rPr>
          <w:bCs/>
          <w:iCs/>
        </w:rPr>
        <w:t xml:space="preserve"> </w:t>
      </w:r>
      <w:r w:rsidRPr="00E259C0" w:rsidR="001E4F8B">
        <w:rPr>
          <w:bCs/>
          <w:iCs/>
        </w:rPr>
        <w:t>202</w:t>
      </w:r>
      <w:r w:rsidR="00AD2339">
        <w:rPr>
          <w:bCs/>
          <w:iCs/>
        </w:rPr>
        <w:t>3</w:t>
      </w:r>
      <w:r w:rsidRPr="00E259C0" w:rsidR="001E4F8B">
        <w:rPr>
          <w:bCs/>
          <w:iCs/>
        </w:rPr>
        <w:t xml:space="preserve"> </w:t>
      </w:r>
      <w:r w:rsidR="0094063B">
        <w:rPr>
          <w:bCs/>
          <w:iCs/>
        </w:rPr>
        <w:t xml:space="preserve">proposed </w:t>
      </w:r>
      <w:r w:rsidRPr="00E259C0" w:rsidR="001E4F8B">
        <w:rPr>
          <w:bCs/>
          <w:iCs/>
        </w:rPr>
        <w:t>rules</w:t>
      </w:r>
      <w:r w:rsidRPr="00E259C0">
        <w:rPr>
          <w:bCs/>
          <w:iCs/>
        </w:rPr>
        <w:t xml:space="preserve"> (</w:t>
      </w:r>
      <w:hyperlink r:id="rId10" w:history="1">
        <w:r w:rsidRPr="00B75B07" w:rsidR="00707857">
          <w:rPr>
            <w:rStyle w:val="Hyperlink"/>
            <w:bCs/>
            <w:iCs/>
          </w:rPr>
          <w:t>https://www.federalregister.gov/</w:t>
        </w:r>
        <w:bookmarkStart w:id="12" w:name="_Hlt206059064"/>
        <w:bookmarkStart w:id="13" w:name="_Hlt206059065"/>
        <w:r w:rsidRPr="00B75B07" w:rsidR="00707857">
          <w:rPr>
            <w:rStyle w:val="Hyperlink"/>
            <w:bCs/>
            <w:iCs/>
          </w:rPr>
          <w:t>d</w:t>
        </w:r>
        <w:bookmarkEnd w:id="12"/>
        <w:bookmarkEnd w:id="13"/>
        <w:r w:rsidRPr="00B75B07" w:rsidR="00707857">
          <w:rPr>
            <w:rStyle w:val="Hyperlink"/>
            <w:bCs/>
            <w:iCs/>
          </w:rPr>
          <w:t>ocuments/2023/11/03/2023-23716/federal-independent-dispute-resolution-operations)</w:t>
        </w:r>
      </w:hyperlink>
      <w:r w:rsidRPr="00E259C0">
        <w:rPr>
          <w:bCs/>
          <w:iCs/>
        </w:rPr>
        <w:t>.</w:t>
      </w:r>
      <w:r w:rsidR="00707857">
        <w:rPr>
          <w:bCs/>
          <w:iCs/>
        </w:rPr>
        <w:t>]</w:t>
      </w:r>
      <w:r w:rsidRPr="00AF4A8C" w:rsidR="00AF4A8C">
        <w:rPr>
          <w:bCs/>
          <w:iCs/>
        </w:rPr>
        <w:t xml:space="preserve"> </w:t>
      </w:r>
      <w:r w:rsidR="002A6B81">
        <w:rPr>
          <w:bCs/>
          <w:iCs/>
        </w:rPr>
        <w:t xml:space="preserve">Responses to comments received on the </w:t>
      </w:r>
      <w:r w:rsidR="00AF4A8C">
        <w:rPr>
          <w:bCs/>
          <w:iCs/>
        </w:rPr>
        <w:t>proposed rule</w:t>
      </w:r>
      <w:r w:rsidR="006012EA">
        <w:rPr>
          <w:bCs/>
          <w:iCs/>
        </w:rPr>
        <w:t xml:space="preserve"> </w:t>
      </w:r>
      <w:r w:rsidR="00AF4A8C">
        <w:rPr>
          <w:bCs/>
          <w:iCs/>
        </w:rPr>
        <w:t xml:space="preserve">can be found in the </w:t>
      </w:r>
      <w:r w:rsidR="00207FAD">
        <w:rPr>
          <w:bCs/>
          <w:iCs/>
        </w:rPr>
        <w:t>Final Rule document</w:t>
      </w:r>
      <w:r w:rsidR="00AF4A8C">
        <w:rPr>
          <w:bCs/>
          <w:iCs/>
        </w:rPr>
        <w:t xml:space="preserve"> </w:t>
      </w:r>
      <w:r w:rsidR="00463409">
        <w:rPr>
          <w:bCs/>
          <w:iCs/>
        </w:rPr>
        <w:t>published</w:t>
      </w:r>
      <w:r w:rsidR="00C53F25">
        <w:rPr>
          <w:bCs/>
          <w:iCs/>
        </w:rPr>
        <w:t xml:space="preserve"> at </w:t>
      </w:r>
      <w:r w:rsidRPr="00C93EB7" w:rsidR="00463409">
        <w:rPr>
          <w:highlight w:val="yellow"/>
        </w:rPr>
        <w:t>XX FR XXX</w:t>
      </w:r>
      <w:r w:rsidR="00AF4A8C">
        <w:rPr>
          <w:bCs/>
          <w:iCs/>
        </w:rPr>
        <w:t>.</w:t>
      </w:r>
      <w:r w:rsidR="00561632">
        <w:rPr>
          <w:bCs/>
          <w:iCs/>
        </w:rPr>
        <w:t xml:space="preserve"> </w:t>
      </w:r>
      <w:r w:rsidR="00AF4A8C">
        <w:rPr>
          <w:bCs/>
          <w:iCs/>
        </w:rPr>
        <w:t xml:space="preserve"> </w:t>
      </w:r>
    </w:p>
    <w:p w:rsidR="00E0120C" w:rsidP="00AF4A8C" w14:paraId="4C1E99A4" w14:textId="77777777">
      <w:pPr>
        <w:widowControl/>
        <w:ind w:left="720"/>
        <w:rPr>
          <w:bCs/>
          <w:iCs/>
        </w:rPr>
      </w:pPr>
    </w:p>
    <w:p w:rsidR="00E0120C" w:rsidP="00AF4A8C" w14:paraId="77896931" w14:textId="112E7597">
      <w:pPr>
        <w:widowControl/>
        <w:ind w:left="720"/>
        <w:rPr>
          <w:bCs/>
          <w:iCs/>
        </w:rPr>
      </w:pPr>
      <w:r>
        <w:rPr>
          <w:bCs/>
          <w:iCs/>
        </w:rPr>
        <w:t xml:space="preserve">Comments on the </w:t>
      </w:r>
      <w:r w:rsidR="00BC4B37">
        <w:rPr>
          <w:bCs/>
          <w:iCs/>
        </w:rPr>
        <w:t>collection’s burden is discussed below:</w:t>
      </w:r>
    </w:p>
    <w:p w:rsidR="009B627C" w:rsidP="004D34A3" w14:paraId="3F757556" w14:textId="77777777">
      <w:pPr>
        <w:widowControl/>
        <w:rPr>
          <w:b/>
          <w:iCs/>
          <w:u w:val="single"/>
        </w:rPr>
      </w:pPr>
    </w:p>
    <w:p w:rsidR="00002EE4" w:rsidRPr="00002EE4" w:rsidP="0094063B" w14:paraId="46097749" w14:textId="3FC68F55">
      <w:pPr>
        <w:widowControl/>
        <w:ind w:left="720"/>
        <w:rPr>
          <w:b/>
          <w:iCs/>
          <w:u w:val="single"/>
        </w:rPr>
      </w:pPr>
      <w:r w:rsidRPr="00002EE4">
        <w:rPr>
          <w:b/>
          <w:iCs/>
          <w:u w:val="single"/>
        </w:rPr>
        <w:t>Open Negotiation</w:t>
      </w:r>
    </w:p>
    <w:p w:rsidR="0067482E" w:rsidP="00F05521" w14:paraId="12AF98DB" w14:textId="77777777">
      <w:pPr>
        <w:widowControl/>
        <w:rPr>
          <w:bCs/>
          <w:iCs/>
        </w:rPr>
      </w:pPr>
    </w:p>
    <w:p w:rsidR="0067482E" w:rsidRPr="0067482E" w:rsidP="0067482E" w14:paraId="56A95F4C" w14:textId="488B1724">
      <w:pPr>
        <w:widowControl/>
        <w:ind w:left="720"/>
        <w:rPr>
          <w:bCs/>
          <w:iCs/>
        </w:rPr>
      </w:pPr>
      <w:r w:rsidRPr="0067482E">
        <w:rPr>
          <w:bCs/>
          <w:iCs/>
        </w:rPr>
        <w:t>A couple of commenters provided feedback on the assumptions used to calculate the burden associated with the submission of the open negotiation notice and open negotiation response notice. Some of these commenters disagreed with the Departments estimated annual number of open negotiation initiated (560,000)</w:t>
      </w:r>
      <w:r>
        <w:rPr>
          <w:rStyle w:val="FootnoteReference"/>
          <w:bCs/>
          <w:iCs/>
          <w:vertAlign w:val="superscript"/>
        </w:rPr>
        <w:footnoteReference w:id="8"/>
      </w:r>
      <w:r w:rsidRPr="0067482E">
        <w:rPr>
          <w:bCs/>
          <w:iCs/>
        </w:rPr>
        <w:t xml:space="preserve"> and noted that the volume of annual open negotiation is likely much higher. A couple of commenters noted that to complete new proposed fields in the open negotiation response notice, and based on the Departments’ labor hour estimate, large staffing increases would be necessary.</w:t>
      </w:r>
    </w:p>
    <w:p w:rsidR="0067482E" w:rsidRPr="0067482E" w:rsidP="0067482E" w14:paraId="3AB9C6AB" w14:textId="2AA39FBD">
      <w:pPr>
        <w:widowControl/>
        <w:ind w:left="720"/>
        <w:rPr>
          <w:bCs/>
          <w:iCs/>
        </w:rPr>
      </w:pPr>
      <w:r w:rsidRPr="0067482E">
        <w:rPr>
          <w:bCs/>
          <w:iCs/>
        </w:rPr>
        <w:t xml:space="preserve">The Departments acknowledge commenters’ concerns that the estimated number of annual open negotiation (560,000) used to calculate the estimated burden does not reflect an appropriate estimation of open negotiation. Because open negotiation currently occur outside of the Federal IDR portal, there is a paucity of data with which to calculate the estimates. The Departments carefully considered the assumptions used to generate the estimated burden associated with this policy and determined that using the existing data on the number of disputes submitted to the portal in 2022, and the previous assumptions regarding the proportion of items and services which go through open negotiation provided the most reasonable estimate at the time. Since publication of the 2023 proposed rules, the Departments have released updated data on the number of disputes initiated in the Federal IDR process and have been able to update their estimates on open negotiation to reflect an increased volume of submissions. </w:t>
      </w:r>
      <w:r w:rsidR="00415AC5">
        <w:rPr>
          <w:bCs/>
          <w:iCs/>
        </w:rPr>
        <w:t>T</w:t>
      </w:r>
      <w:r w:rsidRPr="0067482E">
        <w:rPr>
          <w:bCs/>
          <w:iCs/>
        </w:rPr>
        <w:t xml:space="preserve">he Departments estimate that 2 million disputes will be initiated, and that 33 percent of disputes would be resolved in open negotiation before entering the Federal IDR process. Therefore, the Departments are revising the estimated number of annual open negotiations to 3 million. </w:t>
      </w:r>
    </w:p>
    <w:p w:rsidR="0067482E" w:rsidP="0094063B" w14:paraId="0C39588E" w14:textId="77777777">
      <w:pPr>
        <w:widowControl/>
        <w:ind w:left="720"/>
        <w:rPr>
          <w:bCs/>
          <w:iCs/>
        </w:rPr>
      </w:pPr>
    </w:p>
    <w:p w:rsidR="00C25303" w:rsidRPr="00C25303" w:rsidP="00707857" w14:paraId="1A38264E" w14:textId="2646D913">
      <w:pPr>
        <w:ind w:left="720"/>
        <w:contextualSpacing/>
        <w:rPr>
          <w:rFonts w:eastAsia="Calibri"/>
          <w:b/>
          <w:bCs/>
          <w:u w:val="single"/>
        </w:rPr>
      </w:pPr>
      <w:r w:rsidRPr="00C25303">
        <w:rPr>
          <w:rFonts w:eastAsia="Calibri"/>
          <w:b/>
          <w:bCs/>
          <w:u w:val="single"/>
        </w:rPr>
        <w:t>Registration of Group Health Plans and Health Insurance Issuers</w:t>
      </w:r>
    </w:p>
    <w:p w:rsidR="00C25303" w:rsidP="00707857" w14:paraId="40B2D0D6" w14:textId="77777777">
      <w:pPr>
        <w:ind w:left="720"/>
        <w:contextualSpacing/>
        <w:rPr>
          <w:rFonts w:eastAsia="Calibri"/>
        </w:rPr>
      </w:pPr>
    </w:p>
    <w:p w:rsidR="00D91E99" w:rsidP="00D91E99" w14:paraId="52EF1873" w14:textId="7A48D18E">
      <w:pPr>
        <w:ind w:left="720"/>
        <w:contextualSpacing/>
        <w:rPr>
          <w:rFonts w:eastAsia="Calibri"/>
        </w:rPr>
      </w:pPr>
      <w:r w:rsidRPr="00D91E99">
        <w:rPr>
          <w:rFonts w:eastAsia="Calibri"/>
        </w:rPr>
        <w:t>The Departments assume that TPAs will register on behalf of most self-insured plans. In the 2023 proposed rules, the Departments estimated that the total burden for initial registration and submission of information would be 20,460 hours</w:t>
      </w:r>
      <w:r w:rsidR="00B804BA">
        <w:rPr>
          <w:rFonts w:eastAsia="Calibri"/>
        </w:rPr>
        <w:t xml:space="preserve"> </w:t>
      </w:r>
      <w:r w:rsidRPr="00D91E99">
        <w:rPr>
          <w:rFonts w:eastAsia="Calibri"/>
        </w:rPr>
        <w:t xml:space="preserve">and the total burden </w:t>
      </w:r>
      <w:r w:rsidRPr="00D91E99">
        <w:rPr>
          <w:rFonts w:eastAsia="Calibri"/>
        </w:rPr>
        <w:t>for updating information in a timely way by all issuers and TPAs would be approximately 1,279 hours</w:t>
      </w:r>
      <w:r w:rsidR="00B804BA">
        <w:rPr>
          <w:rFonts w:eastAsia="Calibri"/>
        </w:rPr>
        <w:t>.</w:t>
      </w:r>
      <w:r w:rsidR="009953B8">
        <w:rPr>
          <w:rFonts w:eastAsia="Calibri"/>
        </w:rPr>
        <w:t xml:space="preserve"> </w:t>
      </w:r>
      <w:r w:rsidRPr="00D91E99">
        <w:rPr>
          <w:rFonts w:eastAsia="Calibri"/>
        </w:rPr>
        <w:t xml:space="preserve">The Departments sought comment on these estimates and received comments expressing concern about the administrative burden associated with the proposed registration. These included concerns that some required data elements were unnecessary to achieve the objective of improving communication between disputing parties, as well as concerns that, if the Departments intended to require fully-insured group health plans to register, this would significantly increase the burden of the proposed registration. </w:t>
      </w:r>
    </w:p>
    <w:p w:rsidR="00D91E99" w:rsidRPr="00D91E99" w:rsidP="00D91E99" w14:paraId="3C56B721" w14:textId="77777777">
      <w:pPr>
        <w:ind w:left="720"/>
        <w:contextualSpacing/>
        <w:rPr>
          <w:rFonts w:eastAsia="Calibri"/>
        </w:rPr>
      </w:pPr>
    </w:p>
    <w:p w:rsidR="00D91E99" w:rsidP="00D91E99" w14:paraId="25914465" w14:textId="2399545C">
      <w:pPr>
        <w:ind w:left="720"/>
        <w:contextualSpacing/>
        <w:rPr>
          <w:rFonts w:eastAsia="Calibri"/>
        </w:rPr>
      </w:pPr>
      <w:r w:rsidRPr="00D91E99">
        <w:rPr>
          <w:rFonts w:eastAsia="Calibri"/>
        </w:rPr>
        <w:t xml:space="preserve">After consideration of comments, the Departments are finalizing the proposed registration requirement with modifications. To address concerns regarding the administrative burden of registering, the Departments are streamlining the requirements for registration, including modifying or removing some of the required data elements associated with registration, and are clarifying that issuers will not need to separately register fully-insured group health plans. These modifications will reduce the burden incurred by plans and issuers to comply with this provision. </w:t>
      </w:r>
    </w:p>
    <w:p w:rsidR="00FC2F3E" w:rsidRPr="00E259C0" w:rsidP="00487A1E" w14:paraId="5060B20F" w14:textId="77777777">
      <w:pPr>
        <w:pStyle w:val="HeadingStyle"/>
        <w:rPr>
          <w:rFonts w:ascii="Times New Roman" w:hAnsi="Times New Roman" w:cs="Times New Roman"/>
          <w:b w:val="0"/>
          <w:iCs/>
          <w:color w:val="auto"/>
        </w:rPr>
      </w:pPr>
      <w:r w:rsidRPr="00E259C0">
        <w:rPr>
          <w:rFonts w:ascii="Times New Roman" w:hAnsi="Times New Roman" w:cs="Times New Roman"/>
          <w:color w:val="auto"/>
        </w:rPr>
        <w:t>9.</w:t>
      </w:r>
      <w:r w:rsidRPr="00E259C0">
        <w:rPr>
          <w:rFonts w:ascii="Times New Roman" w:hAnsi="Times New Roman" w:cs="Times New Roman"/>
          <w:color w:val="auto"/>
        </w:rPr>
        <w:tab/>
      </w:r>
      <w:r w:rsidRPr="00EB704D">
        <w:rPr>
          <w:rFonts w:ascii="Times New Roman" w:hAnsi="Times New Roman" w:cs="Times New Roman"/>
          <w:bCs w:val="0"/>
          <w:iCs/>
          <w:color w:val="auto"/>
        </w:rPr>
        <w:t>Explain any decision to provide any payment or gift to respondents, other than remuneration of contractors or grantees</w:t>
      </w:r>
      <w:r w:rsidRPr="00E259C0">
        <w:rPr>
          <w:rFonts w:ascii="Times New Roman" w:hAnsi="Times New Roman" w:cs="Times New Roman"/>
          <w:b w:val="0"/>
          <w:iCs/>
          <w:color w:val="auto"/>
        </w:rPr>
        <w:t>.</w:t>
      </w:r>
    </w:p>
    <w:p w:rsidR="00FC2F3E" w:rsidRPr="00E259C0" w:rsidP="00D31765" w14:paraId="289BC949" w14:textId="77777777">
      <w:pPr>
        <w:widowControl/>
        <w:ind w:left="720"/>
      </w:pPr>
    </w:p>
    <w:p w:rsidR="007F5F8C" w:rsidRPr="00E259C0" w:rsidP="00D31765" w14:paraId="53859B3A" w14:textId="2CE4CE88">
      <w:pPr>
        <w:pStyle w:val="Header"/>
        <w:widowControl/>
        <w:tabs>
          <w:tab w:val="clear" w:pos="4320"/>
          <w:tab w:val="clear" w:pos="8640"/>
        </w:tabs>
        <w:ind w:left="720"/>
      </w:pPr>
      <w:r w:rsidRPr="00E259C0">
        <w:rPr>
          <w:iCs/>
        </w:rPr>
        <w:t>No payments or gifts are provided to respondents.</w:t>
      </w:r>
    </w:p>
    <w:p w:rsidR="00FC2F3E" w:rsidRPr="00EB704D" w:rsidP="00487A1E" w14:paraId="47A0EC57" w14:textId="77777777">
      <w:pPr>
        <w:pStyle w:val="HeadingStyle"/>
        <w:rPr>
          <w:rFonts w:ascii="Times New Roman" w:hAnsi="Times New Roman" w:cs="Times New Roman"/>
          <w:bCs w:val="0"/>
          <w:iCs/>
          <w:color w:val="auto"/>
        </w:rPr>
      </w:pPr>
      <w:r w:rsidRPr="00E259C0">
        <w:rPr>
          <w:rFonts w:ascii="Times New Roman" w:hAnsi="Times New Roman" w:cs="Times New Roman"/>
          <w:color w:val="auto"/>
        </w:rPr>
        <w:t>10.</w:t>
      </w:r>
      <w:r w:rsidRPr="00E259C0">
        <w:rPr>
          <w:rFonts w:ascii="Times New Roman" w:hAnsi="Times New Roman" w:cs="Times New Roman"/>
          <w:color w:val="auto"/>
        </w:rPr>
        <w:tab/>
      </w:r>
      <w:r w:rsidRPr="00EB704D">
        <w:rPr>
          <w:rFonts w:ascii="Times New Roman" w:hAnsi="Times New Roman" w:cs="Times New Roman"/>
          <w:bCs w:val="0"/>
          <w:iCs/>
          <w:color w:val="auto"/>
        </w:rPr>
        <w:t>Describe any assurance of confidentiality provided to respondents and the basis for the assurance in statute, regulation, or agency policy.</w:t>
      </w:r>
    </w:p>
    <w:p w:rsidR="00162FE3" w:rsidRPr="00E259C0" w:rsidP="0058584C" w14:paraId="0397B182" w14:textId="77777777">
      <w:pPr>
        <w:widowControl/>
        <w:tabs>
          <w:tab w:val="left" w:pos="-1440"/>
        </w:tabs>
        <w:ind w:left="720" w:hanging="720"/>
        <w:rPr>
          <w:b/>
          <w:iCs/>
        </w:rPr>
      </w:pPr>
    </w:p>
    <w:p w:rsidR="00FC2F3E" w:rsidRPr="00E259C0" w:rsidP="00487A1E" w14:paraId="24F4D870" w14:textId="38493EF0">
      <w:pPr>
        <w:widowControl/>
        <w:ind w:left="720"/>
        <w:rPr>
          <w:iCs/>
        </w:rPr>
      </w:pPr>
      <w:r w:rsidRPr="00E259C0">
        <w:t xml:space="preserve">In order to meet the requirements of certification, certified IDR entities are required to maintain the confidentiality </w:t>
      </w:r>
      <w:r w:rsidRPr="00D64F99">
        <w:t>of</w:t>
      </w:r>
      <w:r w:rsidRPr="00D64F99" w:rsidR="00D64F99">
        <w:t xml:space="preserve"> </w:t>
      </w:r>
      <w:r w:rsidR="00013971">
        <w:t>i</w:t>
      </w:r>
      <w:r w:rsidRPr="00F2297F" w:rsidR="00D64F99">
        <w:t>ndividually </w:t>
      </w:r>
      <w:r w:rsidR="00013971">
        <w:t>i</w:t>
      </w:r>
      <w:r w:rsidRPr="00F2297F" w:rsidR="00D64F99">
        <w:t>dentifiable </w:t>
      </w:r>
      <w:r w:rsidR="00013971">
        <w:t>h</w:t>
      </w:r>
      <w:r w:rsidRPr="00F2297F" w:rsidR="00D64F99">
        <w:t>ealth </w:t>
      </w:r>
      <w:r w:rsidR="00013971">
        <w:t>i</w:t>
      </w:r>
      <w:r w:rsidRPr="00F2297F" w:rsidR="00D64F99">
        <w:t>nformation</w:t>
      </w:r>
      <w:r w:rsidRPr="00E259C0">
        <w:t xml:space="preserve"> obtained in the course of conducting </w:t>
      </w:r>
      <w:r w:rsidRPr="00E259C0" w:rsidR="000F4CAB">
        <w:t xml:space="preserve">payment </w:t>
      </w:r>
      <w:r w:rsidRPr="00E259C0">
        <w:t>determinations.</w:t>
      </w:r>
    </w:p>
    <w:p w:rsidR="00FC2F3E" w:rsidRPr="00E259C0" w:rsidP="00487A1E" w14:paraId="602019C7" w14:textId="5A578643">
      <w:pPr>
        <w:pStyle w:val="HeadingStyle"/>
        <w:rPr>
          <w:rFonts w:ascii="Times New Roman" w:hAnsi="Times New Roman" w:cs="Times New Roman"/>
          <w:b w:val="0"/>
          <w:iCs/>
          <w:color w:val="auto"/>
        </w:rPr>
      </w:pPr>
      <w:r w:rsidRPr="00E259C0">
        <w:rPr>
          <w:rFonts w:ascii="Times New Roman" w:hAnsi="Times New Roman" w:cs="Times New Roman"/>
          <w:color w:val="auto"/>
        </w:rPr>
        <w:t>11.</w:t>
      </w:r>
      <w:r w:rsidRPr="00E259C0">
        <w:rPr>
          <w:rFonts w:ascii="Times New Roman" w:hAnsi="Times New Roman" w:cs="Times New Roman"/>
          <w:color w:val="auto"/>
        </w:rPr>
        <w:tab/>
      </w:r>
      <w:r w:rsidRPr="00EB704D">
        <w:rPr>
          <w:rFonts w:ascii="Times New Roman" w:hAnsi="Times New Roman" w:cs="Times New Roman"/>
          <w:bCs w:val="0"/>
          <w:iCs/>
          <w:color w:val="auto"/>
        </w:rPr>
        <w:t>Provide additional justification for any questions of a sensitive nature, such as sexual behavior and attitudes, religious beliefs, and other matters that are commonly considered private.</w:t>
      </w:r>
      <w:r w:rsidR="00263C28">
        <w:rPr>
          <w:rFonts w:ascii="Times New Roman" w:hAnsi="Times New Roman" w:cs="Times New Roman"/>
          <w:bCs w:val="0"/>
          <w:iCs/>
          <w:color w:val="auto"/>
        </w:rPr>
        <w:t xml:space="preserve"> </w:t>
      </w:r>
      <w:r w:rsidRPr="00EB704D">
        <w:rPr>
          <w:rFonts w:ascii="Times New Roman" w:hAnsi="Times New Roman" w:cs="Times New Roman"/>
          <w:bCs w:val="0"/>
          <w:iCs/>
          <w:color w:val="auto"/>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91963" w:rsidRPr="00E259C0" w:rsidP="00D91963" w14:paraId="4A89C002" w14:textId="77777777">
      <w:pPr>
        <w:widowControl/>
        <w:rPr>
          <w:b/>
        </w:rPr>
      </w:pPr>
    </w:p>
    <w:p w:rsidR="00A90D52" w:rsidRPr="003F0EA0" w:rsidP="003F0EA0" w14:paraId="5BD11635" w14:textId="54BDD146">
      <w:pPr>
        <w:widowControl/>
        <w:ind w:left="720"/>
      </w:pPr>
      <w:r w:rsidRPr="00E259C0">
        <w:t>There are no questions of a sensitive nature.</w:t>
      </w:r>
    </w:p>
    <w:p w:rsidR="00FC2F3E" w:rsidRPr="00E259C0" w:rsidP="00487A1E" w14:paraId="69530AEB" w14:textId="60CE4A44">
      <w:pPr>
        <w:pStyle w:val="HeadingStyle"/>
        <w:rPr>
          <w:rFonts w:ascii="Times New Roman" w:hAnsi="Times New Roman" w:cs="Times New Roman"/>
          <w:b w:val="0"/>
          <w:iCs/>
          <w:color w:val="auto"/>
        </w:rPr>
      </w:pPr>
      <w:r w:rsidRPr="00E259C0">
        <w:rPr>
          <w:rFonts w:ascii="Times New Roman" w:hAnsi="Times New Roman" w:cs="Times New Roman"/>
          <w:color w:val="auto"/>
        </w:rPr>
        <w:t>12.</w:t>
      </w:r>
      <w:r w:rsidRPr="00E259C0">
        <w:rPr>
          <w:rFonts w:ascii="Times New Roman" w:hAnsi="Times New Roman" w:cs="Times New Roman"/>
          <w:color w:val="auto"/>
        </w:rPr>
        <w:tab/>
      </w:r>
      <w:r w:rsidRPr="00EB704D">
        <w:rPr>
          <w:rFonts w:ascii="Times New Roman" w:hAnsi="Times New Roman" w:cs="Times New Roman"/>
          <w:bCs w:val="0"/>
          <w:iCs/>
          <w:color w:val="auto"/>
        </w:rPr>
        <w:t>Provide estimates of the hour burden of the collection of information.</w:t>
      </w:r>
      <w:r w:rsidR="00263C28">
        <w:rPr>
          <w:rFonts w:ascii="Times New Roman" w:hAnsi="Times New Roman" w:cs="Times New Roman"/>
          <w:bCs w:val="0"/>
          <w:iCs/>
          <w:color w:val="auto"/>
        </w:rPr>
        <w:t xml:space="preserve"> </w:t>
      </w:r>
      <w:r w:rsidRPr="00EB704D">
        <w:rPr>
          <w:rFonts w:ascii="Times New Roman" w:hAnsi="Times New Roman" w:cs="Times New Roman"/>
          <w:bCs w:val="0"/>
          <w:iCs/>
          <w:color w:val="auto"/>
        </w:rPr>
        <w:t>The statement should:</w:t>
      </w:r>
    </w:p>
    <w:p w:rsidR="00FC2F3E" w:rsidRPr="00E259C0" w:rsidP="00DE312E" w14:paraId="31D6CDE3" w14:textId="0D80B140">
      <w:pPr>
        <w:widowControl/>
        <w:tabs>
          <w:tab w:val="left" w:pos="-1440"/>
        </w:tabs>
        <w:ind w:left="1440" w:hanging="360"/>
        <w:rPr>
          <w:b/>
          <w:iCs/>
        </w:rPr>
      </w:pPr>
      <w:r w:rsidRPr="00E259C0">
        <w:rPr>
          <w:b/>
          <w:iCs/>
        </w:rPr>
        <w:t>•</w:t>
      </w:r>
      <w:r w:rsidRPr="00E259C0">
        <w:rPr>
          <w:b/>
          <w:iCs/>
        </w:rPr>
        <w:tab/>
        <w:t>Indicate the number of respondents, frequency of response, annual hour burden, and an explanation of how the burden was estimated.</w:t>
      </w:r>
      <w:r w:rsidR="00263C28">
        <w:rPr>
          <w:b/>
          <w:iCs/>
        </w:rPr>
        <w:t xml:space="preserve"> </w:t>
      </w:r>
      <w:r w:rsidRPr="00E259C0">
        <w:rPr>
          <w:b/>
          <w:iCs/>
        </w:rPr>
        <w:t>Unless directed to do so, agencies should not conduct special surveys to obtain information on which to base hour burden estimates.</w:t>
      </w:r>
      <w:r w:rsidR="00263C28">
        <w:rPr>
          <w:b/>
          <w:iCs/>
        </w:rPr>
        <w:t xml:space="preserve"> </w:t>
      </w:r>
      <w:r w:rsidRPr="00E259C0">
        <w:rPr>
          <w:b/>
          <w:iCs/>
        </w:rPr>
        <w:t>Consultation with a sample (fewer than 10) of potential respondents is desirable.</w:t>
      </w:r>
      <w:r w:rsidR="00263C28">
        <w:rPr>
          <w:b/>
          <w:iCs/>
        </w:rPr>
        <w:t xml:space="preserve"> </w:t>
      </w:r>
      <w:r w:rsidRPr="00E259C0">
        <w:rPr>
          <w:b/>
          <w:iCs/>
        </w:rPr>
        <w:t>If the hour burden on respondents is expected to vary widely because of differences in activity, size, or complexity, show the range of estimated hour burden, and explain the reasons for the variance.</w:t>
      </w:r>
      <w:r w:rsidR="00263C28">
        <w:rPr>
          <w:b/>
          <w:iCs/>
        </w:rPr>
        <w:t xml:space="preserve"> </w:t>
      </w:r>
      <w:r w:rsidRPr="00E259C0">
        <w:rPr>
          <w:b/>
          <w:iCs/>
        </w:rPr>
        <w:t>Generally, estimates should not include burden hours for customary and usual business practices.</w:t>
      </w:r>
    </w:p>
    <w:p w:rsidR="00FC2F3E" w:rsidRPr="00E259C0" w:rsidP="00DE312E" w14:paraId="18A54240" w14:textId="77777777">
      <w:pPr>
        <w:widowControl/>
        <w:tabs>
          <w:tab w:val="left" w:pos="-1440"/>
        </w:tabs>
        <w:ind w:left="1440" w:hanging="360"/>
        <w:rPr>
          <w:b/>
          <w:iCs/>
        </w:rPr>
      </w:pPr>
      <w:r w:rsidRPr="00E259C0">
        <w:rPr>
          <w:b/>
          <w:iCs/>
        </w:rPr>
        <w:t>•</w:t>
      </w:r>
      <w:r w:rsidRPr="00E259C0">
        <w:rPr>
          <w:b/>
          <w:iCs/>
        </w:rPr>
        <w:tab/>
        <w:t xml:space="preserve">If this request for approval covers more than </w:t>
      </w:r>
      <w:r w:rsidRPr="00E259C0" w:rsidR="002255F6">
        <w:rPr>
          <w:b/>
          <w:iCs/>
        </w:rPr>
        <w:t xml:space="preserve">1 </w:t>
      </w:r>
      <w:r w:rsidRPr="00E259C0">
        <w:rPr>
          <w:b/>
          <w:iCs/>
        </w:rPr>
        <w:t>form, provide separate hour burden estimates for each form and aggregate the hour burdens in Item 13.</w:t>
      </w:r>
    </w:p>
    <w:p w:rsidR="00FC2F3E" w:rsidRPr="00E259C0" w:rsidP="00DE312E" w14:paraId="16EB615A" w14:textId="2D812A29">
      <w:pPr>
        <w:widowControl/>
        <w:tabs>
          <w:tab w:val="left" w:pos="-1440"/>
        </w:tabs>
        <w:ind w:left="1440" w:hanging="360"/>
        <w:rPr>
          <w:b/>
          <w:iCs/>
        </w:rPr>
      </w:pPr>
      <w:r w:rsidRPr="00E259C0">
        <w:rPr>
          <w:b/>
          <w:iCs/>
        </w:rPr>
        <w:t>•</w:t>
      </w:r>
      <w:r w:rsidRPr="00E259C0">
        <w:rPr>
          <w:b/>
          <w:iCs/>
        </w:rPr>
        <w:tab/>
        <w:t xml:space="preserve">Provide estimates of annualized cost to respondents for the hour burdens for collections of information, identifying and using appropriate </w:t>
      </w:r>
      <w:r w:rsidRPr="00E259C0" w:rsidR="00317FAC">
        <w:rPr>
          <w:b/>
          <w:iCs/>
        </w:rPr>
        <w:t>wage rate</w:t>
      </w:r>
      <w:r w:rsidRPr="00E259C0">
        <w:rPr>
          <w:b/>
          <w:iCs/>
        </w:rPr>
        <w:t xml:space="preserve"> categories.</w:t>
      </w:r>
      <w:r w:rsidR="00263C28">
        <w:rPr>
          <w:b/>
          <w:iCs/>
        </w:rPr>
        <w:t xml:space="preserve"> </w:t>
      </w:r>
      <w:r w:rsidRPr="00E259C0">
        <w:rPr>
          <w:b/>
          <w:iCs/>
        </w:rPr>
        <w:t>The cost of contracting out or paying outside parties for information collection activities should not be included here.</w:t>
      </w:r>
      <w:r w:rsidR="00263C28">
        <w:rPr>
          <w:b/>
          <w:iCs/>
        </w:rPr>
        <w:t xml:space="preserve"> </w:t>
      </w:r>
      <w:r w:rsidRPr="00E259C0">
        <w:rPr>
          <w:b/>
          <w:iCs/>
        </w:rPr>
        <w:t>Instead, this cost should be included in Item 14.</w:t>
      </w:r>
      <w:r w:rsidR="00263C28">
        <w:rPr>
          <w:b/>
          <w:iCs/>
        </w:rPr>
        <w:t xml:space="preserve"> </w:t>
      </w:r>
    </w:p>
    <w:p w:rsidR="003874C8" w:rsidRPr="00E259C0" w:rsidP="00346E83" w14:paraId="072E83E2" w14:textId="77777777"/>
    <w:p w:rsidR="00317FAC" w:rsidRPr="00E259C0" w:rsidP="00317FAC" w14:paraId="3B2922C4" w14:textId="44637CDB">
      <w:pPr>
        <w:ind w:left="720"/>
      </w:pPr>
      <w:r w:rsidRPr="00E259C0">
        <w:t>Group health plans, health insurance issuers, FEHB carriers,</w:t>
      </w:r>
      <w:r w:rsidRPr="00E259C0" w:rsidR="00F56878">
        <w:t xml:space="preserve"> </w:t>
      </w:r>
      <w:r w:rsidRPr="00E259C0">
        <w:t>providers</w:t>
      </w:r>
      <w:r w:rsidRPr="00E259C0" w:rsidR="00F56878">
        <w:t>, and facilities</w:t>
      </w:r>
      <w:r w:rsidRPr="00E259C0">
        <w:t xml:space="preserve"> are responsible for complying with the </w:t>
      </w:r>
      <w:r w:rsidRPr="00E259C0" w:rsidR="007C6B37">
        <w:t xml:space="preserve">October 2021 </w:t>
      </w:r>
      <w:r w:rsidRPr="00E259C0">
        <w:t>interim final rules</w:t>
      </w:r>
      <w:r w:rsidRPr="00E259C0" w:rsidR="00D8200C">
        <w:t>, August</w:t>
      </w:r>
      <w:r w:rsidRPr="00E259C0" w:rsidR="008D61FD">
        <w:t xml:space="preserve"> 2022</w:t>
      </w:r>
      <w:r w:rsidRPr="00E259C0">
        <w:t xml:space="preserve"> final rules</w:t>
      </w:r>
      <w:r w:rsidRPr="00E259C0" w:rsidR="00D8200C">
        <w:t xml:space="preserve">, and </w:t>
      </w:r>
      <w:r w:rsidR="003F0EA0">
        <w:t>202</w:t>
      </w:r>
      <w:r w:rsidR="0028689C">
        <w:t>6</w:t>
      </w:r>
      <w:r w:rsidRPr="00E259C0" w:rsidR="00D8200C">
        <w:t xml:space="preserve"> </w:t>
      </w:r>
      <w:r w:rsidRPr="00E259C0" w:rsidR="006A7189">
        <w:t>final</w:t>
      </w:r>
      <w:r w:rsidRPr="00E259C0" w:rsidR="00D8200C">
        <w:t xml:space="preserve"> rules</w:t>
      </w:r>
      <w:r w:rsidRPr="00E259C0">
        <w:t xml:space="preserve">. The Departments assume that the burden would primarily fall on </w:t>
      </w:r>
      <w:r w:rsidRPr="00E259C0" w:rsidR="00F56878">
        <w:t>plans, issuers, FEHB carriers</w:t>
      </w:r>
      <w:r w:rsidRPr="00E259C0" w:rsidR="00E76345">
        <w:t>,</w:t>
      </w:r>
      <w:r w:rsidRPr="00E259C0" w:rsidR="00F56878">
        <w:t xml:space="preserve"> </w:t>
      </w:r>
      <w:r w:rsidRPr="00E259C0">
        <w:t xml:space="preserve">providers and </w:t>
      </w:r>
      <w:r w:rsidRPr="00E259C0" w:rsidR="00F56878">
        <w:t>facilities</w:t>
      </w:r>
      <w:r w:rsidRPr="00E259C0">
        <w:t xml:space="preserve">, </w:t>
      </w:r>
      <w:r w:rsidRPr="00E259C0" w:rsidR="009044BA">
        <w:t xml:space="preserve">as </w:t>
      </w:r>
      <w:r w:rsidRPr="00E259C0">
        <w:t>they would be sending the notifications.</w:t>
      </w:r>
      <w:r w:rsidR="00263C28">
        <w:t xml:space="preserve"> </w:t>
      </w:r>
      <w:r w:rsidRPr="00E259C0">
        <w:t>Accordingly, in the discussion below, the Departments refer to costs for plans, issuers, FEHB carriers</w:t>
      </w:r>
      <w:r w:rsidRPr="00E259C0" w:rsidR="00E76345">
        <w:t>, providers, and facilities</w:t>
      </w:r>
      <w:r w:rsidRPr="00E259C0">
        <w:t>.</w:t>
      </w:r>
      <w:r w:rsidR="00263C28">
        <w:t xml:space="preserve"> </w:t>
      </w:r>
      <w:r w:rsidRPr="00E259C0">
        <w:t>However, it is expected that most self-insured group health plans will work with a third-party administrator (TPA) to meet the requirements of the interim final rules and final rules.</w:t>
      </w:r>
      <w:r w:rsidR="00263C28">
        <w:t xml:space="preserve"> </w:t>
      </w:r>
    </w:p>
    <w:p w:rsidR="00317FAC" w:rsidRPr="00E259C0" w:rsidP="00317FAC" w14:paraId="3427875B" w14:textId="77777777">
      <w:pPr>
        <w:ind w:left="720"/>
      </w:pPr>
    </w:p>
    <w:p w:rsidR="005A7089" w:rsidRPr="00E259C0" w:rsidP="00317FAC" w14:paraId="2C4183C0" w14:textId="6C898108">
      <w:pPr>
        <w:ind w:left="720"/>
      </w:pPr>
      <w:r w:rsidRPr="00E259C0">
        <w:t xml:space="preserve">The Departments recognize the potential that some of the largest self-insured plans may seek to meet the requirements of the </w:t>
      </w:r>
      <w:r w:rsidRPr="00E259C0" w:rsidR="007C6B37">
        <w:t xml:space="preserve">October 2021 </w:t>
      </w:r>
      <w:r w:rsidRPr="00E259C0">
        <w:t>interim final rules</w:t>
      </w:r>
      <w:r w:rsidRPr="00E259C0" w:rsidR="000F0925">
        <w:t>,</w:t>
      </w:r>
      <w:r w:rsidRPr="00E259C0" w:rsidR="00131A1D">
        <w:t xml:space="preserve"> </w:t>
      </w:r>
      <w:r w:rsidRPr="00E259C0" w:rsidR="000F0925">
        <w:t xml:space="preserve">August 2022 </w:t>
      </w:r>
      <w:r w:rsidRPr="00E259C0" w:rsidR="00767936">
        <w:t>final rules</w:t>
      </w:r>
      <w:r w:rsidRPr="00E259C0" w:rsidR="000F0925">
        <w:t xml:space="preserve">, </w:t>
      </w:r>
      <w:r w:rsidRPr="00E259C0" w:rsidR="005D51F6">
        <w:t xml:space="preserve">and </w:t>
      </w:r>
      <w:r w:rsidR="003F0EA0">
        <w:t>202</w:t>
      </w:r>
      <w:r w:rsidR="0028689C">
        <w:t>6</w:t>
      </w:r>
      <w:r w:rsidRPr="00E259C0" w:rsidR="001E4F8B">
        <w:t xml:space="preserve"> final rules</w:t>
      </w:r>
      <w:r w:rsidRPr="00E259C0" w:rsidR="00767936">
        <w:t xml:space="preserve"> </w:t>
      </w:r>
      <w:r w:rsidRPr="00E259C0">
        <w:t xml:space="preserve">in-house and not use a TPA or other third party; in such cases, those plans will incur the estimated burden and cost directly. </w:t>
      </w:r>
      <w:r w:rsidR="00B61D35">
        <w:t>T</w:t>
      </w:r>
      <w:r w:rsidRPr="00B61D35" w:rsidR="00B61D35">
        <w:t>he</w:t>
      </w:r>
      <w:r w:rsidR="00B61D35">
        <w:t xml:space="preserve"> Department notes that the</w:t>
      </w:r>
      <w:r w:rsidRPr="00B61D35" w:rsidR="00B61D35">
        <w:t xml:space="preserve"> burden of the certified IDR entities will be fully allocated toward the cost burden in Question 13</w:t>
      </w:r>
      <w:r w:rsidR="00B61D35">
        <w:t>.</w:t>
      </w:r>
    </w:p>
    <w:p w:rsidR="00B22A61" w:rsidRPr="00E259C0" w:rsidP="00BD5A7F" w14:paraId="1B48C64F" w14:textId="77777777"/>
    <w:p w:rsidR="00BD5A7F" w:rsidP="00BD5A7F" w14:paraId="27CF65B2" w14:textId="774A2C39">
      <w:pPr>
        <w:ind w:left="720"/>
      </w:pPr>
      <w:r w:rsidRPr="00E259C0">
        <w:t xml:space="preserve">The Departments estimate that </w:t>
      </w:r>
      <w:r w:rsidR="0079727A">
        <w:t>1,</w:t>
      </w:r>
      <w:r w:rsidR="00F4795D">
        <w:t xml:space="preserve">380 </w:t>
      </w:r>
      <w:r w:rsidRPr="00E259C0">
        <w:t>issuers</w:t>
      </w:r>
      <w:r>
        <w:rPr>
          <w:rStyle w:val="FootnoteReference"/>
          <w:vertAlign w:val="superscript"/>
        </w:rPr>
        <w:footnoteReference w:id="9"/>
      </w:r>
      <w:r w:rsidRPr="00C173F7">
        <w:rPr>
          <w:vertAlign w:val="superscript"/>
        </w:rPr>
        <w:t xml:space="preserve"> </w:t>
      </w:r>
      <w:r w:rsidRPr="00E259C0">
        <w:t xml:space="preserve">and </w:t>
      </w:r>
      <w:r w:rsidR="00F4795D">
        <w:t xml:space="preserve">205 </w:t>
      </w:r>
      <w:r w:rsidRPr="00E259C0">
        <w:t>TPAs</w:t>
      </w:r>
      <w:r>
        <w:rPr>
          <w:rStyle w:val="FootnoteReference"/>
          <w:vertAlign w:val="superscript"/>
        </w:rPr>
        <w:footnoteReference w:id="10"/>
      </w:r>
      <w:r w:rsidRPr="00E259C0">
        <w:t xml:space="preserve"> would incur a burden to </w:t>
      </w:r>
      <w:r w:rsidRPr="00E259C0">
        <w:t xml:space="preserve">comply with this provision. </w:t>
      </w:r>
      <w:r w:rsidRPr="00E259C0" w:rsidR="00B22A61">
        <w:t xml:space="preserve">The Departments </w:t>
      </w:r>
      <w:r w:rsidRPr="00E259C0">
        <w:t xml:space="preserve">also </w:t>
      </w:r>
      <w:r w:rsidRPr="00E259C0" w:rsidR="00B22A61">
        <w:t xml:space="preserve">estimate that </w:t>
      </w:r>
      <w:r w:rsidR="00A4337D">
        <w:t>2,</w:t>
      </w:r>
      <w:r w:rsidR="002D46DD">
        <w:t>6</w:t>
      </w:r>
      <w:r w:rsidR="00A4337D">
        <w:t>00,000</w:t>
      </w:r>
      <w:r w:rsidRPr="00E259C0" w:rsidR="00B22A61">
        <w:t xml:space="preserve"> claims will be submitted annually as part of the Federal IDR process each year. Please see Table 1 to see the number of claims that </w:t>
      </w:r>
      <w:r w:rsidRPr="00E259C0">
        <w:t xml:space="preserve">are expected to </w:t>
      </w:r>
      <w:r w:rsidRPr="00E259C0" w:rsidR="00B22A61">
        <w:t xml:space="preserve">go through each stage of the </w:t>
      </w:r>
      <w:r w:rsidRPr="00E259C0">
        <w:t xml:space="preserve">Federal </w:t>
      </w:r>
      <w:r w:rsidRPr="00E259C0" w:rsidR="00B22A61">
        <w:t xml:space="preserve">IDR process. </w:t>
      </w:r>
      <w:r w:rsidRPr="009807F3" w:rsidR="009807F3">
        <w:t>Further details on how these estimates were calculated are discussed below</w:t>
      </w:r>
      <w:r w:rsidR="009807F3">
        <w:t>.</w:t>
      </w:r>
      <w:r w:rsidRPr="00BD5A7F">
        <w:t xml:space="preserve"> </w:t>
      </w:r>
    </w:p>
    <w:p w:rsidR="00BD5A7F" w:rsidP="00BD5A7F" w14:paraId="106845CE" w14:textId="77777777">
      <w:pPr>
        <w:ind w:left="720"/>
      </w:pPr>
    </w:p>
    <w:p w:rsidR="00BD5A7F" w:rsidRPr="00E259C0" w:rsidP="00BD5A7F" w14:paraId="131A2B27" w14:textId="73D62570">
      <w:pPr>
        <w:ind w:left="720"/>
      </w:pPr>
      <w:r w:rsidRPr="00E259C0">
        <w:t xml:space="preserve">The following wage rates were used in this analysis: </w:t>
      </w:r>
      <w:r w:rsidRPr="009C6441" w:rsidR="009C6441">
        <w:t xml:space="preserve">$148.73 </w:t>
      </w:r>
      <w:r w:rsidRPr="00E259C0">
        <w:t xml:space="preserve">(general or operations manager), </w:t>
      </w:r>
      <w:r w:rsidRPr="009C6441" w:rsidR="009C6441">
        <w:t xml:space="preserve">$72.82 </w:t>
      </w:r>
      <w:r w:rsidRPr="00E259C0">
        <w:t xml:space="preserve">(clerical worker), </w:t>
      </w:r>
      <w:r w:rsidRPr="009C6441" w:rsidR="009C6441">
        <w:t xml:space="preserve">$193.15 </w:t>
      </w:r>
      <w:r w:rsidRPr="00E259C0">
        <w:t xml:space="preserve">(compensation and benefits manager), </w:t>
      </w:r>
      <w:r w:rsidRPr="00545960" w:rsidR="00545960">
        <w:t xml:space="preserve">$140.69 </w:t>
      </w:r>
      <w:r>
        <w:t xml:space="preserve">(medical billing specialist), </w:t>
      </w:r>
      <w:r w:rsidRPr="00545960" w:rsidR="00545960">
        <w:t>$187.</w:t>
      </w:r>
      <w:r w:rsidR="00BA373D">
        <w:t>58</w:t>
      </w:r>
      <w:r w:rsidRPr="00545960" w:rsidR="00545960">
        <w:t xml:space="preserve"> </w:t>
      </w:r>
      <w:r w:rsidRPr="00E259C0">
        <w:t xml:space="preserve">(lawyer), and </w:t>
      </w:r>
      <w:r w:rsidRPr="00191A84" w:rsidR="00191A84">
        <w:t xml:space="preserve">$226.08 </w:t>
      </w:r>
      <w:r w:rsidRPr="00E259C0">
        <w:t>(physician).</w:t>
      </w:r>
      <w:r>
        <w:rPr>
          <w:rStyle w:val="FootnoteReference"/>
          <w:vertAlign w:val="superscript"/>
        </w:rPr>
        <w:footnoteReference w:id="11"/>
      </w:r>
      <w:r w:rsidRPr="00E259C0">
        <w:rPr>
          <w:vertAlign w:val="superscript"/>
        </w:rPr>
        <w:t xml:space="preserve"> </w:t>
      </w:r>
    </w:p>
    <w:p w:rsidR="002C6D8E" w:rsidRPr="00E259C0" w:rsidP="002D46DD" w14:paraId="2AD2BC9C" w14:textId="77777777"/>
    <w:p w:rsidR="002C6D8E" w:rsidRPr="00E259C0" w:rsidP="00B22A61" w14:paraId="01A2A833" w14:textId="454CD1A1">
      <w:pPr>
        <w:ind w:left="720"/>
        <w:rPr>
          <w:b/>
          <w:bCs/>
        </w:rPr>
      </w:pPr>
      <w:r w:rsidRPr="00E259C0">
        <w:rPr>
          <w:b/>
          <w:bCs/>
        </w:rPr>
        <w:t>Table 1. Number of Claims that are Expected to go through Each Stage of Federal IDR Process</w:t>
      </w:r>
    </w:p>
    <w:p w:rsidR="000C5259" w:rsidRPr="00E259C0" w:rsidP="00B22A61" w14:paraId="026710BD" w14:textId="77777777">
      <w:pPr>
        <w:ind w:left="720"/>
      </w:pPr>
    </w:p>
    <w:tbl>
      <w:tblPr>
        <w:tblW w:w="828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8"/>
        <w:gridCol w:w="1980"/>
      </w:tblGrid>
      <w:tr w14:paraId="5C76C512" w14:textId="77777777" w:rsidTr="00A17BE4">
        <w:tblPrEx>
          <w:tblW w:w="828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8"/>
        </w:trPr>
        <w:tc>
          <w:tcPr>
            <w:tcW w:w="6308" w:type="dxa"/>
            <w:noWrap/>
            <w:vAlign w:val="center"/>
            <w:hideMark/>
          </w:tcPr>
          <w:p w:rsidR="000C5259" w:rsidRPr="00E259C0" w:rsidP="000C5259" w14:paraId="24471860" w14:textId="77777777">
            <w:pPr>
              <w:widowControl/>
              <w:autoSpaceDE/>
              <w:autoSpaceDN/>
              <w:adjustRightInd/>
              <w:rPr>
                <w:sz w:val="22"/>
                <w:szCs w:val="22"/>
              </w:rPr>
            </w:pPr>
            <w:r w:rsidRPr="00E259C0">
              <w:rPr>
                <w:sz w:val="22"/>
                <w:szCs w:val="22"/>
              </w:rPr>
              <w:t> </w:t>
            </w:r>
          </w:p>
        </w:tc>
        <w:tc>
          <w:tcPr>
            <w:tcW w:w="1980" w:type="dxa"/>
            <w:tcBorders>
              <w:bottom w:val="single" w:sz="4" w:space="0" w:color="auto"/>
            </w:tcBorders>
            <w:vAlign w:val="center"/>
            <w:hideMark/>
          </w:tcPr>
          <w:p w:rsidR="000C5259" w:rsidRPr="00E259C0" w:rsidP="000C5259" w14:paraId="567EE07B" w14:textId="77777777">
            <w:pPr>
              <w:widowControl/>
              <w:autoSpaceDE/>
              <w:autoSpaceDN/>
              <w:adjustRightInd/>
              <w:jc w:val="center"/>
              <w:rPr>
                <w:b/>
                <w:bCs/>
                <w:sz w:val="22"/>
                <w:szCs w:val="22"/>
              </w:rPr>
            </w:pPr>
            <w:r w:rsidRPr="00E259C0">
              <w:rPr>
                <w:b/>
                <w:bCs/>
                <w:sz w:val="22"/>
                <w:szCs w:val="22"/>
              </w:rPr>
              <w:t>Number of Claims</w:t>
            </w:r>
          </w:p>
        </w:tc>
      </w:tr>
      <w:tr w14:paraId="6F2C9378" w14:textId="77777777" w:rsidTr="00A17BE4">
        <w:tblPrEx>
          <w:tblW w:w="8288" w:type="dxa"/>
          <w:tblInd w:w="792" w:type="dxa"/>
          <w:tblLook w:val="04A0"/>
        </w:tblPrEx>
        <w:trPr>
          <w:trHeight w:val="223"/>
        </w:trPr>
        <w:tc>
          <w:tcPr>
            <w:tcW w:w="6308" w:type="dxa"/>
            <w:tcBorders>
              <w:right w:val="single" w:sz="4" w:space="0" w:color="auto"/>
            </w:tcBorders>
            <w:vAlign w:val="center"/>
            <w:hideMark/>
          </w:tcPr>
          <w:p w:rsidR="00A17BE4" w:rsidRPr="00E259C0" w:rsidP="00A17BE4" w14:paraId="53731D14" w14:textId="77777777">
            <w:pPr>
              <w:widowControl/>
              <w:autoSpaceDE/>
              <w:autoSpaceDN/>
              <w:adjustRightInd/>
              <w:rPr>
                <w:sz w:val="22"/>
                <w:szCs w:val="22"/>
              </w:rPr>
            </w:pPr>
            <w:r w:rsidRPr="00E259C0">
              <w:rPr>
                <w:sz w:val="22"/>
                <w:szCs w:val="22"/>
              </w:rPr>
              <w:t>Notice of Open Negotiation</w:t>
            </w:r>
          </w:p>
        </w:tc>
        <w:tc>
          <w:tcPr>
            <w:tcW w:w="1980" w:type="dxa"/>
            <w:tcBorders>
              <w:top w:val="single" w:sz="4" w:space="0" w:color="auto"/>
              <w:left w:val="single" w:sz="4" w:space="0" w:color="auto"/>
              <w:bottom w:val="single" w:sz="4" w:space="0" w:color="auto"/>
              <w:right w:val="single" w:sz="4" w:space="0" w:color="auto"/>
            </w:tcBorders>
            <w:noWrap/>
            <w:vAlign w:val="bottom"/>
          </w:tcPr>
          <w:p w:rsidR="00A17BE4" w:rsidRPr="00E259C0" w:rsidP="00A17BE4" w14:paraId="022F646E" w14:textId="0202943F">
            <w:pPr>
              <w:widowControl/>
              <w:autoSpaceDE/>
              <w:autoSpaceDN/>
              <w:adjustRightInd/>
              <w:jc w:val="center"/>
              <w:rPr>
                <w:sz w:val="22"/>
                <w:szCs w:val="22"/>
              </w:rPr>
            </w:pPr>
            <w:r>
              <w:rPr>
                <w:color w:val="000000"/>
                <w:sz w:val="22"/>
                <w:szCs w:val="22"/>
              </w:rPr>
              <w:t>3,750,000</w:t>
            </w:r>
          </w:p>
        </w:tc>
      </w:tr>
      <w:tr w14:paraId="234BB059" w14:textId="77777777" w:rsidTr="00A17BE4">
        <w:tblPrEx>
          <w:tblW w:w="8288" w:type="dxa"/>
          <w:tblInd w:w="792" w:type="dxa"/>
          <w:tblLook w:val="04A0"/>
        </w:tblPrEx>
        <w:trPr>
          <w:trHeight w:val="205"/>
        </w:trPr>
        <w:tc>
          <w:tcPr>
            <w:tcW w:w="6308" w:type="dxa"/>
            <w:tcBorders>
              <w:right w:val="single" w:sz="4" w:space="0" w:color="auto"/>
            </w:tcBorders>
            <w:vAlign w:val="center"/>
            <w:hideMark/>
          </w:tcPr>
          <w:p w:rsidR="00A17BE4" w:rsidRPr="00E259C0" w:rsidP="00A17BE4" w14:paraId="1C2255B0" w14:textId="77777777">
            <w:pPr>
              <w:widowControl/>
              <w:autoSpaceDE/>
              <w:autoSpaceDN/>
              <w:adjustRightInd/>
              <w:rPr>
                <w:sz w:val="22"/>
                <w:szCs w:val="22"/>
              </w:rPr>
            </w:pPr>
            <w:r w:rsidRPr="00E259C0">
              <w:rPr>
                <w:sz w:val="22"/>
                <w:szCs w:val="22"/>
              </w:rPr>
              <w:t xml:space="preserve">Notice of Open Negotiation Response </w:t>
            </w:r>
          </w:p>
        </w:tc>
        <w:tc>
          <w:tcPr>
            <w:tcW w:w="1980" w:type="dxa"/>
            <w:tcBorders>
              <w:top w:val="single" w:sz="4" w:space="0" w:color="auto"/>
              <w:left w:val="single" w:sz="4" w:space="0" w:color="auto"/>
              <w:bottom w:val="single" w:sz="4" w:space="0" w:color="auto"/>
              <w:right w:val="single" w:sz="4" w:space="0" w:color="auto"/>
            </w:tcBorders>
            <w:noWrap/>
            <w:vAlign w:val="bottom"/>
          </w:tcPr>
          <w:p w:rsidR="00A17BE4" w:rsidRPr="00E259C0" w:rsidP="00A17BE4" w14:paraId="6C3E0B7D" w14:textId="214C9A88">
            <w:pPr>
              <w:widowControl/>
              <w:autoSpaceDE/>
              <w:autoSpaceDN/>
              <w:adjustRightInd/>
              <w:jc w:val="center"/>
              <w:rPr>
                <w:sz w:val="22"/>
                <w:szCs w:val="22"/>
              </w:rPr>
            </w:pPr>
            <w:r>
              <w:rPr>
                <w:color w:val="000000"/>
                <w:sz w:val="22"/>
                <w:szCs w:val="22"/>
              </w:rPr>
              <w:t>3,750,000</w:t>
            </w:r>
          </w:p>
        </w:tc>
      </w:tr>
      <w:tr w14:paraId="748F70AA" w14:textId="77777777" w:rsidTr="00A17BE4">
        <w:tblPrEx>
          <w:tblW w:w="8288" w:type="dxa"/>
          <w:tblInd w:w="792" w:type="dxa"/>
          <w:tblLook w:val="04A0"/>
        </w:tblPrEx>
        <w:trPr>
          <w:trHeight w:val="205"/>
        </w:trPr>
        <w:tc>
          <w:tcPr>
            <w:tcW w:w="6308" w:type="dxa"/>
            <w:tcBorders>
              <w:right w:val="single" w:sz="4" w:space="0" w:color="auto"/>
            </w:tcBorders>
            <w:vAlign w:val="center"/>
            <w:hideMark/>
          </w:tcPr>
          <w:p w:rsidR="00A17BE4" w:rsidRPr="00E259C0" w:rsidP="00A17BE4" w14:paraId="29B91C94" w14:textId="77777777">
            <w:pPr>
              <w:widowControl/>
              <w:autoSpaceDE/>
              <w:autoSpaceDN/>
              <w:adjustRightInd/>
              <w:rPr>
                <w:sz w:val="22"/>
                <w:szCs w:val="22"/>
              </w:rPr>
            </w:pPr>
            <w:r w:rsidRPr="00E259C0">
              <w:rPr>
                <w:sz w:val="22"/>
                <w:szCs w:val="22"/>
              </w:rPr>
              <w:t>Notice IDR Initiation</w:t>
            </w:r>
          </w:p>
        </w:tc>
        <w:tc>
          <w:tcPr>
            <w:tcW w:w="1980" w:type="dxa"/>
            <w:tcBorders>
              <w:top w:val="single" w:sz="4" w:space="0" w:color="auto"/>
              <w:left w:val="single" w:sz="4" w:space="0" w:color="auto"/>
              <w:bottom w:val="single" w:sz="4" w:space="0" w:color="auto"/>
              <w:right w:val="single" w:sz="4" w:space="0" w:color="auto"/>
            </w:tcBorders>
            <w:noWrap/>
            <w:vAlign w:val="bottom"/>
          </w:tcPr>
          <w:p w:rsidR="00A17BE4" w:rsidRPr="009D6B25" w:rsidP="00A17BE4" w14:paraId="3D8A0FDD" w14:textId="7C6B8AF2">
            <w:pPr>
              <w:widowControl/>
              <w:autoSpaceDE/>
              <w:autoSpaceDN/>
              <w:adjustRightInd/>
              <w:jc w:val="center"/>
              <w:rPr>
                <w:sz w:val="22"/>
                <w:szCs w:val="22"/>
              </w:rPr>
            </w:pPr>
            <w:r>
              <w:rPr>
                <w:color w:val="000000"/>
                <w:sz w:val="22"/>
                <w:szCs w:val="22"/>
              </w:rPr>
              <w:t>2,500,000</w:t>
            </w:r>
          </w:p>
        </w:tc>
      </w:tr>
      <w:tr w14:paraId="681A823A" w14:textId="77777777" w:rsidTr="00A17BE4">
        <w:tblPrEx>
          <w:tblW w:w="8288" w:type="dxa"/>
          <w:tblInd w:w="792" w:type="dxa"/>
          <w:tblLook w:val="04A0"/>
        </w:tblPrEx>
        <w:trPr>
          <w:trHeight w:val="205"/>
        </w:trPr>
        <w:tc>
          <w:tcPr>
            <w:tcW w:w="6308" w:type="dxa"/>
            <w:tcBorders>
              <w:right w:val="single" w:sz="4" w:space="0" w:color="auto"/>
            </w:tcBorders>
            <w:vAlign w:val="center"/>
            <w:hideMark/>
          </w:tcPr>
          <w:p w:rsidR="00A17BE4" w:rsidRPr="00E259C0" w:rsidP="00A17BE4" w14:paraId="3DE232BA" w14:textId="77777777">
            <w:pPr>
              <w:widowControl/>
              <w:autoSpaceDE/>
              <w:autoSpaceDN/>
              <w:adjustRightInd/>
              <w:rPr>
                <w:sz w:val="22"/>
                <w:szCs w:val="22"/>
              </w:rPr>
            </w:pPr>
            <w:r w:rsidRPr="00E259C0">
              <w:rPr>
                <w:sz w:val="22"/>
                <w:szCs w:val="22"/>
              </w:rPr>
              <w:t xml:space="preserve">Notice of IDR Initiation Response </w:t>
            </w:r>
          </w:p>
        </w:tc>
        <w:tc>
          <w:tcPr>
            <w:tcW w:w="1980" w:type="dxa"/>
            <w:tcBorders>
              <w:top w:val="single" w:sz="4" w:space="0" w:color="auto"/>
              <w:left w:val="single" w:sz="4" w:space="0" w:color="auto"/>
              <w:bottom w:val="single" w:sz="4" w:space="0" w:color="auto"/>
              <w:right w:val="single" w:sz="4" w:space="0" w:color="auto"/>
            </w:tcBorders>
            <w:noWrap/>
            <w:vAlign w:val="bottom"/>
          </w:tcPr>
          <w:p w:rsidR="00A17BE4" w:rsidRPr="009D6B25" w:rsidP="00A17BE4" w14:paraId="29C0E4E9" w14:textId="56100DDA">
            <w:pPr>
              <w:widowControl/>
              <w:autoSpaceDE/>
              <w:autoSpaceDN/>
              <w:adjustRightInd/>
              <w:jc w:val="center"/>
              <w:rPr>
                <w:sz w:val="22"/>
                <w:szCs w:val="22"/>
              </w:rPr>
            </w:pPr>
            <w:r>
              <w:rPr>
                <w:color w:val="000000"/>
                <w:sz w:val="22"/>
                <w:szCs w:val="22"/>
              </w:rPr>
              <w:t>2,500,000</w:t>
            </w:r>
          </w:p>
        </w:tc>
      </w:tr>
      <w:tr w14:paraId="507E09CD" w14:textId="77777777" w:rsidTr="00A17BE4">
        <w:tblPrEx>
          <w:tblW w:w="8288" w:type="dxa"/>
          <w:tblInd w:w="792" w:type="dxa"/>
          <w:tblLook w:val="04A0"/>
        </w:tblPrEx>
        <w:trPr>
          <w:trHeight w:val="277"/>
        </w:trPr>
        <w:tc>
          <w:tcPr>
            <w:tcW w:w="6308" w:type="dxa"/>
            <w:tcBorders>
              <w:right w:val="single" w:sz="4" w:space="0" w:color="auto"/>
            </w:tcBorders>
            <w:vAlign w:val="center"/>
            <w:hideMark/>
          </w:tcPr>
          <w:p w:rsidR="00A17BE4" w:rsidRPr="00E259C0" w:rsidP="00A17BE4" w14:paraId="5C02E521" w14:textId="4C9A5BE6">
            <w:pPr>
              <w:widowControl/>
              <w:autoSpaceDE/>
              <w:autoSpaceDN/>
              <w:adjustRightInd/>
              <w:rPr>
                <w:sz w:val="22"/>
                <w:szCs w:val="22"/>
              </w:rPr>
            </w:pPr>
            <w:r w:rsidRPr="00E47611">
              <w:rPr>
                <w:sz w:val="22"/>
                <w:szCs w:val="22"/>
              </w:rPr>
              <w:t xml:space="preserve">Initiating Party and Non-Initiating Party selects </w:t>
            </w:r>
            <w:r w:rsidRPr="00E259C0">
              <w:rPr>
                <w:sz w:val="22"/>
                <w:szCs w:val="22"/>
              </w:rPr>
              <w:t>IDR entity on the first attempt</w:t>
            </w:r>
          </w:p>
        </w:tc>
        <w:tc>
          <w:tcPr>
            <w:tcW w:w="1980" w:type="dxa"/>
            <w:tcBorders>
              <w:top w:val="single" w:sz="4" w:space="0" w:color="auto"/>
              <w:left w:val="single" w:sz="4" w:space="0" w:color="auto"/>
              <w:bottom w:val="single" w:sz="4" w:space="0" w:color="auto"/>
              <w:right w:val="single" w:sz="4" w:space="0" w:color="auto"/>
            </w:tcBorders>
            <w:noWrap/>
            <w:vAlign w:val="bottom"/>
          </w:tcPr>
          <w:p w:rsidR="00A17BE4" w:rsidRPr="009D6B25" w:rsidP="00A17BE4" w14:paraId="761CF8B4" w14:textId="5B12D63E">
            <w:pPr>
              <w:widowControl/>
              <w:autoSpaceDE/>
              <w:autoSpaceDN/>
              <w:adjustRightInd/>
              <w:jc w:val="center"/>
              <w:rPr>
                <w:sz w:val="22"/>
                <w:szCs w:val="22"/>
              </w:rPr>
            </w:pPr>
            <w:r>
              <w:rPr>
                <w:color w:val="000000"/>
                <w:sz w:val="22"/>
                <w:szCs w:val="22"/>
              </w:rPr>
              <w:t>675,000</w:t>
            </w:r>
          </w:p>
        </w:tc>
      </w:tr>
      <w:tr w14:paraId="1DF02860" w14:textId="77777777" w:rsidTr="00A17BE4">
        <w:tblPrEx>
          <w:tblW w:w="8288" w:type="dxa"/>
          <w:tblInd w:w="792" w:type="dxa"/>
          <w:tblLook w:val="04A0"/>
        </w:tblPrEx>
        <w:trPr>
          <w:trHeight w:val="268"/>
        </w:trPr>
        <w:tc>
          <w:tcPr>
            <w:tcW w:w="6308" w:type="dxa"/>
            <w:tcBorders>
              <w:right w:val="single" w:sz="4" w:space="0" w:color="auto"/>
            </w:tcBorders>
            <w:vAlign w:val="center"/>
            <w:hideMark/>
          </w:tcPr>
          <w:p w:rsidR="00A17BE4" w:rsidRPr="00E259C0" w:rsidP="00A17BE4" w14:paraId="0E4AD36B" w14:textId="5277DED0">
            <w:pPr>
              <w:widowControl/>
              <w:autoSpaceDE/>
              <w:autoSpaceDN/>
              <w:adjustRightInd/>
              <w:rPr>
                <w:sz w:val="22"/>
                <w:szCs w:val="22"/>
              </w:rPr>
            </w:pPr>
            <w:r w:rsidRPr="00E47611">
              <w:rPr>
                <w:sz w:val="22"/>
                <w:szCs w:val="22"/>
              </w:rPr>
              <w:t xml:space="preserve">Initiating Party and Non-Initiating Party selects </w:t>
            </w:r>
            <w:r w:rsidRPr="00E259C0">
              <w:rPr>
                <w:sz w:val="22"/>
                <w:szCs w:val="22"/>
              </w:rPr>
              <w:t>IDR entity on multiple attempts</w:t>
            </w:r>
          </w:p>
        </w:tc>
        <w:tc>
          <w:tcPr>
            <w:tcW w:w="1980" w:type="dxa"/>
            <w:tcBorders>
              <w:top w:val="single" w:sz="4" w:space="0" w:color="auto"/>
              <w:left w:val="single" w:sz="4" w:space="0" w:color="auto"/>
              <w:bottom w:val="single" w:sz="4" w:space="0" w:color="auto"/>
              <w:right w:val="single" w:sz="4" w:space="0" w:color="auto"/>
            </w:tcBorders>
            <w:noWrap/>
            <w:vAlign w:val="bottom"/>
          </w:tcPr>
          <w:p w:rsidR="00A17BE4" w:rsidRPr="009D6B25" w:rsidP="00A17BE4" w14:paraId="679D7075" w14:textId="5187A176">
            <w:pPr>
              <w:widowControl/>
              <w:autoSpaceDE/>
              <w:autoSpaceDN/>
              <w:adjustRightInd/>
              <w:jc w:val="center"/>
              <w:rPr>
                <w:sz w:val="22"/>
                <w:szCs w:val="22"/>
              </w:rPr>
            </w:pPr>
            <w:r>
              <w:rPr>
                <w:color w:val="000000"/>
                <w:sz w:val="22"/>
                <w:szCs w:val="22"/>
              </w:rPr>
              <w:t>50,000</w:t>
            </w:r>
          </w:p>
        </w:tc>
      </w:tr>
      <w:tr w14:paraId="025E72F0" w14:textId="77777777" w:rsidTr="00A17BE4">
        <w:tblPrEx>
          <w:tblW w:w="8288" w:type="dxa"/>
          <w:tblInd w:w="792" w:type="dxa"/>
          <w:tblLook w:val="04A0"/>
        </w:tblPrEx>
        <w:trPr>
          <w:trHeight w:val="50"/>
        </w:trPr>
        <w:tc>
          <w:tcPr>
            <w:tcW w:w="6308" w:type="dxa"/>
            <w:tcBorders>
              <w:right w:val="single" w:sz="4" w:space="0" w:color="auto"/>
            </w:tcBorders>
            <w:vAlign w:val="center"/>
            <w:hideMark/>
          </w:tcPr>
          <w:p w:rsidR="00A17BE4" w:rsidRPr="00E259C0" w:rsidP="00A17BE4" w14:paraId="2149A59F" w14:textId="77777777">
            <w:pPr>
              <w:widowControl/>
              <w:autoSpaceDE/>
              <w:autoSpaceDN/>
              <w:adjustRightInd/>
              <w:rPr>
                <w:sz w:val="22"/>
                <w:szCs w:val="22"/>
              </w:rPr>
            </w:pPr>
            <w:r w:rsidRPr="00E259C0">
              <w:rPr>
                <w:sz w:val="22"/>
                <w:szCs w:val="22"/>
              </w:rPr>
              <w:t>Notice of Offer by Provider</w:t>
            </w:r>
          </w:p>
        </w:tc>
        <w:tc>
          <w:tcPr>
            <w:tcW w:w="1980" w:type="dxa"/>
            <w:tcBorders>
              <w:top w:val="single" w:sz="4" w:space="0" w:color="auto"/>
              <w:left w:val="single" w:sz="4" w:space="0" w:color="auto"/>
              <w:bottom w:val="single" w:sz="4" w:space="0" w:color="auto"/>
              <w:right w:val="single" w:sz="4" w:space="0" w:color="auto"/>
            </w:tcBorders>
            <w:noWrap/>
            <w:vAlign w:val="bottom"/>
          </w:tcPr>
          <w:p w:rsidR="00A17BE4" w:rsidRPr="009D6B25" w:rsidP="00A17BE4" w14:paraId="216387D3" w14:textId="4414280B">
            <w:pPr>
              <w:widowControl/>
              <w:autoSpaceDE/>
              <w:autoSpaceDN/>
              <w:adjustRightInd/>
              <w:jc w:val="center"/>
              <w:rPr>
                <w:sz w:val="22"/>
                <w:szCs w:val="22"/>
              </w:rPr>
            </w:pPr>
            <w:r>
              <w:rPr>
                <w:color w:val="000000"/>
                <w:sz w:val="22"/>
                <w:szCs w:val="22"/>
              </w:rPr>
              <w:t>100,000</w:t>
            </w:r>
          </w:p>
        </w:tc>
      </w:tr>
      <w:tr w14:paraId="28B91754" w14:textId="77777777" w:rsidTr="00A17BE4">
        <w:tblPrEx>
          <w:tblW w:w="8288" w:type="dxa"/>
          <w:tblInd w:w="792" w:type="dxa"/>
          <w:tblLook w:val="04A0"/>
        </w:tblPrEx>
        <w:trPr>
          <w:trHeight w:val="250"/>
        </w:trPr>
        <w:tc>
          <w:tcPr>
            <w:tcW w:w="6308" w:type="dxa"/>
            <w:tcBorders>
              <w:right w:val="single" w:sz="4" w:space="0" w:color="auto"/>
            </w:tcBorders>
            <w:vAlign w:val="center"/>
            <w:hideMark/>
          </w:tcPr>
          <w:p w:rsidR="00A17BE4" w:rsidRPr="00E259C0" w:rsidP="00A17BE4" w14:paraId="7C6C0706" w14:textId="77777777">
            <w:pPr>
              <w:widowControl/>
              <w:autoSpaceDE/>
              <w:autoSpaceDN/>
              <w:adjustRightInd/>
              <w:rPr>
                <w:sz w:val="22"/>
                <w:szCs w:val="22"/>
              </w:rPr>
            </w:pPr>
            <w:r w:rsidRPr="00E259C0">
              <w:rPr>
                <w:sz w:val="22"/>
                <w:szCs w:val="22"/>
              </w:rPr>
              <w:t>Notice of Offer by Insurer</w:t>
            </w:r>
          </w:p>
        </w:tc>
        <w:tc>
          <w:tcPr>
            <w:tcW w:w="1980" w:type="dxa"/>
            <w:tcBorders>
              <w:top w:val="single" w:sz="4" w:space="0" w:color="auto"/>
              <w:left w:val="single" w:sz="4" w:space="0" w:color="auto"/>
              <w:bottom w:val="single" w:sz="4" w:space="0" w:color="auto"/>
              <w:right w:val="single" w:sz="4" w:space="0" w:color="auto"/>
            </w:tcBorders>
            <w:noWrap/>
            <w:vAlign w:val="bottom"/>
          </w:tcPr>
          <w:p w:rsidR="00A17BE4" w:rsidRPr="009D6B25" w:rsidP="00A17BE4" w14:paraId="575666F8" w14:textId="4413A980">
            <w:pPr>
              <w:widowControl/>
              <w:autoSpaceDE/>
              <w:autoSpaceDN/>
              <w:adjustRightInd/>
              <w:jc w:val="center"/>
              <w:rPr>
                <w:sz w:val="22"/>
                <w:szCs w:val="22"/>
              </w:rPr>
            </w:pPr>
            <w:r>
              <w:rPr>
                <w:color w:val="000000"/>
                <w:sz w:val="22"/>
                <w:szCs w:val="22"/>
              </w:rPr>
              <w:t>100,000</w:t>
            </w:r>
          </w:p>
        </w:tc>
      </w:tr>
      <w:tr w14:paraId="2140DBDF" w14:textId="77777777" w:rsidTr="00A17BE4">
        <w:tblPrEx>
          <w:tblW w:w="8288" w:type="dxa"/>
          <w:tblInd w:w="792" w:type="dxa"/>
          <w:tblLook w:val="04A0"/>
        </w:tblPrEx>
        <w:trPr>
          <w:trHeight w:val="232"/>
        </w:trPr>
        <w:tc>
          <w:tcPr>
            <w:tcW w:w="6308" w:type="dxa"/>
            <w:tcBorders>
              <w:right w:val="single" w:sz="4" w:space="0" w:color="auto"/>
            </w:tcBorders>
            <w:vAlign w:val="bottom"/>
            <w:hideMark/>
          </w:tcPr>
          <w:p w:rsidR="00A17BE4" w:rsidRPr="00E259C0" w:rsidP="00A17BE4" w14:paraId="5FC0C62F" w14:textId="77777777">
            <w:pPr>
              <w:widowControl/>
              <w:autoSpaceDE/>
              <w:autoSpaceDN/>
              <w:adjustRightInd/>
              <w:rPr>
                <w:sz w:val="22"/>
                <w:szCs w:val="22"/>
              </w:rPr>
            </w:pPr>
            <w:r w:rsidRPr="00E259C0">
              <w:rPr>
                <w:sz w:val="22"/>
                <w:szCs w:val="22"/>
              </w:rPr>
              <w:t>Notice of Agreement on an Out-of-Network Rate</w:t>
            </w:r>
          </w:p>
        </w:tc>
        <w:tc>
          <w:tcPr>
            <w:tcW w:w="1980" w:type="dxa"/>
            <w:tcBorders>
              <w:top w:val="single" w:sz="4" w:space="0" w:color="auto"/>
              <w:left w:val="single" w:sz="4" w:space="0" w:color="auto"/>
              <w:bottom w:val="single" w:sz="4" w:space="0" w:color="auto"/>
              <w:right w:val="single" w:sz="4" w:space="0" w:color="auto"/>
            </w:tcBorders>
            <w:noWrap/>
            <w:vAlign w:val="bottom"/>
          </w:tcPr>
          <w:p w:rsidR="00A17BE4" w:rsidRPr="00E259C0" w:rsidP="00A17BE4" w14:paraId="017FDCA8" w14:textId="44977A7C">
            <w:pPr>
              <w:widowControl/>
              <w:autoSpaceDE/>
              <w:autoSpaceDN/>
              <w:adjustRightInd/>
              <w:jc w:val="center"/>
              <w:rPr>
                <w:sz w:val="22"/>
                <w:szCs w:val="22"/>
              </w:rPr>
            </w:pPr>
            <w:r>
              <w:rPr>
                <w:color w:val="000000"/>
                <w:sz w:val="22"/>
                <w:szCs w:val="22"/>
              </w:rPr>
              <w:t>20</w:t>
            </w:r>
          </w:p>
        </w:tc>
      </w:tr>
      <w:tr w14:paraId="69323FD1" w14:textId="77777777" w:rsidTr="00A17BE4">
        <w:tblPrEx>
          <w:tblW w:w="8288" w:type="dxa"/>
          <w:tblInd w:w="792" w:type="dxa"/>
          <w:tblLook w:val="04A0"/>
        </w:tblPrEx>
        <w:trPr>
          <w:trHeight w:val="232"/>
        </w:trPr>
        <w:tc>
          <w:tcPr>
            <w:tcW w:w="6308" w:type="dxa"/>
            <w:tcBorders>
              <w:right w:val="single" w:sz="4" w:space="0" w:color="auto"/>
            </w:tcBorders>
            <w:vAlign w:val="center"/>
            <w:hideMark/>
          </w:tcPr>
          <w:p w:rsidR="00A17BE4" w:rsidRPr="00E259C0" w:rsidP="00A17BE4" w14:paraId="503FAE63" w14:textId="05742202">
            <w:pPr>
              <w:widowControl/>
              <w:autoSpaceDE/>
              <w:autoSpaceDN/>
              <w:adjustRightInd/>
              <w:rPr>
                <w:sz w:val="22"/>
                <w:szCs w:val="22"/>
              </w:rPr>
            </w:pPr>
            <w:r w:rsidRPr="00E259C0">
              <w:rPr>
                <w:sz w:val="22"/>
                <w:szCs w:val="22"/>
              </w:rPr>
              <w:t>Notice of Request for Withdrawal</w:t>
            </w:r>
          </w:p>
        </w:tc>
        <w:tc>
          <w:tcPr>
            <w:tcW w:w="1980" w:type="dxa"/>
            <w:tcBorders>
              <w:top w:val="single" w:sz="4" w:space="0" w:color="auto"/>
              <w:left w:val="single" w:sz="4" w:space="0" w:color="auto"/>
              <w:bottom w:val="single" w:sz="4" w:space="0" w:color="auto"/>
              <w:right w:val="single" w:sz="4" w:space="0" w:color="auto"/>
            </w:tcBorders>
            <w:noWrap/>
            <w:vAlign w:val="bottom"/>
          </w:tcPr>
          <w:p w:rsidR="00A17BE4" w:rsidRPr="00E259C0" w:rsidP="00A17BE4" w14:paraId="3611F008" w14:textId="56C34C91">
            <w:pPr>
              <w:widowControl/>
              <w:autoSpaceDE/>
              <w:autoSpaceDN/>
              <w:adjustRightInd/>
              <w:jc w:val="center"/>
              <w:rPr>
                <w:sz w:val="22"/>
                <w:szCs w:val="22"/>
              </w:rPr>
            </w:pPr>
            <w:r>
              <w:rPr>
                <w:color w:val="000000"/>
                <w:sz w:val="22"/>
                <w:szCs w:val="22"/>
              </w:rPr>
              <w:t>3,750,000</w:t>
            </w:r>
          </w:p>
        </w:tc>
      </w:tr>
      <w:tr w14:paraId="3E2793DE" w14:textId="77777777" w:rsidTr="00A17BE4">
        <w:tblPrEx>
          <w:tblW w:w="8288" w:type="dxa"/>
          <w:tblInd w:w="792" w:type="dxa"/>
          <w:tblLook w:val="04A0"/>
        </w:tblPrEx>
        <w:trPr>
          <w:trHeight w:val="232"/>
        </w:trPr>
        <w:tc>
          <w:tcPr>
            <w:tcW w:w="6308" w:type="dxa"/>
            <w:tcBorders>
              <w:bottom w:val="single" w:sz="4" w:space="0" w:color="auto"/>
              <w:right w:val="single" w:sz="4" w:space="0" w:color="auto"/>
            </w:tcBorders>
            <w:vAlign w:val="center"/>
          </w:tcPr>
          <w:p w:rsidR="00A17BE4" w:rsidRPr="00E259C0" w:rsidP="00A17BE4" w14:paraId="715240AF" w14:textId="0DC489CD">
            <w:pPr>
              <w:widowControl/>
              <w:autoSpaceDE/>
              <w:autoSpaceDN/>
              <w:adjustRightInd/>
              <w:rPr>
                <w:sz w:val="22"/>
                <w:szCs w:val="22"/>
              </w:rPr>
            </w:pPr>
            <w:r>
              <w:rPr>
                <w:sz w:val="22"/>
                <w:szCs w:val="22"/>
              </w:rPr>
              <w:t xml:space="preserve">Notice of Withdrawal Response </w:t>
            </w:r>
          </w:p>
        </w:tc>
        <w:tc>
          <w:tcPr>
            <w:tcW w:w="1980" w:type="dxa"/>
            <w:tcBorders>
              <w:top w:val="single" w:sz="4" w:space="0" w:color="auto"/>
              <w:left w:val="single" w:sz="4" w:space="0" w:color="auto"/>
              <w:bottom w:val="single" w:sz="4" w:space="0" w:color="auto"/>
              <w:right w:val="single" w:sz="4" w:space="0" w:color="auto"/>
            </w:tcBorders>
            <w:noWrap/>
            <w:vAlign w:val="bottom"/>
          </w:tcPr>
          <w:p w:rsidR="00A17BE4" w:rsidP="00A17BE4" w14:paraId="7B887CC5" w14:textId="1B549E0B">
            <w:pPr>
              <w:widowControl/>
              <w:autoSpaceDE/>
              <w:autoSpaceDN/>
              <w:adjustRightInd/>
              <w:jc w:val="center"/>
              <w:rPr>
                <w:color w:val="000000"/>
                <w:sz w:val="22"/>
                <w:szCs w:val="22"/>
              </w:rPr>
            </w:pPr>
            <w:r>
              <w:rPr>
                <w:color w:val="000000"/>
                <w:sz w:val="22"/>
                <w:szCs w:val="22"/>
              </w:rPr>
              <w:t>3,750,000</w:t>
            </w:r>
          </w:p>
        </w:tc>
      </w:tr>
      <w:tr w14:paraId="30437BA5" w14:textId="77777777" w:rsidTr="00A17BE4">
        <w:tblPrEx>
          <w:tblW w:w="8288" w:type="dxa"/>
          <w:tblInd w:w="792" w:type="dxa"/>
          <w:tblLook w:val="04A0"/>
        </w:tblPrEx>
        <w:trPr>
          <w:trHeight w:val="232"/>
        </w:trPr>
        <w:tc>
          <w:tcPr>
            <w:tcW w:w="6308" w:type="dxa"/>
            <w:tcBorders>
              <w:top w:val="single" w:sz="4" w:space="0" w:color="auto"/>
              <w:bottom w:val="single" w:sz="4" w:space="0" w:color="auto"/>
              <w:right w:val="single" w:sz="4" w:space="0" w:color="auto"/>
            </w:tcBorders>
            <w:noWrap/>
            <w:vAlign w:val="bottom"/>
            <w:hideMark/>
          </w:tcPr>
          <w:p w:rsidR="00A17BE4" w:rsidRPr="00E259C0" w:rsidP="00A17BE4" w14:paraId="47C717C2" w14:textId="77777777">
            <w:pPr>
              <w:widowControl/>
              <w:autoSpaceDE/>
              <w:autoSpaceDN/>
              <w:adjustRightInd/>
              <w:rPr>
                <w:sz w:val="22"/>
                <w:szCs w:val="22"/>
              </w:rPr>
            </w:pPr>
            <w:r w:rsidRPr="00E259C0">
              <w:rPr>
                <w:sz w:val="22"/>
                <w:szCs w:val="22"/>
              </w:rPr>
              <w:t>Notice for Request of Extension</w:t>
            </w:r>
          </w:p>
        </w:tc>
        <w:tc>
          <w:tcPr>
            <w:tcW w:w="1980" w:type="dxa"/>
            <w:tcBorders>
              <w:top w:val="single" w:sz="4" w:space="0" w:color="auto"/>
              <w:left w:val="single" w:sz="4" w:space="0" w:color="auto"/>
              <w:bottom w:val="single" w:sz="4" w:space="0" w:color="auto"/>
              <w:right w:val="single" w:sz="4" w:space="0" w:color="auto"/>
            </w:tcBorders>
            <w:noWrap/>
            <w:vAlign w:val="bottom"/>
          </w:tcPr>
          <w:p w:rsidR="00A17BE4" w:rsidRPr="00E259C0" w:rsidP="00A17BE4" w14:paraId="3BE7375B" w14:textId="64198EAA">
            <w:pPr>
              <w:widowControl/>
              <w:autoSpaceDE/>
              <w:autoSpaceDN/>
              <w:adjustRightInd/>
              <w:jc w:val="center"/>
              <w:rPr>
                <w:sz w:val="22"/>
                <w:szCs w:val="22"/>
              </w:rPr>
            </w:pPr>
            <w:r>
              <w:rPr>
                <w:color w:val="000000"/>
                <w:sz w:val="22"/>
                <w:szCs w:val="22"/>
              </w:rPr>
              <w:t>2,500,000</w:t>
            </w:r>
          </w:p>
        </w:tc>
      </w:tr>
    </w:tbl>
    <w:p w:rsidR="0038464E" w:rsidRPr="00E259C0" w:rsidP="000C5259" w14:paraId="3DB05901" w14:textId="77777777">
      <w:pPr>
        <w:rPr>
          <w:b/>
          <w:i/>
          <w:u w:val="single"/>
        </w:rPr>
      </w:pPr>
    </w:p>
    <w:p w:rsidR="001E2AF0" w:rsidRPr="00E259C0" w:rsidP="00310219" w14:paraId="02C96D33" w14:textId="192529BC">
      <w:pPr>
        <w:ind w:left="720"/>
        <w:rPr>
          <w:b/>
          <w:i/>
          <w:u w:val="single"/>
        </w:rPr>
      </w:pPr>
      <w:r w:rsidRPr="00E259C0">
        <w:rPr>
          <w:b/>
          <w:i/>
          <w:u w:val="single"/>
        </w:rPr>
        <w:t xml:space="preserve">Federal IDR Process for Nonparticipating Providers or Nonparticipating Emergency Facilities </w:t>
      </w:r>
      <w:r w:rsidRPr="00E259C0" w:rsidR="003624CE">
        <w:rPr>
          <w:b/>
          <w:i/>
          <w:u w:val="single"/>
        </w:rPr>
        <w:t xml:space="preserve">and </w:t>
      </w:r>
      <w:r w:rsidRPr="00E259C0" w:rsidR="00C40A92">
        <w:rPr>
          <w:b/>
          <w:i/>
          <w:u w:val="single"/>
        </w:rPr>
        <w:t xml:space="preserve">Providers of </w:t>
      </w:r>
      <w:r w:rsidRPr="00E259C0" w:rsidR="003624CE">
        <w:rPr>
          <w:b/>
          <w:i/>
          <w:u w:val="single"/>
        </w:rPr>
        <w:t>Air Ambulance</w:t>
      </w:r>
      <w:r w:rsidRPr="00E259C0" w:rsidR="0089501F">
        <w:rPr>
          <w:b/>
          <w:i/>
          <w:u w:val="single"/>
        </w:rPr>
        <w:t xml:space="preserve"> </w:t>
      </w:r>
      <w:r w:rsidRPr="00E259C0" w:rsidR="00C40A92">
        <w:rPr>
          <w:b/>
          <w:i/>
          <w:u w:val="single"/>
        </w:rPr>
        <w:t xml:space="preserve">Services </w:t>
      </w:r>
    </w:p>
    <w:p w:rsidR="006531B5" w:rsidP="00A13451" w14:paraId="25F95C6E" w14:textId="77777777"/>
    <w:p w:rsidR="006531B5" w:rsidRPr="00804586" w:rsidP="000B4DC1" w14:paraId="6B0290A6" w14:textId="6B774530">
      <w:pPr>
        <w:ind w:left="720"/>
        <w:rPr>
          <w:i/>
          <w:iCs/>
          <w:u w:val="single"/>
        </w:rPr>
      </w:pPr>
      <w:r w:rsidRPr="00804586">
        <w:rPr>
          <w:i/>
          <w:iCs/>
          <w:u w:val="single"/>
        </w:rPr>
        <w:t xml:space="preserve">Notice of Open Negotiation </w:t>
      </w:r>
    </w:p>
    <w:p w:rsidR="006531B5" w:rsidP="000B4DC1" w14:paraId="275862D6" w14:textId="77777777">
      <w:pPr>
        <w:ind w:left="720"/>
      </w:pPr>
    </w:p>
    <w:p w:rsidR="000B4DC1" w:rsidRPr="00E259C0" w:rsidP="006D112B" w14:paraId="5CFD53E9" w14:textId="3ED62FC1">
      <w:pPr>
        <w:ind w:left="720"/>
      </w:pPr>
      <w:r w:rsidRPr="00E259C0">
        <w:t xml:space="preserve">The Departments estimate that </w:t>
      </w:r>
      <w:r w:rsidRPr="009615AE" w:rsidR="001543BC">
        <w:rPr>
          <w:rFonts w:eastAsia="Calibri"/>
        </w:rPr>
        <w:t>33 percent of disputes would be resolved in open negotiation before entering the Federal IDR process</w:t>
      </w:r>
      <w:r w:rsidRPr="00E259C0">
        <w:t>.</w:t>
      </w:r>
      <w:r>
        <w:t xml:space="preserve"> </w:t>
      </w:r>
      <w:r w:rsidRPr="00386866" w:rsidR="00386866">
        <w:t xml:space="preserve">The Departments are requiring a party to provide an open negotiation notice containing additional required elements and supporting documentation to the other party and the Departments to initiate the open </w:t>
      </w:r>
      <w:r w:rsidRPr="00386866" w:rsidR="00386866">
        <w:t xml:space="preserve">negotiation period. </w:t>
      </w:r>
      <w:r w:rsidRPr="00E259C0" w:rsidR="00AC1AFB">
        <w:t>The Departments estimate that, on average, it will</w:t>
      </w:r>
      <w:r w:rsidRPr="00E259C0" w:rsidR="007C6B37">
        <w:t xml:space="preserve"> take</w:t>
      </w:r>
      <w:r w:rsidRPr="00E259C0" w:rsidR="00AC1AFB">
        <w:t xml:space="preserve"> a </w:t>
      </w:r>
      <w:bookmarkStart w:id="14" w:name="_Hlk99620659"/>
      <w:r w:rsidRPr="00E259C0" w:rsidR="00D54037">
        <w:t>compensation and benefit</w:t>
      </w:r>
      <w:r w:rsidRPr="00E259C0" w:rsidR="006C7106">
        <w:t xml:space="preserve"> </w:t>
      </w:r>
      <w:r w:rsidRPr="00E259C0" w:rsidR="00423E1B">
        <w:t>manager</w:t>
      </w:r>
      <w:r w:rsidRPr="00E259C0" w:rsidR="006C7106">
        <w:t xml:space="preserve"> </w:t>
      </w:r>
      <w:bookmarkEnd w:id="14"/>
      <w:r w:rsidR="00393FEC">
        <w:t>30 minutes</w:t>
      </w:r>
      <w:r w:rsidRPr="00E259C0" w:rsidR="00AC1AFB">
        <w:t xml:space="preserve"> to write each “Open Negotiation Notice” and a clerical worker 15 minutes to prepare and send the notice.</w:t>
      </w:r>
      <w:r w:rsidR="00263C28">
        <w:t xml:space="preserve"> </w:t>
      </w:r>
      <w:r w:rsidRPr="00E259C0" w:rsidR="002B1E36">
        <w:t xml:space="preserve">Please see Table </w:t>
      </w:r>
      <w:r w:rsidRPr="00E259C0" w:rsidR="00897B33">
        <w:t>2</w:t>
      </w:r>
      <w:r w:rsidRPr="00E259C0" w:rsidR="002B1E36">
        <w:t xml:space="preserve"> for calculations and burden totals</w:t>
      </w:r>
      <w:r w:rsidRPr="00E259C0" w:rsidR="004D4145">
        <w:t>.</w:t>
      </w:r>
    </w:p>
    <w:p w:rsidR="003B6352" w:rsidRPr="00E259C0" w:rsidP="006D112B" w14:paraId="6EC2FFD7" w14:textId="2DB136ED">
      <w:pPr>
        <w:ind w:left="720"/>
      </w:pPr>
    </w:p>
    <w:p w:rsidR="00263BD4" w:rsidRPr="00E259C0" w:rsidP="006D112B" w14:paraId="2FBD099E" w14:textId="39F2DBE0">
      <w:pPr>
        <w:ind w:left="720"/>
      </w:pPr>
      <w:r w:rsidRPr="00221FC3">
        <w:t>Furthermore, the Departments are finalizing the requirement that the party in receipt of the open negotiation notice must provide a response to the open negotiation notice through the Federal IDR portal no later than the 15th business day of the 30-business-day open negotiation period</w:t>
      </w:r>
      <w:r w:rsidRPr="00E259C0" w:rsidR="00C628B2">
        <w:t>.</w:t>
      </w:r>
      <w:r w:rsidRPr="00E259C0" w:rsidR="005B3EE4">
        <w:t xml:space="preserve"> </w:t>
      </w:r>
      <w:r w:rsidR="00F46000">
        <w:t>T</w:t>
      </w:r>
      <w:r w:rsidRPr="00E259C0" w:rsidR="005B3EE4">
        <w:t>he Departments estimate that it would take a compensation and benefits manager 30 minutes and an office clerk 15 minutes on average to prepare and submit the</w:t>
      </w:r>
      <w:r w:rsidR="00A750CD">
        <w:t xml:space="preserve"> </w:t>
      </w:r>
      <w:r w:rsidRPr="00E259C0" w:rsidR="005B3EE4">
        <w:t>open negotiation response notice for each party in receipt of the open negotiation notice</w:t>
      </w:r>
      <w:r w:rsidRPr="00E259C0" w:rsidR="002B1E36">
        <w:t>.</w:t>
      </w:r>
      <w:r w:rsidR="00844632">
        <w:t xml:space="preserve"> </w:t>
      </w:r>
      <w:bookmarkStart w:id="15" w:name="_Hlk167433973"/>
      <w:r w:rsidRPr="00E259C0" w:rsidR="002B1E36">
        <w:rPr>
          <w:bCs/>
        </w:rPr>
        <w:t>Please see Table</w:t>
      </w:r>
      <w:r w:rsidRPr="00E259C0" w:rsidR="004243E8">
        <w:rPr>
          <w:bCs/>
        </w:rPr>
        <w:t xml:space="preserve"> </w:t>
      </w:r>
      <w:r w:rsidRPr="00E259C0" w:rsidR="00897B33">
        <w:rPr>
          <w:bCs/>
        </w:rPr>
        <w:t>2</w:t>
      </w:r>
      <w:r w:rsidRPr="00E259C0" w:rsidR="002B1E36">
        <w:rPr>
          <w:bCs/>
        </w:rPr>
        <w:t xml:space="preserve"> for calculations and burden totals</w:t>
      </w:r>
      <w:r w:rsidRPr="00E259C0" w:rsidR="004D4145">
        <w:rPr>
          <w:bCs/>
        </w:rPr>
        <w:t>.</w:t>
      </w:r>
    </w:p>
    <w:bookmarkEnd w:id="15"/>
    <w:p w:rsidR="00D11381" w:rsidP="00804586" w14:paraId="3D26ABEE" w14:textId="77777777"/>
    <w:p w:rsidR="00210AEF" w:rsidRPr="00804586" w:rsidP="004E2FC9" w14:paraId="6E8A4575" w14:textId="54B0DD53">
      <w:pPr>
        <w:ind w:left="720"/>
        <w:rPr>
          <w:i/>
          <w:iCs/>
          <w:u w:val="single"/>
        </w:rPr>
      </w:pPr>
      <w:r w:rsidRPr="00804586">
        <w:rPr>
          <w:i/>
          <w:iCs/>
          <w:u w:val="single"/>
        </w:rPr>
        <w:t>Notice of IDR Initiation</w:t>
      </w:r>
    </w:p>
    <w:p w:rsidR="00210AEF" w:rsidRPr="00E259C0" w:rsidP="004E2FC9" w14:paraId="7446745B" w14:textId="77777777">
      <w:pPr>
        <w:ind w:left="720"/>
      </w:pPr>
    </w:p>
    <w:p w:rsidR="00CA1023" w:rsidRPr="00CA1023" w:rsidP="005428F0" w14:paraId="562C1208" w14:textId="46FF73F1">
      <w:pPr>
        <w:ind w:left="720"/>
        <w:rPr>
          <w:bCs/>
        </w:rPr>
      </w:pPr>
      <w:r w:rsidRPr="00A52CDB">
        <w:t xml:space="preserve">To initiate the Federal IDR process, the initiating party must submit a written notice of IDR initiation to the non-initiating party and to the Departments (using the standard form developed by the Departments) during the 4-business-day period beginning on the first business day after the close of the 30-business-day open negotiation period. </w:t>
      </w:r>
      <w:r w:rsidRPr="00E259C0">
        <w:rPr>
          <w:bCs/>
        </w:rPr>
        <w:t>The Departments estimate that it would take a compensation and benefits manager 30 minutes and an office clerk 15 minutes on average to prepare and submit the additional statements</w:t>
      </w:r>
      <w:r w:rsidR="00A750CD">
        <w:rPr>
          <w:bCs/>
        </w:rPr>
        <w:t xml:space="preserve"> </w:t>
      </w:r>
      <w:r w:rsidRPr="00E259C0">
        <w:rPr>
          <w:bCs/>
        </w:rPr>
        <w:t>for the notice of IDR initiation for each initiating party.</w:t>
      </w:r>
      <w:r>
        <w:rPr>
          <w:bCs/>
        </w:rPr>
        <w:t xml:space="preserve"> </w:t>
      </w:r>
      <w:r w:rsidRPr="00E259C0">
        <w:t>Please see Table 2 for calculations and burden totals.</w:t>
      </w:r>
    </w:p>
    <w:p w:rsidR="00CA1023" w:rsidP="005428F0" w14:paraId="6D499890" w14:textId="77777777">
      <w:pPr>
        <w:ind w:left="720"/>
      </w:pPr>
    </w:p>
    <w:p w:rsidR="00CA1023" w:rsidRPr="00E259C0" w:rsidP="005428F0" w14:paraId="44D59AE8" w14:textId="510FBD44">
      <w:pPr>
        <w:ind w:left="720"/>
        <w:rPr>
          <w:bCs/>
        </w:rPr>
      </w:pPr>
      <w:r w:rsidRPr="00B265D9">
        <w:rPr>
          <w:bCs/>
        </w:rPr>
        <w:t xml:space="preserve">The Departments are also finalizing that the non-initiating party must submit a written response to the notice of IDR initiation to the initiating party and to the Departments during the 3-business-day period beginning on the day after the notice of IDR initiation is received by the Departments. </w:t>
      </w:r>
      <w:r>
        <w:rPr>
          <w:bCs/>
        </w:rPr>
        <w:t xml:space="preserve"> </w:t>
      </w:r>
      <w:r w:rsidRPr="00E259C0">
        <w:rPr>
          <w:bCs/>
        </w:rPr>
        <w:t>Similarly, the Departments estimate that it would take a compensation and benefits manager 30 minutes and an office clerk 15 minutes on average to prepare and submit the</w:t>
      </w:r>
      <w:r w:rsidR="00A750CD">
        <w:rPr>
          <w:bCs/>
        </w:rPr>
        <w:t xml:space="preserve"> </w:t>
      </w:r>
      <w:r w:rsidRPr="00E259C0">
        <w:rPr>
          <w:bCs/>
        </w:rPr>
        <w:t>IDR initiation response notice for each non-initiating party. Please see Table 2 for calculations and burden totals.</w:t>
      </w:r>
    </w:p>
    <w:p w:rsidR="004C7B26" w:rsidP="00804586" w14:paraId="1AC23064" w14:textId="77777777"/>
    <w:p w:rsidR="000B1902" w:rsidRPr="000B1902" w:rsidP="00DB5512" w14:paraId="6E6B86F8" w14:textId="4AD23945">
      <w:pPr>
        <w:ind w:left="720"/>
        <w:rPr>
          <w:i/>
          <w:iCs/>
          <w:u w:val="single"/>
        </w:rPr>
      </w:pPr>
      <w:r w:rsidRPr="000B1902">
        <w:rPr>
          <w:i/>
          <w:iCs/>
          <w:u w:val="single"/>
        </w:rPr>
        <w:t xml:space="preserve">Notice of Agreement on Out-of-Network Rate </w:t>
      </w:r>
    </w:p>
    <w:p w:rsidR="000B1902" w:rsidRPr="00E259C0" w:rsidP="00DB5512" w14:paraId="11BADA9A" w14:textId="77777777">
      <w:pPr>
        <w:ind w:left="720"/>
      </w:pPr>
    </w:p>
    <w:p w:rsidR="00131999" w:rsidRPr="00E259C0" w:rsidP="00131999" w14:paraId="42C042D1" w14:textId="253CA908">
      <w:pPr>
        <w:ind w:left="720"/>
      </w:pPr>
      <w:r w:rsidRPr="00E259C0">
        <w:t xml:space="preserve">If the parties to the Federal IDR process agree on an out-of-network rate for a qualified IDR item or service after providing notice to the Departments of initiation of the Federal IDR process, but before the certified IDR entity has made its payment determination, the initiating party must send a notification to the Departments and to the certified IDR entity (if selected) electronically through the Federal IDR portal, in a form and manner specified by the Departments, as soon as possible, but no later than 3 business days after </w:t>
      </w:r>
      <w:r w:rsidRPr="00E259C0">
        <w:t xml:space="preserve">the date of the agreement. The Departments assume that 1 percent of IDR payment determinations will be resolved by an agreement on an out-of-network rate after the Federal IDR process has been initiated. The Departments estimate that, on average, it will take a </w:t>
      </w:r>
      <w:r w:rsidRPr="00E259C0" w:rsidR="00DE38A8">
        <w:t>compensation and benefit manager</w:t>
      </w:r>
      <w:r w:rsidRPr="00E259C0">
        <w:t xml:space="preserve"> 30 minutes to write each </w:t>
      </w:r>
      <w:r w:rsidRPr="00E259C0" w:rsidR="007E09AC">
        <w:t xml:space="preserve">agreement </w:t>
      </w:r>
      <w:r w:rsidRPr="00E259C0">
        <w:t xml:space="preserve">and a clerical worker 15 minutes to submit the </w:t>
      </w:r>
      <w:r w:rsidRPr="00E259C0" w:rsidR="00675864">
        <w:t>agreement</w:t>
      </w:r>
      <w:r w:rsidRPr="00E259C0">
        <w:t xml:space="preserve"> to the Federal IDR portal.</w:t>
      </w:r>
      <w:r w:rsidR="00263C28">
        <w:t xml:space="preserve"> </w:t>
      </w:r>
      <w:r w:rsidRPr="00E259C0">
        <w:rPr>
          <w:bCs/>
        </w:rPr>
        <w:t xml:space="preserve">Please see Table </w:t>
      </w:r>
      <w:r w:rsidRPr="00E259C0" w:rsidR="000C5259">
        <w:rPr>
          <w:bCs/>
        </w:rPr>
        <w:t>2</w:t>
      </w:r>
      <w:r w:rsidRPr="00E259C0" w:rsidR="005A766F">
        <w:rPr>
          <w:bCs/>
        </w:rPr>
        <w:t xml:space="preserve"> </w:t>
      </w:r>
      <w:r w:rsidRPr="00E259C0">
        <w:rPr>
          <w:bCs/>
        </w:rPr>
        <w:t>for calculations and burden totals.</w:t>
      </w:r>
    </w:p>
    <w:p w:rsidR="00C94BC7" w:rsidP="00131999" w14:paraId="5F36F437" w14:textId="08CD533E">
      <w:pPr>
        <w:ind w:left="720"/>
      </w:pPr>
      <w:r>
        <w:t xml:space="preserve"> </w:t>
      </w:r>
    </w:p>
    <w:p w:rsidR="00657957" w:rsidRPr="00804586" w:rsidP="00131999" w14:paraId="7BB7FD7C" w14:textId="07CE74D1">
      <w:pPr>
        <w:ind w:left="720"/>
        <w:rPr>
          <w:i/>
          <w:iCs/>
          <w:u w:val="single"/>
        </w:rPr>
      </w:pPr>
      <w:r w:rsidRPr="00804586">
        <w:rPr>
          <w:i/>
          <w:iCs/>
          <w:u w:val="single"/>
        </w:rPr>
        <w:t>Notice of Certified IDR Entity Selection</w:t>
      </w:r>
    </w:p>
    <w:p w:rsidR="00657957" w:rsidRPr="00E259C0" w:rsidP="00131999" w14:paraId="04FDFDC7" w14:textId="77777777">
      <w:pPr>
        <w:ind w:left="720"/>
      </w:pPr>
    </w:p>
    <w:p w:rsidR="00657957" w:rsidRPr="00657957" w:rsidP="00657957" w14:paraId="04191129" w14:textId="1EDC5BCE">
      <w:pPr>
        <w:ind w:left="720"/>
      </w:pPr>
      <w:bookmarkStart w:id="16" w:name="_Hlk94610636"/>
      <w:r w:rsidRPr="00657957">
        <w:t xml:space="preserve">Under these final rules, this information collection will be limited to those disputes in which either party does not agree to the other party’s preferred alternative certified IDR entity. For this subset of disputes, the initiating party will be required to submit the notice of certified IDR entity selection to indicate agreement or objection to the non-initiating party’s alternate preferred certified IDR entity selection as indicated in the notice of IDR initiation response, and both parties will have the ability to submit the notice back-and-forth during the 3-day period after the date of IDR initiation until an agreed upon entity is identified or the parties fail to jointly agree. </w:t>
      </w:r>
    </w:p>
    <w:p w:rsidR="00657957" w:rsidP="00657957" w14:paraId="0C2CC52C" w14:textId="77777777">
      <w:pPr>
        <w:ind w:left="720"/>
      </w:pPr>
    </w:p>
    <w:p w:rsidR="00D34F89" w:rsidP="00657957" w14:paraId="6C10342F" w14:textId="77DCD857">
      <w:pPr>
        <w:ind w:left="720"/>
      </w:pPr>
      <w:r w:rsidRPr="00657957">
        <w:t xml:space="preserve">Based on internal data, in approximately 29 percent of disputes, the non-initiating party objects to the certified IDR entity selected by the initiating party. Further, out of the 29 percent of disputes in which the non-initiating party objected to the certified IDR entity selected by the initiating party, the majority of those disputes (93 percent, or 27 percent of all disputes) the initiating party agreed to the alternate preferred certified IDR entity selected by the non-initiating party. </w:t>
      </w:r>
      <w:r w:rsidRPr="00E82C25" w:rsidR="00E82C25">
        <w:t>The Departments estimate that it will take an office clerk 30 minutes on average to prepare and submit the notice indicating agreement</w:t>
      </w:r>
      <w:r w:rsidR="002321D4">
        <w:t>.</w:t>
      </w:r>
      <w:r w:rsidR="00E82C25">
        <w:t xml:space="preserve"> Please see Table 2 for calculations and burden. </w:t>
      </w:r>
    </w:p>
    <w:p w:rsidR="00D34F89" w:rsidP="00657957" w14:paraId="498D0656" w14:textId="77777777">
      <w:pPr>
        <w:ind w:left="720"/>
      </w:pPr>
    </w:p>
    <w:p w:rsidR="00985DD2" w:rsidRPr="00E259C0" w:rsidP="00657957" w14:paraId="45F14D4C" w14:textId="44E45A57">
      <w:pPr>
        <w:ind w:left="720"/>
      </w:pPr>
      <w:r w:rsidRPr="00FB2213">
        <w:t>In addition, the Departments expect that, for a small proportion of disputes</w:t>
      </w:r>
      <w:r>
        <w:t xml:space="preserve"> (approximately 2 percent)</w:t>
      </w:r>
      <w:r w:rsidRPr="00FB2213">
        <w:t xml:space="preserve">, the initiating party and the non-initiating party will exchange the notice of certified IDR entity selection multiple times within the timeframe before reaching agreement and jointly selecting or defaulting to random selection. </w:t>
      </w:r>
      <w:r w:rsidRPr="00E259C0" w:rsidR="00424942">
        <w:t>The Departments estimate that it would take a</w:t>
      </w:r>
      <w:r w:rsidRPr="00E259C0" w:rsidR="00893229">
        <w:t xml:space="preserve"> clerical worker </w:t>
      </w:r>
      <w:r w:rsidRPr="00E259C0" w:rsidR="00424942">
        <w:t xml:space="preserve">30 minutes on average to prepare and submit the notice indicating agreement or objection to the alternate preferred certified IDR entity and selecting an alternative entity, if applicable. </w:t>
      </w:r>
      <w:r w:rsidRPr="00E259C0">
        <w:rPr>
          <w:bCs/>
        </w:rPr>
        <w:t xml:space="preserve">Please see Table </w:t>
      </w:r>
      <w:r w:rsidRPr="00E259C0" w:rsidR="000C5259">
        <w:rPr>
          <w:bCs/>
        </w:rPr>
        <w:t>2</w:t>
      </w:r>
      <w:r w:rsidRPr="00E259C0" w:rsidR="004243E8">
        <w:rPr>
          <w:bCs/>
        </w:rPr>
        <w:t xml:space="preserve"> </w:t>
      </w:r>
      <w:r w:rsidRPr="00E259C0">
        <w:rPr>
          <w:bCs/>
        </w:rPr>
        <w:t>for calculations and burden totals.</w:t>
      </w:r>
    </w:p>
    <w:bookmarkEnd w:id="16"/>
    <w:p w:rsidR="002B48DD" w:rsidP="00824A9C" w14:paraId="6692E79F" w14:textId="4D464436"/>
    <w:p w:rsidR="00FF32FC" w:rsidRPr="00BF05C4" w:rsidP="00824A9C" w14:paraId="76E43657" w14:textId="0CB948AF">
      <w:pPr>
        <w:rPr>
          <w:i/>
          <w:iCs/>
          <w:u w:val="single"/>
        </w:rPr>
      </w:pPr>
      <w:r>
        <w:tab/>
      </w:r>
      <w:r w:rsidRPr="00BF05C4">
        <w:rPr>
          <w:i/>
          <w:iCs/>
          <w:u w:val="single"/>
        </w:rPr>
        <w:t>Notice of Offer</w:t>
      </w:r>
    </w:p>
    <w:p w:rsidR="00FF32FC" w:rsidRPr="00E259C0" w:rsidP="00824A9C" w14:paraId="27DD5449" w14:textId="77777777"/>
    <w:p w:rsidR="006E61D6" w:rsidP="00A977BC" w14:paraId="3087AA71" w14:textId="0E732A31">
      <w:pPr>
        <w:ind w:left="720"/>
        <w:rPr>
          <w:bCs/>
        </w:rPr>
      </w:pPr>
      <w:r w:rsidRPr="00E259C0">
        <w:t xml:space="preserve">Additionally, no later than 10 business days after the date of selection of the certified IDR entity with respect to a payment determination for a qualified IDR item or service, the </w:t>
      </w:r>
      <w:r w:rsidRPr="00E259C0" w:rsidR="007450C1">
        <w:t>parties</w:t>
      </w:r>
      <w:r w:rsidRPr="00E259C0">
        <w:t xml:space="preserve"> must submit to the certified IDR entity </w:t>
      </w:r>
      <w:r w:rsidRPr="00E259C0" w:rsidR="008F4F9B">
        <w:t xml:space="preserve">(1) an offer for a payment amount for the qualified IDR service furnished by the provider of air ambulance services, expressed both as a dollar amount and as a percentage of the QPA; and (2) information as requested by the certified IDR entity relating to the offer. With the information requested by the certified IDR entity, the parties must include: </w:t>
      </w:r>
      <w:r w:rsidRPr="00414387" w:rsidR="00414387">
        <w:t>the dispute reference number, their organization name, primary and secondary points of contact (including mailing address, phone numbers and emails) and plan types. The provider must specify whether the provider, practice, or organization has fewer than 20 employees, 20 to 50 employees, 51 to 100 employees, 101 to 500 employees, or more than 500 employees. For facilities, the facility must specify whether the facility has 50 or fewer employees, 51 to 100 employees, 101 to 500 employees, or more than 500 employees. Providers and facilities must also provide information on the practice specialty or type, respectively (if applicable). Plans and issuers must provide the coverage area of the plan, issuer, or FEHB carrier, the relevant geographic region for purposes of the QPA, and, for group health plans, whether they are fully insured, or partially or fully self-insured (or an FEHB carrier, if the item or service relates to FEHB coverage).</w:t>
      </w:r>
      <w:r w:rsidRPr="00E259C0" w:rsidR="008F4F9B">
        <w:t xml:space="preserve"> </w:t>
      </w:r>
      <w:r w:rsidRPr="00185F27" w:rsidR="00185F27">
        <w:t>The offer must include the QPA for the applicable year for the same or similar items or services.</w:t>
      </w:r>
      <w:r w:rsidRPr="00E259C0" w:rsidR="008F4F9B">
        <w:t xml:space="preserve"> </w:t>
      </w:r>
      <w:r w:rsidRPr="00E259C0">
        <w:t>The Departments estimate</w:t>
      </w:r>
      <w:r w:rsidRPr="00E259C0" w:rsidR="00E574C7">
        <w:t xml:space="preserve"> tha</w:t>
      </w:r>
      <w:r w:rsidRPr="00E259C0" w:rsidR="00E136E5">
        <w:t>t</w:t>
      </w:r>
      <w:r w:rsidRPr="00E259C0">
        <w:t xml:space="preserve"> for providers</w:t>
      </w:r>
      <w:r w:rsidRPr="00E259C0" w:rsidR="00E758F9">
        <w:t>,</w:t>
      </w:r>
      <w:r w:rsidRPr="00E259C0">
        <w:t xml:space="preserve"> issuers</w:t>
      </w:r>
      <w:r w:rsidRPr="00E259C0" w:rsidR="00E758F9">
        <w:t>, providers, and facilities</w:t>
      </w:r>
      <w:r w:rsidRPr="00E259C0">
        <w:t xml:space="preserve"> it will take an average of </w:t>
      </w:r>
      <w:r w:rsidR="00393FEC">
        <w:t>30 minutes</w:t>
      </w:r>
      <w:r w:rsidRPr="00E259C0">
        <w:t xml:space="preserve"> for a </w:t>
      </w:r>
      <w:r w:rsidRPr="00E259C0" w:rsidR="003973C1">
        <w:t xml:space="preserve">compensation and benefit manager </w:t>
      </w:r>
      <w:r w:rsidRPr="00E259C0">
        <w:t xml:space="preserve">to write the offer and </w:t>
      </w:r>
      <w:r w:rsidR="00393FEC">
        <w:t>15</w:t>
      </w:r>
      <w:r w:rsidRPr="00E259C0" w:rsidR="00393FEC">
        <w:t xml:space="preserve"> </w:t>
      </w:r>
      <w:r w:rsidRPr="00E259C0">
        <w:t>minutes for a clerical worker to prepare and send the offer.</w:t>
      </w:r>
      <w:r w:rsidR="00263C28">
        <w:t xml:space="preserve"> </w:t>
      </w:r>
      <w:r w:rsidRPr="00E259C0" w:rsidR="00985DD2">
        <w:rPr>
          <w:bCs/>
        </w:rPr>
        <w:t xml:space="preserve">Please see Table </w:t>
      </w:r>
      <w:r w:rsidRPr="00E259C0" w:rsidR="000C5259">
        <w:rPr>
          <w:bCs/>
        </w:rPr>
        <w:t>2</w:t>
      </w:r>
      <w:r w:rsidRPr="00E259C0" w:rsidR="00985DD2">
        <w:rPr>
          <w:bCs/>
        </w:rPr>
        <w:t xml:space="preserve"> for calculations and burden totals.</w:t>
      </w:r>
    </w:p>
    <w:p w:rsidR="006E61D6" w:rsidP="00A977BC" w14:paraId="79AB9F04" w14:textId="77777777">
      <w:pPr>
        <w:ind w:left="720"/>
        <w:rPr>
          <w:bCs/>
        </w:rPr>
      </w:pPr>
    </w:p>
    <w:p w:rsidR="000E009F" w:rsidRPr="006E61D6" w:rsidP="00A977BC" w14:paraId="232263DB" w14:textId="5FA28A97">
      <w:pPr>
        <w:ind w:left="720"/>
        <w:rPr>
          <w:i/>
          <w:iCs/>
          <w:u w:val="single"/>
        </w:rPr>
      </w:pPr>
      <w:r w:rsidRPr="006E61D6">
        <w:rPr>
          <w:i/>
          <w:iCs/>
          <w:u w:val="single"/>
        </w:rPr>
        <w:t>Notice of Withdrawal</w:t>
      </w:r>
    </w:p>
    <w:p w:rsidR="006E61D6" w:rsidP="00A977BC" w14:paraId="4D96D151" w14:textId="77777777">
      <w:pPr>
        <w:ind w:left="720"/>
      </w:pPr>
    </w:p>
    <w:p w:rsidR="0013364B" w:rsidP="004F57A3" w14:paraId="6E276D8E" w14:textId="48C9976B">
      <w:pPr>
        <w:ind w:left="720"/>
      </w:pPr>
      <w:r w:rsidRPr="000E009F">
        <w:t>The Departments are establishing at 26 CFR 54.9816–8(c)(3)(ii), 29 CFR 2590.716–8(c)(3)(ii), and 45 CFR 149.510(c)(3)(ii) a process for disputes to be withdrawn from the Federal IDR process. These final rules will require the initiating party to submit a withdrawal request to the Departments</w:t>
      </w:r>
      <w:r w:rsidR="00A2734C">
        <w:t xml:space="preserve">, </w:t>
      </w:r>
      <w:r w:rsidRPr="00A2734C" w:rsidR="00A2734C">
        <w:t>the certified IDR entity (if selected)</w:t>
      </w:r>
      <w:r w:rsidR="00A2734C">
        <w:t>,</w:t>
      </w:r>
      <w:r w:rsidRPr="000E009F">
        <w:t xml:space="preserve"> and the non-initiating party through the Federal IDR portal. The non-initiating party will then be required to provide a response within 5 business days indicating agreement or objection to the request for withdrawal. Each dispute will therefore require a collection from both the initiating (requesting) and the non-initiating (responding) parties in order to withdraw. If the non-initiating party fails to respond, the non-initiating party will be considered to have agreed to the dispute’s withdrawal. </w:t>
      </w:r>
    </w:p>
    <w:p w:rsidR="0013364B" w:rsidP="004F57A3" w14:paraId="4DE80CFC" w14:textId="77777777">
      <w:pPr>
        <w:ind w:left="720"/>
      </w:pPr>
    </w:p>
    <w:p w:rsidR="00E2246D" w:rsidRPr="00E259C0" w:rsidP="004F57A3" w14:paraId="1335B199" w14:textId="298AD3B2">
      <w:pPr>
        <w:ind w:left="720"/>
      </w:pPr>
      <w:r w:rsidRPr="000E009F">
        <w:t>The Departments expect that dispute withdrawals will be relatively rare</w:t>
      </w:r>
      <w:r w:rsidR="004F57A3">
        <w:t>.</w:t>
      </w:r>
      <w:r w:rsidRPr="000E009F">
        <w:t xml:space="preserve"> Based on internal data, the Departments anticipate that approximately 4 percent of disputes will be withdrawn annually. </w:t>
      </w:r>
      <w:r w:rsidRPr="00E259C0" w:rsidR="0095648D">
        <w:t xml:space="preserve">The Departments estimate that it would take a compensation and benefits manager approximately 15 minutes and a clerical worker approximately 15 minutes on average for the initiating party to prepare and submit the notice of request for </w:t>
      </w:r>
      <w:r w:rsidRPr="00E259C0" w:rsidR="0095648D">
        <w:t>withdrawal to the non-initiating party and the Departments through the Federal IDR portal</w:t>
      </w:r>
      <w:r w:rsidR="005879A0">
        <w:t>.</w:t>
      </w:r>
      <w:r w:rsidR="001B2D4E">
        <w:t xml:space="preserve"> </w:t>
      </w:r>
      <w:r w:rsidRPr="00E259C0" w:rsidR="0095648D">
        <w:t xml:space="preserve">Because the notice of withdrawal response would have fewer data elements and would require a lower amount of time and labor burden to submit, the Departments </w:t>
      </w:r>
      <w:r w:rsidR="005879A0">
        <w:t xml:space="preserve">also </w:t>
      </w:r>
      <w:r w:rsidRPr="00E259C0" w:rsidR="0095648D">
        <w:t>estimate that it would take an office clerk approximately 15 minutes on average for the non-initiating party to submit the notice of withdrawal response to the initiating party and the Departments through the Federal IDR portal</w:t>
      </w:r>
      <w:r w:rsidRPr="00E259C0" w:rsidR="00985DD2">
        <w:t xml:space="preserve">. </w:t>
      </w:r>
      <w:r w:rsidRPr="00E259C0" w:rsidR="00985DD2">
        <w:rPr>
          <w:bCs/>
        </w:rPr>
        <w:t xml:space="preserve">Please see Table </w:t>
      </w:r>
      <w:r w:rsidRPr="00E259C0" w:rsidR="000C5259">
        <w:rPr>
          <w:bCs/>
        </w:rPr>
        <w:t>2</w:t>
      </w:r>
      <w:r w:rsidRPr="00E259C0" w:rsidR="00985DD2">
        <w:rPr>
          <w:bCs/>
        </w:rPr>
        <w:t xml:space="preserve"> for calculations and burden totals.</w:t>
      </w:r>
    </w:p>
    <w:p w:rsidR="004243E8" w:rsidRPr="00E259C0" w:rsidP="00487A1E" w14:paraId="6C3E5E5C" w14:textId="68F06153">
      <w:pPr>
        <w:pStyle w:val="HeadingStyle"/>
        <w:ind w:firstLine="0"/>
        <w:rPr>
          <w:rFonts w:ascii="Times New Roman" w:hAnsi="Times New Roman" w:cs="Times New Roman"/>
          <w:b w:val="0"/>
          <w:bCs w:val="0"/>
          <w:color w:val="auto"/>
        </w:rPr>
      </w:pPr>
      <w:r w:rsidRPr="00E259C0">
        <w:rPr>
          <w:rFonts w:ascii="Times New Roman" w:hAnsi="Times New Roman" w:cs="Times New Roman"/>
          <w:color w:val="auto"/>
        </w:rPr>
        <w:t xml:space="preserve">Table </w:t>
      </w:r>
      <w:r w:rsidRPr="00E259C0" w:rsidR="000C5259">
        <w:rPr>
          <w:rFonts w:ascii="Times New Roman" w:hAnsi="Times New Roman" w:cs="Times New Roman"/>
          <w:color w:val="auto"/>
        </w:rPr>
        <w:t>2</w:t>
      </w:r>
      <w:r w:rsidRPr="00E259C0">
        <w:rPr>
          <w:rFonts w:ascii="Times New Roman" w:hAnsi="Times New Roman" w:cs="Times New Roman"/>
          <w:color w:val="auto"/>
        </w:rPr>
        <w:t>. Hour Burden of Federal IDR Process for Nonparticipating Providers or Nonparticipating Emergency Facilities and Providers of Air Ambulance Services</w:t>
      </w:r>
    </w:p>
    <w:p w:rsidR="004243E8" w:rsidRPr="00E259C0" w:rsidP="004243E8" w14:paraId="2FB6D1BB" w14:textId="2A9FA1DB">
      <w:pPr>
        <w:ind w:left="720"/>
      </w:pPr>
    </w:p>
    <w:tbl>
      <w:tblPr>
        <w:tblW w:w="0" w:type="auto"/>
        <w:tblLook w:val="04A0"/>
      </w:tblPr>
      <w:tblGrid>
        <w:gridCol w:w="2842"/>
        <w:gridCol w:w="1201"/>
        <w:gridCol w:w="1230"/>
        <w:gridCol w:w="1308"/>
        <w:gridCol w:w="970"/>
        <w:gridCol w:w="1799"/>
      </w:tblGrid>
      <w:tr w14:paraId="3A63BD9C" w14:textId="77777777" w:rsidTr="00823222">
        <w:tblPrEx>
          <w:tblW w:w="0" w:type="auto"/>
          <w:tblLook w:val="04A0"/>
        </w:tblPrEx>
        <w:trPr>
          <w:trHeight w:val="1033"/>
        </w:trPr>
        <w:tc>
          <w:tcPr>
            <w:tcW w:w="0" w:type="auto"/>
            <w:tcBorders>
              <w:top w:val="single" w:sz="4" w:space="0" w:color="auto"/>
              <w:left w:val="single" w:sz="4" w:space="0" w:color="auto"/>
              <w:bottom w:val="single" w:sz="4" w:space="0" w:color="auto"/>
              <w:right w:val="single" w:sz="4" w:space="0" w:color="auto"/>
            </w:tcBorders>
            <w:noWrap/>
            <w:vAlign w:val="center"/>
            <w:hideMark/>
          </w:tcPr>
          <w:p w:rsidR="00823222" w:rsidRPr="00823222" w:rsidP="00823222" w14:paraId="091E99D2" w14:textId="77777777">
            <w:pPr>
              <w:widowControl/>
              <w:autoSpaceDE/>
              <w:autoSpaceDN/>
              <w:adjustRightInd/>
              <w:rPr>
                <w:color w:val="000000"/>
                <w:sz w:val="22"/>
                <w:szCs w:val="22"/>
              </w:rPr>
            </w:pPr>
            <w:r w:rsidRPr="00823222">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823222" w:rsidRPr="00823222" w:rsidP="00823222" w14:paraId="75FFB3CD" w14:textId="77777777">
            <w:pPr>
              <w:widowControl/>
              <w:autoSpaceDE/>
              <w:autoSpaceDN/>
              <w:adjustRightInd/>
              <w:jc w:val="center"/>
              <w:rPr>
                <w:b/>
                <w:bCs/>
                <w:color w:val="000000"/>
                <w:sz w:val="22"/>
                <w:szCs w:val="22"/>
              </w:rPr>
            </w:pPr>
            <w:r w:rsidRPr="00823222">
              <w:rPr>
                <w:b/>
                <w:bCs/>
                <w:color w:val="000000"/>
                <w:sz w:val="22"/>
                <w:szCs w:val="22"/>
              </w:rPr>
              <w:t>Number of Claims</w:t>
            </w:r>
          </w:p>
        </w:tc>
        <w:tc>
          <w:tcPr>
            <w:tcW w:w="0" w:type="auto"/>
            <w:tcBorders>
              <w:top w:val="single" w:sz="4" w:space="0" w:color="auto"/>
              <w:left w:val="single" w:sz="4" w:space="0" w:color="auto"/>
              <w:bottom w:val="single" w:sz="4" w:space="0" w:color="auto"/>
              <w:right w:val="single" w:sz="4" w:space="0" w:color="auto"/>
            </w:tcBorders>
            <w:vAlign w:val="center"/>
            <w:hideMark/>
          </w:tcPr>
          <w:p w:rsidR="00823222" w:rsidRPr="00823222" w:rsidP="00823222" w14:paraId="6DA1A73F" w14:textId="77777777">
            <w:pPr>
              <w:widowControl/>
              <w:autoSpaceDE/>
              <w:autoSpaceDN/>
              <w:adjustRightInd/>
              <w:jc w:val="center"/>
              <w:rPr>
                <w:b/>
                <w:bCs/>
                <w:color w:val="000000"/>
                <w:sz w:val="22"/>
                <w:szCs w:val="22"/>
              </w:rPr>
            </w:pPr>
            <w:r w:rsidRPr="00823222">
              <w:rPr>
                <w:b/>
                <w:bCs/>
                <w:color w:val="000000"/>
                <w:sz w:val="22"/>
                <w:szCs w:val="22"/>
              </w:rPr>
              <w:t>Number of Hours per Claim</w:t>
            </w:r>
          </w:p>
        </w:tc>
        <w:tc>
          <w:tcPr>
            <w:tcW w:w="0" w:type="auto"/>
            <w:tcBorders>
              <w:top w:val="single" w:sz="4" w:space="0" w:color="auto"/>
              <w:left w:val="single" w:sz="4" w:space="0" w:color="auto"/>
              <w:bottom w:val="single" w:sz="4" w:space="0" w:color="auto"/>
              <w:right w:val="single" w:sz="4" w:space="0" w:color="auto"/>
            </w:tcBorders>
            <w:vAlign w:val="center"/>
            <w:hideMark/>
          </w:tcPr>
          <w:p w:rsidR="00823222" w:rsidRPr="00823222" w:rsidP="00823222" w14:paraId="6D9A0BC1" w14:textId="77777777">
            <w:pPr>
              <w:widowControl/>
              <w:autoSpaceDE/>
              <w:autoSpaceDN/>
              <w:adjustRightInd/>
              <w:jc w:val="center"/>
              <w:rPr>
                <w:b/>
                <w:bCs/>
                <w:color w:val="000000"/>
                <w:sz w:val="22"/>
                <w:szCs w:val="22"/>
              </w:rPr>
            </w:pPr>
            <w:r w:rsidRPr="00823222">
              <w:rPr>
                <w:b/>
                <w:bCs/>
                <w:color w:val="000000"/>
                <w:sz w:val="22"/>
                <w:szCs w:val="22"/>
              </w:rPr>
              <w:t>Total Hour Burden</w:t>
            </w:r>
          </w:p>
        </w:tc>
        <w:tc>
          <w:tcPr>
            <w:tcW w:w="0" w:type="auto"/>
            <w:tcBorders>
              <w:top w:val="single" w:sz="4" w:space="0" w:color="auto"/>
              <w:left w:val="single" w:sz="4" w:space="0" w:color="auto"/>
              <w:bottom w:val="single" w:sz="4" w:space="0" w:color="auto"/>
              <w:right w:val="single" w:sz="4" w:space="0" w:color="auto"/>
            </w:tcBorders>
            <w:vAlign w:val="center"/>
            <w:hideMark/>
          </w:tcPr>
          <w:p w:rsidR="00823222" w:rsidRPr="00823222" w:rsidP="00823222" w14:paraId="49C1CC4C" w14:textId="77777777">
            <w:pPr>
              <w:widowControl/>
              <w:autoSpaceDE/>
              <w:autoSpaceDN/>
              <w:adjustRightInd/>
              <w:jc w:val="center"/>
              <w:rPr>
                <w:b/>
                <w:bCs/>
                <w:color w:val="000000"/>
                <w:sz w:val="22"/>
                <w:szCs w:val="22"/>
              </w:rPr>
            </w:pPr>
            <w:r w:rsidRPr="00823222">
              <w:rPr>
                <w:b/>
                <w:bCs/>
                <w:color w:val="000000"/>
                <w:sz w:val="22"/>
                <w:szCs w:val="22"/>
              </w:rPr>
              <w:t>Wage Rate</w:t>
            </w:r>
          </w:p>
        </w:tc>
        <w:tc>
          <w:tcPr>
            <w:tcW w:w="0" w:type="auto"/>
            <w:tcBorders>
              <w:top w:val="single" w:sz="4" w:space="0" w:color="auto"/>
              <w:left w:val="single" w:sz="4" w:space="0" w:color="auto"/>
              <w:bottom w:val="single" w:sz="4" w:space="0" w:color="auto"/>
              <w:right w:val="single" w:sz="4" w:space="0" w:color="auto"/>
            </w:tcBorders>
            <w:vAlign w:val="center"/>
            <w:hideMark/>
          </w:tcPr>
          <w:p w:rsidR="00823222" w:rsidRPr="00823222" w:rsidP="00823222" w14:paraId="2AC749B7" w14:textId="77777777">
            <w:pPr>
              <w:widowControl/>
              <w:autoSpaceDE/>
              <w:autoSpaceDN/>
              <w:adjustRightInd/>
              <w:jc w:val="center"/>
              <w:rPr>
                <w:b/>
                <w:bCs/>
                <w:color w:val="000000"/>
                <w:sz w:val="22"/>
                <w:szCs w:val="22"/>
              </w:rPr>
            </w:pPr>
            <w:r w:rsidRPr="00823222">
              <w:rPr>
                <w:b/>
                <w:bCs/>
                <w:color w:val="000000"/>
                <w:sz w:val="22"/>
                <w:szCs w:val="22"/>
              </w:rPr>
              <w:t>Equivalent Cost of Hour Burden</w:t>
            </w:r>
          </w:p>
        </w:tc>
      </w:tr>
      <w:tr w14:paraId="161C0494" w14:textId="77777777" w:rsidTr="00823222">
        <w:tblPrEx>
          <w:tblW w:w="0" w:type="auto"/>
          <w:tblLook w:val="04A0"/>
        </w:tblPrEx>
        <w:trPr>
          <w:trHeight w:val="350"/>
        </w:trPr>
        <w:tc>
          <w:tcPr>
            <w:tcW w:w="0" w:type="auto"/>
            <w:tcBorders>
              <w:top w:val="single" w:sz="4" w:space="0" w:color="auto"/>
              <w:left w:val="single" w:sz="4" w:space="0" w:color="auto"/>
              <w:bottom w:val="single" w:sz="4" w:space="0" w:color="auto"/>
              <w:right w:val="single" w:sz="4" w:space="0" w:color="auto"/>
            </w:tcBorders>
            <w:noWrap/>
            <w:vAlign w:val="center"/>
            <w:hideMark/>
          </w:tcPr>
          <w:p w:rsidR="00823222" w:rsidRPr="00823222" w:rsidP="00823222" w14:paraId="1F6DD221" w14:textId="77777777">
            <w:pPr>
              <w:widowControl/>
              <w:autoSpaceDE/>
              <w:autoSpaceDN/>
              <w:adjustRightInd/>
              <w:rPr>
                <w:color w:val="000000"/>
                <w:sz w:val="22"/>
                <w:szCs w:val="22"/>
              </w:rPr>
            </w:pPr>
            <w:r w:rsidRPr="00823222">
              <w:rPr>
                <w:color w:val="000000"/>
                <w:sz w:val="22"/>
                <w:szCs w:val="22"/>
              </w:rPr>
              <w:t> </w:t>
            </w:r>
          </w:p>
        </w:tc>
        <w:tc>
          <w:tcPr>
            <w:tcW w:w="0" w:type="auto"/>
            <w:tcBorders>
              <w:top w:val="single" w:sz="4" w:space="0" w:color="auto"/>
              <w:left w:val="nil"/>
              <w:bottom w:val="single" w:sz="4" w:space="0" w:color="auto"/>
              <w:right w:val="single" w:sz="4" w:space="0" w:color="auto"/>
            </w:tcBorders>
            <w:vAlign w:val="center"/>
            <w:hideMark/>
          </w:tcPr>
          <w:p w:rsidR="00823222" w:rsidRPr="00823222" w:rsidP="00823222" w14:paraId="53230844" w14:textId="77777777">
            <w:pPr>
              <w:widowControl/>
              <w:autoSpaceDE/>
              <w:autoSpaceDN/>
              <w:adjustRightInd/>
              <w:jc w:val="center"/>
              <w:rPr>
                <w:b/>
                <w:bCs/>
                <w:color w:val="000000"/>
                <w:sz w:val="22"/>
                <w:szCs w:val="22"/>
              </w:rPr>
            </w:pPr>
            <w:r w:rsidRPr="00823222">
              <w:rPr>
                <w:b/>
                <w:bCs/>
                <w:color w:val="000000"/>
                <w:sz w:val="22"/>
                <w:szCs w:val="22"/>
              </w:rPr>
              <w:t>(A)</w:t>
            </w:r>
          </w:p>
        </w:tc>
        <w:tc>
          <w:tcPr>
            <w:tcW w:w="0" w:type="auto"/>
            <w:tcBorders>
              <w:top w:val="single" w:sz="4" w:space="0" w:color="auto"/>
              <w:left w:val="nil"/>
              <w:bottom w:val="single" w:sz="4" w:space="0" w:color="auto"/>
              <w:right w:val="single" w:sz="4" w:space="0" w:color="auto"/>
            </w:tcBorders>
            <w:vAlign w:val="center"/>
            <w:hideMark/>
          </w:tcPr>
          <w:p w:rsidR="00823222" w:rsidRPr="00823222" w:rsidP="00823222" w14:paraId="0200EF19" w14:textId="77777777">
            <w:pPr>
              <w:widowControl/>
              <w:autoSpaceDE/>
              <w:autoSpaceDN/>
              <w:adjustRightInd/>
              <w:jc w:val="center"/>
              <w:rPr>
                <w:b/>
                <w:bCs/>
                <w:color w:val="000000"/>
                <w:sz w:val="22"/>
                <w:szCs w:val="22"/>
              </w:rPr>
            </w:pPr>
            <w:r w:rsidRPr="00823222">
              <w:rPr>
                <w:b/>
                <w:bCs/>
                <w:color w:val="000000"/>
                <w:sz w:val="22"/>
                <w:szCs w:val="22"/>
              </w:rPr>
              <w:t>(B)</w:t>
            </w:r>
          </w:p>
        </w:tc>
        <w:tc>
          <w:tcPr>
            <w:tcW w:w="0" w:type="auto"/>
            <w:tcBorders>
              <w:top w:val="single" w:sz="4" w:space="0" w:color="auto"/>
              <w:left w:val="nil"/>
              <w:bottom w:val="single" w:sz="4" w:space="0" w:color="auto"/>
              <w:right w:val="single" w:sz="4" w:space="0" w:color="auto"/>
            </w:tcBorders>
            <w:vAlign w:val="center"/>
            <w:hideMark/>
          </w:tcPr>
          <w:p w:rsidR="00823222" w:rsidRPr="00823222" w:rsidP="00823222" w14:paraId="78E1561D" w14:textId="77777777">
            <w:pPr>
              <w:widowControl/>
              <w:autoSpaceDE/>
              <w:autoSpaceDN/>
              <w:adjustRightInd/>
              <w:jc w:val="center"/>
              <w:rPr>
                <w:b/>
                <w:bCs/>
                <w:color w:val="000000"/>
                <w:sz w:val="22"/>
                <w:szCs w:val="22"/>
              </w:rPr>
            </w:pPr>
            <w:r w:rsidRPr="00823222">
              <w:rPr>
                <w:b/>
                <w:bCs/>
                <w:color w:val="000000"/>
                <w:sz w:val="22"/>
                <w:szCs w:val="22"/>
              </w:rPr>
              <w:t>(A x B)</w:t>
            </w:r>
          </w:p>
        </w:tc>
        <w:tc>
          <w:tcPr>
            <w:tcW w:w="0" w:type="auto"/>
            <w:tcBorders>
              <w:top w:val="single" w:sz="4" w:space="0" w:color="auto"/>
              <w:left w:val="nil"/>
              <w:bottom w:val="single" w:sz="4" w:space="0" w:color="auto"/>
              <w:right w:val="single" w:sz="4" w:space="0" w:color="auto"/>
            </w:tcBorders>
            <w:vAlign w:val="center"/>
            <w:hideMark/>
          </w:tcPr>
          <w:p w:rsidR="00823222" w:rsidRPr="00823222" w:rsidP="00823222" w14:paraId="77B1940A" w14:textId="77777777">
            <w:pPr>
              <w:widowControl/>
              <w:autoSpaceDE/>
              <w:autoSpaceDN/>
              <w:adjustRightInd/>
              <w:jc w:val="center"/>
              <w:rPr>
                <w:b/>
                <w:bCs/>
                <w:color w:val="000000"/>
                <w:sz w:val="22"/>
                <w:szCs w:val="22"/>
              </w:rPr>
            </w:pPr>
            <w:r w:rsidRPr="00823222">
              <w:rPr>
                <w:b/>
                <w:bCs/>
                <w:color w:val="000000"/>
                <w:sz w:val="22"/>
                <w:szCs w:val="22"/>
              </w:rPr>
              <w:t>(C)</w:t>
            </w:r>
          </w:p>
        </w:tc>
        <w:tc>
          <w:tcPr>
            <w:tcW w:w="0" w:type="auto"/>
            <w:tcBorders>
              <w:top w:val="single" w:sz="4" w:space="0" w:color="auto"/>
              <w:left w:val="nil"/>
              <w:bottom w:val="single" w:sz="4" w:space="0" w:color="auto"/>
              <w:right w:val="single" w:sz="4" w:space="0" w:color="auto"/>
            </w:tcBorders>
            <w:vAlign w:val="center"/>
            <w:hideMark/>
          </w:tcPr>
          <w:p w:rsidR="00823222" w:rsidRPr="00823222" w:rsidP="00823222" w14:paraId="72893DFD" w14:textId="77777777">
            <w:pPr>
              <w:widowControl/>
              <w:autoSpaceDE/>
              <w:autoSpaceDN/>
              <w:adjustRightInd/>
              <w:jc w:val="center"/>
              <w:rPr>
                <w:b/>
                <w:bCs/>
                <w:color w:val="000000"/>
                <w:sz w:val="22"/>
                <w:szCs w:val="22"/>
              </w:rPr>
            </w:pPr>
            <w:r w:rsidRPr="00823222">
              <w:rPr>
                <w:b/>
                <w:bCs/>
                <w:color w:val="000000"/>
                <w:sz w:val="22"/>
                <w:szCs w:val="22"/>
              </w:rPr>
              <w:t>(A x B x C)</w:t>
            </w:r>
          </w:p>
        </w:tc>
      </w:tr>
      <w:tr w14:paraId="2E4598BA" w14:textId="77777777" w:rsidTr="00823222">
        <w:tblPrEx>
          <w:tblW w:w="0" w:type="auto"/>
          <w:tblLook w:val="04A0"/>
        </w:tblPrEx>
        <w:trPr>
          <w:trHeight w:val="350"/>
        </w:trPr>
        <w:tc>
          <w:tcPr>
            <w:tcW w:w="0" w:type="auto"/>
            <w:gridSpan w:val="6"/>
            <w:tcBorders>
              <w:top w:val="single" w:sz="4" w:space="0" w:color="auto"/>
              <w:left w:val="single" w:sz="4" w:space="0" w:color="auto"/>
              <w:bottom w:val="single" w:sz="4" w:space="0" w:color="auto"/>
              <w:right w:val="single" w:sz="4" w:space="0" w:color="000000"/>
            </w:tcBorders>
            <w:noWrap/>
            <w:vAlign w:val="center"/>
            <w:hideMark/>
          </w:tcPr>
          <w:p w:rsidR="00823222" w:rsidRPr="00823222" w:rsidP="00823222" w14:paraId="4BE86A5F" w14:textId="77777777">
            <w:pPr>
              <w:widowControl/>
              <w:autoSpaceDE/>
              <w:autoSpaceDN/>
              <w:adjustRightInd/>
              <w:rPr>
                <w:b/>
                <w:bCs/>
                <w:color w:val="000000"/>
                <w:sz w:val="22"/>
                <w:szCs w:val="22"/>
                <w:u w:val="single"/>
              </w:rPr>
            </w:pPr>
            <w:r w:rsidRPr="00823222">
              <w:rPr>
                <w:b/>
                <w:bCs/>
                <w:color w:val="000000"/>
                <w:sz w:val="22"/>
                <w:szCs w:val="22"/>
                <w:u w:val="single"/>
              </w:rPr>
              <w:t>Open Negotiation Notice and Response</w:t>
            </w:r>
          </w:p>
        </w:tc>
      </w:tr>
      <w:tr w14:paraId="2DF7D368" w14:textId="77777777" w:rsidTr="00823222">
        <w:tblPrEx>
          <w:tblW w:w="0" w:type="auto"/>
          <w:tblLook w:val="04A0"/>
        </w:tblPrEx>
        <w:trPr>
          <w:trHeight w:val="583"/>
        </w:trPr>
        <w:tc>
          <w:tcPr>
            <w:tcW w:w="0" w:type="auto"/>
            <w:tcBorders>
              <w:top w:val="nil"/>
              <w:left w:val="single" w:sz="4" w:space="0" w:color="auto"/>
              <w:bottom w:val="single" w:sz="4" w:space="0" w:color="auto"/>
              <w:right w:val="single" w:sz="4" w:space="0" w:color="auto"/>
            </w:tcBorders>
            <w:vAlign w:val="center"/>
            <w:hideMark/>
          </w:tcPr>
          <w:p w:rsidR="00823222" w:rsidRPr="00823222" w:rsidP="00823222" w14:paraId="3F00E5B9" w14:textId="77777777">
            <w:pPr>
              <w:widowControl/>
              <w:autoSpaceDE/>
              <w:autoSpaceDN/>
              <w:adjustRightInd/>
              <w:rPr>
                <w:color w:val="000000"/>
                <w:sz w:val="22"/>
                <w:szCs w:val="22"/>
              </w:rPr>
            </w:pPr>
            <w:r w:rsidRPr="00823222">
              <w:rPr>
                <w:color w:val="000000"/>
                <w:sz w:val="22"/>
                <w:szCs w:val="22"/>
              </w:rPr>
              <w:t>Compensation and benefits manager prepare open negotiation notice</w:t>
            </w:r>
          </w:p>
        </w:tc>
        <w:tc>
          <w:tcPr>
            <w:tcW w:w="0" w:type="auto"/>
            <w:tcBorders>
              <w:top w:val="nil"/>
              <w:left w:val="nil"/>
              <w:bottom w:val="single" w:sz="4" w:space="0" w:color="auto"/>
              <w:right w:val="single" w:sz="4" w:space="0" w:color="auto"/>
            </w:tcBorders>
            <w:noWrap/>
            <w:vAlign w:val="center"/>
            <w:hideMark/>
          </w:tcPr>
          <w:p w:rsidR="00823222" w:rsidRPr="00823222" w:rsidP="00823222" w14:paraId="2079AEFE" w14:textId="77777777">
            <w:pPr>
              <w:widowControl/>
              <w:autoSpaceDE/>
              <w:autoSpaceDN/>
              <w:adjustRightInd/>
              <w:jc w:val="center"/>
              <w:rPr>
                <w:color w:val="000000"/>
                <w:sz w:val="22"/>
                <w:szCs w:val="22"/>
              </w:rPr>
            </w:pPr>
            <w:r w:rsidRPr="00823222">
              <w:rPr>
                <w:color w:val="000000"/>
                <w:sz w:val="22"/>
                <w:szCs w:val="22"/>
              </w:rPr>
              <w:t>3,900,000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773B165E" w14:textId="77777777">
            <w:pPr>
              <w:widowControl/>
              <w:autoSpaceDE/>
              <w:autoSpaceDN/>
              <w:adjustRightInd/>
              <w:jc w:val="center"/>
              <w:rPr>
                <w:color w:val="000000"/>
                <w:sz w:val="22"/>
                <w:szCs w:val="22"/>
              </w:rPr>
            </w:pPr>
            <w:r w:rsidRPr="00823222">
              <w:rPr>
                <w:color w:val="000000"/>
                <w:sz w:val="22"/>
                <w:szCs w:val="22"/>
              </w:rPr>
              <w:t>0.5</w:t>
            </w:r>
          </w:p>
        </w:tc>
        <w:tc>
          <w:tcPr>
            <w:tcW w:w="0" w:type="auto"/>
            <w:tcBorders>
              <w:top w:val="nil"/>
              <w:left w:val="nil"/>
              <w:bottom w:val="single" w:sz="4" w:space="0" w:color="auto"/>
              <w:right w:val="single" w:sz="4" w:space="0" w:color="auto"/>
            </w:tcBorders>
            <w:noWrap/>
            <w:vAlign w:val="center"/>
            <w:hideMark/>
          </w:tcPr>
          <w:p w:rsidR="00823222" w:rsidRPr="00823222" w:rsidP="00823222" w14:paraId="30D61B05" w14:textId="77777777">
            <w:pPr>
              <w:widowControl/>
              <w:autoSpaceDE/>
              <w:autoSpaceDN/>
              <w:adjustRightInd/>
              <w:jc w:val="center"/>
              <w:rPr>
                <w:color w:val="000000"/>
                <w:sz w:val="22"/>
                <w:szCs w:val="22"/>
              </w:rPr>
            </w:pPr>
            <w:r w:rsidRPr="00823222">
              <w:rPr>
                <w:color w:val="000000"/>
                <w:sz w:val="22"/>
                <w:szCs w:val="22"/>
              </w:rPr>
              <w:t>1,950,000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20D766DC" w14:textId="77777777">
            <w:pPr>
              <w:widowControl/>
              <w:autoSpaceDE/>
              <w:autoSpaceDN/>
              <w:adjustRightInd/>
              <w:jc w:val="center"/>
              <w:rPr>
                <w:color w:val="000000"/>
                <w:sz w:val="22"/>
                <w:szCs w:val="22"/>
              </w:rPr>
            </w:pPr>
            <w:r w:rsidRPr="00823222">
              <w:rPr>
                <w:color w:val="000000"/>
                <w:sz w:val="22"/>
                <w:szCs w:val="22"/>
              </w:rPr>
              <w:t>$193.15</w:t>
            </w:r>
          </w:p>
        </w:tc>
        <w:tc>
          <w:tcPr>
            <w:tcW w:w="0" w:type="auto"/>
            <w:tcBorders>
              <w:top w:val="nil"/>
              <w:left w:val="nil"/>
              <w:bottom w:val="single" w:sz="4" w:space="0" w:color="auto"/>
              <w:right w:val="single" w:sz="4" w:space="0" w:color="auto"/>
            </w:tcBorders>
            <w:noWrap/>
            <w:vAlign w:val="center"/>
            <w:hideMark/>
          </w:tcPr>
          <w:p w:rsidR="00823222" w:rsidRPr="00823222" w:rsidP="00823222" w14:paraId="0291C9D0" w14:textId="77777777">
            <w:pPr>
              <w:widowControl/>
              <w:autoSpaceDE/>
              <w:autoSpaceDN/>
              <w:adjustRightInd/>
              <w:jc w:val="center"/>
              <w:rPr>
                <w:color w:val="000000"/>
                <w:sz w:val="22"/>
                <w:szCs w:val="22"/>
              </w:rPr>
            </w:pPr>
            <w:r w:rsidRPr="00823222">
              <w:rPr>
                <w:color w:val="000000"/>
                <w:sz w:val="22"/>
                <w:szCs w:val="22"/>
              </w:rPr>
              <w:t>$376,642,500</w:t>
            </w:r>
          </w:p>
        </w:tc>
      </w:tr>
      <w:tr w14:paraId="78AF3F92" w14:textId="77777777" w:rsidTr="00823222">
        <w:tblPrEx>
          <w:tblW w:w="0" w:type="auto"/>
          <w:tblLook w:val="04A0"/>
        </w:tblPrEx>
        <w:trPr>
          <w:trHeight w:val="560"/>
        </w:trPr>
        <w:tc>
          <w:tcPr>
            <w:tcW w:w="0" w:type="auto"/>
            <w:tcBorders>
              <w:top w:val="nil"/>
              <w:left w:val="single" w:sz="4" w:space="0" w:color="auto"/>
              <w:bottom w:val="single" w:sz="4" w:space="0" w:color="auto"/>
              <w:right w:val="single" w:sz="4" w:space="0" w:color="auto"/>
            </w:tcBorders>
            <w:vAlign w:val="center"/>
            <w:hideMark/>
          </w:tcPr>
          <w:p w:rsidR="00823222" w:rsidRPr="00823222" w:rsidP="00823222" w14:paraId="17760205" w14:textId="77777777">
            <w:pPr>
              <w:widowControl/>
              <w:autoSpaceDE/>
              <w:autoSpaceDN/>
              <w:adjustRightInd/>
              <w:rPr>
                <w:color w:val="000000"/>
                <w:sz w:val="22"/>
                <w:szCs w:val="22"/>
              </w:rPr>
            </w:pPr>
            <w:r w:rsidRPr="00823222">
              <w:rPr>
                <w:color w:val="000000"/>
                <w:sz w:val="22"/>
                <w:szCs w:val="22"/>
              </w:rPr>
              <w:t xml:space="preserve">Clerical workers prepare open negotiation notice </w:t>
            </w:r>
          </w:p>
        </w:tc>
        <w:tc>
          <w:tcPr>
            <w:tcW w:w="0" w:type="auto"/>
            <w:tcBorders>
              <w:top w:val="nil"/>
              <w:left w:val="nil"/>
              <w:bottom w:val="single" w:sz="4" w:space="0" w:color="auto"/>
              <w:right w:val="single" w:sz="4" w:space="0" w:color="auto"/>
            </w:tcBorders>
            <w:noWrap/>
            <w:vAlign w:val="center"/>
            <w:hideMark/>
          </w:tcPr>
          <w:p w:rsidR="00823222" w:rsidRPr="00823222" w:rsidP="00823222" w14:paraId="25383E01" w14:textId="77777777">
            <w:pPr>
              <w:widowControl/>
              <w:autoSpaceDE/>
              <w:autoSpaceDN/>
              <w:adjustRightInd/>
              <w:jc w:val="center"/>
              <w:rPr>
                <w:color w:val="000000"/>
                <w:sz w:val="22"/>
                <w:szCs w:val="22"/>
              </w:rPr>
            </w:pPr>
            <w:r w:rsidRPr="00823222">
              <w:rPr>
                <w:color w:val="000000"/>
                <w:sz w:val="22"/>
                <w:szCs w:val="22"/>
              </w:rPr>
              <w:t>3,900,000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79AF6B13" w14:textId="77777777">
            <w:pPr>
              <w:widowControl/>
              <w:autoSpaceDE/>
              <w:autoSpaceDN/>
              <w:adjustRightInd/>
              <w:jc w:val="center"/>
              <w:rPr>
                <w:color w:val="000000"/>
                <w:sz w:val="22"/>
                <w:szCs w:val="22"/>
              </w:rPr>
            </w:pPr>
            <w:r w:rsidRPr="00823222">
              <w:rPr>
                <w:color w:val="000000"/>
                <w:sz w:val="22"/>
                <w:szCs w:val="22"/>
              </w:rPr>
              <w:t>0.25</w:t>
            </w:r>
          </w:p>
        </w:tc>
        <w:tc>
          <w:tcPr>
            <w:tcW w:w="0" w:type="auto"/>
            <w:tcBorders>
              <w:top w:val="nil"/>
              <w:left w:val="nil"/>
              <w:bottom w:val="single" w:sz="4" w:space="0" w:color="auto"/>
              <w:right w:val="single" w:sz="4" w:space="0" w:color="auto"/>
            </w:tcBorders>
            <w:noWrap/>
            <w:vAlign w:val="center"/>
            <w:hideMark/>
          </w:tcPr>
          <w:p w:rsidR="00823222" w:rsidRPr="00823222" w:rsidP="00823222" w14:paraId="59ABB961" w14:textId="77777777">
            <w:pPr>
              <w:widowControl/>
              <w:autoSpaceDE/>
              <w:autoSpaceDN/>
              <w:adjustRightInd/>
              <w:jc w:val="center"/>
              <w:rPr>
                <w:color w:val="000000"/>
                <w:sz w:val="22"/>
                <w:szCs w:val="22"/>
              </w:rPr>
            </w:pPr>
            <w:r w:rsidRPr="00823222">
              <w:rPr>
                <w:color w:val="000000"/>
                <w:sz w:val="22"/>
                <w:szCs w:val="22"/>
              </w:rPr>
              <w:t>975,000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2BF39349" w14:textId="77777777">
            <w:pPr>
              <w:widowControl/>
              <w:autoSpaceDE/>
              <w:autoSpaceDN/>
              <w:adjustRightInd/>
              <w:jc w:val="center"/>
              <w:rPr>
                <w:color w:val="000000"/>
                <w:sz w:val="22"/>
                <w:szCs w:val="22"/>
              </w:rPr>
            </w:pPr>
            <w:r w:rsidRPr="00823222">
              <w:rPr>
                <w:color w:val="000000"/>
                <w:sz w:val="22"/>
                <w:szCs w:val="22"/>
              </w:rPr>
              <w:t>$72.82</w:t>
            </w:r>
          </w:p>
        </w:tc>
        <w:tc>
          <w:tcPr>
            <w:tcW w:w="0" w:type="auto"/>
            <w:tcBorders>
              <w:top w:val="nil"/>
              <w:left w:val="nil"/>
              <w:bottom w:val="single" w:sz="4" w:space="0" w:color="auto"/>
              <w:right w:val="single" w:sz="4" w:space="0" w:color="auto"/>
            </w:tcBorders>
            <w:noWrap/>
            <w:vAlign w:val="center"/>
            <w:hideMark/>
          </w:tcPr>
          <w:p w:rsidR="00823222" w:rsidRPr="00823222" w:rsidP="00823222" w14:paraId="3A661137" w14:textId="77777777">
            <w:pPr>
              <w:widowControl/>
              <w:autoSpaceDE/>
              <w:autoSpaceDN/>
              <w:adjustRightInd/>
              <w:jc w:val="center"/>
              <w:rPr>
                <w:color w:val="000000"/>
                <w:sz w:val="22"/>
                <w:szCs w:val="22"/>
              </w:rPr>
            </w:pPr>
            <w:r w:rsidRPr="00823222">
              <w:rPr>
                <w:color w:val="000000"/>
                <w:sz w:val="22"/>
                <w:szCs w:val="22"/>
              </w:rPr>
              <w:t>$70,999,500</w:t>
            </w:r>
          </w:p>
        </w:tc>
      </w:tr>
      <w:tr w14:paraId="61E52F62" w14:textId="77777777" w:rsidTr="00823222">
        <w:tblPrEx>
          <w:tblW w:w="0" w:type="auto"/>
          <w:tblLook w:val="04A0"/>
        </w:tblPrEx>
        <w:trPr>
          <w:trHeight w:val="703"/>
        </w:trPr>
        <w:tc>
          <w:tcPr>
            <w:tcW w:w="0" w:type="auto"/>
            <w:tcBorders>
              <w:top w:val="nil"/>
              <w:left w:val="single" w:sz="4" w:space="0" w:color="auto"/>
              <w:bottom w:val="single" w:sz="4" w:space="0" w:color="auto"/>
              <w:right w:val="single" w:sz="4" w:space="0" w:color="auto"/>
            </w:tcBorders>
            <w:vAlign w:val="center"/>
            <w:hideMark/>
          </w:tcPr>
          <w:p w:rsidR="00823222" w:rsidRPr="00823222" w:rsidP="00823222" w14:paraId="7626C703" w14:textId="77777777">
            <w:pPr>
              <w:widowControl/>
              <w:autoSpaceDE/>
              <w:autoSpaceDN/>
              <w:adjustRightInd/>
              <w:rPr>
                <w:color w:val="000000"/>
                <w:sz w:val="22"/>
                <w:szCs w:val="22"/>
              </w:rPr>
            </w:pPr>
            <w:r w:rsidRPr="00823222">
              <w:rPr>
                <w:color w:val="000000"/>
                <w:sz w:val="22"/>
                <w:szCs w:val="22"/>
              </w:rPr>
              <w:t>Compensation and benefits managers prepare open negotiation response</w:t>
            </w:r>
          </w:p>
        </w:tc>
        <w:tc>
          <w:tcPr>
            <w:tcW w:w="0" w:type="auto"/>
            <w:tcBorders>
              <w:top w:val="nil"/>
              <w:left w:val="nil"/>
              <w:bottom w:val="single" w:sz="4" w:space="0" w:color="auto"/>
              <w:right w:val="single" w:sz="4" w:space="0" w:color="auto"/>
            </w:tcBorders>
            <w:noWrap/>
            <w:vAlign w:val="center"/>
            <w:hideMark/>
          </w:tcPr>
          <w:p w:rsidR="00823222" w:rsidRPr="00823222" w:rsidP="00823222" w14:paraId="48ADAB69" w14:textId="77777777">
            <w:pPr>
              <w:widowControl/>
              <w:autoSpaceDE/>
              <w:autoSpaceDN/>
              <w:adjustRightInd/>
              <w:jc w:val="center"/>
              <w:rPr>
                <w:color w:val="000000"/>
                <w:sz w:val="22"/>
                <w:szCs w:val="22"/>
              </w:rPr>
            </w:pPr>
            <w:r w:rsidRPr="00823222">
              <w:rPr>
                <w:color w:val="000000"/>
                <w:sz w:val="22"/>
                <w:szCs w:val="22"/>
              </w:rPr>
              <w:t>3,900,000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4995B595" w14:textId="77777777">
            <w:pPr>
              <w:widowControl/>
              <w:autoSpaceDE/>
              <w:autoSpaceDN/>
              <w:adjustRightInd/>
              <w:jc w:val="center"/>
              <w:rPr>
                <w:color w:val="000000"/>
                <w:sz w:val="22"/>
                <w:szCs w:val="22"/>
              </w:rPr>
            </w:pPr>
            <w:r w:rsidRPr="00823222">
              <w:rPr>
                <w:color w:val="000000"/>
                <w:sz w:val="22"/>
                <w:szCs w:val="22"/>
              </w:rPr>
              <w:t>0.5</w:t>
            </w:r>
          </w:p>
        </w:tc>
        <w:tc>
          <w:tcPr>
            <w:tcW w:w="0" w:type="auto"/>
            <w:tcBorders>
              <w:top w:val="nil"/>
              <w:left w:val="nil"/>
              <w:bottom w:val="single" w:sz="4" w:space="0" w:color="auto"/>
              <w:right w:val="single" w:sz="4" w:space="0" w:color="auto"/>
            </w:tcBorders>
            <w:noWrap/>
            <w:vAlign w:val="center"/>
            <w:hideMark/>
          </w:tcPr>
          <w:p w:rsidR="00823222" w:rsidRPr="00823222" w:rsidP="00823222" w14:paraId="0F63F830" w14:textId="77777777">
            <w:pPr>
              <w:widowControl/>
              <w:autoSpaceDE/>
              <w:autoSpaceDN/>
              <w:adjustRightInd/>
              <w:jc w:val="center"/>
              <w:rPr>
                <w:color w:val="000000"/>
                <w:sz w:val="22"/>
                <w:szCs w:val="22"/>
              </w:rPr>
            </w:pPr>
            <w:r w:rsidRPr="00823222">
              <w:rPr>
                <w:color w:val="000000"/>
                <w:sz w:val="22"/>
                <w:szCs w:val="22"/>
              </w:rPr>
              <w:t>1,950,000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093501DD" w14:textId="77777777">
            <w:pPr>
              <w:widowControl/>
              <w:autoSpaceDE/>
              <w:autoSpaceDN/>
              <w:adjustRightInd/>
              <w:jc w:val="center"/>
              <w:rPr>
                <w:color w:val="000000"/>
                <w:sz w:val="22"/>
                <w:szCs w:val="22"/>
              </w:rPr>
            </w:pPr>
            <w:r w:rsidRPr="00823222">
              <w:rPr>
                <w:color w:val="000000"/>
                <w:sz w:val="22"/>
                <w:szCs w:val="22"/>
              </w:rPr>
              <w:t>$193.15</w:t>
            </w:r>
          </w:p>
        </w:tc>
        <w:tc>
          <w:tcPr>
            <w:tcW w:w="0" w:type="auto"/>
            <w:tcBorders>
              <w:top w:val="nil"/>
              <w:left w:val="nil"/>
              <w:bottom w:val="single" w:sz="4" w:space="0" w:color="auto"/>
              <w:right w:val="single" w:sz="4" w:space="0" w:color="auto"/>
            </w:tcBorders>
            <w:noWrap/>
            <w:vAlign w:val="center"/>
            <w:hideMark/>
          </w:tcPr>
          <w:p w:rsidR="00823222" w:rsidRPr="00823222" w:rsidP="00823222" w14:paraId="51952625" w14:textId="77777777">
            <w:pPr>
              <w:widowControl/>
              <w:autoSpaceDE/>
              <w:autoSpaceDN/>
              <w:adjustRightInd/>
              <w:jc w:val="center"/>
              <w:rPr>
                <w:color w:val="000000"/>
                <w:sz w:val="22"/>
                <w:szCs w:val="22"/>
              </w:rPr>
            </w:pPr>
            <w:r w:rsidRPr="00823222">
              <w:rPr>
                <w:color w:val="000000"/>
                <w:sz w:val="22"/>
                <w:szCs w:val="22"/>
              </w:rPr>
              <w:t>$376,642,500</w:t>
            </w:r>
          </w:p>
        </w:tc>
      </w:tr>
      <w:tr w14:paraId="09617A50" w14:textId="77777777" w:rsidTr="00823222">
        <w:tblPrEx>
          <w:tblW w:w="0" w:type="auto"/>
          <w:tblLook w:val="04A0"/>
        </w:tblPrEx>
        <w:trPr>
          <w:trHeight w:val="680"/>
        </w:trPr>
        <w:tc>
          <w:tcPr>
            <w:tcW w:w="0" w:type="auto"/>
            <w:tcBorders>
              <w:top w:val="nil"/>
              <w:left w:val="single" w:sz="4" w:space="0" w:color="auto"/>
              <w:bottom w:val="single" w:sz="4" w:space="0" w:color="auto"/>
              <w:right w:val="single" w:sz="4" w:space="0" w:color="auto"/>
            </w:tcBorders>
            <w:vAlign w:val="center"/>
            <w:hideMark/>
          </w:tcPr>
          <w:p w:rsidR="00823222" w:rsidRPr="00823222" w:rsidP="00823222" w14:paraId="3057A98E" w14:textId="77777777">
            <w:pPr>
              <w:widowControl/>
              <w:autoSpaceDE/>
              <w:autoSpaceDN/>
              <w:adjustRightInd/>
              <w:rPr>
                <w:color w:val="000000"/>
                <w:sz w:val="22"/>
                <w:szCs w:val="22"/>
              </w:rPr>
            </w:pPr>
            <w:r w:rsidRPr="00823222">
              <w:rPr>
                <w:color w:val="000000"/>
                <w:sz w:val="22"/>
                <w:szCs w:val="22"/>
              </w:rPr>
              <w:t xml:space="preserve">Clerical workers prepare open negotiation response </w:t>
            </w:r>
          </w:p>
        </w:tc>
        <w:tc>
          <w:tcPr>
            <w:tcW w:w="0" w:type="auto"/>
            <w:tcBorders>
              <w:top w:val="nil"/>
              <w:left w:val="nil"/>
              <w:bottom w:val="single" w:sz="4" w:space="0" w:color="auto"/>
              <w:right w:val="single" w:sz="4" w:space="0" w:color="auto"/>
            </w:tcBorders>
            <w:noWrap/>
            <w:vAlign w:val="center"/>
            <w:hideMark/>
          </w:tcPr>
          <w:p w:rsidR="00823222" w:rsidRPr="00823222" w:rsidP="00823222" w14:paraId="2E107618" w14:textId="77777777">
            <w:pPr>
              <w:widowControl/>
              <w:autoSpaceDE/>
              <w:autoSpaceDN/>
              <w:adjustRightInd/>
              <w:jc w:val="center"/>
              <w:rPr>
                <w:color w:val="000000"/>
                <w:sz w:val="22"/>
                <w:szCs w:val="22"/>
              </w:rPr>
            </w:pPr>
            <w:r w:rsidRPr="00823222">
              <w:rPr>
                <w:color w:val="000000"/>
                <w:sz w:val="22"/>
                <w:szCs w:val="22"/>
              </w:rPr>
              <w:t>3,900,000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488F3176" w14:textId="77777777">
            <w:pPr>
              <w:widowControl/>
              <w:autoSpaceDE/>
              <w:autoSpaceDN/>
              <w:adjustRightInd/>
              <w:jc w:val="center"/>
              <w:rPr>
                <w:color w:val="000000"/>
                <w:sz w:val="22"/>
                <w:szCs w:val="22"/>
              </w:rPr>
            </w:pPr>
            <w:r w:rsidRPr="00823222">
              <w:rPr>
                <w:color w:val="000000"/>
                <w:sz w:val="22"/>
                <w:szCs w:val="22"/>
              </w:rPr>
              <w:t>0.25</w:t>
            </w:r>
          </w:p>
        </w:tc>
        <w:tc>
          <w:tcPr>
            <w:tcW w:w="0" w:type="auto"/>
            <w:tcBorders>
              <w:top w:val="nil"/>
              <w:left w:val="nil"/>
              <w:bottom w:val="single" w:sz="4" w:space="0" w:color="auto"/>
              <w:right w:val="single" w:sz="4" w:space="0" w:color="auto"/>
            </w:tcBorders>
            <w:noWrap/>
            <w:vAlign w:val="center"/>
            <w:hideMark/>
          </w:tcPr>
          <w:p w:rsidR="00823222" w:rsidRPr="00823222" w:rsidP="00823222" w14:paraId="3869654B" w14:textId="77777777">
            <w:pPr>
              <w:widowControl/>
              <w:autoSpaceDE/>
              <w:autoSpaceDN/>
              <w:adjustRightInd/>
              <w:jc w:val="center"/>
              <w:rPr>
                <w:color w:val="000000"/>
                <w:sz w:val="22"/>
                <w:szCs w:val="22"/>
              </w:rPr>
            </w:pPr>
            <w:r w:rsidRPr="00823222">
              <w:rPr>
                <w:color w:val="000000"/>
                <w:sz w:val="22"/>
                <w:szCs w:val="22"/>
              </w:rPr>
              <w:t>975,000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3E5FB787" w14:textId="77777777">
            <w:pPr>
              <w:widowControl/>
              <w:autoSpaceDE/>
              <w:autoSpaceDN/>
              <w:adjustRightInd/>
              <w:jc w:val="center"/>
              <w:rPr>
                <w:color w:val="000000"/>
                <w:sz w:val="22"/>
                <w:szCs w:val="22"/>
              </w:rPr>
            </w:pPr>
            <w:r w:rsidRPr="00823222">
              <w:rPr>
                <w:color w:val="000000"/>
                <w:sz w:val="22"/>
                <w:szCs w:val="22"/>
              </w:rPr>
              <w:t>$72.82</w:t>
            </w:r>
          </w:p>
        </w:tc>
        <w:tc>
          <w:tcPr>
            <w:tcW w:w="0" w:type="auto"/>
            <w:tcBorders>
              <w:top w:val="nil"/>
              <w:left w:val="nil"/>
              <w:bottom w:val="single" w:sz="4" w:space="0" w:color="auto"/>
              <w:right w:val="single" w:sz="4" w:space="0" w:color="auto"/>
            </w:tcBorders>
            <w:noWrap/>
            <w:vAlign w:val="center"/>
            <w:hideMark/>
          </w:tcPr>
          <w:p w:rsidR="00823222" w:rsidRPr="00823222" w:rsidP="00823222" w14:paraId="7910823E" w14:textId="77777777">
            <w:pPr>
              <w:widowControl/>
              <w:autoSpaceDE/>
              <w:autoSpaceDN/>
              <w:adjustRightInd/>
              <w:jc w:val="center"/>
              <w:rPr>
                <w:color w:val="000000"/>
                <w:sz w:val="22"/>
                <w:szCs w:val="22"/>
              </w:rPr>
            </w:pPr>
            <w:r w:rsidRPr="00823222">
              <w:rPr>
                <w:color w:val="000000"/>
                <w:sz w:val="22"/>
                <w:szCs w:val="22"/>
              </w:rPr>
              <w:t>$70,999,500</w:t>
            </w:r>
          </w:p>
        </w:tc>
      </w:tr>
      <w:tr w14:paraId="7AED961C" w14:textId="77777777" w:rsidTr="00823222">
        <w:tblPrEx>
          <w:tblW w:w="0" w:type="auto"/>
          <w:tblLook w:val="04A0"/>
        </w:tblPrEx>
        <w:trPr>
          <w:trHeight w:val="330"/>
        </w:trPr>
        <w:tc>
          <w:tcPr>
            <w:tcW w:w="0" w:type="auto"/>
            <w:gridSpan w:val="6"/>
            <w:tcBorders>
              <w:top w:val="single" w:sz="4" w:space="0" w:color="auto"/>
              <w:left w:val="single" w:sz="4" w:space="0" w:color="auto"/>
              <w:bottom w:val="single" w:sz="4" w:space="0" w:color="auto"/>
              <w:right w:val="single" w:sz="4" w:space="0" w:color="000000"/>
            </w:tcBorders>
            <w:vAlign w:val="center"/>
            <w:hideMark/>
          </w:tcPr>
          <w:p w:rsidR="00823222" w:rsidRPr="00823222" w:rsidP="00823222" w14:paraId="7B9E1737" w14:textId="77777777">
            <w:pPr>
              <w:widowControl/>
              <w:autoSpaceDE/>
              <w:autoSpaceDN/>
              <w:adjustRightInd/>
              <w:rPr>
                <w:b/>
                <w:bCs/>
                <w:color w:val="000000"/>
                <w:sz w:val="22"/>
                <w:szCs w:val="22"/>
                <w:u w:val="single"/>
              </w:rPr>
            </w:pPr>
            <w:r w:rsidRPr="00823222">
              <w:rPr>
                <w:b/>
                <w:bCs/>
                <w:color w:val="000000"/>
                <w:sz w:val="22"/>
                <w:szCs w:val="22"/>
                <w:u w:val="single"/>
              </w:rPr>
              <w:t>IDR Initiation Notice and Response</w:t>
            </w:r>
          </w:p>
        </w:tc>
      </w:tr>
      <w:tr w14:paraId="194050A2" w14:textId="77777777" w:rsidTr="00823222">
        <w:tblPrEx>
          <w:tblW w:w="0" w:type="auto"/>
          <w:tblLook w:val="04A0"/>
        </w:tblPrEx>
        <w:trPr>
          <w:trHeight w:val="620"/>
        </w:trPr>
        <w:tc>
          <w:tcPr>
            <w:tcW w:w="0" w:type="auto"/>
            <w:tcBorders>
              <w:top w:val="nil"/>
              <w:left w:val="single" w:sz="4" w:space="0" w:color="auto"/>
              <w:bottom w:val="single" w:sz="4" w:space="0" w:color="auto"/>
              <w:right w:val="single" w:sz="4" w:space="0" w:color="auto"/>
            </w:tcBorders>
            <w:vAlign w:val="center"/>
            <w:hideMark/>
          </w:tcPr>
          <w:p w:rsidR="00823222" w:rsidRPr="00823222" w:rsidP="00823222" w14:paraId="07A49734" w14:textId="77777777">
            <w:pPr>
              <w:widowControl/>
              <w:autoSpaceDE/>
              <w:autoSpaceDN/>
              <w:adjustRightInd/>
              <w:rPr>
                <w:color w:val="000000"/>
                <w:sz w:val="22"/>
                <w:szCs w:val="22"/>
              </w:rPr>
            </w:pPr>
            <w:r w:rsidRPr="00823222">
              <w:rPr>
                <w:color w:val="000000"/>
                <w:sz w:val="22"/>
                <w:szCs w:val="22"/>
              </w:rPr>
              <w:t>Compensation and benefits manager prepare IDR initiation notice</w:t>
            </w:r>
          </w:p>
        </w:tc>
        <w:tc>
          <w:tcPr>
            <w:tcW w:w="0" w:type="auto"/>
            <w:tcBorders>
              <w:top w:val="nil"/>
              <w:left w:val="nil"/>
              <w:bottom w:val="single" w:sz="4" w:space="0" w:color="auto"/>
              <w:right w:val="single" w:sz="4" w:space="0" w:color="auto"/>
            </w:tcBorders>
            <w:noWrap/>
            <w:vAlign w:val="center"/>
            <w:hideMark/>
          </w:tcPr>
          <w:p w:rsidR="00823222" w:rsidRPr="00823222" w:rsidP="00823222" w14:paraId="50495013" w14:textId="77777777">
            <w:pPr>
              <w:widowControl/>
              <w:autoSpaceDE/>
              <w:autoSpaceDN/>
              <w:adjustRightInd/>
              <w:jc w:val="center"/>
              <w:rPr>
                <w:color w:val="000000"/>
                <w:sz w:val="22"/>
                <w:szCs w:val="22"/>
              </w:rPr>
            </w:pPr>
            <w:r w:rsidRPr="00823222">
              <w:rPr>
                <w:color w:val="000000"/>
                <w:sz w:val="22"/>
                <w:szCs w:val="22"/>
              </w:rPr>
              <w:t>2,600,000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2791CCDC" w14:textId="77777777">
            <w:pPr>
              <w:widowControl/>
              <w:autoSpaceDE/>
              <w:autoSpaceDN/>
              <w:adjustRightInd/>
              <w:jc w:val="center"/>
              <w:rPr>
                <w:color w:val="000000"/>
                <w:sz w:val="22"/>
                <w:szCs w:val="22"/>
              </w:rPr>
            </w:pPr>
            <w:r w:rsidRPr="00823222">
              <w:rPr>
                <w:color w:val="000000"/>
                <w:sz w:val="22"/>
                <w:szCs w:val="22"/>
              </w:rPr>
              <w:t>0.25</w:t>
            </w:r>
          </w:p>
        </w:tc>
        <w:tc>
          <w:tcPr>
            <w:tcW w:w="0" w:type="auto"/>
            <w:tcBorders>
              <w:top w:val="nil"/>
              <w:left w:val="nil"/>
              <w:bottom w:val="single" w:sz="4" w:space="0" w:color="auto"/>
              <w:right w:val="single" w:sz="4" w:space="0" w:color="auto"/>
            </w:tcBorders>
            <w:noWrap/>
            <w:vAlign w:val="center"/>
            <w:hideMark/>
          </w:tcPr>
          <w:p w:rsidR="00823222" w:rsidRPr="00823222" w:rsidP="00823222" w14:paraId="1F6CD33D" w14:textId="77777777">
            <w:pPr>
              <w:widowControl/>
              <w:autoSpaceDE/>
              <w:autoSpaceDN/>
              <w:adjustRightInd/>
              <w:jc w:val="center"/>
              <w:rPr>
                <w:color w:val="000000"/>
                <w:sz w:val="22"/>
                <w:szCs w:val="22"/>
              </w:rPr>
            </w:pPr>
            <w:r w:rsidRPr="00823222">
              <w:rPr>
                <w:color w:val="000000"/>
                <w:sz w:val="22"/>
                <w:szCs w:val="22"/>
              </w:rPr>
              <w:t>650,000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2CF0914B" w14:textId="77777777">
            <w:pPr>
              <w:widowControl/>
              <w:autoSpaceDE/>
              <w:autoSpaceDN/>
              <w:adjustRightInd/>
              <w:jc w:val="center"/>
              <w:rPr>
                <w:color w:val="000000"/>
                <w:sz w:val="22"/>
                <w:szCs w:val="22"/>
              </w:rPr>
            </w:pPr>
            <w:r w:rsidRPr="00823222">
              <w:rPr>
                <w:color w:val="000000"/>
                <w:sz w:val="22"/>
                <w:szCs w:val="22"/>
              </w:rPr>
              <w:t>$72.82</w:t>
            </w:r>
          </w:p>
        </w:tc>
        <w:tc>
          <w:tcPr>
            <w:tcW w:w="0" w:type="auto"/>
            <w:tcBorders>
              <w:top w:val="nil"/>
              <w:left w:val="nil"/>
              <w:bottom w:val="single" w:sz="4" w:space="0" w:color="auto"/>
              <w:right w:val="single" w:sz="4" w:space="0" w:color="auto"/>
            </w:tcBorders>
            <w:noWrap/>
            <w:vAlign w:val="center"/>
            <w:hideMark/>
          </w:tcPr>
          <w:p w:rsidR="00823222" w:rsidRPr="00823222" w:rsidP="00823222" w14:paraId="2402C4B0" w14:textId="77777777">
            <w:pPr>
              <w:widowControl/>
              <w:autoSpaceDE/>
              <w:autoSpaceDN/>
              <w:adjustRightInd/>
              <w:jc w:val="center"/>
              <w:rPr>
                <w:color w:val="000000"/>
                <w:sz w:val="22"/>
                <w:szCs w:val="22"/>
              </w:rPr>
            </w:pPr>
            <w:r w:rsidRPr="00823222">
              <w:rPr>
                <w:color w:val="000000"/>
                <w:sz w:val="22"/>
                <w:szCs w:val="22"/>
              </w:rPr>
              <w:t>$47,333,000</w:t>
            </w:r>
          </w:p>
        </w:tc>
      </w:tr>
      <w:tr w14:paraId="735A8EBC" w14:textId="77777777" w:rsidTr="00823222">
        <w:tblPrEx>
          <w:tblW w:w="0" w:type="auto"/>
          <w:tblLook w:val="04A0"/>
        </w:tblPrEx>
        <w:trPr>
          <w:trHeight w:val="643"/>
        </w:trPr>
        <w:tc>
          <w:tcPr>
            <w:tcW w:w="0" w:type="auto"/>
            <w:tcBorders>
              <w:top w:val="nil"/>
              <w:left w:val="single" w:sz="4" w:space="0" w:color="auto"/>
              <w:bottom w:val="single" w:sz="4" w:space="0" w:color="auto"/>
              <w:right w:val="single" w:sz="4" w:space="0" w:color="auto"/>
            </w:tcBorders>
            <w:vAlign w:val="center"/>
            <w:hideMark/>
          </w:tcPr>
          <w:p w:rsidR="00823222" w:rsidRPr="00823222" w:rsidP="00823222" w14:paraId="53620F46" w14:textId="77777777">
            <w:pPr>
              <w:widowControl/>
              <w:autoSpaceDE/>
              <w:autoSpaceDN/>
              <w:adjustRightInd/>
              <w:rPr>
                <w:color w:val="000000"/>
                <w:sz w:val="22"/>
                <w:szCs w:val="22"/>
              </w:rPr>
            </w:pPr>
            <w:r w:rsidRPr="00823222">
              <w:rPr>
                <w:color w:val="000000"/>
                <w:sz w:val="22"/>
                <w:szCs w:val="22"/>
              </w:rPr>
              <w:t>Clerical workers prepare IDR initiation notice</w:t>
            </w:r>
          </w:p>
        </w:tc>
        <w:tc>
          <w:tcPr>
            <w:tcW w:w="0" w:type="auto"/>
            <w:tcBorders>
              <w:top w:val="nil"/>
              <w:left w:val="nil"/>
              <w:bottom w:val="single" w:sz="4" w:space="0" w:color="auto"/>
              <w:right w:val="single" w:sz="4" w:space="0" w:color="auto"/>
            </w:tcBorders>
            <w:noWrap/>
            <w:vAlign w:val="center"/>
            <w:hideMark/>
          </w:tcPr>
          <w:p w:rsidR="00823222" w:rsidRPr="00823222" w:rsidP="00823222" w14:paraId="73F0C1A6" w14:textId="77777777">
            <w:pPr>
              <w:widowControl/>
              <w:autoSpaceDE/>
              <w:autoSpaceDN/>
              <w:adjustRightInd/>
              <w:jc w:val="center"/>
              <w:rPr>
                <w:color w:val="000000"/>
                <w:sz w:val="22"/>
                <w:szCs w:val="22"/>
              </w:rPr>
            </w:pPr>
            <w:r w:rsidRPr="00823222">
              <w:rPr>
                <w:color w:val="000000"/>
                <w:sz w:val="22"/>
                <w:szCs w:val="22"/>
              </w:rPr>
              <w:t>2,600,000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7641F99C" w14:textId="77777777">
            <w:pPr>
              <w:widowControl/>
              <w:autoSpaceDE/>
              <w:autoSpaceDN/>
              <w:adjustRightInd/>
              <w:jc w:val="center"/>
              <w:rPr>
                <w:color w:val="000000"/>
                <w:sz w:val="22"/>
                <w:szCs w:val="22"/>
              </w:rPr>
            </w:pPr>
            <w:r w:rsidRPr="00823222">
              <w:rPr>
                <w:color w:val="000000"/>
                <w:sz w:val="22"/>
                <w:szCs w:val="22"/>
              </w:rPr>
              <w:t>0.5</w:t>
            </w:r>
          </w:p>
        </w:tc>
        <w:tc>
          <w:tcPr>
            <w:tcW w:w="0" w:type="auto"/>
            <w:tcBorders>
              <w:top w:val="nil"/>
              <w:left w:val="nil"/>
              <w:bottom w:val="single" w:sz="4" w:space="0" w:color="auto"/>
              <w:right w:val="single" w:sz="4" w:space="0" w:color="auto"/>
            </w:tcBorders>
            <w:noWrap/>
            <w:vAlign w:val="center"/>
            <w:hideMark/>
          </w:tcPr>
          <w:p w:rsidR="00823222" w:rsidRPr="00823222" w:rsidP="00823222" w14:paraId="5C11BCB2" w14:textId="77777777">
            <w:pPr>
              <w:widowControl/>
              <w:autoSpaceDE/>
              <w:autoSpaceDN/>
              <w:adjustRightInd/>
              <w:jc w:val="center"/>
              <w:rPr>
                <w:color w:val="000000"/>
                <w:sz w:val="22"/>
                <w:szCs w:val="22"/>
              </w:rPr>
            </w:pPr>
            <w:r w:rsidRPr="00823222">
              <w:rPr>
                <w:color w:val="000000"/>
                <w:sz w:val="22"/>
                <w:szCs w:val="22"/>
              </w:rPr>
              <w:t>1,300,000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2F80EF94" w14:textId="77777777">
            <w:pPr>
              <w:widowControl/>
              <w:autoSpaceDE/>
              <w:autoSpaceDN/>
              <w:adjustRightInd/>
              <w:jc w:val="center"/>
              <w:rPr>
                <w:color w:val="000000"/>
                <w:sz w:val="22"/>
                <w:szCs w:val="22"/>
              </w:rPr>
            </w:pPr>
            <w:r w:rsidRPr="00823222">
              <w:rPr>
                <w:color w:val="000000"/>
                <w:sz w:val="22"/>
                <w:szCs w:val="22"/>
              </w:rPr>
              <w:t>$193.15</w:t>
            </w:r>
          </w:p>
        </w:tc>
        <w:tc>
          <w:tcPr>
            <w:tcW w:w="0" w:type="auto"/>
            <w:tcBorders>
              <w:top w:val="nil"/>
              <w:left w:val="nil"/>
              <w:bottom w:val="single" w:sz="4" w:space="0" w:color="auto"/>
              <w:right w:val="single" w:sz="4" w:space="0" w:color="auto"/>
            </w:tcBorders>
            <w:noWrap/>
            <w:vAlign w:val="center"/>
            <w:hideMark/>
          </w:tcPr>
          <w:p w:rsidR="00823222" w:rsidRPr="00823222" w:rsidP="00823222" w14:paraId="0073BE5C" w14:textId="77777777">
            <w:pPr>
              <w:widowControl/>
              <w:autoSpaceDE/>
              <w:autoSpaceDN/>
              <w:adjustRightInd/>
              <w:jc w:val="center"/>
              <w:rPr>
                <w:color w:val="000000"/>
                <w:sz w:val="22"/>
                <w:szCs w:val="22"/>
              </w:rPr>
            </w:pPr>
            <w:r w:rsidRPr="00823222">
              <w:rPr>
                <w:color w:val="000000"/>
                <w:sz w:val="22"/>
                <w:szCs w:val="22"/>
              </w:rPr>
              <w:t>$251,095,000</w:t>
            </w:r>
          </w:p>
        </w:tc>
      </w:tr>
      <w:tr w14:paraId="72E00549" w14:textId="77777777" w:rsidTr="00823222">
        <w:tblPrEx>
          <w:tblW w:w="0" w:type="auto"/>
          <w:tblLook w:val="04A0"/>
        </w:tblPrEx>
        <w:trPr>
          <w:trHeight w:val="680"/>
        </w:trPr>
        <w:tc>
          <w:tcPr>
            <w:tcW w:w="0" w:type="auto"/>
            <w:tcBorders>
              <w:top w:val="nil"/>
              <w:left w:val="single" w:sz="4" w:space="0" w:color="auto"/>
              <w:bottom w:val="single" w:sz="4" w:space="0" w:color="auto"/>
              <w:right w:val="single" w:sz="4" w:space="0" w:color="auto"/>
            </w:tcBorders>
            <w:vAlign w:val="center"/>
            <w:hideMark/>
          </w:tcPr>
          <w:p w:rsidR="00823222" w:rsidRPr="00823222" w:rsidP="00823222" w14:paraId="7422AECB" w14:textId="77777777">
            <w:pPr>
              <w:widowControl/>
              <w:autoSpaceDE/>
              <w:autoSpaceDN/>
              <w:adjustRightInd/>
              <w:rPr>
                <w:color w:val="000000"/>
                <w:sz w:val="22"/>
                <w:szCs w:val="22"/>
              </w:rPr>
            </w:pPr>
            <w:r w:rsidRPr="00823222">
              <w:rPr>
                <w:color w:val="000000"/>
                <w:sz w:val="22"/>
                <w:szCs w:val="22"/>
              </w:rPr>
              <w:t xml:space="preserve">Compensation and benefits manager prepare IDR initiation response  </w:t>
            </w:r>
          </w:p>
        </w:tc>
        <w:tc>
          <w:tcPr>
            <w:tcW w:w="0" w:type="auto"/>
            <w:tcBorders>
              <w:top w:val="nil"/>
              <w:left w:val="nil"/>
              <w:bottom w:val="single" w:sz="4" w:space="0" w:color="auto"/>
              <w:right w:val="single" w:sz="4" w:space="0" w:color="auto"/>
            </w:tcBorders>
            <w:noWrap/>
            <w:vAlign w:val="center"/>
            <w:hideMark/>
          </w:tcPr>
          <w:p w:rsidR="00823222" w:rsidRPr="00823222" w:rsidP="00823222" w14:paraId="719887B9" w14:textId="77777777">
            <w:pPr>
              <w:widowControl/>
              <w:autoSpaceDE/>
              <w:autoSpaceDN/>
              <w:adjustRightInd/>
              <w:jc w:val="center"/>
              <w:rPr>
                <w:color w:val="000000"/>
                <w:sz w:val="22"/>
                <w:szCs w:val="22"/>
              </w:rPr>
            </w:pPr>
            <w:r w:rsidRPr="00823222">
              <w:rPr>
                <w:color w:val="000000"/>
                <w:sz w:val="22"/>
                <w:szCs w:val="22"/>
              </w:rPr>
              <w:t>2,600,000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039BA64B" w14:textId="77777777">
            <w:pPr>
              <w:widowControl/>
              <w:autoSpaceDE/>
              <w:autoSpaceDN/>
              <w:adjustRightInd/>
              <w:jc w:val="center"/>
              <w:rPr>
                <w:color w:val="000000"/>
                <w:sz w:val="22"/>
                <w:szCs w:val="22"/>
              </w:rPr>
            </w:pPr>
            <w:r w:rsidRPr="00823222">
              <w:rPr>
                <w:color w:val="000000"/>
                <w:sz w:val="22"/>
                <w:szCs w:val="22"/>
              </w:rPr>
              <w:t>0.5</w:t>
            </w:r>
          </w:p>
        </w:tc>
        <w:tc>
          <w:tcPr>
            <w:tcW w:w="0" w:type="auto"/>
            <w:tcBorders>
              <w:top w:val="nil"/>
              <w:left w:val="nil"/>
              <w:bottom w:val="single" w:sz="4" w:space="0" w:color="auto"/>
              <w:right w:val="single" w:sz="4" w:space="0" w:color="auto"/>
            </w:tcBorders>
            <w:noWrap/>
            <w:vAlign w:val="center"/>
            <w:hideMark/>
          </w:tcPr>
          <w:p w:rsidR="00823222" w:rsidRPr="00823222" w:rsidP="00823222" w14:paraId="054735E2" w14:textId="77777777">
            <w:pPr>
              <w:widowControl/>
              <w:autoSpaceDE/>
              <w:autoSpaceDN/>
              <w:adjustRightInd/>
              <w:jc w:val="center"/>
              <w:rPr>
                <w:color w:val="000000"/>
                <w:sz w:val="22"/>
                <w:szCs w:val="22"/>
              </w:rPr>
            </w:pPr>
            <w:r w:rsidRPr="00823222">
              <w:rPr>
                <w:color w:val="000000"/>
                <w:sz w:val="22"/>
                <w:szCs w:val="22"/>
              </w:rPr>
              <w:t>1,300,000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17EAE024" w14:textId="77777777">
            <w:pPr>
              <w:widowControl/>
              <w:autoSpaceDE/>
              <w:autoSpaceDN/>
              <w:adjustRightInd/>
              <w:jc w:val="center"/>
              <w:rPr>
                <w:color w:val="000000"/>
                <w:sz w:val="22"/>
                <w:szCs w:val="22"/>
              </w:rPr>
            </w:pPr>
            <w:r w:rsidRPr="00823222">
              <w:rPr>
                <w:color w:val="000000"/>
                <w:sz w:val="22"/>
                <w:szCs w:val="22"/>
              </w:rPr>
              <w:t>$193.15</w:t>
            </w:r>
          </w:p>
        </w:tc>
        <w:tc>
          <w:tcPr>
            <w:tcW w:w="0" w:type="auto"/>
            <w:tcBorders>
              <w:top w:val="nil"/>
              <w:left w:val="nil"/>
              <w:bottom w:val="single" w:sz="4" w:space="0" w:color="auto"/>
              <w:right w:val="single" w:sz="4" w:space="0" w:color="auto"/>
            </w:tcBorders>
            <w:noWrap/>
            <w:vAlign w:val="center"/>
            <w:hideMark/>
          </w:tcPr>
          <w:p w:rsidR="00823222" w:rsidRPr="00823222" w:rsidP="00823222" w14:paraId="28A59208" w14:textId="77777777">
            <w:pPr>
              <w:widowControl/>
              <w:autoSpaceDE/>
              <w:autoSpaceDN/>
              <w:adjustRightInd/>
              <w:jc w:val="center"/>
              <w:rPr>
                <w:color w:val="000000"/>
                <w:sz w:val="22"/>
                <w:szCs w:val="22"/>
              </w:rPr>
            </w:pPr>
            <w:r w:rsidRPr="00823222">
              <w:rPr>
                <w:color w:val="000000"/>
                <w:sz w:val="22"/>
                <w:szCs w:val="22"/>
              </w:rPr>
              <w:t>$251,095,000</w:t>
            </w:r>
          </w:p>
        </w:tc>
      </w:tr>
      <w:tr w14:paraId="5AF8DBE5" w14:textId="77777777" w:rsidTr="00823222">
        <w:tblPrEx>
          <w:tblW w:w="0" w:type="auto"/>
          <w:tblLook w:val="04A0"/>
        </w:tblPrEx>
        <w:trPr>
          <w:trHeight w:val="650"/>
        </w:trPr>
        <w:tc>
          <w:tcPr>
            <w:tcW w:w="0" w:type="auto"/>
            <w:tcBorders>
              <w:top w:val="nil"/>
              <w:left w:val="single" w:sz="4" w:space="0" w:color="auto"/>
              <w:bottom w:val="single" w:sz="4" w:space="0" w:color="auto"/>
              <w:right w:val="single" w:sz="4" w:space="0" w:color="auto"/>
            </w:tcBorders>
            <w:vAlign w:val="center"/>
            <w:hideMark/>
          </w:tcPr>
          <w:p w:rsidR="00823222" w:rsidRPr="00823222" w:rsidP="00823222" w14:paraId="1737AD32" w14:textId="77777777">
            <w:pPr>
              <w:widowControl/>
              <w:autoSpaceDE/>
              <w:autoSpaceDN/>
              <w:adjustRightInd/>
              <w:rPr>
                <w:color w:val="000000"/>
                <w:sz w:val="22"/>
                <w:szCs w:val="22"/>
              </w:rPr>
            </w:pPr>
            <w:r w:rsidRPr="00823222">
              <w:rPr>
                <w:color w:val="000000"/>
                <w:sz w:val="22"/>
                <w:szCs w:val="22"/>
              </w:rPr>
              <w:t xml:space="preserve">Clerical workers prepare IDR initiation response </w:t>
            </w:r>
          </w:p>
        </w:tc>
        <w:tc>
          <w:tcPr>
            <w:tcW w:w="0" w:type="auto"/>
            <w:tcBorders>
              <w:top w:val="nil"/>
              <w:left w:val="nil"/>
              <w:bottom w:val="single" w:sz="4" w:space="0" w:color="auto"/>
              <w:right w:val="single" w:sz="4" w:space="0" w:color="auto"/>
            </w:tcBorders>
            <w:noWrap/>
            <w:vAlign w:val="center"/>
            <w:hideMark/>
          </w:tcPr>
          <w:p w:rsidR="00823222" w:rsidRPr="00823222" w:rsidP="00823222" w14:paraId="4DFC0B63" w14:textId="77777777">
            <w:pPr>
              <w:widowControl/>
              <w:autoSpaceDE/>
              <w:autoSpaceDN/>
              <w:adjustRightInd/>
              <w:jc w:val="center"/>
              <w:rPr>
                <w:color w:val="000000"/>
                <w:sz w:val="22"/>
                <w:szCs w:val="22"/>
              </w:rPr>
            </w:pPr>
            <w:r w:rsidRPr="00823222">
              <w:rPr>
                <w:color w:val="000000"/>
                <w:sz w:val="22"/>
                <w:szCs w:val="22"/>
              </w:rPr>
              <w:t>2,600,000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594DC5F5" w14:textId="77777777">
            <w:pPr>
              <w:widowControl/>
              <w:autoSpaceDE/>
              <w:autoSpaceDN/>
              <w:adjustRightInd/>
              <w:jc w:val="center"/>
              <w:rPr>
                <w:color w:val="000000"/>
                <w:sz w:val="22"/>
                <w:szCs w:val="22"/>
              </w:rPr>
            </w:pPr>
            <w:r w:rsidRPr="00823222">
              <w:rPr>
                <w:color w:val="000000"/>
                <w:sz w:val="22"/>
                <w:szCs w:val="22"/>
              </w:rPr>
              <w:t>0.25</w:t>
            </w:r>
          </w:p>
        </w:tc>
        <w:tc>
          <w:tcPr>
            <w:tcW w:w="0" w:type="auto"/>
            <w:tcBorders>
              <w:top w:val="nil"/>
              <w:left w:val="nil"/>
              <w:bottom w:val="single" w:sz="4" w:space="0" w:color="auto"/>
              <w:right w:val="single" w:sz="4" w:space="0" w:color="auto"/>
            </w:tcBorders>
            <w:noWrap/>
            <w:vAlign w:val="center"/>
            <w:hideMark/>
          </w:tcPr>
          <w:p w:rsidR="00823222" w:rsidRPr="00823222" w:rsidP="00823222" w14:paraId="17B01E8D" w14:textId="77777777">
            <w:pPr>
              <w:widowControl/>
              <w:autoSpaceDE/>
              <w:autoSpaceDN/>
              <w:adjustRightInd/>
              <w:jc w:val="center"/>
              <w:rPr>
                <w:color w:val="000000"/>
                <w:sz w:val="22"/>
                <w:szCs w:val="22"/>
              </w:rPr>
            </w:pPr>
            <w:r w:rsidRPr="00823222">
              <w:rPr>
                <w:color w:val="000000"/>
                <w:sz w:val="22"/>
                <w:szCs w:val="22"/>
              </w:rPr>
              <w:t>650,000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5A90B2D4" w14:textId="77777777">
            <w:pPr>
              <w:widowControl/>
              <w:autoSpaceDE/>
              <w:autoSpaceDN/>
              <w:adjustRightInd/>
              <w:jc w:val="center"/>
              <w:rPr>
                <w:color w:val="000000"/>
                <w:sz w:val="22"/>
                <w:szCs w:val="22"/>
              </w:rPr>
            </w:pPr>
            <w:r w:rsidRPr="00823222">
              <w:rPr>
                <w:color w:val="000000"/>
                <w:sz w:val="22"/>
                <w:szCs w:val="22"/>
              </w:rPr>
              <w:t>$72.82</w:t>
            </w:r>
          </w:p>
        </w:tc>
        <w:tc>
          <w:tcPr>
            <w:tcW w:w="0" w:type="auto"/>
            <w:tcBorders>
              <w:top w:val="nil"/>
              <w:left w:val="nil"/>
              <w:bottom w:val="single" w:sz="4" w:space="0" w:color="auto"/>
              <w:right w:val="single" w:sz="4" w:space="0" w:color="auto"/>
            </w:tcBorders>
            <w:noWrap/>
            <w:vAlign w:val="center"/>
            <w:hideMark/>
          </w:tcPr>
          <w:p w:rsidR="00823222" w:rsidRPr="00823222" w:rsidP="00823222" w14:paraId="7C296446" w14:textId="77777777">
            <w:pPr>
              <w:widowControl/>
              <w:autoSpaceDE/>
              <w:autoSpaceDN/>
              <w:adjustRightInd/>
              <w:jc w:val="center"/>
              <w:rPr>
                <w:color w:val="000000"/>
                <w:sz w:val="22"/>
                <w:szCs w:val="22"/>
              </w:rPr>
            </w:pPr>
            <w:r w:rsidRPr="00823222">
              <w:rPr>
                <w:color w:val="000000"/>
                <w:sz w:val="22"/>
                <w:szCs w:val="22"/>
              </w:rPr>
              <w:t>$47,333,000</w:t>
            </w:r>
          </w:p>
        </w:tc>
      </w:tr>
      <w:tr w14:paraId="0B826A18" w14:textId="77777777" w:rsidTr="00823222">
        <w:tblPrEx>
          <w:tblW w:w="0" w:type="auto"/>
          <w:tblLook w:val="04A0"/>
        </w:tblPrEx>
        <w:trPr>
          <w:trHeight w:val="360"/>
        </w:trPr>
        <w:tc>
          <w:tcPr>
            <w:tcW w:w="0" w:type="auto"/>
            <w:gridSpan w:val="6"/>
            <w:tcBorders>
              <w:top w:val="single" w:sz="4" w:space="0" w:color="auto"/>
              <w:left w:val="single" w:sz="4" w:space="0" w:color="auto"/>
              <w:bottom w:val="single" w:sz="4" w:space="0" w:color="auto"/>
              <w:right w:val="single" w:sz="4" w:space="0" w:color="000000"/>
            </w:tcBorders>
            <w:vAlign w:val="center"/>
            <w:hideMark/>
          </w:tcPr>
          <w:p w:rsidR="00823222" w:rsidRPr="00823222" w:rsidP="00823222" w14:paraId="1818D3CF" w14:textId="77777777">
            <w:pPr>
              <w:widowControl/>
              <w:autoSpaceDE/>
              <w:autoSpaceDN/>
              <w:adjustRightInd/>
              <w:rPr>
                <w:b/>
                <w:bCs/>
                <w:color w:val="000000"/>
                <w:sz w:val="22"/>
                <w:szCs w:val="22"/>
                <w:u w:val="single"/>
              </w:rPr>
            </w:pPr>
            <w:r w:rsidRPr="00823222">
              <w:rPr>
                <w:b/>
                <w:bCs/>
                <w:color w:val="000000"/>
                <w:sz w:val="22"/>
                <w:szCs w:val="22"/>
                <w:u w:val="single"/>
              </w:rPr>
              <w:t>Selection of Certified IDR Entity</w:t>
            </w:r>
          </w:p>
        </w:tc>
      </w:tr>
      <w:tr w14:paraId="542B4DE8" w14:textId="77777777" w:rsidTr="00823222">
        <w:tblPrEx>
          <w:tblW w:w="0" w:type="auto"/>
          <w:tblLook w:val="04A0"/>
        </w:tblPrEx>
        <w:trPr>
          <w:trHeight w:val="1153"/>
        </w:trPr>
        <w:tc>
          <w:tcPr>
            <w:tcW w:w="0" w:type="auto"/>
            <w:tcBorders>
              <w:top w:val="single" w:sz="4" w:space="0" w:color="auto"/>
              <w:left w:val="single" w:sz="4" w:space="0" w:color="auto"/>
              <w:bottom w:val="single" w:sz="4" w:space="0" w:color="auto"/>
              <w:right w:val="single" w:sz="4" w:space="0" w:color="auto"/>
            </w:tcBorders>
            <w:vAlign w:val="center"/>
            <w:hideMark/>
          </w:tcPr>
          <w:p w:rsidR="00823222" w:rsidRPr="00823222" w:rsidP="00823222" w14:paraId="252CCF8C" w14:textId="77777777">
            <w:pPr>
              <w:widowControl/>
              <w:autoSpaceDE/>
              <w:autoSpaceDN/>
              <w:adjustRightInd/>
              <w:rPr>
                <w:color w:val="000000"/>
                <w:sz w:val="22"/>
                <w:szCs w:val="22"/>
              </w:rPr>
            </w:pPr>
            <w:r w:rsidRPr="00823222">
              <w:rPr>
                <w:color w:val="000000"/>
                <w:sz w:val="22"/>
                <w:szCs w:val="22"/>
              </w:rPr>
              <w:t>Initiating Party and Non-Initiating Party select IDR entity on first attempt and clerical workers notify the Secretary regarding selection</w:t>
            </w:r>
          </w:p>
        </w:tc>
        <w:tc>
          <w:tcPr>
            <w:tcW w:w="0" w:type="auto"/>
            <w:tcBorders>
              <w:top w:val="single" w:sz="4" w:space="0" w:color="auto"/>
              <w:left w:val="nil"/>
              <w:bottom w:val="single" w:sz="4" w:space="0" w:color="auto"/>
              <w:right w:val="single" w:sz="4" w:space="0" w:color="auto"/>
            </w:tcBorders>
            <w:noWrap/>
            <w:vAlign w:val="center"/>
            <w:hideMark/>
          </w:tcPr>
          <w:p w:rsidR="00823222" w:rsidRPr="00823222" w:rsidP="00823222" w14:paraId="4322E382" w14:textId="77777777">
            <w:pPr>
              <w:widowControl/>
              <w:autoSpaceDE/>
              <w:autoSpaceDN/>
              <w:adjustRightInd/>
              <w:jc w:val="center"/>
              <w:rPr>
                <w:color w:val="000000"/>
                <w:sz w:val="22"/>
                <w:szCs w:val="22"/>
              </w:rPr>
            </w:pPr>
            <w:r w:rsidRPr="00823222">
              <w:rPr>
                <w:color w:val="000000"/>
                <w:sz w:val="22"/>
                <w:szCs w:val="22"/>
              </w:rPr>
              <w:t>702,000</w:t>
            </w:r>
          </w:p>
        </w:tc>
        <w:tc>
          <w:tcPr>
            <w:tcW w:w="0" w:type="auto"/>
            <w:tcBorders>
              <w:top w:val="single" w:sz="4" w:space="0" w:color="auto"/>
              <w:left w:val="nil"/>
              <w:bottom w:val="single" w:sz="4" w:space="0" w:color="auto"/>
              <w:right w:val="single" w:sz="4" w:space="0" w:color="auto"/>
            </w:tcBorders>
            <w:noWrap/>
            <w:vAlign w:val="center"/>
            <w:hideMark/>
          </w:tcPr>
          <w:p w:rsidR="00823222" w:rsidRPr="00823222" w:rsidP="00823222" w14:paraId="2C7ECE2A" w14:textId="77777777">
            <w:pPr>
              <w:widowControl/>
              <w:autoSpaceDE/>
              <w:autoSpaceDN/>
              <w:adjustRightInd/>
              <w:jc w:val="center"/>
              <w:rPr>
                <w:color w:val="000000"/>
                <w:sz w:val="22"/>
                <w:szCs w:val="22"/>
              </w:rPr>
            </w:pPr>
            <w:r w:rsidRPr="00823222">
              <w:rPr>
                <w:color w:val="000000"/>
                <w:sz w:val="22"/>
                <w:szCs w:val="22"/>
              </w:rPr>
              <w:t>0.5</w:t>
            </w:r>
          </w:p>
        </w:tc>
        <w:tc>
          <w:tcPr>
            <w:tcW w:w="0" w:type="auto"/>
            <w:tcBorders>
              <w:top w:val="single" w:sz="4" w:space="0" w:color="auto"/>
              <w:left w:val="nil"/>
              <w:bottom w:val="single" w:sz="4" w:space="0" w:color="auto"/>
              <w:right w:val="single" w:sz="4" w:space="0" w:color="auto"/>
            </w:tcBorders>
            <w:noWrap/>
            <w:vAlign w:val="center"/>
            <w:hideMark/>
          </w:tcPr>
          <w:p w:rsidR="00823222" w:rsidRPr="00823222" w:rsidP="00823222" w14:paraId="17B7F63B" w14:textId="77777777">
            <w:pPr>
              <w:widowControl/>
              <w:autoSpaceDE/>
              <w:autoSpaceDN/>
              <w:adjustRightInd/>
              <w:jc w:val="center"/>
              <w:rPr>
                <w:color w:val="000000"/>
                <w:sz w:val="22"/>
                <w:szCs w:val="22"/>
              </w:rPr>
            </w:pPr>
            <w:r w:rsidRPr="00823222">
              <w:rPr>
                <w:color w:val="000000"/>
                <w:sz w:val="22"/>
                <w:szCs w:val="22"/>
              </w:rPr>
              <w:t>351,000</w:t>
            </w:r>
          </w:p>
        </w:tc>
        <w:tc>
          <w:tcPr>
            <w:tcW w:w="0" w:type="auto"/>
            <w:tcBorders>
              <w:top w:val="single" w:sz="4" w:space="0" w:color="auto"/>
              <w:left w:val="nil"/>
              <w:bottom w:val="single" w:sz="4" w:space="0" w:color="auto"/>
              <w:right w:val="single" w:sz="4" w:space="0" w:color="auto"/>
            </w:tcBorders>
            <w:noWrap/>
            <w:vAlign w:val="center"/>
            <w:hideMark/>
          </w:tcPr>
          <w:p w:rsidR="00823222" w:rsidRPr="00823222" w:rsidP="00823222" w14:paraId="076DE82A" w14:textId="77777777">
            <w:pPr>
              <w:widowControl/>
              <w:autoSpaceDE/>
              <w:autoSpaceDN/>
              <w:adjustRightInd/>
              <w:jc w:val="center"/>
              <w:rPr>
                <w:color w:val="000000"/>
                <w:sz w:val="22"/>
                <w:szCs w:val="22"/>
              </w:rPr>
            </w:pPr>
            <w:r w:rsidRPr="00823222">
              <w:rPr>
                <w:color w:val="000000"/>
                <w:sz w:val="22"/>
                <w:szCs w:val="22"/>
              </w:rPr>
              <w:t>$72.82</w:t>
            </w:r>
          </w:p>
        </w:tc>
        <w:tc>
          <w:tcPr>
            <w:tcW w:w="0" w:type="auto"/>
            <w:tcBorders>
              <w:top w:val="single" w:sz="4" w:space="0" w:color="auto"/>
              <w:left w:val="nil"/>
              <w:bottom w:val="single" w:sz="4" w:space="0" w:color="auto"/>
              <w:right w:val="single" w:sz="4" w:space="0" w:color="auto"/>
            </w:tcBorders>
            <w:noWrap/>
            <w:vAlign w:val="center"/>
            <w:hideMark/>
          </w:tcPr>
          <w:p w:rsidR="00823222" w:rsidRPr="00823222" w:rsidP="00823222" w14:paraId="1E70459D" w14:textId="77777777">
            <w:pPr>
              <w:widowControl/>
              <w:autoSpaceDE/>
              <w:autoSpaceDN/>
              <w:adjustRightInd/>
              <w:jc w:val="center"/>
              <w:rPr>
                <w:color w:val="000000"/>
                <w:sz w:val="22"/>
                <w:szCs w:val="22"/>
              </w:rPr>
            </w:pPr>
            <w:r w:rsidRPr="00823222">
              <w:rPr>
                <w:color w:val="000000"/>
                <w:sz w:val="22"/>
                <w:szCs w:val="22"/>
              </w:rPr>
              <w:t>$25,559,820</w:t>
            </w:r>
          </w:p>
        </w:tc>
      </w:tr>
      <w:tr w14:paraId="3C4069B1" w14:textId="77777777" w:rsidTr="00823222">
        <w:tblPrEx>
          <w:tblW w:w="0" w:type="auto"/>
          <w:tblLook w:val="04A0"/>
        </w:tblPrEx>
        <w:trPr>
          <w:trHeight w:val="1183"/>
        </w:trPr>
        <w:tc>
          <w:tcPr>
            <w:tcW w:w="0" w:type="auto"/>
            <w:tcBorders>
              <w:top w:val="nil"/>
              <w:left w:val="single" w:sz="4" w:space="0" w:color="auto"/>
              <w:bottom w:val="single" w:sz="4" w:space="0" w:color="auto"/>
              <w:right w:val="single" w:sz="4" w:space="0" w:color="auto"/>
            </w:tcBorders>
            <w:vAlign w:val="center"/>
            <w:hideMark/>
          </w:tcPr>
          <w:p w:rsidR="00823222" w:rsidRPr="00823222" w:rsidP="00823222" w14:paraId="1C58AE20" w14:textId="77777777">
            <w:pPr>
              <w:widowControl/>
              <w:autoSpaceDE/>
              <w:autoSpaceDN/>
              <w:adjustRightInd/>
              <w:rPr>
                <w:color w:val="000000"/>
                <w:sz w:val="22"/>
                <w:szCs w:val="22"/>
              </w:rPr>
            </w:pPr>
            <w:r w:rsidRPr="00823222">
              <w:rPr>
                <w:color w:val="000000"/>
                <w:sz w:val="22"/>
                <w:szCs w:val="22"/>
              </w:rPr>
              <w:t>Initiating Party and Non-Initiating Party select IDR entity on multiple attempts and clerical workers notify the Secretary regarding selection</w:t>
            </w:r>
          </w:p>
        </w:tc>
        <w:tc>
          <w:tcPr>
            <w:tcW w:w="0" w:type="auto"/>
            <w:tcBorders>
              <w:top w:val="nil"/>
              <w:left w:val="nil"/>
              <w:bottom w:val="single" w:sz="4" w:space="0" w:color="auto"/>
              <w:right w:val="single" w:sz="4" w:space="0" w:color="auto"/>
            </w:tcBorders>
            <w:noWrap/>
            <w:vAlign w:val="center"/>
            <w:hideMark/>
          </w:tcPr>
          <w:p w:rsidR="00823222" w:rsidRPr="00823222" w:rsidP="00823222" w14:paraId="111CCA3C" w14:textId="77777777">
            <w:pPr>
              <w:widowControl/>
              <w:autoSpaceDE/>
              <w:autoSpaceDN/>
              <w:adjustRightInd/>
              <w:jc w:val="center"/>
              <w:rPr>
                <w:color w:val="000000"/>
                <w:sz w:val="22"/>
                <w:szCs w:val="22"/>
              </w:rPr>
            </w:pPr>
            <w:r w:rsidRPr="00823222">
              <w:rPr>
                <w:color w:val="000000"/>
                <w:sz w:val="22"/>
                <w:szCs w:val="22"/>
              </w:rPr>
              <w:t>104,000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188713A6" w14:textId="77777777">
            <w:pPr>
              <w:widowControl/>
              <w:autoSpaceDE/>
              <w:autoSpaceDN/>
              <w:adjustRightInd/>
              <w:jc w:val="center"/>
              <w:rPr>
                <w:color w:val="000000"/>
                <w:sz w:val="22"/>
                <w:szCs w:val="22"/>
              </w:rPr>
            </w:pPr>
            <w:r w:rsidRPr="00823222">
              <w:rPr>
                <w:color w:val="000000"/>
                <w:sz w:val="22"/>
                <w:szCs w:val="22"/>
              </w:rPr>
              <w:t>1</w:t>
            </w:r>
          </w:p>
        </w:tc>
        <w:tc>
          <w:tcPr>
            <w:tcW w:w="0" w:type="auto"/>
            <w:tcBorders>
              <w:top w:val="nil"/>
              <w:left w:val="nil"/>
              <w:bottom w:val="single" w:sz="4" w:space="0" w:color="auto"/>
              <w:right w:val="single" w:sz="4" w:space="0" w:color="auto"/>
            </w:tcBorders>
            <w:noWrap/>
            <w:vAlign w:val="center"/>
            <w:hideMark/>
          </w:tcPr>
          <w:p w:rsidR="00823222" w:rsidRPr="00823222" w:rsidP="00823222" w14:paraId="11099575" w14:textId="77777777">
            <w:pPr>
              <w:widowControl/>
              <w:autoSpaceDE/>
              <w:autoSpaceDN/>
              <w:adjustRightInd/>
              <w:jc w:val="center"/>
              <w:rPr>
                <w:color w:val="000000"/>
                <w:sz w:val="22"/>
                <w:szCs w:val="22"/>
              </w:rPr>
            </w:pPr>
            <w:r w:rsidRPr="00823222">
              <w:rPr>
                <w:color w:val="000000"/>
                <w:sz w:val="22"/>
                <w:szCs w:val="22"/>
              </w:rPr>
              <w:t>52,000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37B76E4A" w14:textId="77777777">
            <w:pPr>
              <w:widowControl/>
              <w:autoSpaceDE/>
              <w:autoSpaceDN/>
              <w:adjustRightInd/>
              <w:jc w:val="center"/>
              <w:rPr>
                <w:color w:val="000000"/>
                <w:sz w:val="22"/>
                <w:szCs w:val="22"/>
              </w:rPr>
            </w:pPr>
            <w:r w:rsidRPr="00823222">
              <w:rPr>
                <w:color w:val="000000"/>
                <w:sz w:val="22"/>
                <w:szCs w:val="22"/>
              </w:rPr>
              <w:t>$72.82</w:t>
            </w:r>
          </w:p>
        </w:tc>
        <w:tc>
          <w:tcPr>
            <w:tcW w:w="0" w:type="auto"/>
            <w:tcBorders>
              <w:top w:val="nil"/>
              <w:left w:val="nil"/>
              <w:bottom w:val="single" w:sz="4" w:space="0" w:color="auto"/>
              <w:right w:val="single" w:sz="4" w:space="0" w:color="auto"/>
            </w:tcBorders>
            <w:noWrap/>
            <w:vAlign w:val="center"/>
            <w:hideMark/>
          </w:tcPr>
          <w:p w:rsidR="00823222" w:rsidRPr="00823222" w:rsidP="00823222" w14:paraId="130EDCFC" w14:textId="77777777">
            <w:pPr>
              <w:widowControl/>
              <w:autoSpaceDE/>
              <w:autoSpaceDN/>
              <w:adjustRightInd/>
              <w:jc w:val="center"/>
              <w:rPr>
                <w:color w:val="000000"/>
                <w:sz w:val="22"/>
                <w:szCs w:val="22"/>
              </w:rPr>
            </w:pPr>
            <w:r w:rsidRPr="00823222">
              <w:rPr>
                <w:color w:val="000000"/>
                <w:sz w:val="22"/>
                <w:szCs w:val="22"/>
              </w:rPr>
              <w:t>$3,786,640</w:t>
            </w:r>
          </w:p>
        </w:tc>
      </w:tr>
      <w:tr w14:paraId="03728ADC" w14:textId="77777777" w:rsidTr="00823222">
        <w:tblPrEx>
          <w:tblW w:w="0" w:type="auto"/>
          <w:tblLook w:val="04A0"/>
        </w:tblPrEx>
        <w:trPr>
          <w:trHeight w:val="350"/>
        </w:trPr>
        <w:tc>
          <w:tcPr>
            <w:tcW w:w="0" w:type="auto"/>
            <w:gridSpan w:val="6"/>
            <w:tcBorders>
              <w:top w:val="single" w:sz="4" w:space="0" w:color="auto"/>
              <w:left w:val="single" w:sz="4" w:space="0" w:color="auto"/>
              <w:bottom w:val="single" w:sz="4" w:space="0" w:color="auto"/>
              <w:right w:val="single" w:sz="4" w:space="0" w:color="000000"/>
            </w:tcBorders>
            <w:vAlign w:val="center"/>
            <w:hideMark/>
          </w:tcPr>
          <w:p w:rsidR="00823222" w:rsidRPr="00823222" w:rsidP="00823222" w14:paraId="0E238358" w14:textId="77777777">
            <w:pPr>
              <w:widowControl/>
              <w:autoSpaceDE/>
              <w:autoSpaceDN/>
              <w:adjustRightInd/>
              <w:rPr>
                <w:b/>
                <w:bCs/>
                <w:color w:val="000000"/>
                <w:u w:val="single"/>
              </w:rPr>
            </w:pPr>
            <w:r w:rsidRPr="00823222">
              <w:rPr>
                <w:b/>
                <w:bCs/>
                <w:color w:val="000000"/>
                <w:u w:val="single"/>
              </w:rPr>
              <w:t>Notice of Offer</w:t>
            </w:r>
          </w:p>
        </w:tc>
      </w:tr>
      <w:tr w14:paraId="19190F03" w14:textId="77777777" w:rsidTr="00823222">
        <w:tblPrEx>
          <w:tblW w:w="0" w:type="auto"/>
          <w:tblLook w:val="04A0"/>
        </w:tblPrEx>
        <w:trPr>
          <w:trHeight w:val="690"/>
        </w:trPr>
        <w:tc>
          <w:tcPr>
            <w:tcW w:w="0" w:type="auto"/>
            <w:tcBorders>
              <w:top w:val="nil"/>
              <w:left w:val="single" w:sz="4" w:space="0" w:color="auto"/>
              <w:bottom w:val="single" w:sz="4" w:space="0" w:color="auto"/>
              <w:right w:val="single" w:sz="4" w:space="0" w:color="auto"/>
            </w:tcBorders>
            <w:vAlign w:val="center"/>
            <w:hideMark/>
          </w:tcPr>
          <w:p w:rsidR="00823222" w:rsidRPr="00823222" w:rsidP="00823222" w14:paraId="5C45BCC3" w14:textId="77777777">
            <w:pPr>
              <w:widowControl/>
              <w:autoSpaceDE/>
              <w:autoSpaceDN/>
              <w:adjustRightInd/>
              <w:rPr>
                <w:color w:val="000000"/>
                <w:sz w:val="22"/>
                <w:szCs w:val="22"/>
              </w:rPr>
            </w:pPr>
            <w:r w:rsidRPr="00823222">
              <w:rPr>
                <w:color w:val="000000"/>
                <w:sz w:val="22"/>
                <w:szCs w:val="22"/>
              </w:rPr>
              <w:t>Compensation and benefits managers prepare provider's offer</w:t>
            </w:r>
          </w:p>
        </w:tc>
        <w:tc>
          <w:tcPr>
            <w:tcW w:w="0" w:type="auto"/>
            <w:tcBorders>
              <w:top w:val="nil"/>
              <w:left w:val="nil"/>
              <w:bottom w:val="single" w:sz="4" w:space="0" w:color="auto"/>
              <w:right w:val="single" w:sz="4" w:space="0" w:color="auto"/>
            </w:tcBorders>
            <w:noWrap/>
            <w:vAlign w:val="center"/>
            <w:hideMark/>
          </w:tcPr>
          <w:p w:rsidR="00823222" w:rsidRPr="00823222" w:rsidP="00823222" w14:paraId="7A67706F" w14:textId="77777777">
            <w:pPr>
              <w:widowControl/>
              <w:autoSpaceDE/>
              <w:autoSpaceDN/>
              <w:adjustRightInd/>
              <w:jc w:val="center"/>
              <w:rPr>
                <w:color w:val="000000"/>
                <w:sz w:val="22"/>
                <w:szCs w:val="22"/>
              </w:rPr>
            </w:pPr>
            <w:r w:rsidRPr="00823222">
              <w:rPr>
                <w:color w:val="000000"/>
                <w:sz w:val="22"/>
                <w:szCs w:val="22"/>
              </w:rPr>
              <w:t>2,600,000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6D514C3B" w14:textId="77777777">
            <w:pPr>
              <w:widowControl/>
              <w:autoSpaceDE/>
              <w:autoSpaceDN/>
              <w:adjustRightInd/>
              <w:jc w:val="center"/>
              <w:rPr>
                <w:color w:val="000000"/>
                <w:sz w:val="22"/>
                <w:szCs w:val="22"/>
              </w:rPr>
            </w:pPr>
            <w:r w:rsidRPr="00823222">
              <w:rPr>
                <w:color w:val="000000"/>
                <w:sz w:val="22"/>
                <w:szCs w:val="22"/>
              </w:rPr>
              <w:t>0.5</w:t>
            </w:r>
          </w:p>
        </w:tc>
        <w:tc>
          <w:tcPr>
            <w:tcW w:w="0" w:type="auto"/>
            <w:tcBorders>
              <w:top w:val="nil"/>
              <w:left w:val="nil"/>
              <w:bottom w:val="single" w:sz="4" w:space="0" w:color="auto"/>
              <w:right w:val="single" w:sz="4" w:space="0" w:color="auto"/>
            </w:tcBorders>
            <w:noWrap/>
            <w:vAlign w:val="center"/>
            <w:hideMark/>
          </w:tcPr>
          <w:p w:rsidR="00823222" w:rsidRPr="00823222" w:rsidP="00823222" w14:paraId="62E661A7" w14:textId="77777777">
            <w:pPr>
              <w:widowControl/>
              <w:autoSpaceDE/>
              <w:autoSpaceDN/>
              <w:adjustRightInd/>
              <w:jc w:val="center"/>
              <w:rPr>
                <w:color w:val="000000"/>
                <w:sz w:val="22"/>
                <w:szCs w:val="22"/>
              </w:rPr>
            </w:pPr>
            <w:r w:rsidRPr="00823222">
              <w:rPr>
                <w:color w:val="000000"/>
                <w:sz w:val="22"/>
                <w:szCs w:val="22"/>
              </w:rPr>
              <w:t>1,300,000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3B3D2500" w14:textId="77777777">
            <w:pPr>
              <w:widowControl/>
              <w:autoSpaceDE/>
              <w:autoSpaceDN/>
              <w:adjustRightInd/>
              <w:jc w:val="center"/>
              <w:rPr>
                <w:color w:val="000000"/>
                <w:sz w:val="22"/>
                <w:szCs w:val="22"/>
              </w:rPr>
            </w:pPr>
            <w:r w:rsidRPr="00823222">
              <w:rPr>
                <w:color w:val="000000"/>
                <w:sz w:val="22"/>
                <w:szCs w:val="22"/>
              </w:rPr>
              <w:t>193</w:t>
            </w:r>
          </w:p>
        </w:tc>
        <w:tc>
          <w:tcPr>
            <w:tcW w:w="0" w:type="auto"/>
            <w:tcBorders>
              <w:top w:val="nil"/>
              <w:left w:val="nil"/>
              <w:bottom w:val="single" w:sz="4" w:space="0" w:color="auto"/>
              <w:right w:val="single" w:sz="4" w:space="0" w:color="auto"/>
            </w:tcBorders>
            <w:noWrap/>
            <w:vAlign w:val="center"/>
            <w:hideMark/>
          </w:tcPr>
          <w:p w:rsidR="00823222" w:rsidRPr="00823222" w:rsidP="00823222" w14:paraId="33C148F8" w14:textId="77777777">
            <w:pPr>
              <w:widowControl/>
              <w:autoSpaceDE/>
              <w:autoSpaceDN/>
              <w:adjustRightInd/>
              <w:jc w:val="center"/>
              <w:rPr>
                <w:color w:val="000000"/>
                <w:sz w:val="22"/>
                <w:szCs w:val="22"/>
              </w:rPr>
            </w:pPr>
            <w:r w:rsidRPr="00823222">
              <w:rPr>
                <w:color w:val="000000"/>
                <w:sz w:val="22"/>
                <w:szCs w:val="22"/>
              </w:rPr>
              <w:t>$251,095,000</w:t>
            </w:r>
          </w:p>
        </w:tc>
      </w:tr>
      <w:tr w14:paraId="219A77D9" w14:textId="77777777" w:rsidTr="00823222">
        <w:tblPrEx>
          <w:tblW w:w="0" w:type="auto"/>
          <w:tblLook w:val="04A0"/>
        </w:tblPrEx>
        <w:trPr>
          <w:trHeight w:val="570"/>
        </w:trPr>
        <w:tc>
          <w:tcPr>
            <w:tcW w:w="0" w:type="auto"/>
            <w:tcBorders>
              <w:top w:val="nil"/>
              <w:left w:val="single" w:sz="4" w:space="0" w:color="auto"/>
              <w:bottom w:val="single" w:sz="4" w:space="0" w:color="auto"/>
              <w:right w:val="single" w:sz="4" w:space="0" w:color="auto"/>
            </w:tcBorders>
            <w:vAlign w:val="center"/>
            <w:hideMark/>
          </w:tcPr>
          <w:p w:rsidR="00823222" w:rsidRPr="00823222" w:rsidP="00823222" w14:paraId="7161B36A" w14:textId="77777777">
            <w:pPr>
              <w:widowControl/>
              <w:autoSpaceDE/>
              <w:autoSpaceDN/>
              <w:adjustRightInd/>
              <w:rPr>
                <w:color w:val="000000"/>
                <w:sz w:val="22"/>
                <w:szCs w:val="22"/>
              </w:rPr>
            </w:pPr>
            <w:r w:rsidRPr="00823222">
              <w:rPr>
                <w:color w:val="000000"/>
                <w:sz w:val="22"/>
                <w:szCs w:val="22"/>
              </w:rPr>
              <w:t>Clerical workers prepare provider's offer</w:t>
            </w:r>
          </w:p>
        </w:tc>
        <w:tc>
          <w:tcPr>
            <w:tcW w:w="0" w:type="auto"/>
            <w:tcBorders>
              <w:top w:val="nil"/>
              <w:left w:val="nil"/>
              <w:bottom w:val="single" w:sz="4" w:space="0" w:color="auto"/>
              <w:right w:val="single" w:sz="4" w:space="0" w:color="auto"/>
            </w:tcBorders>
            <w:noWrap/>
            <w:vAlign w:val="center"/>
            <w:hideMark/>
          </w:tcPr>
          <w:p w:rsidR="00823222" w:rsidRPr="00823222" w:rsidP="00823222" w14:paraId="4C2CD4BB" w14:textId="77777777">
            <w:pPr>
              <w:widowControl/>
              <w:autoSpaceDE/>
              <w:autoSpaceDN/>
              <w:adjustRightInd/>
              <w:jc w:val="center"/>
              <w:rPr>
                <w:color w:val="000000"/>
                <w:sz w:val="22"/>
                <w:szCs w:val="22"/>
              </w:rPr>
            </w:pPr>
            <w:r w:rsidRPr="00823222">
              <w:rPr>
                <w:color w:val="000000"/>
                <w:sz w:val="22"/>
                <w:szCs w:val="22"/>
              </w:rPr>
              <w:t>2,600,000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6EE9E113" w14:textId="77777777">
            <w:pPr>
              <w:widowControl/>
              <w:autoSpaceDE/>
              <w:autoSpaceDN/>
              <w:adjustRightInd/>
              <w:jc w:val="center"/>
              <w:rPr>
                <w:color w:val="000000"/>
                <w:sz w:val="22"/>
                <w:szCs w:val="22"/>
              </w:rPr>
            </w:pPr>
            <w:r w:rsidRPr="00823222">
              <w:rPr>
                <w:color w:val="000000"/>
                <w:sz w:val="22"/>
                <w:szCs w:val="22"/>
              </w:rPr>
              <w:t>0.25</w:t>
            </w:r>
          </w:p>
        </w:tc>
        <w:tc>
          <w:tcPr>
            <w:tcW w:w="0" w:type="auto"/>
            <w:tcBorders>
              <w:top w:val="nil"/>
              <w:left w:val="nil"/>
              <w:bottom w:val="single" w:sz="4" w:space="0" w:color="auto"/>
              <w:right w:val="single" w:sz="4" w:space="0" w:color="auto"/>
            </w:tcBorders>
            <w:noWrap/>
            <w:vAlign w:val="center"/>
            <w:hideMark/>
          </w:tcPr>
          <w:p w:rsidR="00823222" w:rsidRPr="00823222" w:rsidP="00823222" w14:paraId="1D6C7942" w14:textId="77777777">
            <w:pPr>
              <w:widowControl/>
              <w:autoSpaceDE/>
              <w:autoSpaceDN/>
              <w:adjustRightInd/>
              <w:jc w:val="center"/>
              <w:rPr>
                <w:color w:val="000000"/>
                <w:sz w:val="22"/>
                <w:szCs w:val="22"/>
              </w:rPr>
            </w:pPr>
            <w:r w:rsidRPr="00823222">
              <w:rPr>
                <w:color w:val="000000"/>
                <w:sz w:val="22"/>
                <w:szCs w:val="22"/>
              </w:rPr>
              <w:t>650,000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6574AD6B" w14:textId="77777777">
            <w:pPr>
              <w:widowControl/>
              <w:autoSpaceDE/>
              <w:autoSpaceDN/>
              <w:adjustRightInd/>
              <w:jc w:val="center"/>
              <w:rPr>
                <w:color w:val="000000"/>
                <w:sz w:val="22"/>
                <w:szCs w:val="22"/>
              </w:rPr>
            </w:pPr>
            <w:r w:rsidRPr="00823222">
              <w:rPr>
                <w:color w:val="000000"/>
                <w:sz w:val="22"/>
                <w:szCs w:val="22"/>
              </w:rPr>
              <w:t>73</w:t>
            </w:r>
          </w:p>
        </w:tc>
        <w:tc>
          <w:tcPr>
            <w:tcW w:w="0" w:type="auto"/>
            <w:tcBorders>
              <w:top w:val="nil"/>
              <w:left w:val="nil"/>
              <w:bottom w:val="single" w:sz="4" w:space="0" w:color="auto"/>
              <w:right w:val="single" w:sz="4" w:space="0" w:color="auto"/>
            </w:tcBorders>
            <w:noWrap/>
            <w:vAlign w:val="center"/>
            <w:hideMark/>
          </w:tcPr>
          <w:p w:rsidR="00823222" w:rsidRPr="00823222" w:rsidP="00823222" w14:paraId="482DD6E9" w14:textId="77777777">
            <w:pPr>
              <w:widowControl/>
              <w:autoSpaceDE/>
              <w:autoSpaceDN/>
              <w:adjustRightInd/>
              <w:jc w:val="center"/>
              <w:rPr>
                <w:color w:val="000000"/>
                <w:sz w:val="22"/>
                <w:szCs w:val="22"/>
              </w:rPr>
            </w:pPr>
            <w:r w:rsidRPr="00823222">
              <w:rPr>
                <w:color w:val="000000"/>
                <w:sz w:val="22"/>
                <w:szCs w:val="22"/>
              </w:rPr>
              <w:t>$47,333,000</w:t>
            </w:r>
          </w:p>
        </w:tc>
      </w:tr>
      <w:tr w14:paraId="412F3A92" w14:textId="77777777" w:rsidTr="00823222">
        <w:tblPrEx>
          <w:tblW w:w="0" w:type="auto"/>
          <w:tblLook w:val="04A0"/>
        </w:tblPrEx>
        <w:trPr>
          <w:trHeight w:val="620"/>
        </w:trPr>
        <w:tc>
          <w:tcPr>
            <w:tcW w:w="0" w:type="auto"/>
            <w:tcBorders>
              <w:top w:val="nil"/>
              <w:left w:val="single" w:sz="4" w:space="0" w:color="auto"/>
              <w:bottom w:val="single" w:sz="4" w:space="0" w:color="auto"/>
              <w:right w:val="single" w:sz="4" w:space="0" w:color="auto"/>
            </w:tcBorders>
            <w:vAlign w:val="center"/>
            <w:hideMark/>
          </w:tcPr>
          <w:p w:rsidR="00823222" w:rsidRPr="00823222" w:rsidP="00823222" w14:paraId="3DF47315" w14:textId="77777777">
            <w:pPr>
              <w:widowControl/>
              <w:autoSpaceDE/>
              <w:autoSpaceDN/>
              <w:adjustRightInd/>
              <w:rPr>
                <w:color w:val="000000"/>
                <w:sz w:val="22"/>
                <w:szCs w:val="22"/>
              </w:rPr>
            </w:pPr>
            <w:r w:rsidRPr="00823222">
              <w:rPr>
                <w:color w:val="000000"/>
                <w:sz w:val="22"/>
                <w:szCs w:val="22"/>
              </w:rPr>
              <w:t>Compensation and benefits managers prepare insurer's offer</w:t>
            </w:r>
          </w:p>
        </w:tc>
        <w:tc>
          <w:tcPr>
            <w:tcW w:w="0" w:type="auto"/>
            <w:tcBorders>
              <w:top w:val="nil"/>
              <w:left w:val="nil"/>
              <w:bottom w:val="single" w:sz="4" w:space="0" w:color="auto"/>
              <w:right w:val="single" w:sz="4" w:space="0" w:color="auto"/>
            </w:tcBorders>
            <w:noWrap/>
            <w:vAlign w:val="center"/>
            <w:hideMark/>
          </w:tcPr>
          <w:p w:rsidR="00823222" w:rsidRPr="00823222" w:rsidP="00823222" w14:paraId="65EFCFC2" w14:textId="77777777">
            <w:pPr>
              <w:widowControl/>
              <w:autoSpaceDE/>
              <w:autoSpaceDN/>
              <w:adjustRightInd/>
              <w:jc w:val="center"/>
              <w:rPr>
                <w:color w:val="000000"/>
                <w:sz w:val="22"/>
                <w:szCs w:val="22"/>
              </w:rPr>
            </w:pPr>
            <w:r w:rsidRPr="00823222">
              <w:rPr>
                <w:color w:val="000000"/>
                <w:sz w:val="22"/>
                <w:szCs w:val="22"/>
              </w:rPr>
              <w:t>2,600,000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3C022B3B" w14:textId="77777777">
            <w:pPr>
              <w:widowControl/>
              <w:autoSpaceDE/>
              <w:autoSpaceDN/>
              <w:adjustRightInd/>
              <w:jc w:val="center"/>
              <w:rPr>
                <w:color w:val="000000"/>
                <w:sz w:val="22"/>
                <w:szCs w:val="22"/>
              </w:rPr>
            </w:pPr>
            <w:r w:rsidRPr="00823222">
              <w:rPr>
                <w:color w:val="000000"/>
                <w:sz w:val="22"/>
                <w:szCs w:val="22"/>
              </w:rPr>
              <w:t>0.5</w:t>
            </w:r>
          </w:p>
        </w:tc>
        <w:tc>
          <w:tcPr>
            <w:tcW w:w="0" w:type="auto"/>
            <w:tcBorders>
              <w:top w:val="nil"/>
              <w:left w:val="nil"/>
              <w:bottom w:val="single" w:sz="4" w:space="0" w:color="auto"/>
              <w:right w:val="single" w:sz="4" w:space="0" w:color="auto"/>
            </w:tcBorders>
            <w:noWrap/>
            <w:vAlign w:val="center"/>
            <w:hideMark/>
          </w:tcPr>
          <w:p w:rsidR="00823222" w:rsidRPr="00823222" w:rsidP="00823222" w14:paraId="3A414389" w14:textId="77777777">
            <w:pPr>
              <w:widowControl/>
              <w:autoSpaceDE/>
              <w:autoSpaceDN/>
              <w:adjustRightInd/>
              <w:jc w:val="center"/>
              <w:rPr>
                <w:color w:val="000000"/>
                <w:sz w:val="22"/>
                <w:szCs w:val="22"/>
              </w:rPr>
            </w:pPr>
            <w:r w:rsidRPr="00823222">
              <w:rPr>
                <w:color w:val="000000"/>
                <w:sz w:val="22"/>
                <w:szCs w:val="22"/>
              </w:rPr>
              <w:t>1,300,000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74C8B516" w14:textId="77777777">
            <w:pPr>
              <w:widowControl/>
              <w:autoSpaceDE/>
              <w:autoSpaceDN/>
              <w:adjustRightInd/>
              <w:jc w:val="center"/>
              <w:rPr>
                <w:color w:val="000000"/>
                <w:sz w:val="22"/>
                <w:szCs w:val="22"/>
              </w:rPr>
            </w:pPr>
            <w:r w:rsidRPr="00823222">
              <w:rPr>
                <w:color w:val="000000"/>
                <w:sz w:val="22"/>
                <w:szCs w:val="22"/>
              </w:rPr>
              <w:t>$193.15</w:t>
            </w:r>
          </w:p>
        </w:tc>
        <w:tc>
          <w:tcPr>
            <w:tcW w:w="0" w:type="auto"/>
            <w:tcBorders>
              <w:top w:val="nil"/>
              <w:left w:val="nil"/>
              <w:bottom w:val="single" w:sz="4" w:space="0" w:color="auto"/>
              <w:right w:val="single" w:sz="4" w:space="0" w:color="auto"/>
            </w:tcBorders>
            <w:noWrap/>
            <w:vAlign w:val="center"/>
            <w:hideMark/>
          </w:tcPr>
          <w:p w:rsidR="00823222" w:rsidRPr="00823222" w:rsidP="00823222" w14:paraId="52D7F06C" w14:textId="77777777">
            <w:pPr>
              <w:widowControl/>
              <w:autoSpaceDE/>
              <w:autoSpaceDN/>
              <w:adjustRightInd/>
              <w:jc w:val="center"/>
              <w:rPr>
                <w:color w:val="000000"/>
                <w:sz w:val="22"/>
                <w:szCs w:val="22"/>
              </w:rPr>
            </w:pPr>
            <w:r w:rsidRPr="00823222">
              <w:rPr>
                <w:color w:val="000000"/>
                <w:sz w:val="22"/>
                <w:szCs w:val="22"/>
              </w:rPr>
              <w:t>$251,095,000</w:t>
            </w:r>
          </w:p>
        </w:tc>
      </w:tr>
      <w:tr w14:paraId="37263B6D" w14:textId="77777777" w:rsidTr="00823222">
        <w:tblPrEx>
          <w:tblW w:w="0" w:type="auto"/>
          <w:tblLook w:val="04A0"/>
        </w:tblPrEx>
        <w:trPr>
          <w:trHeight w:val="493"/>
        </w:trPr>
        <w:tc>
          <w:tcPr>
            <w:tcW w:w="0" w:type="auto"/>
            <w:tcBorders>
              <w:top w:val="nil"/>
              <w:left w:val="single" w:sz="4" w:space="0" w:color="auto"/>
              <w:bottom w:val="single" w:sz="4" w:space="0" w:color="auto"/>
              <w:right w:val="single" w:sz="4" w:space="0" w:color="auto"/>
            </w:tcBorders>
            <w:vAlign w:val="center"/>
            <w:hideMark/>
          </w:tcPr>
          <w:p w:rsidR="00823222" w:rsidRPr="00823222" w:rsidP="00823222" w14:paraId="4BE6DCFD" w14:textId="77777777">
            <w:pPr>
              <w:widowControl/>
              <w:autoSpaceDE/>
              <w:autoSpaceDN/>
              <w:adjustRightInd/>
              <w:rPr>
                <w:color w:val="000000"/>
                <w:sz w:val="22"/>
                <w:szCs w:val="22"/>
              </w:rPr>
            </w:pPr>
            <w:r w:rsidRPr="00823222">
              <w:rPr>
                <w:color w:val="000000"/>
                <w:sz w:val="22"/>
                <w:szCs w:val="22"/>
              </w:rPr>
              <w:t>Clerical workers prepare insurer's offer</w:t>
            </w:r>
          </w:p>
        </w:tc>
        <w:tc>
          <w:tcPr>
            <w:tcW w:w="0" w:type="auto"/>
            <w:tcBorders>
              <w:top w:val="nil"/>
              <w:left w:val="nil"/>
              <w:bottom w:val="single" w:sz="4" w:space="0" w:color="auto"/>
              <w:right w:val="single" w:sz="4" w:space="0" w:color="auto"/>
            </w:tcBorders>
            <w:noWrap/>
            <w:vAlign w:val="center"/>
            <w:hideMark/>
          </w:tcPr>
          <w:p w:rsidR="00823222" w:rsidRPr="00823222" w:rsidP="00823222" w14:paraId="72B8A99A" w14:textId="77777777">
            <w:pPr>
              <w:widowControl/>
              <w:autoSpaceDE/>
              <w:autoSpaceDN/>
              <w:adjustRightInd/>
              <w:jc w:val="center"/>
              <w:rPr>
                <w:color w:val="000000"/>
                <w:sz w:val="22"/>
                <w:szCs w:val="22"/>
              </w:rPr>
            </w:pPr>
            <w:r w:rsidRPr="00823222">
              <w:rPr>
                <w:color w:val="000000"/>
                <w:sz w:val="22"/>
                <w:szCs w:val="22"/>
              </w:rPr>
              <w:t>2,600,000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314F7507" w14:textId="77777777">
            <w:pPr>
              <w:widowControl/>
              <w:autoSpaceDE/>
              <w:autoSpaceDN/>
              <w:adjustRightInd/>
              <w:jc w:val="center"/>
              <w:rPr>
                <w:color w:val="000000"/>
                <w:sz w:val="22"/>
                <w:szCs w:val="22"/>
              </w:rPr>
            </w:pPr>
            <w:r w:rsidRPr="00823222">
              <w:rPr>
                <w:color w:val="000000"/>
                <w:sz w:val="22"/>
                <w:szCs w:val="22"/>
              </w:rPr>
              <w:t>0.25</w:t>
            </w:r>
          </w:p>
        </w:tc>
        <w:tc>
          <w:tcPr>
            <w:tcW w:w="0" w:type="auto"/>
            <w:tcBorders>
              <w:top w:val="nil"/>
              <w:left w:val="nil"/>
              <w:bottom w:val="single" w:sz="4" w:space="0" w:color="auto"/>
              <w:right w:val="single" w:sz="4" w:space="0" w:color="auto"/>
            </w:tcBorders>
            <w:noWrap/>
            <w:vAlign w:val="center"/>
            <w:hideMark/>
          </w:tcPr>
          <w:p w:rsidR="00823222" w:rsidRPr="00823222" w:rsidP="00823222" w14:paraId="50495F97" w14:textId="77777777">
            <w:pPr>
              <w:widowControl/>
              <w:autoSpaceDE/>
              <w:autoSpaceDN/>
              <w:adjustRightInd/>
              <w:jc w:val="center"/>
              <w:rPr>
                <w:color w:val="000000"/>
                <w:sz w:val="22"/>
                <w:szCs w:val="22"/>
              </w:rPr>
            </w:pPr>
            <w:r w:rsidRPr="00823222">
              <w:rPr>
                <w:color w:val="000000"/>
                <w:sz w:val="22"/>
                <w:szCs w:val="22"/>
              </w:rPr>
              <w:t>650,000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29E4F9BA" w14:textId="77777777">
            <w:pPr>
              <w:widowControl/>
              <w:autoSpaceDE/>
              <w:autoSpaceDN/>
              <w:adjustRightInd/>
              <w:jc w:val="center"/>
              <w:rPr>
                <w:color w:val="000000"/>
                <w:sz w:val="22"/>
                <w:szCs w:val="22"/>
              </w:rPr>
            </w:pPr>
            <w:r w:rsidRPr="00823222">
              <w:rPr>
                <w:color w:val="000000"/>
                <w:sz w:val="22"/>
                <w:szCs w:val="22"/>
              </w:rPr>
              <w:t>$72.82</w:t>
            </w:r>
          </w:p>
        </w:tc>
        <w:tc>
          <w:tcPr>
            <w:tcW w:w="0" w:type="auto"/>
            <w:tcBorders>
              <w:top w:val="nil"/>
              <w:left w:val="nil"/>
              <w:bottom w:val="single" w:sz="4" w:space="0" w:color="auto"/>
              <w:right w:val="single" w:sz="4" w:space="0" w:color="auto"/>
            </w:tcBorders>
            <w:noWrap/>
            <w:vAlign w:val="center"/>
            <w:hideMark/>
          </w:tcPr>
          <w:p w:rsidR="00823222" w:rsidRPr="00823222" w:rsidP="00823222" w14:paraId="504D0E31" w14:textId="77777777">
            <w:pPr>
              <w:widowControl/>
              <w:autoSpaceDE/>
              <w:autoSpaceDN/>
              <w:adjustRightInd/>
              <w:jc w:val="center"/>
              <w:rPr>
                <w:color w:val="000000"/>
                <w:sz w:val="22"/>
                <w:szCs w:val="22"/>
              </w:rPr>
            </w:pPr>
            <w:r w:rsidRPr="00823222">
              <w:rPr>
                <w:color w:val="000000"/>
                <w:sz w:val="22"/>
                <w:szCs w:val="22"/>
              </w:rPr>
              <w:t>$47,333,000</w:t>
            </w:r>
          </w:p>
        </w:tc>
      </w:tr>
      <w:tr w14:paraId="564D7476" w14:textId="77777777" w:rsidTr="00823222">
        <w:tblPrEx>
          <w:tblW w:w="0" w:type="auto"/>
          <w:tblLook w:val="04A0"/>
        </w:tblPrEx>
        <w:trPr>
          <w:trHeight w:val="463"/>
        </w:trPr>
        <w:tc>
          <w:tcPr>
            <w:tcW w:w="0" w:type="auto"/>
            <w:gridSpan w:val="6"/>
            <w:tcBorders>
              <w:top w:val="single" w:sz="4" w:space="0" w:color="auto"/>
              <w:left w:val="single" w:sz="4" w:space="0" w:color="auto"/>
              <w:bottom w:val="single" w:sz="4" w:space="0" w:color="auto"/>
              <w:right w:val="single" w:sz="4" w:space="0" w:color="000000"/>
            </w:tcBorders>
            <w:vAlign w:val="center"/>
            <w:hideMark/>
          </w:tcPr>
          <w:p w:rsidR="00823222" w:rsidRPr="00823222" w:rsidP="00823222" w14:paraId="50C2A554" w14:textId="77777777">
            <w:pPr>
              <w:widowControl/>
              <w:autoSpaceDE/>
              <w:autoSpaceDN/>
              <w:adjustRightInd/>
              <w:rPr>
                <w:b/>
                <w:bCs/>
                <w:color w:val="000000"/>
                <w:sz w:val="22"/>
                <w:szCs w:val="22"/>
                <w:u w:val="single"/>
              </w:rPr>
            </w:pPr>
            <w:r w:rsidRPr="00823222">
              <w:rPr>
                <w:b/>
                <w:bCs/>
                <w:color w:val="000000"/>
                <w:sz w:val="22"/>
                <w:szCs w:val="22"/>
                <w:u w:val="single"/>
              </w:rPr>
              <w:t>Notice of Agreement on an Out-of-Network Rate</w:t>
            </w:r>
          </w:p>
        </w:tc>
      </w:tr>
      <w:tr w14:paraId="57BDCE8A" w14:textId="77777777" w:rsidTr="00823222">
        <w:tblPrEx>
          <w:tblW w:w="0" w:type="auto"/>
          <w:tblLook w:val="04A0"/>
        </w:tblPrEx>
        <w:trPr>
          <w:trHeight w:val="950"/>
        </w:trPr>
        <w:tc>
          <w:tcPr>
            <w:tcW w:w="0" w:type="auto"/>
            <w:tcBorders>
              <w:top w:val="nil"/>
              <w:left w:val="single" w:sz="4" w:space="0" w:color="auto"/>
              <w:bottom w:val="single" w:sz="4" w:space="0" w:color="auto"/>
              <w:right w:val="single" w:sz="4" w:space="0" w:color="auto"/>
            </w:tcBorders>
            <w:vAlign w:val="center"/>
            <w:hideMark/>
          </w:tcPr>
          <w:p w:rsidR="00823222" w:rsidRPr="00823222" w:rsidP="00823222" w14:paraId="7479B0C0" w14:textId="77777777">
            <w:pPr>
              <w:widowControl/>
              <w:autoSpaceDE/>
              <w:autoSpaceDN/>
              <w:adjustRightInd/>
              <w:rPr>
                <w:color w:val="000000"/>
                <w:sz w:val="22"/>
                <w:szCs w:val="22"/>
              </w:rPr>
            </w:pPr>
            <w:r w:rsidRPr="00823222">
              <w:rPr>
                <w:color w:val="000000"/>
                <w:sz w:val="22"/>
                <w:szCs w:val="22"/>
              </w:rPr>
              <w:t xml:space="preserve">Compensation and benefits managers prepare and submits agreement before the IDR entity gives a decision </w:t>
            </w:r>
          </w:p>
        </w:tc>
        <w:tc>
          <w:tcPr>
            <w:tcW w:w="0" w:type="auto"/>
            <w:tcBorders>
              <w:top w:val="nil"/>
              <w:left w:val="nil"/>
              <w:bottom w:val="single" w:sz="4" w:space="0" w:color="auto"/>
              <w:right w:val="single" w:sz="4" w:space="0" w:color="auto"/>
            </w:tcBorders>
            <w:noWrap/>
            <w:vAlign w:val="center"/>
            <w:hideMark/>
          </w:tcPr>
          <w:p w:rsidR="00823222" w:rsidRPr="00823222" w:rsidP="00823222" w14:paraId="7B7EA670" w14:textId="77777777">
            <w:pPr>
              <w:widowControl/>
              <w:autoSpaceDE/>
              <w:autoSpaceDN/>
              <w:adjustRightInd/>
              <w:jc w:val="center"/>
              <w:rPr>
                <w:color w:val="000000"/>
                <w:sz w:val="22"/>
                <w:szCs w:val="22"/>
              </w:rPr>
            </w:pPr>
            <w:r w:rsidRPr="00823222">
              <w:rPr>
                <w:color w:val="000000"/>
                <w:sz w:val="22"/>
                <w:szCs w:val="22"/>
              </w:rPr>
              <w:t>26,000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44C41E15" w14:textId="77777777">
            <w:pPr>
              <w:widowControl/>
              <w:autoSpaceDE/>
              <w:autoSpaceDN/>
              <w:adjustRightInd/>
              <w:jc w:val="center"/>
              <w:rPr>
                <w:color w:val="000000"/>
                <w:sz w:val="22"/>
                <w:szCs w:val="22"/>
              </w:rPr>
            </w:pPr>
            <w:r w:rsidRPr="00823222">
              <w:rPr>
                <w:color w:val="000000"/>
                <w:sz w:val="22"/>
                <w:szCs w:val="22"/>
              </w:rPr>
              <w:t>0.5</w:t>
            </w:r>
          </w:p>
        </w:tc>
        <w:tc>
          <w:tcPr>
            <w:tcW w:w="0" w:type="auto"/>
            <w:tcBorders>
              <w:top w:val="nil"/>
              <w:left w:val="nil"/>
              <w:bottom w:val="single" w:sz="4" w:space="0" w:color="auto"/>
              <w:right w:val="single" w:sz="4" w:space="0" w:color="auto"/>
            </w:tcBorders>
            <w:noWrap/>
            <w:vAlign w:val="center"/>
            <w:hideMark/>
          </w:tcPr>
          <w:p w:rsidR="00823222" w:rsidRPr="00823222" w:rsidP="00823222" w14:paraId="32C2EE29" w14:textId="77777777">
            <w:pPr>
              <w:widowControl/>
              <w:autoSpaceDE/>
              <w:autoSpaceDN/>
              <w:adjustRightInd/>
              <w:jc w:val="center"/>
              <w:rPr>
                <w:color w:val="000000"/>
                <w:sz w:val="22"/>
                <w:szCs w:val="22"/>
              </w:rPr>
            </w:pPr>
            <w:r w:rsidRPr="00823222">
              <w:rPr>
                <w:color w:val="000000"/>
                <w:sz w:val="22"/>
                <w:szCs w:val="22"/>
              </w:rPr>
              <w:t>13,000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7B376F43" w14:textId="77777777">
            <w:pPr>
              <w:widowControl/>
              <w:autoSpaceDE/>
              <w:autoSpaceDN/>
              <w:adjustRightInd/>
              <w:jc w:val="center"/>
              <w:rPr>
                <w:color w:val="000000"/>
                <w:sz w:val="22"/>
                <w:szCs w:val="22"/>
              </w:rPr>
            </w:pPr>
            <w:r w:rsidRPr="00823222">
              <w:rPr>
                <w:color w:val="000000"/>
                <w:sz w:val="22"/>
                <w:szCs w:val="22"/>
              </w:rPr>
              <w:t>$193.15</w:t>
            </w:r>
          </w:p>
        </w:tc>
        <w:tc>
          <w:tcPr>
            <w:tcW w:w="0" w:type="auto"/>
            <w:tcBorders>
              <w:top w:val="nil"/>
              <w:left w:val="nil"/>
              <w:bottom w:val="single" w:sz="4" w:space="0" w:color="auto"/>
              <w:right w:val="single" w:sz="4" w:space="0" w:color="auto"/>
            </w:tcBorders>
            <w:noWrap/>
            <w:vAlign w:val="center"/>
            <w:hideMark/>
          </w:tcPr>
          <w:p w:rsidR="00823222" w:rsidRPr="00823222" w:rsidP="00823222" w14:paraId="18B44B6A" w14:textId="77777777">
            <w:pPr>
              <w:widowControl/>
              <w:autoSpaceDE/>
              <w:autoSpaceDN/>
              <w:adjustRightInd/>
              <w:jc w:val="center"/>
              <w:rPr>
                <w:color w:val="000000"/>
                <w:sz w:val="22"/>
                <w:szCs w:val="22"/>
              </w:rPr>
            </w:pPr>
            <w:r w:rsidRPr="00823222">
              <w:rPr>
                <w:color w:val="000000"/>
                <w:sz w:val="22"/>
                <w:szCs w:val="22"/>
              </w:rPr>
              <w:t>$2,510,950</w:t>
            </w:r>
          </w:p>
        </w:tc>
      </w:tr>
      <w:tr w14:paraId="43F852C4" w14:textId="77777777" w:rsidTr="00823222">
        <w:tblPrEx>
          <w:tblW w:w="0" w:type="auto"/>
          <w:tblLook w:val="04A0"/>
        </w:tblPrEx>
        <w:trPr>
          <w:trHeight w:val="900"/>
        </w:trPr>
        <w:tc>
          <w:tcPr>
            <w:tcW w:w="0" w:type="auto"/>
            <w:tcBorders>
              <w:top w:val="nil"/>
              <w:left w:val="single" w:sz="4" w:space="0" w:color="auto"/>
              <w:bottom w:val="single" w:sz="4" w:space="0" w:color="auto"/>
              <w:right w:val="single" w:sz="4" w:space="0" w:color="auto"/>
            </w:tcBorders>
            <w:vAlign w:val="center"/>
            <w:hideMark/>
          </w:tcPr>
          <w:p w:rsidR="00823222" w:rsidRPr="00823222" w:rsidP="00823222" w14:paraId="27A96458" w14:textId="77777777">
            <w:pPr>
              <w:widowControl/>
              <w:autoSpaceDE/>
              <w:autoSpaceDN/>
              <w:adjustRightInd/>
              <w:rPr>
                <w:color w:val="000000"/>
                <w:sz w:val="22"/>
                <w:szCs w:val="22"/>
              </w:rPr>
            </w:pPr>
            <w:r w:rsidRPr="00823222">
              <w:rPr>
                <w:color w:val="000000"/>
                <w:sz w:val="22"/>
                <w:szCs w:val="22"/>
              </w:rPr>
              <w:t>Clerical workers prepare and submits agreement before the IDR entity gives a decision</w:t>
            </w:r>
          </w:p>
        </w:tc>
        <w:tc>
          <w:tcPr>
            <w:tcW w:w="0" w:type="auto"/>
            <w:tcBorders>
              <w:top w:val="nil"/>
              <w:left w:val="nil"/>
              <w:bottom w:val="single" w:sz="4" w:space="0" w:color="auto"/>
              <w:right w:val="single" w:sz="4" w:space="0" w:color="auto"/>
            </w:tcBorders>
            <w:noWrap/>
            <w:vAlign w:val="center"/>
            <w:hideMark/>
          </w:tcPr>
          <w:p w:rsidR="00823222" w:rsidRPr="00823222" w:rsidP="00823222" w14:paraId="287B4023" w14:textId="77777777">
            <w:pPr>
              <w:widowControl/>
              <w:autoSpaceDE/>
              <w:autoSpaceDN/>
              <w:adjustRightInd/>
              <w:jc w:val="center"/>
              <w:rPr>
                <w:color w:val="000000"/>
                <w:sz w:val="22"/>
                <w:szCs w:val="22"/>
              </w:rPr>
            </w:pPr>
            <w:r w:rsidRPr="00823222">
              <w:rPr>
                <w:color w:val="000000"/>
                <w:sz w:val="22"/>
                <w:szCs w:val="22"/>
              </w:rPr>
              <w:t>26,000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1B585316" w14:textId="77777777">
            <w:pPr>
              <w:widowControl/>
              <w:autoSpaceDE/>
              <w:autoSpaceDN/>
              <w:adjustRightInd/>
              <w:jc w:val="center"/>
              <w:rPr>
                <w:color w:val="000000"/>
                <w:sz w:val="22"/>
                <w:szCs w:val="22"/>
              </w:rPr>
            </w:pPr>
            <w:r w:rsidRPr="00823222">
              <w:rPr>
                <w:color w:val="000000"/>
                <w:sz w:val="22"/>
                <w:szCs w:val="22"/>
              </w:rPr>
              <w:t>0.25</w:t>
            </w:r>
          </w:p>
        </w:tc>
        <w:tc>
          <w:tcPr>
            <w:tcW w:w="0" w:type="auto"/>
            <w:tcBorders>
              <w:top w:val="nil"/>
              <w:left w:val="nil"/>
              <w:bottom w:val="single" w:sz="4" w:space="0" w:color="auto"/>
              <w:right w:val="single" w:sz="4" w:space="0" w:color="auto"/>
            </w:tcBorders>
            <w:noWrap/>
            <w:vAlign w:val="center"/>
            <w:hideMark/>
          </w:tcPr>
          <w:p w:rsidR="00823222" w:rsidRPr="00823222" w:rsidP="00823222" w14:paraId="26783AB3" w14:textId="77777777">
            <w:pPr>
              <w:widowControl/>
              <w:autoSpaceDE/>
              <w:autoSpaceDN/>
              <w:adjustRightInd/>
              <w:jc w:val="center"/>
              <w:rPr>
                <w:color w:val="000000"/>
                <w:sz w:val="22"/>
                <w:szCs w:val="22"/>
              </w:rPr>
            </w:pPr>
            <w:r w:rsidRPr="00823222">
              <w:rPr>
                <w:color w:val="000000"/>
                <w:sz w:val="22"/>
                <w:szCs w:val="22"/>
              </w:rPr>
              <w:t>6,500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6D70B858" w14:textId="77777777">
            <w:pPr>
              <w:widowControl/>
              <w:autoSpaceDE/>
              <w:autoSpaceDN/>
              <w:adjustRightInd/>
              <w:jc w:val="center"/>
              <w:rPr>
                <w:color w:val="000000"/>
                <w:sz w:val="22"/>
                <w:szCs w:val="22"/>
              </w:rPr>
            </w:pPr>
            <w:r w:rsidRPr="00823222">
              <w:rPr>
                <w:color w:val="000000"/>
                <w:sz w:val="22"/>
                <w:szCs w:val="22"/>
              </w:rPr>
              <w:t>$72.82</w:t>
            </w:r>
          </w:p>
        </w:tc>
        <w:tc>
          <w:tcPr>
            <w:tcW w:w="0" w:type="auto"/>
            <w:tcBorders>
              <w:top w:val="nil"/>
              <w:left w:val="nil"/>
              <w:bottom w:val="single" w:sz="4" w:space="0" w:color="auto"/>
              <w:right w:val="single" w:sz="4" w:space="0" w:color="auto"/>
            </w:tcBorders>
            <w:noWrap/>
            <w:vAlign w:val="center"/>
            <w:hideMark/>
          </w:tcPr>
          <w:p w:rsidR="00823222" w:rsidRPr="00823222" w:rsidP="00823222" w14:paraId="185D0793" w14:textId="77777777">
            <w:pPr>
              <w:widowControl/>
              <w:autoSpaceDE/>
              <w:autoSpaceDN/>
              <w:adjustRightInd/>
              <w:jc w:val="center"/>
              <w:rPr>
                <w:color w:val="000000"/>
                <w:sz w:val="22"/>
                <w:szCs w:val="22"/>
              </w:rPr>
            </w:pPr>
            <w:r w:rsidRPr="00823222">
              <w:rPr>
                <w:color w:val="000000"/>
                <w:sz w:val="22"/>
                <w:szCs w:val="22"/>
              </w:rPr>
              <w:t>$473,330</w:t>
            </w:r>
          </w:p>
        </w:tc>
      </w:tr>
      <w:tr w14:paraId="1E88ACBB" w14:textId="77777777" w:rsidTr="00823222">
        <w:tblPrEx>
          <w:tblW w:w="0" w:type="auto"/>
          <w:tblLook w:val="04A0"/>
        </w:tblPrEx>
        <w:trPr>
          <w:trHeight w:val="403"/>
        </w:trPr>
        <w:tc>
          <w:tcPr>
            <w:tcW w:w="0" w:type="auto"/>
            <w:gridSpan w:val="6"/>
            <w:tcBorders>
              <w:top w:val="single" w:sz="4" w:space="0" w:color="auto"/>
              <w:left w:val="single" w:sz="4" w:space="0" w:color="auto"/>
              <w:bottom w:val="single" w:sz="4" w:space="0" w:color="auto"/>
              <w:right w:val="single" w:sz="4" w:space="0" w:color="000000"/>
            </w:tcBorders>
            <w:vAlign w:val="center"/>
            <w:hideMark/>
          </w:tcPr>
          <w:p w:rsidR="00823222" w:rsidRPr="00823222" w:rsidP="00823222" w14:paraId="288C042B" w14:textId="77777777">
            <w:pPr>
              <w:widowControl/>
              <w:autoSpaceDE/>
              <w:autoSpaceDN/>
              <w:adjustRightInd/>
              <w:rPr>
                <w:b/>
                <w:bCs/>
                <w:color w:val="000000"/>
                <w:sz w:val="22"/>
                <w:szCs w:val="22"/>
                <w:u w:val="single"/>
              </w:rPr>
            </w:pPr>
            <w:r w:rsidRPr="00823222">
              <w:rPr>
                <w:b/>
                <w:bCs/>
                <w:color w:val="000000"/>
                <w:sz w:val="22"/>
                <w:szCs w:val="22"/>
                <w:u w:val="single"/>
              </w:rPr>
              <w:t xml:space="preserve">Notice of Withdrawal Request and Response </w:t>
            </w:r>
          </w:p>
        </w:tc>
      </w:tr>
      <w:tr w14:paraId="688F44AD" w14:textId="77777777" w:rsidTr="00823222">
        <w:tblPrEx>
          <w:tblW w:w="0" w:type="auto"/>
          <w:tblLook w:val="04A0"/>
        </w:tblPrEx>
        <w:trPr>
          <w:trHeight w:val="960"/>
        </w:trPr>
        <w:tc>
          <w:tcPr>
            <w:tcW w:w="0" w:type="auto"/>
            <w:tcBorders>
              <w:top w:val="nil"/>
              <w:left w:val="single" w:sz="4" w:space="0" w:color="auto"/>
              <w:bottom w:val="single" w:sz="4" w:space="0" w:color="auto"/>
              <w:right w:val="single" w:sz="4" w:space="0" w:color="auto"/>
            </w:tcBorders>
            <w:vAlign w:val="center"/>
            <w:hideMark/>
          </w:tcPr>
          <w:p w:rsidR="00823222" w:rsidRPr="00823222" w:rsidP="00823222" w14:paraId="7C5743DE" w14:textId="77777777">
            <w:pPr>
              <w:widowControl/>
              <w:autoSpaceDE/>
              <w:autoSpaceDN/>
              <w:adjustRightInd/>
              <w:rPr>
                <w:color w:val="000000"/>
                <w:sz w:val="22"/>
                <w:szCs w:val="22"/>
              </w:rPr>
            </w:pPr>
            <w:r w:rsidRPr="00823222">
              <w:rPr>
                <w:color w:val="000000"/>
                <w:sz w:val="22"/>
                <w:szCs w:val="22"/>
              </w:rPr>
              <w:t>Compensation and benefits manager prepare the notice of request for withdrawal to the non-initiating party</w:t>
            </w:r>
          </w:p>
        </w:tc>
        <w:tc>
          <w:tcPr>
            <w:tcW w:w="0" w:type="auto"/>
            <w:tcBorders>
              <w:top w:val="nil"/>
              <w:left w:val="nil"/>
              <w:bottom w:val="single" w:sz="4" w:space="0" w:color="auto"/>
              <w:right w:val="single" w:sz="4" w:space="0" w:color="auto"/>
            </w:tcBorders>
            <w:noWrap/>
            <w:vAlign w:val="center"/>
            <w:hideMark/>
          </w:tcPr>
          <w:p w:rsidR="00823222" w:rsidRPr="00823222" w:rsidP="00823222" w14:paraId="3AD395DB" w14:textId="77777777">
            <w:pPr>
              <w:widowControl/>
              <w:autoSpaceDE/>
              <w:autoSpaceDN/>
              <w:adjustRightInd/>
              <w:jc w:val="center"/>
              <w:rPr>
                <w:color w:val="000000"/>
                <w:sz w:val="22"/>
                <w:szCs w:val="22"/>
              </w:rPr>
            </w:pPr>
            <w:r w:rsidRPr="00823222">
              <w:rPr>
                <w:color w:val="000000"/>
                <w:sz w:val="22"/>
                <w:szCs w:val="22"/>
              </w:rPr>
              <w:t>104,000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6228D649" w14:textId="77777777">
            <w:pPr>
              <w:widowControl/>
              <w:autoSpaceDE/>
              <w:autoSpaceDN/>
              <w:adjustRightInd/>
              <w:jc w:val="center"/>
              <w:rPr>
                <w:color w:val="000000"/>
                <w:sz w:val="22"/>
                <w:szCs w:val="22"/>
              </w:rPr>
            </w:pPr>
            <w:r w:rsidRPr="00823222">
              <w:rPr>
                <w:color w:val="000000"/>
                <w:sz w:val="22"/>
                <w:szCs w:val="22"/>
              </w:rPr>
              <w:t>0.25</w:t>
            </w:r>
          </w:p>
        </w:tc>
        <w:tc>
          <w:tcPr>
            <w:tcW w:w="0" w:type="auto"/>
            <w:tcBorders>
              <w:top w:val="nil"/>
              <w:left w:val="nil"/>
              <w:bottom w:val="single" w:sz="4" w:space="0" w:color="auto"/>
              <w:right w:val="single" w:sz="4" w:space="0" w:color="auto"/>
            </w:tcBorders>
            <w:noWrap/>
            <w:vAlign w:val="center"/>
            <w:hideMark/>
          </w:tcPr>
          <w:p w:rsidR="00823222" w:rsidRPr="00823222" w:rsidP="00823222" w14:paraId="53B1A5A8" w14:textId="77777777">
            <w:pPr>
              <w:widowControl/>
              <w:autoSpaceDE/>
              <w:autoSpaceDN/>
              <w:adjustRightInd/>
              <w:jc w:val="center"/>
              <w:rPr>
                <w:color w:val="000000"/>
                <w:sz w:val="22"/>
                <w:szCs w:val="22"/>
              </w:rPr>
            </w:pPr>
            <w:r w:rsidRPr="00823222">
              <w:rPr>
                <w:color w:val="000000"/>
                <w:sz w:val="22"/>
                <w:szCs w:val="22"/>
              </w:rPr>
              <w:t>26,000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612CF087" w14:textId="77777777">
            <w:pPr>
              <w:widowControl/>
              <w:autoSpaceDE/>
              <w:autoSpaceDN/>
              <w:adjustRightInd/>
              <w:jc w:val="center"/>
              <w:rPr>
                <w:color w:val="000000"/>
                <w:sz w:val="22"/>
                <w:szCs w:val="22"/>
              </w:rPr>
            </w:pPr>
            <w:r w:rsidRPr="00823222">
              <w:rPr>
                <w:color w:val="000000"/>
                <w:sz w:val="22"/>
                <w:szCs w:val="22"/>
              </w:rPr>
              <w:t>$193.15</w:t>
            </w:r>
          </w:p>
        </w:tc>
        <w:tc>
          <w:tcPr>
            <w:tcW w:w="0" w:type="auto"/>
            <w:tcBorders>
              <w:top w:val="nil"/>
              <w:left w:val="nil"/>
              <w:bottom w:val="single" w:sz="4" w:space="0" w:color="auto"/>
              <w:right w:val="single" w:sz="4" w:space="0" w:color="auto"/>
            </w:tcBorders>
            <w:noWrap/>
            <w:vAlign w:val="center"/>
            <w:hideMark/>
          </w:tcPr>
          <w:p w:rsidR="00823222" w:rsidRPr="00823222" w:rsidP="00823222" w14:paraId="1414445C" w14:textId="77777777">
            <w:pPr>
              <w:widowControl/>
              <w:autoSpaceDE/>
              <w:autoSpaceDN/>
              <w:adjustRightInd/>
              <w:jc w:val="center"/>
              <w:rPr>
                <w:color w:val="000000"/>
                <w:sz w:val="22"/>
                <w:szCs w:val="22"/>
              </w:rPr>
            </w:pPr>
            <w:r w:rsidRPr="00823222">
              <w:rPr>
                <w:color w:val="000000"/>
                <w:sz w:val="22"/>
                <w:szCs w:val="22"/>
              </w:rPr>
              <w:t>$5,021,900</w:t>
            </w:r>
          </w:p>
        </w:tc>
      </w:tr>
      <w:tr w14:paraId="4EF07DF9" w14:textId="77777777" w:rsidTr="00823222">
        <w:tblPrEx>
          <w:tblW w:w="0" w:type="auto"/>
          <w:tblLook w:val="04A0"/>
        </w:tblPrEx>
        <w:trPr>
          <w:trHeight w:val="943"/>
        </w:trPr>
        <w:tc>
          <w:tcPr>
            <w:tcW w:w="0" w:type="auto"/>
            <w:tcBorders>
              <w:top w:val="nil"/>
              <w:left w:val="single" w:sz="4" w:space="0" w:color="auto"/>
              <w:bottom w:val="single" w:sz="4" w:space="0" w:color="auto"/>
              <w:right w:val="single" w:sz="4" w:space="0" w:color="auto"/>
            </w:tcBorders>
            <w:vAlign w:val="center"/>
            <w:hideMark/>
          </w:tcPr>
          <w:p w:rsidR="00823222" w:rsidRPr="00823222" w:rsidP="00823222" w14:paraId="5B4A9715" w14:textId="77777777">
            <w:pPr>
              <w:widowControl/>
              <w:autoSpaceDE/>
              <w:autoSpaceDN/>
              <w:adjustRightInd/>
              <w:rPr>
                <w:color w:val="000000"/>
                <w:sz w:val="22"/>
                <w:szCs w:val="22"/>
              </w:rPr>
            </w:pPr>
            <w:r w:rsidRPr="00823222">
              <w:rPr>
                <w:color w:val="000000"/>
                <w:sz w:val="22"/>
                <w:szCs w:val="22"/>
              </w:rPr>
              <w:t>Clerical workers prepare the notice of request for withdrawal to the non-initiating party</w:t>
            </w:r>
          </w:p>
        </w:tc>
        <w:tc>
          <w:tcPr>
            <w:tcW w:w="0" w:type="auto"/>
            <w:tcBorders>
              <w:top w:val="nil"/>
              <w:left w:val="nil"/>
              <w:bottom w:val="single" w:sz="4" w:space="0" w:color="auto"/>
              <w:right w:val="single" w:sz="4" w:space="0" w:color="auto"/>
            </w:tcBorders>
            <w:noWrap/>
            <w:vAlign w:val="center"/>
            <w:hideMark/>
          </w:tcPr>
          <w:p w:rsidR="00823222" w:rsidRPr="00823222" w:rsidP="00823222" w14:paraId="5792F298" w14:textId="77777777">
            <w:pPr>
              <w:widowControl/>
              <w:autoSpaceDE/>
              <w:autoSpaceDN/>
              <w:adjustRightInd/>
              <w:jc w:val="center"/>
              <w:rPr>
                <w:color w:val="000000"/>
                <w:sz w:val="22"/>
                <w:szCs w:val="22"/>
              </w:rPr>
            </w:pPr>
            <w:r w:rsidRPr="00823222">
              <w:rPr>
                <w:color w:val="000000"/>
                <w:sz w:val="22"/>
                <w:szCs w:val="22"/>
              </w:rPr>
              <w:t>104,000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3B7195A0" w14:textId="77777777">
            <w:pPr>
              <w:widowControl/>
              <w:autoSpaceDE/>
              <w:autoSpaceDN/>
              <w:adjustRightInd/>
              <w:jc w:val="center"/>
              <w:rPr>
                <w:color w:val="000000"/>
                <w:sz w:val="22"/>
                <w:szCs w:val="22"/>
              </w:rPr>
            </w:pPr>
            <w:r w:rsidRPr="00823222">
              <w:rPr>
                <w:color w:val="000000"/>
                <w:sz w:val="22"/>
                <w:szCs w:val="22"/>
              </w:rPr>
              <w:t>0.25</w:t>
            </w:r>
          </w:p>
        </w:tc>
        <w:tc>
          <w:tcPr>
            <w:tcW w:w="0" w:type="auto"/>
            <w:tcBorders>
              <w:top w:val="nil"/>
              <w:left w:val="nil"/>
              <w:bottom w:val="single" w:sz="4" w:space="0" w:color="auto"/>
              <w:right w:val="single" w:sz="4" w:space="0" w:color="auto"/>
            </w:tcBorders>
            <w:noWrap/>
            <w:vAlign w:val="center"/>
            <w:hideMark/>
          </w:tcPr>
          <w:p w:rsidR="00823222" w:rsidRPr="00823222" w:rsidP="00823222" w14:paraId="0F85DDE4" w14:textId="77777777">
            <w:pPr>
              <w:widowControl/>
              <w:autoSpaceDE/>
              <w:autoSpaceDN/>
              <w:adjustRightInd/>
              <w:jc w:val="center"/>
              <w:rPr>
                <w:color w:val="000000"/>
                <w:sz w:val="22"/>
                <w:szCs w:val="22"/>
              </w:rPr>
            </w:pPr>
            <w:r w:rsidRPr="00823222">
              <w:rPr>
                <w:color w:val="000000"/>
                <w:sz w:val="22"/>
                <w:szCs w:val="22"/>
              </w:rPr>
              <w:t>26,000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1D9E213D" w14:textId="77777777">
            <w:pPr>
              <w:widowControl/>
              <w:autoSpaceDE/>
              <w:autoSpaceDN/>
              <w:adjustRightInd/>
              <w:jc w:val="center"/>
              <w:rPr>
                <w:color w:val="000000"/>
                <w:sz w:val="22"/>
                <w:szCs w:val="22"/>
              </w:rPr>
            </w:pPr>
            <w:r w:rsidRPr="00823222">
              <w:rPr>
                <w:color w:val="000000"/>
                <w:sz w:val="22"/>
                <w:szCs w:val="22"/>
              </w:rPr>
              <w:t>$72.82</w:t>
            </w:r>
          </w:p>
        </w:tc>
        <w:tc>
          <w:tcPr>
            <w:tcW w:w="0" w:type="auto"/>
            <w:tcBorders>
              <w:top w:val="nil"/>
              <w:left w:val="nil"/>
              <w:bottom w:val="single" w:sz="4" w:space="0" w:color="auto"/>
              <w:right w:val="single" w:sz="4" w:space="0" w:color="auto"/>
            </w:tcBorders>
            <w:noWrap/>
            <w:vAlign w:val="center"/>
            <w:hideMark/>
          </w:tcPr>
          <w:p w:rsidR="00823222" w:rsidRPr="00823222" w:rsidP="00823222" w14:paraId="566DD77B" w14:textId="77777777">
            <w:pPr>
              <w:widowControl/>
              <w:autoSpaceDE/>
              <w:autoSpaceDN/>
              <w:adjustRightInd/>
              <w:jc w:val="center"/>
              <w:rPr>
                <w:color w:val="000000"/>
                <w:sz w:val="22"/>
                <w:szCs w:val="22"/>
              </w:rPr>
            </w:pPr>
            <w:r w:rsidRPr="00823222">
              <w:rPr>
                <w:color w:val="000000"/>
                <w:sz w:val="22"/>
                <w:szCs w:val="22"/>
              </w:rPr>
              <w:t>$1,893,320</w:t>
            </w:r>
          </w:p>
        </w:tc>
      </w:tr>
      <w:tr w14:paraId="493DD1FE" w14:textId="77777777" w:rsidTr="00823222">
        <w:tblPrEx>
          <w:tblW w:w="0" w:type="auto"/>
          <w:tblLook w:val="04A0"/>
        </w:tblPrEx>
        <w:trPr>
          <w:trHeight w:val="690"/>
        </w:trPr>
        <w:tc>
          <w:tcPr>
            <w:tcW w:w="0" w:type="auto"/>
            <w:tcBorders>
              <w:top w:val="single" w:sz="4" w:space="0" w:color="auto"/>
              <w:left w:val="single" w:sz="4" w:space="0" w:color="auto"/>
              <w:bottom w:val="single" w:sz="4" w:space="0" w:color="auto"/>
              <w:right w:val="single" w:sz="4" w:space="0" w:color="auto"/>
            </w:tcBorders>
            <w:vAlign w:val="center"/>
            <w:hideMark/>
          </w:tcPr>
          <w:p w:rsidR="00823222" w:rsidRPr="00823222" w:rsidP="00823222" w14:paraId="7B1D8FB2" w14:textId="77777777">
            <w:pPr>
              <w:widowControl/>
              <w:autoSpaceDE/>
              <w:autoSpaceDN/>
              <w:adjustRightInd/>
              <w:rPr>
                <w:color w:val="000000"/>
                <w:sz w:val="22"/>
                <w:szCs w:val="22"/>
              </w:rPr>
            </w:pPr>
            <w:r w:rsidRPr="00823222">
              <w:rPr>
                <w:color w:val="000000"/>
                <w:sz w:val="22"/>
                <w:szCs w:val="22"/>
              </w:rPr>
              <w:t xml:space="preserve">Clerical workers prepare the response to the notice of request for withdrawal </w:t>
            </w:r>
          </w:p>
        </w:tc>
        <w:tc>
          <w:tcPr>
            <w:tcW w:w="0" w:type="auto"/>
            <w:tcBorders>
              <w:top w:val="single" w:sz="4" w:space="0" w:color="auto"/>
              <w:left w:val="nil"/>
              <w:bottom w:val="double" w:sz="6" w:space="0" w:color="auto"/>
              <w:right w:val="single" w:sz="4" w:space="0" w:color="auto"/>
            </w:tcBorders>
            <w:noWrap/>
            <w:vAlign w:val="center"/>
            <w:hideMark/>
          </w:tcPr>
          <w:p w:rsidR="00823222" w:rsidRPr="00823222" w:rsidP="00823222" w14:paraId="381EA27D" w14:textId="77777777">
            <w:pPr>
              <w:widowControl/>
              <w:autoSpaceDE/>
              <w:autoSpaceDN/>
              <w:adjustRightInd/>
              <w:jc w:val="center"/>
              <w:rPr>
                <w:color w:val="000000"/>
                <w:sz w:val="22"/>
                <w:szCs w:val="22"/>
              </w:rPr>
            </w:pPr>
            <w:r w:rsidRPr="00823222">
              <w:rPr>
                <w:color w:val="000000"/>
                <w:sz w:val="22"/>
                <w:szCs w:val="22"/>
              </w:rPr>
              <w:t>104,000</w:t>
            </w:r>
          </w:p>
        </w:tc>
        <w:tc>
          <w:tcPr>
            <w:tcW w:w="0" w:type="auto"/>
            <w:tcBorders>
              <w:top w:val="single" w:sz="4" w:space="0" w:color="auto"/>
              <w:left w:val="nil"/>
              <w:bottom w:val="double" w:sz="6" w:space="0" w:color="auto"/>
              <w:right w:val="single" w:sz="4" w:space="0" w:color="auto"/>
            </w:tcBorders>
            <w:noWrap/>
            <w:vAlign w:val="center"/>
            <w:hideMark/>
          </w:tcPr>
          <w:p w:rsidR="00823222" w:rsidRPr="00823222" w:rsidP="00823222" w14:paraId="0A4C74F3" w14:textId="77777777">
            <w:pPr>
              <w:widowControl/>
              <w:autoSpaceDE/>
              <w:autoSpaceDN/>
              <w:adjustRightInd/>
              <w:jc w:val="center"/>
              <w:rPr>
                <w:color w:val="000000"/>
                <w:sz w:val="22"/>
                <w:szCs w:val="22"/>
              </w:rPr>
            </w:pPr>
            <w:r w:rsidRPr="00823222">
              <w:rPr>
                <w:color w:val="000000"/>
                <w:sz w:val="22"/>
                <w:szCs w:val="22"/>
              </w:rPr>
              <w:t>0.25</w:t>
            </w:r>
          </w:p>
        </w:tc>
        <w:tc>
          <w:tcPr>
            <w:tcW w:w="0" w:type="auto"/>
            <w:tcBorders>
              <w:top w:val="single" w:sz="4" w:space="0" w:color="auto"/>
              <w:left w:val="nil"/>
              <w:bottom w:val="double" w:sz="6" w:space="0" w:color="auto"/>
              <w:right w:val="single" w:sz="4" w:space="0" w:color="auto"/>
            </w:tcBorders>
            <w:noWrap/>
            <w:vAlign w:val="center"/>
            <w:hideMark/>
          </w:tcPr>
          <w:p w:rsidR="00823222" w:rsidRPr="00823222" w:rsidP="00823222" w14:paraId="322F3218" w14:textId="77777777">
            <w:pPr>
              <w:widowControl/>
              <w:autoSpaceDE/>
              <w:autoSpaceDN/>
              <w:adjustRightInd/>
              <w:jc w:val="center"/>
              <w:rPr>
                <w:color w:val="000000"/>
                <w:sz w:val="22"/>
                <w:szCs w:val="22"/>
              </w:rPr>
            </w:pPr>
            <w:r w:rsidRPr="00823222">
              <w:rPr>
                <w:color w:val="000000"/>
                <w:sz w:val="22"/>
                <w:szCs w:val="22"/>
              </w:rPr>
              <w:t>26,000</w:t>
            </w:r>
          </w:p>
        </w:tc>
        <w:tc>
          <w:tcPr>
            <w:tcW w:w="0" w:type="auto"/>
            <w:tcBorders>
              <w:top w:val="single" w:sz="4" w:space="0" w:color="auto"/>
              <w:left w:val="nil"/>
              <w:bottom w:val="double" w:sz="6" w:space="0" w:color="auto"/>
              <w:right w:val="single" w:sz="4" w:space="0" w:color="auto"/>
            </w:tcBorders>
            <w:noWrap/>
            <w:vAlign w:val="center"/>
            <w:hideMark/>
          </w:tcPr>
          <w:p w:rsidR="00823222" w:rsidRPr="00823222" w:rsidP="00823222" w14:paraId="57A195D0" w14:textId="77777777">
            <w:pPr>
              <w:widowControl/>
              <w:autoSpaceDE/>
              <w:autoSpaceDN/>
              <w:adjustRightInd/>
              <w:jc w:val="center"/>
              <w:rPr>
                <w:color w:val="000000"/>
                <w:sz w:val="22"/>
                <w:szCs w:val="22"/>
              </w:rPr>
            </w:pPr>
            <w:r w:rsidRPr="00823222">
              <w:rPr>
                <w:color w:val="000000"/>
                <w:sz w:val="22"/>
                <w:szCs w:val="22"/>
              </w:rPr>
              <w:t>$72.82</w:t>
            </w:r>
          </w:p>
        </w:tc>
        <w:tc>
          <w:tcPr>
            <w:tcW w:w="0" w:type="auto"/>
            <w:tcBorders>
              <w:top w:val="single" w:sz="4" w:space="0" w:color="auto"/>
              <w:left w:val="nil"/>
              <w:bottom w:val="double" w:sz="6" w:space="0" w:color="auto"/>
              <w:right w:val="single" w:sz="4" w:space="0" w:color="auto"/>
            </w:tcBorders>
            <w:noWrap/>
            <w:vAlign w:val="center"/>
            <w:hideMark/>
          </w:tcPr>
          <w:p w:rsidR="00823222" w:rsidRPr="00823222" w:rsidP="00823222" w14:paraId="6CFD3742" w14:textId="77777777">
            <w:pPr>
              <w:widowControl/>
              <w:autoSpaceDE/>
              <w:autoSpaceDN/>
              <w:adjustRightInd/>
              <w:jc w:val="center"/>
              <w:rPr>
                <w:color w:val="000000"/>
                <w:sz w:val="22"/>
                <w:szCs w:val="22"/>
              </w:rPr>
            </w:pPr>
            <w:r w:rsidRPr="00823222">
              <w:rPr>
                <w:color w:val="000000"/>
                <w:sz w:val="22"/>
                <w:szCs w:val="22"/>
              </w:rPr>
              <w:t>$1,893,320</w:t>
            </w:r>
          </w:p>
        </w:tc>
      </w:tr>
      <w:tr w14:paraId="49308BDE" w14:textId="77777777" w:rsidTr="00823222">
        <w:tblPrEx>
          <w:tblW w:w="0" w:type="auto"/>
          <w:tblLook w:val="04A0"/>
        </w:tblPrEx>
        <w:trPr>
          <w:trHeight w:val="300"/>
        </w:trPr>
        <w:tc>
          <w:tcPr>
            <w:tcW w:w="0" w:type="auto"/>
            <w:tcBorders>
              <w:top w:val="nil"/>
              <w:left w:val="single" w:sz="4" w:space="0" w:color="auto"/>
              <w:bottom w:val="single" w:sz="4" w:space="0" w:color="auto"/>
              <w:right w:val="single" w:sz="4" w:space="0" w:color="auto"/>
            </w:tcBorders>
            <w:noWrap/>
            <w:vAlign w:val="center"/>
            <w:hideMark/>
          </w:tcPr>
          <w:p w:rsidR="00823222" w:rsidRPr="00823222" w:rsidP="00823222" w14:paraId="63ADD038" w14:textId="77777777">
            <w:pPr>
              <w:widowControl/>
              <w:autoSpaceDE/>
              <w:autoSpaceDN/>
              <w:adjustRightInd/>
              <w:rPr>
                <w:b/>
                <w:bCs/>
                <w:color w:val="000000"/>
                <w:sz w:val="22"/>
                <w:szCs w:val="22"/>
              </w:rPr>
            </w:pPr>
            <w:r w:rsidRPr="00823222">
              <w:rPr>
                <w:b/>
                <w:bCs/>
                <w:color w:val="000000"/>
                <w:sz w:val="22"/>
                <w:szCs w:val="22"/>
              </w:rPr>
              <w:t>Total</w:t>
            </w:r>
          </w:p>
        </w:tc>
        <w:tc>
          <w:tcPr>
            <w:tcW w:w="0" w:type="auto"/>
            <w:tcBorders>
              <w:top w:val="nil"/>
              <w:left w:val="nil"/>
              <w:bottom w:val="single" w:sz="4" w:space="0" w:color="auto"/>
              <w:right w:val="single" w:sz="4" w:space="0" w:color="auto"/>
            </w:tcBorders>
            <w:noWrap/>
            <w:vAlign w:val="center"/>
            <w:hideMark/>
          </w:tcPr>
          <w:p w:rsidR="00823222" w:rsidRPr="00823222" w:rsidP="00823222" w14:paraId="1E19D11B" w14:textId="77777777">
            <w:pPr>
              <w:widowControl/>
              <w:autoSpaceDE/>
              <w:autoSpaceDN/>
              <w:adjustRightInd/>
              <w:jc w:val="center"/>
              <w:rPr>
                <w:b/>
                <w:bCs/>
                <w:color w:val="000000"/>
                <w:sz w:val="22"/>
                <w:szCs w:val="22"/>
              </w:rPr>
            </w:pPr>
            <w:r w:rsidRPr="00823222">
              <w:rPr>
                <w:b/>
                <w:bCs/>
                <w:color w:val="000000"/>
                <w:sz w:val="22"/>
                <w:szCs w:val="22"/>
              </w:rPr>
              <w:t>-</w:t>
            </w:r>
          </w:p>
        </w:tc>
        <w:tc>
          <w:tcPr>
            <w:tcW w:w="0" w:type="auto"/>
            <w:tcBorders>
              <w:top w:val="nil"/>
              <w:left w:val="nil"/>
              <w:bottom w:val="single" w:sz="4" w:space="0" w:color="auto"/>
              <w:right w:val="single" w:sz="4" w:space="0" w:color="auto"/>
            </w:tcBorders>
            <w:noWrap/>
            <w:vAlign w:val="center"/>
            <w:hideMark/>
          </w:tcPr>
          <w:p w:rsidR="00823222" w:rsidRPr="00823222" w:rsidP="00823222" w14:paraId="5F77CDB3" w14:textId="77777777">
            <w:pPr>
              <w:widowControl/>
              <w:autoSpaceDE/>
              <w:autoSpaceDN/>
              <w:adjustRightInd/>
              <w:jc w:val="center"/>
              <w:rPr>
                <w:b/>
                <w:bCs/>
                <w:color w:val="000000"/>
                <w:sz w:val="22"/>
                <w:szCs w:val="22"/>
              </w:rPr>
            </w:pPr>
            <w:r w:rsidRPr="00823222">
              <w:rPr>
                <w:b/>
                <w:bCs/>
                <w:color w:val="000000"/>
                <w:sz w:val="22"/>
                <w:szCs w:val="22"/>
              </w:rPr>
              <w:t>-</w:t>
            </w:r>
          </w:p>
        </w:tc>
        <w:tc>
          <w:tcPr>
            <w:tcW w:w="0" w:type="auto"/>
            <w:tcBorders>
              <w:top w:val="nil"/>
              <w:left w:val="nil"/>
              <w:bottom w:val="single" w:sz="4" w:space="0" w:color="auto"/>
              <w:right w:val="single" w:sz="4" w:space="0" w:color="auto"/>
            </w:tcBorders>
            <w:noWrap/>
            <w:vAlign w:val="center"/>
            <w:hideMark/>
          </w:tcPr>
          <w:p w:rsidR="00823222" w:rsidRPr="00823222" w:rsidP="00823222" w14:paraId="121B4484" w14:textId="77777777">
            <w:pPr>
              <w:widowControl/>
              <w:autoSpaceDE/>
              <w:autoSpaceDN/>
              <w:adjustRightInd/>
              <w:jc w:val="center"/>
              <w:rPr>
                <w:b/>
                <w:bCs/>
                <w:color w:val="000000"/>
                <w:sz w:val="22"/>
                <w:szCs w:val="22"/>
              </w:rPr>
            </w:pPr>
            <w:r w:rsidRPr="00823222">
              <w:rPr>
                <w:b/>
                <w:bCs/>
                <w:color w:val="000000"/>
                <w:sz w:val="22"/>
                <w:szCs w:val="22"/>
              </w:rPr>
              <w:t>14,150,500</w:t>
            </w:r>
          </w:p>
        </w:tc>
        <w:tc>
          <w:tcPr>
            <w:tcW w:w="0" w:type="auto"/>
            <w:tcBorders>
              <w:top w:val="nil"/>
              <w:left w:val="nil"/>
              <w:bottom w:val="single" w:sz="4" w:space="0" w:color="auto"/>
              <w:right w:val="single" w:sz="4" w:space="0" w:color="auto"/>
            </w:tcBorders>
            <w:noWrap/>
            <w:vAlign w:val="center"/>
            <w:hideMark/>
          </w:tcPr>
          <w:p w:rsidR="00823222" w:rsidRPr="00823222" w:rsidP="00823222" w14:paraId="3B20326D" w14:textId="77777777">
            <w:pPr>
              <w:widowControl/>
              <w:autoSpaceDE/>
              <w:autoSpaceDN/>
              <w:adjustRightInd/>
              <w:jc w:val="center"/>
              <w:rPr>
                <w:b/>
                <w:bCs/>
                <w:color w:val="000000"/>
                <w:sz w:val="22"/>
                <w:szCs w:val="22"/>
              </w:rPr>
            </w:pPr>
            <w:r w:rsidRPr="00823222">
              <w:rPr>
                <w:b/>
                <w:bCs/>
                <w:color w:val="000000"/>
                <w:sz w:val="22"/>
                <w:szCs w:val="22"/>
              </w:rPr>
              <w:t>-</w:t>
            </w:r>
          </w:p>
        </w:tc>
        <w:tc>
          <w:tcPr>
            <w:tcW w:w="0" w:type="auto"/>
            <w:tcBorders>
              <w:top w:val="nil"/>
              <w:left w:val="nil"/>
              <w:bottom w:val="single" w:sz="4" w:space="0" w:color="auto"/>
              <w:right w:val="single" w:sz="4" w:space="0" w:color="auto"/>
            </w:tcBorders>
            <w:noWrap/>
            <w:vAlign w:val="center"/>
            <w:hideMark/>
          </w:tcPr>
          <w:p w:rsidR="00823222" w:rsidRPr="00823222" w:rsidP="00823222" w14:paraId="5D3B5B75" w14:textId="77777777">
            <w:pPr>
              <w:widowControl/>
              <w:autoSpaceDE/>
              <w:autoSpaceDN/>
              <w:adjustRightInd/>
              <w:jc w:val="center"/>
              <w:rPr>
                <w:b/>
                <w:bCs/>
                <w:color w:val="000000"/>
                <w:sz w:val="22"/>
                <w:szCs w:val="22"/>
              </w:rPr>
            </w:pPr>
            <w:r w:rsidRPr="00823222">
              <w:rPr>
                <w:b/>
                <w:bCs/>
                <w:color w:val="000000"/>
                <w:sz w:val="22"/>
                <w:szCs w:val="22"/>
              </w:rPr>
              <w:t>$2,130,135,280</w:t>
            </w:r>
          </w:p>
        </w:tc>
      </w:tr>
    </w:tbl>
    <w:p w:rsidR="004B6A21" w:rsidRPr="00E259C0" w:rsidP="00F12D7B" w14:paraId="222B4CEB" w14:textId="29068795"/>
    <w:p w:rsidR="00A04738" w:rsidRPr="00E259C0" w:rsidP="00A04738" w14:paraId="1ECB133C" w14:textId="6BDA5B6D">
      <w:pPr>
        <w:ind w:left="720"/>
        <w:rPr>
          <w:b/>
          <w:i/>
          <w:u w:val="single"/>
        </w:rPr>
      </w:pPr>
      <w:r w:rsidRPr="00E259C0">
        <w:rPr>
          <w:b/>
          <w:i/>
          <w:u w:val="single"/>
        </w:rPr>
        <w:t>Request of Extension of Time Periods for Extenuating Circumstances</w:t>
      </w:r>
    </w:p>
    <w:p w:rsidR="00A04738" w:rsidRPr="00E259C0" w:rsidP="00A04738" w14:paraId="6FADAE90" w14:textId="77777777">
      <w:pPr>
        <w:ind w:left="720"/>
        <w:rPr>
          <w:iCs/>
        </w:rPr>
      </w:pPr>
    </w:p>
    <w:p w:rsidR="001438DD" w:rsidRPr="00E259C0" w:rsidP="005604B3" w14:paraId="149DE557" w14:textId="04D9A11D">
      <w:pPr>
        <w:tabs>
          <w:tab w:val="left" w:pos="720"/>
        </w:tabs>
        <w:ind w:left="720"/>
        <w:contextualSpacing/>
      </w:pPr>
      <w:r w:rsidRPr="00E259C0">
        <w:t xml:space="preserve">Under the October 2021 interim final rules the Departments may extend time periods on a case-by-case basis if the extension is necessary to address delays due to matters beyond the control of the parties or for good cause, such as due to a natural disaster that prevents certified IDR entities, providers, facilities, providers of air ambulance services, plans, or issuers from complying with an applicable time period. Under the </w:t>
      </w:r>
      <w:r w:rsidR="003F0EA0">
        <w:t>202</w:t>
      </w:r>
      <w:r w:rsidR="0028689C">
        <w:t>6</w:t>
      </w:r>
      <w:r w:rsidRPr="00E259C0" w:rsidR="001E4F8B">
        <w:t xml:space="preserve"> final rules</w:t>
      </w:r>
      <w:r w:rsidRPr="00E259C0">
        <w:t xml:space="preserve">, the Departments, or at the request of a certified IDR entity or a party, would determine whether an extension is necessary because the parties or certified IDR entity cannot meet applicable timeframes due to matters beyond the control of the certified IDR entity or one or both parties, or for other good cause. </w:t>
      </w:r>
    </w:p>
    <w:p w:rsidR="001438DD" w:rsidP="005604B3" w14:paraId="629E2C01" w14:textId="4D8D6F5D">
      <w:pPr>
        <w:tabs>
          <w:tab w:val="left" w:pos="720"/>
        </w:tabs>
        <w:ind w:left="720"/>
        <w:contextualSpacing/>
      </w:pPr>
    </w:p>
    <w:p w:rsidR="00542E36" w:rsidRPr="00542E36" w:rsidP="00542E36" w14:paraId="7B3B88DD" w14:textId="3AF848D8">
      <w:pPr>
        <w:tabs>
          <w:tab w:val="left" w:pos="720"/>
        </w:tabs>
        <w:ind w:left="720"/>
        <w:contextualSpacing/>
      </w:pPr>
      <w:r w:rsidRPr="00542E36">
        <w:t xml:space="preserve">In general, the Departments maintain the expectation that requests for extensions due to extenuating circumstances will be relatively limited, and do not expect that certified IDR entities will submit a high volume of requests for extensions, particularly since these final rules also codify the Departments’ ability to grant case-by-case extensions of their own initiative without a prior request from certified IDR entities or parties. Based on internal data, the Departments anticipate that certified IDR entities will submit approximately 20 such requests for extensions annually. </w:t>
      </w:r>
    </w:p>
    <w:p w:rsidR="00542E36" w:rsidP="00542E36" w14:paraId="4F78D7B7" w14:textId="77777777"/>
    <w:p w:rsidR="00020E7C" w:rsidRPr="00E259C0" w:rsidP="000E0C0E" w14:paraId="282F9F7F" w14:textId="75C2DBD8">
      <w:pPr>
        <w:ind w:left="720"/>
        <w:rPr>
          <w:bCs/>
        </w:rPr>
      </w:pPr>
      <w:r w:rsidRPr="00E259C0">
        <w:t xml:space="preserve">The Departments estimate that it would take </w:t>
      </w:r>
      <w:r w:rsidRPr="00E259C0" w:rsidR="0092280F">
        <w:t>a c</w:t>
      </w:r>
      <w:r w:rsidRPr="00E259C0" w:rsidR="003377D9">
        <w:t>lerical worker</w:t>
      </w:r>
      <w:r w:rsidRPr="00E259C0">
        <w:t xml:space="preserve"> approximately 15 minutes on average to prepare and submit the Request for Extension due to Extenuating Circumstances form. </w:t>
      </w:r>
      <w:r w:rsidRPr="00E259C0" w:rsidR="000E0C0E">
        <w:rPr>
          <w:bCs/>
        </w:rPr>
        <w:t xml:space="preserve">Please see Table </w:t>
      </w:r>
      <w:r w:rsidRPr="00E259C0" w:rsidR="000C5259">
        <w:rPr>
          <w:bCs/>
        </w:rPr>
        <w:t>3</w:t>
      </w:r>
      <w:r w:rsidRPr="00E259C0" w:rsidR="000E0C0E">
        <w:rPr>
          <w:bCs/>
        </w:rPr>
        <w:t xml:space="preserve"> for calculations and burden totals.</w:t>
      </w:r>
    </w:p>
    <w:p w:rsidR="00020E7C" w:rsidRPr="00E259C0" w:rsidP="00487A1E" w14:paraId="208766A2" w14:textId="1E6EBBC5">
      <w:pPr>
        <w:pStyle w:val="HeadingStyle"/>
        <w:ind w:firstLine="0"/>
        <w:rPr>
          <w:rFonts w:ascii="Times New Roman" w:hAnsi="Times New Roman" w:cs="Times New Roman"/>
          <w:b w:val="0"/>
          <w:color w:val="auto"/>
        </w:rPr>
      </w:pPr>
      <w:r w:rsidRPr="00E259C0">
        <w:rPr>
          <w:rFonts w:ascii="Times New Roman" w:hAnsi="Times New Roman" w:cs="Times New Roman"/>
          <w:color w:val="auto"/>
        </w:rPr>
        <w:t xml:space="preserve">Table </w:t>
      </w:r>
      <w:r w:rsidRPr="00E259C0" w:rsidR="000C5259">
        <w:rPr>
          <w:rFonts w:ascii="Times New Roman" w:hAnsi="Times New Roman" w:cs="Times New Roman"/>
          <w:color w:val="auto"/>
        </w:rPr>
        <w:t>3</w:t>
      </w:r>
      <w:r w:rsidRPr="00E259C0">
        <w:rPr>
          <w:rFonts w:ascii="Times New Roman" w:hAnsi="Times New Roman" w:cs="Times New Roman"/>
          <w:color w:val="auto"/>
        </w:rPr>
        <w:t>. Hour Burden of Request of Extension of Time Periods for Extenuating Circumstances</w:t>
      </w:r>
    </w:p>
    <w:p w:rsidR="007239FA" w:rsidRPr="00E259C0" w:rsidP="000E0C0E" w14:paraId="6AF211A0" w14:textId="77777777">
      <w:pPr>
        <w:ind w:left="720"/>
        <w:rPr>
          <w:b/>
          <w:bCs/>
        </w:rPr>
      </w:pPr>
    </w:p>
    <w:tbl>
      <w:tblPr>
        <w:tblW w:w="869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8"/>
        <w:gridCol w:w="999"/>
        <w:gridCol w:w="1260"/>
        <w:gridCol w:w="1080"/>
        <w:gridCol w:w="900"/>
        <w:gridCol w:w="1513"/>
      </w:tblGrid>
      <w:tr w14:paraId="1F09B19B" w14:textId="77777777" w:rsidTr="005212ED">
        <w:tblPrEx>
          <w:tblW w:w="869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50"/>
        </w:trPr>
        <w:tc>
          <w:tcPr>
            <w:tcW w:w="2938" w:type="dxa"/>
            <w:noWrap/>
            <w:vAlign w:val="center"/>
            <w:hideMark/>
          </w:tcPr>
          <w:p w:rsidR="00540944" w:rsidRPr="00E259C0" w:rsidP="00901F90" w14:paraId="61EA7139" w14:textId="77777777">
            <w:pPr>
              <w:widowControl/>
              <w:autoSpaceDE/>
              <w:autoSpaceDN/>
              <w:adjustRightInd/>
              <w:rPr>
                <w:sz w:val="22"/>
                <w:szCs w:val="22"/>
              </w:rPr>
            </w:pPr>
            <w:r w:rsidRPr="00E259C0">
              <w:rPr>
                <w:sz w:val="22"/>
                <w:szCs w:val="22"/>
              </w:rPr>
              <w:t> </w:t>
            </w:r>
          </w:p>
        </w:tc>
        <w:tc>
          <w:tcPr>
            <w:tcW w:w="999" w:type="dxa"/>
            <w:vAlign w:val="center"/>
            <w:hideMark/>
          </w:tcPr>
          <w:p w:rsidR="00540944" w:rsidRPr="00E259C0" w:rsidP="00901F90" w14:paraId="7A06828D" w14:textId="3498294E">
            <w:pPr>
              <w:widowControl/>
              <w:autoSpaceDE/>
              <w:autoSpaceDN/>
              <w:adjustRightInd/>
              <w:jc w:val="center"/>
              <w:rPr>
                <w:b/>
                <w:bCs/>
                <w:sz w:val="22"/>
                <w:szCs w:val="22"/>
              </w:rPr>
            </w:pPr>
            <w:r w:rsidRPr="00E259C0">
              <w:rPr>
                <w:b/>
                <w:bCs/>
                <w:sz w:val="22"/>
                <w:szCs w:val="22"/>
              </w:rPr>
              <w:t xml:space="preserve">Number of </w:t>
            </w:r>
            <w:r w:rsidR="00D412D1">
              <w:rPr>
                <w:b/>
                <w:bCs/>
                <w:sz w:val="22"/>
                <w:szCs w:val="22"/>
              </w:rPr>
              <w:t>Claims</w:t>
            </w:r>
          </w:p>
        </w:tc>
        <w:tc>
          <w:tcPr>
            <w:tcW w:w="1260" w:type="dxa"/>
            <w:vAlign w:val="center"/>
            <w:hideMark/>
          </w:tcPr>
          <w:p w:rsidR="00540944" w:rsidRPr="00E259C0" w:rsidP="00901F90" w14:paraId="66CB5C2C" w14:textId="4CEBE5F7">
            <w:pPr>
              <w:widowControl/>
              <w:autoSpaceDE/>
              <w:autoSpaceDN/>
              <w:adjustRightInd/>
              <w:jc w:val="center"/>
              <w:rPr>
                <w:b/>
                <w:bCs/>
                <w:sz w:val="22"/>
                <w:szCs w:val="22"/>
              </w:rPr>
            </w:pPr>
            <w:r w:rsidRPr="00E259C0">
              <w:rPr>
                <w:b/>
                <w:bCs/>
                <w:sz w:val="22"/>
                <w:szCs w:val="22"/>
              </w:rPr>
              <w:t xml:space="preserve">Number of Hours per </w:t>
            </w:r>
            <w:r w:rsidR="00D412D1">
              <w:rPr>
                <w:b/>
                <w:bCs/>
                <w:sz w:val="22"/>
                <w:szCs w:val="22"/>
              </w:rPr>
              <w:t>Claim</w:t>
            </w:r>
          </w:p>
        </w:tc>
        <w:tc>
          <w:tcPr>
            <w:tcW w:w="1080" w:type="dxa"/>
            <w:vAlign w:val="center"/>
            <w:hideMark/>
          </w:tcPr>
          <w:p w:rsidR="00540944" w:rsidRPr="00E259C0" w:rsidP="00901F90" w14:paraId="229BF50E" w14:textId="77777777">
            <w:pPr>
              <w:widowControl/>
              <w:autoSpaceDE/>
              <w:autoSpaceDN/>
              <w:adjustRightInd/>
              <w:jc w:val="center"/>
              <w:rPr>
                <w:b/>
                <w:bCs/>
                <w:sz w:val="22"/>
                <w:szCs w:val="22"/>
              </w:rPr>
            </w:pPr>
            <w:r w:rsidRPr="00E259C0">
              <w:rPr>
                <w:b/>
                <w:bCs/>
                <w:sz w:val="22"/>
                <w:szCs w:val="22"/>
              </w:rPr>
              <w:t>Total Hour Burden</w:t>
            </w:r>
          </w:p>
        </w:tc>
        <w:tc>
          <w:tcPr>
            <w:tcW w:w="900" w:type="dxa"/>
            <w:vAlign w:val="center"/>
            <w:hideMark/>
          </w:tcPr>
          <w:p w:rsidR="00540944" w:rsidRPr="00E259C0" w:rsidP="00901F90" w14:paraId="5414D13B" w14:textId="77777777">
            <w:pPr>
              <w:widowControl/>
              <w:autoSpaceDE/>
              <w:autoSpaceDN/>
              <w:adjustRightInd/>
              <w:jc w:val="center"/>
              <w:rPr>
                <w:b/>
                <w:bCs/>
                <w:sz w:val="22"/>
                <w:szCs w:val="22"/>
              </w:rPr>
            </w:pPr>
            <w:r w:rsidRPr="00E259C0">
              <w:rPr>
                <w:b/>
                <w:bCs/>
                <w:sz w:val="22"/>
                <w:szCs w:val="22"/>
              </w:rPr>
              <w:t>Wage Rate</w:t>
            </w:r>
          </w:p>
        </w:tc>
        <w:tc>
          <w:tcPr>
            <w:tcW w:w="1513" w:type="dxa"/>
            <w:vAlign w:val="center"/>
            <w:hideMark/>
          </w:tcPr>
          <w:p w:rsidR="00540944" w:rsidRPr="00E259C0" w:rsidP="00901F90" w14:paraId="3DABB8A6" w14:textId="76FAA53D">
            <w:pPr>
              <w:widowControl/>
              <w:autoSpaceDE/>
              <w:autoSpaceDN/>
              <w:adjustRightInd/>
              <w:jc w:val="center"/>
              <w:rPr>
                <w:b/>
                <w:bCs/>
                <w:sz w:val="22"/>
                <w:szCs w:val="22"/>
              </w:rPr>
            </w:pPr>
            <w:r>
              <w:rPr>
                <w:b/>
                <w:bCs/>
                <w:sz w:val="22"/>
                <w:szCs w:val="22"/>
              </w:rPr>
              <w:t>Equivalent Cost</w:t>
            </w:r>
            <w:r w:rsidRPr="00E259C0">
              <w:rPr>
                <w:b/>
                <w:bCs/>
                <w:sz w:val="22"/>
                <w:szCs w:val="22"/>
              </w:rPr>
              <w:t xml:space="preserve"> of </w:t>
            </w:r>
            <w:r>
              <w:rPr>
                <w:b/>
                <w:bCs/>
                <w:sz w:val="22"/>
                <w:szCs w:val="22"/>
              </w:rPr>
              <w:t xml:space="preserve">Hour </w:t>
            </w:r>
            <w:r w:rsidRPr="00E259C0">
              <w:rPr>
                <w:b/>
                <w:bCs/>
                <w:sz w:val="22"/>
                <w:szCs w:val="22"/>
              </w:rPr>
              <w:t>Burden</w:t>
            </w:r>
          </w:p>
        </w:tc>
      </w:tr>
      <w:tr w14:paraId="374812EB" w14:textId="77777777" w:rsidTr="005212ED">
        <w:tblPrEx>
          <w:tblW w:w="8690" w:type="dxa"/>
          <w:tblInd w:w="650" w:type="dxa"/>
          <w:tblLook w:val="04A0"/>
        </w:tblPrEx>
        <w:trPr>
          <w:trHeight w:val="300"/>
        </w:trPr>
        <w:tc>
          <w:tcPr>
            <w:tcW w:w="2938" w:type="dxa"/>
            <w:noWrap/>
            <w:vAlign w:val="center"/>
            <w:hideMark/>
          </w:tcPr>
          <w:p w:rsidR="00540944" w:rsidRPr="00E259C0" w:rsidP="00901F90" w14:paraId="51EF4CC4" w14:textId="77777777">
            <w:pPr>
              <w:widowControl/>
              <w:autoSpaceDE/>
              <w:autoSpaceDN/>
              <w:adjustRightInd/>
              <w:rPr>
                <w:sz w:val="22"/>
                <w:szCs w:val="22"/>
              </w:rPr>
            </w:pPr>
            <w:r w:rsidRPr="00E259C0">
              <w:rPr>
                <w:sz w:val="22"/>
                <w:szCs w:val="22"/>
              </w:rPr>
              <w:t> </w:t>
            </w:r>
          </w:p>
        </w:tc>
        <w:tc>
          <w:tcPr>
            <w:tcW w:w="999" w:type="dxa"/>
            <w:vAlign w:val="center"/>
            <w:hideMark/>
          </w:tcPr>
          <w:p w:rsidR="00540944" w:rsidRPr="00E259C0" w:rsidP="00901F90" w14:paraId="6460E3A7" w14:textId="77777777">
            <w:pPr>
              <w:widowControl/>
              <w:autoSpaceDE/>
              <w:autoSpaceDN/>
              <w:adjustRightInd/>
              <w:jc w:val="center"/>
              <w:rPr>
                <w:b/>
                <w:bCs/>
                <w:sz w:val="22"/>
                <w:szCs w:val="22"/>
              </w:rPr>
            </w:pPr>
            <w:r w:rsidRPr="00E259C0">
              <w:rPr>
                <w:b/>
                <w:bCs/>
                <w:sz w:val="22"/>
                <w:szCs w:val="22"/>
              </w:rPr>
              <w:t>(A)</w:t>
            </w:r>
          </w:p>
        </w:tc>
        <w:tc>
          <w:tcPr>
            <w:tcW w:w="1260" w:type="dxa"/>
            <w:vAlign w:val="center"/>
            <w:hideMark/>
          </w:tcPr>
          <w:p w:rsidR="00540944" w:rsidRPr="00E259C0" w:rsidP="00901F90" w14:paraId="740A5F72" w14:textId="77777777">
            <w:pPr>
              <w:widowControl/>
              <w:autoSpaceDE/>
              <w:autoSpaceDN/>
              <w:adjustRightInd/>
              <w:jc w:val="center"/>
              <w:rPr>
                <w:b/>
                <w:bCs/>
                <w:sz w:val="22"/>
                <w:szCs w:val="22"/>
              </w:rPr>
            </w:pPr>
            <w:r w:rsidRPr="00E259C0">
              <w:rPr>
                <w:b/>
                <w:bCs/>
                <w:sz w:val="22"/>
                <w:szCs w:val="22"/>
              </w:rPr>
              <w:t>(B)</w:t>
            </w:r>
          </w:p>
        </w:tc>
        <w:tc>
          <w:tcPr>
            <w:tcW w:w="1080" w:type="dxa"/>
            <w:vAlign w:val="center"/>
            <w:hideMark/>
          </w:tcPr>
          <w:p w:rsidR="00540944" w:rsidRPr="00E259C0" w:rsidP="00901F90" w14:paraId="4CFC9A30" w14:textId="376ACED4">
            <w:pPr>
              <w:widowControl/>
              <w:autoSpaceDE/>
              <w:autoSpaceDN/>
              <w:adjustRightInd/>
              <w:jc w:val="center"/>
              <w:rPr>
                <w:b/>
                <w:bCs/>
                <w:sz w:val="22"/>
                <w:szCs w:val="22"/>
              </w:rPr>
            </w:pPr>
            <w:r w:rsidRPr="00E259C0">
              <w:rPr>
                <w:b/>
                <w:bCs/>
                <w:sz w:val="22"/>
                <w:szCs w:val="22"/>
              </w:rPr>
              <w:t xml:space="preserve">(A </w:t>
            </w:r>
            <w:r w:rsidR="00125929">
              <w:rPr>
                <w:b/>
                <w:bCs/>
                <w:color w:val="000000"/>
              </w:rPr>
              <w:t>×</w:t>
            </w:r>
            <w:r w:rsidRPr="00E259C0">
              <w:rPr>
                <w:b/>
                <w:bCs/>
                <w:sz w:val="22"/>
                <w:szCs w:val="22"/>
              </w:rPr>
              <w:t xml:space="preserve"> B)</w:t>
            </w:r>
          </w:p>
        </w:tc>
        <w:tc>
          <w:tcPr>
            <w:tcW w:w="900" w:type="dxa"/>
            <w:vAlign w:val="center"/>
            <w:hideMark/>
          </w:tcPr>
          <w:p w:rsidR="00540944" w:rsidRPr="00E259C0" w:rsidP="00901F90" w14:paraId="11B4145C" w14:textId="77777777">
            <w:pPr>
              <w:widowControl/>
              <w:autoSpaceDE/>
              <w:autoSpaceDN/>
              <w:adjustRightInd/>
              <w:jc w:val="center"/>
              <w:rPr>
                <w:b/>
                <w:bCs/>
                <w:sz w:val="22"/>
                <w:szCs w:val="22"/>
              </w:rPr>
            </w:pPr>
            <w:r w:rsidRPr="00E259C0">
              <w:rPr>
                <w:b/>
                <w:bCs/>
                <w:sz w:val="22"/>
                <w:szCs w:val="22"/>
              </w:rPr>
              <w:t>(C)</w:t>
            </w:r>
          </w:p>
        </w:tc>
        <w:tc>
          <w:tcPr>
            <w:tcW w:w="1513" w:type="dxa"/>
            <w:vAlign w:val="center"/>
            <w:hideMark/>
          </w:tcPr>
          <w:p w:rsidR="00540944" w:rsidRPr="00E259C0" w:rsidP="00901F90" w14:paraId="447DB6A2" w14:textId="6B8E0649">
            <w:pPr>
              <w:widowControl/>
              <w:autoSpaceDE/>
              <w:autoSpaceDN/>
              <w:adjustRightInd/>
              <w:jc w:val="center"/>
              <w:rPr>
                <w:b/>
                <w:bCs/>
                <w:sz w:val="22"/>
                <w:szCs w:val="22"/>
              </w:rPr>
            </w:pPr>
            <w:r w:rsidRPr="00E259C0">
              <w:rPr>
                <w:b/>
                <w:bCs/>
                <w:sz w:val="22"/>
                <w:szCs w:val="22"/>
              </w:rPr>
              <w:t xml:space="preserve">(A </w:t>
            </w:r>
            <w:r w:rsidR="00125929">
              <w:rPr>
                <w:b/>
                <w:bCs/>
                <w:color w:val="000000"/>
              </w:rPr>
              <w:t>×</w:t>
            </w:r>
            <w:r w:rsidRPr="00E259C0">
              <w:rPr>
                <w:b/>
                <w:bCs/>
                <w:sz w:val="22"/>
                <w:szCs w:val="22"/>
              </w:rPr>
              <w:t xml:space="preserve"> B </w:t>
            </w:r>
            <w:r w:rsidR="00125929">
              <w:rPr>
                <w:b/>
                <w:bCs/>
                <w:color w:val="000000"/>
              </w:rPr>
              <w:t>×</w:t>
            </w:r>
            <w:r w:rsidRPr="00E259C0">
              <w:rPr>
                <w:b/>
                <w:bCs/>
                <w:sz w:val="22"/>
                <w:szCs w:val="22"/>
              </w:rPr>
              <w:t xml:space="preserve"> C)</w:t>
            </w:r>
          </w:p>
        </w:tc>
      </w:tr>
      <w:tr w14:paraId="24630371" w14:textId="77777777" w:rsidTr="00775D3F">
        <w:tblPrEx>
          <w:tblW w:w="8690" w:type="dxa"/>
          <w:tblInd w:w="650" w:type="dxa"/>
          <w:tblLook w:val="04A0"/>
        </w:tblPrEx>
        <w:trPr>
          <w:trHeight w:val="502"/>
        </w:trPr>
        <w:tc>
          <w:tcPr>
            <w:tcW w:w="2938" w:type="dxa"/>
            <w:vAlign w:val="center"/>
            <w:hideMark/>
          </w:tcPr>
          <w:p w:rsidR="008E78FF" w:rsidRPr="00E259C0" w:rsidP="008E78FF" w14:paraId="630AA3E6" w14:textId="77777777">
            <w:pPr>
              <w:widowControl/>
              <w:autoSpaceDE/>
              <w:autoSpaceDN/>
              <w:adjustRightInd/>
              <w:rPr>
                <w:sz w:val="22"/>
                <w:szCs w:val="22"/>
              </w:rPr>
            </w:pPr>
            <w:r w:rsidRPr="00E259C0">
              <w:rPr>
                <w:sz w:val="22"/>
                <w:szCs w:val="22"/>
              </w:rPr>
              <w:t>Clerical workers prepare notice for request of extension</w:t>
            </w:r>
          </w:p>
        </w:tc>
        <w:tc>
          <w:tcPr>
            <w:tcW w:w="999" w:type="dxa"/>
            <w:tcBorders>
              <w:top w:val="single" w:sz="4" w:space="0" w:color="auto"/>
              <w:left w:val="single" w:sz="4" w:space="0" w:color="auto"/>
              <w:bottom w:val="double" w:sz="6" w:space="0" w:color="auto"/>
              <w:right w:val="single" w:sz="4" w:space="0" w:color="auto"/>
            </w:tcBorders>
            <w:noWrap/>
            <w:vAlign w:val="center"/>
            <w:hideMark/>
          </w:tcPr>
          <w:p w:rsidR="008E78FF" w:rsidRPr="00E259C0" w:rsidP="008E78FF" w14:paraId="2A3EA94A" w14:textId="1ECCBF28">
            <w:pPr>
              <w:widowControl/>
              <w:autoSpaceDE/>
              <w:autoSpaceDN/>
              <w:adjustRightInd/>
              <w:jc w:val="center"/>
              <w:rPr>
                <w:sz w:val="22"/>
                <w:szCs w:val="22"/>
              </w:rPr>
            </w:pPr>
            <w:r>
              <w:rPr>
                <w:color w:val="000000"/>
                <w:sz w:val="22"/>
                <w:szCs w:val="22"/>
              </w:rPr>
              <w:t>20</w:t>
            </w:r>
          </w:p>
        </w:tc>
        <w:tc>
          <w:tcPr>
            <w:tcW w:w="1260" w:type="dxa"/>
            <w:tcBorders>
              <w:top w:val="single" w:sz="4" w:space="0" w:color="auto"/>
              <w:left w:val="nil"/>
              <w:bottom w:val="double" w:sz="6" w:space="0" w:color="auto"/>
              <w:right w:val="single" w:sz="4" w:space="0" w:color="auto"/>
            </w:tcBorders>
            <w:noWrap/>
            <w:vAlign w:val="center"/>
            <w:hideMark/>
          </w:tcPr>
          <w:p w:rsidR="008E78FF" w:rsidRPr="00E259C0" w:rsidP="008E78FF" w14:paraId="40F14397" w14:textId="1383D74F">
            <w:pPr>
              <w:widowControl/>
              <w:autoSpaceDE/>
              <w:autoSpaceDN/>
              <w:adjustRightInd/>
              <w:jc w:val="center"/>
              <w:rPr>
                <w:sz w:val="22"/>
                <w:szCs w:val="22"/>
              </w:rPr>
            </w:pPr>
            <w:r>
              <w:rPr>
                <w:color w:val="000000"/>
                <w:sz w:val="22"/>
                <w:szCs w:val="22"/>
              </w:rPr>
              <w:t>0.25</w:t>
            </w:r>
          </w:p>
        </w:tc>
        <w:tc>
          <w:tcPr>
            <w:tcW w:w="1080" w:type="dxa"/>
            <w:tcBorders>
              <w:top w:val="single" w:sz="4" w:space="0" w:color="auto"/>
              <w:left w:val="nil"/>
              <w:bottom w:val="double" w:sz="6" w:space="0" w:color="auto"/>
              <w:right w:val="single" w:sz="4" w:space="0" w:color="auto"/>
            </w:tcBorders>
            <w:noWrap/>
            <w:vAlign w:val="center"/>
            <w:hideMark/>
          </w:tcPr>
          <w:p w:rsidR="008E78FF" w:rsidRPr="00E259C0" w:rsidP="008E78FF" w14:paraId="02BACB2E" w14:textId="2CAC5380">
            <w:pPr>
              <w:widowControl/>
              <w:autoSpaceDE/>
              <w:autoSpaceDN/>
              <w:adjustRightInd/>
              <w:jc w:val="center"/>
              <w:rPr>
                <w:sz w:val="22"/>
                <w:szCs w:val="22"/>
              </w:rPr>
            </w:pPr>
            <w:r>
              <w:rPr>
                <w:color w:val="000000"/>
                <w:sz w:val="22"/>
                <w:szCs w:val="22"/>
              </w:rPr>
              <w:t>5</w:t>
            </w:r>
          </w:p>
        </w:tc>
        <w:tc>
          <w:tcPr>
            <w:tcW w:w="900" w:type="dxa"/>
            <w:tcBorders>
              <w:top w:val="single" w:sz="4" w:space="0" w:color="auto"/>
              <w:left w:val="nil"/>
              <w:bottom w:val="double" w:sz="6" w:space="0" w:color="auto"/>
              <w:right w:val="single" w:sz="4" w:space="0" w:color="auto"/>
            </w:tcBorders>
            <w:noWrap/>
            <w:vAlign w:val="center"/>
            <w:hideMark/>
          </w:tcPr>
          <w:p w:rsidR="008E78FF" w:rsidRPr="00E259C0" w:rsidP="008E78FF" w14:paraId="53115696" w14:textId="6BC3E4DA">
            <w:pPr>
              <w:widowControl/>
              <w:autoSpaceDE/>
              <w:autoSpaceDN/>
              <w:adjustRightInd/>
              <w:jc w:val="center"/>
              <w:rPr>
                <w:sz w:val="22"/>
                <w:szCs w:val="22"/>
              </w:rPr>
            </w:pPr>
            <w:r>
              <w:rPr>
                <w:color w:val="000000"/>
                <w:sz w:val="22"/>
                <w:szCs w:val="22"/>
              </w:rPr>
              <w:t>$72.82</w:t>
            </w:r>
          </w:p>
        </w:tc>
        <w:tc>
          <w:tcPr>
            <w:tcW w:w="1513" w:type="dxa"/>
            <w:tcBorders>
              <w:top w:val="single" w:sz="4" w:space="0" w:color="auto"/>
              <w:left w:val="nil"/>
              <w:bottom w:val="double" w:sz="6" w:space="0" w:color="auto"/>
              <w:right w:val="single" w:sz="4" w:space="0" w:color="auto"/>
            </w:tcBorders>
            <w:noWrap/>
            <w:vAlign w:val="center"/>
            <w:hideMark/>
          </w:tcPr>
          <w:p w:rsidR="008E78FF" w:rsidRPr="00E259C0" w:rsidP="008E78FF" w14:paraId="5B339F25" w14:textId="164EEACF">
            <w:pPr>
              <w:widowControl/>
              <w:autoSpaceDE/>
              <w:autoSpaceDN/>
              <w:adjustRightInd/>
              <w:jc w:val="center"/>
              <w:rPr>
                <w:sz w:val="22"/>
                <w:szCs w:val="22"/>
              </w:rPr>
            </w:pPr>
            <w:r>
              <w:rPr>
                <w:color w:val="000000"/>
                <w:sz w:val="22"/>
                <w:szCs w:val="22"/>
              </w:rPr>
              <w:t>$364</w:t>
            </w:r>
          </w:p>
        </w:tc>
      </w:tr>
      <w:tr w14:paraId="2037A09E" w14:textId="77777777" w:rsidTr="00775D3F">
        <w:tblPrEx>
          <w:tblW w:w="8690" w:type="dxa"/>
          <w:tblInd w:w="650" w:type="dxa"/>
          <w:tblLook w:val="04A0"/>
        </w:tblPrEx>
        <w:trPr>
          <w:trHeight w:val="300"/>
        </w:trPr>
        <w:tc>
          <w:tcPr>
            <w:tcW w:w="2938" w:type="dxa"/>
            <w:noWrap/>
            <w:vAlign w:val="center"/>
            <w:hideMark/>
          </w:tcPr>
          <w:p w:rsidR="008E78FF" w:rsidRPr="00E259C0" w:rsidP="008E78FF" w14:paraId="0587D10F" w14:textId="77777777">
            <w:pPr>
              <w:widowControl/>
              <w:autoSpaceDE/>
              <w:autoSpaceDN/>
              <w:adjustRightInd/>
              <w:rPr>
                <w:b/>
                <w:bCs/>
                <w:sz w:val="22"/>
                <w:szCs w:val="22"/>
              </w:rPr>
            </w:pPr>
            <w:r w:rsidRPr="00E259C0">
              <w:rPr>
                <w:b/>
                <w:bCs/>
                <w:sz w:val="22"/>
                <w:szCs w:val="22"/>
              </w:rPr>
              <w:t>Total</w:t>
            </w:r>
          </w:p>
        </w:tc>
        <w:tc>
          <w:tcPr>
            <w:tcW w:w="999" w:type="dxa"/>
            <w:tcBorders>
              <w:top w:val="nil"/>
              <w:left w:val="single" w:sz="4" w:space="0" w:color="auto"/>
              <w:bottom w:val="single" w:sz="4" w:space="0" w:color="auto"/>
              <w:right w:val="single" w:sz="4" w:space="0" w:color="auto"/>
            </w:tcBorders>
            <w:noWrap/>
            <w:vAlign w:val="center"/>
            <w:hideMark/>
          </w:tcPr>
          <w:p w:rsidR="008E78FF" w:rsidRPr="00E259C0" w:rsidP="008E78FF" w14:paraId="466BD91B" w14:textId="573DCBEB">
            <w:pPr>
              <w:widowControl/>
              <w:autoSpaceDE/>
              <w:autoSpaceDN/>
              <w:adjustRightInd/>
              <w:jc w:val="center"/>
              <w:rPr>
                <w:b/>
                <w:bCs/>
                <w:sz w:val="22"/>
                <w:szCs w:val="22"/>
              </w:rPr>
            </w:pPr>
            <w:r>
              <w:rPr>
                <w:b/>
                <w:bCs/>
                <w:color w:val="000000"/>
                <w:sz w:val="22"/>
                <w:szCs w:val="22"/>
              </w:rPr>
              <w:t>20</w:t>
            </w:r>
          </w:p>
        </w:tc>
        <w:tc>
          <w:tcPr>
            <w:tcW w:w="1260" w:type="dxa"/>
            <w:tcBorders>
              <w:top w:val="nil"/>
              <w:left w:val="nil"/>
              <w:bottom w:val="single" w:sz="4" w:space="0" w:color="auto"/>
              <w:right w:val="single" w:sz="4" w:space="0" w:color="auto"/>
            </w:tcBorders>
            <w:noWrap/>
            <w:vAlign w:val="center"/>
            <w:hideMark/>
          </w:tcPr>
          <w:p w:rsidR="008E78FF" w:rsidRPr="00E259C0" w:rsidP="008E78FF" w14:paraId="3274C48A" w14:textId="34D8923C">
            <w:pPr>
              <w:widowControl/>
              <w:autoSpaceDE/>
              <w:autoSpaceDN/>
              <w:adjustRightInd/>
              <w:jc w:val="center"/>
              <w:rPr>
                <w:b/>
                <w:bCs/>
                <w:sz w:val="22"/>
                <w:szCs w:val="22"/>
              </w:rPr>
            </w:pPr>
            <w:r>
              <w:rPr>
                <w:b/>
                <w:bCs/>
                <w:color w:val="000000"/>
                <w:sz w:val="22"/>
                <w:szCs w:val="22"/>
              </w:rPr>
              <w:t>-</w:t>
            </w:r>
          </w:p>
        </w:tc>
        <w:tc>
          <w:tcPr>
            <w:tcW w:w="1080" w:type="dxa"/>
            <w:tcBorders>
              <w:top w:val="nil"/>
              <w:left w:val="nil"/>
              <w:bottom w:val="single" w:sz="4" w:space="0" w:color="auto"/>
              <w:right w:val="single" w:sz="4" w:space="0" w:color="auto"/>
            </w:tcBorders>
            <w:noWrap/>
            <w:vAlign w:val="center"/>
            <w:hideMark/>
          </w:tcPr>
          <w:p w:rsidR="008E78FF" w:rsidRPr="00B9771D" w:rsidP="008E78FF" w14:paraId="44A4B2E8" w14:textId="7D3819E3">
            <w:pPr>
              <w:widowControl/>
              <w:autoSpaceDE/>
              <w:autoSpaceDN/>
              <w:adjustRightInd/>
              <w:jc w:val="center"/>
              <w:rPr>
                <w:b/>
                <w:bCs/>
                <w:sz w:val="22"/>
                <w:szCs w:val="22"/>
              </w:rPr>
            </w:pPr>
            <w:r>
              <w:rPr>
                <w:b/>
                <w:bCs/>
                <w:color w:val="000000"/>
                <w:sz w:val="22"/>
                <w:szCs w:val="22"/>
              </w:rPr>
              <w:t>5</w:t>
            </w:r>
          </w:p>
        </w:tc>
        <w:tc>
          <w:tcPr>
            <w:tcW w:w="900" w:type="dxa"/>
            <w:tcBorders>
              <w:top w:val="nil"/>
              <w:left w:val="nil"/>
              <w:bottom w:val="single" w:sz="4" w:space="0" w:color="auto"/>
              <w:right w:val="single" w:sz="4" w:space="0" w:color="auto"/>
            </w:tcBorders>
            <w:noWrap/>
            <w:vAlign w:val="center"/>
            <w:hideMark/>
          </w:tcPr>
          <w:p w:rsidR="008E78FF" w:rsidRPr="00E259C0" w:rsidP="008E78FF" w14:paraId="7D7040C6" w14:textId="57D50C8F">
            <w:pPr>
              <w:widowControl/>
              <w:autoSpaceDE/>
              <w:autoSpaceDN/>
              <w:adjustRightInd/>
              <w:jc w:val="center"/>
              <w:rPr>
                <w:b/>
                <w:bCs/>
                <w:sz w:val="22"/>
                <w:szCs w:val="22"/>
              </w:rPr>
            </w:pPr>
            <w:r>
              <w:rPr>
                <w:b/>
                <w:bCs/>
                <w:color w:val="000000"/>
                <w:sz w:val="22"/>
                <w:szCs w:val="22"/>
              </w:rPr>
              <w:t>-</w:t>
            </w:r>
          </w:p>
        </w:tc>
        <w:tc>
          <w:tcPr>
            <w:tcW w:w="1513" w:type="dxa"/>
            <w:tcBorders>
              <w:top w:val="nil"/>
              <w:left w:val="nil"/>
              <w:bottom w:val="single" w:sz="4" w:space="0" w:color="auto"/>
              <w:right w:val="single" w:sz="4" w:space="0" w:color="auto"/>
            </w:tcBorders>
            <w:noWrap/>
            <w:vAlign w:val="center"/>
            <w:hideMark/>
          </w:tcPr>
          <w:p w:rsidR="008E78FF" w:rsidRPr="00E259C0" w:rsidP="008E78FF" w14:paraId="5671EB9B" w14:textId="40B5D4C8">
            <w:pPr>
              <w:widowControl/>
              <w:autoSpaceDE/>
              <w:autoSpaceDN/>
              <w:adjustRightInd/>
              <w:jc w:val="center"/>
              <w:rPr>
                <w:b/>
                <w:bCs/>
                <w:sz w:val="22"/>
                <w:szCs w:val="22"/>
              </w:rPr>
            </w:pPr>
            <w:r>
              <w:rPr>
                <w:b/>
                <w:bCs/>
                <w:color w:val="000000"/>
                <w:sz w:val="22"/>
                <w:szCs w:val="22"/>
              </w:rPr>
              <w:t>$364</w:t>
            </w:r>
          </w:p>
        </w:tc>
      </w:tr>
    </w:tbl>
    <w:p w:rsidR="00CC7212" w:rsidRPr="00E259C0" w:rsidP="00CC7212" w14:paraId="70B76B38" w14:textId="77777777">
      <w:pPr>
        <w:rPr>
          <w:b/>
          <w:bCs/>
          <w:i/>
          <w:iCs/>
          <w:u w:val="single"/>
        </w:rPr>
      </w:pPr>
    </w:p>
    <w:p w:rsidR="00A62B60" w:rsidRPr="00E259C0" w:rsidP="00A62B60" w14:paraId="2ACAD1AC" w14:textId="23090C1C">
      <w:pPr>
        <w:ind w:left="720"/>
        <w:rPr>
          <w:b/>
          <w:bCs/>
          <w:i/>
          <w:iCs/>
          <w:u w:val="single"/>
        </w:rPr>
      </w:pPr>
      <w:r w:rsidRPr="00E259C0">
        <w:rPr>
          <w:b/>
          <w:bCs/>
          <w:i/>
          <w:iCs/>
          <w:u w:val="single"/>
        </w:rPr>
        <w:t xml:space="preserve">ICRs Regarding Registration of Group Health Plans and Health Insurance Issuers </w:t>
      </w:r>
    </w:p>
    <w:p w:rsidR="00A62B60" w:rsidRPr="00E259C0" w:rsidP="00A62B60" w14:paraId="41DA7738" w14:textId="77777777">
      <w:pPr>
        <w:ind w:left="720"/>
        <w:rPr>
          <w:u w:val="single"/>
        </w:rPr>
      </w:pPr>
    </w:p>
    <w:p w:rsidR="00A62B60" w:rsidRPr="003F2D3E" w:rsidP="003F2D3E" w14:paraId="618CC44B" w14:textId="1FE2694B">
      <w:pPr>
        <w:ind w:left="720"/>
      </w:pPr>
      <w:r w:rsidRPr="00B55DEF">
        <w:t>The</w:t>
      </w:r>
      <w:r w:rsidR="002C7194">
        <w:t xml:space="preserve"> 2026</w:t>
      </w:r>
      <w:r w:rsidRPr="00B55DEF">
        <w:t xml:space="preserve"> final rules require plans and issuers that are subject to the Federal IDR process to register and submit certain information to the Departments.</w:t>
      </w:r>
      <w:r w:rsidR="003F2D3E">
        <w:t xml:space="preserve"> </w:t>
      </w:r>
      <w:r w:rsidRPr="00E259C0">
        <w:t xml:space="preserve">The Departments assume that TPAs would provide this information on behalf of </w:t>
      </w:r>
      <w:r w:rsidR="00E8410F">
        <w:t xml:space="preserve">most </w:t>
      </w:r>
      <w:r w:rsidRPr="00E259C0">
        <w:t xml:space="preserve">self-insured plans. The Departments estimate that for each issuer and TPA, an administrative assistant would spend </w:t>
      </w:r>
      <w:r w:rsidR="00A8074F">
        <w:t>7.5</w:t>
      </w:r>
      <w:r w:rsidRPr="00E259C0" w:rsidR="00A8074F">
        <w:t xml:space="preserve"> </w:t>
      </w:r>
      <w:r w:rsidRPr="00E259C0">
        <w:t>hour</w:t>
      </w:r>
      <w:r w:rsidRPr="00E259C0" w:rsidR="00796107">
        <w:t>s</w:t>
      </w:r>
      <w:r w:rsidRPr="00E259C0">
        <w:t xml:space="preserve">, a compensation and benefits manager would spend </w:t>
      </w:r>
      <w:r w:rsidRPr="00E259C0" w:rsidR="00796107">
        <w:t xml:space="preserve">2 </w:t>
      </w:r>
      <w:r w:rsidRPr="00E259C0" w:rsidR="000B68C9">
        <w:t>hours</w:t>
      </w:r>
      <w:r w:rsidRPr="00E259C0">
        <w:t xml:space="preserve"> (at an hourly rate</w:t>
      </w:r>
      <w:r w:rsidRPr="00E259C0" w:rsidR="000B371C">
        <w:t xml:space="preserve">, </w:t>
      </w:r>
      <w:r w:rsidRPr="00E259C0" w:rsidR="00796107">
        <w:t xml:space="preserve">and a </w:t>
      </w:r>
      <w:r w:rsidRPr="00E259C0" w:rsidR="000B68C9">
        <w:t xml:space="preserve">lawyer 2 hours </w:t>
      </w:r>
      <w:r w:rsidRPr="00E259C0">
        <w:t xml:space="preserve">to prepare the registration and provide the necessary information. The estimated total burden for each issuer or TPA would be </w:t>
      </w:r>
      <w:r w:rsidR="00A8074F">
        <w:t>11.5</w:t>
      </w:r>
      <w:r w:rsidRPr="00E259C0">
        <w:t xml:space="preserve"> hours</w:t>
      </w:r>
      <w:r w:rsidRPr="00E259C0" w:rsidR="000E0C0E">
        <w:t>.</w:t>
      </w:r>
      <w:r w:rsidR="00263C28">
        <w:t xml:space="preserve"> </w:t>
      </w:r>
      <w:r w:rsidRPr="00E259C0" w:rsidR="000E0C0E">
        <w:rPr>
          <w:bCs/>
        </w:rPr>
        <w:t xml:space="preserve">Please see Table </w:t>
      </w:r>
      <w:r w:rsidRPr="00E259C0" w:rsidR="000C5259">
        <w:rPr>
          <w:bCs/>
        </w:rPr>
        <w:t>4</w:t>
      </w:r>
      <w:r w:rsidRPr="00E259C0" w:rsidR="000E0C0E">
        <w:rPr>
          <w:bCs/>
        </w:rPr>
        <w:t xml:space="preserve"> for calculations and burden totals.</w:t>
      </w:r>
    </w:p>
    <w:p w:rsidR="00A62B60" w:rsidRPr="00E259C0" w:rsidP="00A62B60" w14:paraId="70536A8D" w14:textId="77777777">
      <w:pPr>
        <w:ind w:left="720"/>
      </w:pPr>
    </w:p>
    <w:p w:rsidR="00FC008F" w:rsidRPr="00D40208" w:rsidP="00D40208" w14:paraId="672B0031" w14:textId="310A27DE">
      <w:pPr>
        <w:ind w:left="720"/>
      </w:pPr>
      <w:r w:rsidRPr="00D40208">
        <w:t>The regulation will also require that plans update the information associated with their registration no later than 30 days after such information changes or at least annually.</w:t>
      </w:r>
      <w:r>
        <w:t xml:space="preserve"> </w:t>
      </w:r>
      <w:r w:rsidRPr="00E259C0" w:rsidR="00A62B60">
        <w:t>The Departments estimate that for each issuer and TPA, an administrative assistant would spend 30 minutes, and a compensation and benefits manager would spend 15 minutes</w:t>
      </w:r>
      <w:r w:rsidRPr="00E259C0" w:rsidR="00DE208B">
        <w:t xml:space="preserve"> </w:t>
      </w:r>
      <w:r w:rsidRPr="00E259C0" w:rsidR="00A62B60">
        <w:t>to</w:t>
      </w:r>
      <w:r w:rsidR="003F2D3E">
        <w:t xml:space="preserve"> </w:t>
      </w:r>
      <w:r w:rsidRPr="00E259C0" w:rsidR="00A62B60">
        <w:t>update information in a timely way when such information changes</w:t>
      </w:r>
      <w:r w:rsidRPr="00E259C0" w:rsidR="00DE208B">
        <w:t xml:space="preserve">. </w:t>
      </w:r>
      <w:r w:rsidRPr="00E259C0" w:rsidR="00BA74C6">
        <w:rPr>
          <w:bCs/>
        </w:rPr>
        <w:t xml:space="preserve">Please see Table </w:t>
      </w:r>
      <w:r w:rsidRPr="00E259C0" w:rsidR="00BF2306">
        <w:rPr>
          <w:bCs/>
        </w:rPr>
        <w:t>4</w:t>
      </w:r>
      <w:r w:rsidRPr="00E259C0" w:rsidR="00BA74C6">
        <w:rPr>
          <w:bCs/>
        </w:rPr>
        <w:t xml:space="preserve"> for calculations and burden totals.</w:t>
      </w:r>
    </w:p>
    <w:p w:rsidR="002470EC" w:rsidRPr="00E259C0" w:rsidP="00487A1E" w14:paraId="5D76C577" w14:textId="7E60679A">
      <w:pPr>
        <w:pStyle w:val="HeadingStyle"/>
        <w:ind w:firstLine="0"/>
        <w:rPr>
          <w:rFonts w:ascii="Times New Roman" w:hAnsi="Times New Roman" w:cs="Times New Roman"/>
          <w:b w:val="0"/>
          <w:bCs w:val="0"/>
          <w:color w:val="auto"/>
        </w:rPr>
      </w:pPr>
      <w:r w:rsidRPr="00E259C0">
        <w:rPr>
          <w:rFonts w:ascii="Times New Roman" w:hAnsi="Times New Roman" w:cs="Times New Roman"/>
          <w:color w:val="auto"/>
        </w:rPr>
        <w:t xml:space="preserve">Table </w:t>
      </w:r>
      <w:r w:rsidRPr="00E259C0" w:rsidR="00BF2306">
        <w:rPr>
          <w:rFonts w:ascii="Times New Roman" w:hAnsi="Times New Roman" w:cs="Times New Roman"/>
          <w:color w:val="auto"/>
        </w:rPr>
        <w:t>4</w:t>
      </w:r>
      <w:r w:rsidRPr="00E259C0">
        <w:rPr>
          <w:rFonts w:ascii="Times New Roman" w:hAnsi="Times New Roman" w:cs="Times New Roman"/>
          <w:color w:val="auto"/>
        </w:rPr>
        <w:t>. Hour Burden of Registration of Group Health Plans and Health Insurance Issuers</w:t>
      </w:r>
    </w:p>
    <w:p w:rsidR="002470EC" w:rsidRPr="00E259C0" w:rsidP="00A62B60" w14:paraId="520152A8" w14:textId="77777777">
      <w:pPr>
        <w:ind w:left="720"/>
      </w:pPr>
    </w:p>
    <w:tbl>
      <w:tblPr>
        <w:tblW w:w="0" w:type="auto"/>
        <w:tblLook w:val="04A0"/>
      </w:tblPr>
      <w:tblGrid>
        <w:gridCol w:w="3765"/>
        <w:gridCol w:w="1076"/>
        <w:gridCol w:w="1144"/>
        <w:gridCol w:w="1011"/>
        <w:gridCol w:w="955"/>
        <w:gridCol w:w="1399"/>
      </w:tblGrid>
      <w:tr w14:paraId="1C23FC2C" w14:textId="77777777" w:rsidTr="00C95AAF">
        <w:tblPrEx>
          <w:tblW w:w="0" w:type="auto"/>
          <w:tblLook w:val="04A0"/>
        </w:tblPrEx>
        <w:trPr>
          <w:trHeight w:val="560"/>
        </w:trPr>
        <w:tc>
          <w:tcPr>
            <w:tcW w:w="0" w:type="auto"/>
            <w:tcBorders>
              <w:top w:val="single" w:sz="4" w:space="0" w:color="auto"/>
              <w:left w:val="single" w:sz="4" w:space="0" w:color="auto"/>
              <w:bottom w:val="single" w:sz="4" w:space="0" w:color="auto"/>
              <w:right w:val="single" w:sz="4" w:space="0" w:color="auto"/>
            </w:tcBorders>
            <w:noWrap/>
            <w:vAlign w:val="center"/>
            <w:hideMark/>
          </w:tcPr>
          <w:p w:rsidR="00C95AAF" w:rsidRPr="00C95AAF" w:rsidP="00C95AAF" w14:paraId="45AF2113" w14:textId="77777777">
            <w:pPr>
              <w:widowControl/>
              <w:autoSpaceDE/>
              <w:autoSpaceDN/>
              <w:adjustRightInd/>
              <w:rPr>
                <w:color w:val="000000"/>
                <w:sz w:val="22"/>
                <w:szCs w:val="22"/>
              </w:rPr>
            </w:pPr>
            <w:r w:rsidRPr="00C95AAF">
              <w:rPr>
                <w:color w:val="000000"/>
                <w:sz w:val="22"/>
                <w:szCs w:val="22"/>
              </w:rPr>
              <w:t> </w:t>
            </w:r>
          </w:p>
        </w:tc>
        <w:tc>
          <w:tcPr>
            <w:tcW w:w="0" w:type="auto"/>
            <w:tcBorders>
              <w:top w:val="single" w:sz="4" w:space="0" w:color="auto"/>
              <w:left w:val="nil"/>
              <w:bottom w:val="single" w:sz="4" w:space="0" w:color="auto"/>
              <w:right w:val="single" w:sz="4" w:space="0" w:color="auto"/>
            </w:tcBorders>
            <w:vAlign w:val="center"/>
            <w:hideMark/>
          </w:tcPr>
          <w:p w:rsidR="00C95AAF" w:rsidRPr="00C95AAF" w:rsidP="00C95AAF" w14:paraId="6A949DE8" w14:textId="77777777">
            <w:pPr>
              <w:widowControl/>
              <w:autoSpaceDE/>
              <w:autoSpaceDN/>
              <w:adjustRightInd/>
              <w:jc w:val="center"/>
              <w:rPr>
                <w:b/>
                <w:bCs/>
                <w:color w:val="000000"/>
                <w:sz w:val="22"/>
                <w:szCs w:val="22"/>
              </w:rPr>
            </w:pPr>
            <w:r w:rsidRPr="00C95AAF">
              <w:rPr>
                <w:b/>
                <w:bCs/>
                <w:color w:val="000000"/>
                <w:sz w:val="22"/>
                <w:szCs w:val="22"/>
              </w:rPr>
              <w:t>Number of Entities</w:t>
            </w:r>
          </w:p>
        </w:tc>
        <w:tc>
          <w:tcPr>
            <w:tcW w:w="0" w:type="auto"/>
            <w:tcBorders>
              <w:top w:val="single" w:sz="4" w:space="0" w:color="auto"/>
              <w:left w:val="nil"/>
              <w:bottom w:val="single" w:sz="4" w:space="0" w:color="auto"/>
              <w:right w:val="single" w:sz="4" w:space="0" w:color="auto"/>
            </w:tcBorders>
            <w:vAlign w:val="center"/>
            <w:hideMark/>
          </w:tcPr>
          <w:p w:rsidR="00C95AAF" w:rsidRPr="00C95AAF" w:rsidP="00C95AAF" w14:paraId="627ABC79" w14:textId="77777777">
            <w:pPr>
              <w:widowControl/>
              <w:autoSpaceDE/>
              <w:autoSpaceDN/>
              <w:adjustRightInd/>
              <w:jc w:val="center"/>
              <w:rPr>
                <w:b/>
                <w:bCs/>
                <w:color w:val="000000"/>
                <w:sz w:val="22"/>
                <w:szCs w:val="22"/>
              </w:rPr>
            </w:pPr>
            <w:r w:rsidRPr="00C95AAF">
              <w:rPr>
                <w:b/>
                <w:bCs/>
                <w:color w:val="000000"/>
                <w:sz w:val="22"/>
                <w:szCs w:val="22"/>
              </w:rPr>
              <w:t>Number of Hours per Entity</w:t>
            </w:r>
          </w:p>
        </w:tc>
        <w:tc>
          <w:tcPr>
            <w:tcW w:w="0" w:type="auto"/>
            <w:tcBorders>
              <w:top w:val="single" w:sz="4" w:space="0" w:color="auto"/>
              <w:left w:val="nil"/>
              <w:bottom w:val="single" w:sz="4" w:space="0" w:color="auto"/>
              <w:right w:val="single" w:sz="4" w:space="0" w:color="auto"/>
            </w:tcBorders>
            <w:vAlign w:val="center"/>
            <w:hideMark/>
          </w:tcPr>
          <w:p w:rsidR="00C95AAF" w:rsidRPr="00C95AAF" w:rsidP="00C95AAF" w14:paraId="199D5D14" w14:textId="77777777">
            <w:pPr>
              <w:widowControl/>
              <w:autoSpaceDE/>
              <w:autoSpaceDN/>
              <w:adjustRightInd/>
              <w:jc w:val="center"/>
              <w:rPr>
                <w:b/>
                <w:bCs/>
                <w:color w:val="000000"/>
                <w:sz w:val="22"/>
                <w:szCs w:val="22"/>
              </w:rPr>
            </w:pPr>
            <w:r w:rsidRPr="00C95AAF">
              <w:rPr>
                <w:b/>
                <w:bCs/>
                <w:color w:val="000000"/>
                <w:sz w:val="22"/>
                <w:szCs w:val="22"/>
              </w:rPr>
              <w:t>Total Hour Burden</w:t>
            </w:r>
          </w:p>
        </w:tc>
        <w:tc>
          <w:tcPr>
            <w:tcW w:w="0" w:type="auto"/>
            <w:tcBorders>
              <w:top w:val="single" w:sz="4" w:space="0" w:color="auto"/>
              <w:left w:val="nil"/>
              <w:bottom w:val="single" w:sz="4" w:space="0" w:color="auto"/>
              <w:right w:val="single" w:sz="4" w:space="0" w:color="auto"/>
            </w:tcBorders>
            <w:vAlign w:val="center"/>
            <w:hideMark/>
          </w:tcPr>
          <w:p w:rsidR="00C95AAF" w:rsidRPr="00C95AAF" w:rsidP="00C95AAF" w14:paraId="45088A0D" w14:textId="77777777">
            <w:pPr>
              <w:widowControl/>
              <w:autoSpaceDE/>
              <w:autoSpaceDN/>
              <w:adjustRightInd/>
              <w:jc w:val="center"/>
              <w:rPr>
                <w:b/>
                <w:bCs/>
                <w:color w:val="000000"/>
                <w:sz w:val="22"/>
                <w:szCs w:val="22"/>
              </w:rPr>
            </w:pPr>
            <w:r w:rsidRPr="00C95AAF">
              <w:rPr>
                <w:b/>
                <w:bCs/>
                <w:color w:val="000000"/>
                <w:sz w:val="22"/>
                <w:szCs w:val="22"/>
              </w:rPr>
              <w:t>Wage Rate</w:t>
            </w:r>
          </w:p>
        </w:tc>
        <w:tc>
          <w:tcPr>
            <w:tcW w:w="0" w:type="auto"/>
            <w:tcBorders>
              <w:top w:val="single" w:sz="4" w:space="0" w:color="auto"/>
              <w:left w:val="nil"/>
              <w:bottom w:val="single" w:sz="4" w:space="0" w:color="auto"/>
              <w:right w:val="single" w:sz="4" w:space="0" w:color="auto"/>
            </w:tcBorders>
            <w:vAlign w:val="center"/>
            <w:hideMark/>
          </w:tcPr>
          <w:p w:rsidR="00C95AAF" w:rsidRPr="00C95AAF" w:rsidP="00C95AAF" w14:paraId="73A500FE" w14:textId="77777777">
            <w:pPr>
              <w:widowControl/>
              <w:autoSpaceDE/>
              <w:autoSpaceDN/>
              <w:adjustRightInd/>
              <w:jc w:val="center"/>
              <w:rPr>
                <w:b/>
                <w:bCs/>
                <w:color w:val="000000"/>
                <w:sz w:val="22"/>
                <w:szCs w:val="22"/>
              </w:rPr>
            </w:pPr>
            <w:r w:rsidRPr="00C95AAF">
              <w:rPr>
                <w:b/>
                <w:bCs/>
                <w:color w:val="000000"/>
                <w:sz w:val="22"/>
                <w:szCs w:val="22"/>
              </w:rPr>
              <w:t>Equivalent Cost of Hour Burden</w:t>
            </w:r>
          </w:p>
        </w:tc>
      </w:tr>
      <w:tr w14:paraId="1EAF6F88" w14:textId="77777777" w:rsidTr="00C95AAF">
        <w:tblPrEx>
          <w:tblW w:w="0" w:type="auto"/>
          <w:tblLook w:val="04A0"/>
        </w:tblPrEx>
        <w:trPr>
          <w:trHeight w:val="290"/>
        </w:trPr>
        <w:tc>
          <w:tcPr>
            <w:tcW w:w="0" w:type="auto"/>
            <w:tcBorders>
              <w:top w:val="nil"/>
              <w:left w:val="single" w:sz="4" w:space="0" w:color="auto"/>
              <w:bottom w:val="single" w:sz="4" w:space="0" w:color="auto"/>
              <w:right w:val="single" w:sz="4" w:space="0" w:color="auto"/>
            </w:tcBorders>
            <w:noWrap/>
            <w:vAlign w:val="center"/>
            <w:hideMark/>
          </w:tcPr>
          <w:p w:rsidR="00C95AAF" w:rsidRPr="00C95AAF" w:rsidP="00C95AAF" w14:paraId="2B8DED0B" w14:textId="77777777">
            <w:pPr>
              <w:widowControl/>
              <w:autoSpaceDE/>
              <w:autoSpaceDN/>
              <w:adjustRightInd/>
              <w:rPr>
                <w:color w:val="000000"/>
                <w:sz w:val="22"/>
                <w:szCs w:val="22"/>
              </w:rPr>
            </w:pPr>
            <w:r w:rsidRPr="00C95AAF">
              <w:rPr>
                <w:color w:val="000000"/>
                <w:sz w:val="22"/>
                <w:szCs w:val="22"/>
              </w:rPr>
              <w:t> </w:t>
            </w:r>
          </w:p>
        </w:tc>
        <w:tc>
          <w:tcPr>
            <w:tcW w:w="0" w:type="auto"/>
            <w:tcBorders>
              <w:top w:val="nil"/>
              <w:left w:val="nil"/>
              <w:bottom w:val="single" w:sz="4" w:space="0" w:color="auto"/>
              <w:right w:val="single" w:sz="4" w:space="0" w:color="auto"/>
            </w:tcBorders>
            <w:vAlign w:val="center"/>
            <w:hideMark/>
          </w:tcPr>
          <w:p w:rsidR="00C95AAF" w:rsidRPr="00C95AAF" w:rsidP="00C95AAF" w14:paraId="7ECB764A" w14:textId="77777777">
            <w:pPr>
              <w:widowControl/>
              <w:autoSpaceDE/>
              <w:autoSpaceDN/>
              <w:adjustRightInd/>
              <w:jc w:val="center"/>
              <w:rPr>
                <w:b/>
                <w:bCs/>
                <w:color w:val="000000"/>
                <w:sz w:val="22"/>
                <w:szCs w:val="22"/>
              </w:rPr>
            </w:pPr>
            <w:r w:rsidRPr="00C95AAF">
              <w:rPr>
                <w:b/>
                <w:bCs/>
                <w:color w:val="000000"/>
                <w:sz w:val="22"/>
                <w:szCs w:val="22"/>
              </w:rPr>
              <w:t>(A)</w:t>
            </w:r>
          </w:p>
        </w:tc>
        <w:tc>
          <w:tcPr>
            <w:tcW w:w="0" w:type="auto"/>
            <w:tcBorders>
              <w:top w:val="nil"/>
              <w:left w:val="nil"/>
              <w:bottom w:val="single" w:sz="4" w:space="0" w:color="auto"/>
              <w:right w:val="single" w:sz="4" w:space="0" w:color="auto"/>
            </w:tcBorders>
            <w:vAlign w:val="center"/>
            <w:hideMark/>
          </w:tcPr>
          <w:p w:rsidR="00C95AAF" w:rsidRPr="00C95AAF" w:rsidP="00C95AAF" w14:paraId="5E85F708" w14:textId="77777777">
            <w:pPr>
              <w:widowControl/>
              <w:autoSpaceDE/>
              <w:autoSpaceDN/>
              <w:adjustRightInd/>
              <w:jc w:val="center"/>
              <w:rPr>
                <w:b/>
                <w:bCs/>
                <w:color w:val="000000"/>
                <w:sz w:val="22"/>
                <w:szCs w:val="22"/>
              </w:rPr>
            </w:pPr>
            <w:r w:rsidRPr="00C95AAF">
              <w:rPr>
                <w:b/>
                <w:bCs/>
                <w:color w:val="000000"/>
                <w:sz w:val="22"/>
                <w:szCs w:val="22"/>
              </w:rPr>
              <w:t>(B)</w:t>
            </w:r>
          </w:p>
        </w:tc>
        <w:tc>
          <w:tcPr>
            <w:tcW w:w="0" w:type="auto"/>
            <w:tcBorders>
              <w:top w:val="nil"/>
              <w:left w:val="nil"/>
              <w:bottom w:val="single" w:sz="4" w:space="0" w:color="auto"/>
              <w:right w:val="single" w:sz="4" w:space="0" w:color="auto"/>
            </w:tcBorders>
            <w:vAlign w:val="center"/>
            <w:hideMark/>
          </w:tcPr>
          <w:p w:rsidR="00C95AAF" w:rsidRPr="00C95AAF" w:rsidP="00C95AAF" w14:paraId="5462DB60" w14:textId="77777777">
            <w:pPr>
              <w:widowControl/>
              <w:autoSpaceDE/>
              <w:autoSpaceDN/>
              <w:adjustRightInd/>
              <w:jc w:val="center"/>
              <w:rPr>
                <w:b/>
                <w:bCs/>
                <w:color w:val="000000"/>
                <w:sz w:val="22"/>
                <w:szCs w:val="22"/>
              </w:rPr>
            </w:pPr>
            <w:r w:rsidRPr="00C95AAF">
              <w:rPr>
                <w:b/>
                <w:bCs/>
                <w:color w:val="000000"/>
                <w:sz w:val="22"/>
                <w:szCs w:val="22"/>
              </w:rPr>
              <w:t>(A x B)</w:t>
            </w:r>
          </w:p>
        </w:tc>
        <w:tc>
          <w:tcPr>
            <w:tcW w:w="0" w:type="auto"/>
            <w:tcBorders>
              <w:top w:val="nil"/>
              <w:left w:val="nil"/>
              <w:bottom w:val="single" w:sz="4" w:space="0" w:color="auto"/>
              <w:right w:val="single" w:sz="4" w:space="0" w:color="auto"/>
            </w:tcBorders>
            <w:vAlign w:val="center"/>
            <w:hideMark/>
          </w:tcPr>
          <w:p w:rsidR="00C95AAF" w:rsidRPr="00C95AAF" w:rsidP="00C95AAF" w14:paraId="6F86DA2C" w14:textId="77777777">
            <w:pPr>
              <w:widowControl/>
              <w:autoSpaceDE/>
              <w:autoSpaceDN/>
              <w:adjustRightInd/>
              <w:jc w:val="center"/>
              <w:rPr>
                <w:b/>
                <w:bCs/>
                <w:color w:val="000000"/>
                <w:sz w:val="22"/>
                <w:szCs w:val="22"/>
              </w:rPr>
            </w:pPr>
            <w:r w:rsidRPr="00C95AAF">
              <w:rPr>
                <w:b/>
                <w:bCs/>
                <w:color w:val="000000"/>
                <w:sz w:val="22"/>
                <w:szCs w:val="22"/>
              </w:rPr>
              <w:t>(C)</w:t>
            </w:r>
          </w:p>
        </w:tc>
        <w:tc>
          <w:tcPr>
            <w:tcW w:w="0" w:type="auto"/>
            <w:tcBorders>
              <w:top w:val="nil"/>
              <w:left w:val="nil"/>
              <w:bottom w:val="single" w:sz="4" w:space="0" w:color="auto"/>
              <w:right w:val="single" w:sz="4" w:space="0" w:color="auto"/>
            </w:tcBorders>
            <w:vAlign w:val="center"/>
            <w:hideMark/>
          </w:tcPr>
          <w:p w:rsidR="00C95AAF" w:rsidRPr="00C95AAF" w:rsidP="00C95AAF" w14:paraId="236CC432" w14:textId="77777777">
            <w:pPr>
              <w:widowControl/>
              <w:autoSpaceDE/>
              <w:autoSpaceDN/>
              <w:adjustRightInd/>
              <w:jc w:val="center"/>
              <w:rPr>
                <w:b/>
                <w:bCs/>
                <w:color w:val="000000"/>
                <w:sz w:val="22"/>
                <w:szCs w:val="22"/>
              </w:rPr>
            </w:pPr>
            <w:r w:rsidRPr="00C95AAF">
              <w:rPr>
                <w:b/>
                <w:bCs/>
                <w:color w:val="000000"/>
                <w:sz w:val="22"/>
                <w:szCs w:val="22"/>
              </w:rPr>
              <w:t>(A x B x C)</w:t>
            </w:r>
          </w:p>
        </w:tc>
      </w:tr>
      <w:tr w14:paraId="51400835" w14:textId="77777777" w:rsidTr="00C95AAF">
        <w:tblPrEx>
          <w:tblW w:w="0" w:type="auto"/>
          <w:tblLook w:val="04A0"/>
        </w:tblPrEx>
        <w:trPr>
          <w:trHeight w:val="290"/>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rsidR="00C95AAF" w:rsidRPr="00C95AAF" w:rsidP="00C95AAF" w14:paraId="4B56852E" w14:textId="77777777">
            <w:pPr>
              <w:widowControl/>
              <w:autoSpaceDE/>
              <w:autoSpaceDN/>
              <w:adjustRightInd/>
              <w:rPr>
                <w:b/>
                <w:bCs/>
                <w:color w:val="000000"/>
                <w:sz w:val="22"/>
                <w:szCs w:val="22"/>
                <w:u w:val="single"/>
              </w:rPr>
            </w:pPr>
            <w:r w:rsidRPr="00C95AAF">
              <w:rPr>
                <w:b/>
                <w:bCs/>
                <w:color w:val="000000"/>
                <w:sz w:val="22"/>
                <w:szCs w:val="22"/>
                <w:u w:val="single"/>
              </w:rPr>
              <w:t xml:space="preserve">First Year </w:t>
            </w:r>
          </w:p>
        </w:tc>
      </w:tr>
      <w:tr w14:paraId="687DC482" w14:textId="77777777" w:rsidTr="00C95AAF">
        <w:tblPrEx>
          <w:tblW w:w="0" w:type="auto"/>
          <w:tblLook w:val="04A0"/>
        </w:tblPrEx>
        <w:trPr>
          <w:trHeight w:val="840"/>
        </w:trPr>
        <w:tc>
          <w:tcPr>
            <w:tcW w:w="0" w:type="auto"/>
            <w:tcBorders>
              <w:top w:val="single" w:sz="4" w:space="0" w:color="auto"/>
              <w:left w:val="single" w:sz="4" w:space="0" w:color="auto"/>
              <w:bottom w:val="single" w:sz="4" w:space="0" w:color="auto"/>
              <w:right w:val="single" w:sz="4" w:space="0" w:color="auto"/>
            </w:tcBorders>
            <w:vAlign w:val="center"/>
            <w:hideMark/>
          </w:tcPr>
          <w:p w:rsidR="00C95AAF" w:rsidRPr="00C95AAF" w:rsidP="00C95AAF" w14:paraId="2087B292" w14:textId="77777777">
            <w:pPr>
              <w:widowControl/>
              <w:autoSpaceDE/>
              <w:autoSpaceDN/>
              <w:adjustRightInd/>
              <w:rPr>
                <w:color w:val="000000"/>
                <w:sz w:val="22"/>
                <w:szCs w:val="22"/>
              </w:rPr>
            </w:pPr>
            <w:r w:rsidRPr="00C95AAF">
              <w:rPr>
                <w:color w:val="000000"/>
                <w:sz w:val="22"/>
                <w:szCs w:val="22"/>
              </w:rPr>
              <w:t>Administrative assistants provide registration information on behalf of self-insured plans (first year)</w:t>
            </w:r>
          </w:p>
        </w:tc>
        <w:tc>
          <w:tcPr>
            <w:tcW w:w="0" w:type="auto"/>
            <w:tcBorders>
              <w:top w:val="single" w:sz="4" w:space="0" w:color="auto"/>
              <w:left w:val="nil"/>
              <w:bottom w:val="single" w:sz="4" w:space="0" w:color="auto"/>
              <w:right w:val="single" w:sz="4" w:space="0" w:color="auto"/>
            </w:tcBorders>
            <w:noWrap/>
            <w:vAlign w:val="center"/>
            <w:hideMark/>
          </w:tcPr>
          <w:p w:rsidR="00C95AAF" w:rsidRPr="00C95AAF" w:rsidP="00FB0916" w14:paraId="10DA524D" w14:textId="77777777">
            <w:pPr>
              <w:widowControl/>
              <w:autoSpaceDE/>
              <w:autoSpaceDN/>
              <w:adjustRightInd/>
              <w:jc w:val="center"/>
              <w:rPr>
                <w:color w:val="000000"/>
                <w:sz w:val="22"/>
                <w:szCs w:val="22"/>
              </w:rPr>
            </w:pPr>
            <w:r w:rsidRPr="00C95AAF">
              <w:rPr>
                <w:color w:val="000000"/>
                <w:sz w:val="22"/>
                <w:szCs w:val="22"/>
              </w:rPr>
              <w:t>1,585</w:t>
            </w:r>
          </w:p>
        </w:tc>
        <w:tc>
          <w:tcPr>
            <w:tcW w:w="0" w:type="auto"/>
            <w:tcBorders>
              <w:top w:val="single" w:sz="4" w:space="0" w:color="auto"/>
              <w:left w:val="nil"/>
              <w:bottom w:val="single" w:sz="4" w:space="0" w:color="auto"/>
              <w:right w:val="single" w:sz="4" w:space="0" w:color="auto"/>
            </w:tcBorders>
            <w:noWrap/>
            <w:vAlign w:val="center"/>
            <w:hideMark/>
          </w:tcPr>
          <w:p w:rsidR="00C95AAF" w:rsidRPr="00C95AAF" w:rsidP="00FB0916" w14:paraId="2293FD7C" w14:textId="77777777">
            <w:pPr>
              <w:widowControl/>
              <w:autoSpaceDE/>
              <w:autoSpaceDN/>
              <w:adjustRightInd/>
              <w:jc w:val="center"/>
              <w:rPr>
                <w:color w:val="000000"/>
                <w:sz w:val="22"/>
                <w:szCs w:val="22"/>
              </w:rPr>
            </w:pPr>
            <w:r w:rsidRPr="00C95AAF">
              <w:rPr>
                <w:color w:val="000000"/>
                <w:sz w:val="22"/>
                <w:szCs w:val="22"/>
              </w:rPr>
              <w:t>7.5</w:t>
            </w:r>
          </w:p>
        </w:tc>
        <w:tc>
          <w:tcPr>
            <w:tcW w:w="0" w:type="auto"/>
            <w:tcBorders>
              <w:top w:val="single" w:sz="4" w:space="0" w:color="auto"/>
              <w:left w:val="nil"/>
              <w:bottom w:val="single" w:sz="4" w:space="0" w:color="auto"/>
              <w:right w:val="single" w:sz="4" w:space="0" w:color="auto"/>
            </w:tcBorders>
            <w:noWrap/>
            <w:vAlign w:val="center"/>
            <w:hideMark/>
          </w:tcPr>
          <w:p w:rsidR="00C95AAF" w:rsidRPr="00C95AAF" w:rsidP="00FB0916" w14:paraId="227049A7" w14:textId="77777777">
            <w:pPr>
              <w:widowControl/>
              <w:autoSpaceDE/>
              <w:autoSpaceDN/>
              <w:adjustRightInd/>
              <w:jc w:val="center"/>
              <w:rPr>
                <w:color w:val="000000"/>
                <w:sz w:val="22"/>
                <w:szCs w:val="22"/>
              </w:rPr>
            </w:pPr>
            <w:r w:rsidRPr="00C95AAF">
              <w:rPr>
                <w:color w:val="000000"/>
                <w:sz w:val="22"/>
                <w:szCs w:val="22"/>
              </w:rPr>
              <w:t>11,888</w:t>
            </w:r>
          </w:p>
        </w:tc>
        <w:tc>
          <w:tcPr>
            <w:tcW w:w="0" w:type="auto"/>
            <w:tcBorders>
              <w:top w:val="single" w:sz="4" w:space="0" w:color="auto"/>
              <w:left w:val="nil"/>
              <w:bottom w:val="single" w:sz="4" w:space="0" w:color="auto"/>
              <w:right w:val="single" w:sz="4" w:space="0" w:color="auto"/>
            </w:tcBorders>
            <w:noWrap/>
            <w:vAlign w:val="center"/>
            <w:hideMark/>
          </w:tcPr>
          <w:p w:rsidR="00C95AAF" w:rsidRPr="00C95AAF" w:rsidP="00FB0916" w14:paraId="48C649B5" w14:textId="77777777">
            <w:pPr>
              <w:widowControl/>
              <w:autoSpaceDE/>
              <w:autoSpaceDN/>
              <w:adjustRightInd/>
              <w:jc w:val="center"/>
              <w:rPr>
                <w:color w:val="000000"/>
                <w:sz w:val="22"/>
                <w:szCs w:val="22"/>
              </w:rPr>
            </w:pPr>
            <w:r w:rsidRPr="00C95AAF">
              <w:rPr>
                <w:color w:val="000000"/>
                <w:sz w:val="22"/>
                <w:szCs w:val="22"/>
              </w:rPr>
              <w:t>$72.82</w:t>
            </w:r>
          </w:p>
        </w:tc>
        <w:tc>
          <w:tcPr>
            <w:tcW w:w="0" w:type="auto"/>
            <w:tcBorders>
              <w:top w:val="single" w:sz="4" w:space="0" w:color="auto"/>
              <w:left w:val="nil"/>
              <w:bottom w:val="single" w:sz="4" w:space="0" w:color="auto"/>
              <w:right w:val="single" w:sz="4" w:space="0" w:color="auto"/>
            </w:tcBorders>
            <w:noWrap/>
            <w:vAlign w:val="center"/>
            <w:hideMark/>
          </w:tcPr>
          <w:p w:rsidR="00C95AAF" w:rsidRPr="00C95AAF" w:rsidP="00FB0916" w14:paraId="7A068DE0" w14:textId="77777777">
            <w:pPr>
              <w:widowControl/>
              <w:autoSpaceDE/>
              <w:autoSpaceDN/>
              <w:adjustRightInd/>
              <w:jc w:val="center"/>
              <w:rPr>
                <w:color w:val="000000"/>
                <w:sz w:val="22"/>
                <w:szCs w:val="22"/>
              </w:rPr>
            </w:pPr>
            <w:r w:rsidRPr="00C95AAF">
              <w:rPr>
                <w:color w:val="000000"/>
                <w:sz w:val="22"/>
                <w:szCs w:val="22"/>
              </w:rPr>
              <w:t>$865,648</w:t>
            </w:r>
          </w:p>
        </w:tc>
      </w:tr>
      <w:tr w14:paraId="71FC20F4" w14:textId="77777777" w:rsidTr="00C95AAF">
        <w:tblPrEx>
          <w:tblW w:w="0" w:type="auto"/>
          <w:tblLook w:val="04A0"/>
        </w:tblPrEx>
        <w:trPr>
          <w:trHeight w:val="840"/>
        </w:trPr>
        <w:tc>
          <w:tcPr>
            <w:tcW w:w="0" w:type="auto"/>
            <w:tcBorders>
              <w:top w:val="nil"/>
              <w:left w:val="single" w:sz="4" w:space="0" w:color="auto"/>
              <w:bottom w:val="single" w:sz="4" w:space="0" w:color="auto"/>
              <w:right w:val="single" w:sz="4" w:space="0" w:color="auto"/>
            </w:tcBorders>
            <w:vAlign w:val="center"/>
            <w:hideMark/>
          </w:tcPr>
          <w:p w:rsidR="00C95AAF" w:rsidRPr="00C95AAF" w:rsidP="00C95AAF" w14:paraId="3BE88C10" w14:textId="77777777">
            <w:pPr>
              <w:widowControl/>
              <w:autoSpaceDE/>
              <w:autoSpaceDN/>
              <w:adjustRightInd/>
              <w:rPr>
                <w:color w:val="000000"/>
                <w:sz w:val="22"/>
                <w:szCs w:val="22"/>
              </w:rPr>
            </w:pPr>
            <w:r w:rsidRPr="00C95AAF">
              <w:rPr>
                <w:color w:val="000000"/>
                <w:sz w:val="22"/>
                <w:szCs w:val="22"/>
              </w:rPr>
              <w:t>Compensation and benefits manager provide registration information on behalf of self-insured plans (first year)</w:t>
            </w:r>
          </w:p>
        </w:tc>
        <w:tc>
          <w:tcPr>
            <w:tcW w:w="0" w:type="auto"/>
            <w:tcBorders>
              <w:top w:val="nil"/>
              <w:left w:val="nil"/>
              <w:bottom w:val="single" w:sz="4" w:space="0" w:color="auto"/>
              <w:right w:val="single" w:sz="4" w:space="0" w:color="auto"/>
            </w:tcBorders>
            <w:noWrap/>
            <w:vAlign w:val="center"/>
            <w:hideMark/>
          </w:tcPr>
          <w:p w:rsidR="00C95AAF" w:rsidRPr="00C95AAF" w:rsidP="00FB0916" w14:paraId="63521DAC" w14:textId="77777777">
            <w:pPr>
              <w:widowControl/>
              <w:autoSpaceDE/>
              <w:autoSpaceDN/>
              <w:adjustRightInd/>
              <w:jc w:val="center"/>
              <w:rPr>
                <w:color w:val="000000"/>
                <w:sz w:val="22"/>
                <w:szCs w:val="22"/>
              </w:rPr>
            </w:pPr>
            <w:r w:rsidRPr="00C95AAF">
              <w:rPr>
                <w:color w:val="000000"/>
                <w:sz w:val="22"/>
                <w:szCs w:val="22"/>
              </w:rPr>
              <w:t>1,585</w:t>
            </w:r>
          </w:p>
        </w:tc>
        <w:tc>
          <w:tcPr>
            <w:tcW w:w="0" w:type="auto"/>
            <w:tcBorders>
              <w:top w:val="nil"/>
              <w:left w:val="nil"/>
              <w:bottom w:val="single" w:sz="4" w:space="0" w:color="auto"/>
              <w:right w:val="single" w:sz="4" w:space="0" w:color="auto"/>
            </w:tcBorders>
            <w:noWrap/>
            <w:vAlign w:val="center"/>
            <w:hideMark/>
          </w:tcPr>
          <w:p w:rsidR="00C95AAF" w:rsidRPr="00C95AAF" w:rsidP="00FB0916" w14:paraId="604943D9" w14:textId="77777777">
            <w:pPr>
              <w:widowControl/>
              <w:autoSpaceDE/>
              <w:autoSpaceDN/>
              <w:adjustRightInd/>
              <w:jc w:val="center"/>
              <w:rPr>
                <w:color w:val="000000"/>
                <w:sz w:val="22"/>
                <w:szCs w:val="22"/>
              </w:rPr>
            </w:pPr>
            <w:r w:rsidRPr="00C95AAF">
              <w:rPr>
                <w:color w:val="000000"/>
                <w:sz w:val="22"/>
                <w:szCs w:val="22"/>
              </w:rPr>
              <w:t>2</w:t>
            </w:r>
          </w:p>
        </w:tc>
        <w:tc>
          <w:tcPr>
            <w:tcW w:w="0" w:type="auto"/>
            <w:tcBorders>
              <w:top w:val="nil"/>
              <w:left w:val="nil"/>
              <w:bottom w:val="single" w:sz="4" w:space="0" w:color="auto"/>
              <w:right w:val="single" w:sz="4" w:space="0" w:color="auto"/>
            </w:tcBorders>
            <w:noWrap/>
            <w:vAlign w:val="center"/>
            <w:hideMark/>
          </w:tcPr>
          <w:p w:rsidR="00C95AAF" w:rsidRPr="00C95AAF" w:rsidP="00FB0916" w14:paraId="75BCB90A" w14:textId="77777777">
            <w:pPr>
              <w:widowControl/>
              <w:autoSpaceDE/>
              <w:autoSpaceDN/>
              <w:adjustRightInd/>
              <w:jc w:val="center"/>
              <w:rPr>
                <w:color w:val="000000"/>
                <w:sz w:val="22"/>
                <w:szCs w:val="22"/>
              </w:rPr>
            </w:pPr>
            <w:r w:rsidRPr="00C95AAF">
              <w:rPr>
                <w:color w:val="000000"/>
                <w:sz w:val="22"/>
                <w:szCs w:val="22"/>
              </w:rPr>
              <w:t>3,170</w:t>
            </w:r>
          </w:p>
        </w:tc>
        <w:tc>
          <w:tcPr>
            <w:tcW w:w="0" w:type="auto"/>
            <w:tcBorders>
              <w:top w:val="nil"/>
              <w:left w:val="nil"/>
              <w:bottom w:val="single" w:sz="4" w:space="0" w:color="auto"/>
              <w:right w:val="single" w:sz="4" w:space="0" w:color="auto"/>
            </w:tcBorders>
            <w:noWrap/>
            <w:vAlign w:val="center"/>
            <w:hideMark/>
          </w:tcPr>
          <w:p w:rsidR="00C95AAF" w:rsidRPr="00C95AAF" w:rsidP="00FB0916" w14:paraId="6413B356" w14:textId="77777777">
            <w:pPr>
              <w:widowControl/>
              <w:autoSpaceDE/>
              <w:autoSpaceDN/>
              <w:adjustRightInd/>
              <w:jc w:val="center"/>
              <w:rPr>
                <w:color w:val="000000"/>
                <w:sz w:val="22"/>
                <w:szCs w:val="22"/>
              </w:rPr>
            </w:pPr>
            <w:r w:rsidRPr="00C95AAF">
              <w:rPr>
                <w:color w:val="000000"/>
                <w:sz w:val="22"/>
                <w:szCs w:val="22"/>
              </w:rPr>
              <w:t>$193.15</w:t>
            </w:r>
          </w:p>
        </w:tc>
        <w:tc>
          <w:tcPr>
            <w:tcW w:w="0" w:type="auto"/>
            <w:tcBorders>
              <w:top w:val="nil"/>
              <w:left w:val="nil"/>
              <w:bottom w:val="single" w:sz="4" w:space="0" w:color="auto"/>
              <w:right w:val="single" w:sz="4" w:space="0" w:color="auto"/>
            </w:tcBorders>
            <w:noWrap/>
            <w:vAlign w:val="center"/>
            <w:hideMark/>
          </w:tcPr>
          <w:p w:rsidR="00C95AAF" w:rsidRPr="00C95AAF" w:rsidP="00FB0916" w14:paraId="62D3CA13" w14:textId="77777777">
            <w:pPr>
              <w:widowControl/>
              <w:autoSpaceDE/>
              <w:autoSpaceDN/>
              <w:adjustRightInd/>
              <w:jc w:val="center"/>
              <w:rPr>
                <w:color w:val="000000"/>
                <w:sz w:val="22"/>
                <w:szCs w:val="22"/>
              </w:rPr>
            </w:pPr>
            <w:r w:rsidRPr="00C95AAF">
              <w:rPr>
                <w:color w:val="000000"/>
                <w:sz w:val="22"/>
                <w:szCs w:val="22"/>
              </w:rPr>
              <w:t>$612,286</w:t>
            </w:r>
          </w:p>
        </w:tc>
      </w:tr>
      <w:tr w14:paraId="6506B7BB" w14:textId="77777777">
        <w:tblPrEx>
          <w:tblW w:w="0" w:type="auto"/>
          <w:tblLook w:val="04A0"/>
        </w:tblPrEx>
        <w:trPr>
          <w:trHeight w:val="560"/>
        </w:trPr>
        <w:tc>
          <w:tcPr>
            <w:tcW w:w="0" w:type="auto"/>
            <w:tcBorders>
              <w:top w:val="nil"/>
              <w:left w:val="single" w:sz="4" w:space="0" w:color="auto"/>
              <w:bottom w:val="single" w:sz="4" w:space="0" w:color="auto"/>
              <w:right w:val="single" w:sz="4" w:space="0" w:color="auto"/>
            </w:tcBorders>
            <w:vAlign w:val="center"/>
            <w:hideMark/>
          </w:tcPr>
          <w:p w:rsidR="005A1C38" w:rsidRPr="00C95AAF" w:rsidP="005A1C38" w14:paraId="7089199D" w14:textId="77777777">
            <w:pPr>
              <w:widowControl/>
              <w:autoSpaceDE/>
              <w:autoSpaceDN/>
              <w:adjustRightInd/>
              <w:rPr>
                <w:color w:val="000000"/>
                <w:sz w:val="22"/>
                <w:szCs w:val="22"/>
              </w:rPr>
            </w:pPr>
            <w:r w:rsidRPr="00C95AAF">
              <w:rPr>
                <w:color w:val="000000"/>
                <w:sz w:val="22"/>
                <w:szCs w:val="22"/>
              </w:rPr>
              <w:t>Lawyers provide registration information on behalf of self-insured plans (first year)</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A1C38" w:rsidRPr="00C95AAF" w:rsidP="00FB0916" w14:paraId="56A8884E" w14:textId="336F0DCC">
            <w:pPr>
              <w:widowControl/>
              <w:autoSpaceDE/>
              <w:autoSpaceDN/>
              <w:adjustRightInd/>
              <w:jc w:val="center"/>
              <w:rPr>
                <w:color w:val="000000"/>
                <w:sz w:val="22"/>
                <w:szCs w:val="22"/>
              </w:rPr>
            </w:pPr>
            <w:r>
              <w:rPr>
                <w:color w:val="000000"/>
                <w:sz w:val="22"/>
                <w:szCs w:val="22"/>
              </w:rPr>
              <w:t>1,585</w:t>
            </w:r>
          </w:p>
        </w:tc>
        <w:tc>
          <w:tcPr>
            <w:tcW w:w="0" w:type="auto"/>
            <w:tcBorders>
              <w:top w:val="single" w:sz="4" w:space="0" w:color="auto"/>
              <w:left w:val="nil"/>
              <w:bottom w:val="single" w:sz="4" w:space="0" w:color="auto"/>
              <w:right w:val="single" w:sz="4" w:space="0" w:color="auto"/>
            </w:tcBorders>
            <w:noWrap/>
            <w:vAlign w:val="center"/>
            <w:hideMark/>
          </w:tcPr>
          <w:p w:rsidR="005A1C38" w:rsidRPr="00C95AAF" w:rsidP="00FB0916" w14:paraId="1A82044F" w14:textId="7B41EB5D">
            <w:pPr>
              <w:widowControl/>
              <w:autoSpaceDE/>
              <w:autoSpaceDN/>
              <w:adjustRightInd/>
              <w:jc w:val="center"/>
              <w:rPr>
                <w:color w:val="000000"/>
                <w:sz w:val="22"/>
                <w:szCs w:val="22"/>
              </w:rPr>
            </w:pPr>
            <w:r>
              <w:rPr>
                <w:color w:val="000000"/>
                <w:sz w:val="22"/>
                <w:szCs w:val="22"/>
              </w:rPr>
              <w:t>2</w:t>
            </w:r>
          </w:p>
        </w:tc>
        <w:tc>
          <w:tcPr>
            <w:tcW w:w="0" w:type="auto"/>
            <w:tcBorders>
              <w:top w:val="single" w:sz="4" w:space="0" w:color="auto"/>
              <w:left w:val="nil"/>
              <w:bottom w:val="single" w:sz="4" w:space="0" w:color="auto"/>
              <w:right w:val="single" w:sz="4" w:space="0" w:color="auto"/>
            </w:tcBorders>
            <w:noWrap/>
            <w:vAlign w:val="center"/>
            <w:hideMark/>
          </w:tcPr>
          <w:p w:rsidR="005A1C38" w:rsidRPr="00C95AAF" w:rsidP="00FB0916" w14:paraId="08EC1ABA" w14:textId="3857616F">
            <w:pPr>
              <w:widowControl/>
              <w:autoSpaceDE/>
              <w:autoSpaceDN/>
              <w:adjustRightInd/>
              <w:jc w:val="center"/>
              <w:rPr>
                <w:color w:val="000000"/>
                <w:sz w:val="22"/>
                <w:szCs w:val="22"/>
              </w:rPr>
            </w:pPr>
            <w:r>
              <w:rPr>
                <w:color w:val="000000"/>
                <w:sz w:val="22"/>
                <w:szCs w:val="22"/>
              </w:rPr>
              <w:t>3,170</w:t>
            </w:r>
          </w:p>
        </w:tc>
        <w:tc>
          <w:tcPr>
            <w:tcW w:w="0" w:type="auto"/>
            <w:tcBorders>
              <w:top w:val="single" w:sz="4" w:space="0" w:color="auto"/>
              <w:left w:val="nil"/>
              <w:bottom w:val="single" w:sz="4" w:space="0" w:color="auto"/>
              <w:right w:val="single" w:sz="4" w:space="0" w:color="auto"/>
            </w:tcBorders>
            <w:noWrap/>
            <w:vAlign w:val="center"/>
            <w:hideMark/>
          </w:tcPr>
          <w:p w:rsidR="005A1C38" w:rsidRPr="00C95AAF" w:rsidP="00FB0916" w14:paraId="64CA04BF" w14:textId="74FE9FB1">
            <w:pPr>
              <w:widowControl/>
              <w:autoSpaceDE/>
              <w:autoSpaceDN/>
              <w:adjustRightInd/>
              <w:jc w:val="center"/>
              <w:rPr>
                <w:color w:val="000000"/>
                <w:sz w:val="22"/>
                <w:szCs w:val="22"/>
              </w:rPr>
            </w:pPr>
            <w:r>
              <w:rPr>
                <w:color w:val="000000"/>
                <w:sz w:val="22"/>
                <w:szCs w:val="22"/>
              </w:rPr>
              <w:t>$187.58</w:t>
            </w:r>
          </w:p>
        </w:tc>
        <w:tc>
          <w:tcPr>
            <w:tcW w:w="0" w:type="auto"/>
            <w:tcBorders>
              <w:top w:val="single" w:sz="4" w:space="0" w:color="auto"/>
              <w:left w:val="nil"/>
              <w:bottom w:val="single" w:sz="4" w:space="0" w:color="auto"/>
              <w:right w:val="single" w:sz="4" w:space="0" w:color="auto"/>
            </w:tcBorders>
            <w:noWrap/>
            <w:vAlign w:val="center"/>
            <w:hideMark/>
          </w:tcPr>
          <w:p w:rsidR="005A1C38" w:rsidRPr="00C95AAF" w:rsidP="00FB0916" w14:paraId="3524EF8D" w14:textId="4DC4D629">
            <w:pPr>
              <w:widowControl/>
              <w:autoSpaceDE/>
              <w:autoSpaceDN/>
              <w:adjustRightInd/>
              <w:jc w:val="center"/>
              <w:rPr>
                <w:color w:val="000000"/>
                <w:sz w:val="22"/>
                <w:szCs w:val="22"/>
              </w:rPr>
            </w:pPr>
            <w:r>
              <w:rPr>
                <w:color w:val="000000"/>
                <w:sz w:val="22"/>
                <w:szCs w:val="22"/>
              </w:rPr>
              <w:t>$594,629</w:t>
            </w:r>
          </w:p>
        </w:tc>
      </w:tr>
      <w:tr w14:paraId="5E46E404" w14:textId="77777777" w:rsidTr="003273D6">
        <w:tblPrEx>
          <w:tblW w:w="0" w:type="auto"/>
          <w:tblLook w:val="04A0"/>
        </w:tblPrEx>
        <w:trPr>
          <w:trHeight w:val="290"/>
        </w:trPr>
        <w:tc>
          <w:tcPr>
            <w:tcW w:w="0" w:type="auto"/>
            <w:gridSpan w:val="6"/>
            <w:tcBorders>
              <w:top w:val="single" w:sz="4" w:space="0" w:color="auto"/>
              <w:left w:val="single" w:sz="4" w:space="0" w:color="auto"/>
              <w:bottom w:val="single" w:sz="4" w:space="0" w:color="auto"/>
              <w:right w:val="single" w:sz="4" w:space="0" w:color="auto"/>
            </w:tcBorders>
            <w:vAlign w:val="center"/>
            <w:hideMark/>
          </w:tcPr>
          <w:p w:rsidR="00C95AAF" w:rsidRPr="00C95AAF" w:rsidP="00FB0916" w14:paraId="4DC37406" w14:textId="77777777">
            <w:pPr>
              <w:widowControl/>
              <w:autoSpaceDE/>
              <w:autoSpaceDN/>
              <w:adjustRightInd/>
              <w:rPr>
                <w:b/>
                <w:bCs/>
                <w:color w:val="000000"/>
                <w:sz w:val="22"/>
                <w:szCs w:val="22"/>
                <w:u w:val="single"/>
              </w:rPr>
            </w:pPr>
            <w:r w:rsidRPr="00C95AAF">
              <w:rPr>
                <w:b/>
                <w:bCs/>
                <w:color w:val="000000"/>
                <w:sz w:val="22"/>
                <w:szCs w:val="22"/>
                <w:u w:val="single"/>
              </w:rPr>
              <w:t>Subsequent Years</w:t>
            </w:r>
          </w:p>
        </w:tc>
      </w:tr>
      <w:tr w14:paraId="459E6CE4" w14:textId="77777777" w:rsidTr="003273D6">
        <w:tblPrEx>
          <w:tblW w:w="0" w:type="auto"/>
          <w:tblLook w:val="04A0"/>
        </w:tblPrEx>
        <w:trPr>
          <w:trHeight w:val="1250"/>
        </w:trPr>
        <w:tc>
          <w:tcPr>
            <w:tcW w:w="0" w:type="auto"/>
            <w:tcBorders>
              <w:top w:val="single" w:sz="4" w:space="0" w:color="auto"/>
              <w:left w:val="single" w:sz="4" w:space="0" w:color="auto"/>
              <w:bottom w:val="single" w:sz="4" w:space="0" w:color="auto"/>
              <w:right w:val="single" w:sz="4" w:space="0" w:color="auto"/>
            </w:tcBorders>
            <w:vAlign w:val="center"/>
            <w:hideMark/>
          </w:tcPr>
          <w:p w:rsidR="00C95AAF" w:rsidRPr="00C95AAF" w:rsidP="00C95AAF" w14:paraId="60A6657D" w14:textId="08B933F2">
            <w:pPr>
              <w:widowControl/>
              <w:autoSpaceDE/>
              <w:autoSpaceDN/>
              <w:adjustRightInd/>
              <w:rPr>
                <w:color w:val="000000"/>
                <w:sz w:val="22"/>
                <w:szCs w:val="22"/>
              </w:rPr>
            </w:pPr>
            <w:r w:rsidRPr="00C95AAF">
              <w:rPr>
                <w:color w:val="000000"/>
                <w:sz w:val="22"/>
                <w:szCs w:val="22"/>
              </w:rPr>
              <w:t>Administrative assistants update the information associated with their registration no later than 30 days after such information changes (subsequent years)</w:t>
            </w:r>
          </w:p>
        </w:tc>
        <w:tc>
          <w:tcPr>
            <w:tcW w:w="0" w:type="auto"/>
            <w:tcBorders>
              <w:top w:val="single" w:sz="4" w:space="0" w:color="auto"/>
              <w:left w:val="nil"/>
              <w:bottom w:val="single" w:sz="4" w:space="0" w:color="auto"/>
              <w:right w:val="single" w:sz="4" w:space="0" w:color="auto"/>
            </w:tcBorders>
            <w:noWrap/>
            <w:vAlign w:val="center"/>
            <w:hideMark/>
          </w:tcPr>
          <w:p w:rsidR="00C95AAF" w:rsidRPr="00C95AAF" w:rsidP="00FB0916" w14:paraId="6A9045CC" w14:textId="77777777">
            <w:pPr>
              <w:widowControl/>
              <w:autoSpaceDE/>
              <w:autoSpaceDN/>
              <w:adjustRightInd/>
              <w:jc w:val="center"/>
              <w:rPr>
                <w:color w:val="000000"/>
                <w:sz w:val="22"/>
                <w:szCs w:val="22"/>
              </w:rPr>
            </w:pPr>
            <w:r w:rsidRPr="00C95AAF">
              <w:rPr>
                <w:color w:val="000000"/>
                <w:sz w:val="22"/>
                <w:szCs w:val="22"/>
              </w:rPr>
              <w:t>1,585</w:t>
            </w:r>
          </w:p>
        </w:tc>
        <w:tc>
          <w:tcPr>
            <w:tcW w:w="0" w:type="auto"/>
            <w:tcBorders>
              <w:top w:val="single" w:sz="4" w:space="0" w:color="auto"/>
              <w:left w:val="nil"/>
              <w:bottom w:val="single" w:sz="4" w:space="0" w:color="auto"/>
              <w:right w:val="single" w:sz="4" w:space="0" w:color="auto"/>
            </w:tcBorders>
            <w:noWrap/>
            <w:vAlign w:val="center"/>
            <w:hideMark/>
          </w:tcPr>
          <w:p w:rsidR="00C95AAF" w:rsidRPr="00C95AAF" w:rsidP="00FB0916" w14:paraId="3BD297B3" w14:textId="77777777">
            <w:pPr>
              <w:widowControl/>
              <w:autoSpaceDE/>
              <w:autoSpaceDN/>
              <w:adjustRightInd/>
              <w:jc w:val="center"/>
              <w:rPr>
                <w:color w:val="000000"/>
                <w:sz w:val="22"/>
                <w:szCs w:val="22"/>
              </w:rPr>
            </w:pPr>
            <w:r w:rsidRPr="00C95AAF">
              <w:rPr>
                <w:color w:val="000000"/>
                <w:sz w:val="22"/>
                <w:szCs w:val="22"/>
              </w:rPr>
              <w:t>0.50</w:t>
            </w:r>
          </w:p>
        </w:tc>
        <w:tc>
          <w:tcPr>
            <w:tcW w:w="0" w:type="auto"/>
            <w:tcBorders>
              <w:top w:val="single" w:sz="4" w:space="0" w:color="auto"/>
              <w:left w:val="nil"/>
              <w:bottom w:val="single" w:sz="4" w:space="0" w:color="auto"/>
              <w:right w:val="single" w:sz="4" w:space="0" w:color="auto"/>
            </w:tcBorders>
            <w:noWrap/>
            <w:vAlign w:val="center"/>
            <w:hideMark/>
          </w:tcPr>
          <w:p w:rsidR="00C95AAF" w:rsidRPr="00C95AAF" w:rsidP="00FB0916" w14:paraId="191279C8" w14:textId="77777777">
            <w:pPr>
              <w:widowControl/>
              <w:autoSpaceDE/>
              <w:autoSpaceDN/>
              <w:adjustRightInd/>
              <w:jc w:val="center"/>
              <w:rPr>
                <w:color w:val="000000"/>
                <w:sz w:val="22"/>
                <w:szCs w:val="22"/>
              </w:rPr>
            </w:pPr>
            <w:r w:rsidRPr="00C95AAF">
              <w:rPr>
                <w:color w:val="000000"/>
                <w:sz w:val="22"/>
                <w:szCs w:val="22"/>
              </w:rPr>
              <w:t>793</w:t>
            </w:r>
          </w:p>
        </w:tc>
        <w:tc>
          <w:tcPr>
            <w:tcW w:w="0" w:type="auto"/>
            <w:tcBorders>
              <w:top w:val="single" w:sz="4" w:space="0" w:color="auto"/>
              <w:left w:val="nil"/>
              <w:bottom w:val="single" w:sz="4" w:space="0" w:color="auto"/>
              <w:right w:val="single" w:sz="4" w:space="0" w:color="auto"/>
            </w:tcBorders>
            <w:noWrap/>
            <w:vAlign w:val="center"/>
            <w:hideMark/>
          </w:tcPr>
          <w:p w:rsidR="00C95AAF" w:rsidRPr="00C95AAF" w:rsidP="00FB0916" w14:paraId="74D6B9A1" w14:textId="77777777">
            <w:pPr>
              <w:widowControl/>
              <w:autoSpaceDE/>
              <w:autoSpaceDN/>
              <w:adjustRightInd/>
              <w:jc w:val="center"/>
              <w:rPr>
                <w:color w:val="000000"/>
                <w:sz w:val="22"/>
                <w:szCs w:val="22"/>
              </w:rPr>
            </w:pPr>
            <w:r w:rsidRPr="00C95AAF">
              <w:rPr>
                <w:color w:val="000000"/>
                <w:sz w:val="22"/>
                <w:szCs w:val="22"/>
              </w:rPr>
              <w:t>$72.82</w:t>
            </w:r>
          </w:p>
        </w:tc>
        <w:tc>
          <w:tcPr>
            <w:tcW w:w="0" w:type="auto"/>
            <w:tcBorders>
              <w:top w:val="single" w:sz="4" w:space="0" w:color="auto"/>
              <w:left w:val="nil"/>
              <w:bottom w:val="single" w:sz="4" w:space="0" w:color="auto"/>
              <w:right w:val="single" w:sz="4" w:space="0" w:color="auto"/>
            </w:tcBorders>
            <w:noWrap/>
            <w:vAlign w:val="center"/>
            <w:hideMark/>
          </w:tcPr>
          <w:p w:rsidR="00C95AAF" w:rsidRPr="00C95AAF" w:rsidP="00FB0916" w14:paraId="6C9C5CBB" w14:textId="77777777">
            <w:pPr>
              <w:widowControl/>
              <w:autoSpaceDE/>
              <w:autoSpaceDN/>
              <w:adjustRightInd/>
              <w:jc w:val="center"/>
              <w:rPr>
                <w:color w:val="000000"/>
                <w:sz w:val="22"/>
                <w:szCs w:val="22"/>
              </w:rPr>
            </w:pPr>
            <w:r w:rsidRPr="00C95AAF">
              <w:rPr>
                <w:color w:val="000000"/>
                <w:sz w:val="22"/>
                <w:szCs w:val="22"/>
              </w:rPr>
              <w:t>$57,710</w:t>
            </w:r>
          </w:p>
        </w:tc>
      </w:tr>
      <w:tr w14:paraId="1673CED1" w14:textId="77777777" w:rsidTr="00C95AAF">
        <w:tblPrEx>
          <w:tblW w:w="0" w:type="auto"/>
          <w:tblLook w:val="04A0"/>
        </w:tblPrEx>
        <w:trPr>
          <w:trHeight w:val="1410"/>
        </w:trPr>
        <w:tc>
          <w:tcPr>
            <w:tcW w:w="0" w:type="auto"/>
            <w:tcBorders>
              <w:top w:val="nil"/>
              <w:left w:val="single" w:sz="4" w:space="0" w:color="auto"/>
              <w:bottom w:val="single" w:sz="4" w:space="0" w:color="auto"/>
              <w:right w:val="single" w:sz="4" w:space="0" w:color="auto"/>
            </w:tcBorders>
            <w:vAlign w:val="center"/>
            <w:hideMark/>
          </w:tcPr>
          <w:p w:rsidR="00C95AAF" w:rsidRPr="00C95AAF" w:rsidP="00C95AAF" w14:paraId="69C44383" w14:textId="77777777">
            <w:pPr>
              <w:widowControl/>
              <w:autoSpaceDE/>
              <w:autoSpaceDN/>
              <w:adjustRightInd/>
              <w:rPr>
                <w:color w:val="000000"/>
                <w:sz w:val="22"/>
                <w:szCs w:val="22"/>
              </w:rPr>
            </w:pPr>
            <w:r w:rsidRPr="00C95AAF">
              <w:rPr>
                <w:color w:val="000000"/>
                <w:sz w:val="22"/>
                <w:szCs w:val="22"/>
              </w:rPr>
              <w:t>Compensation and benefits manager update the information associated with their registration no later than 30 days after such information changes (subsequent years)</w:t>
            </w:r>
          </w:p>
        </w:tc>
        <w:tc>
          <w:tcPr>
            <w:tcW w:w="0" w:type="auto"/>
            <w:tcBorders>
              <w:top w:val="nil"/>
              <w:left w:val="nil"/>
              <w:bottom w:val="double" w:sz="6" w:space="0" w:color="auto"/>
              <w:right w:val="single" w:sz="4" w:space="0" w:color="auto"/>
            </w:tcBorders>
            <w:noWrap/>
            <w:vAlign w:val="center"/>
            <w:hideMark/>
          </w:tcPr>
          <w:p w:rsidR="00C95AAF" w:rsidRPr="00C95AAF" w:rsidP="00FB0916" w14:paraId="295EECE1" w14:textId="77777777">
            <w:pPr>
              <w:widowControl/>
              <w:autoSpaceDE/>
              <w:autoSpaceDN/>
              <w:adjustRightInd/>
              <w:jc w:val="center"/>
              <w:rPr>
                <w:color w:val="000000"/>
                <w:sz w:val="22"/>
                <w:szCs w:val="22"/>
              </w:rPr>
            </w:pPr>
            <w:r w:rsidRPr="00C95AAF">
              <w:rPr>
                <w:color w:val="000000"/>
                <w:sz w:val="22"/>
                <w:szCs w:val="22"/>
              </w:rPr>
              <w:t>1,585</w:t>
            </w:r>
          </w:p>
        </w:tc>
        <w:tc>
          <w:tcPr>
            <w:tcW w:w="0" w:type="auto"/>
            <w:tcBorders>
              <w:top w:val="nil"/>
              <w:left w:val="nil"/>
              <w:bottom w:val="double" w:sz="6" w:space="0" w:color="auto"/>
              <w:right w:val="single" w:sz="4" w:space="0" w:color="auto"/>
            </w:tcBorders>
            <w:noWrap/>
            <w:vAlign w:val="center"/>
            <w:hideMark/>
          </w:tcPr>
          <w:p w:rsidR="00C95AAF" w:rsidRPr="00C95AAF" w:rsidP="00FB0916" w14:paraId="39B249FB" w14:textId="77777777">
            <w:pPr>
              <w:widowControl/>
              <w:autoSpaceDE/>
              <w:autoSpaceDN/>
              <w:adjustRightInd/>
              <w:jc w:val="center"/>
              <w:rPr>
                <w:color w:val="000000"/>
                <w:sz w:val="22"/>
                <w:szCs w:val="22"/>
              </w:rPr>
            </w:pPr>
            <w:r w:rsidRPr="00C95AAF">
              <w:rPr>
                <w:color w:val="000000"/>
                <w:sz w:val="22"/>
                <w:szCs w:val="22"/>
              </w:rPr>
              <w:t>0.25</w:t>
            </w:r>
          </w:p>
        </w:tc>
        <w:tc>
          <w:tcPr>
            <w:tcW w:w="0" w:type="auto"/>
            <w:tcBorders>
              <w:top w:val="nil"/>
              <w:left w:val="nil"/>
              <w:bottom w:val="double" w:sz="6" w:space="0" w:color="auto"/>
              <w:right w:val="single" w:sz="4" w:space="0" w:color="auto"/>
            </w:tcBorders>
            <w:noWrap/>
            <w:vAlign w:val="center"/>
            <w:hideMark/>
          </w:tcPr>
          <w:p w:rsidR="00C95AAF" w:rsidRPr="00C95AAF" w:rsidP="00FB0916" w14:paraId="07CCFEA6" w14:textId="77777777">
            <w:pPr>
              <w:widowControl/>
              <w:autoSpaceDE/>
              <w:autoSpaceDN/>
              <w:adjustRightInd/>
              <w:jc w:val="center"/>
              <w:rPr>
                <w:color w:val="000000"/>
                <w:sz w:val="22"/>
                <w:szCs w:val="22"/>
              </w:rPr>
            </w:pPr>
            <w:r w:rsidRPr="00C95AAF">
              <w:rPr>
                <w:color w:val="000000"/>
                <w:sz w:val="22"/>
                <w:szCs w:val="22"/>
              </w:rPr>
              <w:t>396</w:t>
            </w:r>
          </w:p>
        </w:tc>
        <w:tc>
          <w:tcPr>
            <w:tcW w:w="0" w:type="auto"/>
            <w:tcBorders>
              <w:top w:val="nil"/>
              <w:left w:val="nil"/>
              <w:bottom w:val="double" w:sz="6" w:space="0" w:color="auto"/>
              <w:right w:val="single" w:sz="4" w:space="0" w:color="auto"/>
            </w:tcBorders>
            <w:noWrap/>
            <w:vAlign w:val="center"/>
            <w:hideMark/>
          </w:tcPr>
          <w:p w:rsidR="00C95AAF" w:rsidRPr="00C95AAF" w:rsidP="00FB0916" w14:paraId="5E51DF53" w14:textId="77777777">
            <w:pPr>
              <w:widowControl/>
              <w:autoSpaceDE/>
              <w:autoSpaceDN/>
              <w:adjustRightInd/>
              <w:jc w:val="center"/>
              <w:rPr>
                <w:color w:val="000000"/>
                <w:sz w:val="22"/>
                <w:szCs w:val="22"/>
              </w:rPr>
            </w:pPr>
            <w:r w:rsidRPr="00C95AAF">
              <w:rPr>
                <w:color w:val="000000"/>
                <w:sz w:val="22"/>
                <w:szCs w:val="22"/>
              </w:rPr>
              <w:t>$193.15</w:t>
            </w:r>
          </w:p>
        </w:tc>
        <w:tc>
          <w:tcPr>
            <w:tcW w:w="0" w:type="auto"/>
            <w:tcBorders>
              <w:top w:val="nil"/>
              <w:left w:val="nil"/>
              <w:bottom w:val="double" w:sz="6" w:space="0" w:color="auto"/>
              <w:right w:val="single" w:sz="4" w:space="0" w:color="auto"/>
            </w:tcBorders>
            <w:noWrap/>
            <w:vAlign w:val="center"/>
            <w:hideMark/>
          </w:tcPr>
          <w:p w:rsidR="00C95AAF" w:rsidRPr="00C95AAF" w:rsidP="00FB0916" w14:paraId="05F155C3" w14:textId="77777777">
            <w:pPr>
              <w:widowControl/>
              <w:autoSpaceDE/>
              <w:autoSpaceDN/>
              <w:adjustRightInd/>
              <w:jc w:val="center"/>
              <w:rPr>
                <w:color w:val="000000"/>
                <w:sz w:val="22"/>
                <w:szCs w:val="22"/>
              </w:rPr>
            </w:pPr>
            <w:r w:rsidRPr="00C95AAF">
              <w:rPr>
                <w:color w:val="000000"/>
                <w:sz w:val="22"/>
                <w:szCs w:val="22"/>
              </w:rPr>
              <w:t>$76,536</w:t>
            </w:r>
          </w:p>
        </w:tc>
      </w:tr>
      <w:tr w14:paraId="73293DC0" w14:textId="77777777">
        <w:tblPrEx>
          <w:tblW w:w="0" w:type="auto"/>
          <w:tblLook w:val="04A0"/>
        </w:tblPrEx>
        <w:trPr>
          <w:trHeight w:val="300"/>
        </w:trPr>
        <w:tc>
          <w:tcPr>
            <w:tcW w:w="0" w:type="auto"/>
            <w:tcBorders>
              <w:top w:val="nil"/>
              <w:left w:val="single" w:sz="4" w:space="0" w:color="auto"/>
              <w:bottom w:val="single" w:sz="4" w:space="0" w:color="auto"/>
              <w:right w:val="single" w:sz="4" w:space="0" w:color="auto"/>
            </w:tcBorders>
            <w:vAlign w:val="center"/>
            <w:hideMark/>
          </w:tcPr>
          <w:p w:rsidR="00AC409C" w:rsidRPr="00C95AAF" w:rsidP="00AC409C" w14:paraId="73D1EB82" w14:textId="77777777">
            <w:pPr>
              <w:widowControl/>
              <w:autoSpaceDE/>
              <w:autoSpaceDN/>
              <w:adjustRightInd/>
              <w:rPr>
                <w:b/>
                <w:bCs/>
                <w:color w:val="000000"/>
                <w:sz w:val="22"/>
                <w:szCs w:val="22"/>
              </w:rPr>
            </w:pPr>
            <w:r w:rsidRPr="00C95AAF">
              <w:rPr>
                <w:b/>
                <w:bCs/>
                <w:color w:val="000000"/>
                <w:sz w:val="22"/>
                <w:szCs w:val="22"/>
              </w:rPr>
              <w:t>Total (First-Year)</w:t>
            </w:r>
          </w:p>
        </w:tc>
        <w:tc>
          <w:tcPr>
            <w:tcW w:w="0" w:type="auto"/>
            <w:tcBorders>
              <w:top w:val="nil"/>
              <w:left w:val="nil"/>
              <w:bottom w:val="nil"/>
              <w:right w:val="single" w:sz="4" w:space="0" w:color="auto"/>
            </w:tcBorders>
            <w:noWrap/>
            <w:vAlign w:val="center"/>
            <w:hideMark/>
          </w:tcPr>
          <w:p w:rsidR="00AC409C" w:rsidRPr="00C95AAF" w:rsidP="00FB0916" w14:paraId="5744D449" w14:textId="77777777">
            <w:pPr>
              <w:widowControl/>
              <w:autoSpaceDE/>
              <w:autoSpaceDN/>
              <w:adjustRightInd/>
              <w:jc w:val="center"/>
              <w:rPr>
                <w:b/>
                <w:bCs/>
                <w:color w:val="000000"/>
                <w:sz w:val="22"/>
                <w:szCs w:val="22"/>
              </w:rPr>
            </w:pPr>
            <w:r w:rsidRPr="00C95AAF">
              <w:rPr>
                <w:b/>
                <w:bCs/>
                <w:color w:val="000000"/>
                <w:sz w:val="22"/>
                <w:szCs w:val="22"/>
              </w:rPr>
              <w:t>1,585</w:t>
            </w:r>
          </w:p>
        </w:tc>
        <w:tc>
          <w:tcPr>
            <w:tcW w:w="0" w:type="auto"/>
            <w:tcBorders>
              <w:top w:val="nil"/>
              <w:left w:val="nil"/>
              <w:bottom w:val="nil"/>
              <w:right w:val="single" w:sz="4" w:space="0" w:color="auto"/>
            </w:tcBorders>
            <w:noWrap/>
            <w:vAlign w:val="center"/>
            <w:hideMark/>
          </w:tcPr>
          <w:p w:rsidR="00AC409C" w:rsidRPr="00C95AAF" w:rsidP="00FB0916" w14:paraId="0690CA51" w14:textId="77777777">
            <w:pPr>
              <w:widowControl/>
              <w:autoSpaceDE/>
              <w:autoSpaceDN/>
              <w:adjustRightInd/>
              <w:jc w:val="center"/>
              <w:rPr>
                <w:color w:val="000000"/>
                <w:sz w:val="22"/>
                <w:szCs w:val="22"/>
              </w:rPr>
            </w:pPr>
            <w:r w:rsidRPr="00C95AAF">
              <w:rPr>
                <w:color w:val="000000"/>
                <w:sz w:val="22"/>
                <w:szCs w:val="22"/>
              </w:rPr>
              <w:t>-</w:t>
            </w:r>
          </w:p>
        </w:tc>
        <w:tc>
          <w:tcPr>
            <w:tcW w:w="0" w:type="auto"/>
            <w:tcBorders>
              <w:top w:val="nil"/>
              <w:left w:val="nil"/>
              <w:bottom w:val="nil"/>
              <w:right w:val="single" w:sz="4" w:space="0" w:color="auto"/>
            </w:tcBorders>
            <w:noWrap/>
            <w:vAlign w:val="center"/>
            <w:hideMark/>
          </w:tcPr>
          <w:p w:rsidR="00AC409C" w:rsidRPr="00C95AAF" w:rsidP="00FB0916" w14:paraId="7BAE3813" w14:textId="77777777">
            <w:pPr>
              <w:widowControl/>
              <w:autoSpaceDE/>
              <w:autoSpaceDN/>
              <w:adjustRightInd/>
              <w:jc w:val="center"/>
              <w:rPr>
                <w:b/>
                <w:bCs/>
                <w:color w:val="000000"/>
                <w:sz w:val="22"/>
                <w:szCs w:val="22"/>
              </w:rPr>
            </w:pPr>
            <w:r w:rsidRPr="00C95AAF">
              <w:rPr>
                <w:b/>
                <w:bCs/>
                <w:color w:val="000000"/>
                <w:sz w:val="22"/>
                <w:szCs w:val="22"/>
              </w:rPr>
              <w:t>19,417</w:t>
            </w:r>
          </w:p>
        </w:tc>
        <w:tc>
          <w:tcPr>
            <w:tcW w:w="0" w:type="auto"/>
            <w:tcBorders>
              <w:top w:val="nil"/>
              <w:left w:val="nil"/>
              <w:bottom w:val="nil"/>
              <w:right w:val="single" w:sz="4" w:space="0" w:color="auto"/>
            </w:tcBorders>
            <w:noWrap/>
            <w:vAlign w:val="center"/>
            <w:hideMark/>
          </w:tcPr>
          <w:p w:rsidR="00AC409C" w:rsidRPr="00C95AAF" w:rsidP="00FB0916" w14:paraId="65AA2903" w14:textId="77777777">
            <w:pPr>
              <w:widowControl/>
              <w:autoSpaceDE/>
              <w:autoSpaceDN/>
              <w:adjustRightInd/>
              <w:jc w:val="center"/>
              <w:rPr>
                <w:b/>
                <w:bCs/>
                <w:color w:val="000000"/>
                <w:sz w:val="22"/>
                <w:szCs w:val="22"/>
              </w:rPr>
            </w:pPr>
            <w:r w:rsidRPr="00C95AAF">
              <w:rPr>
                <w:b/>
                <w:bCs/>
                <w:color w:val="000000"/>
                <w:sz w:val="22"/>
                <w:szCs w:val="22"/>
              </w:rPr>
              <w:t>-</w:t>
            </w:r>
          </w:p>
        </w:tc>
        <w:tc>
          <w:tcPr>
            <w:tcW w:w="0" w:type="auto"/>
            <w:tcBorders>
              <w:top w:val="double" w:sz="6" w:space="0" w:color="auto"/>
              <w:left w:val="single" w:sz="4" w:space="0" w:color="auto"/>
              <w:bottom w:val="nil"/>
              <w:right w:val="single" w:sz="4" w:space="0" w:color="auto"/>
            </w:tcBorders>
            <w:noWrap/>
            <w:vAlign w:val="center"/>
            <w:hideMark/>
          </w:tcPr>
          <w:p w:rsidR="00AC409C" w:rsidRPr="00C95AAF" w:rsidP="00FB0916" w14:paraId="4BF43886" w14:textId="33F4DDE8">
            <w:pPr>
              <w:widowControl/>
              <w:autoSpaceDE/>
              <w:autoSpaceDN/>
              <w:adjustRightInd/>
              <w:jc w:val="center"/>
              <w:rPr>
                <w:b/>
                <w:bCs/>
                <w:color w:val="000000"/>
                <w:sz w:val="22"/>
                <w:szCs w:val="22"/>
              </w:rPr>
            </w:pPr>
            <w:r>
              <w:rPr>
                <w:b/>
                <w:bCs/>
                <w:color w:val="000000"/>
                <w:sz w:val="22"/>
                <w:szCs w:val="22"/>
              </w:rPr>
              <w:t>$2,206,807</w:t>
            </w:r>
          </w:p>
        </w:tc>
      </w:tr>
      <w:tr w14:paraId="12D23C39" w14:textId="77777777">
        <w:tblPrEx>
          <w:tblW w:w="0" w:type="auto"/>
          <w:tblLook w:val="04A0"/>
        </w:tblPrEx>
        <w:trPr>
          <w:trHeight w:val="290"/>
        </w:trPr>
        <w:tc>
          <w:tcPr>
            <w:tcW w:w="0" w:type="auto"/>
            <w:tcBorders>
              <w:top w:val="nil"/>
              <w:left w:val="single" w:sz="4" w:space="0" w:color="auto"/>
              <w:bottom w:val="single" w:sz="4" w:space="0" w:color="auto"/>
              <w:right w:val="single" w:sz="4" w:space="0" w:color="auto"/>
            </w:tcBorders>
            <w:vAlign w:val="center"/>
            <w:hideMark/>
          </w:tcPr>
          <w:p w:rsidR="00AC409C" w:rsidRPr="00C95AAF" w:rsidP="00AC409C" w14:paraId="1032DD1F" w14:textId="77777777">
            <w:pPr>
              <w:widowControl/>
              <w:autoSpaceDE/>
              <w:autoSpaceDN/>
              <w:adjustRightInd/>
              <w:rPr>
                <w:b/>
                <w:bCs/>
                <w:color w:val="000000"/>
                <w:sz w:val="22"/>
                <w:szCs w:val="22"/>
              </w:rPr>
            </w:pPr>
            <w:r w:rsidRPr="00C95AAF">
              <w:rPr>
                <w:b/>
                <w:bCs/>
                <w:color w:val="000000"/>
                <w:sz w:val="22"/>
                <w:szCs w:val="22"/>
              </w:rPr>
              <w:t>Total (Subsequent-Years)</w:t>
            </w:r>
          </w:p>
        </w:tc>
        <w:tc>
          <w:tcPr>
            <w:tcW w:w="0" w:type="auto"/>
            <w:tcBorders>
              <w:top w:val="single" w:sz="4" w:space="0" w:color="auto"/>
              <w:left w:val="nil"/>
              <w:bottom w:val="single" w:sz="4" w:space="0" w:color="auto"/>
              <w:right w:val="single" w:sz="4" w:space="0" w:color="auto"/>
            </w:tcBorders>
            <w:noWrap/>
            <w:vAlign w:val="center"/>
            <w:hideMark/>
          </w:tcPr>
          <w:p w:rsidR="00AC409C" w:rsidRPr="00C95AAF" w:rsidP="00FB0916" w14:paraId="0A59B72C" w14:textId="77777777">
            <w:pPr>
              <w:widowControl/>
              <w:autoSpaceDE/>
              <w:autoSpaceDN/>
              <w:adjustRightInd/>
              <w:jc w:val="center"/>
              <w:rPr>
                <w:b/>
                <w:bCs/>
                <w:color w:val="000000"/>
                <w:sz w:val="22"/>
                <w:szCs w:val="22"/>
              </w:rPr>
            </w:pPr>
            <w:r w:rsidRPr="00C95AAF">
              <w:rPr>
                <w:b/>
                <w:bCs/>
                <w:color w:val="000000"/>
                <w:sz w:val="22"/>
                <w:szCs w:val="22"/>
              </w:rPr>
              <w:t>1,585</w:t>
            </w:r>
          </w:p>
        </w:tc>
        <w:tc>
          <w:tcPr>
            <w:tcW w:w="0" w:type="auto"/>
            <w:tcBorders>
              <w:top w:val="single" w:sz="4" w:space="0" w:color="auto"/>
              <w:left w:val="nil"/>
              <w:bottom w:val="single" w:sz="4" w:space="0" w:color="auto"/>
              <w:right w:val="single" w:sz="4" w:space="0" w:color="auto"/>
            </w:tcBorders>
            <w:noWrap/>
            <w:vAlign w:val="center"/>
            <w:hideMark/>
          </w:tcPr>
          <w:p w:rsidR="00AC409C" w:rsidRPr="00C95AAF" w:rsidP="00FB0916" w14:paraId="2ED4BC59" w14:textId="77777777">
            <w:pPr>
              <w:widowControl/>
              <w:autoSpaceDE/>
              <w:autoSpaceDN/>
              <w:adjustRightInd/>
              <w:jc w:val="center"/>
              <w:rPr>
                <w:color w:val="000000"/>
                <w:sz w:val="22"/>
                <w:szCs w:val="22"/>
              </w:rPr>
            </w:pPr>
            <w:r w:rsidRPr="00C95AAF">
              <w:rPr>
                <w:color w:val="000000"/>
                <w:sz w:val="22"/>
                <w:szCs w:val="22"/>
              </w:rPr>
              <w:t>-</w:t>
            </w:r>
          </w:p>
        </w:tc>
        <w:tc>
          <w:tcPr>
            <w:tcW w:w="0" w:type="auto"/>
            <w:tcBorders>
              <w:top w:val="single" w:sz="4" w:space="0" w:color="auto"/>
              <w:left w:val="nil"/>
              <w:bottom w:val="single" w:sz="4" w:space="0" w:color="auto"/>
              <w:right w:val="single" w:sz="4" w:space="0" w:color="auto"/>
            </w:tcBorders>
            <w:noWrap/>
            <w:vAlign w:val="center"/>
            <w:hideMark/>
          </w:tcPr>
          <w:p w:rsidR="00AC409C" w:rsidRPr="00C95AAF" w:rsidP="00FB0916" w14:paraId="324A6000" w14:textId="77777777">
            <w:pPr>
              <w:widowControl/>
              <w:autoSpaceDE/>
              <w:autoSpaceDN/>
              <w:adjustRightInd/>
              <w:jc w:val="center"/>
              <w:rPr>
                <w:b/>
                <w:bCs/>
                <w:color w:val="000000"/>
                <w:sz w:val="22"/>
                <w:szCs w:val="22"/>
              </w:rPr>
            </w:pPr>
            <w:r w:rsidRPr="00C95AAF">
              <w:rPr>
                <w:b/>
                <w:bCs/>
                <w:color w:val="000000"/>
                <w:sz w:val="22"/>
                <w:szCs w:val="22"/>
              </w:rPr>
              <w:t>1,189</w:t>
            </w:r>
          </w:p>
        </w:tc>
        <w:tc>
          <w:tcPr>
            <w:tcW w:w="0" w:type="auto"/>
            <w:tcBorders>
              <w:top w:val="single" w:sz="4" w:space="0" w:color="auto"/>
              <w:left w:val="nil"/>
              <w:bottom w:val="single" w:sz="4" w:space="0" w:color="auto"/>
              <w:right w:val="single" w:sz="4" w:space="0" w:color="auto"/>
            </w:tcBorders>
            <w:noWrap/>
            <w:vAlign w:val="center"/>
            <w:hideMark/>
          </w:tcPr>
          <w:p w:rsidR="00AC409C" w:rsidRPr="00C95AAF" w:rsidP="00FB0916" w14:paraId="6A51A648" w14:textId="77777777">
            <w:pPr>
              <w:widowControl/>
              <w:autoSpaceDE/>
              <w:autoSpaceDN/>
              <w:adjustRightInd/>
              <w:jc w:val="center"/>
              <w:rPr>
                <w:b/>
                <w:bCs/>
                <w:color w:val="000000"/>
                <w:sz w:val="22"/>
                <w:szCs w:val="22"/>
              </w:rPr>
            </w:pPr>
            <w:r w:rsidRPr="00C95AAF">
              <w:rPr>
                <w:b/>
                <w:bCs/>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AC409C" w:rsidRPr="00C95AAF" w:rsidP="00FB0916" w14:paraId="59650088" w14:textId="022E0E16">
            <w:pPr>
              <w:widowControl/>
              <w:autoSpaceDE/>
              <w:autoSpaceDN/>
              <w:adjustRightInd/>
              <w:jc w:val="center"/>
              <w:rPr>
                <w:b/>
                <w:bCs/>
                <w:color w:val="000000"/>
                <w:sz w:val="22"/>
                <w:szCs w:val="22"/>
              </w:rPr>
            </w:pPr>
            <w:r>
              <w:rPr>
                <w:b/>
                <w:bCs/>
                <w:color w:val="000000"/>
                <w:sz w:val="22"/>
                <w:szCs w:val="22"/>
              </w:rPr>
              <w:t>$134,246</w:t>
            </w:r>
          </w:p>
        </w:tc>
      </w:tr>
      <w:tr w14:paraId="4BC34293" w14:textId="77777777">
        <w:tblPrEx>
          <w:tblW w:w="0" w:type="auto"/>
          <w:tblLook w:val="04A0"/>
        </w:tblPrEx>
        <w:trPr>
          <w:trHeight w:val="290"/>
        </w:trPr>
        <w:tc>
          <w:tcPr>
            <w:tcW w:w="0" w:type="auto"/>
            <w:tcBorders>
              <w:top w:val="nil"/>
              <w:left w:val="single" w:sz="4" w:space="0" w:color="auto"/>
              <w:bottom w:val="single" w:sz="4" w:space="0" w:color="auto"/>
              <w:right w:val="single" w:sz="4" w:space="0" w:color="auto"/>
            </w:tcBorders>
            <w:noWrap/>
            <w:vAlign w:val="center"/>
            <w:hideMark/>
          </w:tcPr>
          <w:p w:rsidR="00AC409C" w:rsidRPr="00C95AAF" w:rsidP="00AC409C" w14:paraId="265D0FE1" w14:textId="77777777">
            <w:pPr>
              <w:widowControl/>
              <w:autoSpaceDE/>
              <w:autoSpaceDN/>
              <w:adjustRightInd/>
              <w:rPr>
                <w:b/>
                <w:bCs/>
                <w:color w:val="000000"/>
                <w:sz w:val="22"/>
                <w:szCs w:val="22"/>
              </w:rPr>
            </w:pPr>
            <w:r w:rsidRPr="00C95AAF">
              <w:rPr>
                <w:b/>
                <w:bCs/>
                <w:color w:val="000000"/>
                <w:sz w:val="22"/>
                <w:szCs w:val="22"/>
              </w:rPr>
              <w:t>Total (Three-Year Average)</w:t>
            </w:r>
          </w:p>
        </w:tc>
        <w:tc>
          <w:tcPr>
            <w:tcW w:w="0" w:type="auto"/>
            <w:tcBorders>
              <w:top w:val="nil"/>
              <w:left w:val="nil"/>
              <w:bottom w:val="single" w:sz="4" w:space="0" w:color="auto"/>
              <w:right w:val="single" w:sz="4" w:space="0" w:color="auto"/>
            </w:tcBorders>
            <w:noWrap/>
            <w:vAlign w:val="center"/>
            <w:hideMark/>
          </w:tcPr>
          <w:p w:rsidR="00AC409C" w:rsidRPr="00C95AAF" w:rsidP="00FB0916" w14:paraId="5B36F4EA" w14:textId="77777777">
            <w:pPr>
              <w:widowControl/>
              <w:autoSpaceDE/>
              <w:autoSpaceDN/>
              <w:adjustRightInd/>
              <w:jc w:val="center"/>
              <w:rPr>
                <w:b/>
                <w:bCs/>
                <w:color w:val="000000"/>
                <w:sz w:val="22"/>
                <w:szCs w:val="22"/>
              </w:rPr>
            </w:pPr>
            <w:r w:rsidRPr="00C95AAF">
              <w:rPr>
                <w:b/>
                <w:bCs/>
                <w:color w:val="000000"/>
                <w:sz w:val="22"/>
                <w:szCs w:val="22"/>
              </w:rPr>
              <w:t>1,585</w:t>
            </w:r>
          </w:p>
        </w:tc>
        <w:tc>
          <w:tcPr>
            <w:tcW w:w="0" w:type="auto"/>
            <w:tcBorders>
              <w:top w:val="nil"/>
              <w:left w:val="nil"/>
              <w:bottom w:val="single" w:sz="4" w:space="0" w:color="auto"/>
              <w:right w:val="single" w:sz="4" w:space="0" w:color="auto"/>
            </w:tcBorders>
            <w:noWrap/>
            <w:vAlign w:val="center"/>
            <w:hideMark/>
          </w:tcPr>
          <w:p w:rsidR="00AC409C" w:rsidRPr="00C95AAF" w:rsidP="00FB0916" w14:paraId="665EAE77" w14:textId="77777777">
            <w:pPr>
              <w:widowControl/>
              <w:autoSpaceDE/>
              <w:autoSpaceDN/>
              <w:adjustRightInd/>
              <w:jc w:val="center"/>
              <w:rPr>
                <w:b/>
                <w:bCs/>
                <w:color w:val="000000"/>
                <w:sz w:val="22"/>
                <w:szCs w:val="22"/>
              </w:rPr>
            </w:pPr>
            <w:r w:rsidRPr="00C95AAF">
              <w:rPr>
                <w:b/>
                <w:bCs/>
                <w:color w:val="000000"/>
                <w:sz w:val="22"/>
                <w:szCs w:val="22"/>
              </w:rPr>
              <w:t>-</w:t>
            </w:r>
          </w:p>
        </w:tc>
        <w:tc>
          <w:tcPr>
            <w:tcW w:w="0" w:type="auto"/>
            <w:tcBorders>
              <w:top w:val="nil"/>
              <w:left w:val="nil"/>
              <w:bottom w:val="single" w:sz="4" w:space="0" w:color="auto"/>
              <w:right w:val="single" w:sz="4" w:space="0" w:color="auto"/>
            </w:tcBorders>
            <w:noWrap/>
            <w:vAlign w:val="center"/>
            <w:hideMark/>
          </w:tcPr>
          <w:p w:rsidR="00AC409C" w:rsidRPr="00C95AAF" w:rsidP="00FB0916" w14:paraId="5957F5ED" w14:textId="77777777">
            <w:pPr>
              <w:widowControl/>
              <w:autoSpaceDE/>
              <w:autoSpaceDN/>
              <w:adjustRightInd/>
              <w:jc w:val="center"/>
              <w:rPr>
                <w:b/>
                <w:bCs/>
                <w:color w:val="000000"/>
                <w:sz w:val="22"/>
                <w:szCs w:val="22"/>
              </w:rPr>
            </w:pPr>
            <w:r w:rsidRPr="00C95AAF">
              <w:rPr>
                <w:b/>
                <w:bCs/>
                <w:color w:val="000000"/>
                <w:sz w:val="22"/>
                <w:szCs w:val="22"/>
              </w:rPr>
              <w:t>7,265</w:t>
            </w:r>
          </w:p>
        </w:tc>
        <w:tc>
          <w:tcPr>
            <w:tcW w:w="0" w:type="auto"/>
            <w:tcBorders>
              <w:top w:val="nil"/>
              <w:left w:val="nil"/>
              <w:bottom w:val="single" w:sz="4" w:space="0" w:color="auto"/>
              <w:right w:val="single" w:sz="4" w:space="0" w:color="auto"/>
            </w:tcBorders>
            <w:noWrap/>
            <w:vAlign w:val="center"/>
            <w:hideMark/>
          </w:tcPr>
          <w:p w:rsidR="00AC409C" w:rsidRPr="00C95AAF" w:rsidP="00FB0916" w14:paraId="1E82781D" w14:textId="77777777">
            <w:pPr>
              <w:widowControl/>
              <w:autoSpaceDE/>
              <w:autoSpaceDN/>
              <w:adjustRightInd/>
              <w:jc w:val="center"/>
              <w:rPr>
                <w:b/>
                <w:bCs/>
                <w:color w:val="000000"/>
                <w:sz w:val="22"/>
                <w:szCs w:val="22"/>
              </w:rPr>
            </w:pPr>
            <w:r w:rsidRPr="00C95AAF">
              <w:rPr>
                <w:b/>
                <w:bCs/>
                <w:color w:val="000000"/>
                <w:sz w:val="22"/>
                <w:szCs w:val="22"/>
              </w:rPr>
              <w:t>-</w:t>
            </w:r>
          </w:p>
        </w:tc>
        <w:tc>
          <w:tcPr>
            <w:tcW w:w="0" w:type="auto"/>
            <w:tcBorders>
              <w:top w:val="nil"/>
              <w:left w:val="single" w:sz="4" w:space="0" w:color="auto"/>
              <w:bottom w:val="single" w:sz="4" w:space="0" w:color="auto"/>
              <w:right w:val="single" w:sz="4" w:space="0" w:color="auto"/>
            </w:tcBorders>
            <w:noWrap/>
            <w:vAlign w:val="center"/>
            <w:hideMark/>
          </w:tcPr>
          <w:p w:rsidR="00AC409C" w:rsidRPr="00C95AAF" w:rsidP="00FB0916" w14:paraId="0E46C369" w14:textId="77C05458">
            <w:pPr>
              <w:widowControl/>
              <w:autoSpaceDE/>
              <w:autoSpaceDN/>
              <w:adjustRightInd/>
              <w:jc w:val="center"/>
              <w:rPr>
                <w:b/>
                <w:bCs/>
                <w:color w:val="000000"/>
                <w:sz w:val="22"/>
                <w:szCs w:val="22"/>
              </w:rPr>
            </w:pPr>
            <w:r>
              <w:rPr>
                <w:b/>
                <w:bCs/>
                <w:color w:val="000000"/>
                <w:sz w:val="22"/>
                <w:szCs w:val="22"/>
              </w:rPr>
              <w:t>$825,099</w:t>
            </w:r>
          </w:p>
        </w:tc>
      </w:tr>
    </w:tbl>
    <w:p w:rsidR="00E903B0" w:rsidRPr="00E259C0" w:rsidP="00020B35" w14:paraId="3E0FD496" w14:textId="77777777"/>
    <w:p w:rsidR="009B32B1" w:rsidRPr="00E259C0" w:rsidP="008627F3" w14:paraId="79A9B56C" w14:textId="535CF297">
      <w:pPr>
        <w:ind w:left="720"/>
        <w:rPr>
          <w:b/>
          <w:i/>
          <w:u w:val="single"/>
        </w:rPr>
      </w:pPr>
      <w:r w:rsidRPr="00E259C0">
        <w:rPr>
          <w:b/>
          <w:i/>
          <w:u w:val="single"/>
        </w:rPr>
        <w:t>Total Hour Burden Summary</w:t>
      </w:r>
    </w:p>
    <w:p w:rsidR="007310E1" w:rsidRPr="00E259C0" w:rsidP="002470EC" w14:paraId="2A11821A" w14:textId="75B0E78E"/>
    <w:p w:rsidR="006A19CA" w:rsidRPr="00E259C0" w:rsidP="001039D4" w14:paraId="1E9076B3" w14:textId="5083D105">
      <w:pPr>
        <w:ind w:left="720"/>
      </w:pPr>
      <w:r>
        <w:t xml:space="preserve">As the Departments and OPM share jurisdiction, </w:t>
      </w:r>
      <w:r w:rsidR="00512D44">
        <w:t xml:space="preserve">DOL </w:t>
      </w:r>
      <w:r w:rsidR="00AD43AE">
        <w:t>will</w:t>
      </w:r>
      <w:r w:rsidR="00512D44">
        <w:t xml:space="preserve"> account for 25 percent of the hour burden. </w:t>
      </w:r>
      <w:r w:rsidRPr="00E259C0" w:rsidR="00CC7212">
        <w:t xml:space="preserve">Please see Table </w:t>
      </w:r>
      <w:r w:rsidRPr="00E259C0" w:rsidR="00BF2306">
        <w:t>5</w:t>
      </w:r>
      <w:r w:rsidRPr="00E259C0" w:rsidR="00CC7212">
        <w:t xml:space="preserve"> for burden totals. </w:t>
      </w:r>
    </w:p>
    <w:p w:rsidR="007F1D77" w:rsidRPr="00E259C0" w:rsidP="00487A1E" w14:paraId="19C5D2A7" w14:textId="2C2601C4">
      <w:pPr>
        <w:pStyle w:val="HeadingStyle"/>
        <w:ind w:firstLine="0"/>
        <w:rPr>
          <w:rFonts w:ascii="Times New Roman" w:hAnsi="Times New Roman" w:cs="Times New Roman"/>
          <w:b w:val="0"/>
          <w:bCs w:val="0"/>
          <w:color w:val="auto"/>
        </w:rPr>
      </w:pPr>
      <w:r w:rsidRPr="00E259C0">
        <w:rPr>
          <w:rFonts w:ascii="Times New Roman" w:hAnsi="Times New Roman" w:cs="Times New Roman"/>
          <w:color w:val="auto"/>
        </w:rPr>
        <w:t xml:space="preserve">Table </w:t>
      </w:r>
      <w:r w:rsidRPr="00E259C0" w:rsidR="00BF2306">
        <w:rPr>
          <w:rFonts w:ascii="Times New Roman" w:hAnsi="Times New Roman" w:cs="Times New Roman"/>
          <w:color w:val="auto"/>
        </w:rPr>
        <w:t>5</w:t>
      </w:r>
      <w:r w:rsidRPr="00E259C0">
        <w:rPr>
          <w:rFonts w:ascii="Times New Roman" w:hAnsi="Times New Roman" w:cs="Times New Roman"/>
          <w:color w:val="auto"/>
        </w:rPr>
        <w:t>. Total Hour Burden</w:t>
      </w:r>
    </w:p>
    <w:p w:rsidR="006A19CA" w:rsidRPr="00E259C0" w:rsidP="001039D4" w14:paraId="2AD1D7CF" w14:textId="77777777">
      <w:pPr>
        <w:ind w:left="720"/>
      </w:pPr>
    </w:p>
    <w:tbl>
      <w:tblPr>
        <w:tblpPr w:leftFromText="180" w:rightFromText="180" w:vertAnchor="text" w:horzAnchor="margin" w:tblpXSpec="center" w:tblpY="111"/>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0"/>
        <w:gridCol w:w="1800"/>
        <w:gridCol w:w="1620"/>
      </w:tblGrid>
      <w:tr w14:paraId="19EC829F" w14:textId="77777777" w:rsidTr="005212ED">
        <w:tblPrEx>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70"/>
        </w:trPr>
        <w:tc>
          <w:tcPr>
            <w:tcW w:w="6020" w:type="dxa"/>
            <w:noWrap/>
            <w:vAlign w:val="center"/>
            <w:hideMark/>
          </w:tcPr>
          <w:p w:rsidR="007F1D77" w:rsidRPr="00E259C0" w:rsidP="007F1D77" w14:paraId="1D7BA12C" w14:textId="77777777">
            <w:pPr>
              <w:widowControl/>
              <w:autoSpaceDE/>
              <w:autoSpaceDN/>
              <w:adjustRightInd/>
              <w:rPr>
                <w:sz w:val="22"/>
                <w:szCs w:val="22"/>
              </w:rPr>
            </w:pPr>
            <w:r w:rsidRPr="00E259C0">
              <w:rPr>
                <w:sz w:val="22"/>
                <w:szCs w:val="22"/>
              </w:rPr>
              <w:t> </w:t>
            </w:r>
          </w:p>
        </w:tc>
        <w:tc>
          <w:tcPr>
            <w:tcW w:w="1800" w:type="dxa"/>
            <w:vAlign w:val="center"/>
            <w:hideMark/>
          </w:tcPr>
          <w:p w:rsidR="007F1D77" w:rsidRPr="00E259C0" w:rsidP="007F1D77" w14:paraId="2AE2E89B" w14:textId="77777777">
            <w:pPr>
              <w:widowControl/>
              <w:autoSpaceDE/>
              <w:autoSpaceDN/>
              <w:adjustRightInd/>
              <w:jc w:val="center"/>
              <w:rPr>
                <w:b/>
                <w:bCs/>
                <w:sz w:val="22"/>
                <w:szCs w:val="22"/>
              </w:rPr>
            </w:pPr>
            <w:r w:rsidRPr="00E259C0">
              <w:rPr>
                <w:b/>
                <w:bCs/>
                <w:sz w:val="22"/>
                <w:szCs w:val="22"/>
              </w:rPr>
              <w:t>Total for All Agencies</w:t>
            </w:r>
          </w:p>
        </w:tc>
        <w:tc>
          <w:tcPr>
            <w:tcW w:w="1620" w:type="dxa"/>
            <w:vAlign w:val="center"/>
            <w:hideMark/>
          </w:tcPr>
          <w:p w:rsidR="007F1D77" w:rsidRPr="00E259C0" w:rsidP="007F1D77" w14:paraId="5E02510F" w14:textId="77777777">
            <w:pPr>
              <w:widowControl/>
              <w:autoSpaceDE/>
              <w:autoSpaceDN/>
              <w:adjustRightInd/>
              <w:jc w:val="center"/>
              <w:rPr>
                <w:b/>
                <w:bCs/>
                <w:sz w:val="22"/>
                <w:szCs w:val="22"/>
              </w:rPr>
            </w:pPr>
            <w:r w:rsidRPr="00E259C0">
              <w:rPr>
                <w:b/>
                <w:bCs/>
                <w:sz w:val="22"/>
                <w:szCs w:val="22"/>
              </w:rPr>
              <w:t>DOL Total</w:t>
            </w:r>
          </w:p>
        </w:tc>
      </w:tr>
      <w:tr w14:paraId="0DEC7E09" w14:textId="77777777" w:rsidTr="00775D3F">
        <w:tblPrEx>
          <w:tblW w:w="9440" w:type="dxa"/>
          <w:tblLook w:val="04A0"/>
        </w:tblPrEx>
        <w:trPr>
          <w:trHeight w:val="300"/>
        </w:trPr>
        <w:tc>
          <w:tcPr>
            <w:tcW w:w="6020" w:type="dxa"/>
            <w:vAlign w:val="center"/>
            <w:hideMark/>
          </w:tcPr>
          <w:p w:rsidR="00C33575" w:rsidRPr="00E259C0" w:rsidP="00C33575" w14:paraId="215BBCE5" w14:textId="77777777">
            <w:pPr>
              <w:widowControl/>
              <w:autoSpaceDE/>
              <w:autoSpaceDN/>
              <w:adjustRightInd/>
              <w:rPr>
                <w:sz w:val="22"/>
                <w:szCs w:val="22"/>
              </w:rPr>
            </w:pPr>
            <w:r w:rsidRPr="00E259C0">
              <w:rPr>
                <w:sz w:val="22"/>
                <w:szCs w:val="22"/>
              </w:rPr>
              <w:t>Total Hour Burden (First Year)</w:t>
            </w:r>
          </w:p>
        </w:tc>
        <w:tc>
          <w:tcPr>
            <w:tcW w:w="1800" w:type="dxa"/>
            <w:tcBorders>
              <w:top w:val="single" w:sz="4" w:space="0" w:color="auto"/>
              <w:left w:val="single" w:sz="4" w:space="0" w:color="auto"/>
              <w:bottom w:val="single" w:sz="4" w:space="0" w:color="auto"/>
              <w:right w:val="single" w:sz="4" w:space="0" w:color="auto"/>
            </w:tcBorders>
            <w:vAlign w:val="center"/>
            <w:hideMark/>
          </w:tcPr>
          <w:p w:rsidR="00C33575" w:rsidRPr="00E259C0" w:rsidP="00C33575" w14:paraId="576A5A55" w14:textId="00AA8FCF">
            <w:pPr>
              <w:widowControl/>
              <w:autoSpaceDE/>
              <w:autoSpaceDN/>
              <w:adjustRightInd/>
              <w:jc w:val="center"/>
              <w:rPr>
                <w:sz w:val="22"/>
                <w:szCs w:val="22"/>
              </w:rPr>
            </w:pPr>
            <w:r>
              <w:rPr>
                <w:color w:val="000000"/>
                <w:sz w:val="22"/>
                <w:szCs w:val="22"/>
              </w:rPr>
              <w:t>17,924,403</w:t>
            </w:r>
          </w:p>
        </w:tc>
        <w:tc>
          <w:tcPr>
            <w:tcW w:w="1620" w:type="dxa"/>
            <w:tcBorders>
              <w:top w:val="single" w:sz="4" w:space="0" w:color="auto"/>
              <w:left w:val="nil"/>
              <w:bottom w:val="single" w:sz="4" w:space="0" w:color="auto"/>
              <w:right w:val="single" w:sz="4" w:space="0" w:color="auto"/>
            </w:tcBorders>
            <w:vAlign w:val="center"/>
            <w:hideMark/>
          </w:tcPr>
          <w:p w:rsidR="00C33575" w:rsidRPr="00E259C0" w:rsidP="00C33575" w14:paraId="2618511D" w14:textId="1B290E43">
            <w:pPr>
              <w:widowControl/>
              <w:autoSpaceDE/>
              <w:autoSpaceDN/>
              <w:adjustRightInd/>
              <w:jc w:val="center"/>
              <w:rPr>
                <w:sz w:val="22"/>
                <w:szCs w:val="22"/>
              </w:rPr>
            </w:pPr>
            <w:r>
              <w:rPr>
                <w:color w:val="000000"/>
                <w:sz w:val="22"/>
                <w:szCs w:val="22"/>
              </w:rPr>
              <w:t>3,542,480</w:t>
            </w:r>
          </w:p>
        </w:tc>
      </w:tr>
      <w:tr w14:paraId="490BACDF" w14:textId="77777777" w:rsidTr="00775D3F">
        <w:tblPrEx>
          <w:tblW w:w="9440" w:type="dxa"/>
          <w:tblLook w:val="04A0"/>
        </w:tblPrEx>
        <w:trPr>
          <w:trHeight w:val="322"/>
        </w:trPr>
        <w:tc>
          <w:tcPr>
            <w:tcW w:w="6020" w:type="dxa"/>
            <w:vAlign w:val="center"/>
            <w:hideMark/>
          </w:tcPr>
          <w:p w:rsidR="00C33575" w:rsidRPr="00E259C0" w:rsidP="00C33575" w14:paraId="44ABD119" w14:textId="77777777">
            <w:pPr>
              <w:widowControl/>
              <w:autoSpaceDE/>
              <w:autoSpaceDN/>
              <w:adjustRightInd/>
              <w:rPr>
                <w:sz w:val="22"/>
                <w:szCs w:val="22"/>
              </w:rPr>
            </w:pPr>
            <w:r w:rsidRPr="00E259C0">
              <w:rPr>
                <w:sz w:val="22"/>
                <w:szCs w:val="22"/>
              </w:rPr>
              <w:t>Equivalent Cost of Hour Burden (First Year)</w:t>
            </w:r>
          </w:p>
        </w:tc>
        <w:tc>
          <w:tcPr>
            <w:tcW w:w="1800" w:type="dxa"/>
            <w:tcBorders>
              <w:top w:val="nil"/>
              <w:left w:val="single" w:sz="4" w:space="0" w:color="auto"/>
              <w:bottom w:val="single" w:sz="4" w:space="0" w:color="auto"/>
              <w:right w:val="single" w:sz="4" w:space="0" w:color="auto"/>
            </w:tcBorders>
            <w:vAlign w:val="center"/>
            <w:hideMark/>
          </w:tcPr>
          <w:p w:rsidR="00C33575" w:rsidRPr="00E259C0" w:rsidP="00C33575" w14:paraId="0E817DE8" w14:textId="6A93F20D">
            <w:pPr>
              <w:widowControl/>
              <w:autoSpaceDE/>
              <w:autoSpaceDN/>
              <w:adjustRightInd/>
              <w:jc w:val="center"/>
              <w:rPr>
                <w:sz w:val="22"/>
                <w:szCs w:val="22"/>
              </w:rPr>
            </w:pPr>
            <w:r>
              <w:rPr>
                <w:color w:val="000000"/>
                <w:sz w:val="22"/>
                <w:szCs w:val="22"/>
              </w:rPr>
              <w:t>$2,493,906,563</w:t>
            </w:r>
          </w:p>
        </w:tc>
        <w:tc>
          <w:tcPr>
            <w:tcW w:w="1620" w:type="dxa"/>
            <w:tcBorders>
              <w:top w:val="nil"/>
              <w:left w:val="nil"/>
              <w:bottom w:val="single" w:sz="4" w:space="0" w:color="auto"/>
              <w:right w:val="single" w:sz="4" w:space="0" w:color="auto"/>
            </w:tcBorders>
            <w:vAlign w:val="center"/>
            <w:hideMark/>
          </w:tcPr>
          <w:p w:rsidR="00C33575" w:rsidRPr="00E259C0" w:rsidP="00C33575" w14:paraId="18C7EE3F" w14:textId="1C47DE4A">
            <w:pPr>
              <w:widowControl/>
              <w:autoSpaceDE/>
              <w:autoSpaceDN/>
              <w:adjustRightInd/>
              <w:jc w:val="center"/>
              <w:rPr>
                <w:sz w:val="22"/>
                <w:szCs w:val="22"/>
              </w:rPr>
            </w:pPr>
            <w:r>
              <w:rPr>
                <w:color w:val="000000"/>
                <w:sz w:val="22"/>
                <w:szCs w:val="22"/>
              </w:rPr>
              <w:t>$533,085,595</w:t>
            </w:r>
          </w:p>
        </w:tc>
      </w:tr>
      <w:tr w14:paraId="05388BC5" w14:textId="77777777" w:rsidTr="00775D3F">
        <w:tblPrEx>
          <w:tblW w:w="9440" w:type="dxa"/>
          <w:tblLook w:val="04A0"/>
        </w:tblPrEx>
        <w:trPr>
          <w:trHeight w:val="300"/>
        </w:trPr>
        <w:tc>
          <w:tcPr>
            <w:tcW w:w="6020" w:type="dxa"/>
            <w:vAlign w:val="center"/>
            <w:hideMark/>
          </w:tcPr>
          <w:p w:rsidR="00C33575" w:rsidRPr="00E259C0" w:rsidP="00C33575" w14:paraId="5FF3B383" w14:textId="77777777">
            <w:pPr>
              <w:widowControl/>
              <w:autoSpaceDE/>
              <w:autoSpaceDN/>
              <w:adjustRightInd/>
              <w:rPr>
                <w:sz w:val="22"/>
                <w:szCs w:val="22"/>
              </w:rPr>
            </w:pPr>
            <w:r w:rsidRPr="00E259C0">
              <w:rPr>
                <w:sz w:val="22"/>
                <w:szCs w:val="22"/>
              </w:rPr>
              <w:t>Total Hour Burden (Subsequent Years)</w:t>
            </w:r>
          </w:p>
        </w:tc>
        <w:tc>
          <w:tcPr>
            <w:tcW w:w="1800" w:type="dxa"/>
            <w:tcBorders>
              <w:top w:val="nil"/>
              <w:left w:val="single" w:sz="4" w:space="0" w:color="auto"/>
              <w:bottom w:val="single" w:sz="4" w:space="0" w:color="auto"/>
              <w:right w:val="single" w:sz="4" w:space="0" w:color="auto"/>
            </w:tcBorders>
            <w:noWrap/>
            <w:vAlign w:val="center"/>
            <w:hideMark/>
          </w:tcPr>
          <w:p w:rsidR="00C33575" w:rsidRPr="00E259C0" w:rsidP="00C33575" w14:paraId="233A93E4" w14:textId="629DAD9B">
            <w:pPr>
              <w:widowControl/>
              <w:autoSpaceDE/>
              <w:autoSpaceDN/>
              <w:adjustRightInd/>
              <w:jc w:val="center"/>
              <w:rPr>
                <w:sz w:val="22"/>
                <w:szCs w:val="22"/>
              </w:rPr>
            </w:pPr>
            <w:r>
              <w:rPr>
                <w:color w:val="000000"/>
                <w:sz w:val="22"/>
                <w:szCs w:val="22"/>
              </w:rPr>
              <w:t>17,906,176</w:t>
            </w:r>
          </w:p>
        </w:tc>
        <w:tc>
          <w:tcPr>
            <w:tcW w:w="1620" w:type="dxa"/>
            <w:tcBorders>
              <w:top w:val="nil"/>
              <w:left w:val="nil"/>
              <w:bottom w:val="single" w:sz="4" w:space="0" w:color="auto"/>
              <w:right w:val="single" w:sz="4" w:space="0" w:color="auto"/>
            </w:tcBorders>
            <w:noWrap/>
            <w:vAlign w:val="center"/>
            <w:hideMark/>
          </w:tcPr>
          <w:p w:rsidR="00C33575" w:rsidRPr="00E259C0" w:rsidP="00C33575" w14:paraId="19484981" w14:textId="3E85BBA1">
            <w:pPr>
              <w:widowControl/>
              <w:autoSpaceDE/>
              <w:autoSpaceDN/>
              <w:adjustRightInd/>
              <w:jc w:val="center"/>
              <w:rPr>
                <w:sz w:val="22"/>
                <w:szCs w:val="22"/>
              </w:rPr>
            </w:pPr>
            <w:r>
              <w:rPr>
                <w:color w:val="000000"/>
                <w:sz w:val="22"/>
                <w:szCs w:val="22"/>
              </w:rPr>
              <w:t>$3,537,923</w:t>
            </w:r>
          </w:p>
        </w:tc>
      </w:tr>
      <w:tr w14:paraId="178C08FB" w14:textId="77777777" w:rsidTr="00775D3F">
        <w:tblPrEx>
          <w:tblW w:w="9440" w:type="dxa"/>
          <w:tblLook w:val="04A0"/>
        </w:tblPrEx>
        <w:trPr>
          <w:trHeight w:val="295"/>
        </w:trPr>
        <w:tc>
          <w:tcPr>
            <w:tcW w:w="6020" w:type="dxa"/>
            <w:vAlign w:val="bottom"/>
            <w:hideMark/>
          </w:tcPr>
          <w:p w:rsidR="00C33575" w:rsidRPr="00E259C0" w:rsidP="00C33575" w14:paraId="6556B6FE" w14:textId="77777777">
            <w:pPr>
              <w:widowControl/>
              <w:autoSpaceDE/>
              <w:autoSpaceDN/>
              <w:adjustRightInd/>
              <w:rPr>
                <w:sz w:val="22"/>
                <w:szCs w:val="22"/>
              </w:rPr>
            </w:pPr>
            <w:r w:rsidRPr="00E259C0">
              <w:rPr>
                <w:sz w:val="22"/>
                <w:szCs w:val="22"/>
              </w:rPr>
              <w:t>Equivalent Cost of Hour Burden (Subsequent Years)</w:t>
            </w:r>
          </w:p>
        </w:tc>
        <w:tc>
          <w:tcPr>
            <w:tcW w:w="1800" w:type="dxa"/>
            <w:tcBorders>
              <w:top w:val="nil"/>
              <w:left w:val="single" w:sz="4" w:space="0" w:color="auto"/>
              <w:bottom w:val="double" w:sz="6" w:space="0" w:color="auto"/>
              <w:right w:val="single" w:sz="4" w:space="0" w:color="auto"/>
            </w:tcBorders>
            <w:noWrap/>
            <w:vAlign w:val="center"/>
            <w:hideMark/>
          </w:tcPr>
          <w:p w:rsidR="00C33575" w:rsidRPr="00E259C0" w:rsidP="00C33575" w14:paraId="4AB7117A" w14:textId="49FE20D8">
            <w:pPr>
              <w:widowControl/>
              <w:autoSpaceDE/>
              <w:autoSpaceDN/>
              <w:adjustRightInd/>
              <w:jc w:val="center"/>
              <w:rPr>
                <w:sz w:val="22"/>
                <w:szCs w:val="22"/>
              </w:rPr>
            </w:pPr>
            <w:r>
              <w:rPr>
                <w:color w:val="000000"/>
                <w:sz w:val="22"/>
                <w:szCs w:val="22"/>
              </w:rPr>
              <w:t>$2,491,834,002</w:t>
            </w:r>
          </w:p>
        </w:tc>
        <w:tc>
          <w:tcPr>
            <w:tcW w:w="1620" w:type="dxa"/>
            <w:tcBorders>
              <w:top w:val="nil"/>
              <w:left w:val="nil"/>
              <w:bottom w:val="double" w:sz="6" w:space="0" w:color="auto"/>
              <w:right w:val="single" w:sz="4" w:space="0" w:color="auto"/>
            </w:tcBorders>
            <w:noWrap/>
            <w:vAlign w:val="center"/>
            <w:hideMark/>
          </w:tcPr>
          <w:p w:rsidR="00C33575" w:rsidRPr="00E259C0" w:rsidP="00C33575" w14:paraId="6C26620A" w14:textId="48CECB6C">
            <w:pPr>
              <w:widowControl/>
              <w:autoSpaceDE/>
              <w:autoSpaceDN/>
              <w:adjustRightInd/>
              <w:jc w:val="center"/>
              <w:rPr>
                <w:sz w:val="22"/>
                <w:szCs w:val="22"/>
              </w:rPr>
            </w:pPr>
            <w:r>
              <w:rPr>
                <w:color w:val="000000"/>
                <w:sz w:val="22"/>
                <w:szCs w:val="22"/>
              </w:rPr>
              <w:t>$532,567,455</w:t>
            </w:r>
          </w:p>
        </w:tc>
      </w:tr>
      <w:tr w14:paraId="211B9689" w14:textId="77777777" w:rsidTr="00775D3F">
        <w:tblPrEx>
          <w:tblW w:w="9440" w:type="dxa"/>
          <w:tblLook w:val="04A0"/>
        </w:tblPrEx>
        <w:trPr>
          <w:trHeight w:val="300"/>
        </w:trPr>
        <w:tc>
          <w:tcPr>
            <w:tcW w:w="6020" w:type="dxa"/>
            <w:vAlign w:val="center"/>
            <w:hideMark/>
          </w:tcPr>
          <w:p w:rsidR="00C33575" w:rsidRPr="00E259C0" w:rsidP="00C33575" w14:paraId="724135A9" w14:textId="77777777">
            <w:pPr>
              <w:widowControl/>
              <w:autoSpaceDE/>
              <w:autoSpaceDN/>
              <w:adjustRightInd/>
              <w:rPr>
                <w:b/>
                <w:bCs/>
                <w:sz w:val="22"/>
                <w:szCs w:val="22"/>
              </w:rPr>
            </w:pPr>
            <w:r w:rsidRPr="00E259C0">
              <w:rPr>
                <w:b/>
                <w:bCs/>
                <w:sz w:val="22"/>
                <w:szCs w:val="22"/>
              </w:rPr>
              <w:t>Hour Burden (Three-Year Average)</w:t>
            </w:r>
          </w:p>
        </w:tc>
        <w:tc>
          <w:tcPr>
            <w:tcW w:w="1800" w:type="dxa"/>
            <w:tcBorders>
              <w:top w:val="nil"/>
              <w:left w:val="single" w:sz="4" w:space="0" w:color="auto"/>
              <w:bottom w:val="single" w:sz="4" w:space="0" w:color="auto"/>
              <w:right w:val="single" w:sz="4" w:space="0" w:color="auto"/>
            </w:tcBorders>
            <w:vAlign w:val="center"/>
            <w:hideMark/>
          </w:tcPr>
          <w:p w:rsidR="00C33575" w:rsidRPr="00E259C0" w:rsidP="00C33575" w14:paraId="4AB4823D" w14:textId="0CCCEDFF">
            <w:pPr>
              <w:widowControl/>
              <w:autoSpaceDE/>
              <w:autoSpaceDN/>
              <w:adjustRightInd/>
              <w:jc w:val="center"/>
              <w:rPr>
                <w:b/>
                <w:sz w:val="22"/>
                <w:szCs w:val="22"/>
              </w:rPr>
            </w:pPr>
            <w:r>
              <w:rPr>
                <w:b/>
                <w:bCs/>
                <w:color w:val="000000"/>
                <w:sz w:val="22"/>
                <w:szCs w:val="22"/>
              </w:rPr>
              <w:t>17,912,252</w:t>
            </w:r>
          </w:p>
        </w:tc>
        <w:tc>
          <w:tcPr>
            <w:tcW w:w="1620" w:type="dxa"/>
            <w:tcBorders>
              <w:top w:val="nil"/>
              <w:left w:val="nil"/>
              <w:bottom w:val="single" w:sz="4" w:space="0" w:color="auto"/>
              <w:right w:val="single" w:sz="4" w:space="0" w:color="auto"/>
            </w:tcBorders>
            <w:vAlign w:val="center"/>
            <w:hideMark/>
          </w:tcPr>
          <w:p w:rsidR="00C33575" w:rsidRPr="00E259C0" w:rsidP="00C33575" w14:paraId="09F54318" w14:textId="34CC90FC">
            <w:pPr>
              <w:widowControl/>
              <w:autoSpaceDE/>
              <w:autoSpaceDN/>
              <w:adjustRightInd/>
              <w:jc w:val="center"/>
              <w:rPr>
                <w:b/>
                <w:sz w:val="22"/>
                <w:szCs w:val="22"/>
              </w:rPr>
            </w:pPr>
            <w:r>
              <w:rPr>
                <w:b/>
                <w:bCs/>
                <w:color w:val="000000"/>
                <w:sz w:val="22"/>
                <w:szCs w:val="22"/>
              </w:rPr>
              <w:t>3,539,442</w:t>
            </w:r>
          </w:p>
        </w:tc>
      </w:tr>
      <w:tr w14:paraId="159F7B29" w14:textId="77777777" w:rsidTr="00775D3F">
        <w:tblPrEx>
          <w:tblW w:w="9440" w:type="dxa"/>
          <w:tblLook w:val="04A0"/>
        </w:tblPrEx>
        <w:trPr>
          <w:trHeight w:val="268"/>
        </w:trPr>
        <w:tc>
          <w:tcPr>
            <w:tcW w:w="6020" w:type="dxa"/>
            <w:vAlign w:val="center"/>
            <w:hideMark/>
          </w:tcPr>
          <w:p w:rsidR="00C33575" w:rsidRPr="00E259C0" w:rsidP="00C33575" w14:paraId="3A6ABCB1" w14:textId="77777777">
            <w:pPr>
              <w:widowControl/>
              <w:autoSpaceDE/>
              <w:autoSpaceDN/>
              <w:adjustRightInd/>
              <w:rPr>
                <w:b/>
                <w:bCs/>
                <w:sz w:val="22"/>
                <w:szCs w:val="22"/>
              </w:rPr>
            </w:pPr>
            <w:r w:rsidRPr="00E259C0">
              <w:rPr>
                <w:b/>
                <w:bCs/>
                <w:sz w:val="22"/>
                <w:szCs w:val="22"/>
              </w:rPr>
              <w:t>Equivalent Cost of Hour Burden (Three-Year Average)</w:t>
            </w:r>
          </w:p>
        </w:tc>
        <w:tc>
          <w:tcPr>
            <w:tcW w:w="1800" w:type="dxa"/>
            <w:tcBorders>
              <w:top w:val="nil"/>
              <w:left w:val="single" w:sz="4" w:space="0" w:color="auto"/>
              <w:bottom w:val="single" w:sz="4" w:space="0" w:color="auto"/>
              <w:right w:val="single" w:sz="4" w:space="0" w:color="auto"/>
            </w:tcBorders>
            <w:noWrap/>
            <w:vAlign w:val="center"/>
            <w:hideMark/>
          </w:tcPr>
          <w:p w:rsidR="00C33575" w:rsidRPr="00E259C0" w:rsidP="00C33575" w14:paraId="2BD5B19C" w14:textId="6B43BA6D">
            <w:pPr>
              <w:widowControl/>
              <w:autoSpaceDE/>
              <w:autoSpaceDN/>
              <w:adjustRightInd/>
              <w:jc w:val="center"/>
              <w:rPr>
                <w:b/>
                <w:sz w:val="22"/>
                <w:szCs w:val="22"/>
              </w:rPr>
            </w:pPr>
            <w:r>
              <w:rPr>
                <w:b/>
                <w:bCs/>
                <w:color w:val="000000"/>
                <w:sz w:val="22"/>
                <w:szCs w:val="22"/>
              </w:rPr>
              <w:t>$2,492,524,856</w:t>
            </w:r>
          </w:p>
        </w:tc>
        <w:tc>
          <w:tcPr>
            <w:tcW w:w="1620" w:type="dxa"/>
            <w:tcBorders>
              <w:top w:val="nil"/>
              <w:left w:val="nil"/>
              <w:bottom w:val="single" w:sz="4" w:space="0" w:color="auto"/>
              <w:right w:val="single" w:sz="4" w:space="0" w:color="auto"/>
            </w:tcBorders>
            <w:noWrap/>
            <w:vAlign w:val="center"/>
            <w:hideMark/>
          </w:tcPr>
          <w:p w:rsidR="00C33575" w:rsidRPr="00E259C0" w:rsidP="00C33575" w14:paraId="400B894F" w14:textId="4CF94057">
            <w:pPr>
              <w:widowControl/>
              <w:autoSpaceDE/>
              <w:autoSpaceDN/>
              <w:adjustRightInd/>
              <w:jc w:val="center"/>
              <w:rPr>
                <w:b/>
                <w:sz w:val="22"/>
                <w:szCs w:val="22"/>
              </w:rPr>
            </w:pPr>
            <w:r>
              <w:rPr>
                <w:b/>
                <w:bCs/>
                <w:color w:val="000000"/>
                <w:sz w:val="22"/>
                <w:szCs w:val="22"/>
              </w:rPr>
              <w:t>$532,740,168</w:t>
            </w:r>
          </w:p>
        </w:tc>
      </w:tr>
    </w:tbl>
    <w:p w:rsidR="00E33DBE" w:rsidRPr="00E33DBE" w:rsidP="00E33DBE" w14:paraId="05833B40" w14:textId="77777777"/>
    <w:p w:rsidR="001F6144" w:rsidP="00D4098A" w14:paraId="5EF25898" w14:textId="5727BFBD">
      <w:pPr>
        <w:pStyle w:val="HeadingStyle"/>
        <w:ind w:firstLine="720"/>
        <w:rPr>
          <w:rFonts w:ascii="Times New Roman" w:hAnsi="Times New Roman" w:cs="Times New Roman"/>
          <w:iCs/>
          <w:color w:val="auto"/>
        </w:rPr>
      </w:pPr>
      <w:r w:rsidRPr="00E259C0">
        <w:rPr>
          <w:rFonts w:ascii="Times New Roman" w:hAnsi="Times New Roman" w:cs="Times New Roman"/>
          <w:color w:val="auto"/>
        </w:rPr>
        <w:t xml:space="preserve">Table </w:t>
      </w:r>
      <w:r w:rsidRPr="00E259C0" w:rsidR="00BF2306">
        <w:rPr>
          <w:rFonts w:ascii="Times New Roman" w:hAnsi="Times New Roman" w:cs="Times New Roman"/>
          <w:color w:val="auto"/>
        </w:rPr>
        <w:t>6</w:t>
      </w:r>
      <w:r w:rsidRPr="00E259C0">
        <w:rPr>
          <w:rFonts w:ascii="Times New Roman" w:hAnsi="Times New Roman" w:cs="Times New Roman"/>
          <w:color w:val="auto"/>
        </w:rPr>
        <w:t xml:space="preserve">. </w:t>
      </w:r>
      <w:r w:rsidRPr="00E259C0" w:rsidR="00AC1AFB">
        <w:rPr>
          <w:rFonts w:ascii="Times New Roman" w:hAnsi="Times New Roman" w:cs="Times New Roman"/>
          <w:iCs/>
          <w:color w:val="auto"/>
        </w:rPr>
        <w:t>Estimated Annualized Respondent Cost and Hour Burden</w:t>
      </w:r>
    </w:p>
    <w:p w:rsidR="00FC008F" w:rsidRPr="00E259C0" w:rsidP="00FC008F" w14:paraId="52861146" w14:textId="77777777">
      <w:pPr>
        <w:rPr>
          <w:b/>
          <w:bCs/>
          <w:iCs/>
        </w:rPr>
      </w:pPr>
    </w:p>
    <w:tbl>
      <w:tblPr>
        <w:tblW w:w="9908" w:type="dxa"/>
        <w:tblInd w:w="-365" w:type="dxa"/>
        <w:tblLook w:val="04A0"/>
      </w:tblPr>
      <w:tblGrid>
        <w:gridCol w:w="1488"/>
        <w:gridCol w:w="1415"/>
        <w:gridCol w:w="1329"/>
        <w:gridCol w:w="1182"/>
        <w:gridCol w:w="1005"/>
        <w:gridCol w:w="1096"/>
        <w:gridCol w:w="1481"/>
        <w:gridCol w:w="1512"/>
      </w:tblGrid>
      <w:tr w14:paraId="0DB8741C" w14:textId="77777777" w:rsidTr="00C813E2">
        <w:tblPrEx>
          <w:tblW w:w="9908" w:type="dxa"/>
          <w:tblInd w:w="-365" w:type="dxa"/>
          <w:tblLook w:val="04A0"/>
        </w:tblPrEx>
        <w:trPr>
          <w:trHeight w:val="780"/>
        </w:trPr>
        <w:tc>
          <w:tcPr>
            <w:tcW w:w="1384"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A81A25" w:rsidRPr="00D9255B" w:rsidP="00D9255B" w14:paraId="4D932523" w14:textId="77777777">
            <w:pPr>
              <w:widowControl/>
              <w:autoSpaceDE/>
              <w:autoSpaceDN/>
              <w:adjustRightInd/>
              <w:jc w:val="center"/>
              <w:rPr>
                <w:b/>
                <w:bCs/>
                <w:color w:val="000000"/>
                <w:sz w:val="22"/>
                <w:szCs w:val="22"/>
              </w:rPr>
            </w:pPr>
            <w:r w:rsidRPr="00D9255B">
              <w:rPr>
                <w:b/>
                <w:bCs/>
                <w:color w:val="000000"/>
                <w:sz w:val="22"/>
                <w:szCs w:val="22"/>
              </w:rPr>
              <w:t>Activity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A81A25" w:rsidRPr="00D9255B" w:rsidP="00D9255B" w14:paraId="21048D27" w14:textId="77777777">
            <w:pPr>
              <w:widowControl/>
              <w:autoSpaceDE/>
              <w:autoSpaceDN/>
              <w:adjustRightInd/>
              <w:jc w:val="center"/>
              <w:rPr>
                <w:b/>
                <w:bCs/>
                <w:color w:val="000000"/>
                <w:sz w:val="22"/>
                <w:szCs w:val="22"/>
              </w:rPr>
            </w:pPr>
            <w:r w:rsidRPr="00D9255B">
              <w:rPr>
                <w:b/>
                <w:bCs/>
                <w:color w:val="000000"/>
                <w:sz w:val="22"/>
                <w:szCs w:val="22"/>
              </w:rPr>
              <w:t>Number of Respondents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A81A25" w:rsidRPr="00D9255B" w:rsidP="00D9255B" w14:paraId="46A7D80D" w14:textId="77777777">
            <w:pPr>
              <w:widowControl/>
              <w:autoSpaceDE/>
              <w:autoSpaceDN/>
              <w:adjustRightInd/>
              <w:jc w:val="center"/>
              <w:rPr>
                <w:b/>
                <w:bCs/>
                <w:color w:val="000000"/>
                <w:sz w:val="22"/>
                <w:szCs w:val="22"/>
              </w:rPr>
            </w:pPr>
            <w:r w:rsidRPr="00D9255B">
              <w:rPr>
                <w:b/>
                <w:bCs/>
                <w:color w:val="000000"/>
                <w:sz w:val="22"/>
                <w:szCs w:val="22"/>
              </w:rPr>
              <w:t>Number of Responses per Respondent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A81A25" w:rsidRPr="00D9255B" w:rsidP="00D9255B" w14:paraId="30183E1F" w14:textId="77777777">
            <w:pPr>
              <w:widowControl/>
              <w:autoSpaceDE/>
              <w:autoSpaceDN/>
              <w:adjustRightInd/>
              <w:jc w:val="center"/>
              <w:rPr>
                <w:b/>
                <w:bCs/>
                <w:color w:val="000000"/>
                <w:sz w:val="22"/>
                <w:szCs w:val="22"/>
              </w:rPr>
            </w:pPr>
            <w:r w:rsidRPr="00D9255B">
              <w:rPr>
                <w:b/>
                <w:bCs/>
                <w:color w:val="000000"/>
                <w:sz w:val="22"/>
                <w:szCs w:val="22"/>
              </w:rPr>
              <w:t xml:space="preserve">Total Responses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90AEE0"/>
            <w:vAlign w:val="center"/>
            <w:hideMark/>
          </w:tcPr>
          <w:p w:rsidR="00A81A25" w:rsidRPr="00D9255B" w:rsidP="00D9255B" w14:paraId="2D13E51C" w14:textId="77777777">
            <w:pPr>
              <w:widowControl/>
              <w:autoSpaceDE/>
              <w:autoSpaceDN/>
              <w:adjustRightInd/>
              <w:jc w:val="center"/>
              <w:rPr>
                <w:b/>
                <w:bCs/>
                <w:color w:val="000000"/>
                <w:sz w:val="22"/>
                <w:szCs w:val="22"/>
              </w:rPr>
            </w:pPr>
            <w:r w:rsidRPr="00D9255B">
              <w:rPr>
                <w:b/>
                <w:bCs/>
                <w:color w:val="000000"/>
                <w:sz w:val="22"/>
                <w:szCs w:val="22"/>
              </w:rPr>
              <w:t>Average Burden (Hours)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90AEE0"/>
            <w:vAlign w:val="center"/>
            <w:hideMark/>
          </w:tcPr>
          <w:p w:rsidR="00A81A25" w:rsidRPr="00D9255B" w:rsidP="00D9255B" w14:paraId="6F491F56" w14:textId="77777777">
            <w:pPr>
              <w:widowControl/>
              <w:autoSpaceDE/>
              <w:autoSpaceDN/>
              <w:adjustRightInd/>
              <w:jc w:val="center"/>
              <w:rPr>
                <w:b/>
                <w:bCs/>
                <w:color w:val="000000"/>
                <w:sz w:val="22"/>
                <w:szCs w:val="22"/>
              </w:rPr>
            </w:pPr>
            <w:r w:rsidRPr="00D9255B">
              <w:rPr>
                <w:b/>
                <w:bCs/>
                <w:color w:val="000000"/>
                <w:sz w:val="22"/>
                <w:szCs w:val="22"/>
              </w:rPr>
              <w:t>Total Burden (Hours)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90AEE0"/>
            <w:vAlign w:val="center"/>
            <w:hideMark/>
          </w:tcPr>
          <w:p w:rsidR="00A81A25" w:rsidRPr="00D9255B" w:rsidP="00D9255B" w14:paraId="634420F9" w14:textId="77777777">
            <w:pPr>
              <w:widowControl/>
              <w:autoSpaceDE/>
              <w:autoSpaceDN/>
              <w:adjustRightInd/>
              <w:jc w:val="center"/>
              <w:rPr>
                <w:b/>
                <w:bCs/>
                <w:color w:val="000000"/>
                <w:sz w:val="22"/>
                <w:szCs w:val="22"/>
              </w:rPr>
            </w:pPr>
            <w:r w:rsidRPr="00D9255B">
              <w:rPr>
                <w:b/>
                <w:bCs/>
                <w:color w:val="000000"/>
                <w:sz w:val="22"/>
                <w:szCs w:val="22"/>
              </w:rPr>
              <w:t>Hourly Wage Rate</w:t>
            </w:r>
          </w:p>
        </w:tc>
        <w:tc>
          <w:tcPr>
            <w:tcW w:w="1512"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A81A25" w:rsidRPr="00D9255B" w:rsidP="00D9255B" w14:paraId="47B1DEAD" w14:textId="77777777">
            <w:pPr>
              <w:widowControl/>
              <w:autoSpaceDE/>
              <w:autoSpaceDN/>
              <w:adjustRightInd/>
              <w:jc w:val="center"/>
              <w:rPr>
                <w:b/>
                <w:bCs/>
                <w:color w:val="000000"/>
                <w:sz w:val="22"/>
                <w:szCs w:val="22"/>
              </w:rPr>
            </w:pPr>
            <w:r w:rsidRPr="00D9255B">
              <w:rPr>
                <w:b/>
                <w:bCs/>
                <w:color w:val="000000"/>
                <w:sz w:val="22"/>
                <w:szCs w:val="22"/>
              </w:rPr>
              <w:t>Equivalent Cost of Hour Burden</w:t>
            </w:r>
          </w:p>
        </w:tc>
      </w:tr>
      <w:tr w14:paraId="08E5FAA9" w14:textId="77777777" w:rsidTr="00C813E2">
        <w:tblPrEx>
          <w:tblW w:w="9908" w:type="dxa"/>
          <w:tblInd w:w="-365" w:type="dxa"/>
          <w:tblLook w:val="04A0"/>
        </w:tblPrEx>
        <w:trPr>
          <w:trHeight w:val="29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A81A25" w:rsidRPr="00D9255B" w:rsidP="00D9255B" w14:paraId="784B00CE" w14:textId="77777777">
            <w:pPr>
              <w:widowControl/>
              <w:autoSpaceDE/>
              <w:autoSpaceDN/>
              <w:adjustRightInd/>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1A25" w:rsidRPr="00D9255B" w:rsidP="00D9255B" w14:paraId="706AC63C" w14:textId="77777777">
            <w:pPr>
              <w:widowControl/>
              <w:autoSpaceDE/>
              <w:autoSpaceDN/>
              <w:adjustRightInd/>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1A25" w:rsidRPr="00D9255B" w:rsidP="00D9255B" w14:paraId="4B43DF1C" w14:textId="77777777">
            <w:pPr>
              <w:widowControl/>
              <w:autoSpaceDE/>
              <w:autoSpaceDN/>
              <w:adjustRightInd/>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1A25" w:rsidRPr="00D9255B" w:rsidP="00D9255B" w14:paraId="05D323FF" w14:textId="77777777">
            <w:pPr>
              <w:widowControl/>
              <w:autoSpaceDE/>
              <w:autoSpaceDN/>
              <w:adjustRightInd/>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1A25" w:rsidRPr="00D9255B" w:rsidP="00D9255B" w14:paraId="1018938E" w14:textId="77777777">
            <w:pPr>
              <w:widowControl/>
              <w:autoSpaceDE/>
              <w:autoSpaceDN/>
              <w:adjustRightInd/>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1A25" w:rsidRPr="00D9255B" w:rsidP="00D9255B" w14:paraId="19E15E9E" w14:textId="77777777">
            <w:pPr>
              <w:widowControl/>
              <w:autoSpaceDE/>
              <w:autoSpaceDN/>
              <w:adjustRightInd/>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1A25" w:rsidRPr="00D9255B" w:rsidP="00D9255B" w14:paraId="75F7976E" w14:textId="77777777">
            <w:pPr>
              <w:widowControl/>
              <w:autoSpaceDE/>
              <w:autoSpaceDN/>
              <w:adjustRightInd/>
              <w:rPr>
                <w:b/>
                <w:bCs/>
                <w:color w:val="000000"/>
                <w:sz w:val="22"/>
                <w:szCs w:val="22"/>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A81A25" w:rsidRPr="00D9255B" w:rsidP="00D9255B" w14:paraId="36795477" w14:textId="77777777">
            <w:pPr>
              <w:widowControl/>
              <w:autoSpaceDE/>
              <w:autoSpaceDN/>
              <w:adjustRightInd/>
              <w:rPr>
                <w:b/>
                <w:bCs/>
                <w:color w:val="000000"/>
                <w:sz w:val="22"/>
                <w:szCs w:val="22"/>
              </w:rPr>
            </w:pPr>
          </w:p>
        </w:tc>
      </w:tr>
      <w:tr w14:paraId="16FA1391" w14:textId="77777777" w:rsidTr="00C813E2">
        <w:tblPrEx>
          <w:tblW w:w="9908" w:type="dxa"/>
          <w:tblInd w:w="-365" w:type="dxa"/>
          <w:tblLook w:val="04A0"/>
        </w:tblPrEx>
        <w:trPr>
          <w:trHeight w:val="276"/>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A81A25" w:rsidRPr="00D9255B" w:rsidP="00D9255B" w14:paraId="79CDE202" w14:textId="77777777">
            <w:pPr>
              <w:widowControl/>
              <w:autoSpaceDE/>
              <w:autoSpaceDN/>
              <w:adjustRightInd/>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1A25" w:rsidRPr="00D9255B" w:rsidP="00D9255B" w14:paraId="6A6464E7" w14:textId="77777777">
            <w:pPr>
              <w:widowControl/>
              <w:autoSpaceDE/>
              <w:autoSpaceDN/>
              <w:adjustRightInd/>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1A25" w:rsidRPr="00D9255B" w:rsidP="00D9255B" w14:paraId="287FEDA0" w14:textId="77777777">
            <w:pPr>
              <w:widowControl/>
              <w:autoSpaceDE/>
              <w:autoSpaceDN/>
              <w:adjustRightInd/>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1A25" w:rsidRPr="00D9255B" w:rsidP="00D9255B" w14:paraId="4ECBE8B1" w14:textId="77777777">
            <w:pPr>
              <w:widowControl/>
              <w:autoSpaceDE/>
              <w:autoSpaceDN/>
              <w:adjustRightInd/>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1A25" w:rsidRPr="00D9255B" w:rsidP="00D9255B" w14:paraId="7FAAB8C5" w14:textId="77777777">
            <w:pPr>
              <w:widowControl/>
              <w:autoSpaceDE/>
              <w:autoSpaceDN/>
              <w:adjustRightInd/>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1A25" w:rsidRPr="00D9255B" w:rsidP="00D9255B" w14:paraId="537F620A" w14:textId="77777777">
            <w:pPr>
              <w:widowControl/>
              <w:autoSpaceDE/>
              <w:autoSpaceDN/>
              <w:adjustRightInd/>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1A25" w:rsidRPr="00D9255B" w:rsidP="00D9255B" w14:paraId="58E0F8DE" w14:textId="77777777">
            <w:pPr>
              <w:widowControl/>
              <w:autoSpaceDE/>
              <w:autoSpaceDN/>
              <w:adjustRightInd/>
              <w:rPr>
                <w:b/>
                <w:bCs/>
                <w:color w:val="000000"/>
                <w:sz w:val="22"/>
                <w:szCs w:val="22"/>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A81A25" w:rsidRPr="00D9255B" w:rsidP="00D9255B" w14:paraId="49B83151" w14:textId="77777777">
            <w:pPr>
              <w:widowControl/>
              <w:autoSpaceDE/>
              <w:autoSpaceDN/>
              <w:adjustRightInd/>
              <w:rPr>
                <w:b/>
                <w:bCs/>
                <w:color w:val="000000"/>
                <w:sz w:val="22"/>
                <w:szCs w:val="22"/>
              </w:rPr>
            </w:pPr>
          </w:p>
        </w:tc>
      </w:tr>
      <w:tr w14:paraId="27502A2F" w14:textId="77777777" w:rsidTr="00C813E2">
        <w:tblPrEx>
          <w:tblW w:w="9908" w:type="dxa"/>
          <w:tblInd w:w="-365" w:type="dxa"/>
          <w:tblLook w:val="04A0"/>
        </w:tblPrEx>
        <w:trPr>
          <w:trHeight w:val="523"/>
        </w:trPr>
        <w:tc>
          <w:tcPr>
            <w:tcW w:w="9908" w:type="dxa"/>
            <w:gridSpan w:val="8"/>
            <w:tcBorders>
              <w:top w:val="single" w:sz="4" w:space="0" w:color="auto"/>
              <w:left w:val="single" w:sz="4" w:space="0" w:color="auto"/>
              <w:bottom w:val="single" w:sz="4" w:space="0" w:color="auto"/>
              <w:right w:val="single" w:sz="4" w:space="0" w:color="auto"/>
            </w:tcBorders>
            <w:vAlign w:val="center"/>
            <w:hideMark/>
          </w:tcPr>
          <w:p w:rsidR="00A81A25" w:rsidRPr="00D9255B" w:rsidP="00D9255B" w14:paraId="12CD560E" w14:textId="77777777">
            <w:pPr>
              <w:widowControl/>
              <w:autoSpaceDE/>
              <w:autoSpaceDN/>
              <w:adjustRightInd/>
              <w:jc w:val="center"/>
              <w:rPr>
                <w:b/>
                <w:bCs/>
                <w:color w:val="000000"/>
                <w:sz w:val="22"/>
                <w:szCs w:val="22"/>
                <w:u w:val="single"/>
              </w:rPr>
            </w:pPr>
            <w:r w:rsidRPr="00D9255B">
              <w:rPr>
                <w:b/>
                <w:bCs/>
                <w:color w:val="000000"/>
                <w:sz w:val="22"/>
                <w:szCs w:val="22"/>
                <w:u w:val="single"/>
              </w:rPr>
              <w:t>Federal IDR Process for Services relating to Nonparticipating Providers or Nonparticipating Emergency Facilities and Providers of Air Ambulance Services</w:t>
            </w:r>
          </w:p>
        </w:tc>
      </w:tr>
      <w:tr w14:paraId="3C4990FD" w14:textId="77777777" w:rsidTr="00C813E2">
        <w:tblPrEx>
          <w:tblW w:w="9908" w:type="dxa"/>
          <w:tblInd w:w="-365" w:type="dxa"/>
          <w:tblLook w:val="04A0"/>
        </w:tblPrEx>
        <w:trPr>
          <w:trHeight w:val="373"/>
        </w:trPr>
        <w:tc>
          <w:tcPr>
            <w:tcW w:w="9908" w:type="dxa"/>
            <w:gridSpan w:val="8"/>
            <w:tcBorders>
              <w:top w:val="single" w:sz="4" w:space="0" w:color="auto"/>
              <w:left w:val="single" w:sz="4" w:space="0" w:color="auto"/>
              <w:bottom w:val="single" w:sz="4" w:space="0" w:color="auto"/>
              <w:right w:val="single" w:sz="4" w:space="0" w:color="000000"/>
            </w:tcBorders>
            <w:vAlign w:val="center"/>
            <w:hideMark/>
          </w:tcPr>
          <w:p w:rsidR="00A81A25" w:rsidRPr="00D9255B" w:rsidP="00D9255B" w14:paraId="496F1FCB" w14:textId="77777777">
            <w:pPr>
              <w:widowControl/>
              <w:autoSpaceDE/>
              <w:autoSpaceDN/>
              <w:adjustRightInd/>
              <w:rPr>
                <w:b/>
                <w:bCs/>
                <w:color w:val="000000"/>
                <w:sz w:val="22"/>
                <w:szCs w:val="22"/>
                <w:u w:val="single"/>
              </w:rPr>
            </w:pPr>
            <w:r w:rsidRPr="00D9255B">
              <w:rPr>
                <w:b/>
                <w:bCs/>
                <w:color w:val="000000"/>
                <w:sz w:val="22"/>
                <w:szCs w:val="22"/>
                <w:u w:val="single"/>
              </w:rPr>
              <w:t>Open Negotiation Notice and Response</w:t>
            </w:r>
          </w:p>
        </w:tc>
      </w:tr>
      <w:tr w14:paraId="2ABA3F24" w14:textId="77777777" w:rsidTr="00C813E2">
        <w:tblPrEx>
          <w:tblW w:w="9908" w:type="dxa"/>
          <w:tblInd w:w="-365" w:type="dxa"/>
          <w:tblLook w:val="04A0"/>
        </w:tblPrEx>
        <w:trPr>
          <w:trHeight w:val="1560"/>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6D4C0AE8" w14:textId="77777777">
            <w:pPr>
              <w:widowControl/>
              <w:autoSpaceDE/>
              <w:autoSpaceDN/>
              <w:adjustRightInd/>
              <w:rPr>
                <w:color w:val="000000"/>
                <w:sz w:val="22"/>
                <w:szCs w:val="22"/>
              </w:rPr>
            </w:pPr>
            <w:r w:rsidRPr="00D9255B">
              <w:rPr>
                <w:color w:val="000000"/>
                <w:sz w:val="22"/>
                <w:szCs w:val="22"/>
              </w:rPr>
              <w:t>Compensation and benefits manager write the Open Negotiation Notice</w:t>
            </w:r>
          </w:p>
        </w:tc>
        <w:tc>
          <w:tcPr>
            <w:tcW w:w="0" w:type="auto"/>
            <w:tcBorders>
              <w:top w:val="nil"/>
              <w:left w:val="nil"/>
              <w:bottom w:val="single" w:sz="4" w:space="0" w:color="auto"/>
              <w:right w:val="single" w:sz="4" w:space="0" w:color="auto"/>
            </w:tcBorders>
            <w:vAlign w:val="center"/>
            <w:hideMark/>
          </w:tcPr>
          <w:p w:rsidR="00A81A25" w:rsidRPr="00D9255B" w:rsidP="00D9255B" w14:paraId="194B4DAF" w14:textId="77777777">
            <w:pPr>
              <w:widowControl/>
              <w:autoSpaceDE/>
              <w:autoSpaceDN/>
              <w:adjustRightInd/>
              <w:jc w:val="center"/>
              <w:rPr>
                <w:color w:val="000000"/>
                <w:sz w:val="22"/>
                <w:szCs w:val="22"/>
              </w:rPr>
            </w:pPr>
            <w:r w:rsidRPr="00D9255B">
              <w:rPr>
                <w:color w:val="000000"/>
                <w:sz w:val="22"/>
                <w:szCs w:val="22"/>
              </w:rPr>
              <w:t>975,000</w:t>
            </w:r>
          </w:p>
        </w:tc>
        <w:tc>
          <w:tcPr>
            <w:tcW w:w="0" w:type="auto"/>
            <w:tcBorders>
              <w:top w:val="nil"/>
              <w:left w:val="nil"/>
              <w:bottom w:val="single" w:sz="4" w:space="0" w:color="auto"/>
              <w:right w:val="single" w:sz="4" w:space="0" w:color="auto"/>
            </w:tcBorders>
            <w:vAlign w:val="center"/>
            <w:hideMark/>
          </w:tcPr>
          <w:p w:rsidR="00A81A25" w:rsidRPr="00D9255B" w:rsidP="00D9255B" w14:paraId="78EFFF86"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2A2AA66D" w14:textId="77777777">
            <w:pPr>
              <w:widowControl/>
              <w:autoSpaceDE/>
              <w:autoSpaceDN/>
              <w:adjustRightInd/>
              <w:jc w:val="center"/>
              <w:rPr>
                <w:color w:val="000000"/>
                <w:sz w:val="22"/>
                <w:szCs w:val="22"/>
              </w:rPr>
            </w:pPr>
            <w:r w:rsidRPr="00D9255B">
              <w:rPr>
                <w:color w:val="000000"/>
                <w:sz w:val="22"/>
                <w:szCs w:val="22"/>
              </w:rPr>
              <w:t>975,000</w:t>
            </w:r>
          </w:p>
        </w:tc>
        <w:tc>
          <w:tcPr>
            <w:tcW w:w="0" w:type="auto"/>
            <w:tcBorders>
              <w:top w:val="nil"/>
              <w:left w:val="nil"/>
              <w:bottom w:val="single" w:sz="4" w:space="0" w:color="auto"/>
              <w:right w:val="single" w:sz="4" w:space="0" w:color="auto"/>
            </w:tcBorders>
            <w:vAlign w:val="center"/>
            <w:hideMark/>
          </w:tcPr>
          <w:p w:rsidR="00A81A25" w:rsidRPr="00D9255B" w:rsidP="00D9255B" w14:paraId="413F690E" w14:textId="77777777">
            <w:pPr>
              <w:widowControl/>
              <w:autoSpaceDE/>
              <w:autoSpaceDN/>
              <w:adjustRightInd/>
              <w:jc w:val="center"/>
              <w:rPr>
                <w:color w:val="000000"/>
                <w:sz w:val="22"/>
                <w:szCs w:val="22"/>
              </w:rPr>
            </w:pPr>
            <w:r w:rsidRPr="00D9255B">
              <w:rPr>
                <w:color w:val="000000"/>
                <w:sz w:val="22"/>
                <w:szCs w:val="22"/>
              </w:rPr>
              <w:t>0.5</w:t>
            </w:r>
          </w:p>
        </w:tc>
        <w:tc>
          <w:tcPr>
            <w:tcW w:w="0" w:type="auto"/>
            <w:tcBorders>
              <w:top w:val="nil"/>
              <w:left w:val="nil"/>
              <w:bottom w:val="single" w:sz="4" w:space="0" w:color="auto"/>
              <w:right w:val="single" w:sz="4" w:space="0" w:color="auto"/>
            </w:tcBorders>
            <w:vAlign w:val="center"/>
            <w:hideMark/>
          </w:tcPr>
          <w:p w:rsidR="00A81A25" w:rsidRPr="00D9255B" w:rsidP="00D9255B" w14:paraId="38AE2689" w14:textId="77777777">
            <w:pPr>
              <w:widowControl/>
              <w:autoSpaceDE/>
              <w:autoSpaceDN/>
              <w:adjustRightInd/>
              <w:jc w:val="center"/>
              <w:rPr>
                <w:color w:val="000000"/>
                <w:sz w:val="22"/>
                <w:szCs w:val="22"/>
              </w:rPr>
            </w:pPr>
            <w:r w:rsidRPr="00D9255B">
              <w:rPr>
                <w:color w:val="000000"/>
                <w:sz w:val="22"/>
                <w:szCs w:val="22"/>
              </w:rPr>
              <w:t>487,500</w:t>
            </w:r>
          </w:p>
        </w:tc>
        <w:tc>
          <w:tcPr>
            <w:tcW w:w="0" w:type="auto"/>
            <w:tcBorders>
              <w:top w:val="nil"/>
              <w:left w:val="nil"/>
              <w:bottom w:val="single" w:sz="4" w:space="0" w:color="auto"/>
              <w:right w:val="single" w:sz="4" w:space="0" w:color="auto"/>
            </w:tcBorders>
            <w:vAlign w:val="center"/>
            <w:hideMark/>
          </w:tcPr>
          <w:p w:rsidR="00A81A25" w:rsidRPr="00D9255B" w:rsidP="00D9255B" w14:paraId="0C09378E" w14:textId="77777777">
            <w:pPr>
              <w:widowControl/>
              <w:autoSpaceDE/>
              <w:autoSpaceDN/>
              <w:adjustRightInd/>
              <w:jc w:val="center"/>
              <w:rPr>
                <w:color w:val="000000"/>
                <w:sz w:val="22"/>
                <w:szCs w:val="22"/>
              </w:rPr>
            </w:pPr>
            <w:r w:rsidRPr="00D9255B">
              <w:rPr>
                <w:color w:val="000000"/>
                <w:sz w:val="22"/>
                <w:szCs w:val="22"/>
              </w:rPr>
              <w:t xml:space="preserve">$193.15 </w:t>
            </w:r>
          </w:p>
        </w:tc>
        <w:tc>
          <w:tcPr>
            <w:tcW w:w="1512" w:type="dxa"/>
            <w:tcBorders>
              <w:top w:val="nil"/>
              <w:left w:val="nil"/>
              <w:bottom w:val="single" w:sz="4" w:space="0" w:color="auto"/>
              <w:right w:val="single" w:sz="4" w:space="0" w:color="auto"/>
            </w:tcBorders>
            <w:vAlign w:val="center"/>
            <w:hideMark/>
          </w:tcPr>
          <w:p w:rsidR="00A81A25" w:rsidRPr="00D9255B" w:rsidP="00D9255B" w14:paraId="58A4F7A2" w14:textId="77777777">
            <w:pPr>
              <w:widowControl/>
              <w:autoSpaceDE/>
              <w:autoSpaceDN/>
              <w:adjustRightInd/>
              <w:jc w:val="center"/>
              <w:rPr>
                <w:color w:val="000000"/>
                <w:sz w:val="22"/>
                <w:szCs w:val="22"/>
              </w:rPr>
            </w:pPr>
            <w:r w:rsidRPr="00D9255B">
              <w:rPr>
                <w:color w:val="000000"/>
                <w:sz w:val="22"/>
                <w:szCs w:val="22"/>
              </w:rPr>
              <w:t xml:space="preserve">$94,160,625 </w:t>
            </w:r>
          </w:p>
        </w:tc>
      </w:tr>
      <w:tr w14:paraId="29FE7CA7" w14:textId="77777777" w:rsidTr="00C813E2">
        <w:tblPrEx>
          <w:tblW w:w="9908" w:type="dxa"/>
          <w:tblInd w:w="-365" w:type="dxa"/>
          <w:tblLook w:val="04A0"/>
        </w:tblPrEx>
        <w:trPr>
          <w:trHeight w:val="1300"/>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46151E2C" w14:textId="77777777">
            <w:pPr>
              <w:widowControl/>
              <w:autoSpaceDE/>
              <w:autoSpaceDN/>
              <w:adjustRightInd/>
              <w:rPr>
                <w:color w:val="000000"/>
                <w:sz w:val="22"/>
                <w:szCs w:val="22"/>
              </w:rPr>
            </w:pPr>
            <w:r w:rsidRPr="00D9255B">
              <w:rPr>
                <w:color w:val="000000"/>
                <w:sz w:val="22"/>
                <w:szCs w:val="22"/>
              </w:rPr>
              <w:t>Clerical workers prepare and send Open Negotiation Notice</w:t>
            </w:r>
          </w:p>
        </w:tc>
        <w:tc>
          <w:tcPr>
            <w:tcW w:w="0" w:type="auto"/>
            <w:tcBorders>
              <w:top w:val="nil"/>
              <w:left w:val="nil"/>
              <w:bottom w:val="single" w:sz="4" w:space="0" w:color="auto"/>
              <w:right w:val="single" w:sz="4" w:space="0" w:color="auto"/>
            </w:tcBorders>
            <w:vAlign w:val="center"/>
            <w:hideMark/>
          </w:tcPr>
          <w:p w:rsidR="00A81A25" w:rsidRPr="00D9255B" w:rsidP="00D9255B" w14:paraId="33334C83" w14:textId="77777777">
            <w:pPr>
              <w:widowControl/>
              <w:autoSpaceDE/>
              <w:autoSpaceDN/>
              <w:adjustRightInd/>
              <w:jc w:val="center"/>
              <w:rPr>
                <w:color w:val="000000"/>
                <w:sz w:val="22"/>
                <w:szCs w:val="22"/>
              </w:rPr>
            </w:pPr>
            <w:r w:rsidRPr="00D9255B">
              <w:rPr>
                <w:color w:val="000000"/>
                <w:sz w:val="22"/>
                <w:szCs w:val="22"/>
              </w:rPr>
              <w:t>975,000</w:t>
            </w:r>
          </w:p>
        </w:tc>
        <w:tc>
          <w:tcPr>
            <w:tcW w:w="0" w:type="auto"/>
            <w:tcBorders>
              <w:top w:val="nil"/>
              <w:left w:val="nil"/>
              <w:bottom w:val="single" w:sz="4" w:space="0" w:color="auto"/>
              <w:right w:val="single" w:sz="4" w:space="0" w:color="auto"/>
            </w:tcBorders>
            <w:vAlign w:val="center"/>
            <w:hideMark/>
          </w:tcPr>
          <w:p w:rsidR="00A81A25" w:rsidRPr="00D9255B" w:rsidP="00D9255B" w14:paraId="520AFEDA"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0ADFD30E" w14:textId="77777777">
            <w:pPr>
              <w:widowControl/>
              <w:autoSpaceDE/>
              <w:autoSpaceDN/>
              <w:adjustRightInd/>
              <w:jc w:val="center"/>
              <w:rPr>
                <w:color w:val="000000"/>
                <w:sz w:val="22"/>
                <w:szCs w:val="22"/>
              </w:rPr>
            </w:pPr>
            <w:r w:rsidRPr="00D9255B">
              <w:rPr>
                <w:color w:val="000000"/>
                <w:sz w:val="22"/>
                <w:szCs w:val="22"/>
              </w:rPr>
              <w:t>975,000</w:t>
            </w:r>
          </w:p>
        </w:tc>
        <w:tc>
          <w:tcPr>
            <w:tcW w:w="0" w:type="auto"/>
            <w:tcBorders>
              <w:top w:val="nil"/>
              <w:left w:val="nil"/>
              <w:bottom w:val="single" w:sz="4" w:space="0" w:color="auto"/>
              <w:right w:val="single" w:sz="4" w:space="0" w:color="auto"/>
            </w:tcBorders>
            <w:vAlign w:val="center"/>
            <w:hideMark/>
          </w:tcPr>
          <w:p w:rsidR="00A81A25" w:rsidRPr="00D9255B" w:rsidP="00D9255B" w14:paraId="47B07C1A" w14:textId="77777777">
            <w:pPr>
              <w:widowControl/>
              <w:autoSpaceDE/>
              <w:autoSpaceDN/>
              <w:adjustRightInd/>
              <w:jc w:val="center"/>
              <w:rPr>
                <w:color w:val="000000"/>
                <w:sz w:val="22"/>
                <w:szCs w:val="22"/>
              </w:rPr>
            </w:pPr>
            <w:r w:rsidRPr="00D9255B">
              <w:rPr>
                <w:color w:val="000000"/>
                <w:sz w:val="22"/>
                <w:szCs w:val="22"/>
              </w:rPr>
              <w:t>0.25</w:t>
            </w:r>
          </w:p>
        </w:tc>
        <w:tc>
          <w:tcPr>
            <w:tcW w:w="0" w:type="auto"/>
            <w:tcBorders>
              <w:top w:val="nil"/>
              <w:left w:val="nil"/>
              <w:bottom w:val="single" w:sz="4" w:space="0" w:color="auto"/>
              <w:right w:val="single" w:sz="4" w:space="0" w:color="auto"/>
            </w:tcBorders>
            <w:vAlign w:val="center"/>
            <w:hideMark/>
          </w:tcPr>
          <w:p w:rsidR="00A81A25" w:rsidRPr="00D9255B" w:rsidP="00D9255B" w14:paraId="5895DE3D" w14:textId="77777777">
            <w:pPr>
              <w:widowControl/>
              <w:autoSpaceDE/>
              <w:autoSpaceDN/>
              <w:adjustRightInd/>
              <w:jc w:val="center"/>
              <w:rPr>
                <w:color w:val="000000"/>
                <w:sz w:val="22"/>
                <w:szCs w:val="22"/>
              </w:rPr>
            </w:pPr>
            <w:r w:rsidRPr="00D9255B">
              <w:rPr>
                <w:color w:val="000000"/>
                <w:sz w:val="22"/>
                <w:szCs w:val="22"/>
              </w:rPr>
              <w:t>243,750</w:t>
            </w:r>
          </w:p>
        </w:tc>
        <w:tc>
          <w:tcPr>
            <w:tcW w:w="0" w:type="auto"/>
            <w:tcBorders>
              <w:top w:val="nil"/>
              <w:left w:val="nil"/>
              <w:bottom w:val="single" w:sz="4" w:space="0" w:color="auto"/>
              <w:right w:val="single" w:sz="4" w:space="0" w:color="auto"/>
            </w:tcBorders>
            <w:vAlign w:val="center"/>
            <w:hideMark/>
          </w:tcPr>
          <w:p w:rsidR="00A81A25" w:rsidRPr="00D9255B" w:rsidP="00D9255B" w14:paraId="087BC07A" w14:textId="77777777">
            <w:pPr>
              <w:widowControl/>
              <w:autoSpaceDE/>
              <w:autoSpaceDN/>
              <w:adjustRightInd/>
              <w:jc w:val="center"/>
              <w:rPr>
                <w:color w:val="000000"/>
                <w:sz w:val="22"/>
                <w:szCs w:val="22"/>
              </w:rPr>
            </w:pPr>
            <w:r w:rsidRPr="00D9255B">
              <w:rPr>
                <w:color w:val="000000"/>
                <w:sz w:val="22"/>
                <w:szCs w:val="22"/>
              </w:rPr>
              <w:t xml:space="preserve">$72.82 </w:t>
            </w:r>
          </w:p>
        </w:tc>
        <w:tc>
          <w:tcPr>
            <w:tcW w:w="1512" w:type="dxa"/>
            <w:tcBorders>
              <w:top w:val="nil"/>
              <w:left w:val="nil"/>
              <w:bottom w:val="single" w:sz="4" w:space="0" w:color="auto"/>
              <w:right w:val="single" w:sz="4" w:space="0" w:color="auto"/>
            </w:tcBorders>
            <w:vAlign w:val="center"/>
            <w:hideMark/>
          </w:tcPr>
          <w:p w:rsidR="00A81A25" w:rsidRPr="00D9255B" w:rsidP="00D9255B" w14:paraId="0E93B488" w14:textId="77777777">
            <w:pPr>
              <w:widowControl/>
              <w:autoSpaceDE/>
              <w:autoSpaceDN/>
              <w:adjustRightInd/>
              <w:jc w:val="center"/>
              <w:rPr>
                <w:color w:val="000000"/>
                <w:sz w:val="22"/>
                <w:szCs w:val="22"/>
              </w:rPr>
            </w:pPr>
            <w:r w:rsidRPr="00D9255B">
              <w:rPr>
                <w:color w:val="000000"/>
                <w:sz w:val="22"/>
                <w:szCs w:val="22"/>
              </w:rPr>
              <w:t xml:space="preserve">$17,749,875 </w:t>
            </w:r>
          </w:p>
        </w:tc>
      </w:tr>
      <w:tr w14:paraId="38D0573D" w14:textId="77777777" w:rsidTr="00C813E2">
        <w:tblPrEx>
          <w:tblW w:w="9908" w:type="dxa"/>
          <w:tblInd w:w="-365" w:type="dxa"/>
          <w:tblLook w:val="04A0"/>
        </w:tblPrEx>
        <w:trPr>
          <w:trHeight w:val="1710"/>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2300E2EB" w14:textId="77777777">
            <w:pPr>
              <w:widowControl/>
              <w:autoSpaceDE/>
              <w:autoSpaceDN/>
              <w:adjustRightInd/>
              <w:rPr>
                <w:color w:val="000000"/>
                <w:sz w:val="22"/>
                <w:szCs w:val="22"/>
              </w:rPr>
            </w:pPr>
            <w:r w:rsidRPr="00D9255B">
              <w:rPr>
                <w:color w:val="000000"/>
                <w:sz w:val="22"/>
                <w:szCs w:val="22"/>
              </w:rPr>
              <w:t>Compensation and benefits managers prepare the Open Negotiation Notice Response</w:t>
            </w:r>
          </w:p>
        </w:tc>
        <w:tc>
          <w:tcPr>
            <w:tcW w:w="0" w:type="auto"/>
            <w:tcBorders>
              <w:top w:val="nil"/>
              <w:left w:val="nil"/>
              <w:bottom w:val="single" w:sz="4" w:space="0" w:color="auto"/>
              <w:right w:val="single" w:sz="4" w:space="0" w:color="auto"/>
            </w:tcBorders>
            <w:vAlign w:val="center"/>
            <w:hideMark/>
          </w:tcPr>
          <w:p w:rsidR="00A81A25" w:rsidRPr="00D9255B" w:rsidP="00D9255B" w14:paraId="740E1973" w14:textId="77777777">
            <w:pPr>
              <w:widowControl/>
              <w:autoSpaceDE/>
              <w:autoSpaceDN/>
              <w:adjustRightInd/>
              <w:jc w:val="center"/>
              <w:rPr>
                <w:color w:val="000000"/>
                <w:sz w:val="22"/>
                <w:szCs w:val="22"/>
              </w:rPr>
            </w:pPr>
            <w:r w:rsidRPr="00D9255B">
              <w:rPr>
                <w:color w:val="000000"/>
                <w:sz w:val="22"/>
                <w:szCs w:val="22"/>
              </w:rPr>
              <w:t>975,000</w:t>
            </w:r>
          </w:p>
        </w:tc>
        <w:tc>
          <w:tcPr>
            <w:tcW w:w="0" w:type="auto"/>
            <w:tcBorders>
              <w:top w:val="nil"/>
              <w:left w:val="nil"/>
              <w:bottom w:val="single" w:sz="4" w:space="0" w:color="auto"/>
              <w:right w:val="single" w:sz="4" w:space="0" w:color="auto"/>
            </w:tcBorders>
            <w:vAlign w:val="center"/>
            <w:hideMark/>
          </w:tcPr>
          <w:p w:rsidR="00A81A25" w:rsidRPr="00D9255B" w:rsidP="00D9255B" w14:paraId="5BF346F0"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1EF55043" w14:textId="77777777">
            <w:pPr>
              <w:widowControl/>
              <w:autoSpaceDE/>
              <w:autoSpaceDN/>
              <w:adjustRightInd/>
              <w:jc w:val="center"/>
              <w:rPr>
                <w:color w:val="000000"/>
                <w:sz w:val="22"/>
                <w:szCs w:val="22"/>
              </w:rPr>
            </w:pPr>
            <w:r w:rsidRPr="00D9255B">
              <w:rPr>
                <w:color w:val="000000"/>
                <w:sz w:val="22"/>
                <w:szCs w:val="22"/>
              </w:rPr>
              <w:t>975,000</w:t>
            </w:r>
          </w:p>
        </w:tc>
        <w:tc>
          <w:tcPr>
            <w:tcW w:w="0" w:type="auto"/>
            <w:tcBorders>
              <w:top w:val="nil"/>
              <w:left w:val="nil"/>
              <w:bottom w:val="single" w:sz="4" w:space="0" w:color="auto"/>
              <w:right w:val="single" w:sz="4" w:space="0" w:color="auto"/>
            </w:tcBorders>
            <w:vAlign w:val="center"/>
            <w:hideMark/>
          </w:tcPr>
          <w:p w:rsidR="00A81A25" w:rsidRPr="00D9255B" w:rsidP="00D9255B" w14:paraId="4414E378" w14:textId="77777777">
            <w:pPr>
              <w:widowControl/>
              <w:autoSpaceDE/>
              <w:autoSpaceDN/>
              <w:adjustRightInd/>
              <w:jc w:val="center"/>
              <w:rPr>
                <w:color w:val="000000"/>
                <w:sz w:val="22"/>
                <w:szCs w:val="22"/>
              </w:rPr>
            </w:pPr>
            <w:r w:rsidRPr="00D9255B">
              <w:rPr>
                <w:color w:val="000000"/>
                <w:sz w:val="22"/>
                <w:szCs w:val="22"/>
              </w:rPr>
              <w:t>0.5</w:t>
            </w:r>
          </w:p>
        </w:tc>
        <w:tc>
          <w:tcPr>
            <w:tcW w:w="0" w:type="auto"/>
            <w:tcBorders>
              <w:top w:val="nil"/>
              <w:left w:val="nil"/>
              <w:bottom w:val="single" w:sz="4" w:space="0" w:color="auto"/>
              <w:right w:val="single" w:sz="4" w:space="0" w:color="auto"/>
            </w:tcBorders>
            <w:vAlign w:val="center"/>
            <w:hideMark/>
          </w:tcPr>
          <w:p w:rsidR="00A81A25" w:rsidRPr="00D9255B" w:rsidP="00D9255B" w14:paraId="70675738" w14:textId="77777777">
            <w:pPr>
              <w:widowControl/>
              <w:autoSpaceDE/>
              <w:autoSpaceDN/>
              <w:adjustRightInd/>
              <w:jc w:val="center"/>
              <w:rPr>
                <w:color w:val="000000"/>
                <w:sz w:val="22"/>
                <w:szCs w:val="22"/>
              </w:rPr>
            </w:pPr>
            <w:r w:rsidRPr="00D9255B">
              <w:rPr>
                <w:color w:val="000000"/>
                <w:sz w:val="22"/>
                <w:szCs w:val="22"/>
              </w:rPr>
              <w:t>487,500</w:t>
            </w:r>
          </w:p>
        </w:tc>
        <w:tc>
          <w:tcPr>
            <w:tcW w:w="0" w:type="auto"/>
            <w:tcBorders>
              <w:top w:val="nil"/>
              <w:left w:val="nil"/>
              <w:bottom w:val="single" w:sz="4" w:space="0" w:color="auto"/>
              <w:right w:val="single" w:sz="4" w:space="0" w:color="auto"/>
            </w:tcBorders>
            <w:vAlign w:val="center"/>
            <w:hideMark/>
          </w:tcPr>
          <w:p w:rsidR="00A81A25" w:rsidRPr="00D9255B" w:rsidP="00D9255B" w14:paraId="4789FD5F" w14:textId="77777777">
            <w:pPr>
              <w:widowControl/>
              <w:autoSpaceDE/>
              <w:autoSpaceDN/>
              <w:adjustRightInd/>
              <w:jc w:val="center"/>
              <w:rPr>
                <w:color w:val="000000"/>
                <w:sz w:val="22"/>
                <w:szCs w:val="22"/>
              </w:rPr>
            </w:pPr>
            <w:r w:rsidRPr="00D9255B">
              <w:rPr>
                <w:color w:val="000000"/>
                <w:sz w:val="22"/>
                <w:szCs w:val="22"/>
              </w:rPr>
              <w:t xml:space="preserve">$193.15 </w:t>
            </w:r>
          </w:p>
        </w:tc>
        <w:tc>
          <w:tcPr>
            <w:tcW w:w="1512" w:type="dxa"/>
            <w:tcBorders>
              <w:top w:val="nil"/>
              <w:left w:val="nil"/>
              <w:bottom w:val="single" w:sz="4" w:space="0" w:color="auto"/>
              <w:right w:val="single" w:sz="4" w:space="0" w:color="auto"/>
            </w:tcBorders>
            <w:vAlign w:val="center"/>
            <w:hideMark/>
          </w:tcPr>
          <w:p w:rsidR="00A81A25" w:rsidRPr="00D9255B" w:rsidP="00D9255B" w14:paraId="13CA136F" w14:textId="77777777">
            <w:pPr>
              <w:widowControl/>
              <w:autoSpaceDE/>
              <w:autoSpaceDN/>
              <w:adjustRightInd/>
              <w:jc w:val="center"/>
              <w:rPr>
                <w:color w:val="000000"/>
                <w:sz w:val="22"/>
                <w:szCs w:val="22"/>
              </w:rPr>
            </w:pPr>
            <w:r w:rsidRPr="00D9255B">
              <w:rPr>
                <w:color w:val="000000"/>
                <w:sz w:val="22"/>
                <w:szCs w:val="22"/>
              </w:rPr>
              <w:t xml:space="preserve">$94,160,625 </w:t>
            </w:r>
          </w:p>
        </w:tc>
      </w:tr>
      <w:tr w14:paraId="5FE968E6" w14:textId="77777777" w:rsidTr="00C813E2">
        <w:tblPrEx>
          <w:tblW w:w="9908" w:type="dxa"/>
          <w:tblInd w:w="-365" w:type="dxa"/>
          <w:tblLook w:val="04A0"/>
        </w:tblPrEx>
        <w:trPr>
          <w:trHeight w:val="1153"/>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2BAF7EB3" w14:textId="77777777">
            <w:pPr>
              <w:widowControl/>
              <w:autoSpaceDE/>
              <w:autoSpaceDN/>
              <w:adjustRightInd/>
              <w:rPr>
                <w:color w:val="000000"/>
                <w:sz w:val="22"/>
                <w:szCs w:val="22"/>
              </w:rPr>
            </w:pPr>
            <w:r w:rsidRPr="00D9255B">
              <w:rPr>
                <w:color w:val="000000"/>
                <w:sz w:val="22"/>
                <w:szCs w:val="22"/>
              </w:rPr>
              <w:t>Clerical workers prepare the Open Negotiation Notice Response</w:t>
            </w:r>
          </w:p>
        </w:tc>
        <w:tc>
          <w:tcPr>
            <w:tcW w:w="0" w:type="auto"/>
            <w:tcBorders>
              <w:top w:val="nil"/>
              <w:left w:val="nil"/>
              <w:bottom w:val="single" w:sz="4" w:space="0" w:color="auto"/>
              <w:right w:val="single" w:sz="4" w:space="0" w:color="auto"/>
            </w:tcBorders>
            <w:vAlign w:val="center"/>
            <w:hideMark/>
          </w:tcPr>
          <w:p w:rsidR="00A81A25" w:rsidRPr="00D9255B" w:rsidP="00D9255B" w14:paraId="069C7412" w14:textId="77777777">
            <w:pPr>
              <w:widowControl/>
              <w:autoSpaceDE/>
              <w:autoSpaceDN/>
              <w:adjustRightInd/>
              <w:jc w:val="center"/>
              <w:rPr>
                <w:color w:val="000000"/>
                <w:sz w:val="22"/>
                <w:szCs w:val="22"/>
              </w:rPr>
            </w:pPr>
            <w:r w:rsidRPr="00D9255B">
              <w:rPr>
                <w:color w:val="000000"/>
                <w:sz w:val="22"/>
                <w:szCs w:val="22"/>
              </w:rPr>
              <w:t>975,000</w:t>
            </w:r>
          </w:p>
        </w:tc>
        <w:tc>
          <w:tcPr>
            <w:tcW w:w="0" w:type="auto"/>
            <w:tcBorders>
              <w:top w:val="nil"/>
              <w:left w:val="nil"/>
              <w:bottom w:val="single" w:sz="4" w:space="0" w:color="auto"/>
              <w:right w:val="single" w:sz="4" w:space="0" w:color="auto"/>
            </w:tcBorders>
            <w:vAlign w:val="center"/>
            <w:hideMark/>
          </w:tcPr>
          <w:p w:rsidR="00A81A25" w:rsidRPr="00D9255B" w:rsidP="00D9255B" w14:paraId="3B1D7E40"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7581416D" w14:textId="77777777">
            <w:pPr>
              <w:widowControl/>
              <w:autoSpaceDE/>
              <w:autoSpaceDN/>
              <w:adjustRightInd/>
              <w:jc w:val="center"/>
              <w:rPr>
                <w:color w:val="000000"/>
                <w:sz w:val="22"/>
                <w:szCs w:val="22"/>
              </w:rPr>
            </w:pPr>
            <w:r w:rsidRPr="00D9255B">
              <w:rPr>
                <w:color w:val="000000"/>
                <w:sz w:val="22"/>
                <w:szCs w:val="22"/>
              </w:rPr>
              <w:t>975,000</w:t>
            </w:r>
          </w:p>
        </w:tc>
        <w:tc>
          <w:tcPr>
            <w:tcW w:w="0" w:type="auto"/>
            <w:tcBorders>
              <w:top w:val="nil"/>
              <w:left w:val="nil"/>
              <w:bottom w:val="single" w:sz="4" w:space="0" w:color="auto"/>
              <w:right w:val="single" w:sz="4" w:space="0" w:color="auto"/>
            </w:tcBorders>
            <w:vAlign w:val="center"/>
            <w:hideMark/>
          </w:tcPr>
          <w:p w:rsidR="00A81A25" w:rsidRPr="00D9255B" w:rsidP="00D9255B" w14:paraId="7AB7ED2D" w14:textId="77777777">
            <w:pPr>
              <w:widowControl/>
              <w:autoSpaceDE/>
              <w:autoSpaceDN/>
              <w:adjustRightInd/>
              <w:jc w:val="center"/>
              <w:rPr>
                <w:color w:val="000000"/>
                <w:sz w:val="22"/>
                <w:szCs w:val="22"/>
              </w:rPr>
            </w:pPr>
            <w:r w:rsidRPr="00D9255B">
              <w:rPr>
                <w:color w:val="000000"/>
                <w:sz w:val="22"/>
                <w:szCs w:val="22"/>
              </w:rPr>
              <w:t>0.25</w:t>
            </w:r>
          </w:p>
        </w:tc>
        <w:tc>
          <w:tcPr>
            <w:tcW w:w="0" w:type="auto"/>
            <w:tcBorders>
              <w:top w:val="nil"/>
              <w:left w:val="nil"/>
              <w:bottom w:val="single" w:sz="4" w:space="0" w:color="auto"/>
              <w:right w:val="single" w:sz="4" w:space="0" w:color="auto"/>
            </w:tcBorders>
            <w:vAlign w:val="center"/>
            <w:hideMark/>
          </w:tcPr>
          <w:p w:rsidR="00A81A25" w:rsidRPr="00D9255B" w:rsidP="00D9255B" w14:paraId="7D12DDD7" w14:textId="77777777">
            <w:pPr>
              <w:widowControl/>
              <w:autoSpaceDE/>
              <w:autoSpaceDN/>
              <w:adjustRightInd/>
              <w:jc w:val="center"/>
              <w:rPr>
                <w:color w:val="000000"/>
                <w:sz w:val="22"/>
                <w:szCs w:val="22"/>
              </w:rPr>
            </w:pPr>
            <w:r w:rsidRPr="00D9255B">
              <w:rPr>
                <w:color w:val="000000"/>
                <w:sz w:val="22"/>
                <w:szCs w:val="22"/>
              </w:rPr>
              <w:t>243,750</w:t>
            </w:r>
          </w:p>
        </w:tc>
        <w:tc>
          <w:tcPr>
            <w:tcW w:w="0" w:type="auto"/>
            <w:tcBorders>
              <w:top w:val="nil"/>
              <w:left w:val="nil"/>
              <w:bottom w:val="single" w:sz="4" w:space="0" w:color="auto"/>
              <w:right w:val="single" w:sz="4" w:space="0" w:color="auto"/>
            </w:tcBorders>
            <w:vAlign w:val="center"/>
            <w:hideMark/>
          </w:tcPr>
          <w:p w:rsidR="00A81A25" w:rsidRPr="00D9255B" w:rsidP="00D9255B" w14:paraId="57D5831B" w14:textId="77777777">
            <w:pPr>
              <w:widowControl/>
              <w:autoSpaceDE/>
              <w:autoSpaceDN/>
              <w:adjustRightInd/>
              <w:jc w:val="center"/>
              <w:rPr>
                <w:color w:val="000000"/>
                <w:sz w:val="22"/>
                <w:szCs w:val="22"/>
              </w:rPr>
            </w:pPr>
            <w:r w:rsidRPr="00D9255B">
              <w:rPr>
                <w:color w:val="000000"/>
                <w:sz w:val="22"/>
                <w:szCs w:val="22"/>
              </w:rPr>
              <w:t xml:space="preserve">$72.82 </w:t>
            </w:r>
          </w:p>
        </w:tc>
        <w:tc>
          <w:tcPr>
            <w:tcW w:w="1512" w:type="dxa"/>
            <w:tcBorders>
              <w:top w:val="nil"/>
              <w:left w:val="nil"/>
              <w:bottom w:val="single" w:sz="4" w:space="0" w:color="auto"/>
              <w:right w:val="single" w:sz="4" w:space="0" w:color="auto"/>
            </w:tcBorders>
            <w:vAlign w:val="center"/>
            <w:hideMark/>
          </w:tcPr>
          <w:p w:rsidR="00A81A25" w:rsidRPr="00D9255B" w:rsidP="00D9255B" w14:paraId="35138258" w14:textId="77777777">
            <w:pPr>
              <w:widowControl/>
              <w:autoSpaceDE/>
              <w:autoSpaceDN/>
              <w:adjustRightInd/>
              <w:jc w:val="center"/>
              <w:rPr>
                <w:color w:val="000000"/>
                <w:sz w:val="22"/>
                <w:szCs w:val="22"/>
              </w:rPr>
            </w:pPr>
            <w:r w:rsidRPr="00D9255B">
              <w:rPr>
                <w:color w:val="000000"/>
                <w:sz w:val="22"/>
                <w:szCs w:val="22"/>
              </w:rPr>
              <w:t xml:space="preserve">$17,749,875 </w:t>
            </w:r>
          </w:p>
        </w:tc>
      </w:tr>
      <w:tr w14:paraId="2D201F93" w14:textId="77777777" w:rsidTr="00C813E2">
        <w:tblPrEx>
          <w:tblW w:w="9908" w:type="dxa"/>
          <w:tblInd w:w="-365" w:type="dxa"/>
          <w:tblLook w:val="04A0"/>
        </w:tblPrEx>
        <w:trPr>
          <w:trHeight w:val="403"/>
        </w:trPr>
        <w:tc>
          <w:tcPr>
            <w:tcW w:w="9908" w:type="dxa"/>
            <w:gridSpan w:val="8"/>
            <w:tcBorders>
              <w:top w:val="single" w:sz="4" w:space="0" w:color="auto"/>
              <w:left w:val="single" w:sz="4" w:space="0" w:color="auto"/>
              <w:bottom w:val="single" w:sz="4" w:space="0" w:color="auto"/>
              <w:right w:val="single" w:sz="4" w:space="0" w:color="000000"/>
            </w:tcBorders>
            <w:vAlign w:val="center"/>
            <w:hideMark/>
          </w:tcPr>
          <w:p w:rsidR="00A81A25" w:rsidRPr="00D9255B" w:rsidP="00D9255B" w14:paraId="186A2A41" w14:textId="77777777">
            <w:pPr>
              <w:widowControl/>
              <w:autoSpaceDE/>
              <w:autoSpaceDN/>
              <w:adjustRightInd/>
              <w:rPr>
                <w:b/>
                <w:bCs/>
                <w:color w:val="000000"/>
                <w:sz w:val="22"/>
                <w:szCs w:val="22"/>
                <w:u w:val="single"/>
              </w:rPr>
            </w:pPr>
            <w:r w:rsidRPr="00D9255B">
              <w:rPr>
                <w:b/>
                <w:bCs/>
                <w:color w:val="000000"/>
                <w:sz w:val="22"/>
                <w:szCs w:val="22"/>
                <w:u w:val="single"/>
              </w:rPr>
              <w:t>IDR Initiation Notice and Response</w:t>
            </w:r>
          </w:p>
        </w:tc>
      </w:tr>
      <w:tr w14:paraId="7CAEDB7E" w14:textId="77777777" w:rsidTr="00C813E2">
        <w:tblPrEx>
          <w:tblW w:w="9908" w:type="dxa"/>
          <w:tblInd w:w="-365" w:type="dxa"/>
          <w:tblLook w:val="04A0"/>
        </w:tblPrEx>
        <w:trPr>
          <w:trHeight w:val="1300"/>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44682032" w14:textId="77777777">
            <w:pPr>
              <w:widowControl/>
              <w:autoSpaceDE/>
              <w:autoSpaceDN/>
              <w:adjustRightInd/>
              <w:rPr>
                <w:color w:val="000000"/>
                <w:sz w:val="22"/>
                <w:szCs w:val="22"/>
              </w:rPr>
            </w:pPr>
            <w:r w:rsidRPr="00D9255B">
              <w:rPr>
                <w:color w:val="000000"/>
                <w:sz w:val="22"/>
                <w:szCs w:val="22"/>
              </w:rPr>
              <w:t>Compensation and benefits manager write the Notice of IDR Initiation</w:t>
            </w:r>
          </w:p>
        </w:tc>
        <w:tc>
          <w:tcPr>
            <w:tcW w:w="0" w:type="auto"/>
            <w:tcBorders>
              <w:top w:val="nil"/>
              <w:left w:val="nil"/>
              <w:bottom w:val="single" w:sz="4" w:space="0" w:color="auto"/>
              <w:right w:val="single" w:sz="4" w:space="0" w:color="auto"/>
            </w:tcBorders>
            <w:vAlign w:val="center"/>
            <w:hideMark/>
          </w:tcPr>
          <w:p w:rsidR="00A81A25" w:rsidRPr="00D9255B" w:rsidP="00D9255B" w14:paraId="69A7F72D" w14:textId="77777777">
            <w:pPr>
              <w:widowControl/>
              <w:autoSpaceDE/>
              <w:autoSpaceDN/>
              <w:adjustRightInd/>
              <w:jc w:val="center"/>
              <w:rPr>
                <w:color w:val="000000"/>
                <w:sz w:val="22"/>
                <w:szCs w:val="22"/>
              </w:rPr>
            </w:pPr>
            <w:r w:rsidRPr="00D9255B">
              <w:rPr>
                <w:color w:val="000000"/>
                <w:sz w:val="22"/>
                <w:szCs w:val="22"/>
              </w:rPr>
              <w:t>650,000</w:t>
            </w:r>
          </w:p>
        </w:tc>
        <w:tc>
          <w:tcPr>
            <w:tcW w:w="0" w:type="auto"/>
            <w:tcBorders>
              <w:top w:val="nil"/>
              <w:left w:val="nil"/>
              <w:bottom w:val="single" w:sz="4" w:space="0" w:color="auto"/>
              <w:right w:val="single" w:sz="4" w:space="0" w:color="auto"/>
            </w:tcBorders>
            <w:vAlign w:val="center"/>
            <w:hideMark/>
          </w:tcPr>
          <w:p w:rsidR="00A81A25" w:rsidRPr="00D9255B" w:rsidP="00D9255B" w14:paraId="6BC27175"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1D8775DD" w14:textId="77777777">
            <w:pPr>
              <w:widowControl/>
              <w:autoSpaceDE/>
              <w:autoSpaceDN/>
              <w:adjustRightInd/>
              <w:jc w:val="center"/>
              <w:rPr>
                <w:color w:val="000000"/>
                <w:sz w:val="22"/>
                <w:szCs w:val="22"/>
              </w:rPr>
            </w:pPr>
            <w:r w:rsidRPr="00D9255B">
              <w:rPr>
                <w:color w:val="000000"/>
                <w:sz w:val="22"/>
                <w:szCs w:val="22"/>
              </w:rPr>
              <w:t>650,000</w:t>
            </w:r>
          </w:p>
        </w:tc>
        <w:tc>
          <w:tcPr>
            <w:tcW w:w="0" w:type="auto"/>
            <w:tcBorders>
              <w:top w:val="nil"/>
              <w:left w:val="nil"/>
              <w:bottom w:val="single" w:sz="4" w:space="0" w:color="auto"/>
              <w:right w:val="single" w:sz="4" w:space="0" w:color="auto"/>
            </w:tcBorders>
            <w:vAlign w:val="center"/>
            <w:hideMark/>
          </w:tcPr>
          <w:p w:rsidR="00A81A25" w:rsidRPr="00D9255B" w:rsidP="00D9255B" w14:paraId="70C16989" w14:textId="77777777">
            <w:pPr>
              <w:widowControl/>
              <w:autoSpaceDE/>
              <w:autoSpaceDN/>
              <w:adjustRightInd/>
              <w:jc w:val="center"/>
              <w:rPr>
                <w:color w:val="000000"/>
                <w:sz w:val="22"/>
                <w:szCs w:val="22"/>
              </w:rPr>
            </w:pPr>
            <w:r w:rsidRPr="00D9255B">
              <w:rPr>
                <w:color w:val="000000"/>
                <w:sz w:val="22"/>
                <w:szCs w:val="22"/>
              </w:rPr>
              <w:t>0.5</w:t>
            </w:r>
          </w:p>
        </w:tc>
        <w:tc>
          <w:tcPr>
            <w:tcW w:w="0" w:type="auto"/>
            <w:tcBorders>
              <w:top w:val="nil"/>
              <w:left w:val="nil"/>
              <w:bottom w:val="single" w:sz="4" w:space="0" w:color="auto"/>
              <w:right w:val="single" w:sz="4" w:space="0" w:color="auto"/>
            </w:tcBorders>
            <w:vAlign w:val="center"/>
            <w:hideMark/>
          </w:tcPr>
          <w:p w:rsidR="00A81A25" w:rsidRPr="00D9255B" w:rsidP="00D9255B" w14:paraId="46FAAD32" w14:textId="77777777">
            <w:pPr>
              <w:widowControl/>
              <w:autoSpaceDE/>
              <w:autoSpaceDN/>
              <w:adjustRightInd/>
              <w:jc w:val="center"/>
              <w:rPr>
                <w:color w:val="000000"/>
                <w:sz w:val="22"/>
                <w:szCs w:val="22"/>
              </w:rPr>
            </w:pPr>
            <w:r w:rsidRPr="00D9255B">
              <w:rPr>
                <w:color w:val="000000"/>
                <w:sz w:val="22"/>
                <w:szCs w:val="22"/>
              </w:rPr>
              <w:t>325,000</w:t>
            </w:r>
          </w:p>
        </w:tc>
        <w:tc>
          <w:tcPr>
            <w:tcW w:w="0" w:type="auto"/>
            <w:tcBorders>
              <w:top w:val="nil"/>
              <w:left w:val="nil"/>
              <w:bottom w:val="single" w:sz="4" w:space="0" w:color="auto"/>
              <w:right w:val="single" w:sz="4" w:space="0" w:color="auto"/>
            </w:tcBorders>
            <w:vAlign w:val="center"/>
            <w:hideMark/>
          </w:tcPr>
          <w:p w:rsidR="00A81A25" w:rsidRPr="00D9255B" w:rsidP="00D9255B" w14:paraId="19D33DE5" w14:textId="77777777">
            <w:pPr>
              <w:widowControl/>
              <w:autoSpaceDE/>
              <w:autoSpaceDN/>
              <w:adjustRightInd/>
              <w:jc w:val="center"/>
              <w:rPr>
                <w:color w:val="000000"/>
                <w:sz w:val="22"/>
                <w:szCs w:val="22"/>
              </w:rPr>
            </w:pPr>
            <w:r w:rsidRPr="00D9255B">
              <w:rPr>
                <w:color w:val="000000"/>
                <w:sz w:val="22"/>
                <w:szCs w:val="22"/>
              </w:rPr>
              <w:t xml:space="preserve">$193.15 </w:t>
            </w:r>
          </w:p>
        </w:tc>
        <w:tc>
          <w:tcPr>
            <w:tcW w:w="1512" w:type="dxa"/>
            <w:tcBorders>
              <w:top w:val="nil"/>
              <w:left w:val="nil"/>
              <w:bottom w:val="single" w:sz="4" w:space="0" w:color="auto"/>
              <w:right w:val="single" w:sz="4" w:space="0" w:color="auto"/>
            </w:tcBorders>
            <w:vAlign w:val="center"/>
            <w:hideMark/>
          </w:tcPr>
          <w:p w:rsidR="00A81A25" w:rsidRPr="00D9255B" w:rsidP="00D9255B" w14:paraId="57FA2ECA" w14:textId="77777777">
            <w:pPr>
              <w:widowControl/>
              <w:autoSpaceDE/>
              <w:autoSpaceDN/>
              <w:adjustRightInd/>
              <w:jc w:val="center"/>
              <w:rPr>
                <w:color w:val="000000"/>
                <w:sz w:val="22"/>
                <w:szCs w:val="22"/>
              </w:rPr>
            </w:pPr>
            <w:r w:rsidRPr="00D9255B">
              <w:rPr>
                <w:color w:val="000000"/>
                <w:sz w:val="22"/>
                <w:szCs w:val="22"/>
              </w:rPr>
              <w:t xml:space="preserve">$62,773,750 </w:t>
            </w:r>
          </w:p>
        </w:tc>
      </w:tr>
      <w:tr w14:paraId="3F5FEE83" w14:textId="77777777" w:rsidTr="00C813E2">
        <w:tblPrEx>
          <w:tblW w:w="9908" w:type="dxa"/>
          <w:tblInd w:w="-365" w:type="dxa"/>
          <w:tblLook w:val="04A0"/>
        </w:tblPrEx>
        <w:trPr>
          <w:trHeight w:val="1040"/>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5B276AFB" w14:textId="77777777">
            <w:pPr>
              <w:widowControl/>
              <w:autoSpaceDE/>
              <w:autoSpaceDN/>
              <w:adjustRightInd/>
              <w:rPr>
                <w:color w:val="000000"/>
                <w:sz w:val="22"/>
                <w:szCs w:val="22"/>
              </w:rPr>
            </w:pPr>
            <w:r w:rsidRPr="00D9255B">
              <w:rPr>
                <w:color w:val="000000"/>
                <w:sz w:val="22"/>
                <w:szCs w:val="22"/>
              </w:rPr>
              <w:t>Clerical workers prepare and send Notice of IDR Initiation</w:t>
            </w:r>
          </w:p>
        </w:tc>
        <w:tc>
          <w:tcPr>
            <w:tcW w:w="0" w:type="auto"/>
            <w:tcBorders>
              <w:top w:val="nil"/>
              <w:left w:val="nil"/>
              <w:bottom w:val="single" w:sz="4" w:space="0" w:color="auto"/>
              <w:right w:val="single" w:sz="4" w:space="0" w:color="auto"/>
            </w:tcBorders>
            <w:vAlign w:val="center"/>
            <w:hideMark/>
          </w:tcPr>
          <w:p w:rsidR="00A81A25" w:rsidRPr="00D9255B" w:rsidP="00D9255B" w14:paraId="124002EB" w14:textId="77777777">
            <w:pPr>
              <w:widowControl/>
              <w:autoSpaceDE/>
              <w:autoSpaceDN/>
              <w:adjustRightInd/>
              <w:jc w:val="center"/>
              <w:rPr>
                <w:color w:val="000000"/>
                <w:sz w:val="22"/>
                <w:szCs w:val="22"/>
              </w:rPr>
            </w:pPr>
            <w:r w:rsidRPr="00D9255B">
              <w:rPr>
                <w:color w:val="000000"/>
                <w:sz w:val="22"/>
                <w:szCs w:val="22"/>
              </w:rPr>
              <w:t>650,000</w:t>
            </w:r>
          </w:p>
        </w:tc>
        <w:tc>
          <w:tcPr>
            <w:tcW w:w="0" w:type="auto"/>
            <w:tcBorders>
              <w:top w:val="nil"/>
              <w:left w:val="nil"/>
              <w:bottom w:val="single" w:sz="4" w:space="0" w:color="auto"/>
              <w:right w:val="single" w:sz="4" w:space="0" w:color="auto"/>
            </w:tcBorders>
            <w:vAlign w:val="center"/>
            <w:hideMark/>
          </w:tcPr>
          <w:p w:rsidR="00A81A25" w:rsidRPr="00D9255B" w:rsidP="00D9255B" w14:paraId="3CBC9BC8"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2AB11A27" w14:textId="77777777">
            <w:pPr>
              <w:widowControl/>
              <w:autoSpaceDE/>
              <w:autoSpaceDN/>
              <w:adjustRightInd/>
              <w:jc w:val="center"/>
              <w:rPr>
                <w:color w:val="000000"/>
                <w:sz w:val="22"/>
                <w:szCs w:val="22"/>
              </w:rPr>
            </w:pPr>
            <w:r w:rsidRPr="00D9255B">
              <w:rPr>
                <w:color w:val="000000"/>
                <w:sz w:val="22"/>
                <w:szCs w:val="22"/>
              </w:rPr>
              <w:t>650,000</w:t>
            </w:r>
          </w:p>
        </w:tc>
        <w:tc>
          <w:tcPr>
            <w:tcW w:w="0" w:type="auto"/>
            <w:tcBorders>
              <w:top w:val="nil"/>
              <w:left w:val="nil"/>
              <w:bottom w:val="single" w:sz="4" w:space="0" w:color="auto"/>
              <w:right w:val="single" w:sz="4" w:space="0" w:color="auto"/>
            </w:tcBorders>
            <w:vAlign w:val="center"/>
            <w:hideMark/>
          </w:tcPr>
          <w:p w:rsidR="00A81A25" w:rsidRPr="00D9255B" w:rsidP="00D9255B" w14:paraId="6745237B" w14:textId="77777777">
            <w:pPr>
              <w:widowControl/>
              <w:autoSpaceDE/>
              <w:autoSpaceDN/>
              <w:adjustRightInd/>
              <w:jc w:val="center"/>
              <w:rPr>
                <w:color w:val="000000"/>
                <w:sz w:val="22"/>
                <w:szCs w:val="22"/>
              </w:rPr>
            </w:pPr>
            <w:r w:rsidRPr="00D9255B">
              <w:rPr>
                <w:color w:val="000000"/>
                <w:sz w:val="22"/>
                <w:szCs w:val="22"/>
              </w:rPr>
              <w:t>0.25</w:t>
            </w:r>
          </w:p>
        </w:tc>
        <w:tc>
          <w:tcPr>
            <w:tcW w:w="0" w:type="auto"/>
            <w:tcBorders>
              <w:top w:val="nil"/>
              <w:left w:val="nil"/>
              <w:bottom w:val="single" w:sz="4" w:space="0" w:color="auto"/>
              <w:right w:val="single" w:sz="4" w:space="0" w:color="auto"/>
            </w:tcBorders>
            <w:vAlign w:val="center"/>
            <w:hideMark/>
          </w:tcPr>
          <w:p w:rsidR="00A81A25" w:rsidRPr="00D9255B" w:rsidP="00D9255B" w14:paraId="626F134D" w14:textId="77777777">
            <w:pPr>
              <w:widowControl/>
              <w:autoSpaceDE/>
              <w:autoSpaceDN/>
              <w:adjustRightInd/>
              <w:jc w:val="center"/>
              <w:rPr>
                <w:color w:val="000000"/>
                <w:sz w:val="22"/>
                <w:szCs w:val="22"/>
              </w:rPr>
            </w:pPr>
            <w:r w:rsidRPr="00D9255B">
              <w:rPr>
                <w:color w:val="000000"/>
                <w:sz w:val="22"/>
                <w:szCs w:val="22"/>
              </w:rPr>
              <w:t>162,500</w:t>
            </w:r>
          </w:p>
        </w:tc>
        <w:tc>
          <w:tcPr>
            <w:tcW w:w="0" w:type="auto"/>
            <w:tcBorders>
              <w:top w:val="nil"/>
              <w:left w:val="nil"/>
              <w:bottom w:val="single" w:sz="4" w:space="0" w:color="auto"/>
              <w:right w:val="single" w:sz="4" w:space="0" w:color="auto"/>
            </w:tcBorders>
            <w:vAlign w:val="center"/>
            <w:hideMark/>
          </w:tcPr>
          <w:p w:rsidR="00A81A25" w:rsidRPr="00D9255B" w:rsidP="00D9255B" w14:paraId="5A446735" w14:textId="77777777">
            <w:pPr>
              <w:widowControl/>
              <w:autoSpaceDE/>
              <w:autoSpaceDN/>
              <w:adjustRightInd/>
              <w:jc w:val="center"/>
              <w:rPr>
                <w:color w:val="000000"/>
                <w:sz w:val="22"/>
                <w:szCs w:val="22"/>
              </w:rPr>
            </w:pPr>
            <w:r w:rsidRPr="00D9255B">
              <w:rPr>
                <w:color w:val="000000"/>
                <w:sz w:val="22"/>
                <w:szCs w:val="22"/>
              </w:rPr>
              <w:t xml:space="preserve">$72.82 </w:t>
            </w:r>
          </w:p>
        </w:tc>
        <w:tc>
          <w:tcPr>
            <w:tcW w:w="1512" w:type="dxa"/>
            <w:tcBorders>
              <w:top w:val="nil"/>
              <w:left w:val="nil"/>
              <w:bottom w:val="single" w:sz="4" w:space="0" w:color="auto"/>
              <w:right w:val="single" w:sz="4" w:space="0" w:color="auto"/>
            </w:tcBorders>
            <w:vAlign w:val="center"/>
            <w:hideMark/>
          </w:tcPr>
          <w:p w:rsidR="00A81A25" w:rsidRPr="00D9255B" w:rsidP="00D9255B" w14:paraId="0D384E39" w14:textId="77777777">
            <w:pPr>
              <w:widowControl/>
              <w:autoSpaceDE/>
              <w:autoSpaceDN/>
              <w:adjustRightInd/>
              <w:jc w:val="center"/>
              <w:rPr>
                <w:color w:val="000000"/>
                <w:sz w:val="22"/>
                <w:szCs w:val="22"/>
              </w:rPr>
            </w:pPr>
            <w:r w:rsidRPr="00D9255B">
              <w:rPr>
                <w:color w:val="000000"/>
                <w:sz w:val="22"/>
                <w:szCs w:val="22"/>
              </w:rPr>
              <w:t xml:space="preserve">$11,833,250 </w:t>
            </w:r>
          </w:p>
        </w:tc>
      </w:tr>
      <w:tr w14:paraId="4F0FD119" w14:textId="77777777" w:rsidTr="00C813E2">
        <w:tblPrEx>
          <w:tblW w:w="9908" w:type="dxa"/>
          <w:tblInd w:w="-365" w:type="dxa"/>
          <w:tblLook w:val="04A0"/>
        </w:tblPrEx>
        <w:trPr>
          <w:trHeight w:val="290"/>
        </w:trPr>
        <w:tc>
          <w:tcPr>
            <w:tcW w:w="9908" w:type="dxa"/>
            <w:gridSpan w:val="8"/>
            <w:tcBorders>
              <w:top w:val="single" w:sz="4" w:space="0" w:color="auto"/>
              <w:left w:val="single" w:sz="4" w:space="0" w:color="auto"/>
              <w:bottom w:val="single" w:sz="4" w:space="0" w:color="auto"/>
              <w:right w:val="single" w:sz="4" w:space="0" w:color="000000"/>
            </w:tcBorders>
            <w:vAlign w:val="center"/>
            <w:hideMark/>
          </w:tcPr>
          <w:p w:rsidR="00A81A25" w:rsidRPr="00D9255B" w:rsidP="00D9255B" w14:paraId="5E4DEB5C" w14:textId="77777777">
            <w:pPr>
              <w:widowControl/>
              <w:autoSpaceDE/>
              <w:autoSpaceDN/>
              <w:adjustRightInd/>
              <w:rPr>
                <w:b/>
                <w:bCs/>
                <w:color w:val="000000"/>
                <w:sz w:val="22"/>
                <w:szCs w:val="22"/>
                <w:u w:val="single"/>
              </w:rPr>
            </w:pPr>
            <w:r w:rsidRPr="00D9255B">
              <w:rPr>
                <w:b/>
                <w:bCs/>
                <w:color w:val="000000"/>
                <w:sz w:val="22"/>
                <w:szCs w:val="22"/>
                <w:u w:val="single"/>
              </w:rPr>
              <w:t>IDR Initiation Notice and Response</w:t>
            </w:r>
          </w:p>
        </w:tc>
      </w:tr>
      <w:tr w14:paraId="5ED28217" w14:textId="77777777" w:rsidTr="00470DE9">
        <w:tblPrEx>
          <w:tblW w:w="9908" w:type="dxa"/>
          <w:tblInd w:w="-365" w:type="dxa"/>
          <w:tblLook w:val="04A0"/>
        </w:tblPrEx>
        <w:trPr>
          <w:trHeight w:val="1820"/>
        </w:trPr>
        <w:tc>
          <w:tcPr>
            <w:tcW w:w="1384" w:type="dxa"/>
            <w:tcBorders>
              <w:top w:val="single" w:sz="4" w:space="0" w:color="auto"/>
              <w:left w:val="single" w:sz="4" w:space="0" w:color="auto"/>
              <w:bottom w:val="single" w:sz="4" w:space="0" w:color="auto"/>
              <w:right w:val="single" w:sz="4" w:space="0" w:color="auto"/>
            </w:tcBorders>
            <w:vAlign w:val="center"/>
            <w:hideMark/>
          </w:tcPr>
          <w:p w:rsidR="00A81A25" w:rsidRPr="00D9255B" w:rsidP="00D9255B" w14:paraId="2CD58253" w14:textId="77777777">
            <w:pPr>
              <w:widowControl/>
              <w:autoSpaceDE/>
              <w:autoSpaceDN/>
              <w:adjustRightInd/>
              <w:rPr>
                <w:color w:val="000000"/>
                <w:sz w:val="22"/>
                <w:szCs w:val="22"/>
              </w:rPr>
            </w:pPr>
            <w:r w:rsidRPr="00D9255B">
              <w:rPr>
                <w:color w:val="000000"/>
                <w:sz w:val="22"/>
                <w:szCs w:val="22"/>
              </w:rPr>
              <w:t>Compensation and benefits managers prepare the Notice of IDR Initiation Response</w:t>
            </w:r>
          </w:p>
        </w:tc>
        <w:tc>
          <w:tcPr>
            <w:tcW w:w="0" w:type="auto"/>
            <w:tcBorders>
              <w:top w:val="single" w:sz="4" w:space="0" w:color="auto"/>
              <w:left w:val="nil"/>
              <w:bottom w:val="single" w:sz="4" w:space="0" w:color="auto"/>
              <w:right w:val="single" w:sz="4" w:space="0" w:color="auto"/>
            </w:tcBorders>
            <w:vAlign w:val="center"/>
            <w:hideMark/>
          </w:tcPr>
          <w:p w:rsidR="00A81A25" w:rsidRPr="00D9255B" w:rsidP="00D9255B" w14:paraId="15F5869E" w14:textId="77777777">
            <w:pPr>
              <w:widowControl/>
              <w:autoSpaceDE/>
              <w:autoSpaceDN/>
              <w:adjustRightInd/>
              <w:jc w:val="center"/>
              <w:rPr>
                <w:color w:val="000000"/>
                <w:sz w:val="22"/>
                <w:szCs w:val="22"/>
              </w:rPr>
            </w:pPr>
            <w:r w:rsidRPr="00D9255B">
              <w:rPr>
                <w:color w:val="000000"/>
                <w:sz w:val="22"/>
                <w:szCs w:val="22"/>
              </w:rPr>
              <w:t>650,000</w:t>
            </w:r>
          </w:p>
        </w:tc>
        <w:tc>
          <w:tcPr>
            <w:tcW w:w="0" w:type="auto"/>
            <w:tcBorders>
              <w:top w:val="single" w:sz="4" w:space="0" w:color="auto"/>
              <w:left w:val="nil"/>
              <w:bottom w:val="single" w:sz="4" w:space="0" w:color="auto"/>
              <w:right w:val="single" w:sz="4" w:space="0" w:color="auto"/>
            </w:tcBorders>
            <w:vAlign w:val="center"/>
            <w:hideMark/>
          </w:tcPr>
          <w:p w:rsidR="00A81A25" w:rsidRPr="00D9255B" w:rsidP="00D9255B" w14:paraId="073A146C"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single" w:sz="4" w:space="0" w:color="auto"/>
              <w:left w:val="nil"/>
              <w:bottom w:val="single" w:sz="4" w:space="0" w:color="auto"/>
              <w:right w:val="single" w:sz="4" w:space="0" w:color="auto"/>
            </w:tcBorders>
            <w:vAlign w:val="center"/>
            <w:hideMark/>
          </w:tcPr>
          <w:p w:rsidR="00A81A25" w:rsidRPr="00D9255B" w:rsidP="00D9255B" w14:paraId="5A2E2F7A" w14:textId="77777777">
            <w:pPr>
              <w:widowControl/>
              <w:autoSpaceDE/>
              <w:autoSpaceDN/>
              <w:adjustRightInd/>
              <w:jc w:val="center"/>
              <w:rPr>
                <w:color w:val="000000"/>
                <w:sz w:val="22"/>
                <w:szCs w:val="22"/>
              </w:rPr>
            </w:pPr>
            <w:r w:rsidRPr="00D9255B">
              <w:rPr>
                <w:color w:val="000000"/>
                <w:sz w:val="22"/>
                <w:szCs w:val="22"/>
              </w:rPr>
              <w:t>650,000</w:t>
            </w:r>
          </w:p>
        </w:tc>
        <w:tc>
          <w:tcPr>
            <w:tcW w:w="0" w:type="auto"/>
            <w:tcBorders>
              <w:top w:val="single" w:sz="4" w:space="0" w:color="auto"/>
              <w:left w:val="nil"/>
              <w:bottom w:val="single" w:sz="4" w:space="0" w:color="auto"/>
              <w:right w:val="single" w:sz="4" w:space="0" w:color="auto"/>
            </w:tcBorders>
            <w:vAlign w:val="center"/>
            <w:hideMark/>
          </w:tcPr>
          <w:p w:rsidR="00A81A25" w:rsidRPr="00D9255B" w:rsidP="00D9255B" w14:paraId="38E036A9" w14:textId="77777777">
            <w:pPr>
              <w:widowControl/>
              <w:autoSpaceDE/>
              <w:autoSpaceDN/>
              <w:adjustRightInd/>
              <w:jc w:val="center"/>
              <w:rPr>
                <w:color w:val="000000"/>
                <w:sz w:val="22"/>
                <w:szCs w:val="22"/>
              </w:rPr>
            </w:pPr>
            <w:r w:rsidRPr="00D9255B">
              <w:rPr>
                <w:color w:val="000000"/>
                <w:sz w:val="22"/>
                <w:szCs w:val="22"/>
              </w:rPr>
              <w:t>0.5</w:t>
            </w:r>
          </w:p>
        </w:tc>
        <w:tc>
          <w:tcPr>
            <w:tcW w:w="0" w:type="auto"/>
            <w:tcBorders>
              <w:top w:val="single" w:sz="4" w:space="0" w:color="auto"/>
              <w:left w:val="nil"/>
              <w:bottom w:val="single" w:sz="4" w:space="0" w:color="auto"/>
              <w:right w:val="single" w:sz="4" w:space="0" w:color="auto"/>
            </w:tcBorders>
            <w:vAlign w:val="center"/>
            <w:hideMark/>
          </w:tcPr>
          <w:p w:rsidR="00A81A25" w:rsidRPr="00D9255B" w:rsidP="00D9255B" w14:paraId="0C9DB4FC" w14:textId="77777777">
            <w:pPr>
              <w:widowControl/>
              <w:autoSpaceDE/>
              <w:autoSpaceDN/>
              <w:adjustRightInd/>
              <w:jc w:val="center"/>
              <w:rPr>
                <w:color w:val="000000"/>
                <w:sz w:val="22"/>
                <w:szCs w:val="22"/>
              </w:rPr>
            </w:pPr>
            <w:r w:rsidRPr="00D9255B">
              <w:rPr>
                <w:color w:val="000000"/>
                <w:sz w:val="22"/>
                <w:szCs w:val="22"/>
              </w:rPr>
              <w:t>325,000</w:t>
            </w:r>
          </w:p>
        </w:tc>
        <w:tc>
          <w:tcPr>
            <w:tcW w:w="0" w:type="auto"/>
            <w:tcBorders>
              <w:top w:val="single" w:sz="4" w:space="0" w:color="auto"/>
              <w:left w:val="nil"/>
              <w:bottom w:val="single" w:sz="4" w:space="0" w:color="auto"/>
              <w:right w:val="single" w:sz="4" w:space="0" w:color="auto"/>
            </w:tcBorders>
            <w:vAlign w:val="center"/>
            <w:hideMark/>
          </w:tcPr>
          <w:p w:rsidR="00A81A25" w:rsidRPr="00D9255B" w:rsidP="00D9255B" w14:paraId="1934D4E2" w14:textId="77777777">
            <w:pPr>
              <w:widowControl/>
              <w:autoSpaceDE/>
              <w:autoSpaceDN/>
              <w:adjustRightInd/>
              <w:jc w:val="center"/>
              <w:rPr>
                <w:color w:val="000000"/>
                <w:sz w:val="22"/>
                <w:szCs w:val="22"/>
              </w:rPr>
            </w:pPr>
            <w:r w:rsidRPr="00D9255B">
              <w:rPr>
                <w:color w:val="000000"/>
                <w:sz w:val="22"/>
                <w:szCs w:val="22"/>
              </w:rPr>
              <w:t xml:space="preserve">$193.15 </w:t>
            </w:r>
          </w:p>
        </w:tc>
        <w:tc>
          <w:tcPr>
            <w:tcW w:w="1512" w:type="dxa"/>
            <w:tcBorders>
              <w:top w:val="single" w:sz="4" w:space="0" w:color="auto"/>
              <w:left w:val="nil"/>
              <w:bottom w:val="single" w:sz="4" w:space="0" w:color="auto"/>
              <w:right w:val="single" w:sz="4" w:space="0" w:color="auto"/>
            </w:tcBorders>
            <w:vAlign w:val="center"/>
            <w:hideMark/>
          </w:tcPr>
          <w:p w:rsidR="00A81A25" w:rsidRPr="00D9255B" w:rsidP="00D9255B" w14:paraId="1AD79175" w14:textId="77777777">
            <w:pPr>
              <w:widowControl/>
              <w:autoSpaceDE/>
              <w:autoSpaceDN/>
              <w:adjustRightInd/>
              <w:jc w:val="center"/>
              <w:rPr>
                <w:color w:val="000000"/>
                <w:sz w:val="22"/>
                <w:szCs w:val="22"/>
              </w:rPr>
            </w:pPr>
            <w:r w:rsidRPr="00D9255B">
              <w:rPr>
                <w:color w:val="000000"/>
                <w:sz w:val="22"/>
                <w:szCs w:val="22"/>
              </w:rPr>
              <w:t>$62,773,750</w:t>
            </w:r>
          </w:p>
        </w:tc>
      </w:tr>
      <w:tr w14:paraId="021C0A14" w14:textId="77777777" w:rsidTr="00C813E2">
        <w:tblPrEx>
          <w:tblW w:w="9908" w:type="dxa"/>
          <w:tblInd w:w="-365" w:type="dxa"/>
          <w:tblLook w:val="04A0"/>
        </w:tblPrEx>
        <w:trPr>
          <w:trHeight w:val="1300"/>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4CD58C57" w14:textId="77777777">
            <w:pPr>
              <w:widowControl/>
              <w:autoSpaceDE/>
              <w:autoSpaceDN/>
              <w:adjustRightInd/>
              <w:rPr>
                <w:color w:val="000000"/>
                <w:sz w:val="22"/>
                <w:szCs w:val="22"/>
              </w:rPr>
            </w:pPr>
            <w:r w:rsidRPr="00D9255B">
              <w:rPr>
                <w:color w:val="000000"/>
                <w:sz w:val="22"/>
                <w:szCs w:val="22"/>
              </w:rPr>
              <w:t>Clerical workers prepare the Notice of IDR Initiation Response</w:t>
            </w:r>
          </w:p>
        </w:tc>
        <w:tc>
          <w:tcPr>
            <w:tcW w:w="0" w:type="auto"/>
            <w:tcBorders>
              <w:top w:val="nil"/>
              <w:left w:val="nil"/>
              <w:bottom w:val="single" w:sz="4" w:space="0" w:color="auto"/>
              <w:right w:val="single" w:sz="4" w:space="0" w:color="auto"/>
            </w:tcBorders>
            <w:vAlign w:val="center"/>
            <w:hideMark/>
          </w:tcPr>
          <w:p w:rsidR="00A81A25" w:rsidRPr="00D9255B" w:rsidP="00D9255B" w14:paraId="3775B33B" w14:textId="77777777">
            <w:pPr>
              <w:widowControl/>
              <w:autoSpaceDE/>
              <w:autoSpaceDN/>
              <w:adjustRightInd/>
              <w:jc w:val="center"/>
              <w:rPr>
                <w:color w:val="000000"/>
                <w:sz w:val="22"/>
                <w:szCs w:val="22"/>
              </w:rPr>
            </w:pPr>
            <w:r w:rsidRPr="00D9255B">
              <w:rPr>
                <w:color w:val="000000"/>
                <w:sz w:val="22"/>
                <w:szCs w:val="22"/>
              </w:rPr>
              <w:t>650,000</w:t>
            </w:r>
          </w:p>
        </w:tc>
        <w:tc>
          <w:tcPr>
            <w:tcW w:w="0" w:type="auto"/>
            <w:tcBorders>
              <w:top w:val="nil"/>
              <w:left w:val="nil"/>
              <w:bottom w:val="single" w:sz="4" w:space="0" w:color="auto"/>
              <w:right w:val="single" w:sz="4" w:space="0" w:color="auto"/>
            </w:tcBorders>
            <w:vAlign w:val="center"/>
            <w:hideMark/>
          </w:tcPr>
          <w:p w:rsidR="00A81A25" w:rsidRPr="00D9255B" w:rsidP="00D9255B" w14:paraId="3969BF2B"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28D79B35" w14:textId="77777777">
            <w:pPr>
              <w:widowControl/>
              <w:autoSpaceDE/>
              <w:autoSpaceDN/>
              <w:adjustRightInd/>
              <w:jc w:val="center"/>
              <w:rPr>
                <w:color w:val="000000"/>
                <w:sz w:val="22"/>
                <w:szCs w:val="22"/>
              </w:rPr>
            </w:pPr>
            <w:r w:rsidRPr="00D9255B">
              <w:rPr>
                <w:color w:val="000000"/>
                <w:sz w:val="22"/>
                <w:szCs w:val="22"/>
              </w:rPr>
              <w:t>650,000</w:t>
            </w:r>
          </w:p>
        </w:tc>
        <w:tc>
          <w:tcPr>
            <w:tcW w:w="0" w:type="auto"/>
            <w:tcBorders>
              <w:top w:val="nil"/>
              <w:left w:val="nil"/>
              <w:bottom w:val="single" w:sz="4" w:space="0" w:color="auto"/>
              <w:right w:val="single" w:sz="4" w:space="0" w:color="auto"/>
            </w:tcBorders>
            <w:vAlign w:val="center"/>
            <w:hideMark/>
          </w:tcPr>
          <w:p w:rsidR="00A81A25" w:rsidRPr="00D9255B" w:rsidP="00D9255B" w14:paraId="7269F7C6" w14:textId="77777777">
            <w:pPr>
              <w:widowControl/>
              <w:autoSpaceDE/>
              <w:autoSpaceDN/>
              <w:adjustRightInd/>
              <w:jc w:val="center"/>
              <w:rPr>
                <w:color w:val="000000"/>
                <w:sz w:val="22"/>
                <w:szCs w:val="22"/>
              </w:rPr>
            </w:pPr>
            <w:r w:rsidRPr="00D9255B">
              <w:rPr>
                <w:color w:val="000000"/>
                <w:sz w:val="22"/>
                <w:szCs w:val="22"/>
              </w:rPr>
              <w:t>0.25</w:t>
            </w:r>
          </w:p>
        </w:tc>
        <w:tc>
          <w:tcPr>
            <w:tcW w:w="0" w:type="auto"/>
            <w:tcBorders>
              <w:top w:val="nil"/>
              <w:left w:val="nil"/>
              <w:bottom w:val="single" w:sz="4" w:space="0" w:color="auto"/>
              <w:right w:val="single" w:sz="4" w:space="0" w:color="auto"/>
            </w:tcBorders>
            <w:vAlign w:val="center"/>
            <w:hideMark/>
          </w:tcPr>
          <w:p w:rsidR="00A81A25" w:rsidRPr="00D9255B" w:rsidP="00D9255B" w14:paraId="6653579F" w14:textId="77777777">
            <w:pPr>
              <w:widowControl/>
              <w:autoSpaceDE/>
              <w:autoSpaceDN/>
              <w:adjustRightInd/>
              <w:jc w:val="center"/>
              <w:rPr>
                <w:color w:val="000000"/>
                <w:sz w:val="22"/>
                <w:szCs w:val="22"/>
              </w:rPr>
            </w:pPr>
            <w:r w:rsidRPr="00D9255B">
              <w:rPr>
                <w:color w:val="000000"/>
                <w:sz w:val="22"/>
                <w:szCs w:val="22"/>
              </w:rPr>
              <w:t>162,500</w:t>
            </w:r>
          </w:p>
        </w:tc>
        <w:tc>
          <w:tcPr>
            <w:tcW w:w="0" w:type="auto"/>
            <w:tcBorders>
              <w:top w:val="nil"/>
              <w:left w:val="nil"/>
              <w:bottom w:val="single" w:sz="4" w:space="0" w:color="auto"/>
              <w:right w:val="single" w:sz="4" w:space="0" w:color="auto"/>
            </w:tcBorders>
            <w:vAlign w:val="center"/>
            <w:hideMark/>
          </w:tcPr>
          <w:p w:rsidR="00A81A25" w:rsidRPr="00D9255B" w:rsidP="00D9255B" w14:paraId="26554FCC" w14:textId="77777777">
            <w:pPr>
              <w:widowControl/>
              <w:autoSpaceDE/>
              <w:autoSpaceDN/>
              <w:adjustRightInd/>
              <w:jc w:val="center"/>
              <w:rPr>
                <w:color w:val="000000"/>
                <w:sz w:val="22"/>
                <w:szCs w:val="22"/>
              </w:rPr>
            </w:pPr>
            <w:r w:rsidRPr="00D9255B">
              <w:rPr>
                <w:color w:val="000000"/>
                <w:sz w:val="22"/>
                <w:szCs w:val="22"/>
              </w:rPr>
              <w:t xml:space="preserve">$72.82 </w:t>
            </w:r>
          </w:p>
        </w:tc>
        <w:tc>
          <w:tcPr>
            <w:tcW w:w="1512" w:type="dxa"/>
            <w:tcBorders>
              <w:top w:val="nil"/>
              <w:left w:val="nil"/>
              <w:bottom w:val="single" w:sz="4" w:space="0" w:color="auto"/>
              <w:right w:val="single" w:sz="4" w:space="0" w:color="auto"/>
            </w:tcBorders>
            <w:vAlign w:val="center"/>
            <w:hideMark/>
          </w:tcPr>
          <w:p w:rsidR="00A81A25" w:rsidRPr="00D9255B" w:rsidP="00D9255B" w14:paraId="31E30134" w14:textId="77777777">
            <w:pPr>
              <w:widowControl/>
              <w:autoSpaceDE/>
              <w:autoSpaceDN/>
              <w:adjustRightInd/>
              <w:jc w:val="center"/>
              <w:rPr>
                <w:color w:val="000000"/>
                <w:sz w:val="22"/>
                <w:szCs w:val="22"/>
              </w:rPr>
            </w:pPr>
            <w:r w:rsidRPr="00D9255B">
              <w:rPr>
                <w:color w:val="000000"/>
                <w:sz w:val="22"/>
                <w:szCs w:val="22"/>
              </w:rPr>
              <w:t>$11,833,250</w:t>
            </w:r>
          </w:p>
        </w:tc>
      </w:tr>
      <w:tr w14:paraId="4CEE651B" w14:textId="77777777" w:rsidTr="00C813E2">
        <w:tblPrEx>
          <w:tblW w:w="9908" w:type="dxa"/>
          <w:tblInd w:w="-365" w:type="dxa"/>
          <w:tblLook w:val="04A0"/>
        </w:tblPrEx>
        <w:trPr>
          <w:trHeight w:val="290"/>
        </w:trPr>
        <w:tc>
          <w:tcPr>
            <w:tcW w:w="9908" w:type="dxa"/>
            <w:gridSpan w:val="8"/>
            <w:tcBorders>
              <w:top w:val="single" w:sz="4" w:space="0" w:color="auto"/>
              <w:left w:val="single" w:sz="4" w:space="0" w:color="auto"/>
              <w:bottom w:val="single" w:sz="4" w:space="0" w:color="auto"/>
              <w:right w:val="single" w:sz="4" w:space="0" w:color="000000"/>
            </w:tcBorders>
            <w:vAlign w:val="center"/>
            <w:hideMark/>
          </w:tcPr>
          <w:p w:rsidR="00A81A25" w:rsidRPr="00D9255B" w:rsidP="00D9255B" w14:paraId="08BB4DDA" w14:textId="77777777">
            <w:pPr>
              <w:widowControl/>
              <w:autoSpaceDE/>
              <w:autoSpaceDN/>
              <w:adjustRightInd/>
              <w:rPr>
                <w:b/>
                <w:bCs/>
                <w:color w:val="000000"/>
                <w:sz w:val="22"/>
                <w:szCs w:val="22"/>
                <w:u w:val="single"/>
              </w:rPr>
            </w:pPr>
            <w:r w:rsidRPr="00D9255B">
              <w:rPr>
                <w:b/>
                <w:bCs/>
                <w:color w:val="000000"/>
                <w:sz w:val="22"/>
                <w:szCs w:val="22"/>
                <w:u w:val="single"/>
              </w:rPr>
              <w:t>Selection of Certified IDR Entity</w:t>
            </w:r>
          </w:p>
        </w:tc>
      </w:tr>
      <w:tr w14:paraId="57E5BEBE" w14:textId="77777777" w:rsidTr="00C813E2">
        <w:tblPrEx>
          <w:tblW w:w="9908" w:type="dxa"/>
          <w:tblInd w:w="-365" w:type="dxa"/>
          <w:tblLook w:val="04A0"/>
        </w:tblPrEx>
        <w:trPr>
          <w:trHeight w:val="1933"/>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70A99CFA" w14:textId="506B56D4">
            <w:pPr>
              <w:widowControl/>
              <w:autoSpaceDE/>
              <w:autoSpaceDN/>
              <w:adjustRightInd/>
              <w:rPr>
                <w:color w:val="000000"/>
                <w:sz w:val="22"/>
                <w:szCs w:val="22"/>
              </w:rPr>
            </w:pPr>
            <w:r w:rsidRPr="00D9255B">
              <w:rPr>
                <w:color w:val="000000"/>
                <w:sz w:val="22"/>
                <w:szCs w:val="22"/>
              </w:rPr>
              <w:t>Clerical workers prepare and send the Notice of Selection of Certified IDR Entity a single time</w:t>
            </w:r>
          </w:p>
        </w:tc>
        <w:tc>
          <w:tcPr>
            <w:tcW w:w="0" w:type="auto"/>
            <w:tcBorders>
              <w:top w:val="nil"/>
              <w:left w:val="nil"/>
              <w:bottom w:val="single" w:sz="4" w:space="0" w:color="auto"/>
              <w:right w:val="single" w:sz="4" w:space="0" w:color="auto"/>
            </w:tcBorders>
            <w:vAlign w:val="center"/>
            <w:hideMark/>
          </w:tcPr>
          <w:p w:rsidR="00A81A25" w:rsidRPr="00D9255B" w:rsidP="00D9255B" w14:paraId="35F81503" w14:textId="77777777">
            <w:pPr>
              <w:widowControl/>
              <w:autoSpaceDE/>
              <w:autoSpaceDN/>
              <w:adjustRightInd/>
              <w:jc w:val="center"/>
              <w:rPr>
                <w:color w:val="000000"/>
                <w:sz w:val="22"/>
                <w:szCs w:val="22"/>
              </w:rPr>
            </w:pPr>
            <w:r w:rsidRPr="00D9255B">
              <w:rPr>
                <w:color w:val="000000"/>
                <w:sz w:val="22"/>
                <w:szCs w:val="22"/>
              </w:rPr>
              <w:t>175,500</w:t>
            </w:r>
          </w:p>
        </w:tc>
        <w:tc>
          <w:tcPr>
            <w:tcW w:w="0" w:type="auto"/>
            <w:tcBorders>
              <w:top w:val="nil"/>
              <w:left w:val="nil"/>
              <w:bottom w:val="single" w:sz="4" w:space="0" w:color="auto"/>
              <w:right w:val="single" w:sz="4" w:space="0" w:color="auto"/>
            </w:tcBorders>
            <w:vAlign w:val="center"/>
            <w:hideMark/>
          </w:tcPr>
          <w:p w:rsidR="00A81A25" w:rsidRPr="00D9255B" w:rsidP="00D9255B" w14:paraId="094AE70A"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198E2109" w14:textId="77777777">
            <w:pPr>
              <w:widowControl/>
              <w:autoSpaceDE/>
              <w:autoSpaceDN/>
              <w:adjustRightInd/>
              <w:jc w:val="center"/>
              <w:rPr>
                <w:color w:val="000000"/>
                <w:sz w:val="22"/>
                <w:szCs w:val="22"/>
              </w:rPr>
            </w:pPr>
            <w:r w:rsidRPr="00D9255B">
              <w:rPr>
                <w:color w:val="000000"/>
                <w:sz w:val="22"/>
                <w:szCs w:val="22"/>
              </w:rPr>
              <w:t>175,500</w:t>
            </w:r>
          </w:p>
        </w:tc>
        <w:tc>
          <w:tcPr>
            <w:tcW w:w="0" w:type="auto"/>
            <w:tcBorders>
              <w:top w:val="nil"/>
              <w:left w:val="nil"/>
              <w:bottom w:val="single" w:sz="4" w:space="0" w:color="auto"/>
              <w:right w:val="single" w:sz="4" w:space="0" w:color="auto"/>
            </w:tcBorders>
            <w:vAlign w:val="center"/>
            <w:hideMark/>
          </w:tcPr>
          <w:p w:rsidR="00A81A25" w:rsidRPr="00D9255B" w:rsidP="00D9255B" w14:paraId="7C9604CC" w14:textId="77777777">
            <w:pPr>
              <w:widowControl/>
              <w:autoSpaceDE/>
              <w:autoSpaceDN/>
              <w:adjustRightInd/>
              <w:jc w:val="center"/>
              <w:rPr>
                <w:color w:val="000000"/>
                <w:sz w:val="22"/>
                <w:szCs w:val="22"/>
              </w:rPr>
            </w:pPr>
            <w:r w:rsidRPr="00D9255B">
              <w:rPr>
                <w:color w:val="000000"/>
                <w:sz w:val="22"/>
                <w:szCs w:val="22"/>
              </w:rPr>
              <w:t>0.5</w:t>
            </w:r>
          </w:p>
        </w:tc>
        <w:tc>
          <w:tcPr>
            <w:tcW w:w="0" w:type="auto"/>
            <w:tcBorders>
              <w:top w:val="nil"/>
              <w:left w:val="nil"/>
              <w:bottom w:val="single" w:sz="4" w:space="0" w:color="auto"/>
              <w:right w:val="single" w:sz="4" w:space="0" w:color="auto"/>
            </w:tcBorders>
            <w:vAlign w:val="center"/>
            <w:hideMark/>
          </w:tcPr>
          <w:p w:rsidR="00A81A25" w:rsidRPr="00D9255B" w:rsidP="00D9255B" w14:paraId="2242FE99" w14:textId="77777777">
            <w:pPr>
              <w:widowControl/>
              <w:autoSpaceDE/>
              <w:autoSpaceDN/>
              <w:adjustRightInd/>
              <w:jc w:val="center"/>
              <w:rPr>
                <w:color w:val="000000"/>
                <w:sz w:val="22"/>
                <w:szCs w:val="22"/>
              </w:rPr>
            </w:pPr>
            <w:r w:rsidRPr="00D9255B">
              <w:rPr>
                <w:color w:val="000000"/>
                <w:sz w:val="22"/>
                <w:szCs w:val="22"/>
              </w:rPr>
              <w:t>87,750</w:t>
            </w:r>
          </w:p>
        </w:tc>
        <w:tc>
          <w:tcPr>
            <w:tcW w:w="0" w:type="auto"/>
            <w:tcBorders>
              <w:top w:val="nil"/>
              <w:left w:val="nil"/>
              <w:bottom w:val="single" w:sz="4" w:space="0" w:color="auto"/>
              <w:right w:val="single" w:sz="4" w:space="0" w:color="auto"/>
            </w:tcBorders>
            <w:vAlign w:val="center"/>
            <w:hideMark/>
          </w:tcPr>
          <w:p w:rsidR="00A81A25" w:rsidRPr="00D9255B" w:rsidP="00D9255B" w14:paraId="7F2DEA0D" w14:textId="77777777">
            <w:pPr>
              <w:widowControl/>
              <w:autoSpaceDE/>
              <w:autoSpaceDN/>
              <w:adjustRightInd/>
              <w:jc w:val="center"/>
              <w:rPr>
                <w:color w:val="000000"/>
                <w:sz w:val="22"/>
                <w:szCs w:val="22"/>
              </w:rPr>
            </w:pPr>
            <w:r w:rsidRPr="00D9255B">
              <w:rPr>
                <w:color w:val="000000"/>
                <w:sz w:val="22"/>
                <w:szCs w:val="22"/>
              </w:rPr>
              <w:t xml:space="preserve">$72.82 </w:t>
            </w:r>
          </w:p>
        </w:tc>
        <w:tc>
          <w:tcPr>
            <w:tcW w:w="1512" w:type="dxa"/>
            <w:tcBorders>
              <w:top w:val="nil"/>
              <w:left w:val="nil"/>
              <w:bottom w:val="single" w:sz="4" w:space="0" w:color="auto"/>
              <w:right w:val="single" w:sz="4" w:space="0" w:color="auto"/>
            </w:tcBorders>
            <w:vAlign w:val="center"/>
            <w:hideMark/>
          </w:tcPr>
          <w:p w:rsidR="00A81A25" w:rsidRPr="00D9255B" w:rsidP="00D9255B" w14:paraId="1F78F6F3" w14:textId="77777777">
            <w:pPr>
              <w:widowControl/>
              <w:autoSpaceDE/>
              <w:autoSpaceDN/>
              <w:adjustRightInd/>
              <w:jc w:val="center"/>
              <w:rPr>
                <w:color w:val="000000"/>
                <w:sz w:val="22"/>
                <w:szCs w:val="22"/>
              </w:rPr>
            </w:pPr>
            <w:r w:rsidRPr="00D9255B">
              <w:rPr>
                <w:color w:val="000000"/>
                <w:sz w:val="22"/>
                <w:szCs w:val="22"/>
              </w:rPr>
              <w:t>$6,389,955</w:t>
            </w:r>
          </w:p>
        </w:tc>
      </w:tr>
      <w:tr w14:paraId="60926AEC" w14:textId="77777777" w:rsidTr="00C813E2">
        <w:tblPrEx>
          <w:tblW w:w="9908" w:type="dxa"/>
          <w:tblInd w:w="-365" w:type="dxa"/>
          <w:tblLook w:val="04A0"/>
        </w:tblPrEx>
        <w:trPr>
          <w:trHeight w:val="2080"/>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23D375A3" w14:textId="77777777">
            <w:pPr>
              <w:widowControl/>
              <w:autoSpaceDE/>
              <w:autoSpaceDN/>
              <w:adjustRightInd/>
              <w:rPr>
                <w:color w:val="000000"/>
                <w:sz w:val="22"/>
                <w:szCs w:val="22"/>
              </w:rPr>
            </w:pPr>
            <w:r w:rsidRPr="00D9255B">
              <w:rPr>
                <w:color w:val="000000"/>
                <w:sz w:val="22"/>
                <w:szCs w:val="22"/>
              </w:rPr>
              <w:t>Clerical workers prepare and exchange the Notice of Selection of Certified IDR Entity multiple times</w:t>
            </w:r>
          </w:p>
        </w:tc>
        <w:tc>
          <w:tcPr>
            <w:tcW w:w="0" w:type="auto"/>
            <w:tcBorders>
              <w:top w:val="nil"/>
              <w:left w:val="nil"/>
              <w:bottom w:val="single" w:sz="4" w:space="0" w:color="auto"/>
              <w:right w:val="single" w:sz="4" w:space="0" w:color="auto"/>
            </w:tcBorders>
            <w:vAlign w:val="center"/>
            <w:hideMark/>
          </w:tcPr>
          <w:p w:rsidR="00A81A25" w:rsidRPr="00D9255B" w:rsidP="00D9255B" w14:paraId="0254B64D" w14:textId="77777777">
            <w:pPr>
              <w:widowControl/>
              <w:autoSpaceDE/>
              <w:autoSpaceDN/>
              <w:adjustRightInd/>
              <w:jc w:val="center"/>
              <w:rPr>
                <w:color w:val="000000"/>
                <w:sz w:val="22"/>
                <w:szCs w:val="22"/>
              </w:rPr>
            </w:pPr>
            <w:r w:rsidRPr="00D9255B">
              <w:rPr>
                <w:color w:val="000000"/>
                <w:sz w:val="22"/>
                <w:szCs w:val="22"/>
              </w:rPr>
              <w:t>26,000</w:t>
            </w:r>
          </w:p>
        </w:tc>
        <w:tc>
          <w:tcPr>
            <w:tcW w:w="0" w:type="auto"/>
            <w:tcBorders>
              <w:top w:val="nil"/>
              <w:left w:val="nil"/>
              <w:bottom w:val="single" w:sz="4" w:space="0" w:color="auto"/>
              <w:right w:val="single" w:sz="4" w:space="0" w:color="auto"/>
            </w:tcBorders>
            <w:vAlign w:val="center"/>
            <w:hideMark/>
          </w:tcPr>
          <w:p w:rsidR="00A81A25" w:rsidRPr="00D9255B" w:rsidP="00D9255B" w14:paraId="06E25169"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3359EDC8" w14:textId="77777777">
            <w:pPr>
              <w:widowControl/>
              <w:autoSpaceDE/>
              <w:autoSpaceDN/>
              <w:adjustRightInd/>
              <w:jc w:val="center"/>
              <w:rPr>
                <w:color w:val="000000"/>
                <w:sz w:val="22"/>
                <w:szCs w:val="22"/>
              </w:rPr>
            </w:pPr>
            <w:r w:rsidRPr="00D9255B">
              <w:rPr>
                <w:color w:val="000000"/>
                <w:sz w:val="22"/>
                <w:szCs w:val="22"/>
              </w:rPr>
              <w:t>26,000</w:t>
            </w:r>
          </w:p>
        </w:tc>
        <w:tc>
          <w:tcPr>
            <w:tcW w:w="0" w:type="auto"/>
            <w:tcBorders>
              <w:top w:val="nil"/>
              <w:left w:val="nil"/>
              <w:bottom w:val="single" w:sz="4" w:space="0" w:color="auto"/>
              <w:right w:val="single" w:sz="4" w:space="0" w:color="auto"/>
            </w:tcBorders>
            <w:vAlign w:val="center"/>
            <w:hideMark/>
          </w:tcPr>
          <w:p w:rsidR="00A81A25" w:rsidRPr="00D9255B" w:rsidP="00D9255B" w14:paraId="1C03EAD0" w14:textId="77777777">
            <w:pPr>
              <w:widowControl/>
              <w:autoSpaceDE/>
              <w:autoSpaceDN/>
              <w:adjustRightInd/>
              <w:jc w:val="center"/>
              <w:rPr>
                <w:color w:val="000000"/>
                <w:sz w:val="22"/>
                <w:szCs w:val="22"/>
              </w:rPr>
            </w:pPr>
            <w:r w:rsidRPr="00D9255B">
              <w:rPr>
                <w:color w:val="000000"/>
                <w:sz w:val="22"/>
                <w:szCs w:val="22"/>
              </w:rPr>
              <w:t>0.5</w:t>
            </w:r>
          </w:p>
        </w:tc>
        <w:tc>
          <w:tcPr>
            <w:tcW w:w="0" w:type="auto"/>
            <w:tcBorders>
              <w:top w:val="nil"/>
              <w:left w:val="nil"/>
              <w:bottom w:val="single" w:sz="4" w:space="0" w:color="auto"/>
              <w:right w:val="single" w:sz="4" w:space="0" w:color="auto"/>
            </w:tcBorders>
            <w:vAlign w:val="center"/>
            <w:hideMark/>
          </w:tcPr>
          <w:p w:rsidR="00A81A25" w:rsidRPr="00D9255B" w:rsidP="00D9255B" w14:paraId="5D53FDFF" w14:textId="77777777">
            <w:pPr>
              <w:widowControl/>
              <w:autoSpaceDE/>
              <w:autoSpaceDN/>
              <w:adjustRightInd/>
              <w:jc w:val="center"/>
              <w:rPr>
                <w:color w:val="000000"/>
                <w:sz w:val="22"/>
                <w:szCs w:val="22"/>
              </w:rPr>
            </w:pPr>
            <w:r w:rsidRPr="00D9255B">
              <w:rPr>
                <w:color w:val="000000"/>
                <w:sz w:val="22"/>
                <w:szCs w:val="22"/>
              </w:rPr>
              <w:t>13,000</w:t>
            </w:r>
          </w:p>
        </w:tc>
        <w:tc>
          <w:tcPr>
            <w:tcW w:w="0" w:type="auto"/>
            <w:tcBorders>
              <w:top w:val="nil"/>
              <w:left w:val="nil"/>
              <w:bottom w:val="single" w:sz="4" w:space="0" w:color="auto"/>
              <w:right w:val="single" w:sz="4" w:space="0" w:color="auto"/>
            </w:tcBorders>
            <w:vAlign w:val="center"/>
            <w:hideMark/>
          </w:tcPr>
          <w:p w:rsidR="00A81A25" w:rsidRPr="00D9255B" w:rsidP="00D9255B" w14:paraId="7A440C51" w14:textId="77777777">
            <w:pPr>
              <w:widowControl/>
              <w:autoSpaceDE/>
              <w:autoSpaceDN/>
              <w:adjustRightInd/>
              <w:jc w:val="center"/>
              <w:rPr>
                <w:color w:val="000000"/>
                <w:sz w:val="22"/>
                <w:szCs w:val="22"/>
              </w:rPr>
            </w:pPr>
            <w:r w:rsidRPr="00D9255B">
              <w:rPr>
                <w:color w:val="000000"/>
                <w:sz w:val="22"/>
                <w:szCs w:val="22"/>
              </w:rPr>
              <w:t xml:space="preserve">$72.82 </w:t>
            </w:r>
          </w:p>
        </w:tc>
        <w:tc>
          <w:tcPr>
            <w:tcW w:w="1512" w:type="dxa"/>
            <w:tcBorders>
              <w:top w:val="nil"/>
              <w:left w:val="nil"/>
              <w:bottom w:val="single" w:sz="4" w:space="0" w:color="auto"/>
              <w:right w:val="single" w:sz="4" w:space="0" w:color="auto"/>
            </w:tcBorders>
            <w:vAlign w:val="center"/>
            <w:hideMark/>
          </w:tcPr>
          <w:p w:rsidR="00A81A25" w:rsidRPr="00D9255B" w:rsidP="00D9255B" w14:paraId="1F997E82" w14:textId="77777777">
            <w:pPr>
              <w:widowControl/>
              <w:autoSpaceDE/>
              <w:autoSpaceDN/>
              <w:adjustRightInd/>
              <w:jc w:val="center"/>
              <w:rPr>
                <w:color w:val="000000"/>
                <w:sz w:val="22"/>
                <w:szCs w:val="22"/>
              </w:rPr>
            </w:pPr>
            <w:r w:rsidRPr="00D9255B">
              <w:rPr>
                <w:color w:val="000000"/>
                <w:sz w:val="22"/>
                <w:szCs w:val="22"/>
              </w:rPr>
              <w:t>$946,660</w:t>
            </w:r>
          </w:p>
        </w:tc>
      </w:tr>
      <w:tr w14:paraId="3AA16D76" w14:textId="77777777" w:rsidTr="00C813E2">
        <w:tblPrEx>
          <w:tblW w:w="9908" w:type="dxa"/>
          <w:tblInd w:w="-365" w:type="dxa"/>
          <w:tblLook w:val="04A0"/>
        </w:tblPrEx>
        <w:trPr>
          <w:trHeight w:val="290"/>
        </w:trPr>
        <w:tc>
          <w:tcPr>
            <w:tcW w:w="9908" w:type="dxa"/>
            <w:gridSpan w:val="8"/>
            <w:tcBorders>
              <w:top w:val="single" w:sz="4" w:space="0" w:color="auto"/>
              <w:left w:val="single" w:sz="4" w:space="0" w:color="auto"/>
              <w:bottom w:val="single" w:sz="4" w:space="0" w:color="auto"/>
              <w:right w:val="single" w:sz="4" w:space="0" w:color="000000"/>
            </w:tcBorders>
            <w:vAlign w:val="center"/>
            <w:hideMark/>
          </w:tcPr>
          <w:p w:rsidR="00A81A25" w:rsidRPr="00D9255B" w:rsidP="00D9255B" w14:paraId="6C1CCEB3" w14:textId="77777777">
            <w:pPr>
              <w:widowControl/>
              <w:autoSpaceDE/>
              <w:autoSpaceDN/>
              <w:adjustRightInd/>
              <w:rPr>
                <w:b/>
                <w:bCs/>
                <w:color w:val="000000"/>
                <w:sz w:val="22"/>
                <w:szCs w:val="22"/>
                <w:u w:val="single"/>
              </w:rPr>
            </w:pPr>
            <w:r w:rsidRPr="00D9255B">
              <w:rPr>
                <w:b/>
                <w:bCs/>
                <w:color w:val="000000"/>
                <w:sz w:val="22"/>
                <w:szCs w:val="22"/>
                <w:u w:val="single"/>
              </w:rPr>
              <w:t>Notice of Offer</w:t>
            </w:r>
          </w:p>
        </w:tc>
      </w:tr>
      <w:tr w14:paraId="6422D09D" w14:textId="77777777" w:rsidTr="00C813E2">
        <w:tblPrEx>
          <w:tblW w:w="9908" w:type="dxa"/>
          <w:tblInd w:w="-365" w:type="dxa"/>
          <w:tblLook w:val="04A0"/>
        </w:tblPrEx>
        <w:trPr>
          <w:trHeight w:val="1300"/>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5DF10CA6" w14:textId="77777777">
            <w:pPr>
              <w:widowControl/>
              <w:autoSpaceDE/>
              <w:autoSpaceDN/>
              <w:adjustRightInd/>
              <w:rPr>
                <w:color w:val="000000"/>
                <w:sz w:val="22"/>
                <w:szCs w:val="22"/>
              </w:rPr>
            </w:pPr>
            <w:r w:rsidRPr="00D9255B">
              <w:rPr>
                <w:color w:val="000000"/>
                <w:sz w:val="22"/>
                <w:szCs w:val="22"/>
              </w:rPr>
              <w:t>Compensation and benefits managers prepare provider's offer</w:t>
            </w:r>
          </w:p>
        </w:tc>
        <w:tc>
          <w:tcPr>
            <w:tcW w:w="0" w:type="auto"/>
            <w:tcBorders>
              <w:top w:val="nil"/>
              <w:left w:val="nil"/>
              <w:bottom w:val="single" w:sz="4" w:space="0" w:color="auto"/>
              <w:right w:val="single" w:sz="4" w:space="0" w:color="auto"/>
            </w:tcBorders>
            <w:vAlign w:val="center"/>
            <w:hideMark/>
          </w:tcPr>
          <w:p w:rsidR="00A81A25" w:rsidRPr="00D9255B" w:rsidP="00D9255B" w14:paraId="037F32C5" w14:textId="77777777">
            <w:pPr>
              <w:widowControl/>
              <w:autoSpaceDE/>
              <w:autoSpaceDN/>
              <w:adjustRightInd/>
              <w:jc w:val="center"/>
              <w:rPr>
                <w:color w:val="000000"/>
                <w:sz w:val="22"/>
                <w:szCs w:val="22"/>
              </w:rPr>
            </w:pPr>
            <w:r w:rsidRPr="00D9255B">
              <w:rPr>
                <w:color w:val="000000"/>
                <w:sz w:val="22"/>
                <w:szCs w:val="22"/>
              </w:rPr>
              <w:t>650,000</w:t>
            </w:r>
          </w:p>
        </w:tc>
        <w:tc>
          <w:tcPr>
            <w:tcW w:w="0" w:type="auto"/>
            <w:tcBorders>
              <w:top w:val="nil"/>
              <w:left w:val="nil"/>
              <w:bottom w:val="single" w:sz="4" w:space="0" w:color="auto"/>
              <w:right w:val="single" w:sz="4" w:space="0" w:color="auto"/>
            </w:tcBorders>
            <w:vAlign w:val="center"/>
            <w:hideMark/>
          </w:tcPr>
          <w:p w:rsidR="00A81A25" w:rsidRPr="00D9255B" w:rsidP="00D9255B" w14:paraId="41CB69B6"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33A34329" w14:textId="77777777">
            <w:pPr>
              <w:widowControl/>
              <w:autoSpaceDE/>
              <w:autoSpaceDN/>
              <w:adjustRightInd/>
              <w:jc w:val="center"/>
              <w:rPr>
                <w:color w:val="000000"/>
                <w:sz w:val="22"/>
                <w:szCs w:val="22"/>
              </w:rPr>
            </w:pPr>
            <w:r w:rsidRPr="00D9255B">
              <w:rPr>
                <w:color w:val="000000"/>
                <w:sz w:val="22"/>
                <w:szCs w:val="22"/>
              </w:rPr>
              <w:t>650,000</w:t>
            </w:r>
          </w:p>
        </w:tc>
        <w:tc>
          <w:tcPr>
            <w:tcW w:w="0" w:type="auto"/>
            <w:tcBorders>
              <w:top w:val="nil"/>
              <w:left w:val="nil"/>
              <w:bottom w:val="single" w:sz="4" w:space="0" w:color="auto"/>
              <w:right w:val="single" w:sz="4" w:space="0" w:color="auto"/>
            </w:tcBorders>
            <w:vAlign w:val="center"/>
            <w:hideMark/>
          </w:tcPr>
          <w:p w:rsidR="00A81A25" w:rsidRPr="00D9255B" w:rsidP="00D9255B" w14:paraId="19543FC8" w14:textId="77777777">
            <w:pPr>
              <w:widowControl/>
              <w:autoSpaceDE/>
              <w:autoSpaceDN/>
              <w:adjustRightInd/>
              <w:jc w:val="center"/>
              <w:rPr>
                <w:color w:val="000000"/>
                <w:sz w:val="22"/>
                <w:szCs w:val="22"/>
              </w:rPr>
            </w:pPr>
            <w:r w:rsidRPr="00D9255B">
              <w:rPr>
                <w:color w:val="000000"/>
                <w:sz w:val="22"/>
                <w:szCs w:val="22"/>
              </w:rPr>
              <w:t>0.5</w:t>
            </w:r>
          </w:p>
        </w:tc>
        <w:tc>
          <w:tcPr>
            <w:tcW w:w="0" w:type="auto"/>
            <w:tcBorders>
              <w:top w:val="nil"/>
              <w:left w:val="nil"/>
              <w:bottom w:val="single" w:sz="4" w:space="0" w:color="auto"/>
              <w:right w:val="single" w:sz="4" w:space="0" w:color="auto"/>
            </w:tcBorders>
            <w:vAlign w:val="center"/>
            <w:hideMark/>
          </w:tcPr>
          <w:p w:rsidR="00A81A25" w:rsidRPr="00D9255B" w:rsidP="00D9255B" w14:paraId="501FA4DC" w14:textId="77777777">
            <w:pPr>
              <w:widowControl/>
              <w:autoSpaceDE/>
              <w:autoSpaceDN/>
              <w:adjustRightInd/>
              <w:jc w:val="center"/>
              <w:rPr>
                <w:color w:val="000000"/>
                <w:sz w:val="22"/>
                <w:szCs w:val="22"/>
              </w:rPr>
            </w:pPr>
            <w:r w:rsidRPr="00D9255B">
              <w:rPr>
                <w:color w:val="000000"/>
                <w:sz w:val="22"/>
                <w:szCs w:val="22"/>
              </w:rPr>
              <w:t>325,000</w:t>
            </w:r>
          </w:p>
        </w:tc>
        <w:tc>
          <w:tcPr>
            <w:tcW w:w="0" w:type="auto"/>
            <w:tcBorders>
              <w:top w:val="nil"/>
              <w:left w:val="nil"/>
              <w:bottom w:val="single" w:sz="4" w:space="0" w:color="auto"/>
              <w:right w:val="single" w:sz="4" w:space="0" w:color="auto"/>
            </w:tcBorders>
            <w:vAlign w:val="center"/>
            <w:hideMark/>
          </w:tcPr>
          <w:p w:rsidR="00A81A25" w:rsidRPr="00D9255B" w:rsidP="00D9255B" w14:paraId="69047784" w14:textId="77777777">
            <w:pPr>
              <w:widowControl/>
              <w:autoSpaceDE/>
              <w:autoSpaceDN/>
              <w:adjustRightInd/>
              <w:jc w:val="center"/>
              <w:rPr>
                <w:color w:val="000000"/>
                <w:sz w:val="22"/>
                <w:szCs w:val="22"/>
              </w:rPr>
            </w:pPr>
            <w:r w:rsidRPr="00D9255B">
              <w:rPr>
                <w:color w:val="000000"/>
                <w:sz w:val="22"/>
                <w:szCs w:val="22"/>
              </w:rPr>
              <w:t xml:space="preserve">$193.15 </w:t>
            </w:r>
          </w:p>
        </w:tc>
        <w:tc>
          <w:tcPr>
            <w:tcW w:w="1512" w:type="dxa"/>
            <w:tcBorders>
              <w:top w:val="nil"/>
              <w:left w:val="nil"/>
              <w:bottom w:val="single" w:sz="4" w:space="0" w:color="auto"/>
              <w:right w:val="single" w:sz="4" w:space="0" w:color="auto"/>
            </w:tcBorders>
            <w:vAlign w:val="center"/>
            <w:hideMark/>
          </w:tcPr>
          <w:p w:rsidR="00A81A25" w:rsidRPr="00D9255B" w:rsidP="00D9255B" w14:paraId="6B69FCDC" w14:textId="77777777">
            <w:pPr>
              <w:widowControl/>
              <w:autoSpaceDE/>
              <w:autoSpaceDN/>
              <w:adjustRightInd/>
              <w:jc w:val="center"/>
              <w:rPr>
                <w:color w:val="000000"/>
                <w:sz w:val="22"/>
                <w:szCs w:val="22"/>
              </w:rPr>
            </w:pPr>
            <w:r w:rsidRPr="00D9255B">
              <w:rPr>
                <w:color w:val="000000"/>
                <w:sz w:val="22"/>
                <w:szCs w:val="22"/>
              </w:rPr>
              <w:t xml:space="preserve">$62,773,750 </w:t>
            </w:r>
          </w:p>
        </w:tc>
      </w:tr>
      <w:tr w14:paraId="1F9ADF44" w14:textId="77777777" w:rsidTr="003273D6">
        <w:tblPrEx>
          <w:tblW w:w="9908" w:type="dxa"/>
          <w:tblInd w:w="-365" w:type="dxa"/>
          <w:tblLook w:val="04A0"/>
        </w:tblPrEx>
        <w:trPr>
          <w:trHeight w:val="467"/>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26A9FA18" w14:textId="77777777">
            <w:pPr>
              <w:widowControl/>
              <w:autoSpaceDE/>
              <w:autoSpaceDN/>
              <w:adjustRightInd/>
              <w:rPr>
                <w:color w:val="000000"/>
                <w:sz w:val="22"/>
                <w:szCs w:val="22"/>
              </w:rPr>
            </w:pPr>
            <w:r w:rsidRPr="00D9255B">
              <w:rPr>
                <w:color w:val="000000"/>
                <w:sz w:val="22"/>
                <w:szCs w:val="22"/>
              </w:rPr>
              <w:t xml:space="preserve">Clerical workers prepare </w:t>
            </w:r>
            <w:r w:rsidRPr="00D9255B">
              <w:rPr>
                <w:color w:val="000000"/>
                <w:sz w:val="22"/>
                <w:szCs w:val="22"/>
              </w:rPr>
              <w:t>provider's offer</w:t>
            </w:r>
          </w:p>
        </w:tc>
        <w:tc>
          <w:tcPr>
            <w:tcW w:w="0" w:type="auto"/>
            <w:tcBorders>
              <w:top w:val="nil"/>
              <w:left w:val="nil"/>
              <w:bottom w:val="single" w:sz="4" w:space="0" w:color="auto"/>
              <w:right w:val="single" w:sz="4" w:space="0" w:color="auto"/>
            </w:tcBorders>
            <w:vAlign w:val="center"/>
            <w:hideMark/>
          </w:tcPr>
          <w:p w:rsidR="00A81A25" w:rsidRPr="00D9255B" w:rsidP="00D9255B" w14:paraId="61EC2323" w14:textId="77777777">
            <w:pPr>
              <w:widowControl/>
              <w:autoSpaceDE/>
              <w:autoSpaceDN/>
              <w:adjustRightInd/>
              <w:jc w:val="center"/>
              <w:rPr>
                <w:color w:val="000000"/>
                <w:sz w:val="22"/>
                <w:szCs w:val="22"/>
              </w:rPr>
            </w:pPr>
            <w:r w:rsidRPr="00D9255B">
              <w:rPr>
                <w:color w:val="000000"/>
                <w:sz w:val="22"/>
                <w:szCs w:val="22"/>
              </w:rPr>
              <w:t>650,000</w:t>
            </w:r>
          </w:p>
        </w:tc>
        <w:tc>
          <w:tcPr>
            <w:tcW w:w="0" w:type="auto"/>
            <w:tcBorders>
              <w:top w:val="nil"/>
              <w:left w:val="nil"/>
              <w:bottom w:val="single" w:sz="4" w:space="0" w:color="auto"/>
              <w:right w:val="single" w:sz="4" w:space="0" w:color="auto"/>
            </w:tcBorders>
            <w:vAlign w:val="center"/>
            <w:hideMark/>
          </w:tcPr>
          <w:p w:rsidR="00A81A25" w:rsidRPr="00D9255B" w:rsidP="00D9255B" w14:paraId="3B0CED4D"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79F878EA" w14:textId="77777777">
            <w:pPr>
              <w:widowControl/>
              <w:autoSpaceDE/>
              <w:autoSpaceDN/>
              <w:adjustRightInd/>
              <w:jc w:val="center"/>
              <w:rPr>
                <w:color w:val="000000"/>
                <w:sz w:val="22"/>
                <w:szCs w:val="22"/>
              </w:rPr>
            </w:pPr>
            <w:r w:rsidRPr="00D9255B">
              <w:rPr>
                <w:color w:val="000000"/>
                <w:sz w:val="22"/>
                <w:szCs w:val="22"/>
              </w:rPr>
              <w:t>650,000</w:t>
            </w:r>
          </w:p>
        </w:tc>
        <w:tc>
          <w:tcPr>
            <w:tcW w:w="0" w:type="auto"/>
            <w:tcBorders>
              <w:top w:val="nil"/>
              <w:left w:val="nil"/>
              <w:bottom w:val="single" w:sz="4" w:space="0" w:color="auto"/>
              <w:right w:val="single" w:sz="4" w:space="0" w:color="auto"/>
            </w:tcBorders>
            <w:vAlign w:val="center"/>
            <w:hideMark/>
          </w:tcPr>
          <w:p w:rsidR="00A81A25" w:rsidRPr="00D9255B" w:rsidP="00D9255B" w14:paraId="4C438FF5" w14:textId="77777777">
            <w:pPr>
              <w:widowControl/>
              <w:autoSpaceDE/>
              <w:autoSpaceDN/>
              <w:adjustRightInd/>
              <w:jc w:val="center"/>
              <w:rPr>
                <w:color w:val="000000"/>
                <w:sz w:val="22"/>
                <w:szCs w:val="22"/>
              </w:rPr>
            </w:pPr>
            <w:r w:rsidRPr="00D9255B">
              <w:rPr>
                <w:color w:val="000000"/>
                <w:sz w:val="22"/>
                <w:szCs w:val="22"/>
              </w:rPr>
              <w:t>0.25</w:t>
            </w:r>
          </w:p>
        </w:tc>
        <w:tc>
          <w:tcPr>
            <w:tcW w:w="0" w:type="auto"/>
            <w:tcBorders>
              <w:top w:val="nil"/>
              <w:left w:val="nil"/>
              <w:bottom w:val="single" w:sz="4" w:space="0" w:color="auto"/>
              <w:right w:val="single" w:sz="4" w:space="0" w:color="auto"/>
            </w:tcBorders>
            <w:vAlign w:val="center"/>
            <w:hideMark/>
          </w:tcPr>
          <w:p w:rsidR="00A81A25" w:rsidRPr="00D9255B" w:rsidP="00D9255B" w14:paraId="56F69A05" w14:textId="77777777">
            <w:pPr>
              <w:widowControl/>
              <w:autoSpaceDE/>
              <w:autoSpaceDN/>
              <w:adjustRightInd/>
              <w:jc w:val="center"/>
              <w:rPr>
                <w:color w:val="000000"/>
                <w:sz w:val="22"/>
                <w:szCs w:val="22"/>
              </w:rPr>
            </w:pPr>
            <w:r w:rsidRPr="00D9255B">
              <w:rPr>
                <w:color w:val="000000"/>
                <w:sz w:val="22"/>
                <w:szCs w:val="22"/>
              </w:rPr>
              <w:t>162,500</w:t>
            </w:r>
          </w:p>
        </w:tc>
        <w:tc>
          <w:tcPr>
            <w:tcW w:w="0" w:type="auto"/>
            <w:tcBorders>
              <w:top w:val="nil"/>
              <w:left w:val="nil"/>
              <w:bottom w:val="single" w:sz="4" w:space="0" w:color="auto"/>
              <w:right w:val="single" w:sz="4" w:space="0" w:color="auto"/>
            </w:tcBorders>
            <w:vAlign w:val="center"/>
            <w:hideMark/>
          </w:tcPr>
          <w:p w:rsidR="00A81A25" w:rsidRPr="00D9255B" w:rsidP="00D9255B" w14:paraId="4D7FA0DC" w14:textId="77777777">
            <w:pPr>
              <w:widowControl/>
              <w:autoSpaceDE/>
              <w:autoSpaceDN/>
              <w:adjustRightInd/>
              <w:jc w:val="center"/>
              <w:rPr>
                <w:color w:val="000000"/>
                <w:sz w:val="22"/>
                <w:szCs w:val="22"/>
              </w:rPr>
            </w:pPr>
            <w:r w:rsidRPr="00D9255B">
              <w:rPr>
                <w:color w:val="000000"/>
                <w:sz w:val="22"/>
                <w:szCs w:val="22"/>
              </w:rPr>
              <w:t xml:space="preserve">$72.82 </w:t>
            </w:r>
          </w:p>
        </w:tc>
        <w:tc>
          <w:tcPr>
            <w:tcW w:w="1512" w:type="dxa"/>
            <w:tcBorders>
              <w:top w:val="nil"/>
              <w:left w:val="nil"/>
              <w:bottom w:val="single" w:sz="4" w:space="0" w:color="auto"/>
              <w:right w:val="single" w:sz="4" w:space="0" w:color="auto"/>
            </w:tcBorders>
            <w:vAlign w:val="center"/>
            <w:hideMark/>
          </w:tcPr>
          <w:p w:rsidR="00A81A25" w:rsidRPr="00D9255B" w:rsidP="00D9255B" w14:paraId="344AF91B" w14:textId="77777777">
            <w:pPr>
              <w:widowControl/>
              <w:autoSpaceDE/>
              <w:autoSpaceDN/>
              <w:adjustRightInd/>
              <w:jc w:val="center"/>
              <w:rPr>
                <w:color w:val="000000"/>
                <w:sz w:val="22"/>
                <w:szCs w:val="22"/>
              </w:rPr>
            </w:pPr>
            <w:r w:rsidRPr="00D9255B">
              <w:rPr>
                <w:color w:val="000000"/>
                <w:sz w:val="22"/>
                <w:szCs w:val="22"/>
              </w:rPr>
              <w:t xml:space="preserve">$11,833,250 </w:t>
            </w:r>
          </w:p>
        </w:tc>
      </w:tr>
      <w:tr w14:paraId="7B141965" w14:textId="77777777" w:rsidTr="00C813E2">
        <w:tblPrEx>
          <w:tblW w:w="9908" w:type="dxa"/>
          <w:tblInd w:w="-365" w:type="dxa"/>
          <w:tblLook w:val="04A0"/>
        </w:tblPrEx>
        <w:trPr>
          <w:trHeight w:val="1300"/>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13740048" w14:textId="77777777">
            <w:pPr>
              <w:widowControl/>
              <w:autoSpaceDE/>
              <w:autoSpaceDN/>
              <w:adjustRightInd/>
              <w:rPr>
                <w:color w:val="000000"/>
                <w:sz w:val="22"/>
                <w:szCs w:val="22"/>
              </w:rPr>
            </w:pPr>
            <w:r w:rsidRPr="00D9255B">
              <w:rPr>
                <w:color w:val="000000"/>
                <w:sz w:val="22"/>
                <w:szCs w:val="22"/>
              </w:rPr>
              <w:t>Compensation and benefits managers prepare insurer's offer</w:t>
            </w:r>
          </w:p>
        </w:tc>
        <w:tc>
          <w:tcPr>
            <w:tcW w:w="0" w:type="auto"/>
            <w:tcBorders>
              <w:top w:val="nil"/>
              <w:left w:val="nil"/>
              <w:bottom w:val="single" w:sz="4" w:space="0" w:color="auto"/>
              <w:right w:val="single" w:sz="4" w:space="0" w:color="auto"/>
            </w:tcBorders>
            <w:vAlign w:val="center"/>
            <w:hideMark/>
          </w:tcPr>
          <w:p w:rsidR="00A81A25" w:rsidRPr="00D9255B" w:rsidP="00D9255B" w14:paraId="643B960F" w14:textId="77777777">
            <w:pPr>
              <w:widowControl/>
              <w:autoSpaceDE/>
              <w:autoSpaceDN/>
              <w:adjustRightInd/>
              <w:jc w:val="center"/>
              <w:rPr>
                <w:color w:val="000000"/>
                <w:sz w:val="22"/>
                <w:szCs w:val="22"/>
              </w:rPr>
            </w:pPr>
            <w:r w:rsidRPr="00D9255B">
              <w:rPr>
                <w:color w:val="000000"/>
                <w:sz w:val="22"/>
                <w:szCs w:val="22"/>
              </w:rPr>
              <w:t>650,000</w:t>
            </w:r>
          </w:p>
        </w:tc>
        <w:tc>
          <w:tcPr>
            <w:tcW w:w="0" w:type="auto"/>
            <w:tcBorders>
              <w:top w:val="nil"/>
              <w:left w:val="nil"/>
              <w:bottom w:val="single" w:sz="4" w:space="0" w:color="auto"/>
              <w:right w:val="single" w:sz="4" w:space="0" w:color="auto"/>
            </w:tcBorders>
            <w:vAlign w:val="center"/>
            <w:hideMark/>
          </w:tcPr>
          <w:p w:rsidR="00A81A25" w:rsidRPr="00D9255B" w:rsidP="00D9255B" w14:paraId="5CF8975D"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47D3A36D" w14:textId="77777777">
            <w:pPr>
              <w:widowControl/>
              <w:autoSpaceDE/>
              <w:autoSpaceDN/>
              <w:adjustRightInd/>
              <w:jc w:val="center"/>
              <w:rPr>
                <w:color w:val="000000"/>
                <w:sz w:val="22"/>
                <w:szCs w:val="22"/>
              </w:rPr>
            </w:pPr>
            <w:r w:rsidRPr="00D9255B">
              <w:rPr>
                <w:color w:val="000000"/>
                <w:sz w:val="22"/>
                <w:szCs w:val="22"/>
              </w:rPr>
              <w:t>650,000</w:t>
            </w:r>
          </w:p>
        </w:tc>
        <w:tc>
          <w:tcPr>
            <w:tcW w:w="0" w:type="auto"/>
            <w:tcBorders>
              <w:top w:val="nil"/>
              <w:left w:val="nil"/>
              <w:bottom w:val="single" w:sz="4" w:space="0" w:color="auto"/>
              <w:right w:val="single" w:sz="4" w:space="0" w:color="auto"/>
            </w:tcBorders>
            <w:vAlign w:val="center"/>
            <w:hideMark/>
          </w:tcPr>
          <w:p w:rsidR="00A81A25" w:rsidRPr="00D9255B" w:rsidP="00D9255B" w14:paraId="1D3161DE" w14:textId="77777777">
            <w:pPr>
              <w:widowControl/>
              <w:autoSpaceDE/>
              <w:autoSpaceDN/>
              <w:adjustRightInd/>
              <w:jc w:val="center"/>
              <w:rPr>
                <w:color w:val="000000"/>
                <w:sz w:val="22"/>
                <w:szCs w:val="22"/>
              </w:rPr>
            </w:pPr>
            <w:r w:rsidRPr="00D9255B">
              <w:rPr>
                <w:color w:val="000000"/>
                <w:sz w:val="22"/>
                <w:szCs w:val="22"/>
              </w:rPr>
              <w:t>0.5</w:t>
            </w:r>
          </w:p>
        </w:tc>
        <w:tc>
          <w:tcPr>
            <w:tcW w:w="0" w:type="auto"/>
            <w:tcBorders>
              <w:top w:val="nil"/>
              <w:left w:val="nil"/>
              <w:bottom w:val="single" w:sz="4" w:space="0" w:color="auto"/>
              <w:right w:val="single" w:sz="4" w:space="0" w:color="auto"/>
            </w:tcBorders>
            <w:vAlign w:val="center"/>
            <w:hideMark/>
          </w:tcPr>
          <w:p w:rsidR="00A81A25" w:rsidRPr="00D9255B" w:rsidP="00D9255B" w14:paraId="0A845040" w14:textId="77777777">
            <w:pPr>
              <w:widowControl/>
              <w:autoSpaceDE/>
              <w:autoSpaceDN/>
              <w:adjustRightInd/>
              <w:jc w:val="center"/>
              <w:rPr>
                <w:color w:val="000000"/>
                <w:sz w:val="22"/>
                <w:szCs w:val="22"/>
              </w:rPr>
            </w:pPr>
            <w:r w:rsidRPr="00D9255B">
              <w:rPr>
                <w:color w:val="000000"/>
                <w:sz w:val="22"/>
                <w:szCs w:val="22"/>
              </w:rPr>
              <w:t>325,000</w:t>
            </w:r>
          </w:p>
        </w:tc>
        <w:tc>
          <w:tcPr>
            <w:tcW w:w="0" w:type="auto"/>
            <w:tcBorders>
              <w:top w:val="nil"/>
              <w:left w:val="nil"/>
              <w:bottom w:val="single" w:sz="4" w:space="0" w:color="auto"/>
              <w:right w:val="single" w:sz="4" w:space="0" w:color="auto"/>
            </w:tcBorders>
            <w:vAlign w:val="center"/>
            <w:hideMark/>
          </w:tcPr>
          <w:p w:rsidR="00A81A25" w:rsidRPr="00D9255B" w:rsidP="00D9255B" w14:paraId="11076F7C" w14:textId="77777777">
            <w:pPr>
              <w:widowControl/>
              <w:autoSpaceDE/>
              <w:autoSpaceDN/>
              <w:adjustRightInd/>
              <w:jc w:val="center"/>
              <w:rPr>
                <w:color w:val="000000"/>
                <w:sz w:val="22"/>
                <w:szCs w:val="22"/>
              </w:rPr>
            </w:pPr>
            <w:r w:rsidRPr="00D9255B">
              <w:rPr>
                <w:color w:val="000000"/>
                <w:sz w:val="22"/>
                <w:szCs w:val="22"/>
              </w:rPr>
              <w:t xml:space="preserve">$193.15 </w:t>
            </w:r>
          </w:p>
        </w:tc>
        <w:tc>
          <w:tcPr>
            <w:tcW w:w="1512" w:type="dxa"/>
            <w:tcBorders>
              <w:top w:val="nil"/>
              <w:left w:val="nil"/>
              <w:bottom w:val="single" w:sz="4" w:space="0" w:color="auto"/>
              <w:right w:val="single" w:sz="4" w:space="0" w:color="auto"/>
            </w:tcBorders>
            <w:vAlign w:val="center"/>
            <w:hideMark/>
          </w:tcPr>
          <w:p w:rsidR="00A81A25" w:rsidRPr="00D9255B" w:rsidP="00D9255B" w14:paraId="654C9F6B" w14:textId="77777777">
            <w:pPr>
              <w:widowControl/>
              <w:autoSpaceDE/>
              <w:autoSpaceDN/>
              <w:adjustRightInd/>
              <w:jc w:val="center"/>
              <w:rPr>
                <w:color w:val="000000"/>
                <w:sz w:val="22"/>
                <w:szCs w:val="22"/>
              </w:rPr>
            </w:pPr>
            <w:r w:rsidRPr="00D9255B">
              <w:rPr>
                <w:color w:val="000000"/>
                <w:sz w:val="22"/>
                <w:szCs w:val="22"/>
              </w:rPr>
              <w:t xml:space="preserve">$62,773,750 </w:t>
            </w:r>
          </w:p>
        </w:tc>
      </w:tr>
      <w:tr w14:paraId="644A7569" w14:textId="77777777" w:rsidTr="00C813E2">
        <w:tblPrEx>
          <w:tblW w:w="9908" w:type="dxa"/>
          <w:tblInd w:w="-365" w:type="dxa"/>
          <w:tblLook w:val="04A0"/>
        </w:tblPrEx>
        <w:trPr>
          <w:trHeight w:val="780"/>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4D1F3FC3" w14:textId="77777777">
            <w:pPr>
              <w:widowControl/>
              <w:autoSpaceDE/>
              <w:autoSpaceDN/>
              <w:adjustRightInd/>
              <w:rPr>
                <w:color w:val="000000"/>
                <w:sz w:val="22"/>
                <w:szCs w:val="22"/>
              </w:rPr>
            </w:pPr>
            <w:r w:rsidRPr="00D9255B">
              <w:rPr>
                <w:color w:val="000000"/>
                <w:sz w:val="22"/>
                <w:szCs w:val="22"/>
              </w:rPr>
              <w:t>Clerical workers prepare insurer's offer</w:t>
            </w:r>
          </w:p>
        </w:tc>
        <w:tc>
          <w:tcPr>
            <w:tcW w:w="0" w:type="auto"/>
            <w:tcBorders>
              <w:top w:val="nil"/>
              <w:left w:val="nil"/>
              <w:bottom w:val="single" w:sz="4" w:space="0" w:color="auto"/>
              <w:right w:val="single" w:sz="4" w:space="0" w:color="auto"/>
            </w:tcBorders>
            <w:vAlign w:val="center"/>
            <w:hideMark/>
          </w:tcPr>
          <w:p w:rsidR="00A81A25" w:rsidRPr="00D9255B" w:rsidP="00D9255B" w14:paraId="42DDF049" w14:textId="77777777">
            <w:pPr>
              <w:widowControl/>
              <w:autoSpaceDE/>
              <w:autoSpaceDN/>
              <w:adjustRightInd/>
              <w:jc w:val="center"/>
              <w:rPr>
                <w:color w:val="000000"/>
                <w:sz w:val="22"/>
                <w:szCs w:val="22"/>
              </w:rPr>
            </w:pPr>
            <w:r w:rsidRPr="00D9255B">
              <w:rPr>
                <w:color w:val="000000"/>
                <w:sz w:val="22"/>
                <w:szCs w:val="22"/>
              </w:rPr>
              <w:t>650,000</w:t>
            </w:r>
          </w:p>
        </w:tc>
        <w:tc>
          <w:tcPr>
            <w:tcW w:w="0" w:type="auto"/>
            <w:tcBorders>
              <w:top w:val="nil"/>
              <w:left w:val="nil"/>
              <w:bottom w:val="single" w:sz="4" w:space="0" w:color="auto"/>
              <w:right w:val="single" w:sz="4" w:space="0" w:color="auto"/>
            </w:tcBorders>
            <w:vAlign w:val="center"/>
            <w:hideMark/>
          </w:tcPr>
          <w:p w:rsidR="00A81A25" w:rsidRPr="00D9255B" w:rsidP="00D9255B" w14:paraId="5757EF31"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6380205D" w14:textId="77777777">
            <w:pPr>
              <w:widowControl/>
              <w:autoSpaceDE/>
              <w:autoSpaceDN/>
              <w:adjustRightInd/>
              <w:jc w:val="center"/>
              <w:rPr>
                <w:color w:val="000000"/>
                <w:sz w:val="22"/>
                <w:szCs w:val="22"/>
              </w:rPr>
            </w:pPr>
            <w:r w:rsidRPr="00D9255B">
              <w:rPr>
                <w:color w:val="000000"/>
                <w:sz w:val="22"/>
                <w:szCs w:val="22"/>
              </w:rPr>
              <w:t>650,000</w:t>
            </w:r>
          </w:p>
        </w:tc>
        <w:tc>
          <w:tcPr>
            <w:tcW w:w="0" w:type="auto"/>
            <w:tcBorders>
              <w:top w:val="nil"/>
              <w:left w:val="nil"/>
              <w:bottom w:val="single" w:sz="4" w:space="0" w:color="auto"/>
              <w:right w:val="single" w:sz="4" w:space="0" w:color="auto"/>
            </w:tcBorders>
            <w:vAlign w:val="center"/>
            <w:hideMark/>
          </w:tcPr>
          <w:p w:rsidR="00A81A25" w:rsidRPr="00D9255B" w:rsidP="00D9255B" w14:paraId="45666966" w14:textId="77777777">
            <w:pPr>
              <w:widowControl/>
              <w:autoSpaceDE/>
              <w:autoSpaceDN/>
              <w:adjustRightInd/>
              <w:jc w:val="center"/>
              <w:rPr>
                <w:color w:val="000000"/>
                <w:sz w:val="22"/>
                <w:szCs w:val="22"/>
              </w:rPr>
            </w:pPr>
            <w:r w:rsidRPr="00D9255B">
              <w:rPr>
                <w:color w:val="000000"/>
                <w:sz w:val="22"/>
                <w:szCs w:val="22"/>
              </w:rPr>
              <w:t>0.25</w:t>
            </w:r>
          </w:p>
        </w:tc>
        <w:tc>
          <w:tcPr>
            <w:tcW w:w="0" w:type="auto"/>
            <w:tcBorders>
              <w:top w:val="nil"/>
              <w:left w:val="nil"/>
              <w:bottom w:val="single" w:sz="4" w:space="0" w:color="auto"/>
              <w:right w:val="single" w:sz="4" w:space="0" w:color="auto"/>
            </w:tcBorders>
            <w:vAlign w:val="center"/>
            <w:hideMark/>
          </w:tcPr>
          <w:p w:rsidR="00A81A25" w:rsidRPr="00D9255B" w:rsidP="00D9255B" w14:paraId="04E65130" w14:textId="77777777">
            <w:pPr>
              <w:widowControl/>
              <w:autoSpaceDE/>
              <w:autoSpaceDN/>
              <w:adjustRightInd/>
              <w:jc w:val="center"/>
              <w:rPr>
                <w:color w:val="000000"/>
                <w:sz w:val="22"/>
                <w:szCs w:val="22"/>
              </w:rPr>
            </w:pPr>
            <w:r w:rsidRPr="00D9255B">
              <w:rPr>
                <w:color w:val="000000"/>
                <w:sz w:val="22"/>
                <w:szCs w:val="22"/>
              </w:rPr>
              <w:t>162,500</w:t>
            </w:r>
          </w:p>
        </w:tc>
        <w:tc>
          <w:tcPr>
            <w:tcW w:w="0" w:type="auto"/>
            <w:tcBorders>
              <w:top w:val="nil"/>
              <w:left w:val="nil"/>
              <w:bottom w:val="single" w:sz="4" w:space="0" w:color="auto"/>
              <w:right w:val="single" w:sz="4" w:space="0" w:color="auto"/>
            </w:tcBorders>
            <w:vAlign w:val="center"/>
            <w:hideMark/>
          </w:tcPr>
          <w:p w:rsidR="00A81A25" w:rsidRPr="00D9255B" w:rsidP="00D9255B" w14:paraId="12C55DD4" w14:textId="77777777">
            <w:pPr>
              <w:widowControl/>
              <w:autoSpaceDE/>
              <w:autoSpaceDN/>
              <w:adjustRightInd/>
              <w:jc w:val="center"/>
              <w:rPr>
                <w:color w:val="000000"/>
                <w:sz w:val="22"/>
                <w:szCs w:val="22"/>
              </w:rPr>
            </w:pPr>
            <w:r w:rsidRPr="00D9255B">
              <w:rPr>
                <w:color w:val="000000"/>
                <w:sz w:val="22"/>
                <w:szCs w:val="22"/>
              </w:rPr>
              <w:t xml:space="preserve">$72.82 </w:t>
            </w:r>
          </w:p>
        </w:tc>
        <w:tc>
          <w:tcPr>
            <w:tcW w:w="1512" w:type="dxa"/>
            <w:tcBorders>
              <w:top w:val="nil"/>
              <w:left w:val="nil"/>
              <w:bottom w:val="single" w:sz="4" w:space="0" w:color="auto"/>
              <w:right w:val="single" w:sz="4" w:space="0" w:color="auto"/>
            </w:tcBorders>
            <w:vAlign w:val="center"/>
            <w:hideMark/>
          </w:tcPr>
          <w:p w:rsidR="00A81A25" w:rsidRPr="00D9255B" w:rsidP="00D9255B" w14:paraId="38AD5B1E" w14:textId="77777777">
            <w:pPr>
              <w:widowControl/>
              <w:autoSpaceDE/>
              <w:autoSpaceDN/>
              <w:adjustRightInd/>
              <w:jc w:val="center"/>
              <w:rPr>
                <w:color w:val="000000"/>
                <w:sz w:val="22"/>
                <w:szCs w:val="22"/>
              </w:rPr>
            </w:pPr>
            <w:r w:rsidRPr="00D9255B">
              <w:rPr>
                <w:color w:val="000000"/>
                <w:sz w:val="22"/>
                <w:szCs w:val="22"/>
              </w:rPr>
              <w:t xml:space="preserve">$11,833,250 </w:t>
            </w:r>
          </w:p>
        </w:tc>
      </w:tr>
      <w:tr w14:paraId="3A61EA8C" w14:textId="77777777" w:rsidTr="00C813E2">
        <w:tblPrEx>
          <w:tblW w:w="9908" w:type="dxa"/>
          <w:tblInd w:w="-365" w:type="dxa"/>
          <w:tblLook w:val="04A0"/>
        </w:tblPrEx>
        <w:trPr>
          <w:trHeight w:val="290"/>
        </w:trPr>
        <w:tc>
          <w:tcPr>
            <w:tcW w:w="9908" w:type="dxa"/>
            <w:gridSpan w:val="8"/>
            <w:tcBorders>
              <w:top w:val="single" w:sz="4" w:space="0" w:color="auto"/>
              <w:left w:val="single" w:sz="4" w:space="0" w:color="auto"/>
              <w:bottom w:val="single" w:sz="4" w:space="0" w:color="auto"/>
              <w:right w:val="single" w:sz="4" w:space="0" w:color="000000"/>
            </w:tcBorders>
            <w:vAlign w:val="center"/>
            <w:hideMark/>
          </w:tcPr>
          <w:p w:rsidR="00A81A25" w:rsidRPr="00D9255B" w:rsidP="00D9255B" w14:paraId="1787187C" w14:textId="77777777">
            <w:pPr>
              <w:widowControl/>
              <w:autoSpaceDE/>
              <w:autoSpaceDN/>
              <w:adjustRightInd/>
              <w:rPr>
                <w:b/>
                <w:bCs/>
                <w:color w:val="000000"/>
                <w:sz w:val="22"/>
                <w:szCs w:val="22"/>
                <w:u w:val="single"/>
              </w:rPr>
            </w:pPr>
            <w:r w:rsidRPr="00D9255B">
              <w:rPr>
                <w:b/>
                <w:bCs/>
                <w:color w:val="000000"/>
                <w:sz w:val="22"/>
                <w:szCs w:val="22"/>
                <w:u w:val="single"/>
              </w:rPr>
              <w:t>Notice of Agreement on an Out-of-Network Rate</w:t>
            </w:r>
          </w:p>
        </w:tc>
      </w:tr>
      <w:tr w14:paraId="27EC83EF" w14:textId="77777777" w:rsidTr="00C813E2">
        <w:tblPrEx>
          <w:tblW w:w="9908" w:type="dxa"/>
          <w:tblInd w:w="-365" w:type="dxa"/>
          <w:tblLook w:val="04A0"/>
        </w:tblPrEx>
        <w:trPr>
          <w:trHeight w:val="1820"/>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596FD293" w14:textId="77777777">
            <w:pPr>
              <w:widowControl/>
              <w:autoSpaceDE/>
              <w:autoSpaceDN/>
              <w:adjustRightInd/>
              <w:rPr>
                <w:color w:val="000000"/>
                <w:sz w:val="22"/>
                <w:szCs w:val="22"/>
              </w:rPr>
            </w:pPr>
            <w:r w:rsidRPr="00D9255B">
              <w:rPr>
                <w:color w:val="000000"/>
                <w:sz w:val="22"/>
                <w:szCs w:val="22"/>
              </w:rPr>
              <w:t>Compensation and benefits managers write the Notice of Agreement on an Out-of-Network Rate</w:t>
            </w:r>
          </w:p>
        </w:tc>
        <w:tc>
          <w:tcPr>
            <w:tcW w:w="0" w:type="auto"/>
            <w:tcBorders>
              <w:top w:val="nil"/>
              <w:left w:val="nil"/>
              <w:bottom w:val="single" w:sz="4" w:space="0" w:color="auto"/>
              <w:right w:val="single" w:sz="4" w:space="0" w:color="auto"/>
            </w:tcBorders>
            <w:vAlign w:val="center"/>
            <w:hideMark/>
          </w:tcPr>
          <w:p w:rsidR="00A81A25" w:rsidRPr="00D9255B" w:rsidP="00D9255B" w14:paraId="31EE49D0" w14:textId="77777777">
            <w:pPr>
              <w:widowControl/>
              <w:autoSpaceDE/>
              <w:autoSpaceDN/>
              <w:adjustRightInd/>
              <w:jc w:val="center"/>
              <w:rPr>
                <w:color w:val="000000"/>
                <w:sz w:val="22"/>
                <w:szCs w:val="22"/>
              </w:rPr>
            </w:pPr>
            <w:r w:rsidRPr="00D9255B">
              <w:rPr>
                <w:color w:val="000000"/>
                <w:sz w:val="22"/>
                <w:szCs w:val="22"/>
              </w:rPr>
              <w:t>6,500</w:t>
            </w:r>
          </w:p>
        </w:tc>
        <w:tc>
          <w:tcPr>
            <w:tcW w:w="0" w:type="auto"/>
            <w:tcBorders>
              <w:top w:val="nil"/>
              <w:left w:val="nil"/>
              <w:bottom w:val="single" w:sz="4" w:space="0" w:color="auto"/>
              <w:right w:val="single" w:sz="4" w:space="0" w:color="auto"/>
            </w:tcBorders>
            <w:vAlign w:val="center"/>
            <w:hideMark/>
          </w:tcPr>
          <w:p w:rsidR="00A81A25" w:rsidRPr="00D9255B" w:rsidP="00D9255B" w14:paraId="1D92866F"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193C09F2" w14:textId="77777777">
            <w:pPr>
              <w:widowControl/>
              <w:autoSpaceDE/>
              <w:autoSpaceDN/>
              <w:adjustRightInd/>
              <w:jc w:val="center"/>
              <w:rPr>
                <w:color w:val="000000"/>
                <w:sz w:val="22"/>
                <w:szCs w:val="22"/>
              </w:rPr>
            </w:pPr>
            <w:r w:rsidRPr="00D9255B">
              <w:rPr>
                <w:color w:val="000000"/>
                <w:sz w:val="22"/>
                <w:szCs w:val="22"/>
              </w:rPr>
              <w:t>6,500</w:t>
            </w:r>
          </w:p>
        </w:tc>
        <w:tc>
          <w:tcPr>
            <w:tcW w:w="0" w:type="auto"/>
            <w:tcBorders>
              <w:top w:val="nil"/>
              <w:left w:val="nil"/>
              <w:bottom w:val="single" w:sz="4" w:space="0" w:color="auto"/>
              <w:right w:val="single" w:sz="4" w:space="0" w:color="auto"/>
            </w:tcBorders>
            <w:vAlign w:val="center"/>
            <w:hideMark/>
          </w:tcPr>
          <w:p w:rsidR="00A81A25" w:rsidRPr="00D9255B" w:rsidP="00D9255B" w14:paraId="2F56568B" w14:textId="77777777">
            <w:pPr>
              <w:widowControl/>
              <w:autoSpaceDE/>
              <w:autoSpaceDN/>
              <w:adjustRightInd/>
              <w:jc w:val="center"/>
              <w:rPr>
                <w:color w:val="000000"/>
                <w:sz w:val="22"/>
                <w:szCs w:val="22"/>
              </w:rPr>
            </w:pPr>
            <w:bookmarkStart w:id="17" w:name="RANGE!F27"/>
            <w:r w:rsidRPr="00D9255B">
              <w:rPr>
                <w:color w:val="000000"/>
                <w:sz w:val="22"/>
                <w:szCs w:val="22"/>
              </w:rPr>
              <w:t>0.5</w:t>
            </w:r>
            <w:bookmarkEnd w:id="17"/>
          </w:p>
        </w:tc>
        <w:tc>
          <w:tcPr>
            <w:tcW w:w="0" w:type="auto"/>
            <w:tcBorders>
              <w:top w:val="nil"/>
              <w:left w:val="nil"/>
              <w:bottom w:val="single" w:sz="4" w:space="0" w:color="auto"/>
              <w:right w:val="single" w:sz="4" w:space="0" w:color="auto"/>
            </w:tcBorders>
            <w:vAlign w:val="center"/>
            <w:hideMark/>
          </w:tcPr>
          <w:p w:rsidR="00A81A25" w:rsidRPr="00D9255B" w:rsidP="00D9255B" w14:paraId="1E42CCDE" w14:textId="77777777">
            <w:pPr>
              <w:widowControl/>
              <w:autoSpaceDE/>
              <w:autoSpaceDN/>
              <w:adjustRightInd/>
              <w:jc w:val="center"/>
              <w:rPr>
                <w:color w:val="000000"/>
                <w:sz w:val="22"/>
                <w:szCs w:val="22"/>
              </w:rPr>
            </w:pPr>
            <w:r w:rsidRPr="00D9255B">
              <w:rPr>
                <w:color w:val="000000"/>
                <w:sz w:val="22"/>
                <w:szCs w:val="22"/>
              </w:rPr>
              <w:t>3250</w:t>
            </w:r>
          </w:p>
        </w:tc>
        <w:tc>
          <w:tcPr>
            <w:tcW w:w="0" w:type="auto"/>
            <w:tcBorders>
              <w:top w:val="nil"/>
              <w:left w:val="nil"/>
              <w:bottom w:val="single" w:sz="4" w:space="0" w:color="auto"/>
              <w:right w:val="single" w:sz="4" w:space="0" w:color="auto"/>
            </w:tcBorders>
            <w:vAlign w:val="center"/>
            <w:hideMark/>
          </w:tcPr>
          <w:p w:rsidR="00A81A25" w:rsidRPr="00D9255B" w:rsidP="00D9255B" w14:paraId="03BA273C" w14:textId="77777777">
            <w:pPr>
              <w:widowControl/>
              <w:autoSpaceDE/>
              <w:autoSpaceDN/>
              <w:adjustRightInd/>
              <w:jc w:val="center"/>
              <w:rPr>
                <w:color w:val="000000"/>
                <w:sz w:val="22"/>
                <w:szCs w:val="22"/>
              </w:rPr>
            </w:pPr>
            <w:r w:rsidRPr="00D9255B">
              <w:rPr>
                <w:color w:val="000000"/>
                <w:sz w:val="22"/>
                <w:szCs w:val="22"/>
              </w:rPr>
              <w:t xml:space="preserve">$193.15 </w:t>
            </w:r>
          </w:p>
        </w:tc>
        <w:tc>
          <w:tcPr>
            <w:tcW w:w="1512" w:type="dxa"/>
            <w:tcBorders>
              <w:top w:val="nil"/>
              <w:left w:val="nil"/>
              <w:bottom w:val="single" w:sz="4" w:space="0" w:color="auto"/>
              <w:right w:val="single" w:sz="4" w:space="0" w:color="auto"/>
            </w:tcBorders>
            <w:vAlign w:val="center"/>
            <w:hideMark/>
          </w:tcPr>
          <w:p w:rsidR="00A81A25" w:rsidRPr="00D9255B" w:rsidP="00D9255B" w14:paraId="177FE052" w14:textId="77777777">
            <w:pPr>
              <w:widowControl/>
              <w:autoSpaceDE/>
              <w:autoSpaceDN/>
              <w:adjustRightInd/>
              <w:jc w:val="center"/>
              <w:rPr>
                <w:color w:val="000000"/>
                <w:sz w:val="22"/>
                <w:szCs w:val="22"/>
              </w:rPr>
            </w:pPr>
            <w:r w:rsidRPr="00D9255B">
              <w:rPr>
                <w:color w:val="000000"/>
                <w:sz w:val="22"/>
                <w:szCs w:val="22"/>
              </w:rPr>
              <w:t xml:space="preserve">$627,738 </w:t>
            </w:r>
          </w:p>
        </w:tc>
      </w:tr>
      <w:tr w14:paraId="15833C19" w14:textId="77777777" w:rsidTr="00C813E2">
        <w:tblPrEx>
          <w:tblW w:w="9908" w:type="dxa"/>
          <w:tblInd w:w="-365" w:type="dxa"/>
          <w:tblLook w:val="04A0"/>
        </w:tblPrEx>
        <w:trPr>
          <w:trHeight w:val="1560"/>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378E23EB" w14:textId="77777777">
            <w:pPr>
              <w:widowControl/>
              <w:autoSpaceDE/>
              <w:autoSpaceDN/>
              <w:adjustRightInd/>
              <w:rPr>
                <w:color w:val="000000"/>
                <w:sz w:val="22"/>
                <w:szCs w:val="22"/>
              </w:rPr>
            </w:pPr>
            <w:r w:rsidRPr="00D9255B">
              <w:rPr>
                <w:color w:val="000000"/>
                <w:sz w:val="22"/>
                <w:szCs w:val="22"/>
              </w:rPr>
              <w:t>Clerical workers prepare and send Notice of Agreement on an Out-of-Network Rate</w:t>
            </w:r>
          </w:p>
        </w:tc>
        <w:tc>
          <w:tcPr>
            <w:tcW w:w="0" w:type="auto"/>
            <w:tcBorders>
              <w:top w:val="nil"/>
              <w:left w:val="nil"/>
              <w:bottom w:val="single" w:sz="4" w:space="0" w:color="auto"/>
              <w:right w:val="single" w:sz="4" w:space="0" w:color="auto"/>
            </w:tcBorders>
            <w:vAlign w:val="center"/>
            <w:hideMark/>
          </w:tcPr>
          <w:p w:rsidR="00A81A25" w:rsidRPr="00D9255B" w:rsidP="00D9255B" w14:paraId="6304BBC5" w14:textId="77777777">
            <w:pPr>
              <w:widowControl/>
              <w:autoSpaceDE/>
              <w:autoSpaceDN/>
              <w:adjustRightInd/>
              <w:jc w:val="center"/>
              <w:rPr>
                <w:color w:val="000000"/>
                <w:sz w:val="22"/>
                <w:szCs w:val="22"/>
              </w:rPr>
            </w:pPr>
            <w:r w:rsidRPr="00D9255B">
              <w:rPr>
                <w:color w:val="000000"/>
                <w:sz w:val="22"/>
                <w:szCs w:val="22"/>
              </w:rPr>
              <w:t>6,500</w:t>
            </w:r>
          </w:p>
        </w:tc>
        <w:tc>
          <w:tcPr>
            <w:tcW w:w="0" w:type="auto"/>
            <w:tcBorders>
              <w:top w:val="nil"/>
              <w:left w:val="nil"/>
              <w:bottom w:val="single" w:sz="4" w:space="0" w:color="auto"/>
              <w:right w:val="single" w:sz="4" w:space="0" w:color="auto"/>
            </w:tcBorders>
            <w:vAlign w:val="center"/>
            <w:hideMark/>
          </w:tcPr>
          <w:p w:rsidR="00A81A25" w:rsidRPr="00D9255B" w:rsidP="00D9255B" w14:paraId="47A466C2"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0906F36D" w14:textId="77777777">
            <w:pPr>
              <w:widowControl/>
              <w:autoSpaceDE/>
              <w:autoSpaceDN/>
              <w:adjustRightInd/>
              <w:jc w:val="center"/>
              <w:rPr>
                <w:color w:val="000000"/>
                <w:sz w:val="22"/>
                <w:szCs w:val="22"/>
              </w:rPr>
            </w:pPr>
            <w:r w:rsidRPr="00D9255B">
              <w:rPr>
                <w:color w:val="000000"/>
                <w:sz w:val="22"/>
                <w:szCs w:val="22"/>
              </w:rPr>
              <w:t>6,500</w:t>
            </w:r>
          </w:p>
        </w:tc>
        <w:tc>
          <w:tcPr>
            <w:tcW w:w="0" w:type="auto"/>
            <w:tcBorders>
              <w:top w:val="nil"/>
              <w:left w:val="nil"/>
              <w:bottom w:val="single" w:sz="4" w:space="0" w:color="auto"/>
              <w:right w:val="single" w:sz="4" w:space="0" w:color="auto"/>
            </w:tcBorders>
            <w:vAlign w:val="center"/>
            <w:hideMark/>
          </w:tcPr>
          <w:p w:rsidR="00A81A25" w:rsidRPr="00D9255B" w:rsidP="00D9255B" w14:paraId="6AB552FE" w14:textId="77777777">
            <w:pPr>
              <w:widowControl/>
              <w:autoSpaceDE/>
              <w:autoSpaceDN/>
              <w:adjustRightInd/>
              <w:jc w:val="center"/>
              <w:rPr>
                <w:color w:val="000000"/>
                <w:sz w:val="22"/>
                <w:szCs w:val="22"/>
              </w:rPr>
            </w:pPr>
            <w:r w:rsidRPr="00D9255B">
              <w:rPr>
                <w:color w:val="000000"/>
                <w:sz w:val="22"/>
                <w:szCs w:val="22"/>
              </w:rPr>
              <w:t>0.25</w:t>
            </w:r>
          </w:p>
        </w:tc>
        <w:tc>
          <w:tcPr>
            <w:tcW w:w="0" w:type="auto"/>
            <w:tcBorders>
              <w:top w:val="nil"/>
              <w:left w:val="nil"/>
              <w:bottom w:val="single" w:sz="4" w:space="0" w:color="auto"/>
              <w:right w:val="single" w:sz="4" w:space="0" w:color="auto"/>
            </w:tcBorders>
            <w:vAlign w:val="center"/>
            <w:hideMark/>
          </w:tcPr>
          <w:p w:rsidR="00A81A25" w:rsidRPr="00D9255B" w:rsidP="00D9255B" w14:paraId="493DD588" w14:textId="77777777">
            <w:pPr>
              <w:widowControl/>
              <w:autoSpaceDE/>
              <w:autoSpaceDN/>
              <w:adjustRightInd/>
              <w:jc w:val="center"/>
              <w:rPr>
                <w:color w:val="000000"/>
                <w:sz w:val="22"/>
                <w:szCs w:val="22"/>
              </w:rPr>
            </w:pPr>
            <w:r w:rsidRPr="00D9255B">
              <w:rPr>
                <w:color w:val="000000"/>
                <w:sz w:val="22"/>
                <w:szCs w:val="22"/>
              </w:rPr>
              <w:t>1625</w:t>
            </w:r>
          </w:p>
        </w:tc>
        <w:tc>
          <w:tcPr>
            <w:tcW w:w="0" w:type="auto"/>
            <w:tcBorders>
              <w:top w:val="nil"/>
              <w:left w:val="nil"/>
              <w:bottom w:val="single" w:sz="4" w:space="0" w:color="auto"/>
              <w:right w:val="single" w:sz="4" w:space="0" w:color="auto"/>
            </w:tcBorders>
            <w:vAlign w:val="center"/>
            <w:hideMark/>
          </w:tcPr>
          <w:p w:rsidR="00A81A25" w:rsidRPr="00D9255B" w:rsidP="00D9255B" w14:paraId="64359487" w14:textId="77777777">
            <w:pPr>
              <w:widowControl/>
              <w:autoSpaceDE/>
              <w:autoSpaceDN/>
              <w:adjustRightInd/>
              <w:jc w:val="center"/>
              <w:rPr>
                <w:color w:val="000000"/>
                <w:sz w:val="22"/>
                <w:szCs w:val="22"/>
              </w:rPr>
            </w:pPr>
            <w:r w:rsidRPr="00D9255B">
              <w:rPr>
                <w:color w:val="000000"/>
                <w:sz w:val="22"/>
                <w:szCs w:val="22"/>
              </w:rPr>
              <w:t xml:space="preserve">$72.82 </w:t>
            </w:r>
          </w:p>
        </w:tc>
        <w:tc>
          <w:tcPr>
            <w:tcW w:w="1512" w:type="dxa"/>
            <w:tcBorders>
              <w:top w:val="nil"/>
              <w:left w:val="nil"/>
              <w:bottom w:val="single" w:sz="4" w:space="0" w:color="auto"/>
              <w:right w:val="single" w:sz="4" w:space="0" w:color="auto"/>
            </w:tcBorders>
            <w:vAlign w:val="center"/>
            <w:hideMark/>
          </w:tcPr>
          <w:p w:rsidR="00A81A25" w:rsidRPr="00D9255B" w:rsidP="00D9255B" w14:paraId="768FDBE0" w14:textId="77777777">
            <w:pPr>
              <w:widowControl/>
              <w:autoSpaceDE/>
              <w:autoSpaceDN/>
              <w:adjustRightInd/>
              <w:jc w:val="center"/>
              <w:rPr>
                <w:color w:val="000000"/>
                <w:sz w:val="22"/>
                <w:szCs w:val="22"/>
              </w:rPr>
            </w:pPr>
            <w:r w:rsidRPr="00D9255B">
              <w:rPr>
                <w:color w:val="000000"/>
                <w:sz w:val="22"/>
                <w:szCs w:val="22"/>
              </w:rPr>
              <w:t xml:space="preserve">$118,333 </w:t>
            </w:r>
          </w:p>
        </w:tc>
      </w:tr>
      <w:tr w14:paraId="65FCCAE4" w14:textId="77777777" w:rsidTr="00C813E2">
        <w:tblPrEx>
          <w:tblW w:w="9908" w:type="dxa"/>
          <w:tblInd w:w="-365" w:type="dxa"/>
          <w:tblLook w:val="04A0"/>
        </w:tblPrEx>
        <w:trPr>
          <w:trHeight w:val="290"/>
        </w:trPr>
        <w:tc>
          <w:tcPr>
            <w:tcW w:w="9908" w:type="dxa"/>
            <w:gridSpan w:val="8"/>
            <w:tcBorders>
              <w:top w:val="single" w:sz="4" w:space="0" w:color="auto"/>
              <w:left w:val="single" w:sz="4" w:space="0" w:color="auto"/>
              <w:bottom w:val="single" w:sz="4" w:space="0" w:color="auto"/>
              <w:right w:val="single" w:sz="4" w:space="0" w:color="auto"/>
            </w:tcBorders>
            <w:noWrap/>
            <w:vAlign w:val="bottom"/>
            <w:hideMark/>
          </w:tcPr>
          <w:p w:rsidR="00A81A25" w:rsidRPr="00D9255B" w:rsidP="00D9255B" w14:paraId="66A54FDD" w14:textId="77777777">
            <w:pPr>
              <w:widowControl/>
              <w:autoSpaceDE/>
              <w:autoSpaceDN/>
              <w:adjustRightInd/>
              <w:rPr>
                <w:b/>
                <w:bCs/>
                <w:color w:val="000000"/>
                <w:sz w:val="22"/>
                <w:szCs w:val="22"/>
                <w:u w:val="single"/>
              </w:rPr>
            </w:pPr>
            <w:r w:rsidRPr="00D9255B">
              <w:rPr>
                <w:b/>
                <w:bCs/>
                <w:color w:val="000000"/>
                <w:sz w:val="22"/>
                <w:szCs w:val="22"/>
                <w:u w:val="single"/>
              </w:rPr>
              <w:t>Notice of Withdrawal Request and Response</w:t>
            </w:r>
          </w:p>
        </w:tc>
      </w:tr>
      <w:tr w14:paraId="1C0A717A" w14:textId="77777777" w:rsidTr="00C813E2">
        <w:tblPrEx>
          <w:tblW w:w="9908" w:type="dxa"/>
          <w:tblInd w:w="-365" w:type="dxa"/>
          <w:tblLook w:val="04A0"/>
        </w:tblPrEx>
        <w:trPr>
          <w:trHeight w:val="1820"/>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2E008B3C" w14:textId="77777777">
            <w:pPr>
              <w:widowControl/>
              <w:autoSpaceDE/>
              <w:autoSpaceDN/>
              <w:adjustRightInd/>
              <w:rPr>
                <w:color w:val="000000"/>
                <w:sz w:val="22"/>
                <w:szCs w:val="22"/>
              </w:rPr>
            </w:pPr>
            <w:r w:rsidRPr="00D9255B">
              <w:rPr>
                <w:color w:val="000000"/>
                <w:sz w:val="22"/>
                <w:szCs w:val="22"/>
              </w:rPr>
              <w:t>Compensation and benefits managers prepare Notice of IDR Withdrawal Request</w:t>
            </w:r>
          </w:p>
        </w:tc>
        <w:tc>
          <w:tcPr>
            <w:tcW w:w="0" w:type="auto"/>
            <w:tcBorders>
              <w:top w:val="nil"/>
              <w:left w:val="nil"/>
              <w:bottom w:val="single" w:sz="4" w:space="0" w:color="auto"/>
              <w:right w:val="single" w:sz="4" w:space="0" w:color="auto"/>
            </w:tcBorders>
            <w:vAlign w:val="center"/>
            <w:hideMark/>
          </w:tcPr>
          <w:p w:rsidR="00A81A25" w:rsidRPr="00D9255B" w:rsidP="00D9255B" w14:paraId="65EA40AE" w14:textId="77777777">
            <w:pPr>
              <w:widowControl/>
              <w:autoSpaceDE/>
              <w:autoSpaceDN/>
              <w:adjustRightInd/>
              <w:jc w:val="center"/>
              <w:rPr>
                <w:color w:val="000000"/>
                <w:sz w:val="22"/>
                <w:szCs w:val="22"/>
              </w:rPr>
            </w:pPr>
            <w:r w:rsidRPr="00D9255B">
              <w:rPr>
                <w:color w:val="000000"/>
                <w:sz w:val="22"/>
                <w:szCs w:val="22"/>
              </w:rPr>
              <w:t>26,000</w:t>
            </w:r>
          </w:p>
        </w:tc>
        <w:tc>
          <w:tcPr>
            <w:tcW w:w="0" w:type="auto"/>
            <w:tcBorders>
              <w:top w:val="nil"/>
              <w:left w:val="nil"/>
              <w:bottom w:val="single" w:sz="4" w:space="0" w:color="auto"/>
              <w:right w:val="single" w:sz="4" w:space="0" w:color="auto"/>
            </w:tcBorders>
            <w:vAlign w:val="center"/>
            <w:hideMark/>
          </w:tcPr>
          <w:p w:rsidR="00A81A25" w:rsidRPr="00D9255B" w:rsidP="00D9255B" w14:paraId="66C042C7"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78CEB7E3" w14:textId="77777777">
            <w:pPr>
              <w:widowControl/>
              <w:autoSpaceDE/>
              <w:autoSpaceDN/>
              <w:adjustRightInd/>
              <w:jc w:val="center"/>
              <w:rPr>
                <w:color w:val="000000"/>
                <w:sz w:val="22"/>
                <w:szCs w:val="22"/>
              </w:rPr>
            </w:pPr>
            <w:r w:rsidRPr="00D9255B">
              <w:rPr>
                <w:color w:val="000000"/>
                <w:sz w:val="22"/>
                <w:szCs w:val="22"/>
              </w:rPr>
              <w:t>26,000</w:t>
            </w:r>
          </w:p>
        </w:tc>
        <w:tc>
          <w:tcPr>
            <w:tcW w:w="0" w:type="auto"/>
            <w:tcBorders>
              <w:top w:val="nil"/>
              <w:left w:val="nil"/>
              <w:bottom w:val="single" w:sz="4" w:space="0" w:color="auto"/>
              <w:right w:val="single" w:sz="4" w:space="0" w:color="auto"/>
            </w:tcBorders>
            <w:vAlign w:val="center"/>
            <w:hideMark/>
          </w:tcPr>
          <w:p w:rsidR="00A81A25" w:rsidRPr="00D9255B" w:rsidP="00D9255B" w14:paraId="2D717960" w14:textId="77777777">
            <w:pPr>
              <w:widowControl/>
              <w:autoSpaceDE/>
              <w:autoSpaceDN/>
              <w:adjustRightInd/>
              <w:jc w:val="center"/>
              <w:rPr>
                <w:color w:val="000000"/>
                <w:sz w:val="22"/>
                <w:szCs w:val="22"/>
              </w:rPr>
            </w:pPr>
            <w:r w:rsidRPr="00D9255B">
              <w:rPr>
                <w:color w:val="000000"/>
                <w:sz w:val="22"/>
                <w:szCs w:val="22"/>
              </w:rPr>
              <w:t>0.25</w:t>
            </w:r>
          </w:p>
        </w:tc>
        <w:tc>
          <w:tcPr>
            <w:tcW w:w="0" w:type="auto"/>
            <w:tcBorders>
              <w:top w:val="nil"/>
              <w:left w:val="nil"/>
              <w:bottom w:val="single" w:sz="4" w:space="0" w:color="auto"/>
              <w:right w:val="single" w:sz="4" w:space="0" w:color="auto"/>
            </w:tcBorders>
            <w:vAlign w:val="center"/>
            <w:hideMark/>
          </w:tcPr>
          <w:p w:rsidR="00A81A25" w:rsidRPr="00D9255B" w:rsidP="00D9255B" w14:paraId="754A1FBA" w14:textId="77777777">
            <w:pPr>
              <w:widowControl/>
              <w:autoSpaceDE/>
              <w:autoSpaceDN/>
              <w:adjustRightInd/>
              <w:jc w:val="center"/>
              <w:rPr>
                <w:color w:val="000000"/>
                <w:sz w:val="22"/>
                <w:szCs w:val="22"/>
              </w:rPr>
            </w:pPr>
            <w:r w:rsidRPr="00D9255B">
              <w:rPr>
                <w:color w:val="000000"/>
                <w:sz w:val="22"/>
                <w:szCs w:val="22"/>
              </w:rPr>
              <w:t>6,500</w:t>
            </w:r>
          </w:p>
        </w:tc>
        <w:tc>
          <w:tcPr>
            <w:tcW w:w="0" w:type="auto"/>
            <w:tcBorders>
              <w:top w:val="nil"/>
              <w:left w:val="nil"/>
              <w:bottom w:val="single" w:sz="4" w:space="0" w:color="auto"/>
              <w:right w:val="single" w:sz="4" w:space="0" w:color="auto"/>
            </w:tcBorders>
            <w:vAlign w:val="center"/>
            <w:hideMark/>
          </w:tcPr>
          <w:p w:rsidR="00A81A25" w:rsidRPr="00D9255B" w:rsidP="00D9255B" w14:paraId="37B02A31" w14:textId="77777777">
            <w:pPr>
              <w:widowControl/>
              <w:autoSpaceDE/>
              <w:autoSpaceDN/>
              <w:adjustRightInd/>
              <w:jc w:val="center"/>
              <w:rPr>
                <w:color w:val="000000"/>
                <w:sz w:val="22"/>
                <w:szCs w:val="22"/>
              </w:rPr>
            </w:pPr>
            <w:r w:rsidRPr="00D9255B">
              <w:rPr>
                <w:color w:val="000000"/>
                <w:sz w:val="22"/>
                <w:szCs w:val="22"/>
              </w:rPr>
              <w:t xml:space="preserve">$193.15 </w:t>
            </w:r>
          </w:p>
        </w:tc>
        <w:tc>
          <w:tcPr>
            <w:tcW w:w="1512" w:type="dxa"/>
            <w:tcBorders>
              <w:top w:val="nil"/>
              <w:left w:val="nil"/>
              <w:bottom w:val="single" w:sz="4" w:space="0" w:color="auto"/>
              <w:right w:val="single" w:sz="4" w:space="0" w:color="auto"/>
            </w:tcBorders>
            <w:vAlign w:val="center"/>
            <w:hideMark/>
          </w:tcPr>
          <w:p w:rsidR="00A81A25" w:rsidRPr="00D9255B" w:rsidP="00D9255B" w14:paraId="7C4F6AF2" w14:textId="77777777">
            <w:pPr>
              <w:widowControl/>
              <w:autoSpaceDE/>
              <w:autoSpaceDN/>
              <w:adjustRightInd/>
              <w:jc w:val="center"/>
              <w:rPr>
                <w:color w:val="000000"/>
                <w:sz w:val="22"/>
                <w:szCs w:val="22"/>
              </w:rPr>
            </w:pPr>
            <w:r w:rsidRPr="00D9255B">
              <w:rPr>
                <w:color w:val="000000"/>
                <w:sz w:val="22"/>
                <w:szCs w:val="22"/>
              </w:rPr>
              <w:t xml:space="preserve">$1,255,475 </w:t>
            </w:r>
          </w:p>
        </w:tc>
      </w:tr>
      <w:tr w14:paraId="3B4B32B2" w14:textId="77777777" w:rsidTr="00C813E2">
        <w:tblPrEx>
          <w:tblW w:w="9908" w:type="dxa"/>
          <w:tblInd w:w="-365" w:type="dxa"/>
          <w:tblLook w:val="04A0"/>
        </w:tblPrEx>
        <w:trPr>
          <w:trHeight w:val="1300"/>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57B00606" w14:textId="77777777">
            <w:pPr>
              <w:widowControl/>
              <w:autoSpaceDE/>
              <w:autoSpaceDN/>
              <w:adjustRightInd/>
              <w:rPr>
                <w:color w:val="000000"/>
                <w:sz w:val="22"/>
                <w:szCs w:val="22"/>
              </w:rPr>
            </w:pPr>
            <w:r w:rsidRPr="00D9255B">
              <w:rPr>
                <w:color w:val="000000"/>
                <w:sz w:val="22"/>
                <w:szCs w:val="22"/>
              </w:rPr>
              <w:t>Clerical workers prepare Notice of IDR Withdrawal Request</w:t>
            </w:r>
          </w:p>
        </w:tc>
        <w:tc>
          <w:tcPr>
            <w:tcW w:w="0" w:type="auto"/>
            <w:tcBorders>
              <w:top w:val="nil"/>
              <w:left w:val="nil"/>
              <w:bottom w:val="single" w:sz="4" w:space="0" w:color="auto"/>
              <w:right w:val="single" w:sz="4" w:space="0" w:color="auto"/>
            </w:tcBorders>
            <w:vAlign w:val="center"/>
            <w:hideMark/>
          </w:tcPr>
          <w:p w:rsidR="00A81A25" w:rsidRPr="00D9255B" w:rsidP="00D9255B" w14:paraId="16E3F092" w14:textId="77777777">
            <w:pPr>
              <w:widowControl/>
              <w:autoSpaceDE/>
              <w:autoSpaceDN/>
              <w:adjustRightInd/>
              <w:jc w:val="center"/>
              <w:rPr>
                <w:color w:val="000000"/>
                <w:sz w:val="22"/>
                <w:szCs w:val="22"/>
              </w:rPr>
            </w:pPr>
            <w:r w:rsidRPr="00D9255B">
              <w:rPr>
                <w:color w:val="000000"/>
                <w:sz w:val="22"/>
                <w:szCs w:val="22"/>
              </w:rPr>
              <w:t>26,000</w:t>
            </w:r>
          </w:p>
        </w:tc>
        <w:tc>
          <w:tcPr>
            <w:tcW w:w="0" w:type="auto"/>
            <w:tcBorders>
              <w:top w:val="nil"/>
              <w:left w:val="nil"/>
              <w:bottom w:val="single" w:sz="4" w:space="0" w:color="auto"/>
              <w:right w:val="single" w:sz="4" w:space="0" w:color="auto"/>
            </w:tcBorders>
            <w:vAlign w:val="center"/>
            <w:hideMark/>
          </w:tcPr>
          <w:p w:rsidR="00A81A25" w:rsidRPr="00D9255B" w:rsidP="00D9255B" w14:paraId="4190C317"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69993014" w14:textId="77777777">
            <w:pPr>
              <w:widowControl/>
              <w:autoSpaceDE/>
              <w:autoSpaceDN/>
              <w:adjustRightInd/>
              <w:jc w:val="center"/>
              <w:rPr>
                <w:color w:val="000000"/>
                <w:sz w:val="22"/>
                <w:szCs w:val="22"/>
              </w:rPr>
            </w:pPr>
            <w:r w:rsidRPr="00D9255B">
              <w:rPr>
                <w:color w:val="000000"/>
                <w:sz w:val="22"/>
                <w:szCs w:val="22"/>
              </w:rPr>
              <w:t>26,000</w:t>
            </w:r>
          </w:p>
        </w:tc>
        <w:tc>
          <w:tcPr>
            <w:tcW w:w="0" w:type="auto"/>
            <w:tcBorders>
              <w:top w:val="nil"/>
              <w:left w:val="nil"/>
              <w:bottom w:val="single" w:sz="4" w:space="0" w:color="auto"/>
              <w:right w:val="single" w:sz="4" w:space="0" w:color="auto"/>
            </w:tcBorders>
            <w:vAlign w:val="center"/>
            <w:hideMark/>
          </w:tcPr>
          <w:p w:rsidR="00A81A25" w:rsidRPr="00D9255B" w:rsidP="00D9255B" w14:paraId="34D67098" w14:textId="77777777">
            <w:pPr>
              <w:widowControl/>
              <w:autoSpaceDE/>
              <w:autoSpaceDN/>
              <w:adjustRightInd/>
              <w:jc w:val="center"/>
              <w:rPr>
                <w:color w:val="000000"/>
                <w:sz w:val="22"/>
                <w:szCs w:val="22"/>
              </w:rPr>
            </w:pPr>
            <w:r w:rsidRPr="00D9255B">
              <w:rPr>
                <w:color w:val="000000"/>
                <w:sz w:val="22"/>
                <w:szCs w:val="22"/>
              </w:rPr>
              <w:t>0.25</w:t>
            </w:r>
          </w:p>
        </w:tc>
        <w:tc>
          <w:tcPr>
            <w:tcW w:w="0" w:type="auto"/>
            <w:tcBorders>
              <w:top w:val="nil"/>
              <w:left w:val="nil"/>
              <w:bottom w:val="single" w:sz="4" w:space="0" w:color="auto"/>
              <w:right w:val="single" w:sz="4" w:space="0" w:color="auto"/>
            </w:tcBorders>
            <w:vAlign w:val="center"/>
            <w:hideMark/>
          </w:tcPr>
          <w:p w:rsidR="00A81A25" w:rsidRPr="00D9255B" w:rsidP="00D9255B" w14:paraId="21AA3E54" w14:textId="77777777">
            <w:pPr>
              <w:widowControl/>
              <w:autoSpaceDE/>
              <w:autoSpaceDN/>
              <w:adjustRightInd/>
              <w:jc w:val="center"/>
              <w:rPr>
                <w:color w:val="000000"/>
                <w:sz w:val="22"/>
                <w:szCs w:val="22"/>
              </w:rPr>
            </w:pPr>
            <w:r w:rsidRPr="00D9255B">
              <w:rPr>
                <w:color w:val="000000"/>
                <w:sz w:val="22"/>
                <w:szCs w:val="22"/>
              </w:rPr>
              <w:t>6,500</w:t>
            </w:r>
          </w:p>
        </w:tc>
        <w:tc>
          <w:tcPr>
            <w:tcW w:w="0" w:type="auto"/>
            <w:tcBorders>
              <w:top w:val="nil"/>
              <w:left w:val="nil"/>
              <w:bottom w:val="single" w:sz="4" w:space="0" w:color="auto"/>
              <w:right w:val="single" w:sz="4" w:space="0" w:color="auto"/>
            </w:tcBorders>
            <w:vAlign w:val="center"/>
            <w:hideMark/>
          </w:tcPr>
          <w:p w:rsidR="00A81A25" w:rsidRPr="00D9255B" w:rsidP="00D9255B" w14:paraId="1B25DE75" w14:textId="77777777">
            <w:pPr>
              <w:widowControl/>
              <w:autoSpaceDE/>
              <w:autoSpaceDN/>
              <w:adjustRightInd/>
              <w:jc w:val="center"/>
              <w:rPr>
                <w:color w:val="000000"/>
                <w:sz w:val="22"/>
                <w:szCs w:val="22"/>
              </w:rPr>
            </w:pPr>
            <w:r w:rsidRPr="00D9255B">
              <w:rPr>
                <w:color w:val="000000"/>
                <w:sz w:val="22"/>
                <w:szCs w:val="22"/>
              </w:rPr>
              <w:t xml:space="preserve">$72.82 </w:t>
            </w:r>
          </w:p>
        </w:tc>
        <w:tc>
          <w:tcPr>
            <w:tcW w:w="1512" w:type="dxa"/>
            <w:tcBorders>
              <w:top w:val="nil"/>
              <w:left w:val="nil"/>
              <w:bottom w:val="single" w:sz="4" w:space="0" w:color="auto"/>
              <w:right w:val="single" w:sz="4" w:space="0" w:color="auto"/>
            </w:tcBorders>
            <w:vAlign w:val="center"/>
            <w:hideMark/>
          </w:tcPr>
          <w:p w:rsidR="00A81A25" w:rsidRPr="00D9255B" w:rsidP="00D9255B" w14:paraId="16D3DBFD" w14:textId="77777777">
            <w:pPr>
              <w:widowControl/>
              <w:autoSpaceDE/>
              <w:autoSpaceDN/>
              <w:adjustRightInd/>
              <w:jc w:val="center"/>
              <w:rPr>
                <w:color w:val="000000"/>
                <w:sz w:val="22"/>
                <w:szCs w:val="22"/>
              </w:rPr>
            </w:pPr>
            <w:r w:rsidRPr="00D9255B">
              <w:rPr>
                <w:color w:val="000000"/>
                <w:sz w:val="22"/>
                <w:szCs w:val="22"/>
              </w:rPr>
              <w:t xml:space="preserve">$473,330 </w:t>
            </w:r>
          </w:p>
        </w:tc>
      </w:tr>
      <w:tr w14:paraId="1A79087A" w14:textId="77777777" w:rsidTr="00C813E2">
        <w:tblPrEx>
          <w:tblW w:w="9908" w:type="dxa"/>
          <w:tblInd w:w="-365" w:type="dxa"/>
          <w:tblLook w:val="04A0"/>
        </w:tblPrEx>
        <w:trPr>
          <w:trHeight w:val="1560"/>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4EE4AD48" w14:textId="77777777">
            <w:pPr>
              <w:widowControl/>
              <w:autoSpaceDE/>
              <w:autoSpaceDN/>
              <w:adjustRightInd/>
              <w:rPr>
                <w:color w:val="000000"/>
                <w:sz w:val="22"/>
                <w:szCs w:val="22"/>
              </w:rPr>
            </w:pPr>
            <w:r w:rsidRPr="00D9255B">
              <w:rPr>
                <w:color w:val="000000"/>
                <w:sz w:val="22"/>
                <w:szCs w:val="22"/>
              </w:rPr>
              <w:t>Clerical workers prepare response to Notice of IDR Withdrawal Request</w:t>
            </w:r>
          </w:p>
        </w:tc>
        <w:tc>
          <w:tcPr>
            <w:tcW w:w="0" w:type="auto"/>
            <w:tcBorders>
              <w:top w:val="nil"/>
              <w:left w:val="nil"/>
              <w:bottom w:val="single" w:sz="4" w:space="0" w:color="auto"/>
              <w:right w:val="single" w:sz="4" w:space="0" w:color="auto"/>
            </w:tcBorders>
            <w:vAlign w:val="center"/>
            <w:hideMark/>
          </w:tcPr>
          <w:p w:rsidR="00A81A25" w:rsidRPr="00D9255B" w:rsidP="00D9255B" w14:paraId="35D87C19" w14:textId="77777777">
            <w:pPr>
              <w:widowControl/>
              <w:autoSpaceDE/>
              <w:autoSpaceDN/>
              <w:adjustRightInd/>
              <w:jc w:val="center"/>
              <w:rPr>
                <w:color w:val="000000"/>
                <w:sz w:val="22"/>
                <w:szCs w:val="22"/>
              </w:rPr>
            </w:pPr>
            <w:r w:rsidRPr="00D9255B">
              <w:rPr>
                <w:color w:val="000000"/>
                <w:sz w:val="22"/>
                <w:szCs w:val="22"/>
              </w:rPr>
              <w:t>26,000</w:t>
            </w:r>
          </w:p>
        </w:tc>
        <w:tc>
          <w:tcPr>
            <w:tcW w:w="0" w:type="auto"/>
            <w:tcBorders>
              <w:top w:val="nil"/>
              <w:left w:val="nil"/>
              <w:bottom w:val="single" w:sz="4" w:space="0" w:color="auto"/>
              <w:right w:val="single" w:sz="4" w:space="0" w:color="auto"/>
            </w:tcBorders>
            <w:vAlign w:val="center"/>
            <w:hideMark/>
          </w:tcPr>
          <w:p w:rsidR="00A81A25" w:rsidRPr="00D9255B" w:rsidP="00D9255B" w14:paraId="4D1D95DC"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030AFD68" w14:textId="77777777">
            <w:pPr>
              <w:widowControl/>
              <w:autoSpaceDE/>
              <w:autoSpaceDN/>
              <w:adjustRightInd/>
              <w:jc w:val="center"/>
              <w:rPr>
                <w:color w:val="000000"/>
                <w:sz w:val="22"/>
                <w:szCs w:val="22"/>
              </w:rPr>
            </w:pPr>
            <w:r w:rsidRPr="00D9255B">
              <w:rPr>
                <w:color w:val="000000"/>
                <w:sz w:val="22"/>
                <w:szCs w:val="22"/>
              </w:rPr>
              <w:t>26,000</w:t>
            </w:r>
          </w:p>
        </w:tc>
        <w:tc>
          <w:tcPr>
            <w:tcW w:w="0" w:type="auto"/>
            <w:tcBorders>
              <w:top w:val="nil"/>
              <w:left w:val="nil"/>
              <w:bottom w:val="single" w:sz="4" w:space="0" w:color="auto"/>
              <w:right w:val="single" w:sz="4" w:space="0" w:color="auto"/>
            </w:tcBorders>
            <w:noWrap/>
            <w:vAlign w:val="center"/>
            <w:hideMark/>
          </w:tcPr>
          <w:p w:rsidR="00A81A25" w:rsidRPr="00D9255B" w:rsidP="00D9255B" w14:paraId="57A82225" w14:textId="77777777">
            <w:pPr>
              <w:widowControl/>
              <w:autoSpaceDE/>
              <w:autoSpaceDN/>
              <w:adjustRightInd/>
              <w:jc w:val="center"/>
              <w:rPr>
                <w:color w:val="000000"/>
                <w:sz w:val="22"/>
                <w:szCs w:val="22"/>
              </w:rPr>
            </w:pPr>
            <w:r w:rsidRPr="00D9255B">
              <w:rPr>
                <w:color w:val="000000"/>
                <w:sz w:val="22"/>
                <w:szCs w:val="22"/>
              </w:rPr>
              <w:t>0.25</w:t>
            </w:r>
          </w:p>
        </w:tc>
        <w:tc>
          <w:tcPr>
            <w:tcW w:w="0" w:type="auto"/>
            <w:tcBorders>
              <w:top w:val="nil"/>
              <w:left w:val="nil"/>
              <w:bottom w:val="single" w:sz="4" w:space="0" w:color="auto"/>
              <w:right w:val="single" w:sz="4" w:space="0" w:color="auto"/>
            </w:tcBorders>
            <w:noWrap/>
            <w:vAlign w:val="center"/>
            <w:hideMark/>
          </w:tcPr>
          <w:p w:rsidR="00A81A25" w:rsidRPr="00D9255B" w:rsidP="00D9255B" w14:paraId="6832DB74" w14:textId="77777777">
            <w:pPr>
              <w:widowControl/>
              <w:autoSpaceDE/>
              <w:autoSpaceDN/>
              <w:adjustRightInd/>
              <w:jc w:val="center"/>
              <w:rPr>
                <w:color w:val="000000"/>
                <w:sz w:val="22"/>
                <w:szCs w:val="22"/>
              </w:rPr>
            </w:pPr>
            <w:r w:rsidRPr="00D9255B">
              <w:rPr>
                <w:color w:val="000000"/>
                <w:sz w:val="22"/>
                <w:szCs w:val="22"/>
              </w:rPr>
              <w:t>6,500</w:t>
            </w:r>
          </w:p>
        </w:tc>
        <w:tc>
          <w:tcPr>
            <w:tcW w:w="0" w:type="auto"/>
            <w:tcBorders>
              <w:top w:val="nil"/>
              <w:left w:val="nil"/>
              <w:bottom w:val="single" w:sz="4" w:space="0" w:color="auto"/>
              <w:right w:val="single" w:sz="4" w:space="0" w:color="auto"/>
            </w:tcBorders>
            <w:noWrap/>
            <w:vAlign w:val="center"/>
            <w:hideMark/>
          </w:tcPr>
          <w:p w:rsidR="00A81A25" w:rsidRPr="00D9255B" w:rsidP="00D9255B" w14:paraId="0219E535" w14:textId="77777777">
            <w:pPr>
              <w:widowControl/>
              <w:autoSpaceDE/>
              <w:autoSpaceDN/>
              <w:adjustRightInd/>
              <w:jc w:val="center"/>
              <w:rPr>
                <w:color w:val="000000"/>
                <w:sz w:val="22"/>
                <w:szCs w:val="22"/>
              </w:rPr>
            </w:pPr>
            <w:r w:rsidRPr="00D9255B">
              <w:rPr>
                <w:color w:val="000000"/>
                <w:sz w:val="22"/>
                <w:szCs w:val="22"/>
              </w:rPr>
              <w:t>$72.82</w:t>
            </w:r>
          </w:p>
        </w:tc>
        <w:tc>
          <w:tcPr>
            <w:tcW w:w="1512" w:type="dxa"/>
            <w:tcBorders>
              <w:top w:val="nil"/>
              <w:left w:val="nil"/>
              <w:bottom w:val="single" w:sz="4" w:space="0" w:color="auto"/>
              <w:right w:val="single" w:sz="4" w:space="0" w:color="auto"/>
            </w:tcBorders>
            <w:noWrap/>
            <w:vAlign w:val="center"/>
            <w:hideMark/>
          </w:tcPr>
          <w:p w:rsidR="00A81A25" w:rsidRPr="00D9255B" w:rsidP="00D9255B" w14:paraId="367AE398" w14:textId="77777777">
            <w:pPr>
              <w:widowControl/>
              <w:autoSpaceDE/>
              <w:autoSpaceDN/>
              <w:adjustRightInd/>
              <w:jc w:val="center"/>
              <w:rPr>
                <w:color w:val="000000"/>
                <w:sz w:val="22"/>
                <w:szCs w:val="22"/>
              </w:rPr>
            </w:pPr>
            <w:r w:rsidRPr="00D9255B">
              <w:rPr>
                <w:color w:val="000000"/>
                <w:sz w:val="22"/>
                <w:szCs w:val="22"/>
              </w:rPr>
              <w:t>$473,330</w:t>
            </w:r>
          </w:p>
        </w:tc>
      </w:tr>
      <w:tr w14:paraId="088DAF12" w14:textId="77777777" w:rsidTr="00C813E2">
        <w:tblPrEx>
          <w:tblW w:w="9908" w:type="dxa"/>
          <w:tblInd w:w="-365" w:type="dxa"/>
          <w:tblLook w:val="04A0"/>
        </w:tblPrEx>
        <w:trPr>
          <w:trHeight w:val="290"/>
        </w:trPr>
        <w:tc>
          <w:tcPr>
            <w:tcW w:w="9908" w:type="dxa"/>
            <w:gridSpan w:val="8"/>
            <w:tcBorders>
              <w:top w:val="single" w:sz="4" w:space="0" w:color="auto"/>
              <w:left w:val="single" w:sz="4" w:space="0" w:color="auto"/>
              <w:bottom w:val="single" w:sz="4" w:space="0" w:color="auto"/>
              <w:right w:val="single" w:sz="4" w:space="0" w:color="auto"/>
            </w:tcBorders>
            <w:vAlign w:val="center"/>
            <w:hideMark/>
          </w:tcPr>
          <w:p w:rsidR="00A81A25" w:rsidRPr="00D9255B" w:rsidP="00D9255B" w14:paraId="3046EE10" w14:textId="77777777">
            <w:pPr>
              <w:widowControl/>
              <w:autoSpaceDE/>
              <w:autoSpaceDN/>
              <w:adjustRightInd/>
              <w:jc w:val="center"/>
              <w:rPr>
                <w:b/>
                <w:bCs/>
                <w:color w:val="000000"/>
                <w:sz w:val="22"/>
                <w:szCs w:val="22"/>
                <w:u w:val="single"/>
              </w:rPr>
            </w:pPr>
            <w:r w:rsidRPr="00D9255B">
              <w:rPr>
                <w:b/>
                <w:bCs/>
                <w:color w:val="000000"/>
                <w:sz w:val="22"/>
                <w:szCs w:val="22"/>
                <w:u w:val="single"/>
              </w:rPr>
              <w:t>Request for Extension</w:t>
            </w:r>
          </w:p>
        </w:tc>
      </w:tr>
      <w:tr w14:paraId="567A9225" w14:textId="77777777" w:rsidTr="00C813E2">
        <w:tblPrEx>
          <w:tblW w:w="9908" w:type="dxa"/>
          <w:tblInd w:w="-365" w:type="dxa"/>
          <w:tblLook w:val="04A0"/>
        </w:tblPrEx>
        <w:trPr>
          <w:trHeight w:val="1300"/>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3E81FA5D" w14:textId="77777777">
            <w:pPr>
              <w:widowControl/>
              <w:autoSpaceDE/>
              <w:autoSpaceDN/>
              <w:adjustRightInd/>
              <w:rPr>
                <w:color w:val="000000"/>
                <w:sz w:val="22"/>
                <w:szCs w:val="22"/>
              </w:rPr>
            </w:pPr>
            <w:r w:rsidRPr="00D9255B">
              <w:rPr>
                <w:color w:val="000000"/>
                <w:sz w:val="22"/>
                <w:szCs w:val="22"/>
              </w:rPr>
              <w:t>Clerical workers prepare and submit the Request for Extension</w:t>
            </w:r>
          </w:p>
        </w:tc>
        <w:tc>
          <w:tcPr>
            <w:tcW w:w="0" w:type="auto"/>
            <w:tcBorders>
              <w:top w:val="nil"/>
              <w:left w:val="nil"/>
              <w:bottom w:val="single" w:sz="4" w:space="0" w:color="auto"/>
              <w:right w:val="single" w:sz="4" w:space="0" w:color="auto"/>
            </w:tcBorders>
            <w:vAlign w:val="center"/>
            <w:hideMark/>
          </w:tcPr>
          <w:p w:rsidR="00A81A25" w:rsidRPr="00D9255B" w:rsidP="00D9255B" w14:paraId="1B6E9DCD" w14:textId="77777777">
            <w:pPr>
              <w:widowControl/>
              <w:autoSpaceDE/>
              <w:autoSpaceDN/>
              <w:adjustRightInd/>
              <w:jc w:val="center"/>
              <w:rPr>
                <w:color w:val="000000"/>
                <w:sz w:val="22"/>
                <w:szCs w:val="22"/>
              </w:rPr>
            </w:pPr>
            <w:r w:rsidRPr="00D9255B">
              <w:rPr>
                <w:color w:val="000000"/>
                <w:sz w:val="22"/>
                <w:szCs w:val="22"/>
              </w:rPr>
              <w:t>5</w:t>
            </w:r>
          </w:p>
        </w:tc>
        <w:tc>
          <w:tcPr>
            <w:tcW w:w="0" w:type="auto"/>
            <w:tcBorders>
              <w:top w:val="nil"/>
              <w:left w:val="nil"/>
              <w:bottom w:val="single" w:sz="4" w:space="0" w:color="auto"/>
              <w:right w:val="single" w:sz="4" w:space="0" w:color="auto"/>
            </w:tcBorders>
            <w:vAlign w:val="center"/>
            <w:hideMark/>
          </w:tcPr>
          <w:p w:rsidR="00A81A25" w:rsidRPr="00D9255B" w:rsidP="00D9255B" w14:paraId="7DA8770B"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42EBDC54" w14:textId="77777777">
            <w:pPr>
              <w:widowControl/>
              <w:autoSpaceDE/>
              <w:autoSpaceDN/>
              <w:adjustRightInd/>
              <w:jc w:val="center"/>
              <w:rPr>
                <w:color w:val="000000"/>
                <w:sz w:val="22"/>
                <w:szCs w:val="22"/>
              </w:rPr>
            </w:pPr>
            <w:r w:rsidRPr="00D9255B">
              <w:rPr>
                <w:color w:val="000000"/>
                <w:sz w:val="22"/>
                <w:szCs w:val="22"/>
              </w:rPr>
              <w:t>5</w:t>
            </w:r>
          </w:p>
        </w:tc>
        <w:tc>
          <w:tcPr>
            <w:tcW w:w="0" w:type="auto"/>
            <w:tcBorders>
              <w:top w:val="nil"/>
              <w:left w:val="nil"/>
              <w:bottom w:val="single" w:sz="4" w:space="0" w:color="auto"/>
              <w:right w:val="single" w:sz="4" w:space="0" w:color="auto"/>
            </w:tcBorders>
            <w:vAlign w:val="center"/>
            <w:hideMark/>
          </w:tcPr>
          <w:p w:rsidR="00A81A25" w:rsidRPr="00D9255B" w:rsidP="00D9255B" w14:paraId="6D705BC1" w14:textId="77777777">
            <w:pPr>
              <w:widowControl/>
              <w:autoSpaceDE/>
              <w:autoSpaceDN/>
              <w:adjustRightInd/>
              <w:jc w:val="center"/>
              <w:rPr>
                <w:color w:val="000000"/>
                <w:sz w:val="22"/>
                <w:szCs w:val="22"/>
              </w:rPr>
            </w:pPr>
            <w:r w:rsidRPr="00D9255B">
              <w:rPr>
                <w:color w:val="000000"/>
                <w:sz w:val="22"/>
                <w:szCs w:val="22"/>
              </w:rPr>
              <w:t>0.25</w:t>
            </w:r>
          </w:p>
        </w:tc>
        <w:tc>
          <w:tcPr>
            <w:tcW w:w="0" w:type="auto"/>
            <w:tcBorders>
              <w:top w:val="nil"/>
              <w:left w:val="nil"/>
              <w:bottom w:val="single" w:sz="4" w:space="0" w:color="auto"/>
              <w:right w:val="single" w:sz="4" w:space="0" w:color="auto"/>
            </w:tcBorders>
            <w:vAlign w:val="center"/>
            <w:hideMark/>
          </w:tcPr>
          <w:p w:rsidR="00A81A25" w:rsidRPr="00D9255B" w:rsidP="00D9255B" w14:paraId="0A7CE1C5"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73EDF058" w14:textId="77777777">
            <w:pPr>
              <w:widowControl/>
              <w:autoSpaceDE/>
              <w:autoSpaceDN/>
              <w:adjustRightInd/>
              <w:jc w:val="center"/>
              <w:rPr>
                <w:color w:val="000000"/>
                <w:sz w:val="22"/>
                <w:szCs w:val="22"/>
              </w:rPr>
            </w:pPr>
            <w:r w:rsidRPr="00D9255B">
              <w:rPr>
                <w:color w:val="000000"/>
                <w:sz w:val="22"/>
                <w:szCs w:val="22"/>
              </w:rPr>
              <w:t xml:space="preserve">$72.82 </w:t>
            </w:r>
          </w:p>
        </w:tc>
        <w:tc>
          <w:tcPr>
            <w:tcW w:w="1512" w:type="dxa"/>
            <w:tcBorders>
              <w:top w:val="nil"/>
              <w:left w:val="nil"/>
              <w:bottom w:val="single" w:sz="4" w:space="0" w:color="auto"/>
              <w:right w:val="single" w:sz="4" w:space="0" w:color="auto"/>
            </w:tcBorders>
            <w:vAlign w:val="center"/>
            <w:hideMark/>
          </w:tcPr>
          <w:p w:rsidR="00A81A25" w:rsidRPr="00D9255B" w:rsidP="00D9255B" w14:paraId="0A2A5F80" w14:textId="77777777">
            <w:pPr>
              <w:widowControl/>
              <w:autoSpaceDE/>
              <w:autoSpaceDN/>
              <w:adjustRightInd/>
              <w:jc w:val="center"/>
              <w:rPr>
                <w:color w:val="000000"/>
                <w:sz w:val="22"/>
                <w:szCs w:val="22"/>
              </w:rPr>
            </w:pPr>
            <w:r w:rsidRPr="00D9255B">
              <w:rPr>
                <w:color w:val="000000"/>
                <w:sz w:val="22"/>
                <w:szCs w:val="22"/>
              </w:rPr>
              <w:t>$91</w:t>
            </w:r>
          </w:p>
        </w:tc>
      </w:tr>
      <w:tr w14:paraId="70C8A251" w14:textId="77777777" w:rsidTr="00C813E2">
        <w:tblPrEx>
          <w:tblW w:w="9908" w:type="dxa"/>
          <w:tblInd w:w="-365" w:type="dxa"/>
          <w:tblLook w:val="04A0"/>
        </w:tblPrEx>
        <w:trPr>
          <w:trHeight w:val="290"/>
        </w:trPr>
        <w:tc>
          <w:tcPr>
            <w:tcW w:w="9908" w:type="dxa"/>
            <w:gridSpan w:val="8"/>
            <w:tcBorders>
              <w:top w:val="single" w:sz="4" w:space="0" w:color="auto"/>
              <w:left w:val="single" w:sz="4" w:space="0" w:color="auto"/>
              <w:bottom w:val="single" w:sz="4" w:space="0" w:color="auto"/>
              <w:right w:val="single" w:sz="4" w:space="0" w:color="auto"/>
            </w:tcBorders>
            <w:vAlign w:val="center"/>
            <w:hideMark/>
          </w:tcPr>
          <w:p w:rsidR="00A81A25" w:rsidRPr="00D9255B" w:rsidP="00D9255B" w14:paraId="37457E6B" w14:textId="77777777">
            <w:pPr>
              <w:widowControl/>
              <w:autoSpaceDE/>
              <w:autoSpaceDN/>
              <w:adjustRightInd/>
              <w:jc w:val="center"/>
              <w:rPr>
                <w:b/>
                <w:bCs/>
                <w:color w:val="000000"/>
                <w:sz w:val="22"/>
                <w:szCs w:val="22"/>
                <w:u w:val="single"/>
              </w:rPr>
            </w:pPr>
            <w:r w:rsidRPr="00D9255B">
              <w:rPr>
                <w:b/>
                <w:bCs/>
                <w:color w:val="000000"/>
                <w:sz w:val="22"/>
                <w:szCs w:val="22"/>
                <w:u w:val="single"/>
              </w:rPr>
              <w:t xml:space="preserve">Registration of Group Health Plans and Health Insurance Issuers </w:t>
            </w:r>
          </w:p>
        </w:tc>
      </w:tr>
      <w:tr w14:paraId="2AF30122" w14:textId="77777777" w:rsidTr="00C813E2">
        <w:tblPrEx>
          <w:tblW w:w="9908" w:type="dxa"/>
          <w:tblInd w:w="-365" w:type="dxa"/>
          <w:tblLook w:val="04A0"/>
        </w:tblPrEx>
        <w:trPr>
          <w:trHeight w:val="1560"/>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5C07F0F7" w14:textId="77777777">
            <w:pPr>
              <w:widowControl/>
              <w:autoSpaceDE/>
              <w:autoSpaceDN/>
              <w:adjustRightInd/>
              <w:rPr>
                <w:color w:val="000000"/>
                <w:sz w:val="22"/>
                <w:szCs w:val="22"/>
              </w:rPr>
            </w:pPr>
            <w:r w:rsidRPr="00D9255B">
              <w:rPr>
                <w:color w:val="000000"/>
                <w:sz w:val="22"/>
                <w:szCs w:val="22"/>
              </w:rPr>
              <w:t>Clerical workers provide information for initial registration (first year cost)</w:t>
            </w:r>
          </w:p>
        </w:tc>
        <w:tc>
          <w:tcPr>
            <w:tcW w:w="0" w:type="auto"/>
            <w:tcBorders>
              <w:top w:val="nil"/>
              <w:left w:val="nil"/>
              <w:bottom w:val="single" w:sz="4" w:space="0" w:color="auto"/>
              <w:right w:val="single" w:sz="4" w:space="0" w:color="auto"/>
            </w:tcBorders>
            <w:vAlign w:val="center"/>
            <w:hideMark/>
          </w:tcPr>
          <w:p w:rsidR="00A81A25" w:rsidRPr="00D9255B" w:rsidP="00D9255B" w14:paraId="37B41ECE" w14:textId="77777777">
            <w:pPr>
              <w:widowControl/>
              <w:autoSpaceDE/>
              <w:autoSpaceDN/>
              <w:adjustRightInd/>
              <w:jc w:val="center"/>
              <w:rPr>
                <w:color w:val="000000"/>
                <w:sz w:val="22"/>
                <w:szCs w:val="22"/>
              </w:rPr>
            </w:pPr>
            <w:r w:rsidRPr="00D9255B">
              <w:rPr>
                <w:color w:val="000000"/>
                <w:sz w:val="22"/>
                <w:szCs w:val="22"/>
              </w:rPr>
              <w:t>396</w:t>
            </w:r>
          </w:p>
        </w:tc>
        <w:tc>
          <w:tcPr>
            <w:tcW w:w="0" w:type="auto"/>
            <w:tcBorders>
              <w:top w:val="nil"/>
              <w:left w:val="nil"/>
              <w:bottom w:val="single" w:sz="4" w:space="0" w:color="auto"/>
              <w:right w:val="single" w:sz="4" w:space="0" w:color="auto"/>
            </w:tcBorders>
            <w:vAlign w:val="center"/>
            <w:hideMark/>
          </w:tcPr>
          <w:p w:rsidR="00A81A25" w:rsidRPr="00D9255B" w:rsidP="00D9255B" w14:paraId="140E8DF8"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0D69215D" w14:textId="77777777">
            <w:pPr>
              <w:widowControl/>
              <w:autoSpaceDE/>
              <w:autoSpaceDN/>
              <w:adjustRightInd/>
              <w:jc w:val="center"/>
              <w:rPr>
                <w:color w:val="000000"/>
                <w:sz w:val="22"/>
                <w:szCs w:val="22"/>
              </w:rPr>
            </w:pPr>
            <w:r w:rsidRPr="00D9255B">
              <w:rPr>
                <w:color w:val="000000"/>
                <w:sz w:val="22"/>
                <w:szCs w:val="22"/>
              </w:rPr>
              <w:t>396</w:t>
            </w:r>
          </w:p>
        </w:tc>
        <w:tc>
          <w:tcPr>
            <w:tcW w:w="0" w:type="auto"/>
            <w:tcBorders>
              <w:top w:val="nil"/>
              <w:left w:val="nil"/>
              <w:bottom w:val="single" w:sz="4" w:space="0" w:color="auto"/>
              <w:right w:val="single" w:sz="4" w:space="0" w:color="auto"/>
            </w:tcBorders>
            <w:vAlign w:val="center"/>
            <w:hideMark/>
          </w:tcPr>
          <w:p w:rsidR="00A81A25" w:rsidRPr="00D9255B" w:rsidP="00D9255B" w14:paraId="15319E17" w14:textId="77777777">
            <w:pPr>
              <w:widowControl/>
              <w:autoSpaceDE/>
              <w:autoSpaceDN/>
              <w:adjustRightInd/>
              <w:jc w:val="center"/>
              <w:rPr>
                <w:color w:val="000000"/>
                <w:sz w:val="22"/>
                <w:szCs w:val="22"/>
              </w:rPr>
            </w:pPr>
            <w:r w:rsidRPr="00D9255B">
              <w:rPr>
                <w:color w:val="000000"/>
                <w:sz w:val="22"/>
                <w:szCs w:val="22"/>
              </w:rPr>
              <w:t>7.5</w:t>
            </w:r>
          </w:p>
        </w:tc>
        <w:tc>
          <w:tcPr>
            <w:tcW w:w="0" w:type="auto"/>
            <w:tcBorders>
              <w:top w:val="nil"/>
              <w:left w:val="nil"/>
              <w:bottom w:val="single" w:sz="4" w:space="0" w:color="auto"/>
              <w:right w:val="single" w:sz="4" w:space="0" w:color="auto"/>
            </w:tcBorders>
            <w:vAlign w:val="center"/>
            <w:hideMark/>
          </w:tcPr>
          <w:p w:rsidR="00A81A25" w:rsidRPr="00D9255B" w:rsidP="00D9255B" w14:paraId="2B8A9FC4" w14:textId="77777777">
            <w:pPr>
              <w:widowControl/>
              <w:autoSpaceDE/>
              <w:autoSpaceDN/>
              <w:adjustRightInd/>
              <w:jc w:val="center"/>
              <w:rPr>
                <w:color w:val="000000"/>
                <w:sz w:val="22"/>
                <w:szCs w:val="22"/>
              </w:rPr>
            </w:pPr>
            <w:r w:rsidRPr="00D9255B">
              <w:rPr>
                <w:color w:val="000000"/>
                <w:sz w:val="22"/>
                <w:szCs w:val="22"/>
              </w:rPr>
              <w:t>2,972</w:t>
            </w:r>
          </w:p>
        </w:tc>
        <w:tc>
          <w:tcPr>
            <w:tcW w:w="0" w:type="auto"/>
            <w:tcBorders>
              <w:top w:val="nil"/>
              <w:left w:val="nil"/>
              <w:bottom w:val="single" w:sz="4" w:space="0" w:color="auto"/>
              <w:right w:val="single" w:sz="4" w:space="0" w:color="auto"/>
            </w:tcBorders>
            <w:vAlign w:val="center"/>
            <w:hideMark/>
          </w:tcPr>
          <w:p w:rsidR="00A81A25" w:rsidRPr="00D9255B" w:rsidP="00D9255B" w14:paraId="001FD9A7" w14:textId="77777777">
            <w:pPr>
              <w:widowControl/>
              <w:autoSpaceDE/>
              <w:autoSpaceDN/>
              <w:adjustRightInd/>
              <w:jc w:val="center"/>
              <w:rPr>
                <w:color w:val="000000"/>
                <w:sz w:val="22"/>
                <w:szCs w:val="22"/>
              </w:rPr>
            </w:pPr>
            <w:r w:rsidRPr="00D9255B">
              <w:rPr>
                <w:color w:val="000000"/>
                <w:sz w:val="22"/>
                <w:szCs w:val="22"/>
              </w:rPr>
              <w:t>$72.82</w:t>
            </w:r>
          </w:p>
        </w:tc>
        <w:tc>
          <w:tcPr>
            <w:tcW w:w="1512" w:type="dxa"/>
            <w:tcBorders>
              <w:top w:val="nil"/>
              <w:left w:val="nil"/>
              <w:bottom w:val="single" w:sz="4" w:space="0" w:color="auto"/>
              <w:right w:val="single" w:sz="4" w:space="0" w:color="auto"/>
            </w:tcBorders>
            <w:vAlign w:val="center"/>
            <w:hideMark/>
          </w:tcPr>
          <w:p w:rsidR="00A81A25" w:rsidRPr="00D9255B" w:rsidP="00D9255B" w14:paraId="60ED9F07" w14:textId="77777777">
            <w:pPr>
              <w:widowControl/>
              <w:autoSpaceDE/>
              <w:autoSpaceDN/>
              <w:adjustRightInd/>
              <w:jc w:val="center"/>
              <w:rPr>
                <w:color w:val="000000"/>
                <w:sz w:val="22"/>
                <w:szCs w:val="22"/>
              </w:rPr>
            </w:pPr>
            <w:r w:rsidRPr="00D9255B">
              <w:rPr>
                <w:color w:val="000000"/>
                <w:sz w:val="22"/>
                <w:szCs w:val="22"/>
              </w:rPr>
              <w:t>$216,412</w:t>
            </w:r>
          </w:p>
        </w:tc>
      </w:tr>
      <w:tr w14:paraId="37326CE9" w14:textId="77777777" w:rsidTr="00C813E2">
        <w:tblPrEx>
          <w:tblW w:w="9908" w:type="dxa"/>
          <w:tblInd w:w="-365" w:type="dxa"/>
          <w:tblLook w:val="04A0"/>
        </w:tblPrEx>
        <w:trPr>
          <w:trHeight w:val="1783"/>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477F417B" w14:textId="77777777">
            <w:pPr>
              <w:widowControl/>
              <w:autoSpaceDE/>
              <w:autoSpaceDN/>
              <w:adjustRightInd/>
              <w:rPr>
                <w:color w:val="000000"/>
                <w:sz w:val="22"/>
                <w:szCs w:val="22"/>
              </w:rPr>
            </w:pPr>
            <w:r w:rsidRPr="00D9255B">
              <w:rPr>
                <w:color w:val="000000"/>
                <w:sz w:val="22"/>
                <w:szCs w:val="22"/>
              </w:rPr>
              <w:t>Compensation and benefit managers provide information for initial registration (first year cost)</w:t>
            </w:r>
          </w:p>
        </w:tc>
        <w:tc>
          <w:tcPr>
            <w:tcW w:w="0" w:type="auto"/>
            <w:tcBorders>
              <w:top w:val="nil"/>
              <w:left w:val="nil"/>
              <w:bottom w:val="single" w:sz="4" w:space="0" w:color="auto"/>
              <w:right w:val="single" w:sz="4" w:space="0" w:color="auto"/>
            </w:tcBorders>
            <w:vAlign w:val="center"/>
            <w:hideMark/>
          </w:tcPr>
          <w:p w:rsidR="00A81A25" w:rsidRPr="00D9255B" w:rsidP="00D9255B" w14:paraId="77FFD423" w14:textId="77777777">
            <w:pPr>
              <w:widowControl/>
              <w:autoSpaceDE/>
              <w:autoSpaceDN/>
              <w:adjustRightInd/>
              <w:jc w:val="center"/>
              <w:rPr>
                <w:color w:val="000000"/>
                <w:sz w:val="22"/>
                <w:szCs w:val="22"/>
              </w:rPr>
            </w:pPr>
            <w:r w:rsidRPr="00D9255B">
              <w:rPr>
                <w:color w:val="000000"/>
                <w:sz w:val="22"/>
                <w:szCs w:val="22"/>
              </w:rPr>
              <w:t>396</w:t>
            </w:r>
          </w:p>
        </w:tc>
        <w:tc>
          <w:tcPr>
            <w:tcW w:w="0" w:type="auto"/>
            <w:tcBorders>
              <w:top w:val="nil"/>
              <w:left w:val="nil"/>
              <w:bottom w:val="single" w:sz="4" w:space="0" w:color="auto"/>
              <w:right w:val="single" w:sz="4" w:space="0" w:color="auto"/>
            </w:tcBorders>
            <w:vAlign w:val="center"/>
            <w:hideMark/>
          </w:tcPr>
          <w:p w:rsidR="00A81A25" w:rsidRPr="00D9255B" w:rsidP="00D9255B" w14:paraId="2C7A355B"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675DBA99" w14:textId="77777777">
            <w:pPr>
              <w:widowControl/>
              <w:autoSpaceDE/>
              <w:autoSpaceDN/>
              <w:adjustRightInd/>
              <w:jc w:val="center"/>
              <w:rPr>
                <w:color w:val="000000"/>
                <w:sz w:val="22"/>
                <w:szCs w:val="22"/>
              </w:rPr>
            </w:pPr>
            <w:r w:rsidRPr="00D9255B">
              <w:rPr>
                <w:color w:val="000000"/>
                <w:sz w:val="22"/>
                <w:szCs w:val="22"/>
              </w:rPr>
              <w:t>396</w:t>
            </w:r>
          </w:p>
        </w:tc>
        <w:tc>
          <w:tcPr>
            <w:tcW w:w="0" w:type="auto"/>
            <w:tcBorders>
              <w:top w:val="nil"/>
              <w:left w:val="nil"/>
              <w:bottom w:val="single" w:sz="4" w:space="0" w:color="auto"/>
              <w:right w:val="single" w:sz="4" w:space="0" w:color="auto"/>
            </w:tcBorders>
            <w:vAlign w:val="center"/>
            <w:hideMark/>
          </w:tcPr>
          <w:p w:rsidR="00A81A25" w:rsidRPr="00D9255B" w:rsidP="00D9255B" w14:paraId="11CC77EC" w14:textId="77777777">
            <w:pPr>
              <w:widowControl/>
              <w:autoSpaceDE/>
              <w:autoSpaceDN/>
              <w:adjustRightInd/>
              <w:jc w:val="center"/>
              <w:rPr>
                <w:color w:val="000000"/>
                <w:sz w:val="22"/>
                <w:szCs w:val="22"/>
              </w:rPr>
            </w:pPr>
            <w:r w:rsidRPr="00D9255B">
              <w:rPr>
                <w:color w:val="000000"/>
                <w:sz w:val="22"/>
                <w:szCs w:val="22"/>
              </w:rPr>
              <w:t>2</w:t>
            </w:r>
          </w:p>
        </w:tc>
        <w:tc>
          <w:tcPr>
            <w:tcW w:w="0" w:type="auto"/>
            <w:tcBorders>
              <w:top w:val="nil"/>
              <w:left w:val="nil"/>
              <w:bottom w:val="single" w:sz="4" w:space="0" w:color="auto"/>
              <w:right w:val="single" w:sz="4" w:space="0" w:color="auto"/>
            </w:tcBorders>
            <w:vAlign w:val="center"/>
            <w:hideMark/>
          </w:tcPr>
          <w:p w:rsidR="00A81A25" w:rsidRPr="00D9255B" w:rsidP="00D9255B" w14:paraId="6C214145" w14:textId="77777777">
            <w:pPr>
              <w:widowControl/>
              <w:autoSpaceDE/>
              <w:autoSpaceDN/>
              <w:adjustRightInd/>
              <w:jc w:val="center"/>
              <w:rPr>
                <w:color w:val="000000"/>
                <w:sz w:val="22"/>
                <w:szCs w:val="22"/>
              </w:rPr>
            </w:pPr>
            <w:r w:rsidRPr="00D9255B">
              <w:rPr>
                <w:color w:val="000000"/>
                <w:sz w:val="22"/>
                <w:szCs w:val="22"/>
              </w:rPr>
              <w:t>793</w:t>
            </w:r>
          </w:p>
        </w:tc>
        <w:tc>
          <w:tcPr>
            <w:tcW w:w="0" w:type="auto"/>
            <w:tcBorders>
              <w:top w:val="nil"/>
              <w:left w:val="nil"/>
              <w:bottom w:val="single" w:sz="4" w:space="0" w:color="auto"/>
              <w:right w:val="single" w:sz="4" w:space="0" w:color="auto"/>
            </w:tcBorders>
            <w:vAlign w:val="center"/>
            <w:hideMark/>
          </w:tcPr>
          <w:p w:rsidR="00A81A25" w:rsidRPr="00D9255B" w:rsidP="00D9255B" w14:paraId="52D1D82B" w14:textId="77777777">
            <w:pPr>
              <w:widowControl/>
              <w:autoSpaceDE/>
              <w:autoSpaceDN/>
              <w:adjustRightInd/>
              <w:jc w:val="center"/>
              <w:rPr>
                <w:color w:val="000000"/>
                <w:sz w:val="22"/>
                <w:szCs w:val="22"/>
              </w:rPr>
            </w:pPr>
            <w:r w:rsidRPr="00D9255B">
              <w:rPr>
                <w:color w:val="000000"/>
                <w:sz w:val="22"/>
                <w:szCs w:val="22"/>
              </w:rPr>
              <w:t>$193.15</w:t>
            </w:r>
          </w:p>
        </w:tc>
        <w:tc>
          <w:tcPr>
            <w:tcW w:w="1512" w:type="dxa"/>
            <w:tcBorders>
              <w:top w:val="nil"/>
              <w:left w:val="nil"/>
              <w:bottom w:val="single" w:sz="4" w:space="0" w:color="auto"/>
              <w:right w:val="single" w:sz="4" w:space="0" w:color="auto"/>
            </w:tcBorders>
            <w:vAlign w:val="center"/>
            <w:hideMark/>
          </w:tcPr>
          <w:p w:rsidR="00A81A25" w:rsidRPr="00D9255B" w:rsidP="00D9255B" w14:paraId="575EDD3C" w14:textId="77777777">
            <w:pPr>
              <w:widowControl/>
              <w:autoSpaceDE/>
              <w:autoSpaceDN/>
              <w:adjustRightInd/>
              <w:jc w:val="center"/>
              <w:rPr>
                <w:color w:val="000000"/>
                <w:sz w:val="22"/>
                <w:szCs w:val="22"/>
              </w:rPr>
            </w:pPr>
            <w:r w:rsidRPr="00D9255B">
              <w:rPr>
                <w:color w:val="000000"/>
                <w:sz w:val="22"/>
                <w:szCs w:val="22"/>
              </w:rPr>
              <w:t>$153,071</w:t>
            </w:r>
          </w:p>
        </w:tc>
      </w:tr>
      <w:tr w14:paraId="0F63277D" w14:textId="77777777" w:rsidTr="00C813E2">
        <w:tblPrEx>
          <w:tblW w:w="9908" w:type="dxa"/>
          <w:tblInd w:w="-365" w:type="dxa"/>
          <w:tblLook w:val="04A0"/>
        </w:tblPrEx>
        <w:trPr>
          <w:trHeight w:val="1560"/>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248902BC" w14:textId="77777777">
            <w:pPr>
              <w:widowControl/>
              <w:autoSpaceDE/>
              <w:autoSpaceDN/>
              <w:adjustRightInd/>
              <w:rPr>
                <w:color w:val="000000"/>
                <w:sz w:val="22"/>
                <w:szCs w:val="22"/>
              </w:rPr>
            </w:pPr>
            <w:r w:rsidRPr="00D9255B">
              <w:rPr>
                <w:color w:val="000000"/>
                <w:sz w:val="22"/>
                <w:szCs w:val="22"/>
              </w:rPr>
              <w:t>Lawyers update registration information for initital registration (first year cost)</w:t>
            </w:r>
          </w:p>
        </w:tc>
        <w:tc>
          <w:tcPr>
            <w:tcW w:w="0" w:type="auto"/>
            <w:tcBorders>
              <w:top w:val="nil"/>
              <w:left w:val="nil"/>
              <w:bottom w:val="single" w:sz="4" w:space="0" w:color="auto"/>
              <w:right w:val="single" w:sz="4" w:space="0" w:color="auto"/>
            </w:tcBorders>
            <w:vAlign w:val="center"/>
            <w:hideMark/>
          </w:tcPr>
          <w:p w:rsidR="00A81A25" w:rsidRPr="00D9255B" w:rsidP="00D9255B" w14:paraId="373AA2D7" w14:textId="77777777">
            <w:pPr>
              <w:widowControl/>
              <w:autoSpaceDE/>
              <w:autoSpaceDN/>
              <w:adjustRightInd/>
              <w:jc w:val="center"/>
              <w:rPr>
                <w:color w:val="000000"/>
                <w:sz w:val="22"/>
                <w:szCs w:val="22"/>
              </w:rPr>
            </w:pPr>
            <w:r w:rsidRPr="00D9255B">
              <w:rPr>
                <w:color w:val="000000"/>
                <w:sz w:val="22"/>
                <w:szCs w:val="22"/>
              </w:rPr>
              <w:t>396</w:t>
            </w:r>
          </w:p>
        </w:tc>
        <w:tc>
          <w:tcPr>
            <w:tcW w:w="0" w:type="auto"/>
            <w:tcBorders>
              <w:top w:val="nil"/>
              <w:left w:val="nil"/>
              <w:bottom w:val="single" w:sz="4" w:space="0" w:color="auto"/>
              <w:right w:val="single" w:sz="4" w:space="0" w:color="auto"/>
            </w:tcBorders>
            <w:vAlign w:val="center"/>
            <w:hideMark/>
          </w:tcPr>
          <w:p w:rsidR="00A81A25" w:rsidRPr="00D9255B" w:rsidP="00D9255B" w14:paraId="5F85E2F4"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2E60841B" w14:textId="77777777">
            <w:pPr>
              <w:widowControl/>
              <w:autoSpaceDE/>
              <w:autoSpaceDN/>
              <w:adjustRightInd/>
              <w:jc w:val="center"/>
              <w:rPr>
                <w:color w:val="000000"/>
                <w:sz w:val="22"/>
                <w:szCs w:val="22"/>
              </w:rPr>
            </w:pPr>
            <w:r w:rsidRPr="00D9255B">
              <w:rPr>
                <w:color w:val="000000"/>
                <w:sz w:val="22"/>
                <w:szCs w:val="22"/>
              </w:rPr>
              <w:t>396</w:t>
            </w:r>
          </w:p>
        </w:tc>
        <w:tc>
          <w:tcPr>
            <w:tcW w:w="0" w:type="auto"/>
            <w:tcBorders>
              <w:top w:val="nil"/>
              <w:left w:val="nil"/>
              <w:bottom w:val="single" w:sz="4" w:space="0" w:color="auto"/>
              <w:right w:val="single" w:sz="4" w:space="0" w:color="auto"/>
            </w:tcBorders>
            <w:vAlign w:val="center"/>
            <w:hideMark/>
          </w:tcPr>
          <w:p w:rsidR="00A81A25" w:rsidRPr="00D9255B" w:rsidP="00D9255B" w14:paraId="47B8D500" w14:textId="77777777">
            <w:pPr>
              <w:widowControl/>
              <w:autoSpaceDE/>
              <w:autoSpaceDN/>
              <w:adjustRightInd/>
              <w:jc w:val="center"/>
              <w:rPr>
                <w:color w:val="000000"/>
                <w:sz w:val="22"/>
                <w:szCs w:val="22"/>
              </w:rPr>
            </w:pPr>
            <w:r w:rsidRPr="00D9255B">
              <w:rPr>
                <w:color w:val="000000"/>
                <w:sz w:val="22"/>
                <w:szCs w:val="22"/>
              </w:rPr>
              <w:t>2</w:t>
            </w:r>
          </w:p>
        </w:tc>
        <w:tc>
          <w:tcPr>
            <w:tcW w:w="0" w:type="auto"/>
            <w:tcBorders>
              <w:top w:val="nil"/>
              <w:left w:val="nil"/>
              <w:bottom w:val="single" w:sz="4" w:space="0" w:color="auto"/>
              <w:right w:val="single" w:sz="4" w:space="0" w:color="auto"/>
            </w:tcBorders>
            <w:vAlign w:val="center"/>
            <w:hideMark/>
          </w:tcPr>
          <w:p w:rsidR="00A81A25" w:rsidRPr="00D9255B" w:rsidP="00D9255B" w14:paraId="18D04EFF" w14:textId="77777777">
            <w:pPr>
              <w:widowControl/>
              <w:autoSpaceDE/>
              <w:autoSpaceDN/>
              <w:adjustRightInd/>
              <w:jc w:val="center"/>
              <w:rPr>
                <w:color w:val="000000"/>
                <w:sz w:val="22"/>
                <w:szCs w:val="22"/>
              </w:rPr>
            </w:pPr>
            <w:r w:rsidRPr="00D9255B">
              <w:rPr>
                <w:color w:val="000000"/>
                <w:sz w:val="22"/>
                <w:szCs w:val="22"/>
              </w:rPr>
              <w:t>793</w:t>
            </w:r>
          </w:p>
        </w:tc>
        <w:tc>
          <w:tcPr>
            <w:tcW w:w="0" w:type="auto"/>
            <w:tcBorders>
              <w:top w:val="nil"/>
              <w:left w:val="nil"/>
              <w:bottom w:val="single" w:sz="4" w:space="0" w:color="auto"/>
              <w:right w:val="single" w:sz="4" w:space="0" w:color="auto"/>
            </w:tcBorders>
            <w:vAlign w:val="center"/>
            <w:hideMark/>
          </w:tcPr>
          <w:p w:rsidR="00A81A25" w:rsidRPr="00D9255B" w:rsidP="00D9255B" w14:paraId="0A7358FE" w14:textId="77777777">
            <w:pPr>
              <w:widowControl/>
              <w:autoSpaceDE/>
              <w:autoSpaceDN/>
              <w:adjustRightInd/>
              <w:jc w:val="center"/>
              <w:rPr>
                <w:color w:val="000000"/>
                <w:sz w:val="22"/>
                <w:szCs w:val="22"/>
              </w:rPr>
            </w:pPr>
            <w:r w:rsidRPr="00D9255B">
              <w:rPr>
                <w:color w:val="000000"/>
                <w:sz w:val="22"/>
                <w:szCs w:val="22"/>
              </w:rPr>
              <w:t xml:space="preserve">$187.58 </w:t>
            </w:r>
          </w:p>
        </w:tc>
        <w:tc>
          <w:tcPr>
            <w:tcW w:w="1512" w:type="dxa"/>
            <w:tcBorders>
              <w:top w:val="nil"/>
              <w:left w:val="nil"/>
              <w:bottom w:val="single" w:sz="4" w:space="0" w:color="auto"/>
              <w:right w:val="single" w:sz="4" w:space="0" w:color="auto"/>
            </w:tcBorders>
            <w:vAlign w:val="center"/>
            <w:hideMark/>
          </w:tcPr>
          <w:p w:rsidR="00A81A25" w:rsidRPr="00D9255B" w:rsidP="00D9255B" w14:paraId="0629BF46" w14:textId="77777777">
            <w:pPr>
              <w:widowControl/>
              <w:autoSpaceDE/>
              <w:autoSpaceDN/>
              <w:adjustRightInd/>
              <w:jc w:val="center"/>
              <w:rPr>
                <w:color w:val="000000"/>
                <w:sz w:val="22"/>
                <w:szCs w:val="22"/>
              </w:rPr>
            </w:pPr>
            <w:r w:rsidRPr="00D9255B">
              <w:rPr>
                <w:color w:val="000000"/>
                <w:sz w:val="22"/>
                <w:szCs w:val="22"/>
              </w:rPr>
              <w:t xml:space="preserve">$148,657 </w:t>
            </w:r>
          </w:p>
        </w:tc>
      </w:tr>
      <w:tr w14:paraId="2C5442B3" w14:textId="77777777" w:rsidTr="00C813E2">
        <w:tblPrEx>
          <w:tblW w:w="9908" w:type="dxa"/>
          <w:tblInd w:w="-365" w:type="dxa"/>
          <w:tblLook w:val="04A0"/>
        </w:tblPrEx>
        <w:trPr>
          <w:trHeight w:val="1040"/>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69EE9FE1" w14:textId="77777777">
            <w:pPr>
              <w:widowControl/>
              <w:autoSpaceDE/>
              <w:autoSpaceDN/>
              <w:adjustRightInd/>
              <w:rPr>
                <w:color w:val="000000"/>
                <w:sz w:val="22"/>
                <w:szCs w:val="22"/>
              </w:rPr>
            </w:pPr>
            <w:r w:rsidRPr="00D9255B">
              <w:rPr>
                <w:color w:val="000000"/>
                <w:sz w:val="22"/>
                <w:szCs w:val="22"/>
              </w:rPr>
              <w:t>Clerical workers update registration information</w:t>
            </w:r>
          </w:p>
        </w:tc>
        <w:tc>
          <w:tcPr>
            <w:tcW w:w="0" w:type="auto"/>
            <w:tcBorders>
              <w:top w:val="nil"/>
              <w:left w:val="nil"/>
              <w:bottom w:val="single" w:sz="4" w:space="0" w:color="auto"/>
              <w:right w:val="single" w:sz="4" w:space="0" w:color="auto"/>
            </w:tcBorders>
            <w:vAlign w:val="center"/>
            <w:hideMark/>
          </w:tcPr>
          <w:p w:rsidR="00A81A25" w:rsidRPr="00D9255B" w:rsidP="00D9255B" w14:paraId="027860CB" w14:textId="77777777">
            <w:pPr>
              <w:widowControl/>
              <w:autoSpaceDE/>
              <w:autoSpaceDN/>
              <w:adjustRightInd/>
              <w:jc w:val="center"/>
              <w:rPr>
                <w:color w:val="000000"/>
                <w:sz w:val="22"/>
                <w:szCs w:val="22"/>
              </w:rPr>
            </w:pPr>
            <w:r w:rsidRPr="00D9255B">
              <w:rPr>
                <w:color w:val="000000"/>
                <w:sz w:val="22"/>
                <w:szCs w:val="22"/>
              </w:rPr>
              <w:t>396</w:t>
            </w:r>
          </w:p>
        </w:tc>
        <w:tc>
          <w:tcPr>
            <w:tcW w:w="0" w:type="auto"/>
            <w:tcBorders>
              <w:top w:val="nil"/>
              <w:left w:val="nil"/>
              <w:bottom w:val="single" w:sz="4" w:space="0" w:color="auto"/>
              <w:right w:val="single" w:sz="4" w:space="0" w:color="auto"/>
            </w:tcBorders>
            <w:vAlign w:val="center"/>
            <w:hideMark/>
          </w:tcPr>
          <w:p w:rsidR="00A81A25" w:rsidRPr="00D9255B" w:rsidP="00D9255B" w14:paraId="5F260E5B"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single" w:sz="4" w:space="0" w:color="auto"/>
              <w:right w:val="single" w:sz="4" w:space="0" w:color="auto"/>
            </w:tcBorders>
            <w:vAlign w:val="center"/>
            <w:hideMark/>
          </w:tcPr>
          <w:p w:rsidR="00A81A25" w:rsidRPr="00D9255B" w:rsidP="00D9255B" w14:paraId="5201A542" w14:textId="77777777">
            <w:pPr>
              <w:widowControl/>
              <w:autoSpaceDE/>
              <w:autoSpaceDN/>
              <w:adjustRightInd/>
              <w:jc w:val="center"/>
              <w:rPr>
                <w:color w:val="000000"/>
                <w:sz w:val="22"/>
                <w:szCs w:val="22"/>
              </w:rPr>
            </w:pPr>
            <w:r w:rsidRPr="00D9255B">
              <w:rPr>
                <w:color w:val="000000"/>
                <w:sz w:val="22"/>
                <w:szCs w:val="22"/>
              </w:rPr>
              <w:t>396</w:t>
            </w:r>
          </w:p>
        </w:tc>
        <w:tc>
          <w:tcPr>
            <w:tcW w:w="0" w:type="auto"/>
            <w:tcBorders>
              <w:top w:val="nil"/>
              <w:left w:val="nil"/>
              <w:bottom w:val="single" w:sz="4" w:space="0" w:color="auto"/>
              <w:right w:val="single" w:sz="4" w:space="0" w:color="auto"/>
            </w:tcBorders>
            <w:vAlign w:val="center"/>
            <w:hideMark/>
          </w:tcPr>
          <w:p w:rsidR="00A81A25" w:rsidRPr="00D9255B" w:rsidP="00D9255B" w14:paraId="242DAA8C" w14:textId="77777777">
            <w:pPr>
              <w:widowControl/>
              <w:autoSpaceDE/>
              <w:autoSpaceDN/>
              <w:adjustRightInd/>
              <w:jc w:val="center"/>
              <w:rPr>
                <w:color w:val="000000"/>
                <w:sz w:val="22"/>
                <w:szCs w:val="22"/>
              </w:rPr>
            </w:pPr>
            <w:r w:rsidRPr="00D9255B">
              <w:rPr>
                <w:color w:val="000000"/>
                <w:sz w:val="22"/>
                <w:szCs w:val="22"/>
              </w:rPr>
              <w:t>0.50</w:t>
            </w:r>
          </w:p>
        </w:tc>
        <w:tc>
          <w:tcPr>
            <w:tcW w:w="0" w:type="auto"/>
            <w:tcBorders>
              <w:top w:val="nil"/>
              <w:left w:val="nil"/>
              <w:bottom w:val="single" w:sz="4" w:space="0" w:color="auto"/>
              <w:right w:val="single" w:sz="4" w:space="0" w:color="auto"/>
            </w:tcBorders>
            <w:vAlign w:val="center"/>
            <w:hideMark/>
          </w:tcPr>
          <w:p w:rsidR="00A81A25" w:rsidRPr="00D9255B" w:rsidP="00D9255B" w14:paraId="06F480F9" w14:textId="77777777">
            <w:pPr>
              <w:widowControl/>
              <w:autoSpaceDE/>
              <w:autoSpaceDN/>
              <w:adjustRightInd/>
              <w:jc w:val="center"/>
              <w:rPr>
                <w:color w:val="000000"/>
                <w:sz w:val="22"/>
                <w:szCs w:val="22"/>
              </w:rPr>
            </w:pPr>
            <w:r w:rsidRPr="00D9255B">
              <w:rPr>
                <w:color w:val="000000"/>
                <w:sz w:val="22"/>
                <w:szCs w:val="22"/>
              </w:rPr>
              <w:t>198</w:t>
            </w:r>
          </w:p>
        </w:tc>
        <w:tc>
          <w:tcPr>
            <w:tcW w:w="0" w:type="auto"/>
            <w:tcBorders>
              <w:top w:val="nil"/>
              <w:left w:val="nil"/>
              <w:bottom w:val="single" w:sz="4" w:space="0" w:color="auto"/>
              <w:right w:val="single" w:sz="4" w:space="0" w:color="auto"/>
            </w:tcBorders>
            <w:vAlign w:val="center"/>
            <w:hideMark/>
          </w:tcPr>
          <w:p w:rsidR="00A81A25" w:rsidRPr="00D9255B" w:rsidP="00D9255B" w14:paraId="6D048834" w14:textId="77777777">
            <w:pPr>
              <w:widowControl/>
              <w:autoSpaceDE/>
              <w:autoSpaceDN/>
              <w:adjustRightInd/>
              <w:jc w:val="center"/>
              <w:rPr>
                <w:color w:val="000000"/>
                <w:sz w:val="22"/>
                <w:szCs w:val="22"/>
              </w:rPr>
            </w:pPr>
            <w:r w:rsidRPr="00D9255B">
              <w:rPr>
                <w:color w:val="000000"/>
                <w:sz w:val="22"/>
                <w:szCs w:val="22"/>
              </w:rPr>
              <w:t xml:space="preserve">$72.82 </w:t>
            </w:r>
          </w:p>
        </w:tc>
        <w:tc>
          <w:tcPr>
            <w:tcW w:w="1512" w:type="dxa"/>
            <w:tcBorders>
              <w:top w:val="nil"/>
              <w:left w:val="nil"/>
              <w:bottom w:val="single" w:sz="4" w:space="0" w:color="auto"/>
              <w:right w:val="single" w:sz="4" w:space="0" w:color="auto"/>
            </w:tcBorders>
            <w:vAlign w:val="center"/>
            <w:hideMark/>
          </w:tcPr>
          <w:p w:rsidR="00A81A25" w:rsidRPr="00D9255B" w:rsidP="00D9255B" w14:paraId="61EA121F" w14:textId="77777777">
            <w:pPr>
              <w:widowControl/>
              <w:autoSpaceDE/>
              <w:autoSpaceDN/>
              <w:adjustRightInd/>
              <w:jc w:val="center"/>
              <w:rPr>
                <w:color w:val="000000"/>
                <w:sz w:val="22"/>
                <w:szCs w:val="22"/>
              </w:rPr>
            </w:pPr>
            <w:r w:rsidRPr="00D9255B">
              <w:rPr>
                <w:color w:val="000000"/>
                <w:sz w:val="22"/>
                <w:szCs w:val="22"/>
              </w:rPr>
              <w:t xml:space="preserve">$14,427 </w:t>
            </w:r>
          </w:p>
        </w:tc>
      </w:tr>
      <w:tr w14:paraId="73E9EB4B" w14:textId="77777777" w:rsidTr="003273D6">
        <w:tblPrEx>
          <w:tblW w:w="9908" w:type="dxa"/>
          <w:tblInd w:w="-365" w:type="dxa"/>
          <w:tblLook w:val="04A0"/>
        </w:tblPrEx>
        <w:trPr>
          <w:trHeight w:val="1300"/>
        </w:trPr>
        <w:tc>
          <w:tcPr>
            <w:tcW w:w="1384" w:type="dxa"/>
            <w:tcBorders>
              <w:top w:val="nil"/>
              <w:left w:val="single" w:sz="4" w:space="0" w:color="auto"/>
              <w:bottom w:val="double" w:sz="4" w:space="0" w:color="auto"/>
              <w:right w:val="single" w:sz="4" w:space="0" w:color="auto"/>
            </w:tcBorders>
            <w:vAlign w:val="center"/>
            <w:hideMark/>
          </w:tcPr>
          <w:p w:rsidR="00A81A25" w:rsidRPr="00D9255B" w:rsidP="00D9255B" w14:paraId="378F8BE5" w14:textId="77777777">
            <w:pPr>
              <w:widowControl/>
              <w:autoSpaceDE/>
              <w:autoSpaceDN/>
              <w:adjustRightInd/>
              <w:rPr>
                <w:color w:val="000000"/>
                <w:sz w:val="22"/>
                <w:szCs w:val="22"/>
              </w:rPr>
            </w:pPr>
            <w:r w:rsidRPr="00D9255B">
              <w:rPr>
                <w:color w:val="000000"/>
                <w:sz w:val="22"/>
                <w:szCs w:val="22"/>
              </w:rPr>
              <w:t>Compensation and benefit managers update registration information</w:t>
            </w:r>
          </w:p>
        </w:tc>
        <w:tc>
          <w:tcPr>
            <w:tcW w:w="0" w:type="auto"/>
            <w:tcBorders>
              <w:top w:val="nil"/>
              <w:left w:val="nil"/>
              <w:bottom w:val="double" w:sz="4" w:space="0" w:color="auto"/>
              <w:right w:val="single" w:sz="4" w:space="0" w:color="auto"/>
            </w:tcBorders>
            <w:vAlign w:val="center"/>
            <w:hideMark/>
          </w:tcPr>
          <w:p w:rsidR="00A81A25" w:rsidRPr="00D9255B" w:rsidP="00D9255B" w14:paraId="18F692E1" w14:textId="77777777">
            <w:pPr>
              <w:widowControl/>
              <w:autoSpaceDE/>
              <w:autoSpaceDN/>
              <w:adjustRightInd/>
              <w:jc w:val="center"/>
              <w:rPr>
                <w:color w:val="000000"/>
                <w:sz w:val="22"/>
                <w:szCs w:val="22"/>
              </w:rPr>
            </w:pPr>
            <w:r w:rsidRPr="00D9255B">
              <w:rPr>
                <w:color w:val="000000"/>
                <w:sz w:val="22"/>
                <w:szCs w:val="22"/>
              </w:rPr>
              <w:t>396</w:t>
            </w:r>
          </w:p>
        </w:tc>
        <w:tc>
          <w:tcPr>
            <w:tcW w:w="0" w:type="auto"/>
            <w:tcBorders>
              <w:top w:val="nil"/>
              <w:left w:val="nil"/>
              <w:bottom w:val="double" w:sz="4" w:space="0" w:color="auto"/>
              <w:right w:val="single" w:sz="4" w:space="0" w:color="auto"/>
            </w:tcBorders>
            <w:vAlign w:val="center"/>
            <w:hideMark/>
          </w:tcPr>
          <w:p w:rsidR="00A81A25" w:rsidRPr="00D9255B" w:rsidP="00D9255B" w14:paraId="466D8E8A" w14:textId="77777777">
            <w:pPr>
              <w:widowControl/>
              <w:autoSpaceDE/>
              <w:autoSpaceDN/>
              <w:adjustRightInd/>
              <w:jc w:val="center"/>
              <w:rPr>
                <w:color w:val="000000"/>
                <w:sz w:val="22"/>
                <w:szCs w:val="22"/>
              </w:rPr>
            </w:pPr>
            <w:r w:rsidRPr="00D9255B">
              <w:rPr>
                <w:color w:val="000000"/>
                <w:sz w:val="22"/>
                <w:szCs w:val="22"/>
              </w:rPr>
              <w:t>1</w:t>
            </w:r>
          </w:p>
        </w:tc>
        <w:tc>
          <w:tcPr>
            <w:tcW w:w="0" w:type="auto"/>
            <w:tcBorders>
              <w:top w:val="nil"/>
              <w:left w:val="nil"/>
              <w:bottom w:val="double" w:sz="4" w:space="0" w:color="auto"/>
              <w:right w:val="single" w:sz="4" w:space="0" w:color="auto"/>
            </w:tcBorders>
            <w:vAlign w:val="center"/>
            <w:hideMark/>
          </w:tcPr>
          <w:p w:rsidR="00A81A25" w:rsidRPr="00D9255B" w:rsidP="00D9255B" w14:paraId="740224F0" w14:textId="77777777">
            <w:pPr>
              <w:widowControl/>
              <w:autoSpaceDE/>
              <w:autoSpaceDN/>
              <w:adjustRightInd/>
              <w:jc w:val="center"/>
              <w:rPr>
                <w:color w:val="000000"/>
                <w:sz w:val="22"/>
                <w:szCs w:val="22"/>
              </w:rPr>
            </w:pPr>
            <w:r w:rsidRPr="00D9255B">
              <w:rPr>
                <w:color w:val="000000"/>
                <w:sz w:val="22"/>
                <w:szCs w:val="22"/>
              </w:rPr>
              <w:t>396</w:t>
            </w:r>
          </w:p>
        </w:tc>
        <w:tc>
          <w:tcPr>
            <w:tcW w:w="0" w:type="auto"/>
            <w:tcBorders>
              <w:top w:val="nil"/>
              <w:left w:val="nil"/>
              <w:bottom w:val="double" w:sz="4" w:space="0" w:color="auto"/>
              <w:right w:val="single" w:sz="4" w:space="0" w:color="auto"/>
            </w:tcBorders>
            <w:vAlign w:val="center"/>
            <w:hideMark/>
          </w:tcPr>
          <w:p w:rsidR="00A81A25" w:rsidRPr="00D9255B" w:rsidP="00D9255B" w14:paraId="114FFF1B" w14:textId="77777777">
            <w:pPr>
              <w:widowControl/>
              <w:autoSpaceDE/>
              <w:autoSpaceDN/>
              <w:adjustRightInd/>
              <w:jc w:val="center"/>
              <w:rPr>
                <w:color w:val="000000"/>
                <w:sz w:val="22"/>
                <w:szCs w:val="22"/>
              </w:rPr>
            </w:pPr>
            <w:r w:rsidRPr="00D9255B">
              <w:rPr>
                <w:color w:val="000000"/>
                <w:sz w:val="22"/>
                <w:szCs w:val="22"/>
              </w:rPr>
              <w:t>0.25</w:t>
            </w:r>
          </w:p>
        </w:tc>
        <w:tc>
          <w:tcPr>
            <w:tcW w:w="0" w:type="auto"/>
            <w:tcBorders>
              <w:top w:val="nil"/>
              <w:left w:val="nil"/>
              <w:bottom w:val="double" w:sz="4" w:space="0" w:color="auto"/>
              <w:right w:val="single" w:sz="4" w:space="0" w:color="auto"/>
            </w:tcBorders>
            <w:vAlign w:val="center"/>
            <w:hideMark/>
          </w:tcPr>
          <w:p w:rsidR="00A81A25" w:rsidRPr="00D9255B" w:rsidP="00D9255B" w14:paraId="44FA6249" w14:textId="77777777">
            <w:pPr>
              <w:widowControl/>
              <w:autoSpaceDE/>
              <w:autoSpaceDN/>
              <w:adjustRightInd/>
              <w:jc w:val="center"/>
              <w:rPr>
                <w:color w:val="000000"/>
                <w:sz w:val="22"/>
                <w:szCs w:val="22"/>
              </w:rPr>
            </w:pPr>
            <w:r w:rsidRPr="00D9255B">
              <w:rPr>
                <w:color w:val="000000"/>
                <w:sz w:val="22"/>
                <w:szCs w:val="22"/>
              </w:rPr>
              <w:t>99</w:t>
            </w:r>
          </w:p>
        </w:tc>
        <w:tc>
          <w:tcPr>
            <w:tcW w:w="0" w:type="auto"/>
            <w:tcBorders>
              <w:top w:val="nil"/>
              <w:left w:val="nil"/>
              <w:bottom w:val="double" w:sz="4" w:space="0" w:color="auto"/>
              <w:right w:val="single" w:sz="4" w:space="0" w:color="auto"/>
            </w:tcBorders>
            <w:vAlign w:val="center"/>
            <w:hideMark/>
          </w:tcPr>
          <w:p w:rsidR="00A81A25" w:rsidRPr="00D9255B" w:rsidP="00D9255B" w14:paraId="54995C31" w14:textId="77777777">
            <w:pPr>
              <w:widowControl/>
              <w:autoSpaceDE/>
              <w:autoSpaceDN/>
              <w:adjustRightInd/>
              <w:jc w:val="center"/>
              <w:rPr>
                <w:color w:val="000000"/>
                <w:sz w:val="22"/>
                <w:szCs w:val="22"/>
              </w:rPr>
            </w:pPr>
            <w:r w:rsidRPr="00D9255B">
              <w:rPr>
                <w:color w:val="000000"/>
                <w:sz w:val="22"/>
                <w:szCs w:val="22"/>
              </w:rPr>
              <w:t xml:space="preserve">$193.15 </w:t>
            </w:r>
          </w:p>
        </w:tc>
        <w:tc>
          <w:tcPr>
            <w:tcW w:w="1512" w:type="dxa"/>
            <w:tcBorders>
              <w:top w:val="nil"/>
              <w:left w:val="nil"/>
              <w:bottom w:val="double" w:sz="4" w:space="0" w:color="auto"/>
              <w:right w:val="single" w:sz="4" w:space="0" w:color="auto"/>
            </w:tcBorders>
            <w:vAlign w:val="center"/>
            <w:hideMark/>
          </w:tcPr>
          <w:p w:rsidR="00A81A25" w:rsidRPr="00D9255B" w:rsidP="00D9255B" w14:paraId="1A729D31" w14:textId="77777777">
            <w:pPr>
              <w:widowControl/>
              <w:autoSpaceDE/>
              <w:autoSpaceDN/>
              <w:adjustRightInd/>
              <w:jc w:val="center"/>
              <w:rPr>
                <w:color w:val="000000"/>
                <w:sz w:val="22"/>
                <w:szCs w:val="22"/>
              </w:rPr>
            </w:pPr>
            <w:r w:rsidRPr="00D9255B">
              <w:rPr>
                <w:color w:val="000000"/>
                <w:sz w:val="22"/>
                <w:szCs w:val="22"/>
              </w:rPr>
              <w:t xml:space="preserve">$19,134 </w:t>
            </w:r>
          </w:p>
        </w:tc>
      </w:tr>
      <w:tr w14:paraId="583A6CA2" w14:textId="77777777" w:rsidTr="003273D6">
        <w:tblPrEx>
          <w:tblW w:w="9908" w:type="dxa"/>
          <w:tblInd w:w="-365" w:type="dxa"/>
          <w:tblLook w:val="04A0"/>
        </w:tblPrEx>
        <w:trPr>
          <w:trHeight w:val="520"/>
        </w:trPr>
        <w:tc>
          <w:tcPr>
            <w:tcW w:w="1384" w:type="dxa"/>
            <w:tcBorders>
              <w:top w:val="double" w:sz="4" w:space="0" w:color="auto"/>
              <w:left w:val="single" w:sz="4" w:space="0" w:color="auto"/>
              <w:bottom w:val="single" w:sz="4" w:space="0" w:color="auto"/>
              <w:right w:val="single" w:sz="4" w:space="0" w:color="auto"/>
            </w:tcBorders>
            <w:vAlign w:val="center"/>
            <w:hideMark/>
          </w:tcPr>
          <w:p w:rsidR="00A81A25" w:rsidRPr="00D9255B" w:rsidP="00D9255B" w14:paraId="6FF48E96" w14:textId="77777777">
            <w:pPr>
              <w:widowControl/>
              <w:autoSpaceDE/>
              <w:autoSpaceDN/>
              <w:adjustRightInd/>
              <w:rPr>
                <w:b/>
                <w:bCs/>
                <w:color w:val="000000"/>
                <w:sz w:val="22"/>
                <w:szCs w:val="22"/>
              </w:rPr>
            </w:pPr>
            <w:r w:rsidRPr="00D9255B">
              <w:rPr>
                <w:b/>
                <w:bCs/>
                <w:color w:val="000000"/>
                <w:sz w:val="22"/>
                <w:szCs w:val="22"/>
              </w:rPr>
              <w:t>First-Year Total</w:t>
            </w:r>
          </w:p>
        </w:tc>
        <w:tc>
          <w:tcPr>
            <w:tcW w:w="0" w:type="auto"/>
            <w:tcBorders>
              <w:top w:val="double" w:sz="4" w:space="0" w:color="auto"/>
              <w:left w:val="nil"/>
              <w:bottom w:val="single" w:sz="4" w:space="0" w:color="auto"/>
              <w:right w:val="single" w:sz="4" w:space="0" w:color="auto"/>
            </w:tcBorders>
            <w:vAlign w:val="center"/>
            <w:hideMark/>
          </w:tcPr>
          <w:p w:rsidR="00A81A25" w:rsidRPr="00D9255B" w:rsidP="00D9255B" w14:paraId="140EF187" w14:textId="77777777">
            <w:pPr>
              <w:widowControl/>
              <w:autoSpaceDE/>
              <w:autoSpaceDN/>
              <w:adjustRightInd/>
              <w:jc w:val="center"/>
              <w:rPr>
                <w:b/>
                <w:bCs/>
                <w:color w:val="000000"/>
                <w:sz w:val="22"/>
                <w:szCs w:val="22"/>
              </w:rPr>
            </w:pPr>
            <w:r w:rsidRPr="00D9255B">
              <w:rPr>
                <w:b/>
                <w:bCs/>
                <w:color w:val="000000"/>
                <w:sz w:val="22"/>
                <w:szCs w:val="22"/>
              </w:rPr>
              <w:t>2,600,414</w:t>
            </w:r>
          </w:p>
        </w:tc>
        <w:tc>
          <w:tcPr>
            <w:tcW w:w="0" w:type="auto"/>
            <w:tcBorders>
              <w:top w:val="double" w:sz="4" w:space="0" w:color="auto"/>
              <w:left w:val="nil"/>
              <w:bottom w:val="single" w:sz="4" w:space="0" w:color="auto"/>
              <w:right w:val="single" w:sz="4" w:space="0" w:color="auto"/>
            </w:tcBorders>
            <w:vAlign w:val="center"/>
            <w:hideMark/>
          </w:tcPr>
          <w:p w:rsidR="00A81A25" w:rsidRPr="00D9255B" w:rsidP="00D9255B" w14:paraId="1C548437" w14:textId="77777777">
            <w:pPr>
              <w:widowControl/>
              <w:autoSpaceDE/>
              <w:autoSpaceDN/>
              <w:adjustRightInd/>
              <w:jc w:val="center"/>
              <w:rPr>
                <w:b/>
                <w:bCs/>
                <w:color w:val="000000"/>
                <w:sz w:val="22"/>
                <w:szCs w:val="22"/>
              </w:rPr>
            </w:pPr>
            <w:r w:rsidRPr="00D9255B">
              <w:rPr>
                <w:b/>
                <w:bCs/>
                <w:color w:val="000000"/>
                <w:sz w:val="22"/>
                <w:szCs w:val="22"/>
              </w:rPr>
              <w:t>-</w:t>
            </w:r>
          </w:p>
        </w:tc>
        <w:tc>
          <w:tcPr>
            <w:tcW w:w="0" w:type="auto"/>
            <w:tcBorders>
              <w:top w:val="double" w:sz="4" w:space="0" w:color="auto"/>
              <w:left w:val="nil"/>
              <w:bottom w:val="single" w:sz="4" w:space="0" w:color="auto"/>
              <w:right w:val="single" w:sz="4" w:space="0" w:color="auto"/>
            </w:tcBorders>
            <w:vAlign w:val="center"/>
            <w:hideMark/>
          </w:tcPr>
          <w:p w:rsidR="00A81A25" w:rsidRPr="00D9255B" w:rsidP="00D9255B" w14:paraId="7160DFFC" w14:textId="77777777">
            <w:pPr>
              <w:widowControl/>
              <w:autoSpaceDE/>
              <w:autoSpaceDN/>
              <w:adjustRightInd/>
              <w:jc w:val="center"/>
              <w:rPr>
                <w:b/>
                <w:bCs/>
                <w:color w:val="000000"/>
                <w:sz w:val="22"/>
                <w:szCs w:val="22"/>
              </w:rPr>
            </w:pPr>
            <w:r w:rsidRPr="00D9255B">
              <w:rPr>
                <w:b/>
                <w:bCs/>
                <w:color w:val="000000"/>
                <w:sz w:val="22"/>
                <w:szCs w:val="22"/>
              </w:rPr>
              <w:t>5,434,448</w:t>
            </w:r>
          </w:p>
        </w:tc>
        <w:tc>
          <w:tcPr>
            <w:tcW w:w="0" w:type="auto"/>
            <w:tcBorders>
              <w:top w:val="double" w:sz="4" w:space="0" w:color="auto"/>
              <w:left w:val="nil"/>
              <w:bottom w:val="single" w:sz="4" w:space="0" w:color="auto"/>
              <w:right w:val="single" w:sz="4" w:space="0" w:color="auto"/>
            </w:tcBorders>
            <w:vAlign w:val="center"/>
            <w:hideMark/>
          </w:tcPr>
          <w:p w:rsidR="00A81A25" w:rsidRPr="00D9255B" w:rsidP="00D9255B" w14:paraId="2C7DB49E" w14:textId="77777777">
            <w:pPr>
              <w:widowControl/>
              <w:autoSpaceDE/>
              <w:autoSpaceDN/>
              <w:adjustRightInd/>
              <w:jc w:val="center"/>
              <w:rPr>
                <w:b/>
                <w:bCs/>
                <w:color w:val="000000"/>
                <w:sz w:val="22"/>
                <w:szCs w:val="22"/>
              </w:rPr>
            </w:pPr>
            <w:r w:rsidRPr="00D9255B">
              <w:rPr>
                <w:b/>
                <w:bCs/>
                <w:color w:val="000000"/>
                <w:sz w:val="22"/>
                <w:szCs w:val="22"/>
              </w:rPr>
              <w:t>-</w:t>
            </w:r>
          </w:p>
        </w:tc>
        <w:tc>
          <w:tcPr>
            <w:tcW w:w="0" w:type="auto"/>
            <w:tcBorders>
              <w:top w:val="double" w:sz="4" w:space="0" w:color="auto"/>
              <w:left w:val="nil"/>
              <w:bottom w:val="single" w:sz="4" w:space="0" w:color="auto"/>
              <w:right w:val="single" w:sz="4" w:space="0" w:color="auto"/>
            </w:tcBorders>
            <w:vAlign w:val="center"/>
            <w:hideMark/>
          </w:tcPr>
          <w:p w:rsidR="00A81A25" w:rsidRPr="00D9255B" w:rsidP="00D9255B" w14:paraId="6D86E4CB" w14:textId="77777777">
            <w:pPr>
              <w:widowControl/>
              <w:autoSpaceDE/>
              <w:autoSpaceDN/>
              <w:adjustRightInd/>
              <w:jc w:val="center"/>
              <w:rPr>
                <w:b/>
                <w:bCs/>
                <w:color w:val="000000"/>
                <w:sz w:val="22"/>
                <w:szCs w:val="22"/>
              </w:rPr>
            </w:pPr>
            <w:r w:rsidRPr="00D9255B">
              <w:rPr>
                <w:b/>
                <w:bCs/>
                <w:color w:val="000000"/>
                <w:sz w:val="22"/>
                <w:szCs w:val="22"/>
              </w:rPr>
              <w:t>3,542,480</w:t>
            </w:r>
          </w:p>
        </w:tc>
        <w:tc>
          <w:tcPr>
            <w:tcW w:w="0" w:type="auto"/>
            <w:tcBorders>
              <w:top w:val="double" w:sz="4" w:space="0" w:color="auto"/>
              <w:left w:val="nil"/>
              <w:bottom w:val="single" w:sz="4" w:space="0" w:color="auto"/>
              <w:right w:val="single" w:sz="4" w:space="0" w:color="auto"/>
            </w:tcBorders>
            <w:vAlign w:val="center"/>
            <w:hideMark/>
          </w:tcPr>
          <w:p w:rsidR="00A81A25" w:rsidRPr="00D9255B" w:rsidP="00D9255B" w14:paraId="6B041FF4" w14:textId="77777777">
            <w:pPr>
              <w:widowControl/>
              <w:autoSpaceDE/>
              <w:autoSpaceDN/>
              <w:adjustRightInd/>
              <w:jc w:val="center"/>
              <w:rPr>
                <w:b/>
                <w:bCs/>
                <w:color w:val="000000"/>
                <w:sz w:val="22"/>
                <w:szCs w:val="22"/>
              </w:rPr>
            </w:pPr>
            <w:r w:rsidRPr="00D9255B">
              <w:rPr>
                <w:b/>
                <w:bCs/>
                <w:color w:val="000000"/>
                <w:sz w:val="22"/>
                <w:szCs w:val="22"/>
              </w:rPr>
              <w:t>-</w:t>
            </w:r>
          </w:p>
        </w:tc>
        <w:tc>
          <w:tcPr>
            <w:tcW w:w="1512" w:type="dxa"/>
            <w:tcBorders>
              <w:top w:val="double" w:sz="4" w:space="0" w:color="auto"/>
              <w:left w:val="nil"/>
              <w:bottom w:val="single" w:sz="4" w:space="0" w:color="auto"/>
              <w:right w:val="single" w:sz="4" w:space="0" w:color="auto"/>
            </w:tcBorders>
            <w:vAlign w:val="center"/>
            <w:hideMark/>
          </w:tcPr>
          <w:p w:rsidR="00A81A25" w:rsidRPr="00D9255B" w:rsidP="00D9255B" w14:paraId="184AB62D" w14:textId="77777777">
            <w:pPr>
              <w:widowControl/>
              <w:autoSpaceDE/>
              <w:autoSpaceDN/>
              <w:adjustRightInd/>
              <w:jc w:val="center"/>
              <w:rPr>
                <w:b/>
                <w:bCs/>
                <w:color w:val="000000"/>
                <w:sz w:val="22"/>
                <w:szCs w:val="22"/>
              </w:rPr>
            </w:pPr>
            <w:r w:rsidRPr="00D9255B">
              <w:rPr>
                <w:b/>
                <w:bCs/>
                <w:color w:val="000000"/>
                <w:sz w:val="22"/>
                <w:szCs w:val="22"/>
              </w:rPr>
              <w:t xml:space="preserve">$533,085,595 </w:t>
            </w:r>
          </w:p>
        </w:tc>
      </w:tr>
      <w:tr w14:paraId="7081A5E5" w14:textId="77777777" w:rsidTr="00470DE9">
        <w:tblPrEx>
          <w:tblW w:w="9908" w:type="dxa"/>
          <w:tblInd w:w="-365" w:type="dxa"/>
          <w:tblLook w:val="04A0"/>
        </w:tblPrEx>
        <w:trPr>
          <w:trHeight w:val="520"/>
        </w:trPr>
        <w:tc>
          <w:tcPr>
            <w:tcW w:w="1384" w:type="dxa"/>
            <w:tcBorders>
              <w:top w:val="single" w:sz="4" w:space="0" w:color="auto"/>
              <w:left w:val="single" w:sz="4" w:space="0" w:color="auto"/>
              <w:bottom w:val="single" w:sz="4" w:space="0" w:color="auto"/>
              <w:right w:val="single" w:sz="4" w:space="0" w:color="auto"/>
            </w:tcBorders>
            <w:vAlign w:val="center"/>
            <w:hideMark/>
          </w:tcPr>
          <w:p w:rsidR="00A81A25" w:rsidRPr="00D9255B" w:rsidP="00D9255B" w14:paraId="5466786A" w14:textId="77777777">
            <w:pPr>
              <w:widowControl/>
              <w:autoSpaceDE/>
              <w:autoSpaceDN/>
              <w:adjustRightInd/>
              <w:rPr>
                <w:b/>
                <w:bCs/>
                <w:color w:val="000000"/>
                <w:sz w:val="22"/>
                <w:szCs w:val="22"/>
              </w:rPr>
            </w:pPr>
            <w:r w:rsidRPr="00D9255B">
              <w:rPr>
                <w:b/>
                <w:bCs/>
                <w:color w:val="000000"/>
                <w:sz w:val="22"/>
                <w:szCs w:val="22"/>
              </w:rPr>
              <w:t>Subsequent Year Total</w:t>
            </w:r>
          </w:p>
        </w:tc>
        <w:tc>
          <w:tcPr>
            <w:tcW w:w="0" w:type="auto"/>
            <w:tcBorders>
              <w:top w:val="single" w:sz="4" w:space="0" w:color="auto"/>
              <w:left w:val="nil"/>
              <w:bottom w:val="single" w:sz="4" w:space="0" w:color="auto"/>
              <w:right w:val="single" w:sz="4" w:space="0" w:color="auto"/>
            </w:tcBorders>
            <w:vAlign w:val="center"/>
            <w:hideMark/>
          </w:tcPr>
          <w:p w:rsidR="00A81A25" w:rsidRPr="00D9255B" w:rsidP="00D9255B" w14:paraId="7A26541E" w14:textId="77777777">
            <w:pPr>
              <w:widowControl/>
              <w:autoSpaceDE/>
              <w:autoSpaceDN/>
              <w:adjustRightInd/>
              <w:jc w:val="center"/>
              <w:rPr>
                <w:b/>
                <w:bCs/>
                <w:color w:val="000000"/>
                <w:sz w:val="22"/>
                <w:szCs w:val="22"/>
              </w:rPr>
            </w:pPr>
            <w:r w:rsidRPr="00D9255B">
              <w:rPr>
                <w:b/>
                <w:bCs/>
                <w:color w:val="000000"/>
                <w:sz w:val="22"/>
                <w:szCs w:val="22"/>
              </w:rPr>
              <w:t>2,600,414</w:t>
            </w:r>
          </w:p>
        </w:tc>
        <w:tc>
          <w:tcPr>
            <w:tcW w:w="0" w:type="auto"/>
            <w:tcBorders>
              <w:top w:val="single" w:sz="4" w:space="0" w:color="auto"/>
              <w:left w:val="nil"/>
              <w:bottom w:val="single" w:sz="4" w:space="0" w:color="auto"/>
              <w:right w:val="single" w:sz="4" w:space="0" w:color="auto"/>
            </w:tcBorders>
            <w:vAlign w:val="center"/>
            <w:hideMark/>
          </w:tcPr>
          <w:p w:rsidR="00A81A25" w:rsidRPr="00D9255B" w:rsidP="00D9255B" w14:paraId="2B760C65" w14:textId="77777777">
            <w:pPr>
              <w:widowControl/>
              <w:autoSpaceDE/>
              <w:autoSpaceDN/>
              <w:adjustRightInd/>
              <w:jc w:val="center"/>
              <w:rPr>
                <w:b/>
                <w:bCs/>
                <w:color w:val="000000"/>
                <w:sz w:val="22"/>
                <w:szCs w:val="22"/>
              </w:rPr>
            </w:pPr>
            <w:r w:rsidRPr="00D9255B">
              <w:rPr>
                <w:b/>
                <w:bCs/>
                <w:color w:val="000000"/>
                <w:sz w:val="22"/>
                <w:szCs w:val="22"/>
              </w:rPr>
              <w:t>-</w:t>
            </w:r>
          </w:p>
        </w:tc>
        <w:tc>
          <w:tcPr>
            <w:tcW w:w="0" w:type="auto"/>
            <w:tcBorders>
              <w:top w:val="single" w:sz="4" w:space="0" w:color="auto"/>
              <w:left w:val="nil"/>
              <w:bottom w:val="single" w:sz="4" w:space="0" w:color="auto"/>
              <w:right w:val="single" w:sz="4" w:space="0" w:color="auto"/>
            </w:tcBorders>
            <w:vAlign w:val="center"/>
            <w:hideMark/>
          </w:tcPr>
          <w:p w:rsidR="00A81A25" w:rsidRPr="00D9255B" w:rsidP="00D9255B" w14:paraId="6AC63E27" w14:textId="77777777">
            <w:pPr>
              <w:widowControl/>
              <w:autoSpaceDE/>
              <w:autoSpaceDN/>
              <w:adjustRightInd/>
              <w:jc w:val="center"/>
              <w:rPr>
                <w:b/>
                <w:bCs/>
                <w:color w:val="000000"/>
                <w:sz w:val="22"/>
                <w:szCs w:val="22"/>
              </w:rPr>
            </w:pPr>
            <w:r w:rsidRPr="00D9255B">
              <w:rPr>
                <w:b/>
                <w:bCs/>
                <w:color w:val="000000"/>
                <w:sz w:val="22"/>
                <w:szCs w:val="22"/>
              </w:rPr>
              <w:t>5,434,446</w:t>
            </w:r>
          </w:p>
        </w:tc>
        <w:tc>
          <w:tcPr>
            <w:tcW w:w="0" w:type="auto"/>
            <w:tcBorders>
              <w:top w:val="single" w:sz="4" w:space="0" w:color="auto"/>
              <w:left w:val="nil"/>
              <w:bottom w:val="single" w:sz="4" w:space="0" w:color="auto"/>
              <w:right w:val="single" w:sz="4" w:space="0" w:color="auto"/>
            </w:tcBorders>
            <w:vAlign w:val="center"/>
            <w:hideMark/>
          </w:tcPr>
          <w:p w:rsidR="00A81A25" w:rsidRPr="00D9255B" w:rsidP="00D9255B" w14:paraId="524B589A" w14:textId="77777777">
            <w:pPr>
              <w:widowControl/>
              <w:autoSpaceDE/>
              <w:autoSpaceDN/>
              <w:adjustRightInd/>
              <w:jc w:val="center"/>
              <w:rPr>
                <w:b/>
                <w:bCs/>
                <w:color w:val="000000"/>
                <w:sz w:val="22"/>
                <w:szCs w:val="22"/>
              </w:rPr>
            </w:pPr>
            <w:r w:rsidRPr="00D9255B">
              <w:rPr>
                <w:b/>
                <w:bCs/>
                <w:color w:val="000000"/>
                <w:sz w:val="22"/>
                <w:szCs w:val="22"/>
              </w:rPr>
              <w:t>-</w:t>
            </w:r>
          </w:p>
        </w:tc>
        <w:tc>
          <w:tcPr>
            <w:tcW w:w="0" w:type="auto"/>
            <w:tcBorders>
              <w:top w:val="single" w:sz="4" w:space="0" w:color="auto"/>
              <w:left w:val="nil"/>
              <w:bottom w:val="single" w:sz="4" w:space="0" w:color="auto"/>
              <w:right w:val="single" w:sz="4" w:space="0" w:color="auto"/>
            </w:tcBorders>
            <w:vAlign w:val="center"/>
            <w:hideMark/>
          </w:tcPr>
          <w:p w:rsidR="00A81A25" w:rsidRPr="00D9255B" w:rsidP="00D9255B" w14:paraId="2F92DE4B" w14:textId="77777777">
            <w:pPr>
              <w:widowControl/>
              <w:autoSpaceDE/>
              <w:autoSpaceDN/>
              <w:adjustRightInd/>
              <w:jc w:val="center"/>
              <w:rPr>
                <w:b/>
                <w:bCs/>
                <w:color w:val="000000"/>
                <w:sz w:val="22"/>
                <w:szCs w:val="22"/>
              </w:rPr>
            </w:pPr>
            <w:r w:rsidRPr="00D9255B">
              <w:rPr>
                <w:b/>
                <w:bCs/>
                <w:color w:val="000000"/>
                <w:sz w:val="22"/>
                <w:szCs w:val="22"/>
              </w:rPr>
              <w:t>3,537,923</w:t>
            </w:r>
          </w:p>
        </w:tc>
        <w:tc>
          <w:tcPr>
            <w:tcW w:w="0" w:type="auto"/>
            <w:tcBorders>
              <w:top w:val="single" w:sz="4" w:space="0" w:color="auto"/>
              <w:left w:val="nil"/>
              <w:bottom w:val="single" w:sz="4" w:space="0" w:color="auto"/>
              <w:right w:val="single" w:sz="4" w:space="0" w:color="auto"/>
            </w:tcBorders>
            <w:vAlign w:val="center"/>
            <w:hideMark/>
          </w:tcPr>
          <w:p w:rsidR="00A81A25" w:rsidRPr="00D9255B" w:rsidP="00D9255B" w14:paraId="3066AEA0" w14:textId="77777777">
            <w:pPr>
              <w:widowControl/>
              <w:autoSpaceDE/>
              <w:autoSpaceDN/>
              <w:adjustRightInd/>
              <w:jc w:val="center"/>
              <w:rPr>
                <w:b/>
                <w:bCs/>
                <w:color w:val="000000"/>
                <w:sz w:val="22"/>
                <w:szCs w:val="22"/>
              </w:rPr>
            </w:pPr>
            <w:r w:rsidRPr="00D9255B">
              <w:rPr>
                <w:b/>
                <w:bCs/>
                <w:color w:val="000000"/>
                <w:sz w:val="22"/>
                <w:szCs w:val="22"/>
              </w:rPr>
              <w:t>-</w:t>
            </w:r>
          </w:p>
        </w:tc>
        <w:tc>
          <w:tcPr>
            <w:tcW w:w="1512" w:type="dxa"/>
            <w:tcBorders>
              <w:top w:val="single" w:sz="4" w:space="0" w:color="auto"/>
              <w:left w:val="nil"/>
              <w:bottom w:val="single" w:sz="4" w:space="0" w:color="auto"/>
              <w:right w:val="single" w:sz="4" w:space="0" w:color="auto"/>
            </w:tcBorders>
            <w:vAlign w:val="center"/>
            <w:hideMark/>
          </w:tcPr>
          <w:p w:rsidR="00A81A25" w:rsidRPr="00D9255B" w:rsidP="00D9255B" w14:paraId="6E45FF9F" w14:textId="77777777">
            <w:pPr>
              <w:widowControl/>
              <w:autoSpaceDE/>
              <w:autoSpaceDN/>
              <w:adjustRightInd/>
              <w:jc w:val="center"/>
              <w:rPr>
                <w:b/>
                <w:bCs/>
                <w:color w:val="000000"/>
                <w:sz w:val="22"/>
                <w:szCs w:val="22"/>
              </w:rPr>
            </w:pPr>
            <w:r w:rsidRPr="00D9255B">
              <w:rPr>
                <w:b/>
                <w:bCs/>
                <w:color w:val="000000"/>
                <w:sz w:val="22"/>
                <w:szCs w:val="22"/>
              </w:rPr>
              <w:t xml:space="preserve">$532,567,455 </w:t>
            </w:r>
          </w:p>
        </w:tc>
      </w:tr>
      <w:tr w14:paraId="4D408947" w14:textId="77777777" w:rsidTr="00C813E2">
        <w:tblPrEx>
          <w:tblW w:w="9908" w:type="dxa"/>
          <w:tblInd w:w="-365" w:type="dxa"/>
          <w:tblLook w:val="04A0"/>
        </w:tblPrEx>
        <w:trPr>
          <w:trHeight w:val="520"/>
        </w:trPr>
        <w:tc>
          <w:tcPr>
            <w:tcW w:w="1384" w:type="dxa"/>
            <w:tcBorders>
              <w:top w:val="nil"/>
              <w:left w:val="single" w:sz="4" w:space="0" w:color="auto"/>
              <w:bottom w:val="single" w:sz="4" w:space="0" w:color="auto"/>
              <w:right w:val="single" w:sz="4" w:space="0" w:color="auto"/>
            </w:tcBorders>
            <w:vAlign w:val="center"/>
            <w:hideMark/>
          </w:tcPr>
          <w:p w:rsidR="00A81A25" w:rsidRPr="00D9255B" w:rsidP="00D9255B" w14:paraId="38C62972" w14:textId="77777777">
            <w:pPr>
              <w:widowControl/>
              <w:autoSpaceDE/>
              <w:autoSpaceDN/>
              <w:adjustRightInd/>
              <w:rPr>
                <w:b/>
                <w:bCs/>
                <w:color w:val="000000"/>
                <w:sz w:val="22"/>
                <w:szCs w:val="22"/>
              </w:rPr>
            </w:pPr>
            <w:r w:rsidRPr="00D9255B">
              <w:rPr>
                <w:b/>
                <w:bCs/>
                <w:color w:val="000000"/>
                <w:sz w:val="22"/>
                <w:szCs w:val="22"/>
              </w:rPr>
              <w:t>Three-Year Average Total</w:t>
            </w:r>
          </w:p>
        </w:tc>
        <w:tc>
          <w:tcPr>
            <w:tcW w:w="0" w:type="auto"/>
            <w:tcBorders>
              <w:top w:val="nil"/>
              <w:left w:val="nil"/>
              <w:bottom w:val="single" w:sz="4" w:space="0" w:color="auto"/>
              <w:right w:val="single" w:sz="4" w:space="0" w:color="auto"/>
            </w:tcBorders>
            <w:vAlign w:val="center"/>
            <w:hideMark/>
          </w:tcPr>
          <w:p w:rsidR="00A81A25" w:rsidRPr="00D9255B" w:rsidP="00D9255B" w14:paraId="2530B995" w14:textId="77777777">
            <w:pPr>
              <w:widowControl/>
              <w:autoSpaceDE/>
              <w:autoSpaceDN/>
              <w:adjustRightInd/>
              <w:jc w:val="center"/>
              <w:rPr>
                <w:b/>
                <w:bCs/>
                <w:color w:val="000000"/>
                <w:sz w:val="22"/>
                <w:szCs w:val="22"/>
              </w:rPr>
            </w:pPr>
            <w:r w:rsidRPr="00D9255B">
              <w:rPr>
                <w:b/>
                <w:bCs/>
                <w:color w:val="000000"/>
                <w:sz w:val="22"/>
                <w:szCs w:val="22"/>
              </w:rPr>
              <w:t>2,600,414</w:t>
            </w:r>
          </w:p>
        </w:tc>
        <w:tc>
          <w:tcPr>
            <w:tcW w:w="0" w:type="auto"/>
            <w:tcBorders>
              <w:top w:val="nil"/>
              <w:left w:val="nil"/>
              <w:bottom w:val="single" w:sz="4" w:space="0" w:color="auto"/>
              <w:right w:val="single" w:sz="4" w:space="0" w:color="auto"/>
            </w:tcBorders>
            <w:vAlign w:val="center"/>
            <w:hideMark/>
          </w:tcPr>
          <w:p w:rsidR="00A81A25" w:rsidRPr="00D9255B" w:rsidP="00D9255B" w14:paraId="594C4153" w14:textId="77777777">
            <w:pPr>
              <w:widowControl/>
              <w:autoSpaceDE/>
              <w:autoSpaceDN/>
              <w:adjustRightInd/>
              <w:jc w:val="center"/>
              <w:rPr>
                <w:b/>
                <w:bCs/>
                <w:color w:val="000000"/>
                <w:sz w:val="22"/>
                <w:szCs w:val="22"/>
              </w:rPr>
            </w:pPr>
            <w:r w:rsidRPr="00D9255B">
              <w:rPr>
                <w:b/>
                <w:bCs/>
                <w:color w:val="000000"/>
                <w:sz w:val="22"/>
                <w:szCs w:val="22"/>
              </w:rPr>
              <w:t>-</w:t>
            </w:r>
          </w:p>
        </w:tc>
        <w:tc>
          <w:tcPr>
            <w:tcW w:w="0" w:type="auto"/>
            <w:tcBorders>
              <w:top w:val="nil"/>
              <w:left w:val="nil"/>
              <w:bottom w:val="single" w:sz="4" w:space="0" w:color="auto"/>
              <w:right w:val="single" w:sz="4" w:space="0" w:color="auto"/>
            </w:tcBorders>
            <w:vAlign w:val="center"/>
            <w:hideMark/>
          </w:tcPr>
          <w:p w:rsidR="00A81A25" w:rsidRPr="00D9255B" w:rsidP="00D9255B" w14:paraId="5D72EFD5" w14:textId="77777777">
            <w:pPr>
              <w:widowControl/>
              <w:autoSpaceDE/>
              <w:autoSpaceDN/>
              <w:adjustRightInd/>
              <w:jc w:val="center"/>
              <w:rPr>
                <w:b/>
                <w:bCs/>
                <w:color w:val="000000"/>
                <w:sz w:val="22"/>
                <w:szCs w:val="22"/>
              </w:rPr>
            </w:pPr>
            <w:r w:rsidRPr="00D9255B">
              <w:rPr>
                <w:b/>
                <w:bCs/>
                <w:color w:val="000000"/>
                <w:sz w:val="22"/>
                <w:szCs w:val="22"/>
              </w:rPr>
              <w:t>5,434,447</w:t>
            </w:r>
          </w:p>
        </w:tc>
        <w:tc>
          <w:tcPr>
            <w:tcW w:w="0" w:type="auto"/>
            <w:tcBorders>
              <w:top w:val="nil"/>
              <w:left w:val="nil"/>
              <w:bottom w:val="single" w:sz="4" w:space="0" w:color="auto"/>
              <w:right w:val="single" w:sz="4" w:space="0" w:color="auto"/>
            </w:tcBorders>
            <w:shd w:val="clear" w:color="000000" w:fill="FFFFFF"/>
            <w:vAlign w:val="center"/>
            <w:hideMark/>
          </w:tcPr>
          <w:p w:rsidR="00A81A25" w:rsidRPr="00D9255B" w:rsidP="00D9255B" w14:paraId="1D67A0B0" w14:textId="77777777">
            <w:pPr>
              <w:widowControl/>
              <w:autoSpaceDE/>
              <w:autoSpaceDN/>
              <w:adjustRightInd/>
              <w:jc w:val="center"/>
              <w:rPr>
                <w:b/>
                <w:bCs/>
                <w:color w:val="000000"/>
                <w:sz w:val="22"/>
                <w:szCs w:val="22"/>
              </w:rPr>
            </w:pPr>
            <w:r w:rsidRPr="00D9255B">
              <w:rPr>
                <w:b/>
                <w:bCs/>
                <w:color w:val="000000"/>
                <w:sz w:val="22"/>
                <w:szCs w:val="22"/>
              </w:rPr>
              <w:t>-</w:t>
            </w:r>
          </w:p>
        </w:tc>
        <w:tc>
          <w:tcPr>
            <w:tcW w:w="0" w:type="auto"/>
            <w:tcBorders>
              <w:top w:val="nil"/>
              <w:left w:val="nil"/>
              <w:bottom w:val="single" w:sz="4" w:space="0" w:color="auto"/>
              <w:right w:val="single" w:sz="4" w:space="0" w:color="auto"/>
            </w:tcBorders>
            <w:vAlign w:val="center"/>
            <w:hideMark/>
          </w:tcPr>
          <w:p w:rsidR="00A81A25" w:rsidRPr="00D9255B" w:rsidP="00D9255B" w14:paraId="2B8C3F67" w14:textId="77777777">
            <w:pPr>
              <w:widowControl/>
              <w:autoSpaceDE/>
              <w:autoSpaceDN/>
              <w:adjustRightInd/>
              <w:jc w:val="center"/>
              <w:rPr>
                <w:b/>
                <w:bCs/>
                <w:color w:val="000000"/>
                <w:sz w:val="22"/>
                <w:szCs w:val="22"/>
              </w:rPr>
            </w:pPr>
            <w:r w:rsidRPr="00D9255B">
              <w:rPr>
                <w:b/>
                <w:bCs/>
                <w:color w:val="000000"/>
                <w:sz w:val="22"/>
                <w:szCs w:val="22"/>
              </w:rPr>
              <w:t>3,539,442</w:t>
            </w:r>
          </w:p>
        </w:tc>
        <w:tc>
          <w:tcPr>
            <w:tcW w:w="0" w:type="auto"/>
            <w:tcBorders>
              <w:top w:val="nil"/>
              <w:left w:val="nil"/>
              <w:bottom w:val="single" w:sz="4" w:space="0" w:color="auto"/>
              <w:right w:val="single" w:sz="4" w:space="0" w:color="auto"/>
            </w:tcBorders>
            <w:shd w:val="clear" w:color="000000" w:fill="FFFFFF"/>
            <w:vAlign w:val="center"/>
            <w:hideMark/>
          </w:tcPr>
          <w:p w:rsidR="00A81A25" w:rsidRPr="00D9255B" w:rsidP="00D9255B" w14:paraId="3E69267D" w14:textId="77777777">
            <w:pPr>
              <w:widowControl/>
              <w:autoSpaceDE/>
              <w:autoSpaceDN/>
              <w:adjustRightInd/>
              <w:jc w:val="center"/>
              <w:rPr>
                <w:b/>
                <w:bCs/>
                <w:sz w:val="22"/>
                <w:szCs w:val="22"/>
              </w:rPr>
            </w:pPr>
            <w:r w:rsidRPr="00D9255B">
              <w:rPr>
                <w:b/>
                <w:bCs/>
                <w:sz w:val="22"/>
                <w:szCs w:val="22"/>
              </w:rPr>
              <w:t>-</w:t>
            </w:r>
          </w:p>
        </w:tc>
        <w:tc>
          <w:tcPr>
            <w:tcW w:w="1512" w:type="dxa"/>
            <w:tcBorders>
              <w:top w:val="nil"/>
              <w:left w:val="nil"/>
              <w:bottom w:val="single" w:sz="4" w:space="0" w:color="auto"/>
              <w:right w:val="single" w:sz="4" w:space="0" w:color="auto"/>
            </w:tcBorders>
            <w:vAlign w:val="center"/>
            <w:hideMark/>
          </w:tcPr>
          <w:p w:rsidR="00A81A25" w:rsidRPr="00D9255B" w:rsidP="00D9255B" w14:paraId="62F65B9B" w14:textId="77777777">
            <w:pPr>
              <w:widowControl/>
              <w:autoSpaceDE/>
              <w:autoSpaceDN/>
              <w:adjustRightInd/>
              <w:jc w:val="center"/>
              <w:rPr>
                <w:b/>
                <w:bCs/>
                <w:color w:val="000000"/>
                <w:sz w:val="22"/>
                <w:szCs w:val="22"/>
              </w:rPr>
            </w:pPr>
            <w:r w:rsidRPr="00D9255B">
              <w:rPr>
                <w:b/>
                <w:bCs/>
                <w:color w:val="000000"/>
                <w:sz w:val="22"/>
                <w:szCs w:val="22"/>
              </w:rPr>
              <w:t xml:space="preserve">$532,740,168 </w:t>
            </w:r>
          </w:p>
        </w:tc>
      </w:tr>
    </w:tbl>
    <w:p w:rsidR="00D9255B" w:rsidP="001F3AFD" w14:paraId="54F94C86" w14:textId="77777777">
      <w:pPr>
        <w:textAlignment w:val="baseline"/>
        <w:rPr>
          <w:sz w:val="20"/>
          <w:szCs w:val="20"/>
        </w:rPr>
      </w:pPr>
    </w:p>
    <w:p w:rsidR="00B81B07" w:rsidRPr="005212ED" w:rsidP="001F3AFD" w14:paraId="6771072D" w14:textId="45792E7D">
      <w:pPr>
        <w:textAlignment w:val="baseline"/>
        <w:rPr>
          <w:sz w:val="20"/>
          <w:szCs w:val="20"/>
        </w:rPr>
      </w:pPr>
      <w:r w:rsidRPr="005212ED">
        <w:rPr>
          <w:sz w:val="20"/>
          <w:szCs w:val="20"/>
        </w:rPr>
        <w:t>Note:</w:t>
      </w:r>
    </w:p>
    <w:p w:rsidR="004B2241" w:rsidRPr="005212ED" w:rsidP="004B2241" w14:paraId="0D9FFA91" w14:textId="368FC58E">
      <w:pPr>
        <w:textAlignment w:val="baseline"/>
        <w:rPr>
          <w:sz w:val="20"/>
          <w:szCs w:val="20"/>
        </w:rPr>
      </w:pPr>
      <w:r w:rsidRPr="005212ED">
        <w:rPr>
          <w:sz w:val="20"/>
          <w:szCs w:val="20"/>
        </w:rPr>
        <w:t>*The three-year average burden has been reported. There are some activities which are incurred only in the first year.</w:t>
      </w:r>
    </w:p>
    <w:p w:rsidR="00DF4CFA" w:rsidRPr="005212ED" w:rsidP="001F3AFD" w14:paraId="0AE2C11B" w14:textId="45D6D7C8">
      <w:pPr>
        <w:textAlignment w:val="baseline"/>
        <w:rPr>
          <w:sz w:val="20"/>
          <w:szCs w:val="20"/>
        </w:rPr>
      </w:pPr>
      <w:r w:rsidRPr="005212ED">
        <w:rPr>
          <w:sz w:val="20"/>
          <w:szCs w:val="20"/>
        </w:rPr>
        <w:t>*</w:t>
      </w:r>
      <w:r w:rsidR="004B2241">
        <w:rPr>
          <w:sz w:val="20"/>
          <w:szCs w:val="20"/>
        </w:rPr>
        <w:t>*</w:t>
      </w:r>
      <w:r w:rsidRPr="005212ED" w:rsidR="00DA0BB2">
        <w:rPr>
          <w:sz w:val="20"/>
          <w:szCs w:val="20"/>
        </w:rPr>
        <w:t xml:space="preserve"> The total number of respondents </w:t>
      </w:r>
      <w:r w:rsidRPr="005212ED" w:rsidR="007645C9">
        <w:rPr>
          <w:sz w:val="20"/>
          <w:szCs w:val="20"/>
        </w:rPr>
        <w:t xml:space="preserve">was </w:t>
      </w:r>
      <w:r w:rsidRPr="005212ED" w:rsidR="00DA0BB2">
        <w:rPr>
          <w:sz w:val="20"/>
          <w:szCs w:val="20"/>
        </w:rPr>
        <w:t xml:space="preserve">calculated in the following manner: </w:t>
      </w:r>
      <w:r w:rsidR="004A74B4">
        <w:rPr>
          <w:sz w:val="20"/>
          <w:szCs w:val="20"/>
        </w:rPr>
        <w:t>2,600</w:t>
      </w:r>
      <w:r w:rsidR="008E79FA">
        <w:rPr>
          <w:sz w:val="20"/>
          <w:szCs w:val="20"/>
        </w:rPr>
        <w:t>,</w:t>
      </w:r>
      <w:r w:rsidR="00486CF5">
        <w:rPr>
          <w:sz w:val="20"/>
          <w:szCs w:val="20"/>
        </w:rPr>
        <w:t>000</w:t>
      </w:r>
      <w:r w:rsidRPr="005212ED" w:rsidR="002E373E">
        <w:rPr>
          <w:sz w:val="20"/>
          <w:szCs w:val="20"/>
        </w:rPr>
        <w:t xml:space="preserve"> </w:t>
      </w:r>
      <w:r w:rsidRPr="005212ED" w:rsidR="00DA0BB2">
        <w:rPr>
          <w:sz w:val="20"/>
          <w:szCs w:val="20"/>
        </w:rPr>
        <w:t xml:space="preserve">(Federal IDR </w:t>
      </w:r>
      <w:r w:rsidRPr="005212ED" w:rsidR="004C11CA">
        <w:rPr>
          <w:sz w:val="20"/>
          <w:szCs w:val="20"/>
        </w:rPr>
        <w:t xml:space="preserve">process </w:t>
      </w:r>
      <w:r w:rsidRPr="005212ED" w:rsidR="00DA0BB2">
        <w:rPr>
          <w:sz w:val="20"/>
          <w:szCs w:val="20"/>
        </w:rPr>
        <w:t xml:space="preserve">for </w:t>
      </w:r>
      <w:r w:rsidRPr="005212ED" w:rsidR="004C11CA">
        <w:rPr>
          <w:sz w:val="20"/>
          <w:szCs w:val="20"/>
        </w:rPr>
        <w:t>items and services</w:t>
      </w:r>
      <w:r w:rsidRPr="005212ED" w:rsidR="00DA0BB2">
        <w:rPr>
          <w:sz w:val="20"/>
          <w:szCs w:val="20"/>
        </w:rPr>
        <w:t xml:space="preserve"> relating to </w:t>
      </w:r>
      <w:r w:rsidRPr="005212ED" w:rsidR="005706FA">
        <w:rPr>
          <w:sz w:val="20"/>
          <w:szCs w:val="20"/>
        </w:rPr>
        <w:t>n</w:t>
      </w:r>
      <w:r w:rsidRPr="005212ED" w:rsidR="00DA0BB2">
        <w:rPr>
          <w:sz w:val="20"/>
          <w:szCs w:val="20"/>
        </w:rPr>
        <w:t xml:space="preserve">onparticipating </w:t>
      </w:r>
      <w:r w:rsidRPr="005212ED" w:rsidR="005706FA">
        <w:rPr>
          <w:sz w:val="20"/>
          <w:szCs w:val="20"/>
        </w:rPr>
        <w:t>p</w:t>
      </w:r>
      <w:r w:rsidRPr="005212ED" w:rsidR="00DA0BB2">
        <w:rPr>
          <w:sz w:val="20"/>
          <w:szCs w:val="20"/>
        </w:rPr>
        <w:t xml:space="preserve">roviders or </w:t>
      </w:r>
      <w:r w:rsidRPr="005212ED" w:rsidR="005706FA">
        <w:rPr>
          <w:sz w:val="20"/>
          <w:szCs w:val="20"/>
        </w:rPr>
        <w:t>n</w:t>
      </w:r>
      <w:r w:rsidRPr="005212ED" w:rsidR="00DA0BB2">
        <w:rPr>
          <w:sz w:val="20"/>
          <w:szCs w:val="20"/>
        </w:rPr>
        <w:t xml:space="preserve">onparticipating </w:t>
      </w:r>
      <w:r w:rsidRPr="005212ED" w:rsidR="005706FA">
        <w:rPr>
          <w:sz w:val="20"/>
          <w:szCs w:val="20"/>
        </w:rPr>
        <w:t>e</w:t>
      </w:r>
      <w:r w:rsidRPr="005212ED" w:rsidR="00DA0BB2">
        <w:rPr>
          <w:sz w:val="20"/>
          <w:szCs w:val="20"/>
        </w:rPr>
        <w:t xml:space="preserve">mergency </w:t>
      </w:r>
      <w:r w:rsidRPr="005212ED" w:rsidR="005706FA">
        <w:rPr>
          <w:sz w:val="20"/>
          <w:szCs w:val="20"/>
        </w:rPr>
        <w:t>f</w:t>
      </w:r>
      <w:r w:rsidRPr="005212ED" w:rsidR="00DA0BB2">
        <w:rPr>
          <w:sz w:val="20"/>
          <w:szCs w:val="20"/>
        </w:rPr>
        <w:t>acilities</w:t>
      </w:r>
      <w:r w:rsidRPr="005212ED" w:rsidR="00B61ED2">
        <w:rPr>
          <w:sz w:val="20"/>
          <w:szCs w:val="20"/>
        </w:rPr>
        <w:t xml:space="preserve"> and air ambulance providers</w:t>
      </w:r>
      <w:r w:rsidRPr="005212ED" w:rsidR="00DA0BB2">
        <w:rPr>
          <w:sz w:val="20"/>
          <w:szCs w:val="20"/>
        </w:rPr>
        <w:t xml:space="preserve">) + </w:t>
      </w:r>
      <w:r w:rsidR="00354A33">
        <w:rPr>
          <w:sz w:val="20"/>
          <w:szCs w:val="20"/>
        </w:rPr>
        <w:t>13</w:t>
      </w:r>
      <w:r w:rsidRPr="005212ED" w:rsidR="00E74727">
        <w:rPr>
          <w:sz w:val="20"/>
          <w:szCs w:val="20"/>
        </w:rPr>
        <w:t xml:space="preserve"> </w:t>
      </w:r>
      <w:r w:rsidRPr="005212ED" w:rsidR="00DA0BB2">
        <w:rPr>
          <w:sz w:val="20"/>
          <w:szCs w:val="20"/>
        </w:rPr>
        <w:t>(</w:t>
      </w:r>
      <w:r w:rsidRPr="005212ED" w:rsidR="008622A2">
        <w:rPr>
          <w:sz w:val="20"/>
          <w:szCs w:val="20"/>
        </w:rPr>
        <w:t xml:space="preserve">Certified </w:t>
      </w:r>
      <w:r w:rsidRPr="005212ED" w:rsidR="00DA0BB2">
        <w:rPr>
          <w:sz w:val="20"/>
          <w:szCs w:val="20"/>
        </w:rPr>
        <w:t>IDR Entity)</w:t>
      </w:r>
      <w:r w:rsidRPr="005212ED" w:rsidR="00765ADA">
        <w:rPr>
          <w:sz w:val="20"/>
          <w:szCs w:val="20"/>
        </w:rPr>
        <w:t xml:space="preserve"> +</w:t>
      </w:r>
      <w:r w:rsidRPr="005212ED" w:rsidR="00274F78">
        <w:rPr>
          <w:sz w:val="20"/>
          <w:szCs w:val="20"/>
        </w:rPr>
        <w:t xml:space="preserve"> </w:t>
      </w:r>
      <w:r w:rsidRPr="005212ED" w:rsidR="0079353B">
        <w:rPr>
          <w:sz w:val="20"/>
          <w:szCs w:val="20"/>
        </w:rPr>
        <w:t>5 (Request for Extension) +</w:t>
      </w:r>
      <w:r w:rsidR="001B2D4E">
        <w:rPr>
          <w:sz w:val="20"/>
          <w:szCs w:val="20"/>
        </w:rPr>
        <w:t xml:space="preserve"> </w:t>
      </w:r>
      <w:r w:rsidR="009A0E97">
        <w:rPr>
          <w:sz w:val="20"/>
          <w:szCs w:val="20"/>
        </w:rPr>
        <w:t>396</w:t>
      </w:r>
      <w:r w:rsidRPr="005212ED" w:rsidR="00274F78">
        <w:rPr>
          <w:sz w:val="20"/>
          <w:szCs w:val="20"/>
        </w:rPr>
        <w:t xml:space="preserve"> (Registration of Group Health Plans and Health Insurance Issuers)</w:t>
      </w:r>
      <w:r w:rsidRPr="005212ED" w:rsidR="00765ADA">
        <w:rPr>
          <w:sz w:val="20"/>
          <w:szCs w:val="20"/>
        </w:rPr>
        <w:t xml:space="preserve"> </w:t>
      </w:r>
      <w:r w:rsidRPr="005212ED" w:rsidR="00DA0BB2">
        <w:rPr>
          <w:sz w:val="20"/>
          <w:szCs w:val="20"/>
        </w:rPr>
        <w:t xml:space="preserve">= </w:t>
      </w:r>
      <w:r w:rsidR="008C0F0B">
        <w:rPr>
          <w:sz w:val="20"/>
          <w:szCs w:val="20"/>
        </w:rPr>
        <w:t>2</w:t>
      </w:r>
      <w:r w:rsidR="00FA7CD9">
        <w:rPr>
          <w:sz w:val="20"/>
          <w:szCs w:val="20"/>
        </w:rPr>
        <w:t>,</w:t>
      </w:r>
      <w:r w:rsidR="004A74B4">
        <w:rPr>
          <w:sz w:val="20"/>
          <w:szCs w:val="20"/>
        </w:rPr>
        <w:t>6</w:t>
      </w:r>
      <w:r w:rsidR="00FA7CD9">
        <w:rPr>
          <w:sz w:val="20"/>
          <w:szCs w:val="20"/>
        </w:rPr>
        <w:t>00,4</w:t>
      </w:r>
      <w:r w:rsidR="00122B54">
        <w:rPr>
          <w:sz w:val="20"/>
          <w:szCs w:val="20"/>
        </w:rPr>
        <w:t>14</w:t>
      </w:r>
      <w:r w:rsidRPr="005212ED" w:rsidR="00DA0BB2">
        <w:rPr>
          <w:sz w:val="20"/>
          <w:szCs w:val="20"/>
        </w:rPr>
        <w:t>.</w:t>
      </w:r>
      <w:r w:rsidRPr="005212ED" w:rsidR="00263C28">
        <w:rPr>
          <w:sz w:val="20"/>
          <w:szCs w:val="20"/>
        </w:rPr>
        <w:t xml:space="preserve"> </w:t>
      </w:r>
    </w:p>
    <w:p w:rsidR="001F3AFD" w:rsidP="001F3AFD" w14:paraId="13B3E38F" w14:textId="659A5F89">
      <w:pPr>
        <w:textAlignment w:val="baseline"/>
        <w:rPr>
          <w:sz w:val="20"/>
          <w:szCs w:val="20"/>
        </w:rPr>
      </w:pPr>
      <w:r w:rsidRPr="005212ED">
        <w:rPr>
          <w:sz w:val="20"/>
          <w:szCs w:val="20"/>
        </w:rPr>
        <w:t>*</w:t>
      </w:r>
      <w:r w:rsidRPr="005212ED" w:rsidR="00DF4CFA">
        <w:rPr>
          <w:sz w:val="20"/>
          <w:szCs w:val="20"/>
        </w:rPr>
        <w:t>*</w:t>
      </w:r>
      <w:r w:rsidR="004B2241">
        <w:rPr>
          <w:sz w:val="20"/>
          <w:szCs w:val="20"/>
        </w:rPr>
        <w:t>*</w:t>
      </w:r>
      <w:r w:rsidRPr="005212ED">
        <w:rPr>
          <w:sz w:val="20"/>
          <w:szCs w:val="20"/>
        </w:rPr>
        <w:t>The</w:t>
      </w:r>
      <w:r w:rsidRPr="005212ED" w:rsidR="00470FAB">
        <w:rPr>
          <w:sz w:val="20"/>
          <w:szCs w:val="20"/>
        </w:rPr>
        <w:t xml:space="preserve"> total number of responses</w:t>
      </w:r>
      <w:r w:rsidRPr="005212ED" w:rsidR="00BC42EC">
        <w:rPr>
          <w:sz w:val="20"/>
          <w:szCs w:val="20"/>
        </w:rPr>
        <w:t xml:space="preserve"> in the first year</w:t>
      </w:r>
      <w:r w:rsidRPr="005212ED" w:rsidR="005E392C">
        <w:rPr>
          <w:sz w:val="20"/>
          <w:szCs w:val="20"/>
        </w:rPr>
        <w:t xml:space="preserve"> </w:t>
      </w:r>
      <w:r w:rsidRPr="005212ED" w:rsidR="000B6775">
        <w:rPr>
          <w:sz w:val="20"/>
          <w:szCs w:val="20"/>
        </w:rPr>
        <w:t>was calculated in the following manner:</w:t>
      </w:r>
      <w:r w:rsidRPr="005212ED" w:rsidR="002A3C1B">
        <w:rPr>
          <w:sz w:val="20"/>
          <w:szCs w:val="20"/>
        </w:rPr>
        <w:t xml:space="preserve"> </w:t>
      </w:r>
      <w:r w:rsidR="00E9748B">
        <w:rPr>
          <w:sz w:val="20"/>
          <w:szCs w:val="20"/>
        </w:rPr>
        <w:t>5</w:t>
      </w:r>
      <w:r w:rsidR="000949E6">
        <w:rPr>
          <w:sz w:val="20"/>
          <w:szCs w:val="20"/>
        </w:rPr>
        <w:t>,</w:t>
      </w:r>
      <w:r w:rsidR="004A74B4">
        <w:rPr>
          <w:sz w:val="20"/>
          <w:szCs w:val="20"/>
        </w:rPr>
        <w:t>434</w:t>
      </w:r>
      <w:r w:rsidR="00085E97">
        <w:rPr>
          <w:sz w:val="20"/>
          <w:szCs w:val="20"/>
        </w:rPr>
        <w:t>,</w:t>
      </w:r>
      <w:r w:rsidR="00231DF5">
        <w:rPr>
          <w:sz w:val="20"/>
          <w:szCs w:val="20"/>
        </w:rPr>
        <w:t>5</w:t>
      </w:r>
      <w:r w:rsidR="000949E6">
        <w:rPr>
          <w:sz w:val="20"/>
          <w:szCs w:val="20"/>
        </w:rPr>
        <w:t>00</w:t>
      </w:r>
      <w:r w:rsidRPr="005212ED" w:rsidR="008338D1">
        <w:rPr>
          <w:sz w:val="20"/>
          <w:szCs w:val="20"/>
        </w:rPr>
        <w:t xml:space="preserve"> </w:t>
      </w:r>
      <w:r w:rsidRPr="005212ED" w:rsidR="000B6775">
        <w:rPr>
          <w:sz w:val="20"/>
          <w:szCs w:val="20"/>
        </w:rPr>
        <w:t>(</w:t>
      </w:r>
      <w:r w:rsidRPr="005212ED" w:rsidR="000B6775">
        <w:rPr>
          <w:bCs/>
          <w:sz w:val="20"/>
          <w:szCs w:val="20"/>
        </w:rPr>
        <w:t xml:space="preserve">Federal IDR Process for Services relating to </w:t>
      </w:r>
      <w:r w:rsidRPr="005212ED" w:rsidR="005706FA">
        <w:rPr>
          <w:bCs/>
          <w:sz w:val="20"/>
          <w:szCs w:val="20"/>
        </w:rPr>
        <w:t>n</w:t>
      </w:r>
      <w:r w:rsidRPr="005212ED" w:rsidR="000B6775">
        <w:rPr>
          <w:bCs/>
          <w:sz w:val="20"/>
          <w:szCs w:val="20"/>
        </w:rPr>
        <w:t xml:space="preserve">onparticipating </w:t>
      </w:r>
      <w:r w:rsidRPr="005212ED" w:rsidR="005706FA">
        <w:rPr>
          <w:bCs/>
          <w:sz w:val="20"/>
          <w:szCs w:val="20"/>
        </w:rPr>
        <w:t>p</w:t>
      </w:r>
      <w:r w:rsidRPr="005212ED" w:rsidR="000B6775">
        <w:rPr>
          <w:bCs/>
          <w:sz w:val="20"/>
          <w:szCs w:val="20"/>
        </w:rPr>
        <w:t xml:space="preserve">roviders or </w:t>
      </w:r>
      <w:r w:rsidRPr="005212ED" w:rsidR="005706FA">
        <w:rPr>
          <w:bCs/>
          <w:sz w:val="20"/>
          <w:szCs w:val="20"/>
        </w:rPr>
        <w:t>n</w:t>
      </w:r>
      <w:r w:rsidRPr="005212ED" w:rsidR="000B6775">
        <w:rPr>
          <w:bCs/>
          <w:sz w:val="20"/>
          <w:szCs w:val="20"/>
        </w:rPr>
        <w:t>onpartici</w:t>
      </w:r>
      <w:r w:rsidRPr="005212ED" w:rsidR="00524DF6">
        <w:rPr>
          <w:bCs/>
          <w:sz w:val="20"/>
          <w:szCs w:val="20"/>
        </w:rPr>
        <w:t xml:space="preserve">pating </w:t>
      </w:r>
      <w:r w:rsidRPr="005212ED" w:rsidR="005706FA">
        <w:rPr>
          <w:bCs/>
          <w:sz w:val="20"/>
          <w:szCs w:val="20"/>
        </w:rPr>
        <w:t>e</w:t>
      </w:r>
      <w:r w:rsidRPr="005212ED" w:rsidR="00524DF6">
        <w:rPr>
          <w:bCs/>
          <w:sz w:val="20"/>
          <w:szCs w:val="20"/>
        </w:rPr>
        <w:t xml:space="preserve">mergency </w:t>
      </w:r>
      <w:r w:rsidRPr="005212ED" w:rsidR="005706FA">
        <w:rPr>
          <w:bCs/>
          <w:sz w:val="20"/>
          <w:szCs w:val="20"/>
        </w:rPr>
        <w:t>f</w:t>
      </w:r>
      <w:r w:rsidRPr="005212ED" w:rsidR="00524DF6">
        <w:rPr>
          <w:bCs/>
          <w:sz w:val="20"/>
          <w:szCs w:val="20"/>
        </w:rPr>
        <w:t>acilities</w:t>
      </w:r>
      <w:r w:rsidRPr="005212ED" w:rsidR="00B61ED2">
        <w:rPr>
          <w:bCs/>
          <w:sz w:val="20"/>
          <w:szCs w:val="20"/>
        </w:rPr>
        <w:t xml:space="preserve"> and air ambulance providers</w:t>
      </w:r>
      <w:r w:rsidRPr="005212ED" w:rsidR="00524DF6">
        <w:rPr>
          <w:bCs/>
          <w:sz w:val="20"/>
          <w:szCs w:val="20"/>
        </w:rPr>
        <w:t>) +</w:t>
      </w:r>
      <w:r w:rsidR="000E7F6B">
        <w:rPr>
          <w:bCs/>
          <w:sz w:val="20"/>
          <w:szCs w:val="20"/>
        </w:rPr>
        <w:t xml:space="preserve"> </w:t>
      </w:r>
      <w:r w:rsidRPr="005212ED" w:rsidR="006B0ECB">
        <w:rPr>
          <w:bCs/>
          <w:sz w:val="20"/>
          <w:szCs w:val="20"/>
        </w:rPr>
        <w:t xml:space="preserve">5 </w:t>
      </w:r>
      <w:r w:rsidRPr="005212ED" w:rsidR="000B6775">
        <w:rPr>
          <w:bCs/>
          <w:sz w:val="20"/>
          <w:szCs w:val="20"/>
        </w:rPr>
        <w:t xml:space="preserve">(Request for Extension) + </w:t>
      </w:r>
      <w:r w:rsidRPr="005212ED" w:rsidR="00E74727">
        <w:rPr>
          <w:bCs/>
          <w:sz w:val="20"/>
          <w:szCs w:val="20"/>
        </w:rPr>
        <w:t>4</w:t>
      </w:r>
      <w:r w:rsidR="008F3EB6">
        <w:rPr>
          <w:bCs/>
          <w:sz w:val="20"/>
          <w:szCs w:val="20"/>
        </w:rPr>
        <w:t>7</w:t>
      </w:r>
      <w:r w:rsidRPr="005212ED" w:rsidR="00096381">
        <w:rPr>
          <w:bCs/>
          <w:sz w:val="20"/>
          <w:szCs w:val="20"/>
        </w:rPr>
        <w:t xml:space="preserve"> </w:t>
      </w:r>
      <w:r w:rsidRPr="005212ED" w:rsidR="000B6775">
        <w:rPr>
          <w:bCs/>
          <w:sz w:val="20"/>
          <w:szCs w:val="20"/>
        </w:rPr>
        <w:t>(</w:t>
      </w:r>
      <w:r w:rsidRPr="005212ED" w:rsidR="00A02274">
        <w:rPr>
          <w:bCs/>
          <w:sz w:val="20"/>
          <w:szCs w:val="20"/>
        </w:rPr>
        <w:t xml:space="preserve">Certified </w:t>
      </w:r>
      <w:r w:rsidRPr="005212ED" w:rsidR="000B6775">
        <w:rPr>
          <w:bCs/>
          <w:sz w:val="20"/>
          <w:szCs w:val="20"/>
        </w:rPr>
        <w:t>IDR Entity)</w:t>
      </w:r>
      <w:r w:rsidRPr="005212ED" w:rsidR="00524DF6">
        <w:rPr>
          <w:bCs/>
          <w:sz w:val="20"/>
          <w:szCs w:val="20"/>
        </w:rPr>
        <w:t xml:space="preserve"> </w:t>
      </w:r>
      <w:r w:rsidRPr="005212ED" w:rsidR="00DF1189">
        <w:rPr>
          <w:bCs/>
          <w:sz w:val="20"/>
          <w:szCs w:val="20"/>
        </w:rPr>
        <w:t>+</w:t>
      </w:r>
      <w:r w:rsidRPr="005212ED" w:rsidR="003A3E3F">
        <w:rPr>
          <w:bCs/>
          <w:sz w:val="20"/>
          <w:szCs w:val="20"/>
        </w:rPr>
        <w:t xml:space="preserve"> </w:t>
      </w:r>
      <w:r w:rsidR="000E7F6B">
        <w:rPr>
          <w:bCs/>
          <w:sz w:val="20"/>
          <w:szCs w:val="20"/>
        </w:rPr>
        <w:t>396</w:t>
      </w:r>
      <w:r w:rsidRPr="005212ED" w:rsidR="000E7F6B">
        <w:rPr>
          <w:bCs/>
          <w:sz w:val="20"/>
          <w:szCs w:val="20"/>
        </w:rPr>
        <w:t xml:space="preserve"> </w:t>
      </w:r>
      <w:r w:rsidRPr="005212ED" w:rsidR="003A3E3F">
        <w:rPr>
          <w:bCs/>
          <w:sz w:val="20"/>
          <w:szCs w:val="20"/>
        </w:rPr>
        <w:t xml:space="preserve">(Registration of Group Health Plans and Health Insurance Issuers) </w:t>
      </w:r>
      <w:r w:rsidRPr="005212ED" w:rsidR="00524DF6">
        <w:rPr>
          <w:bCs/>
          <w:sz w:val="20"/>
          <w:szCs w:val="20"/>
        </w:rPr>
        <w:t>=</w:t>
      </w:r>
      <w:r w:rsidR="003665DB">
        <w:rPr>
          <w:bCs/>
          <w:sz w:val="20"/>
          <w:szCs w:val="20"/>
        </w:rPr>
        <w:t xml:space="preserve"> </w:t>
      </w:r>
      <w:r w:rsidRPr="004A74B4" w:rsidR="004A74B4">
        <w:rPr>
          <w:bCs/>
          <w:sz w:val="20"/>
          <w:szCs w:val="20"/>
        </w:rPr>
        <w:t>5,434,448</w:t>
      </w:r>
      <w:r w:rsidRPr="005212ED" w:rsidR="00470FAB">
        <w:rPr>
          <w:sz w:val="20"/>
          <w:szCs w:val="20"/>
        </w:rPr>
        <w:t>.</w:t>
      </w:r>
      <w:r w:rsidRPr="005212ED" w:rsidR="00AD2339">
        <w:rPr>
          <w:sz w:val="20"/>
          <w:szCs w:val="20"/>
        </w:rPr>
        <w:t xml:space="preserve"> </w:t>
      </w:r>
    </w:p>
    <w:p w:rsidR="008C0F0B" w:rsidRPr="005212ED" w:rsidP="001F3AFD" w14:paraId="5F7A7C00" w14:textId="408D2F3B">
      <w:pPr>
        <w:textAlignment w:val="baseline"/>
        <w:rPr>
          <w:sz w:val="20"/>
          <w:szCs w:val="20"/>
        </w:rPr>
      </w:pPr>
      <w:r w:rsidRPr="005212ED">
        <w:rPr>
          <w:sz w:val="20"/>
          <w:szCs w:val="20"/>
        </w:rPr>
        <w:t>**</w:t>
      </w:r>
      <w:r>
        <w:rPr>
          <w:sz w:val="20"/>
          <w:szCs w:val="20"/>
        </w:rPr>
        <w:t>*</w:t>
      </w:r>
      <w:r w:rsidR="005F10BE">
        <w:rPr>
          <w:sz w:val="20"/>
          <w:szCs w:val="20"/>
        </w:rPr>
        <w:t>*</w:t>
      </w:r>
      <w:r w:rsidRPr="005212ED">
        <w:rPr>
          <w:sz w:val="20"/>
          <w:szCs w:val="20"/>
        </w:rPr>
        <w:t xml:space="preserve">The total number of responses in </w:t>
      </w:r>
      <w:r>
        <w:rPr>
          <w:sz w:val="20"/>
          <w:szCs w:val="20"/>
        </w:rPr>
        <w:t>subsequent years</w:t>
      </w:r>
      <w:r w:rsidRPr="005212ED">
        <w:rPr>
          <w:sz w:val="20"/>
          <w:szCs w:val="20"/>
        </w:rPr>
        <w:t xml:space="preserve"> was calculated in the following manner: </w:t>
      </w:r>
      <w:r w:rsidR="004A74B4">
        <w:rPr>
          <w:sz w:val="20"/>
          <w:szCs w:val="20"/>
        </w:rPr>
        <w:t>5,434</w:t>
      </w:r>
      <w:r>
        <w:rPr>
          <w:sz w:val="20"/>
          <w:szCs w:val="20"/>
        </w:rPr>
        <w:t>,</w:t>
      </w:r>
      <w:r w:rsidR="00231DF5">
        <w:rPr>
          <w:sz w:val="20"/>
          <w:szCs w:val="20"/>
        </w:rPr>
        <w:t>5</w:t>
      </w:r>
      <w:r>
        <w:rPr>
          <w:sz w:val="20"/>
          <w:szCs w:val="20"/>
        </w:rPr>
        <w:t>00</w:t>
      </w:r>
      <w:r w:rsidRPr="005212ED">
        <w:rPr>
          <w:sz w:val="20"/>
          <w:szCs w:val="20"/>
        </w:rPr>
        <w:t xml:space="preserve"> (</w:t>
      </w:r>
      <w:r w:rsidRPr="005212ED">
        <w:rPr>
          <w:bCs/>
          <w:sz w:val="20"/>
          <w:szCs w:val="20"/>
        </w:rPr>
        <w:t>Federal IDR Process for Services relating to nonparticipating providers or nonparticipating emergency facilities and air ambulance providers) +</w:t>
      </w:r>
      <w:r>
        <w:rPr>
          <w:bCs/>
          <w:sz w:val="20"/>
          <w:szCs w:val="20"/>
        </w:rPr>
        <w:t xml:space="preserve"> </w:t>
      </w:r>
      <w:r w:rsidRPr="005212ED">
        <w:rPr>
          <w:bCs/>
          <w:sz w:val="20"/>
          <w:szCs w:val="20"/>
        </w:rPr>
        <w:t>5 (Request for Extension) + 4</w:t>
      </w:r>
      <w:r w:rsidR="008F3EB6">
        <w:rPr>
          <w:bCs/>
          <w:sz w:val="20"/>
          <w:szCs w:val="20"/>
        </w:rPr>
        <w:t>5</w:t>
      </w:r>
      <w:r w:rsidRPr="005212ED">
        <w:rPr>
          <w:bCs/>
          <w:sz w:val="20"/>
          <w:szCs w:val="20"/>
        </w:rPr>
        <w:t xml:space="preserve"> (Certified IDR Entity) + </w:t>
      </w:r>
      <w:r>
        <w:rPr>
          <w:bCs/>
          <w:sz w:val="20"/>
          <w:szCs w:val="20"/>
        </w:rPr>
        <w:t>396</w:t>
      </w:r>
      <w:r w:rsidRPr="005212ED">
        <w:rPr>
          <w:bCs/>
          <w:sz w:val="20"/>
          <w:szCs w:val="20"/>
        </w:rPr>
        <w:t xml:space="preserve"> (Registration of Group Health Plans and Health Insurance Issuers) =</w:t>
      </w:r>
      <w:r>
        <w:rPr>
          <w:bCs/>
          <w:sz w:val="20"/>
          <w:szCs w:val="20"/>
        </w:rPr>
        <w:t xml:space="preserve"> </w:t>
      </w:r>
      <w:r w:rsidRPr="004A74B4" w:rsidR="004A74B4">
        <w:rPr>
          <w:bCs/>
          <w:sz w:val="20"/>
          <w:szCs w:val="20"/>
        </w:rPr>
        <w:t>5,434,446</w:t>
      </w:r>
      <w:r w:rsidRPr="005212ED">
        <w:rPr>
          <w:sz w:val="20"/>
          <w:szCs w:val="20"/>
        </w:rPr>
        <w:t xml:space="preserve">. </w:t>
      </w:r>
    </w:p>
    <w:p w:rsidR="002F69AA" w:rsidRPr="00E259C0" w:rsidP="005B1D0F" w14:paraId="0D130719" w14:textId="58CFC42D">
      <w:pPr>
        <w:pStyle w:val="HeadingStyle"/>
        <w:rPr>
          <w:rFonts w:ascii="Times New Roman" w:hAnsi="Times New Roman" w:cs="Times New Roman"/>
          <w:b w:val="0"/>
          <w:color w:val="auto"/>
        </w:rPr>
      </w:pPr>
      <w:r w:rsidRPr="00E259C0">
        <w:rPr>
          <w:rFonts w:ascii="Times New Roman" w:hAnsi="Times New Roman" w:cs="Times New Roman"/>
          <w:color w:val="auto"/>
        </w:rPr>
        <w:t xml:space="preserve">13. </w:t>
      </w:r>
      <w:r w:rsidRPr="00E259C0">
        <w:rPr>
          <w:rFonts w:ascii="Times New Roman" w:hAnsi="Times New Roman" w:cs="Times New Roman"/>
          <w:color w:val="auto"/>
        </w:rPr>
        <w:tab/>
      </w:r>
      <w:r w:rsidRPr="00B50F02" w:rsidR="00AC1AFB">
        <w:rPr>
          <w:rFonts w:ascii="Times New Roman" w:hAnsi="Times New Roman" w:cs="Times New Roman"/>
          <w:color w:val="auto"/>
        </w:rPr>
        <w:t xml:space="preserve">Provide an estimate of the total annual </w:t>
      </w:r>
      <w:r w:rsidRPr="00B50F02" w:rsidR="00AC1AFB">
        <w:rPr>
          <w:rFonts w:ascii="Times New Roman" w:hAnsi="Times New Roman" w:cs="Times New Roman"/>
          <w:iCs/>
          <w:color w:val="auto"/>
        </w:rPr>
        <w:t>cost burden to respondents or record</w:t>
      </w:r>
      <w:r w:rsidRPr="00B50F02" w:rsidR="002B5E05">
        <w:rPr>
          <w:rFonts w:ascii="Times New Roman" w:hAnsi="Times New Roman" w:cs="Times New Roman"/>
          <w:iCs/>
          <w:color w:val="auto"/>
        </w:rPr>
        <w:t xml:space="preserve"> </w:t>
      </w:r>
      <w:r w:rsidRPr="00B50F02" w:rsidR="00AC1AFB">
        <w:rPr>
          <w:rFonts w:ascii="Times New Roman" w:hAnsi="Times New Roman" w:cs="Times New Roman"/>
          <w:iCs/>
          <w:color w:val="auto"/>
        </w:rPr>
        <w:t>keepers resulting from the collection of information.</w:t>
      </w:r>
      <w:r w:rsidR="00263C28">
        <w:rPr>
          <w:rFonts w:ascii="Times New Roman" w:hAnsi="Times New Roman" w:cs="Times New Roman"/>
          <w:iCs/>
          <w:color w:val="auto"/>
        </w:rPr>
        <w:t xml:space="preserve"> </w:t>
      </w:r>
      <w:r w:rsidRPr="00B50F02" w:rsidR="00AC1AFB">
        <w:rPr>
          <w:rFonts w:ascii="Times New Roman" w:hAnsi="Times New Roman" w:cs="Times New Roman"/>
          <w:iCs/>
          <w:color w:val="auto"/>
        </w:rPr>
        <w:t>(Do not include the cost of any hour burden shown in Items 12 or 14).</w:t>
      </w:r>
    </w:p>
    <w:p w:rsidR="002F69AA" w:rsidRPr="00E259C0" w:rsidP="002F69AA" w14:paraId="2E041516" w14:textId="123B53C4">
      <w:pPr>
        <w:pStyle w:val="Quick1"/>
        <w:numPr>
          <w:ilvl w:val="0"/>
          <w:numId w:val="3"/>
        </w:numPr>
        <w:rPr>
          <w:b/>
        </w:rPr>
      </w:pPr>
      <w:r w:rsidRPr="00E259C0">
        <w:rPr>
          <w:b/>
          <w:bCs/>
        </w:rPr>
        <w:t xml:space="preserve">The cost estimate should be split into </w:t>
      </w:r>
      <w:r w:rsidRPr="00E259C0" w:rsidR="004826E2">
        <w:rPr>
          <w:b/>
          <w:bCs/>
        </w:rPr>
        <w:t>2</w:t>
      </w:r>
      <w:r w:rsidRPr="00E259C0">
        <w:rPr>
          <w:b/>
          <w:bCs/>
        </w:rPr>
        <w:t xml:space="preserve"> components: (a) a total capital</w:t>
      </w:r>
      <w:r w:rsidRPr="00E259C0">
        <w:rPr>
          <w:b/>
        </w:rPr>
        <w:t> </w:t>
      </w:r>
      <w:r w:rsidRPr="00E259C0">
        <w:rPr>
          <w:b/>
          <w:bCs/>
        </w:rPr>
        <w:t>and </w:t>
      </w:r>
      <w:r w:rsidRPr="00E259C0" w:rsidR="00E332D4">
        <w:rPr>
          <w:b/>
          <w:bCs/>
        </w:rPr>
        <w:t>start-</w:t>
      </w:r>
      <w:r w:rsidRPr="00E259C0">
        <w:rPr>
          <w:b/>
          <w:bCs/>
        </w:rPr>
        <w:t>up cost component (annualized over its expected useful life); and (b) a</w:t>
      </w:r>
      <w:r w:rsidRPr="00E259C0">
        <w:rPr>
          <w:b/>
        </w:rPr>
        <w:t> </w:t>
      </w:r>
      <w:r w:rsidRPr="00E259C0">
        <w:rPr>
          <w:b/>
          <w:bCs/>
        </w:rPr>
        <w:t>total operation and maintenance and purchase of service component.</w:t>
      </w:r>
      <w:r w:rsidR="00263C28">
        <w:rPr>
          <w:b/>
          <w:bCs/>
        </w:rPr>
        <w:t xml:space="preserve"> </w:t>
      </w:r>
      <w:r w:rsidRPr="00E259C0">
        <w:rPr>
          <w:b/>
          <w:bCs/>
        </w:rPr>
        <w:t>The estimates should take into account costs associated with generating, maintaining, and disclosing or providing the information.</w:t>
      </w:r>
      <w:r w:rsidR="00263C28">
        <w:rPr>
          <w:b/>
          <w:bCs/>
        </w:rPr>
        <w:t xml:space="preserve"> </w:t>
      </w:r>
      <w:r w:rsidRPr="00E259C0">
        <w:rPr>
          <w:b/>
          <w:bCs/>
        </w:rPr>
        <w:t xml:space="preserve">Include descriptions of methods used to estimate major cost factors including </w:t>
      </w:r>
      <w:r w:rsidRPr="00E259C0">
        <w:rPr>
          <w:b/>
          <w:bCs/>
        </w:rPr>
        <w:t>system and technology acquisition, expected useful life of capital equipment, the discount rate(s), and the time period over which costs will be incurred.</w:t>
      </w:r>
      <w:r w:rsidR="00263C28">
        <w:rPr>
          <w:b/>
          <w:bCs/>
        </w:rPr>
        <w:t xml:space="preserve"> </w:t>
      </w:r>
      <w:r w:rsidRPr="00E259C0">
        <w:rPr>
          <w:b/>
          <w:bCs/>
        </w:rPr>
        <w:t>Capital and start-up costs include, among other items, preparations for collecting information such as purchasing computers and software; monitoring, sampling, drilling and testing equipment; and record storage facilities.</w:t>
      </w:r>
      <w:r w:rsidRPr="00E259C0">
        <w:rPr>
          <w:b/>
        </w:rPr>
        <w:t> </w:t>
      </w:r>
    </w:p>
    <w:p w:rsidR="002F69AA" w:rsidRPr="00E259C0" w:rsidP="002F69AA" w14:paraId="6DA9C003" w14:textId="58771343">
      <w:pPr>
        <w:pStyle w:val="Quick1"/>
        <w:numPr>
          <w:ilvl w:val="0"/>
          <w:numId w:val="3"/>
        </w:numPr>
        <w:rPr>
          <w:b/>
        </w:rPr>
      </w:pPr>
      <w:r w:rsidRPr="00E259C0">
        <w:rPr>
          <w:b/>
          <w:bCs/>
        </w:rPr>
        <w:t>If cost estimates are expected to vary widely, agencies should present ranges of cost burdens and explain the reasons for the variance.</w:t>
      </w:r>
      <w:r w:rsidR="00263C28">
        <w:rPr>
          <w:b/>
          <w:bCs/>
        </w:rPr>
        <w:t xml:space="preserve"> </w:t>
      </w:r>
      <w:r w:rsidRPr="00E259C0">
        <w:rPr>
          <w:b/>
          <w:bCs/>
        </w:rPr>
        <w:t>The cost of purchasing or contracting out information collection services should be a part of this cost burden estimate.</w:t>
      </w:r>
      <w:r w:rsidR="00263C28">
        <w:rPr>
          <w:b/>
          <w:bCs/>
        </w:rPr>
        <w:t xml:space="preserve"> </w:t>
      </w:r>
      <w:r w:rsidRPr="00E259C0">
        <w:rPr>
          <w:b/>
          <w:bCs/>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E259C0">
        <w:rPr>
          <w:b/>
        </w:rPr>
        <w:t> </w:t>
      </w:r>
    </w:p>
    <w:p w:rsidR="002F69AA" w:rsidRPr="00E259C0" w:rsidP="002F69AA" w14:paraId="243816D2" w14:textId="77777777">
      <w:pPr>
        <w:pStyle w:val="Quick1"/>
        <w:numPr>
          <w:ilvl w:val="0"/>
          <w:numId w:val="3"/>
        </w:numPr>
        <w:rPr>
          <w:b/>
        </w:rPr>
      </w:pPr>
      <w:r w:rsidRPr="00E259C0">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21527" w:rsidRPr="00E259C0" w:rsidP="00621527" w14:paraId="16D04724" w14:textId="77777777">
      <w:pPr>
        <w:pStyle w:val="Quick1"/>
        <w:numPr>
          <w:ilvl w:val="0"/>
          <w:numId w:val="0"/>
        </w:numPr>
        <w:ind w:left="720" w:hanging="720"/>
        <w:rPr>
          <w:b/>
        </w:rPr>
      </w:pPr>
    </w:p>
    <w:p w:rsidR="004358E5" w:rsidRPr="00E259C0" w:rsidP="00132464" w14:paraId="5AA9015B" w14:textId="7F846688">
      <w:pPr>
        <w:ind w:left="720"/>
      </w:pPr>
      <w:r w:rsidRPr="00E259C0">
        <w:t xml:space="preserve">Group health plans, health insurance issuers, FEHB carriers, </w:t>
      </w:r>
      <w:r w:rsidRPr="00E259C0" w:rsidR="00C95250">
        <w:t>facilities</w:t>
      </w:r>
      <w:r w:rsidRPr="00E259C0" w:rsidR="002733D8">
        <w:t>,</w:t>
      </w:r>
      <w:r w:rsidRPr="00E259C0" w:rsidR="00C95250">
        <w:t xml:space="preserve"> providers</w:t>
      </w:r>
      <w:r w:rsidRPr="00E259C0" w:rsidR="002733D8">
        <w:t>, providers of air ambulance services</w:t>
      </w:r>
      <w:r w:rsidRPr="00E259C0" w:rsidR="009B4664">
        <w:t>, and certified IDR entities</w:t>
      </w:r>
      <w:r w:rsidRPr="00E259C0" w:rsidR="00132464">
        <w:t xml:space="preserve"> are responsible for </w:t>
      </w:r>
      <w:r w:rsidRPr="00E259C0" w:rsidR="004E0334">
        <w:t>complying</w:t>
      </w:r>
      <w:r w:rsidRPr="00E259C0" w:rsidR="00132464">
        <w:t xml:space="preserve"> with the </w:t>
      </w:r>
      <w:r w:rsidRPr="00E259C0" w:rsidR="002733D8">
        <w:t xml:space="preserve">October 2021 </w:t>
      </w:r>
      <w:r w:rsidRPr="00E259C0" w:rsidR="001D35D7">
        <w:t xml:space="preserve">interim </w:t>
      </w:r>
      <w:r w:rsidRPr="00E259C0" w:rsidR="00132464">
        <w:t>final rules</w:t>
      </w:r>
      <w:r w:rsidRPr="00E259C0" w:rsidR="00A52E86">
        <w:t>, August 2022</w:t>
      </w:r>
      <w:r w:rsidRPr="00E259C0" w:rsidR="00260938">
        <w:t xml:space="preserve"> </w:t>
      </w:r>
      <w:r w:rsidRPr="00E259C0" w:rsidR="00F210C2">
        <w:t>final rules</w:t>
      </w:r>
      <w:r w:rsidRPr="00E259C0" w:rsidR="00D4202F">
        <w:t xml:space="preserve">, and </w:t>
      </w:r>
      <w:r w:rsidR="003F0EA0">
        <w:t>202</w:t>
      </w:r>
      <w:r w:rsidR="00B76771">
        <w:t>6</w:t>
      </w:r>
      <w:r w:rsidRPr="00E259C0" w:rsidR="00D4202F">
        <w:t xml:space="preserve"> </w:t>
      </w:r>
      <w:r w:rsidRPr="00E259C0" w:rsidR="0079438A">
        <w:t>final</w:t>
      </w:r>
      <w:r w:rsidRPr="00E259C0" w:rsidR="00D4202F">
        <w:t xml:space="preserve"> rules</w:t>
      </w:r>
      <w:r w:rsidRPr="00E259C0" w:rsidR="00170854">
        <w:t xml:space="preserve"> consistent with </w:t>
      </w:r>
      <w:r w:rsidRPr="00E259C0" w:rsidR="00F76991">
        <w:t xml:space="preserve">the court orders in </w:t>
      </w:r>
      <w:r w:rsidRPr="00E259C0" w:rsidR="00F76991">
        <w:rPr>
          <w:i/>
          <w:iCs/>
        </w:rPr>
        <w:t xml:space="preserve">TMA I, II, III, </w:t>
      </w:r>
      <w:r w:rsidRPr="00E259C0" w:rsidR="00F76991">
        <w:t>and</w:t>
      </w:r>
      <w:r w:rsidRPr="00E259C0" w:rsidR="00F76991">
        <w:rPr>
          <w:i/>
          <w:iCs/>
        </w:rPr>
        <w:t xml:space="preserve"> IV</w:t>
      </w:r>
      <w:r w:rsidRPr="00E259C0" w:rsidR="00132464">
        <w:t>.</w:t>
      </w:r>
      <w:r w:rsidR="00263C28">
        <w:t xml:space="preserve"> </w:t>
      </w:r>
    </w:p>
    <w:p w:rsidR="004358E5" w:rsidRPr="00E259C0" w:rsidP="00132464" w14:paraId="14B3A918" w14:textId="77777777">
      <w:pPr>
        <w:ind w:left="720"/>
      </w:pPr>
    </w:p>
    <w:p w:rsidR="00C16C6E" w:rsidP="00C16C6E" w14:paraId="261D7147" w14:textId="69994330">
      <w:pPr>
        <w:pStyle w:val="Quick1"/>
        <w:numPr>
          <w:ilvl w:val="0"/>
          <w:numId w:val="0"/>
        </w:numPr>
        <w:ind w:left="720"/>
      </w:pPr>
      <w:r w:rsidRPr="00E259C0">
        <w:t xml:space="preserve">As discussed above, the Departments estimate that </w:t>
      </w:r>
      <w:r w:rsidR="008D3722">
        <w:t>2,</w:t>
      </w:r>
      <w:r w:rsidR="004A74B4">
        <w:t>6</w:t>
      </w:r>
      <w:r w:rsidR="008D3722">
        <w:t>00,000</w:t>
      </w:r>
      <w:r w:rsidRPr="00E259C0">
        <w:t xml:space="preserve"> claims will be submitted as part of the Federal IDR process each year. In the discussion below, the Departments refer to costs incurred by plans, issuers, and FEHB carriers.</w:t>
      </w:r>
      <w:r>
        <w:t xml:space="preserve"> </w:t>
      </w:r>
    </w:p>
    <w:p w:rsidR="00C16C6E" w:rsidP="00C16C6E" w14:paraId="641ABF4F" w14:textId="77777777">
      <w:pPr>
        <w:pStyle w:val="Quick1"/>
        <w:numPr>
          <w:ilvl w:val="0"/>
          <w:numId w:val="0"/>
        </w:numPr>
        <w:ind w:left="720"/>
      </w:pPr>
    </w:p>
    <w:p w:rsidR="00C16C6E" w:rsidP="00C16C6E" w14:paraId="062E4234" w14:textId="7E0D6CFA">
      <w:pPr>
        <w:pStyle w:val="Quick1"/>
        <w:numPr>
          <w:ilvl w:val="0"/>
          <w:numId w:val="0"/>
        </w:numPr>
        <w:ind w:left="720"/>
        <w:rPr>
          <w:b/>
          <w:i/>
          <w:u w:val="single"/>
        </w:rPr>
      </w:pPr>
      <w:r w:rsidRPr="00E259C0">
        <w:rPr>
          <w:b/>
          <w:i/>
          <w:u w:val="single"/>
        </w:rPr>
        <w:t xml:space="preserve">Federal IDR Process for Nonparticipating Providers or Nonparticipating Emergency Facilities and Providers of Air Ambulance Services </w:t>
      </w:r>
    </w:p>
    <w:p w:rsidR="00C16C6E" w:rsidRPr="00E259C0" w:rsidP="00C16C6E" w14:paraId="770DC0CC" w14:textId="77777777">
      <w:pPr>
        <w:pStyle w:val="Quick1"/>
        <w:numPr>
          <w:ilvl w:val="0"/>
          <w:numId w:val="0"/>
        </w:numPr>
        <w:ind w:left="720"/>
        <w:rPr>
          <w:b/>
          <w:u w:val="single"/>
        </w:rPr>
      </w:pPr>
    </w:p>
    <w:p w:rsidR="004F57A3" w:rsidRPr="004F57A3" w:rsidP="004A74B4" w14:paraId="7CE36B6A" w14:textId="0DD4AE54">
      <w:pPr>
        <w:ind w:left="720"/>
      </w:pPr>
      <w:r w:rsidRPr="00E259C0">
        <w:t xml:space="preserve">The majority of the costs will be incurred from the distribution of notices. </w:t>
      </w:r>
      <w:r w:rsidRPr="00E259C0" w:rsidR="00393686">
        <w:t xml:space="preserve">The Departments assume that </w:t>
      </w:r>
      <w:r w:rsidR="00F620E9">
        <w:t>five</w:t>
      </w:r>
      <w:r w:rsidRPr="00E259C0" w:rsidR="00393686">
        <w:t xml:space="preserve"> percent of these notices would be mailed and will incur a </w:t>
      </w:r>
      <w:r w:rsidR="00BC0AD8">
        <w:t xml:space="preserve">mailing </w:t>
      </w:r>
      <w:r w:rsidRPr="00E259C0" w:rsidR="00393686">
        <w:t>cost of $0.05 per page and $</w:t>
      </w:r>
      <w:r w:rsidR="00D665FA">
        <w:t>1.00</w:t>
      </w:r>
      <w:r w:rsidRPr="00E259C0" w:rsidR="00393686">
        <w:t xml:space="preserve"> for </w:t>
      </w:r>
      <w:r w:rsidR="00D665FA">
        <w:t>material cost</w:t>
      </w:r>
      <w:r w:rsidRPr="00E259C0" w:rsidR="00393686">
        <w:t>.</w:t>
      </w:r>
      <w:r>
        <w:t xml:space="preserve"> </w:t>
      </w:r>
      <w:r w:rsidRPr="00C16C6E">
        <w:t>Please see Table 7 for mailing cost calculations and burden totals.</w:t>
      </w:r>
    </w:p>
    <w:p w:rsidR="00BF59EA" w:rsidRPr="00E259C0" w:rsidP="00BF59EA" w14:paraId="4CE61891" w14:textId="77777777">
      <w:pPr>
        <w:pStyle w:val="HeadingStyle"/>
        <w:ind w:firstLine="0"/>
        <w:rPr>
          <w:rFonts w:ascii="Times New Roman" w:hAnsi="Times New Roman" w:cs="Times New Roman"/>
          <w:b w:val="0"/>
          <w:bCs w:val="0"/>
          <w:color w:val="auto"/>
        </w:rPr>
      </w:pPr>
      <w:r w:rsidRPr="00E259C0">
        <w:rPr>
          <w:rFonts w:ascii="Times New Roman" w:hAnsi="Times New Roman" w:cs="Times New Roman"/>
          <w:color w:val="auto"/>
        </w:rPr>
        <w:t>Table 7. Cost Burden of Federal IDR Process for Nonparticipating Providers or Nonparticipating Emergency Facilities and Providers of Air Ambulance Services</w:t>
      </w:r>
    </w:p>
    <w:p w:rsidR="00BF59EA" w:rsidRPr="00E259C0" w:rsidP="00BF59EA" w14:paraId="32495296" w14:textId="77777777">
      <w:pPr>
        <w:ind w:left="720"/>
      </w:pPr>
    </w:p>
    <w:tbl>
      <w:tblPr>
        <w:tblW w:w="0" w:type="auto"/>
        <w:tblLook w:val="04A0"/>
      </w:tblPr>
      <w:tblGrid>
        <w:gridCol w:w="3268"/>
        <w:gridCol w:w="1247"/>
        <w:gridCol w:w="1413"/>
        <w:gridCol w:w="1033"/>
        <w:gridCol w:w="1082"/>
        <w:gridCol w:w="1307"/>
      </w:tblGrid>
      <w:tr w14:paraId="20ABCD07" w14:textId="77777777" w:rsidTr="00741CC7">
        <w:tblPrEx>
          <w:tblW w:w="0" w:type="auto"/>
          <w:tblLook w:val="04A0"/>
        </w:tblPrEx>
        <w:trPr>
          <w:trHeight w:val="840"/>
        </w:trPr>
        <w:tc>
          <w:tcPr>
            <w:tcW w:w="0" w:type="auto"/>
            <w:tcBorders>
              <w:top w:val="single" w:sz="4" w:space="0" w:color="auto"/>
              <w:left w:val="single" w:sz="4" w:space="0" w:color="auto"/>
              <w:bottom w:val="single" w:sz="4" w:space="0" w:color="auto"/>
              <w:right w:val="single" w:sz="4" w:space="0" w:color="auto"/>
            </w:tcBorders>
            <w:noWrap/>
            <w:vAlign w:val="center"/>
            <w:hideMark/>
          </w:tcPr>
          <w:p w:rsidR="00741CC7" w:rsidRPr="00741CC7" w:rsidP="00741CC7" w14:paraId="48DD244E" w14:textId="77777777">
            <w:pPr>
              <w:widowControl/>
              <w:autoSpaceDE/>
              <w:autoSpaceDN/>
              <w:adjustRightInd/>
              <w:rPr>
                <w:color w:val="000000"/>
                <w:sz w:val="22"/>
                <w:szCs w:val="22"/>
              </w:rPr>
            </w:pPr>
            <w:r w:rsidRPr="00741CC7">
              <w:rPr>
                <w:color w:val="000000"/>
                <w:sz w:val="22"/>
                <w:szCs w:val="22"/>
              </w:rPr>
              <w:t> </w:t>
            </w:r>
          </w:p>
        </w:tc>
        <w:tc>
          <w:tcPr>
            <w:tcW w:w="0" w:type="auto"/>
            <w:tcBorders>
              <w:top w:val="single" w:sz="4" w:space="0" w:color="auto"/>
              <w:left w:val="nil"/>
              <w:bottom w:val="single" w:sz="4" w:space="0" w:color="auto"/>
              <w:right w:val="single" w:sz="4" w:space="0" w:color="auto"/>
            </w:tcBorders>
            <w:vAlign w:val="center"/>
            <w:hideMark/>
          </w:tcPr>
          <w:p w:rsidR="00741CC7" w:rsidRPr="00741CC7" w:rsidP="00741CC7" w14:paraId="66C6A6A4" w14:textId="77777777">
            <w:pPr>
              <w:widowControl/>
              <w:autoSpaceDE/>
              <w:autoSpaceDN/>
              <w:adjustRightInd/>
              <w:jc w:val="center"/>
              <w:rPr>
                <w:b/>
                <w:bCs/>
                <w:color w:val="000000"/>
                <w:sz w:val="22"/>
                <w:szCs w:val="22"/>
              </w:rPr>
            </w:pPr>
            <w:r w:rsidRPr="00741CC7">
              <w:rPr>
                <w:b/>
                <w:bCs/>
                <w:color w:val="000000"/>
                <w:sz w:val="22"/>
                <w:szCs w:val="22"/>
              </w:rPr>
              <w:t>Number of Notices</w:t>
            </w:r>
          </w:p>
        </w:tc>
        <w:tc>
          <w:tcPr>
            <w:tcW w:w="0" w:type="auto"/>
            <w:tcBorders>
              <w:top w:val="single" w:sz="4" w:space="0" w:color="auto"/>
              <w:left w:val="nil"/>
              <w:bottom w:val="single" w:sz="4" w:space="0" w:color="auto"/>
              <w:right w:val="single" w:sz="4" w:space="0" w:color="auto"/>
            </w:tcBorders>
            <w:vAlign w:val="center"/>
            <w:hideMark/>
          </w:tcPr>
          <w:p w:rsidR="00741CC7" w:rsidRPr="00741CC7" w:rsidP="00741CC7" w14:paraId="6DF3C767" w14:textId="77777777">
            <w:pPr>
              <w:widowControl/>
              <w:autoSpaceDE/>
              <w:autoSpaceDN/>
              <w:adjustRightInd/>
              <w:jc w:val="center"/>
              <w:rPr>
                <w:b/>
                <w:bCs/>
                <w:color w:val="000000"/>
                <w:sz w:val="22"/>
                <w:szCs w:val="22"/>
              </w:rPr>
            </w:pPr>
            <w:r w:rsidRPr="00741CC7">
              <w:rPr>
                <w:b/>
                <w:bCs/>
                <w:color w:val="000000"/>
                <w:sz w:val="22"/>
                <w:szCs w:val="22"/>
              </w:rPr>
              <w:t>Percent of Notices that will be mailed</w:t>
            </w:r>
          </w:p>
        </w:tc>
        <w:tc>
          <w:tcPr>
            <w:tcW w:w="0" w:type="auto"/>
            <w:tcBorders>
              <w:top w:val="single" w:sz="4" w:space="0" w:color="auto"/>
              <w:left w:val="nil"/>
              <w:bottom w:val="single" w:sz="4" w:space="0" w:color="auto"/>
              <w:right w:val="single" w:sz="4" w:space="0" w:color="auto"/>
            </w:tcBorders>
            <w:vAlign w:val="center"/>
            <w:hideMark/>
          </w:tcPr>
          <w:p w:rsidR="00741CC7" w:rsidRPr="00741CC7" w:rsidP="00741CC7" w14:paraId="3C35B4DA" w14:textId="77777777">
            <w:pPr>
              <w:widowControl/>
              <w:autoSpaceDE/>
              <w:autoSpaceDN/>
              <w:adjustRightInd/>
              <w:jc w:val="center"/>
              <w:rPr>
                <w:b/>
                <w:bCs/>
                <w:color w:val="000000"/>
                <w:sz w:val="22"/>
                <w:szCs w:val="22"/>
              </w:rPr>
            </w:pPr>
            <w:r w:rsidRPr="00741CC7">
              <w:rPr>
                <w:b/>
                <w:bCs/>
                <w:color w:val="000000"/>
                <w:sz w:val="22"/>
                <w:szCs w:val="22"/>
              </w:rPr>
              <w:t>Mailing Cost</w:t>
            </w:r>
          </w:p>
        </w:tc>
        <w:tc>
          <w:tcPr>
            <w:tcW w:w="0" w:type="auto"/>
            <w:tcBorders>
              <w:top w:val="single" w:sz="4" w:space="0" w:color="auto"/>
              <w:left w:val="nil"/>
              <w:bottom w:val="single" w:sz="4" w:space="0" w:color="auto"/>
              <w:right w:val="single" w:sz="4" w:space="0" w:color="auto"/>
            </w:tcBorders>
            <w:vAlign w:val="center"/>
            <w:hideMark/>
          </w:tcPr>
          <w:p w:rsidR="00741CC7" w:rsidRPr="00741CC7" w:rsidP="00741CC7" w14:paraId="7367E18A" w14:textId="77777777">
            <w:pPr>
              <w:widowControl/>
              <w:autoSpaceDE/>
              <w:autoSpaceDN/>
              <w:adjustRightInd/>
              <w:jc w:val="center"/>
              <w:rPr>
                <w:b/>
                <w:bCs/>
                <w:color w:val="000000"/>
                <w:sz w:val="22"/>
                <w:szCs w:val="22"/>
              </w:rPr>
            </w:pPr>
            <w:r w:rsidRPr="00741CC7">
              <w:rPr>
                <w:b/>
                <w:bCs/>
                <w:color w:val="000000"/>
                <w:sz w:val="22"/>
                <w:szCs w:val="22"/>
              </w:rPr>
              <w:t>Printing Cost</w:t>
            </w:r>
          </w:p>
        </w:tc>
        <w:tc>
          <w:tcPr>
            <w:tcW w:w="0" w:type="auto"/>
            <w:tcBorders>
              <w:top w:val="single" w:sz="4" w:space="0" w:color="auto"/>
              <w:left w:val="nil"/>
              <w:bottom w:val="single" w:sz="4" w:space="0" w:color="auto"/>
              <w:right w:val="single" w:sz="4" w:space="0" w:color="auto"/>
            </w:tcBorders>
            <w:vAlign w:val="center"/>
            <w:hideMark/>
          </w:tcPr>
          <w:p w:rsidR="00741CC7" w:rsidRPr="00741CC7" w:rsidP="00741CC7" w14:paraId="73445CDF" w14:textId="77777777">
            <w:pPr>
              <w:widowControl/>
              <w:autoSpaceDE/>
              <w:autoSpaceDN/>
              <w:adjustRightInd/>
              <w:jc w:val="center"/>
              <w:rPr>
                <w:b/>
                <w:bCs/>
                <w:color w:val="000000"/>
                <w:sz w:val="22"/>
                <w:szCs w:val="22"/>
              </w:rPr>
            </w:pPr>
            <w:r w:rsidRPr="00741CC7">
              <w:rPr>
                <w:b/>
                <w:bCs/>
                <w:color w:val="000000"/>
                <w:sz w:val="22"/>
                <w:szCs w:val="22"/>
              </w:rPr>
              <w:t xml:space="preserve"> Total Cost</w:t>
            </w:r>
          </w:p>
        </w:tc>
      </w:tr>
      <w:tr w14:paraId="21F55F45" w14:textId="77777777" w:rsidTr="00741CC7">
        <w:tblPrEx>
          <w:tblW w:w="0" w:type="auto"/>
          <w:tblLook w:val="04A0"/>
        </w:tblPrEx>
        <w:trPr>
          <w:trHeight w:val="290"/>
        </w:trPr>
        <w:tc>
          <w:tcPr>
            <w:tcW w:w="0" w:type="auto"/>
            <w:tcBorders>
              <w:top w:val="nil"/>
              <w:left w:val="single" w:sz="4" w:space="0" w:color="auto"/>
              <w:bottom w:val="single" w:sz="4" w:space="0" w:color="auto"/>
              <w:right w:val="single" w:sz="4" w:space="0" w:color="auto"/>
            </w:tcBorders>
            <w:noWrap/>
            <w:vAlign w:val="center"/>
            <w:hideMark/>
          </w:tcPr>
          <w:p w:rsidR="00741CC7" w:rsidRPr="00741CC7" w:rsidP="00741CC7" w14:paraId="79E53C50" w14:textId="77777777">
            <w:pPr>
              <w:widowControl/>
              <w:autoSpaceDE/>
              <w:autoSpaceDN/>
              <w:adjustRightInd/>
              <w:rPr>
                <w:color w:val="000000"/>
                <w:sz w:val="22"/>
                <w:szCs w:val="22"/>
              </w:rPr>
            </w:pPr>
            <w:r w:rsidRPr="00741CC7">
              <w:rPr>
                <w:color w:val="000000"/>
                <w:sz w:val="22"/>
                <w:szCs w:val="22"/>
              </w:rPr>
              <w:t> </w:t>
            </w:r>
          </w:p>
        </w:tc>
        <w:tc>
          <w:tcPr>
            <w:tcW w:w="0" w:type="auto"/>
            <w:tcBorders>
              <w:top w:val="nil"/>
              <w:left w:val="nil"/>
              <w:bottom w:val="single" w:sz="4" w:space="0" w:color="auto"/>
              <w:right w:val="single" w:sz="4" w:space="0" w:color="auto"/>
            </w:tcBorders>
            <w:vAlign w:val="center"/>
            <w:hideMark/>
          </w:tcPr>
          <w:p w:rsidR="00741CC7" w:rsidRPr="00741CC7" w:rsidP="00741CC7" w14:paraId="6A47C0CC" w14:textId="77777777">
            <w:pPr>
              <w:widowControl/>
              <w:autoSpaceDE/>
              <w:autoSpaceDN/>
              <w:adjustRightInd/>
              <w:jc w:val="center"/>
              <w:rPr>
                <w:b/>
                <w:bCs/>
                <w:color w:val="000000"/>
                <w:sz w:val="22"/>
                <w:szCs w:val="22"/>
              </w:rPr>
            </w:pPr>
            <w:r w:rsidRPr="00741CC7">
              <w:rPr>
                <w:b/>
                <w:bCs/>
                <w:color w:val="000000"/>
                <w:sz w:val="22"/>
                <w:szCs w:val="22"/>
              </w:rPr>
              <w:t>(A)</w:t>
            </w:r>
          </w:p>
        </w:tc>
        <w:tc>
          <w:tcPr>
            <w:tcW w:w="0" w:type="auto"/>
            <w:tcBorders>
              <w:top w:val="nil"/>
              <w:left w:val="nil"/>
              <w:bottom w:val="single" w:sz="4" w:space="0" w:color="auto"/>
              <w:right w:val="single" w:sz="4" w:space="0" w:color="auto"/>
            </w:tcBorders>
            <w:vAlign w:val="center"/>
            <w:hideMark/>
          </w:tcPr>
          <w:p w:rsidR="00741CC7" w:rsidRPr="00741CC7" w:rsidP="00741CC7" w14:paraId="5DBC3623" w14:textId="77777777">
            <w:pPr>
              <w:widowControl/>
              <w:autoSpaceDE/>
              <w:autoSpaceDN/>
              <w:adjustRightInd/>
              <w:jc w:val="center"/>
              <w:rPr>
                <w:b/>
                <w:bCs/>
                <w:color w:val="000000"/>
                <w:sz w:val="22"/>
                <w:szCs w:val="22"/>
              </w:rPr>
            </w:pPr>
            <w:r w:rsidRPr="00741CC7">
              <w:rPr>
                <w:b/>
                <w:bCs/>
                <w:color w:val="000000"/>
                <w:sz w:val="22"/>
                <w:szCs w:val="22"/>
              </w:rPr>
              <w:t>(B)</w:t>
            </w:r>
          </w:p>
        </w:tc>
        <w:tc>
          <w:tcPr>
            <w:tcW w:w="0" w:type="auto"/>
            <w:tcBorders>
              <w:top w:val="nil"/>
              <w:left w:val="nil"/>
              <w:bottom w:val="single" w:sz="4" w:space="0" w:color="auto"/>
              <w:right w:val="single" w:sz="4" w:space="0" w:color="auto"/>
            </w:tcBorders>
            <w:vAlign w:val="center"/>
            <w:hideMark/>
          </w:tcPr>
          <w:p w:rsidR="00741CC7" w:rsidRPr="00741CC7" w:rsidP="00741CC7" w14:paraId="1875C95D" w14:textId="77777777">
            <w:pPr>
              <w:widowControl/>
              <w:autoSpaceDE/>
              <w:autoSpaceDN/>
              <w:adjustRightInd/>
              <w:jc w:val="center"/>
              <w:rPr>
                <w:b/>
                <w:bCs/>
                <w:color w:val="000000"/>
                <w:sz w:val="22"/>
                <w:szCs w:val="22"/>
              </w:rPr>
            </w:pPr>
            <w:r w:rsidRPr="00741CC7">
              <w:rPr>
                <w:b/>
                <w:bCs/>
                <w:color w:val="000000"/>
                <w:sz w:val="22"/>
                <w:szCs w:val="22"/>
              </w:rPr>
              <w:t>(C)</w:t>
            </w:r>
          </w:p>
        </w:tc>
        <w:tc>
          <w:tcPr>
            <w:tcW w:w="0" w:type="auto"/>
            <w:tcBorders>
              <w:top w:val="nil"/>
              <w:left w:val="nil"/>
              <w:bottom w:val="single" w:sz="4" w:space="0" w:color="auto"/>
              <w:right w:val="single" w:sz="4" w:space="0" w:color="auto"/>
            </w:tcBorders>
            <w:vAlign w:val="center"/>
            <w:hideMark/>
          </w:tcPr>
          <w:p w:rsidR="00741CC7" w:rsidRPr="00741CC7" w:rsidP="00741CC7" w14:paraId="79BAB6CB" w14:textId="77777777">
            <w:pPr>
              <w:widowControl/>
              <w:autoSpaceDE/>
              <w:autoSpaceDN/>
              <w:adjustRightInd/>
              <w:jc w:val="center"/>
              <w:rPr>
                <w:b/>
                <w:bCs/>
                <w:color w:val="000000"/>
                <w:sz w:val="22"/>
                <w:szCs w:val="22"/>
              </w:rPr>
            </w:pPr>
            <w:r w:rsidRPr="00741CC7">
              <w:rPr>
                <w:b/>
                <w:bCs/>
                <w:color w:val="000000"/>
                <w:sz w:val="22"/>
                <w:szCs w:val="22"/>
              </w:rPr>
              <w:t>(D)</w:t>
            </w:r>
          </w:p>
        </w:tc>
        <w:tc>
          <w:tcPr>
            <w:tcW w:w="0" w:type="auto"/>
            <w:tcBorders>
              <w:top w:val="nil"/>
              <w:left w:val="nil"/>
              <w:bottom w:val="single" w:sz="4" w:space="0" w:color="auto"/>
              <w:right w:val="single" w:sz="4" w:space="0" w:color="auto"/>
            </w:tcBorders>
            <w:vAlign w:val="center"/>
            <w:hideMark/>
          </w:tcPr>
          <w:p w:rsidR="00741CC7" w:rsidRPr="00741CC7" w:rsidP="00741CC7" w14:paraId="0B038AED" w14:textId="77777777">
            <w:pPr>
              <w:widowControl/>
              <w:autoSpaceDE/>
              <w:autoSpaceDN/>
              <w:adjustRightInd/>
              <w:jc w:val="center"/>
              <w:rPr>
                <w:b/>
                <w:bCs/>
                <w:color w:val="000000"/>
                <w:sz w:val="22"/>
                <w:szCs w:val="22"/>
              </w:rPr>
            </w:pPr>
            <w:r w:rsidRPr="00741CC7">
              <w:rPr>
                <w:b/>
                <w:bCs/>
                <w:color w:val="000000"/>
                <w:sz w:val="22"/>
                <w:szCs w:val="22"/>
              </w:rPr>
              <w:t>[A x B x (C x D)]</w:t>
            </w:r>
          </w:p>
        </w:tc>
      </w:tr>
      <w:tr w14:paraId="132DD7FC" w14:textId="77777777" w:rsidTr="00741CC7">
        <w:tblPrEx>
          <w:tblW w:w="0" w:type="auto"/>
          <w:tblLook w:val="04A0"/>
        </w:tblPrEx>
        <w:trPr>
          <w:trHeight w:val="290"/>
        </w:trPr>
        <w:tc>
          <w:tcPr>
            <w:tcW w:w="0" w:type="auto"/>
            <w:gridSpan w:val="6"/>
            <w:tcBorders>
              <w:top w:val="single" w:sz="4" w:space="0" w:color="auto"/>
              <w:left w:val="single" w:sz="4" w:space="0" w:color="auto"/>
              <w:bottom w:val="single" w:sz="4" w:space="0" w:color="auto"/>
              <w:right w:val="single" w:sz="4" w:space="0" w:color="000000"/>
            </w:tcBorders>
            <w:noWrap/>
            <w:vAlign w:val="center"/>
            <w:hideMark/>
          </w:tcPr>
          <w:p w:rsidR="00741CC7" w:rsidRPr="00741CC7" w:rsidP="00741CC7" w14:paraId="5D54A43E" w14:textId="77777777">
            <w:pPr>
              <w:widowControl/>
              <w:autoSpaceDE/>
              <w:autoSpaceDN/>
              <w:adjustRightInd/>
              <w:rPr>
                <w:b/>
                <w:bCs/>
                <w:color w:val="000000"/>
                <w:sz w:val="22"/>
                <w:szCs w:val="22"/>
                <w:u w:val="single"/>
              </w:rPr>
            </w:pPr>
            <w:r w:rsidRPr="00741CC7">
              <w:rPr>
                <w:b/>
                <w:bCs/>
                <w:color w:val="000000"/>
                <w:sz w:val="22"/>
                <w:szCs w:val="22"/>
                <w:u w:val="single"/>
              </w:rPr>
              <w:t>Open Negotiation Notice and Response</w:t>
            </w:r>
          </w:p>
        </w:tc>
      </w:tr>
      <w:tr w14:paraId="57EC0DA8" w14:textId="77777777" w:rsidTr="00741CC7">
        <w:tblPrEx>
          <w:tblW w:w="0" w:type="auto"/>
          <w:tblLook w:val="04A0"/>
        </w:tblPrEx>
        <w:trPr>
          <w:trHeight w:val="560"/>
        </w:trPr>
        <w:tc>
          <w:tcPr>
            <w:tcW w:w="0" w:type="auto"/>
            <w:tcBorders>
              <w:top w:val="nil"/>
              <w:left w:val="single" w:sz="4" w:space="0" w:color="auto"/>
              <w:bottom w:val="single" w:sz="4" w:space="0" w:color="auto"/>
              <w:right w:val="single" w:sz="4" w:space="0" w:color="auto"/>
            </w:tcBorders>
            <w:vAlign w:val="center"/>
            <w:hideMark/>
          </w:tcPr>
          <w:p w:rsidR="00741CC7" w:rsidRPr="00741CC7" w:rsidP="00741CC7" w14:paraId="60C3A2E1" w14:textId="77777777">
            <w:pPr>
              <w:widowControl/>
              <w:autoSpaceDE/>
              <w:autoSpaceDN/>
              <w:adjustRightInd/>
              <w:rPr>
                <w:color w:val="000000"/>
                <w:sz w:val="22"/>
                <w:szCs w:val="22"/>
              </w:rPr>
            </w:pPr>
            <w:r w:rsidRPr="00741CC7">
              <w:rPr>
                <w:color w:val="000000"/>
                <w:sz w:val="22"/>
                <w:szCs w:val="22"/>
              </w:rPr>
              <w:t>Clerical workers submit open negotiation notice</w:t>
            </w:r>
          </w:p>
        </w:tc>
        <w:tc>
          <w:tcPr>
            <w:tcW w:w="0" w:type="auto"/>
            <w:tcBorders>
              <w:top w:val="nil"/>
              <w:left w:val="nil"/>
              <w:bottom w:val="single" w:sz="4" w:space="0" w:color="auto"/>
              <w:right w:val="single" w:sz="4" w:space="0" w:color="auto"/>
            </w:tcBorders>
            <w:noWrap/>
            <w:vAlign w:val="center"/>
            <w:hideMark/>
          </w:tcPr>
          <w:p w:rsidR="00741CC7" w:rsidRPr="00741CC7" w:rsidP="00741CC7" w14:paraId="4C4C84C1" w14:textId="77777777">
            <w:pPr>
              <w:widowControl/>
              <w:autoSpaceDE/>
              <w:autoSpaceDN/>
              <w:adjustRightInd/>
              <w:jc w:val="center"/>
              <w:rPr>
                <w:color w:val="000000"/>
                <w:sz w:val="22"/>
                <w:szCs w:val="22"/>
              </w:rPr>
            </w:pPr>
            <w:r w:rsidRPr="00741CC7">
              <w:rPr>
                <w:color w:val="000000"/>
                <w:sz w:val="22"/>
                <w:szCs w:val="22"/>
              </w:rPr>
              <w:t>3,900,000</w:t>
            </w:r>
          </w:p>
        </w:tc>
        <w:tc>
          <w:tcPr>
            <w:tcW w:w="0" w:type="auto"/>
            <w:tcBorders>
              <w:top w:val="nil"/>
              <w:left w:val="nil"/>
              <w:bottom w:val="single" w:sz="4" w:space="0" w:color="auto"/>
              <w:right w:val="single" w:sz="4" w:space="0" w:color="auto"/>
            </w:tcBorders>
            <w:noWrap/>
            <w:vAlign w:val="center"/>
            <w:hideMark/>
          </w:tcPr>
          <w:p w:rsidR="00741CC7" w:rsidRPr="00741CC7" w:rsidP="00741CC7" w14:paraId="2E8DB2FC" w14:textId="77777777">
            <w:pPr>
              <w:widowControl/>
              <w:autoSpaceDE/>
              <w:autoSpaceDN/>
              <w:adjustRightInd/>
              <w:jc w:val="center"/>
              <w:rPr>
                <w:color w:val="000000"/>
                <w:sz w:val="22"/>
                <w:szCs w:val="22"/>
              </w:rPr>
            </w:pPr>
            <w:r w:rsidRPr="00741CC7">
              <w:rPr>
                <w:color w:val="000000"/>
                <w:sz w:val="22"/>
                <w:szCs w:val="22"/>
              </w:rPr>
              <w:t>5%</w:t>
            </w:r>
          </w:p>
        </w:tc>
        <w:tc>
          <w:tcPr>
            <w:tcW w:w="0" w:type="auto"/>
            <w:tcBorders>
              <w:top w:val="nil"/>
              <w:left w:val="nil"/>
              <w:bottom w:val="single" w:sz="4" w:space="0" w:color="auto"/>
              <w:right w:val="single" w:sz="4" w:space="0" w:color="auto"/>
            </w:tcBorders>
            <w:noWrap/>
            <w:vAlign w:val="center"/>
            <w:hideMark/>
          </w:tcPr>
          <w:p w:rsidR="00741CC7" w:rsidRPr="00741CC7" w:rsidP="00741CC7" w14:paraId="0D184358" w14:textId="77777777">
            <w:pPr>
              <w:widowControl/>
              <w:autoSpaceDE/>
              <w:autoSpaceDN/>
              <w:adjustRightInd/>
              <w:jc w:val="center"/>
              <w:rPr>
                <w:color w:val="000000"/>
                <w:sz w:val="22"/>
                <w:szCs w:val="22"/>
              </w:rPr>
            </w:pPr>
            <w:r w:rsidRPr="00741CC7">
              <w:rPr>
                <w:color w:val="000000"/>
                <w:sz w:val="22"/>
                <w:szCs w:val="22"/>
              </w:rPr>
              <w:t>$1.00</w:t>
            </w:r>
          </w:p>
        </w:tc>
        <w:tc>
          <w:tcPr>
            <w:tcW w:w="0" w:type="auto"/>
            <w:tcBorders>
              <w:top w:val="nil"/>
              <w:left w:val="nil"/>
              <w:bottom w:val="single" w:sz="4" w:space="0" w:color="auto"/>
              <w:right w:val="single" w:sz="4" w:space="0" w:color="auto"/>
            </w:tcBorders>
            <w:noWrap/>
            <w:vAlign w:val="center"/>
            <w:hideMark/>
          </w:tcPr>
          <w:p w:rsidR="00741CC7" w:rsidRPr="00741CC7" w:rsidP="00741CC7" w14:paraId="76DC399E" w14:textId="77777777">
            <w:pPr>
              <w:widowControl/>
              <w:autoSpaceDE/>
              <w:autoSpaceDN/>
              <w:adjustRightInd/>
              <w:jc w:val="center"/>
              <w:rPr>
                <w:color w:val="000000"/>
                <w:sz w:val="22"/>
                <w:szCs w:val="22"/>
              </w:rPr>
            </w:pPr>
            <w:r w:rsidRPr="00741CC7">
              <w:rPr>
                <w:color w:val="000000"/>
                <w:sz w:val="22"/>
                <w:szCs w:val="22"/>
              </w:rPr>
              <w:t>$0.05</w:t>
            </w:r>
          </w:p>
        </w:tc>
        <w:tc>
          <w:tcPr>
            <w:tcW w:w="0" w:type="auto"/>
            <w:tcBorders>
              <w:top w:val="nil"/>
              <w:left w:val="nil"/>
              <w:bottom w:val="single" w:sz="4" w:space="0" w:color="auto"/>
              <w:right w:val="single" w:sz="4" w:space="0" w:color="auto"/>
            </w:tcBorders>
            <w:noWrap/>
            <w:vAlign w:val="center"/>
            <w:hideMark/>
          </w:tcPr>
          <w:p w:rsidR="00741CC7" w:rsidRPr="00741CC7" w:rsidP="00741CC7" w14:paraId="799B5A81" w14:textId="77777777">
            <w:pPr>
              <w:widowControl/>
              <w:autoSpaceDE/>
              <w:autoSpaceDN/>
              <w:adjustRightInd/>
              <w:jc w:val="center"/>
              <w:rPr>
                <w:color w:val="000000"/>
                <w:sz w:val="22"/>
                <w:szCs w:val="22"/>
              </w:rPr>
            </w:pPr>
            <w:r w:rsidRPr="00741CC7">
              <w:rPr>
                <w:color w:val="000000"/>
                <w:sz w:val="22"/>
                <w:szCs w:val="22"/>
              </w:rPr>
              <w:t>$204,750</w:t>
            </w:r>
          </w:p>
        </w:tc>
      </w:tr>
      <w:tr w14:paraId="7073322F" w14:textId="77777777" w:rsidTr="00741CC7">
        <w:tblPrEx>
          <w:tblW w:w="0" w:type="auto"/>
          <w:tblLook w:val="04A0"/>
        </w:tblPrEx>
        <w:trPr>
          <w:trHeight w:val="560"/>
        </w:trPr>
        <w:tc>
          <w:tcPr>
            <w:tcW w:w="0" w:type="auto"/>
            <w:tcBorders>
              <w:top w:val="nil"/>
              <w:left w:val="single" w:sz="4" w:space="0" w:color="auto"/>
              <w:bottom w:val="single" w:sz="4" w:space="0" w:color="auto"/>
              <w:right w:val="single" w:sz="4" w:space="0" w:color="auto"/>
            </w:tcBorders>
            <w:vAlign w:val="center"/>
            <w:hideMark/>
          </w:tcPr>
          <w:p w:rsidR="00741CC7" w:rsidRPr="00741CC7" w:rsidP="00741CC7" w14:paraId="15D4DD8B" w14:textId="77777777">
            <w:pPr>
              <w:widowControl/>
              <w:autoSpaceDE/>
              <w:autoSpaceDN/>
              <w:adjustRightInd/>
              <w:rPr>
                <w:color w:val="000000"/>
                <w:sz w:val="22"/>
                <w:szCs w:val="22"/>
              </w:rPr>
            </w:pPr>
            <w:r w:rsidRPr="00741CC7">
              <w:rPr>
                <w:color w:val="000000"/>
                <w:sz w:val="22"/>
                <w:szCs w:val="22"/>
              </w:rPr>
              <w:t xml:space="preserve">Clerical workers submit open negotiation response </w:t>
            </w:r>
          </w:p>
        </w:tc>
        <w:tc>
          <w:tcPr>
            <w:tcW w:w="0" w:type="auto"/>
            <w:tcBorders>
              <w:top w:val="nil"/>
              <w:left w:val="nil"/>
              <w:bottom w:val="single" w:sz="4" w:space="0" w:color="auto"/>
              <w:right w:val="single" w:sz="4" w:space="0" w:color="auto"/>
            </w:tcBorders>
            <w:noWrap/>
            <w:vAlign w:val="center"/>
            <w:hideMark/>
          </w:tcPr>
          <w:p w:rsidR="00741CC7" w:rsidRPr="00741CC7" w:rsidP="00741CC7" w14:paraId="2243EC79" w14:textId="77777777">
            <w:pPr>
              <w:widowControl/>
              <w:autoSpaceDE/>
              <w:autoSpaceDN/>
              <w:adjustRightInd/>
              <w:jc w:val="center"/>
              <w:rPr>
                <w:color w:val="000000"/>
                <w:sz w:val="22"/>
                <w:szCs w:val="22"/>
              </w:rPr>
            </w:pPr>
            <w:r w:rsidRPr="00741CC7">
              <w:rPr>
                <w:color w:val="000000"/>
                <w:sz w:val="22"/>
                <w:szCs w:val="22"/>
              </w:rPr>
              <w:t>7,800,000</w:t>
            </w:r>
          </w:p>
        </w:tc>
        <w:tc>
          <w:tcPr>
            <w:tcW w:w="0" w:type="auto"/>
            <w:tcBorders>
              <w:top w:val="nil"/>
              <w:left w:val="nil"/>
              <w:bottom w:val="single" w:sz="4" w:space="0" w:color="auto"/>
              <w:right w:val="single" w:sz="4" w:space="0" w:color="auto"/>
            </w:tcBorders>
            <w:noWrap/>
            <w:vAlign w:val="center"/>
            <w:hideMark/>
          </w:tcPr>
          <w:p w:rsidR="00741CC7" w:rsidRPr="00741CC7" w:rsidP="00741CC7" w14:paraId="22D3A2AB" w14:textId="77777777">
            <w:pPr>
              <w:widowControl/>
              <w:autoSpaceDE/>
              <w:autoSpaceDN/>
              <w:adjustRightInd/>
              <w:jc w:val="center"/>
              <w:rPr>
                <w:color w:val="000000"/>
                <w:sz w:val="22"/>
                <w:szCs w:val="22"/>
              </w:rPr>
            </w:pPr>
            <w:r w:rsidRPr="00741CC7">
              <w:rPr>
                <w:color w:val="000000"/>
                <w:sz w:val="22"/>
                <w:szCs w:val="22"/>
              </w:rPr>
              <w:t>5%</w:t>
            </w:r>
          </w:p>
        </w:tc>
        <w:tc>
          <w:tcPr>
            <w:tcW w:w="0" w:type="auto"/>
            <w:tcBorders>
              <w:top w:val="nil"/>
              <w:left w:val="nil"/>
              <w:bottom w:val="single" w:sz="4" w:space="0" w:color="auto"/>
              <w:right w:val="single" w:sz="4" w:space="0" w:color="auto"/>
            </w:tcBorders>
            <w:noWrap/>
            <w:vAlign w:val="center"/>
            <w:hideMark/>
          </w:tcPr>
          <w:p w:rsidR="00741CC7" w:rsidRPr="00741CC7" w:rsidP="00741CC7" w14:paraId="2C144341" w14:textId="77777777">
            <w:pPr>
              <w:widowControl/>
              <w:autoSpaceDE/>
              <w:autoSpaceDN/>
              <w:adjustRightInd/>
              <w:jc w:val="center"/>
              <w:rPr>
                <w:color w:val="000000"/>
                <w:sz w:val="22"/>
                <w:szCs w:val="22"/>
              </w:rPr>
            </w:pPr>
            <w:r w:rsidRPr="00741CC7">
              <w:rPr>
                <w:color w:val="000000"/>
                <w:sz w:val="22"/>
                <w:szCs w:val="22"/>
              </w:rPr>
              <w:t>$1.00</w:t>
            </w:r>
          </w:p>
        </w:tc>
        <w:tc>
          <w:tcPr>
            <w:tcW w:w="0" w:type="auto"/>
            <w:tcBorders>
              <w:top w:val="nil"/>
              <w:left w:val="nil"/>
              <w:bottom w:val="single" w:sz="4" w:space="0" w:color="auto"/>
              <w:right w:val="single" w:sz="4" w:space="0" w:color="auto"/>
            </w:tcBorders>
            <w:noWrap/>
            <w:vAlign w:val="center"/>
            <w:hideMark/>
          </w:tcPr>
          <w:p w:rsidR="00741CC7" w:rsidRPr="00741CC7" w:rsidP="00741CC7" w14:paraId="2064D2E2" w14:textId="77777777">
            <w:pPr>
              <w:widowControl/>
              <w:autoSpaceDE/>
              <w:autoSpaceDN/>
              <w:adjustRightInd/>
              <w:jc w:val="center"/>
              <w:rPr>
                <w:color w:val="000000"/>
                <w:sz w:val="22"/>
                <w:szCs w:val="22"/>
              </w:rPr>
            </w:pPr>
            <w:r w:rsidRPr="00741CC7">
              <w:rPr>
                <w:color w:val="000000"/>
                <w:sz w:val="22"/>
                <w:szCs w:val="22"/>
              </w:rPr>
              <w:t>$0.05</w:t>
            </w:r>
          </w:p>
        </w:tc>
        <w:tc>
          <w:tcPr>
            <w:tcW w:w="0" w:type="auto"/>
            <w:tcBorders>
              <w:top w:val="nil"/>
              <w:left w:val="nil"/>
              <w:bottom w:val="single" w:sz="4" w:space="0" w:color="auto"/>
              <w:right w:val="single" w:sz="4" w:space="0" w:color="auto"/>
            </w:tcBorders>
            <w:noWrap/>
            <w:vAlign w:val="center"/>
            <w:hideMark/>
          </w:tcPr>
          <w:p w:rsidR="00741CC7" w:rsidRPr="00741CC7" w:rsidP="00741CC7" w14:paraId="56FAD967" w14:textId="77777777">
            <w:pPr>
              <w:widowControl/>
              <w:autoSpaceDE/>
              <w:autoSpaceDN/>
              <w:adjustRightInd/>
              <w:jc w:val="center"/>
              <w:rPr>
                <w:color w:val="000000"/>
                <w:sz w:val="22"/>
                <w:szCs w:val="22"/>
              </w:rPr>
            </w:pPr>
            <w:r w:rsidRPr="00741CC7">
              <w:rPr>
                <w:color w:val="000000"/>
                <w:sz w:val="22"/>
                <w:szCs w:val="22"/>
              </w:rPr>
              <w:t>$409,500</w:t>
            </w:r>
          </w:p>
        </w:tc>
      </w:tr>
      <w:tr w14:paraId="0FF60F9D" w14:textId="77777777" w:rsidTr="00741CC7">
        <w:tblPrEx>
          <w:tblW w:w="0" w:type="auto"/>
          <w:tblLook w:val="04A0"/>
        </w:tblPrEx>
        <w:trPr>
          <w:trHeight w:val="290"/>
        </w:trPr>
        <w:tc>
          <w:tcPr>
            <w:tcW w:w="0" w:type="auto"/>
            <w:gridSpan w:val="6"/>
            <w:tcBorders>
              <w:top w:val="single" w:sz="4" w:space="0" w:color="auto"/>
              <w:left w:val="single" w:sz="4" w:space="0" w:color="auto"/>
              <w:bottom w:val="single" w:sz="4" w:space="0" w:color="auto"/>
              <w:right w:val="single" w:sz="4" w:space="0" w:color="000000"/>
            </w:tcBorders>
            <w:vAlign w:val="center"/>
            <w:hideMark/>
          </w:tcPr>
          <w:p w:rsidR="00741CC7" w:rsidRPr="00741CC7" w:rsidP="00741CC7" w14:paraId="0E593940" w14:textId="77777777">
            <w:pPr>
              <w:widowControl/>
              <w:autoSpaceDE/>
              <w:autoSpaceDN/>
              <w:adjustRightInd/>
              <w:rPr>
                <w:b/>
                <w:bCs/>
                <w:color w:val="000000"/>
                <w:sz w:val="22"/>
                <w:szCs w:val="22"/>
                <w:u w:val="single"/>
              </w:rPr>
            </w:pPr>
            <w:r w:rsidRPr="00741CC7">
              <w:rPr>
                <w:b/>
                <w:bCs/>
                <w:color w:val="000000"/>
                <w:sz w:val="22"/>
                <w:szCs w:val="22"/>
                <w:u w:val="single"/>
              </w:rPr>
              <w:t>IDR Initiation Notice and Response</w:t>
            </w:r>
          </w:p>
        </w:tc>
      </w:tr>
      <w:tr w14:paraId="69A498BA" w14:textId="77777777" w:rsidTr="00741CC7">
        <w:tblPrEx>
          <w:tblW w:w="0" w:type="auto"/>
          <w:tblLook w:val="04A0"/>
        </w:tblPrEx>
        <w:trPr>
          <w:trHeight w:val="560"/>
        </w:trPr>
        <w:tc>
          <w:tcPr>
            <w:tcW w:w="0" w:type="auto"/>
            <w:tcBorders>
              <w:top w:val="nil"/>
              <w:left w:val="single" w:sz="4" w:space="0" w:color="auto"/>
              <w:bottom w:val="single" w:sz="4" w:space="0" w:color="auto"/>
              <w:right w:val="single" w:sz="4" w:space="0" w:color="auto"/>
            </w:tcBorders>
            <w:vAlign w:val="center"/>
            <w:hideMark/>
          </w:tcPr>
          <w:p w:rsidR="00741CC7" w:rsidRPr="00741CC7" w:rsidP="00741CC7" w14:paraId="6DC1B8D3" w14:textId="77777777">
            <w:pPr>
              <w:widowControl/>
              <w:autoSpaceDE/>
              <w:autoSpaceDN/>
              <w:adjustRightInd/>
              <w:rPr>
                <w:color w:val="000000"/>
                <w:sz w:val="22"/>
                <w:szCs w:val="22"/>
              </w:rPr>
            </w:pPr>
            <w:r w:rsidRPr="00741CC7">
              <w:rPr>
                <w:color w:val="000000"/>
                <w:sz w:val="22"/>
                <w:szCs w:val="22"/>
              </w:rPr>
              <w:t>Clerical workers submit IDR initiation notice</w:t>
            </w:r>
          </w:p>
        </w:tc>
        <w:tc>
          <w:tcPr>
            <w:tcW w:w="0" w:type="auto"/>
            <w:tcBorders>
              <w:top w:val="nil"/>
              <w:left w:val="nil"/>
              <w:bottom w:val="single" w:sz="4" w:space="0" w:color="auto"/>
              <w:right w:val="single" w:sz="4" w:space="0" w:color="auto"/>
            </w:tcBorders>
            <w:noWrap/>
            <w:vAlign w:val="center"/>
            <w:hideMark/>
          </w:tcPr>
          <w:p w:rsidR="00741CC7" w:rsidRPr="00741CC7" w:rsidP="00741CC7" w14:paraId="3BDC58BC" w14:textId="77777777">
            <w:pPr>
              <w:widowControl/>
              <w:autoSpaceDE/>
              <w:autoSpaceDN/>
              <w:adjustRightInd/>
              <w:jc w:val="center"/>
              <w:rPr>
                <w:color w:val="000000"/>
                <w:sz w:val="22"/>
                <w:szCs w:val="22"/>
              </w:rPr>
            </w:pPr>
            <w:r w:rsidRPr="00741CC7">
              <w:rPr>
                <w:color w:val="000000"/>
                <w:sz w:val="22"/>
                <w:szCs w:val="22"/>
              </w:rPr>
              <w:t>2,600,000</w:t>
            </w:r>
          </w:p>
        </w:tc>
        <w:tc>
          <w:tcPr>
            <w:tcW w:w="0" w:type="auto"/>
            <w:tcBorders>
              <w:top w:val="nil"/>
              <w:left w:val="nil"/>
              <w:bottom w:val="single" w:sz="4" w:space="0" w:color="auto"/>
              <w:right w:val="single" w:sz="4" w:space="0" w:color="auto"/>
            </w:tcBorders>
            <w:noWrap/>
            <w:vAlign w:val="center"/>
            <w:hideMark/>
          </w:tcPr>
          <w:p w:rsidR="00741CC7" w:rsidRPr="00741CC7" w:rsidP="00741CC7" w14:paraId="0F44F54C" w14:textId="77777777">
            <w:pPr>
              <w:widowControl/>
              <w:autoSpaceDE/>
              <w:autoSpaceDN/>
              <w:adjustRightInd/>
              <w:jc w:val="center"/>
              <w:rPr>
                <w:color w:val="000000"/>
                <w:sz w:val="22"/>
                <w:szCs w:val="22"/>
              </w:rPr>
            </w:pPr>
            <w:r w:rsidRPr="00741CC7">
              <w:rPr>
                <w:color w:val="000000"/>
                <w:sz w:val="22"/>
                <w:szCs w:val="22"/>
              </w:rPr>
              <w:t>5%</w:t>
            </w:r>
          </w:p>
        </w:tc>
        <w:tc>
          <w:tcPr>
            <w:tcW w:w="0" w:type="auto"/>
            <w:tcBorders>
              <w:top w:val="nil"/>
              <w:left w:val="nil"/>
              <w:bottom w:val="single" w:sz="4" w:space="0" w:color="auto"/>
              <w:right w:val="single" w:sz="4" w:space="0" w:color="auto"/>
            </w:tcBorders>
            <w:noWrap/>
            <w:vAlign w:val="center"/>
            <w:hideMark/>
          </w:tcPr>
          <w:p w:rsidR="00741CC7" w:rsidRPr="00741CC7" w:rsidP="00741CC7" w14:paraId="638325A5" w14:textId="77777777">
            <w:pPr>
              <w:widowControl/>
              <w:autoSpaceDE/>
              <w:autoSpaceDN/>
              <w:adjustRightInd/>
              <w:jc w:val="center"/>
              <w:rPr>
                <w:color w:val="000000"/>
                <w:sz w:val="22"/>
                <w:szCs w:val="22"/>
              </w:rPr>
            </w:pPr>
            <w:r w:rsidRPr="00741CC7">
              <w:rPr>
                <w:color w:val="000000"/>
                <w:sz w:val="22"/>
                <w:szCs w:val="22"/>
              </w:rPr>
              <w:t>$1.00</w:t>
            </w:r>
          </w:p>
        </w:tc>
        <w:tc>
          <w:tcPr>
            <w:tcW w:w="0" w:type="auto"/>
            <w:tcBorders>
              <w:top w:val="nil"/>
              <w:left w:val="nil"/>
              <w:bottom w:val="single" w:sz="4" w:space="0" w:color="auto"/>
              <w:right w:val="single" w:sz="4" w:space="0" w:color="auto"/>
            </w:tcBorders>
            <w:noWrap/>
            <w:vAlign w:val="center"/>
            <w:hideMark/>
          </w:tcPr>
          <w:p w:rsidR="00741CC7" w:rsidRPr="00741CC7" w:rsidP="00741CC7" w14:paraId="39481E42" w14:textId="77777777">
            <w:pPr>
              <w:widowControl/>
              <w:autoSpaceDE/>
              <w:autoSpaceDN/>
              <w:adjustRightInd/>
              <w:jc w:val="center"/>
              <w:rPr>
                <w:color w:val="000000"/>
                <w:sz w:val="22"/>
                <w:szCs w:val="22"/>
              </w:rPr>
            </w:pPr>
            <w:r w:rsidRPr="00741CC7">
              <w:rPr>
                <w:color w:val="000000"/>
                <w:sz w:val="22"/>
                <w:szCs w:val="22"/>
              </w:rPr>
              <w:t>$0.05</w:t>
            </w:r>
          </w:p>
        </w:tc>
        <w:tc>
          <w:tcPr>
            <w:tcW w:w="0" w:type="auto"/>
            <w:tcBorders>
              <w:top w:val="nil"/>
              <w:left w:val="nil"/>
              <w:bottom w:val="single" w:sz="4" w:space="0" w:color="auto"/>
              <w:right w:val="single" w:sz="4" w:space="0" w:color="auto"/>
            </w:tcBorders>
            <w:noWrap/>
            <w:vAlign w:val="center"/>
            <w:hideMark/>
          </w:tcPr>
          <w:p w:rsidR="00741CC7" w:rsidRPr="00741CC7" w:rsidP="00741CC7" w14:paraId="1EBD925C" w14:textId="77777777">
            <w:pPr>
              <w:widowControl/>
              <w:autoSpaceDE/>
              <w:autoSpaceDN/>
              <w:adjustRightInd/>
              <w:jc w:val="center"/>
              <w:rPr>
                <w:color w:val="000000"/>
                <w:sz w:val="22"/>
                <w:szCs w:val="22"/>
              </w:rPr>
            </w:pPr>
            <w:r w:rsidRPr="00741CC7">
              <w:rPr>
                <w:color w:val="000000"/>
                <w:sz w:val="22"/>
                <w:szCs w:val="22"/>
              </w:rPr>
              <w:t>$136,500</w:t>
            </w:r>
          </w:p>
        </w:tc>
      </w:tr>
      <w:tr w14:paraId="49E965DD" w14:textId="77777777" w:rsidTr="00741CC7">
        <w:tblPrEx>
          <w:tblW w:w="0" w:type="auto"/>
          <w:tblLook w:val="04A0"/>
        </w:tblPrEx>
        <w:trPr>
          <w:trHeight w:val="840"/>
        </w:trPr>
        <w:tc>
          <w:tcPr>
            <w:tcW w:w="0" w:type="auto"/>
            <w:tcBorders>
              <w:top w:val="nil"/>
              <w:left w:val="single" w:sz="4" w:space="0" w:color="auto"/>
              <w:bottom w:val="single" w:sz="4" w:space="0" w:color="auto"/>
              <w:right w:val="single" w:sz="4" w:space="0" w:color="auto"/>
            </w:tcBorders>
            <w:vAlign w:val="center"/>
            <w:hideMark/>
          </w:tcPr>
          <w:p w:rsidR="00741CC7" w:rsidRPr="00741CC7" w:rsidP="00741CC7" w14:paraId="6A841872" w14:textId="77777777">
            <w:pPr>
              <w:widowControl/>
              <w:autoSpaceDE/>
              <w:autoSpaceDN/>
              <w:adjustRightInd/>
              <w:rPr>
                <w:color w:val="000000"/>
                <w:sz w:val="22"/>
                <w:szCs w:val="22"/>
              </w:rPr>
            </w:pPr>
            <w:r w:rsidRPr="00741CC7">
              <w:rPr>
                <w:color w:val="000000"/>
                <w:sz w:val="22"/>
                <w:szCs w:val="22"/>
              </w:rPr>
              <w:t xml:space="preserve">Clerical workers submit additional material for IDR initiation notice and IDR initiation response </w:t>
            </w:r>
          </w:p>
        </w:tc>
        <w:tc>
          <w:tcPr>
            <w:tcW w:w="0" w:type="auto"/>
            <w:tcBorders>
              <w:top w:val="nil"/>
              <w:left w:val="nil"/>
              <w:bottom w:val="single" w:sz="4" w:space="0" w:color="auto"/>
              <w:right w:val="single" w:sz="4" w:space="0" w:color="auto"/>
            </w:tcBorders>
            <w:noWrap/>
            <w:vAlign w:val="center"/>
            <w:hideMark/>
          </w:tcPr>
          <w:p w:rsidR="00741CC7" w:rsidRPr="00741CC7" w:rsidP="00741CC7" w14:paraId="68AAB76F" w14:textId="77777777">
            <w:pPr>
              <w:widowControl/>
              <w:autoSpaceDE/>
              <w:autoSpaceDN/>
              <w:adjustRightInd/>
              <w:jc w:val="center"/>
              <w:rPr>
                <w:color w:val="000000"/>
                <w:sz w:val="22"/>
                <w:szCs w:val="22"/>
              </w:rPr>
            </w:pPr>
            <w:r w:rsidRPr="00741CC7">
              <w:rPr>
                <w:color w:val="000000"/>
                <w:sz w:val="22"/>
                <w:szCs w:val="22"/>
              </w:rPr>
              <w:t>2,600,000</w:t>
            </w:r>
          </w:p>
        </w:tc>
        <w:tc>
          <w:tcPr>
            <w:tcW w:w="0" w:type="auto"/>
            <w:tcBorders>
              <w:top w:val="nil"/>
              <w:left w:val="nil"/>
              <w:bottom w:val="single" w:sz="4" w:space="0" w:color="auto"/>
              <w:right w:val="single" w:sz="4" w:space="0" w:color="auto"/>
            </w:tcBorders>
            <w:noWrap/>
            <w:vAlign w:val="center"/>
            <w:hideMark/>
          </w:tcPr>
          <w:p w:rsidR="00741CC7" w:rsidRPr="00741CC7" w:rsidP="00741CC7" w14:paraId="784C1E59" w14:textId="77777777">
            <w:pPr>
              <w:widowControl/>
              <w:autoSpaceDE/>
              <w:autoSpaceDN/>
              <w:adjustRightInd/>
              <w:jc w:val="center"/>
              <w:rPr>
                <w:color w:val="000000"/>
                <w:sz w:val="22"/>
                <w:szCs w:val="22"/>
              </w:rPr>
            </w:pPr>
            <w:r w:rsidRPr="00741CC7">
              <w:rPr>
                <w:color w:val="000000"/>
                <w:sz w:val="22"/>
                <w:szCs w:val="22"/>
              </w:rPr>
              <w:t>5%</w:t>
            </w:r>
          </w:p>
        </w:tc>
        <w:tc>
          <w:tcPr>
            <w:tcW w:w="0" w:type="auto"/>
            <w:tcBorders>
              <w:top w:val="nil"/>
              <w:left w:val="nil"/>
              <w:bottom w:val="single" w:sz="4" w:space="0" w:color="auto"/>
              <w:right w:val="single" w:sz="4" w:space="0" w:color="auto"/>
            </w:tcBorders>
            <w:noWrap/>
            <w:vAlign w:val="center"/>
            <w:hideMark/>
          </w:tcPr>
          <w:p w:rsidR="00741CC7" w:rsidRPr="00741CC7" w:rsidP="00741CC7" w14:paraId="1B35344B" w14:textId="77777777">
            <w:pPr>
              <w:widowControl/>
              <w:autoSpaceDE/>
              <w:autoSpaceDN/>
              <w:adjustRightInd/>
              <w:jc w:val="center"/>
              <w:rPr>
                <w:color w:val="000000"/>
                <w:sz w:val="22"/>
                <w:szCs w:val="22"/>
              </w:rPr>
            </w:pPr>
            <w:r w:rsidRPr="00741CC7">
              <w:rPr>
                <w:color w:val="000000"/>
                <w:sz w:val="22"/>
                <w:szCs w:val="22"/>
              </w:rPr>
              <w:t>$1.00</w:t>
            </w:r>
          </w:p>
        </w:tc>
        <w:tc>
          <w:tcPr>
            <w:tcW w:w="0" w:type="auto"/>
            <w:tcBorders>
              <w:top w:val="nil"/>
              <w:left w:val="nil"/>
              <w:bottom w:val="single" w:sz="4" w:space="0" w:color="auto"/>
              <w:right w:val="single" w:sz="4" w:space="0" w:color="auto"/>
            </w:tcBorders>
            <w:noWrap/>
            <w:vAlign w:val="center"/>
            <w:hideMark/>
          </w:tcPr>
          <w:p w:rsidR="00741CC7" w:rsidRPr="00741CC7" w:rsidP="00741CC7" w14:paraId="6323F3BE" w14:textId="77777777">
            <w:pPr>
              <w:widowControl/>
              <w:autoSpaceDE/>
              <w:autoSpaceDN/>
              <w:adjustRightInd/>
              <w:jc w:val="center"/>
              <w:rPr>
                <w:color w:val="000000"/>
                <w:sz w:val="22"/>
                <w:szCs w:val="22"/>
              </w:rPr>
            </w:pPr>
            <w:r w:rsidRPr="00741CC7">
              <w:rPr>
                <w:color w:val="000000"/>
                <w:sz w:val="22"/>
                <w:szCs w:val="22"/>
              </w:rPr>
              <w:t>$0.05</w:t>
            </w:r>
          </w:p>
        </w:tc>
        <w:tc>
          <w:tcPr>
            <w:tcW w:w="0" w:type="auto"/>
            <w:tcBorders>
              <w:top w:val="nil"/>
              <w:left w:val="nil"/>
              <w:bottom w:val="single" w:sz="4" w:space="0" w:color="auto"/>
              <w:right w:val="single" w:sz="4" w:space="0" w:color="auto"/>
            </w:tcBorders>
            <w:noWrap/>
            <w:vAlign w:val="center"/>
            <w:hideMark/>
          </w:tcPr>
          <w:p w:rsidR="00741CC7" w:rsidRPr="00741CC7" w:rsidP="00741CC7" w14:paraId="754A9956" w14:textId="77777777">
            <w:pPr>
              <w:widowControl/>
              <w:autoSpaceDE/>
              <w:autoSpaceDN/>
              <w:adjustRightInd/>
              <w:jc w:val="center"/>
              <w:rPr>
                <w:color w:val="000000"/>
                <w:sz w:val="22"/>
                <w:szCs w:val="22"/>
              </w:rPr>
            </w:pPr>
            <w:r w:rsidRPr="00741CC7">
              <w:rPr>
                <w:color w:val="000000"/>
                <w:sz w:val="22"/>
                <w:szCs w:val="22"/>
              </w:rPr>
              <w:t>$136,500</w:t>
            </w:r>
          </w:p>
        </w:tc>
      </w:tr>
      <w:tr w14:paraId="7EEA935D" w14:textId="77777777" w:rsidTr="00741CC7">
        <w:tblPrEx>
          <w:tblW w:w="0" w:type="auto"/>
          <w:tblLook w:val="04A0"/>
        </w:tblPrEx>
        <w:trPr>
          <w:trHeight w:val="290"/>
        </w:trPr>
        <w:tc>
          <w:tcPr>
            <w:tcW w:w="0" w:type="auto"/>
            <w:gridSpan w:val="6"/>
            <w:tcBorders>
              <w:top w:val="single" w:sz="4" w:space="0" w:color="auto"/>
              <w:left w:val="single" w:sz="4" w:space="0" w:color="auto"/>
              <w:bottom w:val="single" w:sz="4" w:space="0" w:color="auto"/>
              <w:right w:val="single" w:sz="4" w:space="0" w:color="000000"/>
            </w:tcBorders>
            <w:vAlign w:val="center"/>
            <w:hideMark/>
          </w:tcPr>
          <w:p w:rsidR="00741CC7" w:rsidRPr="00741CC7" w:rsidP="00741CC7" w14:paraId="19F59F3C" w14:textId="77777777">
            <w:pPr>
              <w:widowControl/>
              <w:autoSpaceDE/>
              <w:autoSpaceDN/>
              <w:adjustRightInd/>
              <w:rPr>
                <w:b/>
                <w:bCs/>
                <w:color w:val="000000"/>
                <w:sz w:val="22"/>
                <w:szCs w:val="22"/>
                <w:u w:val="single"/>
              </w:rPr>
            </w:pPr>
            <w:r w:rsidRPr="00741CC7">
              <w:rPr>
                <w:b/>
                <w:bCs/>
                <w:color w:val="000000"/>
                <w:sz w:val="22"/>
                <w:szCs w:val="22"/>
                <w:u w:val="single"/>
              </w:rPr>
              <w:t>Selection of Certified IDR Entity</w:t>
            </w:r>
          </w:p>
        </w:tc>
      </w:tr>
      <w:tr w14:paraId="5B2630E7" w14:textId="77777777" w:rsidTr="00741CC7">
        <w:tblPrEx>
          <w:tblW w:w="0" w:type="auto"/>
          <w:tblLook w:val="04A0"/>
        </w:tblPrEx>
        <w:trPr>
          <w:trHeight w:val="1120"/>
        </w:trPr>
        <w:tc>
          <w:tcPr>
            <w:tcW w:w="0" w:type="auto"/>
            <w:tcBorders>
              <w:top w:val="nil"/>
              <w:left w:val="single" w:sz="4" w:space="0" w:color="auto"/>
              <w:bottom w:val="single" w:sz="4" w:space="0" w:color="auto"/>
              <w:right w:val="single" w:sz="4" w:space="0" w:color="auto"/>
            </w:tcBorders>
            <w:vAlign w:val="center"/>
            <w:hideMark/>
          </w:tcPr>
          <w:p w:rsidR="00741CC7" w:rsidRPr="00741CC7" w:rsidP="00741CC7" w14:paraId="08245D6F" w14:textId="77777777">
            <w:pPr>
              <w:widowControl/>
              <w:autoSpaceDE/>
              <w:autoSpaceDN/>
              <w:adjustRightInd/>
              <w:rPr>
                <w:color w:val="000000"/>
                <w:sz w:val="22"/>
                <w:szCs w:val="22"/>
              </w:rPr>
            </w:pPr>
            <w:r w:rsidRPr="00741CC7">
              <w:rPr>
                <w:color w:val="000000"/>
                <w:sz w:val="22"/>
                <w:szCs w:val="22"/>
              </w:rPr>
              <w:t>Initiating Party and Non-Initiating Party select IDR entity on first attempt and clerical workers notify the Secretary regarding selection</w:t>
            </w:r>
          </w:p>
        </w:tc>
        <w:tc>
          <w:tcPr>
            <w:tcW w:w="0" w:type="auto"/>
            <w:tcBorders>
              <w:top w:val="nil"/>
              <w:left w:val="nil"/>
              <w:bottom w:val="single" w:sz="4" w:space="0" w:color="auto"/>
              <w:right w:val="single" w:sz="4" w:space="0" w:color="auto"/>
            </w:tcBorders>
            <w:noWrap/>
            <w:vAlign w:val="center"/>
            <w:hideMark/>
          </w:tcPr>
          <w:p w:rsidR="00741CC7" w:rsidRPr="00741CC7" w:rsidP="00741CC7" w14:paraId="76212E88" w14:textId="77777777">
            <w:pPr>
              <w:widowControl/>
              <w:autoSpaceDE/>
              <w:autoSpaceDN/>
              <w:adjustRightInd/>
              <w:jc w:val="center"/>
              <w:rPr>
                <w:color w:val="000000"/>
                <w:sz w:val="22"/>
                <w:szCs w:val="22"/>
              </w:rPr>
            </w:pPr>
            <w:r w:rsidRPr="00741CC7">
              <w:rPr>
                <w:color w:val="000000"/>
                <w:sz w:val="22"/>
                <w:szCs w:val="22"/>
              </w:rPr>
              <w:t>702,000</w:t>
            </w:r>
          </w:p>
        </w:tc>
        <w:tc>
          <w:tcPr>
            <w:tcW w:w="0" w:type="auto"/>
            <w:tcBorders>
              <w:top w:val="nil"/>
              <w:left w:val="nil"/>
              <w:bottom w:val="single" w:sz="4" w:space="0" w:color="auto"/>
              <w:right w:val="single" w:sz="4" w:space="0" w:color="auto"/>
            </w:tcBorders>
            <w:noWrap/>
            <w:vAlign w:val="center"/>
            <w:hideMark/>
          </w:tcPr>
          <w:p w:rsidR="00741CC7" w:rsidRPr="00741CC7" w:rsidP="00741CC7" w14:paraId="720314FC" w14:textId="77777777">
            <w:pPr>
              <w:widowControl/>
              <w:autoSpaceDE/>
              <w:autoSpaceDN/>
              <w:adjustRightInd/>
              <w:jc w:val="center"/>
              <w:rPr>
                <w:color w:val="000000"/>
                <w:sz w:val="22"/>
                <w:szCs w:val="22"/>
              </w:rPr>
            </w:pPr>
            <w:r w:rsidRPr="00741CC7">
              <w:rPr>
                <w:color w:val="000000"/>
                <w:sz w:val="22"/>
                <w:szCs w:val="22"/>
              </w:rPr>
              <w:t>5%</w:t>
            </w:r>
          </w:p>
        </w:tc>
        <w:tc>
          <w:tcPr>
            <w:tcW w:w="0" w:type="auto"/>
            <w:tcBorders>
              <w:top w:val="nil"/>
              <w:left w:val="nil"/>
              <w:bottom w:val="single" w:sz="4" w:space="0" w:color="auto"/>
              <w:right w:val="single" w:sz="4" w:space="0" w:color="auto"/>
            </w:tcBorders>
            <w:noWrap/>
            <w:vAlign w:val="center"/>
            <w:hideMark/>
          </w:tcPr>
          <w:p w:rsidR="00741CC7" w:rsidRPr="00741CC7" w:rsidP="00741CC7" w14:paraId="7B48F1DE" w14:textId="77777777">
            <w:pPr>
              <w:widowControl/>
              <w:autoSpaceDE/>
              <w:autoSpaceDN/>
              <w:adjustRightInd/>
              <w:jc w:val="center"/>
              <w:rPr>
                <w:color w:val="000000"/>
                <w:sz w:val="22"/>
                <w:szCs w:val="22"/>
              </w:rPr>
            </w:pPr>
            <w:r w:rsidRPr="00741CC7">
              <w:rPr>
                <w:color w:val="000000"/>
                <w:sz w:val="22"/>
                <w:szCs w:val="22"/>
              </w:rPr>
              <w:t>$1.00</w:t>
            </w:r>
          </w:p>
        </w:tc>
        <w:tc>
          <w:tcPr>
            <w:tcW w:w="0" w:type="auto"/>
            <w:tcBorders>
              <w:top w:val="nil"/>
              <w:left w:val="nil"/>
              <w:bottom w:val="single" w:sz="4" w:space="0" w:color="auto"/>
              <w:right w:val="single" w:sz="4" w:space="0" w:color="auto"/>
            </w:tcBorders>
            <w:noWrap/>
            <w:vAlign w:val="center"/>
            <w:hideMark/>
          </w:tcPr>
          <w:p w:rsidR="00741CC7" w:rsidRPr="00741CC7" w:rsidP="00741CC7" w14:paraId="3873C843" w14:textId="77777777">
            <w:pPr>
              <w:widowControl/>
              <w:autoSpaceDE/>
              <w:autoSpaceDN/>
              <w:adjustRightInd/>
              <w:jc w:val="center"/>
              <w:rPr>
                <w:color w:val="000000"/>
                <w:sz w:val="22"/>
                <w:szCs w:val="22"/>
              </w:rPr>
            </w:pPr>
            <w:r w:rsidRPr="00741CC7">
              <w:rPr>
                <w:color w:val="000000"/>
                <w:sz w:val="22"/>
                <w:szCs w:val="22"/>
              </w:rPr>
              <w:t>$0.05</w:t>
            </w:r>
          </w:p>
        </w:tc>
        <w:tc>
          <w:tcPr>
            <w:tcW w:w="0" w:type="auto"/>
            <w:tcBorders>
              <w:top w:val="nil"/>
              <w:left w:val="nil"/>
              <w:bottom w:val="single" w:sz="4" w:space="0" w:color="auto"/>
              <w:right w:val="single" w:sz="4" w:space="0" w:color="auto"/>
            </w:tcBorders>
            <w:noWrap/>
            <w:vAlign w:val="center"/>
            <w:hideMark/>
          </w:tcPr>
          <w:p w:rsidR="00741CC7" w:rsidRPr="00741CC7" w:rsidP="00741CC7" w14:paraId="4CD67A7F" w14:textId="77777777">
            <w:pPr>
              <w:widowControl/>
              <w:autoSpaceDE/>
              <w:autoSpaceDN/>
              <w:adjustRightInd/>
              <w:jc w:val="center"/>
              <w:rPr>
                <w:color w:val="000000"/>
                <w:sz w:val="22"/>
                <w:szCs w:val="22"/>
              </w:rPr>
            </w:pPr>
            <w:r w:rsidRPr="00741CC7">
              <w:rPr>
                <w:color w:val="000000"/>
                <w:sz w:val="22"/>
                <w:szCs w:val="22"/>
              </w:rPr>
              <w:t>$36,855</w:t>
            </w:r>
          </w:p>
        </w:tc>
      </w:tr>
      <w:tr w14:paraId="7C26B8D8" w14:textId="77777777" w:rsidTr="00741CC7">
        <w:tblPrEx>
          <w:tblW w:w="0" w:type="auto"/>
          <w:tblLook w:val="04A0"/>
        </w:tblPrEx>
        <w:trPr>
          <w:trHeight w:val="1120"/>
        </w:trPr>
        <w:tc>
          <w:tcPr>
            <w:tcW w:w="0" w:type="auto"/>
            <w:tcBorders>
              <w:top w:val="nil"/>
              <w:left w:val="single" w:sz="4" w:space="0" w:color="auto"/>
              <w:bottom w:val="single" w:sz="4" w:space="0" w:color="auto"/>
              <w:right w:val="single" w:sz="4" w:space="0" w:color="auto"/>
            </w:tcBorders>
            <w:vAlign w:val="center"/>
            <w:hideMark/>
          </w:tcPr>
          <w:p w:rsidR="00741CC7" w:rsidRPr="00741CC7" w:rsidP="00741CC7" w14:paraId="632EF4CB" w14:textId="77777777">
            <w:pPr>
              <w:widowControl/>
              <w:autoSpaceDE/>
              <w:autoSpaceDN/>
              <w:adjustRightInd/>
              <w:rPr>
                <w:color w:val="000000"/>
                <w:sz w:val="22"/>
                <w:szCs w:val="22"/>
              </w:rPr>
            </w:pPr>
            <w:r w:rsidRPr="00741CC7">
              <w:rPr>
                <w:color w:val="000000"/>
                <w:sz w:val="22"/>
                <w:szCs w:val="22"/>
              </w:rPr>
              <w:t>Initiating Party and Non-Initiating Party select IDR entity on multiple attempts and clerical workers notify the Secretary regarding selection</w:t>
            </w:r>
          </w:p>
        </w:tc>
        <w:tc>
          <w:tcPr>
            <w:tcW w:w="0" w:type="auto"/>
            <w:tcBorders>
              <w:top w:val="nil"/>
              <w:left w:val="nil"/>
              <w:bottom w:val="single" w:sz="4" w:space="0" w:color="auto"/>
              <w:right w:val="single" w:sz="4" w:space="0" w:color="auto"/>
            </w:tcBorders>
            <w:noWrap/>
            <w:vAlign w:val="center"/>
            <w:hideMark/>
          </w:tcPr>
          <w:p w:rsidR="00741CC7" w:rsidRPr="00741CC7" w:rsidP="00741CC7" w14:paraId="1B71F8A6" w14:textId="77777777">
            <w:pPr>
              <w:widowControl/>
              <w:autoSpaceDE/>
              <w:autoSpaceDN/>
              <w:adjustRightInd/>
              <w:jc w:val="center"/>
              <w:rPr>
                <w:color w:val="000000"/>
                <w:sz w:val="22"/>
                <w:szCs w:val="22"/>
              </w:rPr>
            </w:pPr>
            <w:r w:rsidRPr="00741CC7">
              <w:rPr>
                <w:color w:val="000000"/>
                <w:sz w:val="22"/>
                <w:szCs w:val="22"/>
              </w:rPr>
              <w:t>104,000</w:t>
            </w:r>
          </w:p>
        </w:tc>
        <w:tc>
          <w:tcPr>
            <w:tcW w:w="0" w:type="auto"/>
            <w:tcBorders>
              <w:top w:val="nil"/>
              <w:left w:val="nil"/>
              <w:bottom w:val="single" w:sz="4" w:space="0" w:color="auto"/>
              <w:right w:val="single" w:sz="4" w:space="0" w:color="auto"/>
            </w:tcBorders>
            <w:noWrap/>
            <w:vAlign w:val="center"/>
            <w:hideMark/>
          </w:tcPr>
          <w:p w:rsidR="00741CC7" w:rsidRPr="00741CC7" w:rsidP="00741CC7" w14:paraId="7E5CB72B" w14:textId="77777777">
            <w:pPr>
              <w:widowControl/>
              <w:autoSpaceDE/>
              <w:autoSpaceDN/>
              <w:adjustRightInd/>
              <w:jc w:val="center"/>
              <w:rPr>
                <w:color w:val="000000"/>
                <w:sz w:val="22"/>
                <w:szCs w:val="22"/>
              </w:rPr>
            </w:pPr>
            <w:r w:rsidRPr="00741CC7">
              <w:rPr>
                <w:color w:val="000000"/>
                <w:sz w:val="22"/>
                <w:szCs w:val="22"/>
              </w:rPr>
              <w:t>5%</w:t>
            </w:r>
          </w:p>
        </w:tc>
        <w:tc>
          <w:tcPr>
            <w:tcW w:w="0" w:type="auto"/>
            <w:tcBorders>
              <w:top w:val="nil"/>
              <w:left w:val="nil"/>
              <w:bottom w:val="single" w:sz="4" w:space="0" w:color="auto"/>
              <w:right w:val="single" w:sz="4" w:space="0" w:color="auto"/>
            </w:tcBorders>
            <w:noWrap/>
            <w:vAlign w:val="center"/>
            <w:hideMark/>
          </w:tcPr>
          <w:p w:rsidR="00741CC7" w:rsidRPr="00741CC7" w:rsidP="00741CC7" w14:paraId="45EBD5AC" w14:textId="77777777">
            <w:pPr>
              <w:widowControl/>
              <w:autoSpaceDE/>
              <w:autoSpaceDN/>
              <w:adjustRightInd/>
              <w:jc w:val="center"/>
              <w:rPr>
                <w:color w:val="000000"/>
                <w:sz w:val="22"/>
                <w:szCs w:val="22"/>
              </w:rPr>
            </w:pPr>
            <w:r w:rsidRPr="00741CC7">
              <w:rPr>
                <w:color w:val="000000"/>
                <w:sz w:val="22"/>
                <w:szCs w:val="22"/>
              </w:rPr>
              <w:t>$1.00</w:t>
            </w:r>
          </w:p>
        </w:tc>
        <w:tc>
          <w:tcPr>
            <w:tcW w:w="0" w:type="auto"/>
            <w:tcBorders>
              <w:top w:val="nil"/>
              <w:left w:val="nil"/>
              <w:bottom w:val="single" w:sz="4" w:space="0" w:color="auto"/>
              <w:right w:val="single" w:sz="4" w:space="0" w:color="auto"/>
            </w:tcBorders>
            <w:noWrap/>
            <w:vAlign w:val="center"/>
            <w:hideMark/>
          </w:tcPr>
          <w:p w:rsidR="00741CC7" w:rsidRPr="00741CC7" w:rsidP="00741CC7" w14:paraId="0370F471" w14:textId="77777777">
            <w:pPr>
              <w:widowControl/>
              <w:autoSpaceDE/>
              <w:autoSpaceDN/>
              <w:adjustRightInd/>
              <w:jc w:val="center"/>
              <w:rPr>
                <w:color w:val="000000"/>
                <w:sz w:val="22"/>
                <w:szCs w:val="22"/>
              </w:rPr>
            </w:pPr>
            <w:r w:rsidRPr="00741CC7">
              <w:rPr>
                <w:color w:val="000000"/>
                <w:sz w:val="22"/>
                <w:szCs w:val="22"/>
              </w:rPr>
              <w:t>$0.05</w:t>
            </w:r>
          </w:p>
        </w:tc>
        <w:tc>
          <w:tcPr>
            <w:tcW w:w="0" w:type="auto"/>
            <w:tcBorders>
              <w:top w:val="nil"/>
              <w:left w:val="nil"/>
              <w:bottom w:val="single" w:sz="4" w:space="0" w:color="auto"/>
              <w:right w:val="single" w:sz="4" w:space="0" w:color="auto"/>
            </w:tcBorders>
            <w:noWrap/>
            <w:vAlign w:val="center"/>
            <w:hideMark/>
          </w:tcPr>
          <w:p w:rsidR="00741CC7" w:rsidRPr="00741CC7" w:rsidP="00741CC7" w14:paraId="1F5E3512" w14:textId="77777777">
            <w:pPr>
              <w:widowControl/>
              <w:autoSpaceDE/>
              <w:autoSpaceDN/>
              <w:adjustRightInd/>
              <w:jc w:val="center"/>
              <w:rPr>
                <w:color w:val="000000"/>
                <w:sz w:val="22"/>
                <w:szCs w:val="22"/>
              </w:rPr>
            </w:pPr>
            <w:r w:rsidRPr="00741CC7">
              <w:rPr>
                <w:color w:val="000000"/>
                <w:sz w:val="22"/>
                <w:szCs w:val="22"/>
              </w:rPr>
              <w:t>$5,460</w:t>
            </w:r>
          </w:p>
        </w:tc>
      </w:tr>
      <w:tr w14:paraId="0EEE14FF" w14:textId="77777777" w:rsidTr="00741CC7">
        <w:tblPrEx>
          <w:tblW w:w="0" w:type="auto"/>
          <w:tblLook w:val="04A0"/>
        </w:tblPrEx>
        <w:trPr>
          <w:trHeight w:val="290"/>
        </w:trPr>
        <w:tc>
          <w:tcPr>
            <w:tcW w:w="0" w:type="auto"/>
            <w:gridSpan w:val="6"/>
            <w:tcBorders>
              <w:top w:val="single" w:sz="4" w:space="0" w:color="auto"/>
              <w:left w:val="single" w:sz="4" w:space="0" w:color="auto"/>
              <w:bottom w:val="single" w:sz="4" w:space="0" w:color="auto"/>
              <w:right w:val="single" w:sz="4" w:space="0" w:color="000000"/>
            </w:tcBorders>
            <w:vAlign w:val="center"/>
            <w:hideMark/>
          </w:tcPr>
          <w:p w:rsidR="00741CC7" w:rsidRPr="00741CC7" w:rsidP="00741CC7" w14:paraId="748E3758" w14:textId="77777777">
            <w:pPr>
              <w:widowControl/>
              <w:autoSpaceDE/>
              <w:autoSpaceDN/>
              <w:adjustRightInd/>
              <w:rPr>
                <w:b/>
                <w:bCs/>
                <w:color w:val="000000"/>
                <w:sz w:val="22"/>
                <w:szCs w:val="22"/>
                <w:u w:val="single"/>
              </w:rPr>
            </w:pPr>
            <w:r w:rsidRPr="00741CC7">
              <w:rPr>
                <w:b/>
                <w:bCs/>
                <w:color w:val="000000"/>
                <w:sz w:val="22"/>
                <w:szCs w:val="22"/>
                <w:u w:val="single"/>
              </w:rPr>
              <w:t>Notice of Offer</w:t>
            </w:r>
          </w:p>
        </w:tc>
      </w:tr>
      <w:tr w14:paraId="5753D506" w14:textId="77777777" w:rsidTr="00741CC7">
        <w:tblPrEx>
          <w:tblW w:w="0" w:type="auto"/>
          <w:tblLook w:val="04A0"/>
        </w:tblPrEx>
        <w:trPr>
          <w:trHeight w:val="560"/>
        </w:trPr>
        <w:tc>
          <w:tcPr>
            <w:tcW w:w="0" w:type="auto"/>
            <w:tcBorders>
              <w:top w:val="nil"/>
              <w:left w:val="single" w:sz="4" w:space="0" w:color="auto"/>
              <w:bottom w:val="single" w:sz="4" w:space="0" w:color="auto"/>
              <w:right w:val="single" w:sz="4" w:space="0" w:color="auto"/>
            </w:tcBorders>
            <w:vAlign w:val="center"/>
            <w:hideMark/>
          </w:tcPr>
          <w:p w:rsidR="00741CC7" w:rsidRPr="00741CC7" w:rsidP="00741CC7" w14:paraId="5EA82F03" w14:textId="77777777">
            <w:pPr>
              <w:widowControl/>
              <w:autoSpaceDE/>
              <w:autoSpaceDN/>
              <w:adjustRightInd/>
              <w:rPr>
                <w:color w:val="000000"/>
                <w:sz w:val="22"/>
                <w:szCs w:val="22"/>
              </w:rPr>
            </w:pPr>
            <w:r w:rsidRPr="00741CC7">
              <w:rPr>
                <w:color w:val="000000"/>
                <w:sz w:val="22"/>
                <w:szCs w:val="22"/>
              </w:rPr>
              <w:t>Clerical workers submit provider's offer to the IDR entity</w:t>
            </w:r>
          </w:p>
        </w:tc>
        <w:tc>
          <w:tcPr>
            <w:tcW w:w="0" w:type="auto"/>
            <w:tcBorders>
              <w:top w:val="nil"/>
              <w:left w:val="nil"/>
              <w:bottom w:val="single" w:sz="4" w:space="0" w:color="auto"/>
              <w:right w:val="single" w:sz="4" w:space="0" w:color="auto"/>
            </w:tcBorders>
            <w:noWrap/>
            <w:vAlign w:val="center"/>
            <w:hideMark/>
          </w:tcPr>
          <w:p w:rsidR="00741CC7" w:rsidRPr="00741CC7" w:rsidP="00741CC7" w14:paraId="75205EA7" w14:textId="77777777">
            <w:pPr>
              <w:widowControl/>
              <w:autoSpaceDE/>
              <w:autoSpaceDN/>
              <w:adjustRightInd/>
              <w:jc w:val="center"/>
              <w:rPr>
                <w:color w:val="000000"/>
                <w:sz w:val="22"/>
                <w:szCs w:val="22"/>
              </w:rPr>
            </w:pPr>
            <w:r w:rsidRPr="00741CC7">
              <w:rPr>
                <w:color w:val="000000"/>
                <w:sz w:val="22"/>
                <w:szCs w:val="22"/>
              </w:rPr>
              <w:t>2,600,000</w:t>
            </w:r>
          </w:p>
        </w:tc>
        <w:tc>
          <w:tcPr>
            <w:tcW w:w="0" w:type="auto"/>
            <w:tcBorders>
              <w:top w:val="nil"/>
              <w:left w:val="nil"/>
              <w:bottom w:val="single" w:sz="4" w:space="0" w:color="auto"/>
              <w:right w:val="single" w:sz="4" w:space="0" w:color="auto"/>
            </w:tcBorders>
            <w:noWrap/>
            <w:vAlign w:val="center"/>
            <w:hideMark/>
          </w:tcPr>
          <w:p w:rsidR="00741CC7" w:rsidRPr="00741CC7" w:rsidP="00741CC7" w14:paraId="75DC2154" w14:textId="77777777">
            <w:pPr>
              <w:widowControl/>
              <w:autoSpaceDE/>
              <w:autoSpaceDN/>
              <w:adjustRightInd/>
              <w:jc w:val="center"/>
              <w:rPr>
                <w:color w:val="000000"/>
                <w:sz w:val="22"/>
                <w:szCs w:val="22"/>
              </w:rPr>
            </w:pPr>
            <w:r w:rsidRPr="00741CC7">
              <w:rPr>
                <w:color w:val="000000"/>
                <w:sz w:val="22"/>
                <w:szCs w:val="22"/>
              </w:rPr>
              <w:t>5%</w:t>
            </w:r>
          </w:p>
        </w:tc>
        <w:tc>
          <w:tcPr>
            <w:tcW w:w="0" w:type="auto"/>
            <w:tcBorders>
              <w:top w:val="nil"/>
              <w:left w:val="nil"/>
              <w:bottom w:val="single" w:sz="4" w:space="0" w:color="auto"/>
              <w:right w:val="single" w:sz="4" w:space="0" w:color="auto"/>
            </w:tcBorders>
            <w:noWrap/>
            <w:vAlign w:val="center"/>
            <w:hideMark/>
          </w:tcPr>
          <w:p w:rsidR="00741CC7" w:rsidRPr="00741CC7" w:rsidP="00741CC7" w14:paraId="18F78CAD" w14:textId="77777777">
            <w:pPr>
              <w:widowControl/>
              <w:autoSpaceDE/>
              <w:autoSpaceDN/>
              <w:adjustRightInd/>
              <w:jc w:val="center"/>
              <w:rPr>
                <w:color w:val="000000"/>
                <w:sz w:val="22"/>
                <w:szCs w:val="22"/>
              </w:rPr>
            </w:pPr>
            <w:r w:rsidRPr="00741CC7">
              <w:rPr>
                <w:color w:val="000000"/>
                <w:sz w:val="22"/>
                <w:szCs w:val="22"/>
              </w:rPr>
              <w:t>$1.00</w:t>
            </w:r>
          </w:p>
        </w:tc>
        <w:tc>
          <w:tcPr>
            <w:tcW w:w="0" w:type="auto"/>
            <w:tcBorders>
              <w:top w:val="nil"/>
              <w:left w:val="nil"/>
              <w:bottom w:val="single" w:sz="4" w:space="0" w:color="auto"/>
              <w:right w:val="single" w:sz="4" w:space="0" w:color="auto"/>
            </w:tcBorders>
            <w:noWrap/>
            <w:vAlign w:val="center"/>
            <w:hideMark/>
          </w:tcPr>
          <w:p w:rsidR="00741CC7" w:rsidRPr="00741CC7" w:rsidP="00741CC7" w14:paraId="6BDC97BF" w14:textId="77777777">
            <w:pPr>
              <w:widowControl/>
              <w:autoSpaceDE/>
              <w:autoSpaceDN/>
              <w:adjustRightInd/>
              <w:jc w:val="center"/>
              <w:rPr>
                <w:color w:val="000000"/>
                <w:sz w:val="22"/>
                <w:szCs w:val="22"/>
              </w:rPr>
            </w:pPr>
            <w:r w:rsidRPr="00741CC7">
              <w:rPr>
                <w:color w:val="000000"/>
                <w:sz w:val="22"/>
                <w:szCs w:val="22"/>
              </w:rPr>
              <w:t>$0.05</w:t>
            </w:r>
          </w:p>
        </w:tc>
        <w:tc>
          <w:tcPr>
            <w:tcW w:w="0" w:type="auto"/>
            <w:tcBorders>
              <w:top w:val="nil"/>
              <w:left w:val="nil"/>
              <w:bottom w:val="single" w:sz="4" w:space="0" w:color="auto"/>
              <w:right w:val="single" w:sz="4" w:space="0" w:color="auto"/>
            </w:tcBorders>
            <w:noWrap/>
            <w:vAlign w:val="center"/>
            <w:hideMark/>
          </w:tcPr>
          <w:p w:rsidR="00741CC7" w:rsidRPr="00741CC7" w:rsidP="00741CC7" w14:paraId="08B65E7F" w14:textId="77777777">
            <w:pPr>
              <w:widowControl/>
              <w:autoSpaceDE/>
              <w:autoSpaceDN/>
              <w:adjustRightInd/>
              <w:jc w:val="center"/>
              <w:rPr>
                <w:color w:val="000000"/>
                <w:sz w:val="22"/>
                <w:szCs w:val="22"/>
              </w:rPr>
            </w:pPr>
            <w:r w:rsidRPr="00741CC7">
              <w:rPr>
                <w:color w:val="000000"/>
                <w:sz w:val="22"/>
                <w:szCs w:val="22"/>
              </w:rPr>
              <w:t>$136,500</w:t>
            </w:r>
          </w:p>
        </w:tc>
      </w:tr>
      <w:tr w14:paraId="17A7A735" w14:textId="77777777" w:rsidTr="00741CC7">
        <w:tblPrEx>
          <w:tblW w:w="0" w:type="auto"/>
          <w:tblLook w:val="04A0"/>
        </w:tblPrEx>
        <w:trPr>
          <w:trHeight w:val="560"/>
        </w:trPr>
        <w:tc>
          <w:tcPr>
            <w:tcW w:w="0" w:type="auto"/>
            <w:tcBorders>
              <w:top w:val="nil"/>
              <w:left w:val="single" w:sz="4" w:space="0" w:color="auto"/>
              <w:bottom w:val="single" w:sz="4" w:space="0" w:color="auto"/>
              <w:right w:val="single" w:sz="4" w:space="0" w:color="auto"/>
            </w:tcBorders>
            <w:vAlign w:val="center"/>
            <w:hideMark/>
          </w:tcPr>
          <w:p w:rsidR="00741CC7" w:rsidRPr="00741CC7" w:rsidP="00741CC7" w14:paraId="46202B6F" w14:textId="77777777">
            <w:pPr>
              <w:widowControl/>
              <w:autoSpaceDE/>
              <w:autoSpaceDN/>
              <w:adjustRightInd/>
              <w:rPr>
                <w:color w:val="000000"/>
                <w:sz w:val="22"/>
                <w:szCs w:val="22"/>
              </w:rPr>
            </w:pPr>
            <w:r w:rsidRPr="00741CC7">
              <w:rPr>
                <w:color w:val="000000"/>
                <w:sz w:val="22"/>
                <w:szCs w:val="22"/>
              </w:rPr>
              <w:t>Clerical workers submit insurer's offer to the IDR entity</w:t>
            </w:r>
          </w:p>
        </w:tc>
        <w:tc>
          <w:tcPr>
            <w:tcW w:w="0" w:type="auto"/>
            <w:tcBorders>
              <w:top w:val="nil"/>
              <w:left w:val="nil"/>
              <w:bottom w:val="single" w:sz="4" w:space="0" w:color="auto"/>
              <w:right w:val="single" w:sz="4" w:space="0" w:color="auto"/>
            </w:tcBorders>
            <w:noWrap/>
            <w:vAlign w:val="center"/>
            <w:hideMark/>
          </w:tcPr>
          <w:p w:rsidR="00741CC7" w:rsidRPr="00741CC7" w:rsidP="00741CC7" w14:paraId="5B2F1C83" w14:textId="77777777">
            <w:pPr>
              <w:widowControl/>
              <w:autoSpaceDE/>
              <w:autoSpaceDN/>
              <w:adjustRightInd/>
              <w:jc w:val="center"/>
              <w:rPr>
                <w:color w:val="000000"/>
                <w:sz w:val="22"/>
                <w:szCs w:val="22"/>
              </w:rPr>
            </w:pPr>
            <w:r w:rsidRPr="00741CC7">
              <w:rPr>
                <w:color w:val="000000"/>
                <w:sz w:val="22"/>
                <w:szCs w:val="22"/>
              </w:rPr>
              <w:t>2,600,000</w:t>
            </w:r>
          </w:p>
        </w:tc>
        <w:tc>
          <w:tcPr>
            <w:tcW w:w="0" w:type="auto"/>
            <w:tcBorders>
              <w:top w:val="nil"/>
              <w:left w:val="nil"/>
              <w:bottom w:val="single" w:sz="4" w:space="0" w:color="auto"/>
              <w:right w:val="single" w:sz="4" w:space="0" w:color="auto"/>
            </w:tcBorders>
            <w:noWrap/>
            <w:vAlign w:val="center"/>
            <w:hideMark/>
          </w:tcPr>
          <w:p w:rsidR="00741CC7" w:rsidRPr="00741CC7" w:rsidP="00741CC7" w14:paraId="3965A99A" w14:textId="77777777">
            <w:pPr>
              <w:widowControl/>
              <w:autoSpaceDE/>
              <w:autoSpaceDN/>
              <w:adjustRightInd/>
              <w:jc w:val="center"/>
              <w:rPr>
                <w:color w:val="000000"/>
                <w:sz w:val="22"/>
                <w:szCs w:val="22"/>
              </w:rPr>
            </w:pPr>
            <w:r w:rsidRPr="00741CC7">
              <w:rPr>
                <w:color w:val="000000"/>
                <w:sz w:val="22"/>
                <w:szCs w:val="22"/>
              </w:rPr>
              <w:t>5%</w:t>
            </w:r>
          </w:p>
        </w:tc>
        <w:tc>
          <w:tcPr>
            <w:tcW w:w="0" w:type="auto"/>
            <w:tcBorders>
              <w:top w:val="nil"/>
              <w:left w:val="nil"/>
              <w:bottom w:val="single" w:sz="4" w:space="0" w:color="auto"/>
              <w:right w:val="single" w:sz="4" w:space="0" w:color="auto"/>
            </w:tcBorders>
            <w:noWrap/>
            <w:vAlign w:val="center"/>
            <w:hideMark/>
          </w:tcPr>
          <w:p w:rsidR="00741CC7" w:rsidRPr="00741CC7" w:rsidP="00741CC7" w14:paraId="0C2854E3" w14:textId="77777777">
            <w:pPr>
              <w:widowControl/>
              <w:autoSpaceDE/>
              <w:autoSpaceDN/>
              <w:adjustRightInd/>
              <w:jc w:val="center"/>
              <w:rPr>
                <w:color w:val="000000"/>
                <w:sz w:val="22"/>
                <w:szCs w:val="22"/>
              </w:rPr>
            </w:pPr>
            <w:r w:rsidRPr="00741CC7">
              <w:rPr>
                <w:color w:val="000000"/>
                <w:sz w:val="22"/>
                <w:szCs w:val="22"/>
              </w:rPr>
              <w:t>$1.00</w:t>
            </w:r>
          </w:p>
        </w:tc>
        <w:tc>
          <w:tcPr>
            <w:tcW w:w="0" w:type="auto"/>
            <w:tcBorders>
              <w:top w:val="nil"/>
              <w:left w:val="nil"/>
              <w:bottom w:val="single" w:sz="4" w:space="0" w:color="auto"/>
              <w:right w:val="single" w:sz="4" w:space="0" w:color="auto"/>
            </w:tcBorders>
            <w:noWrap/>
            <w:vAlign w:val="center"/>
            <w:hideMark/>
          </w:tcPr>
          <w:p w:rsidR="00741CC7" w:rsidRPr="00741CC7" w:rsidP="00741CC7" w14:paraId="024D3713" w14:textId="77777777">
            <w:pPr>
              <w:widowControl/>
              <w:autoSpaceDE/>
              <w:autoSpaceDN/>
              <w:adjustRightInd/>
              <w:jc w:val="center"/>
              <w:rPr>
                <w:color w:val="000000"/>
                <w:sz w:val="22"/>
                <w:szCs w:val="22"/>
              </w:rPr>
            </w:pPr>
            <w:r w:rsidRPr="00741CC7">
              <w:rPr>
                <w:color w:val="000000"/>
                <w:sz w:val="22"/>
                <w:szCs w:val="22"/>
              </w:rPr>
              <w:t>$0.05</w:t>
            </w:r>
          </w:p>
        </w:tc>
        <w:tc>
          <w:tcPr>
            <w:tcW w:w="0" w:type="auto"/>
            <w:tcBorders>
              <w:top w:val="nil"/>
              <w:left w:val="nil"/>
              <w:bottom w:val="single" w:sz="4" w:space="0" w:color="auto"/>
              <w:right w:val="single" w:sz="4" w:space="0" w:color="auto"/>
            </w:tcBorders>
            <w:noWrap/>
            <w:vAlign w:val="center"/>
            <w:hideMark/>
          </w:tcPr>
          <w:p w:rsidR="00741CC7" w:rsidRPr="00741CC7" w:rsidP="00741CC7" w14:paraId="674686A0" w14:textId="77777777">
            <w:pPr>
              <w:widowControl/>
              <w:autoSpaceDE/>
              <w:autoSpaceDN/>
              <w:adjustRightInd/>
              <w:jc w:val="center"/>
              <w:rPr>
                <w:color w:val="000000"/>
                <w:sz w:val="22"/>
                <w:szCs w:val="22"/>
              </w:rPr>
            </w:pPr>
            <w:r w:rsidRPr="00741CC7">
              <w:rPr>
                <w:color w:val="000000"/>
                <w:sz w:val="22"/>
                <w:szCs w:val="22"/>
              </w:rPr>
              <w:t>$136,500</w:t>
            </w:r>
          </w:p>
        </w:tc>
      </w:tr>
      <w:tr w14:paraId="77BBFEC3" w14:textId="77777777" w:rsidTr="00741CC7">
        <w:tblPrEx>
          <w:tblW w:w="0" w:type="auto"/>
          <w:tblLook w:val="04A0"/>
        </w:tblPrEx>
        <w:trPr>
          <w:trHeight w:val="420"/>
        </w:trPr>
        <w:tc>
          <w:tcPr>
            <w:tcW w:w="0" w:type="auto"/>
            <w:gridSpan w:val="6"/>
            <w:tcBorders>
              <w:top w:val="single" w:sz="4" w:space="0" w:color="auto"/>
              <w:left w:val="single" w:sz="4" w:space="0" w:color="auto"/>
              <w:bottom w:val="single" w:sz="4" w:space="0" w:color="auto"/>
              <w:right w:val="single" w:sz="4" w:space="0" w:color="000000"/>
            </w:tcBorders>
            <w:vAlign w:val="center"/>
            <w:hideMark/>
          </w:tcPr>
          <w:p w:rsidR="00741CC7" w:rsidRPr="00741CC7" w:rsidP="00741CC7" w14:paraId="15C66922" w14:textId="77777777">
            <w:pPr>
              <w:widowControl/>
              <w:autoSpaceDE/>
              <w:autoSpaceDN/>
              <w:adjustRightInd/>
              <w:rPr>
                <w:b/>
                <w:bCs/>
                <w:color w:val="000000"/>
                <w:sz w:val="22"/>
                <w:szCs w:val="22"/>
                <w:u w:val="single"/>
              </w:rPr>
            </w:pPr>
            <w:r w:rsidRPr="00741CC7">
              <w:rPr>
                <w:b/>
                <w:bCs/>
                <w:color w:val="000000"/>
                <w:sz w:val="22"/>
                <w:szCs w:val="22"/>
                <w:u w:val="single"/>
              </w:rPr>
              <w:t>Notice of Agreement on an Out-of-Network Rate</w:t>
            </w:r>
          </w:p>
        </w:tc>
      </w:tr>
      <w:tr w14:paraId="0DD03B03" w14:textId="77777777" w:rsidTr="00741CC7">
        <w:tblPrEx>
          <w:tblW w:w="0" w:type="auto"/>
          <w:tblLook w:val="04A0"/>
        </w:tblPrEx>
        <w:trPr>
          <w:trHeight w:val="560"/>
        </w:trPr>
        <w:tc>
          <w:tcPr>
            <w:tcW w:w="0" w:type="auto"/>
            <w:tcBorders>
              <w:top w:val="nil"/>
              <w:left w:val="single" w:sz="4" w:space="0" w:color="auto"/>
              <w:bottom w:val="single" w:sz="4" w:space="0" w:color="auto"/>
              <w:right w:val="single" w:sz="4" w:space="0" w:color="auto"/>
            </w:tcBorders>
            <w:vAlign w:val="center"/>
            <w:hideMark/>
          </w:tcPr>
          <w:p w:rsidR="00741CC7" w:rsidRPr="00741CC7" w:rsidP="00741CC7" w14:paraId="02296EA3" w14:textId="77777777">
            <w:pPr>
              <w:widowControl/>
              <w:autoSpaceDE/>
              <w:autoSpaceDN/>
              <w:adjustRightInd/>
              <w:rPr>
                <w:color w:val="000000"/>
                <w:sz w:val="22"/>
                <w:szCs w:val="22"/>
              </w:rPr>
            </w:pPr>
            <w:r w:rsidRPr="00741CC7">
              <w:rPr>
                <w:color w:val="000000"/>
                <w:sz w:val="22"/>
                <w:szCs w:val="22"/>
              </w:rPr>
              <w:t>Clerical workers submit agreement before the IDR entity gives a decision</w:t>
            </w:r>
          </w:p>
        </w:tc>
        <w:tc>
          <w:tcPr>
            <w:tcW w:w="0" w:type="auto"/>
            <w:tcBorders>
              <w:top w:val="nil"/>
              <w:left w:val="nil"/>
              <w:bottom w:val="single" w:sz="4" w:space="0" w:color="auto"/>
              <w:right w:val="single" w:sz="4" w:space="0" w:color="auto"/>
            </w:tcBorders>
            <w:noWrap/>
            <w:vAlign w:val="center"/>
            <w:hideMark/>
          </w:tcPr>
          <w:p w:rsidR="00741CC7" w:rsidRPr="00741CC7" w:rsidP="00741CC7" w14:paraId="0A8616FE" w14:textId="77777777">
            <w:pPr>
              <w:widowControl/>
              <w:autoSpaceDE/>
              <w:autoSpaceDN/>
              <w:adjustRightInd/>
              <w:jc w:val="center"/>
              <w:rPr>
                <w:color w:val="000000"/>
                <w:sz w:val="22"/>
                <w:szCs w:val="22"/>
              </w:rPr>
            </w:pPr>
            <w:r w:rsidRPr="00741CC7">
              <w:rPr>
                <w:color w:val="000000"/>
                <w:sz w:val="22"/>
                <w:szCs w:val="22"/>
              </w:rPr>
              <w:t>26,000</w:t>
            </w:r>
          </w:p>
        </w:tc>
        <w:tc>
          <w:tcPr>
            <w:tcW w:w="0" w:type="auto"/>
            <w:tcBorders>
              <w:top w:val="nil"/>
              <w:left w:val="nil"/>
              <w:bottom w:val="single" w:sz="4" w:space="0" w:color="auto"/>
              <w:right w:val="single" w:sz="4" w:space="0" w:color="auto"/>
            </w:tcBorders>
            <w:noWrap/>
            <w:vAlign w:val="center"/>
            <w:hideMark/>
          </w:tcPr>
          <w:p w:rsidR="00741CC7" w:rsidRPr="00741CC7" w:rsidP="00741CC7" w14:paraId="552CD575" w14:textId="77777777">
            <w:pPr>
              <w:widowControl/>
              <w:autoSpaceDE/>
              <w:autoSpaceDN/>
              <w:adjustRightInd/>
              <w:jc w:val="center"/>
              <w:rPr>
                <w:color w:val="000000"/>
                <w:sz w:val="22"/>
                <w:szCs w:val="22"/>
              </w:rPr>
            </w:pPr>
            <w:r w:rsidRPr="00741CC7">
              <w:rPr>
                <w:color w:val="000000"/>
                <w:sz w:val="22"/>
                <w:szCs w:val="22"/>
              </w:rPr>
              <w:t>5%</w:t>
            </w:r>
          </w:p>
        </w:tc>
        <w:tc>
          <w:tcPr>
            <w:tcW w:w="0" w:type="auto"/>
            <w:tcBorders>
              <w:top w:val="nil"/>
              <w:left w:val="nil"/>
              <w:bottom w:val="single" w:sz="4" w:space="0" w:color="auto"/>
              <w:right w:val="single" w:sz="4" w:space="0" w:color="auto"/>
            </w:tcBorders>
            <w:noWrap/>
            <w:vAlign w:val="center"/>
            <w:hideMark/>
          </w:tcPr>
          <w:p w:rsidR="00741CC7" w:rsidRPr="00741CC7" w:rsidP="00741CC7" w14:paraId="3405C967" w14:textId="77777777">
            <w:pPr>
              <w:widowControl/>
              <w:autoSpaceDE/>
              <w:autoSpaceDN/>
              <w:adjustRightInd/>
              <w:jc w:val="center"/>
              <w:rPr>
                <w:color w:val="000000"/>
                <w:sz w:val="22"/>
                <w:szCs w:val="22"/>
              </w:rPr>
            </w:pPr>
            <w:r w:rsidRPr="00741CC7">
              <w:rPr>
                <w:color w:val="000000"/>
                <w:sz w:val="22"/>
                <w:szCs w:val="22"/>
              </w:rPr>
              <w:t>$1.00</w:t>
            </w:r>
          </w:p>
        </w:tc>
        <w:tc>
          <w:tcPr>
            <w:tcW w:w="0" w:type="auto"/>
            <w:tcBorders>
              <w:top w:val="nil"/>
              <w:left w:val="nil"/>
              <w:bottom w:val="single" w:sz="4" w:space="0" w:color="auto"/>
              <w:right w:val="single" w:sz="4" w:space="0" w:color="auto"/>
            </w:tcBorders>
            <w:noWrap/>
            <w:vAlign w:val="center"/>
            <w:hideMark/>
          </w:tcPr>
          <w:p w:rsidR="00741CC7" w:rsidRPr="00741CC7" w:rsidP="00741CC7" w14:paraId="5D0C5227" w14:textId="77777777">
            <w:pPr>
              <w:widowControl/>
              <w:autoSpaceDE/>
              <w:autoSpaceDN/>
              <w:adjustRightInd/>
              <w:jc w:val="center"/>
              <w:rPr>
                <w:color w:val="000000"/>
                <w:sz w:val="22"/>
                <w:szCs w:val="22"/>
              </w:rPr>
            </w:pPr>
            <w:r w:rsidRPr="00741CC7">
              <w:rPr>
                <w:color w:val="000000"/>
                <w:sz w:val="22"/>
                <w:szCs w:val="22"/>
              </w:rPr>
              <w:t>$0.05</w:t>
            </w:r>
          </w:p>
        </w:tc>
        <w:tc>
          <w:tcPr>
            <w:tcW w:w="0" w:type="auto"/>
            <w:tcBorders>
              <w:top w:val="nil"/>
              <w:left w:val="nil"/>
              <w:bottom w:val="single" w:sz="4" w:space="0" w:color="auto"/>
              <w:right w:val="single" w:sz="4" w:space="0" w:color="auto"/>
            </w:tcBorders>
            <w:noWrap/>
            <w:vAlign w:val="center"/>
            <w:hideMark/>
          </w:tcPr>
          <w:p w:rsidR="00741CC7" w:rsidRPr="00741CC7" w:rsidP="00741CC7" w14:paraId="3CB884ED" w14:textId="77777777">
            <w:pPr>
              <w:widowControl/>
              <w:autoSpaceDE/>
              <w:autoSpaceDN/>
              <w:adjustRightInd/>
              <w:jc w:val="center"/>
              <w:rPr>
                <w:color w:val="000000"/>
                <w:sz w:val="22"/>
                <w:szCs w:val="22"/>
              </w:rPr>
            </w:pPr>
            <w:r w:rsidRPr="00741CC7">
              <w:rPr>
                <w:color w:val="000000"/>
                <w:sz w:val="22"/>
                <w:szCs w:val="22"/>
              </w:rPr>
              <w:t>$1,365</w:t>
            </w:r>
          </w:p>
        </w:tc>
      </w:tr>
      <w:tr w14:paraId="7B2BFB07" w14:textId="77777777" w:rsidTr="00741CC7">
        <w:tblPrEx>
          <w:tblW w:w="0" w:type="auto"/>
          <w:tblLook w:val="04A0"/>
        </w:tblPrEx>
        <w:trPr>
          <w:trHeight w:val="560"/>
        </w:trPr>
        <w:tc>
          <w:tcPr>
            <w:tcW w:w="0" w:type="auto"/>
            <w:tcBorders>
              <w:top w:val="nil"/>
              <w:left w:val="single" w:sz="4" w:space="0" w:color="auto"/>
              <w:bottom w:val="single" w:sz="4" w:space="0" w:color="auto"/>
              <w:right w:val="nil"/>
            </w:tcBorders>
            <w:vAlign w:val="center"/>
            <w:hideMark/>
          </w:tcPr>
          <w:p w:rsidR="00741CC7" w:rsidRPr="00741CC7" w:rsidP="00741CC7" w14:paraId="08749D70" w14:textId="77777777">
            <w:pPr>
              <w:widowControl/>
              <w:autoSpaceDE/>
              <w:autoSpaceDN/>
              <w:adjustRightInd/>
              <w:rPr>
                <w:b/>
                <w:bCs/>
                <w:color w:val="000000"/>
                <w:sz w:val="22"/>
                <w:szCs w:val="22"/>
                <w:u w:val="single"/>
              </w:rPr>
            </w:pPr>
            <w:r w:rsidRPr="00741CC7">
              <w:rPr>
                <w:b/>
                <w:bCs/>
                <w:color w:val="000000"/>
                <w:sz w:val="22"/>
                <w:szCs w:val="22"/>
                <w:u w:val="single"/>
              </w:rPr>
              <w:t>Notice of Withdrawal Request and Response</w:t>
            </w:r>
          </w:p>
        </w:tc>
        <w:tc>
          <w:tcPr>
            <w:tcW w:w="0" w:type="auto"/>
            <w:tcBorders>
              <w:top w:val="nil"/>
              <w:left w:val="nil"/>
              <w:bottom w:val="single" w:sz="4" w:space="0" w:color="auto"/>
              <w:right w:val="nil"/>
            </w:tcBorders>
            <w:vAlign w:val="center"/>
            <w:hideMark/>
          </w:tcPr>
          <w:p w:rsidR="00741CC7" w:rsidRPr="00741CC7" w:rsidP="00741CC7" w14:paraId="7CC87FC4" w14:textId="77777777">
            <w:pPr>
              <w:widowControl/>
              <w:autoSpaceDE/>
              <w:autoSpaceDN/>
              <w:adjustRightInd/>
              <w:rPr>
                <w:b/>
                <w:bCs/>
                <w:color w:val="000000"/>
                <w:sz w:val="22"/>
                <w:szCs w:val="22"/>
                <w:u w:val="single"/>
              </w:rPr>
            </w:pPr>
            <w:r w:rsidRPr="00741CC7">
              <w:rPr>
                <w:b/>
                <w:bCs/>
                <w:color w:val="000000"/>
                <w:sz w:val="22"/>
                <w:szCs w:val="22"/>
                <w:u w:val="single"/>
              </w:rPr>
              <w:t> </w:t>
            </w:r>
          </w:p>
        </w:tc>
        <w:tc>
          <w:tcPr>
            <w:tcW w:w="0" w:type="auto"/>
            <w:tcBorders>
              <w:top w:val="nil"/>
              <w:left w:val="nil"/>
              <w:bottom w:val="single" w:sz="4" w:space="0" w:color="auto"/>
              <w:right w:val="nil"/>
            </w:tcBorders>
            <w:vAlign w:val="center"/>
            <w:hideMark/>
          </w:tcPr>
          <w:p w:rsidR="00741CC7" w:rsidRPr="00741CC7" w:rsidP="00741CC7" w14:paraId="32DA773E" w14:textId="77777777">
            <w:pPr>
              <w:widowControl/>
              <w:autoSpaceDE/>
              <w:autoSpaceDN/>
              <w:adjustRightInd/>
              <w:rPr>
                <w:b/>
                <w:bCs/>
                <w:color w:val="000000"/>
                <w:sz w:val="22"/>
                <w:szCs w:val="22"/>
                <w:u w:val="single"/>
              </w:rPr>
            </w:pPr>
            <w:r w:rsidRPr="00741CC7">
              <w:rPr>
                <w:b/>
                <w:bCs/>
                <w:color w:val="000000"/>
                <w:sz w:val="22"/>
                <w:szCs w:val="22"/>
                <w:u w:val="single"/>
              </w:rPr>
              <w:t> </w:t>
            </w:r>
          </w:p>
        </w:tc>
        <w:tc>
          <w:tcPr>
            <w:tcW w:w="0" w:type="auto"/>
            <w:tcBorders>
              <w:top w:val="nil"/>
              <w:left w:val="nil"/>
              <w:bottom w:val="single" w:sz="4" w:space="0" w:color="auto"/>
              <w:right w:val="nil"/>
            </w:tcBorders>
            <w:vAlign w:val="center"/>
            <w:hideMark/>
          </w:tcPr>
          <w:p w:rsidR="00741CC7" w:rsidRPr="00741CC7" w:rsidP="00741CC7" w14:paraId="021D54E0" w14:textId="77777777">
            <w:pPr>
              <w:widowControl/>
              <w:autoSpaceDE/>
              <w:autoSpaceDN/>
              <w:adjustRightInd/>
              <w:rPr>
                <w:b/>
                <w:bCs/>
                <w:color w:val="000000"/>
                <w:sz w:val="22"/>
                <w:szCs w:val="22"/>
                <w:u w:val="single"/>
              </w:rPr>
            </w:pPr>
            <w:r w:rsidRPr="00741CC7">
              <w:rPr>
                <w:b/>
                <w:bCs/>
                <w:color w:val="000000"/>
                <w:sz w:val="22"/>
                <w:szCs w:val="22"/>
                <w:u w:val="single"/>
              </w:rPr>
              <w:t> </w:t>
            </w:r>
          </w:p>
        </w:tc>
        <w:tc>
          <w:tcPr>
            <w:tcW w:w="0" w:type="auto"/>
            <w:tcBorders>
              <w:top w:val="nil"/>
              <w:left w:val="nil"/>
              <w:bottom w:val="single" w:sz="4" w:space="0" w:color="auto"/>
              <w:right w:val="nil"/>
            </w:tcBorders>
            <w:vAlign w:val="center"/>
            <w:hideMark/>
          </w:tcPr>
          <w:p w:rsidR="00741CC7" w:rsidRPr="00741CC7" w:rsidP="00741CC7" w14:paraId="3A4DD690" w14:textId="77777777">
            <w:pPr>
              <w:widowControl/>
              <w:autoSpaceDE/>
              <w:autoSpaceDN/>
              <w:adjustRightInd/>
              <w:rPr>
                <w:b/>
                <w:bCs/>
                <w:color w:val="000000"/>
                <w:sz w:val="22"/>
                <w:szCs w:val="22"/>
                <w:u w:val="single"/>
              </w:rPr>
            </w:pPr>
            <w:r w:rsidRPr="00741CC7">
              <w:rPr>
                <w:b/>
                <w:bCs/>
                <w:color w:val="000000"/>
                <w:sz w:val="22"/>
                <w:szCs w:val="22"/>
                <w:u w:val="single"/>
              </w:rPr>
              <w:t> </w:t>
            </w:r>
          </w:p>
        </w:tc>
        <w:tc>
          <w:tcPr>
            <w:tcW w:w="0" w:type="auto"/>
            <w:tcBorders>
              <w:top w:val="nil"/>
              <w:left w:val="single" w:sz="4" w:space="0" w:color="auto"/>
              <w:bottom w:val="single" w:sz="4" w:space="0" w:color="auto"/>
              <w:right w:val="single" w:sz="4" w:space="0" w:color="auto"/>
            </w:tcBorders>
            <w:noWrap/>
            <w:vAlign w:val="center"/>
            <w:hideMark/>
          </w:tcPr>
          <w:p w:rsidR="00741CC7" w:rsidRPr="00741CC7" w:rsidP="00741CC7" w14:paraId="572D2D34" w14:textId="77777777">
            <w:pPr>
              <w:widowControl/>
              <w:autoSpaceDE/>
              <w:autoSpaceDN/>
              <w:adjustRightInd/>
              <w:jc w:val="right"/>
              <w:rPr>
                <w:color w:val="000000"/>
                <w:sz w:val="22"/>
                <w:szCs w:val="22"/>
              </w:rPr>
            </w:pPr>
            <w:r w:rsidRPr="00741CC7">
              <w:rPr>
                <w:color w:val="000000"/>
                <w:sz w:val="22"/>
                <w:szCs w:val="22"/>
              </w:rPr>
              <w:t> </w:t>
            </w:r>
          </w:p>
        </w:tc>
      </w:tr>
      <w:tr w14:paraId="618F478C" w14:textId="77777777" w:rsidTr="00741CC7">
        <w:tblPrEx>
          <w:tblW w:w="0" w:type="auto"/>
          <w:tblLook w:val="04A0"/>
        </w:tblPrEx>
        <w:trPr>
          <w:trHeight w:val="840"/>
        </w:trPr>
        <w:tc>
          <w:tcPr>
            <w:tcW w:w="0" w:type="auto"/>
            <w:tcBorders>
              <w:top w:val="nil"/>
              <w:left w:val="single" w:sz="4" w:space="0" w:color="auto"/>
              <w:bottom w:val="single" w:sz="4" w:space="0" w:color="auto"/>
              <w:right w:val="single" w:sz="4" w:space="0" w:color="auto"/>
            </w:tcBorders>
            <w:vAlign w:val="center"/>
            <w:hideMark/>
          </w:tcPr>
          <w:p w:rsidR="00741CC7" w:rsidRPr="00741CC7" w:rsidP="00741CC7" w14:paraId="614A4542" w14:textId="77777777">
            <w:pPr>
              <w:widowControl/>
              <w:autoSpaceDE/>
              <w:autoSpaceDN/>
              <w:adjustRightInd/>
              <w:rPr>
                <w:color w:val="000000"/>
                <w:sz w:val="22"/>
                <w:szCs w:val="22"/>
              </w:rPr>
            </w:pPr>
            <w:r w:rsidRPr="00741CC7">
              <w:rPr>
                <w:color w:val="000000"/>
                <w:sz w:val="22"/>
                <w:szCs w:val="22"/>
              </w:rPr>
              <w:t xml:space="preserve">Clerical workers submit the notice of request for withdrawal to the non-initiating party </w:t>
            </w:r>
          </w:p>
        </w:tc>
        <w:tc>
          <w:tcPr>
            <w:tcW w:w="0" w:type="auto"/>
            <w:tcBorders>
              <w:top w:val="nil"/>
              <w:left w:val="nil"/>
              <w:bottom w:val="single" w:sz="4" w:space="0" w:color="auto"/>
              <w:right w:val="single" w:sz="4" w:space="0" w:color="auto"/>
            </w:tcBorders>
            <w:noWrap/>
            <w:vAlign w:val="center"/>
            <w:hideMark/>
          </w:tcPr>
          <w:p w:rsidR="00741CC7" w:rsidRPr="00741CC7" w:rsidP="00741CC7" w14:paraId="794FEFC8" w14:textId="77777777">
            <w:pPr>
              <w:widowControl/>
              <w:autoSpaceDE/>
              <w:autoSpaceDN/>
              <w:adjustRightInd/>
              <w:jc w:val="center"/>
              <w:rPr>
                <w:color w:val="000000"/>
                <w:sz w:val="22"/>
                <w:szCs w:val="22"/>
              </w:rPr>
            </w:pPr>
            <w:r w:rsidRPr="00741CC7">
              <w:rPr>
                <w:color w:val="000000"/>
                <w:sz w:val="22"/>
                <w:szCs w:val="22"/>
              </w:rPr>
              <w:t>104,000</w:t>
            </w:r>
          </w:p>
        </w:tc>
        <w:tc>
          <w:tcPr>
            <w:tcW w:w="0" w:type="auto"/>
            <w:tcBorders>
              <w:top w:val="nil"/>
              <w:left w:val="nil"/>
              <w:bottom w:val="single" w:sz="4" w:space="0" w:color="auto"/>
              <w:right w:val="single" w:sz="4" w:space="0" w:color="auto"/>
            </w:tcBorders>
            <w:noWrap/>
            <w:vAlign w:val="center"/>
            <w:hideMark/>
          </w:tcPr>
          <w:p w:rsidR="00741CC7" w:rsidRPr="00741CC7" w:rsidP="00741CC7" w14:paraId="0AAEC0B3" w14:textId="77777777">
            <w:pPr>
              <w:widowControl/>
              <w:autoSpaceDE/>
              <w:autoSpaceDN/>
              <w:adjustRightInd/>
              <w:jc w:val="center"/>
              <w:rPr>
                <w:color w:val="000000"/>
                <w:sz w:val="22"/>
                <w:szCs w:val="22"/>
              </w:rPr>
            </w:pPr>
            <w:r w:rsidRPr="00741CC7">
              <w:rPr>
                <w:color w:val="000000"/>
                <w:sz w:val="22"/>
                <w:szCs w:val="22"/>
              </w:rPr>
              <w:t>5%</w:t>
            </w:r>
          </w:p>
        </w:tc>
        <w:tc>
          <w:tcPr>
            <w:tcW w:w="0" w:type="auto"/>
            <w:tcBorders>
              <w:top w:val="nil"/>
              <w:left w:val="nil"/>
              <w:bottom w:val="single" w:sz="4" w:space="0" w:color="auto"/>
              <w:right w:val="single" w:sz="4" w:space="0" w:color="auto"/>
            </w:tcBorders>
            <w:noWrap/>
            <w:vAlign w:val="center"/>
            <w:hideMark/>
          </w:tcPr>
          <w:p w:rsidR="00741CC7" w:rsidRPr="00741CC7" w:rsidP="00741CC7" w14:paraId="6D233C03" w14:textId="77777777">
            <w:pPr>
              <w:widowControl/>
              <w:autoSpaceDE/>
              <w:autoSpaceDN/>
              <w:adjustRightInd/>
              <w:jc w:val="center"/>
              <w:rPr>
                <w:color w:val="000000"/>
                <w:sz w:val="22"/>
                <w:szCs w:val="22"/>
              </w:rPr>
            </w:pPr>
            <w:r w:rsidRPr="00741CC7">
              <w:rPr>
                <w:color w:val="000000"/>
                <w:sz w:val="22"/>
                <w:szCs w:val="22"/>
              </w:rPr>
              <w:t>$1.00</w:t>
            </w:r>
          </w:p>
        </w:tc>
        <w:tc>
          <w:tcPr>
            <w:tcW w:w="0" w:type="auto"/>
            <w:tcBorders>
              <w:top w:val="nil"/>
              <w:left w:val="nil"/>
              <w:bottom w:val="single" w:sz="4" w:space="0" w:color="auto"/>
              <w:right w:val="single" w:sz="4" w:space="0" w:color="auto"/>
            </w:tcBorders>
            <w:noWrap/>
            <w:vAlign w:val="center"/>
            <w:hideMark/>
          </w:tcPr>
          <w:p w:rsidR="00741CC7" w:rsidRPr="00741CC7" w:rsidP="00741CC7" w14:paraId="7BC226A3" w14:textId="77777777">
            <w:pPr>
              <w:widowControl/>
              <w:autoSpaceDE/>
              <w:autoSpaceDN/>
              <w:adjustRightInd/>
              <w:jc w:val="center"/>
              <w:rPr>
                <w:color w:val="000000"/>
                <w:sz w:val="22"/>
                <w:szCs w:val="22"/>
              </w:rPr>
            </w:pPr>
            <w:r w:rsidRPr="00741CC7">
              <w:rPr>
                <w:color w:val="000000"/>
                <w:sz w:val="22"/>
                <w:szCs w:val="22"/>
              </w:rPr>
              <w:t>$0.05</w:t>
            </w:r>
          </w:p>
        </w:tc>
        <w:tc>
          <w:tcPr>
            <w:tcW w:w="0" w:type="auto"/>
            <w:tcBorders>
              <w:top w:val="nil"/>
              <w:left w:val="nil"/>
              <w:bottom w:val="single" w:sz="4" w:space="0" w:color="auto"/>
              <w:right w:val="single" w:sz="4" w:space="0" w:color="auto"/>
            </w:tcBorders>
            <w:noWrap/>
            <w:vAlign w:val="center"/>
            <w:hideMark/>
          </w:tcPr>
          <w:p w:rsidR="00741CC7" w:rsidRPr="00741CC7" w:rsidP="00741CC7" w14:paraId="62513C9D" w14:textId="77777777">
            <w:pPr>
              <w:widowControl/>
              <w:autoSpaceDE/>
              <w:autoSpaceDN/>
              <w:adjustRightInd/>
              <w:jc w:val="center"/>
              <w:rPr>
                <w:color w:val="000000"/>
                <w:sz w:val="22"/>
                <w:szCs w:val="22"/>
              </w:rPr>
            </w:pPr>
            <w:r w:rsidRPr="00741CC7">
              <w:rPr>
                <w:color w:val="000000"/>
                <w:sz w:val="22"/>
                <w:szCs w:val="22"/>
              </w:rPr>
              <w:t>$5,460</w:t>
            </w:r>
          </w:p>
        </w:tc>
      </w:tr>
      <w:tr w14:paraId="3B547468" w14:textId="77777777" w:rsidTr="00741CC7">
        <w:tblPrEx>
          <w:tblW w:w="0" w:type="auto"/>
          <w:tblLook w:val="04A0"/>
        </w:tblPrEx>
        <w:trPr>
          <w:trHeight w:val="560"/>
        </w:trPr>
        <w:tc>
          <w:tcPr>
            <w:tcW w:w="0" w:type="auto"/>
            <w:tcBorders>
              <w:top w:val="nil"/>
              <w:left w:val="single" w:sz="4" w:space="0" w:color="auto"/>
              <w:bottom w:val="single" w:sz="4" w:space="0" w:color="auto"/>
              <w:right w:val="single" w:sz="4" w:space="0" w:color="auto"/>
            </w:tcBorders>
            <w:vAlign w:val="center"/>
            <w:hideMark/>
          </w:tcPr>
          <w:p w:rsidR="00741CC7" w:rsidRPr="00741CC7" w:rsidP="00741CC7" w14:paraId="50B8B102" w14:textId="77777777">
            <w:pPr>
              <w:widowControl/>
              <w:autoSpaceDE/>
              <w:autoSpaceDN/>
              <w:adjustRightInd/>
              <w:rPr>
                <w:color w:val="000000"/>
                <w:sz w:val="22"/>
                <w:szCs w:val="22"/>
              </w:rPr>
            </w:pPr>
            <w:r w:rsidRPr="00741CC7">
              <w:rPr>
                <w:color w:val="000000"/>
                <w:sz w:val="22"/>
                <w:szCs w:val="22"/>
              </w:rPr>
              <w:t xml:space="preserve">Clerical workers submit the withdrawal response to the non-initiating party </w:t>
            </w:r>
          </w:p>
        </w:tc>
        <w:tc>
          <w:tcPr>
            <w:tcW w:w="0" w:type="auto"/>
            <w:tcBorders>
              <w:top w:val="nil"/>
              <w:left w:val="nil"/>
              <w:bottom w:val="single" w:sz="4" w:space="0" w:color="auto"/>
              <w:right w:val="single" w:sz="4" w:space="0" w:color="auto"/>
            </w:tcBorders>
            <w:noWrap/>
            <w:vAlign w:val="center"/>
            <w:hideMark/>
          </w:tcPr>
          <w:p w:rsidR="00741CC7" w:rsidRPr="00741CC7" w:rsidP="00741CC7" w14:paraId="586B69D3" w14:textId="77777777">
            <w:pPr>
              <w:widowControl/>
              <w:autoSpaceDE/>
              <w:autoSpaceDN/>
              <w:adjustRightInd/>
              <w:jc w:val="center"/>
              <w:rPr>
                <w:color w:val="000000"/>
                <w:sz w:val="22"/>
                <w:szCs w:val="22"/>
              </w:rPr>
            </w:pPr>
            <w:r w:rsidRPr="00741CC7">
              <w:rPr>
                <w:color w:val="000000"/>
                <w:sz w:val="22"/>
                <w:szCs w:val="22"/>
              </w:rPr>
              <w:t>104,000</w:t>
            </w:r>
          </w:p>
        </w:tc>
        <w:tc>
          <w:tcPr>
            <w:tcW w:w="0" w:type="auto"/>
            <w:tcBorders>
              <w:top w:val="nil"/>
              <w:left w:val="nil"/>
              <w:bottom w:val="single" w:sz="4" w:space="0" w:color="auto"/>
              <w:right w:val="single" w:sz="4" w:space="0" w:color="auto"/>
            </w:tcBorders>
            <w:noWrap/>
            <w:vAlign w:val="center"/>
            <w:hideMark/>
          </w:tcPr>
          <w:p w:rsidR="00741CC7" w:rsidRPr="00741CC7" w:rsidP="00741CC7" w14:paraId="2BC7A429" w14:textId="77777777">
            <w:pPr>
              <w:widowControl/>
              <w:autoSpaceDE/>
              <w:autoSpaceDN/>
              <w:adjustRightInd/>
              <w:jc w:val="center"/>
              <w:rPr>
                <w:color w:val="000000"/>
                <w:sz w:val="22"/>
                <w:szCs w:val="22"/>
              </w:rPr>
            </w:pPr>
            <w:r w:rsidRPr="00741CC7">
              <w:rPr>
                <w:color w:val="000000"/>
                <w:sz w:val="22"/>
                <w:szCs w:val="22"/>
              </w:rPr>
              <w:t>5%</w:t>
            </w:r>
          </w:p>
        </w:tc>
        <w:tc>
          <w:tcPr>
            <w:tcW w:w="0" w:type="auto"/>
            <w:tcBorders>
              <w:top w:val="nil"/>
              <w:left w:val="nil"/>
              <w:bottom w:val="single" w:sz="4" w:space="0" w:color="auto"/>
              <w:right w:val="single" w:sz="4" w:space="0" w:color="auto"/>
            </w:tcBorders>
            <w:noWrap/>
            <w:vAlign w:val="center"/>
            <w:hideMark/>
          </w:tcPr>
          <w:p w:rsidR="00741CC7" w:rsidRPr="00741CC7" w:rsidP="00741CC7" w14:paraId="24F190F0" w14:textId="77777777">
            <w:pPr>
              <w:widowControl/>
              <w:autoSpaceDE/>
              <w:autoSpaceDN/>
              <w:adjustRightInd/>
              <w:jc w:val="center"/>
              <w:rPr>
                <w:color w:val="000000"/>
                <w:sz w:val="22"/>
                <w:szCs w:val="22"/>
              </w:rPr>
            </w:pPr>
            <w:r w:rsidRPr="00741CC7">
              <w:rPr>
                <w:color w:val="000000"/>
                <w:sz w:val="22"/>
                <w:szCs w:val="22"/>
              </w:rPr>
              <w:t>$1.00</w:t>
            </w:r>
          </w:p>
        </w:tc>
        <w:tc>
          <w:tcPr>
            <w:tcW w:w="0" w:type="auto"/>
            <w:tcBorders>
              <w:top w:val="nil"/>
              <w:left w:val="nil"/>
              <w:bottom w:val="single" w:sz="4" w:space="0" w:color="auto"/>
              <w:right w:val="single" w:sz="4" w:space="0" w:color="auto"/>
            </w:tcBorders>
            <w:noWrap/>
            <w:vAlign w:val="center"/>
            <w:hideMark/>
          </w:tcPr>
          <w:p w:rsidR="00741CC7" w:rsidRPr="00741CC7" w:rsidP="00741CC7" w14:paraId="62520B12" w14:textId="77777777">
            <w:pPr>
              <w:widowControl/>
              <w:autoSpaceDE/>
              <w:autoSpaceDN/>
              <w:adjustRightInd/>
              <w:jc w:val="center"/>
              <w:rPr>
                <w:color w:val="000000"/>
                <w:sz w:val="22"/>
                <w:szCs w:val="22"/>
              </w:rPr>
            </w:pPr>
            <w:r w:rsidRPr="00741CC7">
              <w:rPr>
                <w:color w:val="000000"/>
                <w:sz w:val="22"/>
                <w:szCs w:val="22"/>
              </w:rPr>
              <w:t>$0.05</w:t>
            </w:r>
          </w:p>
        </w:tc>
        <w:tc>
          <w:tcPr>
            <w:tcW w:w="0" w:type="auto"/>
            <w:tcBorders>
              <w:top w:val="nil"/>
              <w:left w:val="nil"/>
              <w:bottom w:val="single" w:sz="4" w:space="0" w:color="auto"/>
              <w:right w:val="single" w:sz="4" w:space="0" w:color="auto"/>
            </w:tcBorders>
            <w:noWrap/>
            <w:vAlign w:val="center"/>
            <w:hideMark/>
          </w:tcPr>
          <w:p w:rsidR="00741CC7" w:rsidRPr="00741CC7" w:rsidP="00741CC7" w14:paraId="007FA11D" w14:textId="77777777">
            <w:pPr>
              <w:widowControl/>
              <w:autoSpaceDE/>
              <w:autoSpaceDN/>
              <w:adjustRightInd/>
              <w:jc w:val="center"/>
              <w:rPr>
                <w:color w:val="000000"/>
                <w:sz w:val="22"/>
                <w:szCs w:val="22"/>
              </w:rPr>
            </w:pPr>
            <w:r w:rsidRPr="00741CC7">
              <w:rPr>
                <w:color w:val="000000"/>
                <w:sz w:val="22"/>
                <w:szCs w:val="22"/>
              </w:rPr>
              <w:t>$5,460</w:t>
            </w:r>
          </w:p>
        </w:tc>
      </w:tr>
      <w:tr w14:paraId="6DEE928E" w14:textId="77777777" w:rsidTr="00741CC7">
        <w:tblPrEx>
          <w:tblW w:w="0" w:type="auto"/>
          <w:tblLook w:val="04A0"/>
        </w:tblPrEx>
        <w:trPr>
          <w:trHeight w:val="290"/>
        </w:trPr>
        <w:tc>
          <w:tcPr>
            <w:tcW w:w="0" w:type="auto"/>
            <w:tcBorders>
              <w:top w:val="nil"/>
              <w:left w:val="single" w:sz="4" w:space="0" w:color="auto"/>
              <w:bottom w:val="single" w:sz="4" w:space="0" w:color="auto"/>
              <w:right w:val="single" w:sz="4" w:space="0" w:color="auto"/>
            </w:tcBorders>
            <w:noWrap/>
            <w:vAlign w:val="center"/>
            <w:hideMark/>
          </w:tcPr>
          <w:p w:rsidR="00741CC7" w:rsidRPr="00741CC7" w:rsidP="00741CC7" w14:paraId="32028D54" w14:textId="77777777">
            <w:pPr>
              <w:widowControl/>
              <w:autoSpaceDE/>
              <w:autoSpaceDN/>
              <w:adjustRightInd/>
              <w:rPr>
                <w:b/>
                <w:bCs/>
                <w:color w:val="000000"/>
                <w:sz w:val="22"/>
                <w:szCs w:val="22"/>
              </w:rPr>
            </w:pPr>
            <w:r w:rsidRPr="00741CC7">
              <w:rPr>
                <w:b/>
                <w:bCs/>
                <w:color w:val="000000"/>
                <w:sz w:val="22"/>
                <w:szCs w:val="22"/>
              </w:rPr>
              <w:t>Total</w:t>
            </w:r>
          </w:p>
        </w:tc>
        <w:tc>
          <w:tcPr>
            <w:tcW w:w="0" w:type="auto"/>
            <w:tcBorders>
              <w:top w:val="nil"/>
              <w:left w:val="nil"/>
              <w:bottom w:val="single" w:sz="4" w:space="0" w:color="auto"/>
              <w:right w:val="single" w:sz="4" w:space="0" w:color="auto"/>
            </w:tcBorders>
            <w:noWrap/>
            <w:vAlign w:val="center"/>
            <w:hideMark/>
          </w:tcPr>
          <w:p w:rsidR="00741CC7" w:rsidRPr="00741CC7" w:rsidP="00741CC7" w14:paraId="26F4A2C3" w14:textId="77777777">
            <w:pPr>
              <w:widowControl/>
              <w:autoSpaceDE/>
              <w:autoSpaceDN/>
              <w:adjustRightInd/>
              <w:jc w:val="center"/>
              <w:rPr>
                <w:b/>
                <w:bCs/>
                <w:color w:val="000000"/>
                <w:sz w:val="22"/>
                <w:szCs w:val="22"/>
              </w:rPr>
            </w:pPr>
            <w:r w:rsidRPr="00741CC7">
              <w:rPr>
                <w:b/>
                <w:bCs/>
                <w:color w:val="000000"/>
                <w:sz w:val="22"/>
                <w:szCs w:val="22"/>
              </w:rPr>
              <w:t>3,900,000</w:t>
            </w:r>
          </w:p>
        </w:tc>
        <w:tc>
          <w:tcPr>
            <w:tcW w:w="0" w:type="auto"/>
            <w:tcBorders>
              <w:top w:val="nil"/>
              <w:left w:val="nil"/>
              <w:bottom w:val="single" w:sz="4" w:space="0" w:color="auto"/>
              <w:right w:val="single" w:sz="4" w:space="0" w:color="auto"/>
            </w:tcBorders>
            <w:noWrap/>
            <w:vAlign w:val="center"/>
            <w:hideMark/>
          </w:tcPr>
          <w:p w:rsidR="00741CC7" w:rsidRPr="00741CC7" w:rsidP="00741CC7" w14:paraId="1214E51D" w14:textId="77777777">
            <w:pPr>
              <w:widowControl/>
              <w:autoSpaceDE/>
              <w:autoSpaceDN/>
              <w:adjustRightInd/>
              <w:jc w:val="center"/>
              <w:rPr>
                <w:b/>
                <w:bCs/>
                <w:color w:val="000000"/>
                <w:sz w:val="22"/>
                <w:szCs w:val="22"/>
              </w:rPr>
            </w:pPr>
            <w:r w:rsidRPr="00741CC7">
              <w:rPr>
                <w:b/>
                <w:bCs/>
                <w:color w:val="000000"/>
                <w:sz w:val="22"/>
                <w:szCs w:val="22"/>
              </w:rPr>
              <w:t>-</w:t>
            </w:r>
          </w:p>
        </w:tc>
        <w:tc>
          <w:tcPr>
            <w:tcW w:w="0" w:type="auto"/>
            <w:tcBorders>
              <w:top w:val="nil"/>
              <w:left w:val="nil"/>
              <w:bottom w:val="single" w:sz="4" w:space="0" w:color="auto"/>
              <w:right w:val="single" w:sz="4" w:space="0" w:color="auto"/>
            </w:tcBorders>
            <w:noWrap/>
            <w:vAlign w:val="center"/>
            <w:hideMark/>
          </w:tcPr>
          <w:p w:rsidR="00741CC7" w:rsidRPr="00741CC7" w:rsidP="00741CC7" w14:paraId="46A64DF2" w14:textId="77777777">
            <w:pPr>
              <w:widowControl/>
              <w:autoSpaceDE/>
              <w:autoSpaceDN/>
              <w:adjustRightInd/>
              <w:jc w:val="center"/>
              <w:rPr>
                <w:b/>
                <w:bCs/>
                <w:color w:val="000000"/>
                <w:sz w:val="22"/>
                <w:szCs w:val="22"/>
              </w:rPr>
            </w:pPr>
            <w:r w:rsidRPr="00741CC7">
              <w:rPr>
                <w:b/>
                <w:bCs/>
                <w:color w:val="000000"/>
                <w:sz w:val="22"/>
                <w:szCs w:val="22"/>
              </w:rPr>
              <w:t>-</w:t>
            </w:r>
          </w:p>
        </w:tc>
        <w:tc>
          <w:tcPr>
            <w:tcW w:w="0" w:type="auto"/>
            <w:tcBorders>
              <w:top w:val="nil"/>
              <w:left w:val="nil"/>
              <w:bottom w:val="single" w:sz="4" w:space="0" w:color="auto"/>
              <w:right w:val="single" w:sz="4" w:space="0" w:color="auto"/>
            </w:tcBorders>
            <w:noWrap/>
            <w:vAlign w:val="center"/>
            <w:hideMark/>
          </w:tcPr>
          <w:p w:rsidR="00741CC7" w:rsidRPr="00741CC7" w:rsidP="00741CC7" w14:paraId="75091088" w14:textId="77777777">
            <w:pPr>
              <w:widowControl/>
              <w:autoSpaceDE/>
              <w:autoSpaceDN/>
              <w:adjustRightInd/>
              <w:jc w:val="center"/>
              <w:rPr>
                <w:b/>
                <w:bCs/>
                <w:color w:val="000000"/>
                <w:sz w:val="22"/>
                <w:szCs w:val="22"/>
              </w:rPr>
            </w:pPr>
            <w:r w:rsidRPr="00741CC7">
              <w:rPr>
                <w:b/>
                <w:bCs/>
                <w:color w:val="000000"/>
                <w:sz w:val="22"/>
                <w:szCs w:val="22"/>
              </w:rPr>
              <w:t>-</w:t>
            </w:r>
          </w:p>
        </w:tc>
        <w:tc>
          <w:tcPr>
            <w:tcW w:w="0" w:type="auto"/>
            <w:tcBorders>
              <w:top w:val="nil"/>
              <w:left w:val="nil"/>
              <w:bottom w:val="single" w:sz="4" w:space="0" w:color="auto"/>
              <w:right w:val="single" w:sz="4" w:space="0" w:color="auto"/>
            </w:tcBorders>
            <w:noWrap/>
            <w:vAlign w:val="center"/>
            <w:hideMark/>
          </w:tcPr>
          <w:p w:rsidR="00741CC7" w:rsidRPr="00741CC7" w:rsidP="00741CC7" w14:paraId="77CC2684" w14:textId="77777777">
            <w:pPr>
              <w:widowControl/>
              <w:autoSpaceDE/>
              <w:autoSpaceDN/>
              <w:adjustRightInd/>
              <w:jc w:val="center"/>
              <w:rPr>
                <w:b/>
                <w:bCs/>
                <w:color w:val="000000"/>
                <w:sz w:val="22"/>
                <w:szCs w:val="22"/>
              </w:rPr>
            </w:pPr>
            <w:r w:rsidRPr="00741CC7">
              <w:rPr>
                <w:b/>
                <w:bCs/>
                <w:color w:val="000000"/>
                <w:sz w:val="22"/>
                <w:szCs w:val="22"/>
              </w:rPr>
              <w:t>$1,214,850</w:t>
            </w:r>
          </w:p>
        </w:tc>
      </w:tr>
    </w:tbl>
    <w:p w:rsidR="00BF59EA" w:rsidP="00FD2447" w14:paraId="594861B4" w14:textId="77777777">
      <w:pPr>
        <w:pStyle w:val="Quick1"/>
        <w:numPr>
          <w:ilvl w:val="0"/>
          <w:numId w:val="0"/>
        </w:numPr>
        <w:ind w:left="720"/>
      </w:pPr>
    </w:p>
    <w:p w:rsidR="002D03D2" w:rsidRPr="00E259C0" w:rsidP="002D03D2" w14:paraId="0EDCE972" w14:textId="5186038D">
      <w:pPr>
        <w:ind w:left="720"/>
        <w:rPr>
          <w:b/>
          <w:i/>
          <w:u w:val="single"/>
        </w:rPr>
      </w:pPr>
      <w:r w:rsidRPr="00E259C0">
        <w:rPr>
          <w:b/>
          <w:i/>
          <w:u w:val="single"/>
        </w:rPr>
        <w:t>Request of Extension of Time Periods for Extenuating Circumstances</w:t>
      </w:r>
    </w:p>
    <w:p w:rsidR="002D03D2" w:rsidRPr="00E259C0" w:rsidP="002D03D2" w14:paraId="4BF46BB7" w14:textId="77777777">
      <w:pPr>
        <w:ind w:left="720"/>
        <w:rPr>
          <w:i/>
        </w:rPr>
      </w:pPr>
    </w:p>
    <w:p w:rsidR="002D03D2" w:rsidRPr="006B2A18" w:rsidP="002D03D2" w14:paraId="7AD5393F" w14:textId="1280C13B">
      <w:pPr>
        <w:ind w:left="720"/>
      </w:pPr>
      <w:r w:rsidRPr="006B2A18">
        <w:t>Under the October 2021 interim final rules the Departments may extend time periods on a case-by-case basis if the extension is necessary to address delays due to matters beyond the control of the parties or for good cause, such as due to a natural disaster that prevents certified IDR entities, providers, facilities, providers of air ambulance services, plans, or issuers from complying with an applicable time period. Under the 202</w:t>
      </w:r>
      <w:r w:rsidR="0028689C">
        <w:t>6</w:t>
      </w:r>
      <w:r w:rsidRPr="006B2A18">
        <w:t xml:space="preserve"> final rules, the Departments, or at the request of a certified IDR entity or a party, would determine whether an extension is necessary because the parties or certified IDR entity cannot meet applicable timeframes due to matters beyond the control of the certified IDR entity or one or both parties, or for other good cause. </w:t>
      </w:r>
    </w:p>
    <w:p w:rsidR="002D03D2" w:rsidRPr="006B2A18" w:rsidP="002D03D2" w14:paraId="61022A0F" w14:textId="250F7030"/>
    <w:p w:rsidR="002D03D2" w:rsidP="00FB0916" w14:paraId="49605C23" w14:textId="4916FAD1">
      <w:pPr>
        <w:ind w:left="720"/>
      </w:pPr>
      <w:r w:rsidRPr="006B2A18">
        <w:t xml:space="preserve">The Departments anticipate that codifying the ability of certified IDR entities to submit case-by-case extension requests in the same manner as parties will slightly increase the estimated burden associated with collecting requests for extensions. In general, the Departments maintain the expectation that requests for extensions due to extenuating circumstances will be relatively limited, and do not expect that certified IDR entities will submit a high volume of requests for extensions, particularly since these final rules also codify the Departments’ ability to grant case-by-case extensions of their own initiative without a prior request from certified IDR entities or parties. Based on internal data, the Departments anticipate that certified IDR entities will submit approximately 20 such requests for extensions annually. </w:t>
      </w:r>
      <w:r>
        <w:t xml:space="preserve">Please see Table 8 for mailing cost calculations and burden totals. </w:t>
      </w:r>
    </w:p>
    <w:p w:rsidR="00FB0916" w:rsidP="00D86474" w14:paraId="371E5650" w14:textId="77777777"/>
    <w:p w:rsidR="002D03D2" w:rsidRPr="00254256" w:rsidP="00254256" w14:paraId="10BB8CCD" w14:textId="7CDE6A23">
      <w:pPr>
        <w:pStyle w:val="HeadingStyle"/>
        <w:ind w:firstLine="0"/>
        <w:rPr>
          <w:rFonts w:ascii="Times New Roman" w:hAnsi="Times New Roman" w:cs="Times New Roman"/>
        </w:rPr>
      </w:pPr>
      <w:r w:rsidRPr="005559E4">
        <w:rPr>
          <w:rFonts w:ascii="Times New Roman" w:hAnsi="Times New Roman" w:cs="Times New Roman"/>
          <w:color w:val="auto"/>
        </w:rPr>
        <w:t>Table 8. Cost Burden of Request of Extension of Time Periods for Extenuating Circumstances</w:t>
      </w:r>
    </w:p>
    <w:p w:rsidR="002D03D2" w:rsidP="002D03D2" w14:paraId="06153F09" w14:textId="77777777">
      <w:pPr>
        <w:ind w:left="720"/>
        <w:rPr>
          <w:u w:val="single"/>
        </w:rPr>
      </w:pPr>
    </w:p>
    <w:tbl>
      <w:tblPr>
        <w:tblW w:w="0" w:type="auto"/>
        <w:tblInd w:w="625" w:type="dxa"/>
        <w:tblLook w:val="04A0"/>
      </w:tblPr>
      <w:tblGrid>
        <w:gridCol w:w="1874"/>
        <w:gridCol w:w="1378"/>
        <w:gridCol w:w="2014"/>
        <w:gridCol w:w="1138"/>
        <w:gridCol w:w="1186"/>
        <w:gridCol w:w="1135"/>
      </w:tblGrid>
      <w:tr w14:paraId="7BA7AE81" w14:textId="77777777" w:rsidTr="00775D3F">
        <w:tblPrEx>
          <w:tblW w:w="0" w:type="auto"/>
          <w:tblInd w:w="625" w:type="dxa"/>
          <w:tblLook w:val="04A0"/>
        </w:tblPrEx>
        <w:trPr>
          <w:trHeight w:val="840"/>
        </w:trPr>
        <w:tc>
          <w:tcPr>
            <w:tcW w:w="1873" w:type="dxa"/>
            <w:tcBorders>
              <w:top w:val="single" w:sz="4" w:space="0" w:color="auto"/>
              <w:left w:val="single" w:sz="4" w:space="0" w:color="auto"/>
              <w:bottom w:val="single" w:sz="4" w:space="0" w:color="auto"/>
              <w:right w:val="single" w:sz="4" w:space="0" w:color="auto"/>
            </w:tcBorders>
            <w:noWrap/>
            <w:vAlign w:val="center"/>
            <w:hideMark/>
          </w:tcPr>
          <w:p w:rsidR="002D03D2" w:rsidRPr="009E0620" w:rsidP="00775D3F" w14:paraId="781FF656" w14:textId="77777777">
            <w:pPr>
              <w:widowControl/>
              <w:autoSpaceDE/>
              <w:autoSpaceDN/>
              <w:adjustRightInd/>
              <w:rPr>
                <w:color w:val="000000"/>
                <w:sz w:val="22"/>
                <w:szCs w:val="22"/>
              </w:rPr>
            </w:pPr>
            <w:r w:rsidRPr="009E0620">
              <w:rPr>
                <w:color w:val="000000"/>
                <w:sz w:val="22"/>
                <w:szCs w:val="22"/>
              </w:rPr>
              <w:t> </w:t>
            </w:r>
          </w:p>
        </w:tc>
        <w:tc>
          <w:tcPr>
            <w:tcW w:w="0" w:type="auto"/>
            <w:tcBorders>
              <w:top w:val="single" w:sz="4" w:space="0" w:color="auto"/>
              <w:left w:val="nil"/>
              <w:bottom w:val="single" w:sz="4" w:space="0" w:color="auto"/>
              <w:right w:val="single" w:sz="4" w:space="0" w:color="auto"/>
            </w:tcBorders>
            <w:vAlign w:val="center"/>
            <w:hideMark/>
          </w:tcPr>
          <w:p w:rsidR="002D03D2" w:rsidRPr="009E0620" w:rsidP="00775D3F" w14:paraId="7D3A38AD" w14:textId="77777777">
            <w:pPr>
              <w:widowControl/>
              <w:autoSpaceDE/>
              <w:autoSpaceDN/>
              <w:adjustRightInd/>
              <w:jc w:val="center"/>
              <w:rPr>
                <w:b/>
                <w:bCs/>
                <w:color w:val="000000"/>
                <w:sz w:val="22"/>
                <w:szCs w:val="22"/>
              </w:rPr>
            </w:pPr>
            <w:r w:rsidRPr="009E0620">
              <w:rPr>
                <w:b/>
                <w:bCs/>
                <w:color w:val="000000"/>
                <w:sz w:val="22"/>
                <w:szCs w:val="22"/>
              </w:rPr>
              <w:t>Number of Notices</w:t>
            </w:r>
          </w:p>
        </w:tc>
        <w:tc>
          <w:tcPr>
            <w:tcW w:w="0" w:type="auto"/>
            <w:tcBorders>
              <w:top w:val="single" w:sz="4" w:space="0" w:color="auto"/>
              <w:left w:val="nil"/>
              <w:bottom w:val="single" w:sz="4" w:space="0" w:color="auto"/>
              <w:right w:val="single" w:sz="4" w:space="0" w:color="auto"/>
            </w:tcBorders>
            <w:vAlign w:val="center"/>
            <w:hideMark/>
          </w:tcPr>
          <w:p w:rsidR="002D03D2" w:rsidRPr="009E0620" w:rsidP="00775D3F" w14:paraId="3D9D335E" w14:textId="77777777">
            <w:pPr>
              <w:widowControl/>
              <w:autoSpaceDE/>
              <w:autoSpaceDN/>
              <w:adjustRightInd/>
              <w:jc w:val="center"/>
              <w:rPr>
                <w:b/>
                <w:bCs/>
                <w:color w:val="000000"/>
                <w:sz w:val="22"/>
                <w:szCs w:val="22"/>
              </w:rPr>
            </w:pPr>
            <w:r w:rsidRPr="009E0620">
              <w:rPr>
                <w:b/>
                <w:bCs/>
                <w:color w:val="000000"/>
                <w:sz w:val="22"/>
                <w:szCs w:val="22"/>
              </w:rPr>
              <w:t>Percent of Notices that will be mailed</w:t>
            </w:r>
          </w:p>
        </w:tc>
        <w:tc>
          <w:tcPr>
            <w:tcW w:w="0" w:type="auto"/>
            <w:tcBorders>
              <w:top w:val="single" w:sz="4" w:space="0" w:color="auto"/>
              <w:left w:val="nil"/>
              <w:bottom w:val="single" w:sz="4" w:space="0" w:color="auto"/>
              <w:right w:val="single" w:sz="4" w:space="0" w:color="auto"/>
            </w:tcBorders>
            <w:vAlign w:val="center"/>
            <w:hideMark/>
          </w:tcPr>
          <w:p w:rsidR="002D03D2" w:rsidRPr="009E0620" w:rsidP="00775D3F" w14:paraId="52C873FD" w14:textId="0FBB01AF">
            <w:pPr>
              <w:widowControl/>
              <w:autoSpaceDE/>
              <w:autoSpaceDN/>
              <w:adjustRightInd/>
              <w:jc w:val="center"/>
              <w:rPr>
                <w:b/>
                <w:bCs/>
                <w:color w:val="000000"/>
                <w:sz w:val="22"/>
                <w:szCs w:val="22"/>
              </w:rPr>
            </w:pPr>
            <w:r>
              <w:rPr>
                <w:b/>
                <w:bCs/>
                <w:color w:val="000000"/>
                <w:sz w:val="22"/>
                <w:szCs w:val="22"/>
              </w:rPr>
              <w:t xml:space="preserve">Mailing </w:t>
            </w:r>
            <w:r w:rsidRPr="009E0620">
              <w:rPr>
                <w:b/>
                <w:bCs/>
                <w:color w:val="000000"/>
                <w:sz w:val="22"/>
                <w:szCs w:val="22"/>
              </w:rPr>
              <w:t>Cost</w:t>
            </w:r>
          </w:p>
        </w:tc>
        <w:tc>
          <w:tcPr>
            <w:tcW w:w="0" w:type="auto"/>
            <w:tcBorders>
              <w:top w:val="single" w:sz="4" w:space="0" w:color="auto"/>
              <w:left w:val="nil"/>
              <w:bottom w:val="single" w:sz="4" w:space="0" w:color="auto"/>
              <w:right w:val="single" w:sz="4" w:space="0" w:color="auto"/>
            </w:tcBorders>
            <w:vAlign w:val="center"/>
            <w:hideMark/>
          </w:tcPr>
          <w:p w:rsidR="002D03D2" w:rsidRPr="009E0620" w:rsidP="00775D3F" w14:paraId="6F169EC1" w14:textId="0436C055">
            <w:pPr>
              <w:widowControl/>
              <w:autoSpaceDE/>
              <w:autoSpaceDN/>
              <w:adjustRightInd/>
              <w:jc w:val="center"/>
              <w:rPr>
                <w:b/>
                <w:bCs/>
                <w:color w:val="000000"/>
                <w:sz w:val="22"/>
                <w:szCs w:val="22"/>
              </w:rPr>
            </w:pPr>
            <w:r>
              <w:rPr>
                <w:b/>
                <w:bCs/>
                <w:color w:val="000000"/>
                <w:sz w:val="22"/>
                <w:szCs w:val="22"/>
              </w:rPr>
              <w:t>Printing</w:t>
            </w:r>
            <w:r w:rsidRPr="009E0620">
              <w:rPr>
                <w:b/>
                <w:bCs/>
                <w:color w:val="000000"/>
                <w:sz w:val="22"/>
                <w:szCs w:val="22"/>
              </w:rPr>
              <w:t xml:space="preserve"> Cost</w:t>
            </w:r>
          </w:p>
        </w:tc>
        <w:tc>
          <w:tcPr>
            <w:tcW w:w="0" w:type="auto"/>
            <w:tcBorders>
              <w:top w:val="single" w:sz="4" w:space="0" w:color="auto"/>
              <w:left w:val="nil"/>
              <w:bottom w:val="single" w:sz="4" w:space="0" w:color="auto"/>
              <w:right w:val="single" w:sz="4" w:space="0" w:color="auto"/>
            </w:tcBorders>
            <w:vAlign w:val="center"/>
            <w:hideMark/>
          </w:tcPr>
          <w:p w:rsidR="002D03D2" w:rsidRPr="009E0620" w:rsidP="00775D3F" w14:paraId="51D536E4" w14:textId="4AA3250A">
            <w:pPr>
              <w:widowControl/>
              <w:autoSpaceDE/>
              <w:autoSpaceDN/>
              <w:adjustRightInd/>
              <w:jc w:val="center"/>
              <w:rPr>
                <w:b/>
                <w:bCs/>
                <w:color w:val="000000"/>
                <w:sz w:val="22"/>
                <w:szCs w:val="22"/>
              </w:rPr>
            </w:pPr>
            <w:r>
              <w:rPr>
                <w:b/>
                <w:bCs/>
                <w:color w:val="000000"/>
                <w:sz w:val="22"/>
                <w:szCs w:val="22"/>
              </w:rPr>
              <w:t xml:space="preserve">Total </w:t>
            </w:r>
            <w:r w:rsidRPr="009E0620">
              <w:rPr>
                <w:b/>
                <w:bCs/>
                <w:color w:val="000000"/>
                <w:sz w:val="22"/>
                <w:szCs w:val="22"/>
              </w:rPr>
              <w:t>Cost</w:t>
            </w:r>
          </w:p>
        </w:tc>
      </w:tr>
      <w:tr w14:paraId="4FFD2BDB" w14:textId="77777777" w:rsidTr="00775D3F">
        <w:tblPrEx>
          <w:tblW w:w="0" w:type="auto"/>
          <w:tblInd w:w="625" w:type="dxa"/>
          <w:tblLook w:val="04A0"/>
        </w:tblPrEx>
        <w:trPr>
          <w:trHeight w:val="290"/>
        </w:trPr>
        <w:tc>
          <w:tcPr>
            <w:tcW w:w="1873" w:type="dxa"/>
            <w:tcBorders>
              <w:top w:val="nil"/>
              <w:left w:val="single" w:sz="4" w:space="0" w:color="auto"/>
              <w:bottom w:val="single" w:sz="4" w:space="0" w:color="auto"/>
              <w:right w:val="single" w:sz="4" w:space="0" w:color="auto"/>
            </w:tcBorders>
            <w:noWrap/>
            <w:vAlign w:val="center"/>
            <w:hideMark/>
          </w:tcPr>
          <w:p w:rsidR="002D03D2" w:rsidRPr="009E0620" w:rsidP="00775D3F" w14:paraId="6ADE775B" w14:textId="77777777">
            <w:pPr>
              <w:widowControl/>
              <w:autoSpaceDE/>
              <w:autoSpaceDN/>
              <w:adjustRightInd/>
              <w:rPr>
                <w:color w:val="000000"/>
                <w:sz w:val="22"/>
                <w:szCs w:val="22"/>
              </w:rPr>
            </w:pPr>
            <w:r w:rsidRPr="009E0620">
              <w:rPr>
                <w:color w:val="000000"/>
                <w:sz w:val="22"/>
                <w:szCs w:val="22"/>
              </w:rPr>
              <w:t> </w:t>
            </w:r>
          </w:p>
        </w:tc>
        <w:tc>
          <w:tcPr>
            <w:tcW w:w="0" w:type="auto"/>
            <w:tcBorders>
              <w:top w:val="nil"/>
              <w:left w:val="nil"/>
              <w:bottom w:val="single" w:sz="4" w:space="0" w:color="auto"/>
              <w:right w:val="single" w:sz="4" w:space="0" w:color="auto"/>
            </w:tcBorders>
            <w:vAlign w:val="center"/>
            <w:hideMark/>
          </w:tcPr>
          <w:p w:rsidR="002D03D2" w:rsidRPr="009E0620" w:rsidP="00775D3F" w14:paraId="7395DEDC" w14:textId="77777777">
            <w:pPr>
              <w:widowControl/>
              <w:autoSpaceDE/>
              <w:autoSpaceDN/>
              <w:adjustRightInd/>
              <w:jc w:val="center"/>
              <w:rPr>
                <w:b/>
                <w:bCs/>
                <w:color w:val="000000"/>
                <w:sz w:val="22"/>
                <w:szCs w:val="22"/>
              </w:rPr>
            </w:pPr>
            <w:r w:rsidRPr="009E0620">
              <w:rPr>
                <w:b/>
                <w:bCs/>
                <w:color w:val="000000"/>
                <w:sz w:val="22"/>
                <w:szCs w:val="22"/>
              </w:rPr>
              <w:t>(A)</w:t>
            </w:r>
          </w:p>
        </w:tc>
        <w:tc>
          <w:tcPr>
            <w:tcW w:w="0" w:type="auto"/>
            <w:tcBorders>
              <w:top w:val="nil"/>
              <w:left w:val="nil"/>
              <w:bottom w:val="single" w:sz="4" w:space="0" w:color="auto"/>
              <w:right w:val="single" w:sz="4" w:space="0" w:color="auto"/>
            </w:tcBorders>
            <w:vAlign w:val="center"/>
            <w:hideMark/>
          </w:tcPr>
          <w:p w:rsidR="002D03D2" w:rsidRPr="009E0620" w:rsidP="00775D3F" w14:paraId="5793810D" w14:textId="77777777">
            <w:pPr>
              <w:widowControl/>
              <w:autoSpaceDE/>
              <w:autoSpaceDN/>
              <w:adjustRightInd/>
              <w:jc w:val="center"/>
              <w:rPr>
                <w:b/>
                <w:bCs/>
                <w:color w:val="000000"/>
                <w:sz w:val="22"/>
                <w:szCs w:val="22"/>
              </w:rPr>
            </w:pPr>
            <w:r w:rsidRPr="009E0620">
              <w:rPr>
                <w:b/>
                <w:bCs/>
                <w:color w:val="000000"/>
                <w:sz w:val="22"/>
                <w:szCs w:val="22"/>
              </w:rPr>
              <w:t>(B)</w:t>
            </w:r>
          </w:p>
        </w:tc>
        <w:tc>
          <w:tcPr>
            <w:tcW w:w="0" w:type="auto"/>
            <w:tcBorders>
              <w:top w:val="nil"/>
              <w:left w:val="nil"/>
              <w:bottom w:val="single" w:sz="4" w:space="0" w:color="auto"/>
              <w:right w:val="single" w:sz="4" w:space="0" w:color="auto"/>
            </w:tcBorders>
            <w:vAlign w:val="center"/>
            <w:hideMark/>
          </w:tcPr>
          <w:p w:rsidR="002D03D2" w:rsidRPr="009E0620" w:rsidP="00775D3F" w14:paraId="50CAB58D" w14:textId="77777777">
            <w:pPr>
              <w:widowControl/>
              <w:autoSpaceDE/>
              <w:autoSpaceDN/>
              <w:adjustRightInd/>
              <w:jc w:val="center"/>
              <w:rPr>
                <w:b/>
                <w:bCs/>
                <w:color w:val="000000"/>
                <w:sz w:val="22"/>
                <w:szCs w:val="22"/>
              </w:rPr>
            </w:pPr>
            <w:r w:rsidRPr="009E0620">
              <w:rPr>
                <w:b/>
                <w:bCs/>
                <w:color w:val="000000"/>
                <w:sz w:val="22"/>
                <w:szCs w:val="22"/>
              </w:rPr>
              <w:t>(C)</w:t>
            </w:r>
          </w:p>
        </w:tc>
        <w:tc>
          <w:tcPr>
            <w:tcW w:w="0" w:type="auto"/>
            <w:tcBorders>
              <w:top w:val="nil"/>
              <w:left w:val="nil"/>
              <w:bottom w:val="single" w:sz="4" w:space="0" w:color="auto"/>
              <w:right w:val="single" w:sz="4" w:space="0" w:color="auto"/>
            </w:tcBorders>
            <w:vAlign w:val="center"/>
            <w:hideMark/>
          </w:tcPr>
          <w:p w:rsidR="002D03D2" w:rsidRPr="009E0620" w:rsidP="00775D3F" w14:paraId="0BA3B64C" w14:textId="77777777">
            <w:pPr>
              <w:widowControl/>
              <w:autoSpaceDE/>
              <w:autoSpaceDN/>
              <w:adjustRightInd/>
              <w:jc w:val="center"/>
              <w:rPr>
                <w:b/>
                <w:bCs/>
                <w:color w:val="000000"/>
                <w:sz w:val="22"/>
                <w:szCs w:val="22"/>
              </w:rPr>
            </w:pPr>
            <w:r w:rsidRPr="009E0620">
              <w:rPr>
                <w:b/>
                <w:bCs/>
                <w:color w:val="000000"/>
                <w:sz w:val="22"/>
                <w:szCs w:val="22"/>
              </w:rPr>
              <w:t>(D)</w:t>
            </w:r>
          </w:p>
        </w:tc>
        <w:tc>
          <w:tcPr>
            <w:tcW w:w="0" w:type="auto"/>
            <w:tcBorders>
              <w:top w:val="nil"/>
              <w:left w:val="nil"/>
              <w:bottom w:val="single" w:sz="4" w:space="0" w:color="auto"/>
              <w:right w:val="single" w:sz="4" w:space="0" w:color="auto"/>
            </w:tcBorders>
            <w:vAlign w:val="center"/>
            <w:hideMark/>
          </w:tcPr>
          <w:p w:rsidR="002D03D2" w:rsidRPr="009E0620" w:rsidP="00775D3F" w14:paraId="22952D72" w14:textId="77777777">
            <w:pPr>
              <w:widowControl/>
              <w:autoSpaceDE/>
              <w:autoSpaceDN/>
              <w:adjustRightInd/>
              <w:jc w:val="center"/>
              <w:rPr>
                <w:b/>
                <w:bCs/>
                <w:color w:val="000000"/>
                <w:sz w:val="22"/>
                <w:szCs w:val="22"/>
              </w:rPr>
            </w:pPr>
            <w:r w:rsidRPr="009E0620">
              <w:rPr>
                <w:b/>
                <w:bCs/>
                <w:color w:val="000000"/>
                <w:sz w:val="22"/>
                <w:szCs w:val="22"/>
              </w:rPr>
              <w:t>[A x B x (C x D)]</w:t>
            </w:r>
          </w:p>
        </w:tc>
      </w:tr>
      <w:tr w14:paraId="7C4E27E1" w14:textId="77777777" w:rsidTr="00775D3F">
        <w:tblPrEx>
          <w:tblW w:w="0" w:type="auto"/>
          <w:tblInd w:w="625" w:type="dxa"/>
          <w:tblLook w:val="04A0"/>
        </w:tblPrEx>
        <w:trPr>
          <w:trHeight w:val="570"/>
        </w:trPr>
        <w:tc>
          <w:tcPr>
            <w:tcW w:w="1873" w:type="dxa"/>
            <w:tcBorders>
              <w:top w:val="single" w:sz="4" w:space="0" w:color="auto"/>
              <w:left w:val="single" w:sz="4" w:space="0" w:color="auto"/>
              <w:bottom w:val="single" w:sz="4" w:space="0" w:color="auto"/>
              <w:right w:val="single" w:sz="4" w:space="0" w:color="auto"/>
            </w:tcBorders>
            <w:vAlign w:val="center"/>
            <w:hideMark/>
          </w:tcPr>
          <w:p w:rsidR="002D03D2" w:rsidRPr="009E0620" w:rsidP="00775D3F" w14:paraId="3E88484D" w14:textId="77777777">
            <w:pPr>
              <w:widowControl/>
              <w:autoSpaceDE/>
              <w:autoSpaceDN/>
              <w:adjustRightInd/>
              <w:rPr>
                <w:color w:val="000000"/>
                <w:sz w:val="22"/>
                <w:szCs w:val="22"/>
              </w:rPr>
            </w:pPr>
            <w:r w:rsidRPr="009E0620">
              <w:rPr>
                <w:color w:val="000000"/>
                <w:sz w:val="22"/>
                <w:szCs w:val="22"/>
              </w:rPr>
              <w:t>Clerical workers prepare notice for request of extension</w:t>
            </w:r>
          </w:p>
        </w:tc>
        <w:tc>
          <w:tcPr>
            <w:tcW w:w="0" w:type="auto"/>
            <w:tcBorders>
              <w:top w:val="single" w:sz="4" w:space="0" w:color="auto"/>
              <w:left w:val="nil"/>
              <w:bottom w:val="double" w:sz="6" w:space="0" w:color="auto"/>
              <w:right w:val="single" w:sz="4" w:space="0" w:color="auto"/>
            </w:tcBorders>
            <w:noWrap/>
            <w:vAlign w:val="center"/>
            <w:hideMark/>
          </w:tcPr>
          <w:p w:rsidR="002D03D2" w:rsidRPr="009E0620" w:rsidP="00FB0916" w14:paraId="0D4A805A" w14:textId="77777777">
            <w:pPr>
              <w:widowControl/>
              <w:autoSpaceDE/>
              <w:autoSpaceDN/>
              <w:adjustRightInd/>
              <w:jc w:val="center"/>
              <w:rPr>
                <w:color w:val="000000"/>
                <w:sz w:val="22"/>
                <w:szCs w:val="22"/>
              </w:rPr>
            </w:pPr>
            <w:r w:rsidRPr="009E0620">
              <w:rPr>
                <w:color w:val="000000"/>
                <w:sz w:val="22"/>
                <w:szCs w:val="22"/>
              </w:rPr>
              <w:t>20</w:t>
            </w:r>
          </w:p>
        </w:tc>
        <w:tc>
          <w:tcPr>
            <w:tcW w:w="0" w:type="auto"/>
            <w:tcBorders>
              <w:top w:val="single" w:sz="4" w:space="0" w:color="auto"/>
              <w:left w:val="nil"/>
              <w:bottom w:val="double" w:sz="6" w:space="0" w:color="auto"/>
              <w:right w:val="single" w:sz="4" w:space="0" w:color="auto"/>
            </w:tcBorders>
            <w:noWrap/>
            <w:vAlign w:val="center"/>
            <w:hideMark/>
          </w:tcPr>
          <w:p w:rsidR="002D03D2" w:rsidRPr="009E0620" w:rsidP="00FB0916" w14:paraId="7E2AB005" w14:textId="77777777">
            <w:pPr>
              <w:widowControl/>
              <w:autoSpaceDE/>
              <w:autoSpaceDN/>
              <w:adjustRightInd/>
              <w:jc w:val="center"/>
              <w:rPr>
                <w:color w:val="000000"/>
                <w:sz w:val="22"/>
                <w:szCs w:val="22"/>
              </w:rPr>
            </w:pPr>
            <w:r w:rsidRPr="009E0620">
              <w:rPr>
                <w:color w:val="000000"/>
                <w:sz w:val="22"/>
                <w:szCs w:val="22"/>
              </w:rPr>
              <w:t>5%</w:t>
            </w:r>
          </w:p>
        </w:tc>
        <w:tc>
          <w:tcPr>
            <w:tcW w:w="0" w:type="auto"/>
            <w:tcBorders>
              <w:top w:val="single" w:sz="4" w:space="0" w:color="auto"/>
              <w:left w:val="nil"/>
              <w:bottom w:val="double" w:sz="6" w:space="0" w:color="auto"/>
              <w:right w:val="single" w:sz="4" w:space="0" w:color="auto"/>
            </w:tcBorders>
            <w:noWrap/>
            <w:vAlign w:val="center"/>
            <w:hideMark/>
          </w:tcPr>
          <w:p w:rsidR="002D03D2" w:rsidRPr="009E0620" w:rsidP="00FB0916" w14:paraId="46AF99EA" w14:textId="77777777">
            <w:pPr>
              <w:widowControl/>
              <w:autoSpaceDE/>
              <w:autoSpaceDN/>
              <w:adjustRightInd/>
              <w:jc w:val="center"/>
              <w:rPr>
                <w:color w:val="000000"/>
                <w:sz w:val="22"/>
                <w:szCs w:val="22"/>
              </w:rPr>
            </w:pPr>
            <w:r w:rsidRPr="009E0620">
              <w:rPr>
                <w:color w:val="000000"/>
                <w:sz w:val="22"/>
                <w:szCs w:val="22"/>
              </w:rPr>
              <w:t>$1.00</w:t>
            </w:r>
          </w:p>
        </w:tc>
        <w:tc>
          <w:tcPr>
            <w:tcW w:w="0" w:type="auto"/>
            <w:tcBorders>
              <w:top w:val="single" w:sz="4" w:space="0" w:color="auto"/>
              <w:left w:val="nil"/>
              <w:bottom w:val="double" w:sz="6" w:space="0" w:color="auto"/>
              <w:right w:val="single" w:sz="4" w:space="0" w:color="auto"/>
            </w:tcBorders>
            <w:noWrap/>
            <w:vAlign w:val="center"/>
            <w:hideMark/>
          </w:tcPr>
          <w:p w:rsidR="002D03D2" w:rsidRPr="009E0620" w:rsidP="00FB0916" w14:paraId="59B087A3" w14:textId="77777777">
            <w:pPr>
              <w:widowControl/>
              <w:autoSpaceDE/>
              <w:autoSpaceDN/>
              <w:adjustRightInd/>
              <w:jc w:val="center"/>
              <w:rPr>
                <w:color w:val="000000"/>
                <w:sz w:val="22"/>
                <w:szCs w:val="22"/>
              </w:rPr>
            </w:pPr>
            <w:r w:rsidRPr="009E0620">
              <w:rPr>
                <w:color w:val="000000"/>
                <w:sz w:val="22"/>
                <w:szCs w:val="22"/>
              </w:rPr>
              <w:t>$0.05</w:t>
            </w:r>
          </w:p>
        </w:tc>
        <w:tc>
          <w:tcPr>
            <w:tcW w:w="0" w:type="auto"/>
            <w:tcBorders>
              <w:top w:val="single" w:sz="4" w:space="0" w:color="auto"/>
              <w:left w:val="nil"/>
              <w:bottom w:val="double" w:sz="6" w:space="0" w:color="auto"/>
              <w:right w:val="single" w:sz="4" w:space="0" w:color="auto"/>
            </w:tcBorders>
            <w:noWrap/>
            <w:vAlign w:val="center"/>
            <w:hideMark/>
          </w:tcPr>
          <w:p w:rsidR="002D03D2" w:rsidRPr="009E0620" w:rsidP="00FB0916" w14:paraId="64506C0D" w14:textId="77777777">
            <w:pPr>
              <w:widowControl/>
              <w:autoSpaceDE/>
              <w:autoSpaceDN/>
              <w:adjustRightInd/>
              <w:jc w:val="center"/>
              <w:rPr>
                <w:color w:val="000000"/>
                <w:sz w:val="22"/>
                <w:szCs w:val="22"/>
              </w:rPr>
            </w:pPr>
            <w:r w:rsidRPr="009E0620">
              <w:rPr>
                <w:color w:val="000000"/>
                <w:sz w:val="22"/>
                <w:szCs w:val="22"/>
              </w:rPr>
              <w:t>$1.05</w:t>
            </w:r>
          </w:p>
        </w:tc>
      </w:tr>
      <w:tr w14:paraId="76DA14F7" w14:textId="77777777" w:rsidTr="00775D3F">
        <w:tblPrEx>
          <w:tblW w:w="0" w:type="auto"/>
          <w:tblInd w:w="625" w:type="dxa"/>
          <w:tblLook w:val="04A0"/>
        </w:tblPrEx>
        <w:trPr>
          <w:trHeight w:val="300"/>
        </w:trPr>
        <w:tc>
          <w:tcPr>
            <w:tcW w:w="1873" w:type="dxa"/>
            <w:tcBorders>
              <w:top w:val="nil"/>
              <w:left w:val="single" w:sz="4" w:space="0" w:color="auto"/>
              <w:bottom w:val="single" w:sz="4" w:space="0" w:color="auto"/>
              <w:right w:val="single" w:sz="4" w:space="0" w:color="auto"/>
            </w:tcBorders>
            <w:vAlign w:val="center"/>
            <w:hideMark/>
          </w:tcPr>
          <w:p w:rsidR="002D03D2" w:rsidRPr="009E0620" w:rsidP="00775D3F" w14:paraId="5D5CD7ED" w14:textId="77777777">
            <w:pPr>
              <w:widowControl/>
              <w:autoSpaceDE/>
              <w:autoSpaceDN/>
              <w:adjustRightInd/>
              <w:rPr>
                <w:b/>
                <w:bCs/>
                <w:color w:val="000000"/>
                <w:sz w:val="22"/>
                <w:szCs w:val="22"/>
              </w:rPr>
            </w:pPr>
            <w:r w:rsidRPr="009E0620">
              <w:rPr>
                <w:b/>
                <w:bCs/>
                <w:color w:val="000000"/>
                <w:sz w:val="22"/>
                <w:szCs w:val="22"/>
              </w:rPr>
              <w:t xml:space="preserve">Total </w:t>
            </w:r>
          </w:p>
        </w:tc>
        <w:tc>
          <w:tcPr>
            <w:tcW w:w="0" w:type="auto"/>
            <w:tcBorders>
              <w:top w:val="nil"/>
              <w:left w:val="nil"/>
              <w:bottom w:val="single" w:sz="4" w:space="0" w:color="auto"/>
              <w:right w:val="single" w:sz="4" w:space="0" w:color="auto"/>
            </w:tcBorders>
            <w:noWrap/>
            <w:vAlign w:val="center"/>
            <w:hideMark/>
          </w:tcPr>
          <w:p w:rsidR="002D03D2" w:rsidRPr="009E0620" w:rsidP="00FB0916" w14:paraId="4DD47C3C" w14:textId="77777777">
            <w:pPr>
              <w:widowControl/>
              <w:autoSpaceDE/>
              <w:autoSpaceDN/>
              <w:adjustRightInd/>
              <w:jc w:val="center"/>
              <w:rPr>
                <w:b/>
                <w:bCs/>
                <w:color w:val="000000"/>
                <w:sz w:val="22"/>
                <w:szCs w:val="22"/>
              </w:rPr>
            </w:pPr>
            <w:r w:rsidRPr="009E0620">
              <w:rPr>
                <w:b/>
                <w:bCs/>
                <w:color w:val="000000"/>
                <w:sz w:val="22"/>
                <w:szCs w:val="22"/>
              </w:rPr>
              <w:t>20</w:t>
            </w:r>
          </w:p>
        </w:tc>
        <w:tc>
          <w:tcPr>
            <w:tcW w:w="0" w:type="auto"/>
            <w:tcBorders>
              <w:top w:val="nil"/>
              <w:left w:val="nil"/>
              <w:bottom w:val="single" w:sz="4" w:space="0" w:color="auto"/>
              <w:right w:val="single" w:sz="4" w:space="0" w:color="auto"/>
            </w:tcBorders>
            <w:noWrap/>
            <w:vAlign w:val="center"/>
            <w:hideMark/>
          </w:tcPr>
          <w:p w:rsidR="002D03D2" w:rsidRPr="009E0620" w:rsidP="00FB0916" w14:paraId="6BAEDB2B" w14:textId="77777777">
            <w:pPr>
              <w:widowControl/>
              <w:autoSpaceDE/>
              <w:autoSpaceDN/>
              <w:adjustRightInd/>
              <w:jc w:val="center"/>
              <w:rPr>
                <w:b/>
                <w:bCs/>
                <w:color w:val="000000"/>
                <w:sz w:val="22"/>
                <w:szCs w:val="22"/>
              </w:rPr>
            </w:pPr>
            <w:r w:rsidRPr="009E0620">
              <w:rPr>
                <w:b/>
                <w:bCs/>
                <w:color w:val="000000"/>
                <w:sz w:val="22"/>
                <w:szCs w:val="22"/>
              </w:rPr>
              <w:t>-</w:t>
            </w:r>
          </w:p>
        </w:tc>
        <w:tc>
          <w:tcPr>
            <w:tcW w:w="0" w:type="auto"/>
            <w:tcBorders>
              <w:top w:val="nil"/>
              <w:left w:val="nil"/>
              <w:bottom w:val="single" w:sz="4" w:space="0" w:color="auto"/>
              <w:right w:val="single" w:sz="4" w:space="0" w:color="auto"/>
            </w:tcBorders>
            <w:noWrap/>
            <w:vAlign w:val="center"/>
            <w:hideMark/>
          </w:tcPr>
          <w:p w:rsidR="002D03D2" w:rsidRPr="009E0620" w:rsidP="00FB0916" w14:paraId="2E1AE480" w14:textId="77777777">
            <w:pPr>
              <w:widowControl/>
              <w:autoSpaceDE/>
              <w:autoSpaceDN/>
              <w:adjustRightInd/>
              <w:jc w:val="center"/>
              <w:rPr>
                <w:b/>
                <w:bCs/>
                <w:color w:val="000000"/>
                <w:sz w:val="22"/>
                <w:szCs w:val="22"/>
              </w:rPr>
            </w:pPr>
            <w:r w:rsidRPr="009E0620">
              <w:rPr>
                <w:b/>
                <w:bCs/>
                <w:color w:val="000000"/>
                <w:sz w:val="22"/>
                <w:szCs w:val="22"/>
              </w:rPr>
              <w:t>-</w:t>
            </w:r>
          </w:p>
        </w:tc>
        <w:tc>
          <w:tcPr>
            <w:tcW w:w="0" w:type="auto"/>
            <w:tcBorders>
              <w:top w:val="nil"/>
              <w:left w:val="nil"/>
              <w:bottom w:val="single" w:sz="4" w:space="0" w:color="auto"/>
              <w:right w:val="single" w:sz="4" w:space="0" w:color="auto"/>
            </w:tcBorders>
            <w:noWrap/>
            <w:vAlign w:val="center"/>
            <w:hideMark/>
          </w:tcPr>
          <w:p w:rsidR="002D03D2" w:rsidRPr="009E0620" w:rsidP="00FB0916" w14:paraId="58BCE148" w14:textId="77777777">
            <w:pPr>
              <w:widowControl/>
              <w:autoSpaceDE/>
              <w:autoSpaceDN/>
              <w:adjustRightInd/>
              <w:jc w:val="center"/>
              <w:rPr>
                <w:b/>
                <w:bCs/>
                <w:color w:val="000000"/>
                <w:sz w:val="22"/>
                <w:szCs w:val="22"/>
              </w:rPr>
            </w:pPr>
            <w:r w:rsidRPr="009E0620">
              <w:rPr>
                <w:b/>
                <w:bCs/>
                <w:color w:val="000000"/>
                <w:sz w:val="22"/>
                <w:szCs w:val="22"/>
              </w:rPr>
              <w:t>-</w:t>
            </w:r>
          </w:p>
        </w:tc>
        <w:tc>
          <w:tcPr>
            <w:tcW w:w="0" w:type="auto"/>
            <w:tcBorders>
              <w:top w:val="nil"/>
              <w:left w:val="nil"/>
              <w:bottom w:val="single" w:sz="4" w:space="0" w:color="auto"/>
              <w:right w:val="single" w:sz="4" w:space="0" w:color="auto"/>
            </w:tcBorders>
            <w:noWrap/>
            <w:vAlign w:val="center"/>
            <w:hideMark/>
          </w:tcPr>
          <w:p w:rsidR="002D03D2" w:rsidRPr="009E0620" w:rsidP="00FB0916" w14:paraId="611B7EBD" w14:textId="77777777">
            <w:pPr>
              <w:widowControl/>
              <w:autoSpaceDE/>
              <w:autoSpaceDN/>
              <w:adjustRightInd/>
              <w:jc w:val="center"/>
              <w:rPr>
                <w:b/>
                <w:bCs/>
                <w:color w:val="000000"/>
                <w:sz w:val="22"/>
                <w:szCs w:val="22"/>
              </w:rPr>
            </w:pPr>
            <w:r w:rsidRPr="009E0620">
              <w:rPr>
                <w:b/>
                <w:bCs/>
                <w:color w:val="000000"/>
                <w:sz w:val="22"/>
                <w:szCs w:val="22"/>
              </w:rPr>
              <w:t>$1.05</w:t>
            </w:r>
          </w:p>
        </w:tc>
      </w:tr>
    </w:tbl>
    <w:p w:rsidR="002D03D2" w:rsidP="002D03D2" w14:paraId="4366431F" w14:textId="77777777">
      <w:pPr>
        <w:pStyle w:val="Quick1"/>
        <w:numPr>
          <w:ilvl w:val="0"/>
          <w:numId w:val="0"/>
        </w:numPr>
        <w:ind w:firstLine="720"/>
        <w:rPr>
          <w:i/>
          <w:iCs/>
          <w:u w:val="single"/>
        </w:rPr>
      </w:pPr>
    </w:p>
    <w:p w:rsidR="00BF59EA" w:rsidRPr="007B5F1F" w:rsidP="002D03D2" w14:paraId="13C13F73" w14:textId="31B68DAF">
      <w:pPr>
        <w:pStyle w:val="Quick1"/>
        <w:numPr>
          <w:ilvl w:val="0"/>
          <w:numId w:val="0"/>
        </w:numPr>
        <w:ind w:firstLine="720"/>
        <w:rPr>
          <w:b/>
          <w:bCs/>
          <w:i/>
          <w:iCs/>
          <w:u w:val="single"/>
        </w:rPr>
      </w:pPr>
      <w:r w:rsidRPr="007B5F1F">
        <w:rPr>
          <w:b/>
          <w:bCs/>
          <w:i/>
          <w:iCs/>
          <w:u w:val="single"/>
        </w:rPr>
        <w:t>Notice of IDR Payment Determination</w:t>
      </w:r>
      <w:r w:rsidRPr="007B5F1F" w:rsidR="004D62A4">
        <w:rPr>
          <w:b/>
          <w:bCs/>
          <w:i/>
          <w:iCs/>
        </w:rPr>
        <w:tab/>
      </w:r>
    </w:p>
    <w:p w:rsidR="004D62A4" w:rsidP="00BF59EA" w14:paraId="52E2A309" w14:textId="77777777">
      <w:pPr>
        <w:pStyle w:val="Quick1"/>
        <w:numPr>
          <w:ilvl w:val="0"/>
          <w:numId w:val="0"/>
        </w:numPr>
      </w:pPr>
    </w:p>
    <w:p w:rsidR="00736F1E" w:rsidP="00FD2447" w14:paraId="78ED5648" w14:textId="77777777">
      <w:pPr>
        <w:pStyle w:val="Quick1"/>
        <w:numPr>
          <w:ilvl w:val="0"/>
          <w:numId w:val="0"/>
        </w:numPr>
        <w:ind w:left="720"/>
      </w:pPr>
      <w:r w:rsidRPr="00B3446E">
        <w:t xml:space="preserve">The Departments classify the burden borne </w:t>
      </w:r>
      <w:r>
        <w:t xml:space="preserve">by </w:t>
      </w:r>
      <w:r w:rsidRPr="00B3446E">
        <w:t xml:space="preserve">certified IDR entities as a cost burden. </w:t>
      </w:r>
    </w:p>
    <w:p w:rsidR="00736F1E" w:rsidP="00FD2447" w14:paraId="00BC0467" w14:textId="77777777">
      <w:pPr>
        <w:pStyle w:val="Quick1"/>
        <w:numPr>
          <w:ilvl w:val="0"/>
          <w:numId w:val="0"/>
        </w:numPr>
        <w:ind w:left="720"/>
      </w:pPr>
    </w:p>
    <w:p w:rsidR="00257092" w:rsidRPr="00E259C0" w:rsidP="00FD2447" w14:paraId="32516C98" w14:textId="38329AE8">
      <w:pPr>
        <w:pStyle w:val="Quick1"/>
        <w:numPr>
          <w:ilvl w:val="0"/>
          <w:numId w:val="0"/>
        </w:numPr>
        <w:ind w:left="720"/>
      </w:pPr>
      <w:r w:rsidRPr="00E259C0">
        <w:t xml:space="preserve">After the selected certified IDR entity has reviewed the offer, the certified IDR entity must notify the </w:t>
      </w:r>
      <w:r w:rsidRPr="00E259C0" w:rsidR="00DE783B">
        <w:t>parties</w:t>
      </w:r>
      <w:r w:rsidRPr="00E259C0">
        <w:t xml:space="preserve"> of the payment determination</w:t>
      </w:r>
      <w:r w:rsidRPr="00E259C0" w:rsidR="002A6645">
        <w:t xml:space="preserve"> no later than 30 business days</w:t>
      </w:r>
      <w:r w:rsidRPr="00E259C0" w:rsidR="0001407F">
        <w:t xml:space="preserve"> after </w:t>
      </w:r>
      <w:r w:rsidRPr="00E259C0" w:rsidR="005A6E81">
        <w:t>certified IDR entity selection</w:t>
      </w:r>
      <w:r w:rsidRPr="00E259C0">
        <w:t>, in a form and manner specified by the Departments.</w:t>
      </w:r>
      <w:r>
        <w:rPr>
          <w:vertAlign w:val="superscript"/>
        </w:rPr>
        <w:footnoteReference w:id="12"/>
      </w:r>
      <w:r w:rsidR="00263C28">
        <w:t xml:space="preserve"> </w:t>
      </w:r>
      <w:bookmarkStart w:id="18" w:name="_Hlk96442794"/>
      <w:r w:rsidRPr="00E259C0" w:rsidR="00FC7858">
        <w:t xml:space="preserve">The Departments </w:t>
      </w:r>
      <w:r w:rsidR="00504ACA">
        <w:t>assumes that</w:t>
      </w:r>
      <w:r w:rsidRPr="00E259C0" w:rsidR="00FC7858">
        <w:t xml:space="preserve"> a physician and medical billing specialist </w:t>
      </w:r>
      <w:r w:rsidR="00504ACA">
        <w:t xml:space="preserve">will </w:t>
      </w:r>
      <w:r w:rsidRPr="00E259C0" w:rsidR="00FC7858">
        <w:t xml:space="preserve">prepare the </w:t>
      </w:r>
      <w:r w:rsidRPr="00E259C0" w:rsidR="00A4120A">
        <w:t xml:space="preserve">payment determination </w:t>
      </w:r>
      <w:r w:rsidRPr="00E259C0" w:rsidR="00FC7858">
        <w:t>notice at a composite wage rate of $</w:t>
      </w:r>
      <w:r w:rsidR="00F958C3">
        <w:t>16</w:t>
      </w:r>
      <w:r w:rsidR="00681C37">
        <w:t>3.27</w:t>
      </w:r>
      <w:r w:rsidRPr="00E259C0" w:rsidR="00FC7858">
        <w:t>.</w:t>
      </w:r>
      <w:r>
        <w:rPr>
          <w:vertAlign w:val="superscript"/>
        </w:rPr>
        <w:footnoteReference w:id="13"/>
      </w:r>
      <w:r w:rsidRPr="00E259C0" w:rsidR="00FC7858">
        <w:t xml:space="preserve"> </w:t>
      </w:r>
      <w:r w:rsidRPr="00E259C0" w:rsidR="006005BE">
        <w:t xml:space="preserve">Please see Table </w:t>
      </w:r>
      <w:r w:rsidRPr="00E259C0" w:rsidR="00BC39A3">
        <w:t>8</w:t>
      </w:r>
      <w:r w:rsidRPr="00E259C0" w:rsidR="006005BE">
        <w:t xml:space="preserve"> for calculations and burden totals.</w:t>
      </w:r>
      <w:r w:rsidRPr="00E259C0" w:rsidR="00543113">
        <w:t xml:space="preserve"> </w:t>
      </w:r>
      <w:bookmarkEnd w:id="18"/>
    </w:p>
    <w:p w:rsidR="00E05D2E" w:rsidRPr="00E259C0" w14:paraId="5881F0FE" w14:textId="77777777">
      <w:pPr>
        <w:pStyle w:val="Quick1"/>
        <w:numPr>
          <w:ilvl w:val="0"/>
          <w:numId w:val="0"/>
        </w:numPr>
      </w:pPr>
    </w:p>
    <w:p w:rsidR="00257092" w:rsidRPr="00E259C0" w:rsidP="00022533" w14:paraId="2E63A0BB" w14:textId="68ED70F3">
      <w:pPr>
        <w:pStyle w:val="Quick1"/>
        <w:numPr>
          <w:ilvl w:val="0"/>
          <w:numId w:val="0"/>
        </w:numPr>
        <w:ind w:left="720"/>
      </w:pPr>
      <w:r w:rsidRPr="00E259C0">
        <w:t>Additionally, the certified IDR entity must provide the payment determination</w:t>
      </w:r>
      <w:r w:rsidRPr="00E259C0" w:rsidR="006C29AA">
        <w:t xml:space="preserve"> to both parties of the dispute and the Departments</w:t>
      </w:r>
      <w:r w:rsidRPr="00E259C0">
        <w:t xml:space="preserve">. The Departments also assume that the cost of preparing and delivering this written decision is included in the certified IDR entity fee paid by the provider, facility, plan, issuer, or FEHB carrier. </w:t>
      </w:r>
    </w:p>
    <w:p w:rsidR="00603554" w:rsidRPr="00E259C0" w14:paraId="61F82C3C" w14:textId="77777777">
      <w:pPr>
        <w:pStyle w:val="Quick1"/>
        <w:numPr>
          <w:ilvl w:val="0"/>
          <w:numId w:val="0"/>
        </w:numPr>
      </w:pPr>
    </w:p>
    <w:p w:rsidR="00603554" w:rsidRPr="00E259C0" w:rsidP="004F57A3" w14:paraId="49B03311" w14:textId="2B6347E5">
      <w:pPr>
        <w:pStyle w:val="Quick1"/>
        <w:numPr>
          <w:ilvl w:val="0"/>
          <w:numId w:val="0"/>
        </w:numPr>
        <w:ind w:left="720"/>
      </w:pPr>
      <w:r w:rsidRPr="00E259C0">
        <w:t xml:space="preserve">After a final determination, the certified IDR entity must maintain records of all claims and notices associated with the </w:t>
      </w:r>
      <w:r w:rsidRPr="00E259C0" w:rsidR="00844226">
        <w:t xml:space="preserve">Federal </w:t>
      </w:r>
      <w:r w:rsidRPr="00E259C0">
        <w:t xml:space="preserve">IDR process for 6 years. The certified IDR entity must store the documents in a manner necessary to meet the requirements of the interim final rules. The certified IDR entities must make such records available for examination by the plan, issuer, FEHB carrier, provider, facility, or </w:t>
      </w:r>
      <w:r w:rsidRPr="00E259C0" w:rsidR="00207C78">
        <w:t xml:space="preserve">State </w:t>
      </w:r>
      <w:r w:rsidRPr="00E259C0">
        <w:t xml:space="preserve">or </w:t>
      </w:r>
      <w:r w:rsidRPr="00E259C0" w:rsidR="00B907A0">
        <w:t xml:space="preserve">Federal </w:t>
      </w:r>
      <w:r w:rsidRPr="00E259C0">
        <w:t xml:space="preserve">oversight agency </w:t>
      </w:r>
      <w:r w:rsidRPr="00E259C0">
        <w:t xml:space="preserve">upon request, except where such disclosure would violate </w:t>
      </w:r>
      <w:r w:rsidRPr="00E259C0" w:rsidR="00A86C45">
        <w:t xml:space="preserve">State </w:t>
      </w:r>
      <w:r w:rsidRPr="00E259C0">
        <w:t xml:space="preserve">or </w:t>
      </w:r>
      <w:r w:rsidRPr="00E259C0" w:rsidR="00B907A0">
        <w:t>F</w:t>
      </w:r>
      <w:r w:rsidRPr="00E259C0">
        <w:t>ederal privacy laws.</w:t>
      </w:r>
      <w:r w:rsidR="00263C28">
        <w:t xml:space="preserve"> </w:t>
      </w:r>
      <w:r w:rsidRPr="00E259C0" w:rsidR="006005BE">
        <w:t xml:space="preserve">Please see Table </w:t>
      </w:r>
      <w:r w:rsidR="002D03D2">
        <w:t>9</w:t>
      </w:r>
      <w:r w:rsidRPr="00E259C0" w:rsidR="006005BE">
        <w:t xml:space="preserve"> for calculations and burden totals.</w:t>
      </w:r>
    </w:p>
    <w:p w:rsidR="003F0432" w:rsidRPr="00630647" w:rsidP="00063DD4" w14:paraId="545BB6AE" w14:textId="1AC9E805">
      <w:pPr>
        <w:pStyle w:val="HeadingStyle"/>
        <w:ind w:firstLine="0"/>
        <w:rPr>
          <w:rFonts w:ascii="Times New Roman" w:hAnsi="Times New Roman" w:cs="Times New Roman"/>
          <w:b w:val="0"/>
          <w:bCs w:val="0"/>
          <w:color w:val="auto"/>
        </w:rPr>
      </w:pPr>
      <w:r w:rsidRPr="00E259C0">
        <w:rPr>
          <w:rFonts w:ascii="Times New Roman" w:hAnsi="Times New Roman" w:cs="Times New Roman"/>
          <w:color w:val="auto"/>
        </w:rPr>
        <w:t xml:space="preserve">Table </w:t>
      </w:r>
      <w:r w:rsidR="002D03D2">
        <w:rPr>
          <w:rFonts w:ascii="Times New Roman" w:hAnsi="Times New Roman" w:cs="Times New Roman"/>
          <w:color w:val="auto"/>
        </w:rPr>
        <w:t>9</w:t>
      </w:r>
      <w:r w:rsidRPr="00E259C0">
        <w:rPr>
          <w:rFonts w:ascii="Times New Roman" w:hAnsi="Times New Roman" w:cs="Times New Roman"/>
          <w:color w:val="auto"/>
        </w:rPr>
        <w:t xml:space="preserve">. Cost Burden of </w:t>
      </w:r>
      <w:r w:rsidRPr="00630647">
        <w:rPr>
          <w:rFonts w:ascii="Times New Roman" w:hAnsi="Times New Roman" w:cs="Times New Roman"/>
          <w:color w:val="auto"/>
        </w:rPr>
        <w:t>Federal IDR Process for Certified IDR Entities</w:t>
      </w:r>
    </w:p>
    <w:tbl>
      <w:tblPr>
        <w:tblpPr w:leftFromText="180" w:rightFromText="180" w:vertAnchor="text" w:horzAnchor="margin" w:tblpY="121"/>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0"/>
        <w:gridCol w:w="1598"/>
        <w:gridCol w:w="1530"/>
        <w:gridCol w:w="1440"/>
        <w:gridCol w:w="996"/>
        <w:gridCol w:w="1536"/>
      </w:tblGrid>
      <w:tr w14:paraId="209E8B37" w14:textId="77777777" w:rsidTr="00661DAC">
        <w:tblPrEx>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10"/>
        </w:trPr>
        <w:tc>
          <w:tcPr>
            <w:tcW w:w="3050" w:type="dxa"/>
            <w:noWrap/>
            <w:vAlign w:val="center"/>
            <w:hideMark/>
          </w:tcPr>
          <w:p w:rsidR="000F0A5A" w:rsidRPr="00630647" w:rsidP="000F0A5A" w14:paraId="3946B76D" w14:textId="77777777">
            <w:pPr>
              <w:widowControl/>
              <w:autoSpaceDE/>
              <w:autoSpaceDN/>
              <w:adjustRightInd/>
            </w:pPr>
            <w:r w:rsidRPr="00630647">
              <w:t> </w:t>
            </w:r>
          </w:p>
        </w:tc>
        <w:tc>
          <w:tcPr>
            <w:tcW w:w="1598" w:type="dxa"/>
            <w:vAlign w:val="center"/>
            <w:hideMark/>
          </w:tcPr>
          <w:p w:rsidR="000F0A5A" w:rsidRPr="00630647" w:rsidP="000F0A5A" w14:paraId="68F7A9C3" w14:textId="4ED6DAC3">
            <w:pPr>
              <w:widowControl/>
              <w:autoSpaceDE/>
              <w:autoSpaceDN/>
              <w:adjustRightInd/>
              <w:jc w:val="center"/>
              <w:rPr>
                <w:b/>
                <w:bCs/>
              </w:rPr>
            </w:pPr>
            <w:r w:rsidRPr="00630647">
              <w:rPr>
                <w:b/>
                <w:bCs/>
              </w:rPr>
              <w:t xml:space="preserve">Number of </w:t>
            </w:r>
            <w:r w:rsidRPr="00630647" w:rsidR="00973A04">
              <w:rPr>
                <w:b/>
                <w:bCs/>
              </w:rPr>
              <w:t>Claims</w:t>
            </w:r>
          </w:p>
        </w:tc>
        <w:tc>
          <w:tcPr>
            <w:tcW w:w="1530" w:type="dxa"/>
            <w:vAlign w:val="center"/>
            <w:hideMark/>
          </w:tcPr>
          <w:p w:rsidR="000F0A5A" w:rsidRPr="00630647" w:rsidP="000F0A5A" w14:paraId="003888FE" w14:textId="2393479A">
            <w:pPr>
              <w:widowControl/>
              <w:autoSpaceDE/>
              <w:autoSpaceDN/>
              <w:adjustRightInd/>
              <w:jc w:val="center"/>
              <w:rPr>
                <w:b/>
                <w:bCs/>
              </w:rPr>
            </w:pPr>
            <w:r w:rsidRPr="00630647">
              <w:rPr>
                <w:b/>
                <w:bCs/>
              </w:rPr>
              <w:t xml:space="preserve">Number of Hours per </w:t>
            </w:r>
            <w:r w:rsidRPr="00630647" w:rsidR="00973A04">
              <w:rPr>
                <w:b/>
                <w:bCs/>
              </w:rPr>
              <w:t>Claim</w:t>
            </w:r>
          </w:p>
        </w:tc>
        <w:tc>
          <w:tcPr>
            <w:tcW w:w="1440" w:type="dxa"/>
            <w:vAlign w:val="center"/>
            <w:hideMark/>
          </w:tcPr>
          <w:p w:rsidR="000F0A5A" w:rsidRPr="00630647" w:rsidP="000F0A5A" w14:paraId="13EC2203" w14:textId="45270E80">
            <w:pPr>
              <w:widowControl/>
              <w:autoSpaceDE/>
              <w:autoSpaceDN/>
              <w:adjustRightInd/>
              <w:jc w:val="center"/>
              <w:rPr>
                <w:b/>
                <w:bCs/>
              </w:rPr>
            </w:pPr>
            <w:r w:rsidRPr="00630647">
              <w:rPr>
                <w:b/>
                <w:bCs/>
              </w:rPr>
              <w:t>Total Hour</w:t>
            </w:r>
            <w:r w:rsidRPr="00630647" w:rsidR="006F2363">
              <w:rPr>
                <w:b/>
                <w:bCs/>
              </w:rPr>
              <w:t>s</w:t>
            </w:r>
          </w:p>
        </w:tc>
        <w:tc>
          <w:tcPr>
            <w:tcW w:w="996" w:type="dxa"/>
            <w:vAlign w:val="center"/>
            <w:hideMark/>
          </w:tcPr>
          <w:p w:rsidR="000F0A5A" w:rsidRPr="00630647" w:rsidP="000F0A5A" w14:paraId="64E1873C" w14:textId="77777777">
            <w:pPr>
              <w:widowControl/>
              <w:autoSpaceDE/>
              <w:autoSpaceDN/>
              <w:adjustRightInd/>
              <w:jc w:val="center"/>
              <w:rPr>
                <w:b/>
                <w:bCs/>
              </w:rPr>
            </w:pPr>
            <w:r w:rsidRPr="00630647">
              <w:rPr>
                <w:b/>
                <w:bCs/>
              </w:rPr>
              <w:t>Wage Rate</w:t>
            </w:r>
          </w:p>
        </w:tc>
        <w:tc>
          <w:tcPr>
            <w:tcW w:w="1536" w:type="dxa"/>
            <w:vAlign w:val="center"/>
            <w:hideMark/>
          </w:tcPr>
          <w:p w:rsidR="000F0A5A" w:rsidRPr="00630647" w:rsidP="000F0A5A" w14:paraId="3B0DEF35" w14:textId="64D8AC58">
            <w:pPr>
              <w:widowControl/>
              <w:autoSpaceDE/>
              <w:autoSpaceDN/>
              <w:adjustRightInd/>
              <w:jc w:val="center"/>
              <w:rPr>
                <w:b/>
                <w:bCs/>
              </w:rPr>
            </w:pPr>
            <w:r w:rsidRPr="00630647">
              <w:rPr>
                <w:b/>
                <w:bCs/>
              </w:rPr>
              <w:t>Cost</w:t>
            </w:r>
            <w:r w:rsidRPr="00630647" w:rsidR="00175CC6">
              <w:rPr>
                <w:b/>
                <w:bCs/>
              </w:rPr>
              <w:t xml:space="preserve"> Burden</w:t>
            </w:r>
          </w:p>
        </w:tc>
      </w:tr>
      <w:tr w14:paraId="043B7C54" w14:textId="77777777" w:rsidTr="00661DAC">
        <w:tblPrEx>
          <w:tblW w:w="10150" w:type="dxa"/>
          <w:tblLook w:val="04A0"/>
        </w:tblPrEx>
        <w:trPr>
          <w:trHeight w:val="300"/>
        </w:trPr>
        <w:tc>
          <w:tcPr>
            <w:tcW w:w="3050" w:type="dxa"/>
            <w:noWrap/>
            <w:vAlign w:val="center"/>
            <w:hideMark/>
          </w:tcPr>
          <w:p w:rsidR="000F0A5A" w:rsidRPr="00630647" w:rsidP="000F0A5A" w14:paraId="7D4F70FA" w14:textId="77777777">
            <w:pPr>
              <w:widowControl/>
              <w:autoSpaceDE/>
              <w:autoSpaceDN/>
              <w:adjustRightInd/>
            </w:pPr>
            <w:r w:rsidRPr="00630647">
              <w:t> </w:t>
            </w:r>
          </w:p>
        </w:tc>
        <w:tc>
          <w:tcPr>
            <w:tcW w:w="1598" w:type="dxa"/>
            <w:vAlign w:val="center"/>
            <w:hideMark/>
          </w:tcPr>
          <w:p w:rsidR="000F0A5A" w:rsidRPr="00630647" w:rsidP="000F0A5A" w14:paraId="6BAE2945" w14:textId="77777777">
            <w:pPr>
              <w:widowControl/>
              <w:autoSpaceDE/>
              <w:autoSpaceDN/>
              <w:adjustRightInd/>
              <w:jc w:val="center"/>
              <w:rPr>
                <w:b/>
                <w:bCs/>
              </w:rPr>
            </w:pPr>
            <w:r w:rsidRPr="00630647">
              <w:rPr>
                <w:b/>
                <w:bCs/>
              </w:rPr>
              <w:t>(A)</w:t>
            </w:r>
          </w:p>
        </w:tc>
        <w:tc>
          <w:tcPr>
            <w:tcW w:w="1530" w:type="dxa"/>
            <w:vAlign w:val="center"/>
            <w:hideMark/>
          </w:tcPr>
          <w:p w:rsidR="000F0A5A" w:rsidRPr="00630647" w:rsidP="000F0A5A" w14:paraId="13721F0D" w14:textId="77777777">
            <w:pPr>
              <w:widowControl/>
              <w:autoSpaceDE/>
              <w:autoSpaceDN/>
              <w:adjustRightInd/>
              <w:jc w:val="center"/>
              <w:rPr>
                <w:b/>
                <w:bCs/>
              </w:rPr>
            </w:pPr>
            <w:r w:rsidRPr="00630647">
              <w:rPr>
                <w:b/>
                <w:bCs/>
              </w:rPr>
              <w:t>(B)</w:t>
            </w:r>
          </w:p>
        </w:tc>
        <w:tc>
          <w:tcPr>
            <w:tcW w:w="1440" w:type="dxa"/>
            <w:vAlign w:val="center"/>
            <w:hideMark/>
          </w:tcPr>
          <w:p w:rsidR="000F0A5A" w:rsidRPr="00630647" w:rsidP="000F0A5A" w14:paraId="1C1DE741" w14:textId="45A3FA9D">
            <w:pPr>
              <w:widowControl/>
              <w:autoSpaceDE/>
              <w:autoSpaceDN/>
              <w:adjustRightInd/>
              <w:jc w:val="center"/>
              <w:rPr>
                <w:b/>
                <w:bCs/>
              </w:rPr>
            </w:pPr>
            <w:r w:rsidRPr="00630647">
              <w:rPr>
                <w:b/>
                <w:bCs/>
              </w:rPr>
              <w:t xml:space="preserve">(A </w:t>
            </w:r>
            <w:r w:rsidRPr="00630647" w:rsidR="00125929">
              <w:rPr>
                <w:b/>
                <w:bCs/>
                <w:color w:val="000000"/>
              </w:rPr>
              <w:t>×</w:t>
            </w:r>
            <w:r w:rsidRPr="00630647">
              <w:rPr>
                <w:b/>
                <w:bCs/>
              </w:rPr>
              <w:t xml:space="preserve"> B)</w:t>
            </w:r>
          </w:p>
        </w:tc>
        <w:tc>
          <w:tcPr>
            <w:tcW w:w="996" w:type="dxa"/>
            <w:vAlign w:val="center"/>
            <w:hideMark/>
          </w:tcPr>
          <w:p w:rsidR="000F0A5A" w:rsidRPr="00630647" w:rsidP="000F0A5A" w14:paraId="423D5E90" w14:textId="1DA66B91">
            <w:pPr>
              <w:widowControl/>
              <w:autoSpaceDE/>
              <w:autoSpaceDN/>
              <w:adjustRightInd/>
              <w:jc w:val="center"/>
              <w:rPr>
                <w:b/>
                <w:bCs/>
              </w:rPr>
            </w:pPr>
            <w:r w:rsidRPr="00630647">
              <w:rPr>
                <w:b/>
                <w:bCs/>
              </w:rPr>
              <w:t>(</w:t>
            </w:r>
            <w:r w:rsidRPr="00630647" w:rsidR="007A74B2">
              <w:rPr>
                <w:b/>
                <w:bCs/>
              </w:rPr>
              <w:t>C</w:t>
            </w:r>
            <w:r w:rsidRPr="00630647">
              <w:rPr>
                <w:b/>
                <w:bCs/>
              </w:rPr>
              <w:t>)</w:t>
            </w:r>
          </w:p>
        </w:tc>
        <w:tc>
          <w:tcPr>
            <w:tcW w:w="1536" w:type="dxa"/>
            <w:vAlign w:val="center"/>
            <w:hideMark/>
          </w:tcPr>
          <w:p w:rsidR="000F0A5A" w:rsidRPr="00630647" w:rsidP="000F0A5A" w14:paraId="47618BC2" w14:textId="7477C221">
            <w:pPr>
              <w:widowControl/>
              <w:autoSpaceDE/>
              <w:autoSpaceDN/>
              <w:adjustRightInd/>
              <w:jc w:val="center"/>
              <w:rPr>
                <w:b/>
                <w:bCs/>
              </w:rPr>
            </w:pPr>
            <w:r w:rsidRPr="00630647">
              <w:rPr>
                <w:b/>
                <w:bCs/>
              </w:rPr>
              <w:t xml:space="preserve">(A </w:t>
            </w:r>
            <w:r w:rsidRPr="00630647" w:rsidR="00125929">
              <w:rPr>
                <w:b/>
                <w:bCs/>
                <w:color w:val="000000"/>
              </w:rPr>
              <w:t>×</w:t>
            </w:r>
            <w:r w:rsidRPr="00630647">
              <w:rPr>
                <w:b/>
                <w:bCs/>
              </w:rPr>
              <w:t xml:space="preserve"> B </w:t>
            </w:r>
            <w:r w:rsidRPr="00630647" w:rsidR="00125929">
              <w:rPr>
                <w:b/>
                <w:bCs/>
                <w:color w:val="000000"/>
              </w:rPr>
              <w:t>×</w:t>
            </w:r>
            <w:r w:rsidRPr="00630647">
              <w:rPr>
                <w:b/>
                <w:bCs/>
              </w:rPr>
              <w:t xml:space="preserve"> </w:t>
            </w:r>
            <w:r w:rsidRPr="00630647" w:rsidR="007A74B2">
              <w:rPr>
                <w:b/>
                <w:bCs/>
              </w:rPr>
              <w:t>C</w:t>
            </w:r>
            <w:r w:rsidRPr="00630647">
              <w:rPr>
                <w:b/>
                <w:bCs/>
              </w:rPr>
              <w:t>)</w:t>
            </w:r>
          </w:p>
        </w:tc>
      </w:tr>
      <w:tr w14:paraId="3CA09FCC" w14:textId="77777777" w:rsidTr="00661DAC">
        <w:tblPrEx>
          <w:tblW w:w="10150" w:type="dxa"/>
          <w:tblLook w:val="04A0"/>
        </w:tblPrEx>
        <w:trPr>
          <w:trHeight w:val="570"/>
        </w:trPr>
        <w:tc>
          <w:tcPr>
            <w:tcW w:w="3050" w:type="dxa"/>
            <w:vAlign w:val="center"/>
            <w:hideMark/>
          </w:tcPr>
          <w:p w:rsidR="001A6E3C" w:rsidRPr="00630647" w:rsidP="001A6E3C" w14:paraId="791D56BD" w14:textId="77777777">
            <w:pPr>
              <w:widowControl/>
              <w:autoSpaceDE/>
              <w:autoSpaceDN/>
              <w:adjustRightInd/>
            </w:pPr>
            <w:r w:rsidRPr="00630647">
              <w:t xml:space="preserve">Physicians and medical billing specialists prepare the payment determination notice </w:t>
            </w:r>
          </w:p>
        </w:tc>
        <w:tc>
          <w:tcPr>
            <w:tcW w:w="1598" w:type="dxa"/>
            <w:tcBorders>
              <w:top w:val="single" w:sz="4" w:space="0" w:color="auto"/>
              <w:left w:val="single" w:sz="4" w:space="0" w:color="auto"/>
              <w:bottom w:val="single" w:sz="4" w:space="0" w:color="auto"/>
              <w:right w:val="single" w:sz="4" w:space="0" w:color="auto"/>
            </w:tcBorders>
            <w:noWrap/>
            <w:vAlign w:val="center"/>
            <w:hideMark/>
          </w:tcPr>
          <w:p w:rsidR="001A6E3C" w:rsidRPr="00630647" w:rsidP="001A6E3C" w14:paraId="759581A6" w14:textId="0533771D">
            <w:pPr>
              <w:widowControl/>
              <w:autoSpaceDE/>
              <w:autoSpaceDN/>
              <w:adjustRightInd/>
              <w:jc w:val="center"/>
            </w:pPr>
            <w:r>
              <w:rPr>
                <w:color w:val="000000"/>
                <w:sz w:val="22"/>
                <w:szCs w:val="22"/>
              </w:rPr>
              <w:t>2,600,000</w:t>
            </w:r>
          </w:p>
        </w:tc>
        <w:tc>
          <w:tcPr>
            <w:tcW w:w="1530" w:type="dxa"/>
            <w:tcBorders>
              <w:top w:val="single" w:sz="4" w:space="0" w:color="auto"/>
              <w:left w:val="nil"/>
              <w:bottom w:val="single" w:sz="4" w:space="0" w:color="auto"/>
              <w:right w:val="single" w:sz="4" w:space="0" w:color="auto"/>
            </w:tcBorders>
            <w:noWrap/>
            <w:vAlign w:val="center"/>
            <w:hideMark/>
          </w:tcPr>
          <w:p w:rsidR="001A6E3C" w:rsidRPr="00630647" w:rsidP="001A6E3C" w14:paraId="039BBA37" w14:textId="53DFE00E">
            <w:pPr>
              <w:widowControl/>
              <w:autoSpaceDE/>
              <w:autoSpaceDN/>
              <w:adjustRightInd/>
              <w:jc w:val="center"/>
            </w:pPr>
            <w:r>
              <w:rPr>
                <w:color w:val="000000"/>
                <w:sz w:val="22"/>
                <w:szCs w:val="22"/>
              </w:rPr>
              <w:t>0.50</w:t>
            </w:r>
          </w:p>
        </w:tc>
        <w:tc>
          <w:tcPr>
            <w:tcW w:w="1440" w:type="dxa"/>
            <w:tcBorders>
              <w:top w:val="single" w:sz="4" w:space="0" w:color="auto"/>
              <w:left w:val="nil"/>
              <w:bottom w:val="single" w:sz="4" w:space="0" w:color="auto"/>
              <w:right w:val="single" w:sz="4" w:space="0" w:color="auto"/>
            </w:tcBorders>
            <w:noWrap/>
            <w:vAlign w:val="center"/>
            <w:hideMark/>
          </w:tcPr>
          <w:p w:rsidR="001A6E3C" w:rsidRPr="00630647" w:rsidP="001A6E3C" w14:paraId="08437BAB" w14:textId="6DB37D1C">
            <w:pPr>
              <w:widowControl/>
              <w:autoSpaceDE/>
              <w:autoSpaceDN/>
              <w:adjustRightInd/>
              <w:jc w:val="center"/>
            </w:pPr>
            <w:r>
              <w:rPr>
                <w:color w:val="000000"/>
                <w:sz w:val="22"/>
                <w:szCs w:val="22"/>
              </w:rPr>
              <w:t>1,300,000</w:t>
            </w:r>
          </w:p>
        </w:tc>
        <w:tc>
          <w:tcPr>
            <w:tcW w:w="996" w:type="dxa"/>
            <w:tcBorders>
              <w:top w:val="single" w:sz="4" w:space="0" w:color="auto"/>
              <w:left w:val="nil"/>
              <w:bottom w:val="single" w:sz="4" w:space="0" w:color="auto"/>
              <w:right w:val="single" w:sz="4" w:space="0" w:color="auto"/>
            </w:tcBorders>
            <w:noWrap/>
            <w:vAlign w:val="center"/>
            <w:hideMark/>
          </w:tcPr>
          <w:p w:rsidR="001A6E3C" w:rsidRPr="00630647" w:rsidP="001A6E3C" w14:paraId="1FEBFEA1" w14:textId="6161F8A5">
            <w:pPr>
              <w:widowControl/>
              <w:autoSpaceDE/>
              <w:autoSpaceDN/>
              <w:adjustRightInd/>
              <w:jc w:val="center"/>
            </w:pPr>
            <w:r>
              <w:rPr>
                <w:color w:val="000000"/>
                <w:sz w:val="22"/>
                <w:szCs w:val="22"/>
              </w:rPr>
              <w:t>$169.15</w:t>
            </w:r>
          </w:p>
        </w:tc>
        <w:tc>
          <w:tcPr>
            <w:tcW w:w="1536" w:type="dxa"/>
            <w:tcBorders>
              <w:top w:val="single" w:sz="4" w:space="0" w:color="auto"/>
              <w:left w:val="nil"/>
              <w:bottom w:val="single" w:sz="4" w:space="0" w:color="auto"/>
              <w:right w:val="single" w:sz="4" w:space="0" w:color="auto"/>
            </w:tcBorders>
            <w:noWrap/>
            <w:vAlign w:val="center"/>
            <w:hideMark/>
          </w:tcPr>
          <w:p w:rsidR="001A6E3C" w:rsidRPr="00630647" w:rsidP="001A6E3C" w14:paraId="3B94201C" w14:textId="5EE03B3B">
            <w:pPr>
              <w:widowControl/>
              <w:autoSpaceDE/>
              <w:autoSpaceDN/>
              <w:adjustRightInd/>
              <w:jc w:val="center"/>
            </w:pPr>
            <w:r>
              <w:rPr>
                <w:color w:val="000000"/>
                <w:sz w:val="22"/>
                <w:szCs w:val="22"/>
              </w:rPr>
              <w:t>$219,895,000</w:t>
            </w:r>
          </w:p>
        </w:tc>
      </w:tr>
      <w:tr w14:paraId="26F9CAED" w14:textId="77777777" w:rsidTr="00661DAC">
        <w:tblPrEx>
          <w:tblW w:w="10150" w:type="dxa"/>
          <w:tblLook w:val="04A0"/>
        </w:tblPrEx>
        <w:trPr>
          <w:trHeight w:val="570"/>
        </w:trPr>
        <w:tc>
          <w:tcPr>
            <w:tcW w:w="3050" w:type="dxa"/>
            <w:vAlign w:val="center"/>
            <w:hideMark/>
          </w:tcPr>
          <w:p w:rsidR="001A6E3C" w:rsidRPr="00630647" w:rsidP="001A6E3C" w14:paraId="791F35D7" w14:textId="77777777">
            <w:pPr>
              <w:widowControl/>
              <w:autoSpaceDE/>
              <w:autoSpaceDN/>
              <w:adjustRightInd/>
            </w:pPr>
            <w:r w:rsidRPr="00630647">
              <w:t xml:space="preserve">Clerical workers maintain recordkeeping </w:t>
            </w:r>
          </w:p>
        </w:tc>
        <w:tc>
          <w:tcPr>
            <w:tcW w:w="1598" w:type="dxa"/>
            <w:tcBorders>
              <w:top w:val="nil"/>
              <w:left w:val="single" w:sz="4" w:space="0" w:color="auto"/>
              <w:bottom w:val="double" w:sz="6" w:space="0" w:color="auto"/>
              <w:right w:val="single" w:sz="4" w:space="0" w:color="auto"/>
            </w:tcBorders>
            <w:noWrap/>
            <w:vAlign w:val="center"/>
            <w:hideMark/>
          </w:tcPr>
          <w:p w:rsidR="001A6E3C" w:rsidRPr="00630647" w:rsidP="001A6E3C" w14:paraId="3D61660D" w14:textId="3A76FC9C">
            <w:pPr>
              <w:widowControl/>
              <w:autoSpaceDE/>
              <w:autoSpaceDN/>
              <w:adjustRightInd/>
              <w:jc w:val="center"/>
            </w:pPr>
            <w:r>
              <w:rPr>
                <w:color w:val="000000"/>
                <w:sz w:val="22"/>
                <w:szCs w:val="22"/>
              </w:rPr>
              <w:t>2,600,000</w:t>
            </w:r>
          </w:p>
        </w:tc>
        <w:tc>
          <w:tcPr>
            <w:tcW w:w="1530" w:type="dxa"/>
            <w:tcBorders>
              <w:top w:val="nil"/>
              <w:left w:val="nil"/>
              <w:bottom w:val="double" w:sz="6" w:space="0" w:color="auto"/>
              <w:right w:val="single" w:sz="4" w:space="0" w:color="auto"/>
            </w:tcBorders>
            <w:noWrap/>
            <w:vAlign w:val="center"/>
            <w:hideMark/>
          </w:tcPr>
          <w:p w:rsidR="001A6E3C" w:rsidRPr="00630647" w:rsidP="001A6E3C" w14:paraId="5C94DEC2" w14:textId="193859F7">
            <w:pPr>
              <w:widowControl/>
              <w:autoSpaceDE/>
              <w:autoSpaceDN/>
              <w:adjustRightInd/>
              <w:jc w:val="center"/>
            </w:pPr>
            <w:r>
              <w:rPr>
                <w:color w:val="000000"/>
                <w:sz w:val="22"/>
                <w:szCs w:val="22"/>
              </w:rPr>
              <w:t>0.50</w:t>
            </w:r>
          </w:p>
        </w:tc>
        <w:tc>
          <w:tcPr>
            <w:tcW w:w="1440" w:type="dxa"/>
            <w:tcBorders>
              <w:top w:val="nil"/>
              <w:left w:val="nil"/>
              <w:bottom w:val="double" w:sz="6" w:space="0" w:color="auto"/>
              <w:right w:val="single" w:sz="4" w:space="0" w:color="auto"/>
            </w:tcBorders>
            <w:noWrap/>
            <w:vAlign w:val="center"/>
            <w:hideMark/>
          </w:tcPr>
          <w:p w:rsidR="001A6E3C" w:rsidRPr="00630647" w:rsidP="001A6E3C" w14:paraId="563290BE" w14:textId="2E29B46F">
            <w:pPr>
              <w:widowControl/>
              <w:autoSpaceDE/>
              <w:autoSpaceDN/>
              <w:adjustRightInd/>
              <w:jc w:val="center"/>
            </w:pPr>
            <w:r>
              <w:rPr>
                <w:color w:val="000000"/>
                <w:sz w:val="22"/>
                <w:szCs w:val="22"/>
              </w:rPr>
              <w:t>1,300,000</w:t>
            </w:r>
          </w:p>
        </w:tc>
        <w:tc>
          <w:tcPr>
            <w:tcW w:w="996" w:type="dxa"/>
            <w:tcBorders>
              <w:top w:val="nil"/>
              <w:left w:val="nil"/>
              <w:bottom w:val="double" w:sz="6" w:space="0" w:color="auto"/>
              <w:right w:val="single" w:sz="4" w:space="0" w:color="auto"/>
            </w:tcBorders>
            <w:noWrap/>
            <w:vAlign w:val="center"/>
            <w:hideMark/>
          </w:tcPr>
          <w:p w:rsidR="001A6E3C" w:rsidRPr="00630647" w:rsidP="001A6E3C" w14:paraId="6CE7A1D0" w14:textId="296C0196">
            <w:pPr>
              <w:widowControl/>
              <w:autoSpaceDE/>
              <w:autoSpaceDN/>
              <w:adjustRightInd/>
              <w:jc w:val="center"/>
            </w:pPr>
            <w:r>
              <w:rPr>
                <w:color w:val="000000"/>
                <w:sz w:val="22"/>
                <w:szCs w:val="22"/>
              </w:rPr>
              <w:t>$72.82</w:t>
            </w:r>
          </w:p>
        </w:tc>
        <w:tc>
          <w:tcPr>
            <w:tcW w:w="1536" w:type="dxa"/>
            <w:tcBorders>
              <w:top w:val="nil"/>
              <w:left w:val="nil"/>
              <w:bottom w:val="double" w:sz="6" w:space="0" w:color="auto"/>
              <w:right w:val="single" w:sz="4" w:space="0" w:color="auto"/>
            </w:tcBorders>
            <w:noWrap/>
            <w:vAlign w:val="center"/>
            <w:hideMark/>
          </w:tcPr>
          <w:p w:rsidR="001A6E3C" w:rsidRPr="00630647" w:rsidP="001A6E3C" w14:paraId="0D378BC5" w14:textId="361C251F">
            <w:pPr>
              <w:widowControl/>
              <w:autoSpaceDE/>
              <w:autoSpaceDN/>
              <w:adjustRightInd/>
              <w:jc w:val="center"/>
            </w:pPr>
            <w:r>
              <w:rPr>
                <w:color w:val="000000"/>
                <w:sz w:val="22"/>
                <w:szCs w:val="22"/>
              </w:rPr>
              <w:t>$94,666,000</w:t>
            </w:r>
          </w:p>
        </w:tc>
      </w:tr>
      <w:tr w14:paraId="4825EF8B" w14:textId="77777777" w:rsidTr="00661DAC">
        <w:tblPrEx>
          <w:tblW w:w="10150" w:type="dxa"/>
          <w:tblLook w:val="04A0"/>
        </w:tblPrEx>
        <w:trPr>
          <w:trHeight w:val="300"/>
        </w:trPr>
        <w:tc>
          <w:tcPr>
            <w:tcW w:w="3050" w:type="dxa"/>
            <w:noWrap/>
            <w:vAlign w:val="center"/>
            <w:hideMark/>
          </w:tcPr>
          <w:p w:rsidR="001A6E3C" w:rsidRPr="00630647" w:rsidP="001A6E3C" w14:paraId="57EAAF14" w14:textId="77777777">
            <w:pPr>
              <w:widowControl/>
              <w:autoSpaceDE/>
              <w:autoSpaceDN/>
              <w:adjustRightInd/>
              <w:rPr>
                <w:b/>
                <w:bCs/>
              </w:rPr>
            </w:pPr>
            <w:r w:rsidRPr="00630647">
              <w:rPr>
                <w:b/>
                <w:bCs/>
              </w:rPr>
              <w:t>Total</w:t>
            </w:r>
          </w:p>
        </w:tc>
        <w:tc>
          <w:tcPr>
            <w:tcW w:w="1598" w:type="dxa"/>
            <w:tcBorders>
              <w:top w:val="nil"/>
              <w:left w:val="single" w:sz="4" w:space="0" w:color="auto"/>
              <w:bottom w:val="single" w:sz="4" w:space="0" w:color="auto"/>
              <w:right w:val="single" w:sz="4" w:space="0" w:color="auto"/>
            </w:tcBorders>
            <w:noWrap/>
            <w:vAlign w:val="center"/>
            <w:hideMark/>
          </w:tcPr>
          <w:p w:rsidR="001A6E3C" w:rsidRPr="00630647" w:rsidP="001A6E3C" w14:paraId="614B68F5" w14:textId="6753EB41">
            <w:pPr>
              <w:widowControl/>
              <w:autoSpaceDE/>
              <w:autoSpaceDN/>
              <w:adjustRightInd/>
              <w:jc w:val="center"/>
              <w:rPr>
                <w:b/>
                <w:bCs/>
              </w:rPr>
            </w:pPr>
            <w:r>
              <w:rPr>
                <w:b/>
                <w:bCs/>
                <w:color w:val="000000"/>
                <w:sz w:val="22"/>
                <w:szCs w:val="22"/>
              </w:rPr>
              <w:t>5,200,000</w:t>
            </w:r>
          </w:p>
        </w:tc>
        <w:tc>
          <w:tcPr>
            <w:tcW w:w="1530" w:type="dxa"/>
            <w:tcBorders>
              <w:top w:val="nil"/>
              <w:left w:val="nil"/>
              <w:bottom w:val="single" w:sz="4" w:space="0" w:color="auto"/>
              <w:right w:val="single" w:sz="4" w:space="0" w:color="auto"/>
            </w:tcBorders>
            <w:noWrap/>
            <w:vAlign w:val="center"/>
            <w:hideMark/>
          </w:tcPr>
          <w:p w:rsidR="001A6E3C" w:rsidRPr="00630647" w:rsidP="001A6E3C" w14:paraId="25065EEA" w14:textId="3997F55D">
            <w:pPr>
              <w:widowControl/>
              <w:autoSpaceDE/>
              <w:autoSpaceDN/>
              <w:adjustRightInd/>
              <w:jc w:val="center"/>
              <w:rPr>
                <w:b/>
                <w:bCs/>
              </w:rPr>
            </w:pPr>
            <w:r>
              <w:rPr>
                <w:b/>
                <w:bCs/>
                <w:color w:val="000000"/>
                <w:sz w:val="22"/>
                <w:szCs w:val="22"/>
              </w:rPr>
              <w:t>-</w:t>
            </w:r>
          </w:p>
        </w:tc>
        <w:tc>
          <w:tcPr>
            <w:tcW w:w="1440" w:type="dxa"/>
            <w:tcBorders>
              <w:top w:val="nil"/>
              <w:left w:val="nil"/>
              <w:bottom w:val="single" w:sz="4" w:space="0" w:color="auto"/>
              <w:right w:val="single" w:sz="4" w:space="0" w:color="auto"/>
            </w:tcBorders>
            <w:noWrap/>
            <w:vAlign w:val="center"/>
            <w:hideMark/>
          </w:tcPr>
          <w:p w:rsidR="001A6E3C" w:rsidRPr="00630647" w:rsidP="001A6E3C" w14:paraId="0073FDAB" w14:textId="1D31987A">
            <w:pPr>
              <w:widowControl/>
              <w:autoSpaceDE/>
              <w:autoSpaceDN/>
              <w:adjustRightInd/>
              <w:jc w:val="center"/>
              <w:rPr>
                <w:b/>
                <w:bCs/>
              </w:rPr>
            </w:pPr>
            <w:r>
              <w:rPr>
                <w:b/>
                <w:bCs/>
                <w:color w:val="000000"/>
                <w:sz w:val="22"/>
                <w:szCs w:val="22"/>
              </w:rPr>
              <w:t>2,600,000</w:t>
            </w:r>
          </w:p>
        </w:tc>
        <w:tc>
          <w:tcPr>
            <w:tcW w:w="996" w:type="dxa"/>
            <w:tcBorders>
              <w:top w:val="nil"/>
              <w:left w:val="nil"/>
              <w:bottom w:val="single" w:sz="4" w:space="0" w:color="auto"/>
              <w:right w:val="single" w:sz="4" w:space="0" w:color="auto"/>
            </w:tcBorders>
            <w:noWrap/>
            <w:vAlign w:val="center"/>
            <w:hideMark/>
          </w:tcPr>
          <w:p w:rsidR="001A6E3C" w:rsidRPr="00630647" w:rsidP="001A6E3C" w14:paraId="7CD7479C" w14:textId="025ACDD1">
            <w:pPr>
              <w:widowControl/>
              <w:autoSpaceDE/>
              <w:autoSpaceDN/>
              <w:adjustRightInd/>
              <w:jc w:val="center"/>
              <w:rPr>
                <w:b/>
                <w:bCs/>
              </w:rPr>
            </w:pPr>
            <w:r>
              <w:rPr>
                <w:b/>
                <w:bCs/>
                <w:color w:val="000000"/>
                <w:sz w:val="22"/>
                <w:szCs w:val="22"/>
              </w:rPr>
              <w:t>-</w:t>
            </w:r>
          </w:p>
        </w:tc>
        <w:tc>
          <w:tcPr>
            <w:tcW w:w="1536" w:type="dxa"/>
            <w:tcBorders>
              <w:top w:val="nil"/>
              <w:left w:val="nil"/>
              <w:bottom w:val="single" w:sz="4" w:space="0" w:color="auto"/>
              <w:right w:val="single" w:sz="4" w:space="0" w:color="auto"/>
            </w:tcBorders>
            <w:noWrap/>
            <w:vAlign w:val="center"/>
            <w:hideMark/>
          </w:tcPr>
          <w:p w:rsidR="001A6E3C" w:rsidRPr="00630647" w:rsidP="001A6E3C" w14:paraId="69E3183E" w14:textId="580ECC01">
            <w:pPr>
              <w:widowControl/>
              <w:autoSpaceDE/>
              <w:autoSpaceDN/>
              <w:adjustRightInd/>
              <w:jc w:val="center"/>
              <w:rPr>
                <w:b/>
                <w:bCs/>
              </w:rPr>
            </w:pPr>
            <w:r>
              <w:rPr>
                <w:b/>
                <w:bCs/>
                <w:color w:val="000000"/>
                <w:sz w:val="22"/>
                <w:szCs w:val="22"/>
              </w:rPr>
              <w:t>$314,561,000</w:t>
            </w:r>
          </w:p>
        </w:tc>
      </w:tr>
    </w:tbl>
    <w:p w:rsidR="009E0620" w:rsidRPr="00E259C0" w:rsidP="00A27AD9" w14:paraId="7D508F40" w14:textId="77777777">
      <w:pPr>
        <w:rPr>
          <w:u w:val="single"/>
        </w:rPr>
      </w:pPr>
    </w:p>
    <w:p w:rsidR="009B3C7D" w:rsidRPr="00E259C0" w:rsidP="009B3C7D" w14:paraId="4136201F" w14:textId="3AAE724D">
      <w:pPr>
        <w:ind w:left="720"/>
        <w:rPr>
          <w:b/>
          <w:i/>
          <w:u w:val="single"/>
        </w:rPr>
      </w:pPr>
      <w:r w:rsidRPr="00E259C0">
        <w:rPr>
          <w:b/>
          <w:i/>
          <w:u w:val="single"/>
        </w:rPr>
        <w:t xml:space="preserve">IDR Entity Certification </w:t>
      </w:r>
    </w:p>
    <w:p w:rsidR="009B3C7D" w:rsidRPr="00E259C0" w:rsidP="009B3C7D" w14:paraId="7B18C9B8" w14:textId="77777777">
      <w:pPr>
        <w:ind w:left="720"/>
        <w:rPr>
          <w:i/>
          <w:u w:val="single"/>
        </w:rPr>
      </w:pPr>
    </w:p>
    <w:p w:rsidR="009B3C7D" w:rsidRPr="00E259C0" w:rsidP="009B3C7D" w14:paraId="547B1270" w14:textId="7DF0EAAF">
      <w:pPr>
        <w:ind w:left="720"/>
      </w:pPr>
      <w:r w:rsidRPr="00E259C0">
        <w:t>An IDR entity must be certified under standards and procedures set forth in guidance promulgated by the Departments.</w:t>
      </w:r>
      <w:r w:rsidR="00263C28">
        <w:t xml:space="preserve"> </w:t>
      </w:r>
      <w:r w:rsidRPr="00E259C0">
        <w:t xml:space="preserve">The Departments estimate that there will be </w:t>
      </w:r>
      <w:r w:rsidRPr="00E259C0" w:rsidR="00363AEB">
        <w:t>1</w:t>
      </w:r>
      <w:r w:rsidRPr="00E259C0" w:rsidR="00DE4110">
        <w:t>3</w:t>
      </w:r>
      <w:r w:rsidRPr="00E259C0" w:rsidR="00363AEB">
        <w:t xml:space="preserve"> </w:t>
      </w:r>
      <w:r w:rsidRPr="00E259C0">
        <w:t>entities that seek IDR certification.</w:t>
      </w:r>
      <w:r>
        <w:rPr>
          <w:rStyle w:val="FootnoteReference"/>
          <w:vertAlign w:val="superscript"/>
        </w:rPr>
        <w:footnoteReference w:id="14"/>
      </w:r>
      <w:r w:rsidRPr="002007D0" w:rsidR="002007D0">
        <w:t xml:space="preserve"> </w:t>
      </w:r>
      <w:r w:rsidRPr="00E259C0" w:rsidR="002007D0">
        <w:t>The Departments estimate that, on average, it will take a compensation and benefits manager 5.10 hours and a clerical worker 15 minutes to satisfy these requirements for certifications.</w:t>
      </w:r>
      <w:r w:rsidR="002007D0">
        <w:t xml:space="preserve"> </w:t>
      </w:r>
      <w:r w:rsidRPr="00E259C0" w:rsidR="002007D0">
        <w:rPr>
          <w:bCs/>
        </w:rPr>
        <w:t xml:space="preserve">Please see Table </w:t>
      </w:r>
      <w:r w:rsidR="002007D0">
        <w:rPr>
          <w:bCs/>
        </w:rPr>
        <w:t>10</w:t>
      </w:r>
      <w:r w:rsidRPr="00E259C0" w:rsidR="002007D0">
        <w:rPr>
          <w:bCs/>
        </w:rPr>
        <w:t xml:space="preserve"> for calculations and burden totals</w:t>
      </w:r>
      <w:r w:rsidR="007B5F1F">
        <w:rPr>
          <w:bCs/>
        </w:rPr>
        <w:t>.</w:t>
      </w:r>
    </w:p>
    <w:p w:rsidR="002B7405" w:rsidRPr="002B7405" w:rsidP="002B7405" w14:paraId="2ED28690" w14:textId="77777777">
      <w:pPr>
        <w:ind w:left="720"/>
      </w:pPr>
    </w:p>
    <w:p w:rsidR="002B7405" w:rsidRPr="002B7405" w:rsidP="002B7405" w14:paraId="5D81212C" w14:textId="353931A9">
      <w:pPr>
        <w:ind w:left="720"/>
      </w:pPr>
      <w:r w:rsidRPr="002B7405">
        <w:t xml:space="preserve">When a certified IDR entity is selected, the certified IDR entity must submit the administrative fee to the Departments on behalf of the parties to the Federal IDR process.  The Departments estimate that, on average, the time required for a clerical worker to complete the information collection is 18 hours annually, including the time to review instructions, search existing data resources, gather required data, and complete and review the information collection.  </w:t>
      </w:r>
      <w:r>
        <w:t xml:space="preserve">Please see Table 10 for calculations and burden totals. </w:t>
      </w:r>
    </w:p>
    <w:p w:rsidR="002B7405" w:rsidRPr="00E259C0" w:rsidP="002B7405" w14:paraId="20137B78" w14:textId="77777777"/>
    <w:p w:rsidR="009B3C7D" w:rsidRPr="00E259C0" w:rsidP="009B3C7D" w14:paraId="3CDB8DA0" w14:textId="77777777">
      <w:pPr>
        <w:ind w:left="720"/>
      </w:pPr>
    </w:p>
    <w:p w:rsidR="009B3C7D" w:rsidRPr="00E259C0" w:rsidP="007B5F1F" w14:paraId="03EEA980" w14:textId="523CAB2B">
      <w:pPr>
        <w:ind w:left="720"/>
      </w:pPr>
      <w:r w:rsidRPr="00E259C0">
        <w:t>Certified IDR entities are required to be recertified every 5 years.</w:t>
      </w:r>
      <w:r w:rsidR="00263C28">
        <w:t xml:space="preserve"> </w:t>
      </w:r>
      <w:r w:rsidRPr="00E259C0">
        <w:t>The Departments estimate that, on average, one-fifth of certified IDR entities will need to be recertified each year.</w:t>
      </w:r>
      <w:r w:rsidR="00263C28">
        <w:t xml:space="preserve"> </w:t>
      </w:r>
      <w:r w:rsidRPr="00E259C0">
        <w:t xml:space="preserve">Similar to the initial certification process, these certified IDR entities must </w:t>
      </w:r>
      <w:r w:rsidRPr="00E259C0">
        <w:t>ensure the processes are established and complete the corresponding paperwork, including the certification agreement, through the Federal IDR portal.</w:t>
      </w:r>
      <w:r w:rsidR="00263C28">
        <w:t xml:space="preserve"> </w:t>
      </w:r>
      <w:r w:rsidRPr="00E259C0">
        <w:t xml:space="preserve">The Departments estimate that, on average, it will take a </w:t>
      </w:r>
      <w:r w:rsidRPr="00E259C0" w:rsidR="004D706B">
        <w:t>compensation and benefits</w:t>
      </w:r>
      <w:r w:rsidRPr="00E259C0">
        <w:t xml:space="preserve"> manager 2.10 hours and a clerical worker 15 minutes to satisfy the requirement.</w:t>
      </w:r>
      <w:r w:rsidR="00263C28">
        <w:t xml:space="preserve"> </w:t>
      </w:r>
      <w:r w:rsidRPr="00E259C0" w:rsidR="008F1444">
        <w:rPr>
          <w:bCs/>
        </w:rPr>
        <w:t xml:space="preserve">Please see Table </w:t>
      </w:r>
      <w:r w:rsidR="00926AA6">
        <w:rPr>
          <w:bCs/>
        </w:rPr>
        <w:t>10</w:t>
      </w:r>
      <w:r w:rsidRPr="00E259C0" w:rsidR="008F1444">
        <w:rPr>
          <w:bCs/>
        </w:rPr>
        <w:t xml:space="preserve"> for calculations and burden totals.</w:t>
      </w:r>
    </w:p>
    <w:p w:rsidR="00E51A92" w:rsidRPr="00E259C0" w:rsidP="00257092" w14:paraId="57EFD0BF" w14:textId="77777777">
      <w:pPr>
        <w:ind w:left="720"/>
      </w:pPr>
    </w:p>
    <w:p w:rsidR="008F1444" w:rsidP="007B5F1F" w14:paraId="281E67BC" w14:textId="1C1A262B">
      <w:pPr>
        <w:widowControl/>
        <w:ind w:left="720"/>
        <w:rPr>
          <w:bCs/>
        </w:rPr>
      </w:pPr>
      <w:r w:rsidRPr="00E259C0">
        <w:t xml:space="preserve">The interim final rules permit an individual, provider, facility, provider of air ambulance services, group health plan, </w:t>
      </w:r>
      <w:r w:rsidRPr="00E259C0" w:rsidR="0048196C">
        <w:t>issuer</w:t>
      </w:r>
      <w:r w:rsidRPr="00E259C0">
        <w:t xml:space="preserve">, or FEHB carrier to petition for a denial of a certification </w:t>
      </w:r>
      <w:r w:rsidRPr="00E259C0" w:rsidR="00A03C44">
        <w:t xml:space="preserve">for an IDR entity seeking certification </w:t>
      </w:r>
      <w:r w:rsidRPr="00E259C0">
        <w:t xml:space="preserve">or </w:t>
      </w:r>
      <w:r w:rsidRPr="00E259C0" w:rsidR="00052C6F">
        <w:t xml:space="preserve">for </w:t>
      </w:r>
      <w:r w:rsidRPr="00E259C0" w:rsidR="00A03C44">
        <w:t xml:space="preserve">the </w:t>
      </w:r>
      <w:r w:rsidRPr="00E259C0">
        <w:t xml:space="preserve">revocation of certification </w:t>
      </w:r>
      <w:r w:rsidRPr="00E259C0" w:rsidR="00052C6F">
        <w:t>of a</w:t>
      </w:r>
      <w:r w:rsidRPr="00E259C0" w:rsidR="000C3EBB">
        <w:t xml:space="preserve"> certified</w:t>
      </w:r>
      <w:r w:rsidRPr="00E259C0">
        <w:t xml:space="preserve"> IDR entity for failure to meet certain requirements set forth in the interim final rules.</w:t>
      </w:r>
      <w:r w:rsidR="00263C28">
        <w:t xml:space="preserve"> </w:t>
      </w:r>
      <w:r w:rsidRPr="00E259C0">
        <w:t xml:space="preserve">The Departments do not have </w:t>
      </w:r>
      <w:r w:rsidRPr="00E259C0" w:rsidR="007457B6">
        <w:t xml:space="preserve">substantial </w:t>
      </w:r>
      <w:r w:rsidRPr="00E259C0">
        <w:t xml:space="preserve">data on how often such a petition </w:t>
      </w:r>
      <w:r w:rsidRPr="00E259C0" w:rsidR="007457B6">
        <w:t xml:space="preserve">will </w:t>
      </w:r>
      <w:r w:rsidRPr="00E259C0">
        <w:t>occur; however, the Departments assume that such a petition will be a</w:t>
      </w:r>
      <w:r w:rsidRPr="00E259C0" w:rsidR="007457B6">
        <w:t>n</w:t>
      </w:r>
      <w:r w:rsidRPr="00E259C0">
        <w:t xml:space="preserve"> </w:t>
      </w:r>
      <w:r w:rsidRPr="00E259C0" w:rsidR="00973999">
        <w:t>unusual</w:t>
      </w:r>
      <w:r w:rsidRPr="00E259C0">
        <w:t xml:space="preserve"> occurrence.</w:t>
      </w:r>
      <w:r w:rsidR="00263C28">
        <w:t xml:space="preserve"> </w:t>
      </w:r>
      <w:r w:rsidRPr="00E259C0">
        <w:t xml:space="preserve">The Departments assume that there will be </w:t>
      </w:r>
      <w:r w:rsidRPr="00E259C0" w:rsidR="0060488A">
        <w:t xml:space="preserve">5 </w:t>
      </w:r>
      <w:r w:rsidRPr="00E259C0">
        <w:t xml:space="preserve">petitions each year, and it will take, on average, a </w:t>
      </w:r>
      <w:r w:rsidRPr="00E259C0" w:rsidR="007C7D6A">
        <w:t>compensation and benefits manager</w:t>
      </w:r>
      <w:r w:rsidRPr="00E259C0">
        <w:t xml:space="preserve"> services manager 2 hours and a clerical worker and 15 minutes to prepare the petition.</w:t>
      </w:r>
      <w:r w:rsidR="00263C28">
        <w:t xml:space="preserve"> </w:t>
      </w:r>
      <w:r w:rsidRPr="00E259C0">
        <w:rPr>
          <w:bCs/>
        </w:rPr>
        <w:t xml:space="preserve">Please see Table </w:t>
      </w:r>
      <w:r w:rsidR="00926AA6">
        <w:rPr>
          <w:bCs/>
        </w:rPr>
        <w:t>10</w:t>
      </w:r>
      <w:r w:rsidRPr="00E259C0">
        <w:rPr>
          <w:bCs/>
        </w:rPr>
        <w:t xml:space="preserve"> for calculations and burden totals.</w:t>
      </w:r>
    </w:p>
    <w:p w:rsidR="007B5F1F" w:rsidP="007B5F1F" w14:paraId="2258F2CA" w14:textId="77777777">
      <w:pPr>
        <w:widowControl/>
        <w:ind w:left="720"/>
        <w:rPr>
          <w:bCs/>
        </w:rPr>
      </w:pPr>
    </w:p>
    <w:p w:rsidR="007B5F1F" w:rsidRPr="00E259C0" w:rsidP="007B5F1F" w14:paraId="0EFAEB02" w14:textId="528E9482">
      <w:pPr>
        <w:ind w:left="720"/>
        <w:rPr>
          <w:b/>
          <w:i/>
          <w:u w:val="single"/>
        </w:rPr>
      </w:pPr>
      <w:r w:rsidRPr="00E259C0">
        <w:rPr>
          <w:b/>
          <w:i/>
          <w:u w:val="single"/>
        </w:rPr>
        <w:t>IDR Entity Monthly Reporting</w:t>
      </w:r>
    </w:p>
    <w:p w:rsidR="009B3C7D" w:rsidRPr="00E259C0" w:rsidP="00FE4F5D" w14:paraId="5A5A4E43" w14:textId="543CB790"/>
    <w:p w:rsidR="007B5F1F" w:rsidP="007B5F1F" w14:paraId="55A9EB4E" w14:textId="6922B250">
      <w:pPr>
        <w:ind w:left="720"/>
        <w:rPr>
          <w:bCs/>
        </w:rPr>
      </w:pPr>
      <w:r w:rsidRPr="00E259C0">
        <w:t>For each month, certified IDR entities will be required to report information on their activities to the Departments</w:t>
      </w:r>
      <w:r>
        <w:t xml:space="preserve"> related to </w:t>
      </w:r>
      <w:r w:rsidRPr="004E3AB8" w:rsidR="004E3AB8">
        <w:t>for n</w:t>
      </w:r>
      <w:r w:rsidRPr="004E3AB8" w:rsidR="004E3AB8">
        <w:rPr>
          <w:iCs/>
        </w:rPr>
        <w:t>onparticipating providers or nonparticipating emergency facilities and air ambulance providers</w:t>
      </w:r>
      <w:r w:rsidR="004E3AB8">
        <w:rPr>
          <w:iCs/>
        </w:rPr>
        <w:t>.</w:t>
      </w:r>
      <w:r w:rsidR="004E3AB8">
        <w:t xml:space="preserve"> </w:t>
      </w:r>
      <w:r w:rsidRPr="00E259C0">
        <w:t>The report will be submitted through the Federal IDR portal.</w:t>
      </w:r>
      <w:r>
        <w:t xml:space="preserve"> </w:t>
      </w:r>
      <w:r w:rsidRPr="00E259C0">
        <w:t>The Departments estimate it will take a medical and health services manager 1 hour, on average, to prepare the reports and a clerical worker 15 minutes to prepare and send the report to the Departments each month.</w:t>
      </w:r>
      <w:r>
        <w:t xml:space="preserve"> </w:t>
      </w:r>
      <w:r w:rsidRPr="00E259C0">
        <w:rPr>
          <w:bCs/>
        </w:rPr>
        <w:t xml:space="preserve">Please see Table </w:t>
      </w:r>
      <w:r>
        <w:rPr>
          <w:bCs/>
        </w:rPr>
        <w:t>10</w:t>
      </w:r>
      <w:r w:rsidRPr="00E259C0">
        <w:rPr>
          <w:bCs/>
        </w:rPr>
        <w:t xml:space="preserve"> for calculations and burden totals.</w:t>
      </w:r>
    </w:p>
    <w:p w:rsidR="001D34BB" w:rsidP="007B5F1F" w14:paraId="76DA44CA" w14:textId="77777777">
      <w:pPr>
        <w:ind w:left="720"/>
        <w:rPr>
          <w:bCs/>
        </w:rPr>
      </w:pPr>
    </w:p>
    <w:p w:rsidR="001D34BB" w:rsidRPr="00AE049B" w:rsidP="007B5F1F" w14:paraId="7B6A42EA" w14:textId="68D5658D">
      <w:pPr>
        <w:ind w:left="720"/>
        <w:rPr>
          <w:b/>
          <w:bCs/>
          <w:i/>
          <w:iCs/>
          <w:u w:val="single"/>
        </w:rPr>
      </w:pPr>
      <w:r w:rsidRPr="00AE049B">
        <w:rPr>
          <w:b/>
          <w:bCs/>
          <w:i/>
          <w:iCs/>
          <w:u w:val="single"/>
        </w:rPr>
        <w:t xml:space="preserve">IDR Entity Breach </w:t>
      </w:r>
    </w:p>
    <w:p w:rsidR="003F29E5" w:rsidRPr="00E259C0" w:rsidP="007B5F1F" w14:paraId="635D0A8E" w14:textId="1A5D77B3"/>
    <w:p w:rsidR="00401284" w:rsidRPr="00E259C0" w:rsidP="008F1444" w14:paraId="52407DAE" w14:textId="51043670">
      <w:pPr>
        <w:ind w:left="720"/>
        <w:rPr>
          <w:bCs/>
        </w:rPr>
      </w:pPr>
      <w:r>
        <w:t>Finally, t</w:t>
      </w:r>
      <w:r w:rsidRPr="00E259C0" w:rsidR="00AC1AFB">
        <w:t xml:space="preserve">he certified IDR entities are required, following the discovery of a breach of unsecured IIHI, to notify of the breach the provider, facility, or provider of air ambulance services; the </w:t>
      </w:r>
      <w:r w:rsidRPr="00E259C0" w:rsidR="00F36518">
        <w:t>plan, issuer, or FEHB carrier</w:t>
      </w:r>
      <w:r w:rsidRPr="00E259C0" w:rsidR="00AC1AFB">
        <w:t xml:space="preserve">; the Departments; and each individual </w:t>
      </w:r>
      <w:r w:rsidRPr="00E259C0" w:rsidR="00B57A84">
        <w:t>whos</w:t>
      </w:r>
      <w:r w:rsidRPr="00E259C0" w:rsidR="00EE3ED9">
        <w:t>e</w:t>
      </w:r>
      <w:r w:rsidRPr="00E259C0" w:rsidR="00AC1AFB">
        <w:t xml:space="preserve"> unsecured IIHI has been, or is reasonably believed to have been, subject to the breach, to the extent possible.</w:t>
      </w:r>
      <w:r w:rsidR="00263C28">
        <w:t xml:space="preserve"> </w:t>
      </w:r>
      <w:r w:rsidRPr="00E259C0" w:rsidR="00AC1AFB">
        <w:t>The Departments estimate that three certified IDR entities will have a breach each year.</w:t>
      </w:r>
      <w:r w:rsidR="00263C28">
        <w:t xml:space="preserve"> </w:t>
      </w:r>
      <w:r w:rsidRPr="00E259C0" w:rsidR="00AC1AFB">
        <w:t xml:space="preserve">In addition, the Departments estimate that it will take a </w:t>
      </w:r>
      <w:r w:rsidRPr="00E259C0" w:rsidR="009326F8">
        <w:t>compensation and benefits</w:t>
      </w:r>
      <w:r w:rsidRPr="00E259C0" w:rsidR="00AC1AFB">
        <w:t xml:space="preserve"> manager </w:t>
      </w:r>
      <w:r w:rsidRPr="00E259C0" w:rsidR="001576B1">
        <w:t>1</w:t>
      </w:r>
      <w:r w:rsidRPr="00E259C0" w:rsidR="00AC1AFB">
        <w:t xml:space="preserve"> hour, on average, to handle the initial breach and follow the required protocols, and that it will take a general and operations manager 45 minutes, on average, to ensure the protocol is executed and adapt policies accordingly.</w:t>
      </w:r>
      <w:r w:rsidR="00263C28">
        <w:t xml:space="preserve"> </w:t>
      </w:r>
      <w:r w:rsidRPr="00E259C0" w:rsidR="008F1444">
        <w:rPr>
          <w:bCs/>
        </w:rPr>
        <w:t xml:space="preserve">Please see Table </w:t>
      </w:r>
      <w:r w:rsidR="00926AA6">
        <w:rPr>
          <w:bCs/>
        </w:rPr>
        <w:t>10</w:t>
      </w:r>
      <w:r w:rsidRPr="00E259C0" w:rsidR="008F1444">
        <w:rPr>
          <w:bCs/>
        </w:rPr>
        <w:t xml:space="preserve"> for calculations and burden totals.</w:t>
      </w:r>
    </w:p>
    <w:p w:rsidR="00401284" w:rsidRPr="00E259C0" w:rsidP="00063DD4" w14:paraId="354E8B3F" w14:textId="255A6A7C">
      <w:pPr>
        <w:pStyle w:val="HeadingStyle"/>
        <w:ind w:firstLine="0"/>
        <w:rPr>
          <w:rFonts w:ascii="Times New Roman" w:hAnsi="Times New Roman" w:cs="Times New Roman"/>
          <w:b w:val="0"/>
          <w:color w:val="auto"/>
        </w:rPr>
      </w:pPr>
      <w:r w:rsidRPr="00E259C0">
        <w:rPr>
          <w:rFonts w:ascii="Times New Roman" w:hAnsi="Times New Roman" w:cs="Times New Roman"/>
          <w:color w:val="auto"/>
        </w:rPr>
        <w:t xml:space="preserve">Table </w:t>
      </w:r>
      <w:r w:rsidR="00926AA6">
        <w:rPr>
          <w:rFonts w:ascii="Times New Roman" w:hAnsi="Times New Roman" w:cs="Times New Roman"/>
          <w:color w:val="auto"/>
        </w:rPr>
        <w:t>10</w:t>
      </w:r>
      <w:r w:rsidRPr="00E259C0">
        <w:rPr>
          <w:rFonts w:ascii="Times New Roman" w:hAnsi="Times New Roman" w:cs="Times New Roman"/>
          <w:color w:val="auto"/>
        </w:rPr>
        <w:t>. Cost Burden for IDR Entity Certification and Certified IDR Entity Monthly Reporting</w:t>
      </w:r>
    </w:p>
    <w:p w:rsidR="00401284" w:rsidRPr="00E259C0" w:rsidP="008F1444" w14:paraId="69637333" w14:textId="77777777">
      <w:pPr>
        <w:ind w:left="720"/>
        <w:rPr>
          <w:bCs/>
        </w:rPr>
      </w:pPr>
    </w:p>
    <w:tbl>
      <w:tblPr>
        <w:tblW w:w="9720" w:type="dxa"/>
        <w:tblInd w:w="170" w:type="dxa"/>
        <w:tblLook w:val="04A0"/>
      </w:tblPr>
      <w:tblGrid>
        <w:gridCol w:w="3780"/>
        <w:gridCol w:w="1350"/>
        <w:gridCol w:w="1260"/>
        <w:gridCol w:w="990"/>
        <w:gridCol w:w="990"/>
        <w:gridCol w:w="1350"/>
      </w:tblGrid>
      <w:tr w14:paraId="73B866EA" w14:textId="77777777" w:rsidTr="00504ACA">
        <w:tblPrEx>
          <w:tblW w:w="9720" w:type="dxa"/>
          <w:tblInd w:w="170" w:type="dxa"/>
          <w:tblLook w:val="04A0"/>
        </w:tblPrEx>
        <w:trPr>
          <w:trHeight w:val="850"/>
        </w:trPr>
        <w:tc>
          <w:tcPr>
            <w:tcW w:w="3780" w:type="dxa"/>
            <w:tcBorders>
              <w:top w:val="single" w:sz="4" w:space="0" w:color="auto"/>
              <w:left w:val="single" w:sz="4" w:space="0" w:color="auto"/>
              <w:bottom w:val="single" w:sz="4" w:space="0" w:color="auto"/>
              <w:right w:val="single" w:sz="4" w:space="0" w:color="auto"/>
            </w:tcBorders>
            <w:noWrap/>
            <w:vAlign w:val="center"/>
            <w:hideMark/>
          </w:tcPr>
          <w:p w:rsidR="00401284" w:rsidRPr="00E259C0" w:rsidP="00401284" w14:paraId="54A196D7" w14:textId="77777777">
            <w:pPr>
              <w:widowControl/>
              <w:autoSpaceDE/>
              <w:autoSpaceDN/>
              <w:adjustRightInd/>
              <w:rPr>
                <w:sz w:val="22"/>
                <w:szCs w:val="22"/>
              </w:rPr>
            </w:pPr>
            <w:r w:rsidRPr="00E259C0">
              <w:rPr>
                <w:sz w:val="22"/>
                <w:szCs w:val="22"/>
              </w:rPr>
              <w:t> </w:t>
            </w:r>
          </w:p>
        </w:tc>
        <w:tc>
          <w:tcPr>
            <w:tcW w:w="1350" w:type="dxa"/>
            <w:tcBorders>
              <w:top w:val="single" w:sz="4" w:space="0" w:color="auto"/>
              <w:left w:val="single" w:sz="4" w:space="0" w:color="auto"/>
              <w:bottom w:val="single" w:sz="4" w:space="0" w:color="auto"/>
              <w:right w:val="single" w:sz="4" w:space="0" w:color="auto"/>
            </w:tcBorders>
            <w:vAlign w:val="center"/>
            <w:hideMark/>
          </w:tcPr>
          <w:p w:rsidR="00401284" w:rsidRPr="00E259C0" w:rsidP="00401284" w14:paraId="56249B42" w14:textId="77777777">
            <w:pPr>
              <w:widowControl/>
              <w:autoSpaceDE/>
              <w:autoSpaceDN/>
              <w:adjustRightInd/>
              <w:jc w:val="center"/>
              <w:rPr>
                <w:b/>
                <w:bCs/>
                <w:sz w:val="22"/>
                <w:szCs w:val="22"/>
              </w:rPr>
            </w:pPr>
            <w:r w:rsidRPr="00E259C0">
              <w:rPr>
                <w:b/>
                <w:bCs/>
                <w:sz w:val="22"/>
                <w:szCs w:val="22"/>
              </w:rPr>
              <w:t>Number of Entities</w:t>
            </w:r>
          </w:p>
        </w:tc>
        <w:tc>
          <w:tcPr>
            <w:tcW w:w="1260" w:type="dxa"/>
            <w:tcBorders>
              <w:top w:val="single" w:sz="4" w:space="0" w:color="auto"/>
              <w:left w:val="single" w:sz="4" w:space="0" w:color="auto"/>
              <w:bottom w:val="single" w:sz="4" w:space="0" w:color="auto"/>
              <w:right w:val="single" w:sz="4" w:space="0" w:color="auto"/>
            </w:tcBorders>
            <w:vAlign w:val="center"/>
            <w:hideMark/>
          </w:tcPr>
          <w:p w:rsidR="00401284" w:rsidRPr="00E259C0" w:rsidP="00401284" w14:paraId="5565150F" w14:textId="77777777">
            <w:pPr>
              <w:widowControl/>
              <w:autoSpaceDE/>
              <w:autoSpaceDN/>
              <w:adjustRightInd/>
              <w:jc w:val="center"/>
              <w:rPr>
                <w:b/>
                <w:bCs/>
                <w:sz w:val="22"/>
                <w:szCs w:val="22"/>
              </w:rPr>
            </w:pPr>
            <w:r w:rsidRPr="00E259C0">
              <w:rPr>
                <w:b/>
                <w:bCs/>
                <w:sz w:val="22"/>
                <w:szCs w:val="22"/>
              </w:rPr>
              <w:t>Number of Hours per Entity</w:t>
            </w:r>
          </w:p>
        </w:tc>
        <w:tc>
          <w:tcPr>
            <w:tcW w:w="990" w:type="dxa"/>
            <w:tcBorders>
              <w:top w:val="single" w:sz="4" w:space="0" w:color="auto"/>
              <w:left w:val="single" w:sz="4" w:space="0" w:color="auto"/>
              <w:bottom w:val="single" w:sz="4" w:space="0" w:color="auto"/>
              <w:right w:val="single" w:sz="4" w:space="0" w:color="auto"/>
            </w:tcBorders>
            <w:vAlign w:val="center"/>
            <w:hideMark/>
          </w:tcPr>
          <w:p w:rsidR="00401284" w:rsidRPr="00E259C0" w:rsidP="00401284" w14:paraId="21E5B160" w14:textId="77777777">
            <w:pPr>
              <w:widowControl/>
              <w:autoSpaceDE/>
              <w:autoSpaceDN/>
              <w:adjustRightInd/>
              <w:jc w:val="center"/>
              <w:rPr>
                <w:b/>
                <w:bCs/>
                <w:sz w:val="22"/>
                <w:szCs w:val="22"/>
              </w:rPr>
            </w:pPr>
            <w:r w:rsidRPr="00E259C0">
              <w:rPr>
                <w:b/>
                <w:bCs/>
                <w:sz w:val="22"/>
                <w:szCs w:val="22"/>
              </w:rPr>
              <w:t>Total Hour Burden</w:t>
            </w:r>
          </w:p>
        </w:tc>
        <w:tc>
          <w:tcPr>
            <w:tcW w:w="990" w:type="dxa"/>
            <w:tcBorders>
              <w:top w:val="single" w:sz="4" w:space="0" w:color="auto"/>
              <w:left w:val="single" w:sz="4" w:space="0" w:color="auto"/>
              <w:bottom w:val="single" w:sz="4" w:space="0" w:color="auto"/>
              <w:right w:val="single" w:sz="4" w:space="0" w:color="auto"/>
            </w:tcBorders>
            <w:vAlign w:val="center"/>
            <w:hideMark/>
          </w:tcPr>
          <w:p w:rsidR="00401284" w:rsidRPr="00E259C0" w:rsidP="00401284" w14:paraId="03D269F3" w14:textId="77777777">
            <w:pPr>
              <w:widowControl/>
              <w:autoSpaceDE/>
              <w:autoSpaceDN/>
              <w:adjustRightInd/>
              <w:jc w:val="center"/>
              <w:rPr>
                <w:b/>
                <w:bCs/>
                <w:sz w:val="22"/>
                <w:szCs w:val="22"/>
              </w:rPr>
            </w:pPr>
            <w:r w:rsidRPr="00E259C0">
              <w:rPr>
                <w:b/>
                <w:bCs/>
                <w:sz w:val="22"/>
                <w:szCs w:val="22"/>
              </w:rPr>
              <w:t>Wage Rate</w:t>
            </w:r>
          </w:p>
        </w:tc>
        <w:tc>
          <w:tcPr>
            <w:tcW w:w="1350" w:type="dxa"/>
            <w:tcBorders>
              <w:top w:val="single" w:sz="4" w:space="0" w:color="auto"/>
              <w:left w:val="single" w:sz="4" w:space="0" w:color="auto"/>
              <w:bottom w:val="single" w:sz="4" w:space="0" w:color="auto"/>
              <w:right w:val="single" w:sz="4" w:space="0" w:color="auto"/>
            </w:tcBorders>
            <w:vAlign w:val="center"/>
            <w:hideMark/>
          </w:tcPr>
          <w:p w:rsidR="00401284" w:rsidRPr="00E259C0" w:rsidP="00401284" w14:paraId="3A3739FD" w14:textId="308996D2">
            <w:pPr>
              <w:widowControl/>
              <w:autoSpaceDE/>
              <w:autoSpaceDN/>
              <w:adjustRightInd/>
              <w:jc w:val="center"/>
              <w:rPr>
                <w:b/>
                <w:bCs/>
                <w:sz w:val="22"/>
                <w:szCs w:val="22"/>
              </w:rPr>
            </w:pPr>
            <w:r w:rsidRPr="00E259C0">
              <w:rPr>
                <w:b/>
                <w:bCs/>
                <w:sz w:val="22"/>
                <w:szCs w:val="22"/>
              </w:rPr>
              <w:t>Cost</w:t>
            </w:r>
            <w:r w:rsidR="00926AA6">
              <w:rPr>
                <w:b/>
                <w:bCs/>
                <w:sz w:val="22"/>
                <w:szCs w:val="22"/>
              </w:rPr>
              <w:t xml:space="preserve"> Burden</w:t>
            </w:r>
          </w:p>
        </w:tc>
      </w:tr>
      <w:tr w14:paraId="1CC29189" w14:textId="77777777" w:rsidTr="00504ACA">
        <w:tblPrEx>
          <w:tblW w:w="9720" w:type="dxa"/>
          <w:tblInd w:w="170" w:type="dxa"/>
          <w:tblLook w:val="04A0"/>
        </w:tblPrEx>
        <w:trPr>
          <w:trHeight w:val="300"/>
        </w:trPr>
        <w:tc>
          <w:tcPr>
            <w:tcW w:w="3780" w:type="dxa"/>
            <w:tcBorders>
              <w:top w:val="single" w:sz="4" w:space="0" w:color="auto"/>
              <w:left w:val="single" w:sz="4" w:space="0" w:color="auto"/>
              <w:bottom w:val="single" w:sz="4" w:space="0" w:color="auto"/>
              <w:right w:val="single" w:sz="4" w:space="0" w:color="auto"/>
            </w:tcBorders>
            <w:noWrap/>
            <w:vAlign w:val="center"/>
            <w:hideMark/>
          </w:tcPr>
          <w:p w:rsidR="00401284" w:rsidRPr="00E259C0" w:rsidP="00401284" w14:paraId="04510E35" w14:textId="77777777">
            <w:pPr>
              <w:widowControl/>
              <w:autoSpaceDE/>
              <w:autoSpaceDN/>
              <w:adjustRightInd/>
              <w:rPr>
                <w:sz w:val="22"/>
                <w:szCs w:val="22"/>
              </w:rPr>
            </w:pPr>
            <w:r w:rsidRPr="00E259C0">
              <w:rPr>
                <w:sz w:val="22"/>
                <w:szCs w:val="22"/>
              </w:rPr>
              <w:t> </w:t>
            </w:r>
          </w:p>
        </w:tc>
        <w:tc>
          <w:tcPr>
            <w:tcW w:w="1350" w:type="dxa"/>
            <w:tcBorders>
              <w:top w:val="single" w:sz="4" w:space="0" w:color="auto"/>
              <w:left w:val="single" w:sz="4" w:space="0" w:color="auto"/>
              <w:bottom w:val="single" w:sz="4" w:space="0" w:color="auto"/>
              <w:right w:val="single" w:sz="4" w:space="0" w:color="auto"/>
            </w:tcBorders>
            <w:vAlign w:val="center"/>
            <w:hideMark/>
          </w:tcPr>
          <w:p w:rsidR="00401284" w:rsidRPr="00E259C0" w:rsidP="00401284" w14:paraId="349AA9A6" w14:textId="77777777">
            <w:pPr>
              <w:widowControl/>
              <w:autoSpaceDE/>
              <w:autoSpaceDN/>
              <w:adjustRightInd/>
              <w:jc w:val="center"/>
              <w:rPr>
                <w:b/>
                <w:bCs/>
                <w:sz w:val="22"/>
                <w:szCs w:val="22"/>
              </w:rPr>
            </w:pPr>
            <w:r w:rsidRPr="00E259C0">
              <w:rPr>
                <w:b/>
                <w:bCs/>
                <w:sz w:val="22"/>
                <w:szCs w:val="22"/>
              </w:rPr>
              <w:t>(A)</w:t>
            </w:r>
          </w:p>
        </w:tc>
        <w:tc>
          <w:tcPr>
            <w:tcW w:w="1260" w:type="dxa"/>
            <w:tcBorders>
              <w:top w:val="single" w:sz="4" w:space="0" w:color="auto"/>
              <w:left w:val="single" w:sz="4" w:space="0" w:color="auto"/>
              <w:bottom w:val="single" w:sz="4" w:space="0" w:color="auto"/>
              <w:right w:val="single" w:sz="4" w:space="0" w:color="auto"/>
            </w:tcBorders>
            <w:vAlign w:val="center"/>
            <w:hideMark/>
          </w:tcPr>
          <w:p w:rsidR="00401284" w:rsidRPr="00E259C0" w:rsidP="00401284" w14:paraId="2C6B0718" w14:textId="77777777">
            <w:pPr>
              <w:widowControl/>
              <w:autoSpaceDE/>
              <w:autoSpaceDN/>
              <w:adjustRightInd/>
              <w:jc w:val="center"/>
              <w:rPr>
                <w:b/>
                <w:bCs/>
                <w:sz w:val="22"/>
                <w:szCs w:val="22"/>
              </w:rPr>
            </w:pPr>
            <w:r w:rsidRPr="00E259C0">
              <w:rPr>
                <w:b/>
                <w:bCs/>
                <w:sz w:val="22"/>
                <w:szCs w:val="22"/>
              </w:rPr>
              <w:t>(B)</w:t>
            </w:r>
          </w:p>
        </w:tc>
        <w:tc>
          <w:tcPr>
            <w:tcW w:w="990" w:type="dxa"/>
            <w:tcBorders>
              <w:top w:val="single" w:sz="4" w:space="0" w:color="auto"/>
              <w:left w:val="single" w:sz="4" w:space="0" w:color="auto"/>
              <w:bottom w:val="single" w:sz="4" w:space="0" w:color="auto"/>
              <w:right w:val="single" w:sz="4" w:space="0" w:color="auto"/>
            </w:tcBorders>
            <w:vAlign w:val="center"/>
            <w:hideMark/>
          </w:tcPr>
          <w:p w:rsidR="00401284" w:rsidRPr="00E259C0" w:rsidP="00401284" w14:paraId="20FBE9A1" w14:textId="77777777">
            <w:pPr>
              <w:widowControl/>
              <w:autoSpaceDE/>
              <w:autoSpaceDN/>
              <w:adjustRightInd/>
              <w:jc w:val="center"/>
              <w:rPr>
                <w:b/>
                <w:bCs/>
                <w:sz w:val="22"/>
                <w:szCs w:val="22"/>
              </w:rPr>
            </w:pPr>
            <w:r w:rsidRPr="00E259C0">
              <w:rPr>
                <w:b/>
                <w:bCs/>
                <w:sz w:val="22"/>
                <w:szCs w:val="22"/>
              </w:rPr>
              <w:t>(C)</w:t>
            </w:r>
          </w:p>
        </w:tc>
        <w:tc>
          <w:tcPr>
            <w:tcW w:w="990" w:type="dxa"/>
            <w:tcBorders>
              <w:top w:val="single" w:sz="4" w:space="0" w:color="auto"/>
              <w:left w:val="single" w:sz="4" w:space="0" w:color="auto"/>
              <w:bottom w:val="single" w:sz="4" w:space="0" w:color="auto"/>
              <w:right w:val="single" w:sz="4" w:space="0" w:color="auto"/>
            </w:tcBorders>
            <w:vAlign w:val="center"/>
            <w:hideMark/>
          </w:tcPr>
          <w:p w:rsidR="00401284" w:rsidRPr="00E259C0" w:rsidP="00401284" w14:paraId="7B3E8B05" w14:textId="77777777">
            <w:pPr>
              <w:widowControl/>
              <w:autoSpaceDE/>
              <w:autoSpaceDN/>
              <w:adjustRightInd/>
              <w:jc w:val="center"/>
              <w:rPr>
                <w:b/>
                <w:bCs/>
                <w:sz w:val="22"/>
                <w:szCs w:val="22"/>
              </w:rPr>
            </w:pPr>
            <w:r w:rsidRPr="00E259C0">
              <w:rPr>
                <w:b/>
                <w:bCs/>
                <w:sz w:val="22"/>
                <w:szCs w:val="22"/>
              </w:rPr>
              <w:t>(D)</w:t>
            </w:r>
          </w:p>
        </w:tc>
        <w:tc>
          <w:tcPr>
            <w:tcW w:w="1350" w:type="dxa"/>
            <w:tcBorders>
              <w:top w:val="single" w:sz="4" w:space="0" w:color="auto"/>
              <w:left w:val="single" w:sz="4" w:space="0" w:color="auto"/>
              <w:bottom w:val="single" w:sz="4" w:space="0" w:color="auto"/>
              <w:right w:val="single" w:sz="4" w:space="0" w:color="auto"/>
            </w:tcBorders>
            <w:vAlign w:val="center"/>
            <w:hideMark/>
          </w:tcPr>
          <w:p w:rsidR="00401284" w:rsidRPr="00E259C0" w:rsidP="00401284" w14:paraId="29682E3D" w14:textId="1F43CE2F">
            <w:pPr>
              <w:widowControl/>
              <w:autoSpaceDE/>
              <w:autoSpaceDN/>
              <w:adjustRightInd/>
              <w:jc w:val="center"/>
              <w:rPr>
                <w:b/>
                <w:bCs/>
                <w:sz w:val="22"/>
                <w:szCs w:val="22"/>
              </w:rPr>
            </w:pPr>
            <w:r w:rsidRPr="00E259C0">
              <w:rPr>
                <w:b/>
                <w:bCs/>
                <w:sz w:val="22"/>
                <w:szCs w:val="22"/>
              </w:rPr>
              <w:t xml:space="preserve">(A </w:t>
            </w:r>
            <w:r w:rsidR="00125929">
              <w:rPr>
                <w:b/>
                <w:bCs/>
                <w:color w:val="000000"/>
              </w:rPr>
              <w:t>×</w:t>
            </w:r>
            <w:r w:rsidRPr="00E259C0">
              <w:rPr>
                <w:b/>
                <w:bCs/>
                <w:sz w:val="22"/>
                <w:szCs w:val="22"/>
              </w:rPr>
              <w:t xml:space="preserve"> B </w:t>
            </w:r>
            <w:r w:rsidR="00125929">
              <w:rPr>
                <w:b/>
                <w:bCs/>
                <w:color w:val="000000"/>
              </w:rPr>
              <w:t>×</w:t>
            </w:r>
            <w:r w:rsidRPr="00E259C0">
              <w:rPr>
                <w:b/>
                <w:bCs/>
                <w:sz w:val="22"/>
                <w:szCs w:val="22"/>
              </w:rPr>
              <w:t xml:space="preserve"> D)</w:t>
            </w:r>
          </w:p>
        </w:tc>
      </w:tr>
      <w:tr w14:paraId="00CA62E9" w14:textId="77777777" w:rsidTr="008A3BCD">
        <w:tblPrEx>
          <w:tblW w:w="9720" w:type="dxa"/>
          <w:tblInd w:w="170" w:type="dxa"/>
          <w:tblLook w:val="04A0"/>
        </w:tblPrEx>
        <w:trPr>
          <w:trHeight w:val="449"/>
        </w:trPr>
        <w:tc>
          <w:tcPr>
            <w:tcW w:w="9720" w:type="dxa"/>
            <w:gridSpan w:val="6"/>
            <w:tcBorders>
              <w:top w:val="single" w:sz="4" w:space="0" w:color="auto"/>
              <w:left w:val="single" w:sz="4" w:space="0" w:color="auto"/>
              <w:bottom w:val="single" w:sz="4" w:space="0" w:color="auto"/>
              <w:right w:val="single" w:sz="4" w:space="0" w:color="auto"/>
            </w:tcBorders>
            <w:vAlign w:val="center"/>
          </w:tcPr>
          <w:p w:rsidR="00FC3A93" w:rsidRPr="00AE049B" w:rsidP="00AE049B" w14:paraId="391BF673" w14:textId="7CCEECC9">
            <w:pPr>
              <w:widowControl/>
              <w:autoSpaceDE/>
              <w:autoSpaceDN/>
              <w:adjustRightInd/>
              <w:rPr>
                <w:b/>
                <w:bCs/>
                <w:color w:val="000000"/>
                <w:sz w:val="22"/>
                <w:szCs w:val="22"/>
                <w:u w:val="single"/>
              </w:rPr>
            </w:pPr>
            <w:r w:rsidRPr="00AE049B">
              <w:rPr>
                <w:b/>
                <w:bCs/>
                <w:color w:val="000000"/>
                <w:sz w:val="22"/>
                <w:szCs w:val="22"/>
                <w:u w:val="single"/>
              </w:rPr>
              <w:t>IDR Entity Certification</w:t>
            </w:r>
          </w:p>
        </w:tc>
      </w:tr>
      <w:tr w14:paraId="71EB1025" w14:textId="77777777" w:rsidTr="00775D3F">
        <w:tblPrEx>
          <w:tblW w:w="9720" w:type="dxa"/>
          <w:tblInd w:w="170" w:type="dxa"/>
          <w:tblLook w:val="04A0"/>
        </w:tblPrEx>
        <w:trPr>
          <w:trHeight w:val="540"/>
        </w:trPr>
        <w:tc>
          <w:tcPr>
            <w:tcW w:w="3780" w:type="dxa"/>
            <w:tcBorders>
              <w:top w:val="single" w:sz="4" w:space="0" w:color="auto"/>
              <w:left w:val="single" w:sz="4" w:space="0" w:color="auto"/>
              <w:bottom w:val="single" w:sz="4" w:space="0" w:color="auto"/>
              <w:right w:val="single" w:sz="4" w:space="0" w:color="auto"/>
            </w:tcBorders>
            <w:vAlign w:val="center"/>
            <w:hideMark/>
          </w:tcPr>
          <w:p w:rsidR="00146429" w:rsidRPr="00E259C0" w:rsidP="00146429" w14:paraId="6F55F129" w14:textId="77777777">
            <w:pPr>
              <w:widowControl/>
              <w:autoSpaceDE/>
              <w:autoSpaceDN/>
              <w:adjustRightInd/>
              <w:rPr>
                <w:sz w:val="22"/>
                <w:szCs w:val="22"/>
              </w:rPr>
            </w:pPr>
            <w:r w:rsidRPr="00E259C0">
              <w:rPr>
                <w:sz w:val="22"/>
                <w:szCs w:val="22"/>
              </w:rPr>
              <w:t>Compensation and benefits managers prepare IDR entity certification (first year)</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146429" w:rsidRPr="00E259C0" w:rsidP="00FB0916" w14:paraId="4F119B2B" w14:textId="19130CD6">
            <w:pPr>
              <w:widowControl/>
              <w:autoSpaceDE/>
              <w:autoSpaceDN/>
              <w:adjustRightInd/>
              <w:jc w:val="center"/>
              <w:rPr>
                <w:sz w:val="22"/>
                <w:szCs w:val="22"/>
              </w:rPr>
            </w:pPr>
            <w:r>
              <w:rPr>
                <w:color w:val="000000"/>
                <w:sz w:val="22"/>
                <w:szCs w:val="22"/>
              </w:rPr>
              <w:t>13</w:t>
            </w:r>
          </w:p>
        </w:tc>
        <w:tc>
          <w:tcPr>
            <w:tcW w:w="1260" w:type="dxa"/>
            <w:tcBorders>
              <w:top w:val="single" w:sz="4" w:space="0" w:color="auto"/>
              <w:left w:val="nil"/>
              <w:bottom w:val="single" w:sz="4" w:space="0" w:color="auto"/>
              <w:right w:val="single" w:sz="4" w:space="0" w:color="auto"/>
            </w:tcBorders>
            <w:noWrap/>
            <w:vAlign w:val="center"/>
            <w:hideMark/>
          </w:tcPr>
          <w:p w:rsidR="00146429" w:rsidRPr="00E259C0" w:rsidP="00FB0916" w14:paraId="717AA266" w14:textId="54BA63C1">
            <w:pPr>
              <w:widowControl/>
              <w:autoSpaceDE/>
              <w:autoSpaceDN/>
              <w:adjustRightInd/>
              <w:jc w:val="center"/>
              <w:rPr>
                <w:sz w:val="22"/>
                <w:szCs w:val="22"/>
              </w:rPr>
            </w:pPr>
            <w:r>
              <w:rPr>
                <w:color w:val="000000"/>
                <w:sz w:val="22"/>
                <w:szCs w:val="22"/>
              </w:rPr>
              <w:t>5.10</w:t>
            </w:r>
          </w:p>
        </w:tc>
        <w:tc>
          <w:tcPr>
            <w:tcW w:w="990" w:type="dxa"/>
            <w:tcBorders>
              <w:top w:val="single" w:sz="4" w:space="0" w:color="auto"/>
              <w:left w:val="nil"/>
              <w:bottom w:val="single" w:sz="4" w:space="0" w:color="auto"/>
              <w:right w:val="single" w:sz="4" w:space="0" w:color="auto"/>
            </w:tcBorders>
            <w:noWrap/>
            <w:vAlign w:val="center"/>
            <w:hideMark/>
          </w:tcPr>
          <w:p w:rsidR="00146429" w:rsidRPr="00E259C0" w:rsidP="00FB0916" w14:paraId="08B524D6" w14:textId="2CD6999F">
            <w:pPr>
              <w:widowControl/>
              <w:autoSpaceDE/>
              <w:autoSpaceDN/>
              <w:adjustRightInd/>
              <w:jc w:val="center"/>
              <w:rPr>
                <w:sz w:val="22"/>
                <w:szCs w:val="22"/>
              </w:rPr>
            </w:pPr>
            <w:r>
              <w:rPr>
                <w:color w:val="000000"/>
                <w:sz w:val="22"/>
                <w:szCs w:val="22"/>
              </w:rPr>
              <w:t>66</w:t>
            </w:r>
          </w:p>
        </w:tc>
        <w:tc>
          <w:tcPr>
            <w:tcW w:w="990" w:type="dxa"/>
            <w:tcBorders>
              <w:top w:val="single" w:sz="4" w:space="0" w:color="auto"/>
              <w:left w:val="nil"/>
              <w:bottom w:val="single" w:sz="4" w:space="0" w:color="auto"/>
              <w:right w:val="single" w:sz="4" w:space="0" w:color="auto"/>
            </w:tcBorders>
            <w:noWrap/>
            <w:vAlign w:val="center"/>
            <w:hideMark/>
          </w:tcPr>
          <w:p w:rsidR="00146429" w:rsidRPr="00E259C0" w:rsidP="00FB0916" w14:paraId="2852C9EF" w14:textId="3272ACCF">
            <w:pPr>
              <w:widowControl/>
              <w:autoSpaceDE/>
              <w:autoSpaceDN/>
              <w:adjustRightInd/>
              <w:jc w:val="center"/>
              <w:rPr>
                <w:sz w:val="22"/>
                <w:szCs w:val="22"/>
              </w:rPr>
            </w:pPr>
            <w:r>
              <w:rPr>
                <w:color w:val="000000"/>
                <w:sz w:val="22"/>
                <w:szCs w:val="22"/>
              </w:rPr>
              <w:t>$193.15</w:t>
            </w:r>
          </w:p>
        </w:tc>
        <w:tc>
          <w:tcPr>
            <w:tcW w:w="1350" w:type="dxa"/>
            <w:tcBorders>
              <w:top w:val="single" w:sz="4" w:space="0" w:color="auto"/>
              <w:left w:val="nil"/>
              <w:bottom w:val="single" w:sz="4" w:space="0" w:color="auto"/>
              <w:right w:val="single" w:sz="4" w:space="0" w:color="auto"/>
            </w:tcBorders>
            <w:noWrap/>
            <w:vAlign w:val="center"/>
            <w:hideMark/>
          </w:tcPr>
          <w:p w:rsidR="00146429" w:rsidRPr="00E259C0" w:rsidP="00FB0916" w14:paraId="0B19A567" w14:textId="15CCE3EE">
            <w:pPr>
              <w:widowControl/>
              <w:autoSpaceDE/>
              <w:autoSpaceDN/>
              <w:adjustRightInd/>
              <w:jc w:val="center"/>
              <w:rPr>
                <w:sz w:val="22"/>
                <w:szCs w:val="22"/>
              </w:rPr>
            </w:pPr>
            <w:r>
              <w:rPr>
                <w:color w:val="000000"/>
                <w:sz w:val="22"/>
                <w:szCs w:val="22"/>
              </w:rPr>
              <w:t>$12,806</w:t>
            </w:r>
          </w:p>
        </w:tc>
      </w:tr>
      <w:tr w14:paraId="33CCB41D" w14:textId="77777777" w:rsidTr="00775D3F">
        <w:tblPrEx>
          <w:tblW w:w="9720" w:type="dxa"/>
          <w:tblInd w:w="170" w:type="dxa"/>
          <w:tblLook w:val="04A0"/>
        </w:tblPrEx>
        <w:trPr>
          <w:trHeight w:val="570"/>
        </w:trPr>
        <w:tc>
          <w:tcPr>
            <w:tcW w:w="3780" w:type="dxa"/>
            <w:tcBorders>
              <w:top w:val="single" w:sz="4" w:space="0" w:color="auto"/>
              <w:left w:val="single" w:sz="4" w:space="0" w:color="auto"/>
              <w:bottom w:val="single" w:sz="4" w:space="0" w:color="auto"/>
              <w:right w:val="single" w:sz="4" w:space="0" w:color="auto"/>
            </w:tcBorders>
            <w:vAlign w:val="center"/>
            <w:hideMark/>
          </w:tcPr>
          <w:p w:rsidR="00146429" w:rsidRPr="00E259C0" w:rsidP="00146429" w14:paraId="61D75054" w14:textId="77777777">
            <w:pPr>
              <w:widowControl/>
              <w:autoSpaceDE/>
              <w:autoSpaceDN/>
              <w:adjustRightInd/>
              <w:rPr>
                <w:sz w:val="22"/>
                <w:szCs w:val="22"/>
              </w:rPr>
            </w:pPr>
            <w:r w:rsidRPr="00E259C0">
              <w:rPr>
                <w:sz w:val="22"/>
                <w:szCs w:val="22"/>
              </w:rPr>
              <w:t>Clerical workers prepare and submit IDR entity certification (first year)</w:t>
            </w:r>
          </w:p>
        </w:tc>
        <w:tc>
          <w:tcPr>
            <w:tcW w:w="1350" w:type="dxa"/>
            <w:tcBorders>
              <w:top w:val="nil"/>
              <w:left w:val="single" w:sz="4" w:space="0" w:color="auto"/>
              <w:bottom w:val="single" w:sz="4" w:space="0" w:color="auto"/>
              <w:right w:val="single" w:sz="4" w:space="0" w:color="auto"/>
            </w:tcBorders>
            <w:noWrap/>
            <w:vAlign w:val="center"/>
            <w:hideMark/>
          </w:tcPr>
          <w:p w:rsidR="00146429" w:rsidRPr="00E259C0" w:rsidP="00FB0916" w14:paraId="1C318E25" w14:textId="6805CCDB">
            <w:pPr>
              <w:widowControl/>
              <w:autoSpaceDE/>
              <w:autoSpaceDN/>
              <w:adjustRightInd/>
              <w:jc w:val="center"/>
              <w:rPr>
                <w:sz w:val="22"/>
                <w:szCs w:val="22"/>
              </w:rPr>
            </w:pPr>
            <w:r>
              <w:rPr>
                <w:color w:val="000000"/>
                <w:sz w:val="22"/>
                <w:szCs w:val="22"/>
              </w:rPr>
              <w:t>13</w:t>
            </w:r>
          </w:p>
        </w:tc>
        <w:tc>
          <w:tcPr>
            <w:tcW w:w="1260" w:type="dxa"/>
            <w:tcBorders>
              <w:top w:val="nil"/>
              <w:left w:val="nil"/>
              <w:bottom w:val="single" w:sz="4" w:space="0" w:color="auto"/>
              <w:right w:val="single" w:sz="4" w:space="0" w:color="auto"/>
            </w:tcBorders>
            <w:noWrap/>
            <w:vAlign w:val="center"/>
            <w:hideMark/>
          </w:tcPr>
          <w:p w:rsidR="00146429" w:rsidRPr="00E259C0" w:rsidP="00FB0916" w14:paraId="3426DCEF" w14:textId="6FF2A407">
            <w:pPr>
              <w:widowControl/>
              <w:autoSpaceDE/>
              <w:autoSpaceDN/>
              <w:adjustRightInd/>
              <w:jc w:val="center"/>
              <w:rPr>
                <w:sz w:val="22"/>
                <w:szCs w:val="22"/>
              </w:rPr>
            </w:pPr>
            <w:r>
              <w:rPr>
                <w:color w:val="000000"/>
                <w:sz w:val="22"/>
                <w:szCs w:val="22"/>
              </w:rPr>
              <w:t>0.25</w:t>
            </w:r>
          </w:p>
        </w:tc>
        <w:tc>
          <w:tcPr>
            <w:tcW w:w="990" w:type="dxa"/>
            <w:tcBorders>
              <w:top w:val="nil"/>
              <w:left w:val="nil"/>
              <w:bottom w:val="single" w:sz="4" w:space="0" w:color="auto"/>
              <w:right w:val="single" w:sz="4" w:space="0" w:color="auto"/>
            </w:tcBorders>
            <w:noWrap/>
            <w:vAlign w:val="center"/>
            <w:hideMark/>
          </w:tcPr>
          <w:p w:rsidR="00146429" w:rsidRPr="00E259C0" w:rsidP="00FB0916" w14:paraId="51F69F34" w14:textId="6649F7AC">
            <w:pPr>
              <w:widowControl/>
              <w:autoSpaceDE/>
              <w:autoSpaceDN/>
              <w:adjustRightInd/>
              <w:jc w:val="center"/>
              <w:rPr>
                <w:sz w:val="22"/>
                <w:szCs w:val="22"/>
              </w:rPr>
            </w:pPr>
            <w:r>
              <w:rPr>
                <w:color w:val="000000"/>
                <w:sz w:val="22"/>
                <w:szCs w:val="22"/>
              </w:rPr>
              <w:t>3</w:t>
            </w:r>
          </w:p>
        </w:tc>
        <w:tc>
          <w:tcPr>
            <w:tcW w:w="990" w:type="dxa"/>
            <w:tcBorders>
              <w:top w:val="nil"/>
              <w:left w:val="nil"/>
              <w:bottom w:val="single" w:sz="4" w:space="0" w:color="auto"/>
              <w:right w:val="single" w:sz="4" w:space="0" w:color="auto"/>
            </w:tcBorders>
            <w:noWrap/>
            <w:vAlign w:val="center"/>
            <w:hideMark/>
          </w:tcPr>
          <w:p w:rsidR="00146429" w:rsidRPr="00E259C0" w:rsidP="00FB0916" w14:paraId="7D467AAF" w14:textId="695AA4CB">
            <w:pPr>
              <w:widowControl/>
              <w:autoSpaceDE/>
              <w:autoSpaceDN/>
              <w:adjustRightInd/>
              <w:jc w:val="center"/>
              <w:rPr>
                <w:sz w:val="22"/>
                <w:szCs w:val="22"/>
              </w:rPr>
            </w:pPr>
            <w:r>
              <w:rPr>
                <w:color w:val="000000"/>
                <w:sz w:val="22"/>
                <w:szCs w:val="22"/>
              </w:rPr>
              <w:t>$72.82</w:t>
            </w:r>
          </w:p>
        </w:tc>
        <w:tc>
          <w:tcPr>
            <w:tcW w:w="1350" w:type="dxa"/>
            <w:tcBorders>
              <w:top w:val="nil"/>
              <w:left w:val="nil"/>
              <w:bottom w:val="single" w:sz="4" w:space="0" w:color="auto"/>
              <w:right w:val="single" w:sz="4" w:space="0" w:color="auto"/>
            </w:tcBorders>
            <w:noWrap/>
            <w:vAlign w:val="center"/>
            <w:hideMark/>
          </w:tcPr>
          <w:p w:rsidR="00146429" w:rsidRPr="00E259C0" w:rsidP="00FB0916" w14:paraId="13DD81E4" w14:textId="6B14FF14">
            <w:pPr>
              <w:widowControl/>
              <w:autoSpaceDE/>
              <w:autoSpaceDN/>
              <w:adjustRightInd/>
              <w:jc w:val="center"/>
              <w:rPr>
                <w:sz w:val="22"/>
                <w:szCs w:val="22"/>
              </w:rPr>
            </w:pPr>
            <w:r>
              <w:rPr>
                <w:color w:val="000000"/>
                <w:sz w:val="22"/>
                <w:szCs w:val="22"/>
              </w:rPr>
              <w:t>$237</w:t>
            </w:r>
          </w:p>
        </w:tc>
      </w:tr>
      <w:tr w14:paraId="1254F9F7" w14:textId="77777777" w:rsidTr="00FC3A93">
        <w:tblPrEx>
          <w:tblW w:w="9720" w:type="dxa"/>
          <w:tblInd w:w="170" w:type="dxa"/>
          <w:tblLook w:val="04A0"/>
        </w:tblPrEx>
        <w:trPr>
          <w:trHeight w:val="377"/>
        </w:trPr>
        <w:tc>
          <w:tcPr>
            <w:tcW w:w="9720" w:type="dxa"/>
            <w:gridSpan w:val="6"/>
            <w:tcBorders>
              <w:top w:val="single" w:sz="4" w:space="0" w:color="auto"/>
              <w:left w:val="single" w:sz="4" w:space="0" w:color="auto"/>
              <w:bottom w:val="single" w:sz="4" w:space="0" w:color="auto"/>
              <w:right w:val="single" w:sz="4" w:space="0" w:color="auto"/>
            </w:tcBorders>
            <w:vAlign w:val="center"/>
          </w:tcPr>
          <w:p w:rsidR="00FC3A93" w:rsidRPr="00AE049B" w:rsidP="00FC3A93" w14:paraId="513250DC" w14:textId="3C288BB9">
            <w:pPr>
              <w:widowControl/>
              <w:autoSpaceDE/>
              <w:autoSpaceDN/>
              <w:adjustRightInd/>
              <w:rPr>
                <w:b/>
                <w:bCs/>
                <w:color w:val="000000"/>
                <w:sz w:val="22"/>
                <w:szCs w:val="22"/>
                <w:u w:val="single"/>
              </w:rPr>
            </w:pPr>
            <w:r w:rsidRPr="00AE049B">
              <w:rPr>
                <w:b/>
                <w:bCs/>
                <w:color w:val="000000"/>
                <w:sz w:val="22"/>
                <w:szCs w:val="22"/>
                <w:u w:val="single"/>
              </w:rPr>
              <w:t>IDR Entity</w:t>
            </w:r>
            <w:r w:rsidRPr="00AE049B" w:rsidR="00AE049B">
              <w:rPr>
                <w:b/>
                <w:bCs/>
                <w:color w:val="000000"/>
                <w:sz w:val="22"/>
                <w:szCs w:val="22"/>
                <w:u w:val="single"/>
              </w:rPr>
              <w:t xml:space="preserve"> Re-certification</w:t>
            </w:r>
            <w:r w:rsidRPr="00AE049B">
              <w:rPr>
                <w:b/>
                <w:bCs/>
                <w:color w:val="000000"/>
                <w:sz w:val="22"/>
                <w:szCs w:val="22"/>
                <w:u w:val="single"/>
              </w:rPr>
              <w:t xml:space="preserve"> </w:t>
            </w:r>
          </w:p>
        </w:tc>
      </w:tr>
      <w:tr w14:paraId="46A7C430" w14:textId="77777777" w:rsidTr="00231DF5">
        <w:tblPrEx>
          <w:tblW w:w="9720" w:type="dxa"/>
          <w:tblInd w:w="170" w:type="dxa"/>
          <w:tblLook w:val="04A0"/>
        </w:tblPrEx>
        <w:trPr>
          <w:trHeight w:val="890"/>
        </w:trPr>
        <w:tc>
          <w:tcPr>
            <w:tcW w:w="3780" w:type="dxa"/>
            <w:tcBorders>
              <w:top w:val="single" w:sz="4" w:space="0" w:color="auto"/>
              <w:left w:val="single" w:sz="4" w:space="0" w:color="auto"/>
              <w:bottom w:val="single" w:sz="4" w:space="0" w:color="auto"/>
              <w:right w:val="single" w:sz="4" w:space="0" w:color="auto"/>
            </w:tcBorders>
            <w:vAlign w:val="center"/>
            <w:hideMark/>
          </w:tcPr>
          <w:p w:rsidR="00146429" w:rsidRPr="00E259C0" w:rsidP="00146429" w14:paraId="4F267D6C" w14:textId="3064CCA2">
            <w:pPr>
              <w:widowControl/>
              <w:autoSpaceDE/>
              <w:autoSpaceDN/>
              <w:adjustRightInd/>
              <w:rPr>
                <w:sz w:val="22"/>
                <w:szCs w:val="22"/>
              </w:rPr>
            </w:pPr>
            <w:r w:rsidRPr="00E259C0">
              <w:rPr>
                <w:sz w:val="22"/>
                <w:szCs w:val="22"/>
              </w:rPr>
              <w:t>Compensation and benefits managers prepare IDR entity re-certification (subsequent years)</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146429" w:rsidRPr="00E259C0" w:rsidP="00231DF5" w14:paraId="12A67D9E" w14:textId="0DA6ABFE">
            <w:pPr>
              <w:widowControl/>
              <w:autoSpaceDE/>
              <w:autoSpaceDN/>
              <w:adjustRightInd/>
              <w:jc w:val="center"/>
              <w:rPr>
                <w:sz w:val="22"/>
                <w:szCs w:val="22"/>
              </w:rPr>
            </w:pPr>
            <w:r>
              <w:rPr>
                <w:color w:val="000000"/>
                <w:sz w:val="22"/>
                <w:szCs w:val="22"/>
              </w:rPr>
              <w:t>3</w:t>
            </w:r>
          </w:p>
        </w:tc>
        <w:tc>
          <w:tcPr>
            <w:tcW w:w="1260" w:type="dxa"/>
            <w:tcBorders>
              <w:top w:val="single" w:sz="4" w:space="0" w:color="auto"/>
              <w:left w:val="nil"/>
              <w:bottom w:val="single" w:sz="4" w:space="0" w:color="auto"/>
              <w:right w:val="single" w:sz="4" w:space="0" w:color="auto"/>
            </w:tcBorders>
            <w:noWrap/>
            <w:vAlign w:val="center"/>
            <w:hideMark/>
          </w:tcPr>
          <w:p w:rsidR="00146429" w:rsidRPr="00E259C0" w:rsidP="00231DF5" w14:paraId="182DC0A9" w14:textId="5C8B49BC">
            <w:pPr>
              <w:widowControl/>
              <w:autoSpaceDE/>
              <w:autoSpaceDN/>
              <w:adjustRightInd/>
              <w:jc w:val="center"/>
              <w:rPr>
                <w:sz w:val="22"/>
                <w:szCs w:val="22"/>
              </w:rPr>
            </w:pPr>
            <w:r>
              <w:rPr>
                <w:color w:val="000000"/>
                <w:sz w:val="22"/>
                <w:szCs w:val="22"/>
              </w:rPr>
              <w:t>2.10</w:t>
            </w:r>
          </w:p>
        </w:tc>
        <w:tc>
          <w:tcPr>
            <w:tcW w:w="990" w:type="dxa"/>
            <w:tcBorders>
              <w:top w:val="single" w:sz="4" w:space="0" w:color="auto"/>
              <w:left w:val="nil"/>
              <w:bottom w:val="single" w:sz="4" w:space="0" w:color="auto"/>
              <w:right w:val="single" w:sz="4" w:space="0" w:color="auto"/>
            </w:tcBorders>
            <w:noWrap/>
            <w:vAlign w:val="center"/>
            <w:hideMark/>
          </w:tcPr>
          <w:p w:rsidR="00146429" w:rsidRPr="00E259C0" w:rsidP="00231DF5" w14:paraId="2E44D7F5" w14:textId="062CC33C">
            <w:pPr>
              <w:widowControl/>
              <w:autoSpaceDE/>
              <w:autoSpaceDN/>
              <w:adjustRightInd/>
              <w:jc w:val="center"/>
              <w:rPr>
                <w:sz w:val="22"/>
                <w:szCs w:val="22"/>
              </w:rPr>
            </w:pPr>
            <w:r>
              <w:rPr>
                <w:color w:val="000000"/>
                <w:sz w:val="22"/>
                <w:szCs w:val="22"/>
              </w:rPr>
              <w:t>5</w:t>
            </w:r>
          </w:p>
        </w:tc>
        <w:tc>
          <w:tcPr>
            <w:tcW w:w="990" w:type="dxa"/>
            <w:tcBorders>
              <w:top w:val="single" w:sz="4" w:space="0" w:color="auto"/>
              <w:left w:val="nil"/>
              <w:bottom w:val="single" w:sz="4" w:space="0" w:color="auto"/>
              <w:right w:val="single" w:sz="4" w:space="0" w:color="auto"/>
            </w:tcBorders>
            <w:noWrap/>
            <w:vAlign w:val="center"/>
            <w:hideMark/>
          </w:tcPr>
          <w:p w:rsidR="00146429" w:rsidRPr="00E259C0" w:rsidP="00231DF5" w14:paraId="221D8D33" w14:textId="0BB9BE59">
            <w:pPr>
              <w:widowControl/>
              <w:autoSpaceDE/>
              <w:autoSpaceDN/>
              <w:adjustRightInd/>
              <w:jc w:val="center"/>
              <w:rPr>
                <w:sz w:val="22"/>
                <w:szCs w:val="22"/>
              </w:rPr>
            </w:pPr>
            <w:r>
              <w:rPr>
                <w:color w:val="000000"/>
                <w:sz w:val="22"/>
                <w:szCs w:val="22"/>
              </w:rPr>
              <w:t>$193.15</w:t>
            </w:r>
          </w:p>
        </w:tc>
        <w:tc>
          <w:tcPr>
            <w:tcW w:w="1350" w:type="dxa"/>
            <w:tcBorders>
              <w:top w:val="single" w:sz="4" w:space="0" w:color="auto"/>
              <w:left w:val="nil"/>
              <w:bottom w:val="single" w:sz="4" w:space="0" w:color="auto"/>
              <w:right w:val="single" w:sz="4" w:space="0" w:color="auto"/>
            </w:tcBorders>
            <w:noWrap/>
            <w:vAlign w:val="center"/>
            <w:hideMark/>
          </w:tcPr>
          <w:p w:rsidR="00146429" w:rsidRPr="00E259C0" w:rsidP="00231DF5" w14:paraId="62BEA408" w14:textId="691EC95A">
            <w:pPr>
              <w:widowControl/>
              <w:autoSpaceDE/>
              <w:autoSpaceDN/>
              <w:adjustRightInd/>
              <w:jc w:val="center"/>
              <w:rPr>
                <w:sz w:val="22"/>
                <w:szCs w:val="22"/>
              </w:rPr>
            </w:pPr>
            <w:r>
              <w:rPr>
                <w:color w:val="000000"/>
                <w:sz w:val="22"/>
                <w:szCs w:val="22"/>
              </w:rPr>
              <w:t>$1,055</w:t>
            </w:r>
          </w:p>
        </w:tc>
      </w:tr>
      <w:tr w14:paraId="0A0E1EE8" w14:textId="77777777" w:rsidTr="00231DF5">
        <w:tblPrEx>
          <w:tblW w:w="9720" w:type="dxa"/>
          <w:tblInd w:w="170" w:type="dxa"/>
          <w:tblLook w:val="04A0"/>
        </w:tblPrEx>
        <w:trPr>
          <w:trHeight w:val="570"/>
        </w:trPr>
        <w:tc>
          <w:tcPr>
            <w:tcW w:w="3780" w:type="dxa"/>
            <w:tcBorders>
              <w:top w:val="single" w:sz="4" w:space="0" w:color="auto"/>
              <w:left w:val="single" w:sz="4" w:space="0" w:color="auto"/>
              <w:bottom w:val="single" w:sz="4" w:space="0" w:color="auto"/>
              <w:right w:val="single" w:sz="4" w:space="0" w:color="auto"/>
            </w:tcBorders>
            <w:vAlign w:val="center"/>
            <w:hideMark/>
          </w:tcPr>
          <w:p w:rsidR="00146429" w:rsidRPr="00E259C0" w:rsidP="00146429" w14:paraId="2D1E33E4" w14:textId="77777777">
            <w:pPr>
              <w:widowControl/>
              <w:autoSpaceDE/>
              <w:autoSpaceDN/>
              <w:adjustRightInd/>
              <w:rPr>
                <w:sz w:val="22"/>
                <w:szCs w:val="22"/>
              </w:rPr>
            </w:pPr>
            <w:r w:rsidRPr="00E259C0">
              <w:rPr>
                <w:sz w:val="22"/>
                <w:szCs w:val="22"/>
              </w:rPr>
              <w:t>Clerical workers prepare and submit IDR entity re-certification (subsequent years)</w:t>
            </w:r>
          </w:p>
        </w:tc>
        <w:tc>
          <w:tcPr>
            <w:tcW w:w="1350" w:type="dxa"/>
            <w:tcBorders>
              <w:top w:val="nil"/>
              <w:left w:val="single" w:sz="4" w:space="0" w:color="auto"/>
              <w:bottom w:val="single" w:sz="4" w:space="0" w:color="auto"/>
              <w:right w:val="single" w:sz="4" w:space="0" w:color="auto"/>
            </w:tcBorders>
            <w:noWrap/>
            <w:vAlign w:val="center"/>
            <w:hideMark/>
          </w:tcPr>
          <w:p w:rsidR="00146429" w:rsidRPr="00E259C0" w:rsidP="00231DF5" w14:paraId="7AB96C1E" w14:textId="1A434333">
            <w:pPr>
              <w:widowControl/>
              <w:autoSpaceDE/>
              <w:autoSpaceDN/>
              <w:adjustRightInd/>
              <w:jc w:val="center"/>
              <w:rPr>
                <w:sz w:val="22"/>
                <w:szCs w:val="22"/>
              </w:rPr>
            </w:pPr>
            <w:r>
              <w:rPr>
                <w:color w:val="000000"/>
                <w:sz w:val="22"/>
                <w:szCs w:val="22"/>
              </w:rPr>
              <w:t>3</w:t>
            </w:r>
          </w:p>
        </w:tc>
        <w:tc>
          <w:tcPr>
            <w:tcW w:w="1260" w:type="dxa"/>
            <w:tcBorders>
              <w:top w:val="nil"/>
              <w:left w:val="nil"/>
              <w:bottom w:val="single" w:sz="4" w:space="0" w:color="auto"/>
              <w:right w:val="single" w:sz="4" w:space="0" w:color="auto"/>
            </w:tcBorders>
            <w:noWrap/>
            <w:vAlign w:val="center"/>
            <w:hideMark/>
          </w:tcPr>
          <w:p w:rsidR="00146429" w:rsidRPr="00E259C0" w:rsidP="00231DF5" w14:paraId="3675C73D" w14:textId="3B1247AC">
            <w:pPr>
              <w:widowControl/>
              <w:autoSpaceDE/>
              <w:autoSpaceDN/>
              <w:adjustRightInd/>
              <w:jc w:val="center"/>
              <w:rPr>
                <w:sz w:val="22"/>
                <w:szCs w:val="22"/>
              </w:rPr>
            </w:pPr>
            <w:r>
              <w:rPr>
                <w:color w:val="000000"/>
                <w:sz w:val="22"/>
                <w:szCs w:val="22"/>
              </w:rPr>
              <w:t>0.25</w:t>
            </w:r>
          </w:p>
        </w:tc>
        <w:tc>
          <w:tcPr>
            <w:tcW w:w="990" w:type="dxa"/>
            <w:tcBorders>
              <w:top w:val="nil"/>
              <w:left w:val="nil"/>
              <w:bottom w:val="single" w:sz="4" w:space="0" w:color="auto"/>
              <w:right w:val="single" w:sz="4" w:space="0" w:color="auto"/>
            </w:tcBorders>
            <w:noWrap/>
            <w:vAlign w:val="center"/>
            <w:hideMark/>
          </w:tcPr>
          <w:p w:rsidR="00146429" w:rsidRPr="00E259C0" w:rsidP="00231DF5" w14:paraId="5F69513D" w14:textId="0DC593E5">
            <w:pPr>
              <w:widowControl/>
              <w:autoSpaceDE/>
              <w:autoSpaceDN/>
              <w:adjustRightInd/>
              <w:jc w:val="center"/>
              <w:rPr>
                <w:sz w:val="22"/>
                <w:szCs w:val="22"/>
              </w:rPr>
            </w:pPr>
            <w:r>
              <w:rPr>
                <w:color w:val="000000"/>
                <w:sz w:val="22"/>
                <w:szCs w:val="22"/>
              </w:rPr>
              <w:t>1</w:t>
            </w:r>
          </w:p>
        </w:tc>
        <w:tc>
          <w:tcPr>
            <w:tcW w:w="990" w:type="dxa"/>
            <w:tcBorders>
              <w:top w:val="nil"/>
              <w:left w:val="nil"/>
              <w:bottom w:val="single" w:sz="4" w:space="0" w:color="auto"/>
              <w:right w:val="single" w:sz="4" w:space="0" w:color="auto"/>
            </w:tcBorders>
            <w:noWrap/>
            <w:vAlign w:val="center"/>
            <w:hideMark/>
          </w:tcPr>
          <w:p w:rsidR="00146429" w:rsidRPr="00E259C0" w:rsidP="00231DF5" w14:paraId="665E8872" w14:textId="51E4807F">
            <w:pPr>
              <w:widowControl/>
              <w:autoSpaceDE/>
              <w:autoSpaceDN/>
              <w:adjustRightInd/>
              <w:jc w:val="center"/>
              <w:rPr>
                <w:sz w:val="22"/>
                <w:szCs w:val="22"/>
              </w:rPr>
            </w:pPr>
            <w:r>
              <w:rPr>
                <w:color w:val="000000"/>
                <w:sz w:val="22"/>
                <w:szCs w:val="22"/>
              </w:rPr>
              <w:t>$72.82</w:t>
            </w:r>
          </w:p>
        </w:tc>
        <w:tc>
          <w:tcPr>
            <w:tcW w:w="1350" w:type="dxa"/>
            <w:tcBorders>
              <w:top w:val="nil"/>
              <w:left w:val="nil"/>
              <w:bottom w:val="single" w:sz="4" w:space="0" w:color="auto"/>
              <w:right w:val="single" w:sz="4" w:space="0" w:color="auto"/>
            </w:tcBorders>
            <w:noWrap/>
            <w:vAlign w:val="center"/>
            <w:hideMark/>
          </w:tcPr>
          <w:p w:rsidR="00146429" w:rsidRPr="00E259C0" w:rsidP="00231DF5" w14:paraId="53A55DD9" w14:textId="32B0677D">
            <w:pPr>
              <w:widowControl/>
              <w:autoSpaceDE/>
              <w:autoSpaceDN/>
              <w:adjustRightInd/>
              <w:jc w:val="center"/>
              <w:rPr>
                <w:sz w:val="22"/>
                <w:szCs w:val="22"/>
              </w:rPr>
            </w:pPr>
            <w:r>
              <w:rPr>
                <w:color w:val="000000"/>
                <w:sz w:val="22"/>
                <w:szCs w:val="22"/>
              </w:rPr>
              <w:t>$47</w:t>
            </w:r>
          </w:p>
        </w:tc>
      </w:tr>
      <w:tr w14:paraId="4C9BE60C" w14:textId="77777777" w:rsidTr="00BB1C25">
        <w:tblPrEx>
          <w:tblW w:w="9720" w:type="dxa"/>
          <w:tblInd w:w="170" w:type="dxa"/>
          <w:tblLook w:val="04A0"/>
        </w:tblPrEx>
        <w:trPr>
          <w:trHeight w:val="467"/>
        </w:trPr>
        <w:tc>
          <w:tcPr>
            <w:tcW w:w="9720" w:type="dxa"/>
            <w:gridSpan w:val="6"/>
            <w:tcBorders>
              <w:top w:val="single" w:sz="4" w:space="0" w:color="auto"/>
              <w:left w:val="single" w:sz="4" w:space="0" w:color="auto"/>
              <w:bottom w:val="single" w:sz="4" w:space="0" w:color="auto"/>
              <w:right w:val="single" w:sz="4" w:space="0" w:color="auto"/>
            </w:tcBorders>
            <w:vAlign w:val="center"/>
          </w:tcPr>
          <w:p w:rsidR="00BB1C25" w:rsidRPr="00BB1C25" w:rsidP="00BB1C25" w14:paraId="04A86E4B" w14:textId="529DC122">
            <w:pPr>
              <w:widowControl/>
              <w:autoSpaceDE/>
              <w:autoSpaceDN/>
              <w:adjustRightInd/>
              <w:rPr>
                <w:b/>
                <w:bCs/>
                <w:color w:val="000000"/>
                <w:sz w:val="22"/>
                <w:szCs w:val="22"/>
              </w:rPr>
            </w:pPr>
            <w:r w:rsidRPr="00BB1C25">
              <w:rPr>
                <w:b/>
                <w:bCs/>
                <w:color w:val="000000"/>
                <w:sz w:val="22"/>
                <w:szCs w:val="22"/>
              </w:rPr>
              <w:t xml:space="preserve">Administrative Fee </w:t>
            </w:r>
          </w:p>
        </w:tc>
      </w:tr>
      <w:tr w14:paraId="1C2C6D7B" w14:textId="77777777" w:rsidTr="00231DF5">
        <w:tblPrEx>
          <w:tblW w:w="9720" w:type="dxa"/>
          <w:tblInd w:w="170" w:type="dxa"/>
          <w:tblLook w:val="04A0"/>
        </w:tblPrEx>
        <w:trPr>
          <w:trHeight w:val="570"/>
        </w:trPr>
        <w:tc>
          <w:tcPr>
            <w:tcW w:w="3780" w:type="dxa"/>
            <w:tcBorders>
              <w:top w:val="single" w:sz="4" w:space="0" w:color="auto"/>
              <w:left w:val="single" w:sz="4" w:space="0" w:color="auto"/>
              <w:bottom w:val="single" w:sz="4" w:space="0" w:color="auto"/>
              <w:right w:val="single" w:sz="4" w:space="0" w:color="auto"/>
            </w:tcBorders>
            <w:vAlign w:val="center"/>
          </w:tcPr>
          <w:p w:rsidR="00497CB4" w:rsidRPr="00E259C0" w:rsidP="00497CB4" w14:paraId="13D53A0C" w14:textId="61E368B1">
            <w:pPr>
              <w:widowControl/>
              <w:autoSpaceDE/>
              <w:autoSpaceDN/>
              <w:adjustRightInd/>
              <w:rPr>
                <w:sz w:val="22"/>
                <w:szCs w:val="22"/>
              </w:rPr>
            </w:pPr>
            <w:r>
              <w:rPr>
                <w:sz w:val="22"/>
                <w:szCs w:val="22"/>
              </w:rPr>
              <w:t xml:space="preserve">Clerical works submit administrative fee to the Departments </w:t>
            </w:r>
          </w:p>
        </w:tc>
        <w:tc>
          <w:tcPr>
            <w:tcW w:w="1350" w:type="dxa"/>
            <w:tcBorders>
              <w:top w:val="single" w:sz="4" w:space="0" w:color="auto"/>
              <w:left w:val="single" w:sz="4" w:space="0" w:color="auto"/>
              <w:bottom w:val="single" w:sz="4" w:space="0" w:color="auto"/>
              <w:right w:val="single" w:sz="4" w:space="0" w:color="auto"/>
            </w:tcBorders>
            <w:noWrap/>
            <w:vAlign w:val="center"/>
          </w:tcPr>
          <w:p w:rsidR="00497CB4" w:rsidP="00231DF5" w14:paraId="7620901C" w14:textId="15AC9BC1">
            <w:pPr>
              <w:widowControl/>
              <w:autoSpaceDE/>
              <w:autoSpaceDN/>
              <w:adjustRightInd/>
              <w:jc w:val="center"/>
              <w:rPr>
                <w:color w:val="000000"/>
                <w:sz w:val="22"/>
                <w:szCs w:val="22"/>
              </w:rPr>
            </w:pPr>
            <w:r>
              <w:rPr>
                <w:color w:val="000000"/>
                <w:sz w:val="22"/>
                <w:szCs w:val="22"/>
              </w:rPr>
              <w:t>13</w:t>
            </w:r>
          </w:p>
        </w:tc>
        <w:tc>
          <w:tcPr>
            <w:tcW w:w="1260" w:type="dxa"/>
            <w:tcBorders>
              <w:top w:val="single" w:sz="4" w:space="0" w:color="auto"/>
              <w:left w:val="nil"/>
              <w:bottom w:val="single" w:sz="4" w:space="0" w:color="auto"/>
              <w:right w:val="single" w:sz="4" w:space="0" w:color="auto"/>
            </w:tcBorders>
            <w:noWrap/>
            <w:vAlign w:val="center"/>
          </w:tcPr>
          <w:p w:rsidR="00497CB4" w:rsidP="00231DF5" w14:paraId="5A457363" w14:textId="419F8832">
            <w:pPr>
              <w:widowControl/>
              <w:autoSpaceDE/>
              <w:autoSpaceDN/>
              <w:adjustRightInd/>
              <w:jc w:val="center"/>
              <w:rPr>
                <w:color w:val="000000"/>
                <w:sz w:val="22"/>
                <w:szCs w:val="22"/>
              </w:rPr>
            </w:pPr>
            <w:r>
              <w:rPr>
                <w:color w:val="000000"/>
                <w:sz w:val="22"/>
                <w:szCs w:val="22"/>
              </w:rPr>
              <w:t>18</w:t>
            </w:r>
          </w:p>
        </w:tc>
        <w:tc>
          <w:tcPr>
            <w:tcW w:w="990" w:type="dxa"/>
            <w:tcBorders>
              <w:top w:val="single" w:sz="4" w:space="0" w:color="auto"/>
              <w:left w:val="nil"/>
              <w:bottom w:val="single" w:sz="4" w:space="0" w:color="auto"/>
              <w:right w:val="single" w:sz="4" w:space="0" w:color="auto"/>
            </w:tcBorders>
            <w:noWrap/>
            <w:vAlign w:val="center"/>
          </w:tcPr>
          <w:p w:rsidR="00497CB4" w:rsidP="00231DF5" w14:paraId="3568887D" w14:textId="2038C51A">
            <w:pPr>
              <w:widowControl/>
              <w:autoSpaceDE/>
              <w:autoSpaceDN/>
              <w:adjustRightInd/>
              <w:jc w:val="center"/>
              <w:rPr>
                <w:color w:val="000000"/>
                <w:sz w:val="22"/>
                <w:szCs w:val="22"/>
              </w:rPr>
            </w:pPr>
            <w:r>
              <w:rPr>
                <w:color w:val="000000"/>
                <w:sz w:val="22"/>
                <w:szCs w:val="22"/>
              </w:rPr>
              <w:t>234</w:t>
            </w:r>
          </w:p>
        </w:tc>
        <w:tc>
          <w:tcPr>
            <w:tcW w:w="990" w:type="dxa"/>
            <w:tcBorders>
              <w:top w:val="single" w:sz="4" w:space="0" w:color="auto"/>
              <w:left w:val="nil"/>
              <w:bottom w:val="single" w:sz="4" w:space="0" w:color="auto"/>
              <w:right w:val="single" w:sz="4" w:space="0" w:color="auto"/>
            </w:tcBorders>
            <w:noWrap/>
            <w:vAlign w:val="center"/>
          </w:tcPr>
          <w:p w:rsidR="00497CB4" w:rsidP="00231DF5" w14:paraId="0648EFFE" w14:textId="18972B3A">
            <w:pPr>
              <w:widowControl/>
              <w:autoSpaceDE/>
              <w:autoSpaceDN/>
              <w:adjustRightInd/>
              <w:jc w:val="center"/>
              <w:rPr>
                <w:color w:val="000000"/>
                <w:sz w:val="22"/>
                <w:szCs w:val="22"/>
              </w:rPr>
            </w:pPr>
            <w:r>
              <w:rPr>
                <w:color w:val="000000"/>
                <w:sz w:val="22"/>
                <w:szCs w:val="22"/>
              </w:rPr>
              <w:t>$72.82</w:t>
            </w:r>
          </w:p>
        </w:tc>
        <w:tc>
          <w:tcPr>
            <w:tcW w:w="1350" w:type="dxa"/>
            <w:tcBorders>
              <w:top w:val="single" w:sz="4" w:space="0" w:color="auto"/>
              <w:left w:val="nil"/>
              <w:bottom w:val="single" w:sz="4" w:space="0" w:color="auto"/>
              <w:right w:val="single" w:sz="4" w:space="0" w:color="auto"/>
            </w:tcBorders>
            <w:noWrap/>
            <w:vAlign w:val="center"/>
          </w:tcPr>
          <w:p w:rsidR="00497CB4" w:rsidP="00231DF5" w14:paraId="372B88D0" w14:textId="7A621168">
            <w:pPr>
              <w:widowControl/>
              <w:autoSpaceDE/>
              <w:autoSpaceDN/>
              <w:adjustRightInd/>
              <w:jc w:val="center"/>
              <w:rPr>
                <w:color w:val="000000"/>
                <w:sz w:val="22"/>
                <w:szCs w:val="22"/>
              </w:rPr>
            </w:pPr>
            <w:r>
              <w:rPr>
                <w:color w:val="000000"/>
                <w:sz w:val="22"/>
                <w:szCs w:val="22"/>
              </w:rPr>
              <w:t>$17,040</w:t>
            </w:r>
          </w:p>
        </w:tc>
      </w:tr>
      <w:tr w14:paraId="7F650C97" w14:textId="77777777" w:rsidTr="00AE049B">
        <w:tblPrEx>
          <w:tblW w:w="9720" w:type="dxa"/>
          <w:tblInd w:w="170" w:type="dxa"/>
          <w:tblLook w:val="04A0"/>
        </w:tblPrEx>
        <w:trPr>
          <w:trHeight w:val="386"/>
        </w:trPr>
        <w:tc>
          <w:tcPr>
            <w:tcW w:w="9720" w:type="dxa"/>
            <w:gridSpan w:val="6"/>
            <w:tcBorders>
              <w:top w:val="single" w:sz="4" w:space="0" w:color="auto"/>
              <w:left w:val="single" w:sz="4" w:space="0" w:color="auto"/>
              <w:bottom w:val="single" w:sz="4" w:space="0" w:color="auto"/>
              <w:right w:val="single" w:sz="4" w:space="0" w:color="auto"/>
            </w:tcBorders>
            <w:vAlign w:val="center"/>
          </w:tcPr>
          <w:p w:rsidR="00981A7E" w:rsidRPr="00AE049B" w:rsidP="00AE049B" w14:paraId="3A663DFE" w14:textId="37CC0987">
            <w:pPr>
              <w:widowControl/>
              <w:autoSpaceDE/>
              <w:autoSpaceDN/>
              <w:adjustRightInd/>
              <w:rPr>
                <w:b/>
                <w:bCs/>
                <w:color w:val="000000"/>
                <w:sz w:val="22"/>
                <w:szCs w:val="22"/>
                <w:u w:val="single"/>
              </w:rPr>
            </w:pPr>
            <w:r w:rsidRPr="00AE049B">
              <w:rPr>
                <w:b/>
                <w:bCs/>
                <w:color w:val="000000"/>
                <w:sz w:val="22"/>
                <w:szCs w:val="22"/>
                <w:u w:val="single"/>
              </w:rPr>
              <w:t xml:space="preserve">Petition for Denial or </w:t>
            </w:r>
            <w:r w:rsidRPr="00AE049B" w:rsidR="00C33E2D">
              <w:rPr>
                <w:b/>
                <w:bCs/>
                <w:color w:val="000000"/>
                <w:sz w:val="22"/>
                <w:szCs w:val="22"/>
                <w:u w:val="single"/>
              </w:rPr>
              <w:t xml:space="preserve">Withdrawal of IDR Entities </w:t>
            </w:r>
          </w:p>
        </w:tc>
      </w:tr>
      <w:tr w14:paraId="1F305A63" w14:textId="77777777" w:rsidTr="00231DF5">
        <w:tblPrEx>
          <w:tblW w:w="9720" w:type="dxa"/>
          <w:tblInd w:w="170" w:type="dxa"/>
          <w:tblLook w:val="04A0"/>
        </w:tblPrEx>
        <w:trPr>
          <w:trHeight w:val="850"/>
        </w:trPr>
        <w:tc>
          <w:tcPr>
            <w:tcW w:w="3780" w:type="dxa"/>
            <w:tcBorders>
              <w:top w:val="single" w:sz="4" w:space="0" w:color="auto"/>
              <w:left w:val="single" w:sz="4" w:space="0" w:color="auto"/>
              <w:bottom w:val="single" w:sz="4" w:space="0" w:color="auto"/>
              <w:right w:val="single" w:sz="4" w:space="0" w:color="auto"/>
            </w:tcBorders>
            <w:vAlign w:val="center"/>
            <w:hideMark/>
          </w:tcPr>
          <w:p w:rsidR="00146429" w:rsidRPr="00E259C0" w:rsidP="00146429" w14:paraId="5AC47249" w14:textId="77777777">
            <w:pPr>
              <w:widowControl/>
              <w:autoSpaceDE/>
              <w:autoSpaceDN/>
              <w:adjustRightInd/>
              <w:rPr>
                <w:sz w:val="22"/>
                <w:szCs w:val="22"/>
              </w:rPr>
            </w:pPr>
            <w:r w:rsidRPr="00E259C0">
              <w:rPr>
                <w:sz w:val="22"/>
                <w:szCs w:val="22"/>
              </w:rPr>
              <w:t>Compensation and benefits managers prepare petition for denial or withdrawal of IDR Entities</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146429" w:rsidRPr="00E259C0" w:rsidP="00231DF5" w14:paraId="3D6149B7" w14:textId="3538E543">
            <w:pPr>
              <w:widowControl/>
              <w:autoSpaceDE/>
              <w:autoSpaceDN/>
              <w:adjustRightInd/>
              <w:jc w:val="center"/>
              <w:rPr>
                <w:sz w:val="22"/>
                <w:szCs w:val="22"/>
              </w:rPr>
            </w:pPr>
            <w:r>
              <w:rPr>
                <w:color w:val="000000"/>
                <w:sz w:val="22"/>
                <w:szCs w:val="22"/>
              </w:rPr>
              <w:t>5</w:t>
            </w:r>
          </w:p>
        </w:tc>
        <w:tc>
          <w:tcPr>
            <w:tcW w:w="1260" w:type="dxa"/>
            <w:tcBorders>
              <w:top w:val="single" w:sz="4" w:space="0" w:color="auto"/>
              <w:left w:val="nil"/>
              <w:bottom w:val="single" w:sz="4" w:space="0" w:color="auto"/>
              <w:right w:val="single" w:sz="4" w:space="0" w:color="auto"/>
            </w:tcBorders>
            <w:noWrap/>
            <w:vAlign w:val="center"/>
            <w:hideMark/>
          </w:tcPr>
          <w:p w:rsidR="00146429" w:rsidRPr="00E259C0" w:rsidP="00231DF5" w14:paraId="5855BA3C" w14:textId="036C5BFF">
            <w:pPr>
              <w:widowControl/>
              <w:autoSpaceDE/>
              <w:autoSpaceDN/>
              <w:adjustRightInd/>
              <w:jc w:val="center"/>
              <w:rPr>
                <w:sz w:val="22"/>
                <w:szCs w:val="22"/>
              </w:rPr>
            </w:pPr>
            <w:r>
              <w:rPr>
                <w:color w:val="000000"/>
                <w:sz w:val="22"/>
                <w:szCs w:val="22"/>
              </w:rPr>
              <w:t>2</w:t>
            </w:r>
          </w:p>
        </w:tc>
        <w:tc>
          <w:tcPr>
            <w:tcW w:w="990" w:type="dxa"/>
            <w:tcBorders>
              <w:top w:val="single" w:sz="4" w:space="0" w:color="auto"/>
              <w:left w:val="nil"/>
              <w:bottom w:val="single" w:sz="4" w:space="0" w:color="auto"/>
              <w:right w:val="single" w:sz="4" w:space="0" w:color="auto"/>
            </w:tcBorders>
            <w:noWrap/>
            <w:vAlign w:val="center"/>
            <w:hideMark/>
          </w:tcPr>
          <w:p w:rsidR="00146429" w:rsidRPr="00E259C0" w:rsidP="00231DF5" w14:paraId="6BD677F2" w14:textId="22298135">
            <w:pPr>
              <w:widowControl/>
              <w:autoSpaceDE/>
              <w:autoSpaceDN/>
              <w:adjustRightInd/>
              <w:jc w:val="center"/>
              <w:rPr>
                <w:sz w:val="22"/>
                <w:szCs w:val="22"/>
              </w:rPr>
            </w:pPr>
            <w:r>
              <w:rPr>
                <w:color w:val="000000"/>
                <w:sz w:val="22"/>
                <w:szCs w:val="22"/>
              </w:rPr>
              <w:t>10</w:t>
            </w:r>
          </w:p>
        </w:tc>
        <w:tc>
          <w:tcPr>
            <w:tcW w:w="990" w:type="dxa"/>
            <w:tcBorders>
              <w:top w:val="single" w:sz="4" w:space="0" w:color="auto"/>
              <w:left w:val="nil"/>
              <w:bottom w:val="single" w:sz="4" w:space="0" w:color="auto"/>
              <w:right w:val="single" w:sz="4" w:space="0" w:color="auto"/>
            </w:tcBorders>
            <w:noWrap/>
            <w:vAlign w:val="center"/>
            <w:hideMark/>
          </w:tcPr>
          <w:p w:rsidR="00146429" w:rsidRPr="00E259C0" w:rsidP="00231DF5" w14:paraId="1DC46B30" w14:textId="62BFFDCD">
            <w:pPr>
              <w:widowControl/>
              <w:autoSpaceDE/>
              <w:autoSpaceDN/>
              <w:adjustRightInd/>
              <w:jc w:val="center"/>
              <w:rPr>
                <w:sz w:val="22"/>
                <w:szCs w:val="22"/>
              </w:rPr>
            </w:pPr>
            <w:r>
              <w:rPr>
                <w:color w:val="000000"/>
                <w:sz w:val="22"/>
                <w:szCs w:val="22"/>
              </w:rPr>
              <w:t>$193.15</w:t>
            </w:r>
          </w:p>
        </w:tc>
        <w:tc>
          <w:tcPr>
            <w:tcW w:w="1350" w:type="dxa"/>
            <w:tcBorders>
              <w:top w:val="single" w:sz="4" w:space="0" w:color="auto"/>
              <w:left w:val="nil"/>
              <w:bottom w:val="single" w:sz="4" w:space="0" w:color="auto"/>
              <w:right w:val="single" w:sz="4" w:space="0" w:color="auto"/>
            </w:tcBorders>
            <w:noWrap/>
            <w:vAlign w:val="center"/>
            <w:hideMark/>
          </w:tcPr>
          <w:p w:rsidR="00146429" w:rsidRPr="00E259C0" w:rsidP="00231DF5" w14:paraId="1350D60D" w14:textId="35EC238E">
            <w:pPr>
              <w:widowControl/>
              <w:autoSpaceDE/>
              <w:autoSpaceDN/>
              <w:adjustRightInd/>
              <w:jc w:val="center"/>
              <w:rPr>
                <w:sz w:val="22"/>
                <w:szCs w:val="22"/>
              </w:rPr>
            </w:pPr>
            <w:r>
              <w:rPr>
                <w:color w:val="000000"/>
                <w:sz w:val="22"/>
                <w:szCs w:val="22"/>
              </w:rPr>
              <w:t>$1,932</w:t>
            </w:r>
          </w:p>
        </w:tc>
      </w:tr>
      <w:tr w14:paraId="334EA5AA" w14:textId="77777777" w:rsidTr="00231DF5">
        <w:tblPrEx>
          <w:tblW w:w="9720" w:type="dxa"/>
          <w:tblInd w:w="170" w:type="dxa"/>
          <w:tblLook w:val="04A0"/>
        </w:tblPrEx>
        <w:trPr>
          <w:trHeight w:val="850"/>
        </w:trPr>
        <w:tc>
          <w:tcPr>
            <w:tcW w:w="3780" w:type="dxa"/>
            <w:tcBorders>
              <w:top w:val="single" w:sz="4" w:space="0" w:color="auto"/>
              <w:left w:val="single" w:sz="4" w:space="0" w:color="auto"/>
              <w:bottom w:val="single" w:sz="4" w:space="0" w:color="auto"/>
              <w:right w:val="single" w:sz="4" w:space="0" w:color="auto"/>
            </w:tcBorders>
            <w:vAlign w:val="center"/>
            <w:hideMark/>
          </w:tcPr>
          <w:p w:rsidR="00146429" w:rsidRPr="00E259C0" w:rsidP="00146429" w14:paraId="1D083B25" w14:textId="77777777">
            <w:pPr>
              <w:widowControl/>
              <w:autoSpaceDE/>
              <w:autoSpaceDN/>
              <w:adjustRightInd/>
              <w:rPr>
                <w:sz w:val="22"/>
                <w:szCs w:val="22"/>
              </w:rPr>
            </w:pPr>
            <w:r w:rsidRPr="00E259C0">
              <w:rPr>
                <w:sz w:val="22"/>
                <w:szCs w:val="22"/>
              </w:rPr>
              <w:t>Clerical workers prepare and submit petition for denial or withdrawal of IDR entities</w:t>
            </w:r>
          </w:p>
        </w:tc>
        <w:tc>
          <w:tcPr>
            <w:tcW w:w="1350" w:type="dxa"/>
            <w:tcBorders>
              <w:top w:val="nil"/>
              <w:left w:val="single" w:sz="4" w:space="0" w:color="auto"/>
              <w:bottom w:val="single" w:sz="4" w:space="0" w:color="auto"/>
              <w:right w:val="single" w:sz="4" w:space="0" w:color="auto"/>
            </w:tcBorders>
            <w:noWrap/>
            <w:vAlign w:val="center"/>
            <w:hideMark/>
          </w:tcPr>
          <w:p w:rsidR="00146429" w:rsidRPr="00E259C0" w:rsidP="00231DF5" w14:paraId="5FD1B03D" w14:textId="7BC9161A">
            <w:pPr>
              <w:widowControl/>
              <w:autoSpaceDE/>
              <w:autoSpaceDN/>
              <w:adjustRightInd/>
              <w:jc w:val="center"/>
              <w:rPr>
                <w:sz w:val="22"/>
                <w:szCs w:val="22"/>
              </w:rPr>
            </w:pPr>
            <w:r>
              <w:rPr>
                <w:color w:val="000000"/>
                <w:sz w:val="22"/>
                <w:szCs w:val="22"/>
              </w:rPr>
              <w:t>5</w:t>
            </w:r>
          </w:p>
        </w:tc>
        <w:tc>
          <w:tcPr>
            <w:tcW w:w="1260" w:type="dxa"/>
            <w:tcBorders>
              <w:top w:val="nil"/>
              <w:left w:val="nil"/>
              <w:bottom w:val="single" w:sz="4" w:space="0" w:color="auto"/>
              <w:right w:val="single" w:sz="4" w:space="0" w:color="auto"/>
            </w:tcBorders>
            <w:noWrap/>
            <w:vAlign w:val="center"/>
            <w:hideMark/>
          </w:tcPr>
          <w:p w:rsidR="00146429" w:rsidRPr="00E259C0" w:rsidP="00231DF5" w14:paraId="0A62FE0A" w14:textId="2A1DD7FB">
            <w:pPr>
              <w:widowControl/>
              <w:autoSpaceDE/>
              <w:autoSpaceDN/>
              <w:adjustRightInd/>
              <w:jc w:val="center"/>
              <w:rPr>
                <w:sz w:val="22"/>
                <w:szCs w:val="22"/>
              </w:rPr>
            </w:pPr>
            <w:r>
              <w:rPr>
                <w:color w:val="000000"/>
                <w:sz w:val="22"/>
                <w:szCs w:val="22"/>
              </w:rPr>
              <w:t>0.25</w:t>
            </w:r>
          </w:p>
        </w:tc>
        <w:tc>
          <w:tcPr>
            <w:tcW w:w="990" w:type="dxa"/>
            <w:tcBorders>
              <w:top w:val="nil"/>
              <w:left w:val="nil"/>
              <w:bottom w:val="single" w:sz="4" w:space="0" w:color="auto"/>
              <w:right w:val="single" w:sz="4" w:space="0" w:color="auto"/>
            </w:tcBorders>
            <w:noWrap/>
            <w:vAlign w:val="center"/>
            <w:hideMark/>
          </w:tcPr>
          <w:p w:rsidR="00146429" w:rsidRPr="00E259C0" w:rsidP="00231DF5" w14:paraId="12B86C00" w14:textId="77AC7619">
            <w:pPr>
              <w:widowControl/>
              <w:autoSpaceDE/>
              <w:autoSpaceDN/>
              <w:adjustRightInd/>
              <w:jc w:val="center"/>
              <w:rPr>
                <w:sz w:val="22"/>
                <w:szCs w:val="22"/>
              </w:rPr>
            </w:pPr>
            <w:r>
              <w:rPr>
                <w:color w:val="000000"/>
                <w:sz w:val="22"/>
                <w:szCs w:val="22"/>
              </w:rPr>
              <w:t>1</w:t>
            </w:r>
          </w:p>
        </w:tc>
        <w:tc>
          <w:tcPr>
            <w:tcW w:w="990" w:type="dxa"/>
            <w:tcBorders>
              <w:top w:val="nil"/>
              <w:left w:val="nil"/>
              <w:bottom w:val="single" w:sz="4" w:space="0" w:color="auto"/>
              <w:right w:val="single" w:sz="4" w:space="0" w:color="auto"/>
            </w:tcBorders>
            <w:noWrap/>
            <w:vAlign w:val="center"/>
            <w:hideMark/>
          </w:tcPr>
          <w:p w:rsidR="00146429" w:rsidRPr="00E259C0" w:rsidP="00231DF5" w14:paraId="4813EF7A" w14:textId="6C61D64F">
            <w:pPr>
              <w:widowControl/>
              <w:autoSpaceDE/>
              <w:autoSpaceDN/>
              <w:adjustRightInd/>
              <w:jc w:val="center"/>
              <w:rPr>
                <w:sz w:val="22"/>
                <w:szCs w:val="22"/>
              </w:rPr>
            </w:pPr>
            <w:r>
              <w:rPr>
                <w:color w:val="000000"/>
                <w:sz w:val="22"/>
                <w:szCs w:val="22"/>
              </w:rPr>
              <w:t>$72.82</w:t>
            </w:r>
          </w:p>
        </w:tc>
        <w:tc>
          <w:tcPr>
            <w:tcW w:w="1350" w:type="dxa"/>
            <w:tcBorders>
              <w:top w:val="nil"/>
              <w:left w:val="nil"/>
              <w:bottom w:val="single" w:sz="4" w:space="0" w:color="auto"/>
              <w:right w:val="single" w:sz="4" w:space="0" w:color="auto"/>
            </w:tcBorders>
            <w:noWrap/>
            <w:vAlign w:val="center"/>
            <w:hideMark/>
          </w:tcPr>
          <w:p w:rsidR="00146429" w:rsidRPr="00E259C0" w:rsidP="00231DF5" w14:paraId="3FD6ECFE" w14:textId="420F6040">
            <w:pPr>
              <w:widowControl/>
              <w:autoSpaceDE/>
              <w:autoSpaceDN/>
              <w:adjustRightInd/>
              <w:jc w:val="center"/>
              <w:rPr>
                <w:sz w:val="22"/>
                <w:szCs w:val="22"/>
              </w:rPr>
            </w:pPr>
            <w:r>
              <w:rPr>
                <w:color w:val="000000"/>
                <w:sz w:val="22"/>
                <w:szCs w:val="22"/>
              </w:rPr>
              <w:t>$91</w:t>
            </w:r>
          </w:p>
        </w:tc>
      </w:tr>
      <w:tr w14:paraId="3986C966" w14:textId="77777777" w:rsidTr="00A55058">
        <w:tblPrEx>
          <w:tblW w:w="9720" w:type="dxa"/>
          <w:tblInd w:w="170" w:type="dxa"/>
          <w:tblLook w:val="04A0"/>
        </w:tblPrEx>
        <w:trPr>
          <w:trHeight w:val="314"/>
        </w:trPr>
        <w:tc>
          <w:tcPr>
            <w:tcW w:w="9720" w:type="dxa"/>
            <w:gridSpan w:val="6"/>
            <w:tcBorders>
              <w:top w:val="single" w:sz="4" w:space="0" w:color="auto"/>
              <w:left w:val="single" w:sz="4" w:space="0" w:color="auto"/>
              <w:bottom w:val="single" w:sz="4" w:space="0" w:color="auto"/>
              <w:right w:val="single" w:sz="4" w:space="0" w:color="auto"/>
            </w:tcBorders>
            <w:vAlign w:val="center"/>
          </w:tcPr>
          <w:p w:rsidR="00933C01" w:rsidRPr="00AE049B" w:rsidP="00AE049B" w14:paraId="68D11E5D" w14:textId="72348F4C">
            <w:pPr>
              <w:widowControl/>
              <w:autoSpaceDE/>
              <w:autoSpaceDN/>
              <w:adjustRightInd/>
              <w:rPr>
                <w:b/>
                <w:bCs/>
                <w:iCs/>
                <w:color w:val="000000"/>
                <w:sz w:val="22"/>
                <w:szCs w:val="22"/>
                <w:u w:val="single"/>
              </w:rPr>
            </w:pPr>
            <w:r w:rsidRPr="00AE049B">
              <w:rPr>
                <w:b/>
                <w:bCs/>
                <w:iCs/>
                <w:color w:val="000000"/>
                <w:sz w:val="22"/>
                <w:szCs w:val="22"/>
                <w:u w:val="single"/>
              </w:rPr>
              <w:t>IDR Entity Monthly Reporting</w:t>
            </w:r>
          </w:p>
        </w:tc>
      </w:tr>
      <w:tr w14:paraId="28F65E66" w14:textId="77777777" w:rsidTr="00231DF5">
        <w:tblPrEx>
          <w:tblW w:w="9720" w:type="dxa"/>
          <w:tblInd w:w="170" w:type="dxa"/>
          <w:tblLook w:val="04A0"/>
        </w:tblPrEx>
        <w:trPr>
          <w:trHeight w:val="570"/>
        </w:trPr>
        <w:tc>
          <w:tcPr>
            <w:tcW w:w="3780" w:type="dxa"/>
            <w:tcBorders>
              <w:top w:val="single" w:sz="4" w:space="0" w:color="auto"/>
              <w:left w:val="single" w:sz="4" w:space="0" w:color="auto"/>
              <w:bottom w:val="single" w:sz="4" w:space="0" w:color="auto"/>
              <w:right w:val="single" w:sz="4" w:space="0" w:color="auto"/>
            </w:tcBorders>
            <w:vAlign w:val="center"/>
            <w:hideMark/>
          </w:tcPr>
          <w:p w:rsidR="00761756" w:rsidRPr="00E259C0" w:rsidP="00761756" w14:paraId="6B3638FB" w14:textId="7641332F">
            <w:pPr>
              <w:widowControl/>
              <w:autoSpaceDE/>
              <w:autoSpaceDN/>
              <w:adjustRightInd/>
              <w:rPr>
                <w:sz w:val="22"/>
                <w:szCs w:val="22"/>
              </w:rPr>
            </w:pPr>
            <w:r w:rsidRPr="00E259C0">
              <w:rPr>
                <w:sz w:val="22"/>
                <w:szCs w:val="22"/>
              </w:rPr>
              <w:t>Compensation and benefit managers prepare IDR entity monthly report</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61756" w:rsidRPr="00E259C0" w:rsidP="00231DF5" w14:paraId="1A34E74D" w14:textId="1DA9179F">
            <w:pPr>
              <w:widowControl/>
              <w:autoSpaceDE/>
              <w:autoSpaceDN/>
              <w:adjustRightInd/>
              <w:jc w:val="center"/>
              <w:rPr>
                <w:sz w:val="22"/>
                <w:szCs w:val="22"/>
              </w:rPr>
            </w:pPr>
            <w:r>
              <w:rPr>
                <w:color w:val="000000"/>
                <w:sz w:val="22"/>
                <w:szCs w:val="22"/>
              </w:rPr>
              <w:t>156</w:t>
            </w:r>
          </w:p>
        </w:tc>
        <w:tc>
          <w:tcPr>
            <w:tcW w:w="1260" w:type="dxa"/>
            <w:tcBorders>
              <w:top w:val="single" w:sz="4" w:space="0" w:color="auto"/>
              <w:left w:val="nil"/>
              <w:bottom w:val="single" w:sz="4" w:space="0" w:color="auto"/>
              <w:right w:val="single" w:sz="4" w:space="0" w:color="auto"/>
            </w:tcBorders>
            <w:noWrap/>
            <w:vAlign w:val="center"/>
            <w:hideMark/>
          </w:tcPr>
          <w:p w:rsidR="00761756" w:rsidRPr="00E259C0" w:rsidP="00231DF5" w14:paraId="7A9A4106" w14:textId="5F9F99D3">
            <w:pPr>
              <w:widowControl/>
              <w:autoSpaceDE/>
              <w:autoSpaceDN/>
              <w:adjustRightInd/>
              <w:jc w:val="center"/>
              <w:rPr>
                <w:sz w:val="22"/>
                <w:szCs w:val="22"/>
              </w:rPr>
            </w:pPr>
            <w:r>
              <w:rPr>
                <w:color w:val="000000"/>
                <w:sz w:val="22"/>
                <w:szCs w:val="22"/>
              </w:rPr>
              <w:t>1</w:t>
            </w:r>
          </w:p>
        </w:tc>
        <w:tc>
          <w:tcPr>
            <w:tcW w:w="990" w:type="dxa"/>
            <w:tcBorders>
              <w:top w:val="single" w:sz="4" w:space="0" w:color="auto"/>
              <w:left w:val="nil"/>
              <w:bottom w:val="single" w:sz="4" w:space="0" w:color="auto"/>
              <w:right w:val="single" w:sz="4" w:space="0" w:color="auto"/>
            </w:tcBorders>
            <w:noWrap/>
            <w:vAlign w:val="center"/>
            <w:hideMark/>
          </w:tcPr>
          <w:p w:rsidR="00761756" w:rsidRPr="00E259C0" w:rsidP="00231DF5" w14:paraId="0ABD6B09" w14:textId="23446D7B">
            <w:pPr>
              <w:widowControl/>
              <w:autoSpaceDE/>
              <w:autoSpaceDN/>
              <w:adjustRightInd/>
              <w:jc w:val="center"/>
              <w:rPr>
                <w:sz w:val="22"/>
                <w:szCs w:val="22"/>
              </w:rPr>
            </w:pPr>
            <w:r>
              <w:rPr>
                <w:color w:val="000000"/>
                <w:sz w:val="22"/>
                <w:szCs w:val="22"/>
              </w:rPr>
              <w:t>156</w:t>
            </w:r>
          </w:p>
        </w:tc>
        <w:tc>
          <w:tcPr>
            <w:tcW w:w="990" w:type="dxa"/>
            <w:tcBorders>
              <w:top w:val="single" w:sz="4" w:space="0" w:color="auto"/>
              <w:left w:val="nil"/>
              <w:bottom w:val="single" w:sz="4" w:space="0" w:color="auto"/>
              <w:right w:val="single" w:sz="4" w:space="0" w:color="auto"/>
            </w:tcBorders>
            <w:noWrap/>
            <w:vAlign w:val="center"/>
            <w:hideMark/>
          </w:tcPr>
          <w:p w:rsidR="00761756" w:rsidRPr="00E259C0" w:rsidP="00231DF5" w14:paraId="1FBFE275" w14:textId="7AFBE382">
            <w:pPr>
              <w:widowControl/>
              <w:autoSpaceDE/>
              <w:autoSpaceDN/>
              <w:adjustRightInd/>
              <w:jc w:val="center"/>
              <w:rPr>
                <w:sz w:val="22"/>
                <w:szCs w:val="22"/>
              </w:rPr>
            </w:pPr>
            <w:r>
              <w:rPr>
                <w:color w:val="000000"/>
                <w:sz w:val="22"/>
                <w:szCs w:val="22"/>
              </w:rPr>
              <w:t>$193.15</w:t>
            </w:r>
          </w:p>
        </w:tc>
        <w:tc>
          <w:tcPr>
            <w:tcW w:w="1350" w:type="dxa"/>
            <w:tcBorders>
              <w:top w:val="single" w:sz="4" w:space="0" w:color="auto"/>
              <w:left w:val="nil"/>
              <w:bottom w:val="single" w:sz="4" w:space="0" w:color="auto"/>
              <w:right w:val="single" w:sz="4" w:space="0" w:color="auto"/>
            </w:tcBorders>
            <w:noWrap/>
            <w:vAlign w:val="center"/>
            <w:hideMark/>
          </w:tcPr>
          <w:p w:rsidR="00761756" w:rsidRPr="00E259C0" w:rsidP="00231DF5" w14:paraId="1F5F6019" w14:textId="4E5BE367">
            <w:pPr>
              <w:widowControl/>
              <w:autoSpaceDE/>
              <w:autoSpaceDN/>
              <w:adjustRightInd/>
              <w:jc w:val="center"/>
              <w:rPr>
                <w:sz w:val="22"/>
                <w:szCs w:val="22"/>
              </w:rPr>
            </w:pPr>
            <w:r>
              <w:rPr>
                <w:color w:val="000000"/>
                <w:sz w:val="22"/>
                <w:szCs w:val="22"/>
              </w:rPr>
              <w:t>$30,131</w:t>
            </w:r>
          </w:p>
        </w:tc>
      </w:tr>
      <w:tr w14:paraId="3BCBCDFD" w14:textId="77777777" w:rsidTr="00231DF5">
        <w:tblPrEx>
          <w:tblW w:w="9720" w:type="dxa"/>
          <w:tblInd w:w="170" w:type="dxa"/>
          <w:tblLook w:val="04A0"/>
        </w:tblPrEx>
        <w:trPr>
          <w:trHeight w:val="570"/>
        </w:trPr>
        <w:tc>
          <w:tcPr>
            <w:tcW w:w="3780" w:type="dxa"/>
            <w:tcBorders>
              <w:top w:val="single" w:sz="4" w:space="0" w:color="auto"/>
              <w:left w:val="single" w:sz="4" w:space="0" w:color="auto"/>
              <w:bottom w:val="single" w:sz="4" w:space="0" w:color="auto"/>
              <w:right w:val="single" w:sz="4" w:space="0" w:color="auto"/>
            </w:tcBorders>
            <w:vAlign w:val="center"/>
            <w:hideMark/>
          </w:tcPr>
          <w:p w:rsidR="00761756" w:rsidRPr="00E259C0" w:rsidP="00761756" w14:paraId="0E903531" w14:textId="77777777">
            <w:pPr>
              <w:widowControl/>
              <w:autoSpaceDE/>
              <w:autoSpaceDN/>
              <w:adjustRightInd/>
              <w:rPr>
                <w:sz w:val="22"/>
                <w:szCs w:val="22"/>
              </w:rPr>
            </w:pPr>
            <w:r w:rsidRPr="00E259C0">
              <w:rPr>
                <w:sz w:val="22"/>
                <w:szCs w:val="22"/>
              </w:rPr>
              <w:t>Clerical workers prepare and submit IDR entity monthly report</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61756" w:rsidRPr="00E259C0" w:rsidP="00231DF5" w14:paraId="4D554CE0" w14:textId="2CF82728">
            <w:pPr>
              <w:widowControl/>
              <w:autoSpaceDE/>
              <w:autoSpaceDN/>
              <w:adjustRightInd/>
              <w:jc w:val="center"/>
              <w:rPr>
                <w:sz w:val="22"/>
                <w:szCs w:val="22"/>
              </w:rPr>
            </w:pPr>
            <w:r>
              <w:rPr>
                <w:color w:val="000000"/>
                <w:sz w:val="22"/>
                <w:szCs w:val="22"/>
              </w:rPr>
              <w:t>156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761756" w:rsidRPr="00E259C0" w:rsidP="00231DF5" w14:paraId="5C73106E" w14:textId="641C5765">
            <w:pPr>
              <w:widowControl/>
              <w:autoSpaceDE/>
              <w:autoSpaceDN/>
              <w:adjustRightInd/>
              <w:jc w:val="center"/>
              <w:rPr>
                <w:sz w:val="22"/>
                <w:szCs w:val="22"/>
              </w:rPr>
            </w:pPr>
            <w:r>
              <w:rPr>
                <w:color w:val="000000"/>
                <w:sz w:val="22"/>
                <w:szCs w:val="22"/>
              </w:rPr>
              <w:t>0.25</w:t>
            </w: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761756" w:rsidRPr="00E259C0" w:rsidP="00231DF5" w14:paraId="454A2ABF" w14:textId="0D45B607">
            <w:pPr>
              <w:widowControl/>
              <w:autoSpaceDE/>
              <w:autoSpaceDN/>
              <w:adjustRightInd/>
              <w:jc w:val="center"/>
              <w:rPr>
                <w:sz w:val="22"/>
                <w:szCs w:val="22"/>
              </w:rPr>
            </w:pPr>
            <w:r>
              <w:rPr>
                <w:color w:val="000000"/>
                <w:sz w:val="22"/>
                <w:szCs w:val="22"/>
              </w:rPr>
              <w:t>39</w:t>
            </w: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761756" w:rsidRPr="00E259C0" w:rsidP="00231DF5" w14:paraId="4956B29C" w14:textId="4702ED1E">
            <w:pPr>
              <w:widowControl/>
              <w:autoSpaceDE/>
              <w:autoSpaceDN/>
              <w:adjustRightInd/>
              <w:jc w:val="center"/>
              <w:rPr>
                <w:sz w:val="22"/>
                <w:szCs w:val="22"/>
              </w:rPr>
            </w:pPr>
            <w:r>
              <w:rPr>
                <w:color w:val="000000"/>
                <w:sz w:val="22"/>
                <w:szCs w:val="22"/>
              </w:rPr>
              <w:t>$72.82</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61756" w:rsidRPr="00E259C0" w:rsidP="00231DF5" w14:paraId="1E0EE09E" w14:textId="4AE9BA82">
            <w:pPr>
              <w:widowControl/>
              <w:autoSpaceDE/>
              <w:autoSpaceDN/>
              <w:adjustRightInd/>
              <w:jc w:val="center"/>
              <w:rPr>
                <w:sz w:val="22"/>
                <w:szCs w:val="22"/>
              </w:rPr>
            </w:pPr>
            <w:r>
              <w:rPr>
                <w:color w:val="000000"/>
                <w:sz w:val="22"/>
                <w:szCs w:val="22"/>
              </w:rPr>
              <w:t>$2,840</w:t>
            </w:r>
          </w:p>
        </w:tc>
      </w:tr>
      <w:tr w14:paraId="2A01152E" w14:textId="77777777" w:rsidTr="00A55058">
        <w:tblPrEx>
          <w:tblW w:w="9720" w:type="dxa"/>
          <w:tblInd w:w="170" w:type="dxa"/>
          <w:tblLook w:val="04A0"/>
        </w:tblPrEx>
        <w:trPr>
          <w:trHeight w:val="350"/>
        </w:trPr>
        <w:tc>
          <w:tcPr>
            <w:tcW w:w="9720" w:type="dxa"/>
            <w:gridSpan w:val="6"/>
            <w:tcBorders>
              <w:top w:val="single" w:sz="4" w:space="0" w:color="auto"/>
              <w:left w:val="single" w:sz="4" w:space="0" w:color="auto"/>
              <w:bottom w:val="single" w:sz="4" w:space="0" w:color="auto"/>
              <w:right w:val="single" w:sz="4" w:space="0" w:color="auto"/>
            </w:tcBorders>
            <w:vAlign w:val="center"/>
          </w:tcPr>
          <w:p w:rsidR="00933C01" w:rsidRPr="00AE049B" w:rsidP="00AE049B" w14:paraId="797C20BE" w14:textId="1AF70F2E">
            <w:pPr>
              <w:widowControl/>
              <w:autoSpaceDE/>
              <w:autoSpaceDN/>
              <w:adjustRightInd/>
              <w:rPr>
                <w:b/>
                <w:bCs/>
                <w:color w:val="000000"/>
                <w:sz w:val="22"/>
                <w:szCs w:val="22"/>
                <w:u w:val="single"/>
              </w:rPr>
            </w:pPr>
            <w:r w:rsidRPr="00AE049B">
              <w:rPr>
                <w:b/>
                <w:bCs/>
                <w:color w:val="000000"/>
                <w:sz w:val="22"/>
                <w:szCs w:val="22"/>
                <w:u w:val="single"/>
              </w:rPr>
              <w:t>IDR Entity Breach</w:t>
            </w:r>
          </w:p>
        </w:tc>
      </w:tr>
      <w:tr w14:paraId="41E363B6" w14:textId="77777777" w:rsidTr="00231DF5">
        <w:tblPrEx>
          <w:tblW w:w="9720" w:type="dxa"/>
          <w:tblInd w:w="170" w:type="dxa"/>
          <w:tblLook w:val="04A0"/>
        </w:tblPrEx>
        <w:trPr>
          <w:trHeight w:val="570"/>
        </w:trPr>
        <w:tc>
          <w:tcPr>
            <w:tcW w:w="3780" w:type="dxa"/>
            <w:tcBorders>
              <w:top w:val="single" w:sz="4" w:space="0" w:color="auto"/>
              <w:left w:val="single" w:sz="4" w:space="0" w:color="auto"/>
              <w:bottom w:val="single" w:sz="4" w:space="0" w:color="auto"/>
              <w:right w:val="single" w:sz="4" w:space="0" w:color="auto"/>
            </w:tcBorders>
            <w:vAlign w:val="center"/>
            <w:hideMark/>
          </w:tcPr>
          <w:p w:rsidR="00761756" w:rsidRPr="00E259C0" w:rsidP="00761756" w14:paraId="14AA2C6B" w14:textId="77777777">
            <w:pPr>
              <w:widowControl/>
              <w:autoSpaceDE/>
              <w:autoSpaceDN/>
              <w:adjustRightInd/>
              <w:rPr>
                <w:sz w:val="22"/>
                <w:szCs w:val="22"/>
              </w:rPr>
            </w:pPr>
            <w:r w:rsidRPr="00E259C0">
              <w:rPr>
                <w:sz w:val="22"/>
                <w:szCs w:val="22"/>
              </w:rPr>
              <w:t>IDR entity managers handle the initial breach and follow the set procedures</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61756" w:rsidRPr="00E259C0" w:rsidP="00231DF5" w14:paraId="5F76BF9D" w14:textId="3FDF7BF0">
            <w:pPr>
              <w:widowControl/>
              <w:autoSpaceDE/>
              <w:autoSpaceDN/>
              <w:adjustRightInd/>
              <w:jc w:val="center"/>
              <w:rPr>
                <w:sz w:val="22"/>
                <w:szCs w:val="22"/>
              </w:rPr>
            </w:pPr>
            <w:r>
              <w:rPr>
                <w:color w:val="000000"/>
                <w:sz w:val="22"/>
                <w:szCs w:val="22"/>
              </w:rPr>
              <w:t>3</w:t>
            </w:r>
          </w:p>
        </w:tc>
        <w:tc>
          <w:tcPr>
            <w:tcW w:w="1260" w:type="dxa"/>
            <w:tcBorders>
              <w:top w:val="single" w:sz="4" w:space="0" w:color="auto"/>
              <w:left w:val="nil"/>
              <w:bottom w:val="single" w:sz="4" w:space="0" w:color="auto"/>
              <w:right w:val="single" w:sz="4" w:space="0" w:color="auto"/>
            </w:tcBorders>
            <w:noWrap/>
            <w:vAlign w:val="center"/>
            <w:hideMark/>
          </w:tcPr>
          <w:p w:rsidR="00761756" w:rsidRPr="00E259C0" w:rsidP="00231DF5" w14:paraId="69A1D375" w14:textId="2E09948E">
            <w:pPr>
              <w:widowControl/>
              <w:autoSpaceDE/>
              <w:autoSpaceDN/>
              <w:adjustRightInd/>
              <w:jc w:val="center"/>
              <w:rPr>
                <w:sz w:val="22"/>
                <w:szCs w:val="22"/>
              </w:rPr>
            </w:pPr>
            <w:r>
              <w:rPr>
                <w:color w:val="000000"/>
                <w:sz w:val="22"/>
                <w:szCs w:val="22"/>
              </w:rPr>
              <w:t>1</w:t>
            </w:r>
          </w:p>
        </w:tc>
        <w:tc>
          <w:tcPr>
            <w:tcW w:w="990" w:type="dxa"/>
            <w:tcBorders>
              <w:top w:val="single" w:sz="4" w:space="0" w:color="auto"/>
              <w:left w:val="nil"/>
              <w:bottom w:val="single" w:sz="4" w:space="0" w:color="auto"/>
              <w:right w:val="single" w:sz="4" w:space="0" w:color="auto"/>
            </w:tcBorders>
            <w:noWrap/>
            <w:vAlign w:val="center"/>
            <w:hideMark/>
          </w:tcPr>
          <w:p w:rsidR="00761756" w:rsidRPr="00E259C0" w:rsidP="00231DF5" w14:paraId="003A1F27" w14:textId="2877D7B3">
            <w:pPr>
              <w:widowControl/>
              <w:autoSpaceDE/>
              <w:autoSpaceDN/>
              <w:adjustRightInd/>
              <w:jc w:val="center"/>
              <w:rPr>
                <w:sz w:val="22"/>
                <w:szCs w:val="22"/>
              </w:rPr>
            </w:pPr>
            <w:r>
              <w:rPr>
                <w:color w:val="000000"/>
                <w:sz w:val="22"/>
                <w:szCs w:val="22"/>
              </w:rPr>
              <w:t>3</w:t>
            </w:r>
          </w:p>
        </w:tc>
        <w:tc>
          <w:tcPr>
            <w:tcW w:w="990" w:type="dxa"/>
            <w:tcBorders>
              <w:top w:val="single" w:sz="4" w:space="0" w:color="auto"/>
              <w:left w:val="nil"/>
              <w:bottom w:val="single" w:sz="4" w:space="0" w:color="auto"/>
              <w:right w:val="single" w:sz="4" w:space="0" w:color="auto"/>
            </w:tcBorders>
            <w:noWrap/>
            <w:vAlign w:val="center"/>
            <w:hideMark/>
          </w:tcPr>
          <w:p w:rsidR="00761756" w:rsidRPr="00E259C0" w:rsidP="00231DF5" w14:paraId="50C9C102" w14:textId="7FB9BD74">
            <w:pPr>
              <w:widowControl/>
              <w:autoSpaceDE/>
              <w:autoSpaceDN/>
              <w:adjustRightInd/>
              <w:jc w:val="center"/>
              <w:rPr>
                <w:sz w:val="22"/>
                <w:szCs w:val="22"/>
              </w:rPr>
            </w:pPr>
            <w:r>
              <w:rPr>
                <w:color w:val="000000"/>
                <w:sz w:val="22"/>
                <w:szCs w:val="22"/>
              </w:rPr>
              <w:t>$193.15</w:t>
            </w:r>
          </w:p>
        </w:tc>
        <w:tc>
          <w:tcPr>
            <w:tcW w:w="1350" w:type="dxa"/>
            <w:tcBorders>
              <w:top w:val="single" w:sz="4" w:space="0" w:color="auto"/>
              <w:left w:val="nil"/>
              <w:bottom w:val="single" w:sz="4" w:space="0" w:color="auto"/>
              <w:right w:val="single" w:sz="4" w:space="0" w:color="auto"/>
            </w:tcBorders>
            <w:noWrap/>
            <w:vAlign w:val="center"/>
            <w:hideMark/>
          </w:tcPr>
          <w:p w:rsidR="00761756" w:rsidRPr="00E259C0" w:rsidP="00231DF5" w14:paraId="66FE3926" w14:textId="63B4E4A6">
            <w:pPr>
              <w:widowControl/>
              <w:autoSpaceDE/>
              <w:autoSpaceDN/>
              <w:adjustRightInd/>
              <w:jc w:val="center"/>
              <w:rPr>
                <w:sz w:val="22"/>
                <w:szCs w:val="22"/>
              </w:rPr>
            </w:pPr>
            <w:r>
              <w:rPr>
                <w:color w:val="000000"/>
                <w:sz w:val="22"/>
                <w:szCs w:val="22"/>
              </w:rPr>
              <w:t>$579</w:t>
            </w:r>
          </w:p>
        </w:tc>
      </w:tr>
      <w:tr w14:paraId="5AAF8607" w14:textId="77777777" w:rsidTr="00231DF5">
        <w:tblPrEx>
          <w:tblW w:w="9720" w:type="dxa"/>
          <w:tblInd w:w="170" w:type="dxa"/>
          <w:tblLook w:val="04A0"/>
        </w:tblPrEx>
        <w:trPr>
          <w:trHeight w:val="850"/>
        </w:trPr>
        <w:tc>
          <w:tcPr>
            <w:tcW w:w="3780" w:type="dxa"/>
            <w:tcBorders>
              <w:top w:val="single" w:sz="4" w:space="0" w:color="auto"/>
              <w:left w:val="single" w:sz="4" w:space="0" w:color="auto"/>
              <w:bottom w:val="single" w:sz="4" w:space="0" w:color="auto"/>
              <w:right w:val="single" w:sz="4" w:space="0" w:color="auto"/>
            </w:tcBorders>
            <w:vAlign w:val="center"/>
            <w:hideMark/>
          </w:tcPr>
          <w:p w:rsidR="00761756" w:rsidRPr="00E259C0" w:rsidP="00761756" w14:paraId="4B750F17" w14:textId="77777777">
            <w:pPr>
              <w:widowControl/>
              <w:autoSpaceDE/>
              <w:autoSpaceDN/>
              <w:adjustRightInd/>
              <w:rPr>
                <w:sz w:val="22"/>
                <w:szCs w:val="22"/>
              </w:rPr>
            </w:pPr>
            <w:r w:rsidRPr="00E259C0">
              <w:rPr>
                <w:sz w:val="22"/>
                <w:szCs w:val="22"/>
              </w:rPr>
              <w:t>CAC Senior Officials ensure the protocol is executed and adapt the policies accordingly</w:t>
            </w:r>
          </w:p>
        </w:tc>
        <w:tc>
          <w:tcPr>
            <w:tcW w:w="1350" w:type="dxa"/>
            <w:tcBorders>
              <w:top w:val="nil"/>
              <w:left w:val="single" w:sz="4" w:space="0" w:color="auto"/>
              <w:bottom w:val="double" w:sz="6" w:space="0" w:color="auto"/>
              <w:right w:val="single" w:sz="4" w:space="0" w:color="auto"/>
            </w:tcBorders>
            <w:noWrap/>
            <w:vAlign w:val="center"/>
            <w:hideMark/>
          </w:tcPr>
          <w:p w:rsidR="00761756" w:rsidRPr="00E259C0" w:rsidP="00231DF5" w14:paraId="64D0B441" w14:textId="22EB6BAB">
            <w:pPr>
              <w:widowControl/>
              <w:autoSpaceDE/>
              <w:autoSpaceDN/>
              <w:adjustRightInd/>
              <w:jc w:val="center"/>
              <w:rPr>
                <w:sz w:val="22"/>
                <w:szCs w:val="22"/>
              </w:rPr>
            </w:pPr>
            <w:r>
              <w:rPr>
                <w:color w:val="000000"/>
                <w:sz w:val="22"/>
                <w:szCs w:val="22"/>
              </w:rPr>
              <w:t>3</w:t>
            </w:r>
          </w:p>
        </w:tc>
        <w:tc>
          <w:tcPr>
            <w:tcW w:w="1260" w:type="dxa"/>
            <w:tcBorders>
              <w:top w:val="nil"/>
              <w:left w:val="nil"/>
              <w:bottom w:val="double" w:sz="6" w:space="0" w:color="auto"/>
              <w:right w:val="single" w:sz="4" w:space="0" w:color="auto"/>
            </w:tcBorders>
            <w:noWrap/>
            <w:vAlign w:val="center"/>
            <w:hideMark/>
          </w:tcPr>
          <w:p w:rsidR="00761756" w:rsidRPr="00E259C0" w:rsidP="00231DF5" w14:paraId="35A005B8" w14:textId="47D6FB60">
            <w:pPr>
              <w:widowControl/>
              <w:autoSpaceDE/>
              <w:autoSpaceDN/>
              <w:adjustRightInd/>
              <w:jc w:val="center"/>
              <w:rPr>
                <w:sz w:val="22"/>
                <w:szCs w:val="22"/>
              </w:rPr>
            </w:pPr>
            <w:r>
              <w:rPr>
                <w:color w:val="000000"/>
                <w:sz w:val="22"/>
                <w:szCs w:val="22"/>
              </w:rPr>
              <w:t>0.75</w:t>
            </w:r>
          </w:p>
        </w:tc>
        <w:tc>
          <w:tcPr>
            <w:tcW w:w="990" w:type="dxa"/>
            <w:tcBorders>
              <w:top w:val="nil"/>
              <w:left w:val="nil"/>
              <w:bottom w:val="double" w:sz="6" w:space="0" w:color="auto"/>
              <w:right w:val="single" w:sz="4" w:space="0" w:color="auto"/>
            </w:tcBorders>
            <w:noWrap/>
            <w:vAlign w:val="center"/>
            <w:hideMark/>
          </w:tcPr>
          <w:p w:rsidR="00761756" w:rsidRPr="00E259C0" w:rsidP="00231DF5" w14:paraId="57083118" w14:textId="61296A02">
            <w:pPr>
              <w:widowControl/>
              <w:autoSpaceDE/>
              <w:autoSpaceDN/>
              <w:adjustRightInd/>
              <w:jc w:val="center"/>
              <w:rPr>
                <w:sz w:val="22"/>
                <w:szCs w:val="22"/>
              </w:rPr>
            </w:pPr>
            <w:r>
              <w:rPr>
                <w:color w:val="000000"/>
                <w:sz w:val="22"/>
                <w:szCs w:val="22"/>
              </w:rPr>
              <w:t>2</w:t>
            </w:r>
          </w:p>
        </w:tc>
        <w:tc>
          <w:tcPr>
            <w:tcW w:w="990" w:type="dxa"/>
            <w:tcBorders>
              <w:top w:val="nil"/>
              <w:left w:val="nil"/>
              <w:bottom w:val="double" w:sz="6" w:space="0" w:color="auto"/>
              <w:right w:val="single" w:sz="4" w:space="0" w:color="auto"/>
            </w:tcBorders>
            <w:noWrap/>
            <w:vAlign w:val="center"/>
            <w:hideMark/>
          </w:tcPr>
          <w:p w:rsidR="00761756" w:rsidRPr="00E259C0" w:rsidP="00231DF5" w14:paraId="705049F8" w14:textId="5A895857">
            <w:pPr>
              <w:widowControl/>
              <w:autoSpaceDE/>
              <w:autoSpaceDN/>
              <w:adjustRightInd/>
              <w:jc w:val="center"/>
              <w:rPr>
                <w:sz w:val="22"/>
                <w:szCs w:val="22"/>
              </w:rPr>
            </w:pPr>
            <w:r>
              <w:rPr>
                <w:color w:val="000000"/>
                <w:sz w:val="22"/>
                <w:szCs w:val="22"/>
              </w:rPr>
              <w:t>$148.73</w:t>
            </w:r>
          </w:p>
        </w:tc>
        <w:tc>
          <w:tcPr>
            <w:tcW w:w="1350" w:type="dxa"/>
            <w:tcBorders>
              <w:top w:val="nil"/>
              <w:left w:val="nil"/>
              <w:bottom w:val="double" w:sz="6" w:space="0" w:color="auto"/>
              <w:right w:val="single" w:sz="4" w:space="0" w:color="auto"/>
            </w:tcBorders>
            <w:noWrap/>
            <w:vAlign w:val="center"/>
            <w:hideMark/>
          </w:tcPr>
          <w:p w:rsidR="00761756" w:rsidRPr="00E259C0" w:rsidP="00231DF5" w14:paraId="5332B0A5" w14:textId="6FDA2C83">
            <w:pPr>
              <w:widowControl/>
              <w:autoSpaceDE/>
              <w:autoSpaceDN/>
              <w:adjustRightInd/>
              <w:jc w:val="center"/>
              <w:rPr>
                <w:sz w:val="22"/>
                <w:szCs w:val="22"/>
              </w:rPr>
            </w:pPr>
            <w:r>
              <w:rPr>
                <w:color w:val="000000"/>
                <w:sz w:val="22"/>
                <w:szCs w:val="22"/>
              </w:rPr>
              <w:t>$335</w:t>
            </w:r>
          </w:p>
        </w:tc>
      </w:tr>
      <w:tr w14:paraId="2BD6F882" w14:textId="77777777" w:rsidTr="00231DF5">
        <w:tblPrEx>
          <w:tblW w:w="9720" w:type="dxa"/>
          <w:tblInd w:w="170" w:type="dxa"/>
          <w:tblLook w:val="04A0"/>
        </w:tblPrEx>
        <w:trPr>
          <w:trHeight w:val="300"/>
        </w:trPr>
        <w:tc>
          <w:tcPr>
            <w:tcW w:w="3780" w:type="dxa"/>
            <w:tcBorders>
              <w:top w:val="single" w:sz="4" w:space="0" w:color="auto"/>
              <w:left w:val="single" w:sz="4" w:space="0" w:color="auto"/>
              <w:bottom w:val="single" w:sz="4" w:space="0" w:color="auto"/>
              <w:right w:val="single" w:sz="4" w:space="0" w:color="auto"/>
            </w:tcBorders>
            <w:vAlign w:val="center"/>
            <w:hideMark/>
          </w:tcPr>
          <w:p w:rsidR="00683D7A" w:rsidRPr="00E259C0" w:rsidP="00683D7A" w14:paraId="1AB59D73" w14:textId="0191B086">
            <w:pPr>
              <w:widowControl/>
              <w:autoSpaceDE/>
              <w:autoSpaceDN/>
              <w:adjustRightInd/>
              <w:rPr>
                <w:b/>
                <w:bCs/>
                <w:sz w:val="22"/>
                <w:szCs w:val="22"/>
              </w:rPr>
            </w:pPr>
            <w:r w:rsidRPr="00E259C0">
              <w:rPr>
                <w:b/>
                <w:bCs/>
                <w:sz w:val="22"/>
                <w:szCs w:val="22"/>
              </w:rPr>
              <w:t>Total (First Year)</w:t>
            </w:r>
          </w:p>
        </w:tc>
        <w:tc>
          <w:tcPr>
            <w:tcW w:w="1350" w:type="dxa"/>
            <w:tcBorders>
              <w:top w:val="nil"/>
              <w:left w:val="single" w:sz="4" w:space="0" w:color="auto"/>
              <w:bottom w:val="nil"/>
              <w:right w:val="single" w:sz="4" w:space="0" w:color="auto"/>
            </w:tcBorders>
            <w:noWrap/>
            <w:vAlign w:val="center"/>
            <w:hideMark/>
          </w:tcPr>
          <w:p w:rsidR="00683D7A" w:rsidRPr="00E259C0" w:rsidP="00231DF5" w14:paraId="446615A0" w14:textId="68714DA0">
            <w:pPr>
              <w:widowControl/>
              <w:autoSpaceDE/>
              <w:autoSpaceDN/>
              <w:adjustRightInd/>
              <w:jc w:val="center"/>
              <w:rPr>
                <w:b/>
                <w:bCs/>
                <w:sz w:val="22"/>
                <w:szCs w:val="22"/>
              </w:rPr>
            </w:pPr>
            <w:r>
              <w:rPr>
                <w:b/>
                <w:bCs/>
                <w:color w:val="000000"/>
                <w:sz w:val="22"/>
                <w:szCs w:val="22"/>
              </w:rPr>
              <w:t>190</w:t>
            </w:r>
          </w:p>
        </w:tc>
        <w:tc>
          <w:tcPr>
            <w:tcW w:w="1260" w:type="dxa"/>
            <w:tcBorders>
              <w:top w:val="double" w:sz="6" w:space="0" w:color="auto"/>
              <w:left w:val="nil"/>
              <w:bottom w:val="nil"/>
              <w:right w:val="single" w:sz="4" w:space="0" w:color="auto"/>
            </w:tcBorders>
            <w:noWrap/>
            <w:vAlign w:val="center"/>
            <w:hideMark/>
          </w:tcPr>
          <w:p w:rsidR="00683D7A" w:rsidRPr="00E259C0" w:rsidP="00231DF5" w14:paraId="1B587498" w14:textId="0B259536">
            <w:pPr>
              <w:widowControl/>
              <w:autoSpaceDE/>
              <w:autoSpaceDN/>
              <w:adjustRightInd/>
              <w:jc w:val="center"/>
              <w:rPr>
                <w:b/>
                <w:bCs/>
                <w:sz w:val="22"/>
                <w:szCs w:val="22"/>
              </w:rPr>
            </w:pPr>
            <w:r>
              <w:rPr>
                <w:b/>
                <w:bCs/>
                <w:color w:val="000000"/>
                <w:sz w:val="22"/>
                <w:szCs w:val="22"/>
              </w:rPr>
              <w:t>-</w:t>
            </w:r>
          </w:p>
        </w:tc>
        <w:tc>
          <w:tcPr>
            <w:tcW w:w="990" w:type="dxa"/>
            <w:tcBorders>
              <w:top w:val="double" w:sz="6" w:space="0" w:color="auto"/>
              <w:left w:val="nil"/>
              <w:bottom w:val="nil"/>
              <w:right w:val="single" w:sz="4" w:space="0" w:color="auto"/>
            </w:tcBorders>
            <w:noWrap/>
            <w:vAlign w:val="center"/>
            <w:hideMark/>
          </w:tcPr>
          <w:p w:rsidR="00683D7A" w:rsidRPr="00E259C0" w:rsidP="00231DF5" w14:paraId="2B7D9A0D" w14:textId="358A80A1">
            <w:pPr>
              <w:widowControl/>
              <w:autoSpaceDE/>
              <w:autoSpaceDN/>
              <w:adjustRightInd/>
              <w:jc w:val="center"/>
              <w:rPr>
                <w:b/>
                <w:bCs/>
                <w:sz w:val="22"/>
                <w:szCs w:val="22"/>
              </w:rPr>
            </w:pPr>
            <w:r>
              <w:rPr>
                <w:b/>
                <w:bCs/>
                <w:color w:val="000000"/>
                <w:sz w:val="22"/>
                <w:szCs w:val="22"/>
              </w:rPr>
              <w:t>-</w:t>
            </w:r>
          </w:p>
        </w:tc>
        <w:tc>
          <w:tcPr>
            <w:tcW w:w="990" w:type="dxa"/>
            <w:tcBorders>
              <w:top w:val="double" w:sz="6" w:space="0" w:color="auto"/>
              <w:left w:val="nil"/>
              <w:bottom w:val="nil"/>
              <w:right w:val="single" w:sz="4" w:space="0" w:color="auto"/>
            </w:tcBorders>
            <w:noWrap/>
            <w:vAlign w:val="center"/>
            <w:hideMark/>
          </w:tcPr>
          <w:p w:rsidR="00683D7A" w:rsidRPr="00E259C0" w:rsidP="00231DF5" w14:paraId="0C8BAC5C" w14:textId="3CB51347">
            <w:pPr>
              <w:widowControl/>
              <w:autoSpaceDE/>
              <w:autoSpaceDN/>
              <w:adjustRightInd/>
              <w:jc w:val="center"/>
              <w:rPr>
                <w:b/>
                <w:bCs/>
                <w:sz w:val="22"/>
                <w:szCs w:val="22"/>
              </w:rPr>
            </w:pPr>
            <w:r>
              <w:rPr>
                <w:b/>
                <w:bCs/>
                <w:color w:val="000000"/>
                <w:sz w:val="22"/>
                <w:szCs w:val="22"/>
              </w:rPr>
              <w:t>-</w:t>
            </w:r>
          </w:p>
        </w:tc>
        <w:tc>
          <w:tcPr>
            <w:tcW w:w="1350" w:type="dxa"/>
            <w:tcBorders>
              <w:top w:val="double" w:sz="6" w:space="0" w:color="auto"/>
              <w:left w:val="nil"/>
              <w:bottom w:val="nil"/>
              <w:right w:val="single" w:sz="4" w:space="0" w:color="auto"/>
            </w:tcBorders>
            <w:noWrap/>
            <w:vAlign w:val="center"/>
            <w:hideMark/>
          </w:tcPr>
          <w:p w:rsidR="00683D7A" w:rsidRPr="00E259C0" w:rsidP="00231DF5" w14:paraId="655FEB69" w14:textId="747177E7">
            <w:pPr>
              <w:widowControl/>
              <w:autoSpaceDE/>
              <w:autoSpaceDN/>
              <w:adjustRightInd/>
              <w:jc w:val="center"/>
              <w:rPr>
                <w:b/>
                <w:bCs/>
                <w:sz w:val="22"/>
                <w:szCs w:val="22"/>
              </w:rPr>
            </w:pPr>
            <w:r>
              <w:rPr>
                <w:b/>
                <w:bCs/>
                <w:color w:val="000000"/>
                <w:sz w:val="22"/>
                <w:szCs w:val="22"/>
              </w:rPr>
              <w:t>$65,990</w:t>
            </w:r>
          </w:p>
        </w:tc>
      </w:tr>
      <w:tr w14:paraId="46999D3F" w14:textId="77777777" w:rsidTr="00231DF5">
        <w:tblPrEx>
          <w:tblW w:w="9720" w:type="dxa"/>
          <w:tblInd w:w="170" w:type="dxa"/>
          <w:tblLook w:val="04A0"/>
        </w:tblPrEx>
        <w:trPr>
          <w:trHeight w:val="300"/>
        </w:trPr>
        <w:tc>
          <w:tcPr>
            <w:tcW w:w="3780" w:type="dxa"/>
            <w:tcBorders>
              <w:top w:val="single" w:sz="4" w:space="0" w:color="auto"/>
              <w:left w:val="single" w:sz="4" w:space="0" w:color="auto"/>
              <w:bottom w:val="single" w:sz="4" w:space="0" w:color="auto"/>
              <w:right w:val="single" w:sz="4" w:space="0" w:color="auto"/>
            </w:tcBorders>
            <w:vAlign w:val="center"/>
            <w:hideMark/>
          </w:tcPr>
          <w:p w:rsidR="00683D7A" w:rsidRPr="00E259C0" w:rsidP="00683D7A" w14:paraId="71085323" w14:textId="1D70456F">
            <w:pPr>
              <w:widowControl/>
              <w:autoSpaceDE/>
              <w:autoSpaceDN/>
              <w:adjustRightInd/>
              <w:rPr>
                <w:b/>
                <w:bCs/>
                <w:sz w:val="22"/>
                <w:szCs w:val="22"/>
              </w:rPr>
            </w:pPr>
            <w:r w:rsidRPr="00E259C0">
              <w:rPr>
                <w:b/>
                <w:bCs/>
                <w:sz w:val="22"/>
                <w:szCs w:val="22"/>
              </w:rPr>
              <w:t>Total (Subsequent Years)</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683D7A" w:rsidRPr="00E259C0" w:rsidP="00231DF5" w14:paraId="676A6398" w14:textId="048D3100">
            <w:pPr>
              <w:widowControl/>
              <w:autoSpaceDE/>
              <w:autoSpaceDN/>
              <w:adjustRightInd/>
              <w:jc w:val="center"/>
              <w:rPr>
                <w:b/>
                <w:bCs/>
                <w:sz w:val="22"/>
                <w:szCs w:val="22"/>
              </w:rPr>
            </w:pPr>
            <w:r>
              <w:rPr>
                <w:b/>
                <w:bCs/>
                <w:color w:val="000000"/>
                <w:sz w:val="22"/>
                <w:szCs w:val="22"/>
              </w:rPr>
              <w:t>180</w:t>
            </w:r>
          </w:p>
        </w:tc>
        <w:tc>
          <w:tcPr>
            <w:tcW w:w="1260" w:type="dxa"/>
            <w:tcBorders>
              <w:top w:val="single" w:sz="4" w:space="0" w:color="auto"/>
              <w:left w:val="nil"/>
              <w:bottom w:val="single" w:sz="4" w:space="0" w:color="auto"/>
              <w:right w:val="single" w:sz="4" w:space="0" w:color="auto"/>
            </w:tcBorders>
            <w:noWrap/>
            <w:vAlign w:val="center"/>
            <w:hideMark/>
          </w:tcPr>
          <w:p w:rsidR="00683D7A" w:rsidRPr="00E259C0" w:rsidP="00231DF5" w14:paraId="777B9E0D" w14:textId="2FB8811B">
            <w:pPr>
              <w:widowControl/>
              <w:autoSpaceDE/>
              <w:autoSpaceDN/>
              <w:adjustRightInd/>
              <w:jc w:val="center"/>
              <w:rPr>
                <w:b/>
                <w:bCs/>
                <w:sz w:val="22"/>
                <w:szCs w:val="22"/>
              </w:rPr>
            </w:pPr>
            <w:r>
              <w:rPr>
                <w:b/>
                <w:bCs/>
                <w:color w:val="000000"/>
                <w:sz w:val="22"/>
                <w:szCs w:val="22"/>
              </w:rPr>
              <w:t>-</w:t>
            </w:r>
          </w:p>
        </w:tc>
        <w:tc>
          <w:tcPr>
            <w:tcW w:w="990" w:type="dxa"/>
            <w:tcBorders>
              <w:top w:val="single" w:sz="4" w:space="0" w:color="auto"/>
              <w:left w:val="nil"/>
              <w:bottom w:val="single" w:sz="4" w:space="0" w:color="auto"/>
              <w:right w:val="single" w:sz="4" w:space="0" w:color="auto"/>
            </w:tcBorders>
            <w:noWrap/>
            <w:vAlign w:val="center"/>
            <w:hideMark/>
          </w:tcPr>
          <w:p w:rsidR="00683D7A" w:rsidRPr="00E259C0" w:rsidP="00231DF5" w14:paraId="5C6B3EC6" w14:textId="5FC8D2D4">
            <w:pPr>
              <w:widowControl/>
              <w:autoSpaceDE/>
              <w:autoSpaceDN/>
              <w:adjustRightInd/>
              <w:jc w:val="center"/>
              <w:rPr>
                <w:b/>
                <w:bCs/>
                <w:sz w:val="22"/>
                <w:szCs w:val="22"/>
              </w:rPr>
            </w:pPr>
            <w:r>
              <w:rPr>
                <w:b/>
                <w:bCs/>
                <w:color w:val="000000"/>
                <w:sz w:val="22"/>
                <w:szCs w:val="22"/>
              </w:rPr>
              <w:t>-</w:t>
            </w:r>
          </w:p>
        </w:tc>
        <w:tc>
          <w:tcPr>
            <w:tcW w:w="990" w:type="dxa"/>
            <w:tcBorders>
              <w:top w:val="single" w:sz="4" w:space="0" w:color="auto"/>
              <w:left w:val="nil"/>
              <w:bottom w:val="single" w:sz="4" w:space="0" w:color="auto"/>
              <w:right w:val="single" w:sz="4" w:space="0" w:color="auto"/>
            </w:tcBorders>
            <w:noWrap/>
            <w:vAlign w:val="center"/>
            <w:hideMark/>
          </w:tcPr>
          <w:p w:rsidR="00683D7A" w:rsidRPr="00E259C0" w:rsidP="00231DF5" w14:paraId="19541B0F" w14:textId="43791E19">
            <w:pPr>
              <w:widowControl/>
              <w:autoSpaceDE/>
              <w:autoSpaceDN/>
              <w:adjustRightInd/>
              <w:jc w:val="center"/>
              <w:rPr>
                <w:b/>
                <w:bCs/>
                <w:sz w:val="22"/>
                <w:szCs w:val="22"/>
              </w:rPr>
            </w:pPr>
            <w:r>
              <w:rPr>
                <w:b/>
                <w:bCs/>
                <w:color w:val="000000"/>
                <w:sz w:val="22"/>
                <w:szCs w:val="22"/>
              </w:rPr>
              <w:t>-</w:t>
            </w:r>
          </w:p>
        </w:tc>
        <w:tc>
          <w:tcPr>
            <w:tcW w:w="1350" w:type="dxa"/>
            <w:tcBorders>
              <w:top w:val="single" w:sz="4" w:space="0" w:color="auto"/>
              <w:left w:val="nil"/>
              <w:bottom w:val="single" w:sz="4" w:space="0" w:color="auto"/>
              <w:right w:val="single" w:sz="4" w:space="0" w:color="auto"/>
            </w:tcBorders>
            <w:noWrap/>
            <w:vAlign w:val="center"/>
            <w:hideMark/>
          </w:tcPr>
          <w:p w:rsidR="00683D7A" w:rsidRPr="00E259C0" w:rsidP="00231DF5" w14:paraId="4A9EBBDB" w14:textId="2B2336A5">
            <w:pPr>
              <w:widowControl/>
              <w:autoSpaceDE/>
              <w:autoSpaceDN/>
              <w:adjustRightInd/>
              <w:jc w:val="center"/>
              <w:rPr>
                <w:b/>
                <w:bCs/>
                <w:sz w:val="22"/>
                <w:szCs w:val="22"/>
              </w:rPr>
            </w:pPr>
            <w:r>
              <w:rPr>
                <w:b/>
                <w:bCs/>
                <w:color w:val="000000"/>
                <w:sz w:val="22"/>
                <w:szCs w:val="22"/>
              </w:rPr>
              <w:t>$54,050</w:t>
            </w:r>
          </w:p>
        </w:tc>
      </w:tr>
      <w:tr w14:paraId="3882FCDA" w14:textId="77777777" w:rsidTr="00231DF5">
        <w:tblPrEx>
          <w:tblW w:w="9720" w:type="dxa"/>
          <w:tblInd w:w="170" w:type="dxa"/>
          <w:tblLook w:val="04A0"/>
        </w:tblPrEx>
        <w:trPr>
          <w:trHeight w:val="300"/>
        </w:trPr>
        <w:tc>
          <w:tcPr>
            <w:tcW w:w="3780" w:type="dxa"/>
            <w:tcBorders>
              <w:top w:val="single" w:sz="4" w:space="0" w:color="auto"/>
              <w:left w:val="single" w:sz="4" w:space="0" w:color="auto"/>
              <w:bottom w:val="single" w:sz="4" w:space="0" w:color="auto"/>
              <w:right w:val="single" w:sz="4" w:space="0" w:color="auto"/>
            </w:tcBorders>
            <w:noWrap/>
            <w:vAlign w:val="center"/>
            <w:hideMark/>
          </w:tcPr>
          <w:p w:rsidR="00683D7A" w:rsidRPr="00E259C0" w:rsidP="00683D7A" w14:paraId="0E3247D1" w14:textId="77777777">
            <w:pPr>
              <w:widowControl/>
              <w:autoSpaceDE/>
              <w:autoSpaceDN/>
              <w:adjustRightInd/>
              <w:rPr>
                <w:b/>
                <w:bCs/>
                <w:sz w:val="22"/>
                <w:szCs w:val="22"/>
              </w:rPr>
            </w:pPr>
            <w:r w:rsidRPr="00E259C0">
              <w:rPr>
                <w:b/>
                <w:bCs/>
                <w:sz w:val="22"/>
                <w:szCs w:val="22"/>
              </w:rPr>
              <w:t>Total (Three-Year Average)</w:t>
            </w:r>
          </w:p>
        </w:tc>
        <w:tc>
          <w:tcPr>
            <w:tcW w:w="1350" w:type="dxa"/>
            <w:tcBorders>
              <w:top w:val="nil"/>
              <w:left w:val="single" w:sz="4" w:space="0" w:color="auto"/>
              <w:bottom w:val="single" w:sz="4" w:space="0" w:color="auto"/>
              <w:right w:val="single" w:sz="4" w:space="0" w:color="auto"/>
            </w:tcBorders>
            <w:noWrap/>
            <w:vAlign w:val="center"/>
            <w:hideMark/>
          </w:tcPr>
          <w:p w:rsidR="00683D7A" w:rsidRPr="00E259C0" w:rsidP="00231DF5" w14:paraId="39F9CCCE" w14:textId="30D3921A">
            <w:pPr>
              <w:widowControl/>
              <w:autoSpaceDE/>
              <w:autoSpaceDN/>
              <w:adjustRightInd/>
              <w:jc w:val="center"/>
              <w:rPr>
                <w:b/>
                <w:bCs/>
                <w:sz w:val="22"/>
                <w:szCs w:val="22"/>
              </w:rPr>
            </w:pPr>
            <w:r>
              <w:rPr>
                <w:b/>
                <w:bCs/>
                <w:color w:val="000000"/>
                <w:sz w:val="22"/>
                <w:szCs w:val="22"/>
              </w:rPr>
              <w:t>183</w:t>
            </w:r>
          </w:p>
        </w:tc>
        <w:tc>
          <w:tcPr>
            <w:tcW w:w="1260" w:type="dxa"/>
            <w:tcBorders>
              <w:top w:val="nil"/>
              <w:left w:val="nil"/>
              <w:bottom w:val="single" w:sz="4" w:space="0" w:color="auto"/>
              <w:right w:val="single" w:sz="4" w:space="0" w:color="auto"/>
            </w:tcBorders>
            <w:noWrap/>
            <w:vAlign w:val="center"/>
            <w:hideMark/>
          </w:tcPr>
          <w:p w:rsidR="00683D7A" w:rsidRPr="00E259C0" w:rsidP="00231DF5" w14:paraId="3F32D74C" w14:textId="5EF9A609">
            <w:pPr>
              <w:widowControl/>
              <w:autoSpaceDE/>
              <w:autoSpaceDN/>
              <w:adjustRightInd/>
              <w:jc w:val="center"/>
              <w:rPr>
                <w:b/>
                <w:bCs/>
                <w:sz w:val="22"/>
                <w:szCs w:val="22"/>
              </w:rPr>
            </w:pPr>
            <w:r>
              <w:rPr>
                <w:b/>
                <w:bCs/>
                <w:color w:val="000000"/>
                <w:sz w:val="22"/>
                <w:szCs w:val="22"/>
              </w:rPr>
              <w:t>-</w:t>
            </w:r>
          </w:p>
        </w:tc>
        <w:tc>
          <w:tcPr>
            <w:tcW w:w="990" w:type="dxa"/>
            <w:tcBorders>
              <w:top w:val="nil"/>
              <w:left w:val="nil"/>
              <w:bottom w:val="single" w:sz="4" w:space="0" w:color="auto"/>
              <w:right w:val="single" w:sz="4" w:space="0" w:color="auto"/>
            </w:tcBorders>
            <w:noWrap/>
            <w:vAlign w:val="center"/>
            <w:hideMark/>
          </w:tcPr>
          <w:p w:rsidR="00683D7A" w:rsidRPr="00E259C0" w:rsidP="00231DF5" w14:paraId="1C7A5DFF" w14:textId="4676BFAE">
            <w:pPr>
              <w:widowControl/>
              <w:autoSpaceDE/>
              <w:autoSpaceDN/>
              <w:adjustRightInd/>
              <w:jc w:val="center"/>
              <w:rPr>
                <w:b/>
                <w:bCs/>
                <w:sz w:val="22"/>
                <w:szCs w:val="22"/>
              </w:rPr>
            </w:pPr>
            <w:r>
              <w:rPr>
                <w:b/>
                <w:bCs/>
                <w:color w:val="000000"/>
                <w:sz w:val="22"/>
                <w:szCs w:val="22"/>
              </w:rPr>
              <w:t>-</w:t>
            </w:r>
          </w:p>
        </w:tc>
        <w:tc>
          <w:tcPr>
            <w:tcW w:w="990" w:type="dxa"/>
            <w:tcBorders>
              <w:top w:val="nil"/>
              <w:left w:val="nil"/>
              <w:bottom w:val="single" w:sz="4" w:space="0" w:color="auto"/>
              <w:right w:val="single" w:sz="4" w:space="0" w:color="auto"/>
            </w:tcBorders>
            <w:noWrap/>
            <w:vAlign w:val="center"/>
            <w:hideMark/>
          </w:tcPr>
          <w:p w:rsidR="00683D7A" w:rsidRPr="00E259C0" w:rsidP="00231DF5" w14:paraId="1D74BBE2" w14:textId="3EBF72F9">
            <w:pPr>
              <w:widowControl/>
              <w:autoSpaceDE/>
              <w:autoSpaceDN/>
              <w:adjustRightInd/>
              <w:jc w:val="center"/>
              <w:rPr>
                <w:b/>
                <w:bCs/>
                <w:sz w:val="22"/>
                <w:szCs w:val="22"/>
              </w:rPr>
            </w:pPr>
            <w:r>
              <w:rPr>
                <w:b/>
                <w:bCs/>
                <w:color w:val="000000"/>
                <w:sz w:val="22"/>
                <w:szCs w:val="22"/>
              </w:rPr>
              <w:t>-</w:t>
            </w:r>
          </w:p>
        </w:tc>
        <w:tc>
          <w:tcPr>
            <w:tcW w:w="1350" w:type="dxa"/>
            <w:tcBorders>
              <w:top w:val="nil"/>
              <w:left w:val="nil"/>
              <w:bottom w:val="single" w:sz="4" w:space="0" w:color="auto"/>
              <w:right w:val="single" w:sz="4" w:space="0" w:color="auto"/>
            </w:tcBorders>
            <w:noWrap/>
            <w:vAlign w:val="center"/>
            <w:hideMark/>
          </w:tcPr>
          <w:p w:rsidR="00683D7A" w:rsidRPr="00E259C0" w:rsidP="00231DF5" w14:paraId="22588214" w14:textId="16EB6616">
            <w:pPr>
              <w:widowControl/>
              <w:autoSpaceDE/>
              <w:autoSpaceDN/>
              <w:adjustRightInd/>
              <w:jc w:val="center"/>
              <w:rPr>
                <w:b/>
                <w:bCs/>
                <w:sz w:val="22"/>
                <w:szCs w:val="22"/>
              </w:rPr>
            </w:pPr>
            <w:r>
              <w:rPr>
                <w:b/>
                <w:bCs/>
                <w:color w:val="000000"/>
                <w:sz w:val="22"/>
                <w:szCs w:val="22"/>
              </w:rPr>
              <w:t>$58,030</w:t>
            </w:r>
          </w:p>
        </w:tc>
      </w:tr>
    </w:tbl>
    <w:p w:rsidR="009B3C7D" w:rsidRPr="00E259C0" w:rsidP="009B3C7D" w14:paraId="58110DC4" w14:textId="692D20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13FBE" w:rsidRPr="00E259C0" w:rsidP="00F13FBE" w14:paraId="53CED7E3" w14:textId="7C509B4D">
      <w:pPr>
        <w:ind w:left="720"/>
        <w:rPr>
          <w:b/>
          <w:i/>
          <w:u w:val="single"/>
        </w:rPr>
      </w:pPr>
      <w:r w:rsidRPr="00E259C0">
        <w:rPr>
          <w:b/>
          <w:i/>
          <w:u w:val="single"/>
        </w:rPr>
        <w:t>Total Cost Burden Summary</w:t>
      </w:r>
    </w:p>
    <w:p w:rsidR="00F13FBE" w:rsidRPr="00E259C0" w:rsidP="002470EC" w14:paraId="0B8C9EB6" w14:textId="77777777"/>
    <w:p w:rsidR="009F6E26" w:rsidRPr="00E259C0" w:rsidP="00776416" w14:paraId="2CF44689" w14:textId="7072078F">
      <w:pPr>
        <w:ind w:left="720"/>
      </w:pPr>
      <w:r w:rsidRPr="00512D44">
        <w:t xml:space="preserve">As the Departments and OPM share jurisdiction, DOL </w:t>
      </w:r>
      <w:r w:rsidR="00AD43AE">
        <w:t xml:space="preserve">will </w:t>
      </w:r>
      <w:r w:rsidRPr="00512D44">
        <w:t xml:space="preserve">account for 25 percent of the </w:t>
      </w:r>
      <w:r>
        <w:t xml:space="preserve">cost </w:t>
      </w:r>
      <w:r w:rsidRPr="00512D44">
        <w:t xml:space="preserve">burden. </w:t>
      </w:r>
      <w:r w:rsidRPr="00E259C0">
        <w:t>Please see Table 1</w:t>
      </w:r>
      <w:r>
        <w:t>1</w:t>
      </w:r>
      <w:r w:rsidRPr="00E259C0">
        <w:t xml:space="preserve"> for burden totals. </w:t>
      </w:r>
    </w:p>
    <w:p w:rsidR="009F6E26" w:rsidRPr="00E259C0" w:rsidP="00063DD4" w14:paraId="47C7697B" w14:textId="72EA123E">
      <w:pPr>
        <w:pStyle w:val="HeadingStyle"/>
        <w:ind w:firstLine="0"/>
        <w:rPr>
          <w:rFonts w:ascii="Times New Roman" w:hAnsi="Times New Roman" w:cs="Times New Roman"/>
          <w:b w:val="0"/>
          <w:bCs w:val="0"/>
          <w:color w:val="auto"/>
        </w:rPr>
      </w:pPr>
      <w:r w:rsidRPr="00E259C0">
        <w:rPr>
          <w:rFonts w:ascii="Times New Roman" w:hAnsi="Times New Roman" w:cs="Times New Roman"/>
          <w:color w:val="auto"/>
        </w:rPr>
        <w:t xml:space="preserve">Table </w:t>
      </w:r>
      <w:r w:rsidRPr="00E259C0" w:rsidR="00897B33">
        <w:rPr>
          <w:rFonts w:ascii="Times New Roman" w:hAnsi="Times New Roman" w:cs="Times New Roman"/>
          <w:color w:val="auto"/>
        </w:rPr>
        <w:t>1</w:t>
      </w:r>
      <w:r w:rsidR="00926AA6">
        <w:rPr>
          <w:rFonts w:ascii="Times New Roman" w:hAnsi="Times New Roman" w:cs="Times New Roman"/>
          <w:color w:val="auto"/>
        </w:rPr>
        <w:t>1</w:t>
      </w:r>
      <w:r w:rsidRPr="00E259C0">
        <w:rPr>
          <w:rFonts w:ascii="Times New Roman" w:hAnsi="Times New Roman" w:cs="Times New Roman"/>
          <w:color w:val="auto"/>
        </w:rPr>
        <w:t>. Total Cost Burden</w:t>
      </w:r>
    </w:p>
    <w:p w:rsidR="009F13ED" w:rsidRPr="00E259C0" w:rsidP="00F13FBE" w14:paraId="7C319E47" w14:textId="77777777">
      <w:pPr>
        <w:ind w:left="720"/>
      </w:pPr>
    </w:p>
    <w:tbl>
      <w:tblPr>
        <w:tblW w:w="9630" w:type="dxa"/>
        <w:tblInd w:w="170" w:type="dxa"/>
        <w:tblLook w:val="04A0"/>
      </w:tblPr>
      <w:tblGrid>
        <w:gridCol w:w="6030"/>
        <w:gridCol w:w="1710"/>
        <w:gridCol w:w="1890"/>
      </w:tblGrid>
      <w:tr w14:paraId="798DE6DD" w14:textId="77777777" w:rsidTr="00D5258D">
        <w:tblPrEx>
          <w:tblW w:w="9630" w:type="dxa"/>
          <w:tblInd w:w="170" w:type="dxa"/>
          <w:tblLook w:val="04A0"/>
        </w:tblPrEx>
        <w:trPr>
          <w:trHeight w:val="494"/>
        </w:trPr>
        <w:tc>
          <w:tcPr>
            <w:tcW w:w="6030" w:type="dxa"/>
            <w:tcBorders>
              <w:top w:val="single" w:sz="4" w:space="0" w:color="auto"/>
              <w:left w:val="single" w:sz="4" w:space="0" w:color="auto"/>
              <w:bottom w:val="single" w:sz="4" w:space="0" w:color="auto"/>
              <w:right w:val="single" w:sz="4" w:space="0" w:color="auto"/>
            </w:tcBorders>
            <w:noWrap/>
            <w:vAlign w:val="center"/>
            <w:hideMark/>
          </w:tcPr>
          <w:p w:rsidR="004D0368" w:rsidRPr="00E259C0" w:rsidP="009F6E26" w14:paraId="679CC55D" w14:textId="77777777">
            <w:pPr>
              <w:widowControl/>
              <w:autoSpaceDE/>
              <w:autoSpaceDN/>
              <w:adjustRightInd/>
              <w:rPr>
                <w:sz w:val="22"/>
                <w:szCs w:val="22"/>
              </w:rPr>
            </w:pPr>
            <w:r w:rsidRPr="00E259C0">
              <w:rPr>
                <w:sz w:val="22"/>
                <w:szCs w:val="22"/>
              </w:rPr>
              <w:t> </w:t>
            </w:r>
          </w:p>
        </w:tc>
        <w:tc>
          <w:tcPr>
            <w:tcW w:w="1710" w:type="dxa"/>
            <w:tcBorders>
              <w:top w:val="single" w:sz="4" w:space="0" w:color="auto"/>
              <w:left w:val="single" w:sz="4" w:space="0" w:color="auto"/>
              <w:bottom w:val="single" w:sz="4" w:space="0" w:color="auto"/>
              <w:right w:val="single" w:sz="4" w:space="0" w:color="auto"/>
            </w:tcBorders>
            <w:vAlign w:val="center"/>
            <w:hideMark/>
          </w:tcPr>
          <w:p w:rsidR="004D0368" w:rsidRPr="00E259C0" w:rsidP="009F6E26" w14:paraId="044C6485" w14:textId="77777777">
            <w:pPr>
              <w:widowControl/>
              <w:autoSpaceDE/>
              <w:autoSpaceDN/>
              <w:adjustRightInd/>
              <w:jc w:val="center"/>
              <w:rPr>
                <w:b/>
                <w:bCs/>
                <w:sz w:val="22"/>
                <w:szCs w:val="22"/>
              </w:rPr>
            </w:pPr>
            <w:r w:rsidRPr="00E259C0">
              <w:rPr>
                <w:b/>
                <w:bCs/>
                <w:sz w:val="22"/>
                <w:szCs w:val="22"/>
              </w:rPr>
              <w:t>Total for All Agencies</w:t>
            </w:r>
          </w:p>
        </w:tc>
        <w:tc>
          <w:tcPr>
            <w:tcW w:w="1890" w:type="dxa"/>
            <w:tcBorders>
              <w:top w:val="single" w:sz="4" w:space="0" w:color="auto"/>
              <w:left w:val="single" w:sz="4" w:space="0" w:color="auto"/>
              <w:bottom w:val="single" w:sz="4" w:space="0" w:color="auto"/>
              <w:right w:val="single" w:sz="4" w:space="0" w:color="auto"/>
            </w:tcBorders>
            <w:vAlign w:val="center"/>
            <w:hideMark/>
          </w:tcPr>
          <w:p w:rsidR="004D0368" w:rsidRPr="00E259C0" w:rsidP="009F6E26" w14:paraId="01B8ECBB" w14:textId="77777777">
            <w:pPr>
              <w:widowControl/>
              <w:autoSpaceDE/>
              <w:autoSpaceDN/>
              <w:adjustRightInd/>
              <w:jc w:val="center"/>
              <w:rPr>
                <w:b/>
                <w:bCs/>
                <w:sz w:val="22"/>
                <w:szCs w:val="22"/>
              </w:rPr>
            </w:pPr>
            <w:r w:rsidRPr="00E259C0">
              <w:rPr>
                <w:b/>
                <w:bCs/>
                <w:sz w:val="22"/>
                <w:szCs w:val="22"/>
              </w:rPr>
              <w:t>DOL Total</w:t>
            </w:r>
          </w:p>
        </w:tc>
      </w:tr>
      <w:tr w14:paraId="747B242C" w14:textId="77777777" w:rsidTr="00775D3F">
        <w:tblPrEx>
          <w:tblW w:w="9630" w:type="dxa"/>
          <w:tblInd w:w="170" w:type="dxa"/>
          <w:tblLook w:val="04A0"/>
        </w:tblPrEx>
        <w:trPr>
          <w:trHeight w:val="300"/>
        </w:trPr>
        <w:tc>
          <w:tcPr>
            <w:tcW w:w="6030" w:type="dxa"/>
            <w:tcBorders>
              <w:top w:val="single" w:sz="4" w:space="0" w:color="auto"/>
              <w:left w:val="single" w:sz="4" w:space="0" w:color="auto"/>
              <w:bottom w:val="single" w:sz="4" w:space="0" w:color="auto"/>
              <w:right w:val="single" w:sz="4" w:space="0" w:color="auto"/>
            </w:tcBorders>
            <w:vAlign w:val="center"/>
            <w:hideMark/>
          </w:tcPr>
          <w:p w:rsidR="001A6E3C" w:rsidRPr="00E259C0" w:rsidP="001A6E3C" w14:paraId="53DEA239" w14:textId="77777777">
            <w:pPr>
              <w:widowControl/>
              <w:autoSpaceDE/>
              <w:autoSpaceDN/>
              <w:adjustRightInd/>
              <w:rPr>
                <w:sz w:val="22"/>
                <w:szCs w:val="22"/>
              </w:rPr>
            </w:pPr>
            <w:r w:rsidRPr="00E259C0">
              <w:rPr>
                <w:sz w:val="22"/>
                <w:szCs w:val="22"/>
              </w:rPr>
              <w:t>Total Cost Burden (First Year)</w:t>
            </w:r>
          </w:p>
        </w:tc>
        <w:tc>
          <w:tcPr>
            <w:tcW w:w="1710" w:type="dxa"/>
            <w:tcBorders>
              <w:top w:val="single" w:sz="4" w:space="0" w:color="auto"/>
              <w:left w:val="single" w:sz="4" w:space="0" w:color="auto"/>
              <w:bottom w:val="single" w:sz="4" w:space="0" w:color="auto"/>
              <w:right w:val="single" w:sz="4" w:space="0" w:color="auto"/>
            </w:tcBorders>
            <w:vAlign w:val="center"/>
            <w:hideMark/>
          </w:tcPr>
          <w:p w:rsidR="001A6E3C" w:rsidRPr="00E259C0" w:rsidP="001A6E3C" w14:paraId="1F023AF4" w14:textId="48096988">
            <w:pPr>
              <w:widowControl/>
              <w:autoSpaceDE/>
              <w:autoSpaceDN/>
              <w:adjustRightInd/>
              <w:jc w:val="center"/>
              <w:rPr>
                <w:sz w:val="22"/>
                <w:szCs w:val="22"/>
              </w:rPr>
            </w:pPr>
            <w:r>
              <w:rPr>
                <w:color w:val="000000"/>
                <w:sz w:val="22"/>
                <w:szCs w:val="22"/>
              </w:rPr>
              <w:t>$316,117,322</w:t>
            </w:r>
          </w:p>
        </w:tc>
        <w:tc>
          <w:tcPr>
            <w:tcW w:w="1890" w:type="dxa"/>
            <w:tcBorders>
              <w:top w:val="single" w:sz="4" w:space="0" w:color="auto"/>
              <w:left w:val="nil"/>
              <w:bottom w:val="single" w:sz="4" w:space="0" w:color="auto"/>
              <w:right w:val="single" w:sz="4" w:space="0" w:color="auto"/>
            </w:tcBorders>
            <w:vAlign w:val="center"/>
            <w:hideMark/>
          </w:tcPr>
          <w:p w:rsidR="001A6E3C" w:rsidRPr="00E259C0" w:rsidP="001A6E3C" w14:paraId="339C58BD" w14:textId="3B7A5D97">
            <w:pPr>
              <w:widowControl/>
              <w:autoSpaceDE/>
              <w:autoSpaceDN/>
              <w:adjustRightInd/>
              <w:jc w:val="center"/>
              <w:rPr>
                <w:sz w:val="22"/>
                <w:szCs w:val="22"/>
              </w:rPr>
            </w:pPr>
            <w:r>
              <w:rPr>
                <w:color w:val="000000"/>
                <w:sz w:val="22"/>
                <w:szCs w:val="22"/>
              </w:rPr>
              <w:t>$78,909,273</w:t>
            </w:r>
          </w:p>
        </w:tc>
      </w:tr>
      <w:tr w14:paraId="0B058D54" w14:textId="77777777" w:rsidTr="00775D3F">
        <w:tblPrEx>
          <w:tblW w:w="9630" w:type="dxa"/>
          <w:tblInd w:w="170" w:type="dxa"/>
          <w:tblLook w:val="04A0"/>
        </w:tblPrEx>
        <w:trPr>
          <w:trHeight w:val="300"/>
        </w:trPr>
        <w:tc>
          <w:tcPr>
            <w:tcW w:w="6030" w:type="dxa"/>
            <w:tcBorders>
              <w:top w:val="single" w:sz="4" w:space="0" w:color="auto"/>
              <w:left w:val="single" w:sz="4" w:space="0" w:color="auto"/>
              <w:bottom w:val="single" w:sz="4" w:space="0" w:color="auto"/>
              <w:right w:val="single" w:sz="4" w:space="0" w:color="auto"/>
            </w:tcBorders>
            <w:vAlign w:val="center"/>
            <w:hideMark/>
          </w:tcPr>
          <w:p w:rsidR="001A6E3C" w:rsidRPr="00E259C0" w:rsidP="001A6E3C" w14:paraId="3327B3AE" w14:textId="77777777">
            <w:pPr>
              <w:widowControl/>
              <w:autoSpaceDE/>
              <w:autoSpaceDN/>
              <w:adjustRightInd/>
              <w:rPr>
                <w:sz w:val="22"/>
                <w:szCs w:val="22"/>
              </w:rPr>
            </w:pPr>
            <w:r w:rsidRPr="00E259C0">
              <w:rPr>
                <w:sz w:val="22"/>
                <w:szCs w:val="22"/>
              </w:rPr>
              <w:t>Total Cost Burden (Subsequent Years)</w:t>
            </w:r>
          </w:p>
        </w:tc>
        <w:tc>
          <w:tcPr>
            <w:tcW w:w="1710" w:type="dxa"/>
            <w:tcBorders>
              <w:top w:val="nil"/>
              <w:left w:val="single" w:sz="4" w:space="0" w:color="auto"/>
              <w:bottom w:val="double" w:sz="6" w:space="0" w:color="auto"/>
              <w:right w:val="single" w:sz="4" w:space="0" w:color="auto"/>
            </w:tcBorders>
            <w:noWrap/>
            <w:vAlign w:val="center"/>
            <w:hideMark/>
          </w:tcPr>
          <w:p w:rsidR="001A6E3C" w:rsidRPr="00E259C0" w:rsidP="001A6E3C" w14:paraId="1524F241" w14:textId="24A9DA74">
            <w:pPr>
              <w:widowControl/>
              <w:autoSpaceDE/>
              <w:autoSpaceDN/>
              <w:adjustRightInd/>
              <w:jc w:val="center"/>
              <w:rPr>
                <w:sz w:val="22"/>
                <w:szCs w:val="22"/>
              </w:rPr>
            </w:pPr>
            <w:r>
              <w:rPr>
                <w:color w:val="000000"/>
                <w:sz w:val="22"/>
                <w:szCs w:val="22"/>
              </w:rPr>
              <w:t>$316,105,379</w:t>
            </w:r>
          </w:p>
        </w:tc>
        <w:tc>
          <w:tcPr>
            <w:tcW w:w="1890" w:type="dxa"/>
            <w:tcBorders>
              <w:top w:val="nil"/>
              <w:left w:val="nil"/>
              <w:bottom w:val="double" w:sz="6" w:space="0" w:color="auto"/>
              <w:right w:val="single" w:sz="4" w:space="0" w:color="auto"/>
            </w:tcBorders>
            <w:noWrap/>
            <w:vAlign w:val="center"/>
            <w:hideMark/>
          </w:tcPr>
          <w:p w:rsidR="001A6E3C" w:rsidRPr="00E259C0" w:rsidP="001A6E3C" w14:paraId="456E6B80" w14:textId="4632B3E2">
            <w:pPr>
              <w:widowControl/>
              <w:autoSpaceDE/>
              <w:autoSpaceDN/>
              <w:adjustRightInd/>
              <w:jc w:val="center"/>
              <w:rPr>
                <w:sz w:val="22"/>
                <w:szCs w:val="22"/>
              </w:rPr>
            </w:pPr>
            <w:r>
              <w:rPr>
                <w:color w:val="000000"/>
                <w:sz w:val="22"/>
                <w:szCs w:val="22"/>
              </w:rPr>
              <w:t>$78,906,287</w:t>
            </w:r>
          </w:p>
        </w:tc>
      </w:tr>
      <w:tr w14:paraId="0981AF0D" w14:textId="77777777">
        <w:tblPrEx>
          <w:tblW w:w="9630" w:type="dxa"/>
          <w:tblInd w:w="170" w:type="dxa"/>
          <w:tblLook w:val="04A0"/>
        </w:tblPrEx>
        <w:trPr>
          <w:trHeight w:val="303"/>
        </w:trPr>
        <w:tc>
          <w:tcPr>
            <w:tcW w:w="6030" w:type="dxa"/>
            <w:tcBorders>
              <w:top w:val="single" w:sz="4" w:space="0" w:color="auto"/>
              <w:left w:val="single" w:sz="4" w:space="0" w:color="auto"/>
              <w:bottom w:val="single" w:sz="4" w:space="0" w:color="auto"/>
              <w:right w:val="single" w:sz="4" w:space="0" w:color="auto"/>
            </w:tcBorders>
            <w:vAlign w:val="center"/>
            <w:hideMark/>
          </w:tcPr>
          <w:p w:rsidR="001A6E3C" w:rsidRPr="00E259C0" w:rsidP="001A6E3C" w14:paraId="6F0B7580" w14:textId="77777777">
            <w:pPr>
              <w:widowControl/>
              <w:autoSpaceDE/>
              <w:autoSpaceDN/>
              <w:adjustRightInd/>
              <w:rPr>
                <w:b/>
                <w:bCs/>
                <w:sz w:val="22"/>
                <w:szCs w:val="22"/>
              </w:rPr>
            </w:pPr>
            <w:r w:rsidRPr="00E259C0">
              <w:rPr>
                <w:b/>
                <w:bCs/>
                <w:sz w:val="22"/>
                <w:szCs w:val="22"/>
              </w:rPr>
              <w:t>Total Cost Burden (Three-Year Average)</w:t>
            </w:r>
          </w:p>
        </w:tc>
        <w:tc>
          <w:tcPr>
            <w:tcW w:w="1710" w:type="dxa"/>
            <w:tcBorders>
              <w:top w:val="nil"/>
              <w:left w:val="single" w:sz="4" w:space="0" w:color="auto"/>
              <w:bottom w:val="single" w:sz="4" w:space="0" w:color="auto"/>
              <w:right w:val="single" w:sz="4" w:space="0" w:color="auto"/>
            </w:tcBorders>
            <w:noWrap/>
            <w:vAlign w:val="center"/>
            <w:hideMark/>
          </w:tcPr>
          <w:p w:rsidR="001A6E3C" w:rsidRPr="00141BAF" w:rsidP="001A6E3C" w14:paraId="25A7B33A" w14:textId="032956A6">
            <w:pPr>
              <w:widowControl/>
              <w:autoSpaceDE/>
              <w:autoSpaceDN/>
              <w:adjustRightInd/>
              <w:jc w:val="center"/>
              <w:rPr>
                <w:b/>
                <w:bCs/>
                <w:sz w:val="22"/>
                <w:szCs w:val="22"/>
              </w:rPr>
            </w:pPr>
            <w:r>
              <w:rPr>
                <w:b/>
                <w:bCs/>
                <w:color w:val="000000"/>
                <w:sz w:val="22"/>
                <w:szCs w:val="22"/>
              </w:rPr>
              <w:t>$316,109,360</w:t>
            </w:r>
          </w:p>
        </w:tc>
        <w:tc>
          <w:tcPr>
            <w:tcW w:w="1890" w:type="dxa"/>
            <w:tcBorders>
              <w:top w:val="nil"/>
              <w:left w:val="nil"/>
              <w:bottom w:val="single" w:sz="4" w:space="0" w:color="auto"/>
              <w:right w:val="single" w:sz="4" w:space="0" w:color="auto"/>
            </w:tcBorders>
            <w:noWrap/>
            <w:vAlign w:val="center"/>
            <w:hideMark/>
          </w:tcPr>
          <w:p w:rsidR="001A6E3C" w:rsidRPr="00141BAF" w:rsidP="001A6E3C" w14:paraId="2D937823" w14:textId="6D1F7BD2">
            <w:pPr>
              <w:widowControl/>
              <w:autoSpaceDE/>
              <w:autoSpaceDN/>
              <w:adjustRightInd/>
              <w:jc w:val="center"/>
              <w:rPr>
                <w:b/>
                <w:bCs/>
                <w:sz w:val="22"/>
                <w:szCs w:val="22"/>
              </w:rPr>
            </w:pPr>
            <w:r>
              <w:rPr>
                <w:b/>
                <w:bCs/>
                <w:color w:val="000000"/>
                <w:sz w:val="22"/>
                <w:szCs w:val="22"/>
              </w:rPr>
              <w:t>$78,907,28</w:t>
            </w:r>
            <w:r w:rsidR="00E33A25">
              <w:rPr>
                <w:b/>
                <w:bCs/>
                <w:color w:val="000000"/>
                <w:sz w:val="22"/>
                <w:szCs w:val="22"/>
              </w:rPr>
              <w:t>2</w:t>
            </w:r>
          </w:p>
        </w:tc>
      </w:tr>
    </w:tbl>
    <w:p w:rsidR="00FC2F3E" w:rsidRPr="00E259C0" w:rsidP="005212ED" w14:paraId="26D532D5" w14:textId="51D61C66">
      <w:pPr>
        <w:pStyle w:val="HeadingStyle"/>
        <w:rPr>
          <w:rFonts w:ascii="Times New Roman" w:hAnsi="Times New Roman" w:cs="Times New Roman"/>
          <w:b w:val="0"/>
          <w:iCs/>
          <w:color w:val="auto"/>
        </w:rPr>
      </w:pPr>
      <w:r w:rsidRPr="00E259C0">
        <w:rPr>
          <w:rFonts w:ascii="Times New Roman" w:hAnsi="Times New Roman" w:cs="Times New Roman"/>
          <w:color w:val="auto"/>
        </w:rPr>
        <w:t>14.</w:t>
      </w:r>
      <w:r w:rsidRPr="00E259C0">
        <w:rPr>
          <w:rFonts w:ascii="Times New Roman" w:hAnsi="Times New Roman" w:cs="Times New Roman"/>
          <w:color w:val="auto"/>
        </w:rPr>
        <w:tab/>
      </w:r>
      <w:r w:rsidRPr="00361A8B">
        <w:rPr>
          <w:rFonts w:ascii="Times New Roman" w:hAnsi="Times New Roman" w:cs="Times New Roman"/>
          <w:bCs w:val="0"/>
          <w:iCs/>
          <w:color w:val="auto"/>
        </w:rPr>
        <w:t>Provide estimates of annualized cost to the Federal government.</w:t>
      </w:r>
      <w:r w:rsidR="00263C28">
        <w:rPr>
          <w:rFonts w:ascii="Times New Roman" w:hAnsi="Times New Roman" w:cs="Times New Roman"/>
          <w:bCs w:val="0"/>
          <w:iCs/>
          <w:color w:val="auto"/>
        </w:rPr>
        <w:t xml:space="preserve"> </w:t>
      </w:r>
      <w:r w:rsidRPr="00361A8B">
        <w:rPr>
          <w:rFonts w:ascii="Times New Roman" w:hAnsi="Times New Roman" w:cs="Times New Roman"/>
          <w:bCs w:val="0"/>
          <w:iCs/>
          <w:color w:val="auto"/>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263C28">
        <w:rPr>
          <w:rFonts w:ascii="Times New Roman" w:hAnsi="Times New Roman" w:cs="Times New Roman"/>
          <w:bCs w:val="0"/>
          <w:iCs/>
          <w:color w:val="auto"/>
        </w:rPr>
        <w:t xml:space="preserve"> </w:t>
      </w:r>
      <w:r w:rsidRPr="00361A8B">
        <w:rPr>
          <w:rFonts w:ascii="Times New Roman" w:hAnsi="Times New Roman" w:cs="Times New Roman"/>
          <w:bCs w:val="0"/>
          <w:iCs/>
          <w:color w:val="auto"/>
        </w:rPr>
        <w:t>Agencies also may aggregate cost estimates from Items 12, 13, and 14 in a single table.</w:t>
      </w:r>
    </w:p>
    <w:p w:rsidR="00EC32AF" w:rsidRPr="00E259C0" w:rsidP="005315D8" w14:paraId="5C0BDB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Cs/>
        </w:rPr>
      </w:pPr>
      <w:r w:rsidRPr="00E259C0">
        <w:rPr>
          <w:iCs/>
        </w:rPr>
        <w:tab/>
      </w:r>
    </w:p>
    <w:p w:rsidR="00043562" w:rsidRPr="00E259C0" w:rsidP="00063DD4" w14:paraId="56B41AD1" w14:textId="241F06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E259C0">
        <w:rPr>
          <w:iCs/>
        </w:rPr>
        <w:tab/>
      </w:r>
      <w:r w:rsidRPr="00E259C0" w:rsidR="00336704">
        <w:t xml:space="preserve">The </w:t>
      </w:r>
      <w:r w:rsidRPr="00E259C0" w:rsidR="00CE1670">
        <w:t>F</w:t>
      </w:r>
      <w:r w:rsidRPr="00E259C0" w:rsidR="00336704">
        <w:t xml:space="preserve">ederal government will incur costs to build and maintain the </w:t>
      </w:r>
      <w:r w:rsidRPr="00E259C0" w:rsidR="00CD75F4">
        <w:t>F</w:t>
      </w:r>
      <w:r w:rsidRPr="00E259C0" w:rsidR="00336704">
        <w:t>ederal IDR portal</w:t>
      </w:r>
      <w:r w:rsidRPr="00E259C0" w:rsidR="00C7617C">
        <w:t>,</w:t>
      </w:r>
      <w:r w:rsidRPr="00E259C0" w:rsidR="00313B9A">
        <w:t xml:space="preserve"> to </w:t>
      </w:r>
      <w:r w:rsidRPr="00E259C0" w:rsidR="00E501F5">
        <w:t>employ</w:t>
      </w:r>
      <w:r w:rsidRPr="00E259C0" w:rsidR="00440822">
        <w:t xml:space="preserve"> a contractor to assist with eligibility determinations,</w:t>
      </w:r>
      <w:r w:rsidRPr="00E259C0" w:rsidR="00336704">
        <w:t xml:space="preserve"> and to implement and administer the </w:t>
      </w:r>
      <w:r w:rsidRPr="00E259C0" w:rsidR="0046398A">
        <w:t>Federal IDR</w:t>
      </w:r>
      <w:r w:rsidRPr="00E259C0" w:rsidR="00336704">
        <w:t xml:space="preserve"> process.</w:t>
      </w:r>
      <w:r w:rsidR="00263C28">
        <w:t xml:space="preserve"> </w:t>
      </w:r>
      <w:r w:rsidRPr="00E259C0" w:rsidR="00336704">
        <w:t>The</w:t>
      </w:r>
      <w:r w:rsidRPr="00E259C0" w:rsidR="00AD3896">
        <w:t xml:space="preserve"> annual</w:t>
      </w:r>
      <w:r w:rsidRPr="00E259C0" w:rsidR="00336704">
        <w:t xml:space="preserve"> costs associated with the </w:t>
      </w:r>
      <w:r w:rsidRPr="00E259C0" w:rsidR="00CE1670">
        <w:t>F</w:t>
      </w:r>
      <w:r w:rsidRPr="00E259C0" w:rsidR="00336704">
        <w:t xml:space="preserve">ederal IDR portal </w:t>
      </w:r>
      <w:r w:rsidRPr="00E259C0" w:rsidR="00237134">
        <w:t xml:space="preserve">and administering the Federal IDR process </w:t>
      </w:r>
      <w:r w:rsidRPr="00E259C0" w:rsidR="00336704">
        <w:t xml:space="preserve">are estimated to </w:t>
      </w:r>
      <w:r w:rsidRPr="00E259C0" w:rsidR="00AD3896">
        <w:t>be</w:t>
      </w:r>
      <w:r w:rsidRPr="00E259C0" w:rsidR="00336704">
        <w:t xml:space="preserve"> $1 million</w:t>
      </w:r>
      <w:r w:rsidRPr="00E259C0" w:rsidR="00651117">
        <w:t xml:space="preserve"> annually</w:t>
      </w:r>
      <w:r w:rsidRPr="00E259C0" w:rsidR="00336704">
        <w:t>.</w:t>
      </w:r>
      <w:r w:rsidR="00AD2339">
        <w:t xml:space="preserve"> </w:t>
      </w:r>
    </w:p>
    <w:p w:rsidR="00D70A9E" w:rsidP="00B17D5D" w14:paraId="7E814452" w14:textId="69B60454">
      <w:pPr>
        <w:pStyle w:val="HeadingStyle"/>
        <w:rPr>
          <w:rFonts w:ascii="Times New Roman" w:hAnsi="Times New Roman" w:cs="Times New Roman"/>
          <w:color w:val="auto"/>
        </w:rPr>
      </w:pPr>
      <w:r w:rsidRPr="00E259C0">
        <w:rPr>
          <w:rFonts w:ascii="Times New Roman" w:hAnsi="Times New Roman" w:cs="Times New Roman"/>
          <w:color w:val="auto"/>
        </w:rPr>
        <w:t>15.</w:t>
      </w:r>
      <w:r w:rsidRPr="00E259C0">
        <w:rPr>
          <w:rFonts w:ascii="Times New Roman" w:hAnsi="Times New Roman" w:cs="Times New Roman"/>
          <w:color w:val="auto"/>
        </w:rPr>
        <w:tab/>
        <w:t>Explain the reasons for any program changes or adjustments reporting in Items 13 or 14.</w:t>
      </w:r>
      <w:r w:rsidRPr="00E259C0" w:rsidR="006F16DA">
        <w:rPr>
          <w:rFonts w:ascii="Times New Roman" w:hAnsi="Times New Roman" w:cs="Times New Roman"/>
          <w:color w:val="auto"/>
        </w:rPr>
        <w:t xml:space="preserve"> </w:t>
      </w:r>
    </w:p>
    <w:p w:rsidR="00AB4D35" w:rsidP="00220DF2" w14:paraId="05689DF0" w14:textId="77777777">
      <w:r>
        <w:tab/>
      </w:r>
    </w:p>
    <w:p w:rsidR="00AB4D35" w:rsidP="00AB4D35" w14:paraId="294A66D5" w14:textId="77777777">
      <w:r>
        <w:tab/>
        <w:t>The Department has made the following changes to the information collection:</w:t>
      </w:r>
      <w:r w:rsidR="00220DF2">
        <w:tab/>
      </w:r>
    </w:p>
    <w:p w:rsidR="00AB4D35" w:rsidRPr="00AB4D35" w:rsidP="00AB4D35" w14:paraId="1EC2EDFB" w14:textId="44CAC68E">
      <w:pPr>
        <w:pStyle w:val="ListParagraph"/>
        <w:numPr>
          <w:ilvl w:val="0"/>
          <w:numId w:val="27"/>
        </w:numPr>
      </w:pPr>
      <w:r w:rsidRPr="00AB4D35">
        <w:rPr>
          <w:bCs/>
        </w:rPr>
        <w:t>The Departments have updated the number of IDR disputes that would be</w:t>
      </w:r>
      <w:r w:rsidRPr="00D70A9E">
        <w:t xml:space="preserve"> </w:t>
      </w:r>
      <w:r w:rsidRPr="00AB4D35">
        <w:rPr>
          <w:bCs/>
        </w:rPr>
        <w:t xml:space="preserve">submitted annually as part of the Federal IDR process from 22,000 disputes to </w:t>
      </w:r>
      <w:r w:rsidR="00735C26">
        <w:rPr>
          <w:bCs/>
        </w:rPr>
        <w:t>2</w:t>
      </w:r>
      <w:r w:rsidRPr="00AB4D35" w:rsidR="00FB449C">
        <w:rPr>
          <w:bCs/>
        </w:rPr>
        <w:t>,</w:t>
      </w:r>
      <w:r w:rsidR="0067129D">
        <w:rPr>
          <w:bCs/>
        </w:rPr>
        <w:t>6</w:t>
      </w:r>
      <w:r w:rsidRPr="00AB4D35" w:rsidR="00FB449C">
        <w:rPr>
          <w:bCs/>
        </w:rPr>
        <w:t>00,00</w:t>
      </w:r>
      <w:r w:rsidR="000A0098">
        <w:rPr>
          <w:bCs/>
        </w:rPr>
        <w:t>0</w:t>
      </w:r>
      <w:r w:rsidRPr="00AB4D35">
        <w:rPr>
          <w:bCs/>
        </w:rPr>
        <w:t xml:space="preserve"> disputes. Therefore, the hour burden has significantly increased. </w:t>
      </w:r>
    </w:p>
    <w:p w:rsidR="00AB4D35" w:rsidRPr="00AB4D35" w:rsidP="00AB4D35" w14:paraId="5D822412" w14:textId="3AFA72EA">
      <w:pPr>
        <w:pStyle w:val="ListParagraph"/>
        <w:numPr>
          <w:ilvl w:val="0"/>
          <w:numId w:val="27"/>
        </w:numPr>
      </w:pPr>
      <w:r>
        <w:t>T</w:t>
      </w:r>
      <w:r w:rsidRPr="00AB4D35">
        <w:t xml:space="preserve">he Departments have updated the wage rates and </w:t>
      </w:r>
      <w:r w:rsidR="00E15501">
        <w:t>mailing</w:t>
      </w:r>
      <w:r w:rsidRPr="00AB4D35">
        <w:t xml:space="preserve"> costs.</w:t>
      </w:r>
    </w:p>
    <w:p w:rsidR="00AB4D35" w:rsidRPr="00AB4D35" w:rsidP="00AB4D35" w14:paraId="56B7BC04" w14:textId="77777777">
      <w:pPr>
        <w:pStyle w:val="ListParagraph"/>
        <w:numPr>
          <w:ilvl w:val="0"/>
          <w:numId w:val="27"/>
        </w:numPr>
      </w:pPr>
      <w:r>
        <w:t>T</w:t>
      </w:r>
      <w:r w:rsidRPr="00C70888">
        <w:t>he Departments have combined the hour and cost burden for n</w:t>
      </w:r>
      <w:r w:rsidRPr="00C70888">
        <w:rPr>
          <w:iCs/>
        </w:rPr>
        <w:t>onparticipating providers or nonparticipating emergency facilities and air ambulance providers.</w:t>
      </w:r>
    </w:p>
    <w:p w:rsidR="00AB4D35" w:rsidP="00AB4D35" w14:paraId="0FAEB81D" w14:textId="77777777">
      <w:pPr>
        <w:pStyle w:val="ListParagraph"/>
        <w:numPr>
          <w:ilvl w:val="0"/>
          <w:numId w:val="27"/>
        </w:numPr>
      </w:pPr>
      <w:r>
        <w:t>T</w:t>
      </w:r>
      <w:r w:rsidRPr="00AB4D35">
        <w:t>he Departments have also added the hour burden for the registration of group health plans and health insurance issuers.</w:t>
      </w:r>
    </w:p>
    <w:p w:rsidR="00220DF2" w:rsidP="00AB4D35" w14:paraId="2A3E998B" w14:textId="54B71BB4">
      <w:pPr>
        <w:pStyle w:val="ListParagraph"/>
        <w:numPr>
          <w:ilvl w:val="0"/>
          <w:numId w:val="27"/>
        </w:numPr>
      </w:pPr>
      <w:r>
        <w:t xml:space="preserve">The Departments have removed the hour burden for the </w:t>
      </w:r>
      <w:r w:rsidRPr="00800601">
        <w:t>additional information to be shared with the initial payment or notice of denial of payment</w:t>
      </w:r>
      <w:r>
        <w:t xml:space="preserve">, as this burden will now be included in HHS OMB Control Number 0938-1401. </w:t>
      </w:r>
    </w:p>
    <w:p w:rsidR="00C70888" w:rsidP="00220DF2" w14:paraId="6AE607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736611" w:rsidRPr="00736611" w:rsidP="00AB4D35" w14:paraId="58126C5D" w14:textId="2AF1D8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r w:rsidRPr="00736611">
        <w:t>The Departments have also removed the following forms, as they will be included in the following HHS PRA package, “Patient Provider Dispute Resolution Requirements Related to Surprise Billing: Part II (CMS-10853)”:</w:t>
      </w:r>
    </w:p>
    <w:p w:rsidR="00736611" w:rsidRPr="00736611" w:rsidP="00736611" w14:paraId="55D414D5" w14:textId="77777777">
      <w:pPr>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36611">
        <w:t>Standard Form: Patient-Provider Dispute Resolution (PPDR) Dispute Initiation Form</w:t>
      </w:r>
    </w:p>
    <w:p w:rsidR="00736611" w:rsidRPr="00736611" w:rsidP="00736611" w14:paraId="4430228B" w14:textId="77777777">
      <w:pPr>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36611">
        <w:t>Standard Form: Online PPDR Initiation Form</w:t>
      </w:r>
    </w:p>
    <w:p w:rsidR="00736611" w:rsidRPr="00736611" w:rsidP="00736611" w14:paraId="05AA0F4F" w14:textId="77777777">
      <w:pPr>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36611">
        <w:t>Standard Notice: Ineligible for PPDR or Additional Information Needed</w:t>
      </w:r>
    </w:p>
    <w:p w:rsidR="00736611" w:rsidRPr="00736611" w:rsidP="00736611" w14:paraId="6819F0E2" w14:textId="77777777">
      <w:pPr>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36611">
        <w:t>Patient-Provider SDR Entity Certification Application Data Elements</w:t>
      </w:r>
    </w:p>
    <w:p w:rsidR="00736611" w:rsidRPr="00736611" w:rsidP="00736611" w14:paraId="463B0E3B" w14:textId="77777777">
      <w:pPr>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36611">
        <w:t>Independent Dispute Resolution and PPDR; Vendor Management Data Elements.</w:t>
      </w:r>
    </w:p>
    <w:p w:rsidR="00736611" w:rsidRPr="00736611" w:rsidP="00736611" w14:paraId="629DB823" w14:textId="77777777">
      <w:pPr>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36611">
        <w:t>PPDR Process Data Elements</w:t>
      </w:r>
    </w:p>
    <w:p w:rsidR="00736611" w:rsidRPr="00736611" w:rsidP="00736611" w14:paraId="57ADF439" w14:textId="77777777">
      <w:pPr>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36611">
        <w:t>Standard Notice: SDR Determination Notice to Parties Provided Under the No Surprises Act</w:t>
      </w:r>
    </w:p>
    <w:p w:rsidR="00736611" w:rsidRPr="00736611" w:rsidP="00736611" w14:paraId="477F22EC" w14:textId="77777777">
      <w:pPr>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36611">
        <w:t>Standard Notice: SDR Entity Notification to Health Care Providers and Facilities and Uninsured (or Self-Pay) Individuals</w:t>
      </w:r>
    </w:p>
    <w:p w:rsidR="00736611" w:rsidRPr="00736611" w:rsidP="00736611" w14:paraId="736B8701" w14:textId="77777777">
      <w:pPr>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36611">
        <w:t>Standard Notice: Uninsured (or Self-Pay) Individual and Provider or Facility Settle on a Payment Amount After Initiating Patient Provider Dispute Resolution.</w:t>
      </w:r>
    </w:p>
    <w:p w:rsidR="00736611" w:rsidRPr="00736611" w:rsidP="00736611" w14:paraId="7F27384E" w14:textId="77777777">
      <w:pPr>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36611">
        <w:t>Standard Notice: SDR Entity Notification to Health Care Provider or Facility and Uninsured (or Self-Pay) Individual Confirming Receipt of Dispute Settlement and Action</w:t>
      </w:r>
    </w:p>
    <w:p w:rsidR="00736611" w:rsidRPr="00736611" w:rsidP="00736611" w14:paraId="1EA80DC9" w14:textId="77777777">
      <w:pPr>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36611">
        <w:t>Standard Notice: Uninsured (or Self-Pay) Individual, Provider or Facility’s Notification to Secretary of Health and Human Services</w:t>
      </w:r>
    </w:p>
    <w:p w:rsidR="00736611" w:rsidRPr="00736611" w:rsidP="00736611" w14:paraId="30259E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736611">
        <w:tab/>
      </w:r>
    </w:p>
    <w:p w:rsidR="00736611" w:rsidRPr="00736611" w:rsidP="00736611" w14:paraId="2E4AF772" w14:textId="6EFC23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00AB4D35">
        <w:t>Furthermore, t</w:t>
      </w:r>
      <w:r w:rsidRPr="00736611">
        <w:t>he Departments have removed the form, “Good Faith Estimates Template Notice,” as the form has been included in HHS OMB Control Number 0938-1433.</w:t>
      </w:r>
    </w:p>
    <w:p w:rsidR="00736611" w:rsidP="00736611" w14:paraId="3CE118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36611" w:rsidRPr="00E259C0" w:rsidP="00AB4D35" w14:paraId="0A1682F6" w14:textId="46980E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Pr="00E259C0" w:rsidR="00AC50EE">
        <w:t xml:space="preserve">As a result, the number of responses </w:t>
      </w:r>
      <w:r w:rsidRPr="00E259C0" w:rsidR="00916F02">
        <w:t>has</w:t>
      </w:r>
      <w:r w:rsidRPr="00E259C0" w:rsidR="00AC50EE">
        <w:t xml:space="preserve"> increased by </w:t>
      </w:r>
      <w:r w:rsidRPr="00302EC1" w:rsidR="00302EC1">
        <w:t>2,679,399</w:t>
      </w:r>
      <w:r w:rsidR="00302EC1">
        <w:t xml:space="preserve"> </w:t>
      </w:r>
      <w:r w:rsidRPr="00E259C0" w:rsidR="005C6AF3">
        <w:t>responses</w:t>
      </w:r>
      <w:r w:rsidRPr="00E259C0" w:rsidR="00AC50EE">
        <w:t xml:space="preserve">, the hour burden has increased by </w:t>
      </w:r>
      <w:r w:rsidRPr="00302EC1" w:rsidR="00302EC1">
        <w:t>1,848,191</w:t>
      </w:r>
      <w:r w:rsidR="00302EC1">
        <w:t xml:space="preserve"> </w:t>
      </w:r>
      <w:r w:rsidRPr="00E259C0" w:rsidR="00AC50EE">
        <w:t xml:space="preserve">hours, and the cost burden has increased by </w:t>
      </w:r>
      <w:r w:rsidR="00BA1D63">
        <w:t>$</w:t>
      </w:r>
      <w:r w:rsidRPr="00302EC1" w:rsidR="00302EC1">
        <w:t>20,389,250</w:t>
      </w:r>
      <w:r w:rsidRPr="00BA3BD1" w:rsidR="00BA3BD1">
        <w:t>.</w:t>
      </w:r>
    </w:p>
    <w:p w:rsidR="00FC2F3E" w:rsidRPr="00342B53" w:rsidP="00063DD4" w14:paraId="7685F43F" w14:textId="36820893">
      <w:pPr>
        <w:pStyle w:val="HeadingStyle"/>
        <w:rPr>
          <w:rFonts w:ascii="Times New Roman" w:hAnsi="Times New Roman" w:cs="Times New Roman"/>
          <w:iCs/>
          <w:color w:val="auto"/>
        </w:rPr>
      </w:pPr>
      <w:r w:rsidRPr="00342B53">
        <w:rPr>
          <w:rFonts w:ascii="Times New Roman" w:hAnsi="Times New Roman" w:cs="Times New Roman"/>
          <w:color w:val="auto"/>
        </w:rPr>
        <w:t>16.</w:t>
      </w:r>
      <w:r w:rsidRPr="00342B53">
        <w:rPr>
          <w:rFonts w:ascii="Times New Roman" w:hAnsi="Times New Roman" w:cs="Times New Roman"/>
          <w:color w:val="auto"/>
        </w:rPr>
        <w:tab/>
      </w:r>
      <w:r w:rsidRPr="00342B53">
        <w:rPr>
          <w:rFonts w:ascii="Times New Roman" w:hAnsi="Times New Roman" w:cs="Times New Roman"/>
          <w:iCs/>
          <w:color w:val="auto"/>
        </w:rPr>
        <w:t>For collections of information whose results will be published, outline plans for tabulation, and publication.</w:t>
      </w:r>
      <w:r w:rsidR="00263C28">
        <w:rPr>
          <w:rFonts w:ascii="Times New Roman" w:hAnsi="Times New Roman" w:cs="Times New Roman"/>
          <w:iCs/>
          <w:color w:val="auto"/>
        </w:rPr>
        <w:t xml:space="preserve"> </w:t>
      </w:r>
      <w:r w:rsidRPr="00342B53">
        <w:rPr>
          <w:rFonts w:ascii="Times New Roman" w:hAnsi="Times New Roman" w:cs="Times New Roman"/>
          <w:iCs/>
          <w:color w:val="auto"/>
        </w:rPr>
        <w:t>Address any complex analytical techniques that will be used.</w:t>
      </w:r>
      <w:r w:rsidR="00263C28">
        <w:rPr>
          <w:rFonts w:ascii="Times New Roman" w:hAnsi="Times New Roman" w:cs="Times New Roman"/>
          <w:iCs/>
          <w:color w:val="auto"/>
        </w:rPr>
        <w:t xml:space="preserve"> </w:t>
      </w:r>
      <w:r w:rsidRPr="00342B53">
        <w:rPr>
          <w:rFonts w:ascii="Times New Roman" w:hAnsi="Times New Roman" w:cs="Times New Roman"/>
          <w:iCs/>
          <w:color w:val="auto"/>
        </w:rPr>
        <w:t>Provide the time schedule for the entire project, including beginning and ending dates of the collection of information, completion of report, publication dates, and other actions.</w:t>
      </w:r>
    </w:p>
    <w:p w:rsidR="008D0C7F" w:rsidRPr="00E259C0" w:rsidP="008B68A5" w14:paraId="0BF800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10CD" w:rsidRPr="00E259C0" w:rsidP="00D31765" w14:paraId="535ECC7F" w14:textId="256DD9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259C0">
        <w:t>The No Surprises Act requires that the Departments make publicly available certain information on the Federal IDR process for each calendar quarter. The reports include information on the number of disputes initiated; the number of disputes closed; the types of parties engaged in disputes; the types of services under dispute; and the states in which disputed items and services were provided. The reports also include information on expenditures and administrative fees collected for the Federal IDR process.</w:t>
      </w:r>
      <w:r w:rsidR="00263C28">
        <w:t xml:space="preserve"> </w:t>
      </w:r>
    </w:p>
    <w:p w:rsidR="00FC2F3E" w:rsidRPr="00342B53" w:rsidP="00063DD4" w14:paraId="76D7F92D" w14:textId="77777777">
      <w:pPr>
        <w:pStyle w:val="HeadingStyle"/>
        <w:rPr>
          <w:rFonts w:ascii="Times New Roman" w:hAnsi="Times New Roman" w:cs="Times New Roman"/>
          <w:bCs w:val="0"/>
          <w:iCs/>
          <w:color w:val="auto"/>
        </w:rPr>
      </w:pPr>
      <w:r w:rsidRPr="00E259C0">
        <w:rPr>
          <w:rFonts w:ascii="Times New Roman" w:hAnsi="Times New Roman" w:cs="Times New Roman"/>
          <w:color w:val="auto"/>
        </w:rPr>
        <w:t>17.</w:t>
      </w:r>
      <w:r w:rsidRPr="00342B53">
        <w:rPr>
          <w:rFonts w:ascii="Times New Roman" w:hAnsi="Times New Roman" w:cs="Times New Roman"/>
          <w:bCs w:val="0"/>
          <w:color w:val="auto"/>
        </w:rPr>
        <w:tab/>
      </w:r>
      <w:r w:rsidRPr="00342B53">
        <w:rPr>
          <w:rFonts w:ascii="Times New Roman" w:hAnsi="Times New Roman" w:cs="Times New Roman"/>
          <w:bCs w:val="0"/>
          <w:iCs/>
          <w:color w:val="auto"/>
        </w:rPr>
        <w:t>If seeking approval to not display the expiration date for OMB approval of the information collection, explain the reasons that display would be inappropriate.</w:t>
      </w:r>
    </w:p>
    <w:p w:rsidR="00FC2F3E" w:rsidRPr="00E259C0" w:rsidP="00D31765" w14:paraId="567F39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E259C0" w:rsidP="00D31765" w14:paraId="6E7139F6" w14:textId="65E1DF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259C0">
        <w:t>The OMB Control Number</w:t>
      </w:r>
      <w:r w:rsidR="00FA6AD4">
        <w:t xml:space="preserve"> and expiration date</w:t>
      </w:r>
      <w:r w:rsidRPr="00E259C0">
        <w:t xml:space="preserve"> will be on the homepage of the</w:t>
      </w:r>
      <w:r w:rsidR="00991804">
        <w:t xml:space="preserve"> Federal IDR</w:t>
      </w:r>
      <w:r w:rsidRPr="00E259C0">
        <w:t xml:space="preserve"> portal. </w:t>
      </w:r>
    </w:p>
    <w:p w:rsidR="00FC2F3E" w:rsidRPr="00342B53" w:rsidP="00063DD4" w14:paraId="08C993D9" w14:textId="4E5C4D8F">
      <w:pPr>
        <w:pStyle w:val="HeadingStyle"/>
        <w:rPr>
          <w:rFonts w:ascii="Times New Roman" w:hAnsi="Times New Roman" w:cs="Times New Roman"/>
          <w:bCs w:val="0"/>
          <w:iCs/>
          <w:color w:val="auto"/>
        </w:rPr>
      </w:pPr>
      <w:r w:rsidRPr="00E259C0">
        <w:rPr>
          <w:rFonts w:ascii="Times New Roman" w:hAnsi="Times New Roman" w:cs="Times New Roman"/>
          <w:color w:val="auto"/>
        </w:rPr>
        <w:t>18.</w:t>
      </w:r>
      <w:r w:rsidRPr="00E259C0">
        <w:rPr>
          <w:rFonts w:ascii="Times New Roman" w:hAnsi="Times New Roman" w:cs="Times New Roman"/>
          <w:color w:val="auto"/>
        </w:rPr>
        <w:tab/>
      </w:r>
      <w:r w:rsidRPr="00342B53">
        <w:rPr>
          <w:rFonts w:ascii="Times New Roman" w:hAnsi="Times New Roman" w:cs="Times New Roman"/>
          <w:bCs w:val="0"/>
          <w:iCs/>
          <w:color w:val="auto"/>
        </w:rPr>
        <w:t>Explain each exception to the certification statement</w:t>
      </w:r>
      <w:r w:rsidRPr="00342B53" w:rsidR="009C164D">
        <w:rPr>
          <w:rFonts w:ascii="Times New Roman" w:hAnsi="Times New Roman" w:cs="Times New Roman"/>
          <w:bCs w:val="0"/>
          <w:iCs/>
          <w:color w:val="auto"/>
        </w:rPr>
        <w:t xml:space="preserve">. </w:t>
      </w:r>
    </w:p>
    <w:p w:rsidR="00FC2F3E" w:rsidRPr="00342B53" w:rsidP="00D31765" w14:paraId="38399A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2C5A28" w:rsidRPr="00E259C0" w:rsidP="00063DD4" w14:paraId="5B067BE6" w14:textId="228FF4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259C0">
        <w:t>There are no exceptions to the certification statement.</w:t>
      </w:r>
    </w:p>
    <w:p w:rsidR="002C5A28" w:rsidRPr="00E259C0" w:rsidP="00063DD4" w14:paraId="22CC032B" w14:textId="0ECF04C3">
      <w:pPr>
        <w:pStyle w:val="HeadingStyle"/>
        <w:rPr>
          <w:rFonts w:ascii="Times New Roman" w:hAnsi="Times New Roman" w:cs="Times New Roman"/>
          <w:b w:val="0"/>
          <w:bCs w:val="0"/>
          <w:color w:val="auto"/>
        </w:rPr>
      </w:pPr>
      <w:r w:rsidRPr="00E259C0">
        <w:rPr>
          <w:rFonts w:ascii="Times New Roman" w:hAnsi="Times New Roman" w:cs="Times New Roman"/>
          <w:color w:val="auto"/>
        </w:rPr>
        <w:t xml:space="preserve">B. </w:t>
      </w:r>
      <w:r w:rsidRPr="00E259C0">
        <w:rPr>
          <w:rFonts w:ascii="Times New Roman" w:hAnsi="Times New Roman" w:cs="Times New Roman"/>
          <w:color w:val="auto"/>
        </w:rPr>
        <w:tab/>
        <w:t>COLLECTIONS OF INFORMATON EMPLOYING STATISTICAL METHODS </w:t>
      </w:r>
    </w:p>
    <w:p w:rsidR="002C5A28" w:rsidRPr="00E259C0" w:rsidP="002C5A28" w14:paraId="07A24F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C5A28" w:rsidRPr="00E259C0" w:rsidP="006D41CF" w14:paraId="6DBEBD13" w14:textId="51A03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259C0">
        <w:tab/>
      </w:r>
      <w:r w:rsidRPr="00E259C0" w:rsidR="006D41CF">
        <w:t>There are no statistical methods used in this information collection.</w:t>
      </w:r>
    </w:p>
    <w:sectPr>
      <w:headerReference w:type="default" r:id="rId11"/>
      <w:footerReference w:type="default" r:id="rId12"/>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7DE8" w14:paraId="16D925DC" w14:textId="6125FB09">
    <w:pPr>
      <w:spacing w:line="240" w:lineRule="exact"/>
    </w:pPr>
  </w:p>
  <w:p w:rsidR="005C7DE8" w14:paraId="238E338D" w14:textId="68A04BD3">
    <w:pPr>
      <w:framePr w:w="9361" w:wrap="notBeside" w:vAnchor="text" w:hAnchor="text" w:x="1" w:y="1"/>
      <w:jc w:val="center"/>
    </w:pPr>
    <w:r>
      <w:fldChar w:fldCharType="begin"/>
    </w:r>
    <w:r>
      <w:instrText xml:space="preserve">PAGE </w:instrText>
    </w:r>
    <w:r>
      <w:fldChar w:fldCharType="separate"/>
    </w:r>
    <w:r>
      <w:rPr>
        <w:noProof/>
      </w:rPr>
      <w:t>26</w:t>
    </w:r>
    <w:r>
      <w:fldChar w:fldCharType="end"/>
    </w:r>
  </w:p>
  <w:p w:rsidR="005C7DE8" w14:paraId="215C7EC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40C0" w14:paraId="4628067D" w14:textId="77777777">
      <w:r>
        <w:separator/>
      </w:r>
    </w:p>
  </w:footnote>
  <w:footnote w:type="continuationSeparator" w:id="1">
    <w:p w:rsidR="003A40C0" w14:paraId="41154518" w14:textId="77777777">
      <w:r>
        <w:continuationSeparator/>
      </w:r>
    </w:p>
  </w:footnote>
  <w:footnote w:type="continuationNotice" w:id="2">
    <w:p w:rsidR="003A40C0" w14:paraId="2B4F83BE" w14:textId="77777777"/>
  </w:footnote>
  <w:footnote w:id="3">
    <w:p w:rsidR="005C7DE8" w:rsidP="00484952" w14:paraId="0B6F2128" w14:textId="376BCDA5">
      <w:pPr>
        <w:pStyle w:val="FootnoteText"/>
      </w:pPr>
      <w:r w:rsidRPr="00A977BC">
        <w:rPr>
          <w:rStyle w:val="FootnoteReference"/>
          <w:vertAlign w:val="superscript"/>
        </w:rPr>
        <w:footnoteRef/>
      </w:r>
      <w:r>
        <w:t xml:space="preserve"> 86 FR 36872 (July 13, 2021). These provisions apply to carriers in the Federal Employees Health Benefits Program with respect to contract years beginning on or after January 1, 2022.</w:t>
      </w:r>
      <w:r w:rsidR="00263C28">
        <w:t xml:space="preserve"> </w:t>
      </w:r>
      <w:r>
        <w:t>The disclosure requirements at 45 CFR 149.430 regarding patient protections against balance billing are applicable as of January 1, 2022.</w:t>
      </w:r>
    </w:p>
  </w:footnote>
  <w:footnote w:id="4">
    <w:p w:rsidR="00B61709" w:rsidP="00B61709" w14:paraId="5F523A7E" w14:textId="77777777">
      <w:pPr>
        <w:pStyle w:val="FootnoteText"/>
      </w:pPr>
      <w:r w:rsidRPr="00A977BC">
        <w:rPr>
          <w:rStyle w:val="FootnoteReference"/>
          <w:vertAlign w:val="superscript"/>
        </w:rPr>
        <w:footnoteRef/>
      </w:r>
      <w:r>
        <w:t xml:space="preserve"> 87 FR 52618 (August 26, 2022).</w:t>
      </w:r>
    </w:p>
  </w:footnote>
  <w:footnote w:id="5">
    <w:p w:rsidR="00E95F2B" w14:paraId="62E37A4A" w14:textId="7C1B5F18">
      <w:pPr>
        <w:pStyle w:val="FootnoteText"/>
      </w:pPr>
      <w:r w:rsidRPr="000E05F5">
        <w:rPr>
          <w:rStyle w:val="FootnoteReference"/>
          <w:vertAlign w:val="superscript"/>
        </w:rPr>
        <w:footnoteRef/>
      </w:r>
      <w:r>
        <w:t xml:space="preserve"> These rules also apply to FEHB carriers. </w:t>
      </w:r>
    </w:p>
  </w:footnote>
  <w:footnote w:id="6">
    <w:p w:rsidR="00160ABD" w:rsidRPr="00ED6F85" w:rsidP="00160ABD" w14:paraId="7F8AA578" w14:textId="77777777">
      <w:pPr>
        <w:pStyle w:val="FootnoteText"/>
      </w:pPr>
      <w:r w:rsidRPr="00ED6F85">
        <w:rPr>
          <w:rStyle w:val="FootnoteReference"/>
          <w:vertAlign w:val="superscript"/>
        </w:rPr>
        <w:footnoteRef/>
      </w:r>
      <w:r w:rsidRPr="00ED6F85">
        <w:t xml:space="preserve"> </w:t>
      </w:r>
      <w:r w:rsidRPr="00ED6F85">
        <w:rPr>
          <w:i/>
          <w:iCs/>
        </w:rPr>
        <w:t xml:space="preserve">See </w:t>
      </w:r>
      <w:hyperlink r:id="rId1" w:history="1">
        <w:r w:rsidRPr="00ED6F85">
          <w:rPr>
            <w:rStyle w:val="Hyperlink"/>
          </w:rPr>
          <w:t>https://www.cms.gov/nosurprises/help-resolve-payment-disputes/payment-disputes-between-providers-and-health-plans</w:t>
        </w:r>
      </w:hyperlink>
      <w:r w:rsidRPr="00ED6F85">
        <w:t xml:space="preserve"> </w:t>
      </w:r>
    </w:p>
  </w:footnote>
  <w:footnote w:id="7">
    <w:p w:rsidR="00457363" w:rsidRPr="00457363" w14:paraId="0B21CCB4" w14:textId="2C9BB7E4">
      <w:pPr>
        <w:pStyle w:val="FootnoteText"/>
      </w:pPr>
      <w:r w:rsidRPr="009A3842">
        <w:rPr>
          <w:rStyle w:val="FootnoteReference"/>
          <w:vertAlign w:val="superscript"/>
        </w:rPr>
        <w:footnoteRef/>
      </w:r>
      <w:r w:rsidRPr="009A3842">
        <w:rPr>
          <w:vertAlign w:val="superscript"/>
        </w:rPr>
        <w:t xml:space="preserve"> </w:t>
      </w:r>
      <w:r w:rsidR="00BD4052">
        <w:t>Th</w:t>
      </w:r>
      <w:r w:rsidR="00355A9A">
        <w:t xml:space="preserve">is requirement from the October 2021 interim final rules was vacated by </w:t>
      </w:r>
      <w:r w:rsidRPr="006D4775" w:rsidR="00355A9A">
        <w:rPr>
          <w:i/>
        </w:rPr>
        <w:t>Texas Medical Association</w:t>
      </w:r>
      <w:r w:rsidR="00355A9A">
        <w:rPr>
          <w:i/>
          <w:iCs/>
        </w:rPr>
        <w:t>, et al.</w:t>
      </w:r>
      <w:r w:rsidRPr="006104C5" w:rsidR="00355A9A">
        <w:rPr>
          <w:i/>
          <w:iCs/>
        </w:rPr>
        <w:t xml:space="preserve"> v. </w:t>
      </w:r>
      <w:r w:rsidRPr="006D4775" w:rsidR="00355A9A">
        <w:rPr>
          <w:i/>
        </w:rPr>
        <w:t>United States Department of Health and Human Services</w:t>
      </w:r>
      <w:r w:rsidR="00355A9A">
        <w:rPr>
          <w:i/>
        </w:rPr>
        <w:t>,</w:t>
      </w:r>
      <w:r w:rsidRPr="006104C5" w:rsidR="00355A9A">
        <w:rPr>
          <w:i/>
          <w:iCs/>
        </w:rPr>
        <w:t xml:space="preserve"> </w:t>
      </w:r>
      <w:r w:rsidR="00355A9A">
        <w:t xml:space="preserve">et al., </w:t>
      </w:r>
      <w:r w:rsidRPr="006104C5" w:rsidR="00355A9A">
        <w:t>No. 6:23-cv-00059-JDK (E.D. Tex. Aug</w:t>
      </w:r>
      <w:r w:rsidR="00355A9A">
        <w:t>.</w:t>
      </w:r>
      <w:r w:rsidRPr="006104C5" w:rsidR="00355A9A">
        <w:t xml:space="preserve"> 3, 2023)</w:t>
      </w:r>
      <w:r w:rsidR="00052608">
        <w:t xml:space="preserve">. </w:t>
      </w:r>
    </w:p>
  </w:footnote>
  <w:footnote w:id="8">
    <w:p w:rsidR="00B05B9E" w14:paraId="4E6AF7DE" w14:textId="4B6463CB">
      <w:pPr>
        <w:pStyle w:val="FootnoteText"/>
      </w:pPr>
      <w:r w:rsidRPr="00F2297F">
        <w:rPr>
          <w:rStyle w:val="FootnoteReference"/>
          <w:vertAlign w:val="superscript"/>
        </w:rPr>
        <w:footnoteRef/>
      </w:r>
      <w:r w:rsidRPr="00F2297F">
        <w:rPr>
          <w:vertAlign w:val="superscript"/>
        </w:rPr>
        <w:t xml:space="preserve"> </w:t>
      </w:r>
      <w:r w:rsidRPr="00A23A0B">
        <w:t>88 FR 75744</w:t>
      </w:r>
      <w:r>
        <w:t xml:space="preserve">, </w:t>
      </w:r>
      <w:hyperlink r:id="rId2" w:history="1">
        <w:r w:rsidRPr="004E4DAC">
          <w:rPr>
            <w:rStyle w:val="Hyperlink"/>
          </w:rPr>
          <w:t>https://www.federalregister.gov/documents/2023/11/03/2023-23716/federal-independent-dispute-resolution-operations</w:t>
        </w:r>
      </w:hyperlink>
      <w:r>
        <w:t>.</w:t>
      </w:r>
    </w:p>
  </w:footnote>
  <w:footnote w:id="9">
    <w:p w:rsidR="00F4795D" w14:paraId="5C685633" w14:textId="70BBB430">
      <w:pPr>
        <w:pStyle w:val="FootnoteText"/>
      </w:pPr>
      <w:r w:rsidRPr="00C173F7">
        <w:rPr>
          <w:rStyle w:val="FootnoteReference"/>
          <w:vertAlign w:val="superscript"/>
        </w:rPr>
        <w:footnoteRef/>
      </w:r>
      <w:r w:rsidRPr="00C173F7">
        <w:rPr>
          <w:vertAlign w:val="superscript"/>
        </w:rPr>
        <w:t xml:space="preserve"> </w:t>
      </w:r>
      <w:r w:rsidRPr="00C173F7" w:rsidR="00C173F7">
        <w:t>Based on data from MLR annual report for the 2023 MLR reporting year. See https://www.cms.gov/CCIIO/Resources/Data-Resources/mlr. Issuers are defined as health insurance company/State combination and refers to the legal entities or subsidiaries that are licensed and operate within a specific State.</w:t>
      </w:r>
    </w:p>
  </w:footnote>
  <w:footnote w:id="10">
    <w:p w:rsidR="00C173F7" w14:paraId="09D79157" w14:textId="434C2D9C">
      <w:pPr>
        <w:pStyle w:val="FootnoteText"/>
      </w:pPr>
      <w:r w:rsidRPr="00B32081">
        <w:rPr>
          <w:rStyle w:val="FootnoteReference"/>
          <w:vertAlign w:val="superscript"/>
        </w:rPr>
        <w:footnoteRef/>
      </w:r>
      <w:r>
        <w:t xml:space="preserve"> </w:t>
      </w:r>
      <w:r w:rsidRPr="00B32081" w:rsidR="00B32081">
        <w:t>Non-issuer TPAs based on data derived from the 2016 benefit year reinsurance program contributions.</w:t>
      </w:r>
    </w:p>
  </w:footnote>
  <w:footnote w:id="11">
    <w:p w:rsidR="00BD5A7F" w:rsidP="00BD5A7F" w14:paraId="165BFE4D" w14:textId="37EABBE7">
      <w:pPr>
        <w:pStyle w:val="FootnoteText"/>
      </w:pPr>
      <w:r w:rsidRPr="000E05F5">
        <w:rPr>
          <w:rStyle w:val="FootnoteReference"/>
          <w:vertAlign w:val="superscript"/>
        </w:rPr>
        <w:footnoteRef/>
      </w:r>
      <w:r w:rsidRPr="000E05F5">
        <w:rPr>
          <w:vertAlign w:val="superscript"/>
        </w:rPr>
        <w:t xml:space="preserve"> </w:t>
      </w:r>
      <w:r w:rsidRPr="00734738">
        <w:t xml:space="preserve">Internal DOL calculation based on </w:t>
      </w:r>
      <w:r>
        <w:t>202</w:t>
      </w:r>
      <w:r w:rsidR="00191A84">
        <w:t>7</w:t>
      </w:r>
      <w:r w:rsidRPr="00734738">
        <w:t xml:space="preserve"> labor cost data. For a description of DOL’s methodology for calculating wage rates, see </w:t>
      </w:r>
      <w:hyperlink r:id="rId3" w:history="1">
        <w:r w:rsidRPr="00D82BD6">
          <w:rPr>
            <w:rStyle w:val="Hyperlink"/>
          </w:rPr>
          <w:t>https://www.dol.gov/sites/dolgov/files/EBSA/laws-and-regulations/rules-and-regulations/technical-appendices/labor-cost-inputs-used-in-ebsa-opr-ria-and-pra-burden-calculations-june-2019.pdf</w:t>
        </w:r>
      </w:hyperlink>
      <w:r>
        <w:t>.</w:t>
      </w:r>
    </w:p>
  </w:footnote>
  <w:footnote w:id="12">
    <w:p w:rsidR="005C7DE8" w:rsidP="00257092" w14:paraId="2A99771E" w14:textId="2BD8845E">
      <w:pPr>
        <w:pStyle w:val="FootnoteText"/>
      </w:pPr>
      <w:r w:rsidRPr="000E05F5">
        <w:rPr>
          <w:rStyle w:val="FootnoteReference"/>
          <w:vertAlign w:val="superscript"/>
        </w:rPr>
        <w:footnoteRef/>
      </w:r>
      <w:r w:rsidRPr="000E05F5">
        <w:rPr>
          <w:vertAlign w:val="superscript"/>
        </w:rPr>
        <w:t xml:space="preserve"> </w:t>
      </w:r>
      <w:r w:rsidRPr="00986E43">
        <w:t>IDR Payment Determination Notification (ERISA 716(c)(5)(A))</w:t>
      </w:r>
    </w:p>
  </w:footnote>
  <w:footnote w:id="13">
    <w:p w:rsidR="005C7DE8" w:rsidRPr="00392F4B" w:rsidP="00FC7858" w14:paraId="5E077781" w14:textId="3ED2B922">
      <w:pPr>
        <w:pStyle w:val="FootnoteText"/>
      </w:pPr>
      <w:r w:rsidRPr="00B50F02">
        <w:rPr>
          <w:rStyle w:val="FootnoteReference"/>
          <w:vertAlign w:val="superscript"/>
        </w:rPr>
        <w:footnoteRef/>
      </w:r>
      <w:r w:rsidRPr="00B50F02">
        <w:rPr>
          <w:vertAlign w:val="superscript"/>
        </w:rPr>
        <w:t xml:space="preserve"> </w:t>
      </w:r>
      <w:r w:rsidRPr="00392F4B">
        <w:t>The Department</w:t>
      </w:r>
      <w:r>
        <w:t xml:space="preserve"> of Labor</w:t>
      </w:r>
      <w:r w:rsidRPr="00392F4B">
        <w:t xml:space="preserve"> uses a composite wage rate because different </w:t>
      </w:r>
      <w:r>
        <w:t xml:space="preserve">professionals </w:t>
      </w:r>
      <w:r w:rsidRPr="00392F4B">
        <w:t xml:space="preserve">will review different types of claims and groups of </w:t>
      </w:r>
      <w:r>
        <w:t xml:space="preserve">individuals. The wage rate of a physician is </w:t>
      </w:r>
      <w:r w:rsidRPr="00B76771" w:rsidR="00B76771">
        <w:t>$226.08</w:t>
      </w:r>
      <w:r w:rsidR="0074650D">
        <w:t>,</w:t>
      </w:r>
      <w:r w:rsidRPr="002368AB">
        <w:t xml:space="preserve"> </w:t>
      </w:r>
      <w:r>
        <w:t xml:space="preserve">and the wage rate of a medical billing specialist is </w:t>
      </w:r>
      <w:r w:rsidRPr="00D2744D" w:rsidR="00D2744D">
        <w:t>$140.69</w:t>
      </w:r>
      <w:r>
        <w:t>. (</w:t>
      </w:r>
      <w:r w:rsidRPr="007276FF">
        <w:t xml:space="preserve">Internal DOL calculation based on </w:t>
      </w:r>
      <w:r w:rsidR="00C53FEE">
        <w:t>202</w:t>
      </w:r>
      <w:r w:rsidR="00191A84">
        <w:t>6</w:t>
      </w:r>
      <w:r w:rsidRPr="007276FF">
        <w:t xml:space="preserve"> labor cost data.</w:t>
      </w:r>
      <w:r w:rsidR="00263C28">
        <w:t xml:space="preserve"> </w:t>
      </w:r>
      <w:r w:rsidRPr="007276FF">
        <w:t xml:space="preserve">For a description of the Department’s methodology for calculating wage rates, see </w:t>
      </w:r>
      <w:hyperlink r:id="rId3" w:history="1">
        <w:r w:rsidRPr="00507B3B" w:rsidR="00F8212C">
          <w:rPr>
            <w:rStyle w:val="Hyperlink"/>
          </w:rPr>
          <w:t>https://www.dol.gov/sites/dolgov/files/EBSA/laws-and-regulations/rules-and-regulations/technical-appendices/labor-cost-inputs-used-in-ebsa-opr-ria-and-pra-burden-calculations-june-2019.pdf</w:t>
        </w:r>
      </w:hyperlink>
      <w:r w:rsidRPr="007276FF">
        <w:t>.</w:t>
      </w:r>
      <w:r>
        <w:t>)</w:t>
      </w:r>
      <w:r w:rsidR="00263C28">
        <w:t xml:space="preserve"> </w:t>
      </w:r>
      <w:r>
        <w:t>The composite wage rate is estimated in the following manner: (</w:t>
      </w:r>
      <w:r w:rsidRPr="00B76771" w:rsidR="00B76771">
        <w:t xml:space="preserve">$226.08 </w:t>
      </w:r>
      <w:r>
        <w:t xml:space="preserve">x (1/3) + </w:t>
      </w:r>
      <w:r w:rsidRPr="00D2744D" w:rsidR="00D2744D">
        <w:t xml:space="preserve">$140.69 </w:t>
      </w:r>
      <w:r>
        <w:t xml:space="preserve">x (2/3) = </w:t>
      </w:r>
      <w:r w:rsidRPr="00B76771" w:rsidR="00B76771">
        <w:t>$169.15</w:t>
      </w:r>
      <w:r w:rsidR="00B76771">
        <w:t>)</w:t>
      </w:r>
    </w:p>
  </w:footnote>
  <w:footnote w:id="14">
    <w:p w:rsidR="00331183" w14:paraId="10915529" w14:textId="38333CA8">
      <w:pPr>
        <w:pStyle w:val="FootnoteText"/>
      </w:pPr>
      <w:r w:rsidRPr="000E05F5">
        <w:rPr>
          <w:rStyle w:val="FootnoteReference"/>
          <w:vertAlign w:val="superscript"/>
        </w:rPr>
        <w:footnoteRef/>
      </w:r>
      <w:r w:rsidRPr="000E05F5">
        <w:rPr>
          <w:vertAlign w:val="superscript"/>
        </w:rPr>
        <w:t xml:space="preserve"> </w:t>
      </w:r>
      <w:r w:rsidR="008208CD">
        <w:t>According to Center for Medicare and Medicaid Services</w:t>
      </w:r>
      <w:r w:rsidRPr="00331183">
        <w:t>, there are 1</w:t>
      </w:r>
      <w:r w:rsidR="00DE4110">
        <w:t>3</w:t>
      </w:r>
      <w:r w:rsidRPr="00331183">
        <w:t xml:space="preserve"> certified IDR entities. </w:t>
      </w:r>
      <w:r w:rsidR="00D24484">
        <w:t>(</w:t>
      </w:r>
      <w:r w:rsidRPr="00D24484" w:rsidR="00D24484">
        <w:rPr>
          <w:i/>
          <w:iCs/>
        </w:rPr>
        <w:t>See</w:t>
      </w:r>
      <w:r w:rsidR="00D24484">
        <w:t xml:space="preserve"> </w:t>
      </w:r>
      <w:r w:rsidR="00843EB1">
        <w:t xml:space="preserve">Center for Medicare and Medicaid Services, </w:t>
      </w:r>
      <w:r w:rsidRPr="00843EB1">
        <w:rPr>
          <w:i/>
          <w:iCs/>
        </w:rPr>
        <w:t>List of Certified Independent Dispute Resolution Entities</w:t>
      </w:r>
      <w:r w:rsidR="00843EB1">
        <w:t xml:space="preserve">, </w:t>
      </w:r>
      <w:hyperlink r:id="rId4" w:history="1">
        <w:r w:rsidRPr="00FA73B1" w:rsidR="00843EB1">
          <w:rPr>
            <w:rStyle w:val="Hyperlink"/>
          </w:rPr>
          <w:t>https://www.cms.gov/nosurprises/Help-resolve-payment-disputes/certified-IDRE-list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2F7F" w:rsidP="00E9456C" w14:paraId="386CB4DB" w14:textId="2CCB580C">
    <w:pPr>
      <w:jc w:val="both"/>
      <w:rPr>
        <w:b/>
        <w:bCs/>
        <w:sz w:val="20"/>
        <w:szCs w:val="20"/>
      </w:rPr>
    </w:pPr>
    <w:r>
      <w:rPr>
        <w:b/>
        <w:bCs/>
        <w:sz w:val="20"/>
        <w:szCs w:val="20"/>
      </w:rPr>
      <w:t xml:space="preserve">Independent Dispute Resolution Process </w:t>
    </w:r>
  </w:p>
  <w:p w:rsidR="005C7DE8" w:rsidP="00E636DD" w14:paraId="3AD33196" w14:textId="72816741">
    <w:pPr>
      <w:rPr>
        <w:b/>
        <w:bCs/>
        <w:sz w:val="20"/>
        <w:szCs w:val="20"/>
      </w:rPr>
    </w:pPr>
    <w:r>
      <w:rPr>
        <w:b/>
        <w:bCs/>
        <w:sz w:val="20"/>
        <w:szCs w:val="20"/>
      </w:rPr>
      <w:t>OMB Control No. 1210-0169</w:t>
    </w:r>
  </w:p>
  <w:p w:rsidR="005C7DE8" w:rsidRPr="00A02751" w:rsidP="0021640A" w14:paraId="62853E28" w14:textId="45E841B1">
    <w:pPr>
      <w:rPr>
        <w:b/>
        <w:bCs/>
        <w:sz w:val="20"/>
        <w:szCs w:val="20"/>
      </w:rPr>
    </w:pPr>
    <w:r w:rsidRPr="00A02751">
      <w:rPr>
        <w:b/>
        <w:bCs/>
        <w:sz w:val="20"/>
        <w:szCs w:val="20"/>
      </w:rPr>
      <w:t xml:space="preserve">Expiration Date: </w:t>
    </w:r>
    <w:r w:rsidR="00D550F4">
      <w:rPr>
        <w:b/>
        <w:bCs/>
        <w:sz w:val="20"/>
        <w:szCs w:val="20"/>
      </w:rPr>
      <w:t>3/31/2026</w:t>
    </w:r>
  </w:p>
  <w:p w:rsidR="005C7DE8" w:rsidRPr="00304EF3" w:rsidP="00304EF3" w14:paraId="532218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00EC10D0"/>
    <w:multiLevelType w:val="hybridMultilevel"/>
    <w:tmpl w:val="69344F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2256A8A"/>
    <w:multiLevelType w:val="hybridMultilevel"/>
    <w:tmpl w:val="FFE4922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26D32DD"/>
    <w:multiLevelType w:val="hybridMultilevel"/>
    <w:tmpl w:val="C96A73FC"/>
    <w:lvl w:ilvl="0">
      <w:start w:val="3"/>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EA2559"/>
    <w:multiLevelType w:val="hybridMultilevel"/>
    <w:tmpl w:val="2E0AC3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CD10C9"/>
    <w:multiLevelType w:val="hybridMultilevel"/>
    <w:tmpl w:val="37AE659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11220943"/>
    <w:multiLevelType w:val="hybridMultilevel"/>
    <w:tmpl w:val="FE50FC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BA73B3"/>
    <w:multiLevelType w:val="hybridMultilevel"/>
    <w:tmpl w:val="4BE88C48"/>
    <w:lvl w:ilvl="0">
      <w:start w:val="1"/>
      <w:numFmt w:val="lowerRoman"/>
      <w:lvlText w:val="%1."/>
      <w:lvlJc w:val="left"/>
      <w:pPr>
        <w:ind w:left="1440" w:hanging="720"/>
      </w:pPr>
      <w:rPr>
        <w:rFonts w:ascii="Times New Roman" w:hAnsi="Times New Roman" w:cs="Times New Roman" w:hint="default"/>
        <w:i/>
        <w:color w:val="auto"/>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25C4E61"/>
    <w:multiLevelType w:val="multilevel"/>
    <w:tmpl w:val="5358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6F222B"/>
    <w:multiLevelType w:val="hybridMultilevel"/>
    <w:tmpl w:val="4BE88C48"/>
    <w:lvl w:ilvl="0">
      <w:start w:val="1"/>
      <w:numFmt w:val="lowerRoman"/>
      <w:lvlText w:val="%1."/>
      <w:lvlJc w:val="left"/>
      <w:pPr>
        <w:ind w:left="1440" w:hanging="720"/>
      </w:pPr>
      <w:rPr>
        <w:rFonts w:ascii="Times New Roman" w:hAnsi="Times New Roman" w:cs="Times New Roman" w:hint="default"/>
        <w:i/>
        <w:color w:val="auto"/>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6341C81"/>
    <w:multiLevelType w:val="multilevel"/>
    <w:tmpl w:val="9E6295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273119"/>
    <w:multiLevelType w:val="hybridMultilevel"/>
    <w:tmpl w:val="4BE88C48"/>
    <w:lvl w:ilvl="0">
      <w:start w:val="1"/>
      <w:numFmt w:val="lowerRoman"/>
      <w:lvlText w:val="%1."/>
      <w:lvlJc w:val="left"/>
      <w:pPr>
        <w:ind w:left="1440" w:hanging="720"/>
      </w:pPr>
      <w:rPr>
        <w:rFonts w:ascii="Times New Roman" w:hAnsi="Times New Roman" w:cs="Times New Roman" w:hint="default"/>
        <w:i/>
        <w:color w:val="auto"/>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DBE6117"/>
    <w:multiLevelType w:val="hybridMultilevel"/>
    <w:tmpl w:val="FD763D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4041982"/>
    <w:multiLevelType w:val="hybridMultilevel"/>
    <w:tmpl w:val="F3E2ACE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46F018AC"/>
    <w:multiLevelType w:val="hybridMultilevel"/>
    <w:tmpl w:val="80026E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7F96124"/>
    <w:multiLevelType w:val="hybridMultilevel"/>
    <w:tmpl w:val="EF4E16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7A2FFB"/>
    <w:multiLevelType w:val="hybridMultilevel"/>
    <w:tmpl w:val="C6CE7E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6B7652F"/>
    <w:multiLevelType w:val="hybridMultilevel"/>
    <w:tmpl w:val="48544F10"/>
    <w:lvl w:ilvl="0">
      <w:start w:val="5"/>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A47A97"/>
    <w:multiLevelType w:val="hybridMultilevel"/>
    <w:tmpl w:val="6B96BD4C"/>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2CB4652"/>
    <w:multiLevelType w:val="multilevel"/>
    <w:tmpl w:val="1B7A8AF0"/>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20">
    <w:nsid w:val="64B66D05"/>
    <w:multiLevelType w:val="hybridMultilevel"/>
    <w:tmpl w:val="2EE6B802"/>
    <w:lvl w:ilvl="0">
      <w:start w:val="1"/>
      <w:numFmt w:val="lowerRoman"/>
      <w:lvlText w:val="%1."/>
      <w:lvlJc w:val="left"/>
      <w:pPr>
        <w:ind w:left="1440" w:hanging="720"/>
      </w:pPr>
      <w:rPr>
        <w:rFonts w:ascii="Times New Roman" w:hAnsi="Times New Roman" w:cs="Times New Roman" w:hint="default"/>
        <w:i/>
        <w:color w:val="auto"/>
        <w:sz w:val="24"/>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9A64787"/>
    <w:multiLevelType w:val="hybridMultilevel"/>
    <w:tmpl w:val="4BE88C48"/>
    <w:lvl w:ilvl="0">
      <w:start w:val="1"/>
      <w:numFmt w:val="lowerRoman"/>
      <w:lvlText w:val="%1."/>
      <w:lvlJc w:val="left"/>
      <w:pPr>
        <w:ind w:left="1440" w:hanging="720"/>
      </w:pPr>
      <w:rPr>
        <w:rFonts w:ascii="Times New Roman" w:hAnsi="Times New Roman" w:cs="Times New Roman" w:hint="default"/>
        <w:i/>
        <w:color w:val="auto"/>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25A3015"/>
    <w:multiLevelType w:val="hybridMultilevel"/>
    <w:tmpl w:val="9D125290"/>
    <w:lvl w:ilvl="0">
      <w:start w:val="1"/>
      <w:numFmt w:val="lowerRoman"/>
      <w:lvlText w:val="%1."/>
      <w:lvlJc w:val="left"/>
      <w:pPr>
        <w:ind w:left="1440" w:hanging="360"/>
      </w:pPr>
      <w:rPr>
        <w:rFonts w:ascii="Times New Roman" w:hAnsi="Times New Roman" w:cs="Times New Roman" w:hint="default"/>
        <w:i/>
        <w:color w:val="auto"/>
        <w:sz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5F34EF2"/>
    <w:multiLevelType w:val="hybridMultilevel"/>
    <w:tmpl w:val="E81AE5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CCB482C"/>
    <w:multiLevelType w:val="hybridMultilevel"/>
    <w:tmpl w:val="D382BDD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86302237">
    <w:abstractNumId w:val="0"/>
    <w:lvlOverride w:ilvl="0">
      <w:startOverride w:val="1"/>
      <w:lvl w:ilvl="0">
        <w:start w:val="1"/>
        <w:numFmt w:val="decimal"/>
        <w:pStyle w:val="Quick1"/>
        <w:lvlText w:val="%1."/>
        <w:lvlJc w:val="left"/>
      </w:lvl>
    </w:lvlOverride>
  </w:num>
  <w:num w:numId="2" w16cid:durableId="199976816">
    <w:abstractNumId w:val="0"/>
    <w:lvlOverride w:ilvl="0">
      <w:startOverride w:val="13"/>
      <w:lvl w:ilvl="0">
        <w:start w:val="13"/>
        <w:numFmt w:val="decimal"/>
        <w:pStyle w:val="Quick1"/>
        <w:lvlText w:val="%1."/>
        <w:lvlJc w:val="left"/>
      </w:lvl>
    </w:lvlOverride>
  </w:num>
  <w:num w:numId="3" w16cid:durableId="1185823526">
    <w:abstractNumId w:val="16"/>
  </w:num>
  <w:num w:numId="4" w16cid:durableId="1332293464">
    <w:abstractNumId w:val="19"/>
  </w:num>
  <w:num w:numId="5" w16cid:durableId="148059829">
    <w:abstractNumId w:val="1"/>
  </w:num>
  <w:num w:numId="6" w16cid:durableId="316997848">
    <w:abstractNumId w:val="0"/>
    <w:lvlOverride w:ilvl="0">
      <w:startOverride w:val="3"/>
      <w:lvl w:ilvl="0">
        <w:start w:val="3"/>
        <w:numFmt w:val="decimal"/>
        <w:pStyle w:val="Quick1"/>
        <w:lvlText w:val="%1."/>
        <w:lvlJc w:val="left"/>
      </w:lvl>
    </w:lvlOverride>
  </w:num>
  <w:num w:numId="7" w16cid:durableId="981621962">
    <w:abstractNumId w:val="18"/>
  </w:num>
  <w:num w:numId="8" w16cid:durableId="268394270">
    <w:abstractNumId w:val="6"/>
  </w:num>
  <w:num w:numId="9" w16cid:durableId="234709761">
    <w:abstractNumId w:val="20"/>
  </w:num>
  <w:num w:numId="10" w16cid:durableId="97874821">
    <w:abstractNumId w:val="22"/>
  </w:num>
  <w:num w:numId="11" w16cid:durableId="504517190">
    <w:abstractNumId w:val="10"/>
  </w:num>
  <w:num w:numId="12" w16cid:durableId="655886942">
    <w:abstractNumId w:val="14"/>
  </w:num>
  <w:num w:numId="13" w16cid:durableId="982465023">
    <w:abstractNumId w:val="14"/>
  </w:num>
  <w:num w:numId="14" w16cid:durableId="1778593773">
    <w:abstractNumId w:val="9"/>
  </w:num>
  <w:num w:numId="15" w16cid:durableId="826554768">
    <w:abstractNumId w:val="21"/>
  </w:num>
  <w:num w:numId="16" w16cid:durableId="536771781">
    <w:abstractNumId w:val="7"/>
  </w:num>
  <w:num w:numId="17" w16cid:durableId="472917180">
    <w:abstractNumId w:val="11"/>
  </w:num>
  <w:num w:numId="18" w16cid:durableId="1824351854">
    <w:abstractNumId w:val="15"/>
  </w:num>
  <w:num w:numId="19" w16cid:durableId="1807353966">
    <w:abstractNumId w:val="5"/>
  </w:num>
  <w:num w:numId="20" w16cid:durableId="549196360">
    <w:abstractNumId w:val="13"/>
  </w:num>
  <w:num w:numId="21" w16cid:durableId="794176370">
    <w:abstractNumId w:val="17"/>
  </w:num>
  <w:num w:numId="22" w16cid:durableId="2043086771">
    <w:abstractNumId w:val="2"/>
  </w:num>
  <w:num w:numId="23" w16cid:durableId="1130973145">
    <w:abstractNumId w:val="4"/>
  </w:num>
  <w:num w:numId="24" w16cid:durableId="967933356">
    <w:abstractNumId w:val="3"/>
  </w:num>
  <w:num w:numId="25" w16cid:durableId="307436608">
    <w:abstractNumId w:val="23"/>
  </w:num>
  <w:num w:numId="26" w16cid:durableId="2081511612">
    <w:abstractNumId w:val="24"/>
  </w:num>
  <w:num w:numId="27" w16cid:durableId="1481192766">
    <w:abstractNumId w:val="12"/>
  </w:num>
  <w:num w:numId="28" w16cid:durableId="8296340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71"/>
    <w:rsid w:val="00000866"/>
    <w:rsid w:val="00000F4C"/>
    <w:rsid w:val="0000119D"/>
    <w:rsid w:val="00001339"/>
    <w:rsid w:val="000014D0"/>
    <w:rsid w:val="000017AC"/>
    <w:rsid w:val="000017D5"/>
    <w:rsid w:val="000018A2"/>
    <w:rsid w:val="00001BD1"/>
    <w:rsid w:val="00002344"/>
    <w:rsid w:val="00002677"/>
    <w:rsid w:val="000026A3"/>
    <w:rsid w:val="00002942"/>
    <w:rsid w:val="00002AF6"/>
    <w:rsid w:val="00002B89"/>
    <w:rsid w:val="00002EE4"/>
    <w:rsid w:val="000036D6"/>
    <w:rsid w:val="000040ED"/>
    <w:rsid w:val="00004192"/>
    <w:rsid w:val="000041C4"/>
    <w:rsid w:val="00004307"/>
    <w:rsid w:val="00004549"/>
    <w:rsid w:val="00004825"/>
    <w:rsid w:val="00004D92"/>
    <w:rsid w:val="00004DD4"/>
    <w:rsid w:val="00004F40"/>
    <w:rsid w:val="00005892"/>
    <w:rsid w:val="00005A16"/>
    <w:rsid w:val="00005C04"/>
    <w:rsid w:val="00006703"/>
    <w:rsid w:val="000067E1"/>
    <w:rsid w:val="000068AB"/>
    <w:rsid w:val="00006A50"/>
    <w:rsid w:val="00006B08"/>
    <w:rsid w:val="0000714B"/>
    <w:rsid w:val="000072F0"/>
    <w:rsid w:val="000077C1"/>
    <w:rsid w:val="00007830"/>
    <w:rsid w:val="00007D5F"/>
    <w:rsid w:val="00007D86"/>
    <w:rsid w:val="00007EDD"/>
    <w:rsid w:val="000109A1"/>
    <w:rsid w:val="00010A09"/>
    <w:rsid w:val="00010A31"/>
    <w:rsid w:val="00010B64"/>
    <w:rsid w:val="00010BAD"/>
    <w:rsid w:val="00011C8D"/>
    <w:rsid w:val="00011D4E"/>
    <w:rsid w:val="00011EBD"/>
    <w:rsid w:val="00011F56"/>
    <w:rsid w:val="0001246C"/>
    <w:rsid w:val="00012726"/>
    <w:rsid w:val="00012D1D"/>
    <w:rsid w:val="000130B6"/>
    <w:rsid w:val="000131BF"/>
    <w:rsid w:val="0001320A"/>
    <w:rsid w:val="000137BE"/>
    <w:rsid w:val="00013971"/>
    <w:rsid w:val="00013A8F"/>
    <w:rsid w:val="00013AB4"/>
    <w:rsid w:val="00013DB0"/>
    <w:rsid w:val="00013DB2"/>
    <w:rsid w:val="00013DBA"/>
    <w:rsid w:val="00013EDC"/>
    <w:rsid w:val="00014077"/>
    <w:rsid w:val="0001407F"/>
    <w:rsid w:val="00014178"/>
    <w:rsid w:val="0001422A"/>
    <w:rsid w:val="0001454C"/>
    <w:rsid w:val="00014626"/>
    <w:rsid w:val="0001487A"/>
    <w:rsid w:val="00014B9C"/>
    <w:rsid w:val="00014C15"/>
    <w:rsid w:val="000153FC"/>
    <w:rsid w:val="000155D0"/>
    <w:rsid w:val="00015D31"/>
    <w:rsid w:val="00016171"/>
    <w:rsid w:val="00016391"/>
    <w:rsid w:val="00016501"/>
    <w:rsid w:val="00016C2A"/>
    <w:rsid w:val="00016C6D"/>
    <w:rsid w:val="00016D9C"/>
    <w:rsid w:val="0001732A"/>
    <w:rsid w:val="00017466"/>
    <w:rsid w:val="00017AAB"/>
    <w:rsid w:val="00017B4C"/>
    <w:rsid w:val="00020106"/>
    <w:rsid w:val="00020B35"/>
    <w:rsid w:val="00020E7C"/>
    <w:rsid w:val="0002124C"/>
    <w:rsid w:val="000212B4"/>
    <w:rsid w:val="000213C1"/>
    <w:rsid w:val="00021461"/>
    <w:rsid w:val="0002155F"/>
    <w:rsid w:val="000216DB"/>
    <w:rsid w:val="0002211D"/>
    <w:rsid w:val="00022533"/>
    <w:rsid w:val="00022638"/>
    <w:rsid w:val="0002297E"/>
    <w:rsid w:val="00022C34"/>
    <w:rsid w:val="00022EDE"/>
    <w:rsid w:val="00022FB2"/>
    <w:rsid w:val="0002339D"/>
    <w:rsid w:val="000233FB"/>
    <w:rsid w:val="00023515"/>
    <w:rsid w:val="00023581"/>
    <w:rsid w:val="00023670"/>
    <w:rsid w:val="00023A9D"/>
    <w:rsid w:val="00023BBA"/>
    <w:rsid w:val="00023FB5"/>
    <w:rsid w:val="000245BE"/>
    <w:rsid w:val="00024708"/>
    <w:rsid w:val="000248A9"/>
    <w:rsid w:val="0002496E"/>
    <w:rsid w:val="00024971"/>
    <w:rsid w:val="00024B6B"/>
    <w:rsid w:val="00024B8D"/>
    <w:rsid w:val="00024BC5"/>
    <w:rsid w:val="00024F6B"/>
    <w:rsid w:val="000250C2"/>
    <w:rsid w:val="000251F0"/>
    <w:rsid w:val="0002520E"/>
    <w:rsid w:val="00025232"/>
    <w:rsid w:val="00025549"/>
    <w:rsid w:val="00025587"/>
    <w:rsid w:val="00025598"/>
    <w:rsid w:val="0002594B"/>
    <w:rsid w:val="000259CB"/>
    <w:rsid w:val="00025CA1"/>
    <w:rsid w:val="000260C2"/>
    <w:rsid w:val="00026131"/>
    <w:rsid w:val="000266D2"/>
    <w:rsid w:val="00026B86"/>
    <w:rsid w:val="00026D9C"/>
    <w:rsid w:val="00026E4E"/>
    <w:rsid w:val="000272F9"/>
    <w:rsid w:val="00027448"/>
    <w:rsid w:val="000275F5"/>
    <w:rsid w:val="00027ABA"/>
    <w:rsid w:val="00027CA2"/>
    <w:rsid w:val="00027D3C"/>
    <w:rsid w:val="00027DBF"/>
    <w:rsid w:val="00027F24"/>
    <w:rsid w:val="000301EC"/>
    <w:rsid w:val="00030D15"/>
    <w:rsid w:val="00030FF0"/>
    <w:rsid w:val="00031203"/>
    <w:rsid w:val="000313E2"/>
    <w:rsid w:val="00031794"/>
    <w:rsid w:val="0003188A"/>
    <w:rsid w:val="00032411"/>
    <w:rsid w:val="00032509"/>
    <w:rsid w:val="00032785"/>
    <w:rsid w:val="00032805"/>
    <w:rsid w:val="00032BD5"/>
    <w:rsid w:val="0003304F"/>
    <w:rsid w:val="000337FF"/>
    <w:rsid w:val="00033811"/>
    <w:rsid w:val="00033A79"/>
    <w:rsid w:val="00033CED"/>
    <w:rsid w:val="00033D73"/>
    <w:rsid w:val="000341D3"/>
    <w:rsid w:val="000342D1"/>
    <w:rsid w:val="0003451F"/>
    <w:rsid w:val="000347B5"/>
    <w:rsid w:val="00034BD3"/>
    <w:rsid w:val="00034C3B"/>
    <w:rsid w:val="00034D85"/>
    <w:rsid w:val="000350FE"/>
    <w:rsid w:val="000351F1"/>
    <w:rsid w:val="00035506"/>
    <w:rsid w:val="00035515"/>
    <w:rsid w:val="0003584A"/>
    <w:rsid w:val="00035AF8"/>
    <w:rsid w:val="00035D70"/>
    <w:rsid w:val="00036386"/>
    <w:rsid w:val="00036564"/>
    <w:rsid w:val="00036668"/>
    <w:rsid w:val="00037135"/>
    <w:rsid w:val="00037371"/>
    <w:rsid w:val="00037499"/>
    <w:rsid w:val="0003762B"/>
    <w:rsid w:val="000376DF"/>
    <w:rsid w:val="000400DD"/>
    <w:rsid w:val="000401BD"/>
    <w:rsid w:val="000402F7"/>
    <w:rsid w:val="00040D5E"/>
    <w:rsid w:val="00041337"/>
    <w:rsid w:val="0004172A"/>
    <w:rsid w:val="0004181A"/>
    <w:rsid w:val="00041866"/>
    <w:rsid w:val="00041A41"/>
    <w:rsid w:val="00041B85"/>
    <w:rsid w:val="00041BF9"/>
    <w:rsid w:val="00041DBF"/>
    <w:rsid w:val="00041E5C"/>
    <w:rsid w:val="0004211F"/>
    <w:rsid w:val="00042B10"/>
    <w:rsid w:val="00042C99"/>
    <w:rsid w:val="00043139"/>
    <w:rsid w:val="00043562"/>
    <w:rsid w:val="00043925"/>
    <w:rsid w:val="00043D09"/>
    <w:rsid w:val="00044143"/>
    <w:rsid w:val="00044585"/>
    <w:rsid w:val="00044D62"/>
    <w:rsid w:val="000452E6"/>
    <w:rsid w:val="00045732"/>
    <w:rsid w:val="00045D10"/>
    <w:rsid w:val="00045DCA"/>
    <w:rsid w:val="000460AA"/>
    <w:rsid w:val="00046392"/>
    <w:rsid w:val="00046660"/>
    <w:rsid w:val="0004685E"/>
    <w:rsid w:val="000470A7"/>
    <w:rsid w:val="00047211"/>
    <w:rsid w:val="00047421"/>
    <w:rsid w:val="000475B1"/>
    <w:rsid w:val="0004763E"/>
    <w:rsid w:val="00047935"/>
    <w:rsid w:val="0005010A"/>
    <w:rsid w:val="00050690"/>
    <w:rsid w:val="00050923"/>
    <w:rsid w:val="0005096B"/>
    <w:rsid w:val="00050B0A"/>
    <w:rsid w:val="00051291"/>
    <w:rsid w:val="00051601"/>
    <w:rsid w:val="00051637"/>
    <w:rsid w:val="00051918"/>
    <w:rsid w:val="00051A7D"/>
    <w:rsid w:val="00051F9A"/>
    <w:rsid w:val="00052285"/>
    <w:rsid w:val="00052379"/>
    <w:rsid w:val="00052608"/>
    <w:rsid w:val="0005265D"/>
    <w:rsid w:val="000528A5"/>
    <w:rsid w:val="00052C6F"/>
    <w:rsid w:val="00052C7E"/>
    <w:rsid w:val="00052D20"/>
    <w:rsid w:val="0005370C"/>
    <w:rsid w:val="000537F8"/>
    <w:rsid w:val="00053BCE"/>
    <w:rsid w:val="000540DF"/>
    <w:rsid w:val="0005415C"/>
    <w:rsid w:val="000541B8"/>
    <w:rsid w:val="0005424F"/>
    <w:rsid w:val="000545B1"/>
    <w:rsid w:val="000549D9"/>
    <w:rsid w:val="00054A68"/>
    <w:rsid w:val="000550DF"/>
    <w:rsid w:val="000556E3"/>
    <w:rsid w:val="0005575B"/>
    <w:rsid w:val="00055D14"/>
    <w:rsid w:val="00055DE3"/>
    <w:rsid w:val="00056124"/>
    <w:rsid w:val="00056322"/>
    <w:rsid w:val="0005663C"/>
    <w:rsid w:val="0005676F"/>
    <w:rsid w:val="00056965"/>
    <w:rsid w:val="0005731F"/>
    <w:rsid w:val="0005746C"/>
    <w:rsid w:val="000575A8"/>
    <w:rsid w:val="00057913"/>
    <w:rsid w:val="00057AF3"/>
    <w:rsid w:val="00057C2B"/>
    <w:rsid w:val="000602E1"/>
    <w:rsid w:val="00060442"/>
    <w:rsid w:val="0006089D"/>
    <w:rsid w:val="0006123E"/>
    <w:rsid w:val="0006158A"/>
    <w:rsid w:val="000615E2"/>
    <w:rsid w:val="00061AA4"/>
    <w:rsid w:val="00061D44"/>
    <w:rsid w:val="00061F14"/>
    <w:rsid w:val="00062291"/>
    <w:rsid w:val="000625C6"/>
    <w:rsid w:val="00062884"/>
    <w:rsid w:val="000628BC"/>
    <w:rsid w:val="000629A6"/>
    <w:rsid w:val="00062A74"/>
    <w:rsid w:val="00062D82"/>
    <w:rsid w:val="00062DD3"/>
    <w:rsid w:val="00062F90"/>
    <w:rsid w:val="00062FAF"/>
    <w:rsid w:val="00063073"/>
    <w:rsid w:val="000631F4"/>
    <w:rsid w:val="00063330"/>
    <w:rsid w:val="000633F6"/>
    <w:rsid w:val="0006377D"/>
    <w:rsid w:val="00063DD4"/>
    <w:rsid w:val="0006424D"/>
    <w:rsid w:val="00064893"/>
    <w:rsid w:val="00064967"/>
    <w:rsid w:val="00064DAE"/>
    <w:rsid w:val="00064E9B"/>
    <w:rsid w:val="000653BC"/>
    <w:rsid w:val="0006556C"/>
    <w:rsid w:val="000656B4"/>
    <w:rsid w:val="0006579A"/>
    <w:rsid w:val="00065862"/>
    <w:rsid w:val="00066057"/>
    <w:rsid w:val="000665B1"/>
    <w:rsid w:val="00066939"/>
    <w:rsid w:val="00066A5D"/>
    <w:rsid w:val="00066C5F"/>
    <w:rsid w:val="00066FCB"/>
    <w:rsid w:val="000674BC"/>
    <w:rsid w:val="000676FB"/>
    <w:rsid w:val="00067A94"/>
    <w:rsid w:val="00067C35"/>
    <w:rsid w:val="00067E24"/>
    <w:rsid w:val="000702BB"/>
    <w:rsid w:val="00070B41"/>
    <w:rsid w:val="00070BB1"/>
    <w:rsid w:val="0007110F"/>
    <w:rsid w:val="000712D2"/>
    <w:rsid w:val="00071472"/>
    <w:rsid w:val="00071941"/>
    <w:rsid w:val="00071A10"/>
    <w:rsid w:val="00071D49"/>
    <w:rsid w:val="00071D9D"/>
    <w:rsid w:val="00071EAD"/>
    <w:rsid w:val="00071FB5"/>
    <w:rsid w:val="00072800"/>
    <w:rsid w:val="00072EEF"/>
    <w:rsid w:val="000730F9"/>
    <w:rsid w:val="00073549"/>
    <w:rsid w:val="000737D4"/>
    <w:rsid w:val="000739FD"/>
    <w:rsid w:val="00073A3D"/>
    <w:rsid w:val="000740B8"/>
    <w:rsid w:val="0007411B"/>
    <w:rsid w:val="000742B8"/>
    <w:rsid w:val="00074CCD"/>
    <w:rsid w:val="00074DBC"/>
    <w:rsid w:val="00074F6F"/>
    <w:rsid w:val="000752F3"/>
    <w:rsid w:val="0007533E"/>
    <w:rsid w:val="000754F8"/>
    <w:rsid w:val="00075537"/>
    <w:rsid w:val="0007564F"/>
    <w:rsid w:val="00076304"/>
    <w:rsid w:val="00076439"/>
    <w:rsid w:val="00076651"/>
    <w:rsid w:val="000767BB"/>
    <w:rsid w:val="00076AAE"/>
    <w:rsid w:val="00076D54"/>
    <w:rsid w:val="00076F5A"/>
    <w:rsid w:val="00077361"/>
    <w:rsid w:val="000776F4"/>
    <w:rsid w:val="00077CBF"/>
    <w:rsid w:val="000800DC"/>
    <w:rsid w:val="00080254"/>
    <w:rsid w:val="000804C6"/>
    <w:rsid w:val="0008050A"/>
    <w:rsid w:val="00080580"/>
    <w:rsid w:val="00081492"/>
    <w:rsid w:val="00081782"/>
    <w:rsid w:val="00081A61"/>
    <w:rsid w:val="00081DA0"/>
    <w:rsid w:val="00081F3C"/>
    <w:rsid w:val="00082248"/>
    <w:rsid w:val="00082364"/>
    <w:rsid w:val="000824FF"/>
    <w:rsid w:val="000829D7"/>
    <w:rsid w:val="00082AB6"/>
    <w:rsid w:val="00082C09"/>
    <w:rsid w:val="00082D7C"/>
    <w:rsid w:val="00083036"/>
    <w:rsid w:val="000831CB"/>
    <w:rsid w:val="000832F9"/>
    <w:rsid w:val="000836F6"/>
    <w:rsid w:val="000837D2"/>
    <w:rsid w:val="000838E9"/>
    <w:rsid w:val="000839E5"/>
    <w:rsid w:val="00083A8E"/>
    <w:rsid w:val="00083CE8"/>
    <w:rsid w:val="00083D16"/>
    <w:rsid w:val="000848C2"/>
    <w:rsid w:val="00084D8B"/>
    <w:rsid w:val="00084E30"/>
    <w:rsid w:val="00084E91"/>
    <w:rsid w:val="00085382"/>
    <w:rsid w:val="000857BD"/>
    <w:rsid w:val="00085B68"/>
    <w:rsid w:val="00085C35"/>
    <w:rsid w:val="00085E97"/>
    <w:rsid w:val="000862EB"/>
    <w:rsid w:val="0008646C"/>
    <w:rsid w:val="00086790"/>
    <w:rsid w:val="000867B8"/>
    <w:rsid w:val="00086803"/>
    <w:rsid w:val="00086DFF"/>
    <w:rsid w:val="00086E19"/>
    <w:rsid w:val="00087043"/>
    <w:rsid w:val="0008732F"/>
    <w:rsid w:val="000874C3"/>
    <w:rsid w:val="00087508"/>
    <w:rsid w:val="00087512"/>
    <w:rsid w:val="00087554"/>
    <w:rsid w:val="00087C9B"/>
    <w:rsid w:val="00087F94"/>
    <w:rsid w:val="000901CA"/>
    <w:rsid w:val="00090343"/>
    <w:rsid w:val="0009069B"/>
    <w:rsid w:val="0009088C"/>
    <w:rsid w:val="00090E77"/>
    <w:rsid w:val="00090EF6"/>
    <w:rsid w:val="00091152"/>
    <w:rsid w:val="0009158F"/>
    <w:rsid w:val="0009159A"/>
    <w:rsid w:val="0009178D"/>
    <w:rsid w:val="00091B85"/>
    <w:rsid w:val="00091BA7"/>
    <w:rsid w:val="00091BE1"/>
    <w:rsid w:val="00091E55"/>
    <w:rsid w:val="000920A0"/>
    <w:rsid w:val="000921F5"/>
    <w:rsid w:val="00092205"/>
    <w:rsid w:val="0009234E"/>
    <w:rsid w:val="00092362"/>
    <w:rsid w:val="00092412"/>
    <w:rsid w:val="00092419"/>
    <w:rsid w:val="000924D7"/>
    <w:rsid w:val="000926F4"/>
    <w:rsid w:val="00092706"/>
    <w:rsid w:val="00093172"/>
    <w:rsid w:val="00093290"/>
    <w:rsid w:val="000939E6"/>
    <w:rsid w:val="00093E81"/>
    <w:rsid w:val="00093EEF"/>
    <w:rsid w:val="00094142"/>
    <w:rsid w:val="00094296"/>
    <w:rsid w:val="00094383"/>
    <w:rsid w:val="0009441D"/>
    <w:rsid w:val="000946DF"/>
    <w:rsid w:val="000949E6"/>
    <w:rsid w:val="00094BF0"/>
    <w:rsid w:val="00094CA7"/>
    <w:rsid w:val="00094DD9"/>
    <w:rsid w:val="00094DF0"/>
    <w:rsid w:val="00095113"/>
    <w:rsid w:val="00095501"/>
    <w:rsid w:val="000955F5"/>
    <w:rsid w:val="0009560B"/>
    <w:rsid w:val="000957A8"/>
    <w:rsid w:val="0009616A"/>
    <w:rsid w:val="00096381"/>
    <w:rsid w:val="00096656"/>
    <w:rsid w:val="00096671"/>
    <w:rsid w:val="00096D8A"/>
    <w:rsid w:val="00096EF7"/>
    <w:rsid w:val="000971E3"/>
    <w:rsid w:val="00097258"/>
    <w:rsid w:val="00097E93"/>
    <w:rsid w:val="00097FB5"/>
    <w:rsid w:val="000A0098"/>
    <w:rsid w:val="000A03AB"/>
    <w:rsid w:val="000A0660"/>
    <w:rsid w:val="000A0709"/>
    <w:rsid w:val="000A08DD"/>
    <w:rsid w:val="000A0D9D"/>
    <w:rsid w:val="000A0E59"/>
    <w:rsid w:val="000A18E5"/>
    <w:rsid w:val="000A1B2C"/>
    <w:rsid w:val="000A1BB9"/>
    <w:rsid w:val="000A1BD0"/>
    <w:rsid w:val="000A2303"/>
    <w:rsid w:val="000A267D"/>
    <w:rsid w:val="000A289E"/>
    <w:rsid w:val="000A2F9D"/>
    <w:rsid w:val="000A3126"/>
    <w:rsid w:val="000A387B"/>
    <w:rsid w:val="000A3912"/>
    <w:rsid w:val="000A3E13"/>
    <w:rsid w:val="000A3FF6"/>
    <w:rsid w:val="000A420E"/>
    <w:rsid w:val="000A441E"/>
    <w:rsid w:val="000A45CE"/>
    <w:rsid w:val="000A4705"/>
    <w:rsid w:val="000A4A55"/>
    <w:rsid w:val="000A50F2"/>
    <w:rsid w:val="000A5324"/>
    <w:rsid w:val="000A534E"/>
    <w:rsid w:val="000A5362"/>
    <w:rsid w:val="000A5486"/>
    <w:rsid w:val="000A548A"/>
    <w:rsid w:val="000A61FE"/>
    <w:rsid w:val="000A65EB"/>
    <w:rsid w:val="000A6C42"/>
    <w:rsid w:val="000A6DD7"/>
    <w:rsid w:val="000A7404"/>
    <w:rsid w:val="000A74AE"/>
    <w:rsid w:val="000A7733"/>
    <w:rsid w:val="000A7936"/>
    <w:rsid w:val="000A7FA9"/>
    <w:rsid w:val="000B0013"/>
    <w:rsid w:val="000B00AE"/>
    <w:rsid w:val="000B00F1"/>
    <w:rsid w:val="000B026D"/>
    <w:rsid w:val="000B069B"/>
    <w:rsid w:val="000B0783"/>
    <w:rsid w:val="000B0809"/>
    <w:rsid w:val="000B10AF"/>
    <w:rsid w:val="000B151A"/>
    <w:rsid w:val="000B1902"/>
    <w:rsid w:val="000B225E"/>
    <w:rsid w:val="000B22D0"/>
    <w:rsid w:val="000B2647"/>
    <w:rsid w:val="000B2727"/>
    <w:rsid w:val="000B2B5F"/>
    <w:rsid w:val="000B2D0C"/>
    <w:rsid w:val="000B2D37"/>
    <w:rsid w:val="000B2DE9"/>
    <w:rsid w:val="000B2FFF"/>
    <w:rsid w:val="000B312A"/>
    <w:rsid w:val="000B32FA"/>
    <w:rsid w:val="000B371C"/>
    <w:rsid w:val="000B3E6E"/>
    <w:rsid w:val="000B423C"/>
    <w:rsid w:val="000B4300"/>
    <w:rsid w:val="000B4602"/>
    <w:rsid w:val="000B46B4"/>
    <w:rsid w:val="000B47B2"/>
    <w:rsid w:val="000B4A4C"/>
    <w:rsid w:val="000B4DC1"/>
    <w:rsid w:val="000B53A5"/>
    <w:rsid w:val="000B54B8"/>
    <w:rsid w:val="000B557A"/>
    <w:rsid w:val="000B56FD"/>
    <w:rsid w:val="000B60A7"/>
    <w:rsid w:val="000B6775"/>
    <w:rsid w:val="000B67BF"/>
    <w:rsid w:val="000B68C9"/>
    <w:rsid w:val="000B6B54"/>
    <w:rsid w:val="000B6BB5"/>
    <w:rsid w:val="000B6EF2"/>
    <w:rsid w:val="000B7109"/>
    <w:rsid w:val="000B714B"/>
    <w:rsid w:val="000B75D9"/>
    <w:rsid w:val="000B791A"/>
    <w:rsid w:val="000B7A62"/>
    <w:rsid w:val="000B7A90"/>
    <w:rsid w:val="000B7BA9"/>
    <w:rsid w:val="000B7E3C"/>
    <w:rsid w:val="000C00B8"/>
    <w:rsid w:val="000C1639"/>
    <w:rsid w:val="000C18F0"/>
    <w:rsid w:val="000C1E65"/>
    <w:rsid w:val="000C226F"/>
    <w:rsid w:val="000C239E"/>
    <w:rsid w:val="000C27BB"/>
    <w:rsid w:val="000C29AC"/>
    <w:rsid w:val="000C3046"/>
    <w:rsid w:val="000C3AB0"/>
    <w:rsid w:val="000C3AC6"/>
    <w:rsid w:val="000C3C57"/>
    <w:rsid w:val="000C3EBB"/>
    <w:rsid w:val="000C3FBD"/>
    <w:rsid w:val="000C423D"/>
    <w:rsid w:val="000C42C3"/>
    <w:rsid w:val="000C43AB"/>
    <w:rsid w:val="000C468D"/>
    <w:rsid w:val="000C476F"/>
    <w:rsid w:val="000C497A"/>
    <w:rsid w:val="000C4D62"/>
    <w:rsid w:val="000C514A"/>
    <w:rsid w:val="000C51B5"/>
    <w:rsid w:val="000C51E4"/>
    <w:rsid w:val="000C51F3"/>
    <w:rsid w:val="000C5259"/>
    <w:rsid w:val="000C53D9"/>
    <w:rsid w:val="000C5747"/>
    <w:rsid w:val="000C580C"/>
    <w:rsid w:val="000C5D5D"/>
    <w:rsid w:val="000C5ECE"/>
    <w:rsid w:val="000C5F1C"/>
    <w:rsid w:val="000C640F"/>
    <w:rsid w:val="000C6C0F"/>
    <w:rsid w:val="000C6D3C"/>
    <w:rsid w:val="000C6F39"/>
    <w:rsid w:val="000C7327"/>
    <w:rsid w:val="000C75C0"/>
    <w:rsid w:val="000C79C3"/>
    <w:rsid w:val="000C7BF9"/>
    <w:rsid w:val="000C7E17"/>
    <w:rsid w:val="000C7E2B"/>
    <w:rsid w:val="000D033F"/>
    <w:rsid w:val="000D0678"/>
    <w:rsid w:val="000D0E2E"/>
    <w:rsid w:val="000D0EBC"/>
    <w:rsid w:val="000D0EF0"/>
    <w:rsid w:val="000D11E7"/>
    <w:rsid w:val="000D131C"/>
    <w:rsid w:val="000D14E0"/>
    <w:rsid w:val="000D152D"/>
    <w:rsid w:val="000D16AC"/>
    <w:rsid w:val="000D1789"/>
    <w:rsid w:val="000D1E91"/>
    <w:rsid w:val="000D243C"/>
    <w:rsid w:val="000D2892"/>
    <w:rsid w:val="000D2AE3"/>
    <w:rsid w:val="000D2B71"/>
    <w:rsid w:val="000D2BF1"/>
    <w:rsid w:val="000D2FEA"/>
    <w:rsid w:val="000D35DB"/>
    <w:rsid w:val="000D39BB"/>
    <w:rsid w:val="000D3F1D"/>
    <w:rsid w:val="000D4153"/>
    <w:rsid w:val="000D44DA"/>
    <w:rsid w:val="000D4586"/>
    <w:rsid w:val="000D476D"/>
    <w:rsid w:val="000D49C1"/>
    <w:rsid w:val="000D53FC"/>
    <w:rsid w:val="000D544E"/>
    <w:rsid w:val="000D568D"/>
    <w:rsid w:val="000D56A6"/>
    <w:rsid w:val="000D58CD"/>
    <w:rsid w:val="000D5BAE"/>
    <w:rsid w:val="000D5E2A"/>
    <w:rsid w:val="000D61B1"/>
    <w:rsid w:val="000D62FB"/>
    <w:rsid w:val="000D68AC"/>
    <w:rsid w:val="000D6E19"/>
    <w:rsid w:val="000D7476"/>
    <w:rsid w:val="000D7C84"/>
    <w:rsid w:val="000D7FF4"/>
    <w:rsid w:val="000E009F"/>
    <w:rsid w:val="000E01F4"/>
    <w:rsid w:val="000E05F5"/>
    <w:rsid w:val="000E09E3"/>
    <w:rsid w:val="000E0A56"/>
    <w:rsid w:val="000E0C0E"/>
    <w:rsid w:val="000E0DCA"/>
    <w:rsid w:val="000E0F32"/>
    <w:rsid w:val="000E1300"/>
    <w:rsid w:val="000E13AB"/>
    <w:rsid w:val="000E2397"/>
    <w:rsid w:val="000E24AF"/>
    <w:rsid w:val="000E2530"/>
    <w:rsid w:val="000E26CD"/>
    <w:rsid w:val="000E2B4C"/>
    <w:rsid w:val="000E3223"/>
    <w:rsid w:val="000E339E"/>
    <w:rsid w:val="000E3BA6"/>
    <w:rsid w:val="000E3DDF"/>
    <w:rsid w:val="000E41DB"/>
    <w:rsid w:val="000E4294"/>
    <w:rsid w:val="000E4514"/>
    <w:rsid w:val="000E4666"/>
    <w:rsid w:val="000E4B78"/>
    <w:rsid w:val="000E4E88"/>
    <w:rsid w:val="000E50A6"/>
    <w:rsid w:val="000E599E"/>
    <w:rsid w:val="000E59A8"/>
    <w:rsid w:val="000E5A4F"/>
    <w:rsid w:val="000E5C51"/>
    <w:rsid w:val="000E5EF1"/>
    <w:rsid w:val="000E602D"/>
    <w:rsid w:val="000E640B"/>
    <w:rsid w:val="000E6578"/>
    <w:rsid w:val="000E6588"/>
    <w:rsid w:val="000E6AB2"/>
    <w:rsid w:val="000E6B5E"/>
    <w:rsid w:val="000E6D37"/>
    <w:rsid w:val="000E799A"/>
    <w:rsid w:val="000E7D8A"/>
    <w:rsid w:val="000E7F6B"/>
    <w:rsid w:val="000E7FD6"/>
    <w:rsid w:val="000F05F0"/>
    <w:rsid w:val="000F079F"/>
    <w:rsid w:val="000F0925"/>
    <w:rsid w:val="000F0A5A"/>
    <w:rsid w:val="000F0ABC"/>
    <w:rsid w:val="000F0B43"/>
    <w:rsid w:val="000F0C52"/>
    <w:rsid w:val="000F1324"/>
    <w:rsid w:val="000F1929"/>
    <w:rsid w:val="000F1C69"/>
    <w:rsid w:val="000F20D7"/>
    <w:rsid w:val="000F226E"/>
    <w:rsid w:val="000F2685"/>
    <w:rsid w:val="000F2A44"/>
    <w:rsid w:val="000F2B3A"/>
    <w:rsid w:val="000F2FBE"/>
    <w:rsid w:val="000F34B0"/>
    <w:rsid w:val="000F34B9"/>
    <w:rsid w:val="000F3566"/>
    <w:rsid w:val="000F375D"/>
    <w:rsid w:val="000F3FD4"/>
    <w:rsid w:val="000F4278"/>
    <w:rsid w:val="000F457E"/>
    <w:rsid w:val="000F48F2"/>
    <w:rsid w:val="000F4CAB"/>
    <w:rsid w:val="000F534C"/>
    <w:rsid w:val="000F55E3"/>
    <w:rsid w:val="000F58CC"/>
    <w:rsid w:val="000F5BA5"/>
    <w:rsid w:val="000F5C27"/>
    <w:rsid w:val="000F5D6D"/>
    <w:rsid w:val="000F5FDB"/>
    <w:rsid w:val="000F605B"/>
    <w:rsid w:val="000F665B"/>
    <w:rsid w:val="000F674B"/>
    <w:rsid w:val="000F6ADB"/>
    <w:rsid w:val="000F6C5C"/>
    <w:rsid w:val="000F6C91"/>
    <w:rsid w:val="000F7192"/>
    <w:rsid w:val="000F7411"/>
    <w:rsid w:val="000F751C"/>
    <w:rsid w:val="000F77B4"/>
    <w:rsid w:val="000F783A"/>
    <w:rsid w:val="000F7CE6"/>
    <w:rsid w:val="00100090"/>
    <w:rsid w:val="00100104"/>
    <w:rsid w:val="0010066F"/>
    <w:rsid w:val="00100CD9"/>
    <w:rsid w:val="00100FD6"/>
    <w:rsid w:val="00101136"/>
    <w:rsid w:val="0010135A"/>
    <w:rsid w:val="001015FE"/>
    <w:rsid w:val="00101920"/>
    <w:rsid w:val="00101CC2"/>
    <w:rsid w:val="00101D8F"/>
    <w:rsid w:val="00101E94"/>
    <w:rsid w:val="00101F8F"/>
    <w:rsid w:val="001021FB"/>
    <w:rsid w:val="001024AA"/>
    <w:rsid w:val="001025DB"/>
    <w:rsid w:val="00102832"/>
    <w:rsid w:val="00102FBD"/>
    <w:rsid w:val="00103300"/>
    <w:rsid w:val="0010342B"/>
    <w:rsid w:val="0010374C"/>
    <w:rsid w:val="00103782"/>
    <w:rsid w:val="001037D1"/>
    <w:rsid w:val="001039D4"/>
    <w:rsid w:val="00103A92"/>
    <w:rsid w:val="00103B1F"/>
    <w:rsid w:val="00103BEF"/>
    <w:rsid w:val="00103DF8"/>
    <w:rsid w:val="00103F53"/>
    <w:rsid w:val="00104028"/>
    <w:rsid w:val="0010475F"/>
    <w:rsid w:val="001055AD"/>
    <w:rsid w:val="001056FE"/>
    <w:rsid w:val="0010596D"/>
    <w:rsid w:val="00105F66"/>
    <w:rsid w:val="00106042"/>
    <w:rsid w:val="00106152"/>
    <w:rsid w:val="0010669C"/>
    <w:rsid w:val="00107BC4"/>
    <w:rsid w:val="00107E1B"/>
    <w:rsid w:val="0011009C"/>
    <w:rsid w:val="001101BA"/>
    <w:rsid w:val="0011033C"/>
    <w:rsid w:val="0011072D"/>
    <w:rsid w:val="00110963"/>
    <w:rsid w:val="00110E8D"/>
    <w:rsid w:val="001112F8"/>
    <w:rsid w:val="0011158D"/>
    <w:rsid w:val="00111B53"/>
    <w:rsid w:val="001120ED"/>
    <w:rsid w:val="001122DA"/>
    <w:rsid w:val="001122F7"/>
    <w:rsid w:val="00112797"/>
    <w:rsid w:val="0011299B"/>
    <w:rsid w:val="00112E86"/>
    <w:rsid w:val="00113180"/>
    <w:rsid w:val="00113454"/>
    <w:rsid w:val="00113735"/>
    <w:rsid w:val="001139E3"/>
    <w:rsid w:val="00113B1E"/>
    <w:rsid w:val="00114042"/>
    <w:rsid w:val="001142CD"/>
    <w:rsid w:val="00114316"/>
    <w:rsid w:val="00114537"/>
    <w:rsid w:val="00114820"/>
    <w:rsid w:val="00114A95"/>
    <w:rsid w:val="00114F4A"/>
    <w:rsid w:val="00114FF4"/>
    <w:rsid w:val="001150BA"/>
    <w:rsid w:val="00115831"/>
    <w:rsid w:val="00116032"/>
    <w:rsid w:val="001161D6"/>
    <w:rsid w:val="00116500"/>
    <w:rsid w:val="0011668D"/>
    <w:rsid w:val="001169A6"/>
    <w:rsid w:val="00116AB8"/>
    <w:rsid w:val="0011705B"/>
    <w:rsid w:val="001175C1"/>
    <w:rsid w:val="00117899"/>
    <w:rsid w:val="00117EE4"/>
    <w:rsid w:val="00120585"/>
    <w:rsid w:val="00120998"/>
    <w:rsid w:val="001209FE"/>
    <w:rsid w:val="00120B97"/>
    <w:rsid w:val="00120E40"/>
    <w:rsid w:val="0012108B"/>
    <w:rsid w:val="001211A6"/>
    <w:rsid w:val="0012126C"/>
    <w:rsid w:val="001212BB"/>
    <w:rsid w:val="001217D8"/>
    <w:rsid w:val="001219CA"/>
    <w:rsid w:val="00121D9E"/>
    <w:rsid w:val="00122253"/>
    <w:rsid w:val="00122425"/>
    <w:rsid w:val="001227E5"/>
    <w:rsid w:val="001229C0"/>
    <w:rsid w:val="00122A1A"/>
    <w:rsid w:val="00122AB9"/>
    <w:rsid w:val="00122B54"/>
    <w:rsid w:val="00122CF8"/>
    <w:rsid w:val="001230BD"/>
    <w:rsid w:val="0012322D"/>
    <w:rsid w:val="001232B4"/>
    <w:rsid w:val="001233FA"/>
    <w:rsid w:val="001235B5"/>
    <w:rsid w:val="001235FE"/>
    <w:rsid w:val="001236EE"/>
    <w:rsid w:val="001237B1"/>
    <w:rsid w:val="00123B9D"/>
    <w:rsid w:val="00123D35"/>
    <w:rsid w:val="00123F0C"/>
    <w:rsid w:val="00123F87"/>
    <w:rsid w:val="00123FD6"/>
    <w:rsid w:val="001242B7"/>
    <w:rsid w:val="00124A0D"/>
    <w:rsid w:val="0012559B"/>
    <w:rsid w:val="00125730"/>
    <w:rsid w:val="00125929"/>
    <w:rsid w:val="0012595D"/>
    <w:rsid w:val="001259CE"/>
    <w:rsid w:val="00125D29"/>
    <w:rsid w:val="00126775"/>
    <w:rsid w:val="00126974"/>
    <w:rsid w:val="00127315"/>
    <w:rsid w:val="001274FE"/>
    <w:rsid w:val="001279DF"/>
    <w:rsid w:val="00130161"/>
    <w:rsid w:val="001303BE"/>
    <w:rsid w:val="00130443"/>
    <w:rsid w:val="00130A73"/>
    <w:rsid w:val="00130E54"/>
    <w:rsid w:val="001311A6"/>
    <w:rsid w:val="001311CF"/>
    <w:rsid w:val="00131470"/>
    <w:rsid w:val="00131645"/>
    <w:rsid w:val="00131999"/>
    <w:rsid w:val="00131A1D"/>
    <w:rsid w:val="00132464"/>
    <w:rsid w:val="001326BB"/>
    <w:rsid w:val="00132A1F"/>
    <w:rsid w:val="00132D53"/>
    <w:rsid w:val="00132E3F"/>
    <w:rsid w:val="00132FFD"/>
    <w:rsid w:val="0013364B"/>
    <w:rsid w:val="00133AFB"/>
    <w:rsid w:val="00133FF3"/>
    <w:rsid w:val="00134272"/>
    <w:rsid w:val="00134513"/>
    <w:rsid w:val="00134562"/>
    <w:rsid w:val="001348FF"/>
    <w:rsid w:val="00134CF6"/>
    <w:rsid w:val="00134E37"/>
    <w:rsid w:val="001350F9"/>
    <w:rsid w:val="00135238"/>
    <w:rsid w:val="001353F9"/>
    <w:rsid w:val="00135547"/>
    <w:rsid w:val="00135830"/>
    <w:rsid w:val="001358B4"/>
    <w:rsid w:val="00135EE3"/>
    <w:rsid w:val="001360BC"/>
    <w:rsid w:val="00136A56"/>
    <w:rsid w:val="00136C39"/>
    <w:rsid w:val="00136C42"/>
    <w:rsid w:val="00136DD9"/>
    <w:rsid w:val="00136F18"/>
    <w:rsid w:val="00136FC7"/>
    <w:rsid w:val="001370DB"/>
    <w:rsid w:val="00137965"/>
    <w:rsid w:val="00137E7C"/>
    <w:rsid w:val="00137EA3"/>
    <w:rsid w:val="00137F68"/>
    <w:rsid w:val="001401E6"/>
    <w:rsid w:val="00140362"/>
    <w:rsid w:val="001408FE"/>
    <w:rsid w:val="00140A1E"/>
    <w:rsid w:val="00140B36"/>
    <w:rsid w:val="00140C22"/>
    <w:rsid w:val="00140C43"/>
    <w:rsid w:val="00140E3D"/>
    <w:rsid w:val="001410DF"/>
    <w:rsid w:val="00141321"/>
    <w:rsid w:val="00141562"/>
    <w:rsid w:val="00141BAF"/>
    <w:rsid w:val="00141CF9"/>
    <w:rsid w:val="00141EFD"/>
    <w:rsid w:val="00141F36"/>
    <w:rsid w:val="00142203"/>
    <w:rsid w:val="001424F9"/>
    <w:rsid w:val="0014254E"/>
    <w:rsid w:val="00142752"/>
    <w:rsid w:val="00142897"/>
    <w:rsid w:val="00142C18"/>
    <w:rsid w:val="00142C1C"/>
    <w:rsid w:val="0014334D"/>
    <w:rsid w:val="001434A9"/>
    <w:rsid w:val="0014358E"/>
    <w:rsid w:val="001435A4"/>
    <w:rsid w:val="001436E2"/>
    <w:rsid w:val="001436E3"/>
    <w:rsid w:val="001438DD"/>
    <w:rsid w:val="00143E01"/>
    <w:rsid w:val="001442F9"/>
    <w:rsid w:val="00144358"/>
    <w:rsid w:val="001443AA"/>
    <w:rsid w:val="0014498F"/>
    <w:rsid w:val="00144A34"/>
    <w:rsid w:val="00144EEB"/>
    <w:rsid w:val="0014536B"/>
    <w:rsid w:val="0014577D"/>
    <w:rsid w:val="00145FA3"/>
    <w:rsid w:val="0014606C"/>
    <w:rsid w:val="001461B9"/>
    <w:rsid w:val="00146429"/>
    <w:rsid w:val="001464DE"/>
    <w:rsid w:val="00146886"/>
    <w:rsid w:val="00146A45"/>
    <w:rsid w:val="00146AE7"/>
    <w:rsid w:val="00146C63"/>
    <w:rsid w:val="00146E5C"/>
    <w:rsid w:val="00146FE1"/>
    <w:rsid w:val="00147106"/>
    <w:rsid w:val="00147111"/>
    <w:rsid w:val="00147493"/>
    <w:rsid w:val="0014791F"/>
    <w:rsid w:val="00147A8E"/>
    <w:rsid w:val="00147D84"/>
    <w:rsid w:val="00150030"/>
    <w:rsid w:val="0015008A"/>
    <w:rsid w:val="001505CF"/>
    <w:rsid w:val="001509BC"/>
    <w:rsid w:val="00150A92"/>
    <w:rsid w:val="00150AA7"/>
    <w:rsid w:val="00150B8C"/>
    <w:rsid w:val="00150FEF"/>
    <w:rsid w:val="00151523"/>
    <w:rsid w:val="00151675"/>
    <w:rsid w:val="00151AB2"/>
    <w:rsid w:val="00151C91"/>
    <w:rsid w:val="00152104"/>
    <w:rsid w:val="001527A7"/>
    <w:rsid w:val="00152AAC"/>
    <w:rsid w:val="001532D1"/>
    <w:rsid w:val="00153772"/>
    <w:rsid w:val="00153A3C"/>
    <w:rsid w:val="00153B0B"/>
    <w:rsid w:val="00153B0F"/>
    <w:rsid w:val="00153F20"/>
    <w:rsid w:val="00154277"/>
    <w:rsid w:val="001543BC"/>
    <w:rsid w:val="001547AC"/>
    <w:rsid w:val="00154982"/>
    <w:rsid w:val="00154B1E"/>
    <w:rsid w:val="00154C16"/>
    <w:rsid w:val="00154E7E"/>
    <w:rsid w:val="00155535"/>
    <w:rsid w:val="0015593C"/>
    <w:rsid w:val="00155A44"/>
    <w:rsid w:val="00155AA7"/>
    <w:rsid w:val="00155AEE"/>
    <w:rsid w:val="00155F61"/>
    <w:rsid w:val="0015638F"/>
    <w:rsid w:val="00156536"/>
    <w:rsid w:val="0015686D"/>
    <w:rsid w:val="0015695C"/>
    <w:rsid w:val="00156E6B"/>
    <w:rsid w:val="00156F71"/>
    <w:rsid w:val="001571EB"/>
    <w:rsid w:val="00157207"/>
    <w:rsid w:val="001576B1"/>
    <w:rsid w:val="0015773A"/>
    <w:rsid w:val="00157C42"/>
    <w:rsid w:val="00160656"/>
    <w:rsid w:val="001606A4"/>
    <w:rsid w:val="00160ABD"/>
    <w:rsid w:val="0016166A"/>
    <w:rsid w:val="001621BC"/>
    <w:rsid w:val="001627EC"/>
    <w:rsid w:val="00162879"/>
    <w:rsid w:val="0016296C"/>
    <w:rsid w:val="00162B8B"/>
    <w:rsid w:val="00162DA5"/>
    <w:rsid w:val="00162FE3"/>
    <w:rsid w:val="00163069"/>
    <w:rsid w:val="00163374"/>
    <w:rsid w:val="0016346C"/>
    <w:rsid w:val="00163975"/>
    <w:rsid w:val="00163A2E"/>
    <w:rsid w:val="00163B0E"/>
    <w:rsid w:val="00163C3B"/>
    <w:rsid w:val="00163F35"/>
    <w:rsid w:val="001640FB"/>
    <w:rsid w:val="0016433E"/>
    <w:rsid w:val="00164393"/>
    <w:rsid w:val="00164809"/>
    <w:rsid w:val="001648E8"/>
    <w:rsid w:val="001649B2"/>
    <w:rsid w:val="00164C93"/>
    <w:rsid w:val="00164F5B"/>
    <w:rsid w:val="001651B8"/>
    <w:rsid w:val="00165291"/>
    <w:rsid w:val="00165366"/>
    <w:rsid w:val="001655AE"/>
    <w:rsid w:val="00165716"/>
    <w:rsid w:val="0016592C"/>
    <w:rsid w:val="00165CA3"/>
    <w:rsid w:val="00165FF8"/>
    <w:rsid w:val="00166182"/>
    <w:rsid w:val="0016652D"/>
    <w:rsid w:val="00166D94"/>
    <w:rsid w:val="00166EAE"/>
    <w:rsid w:val="00167A11"/>
    <w:rsid w:val="00167E9C"/>
    <w:rsid w:val="001703A6"/>
    <w:rsid w:val="001707D6"/>
    <w:rsid w:val="00170813"/>
    <w:rsid w:val="00170854"/>
    <w:rsid w:val="00170A92"/>
    <w:rsid w:val="00170ACD"/>
    <w:rsid w:val="00170CD9"/>
    <w:rsid w:val="00170F3C"/>
    <w:rsid w:val="00171187"/>
    <w:rsid w:val="001711F5"/>
    <w:rsid w:val="00171562"/>
    <w:rsid w:val="00172490"/>
    <w:rsid w:val="00172814"/>
    <w:rsid w:val="001730B7"/>
    <w:rsid w:val="00173451"/>
    <w:rsid w:val="0017357D"/>
    <w:rsid w:val="00173CF8"/>
    <w:rsid w:val="00174058"/>
    <w:rsid w:val="001741B0"/>
    <w:rsid w:val="001742F6"/>
    <w:rsid w:val="00174733"/>
    <w:rsid w:val="00174A6C"/>
    <w:rsid w:val="00174B91"/>
    <w:rsid w:val="00175029"/>
    <w:rsid w:val="001752FB"/>
    <w:rsid w:val="00175892"/>
    <w:rsid w:val="00175CC6"/>
    <w:rsid w:val="00175D51"/>
    <w:rsid w:val="00175F06"/>
    <w:rsid w:val="00176317"/>
    <w:rsid w:val="00176385"/>
    <w:rsid w:val="00176580"/>
    <w:rsid w:val="00176601"/>
    <w:rsid w:val="001766AF"/>
    <w:rsid w:val="00176A55"/>
    <w:rsid w:val="00176CD7"/>
    <w:rsid w:val="0017707D"/>
    <w:rsid w:val="001777E9"/>
    <w:rsid w:val="00177DF9"/>
    <w:rsid w:val="00177E31"/>
    <w:rsid w:val="00177E7F"/>
    <w:rsid w:val="00177EC7"/>
    <w:rsid w:val="00177F29"/>
    <w:rsid w:val="001802C4"/>
    <w:rsid w:val="0018049B"/>
    <w:rsid w:val="001806CB"/>
    <w:rsid w:val="001807FF"/>
    <w:rsid w:val="00180BDE"/>
    <w:rsid w:val="00180CAA"/>
    <w:rsid w:val="00180CD4"/>
    <w:rsid w:val="00180D30"/>
    <w:rsid w:val="001810F5"/>
    <w:rsid w:val="001811C1"/>
    <w:rsid w:val="00181A8C"/>
    <w:rsid w:val="00181B04"/>
    <w:rsid w:val="00181B54"/>
    <w:rsid w:val="00181C51"/>
    <w:rsid w:val="00181E16"/>
    <w:rsid w:val="0018281C"/>
    <w:rsid w:val="0018299C"/>
    <w:rsid w:val="00182F8D"/>
    <w:rsid w:val="0018310B"/>
    <w:rsid w:val="001832D9"/>
    <w:rsid w:val="001834B1"/>
    <w:rsid w:val="0018359B"/>
    <w:rsid w:val="001837D1"/>
    <w:rsid w:val="00183CA3"/>
    <w:rsid w:val="00183FC2"/>
    <w:rsid w:val="001842D2"/>
    <w:rsid w:val="001842D5"/>
    <w:rsid w:val="001844B4"/>
    <w:rsid w:val="00184600"/>
    <w:rsid w:val="00184856"/>
    <w:rsid w:val="00184BCA"/>
    <w:rsid w:val="00184C31"/>
    <w:rsid w:val="00185253"/>
    <w:rsid w:val="00185537"/>
    <w:rsid w:val="00185636"/>
    <w:rsid w:val="00185878"/>
    <w:rsid w:val="00185A6D"/>
    <w:rsid w:val="00185ABE"/>
    <w:rsid w:val="00185B4F"/>
    <w:rsid w:val="00185D95"/>
    <w:rsid w:val="00185DC3"/>
    <w:rsid w:val="00185E02"/>
    <w:rsid w:val="00185F27"/>
    <w:rsid w:val="00186852"/>
    <w:rsid w:val="00186B51"/>
    <w:rsid w:val="00186CCA"/>
    <w:rsid w:val="00186E6B"/>
    <w:rsid w:val="00186FD3"/>
    <w:rsid w:val="001875C8"/>
    <w:rsid w:val="001878D1"/>
    <w:rsid w:val="00187AAD"/>
    <w:rsid w:val="00187E8D"/>
    <w:rsid w:val="00187EC3"/>
    <w:rsid w:val="00187F8E"/>
    <w:rsid w:val="00190164"/>
    <w:rsid w:val="0019031B"/>
    <w:rsid w:val="0019034B"/>
    <w:rsid w:val="00190354"/>
    <w:rsid w:val="00190388"/>
    <w:rsid w:val="001903B5"/>
    <w:rsid w:val="00190D64"/>
    <w:rsid w:val="00190E29"/>
    <w:rsid w:val="001913E7"/>
    <w:rsid w:val="0019159B"/>
    <w:rsid w:val="00191663"/>
    <w:rsid w:val="001916E6"/>
    <w:rsid w:val="001919EC"/>
    <w:rsid w:val="00191A84"/>
    <w:rsid w:val="00191F02"/>
    <w:rsid w:val="00191F81"/>
    <w:rsid w:val="00191FAE"/>
    <w:rsid w:val="00192796"/>
    <w:rsid w:val="00192AB7"/>
    <w:rsid w:val="00192C12"/>
    <w:rsid w:val="00192D91"/>
    <w:rsid w:val="00193B8D"/>
    <w:rsid w:val="00193FC6"/>
    <w:rsid w:val="00194272"/>
    <w:rsid w:val="001947DB"/>
    <w:rsid w:val="00194DA2"/>
    <w:rsid w:val="00194E50"/>
    <w:rsid w:val="0019599D"/>
    <w:rsid w:val="00195F9B"/>
    <w:rsid w:val="001965D2"/>
    <w:rsid w:val="001966C6"/>
    <w:rsid w:val="00196771"/>
    <w:rsid w:val="001967A4"/>
    <w:rsid w:val="00196B22"/>
    <w:rsid w:val="00196C97"/>
    <w:rsid w:val="00196D6D"/>
    <w:rsid w:val="00197052"/>
    <w:rsid w:val="0019731F"/>
    <w:rsid w:val="00197513"/>
    <w:rsid w:val="00197591"/>
    <w:rsid w:val="001979B9"/>
    <w:rsid w:val="00197AA0"/>
    <w:rsid w:val="00197B5B"/>
    <w:rsid w:val="00197BF9"/>
    <w:rsid w:val="00197EC1"/>
    <w:rsid w:val="001A0754"/>
    <w:rsid w:val="001A0A31"/>
    <w:rsid w:val="001A0E3F"/>
    <w:rsid w:val="001A0EDA"/>
    <w:rsid w:val="001A1000"/>
    <w:rsid w:val="001A1012"/>
    <w:rsid w:val="001A12F3"/>
    <w:rsid w:val="001A1332"/>
    <w:rsid w:val="001A1856"/>
    <w:rsid w:val="001A1BD6"/>
    <w:rsid w:val="001A1E2F"/>
    <w:rsid w:val="001A29BF"/>
    <w:rsid w:val="001A2B52"/>
    <w:rsid w:val="001A35BC"/>
    <w:rsid w:val="001A36B0"/>
    <w:rsid w:val="001A3AA7"/>
    <w:rsid w:val="001A3C7D"/>
    <w:rsid w:val="001A3E52"/>
    <w:rsid w:val="001A3EC3"/>
    <w:rsid w:val="001A40F2"/>
    <w:rsid w:val="001A43BC"/>
    <w:rsid w:val="001A48BF"/>
    <w:rsid w:val="001A4ADA"/>
    <w:rsid w:val="001A4C6C"/>
    <w:rsid w:val="001A4CC8"/>
    <w:rsid w:val="001A528D"/>
    <w:rsid w:val="001A5300"/>
    <w:rsid w:val="001A5635"/>
    <w:rsid w:val="001A5645"/>
    <w:rsid w:val="001A5A5E"/>
    <w:rsid w:val="001A5DD0"/>
    <w:rsid w:val="001A5E06"/>
    <w:rsid w:val="001A634E"/>
    <w:rsid w:val="001A6869"/>
    <w:rsid w:val="001A6E3C"/>
    <w:rsid w:val="001A708E"/>
    <w:rsid w:val="001A712D"/>
    <w:rsid w:val="001A73E5"/>
    <w:rsid w:val="001A75A6"/>
    <w:rsid w:val="001A78B2"/>
    <w:rsid w:val="001A7945"/>
    <w:rsid w:val="001A7BEF"/>
    <w:rsid w:val="001A7C50"/>
    <w:rsid w:val="001A7D81"/>
    <w:rsid w:val="001B07B6"/>
    <w:rsid w:val="001B0815"/>
    <w:rsid w:val="001B0952"/>
    <w:rsid w:val="001B0A8A"/>
    <w:rsid w:val="001B0AEC"/>
    <w:rsid w:val="001B0E41"/>
    <w:rsid w:val="001B0EE8"/>
    <w:rsid w:val="001B11C8"/>
    <w:rsid w:val="001B11E3"/>
    <w:rsid w:val="001B123C"/>
    <w:rsid w:val="001B1268"/>
    <w:rsid w:val="001B132A"/>
    <w:rsid w:val="001B172F"/>
    <w:rsid w:val="001B186F"/>
    <w:rsid w:val="001B18F0"/>
    <w:rsid w:val="001B2052"/>
    <w:rsid w:val="001B24C3"/>
    <w:rsid w:val="001B27F0"/>
    <w:rsid w:val="001B29FA"/>
    <w:rsid w:val="001B2B8E"/>
    <w:rsid w:val="001B2D4E"/>
    <w:rsid w:val="001B346D"/>
    <w:rsid w:val="001B3575"/>
    <w:rsid w:val="001B38A4"/>
    <w:rsid w:val="001B3BA9"/>
    <w:rsid w:val="001B3D3A"/>
    <w:rsid w:val="001B3F71"/>
    <w:rsid w:val="001B4704"/>
    <w:rsid w:val="001B4BD3"/>
    <w:rsid w:val="001B519A"/>
    <w:rsid w:val="001B51A6"/>
    <w:rsid w:val="001B573B"/>
    <w:rsid w:val="001B5E8A"/>
    <w:rsid w:val="001B6334"/>
    <w:rsid w:val="001B6617"/>
    <w:rsid w:val="001B66DD"/>
    <w:rsid w:val="001B684C"/>
    <w:rsid w:val="001B6918"/>
    <w:rsid w:val="001B6BE4"/>
    <w:rsid w:val="001B6CE6"/>
    <w:rsid w:val="001B6EE2"/>
    <w:rsid w:val="001B7AD7"/>
    <w:rsid w:val="001B7B01"/>
    <w:rsid w:val="001B7E47"/>
    <w:rsid w:val="001C00B2"/>
    <w:rsid w:val="001C01CA"/>
    <w:rsid w:val="001C03D0"/>
    <w:rsid w:val="001C0B15"/>
    <w:rsid w:val="001C0D2B"/>
    <w:rsid w:val="001C116D"/>
    <w:rsid w:val="001C1196"/>
    <w:rsid w:val="001C119B"/>
    <w:rsid w:val="001C1217"/>
    <w:rsid w:val="001C12D2"/>
    <w:rsid w:val="001C1328"/>
    <w:rsid w:val="001C15EF"/>
    <w:rsid w:val="001C186C"/>
    <w:rsid w:val="001C1B39"/>
    <w:rsid w:val="001C1BC5"/>
    <w:rsid w:val="001C1BF3"/>
    <w:rsid w:val="001C20F5"/>
    <w:rsid w:val="001C2239"/>
    <w:rsid w:val="001C2D89"/>
    <w:rsid w:val="001C37FC"/>
    <w:rsid w:val="001C3950"/>
    <w:rsid w:val="001C3983"/>
    <w:rsid w:val="001C39DE"/>
    <w:rsid w:val="001C3C04"/>
    <w:rsid w:val="001C3C8D"/>
    <w:rsid w:val="001C3D33"/>
    <w:rsid w:val="001C4686"/>
    <w:rsid w:val="001C4F30"/>
    <w:rsid w:val="001C5184"/>
    <w:rsid w:val="001C5459"/>
    <w:rsid w:val="001C56A9"/>
    <w:rsid w:val="001C5858"/>
    <w:rsid w:val="001C605D"/>
    <w:rsid w:val="001C6963"/>
    <w:rsid w:val="001C6978"/>
    <w:rsid w:val="001C6A84"/>
    <w:rsid w:val="001C6AFD"/>
    <w:rsid w:val="001C6C6A"/>
    <w:rsid w:val="001C727B"/>
    <w:rsid w:val="001C74EB"/>
    <w:rsid w:val="001C7854"/>
    <w:rsid w:val="001C7946"/>
    <w:rsid w:val="001C7D68"/>
    <w:rsid w:val="001C7E22"/>
    <w:rsid w:val="001D0168"/>
    <w:rsid w:val="001D03F3"/>
    <w:rsid w:val="001D0EB2"/>
    <w:rsid w:val="001D0FCD"/>
    <w:rsid w:val="001D15AE"/>
    <w:rsid w:val="001D1612"/>
    <w:rsid w:val="001D198D"/>
    <w:rsid w:val="001D1A5C"/>
    <w:rsid w:val="001D1E6F"/>
    <w:rsid w:val="001D203F"/>
    <w:rsid w:val="001D2471"/>
    <w:rsid w:val="001D25BF"/>
    <w:rsid w:val="001D2804"/>
    <w:rsid w:val="001D2966"/>
    <w:rsid w:val="001D2982"/>
    <w:rsid w:val="001D2B28"/>
    <w:rsid w:val="001D2F0D"/>
    <w:rsid w:val="001D3054"/>
    <w:rsid w:val="001D323C"/>
    <w:rsid w:val="001D3334"/>
    <w:rsid w:val="001D34BB"/>
    <w:rsid w:val="001D35AC"/>
    <w:rsid w:val="001D35D7"/>
    <w:rsid w:val="001D3B3C"/>
    <w:rsid w:val="001D3B3E"/>
    <w:rsid w:val="001D3D0B"/>
    <w:rsid w:val="001D3F19"/>
    <w:rsid w:val="001D4196"/>
    <w:rsid w:val="001D4285"/>
    <w:rsid w:val="001D4448"/>
    <w:rsid w:val="001D47AF"/>
    <w:rsid w:val="001D4E91"/>
    <w:rsid w:val="001D522E"/>
    <w:rsid w:val="001D5241"/>
    <w:rsid w:val="001D52F1"/>
    <w:rsid w:val="001D573D"/>
    <w:rsid w:val="001D583B"/>
    <w:rsid w:val="001D5EB2"/>
    <w:rsid w:val="001D5F15"/>
    <w:rsid w:val="001D62FB"/>
    <w:rsid w:val="001D6344"/>
    <w:rsid w:val="001D665C"/>
    <w:rsid w:val="001D678A"/>
    <w:rsid w:val="001D6AC5"/>
    <w:rsid w:val="001D6F67"/>
    <w:rsid w:val="001D7701"/>
    <w:rsid w:val="001D799A"/>
    <w:rsid w:val="001E053B"/>
    <w:rsid w:val="001E053F"/>
    <w:rsid w:val="001E06F9"/>
    <w:rsid w:val="001E0B80"/>
    <w:rsid w:val="001E0B83"/>
    <w:rsid w:val="001E0B9D"/>
    <w:rsid w:val="001E0DBA"/>
    <w:rsid w:val="001E0E33"/>
    <w:rsid w:val="001E0E41"/>
    <w:rsid w:val="001E12B6"/>
    <w:rsid w:val="001E12BC"/>
    <w:rsid w:val="001E143C"/>
    <w:rsid w:val="001E18BE"/>
    <w:rsid w:val="001E190A"/>
    <w:rsid w:val="001E1966"/>
    <w:rsid w:val="001E1B3C"/>
    <w:rsid w:val="001E1F1E"/>
    <w:rsid w:val="001E22FE"/>
    <w:rsid w:val="001E23AD"/>
    <w:rsid w:val="001E2514"/>
    <w:rsid w:val="001E2A45"/>
    <w:rsid w:val="001E2AF0"/>
    <w:rsid w:val="001E2B0F"/>
    <w:rsid w:val="001E2C3C"/>
    <w:rsid w:val="001E2E5A"/>
    <w:rsid w:val="001E313E"/>
    <w:rsid w:val="001E31D2"/>
    <w:rsid w:val="001E360E"/>
    <w:rsid w:val="001E3706"/>
    <w:rsid w:val="001E3889"/>
    <w:rsid w:val="001E3AAF"/>
    <w:rsid w:val="001E3BC0"/>
    <w:rsid w:val="001E3DF6"/>
    <w:rsid w:val="001E3ECD"/>
    <w:rsid w:val="001E3FC7"/>
    <w:rsid w:val="001E4143"/>
    <w:rsid w:val="001E41E7"/>
    <w:rsid w:val="001E4278"/>
    <w:rsid w:val="001E42F5"/>
    <w:rsid w:val="001E4331"/>
    <w:rsid w:val="001E43B7"/>
    <w:rsid w:val="001E4470"/>
    <w:rsid w:val="001E46BC"/>
    <w:rsid w:val="001E472B"/>
    <w:rsid w:val="001E4828"/>
    <w:rsid w:val="001E4BF4"/>
    <w:rsid w:val="001E4E02"/>
    <w:rsid w:val="001E4F8B"/>
    <w:rsid w:val="001E51ED"/>
    <w:rsid w:val="001E5771"/>
    <w:rsid w:val="001E5856"/>
    <w:rsid w:val="001E595B"/>
    <w:rsid w:val="001E5B08"/>
    <w:rsid w:val="001E60F6"/>
    <w:rsid w:val="001E617F"/>
    <w:rsid w:val="001E61A8"/>
    <w:rsid w:val="001E645F"/>
    <w:rsid w:val="001E65AA"/>
    <w:rsid w:val="001E6850"/>
    <w:rsid w:val="001E6866"/>
    <w:rsid w:val="001E6993"/>
    <w:rsid w:val="001E69F3"/>
    <w:rsid w:val="001E6B04"/>
    <w:rsid w:val="001E7130"/>
    <w:rsid w:val="001E7816"/>
    <w:rsid w:val="001E7A4E"/>
    <w:rsid w:val="001E7D57"/>
    <w:rsid w:val="001F028D"/>
    <w:rsid w:val="001F0464"/>
    <w:rsid w:val="001F065E"/>
    <w:rsid w:val="001F0772"/>
    <w:rsid w:val="001F0A29"/>
    <w:rsid w:val="001F0C71"/>
    <w:rsid w:val="001F0D41"/>
    <w:rsid w:val="001F0EDB"/>
    <w:rsid w:val="001F12E7"/>
    <w:rsid w:val="001F156A"/>
    <w:rsid w:val="001F19E7"/>
    <w:rsid w:val="001F1A09"/>
    <w:rsid w:val="001F22FA"/>
    <w:rsid w:val="001F24EA"/>
    <w:rsid w:val="001F2AAD"/>
    <w:rsid w:val="001F2ABE"/>
    <w:rsid w:val="001F2D0E"/>
    <w:rsid w:val="001F2F22"/>
    <w:rsid w:val="001F36AD"/>
    <w:rsid w:val="001F3811"/>
    <w:rsid w:val="001F3AFD"/>
    <w:rsid w:val="001F4129"/>
    <w:rsid w:val="001F4135"/>
    <w:rsid w:val="001F4176"/>
    <w:rsid w:val="001F429B"/>
    <w:rsid w:val="001F4839"/>
    <w:rsid w:val="001F48AE"/>
    <w:rsid w:val="001F4D7C"/>
    <w:rsid w:val="001F4F2C"/>
    <w:rsid w:val="001F52FD"/>
    <w:rsid w:val="001F57AA"/>
    <w:rsid w:val="001F5855"/>
    <w:rsid w:val="001F5B0C"/>
    <w:rsid w:val="001F5BA0"/>
    <w:rsid w:val="001F6144"/>
    <w:rsid w:val="001F6714"/>
    <w:rsid w:val="001F68C5"/>
    <w:rsid w:val="001F6E74"/>
    <w:rsid w:val="001F6F08"/>
    <w:rsid w:val="001F6F34"/>
    <w:rsid w:val="001F7090"/>
    <w:rsid w:val="001F73B4"/>
    <w:rsid w:val="001F753D"/>
    <w:rsid w:val="001F792C"/>
    <w:rsid w:val="001F7F0C"/>
    <w:rsid w:val="00200181"/>
    <w:rsid w:val="00200330"/>
    <w:rsid w:val="002003A4"/>
    <w:rsid w:val="002005DC"/>
    <w:rsid w:val="0020071A"/>
    <w:rsid w:val="002007D0"/>
    <w:rsid w:val="002007F2"/>
    <w:rsid w:val="00200FCC"/>
    <w:rsid w:val="002015F0"/>
    <w:rsid w:val="00201CFB"/>
    <w:rsid w:val="00202523"/>
    <w:rsid w:val="00202691"/>
    <w:rsid w:val="00202831"/>
    <w:rsid w:val="00202941"/>
    <w:rsid w:val="00202AC7"/>
    <w:rsid w:val="0020311C"/>
    <w:rsid w:val="00203259"/>
    <w:rsid w:val="002033BC"/>
    <w:rsid w:val="0020340E"/>
    <w:rsid w:val="00203A5C"/>
    <w:rsid w:val="002040C1"/>
    <w:rsid w:val="00204173"/>
    <w:rsid w:val="0020456A"/>
    <w:rsid w:val="00204820"/>
    <w:rsid w:val="00204942"/>
    <w:rsid w:val="0020505D"/>
    <w:rsid w:val="002050AB"/>
    <w:rsid w:val="002054DF"/>
    <w:rsid w:val="002057B0"/>
    <w:rsid w:val="00205A0D"/>
    <w:rsid w:val="00205BA3"/>
    <w:rsid w:val="00205EE3"/>
    <w:rsid w:val="002060C1"/>
    <w:rsid w:val="002064A3"/>
    <w:rsid w:val="00206658"/>
    <w:rsid w:val="00206A1D"/>
    <w:rsid w:val="00206D2E"/>
    <w:rsid w:val="00206F71"/>
    <w:rsid w:val="002072EE"/>
    <w:rsid w:val="002072EF"/>
    <w:rsid w:val="002074EB"/>
    <w:rsid w:val="0020762E"/>
    <w:rsid w:val="00207879"/>
    <w:rsid w:val="0020788F"/>
    <w:rsid w:val="00207962"/>
    <w:rsid w:val="00207B52"/>
    <w:rsid w:val="00207C78"/>
    <w:rsid w:val="00207FAD"/>
    <w:rsid w:val="002100BA"/>
    <w:rsid w:val="0021019C"/>
    <w:rsid w:val="002101AD"/>
    <w:rsid w:val="002105D6"/>
    <w:rsid w:val="00210A0E"/>
    <w:rsid w:val="00210AEF"/>
    <w:rsid w:val="00210CC2"/>
    <w:rsid w:val="00210D0C"/>
    <w:rsid w:val="00210D62"/>
    <w:rsid w:val="00210F97"/>
    <w:rsid w:val="0021139A"/>
    <w:rsid w:val="00211ABC"/>
    <w:rsid w:val="00211AC1"/>
    <w:rsid w:val="00211CB9"/>
    <w:rsid w:val="00211E85"/>
    <w:rsid w:val="002122FA"/>
    <w:rsid w:val="00212972"/>
    <w:rsid w:val="00212DE9"/>
    <w:rsid w:val="00213178"/>
    <w:rsid w:val="002133C0"/>
    <w:rsid w:val="002133FB"/>
    <w:rsid w:val="002136B0"/>
    <w:rsid w:val="00213711"/>
    <w:rsid w:val="002138E3"/>
    <w:rsid w:val="002139F0"/>
    <w:rsid w:val="00213A20"/>
    <w:rsid w:val="00213FF2"/>
    <w:rsid w:val="002140DF"/>
    <w:rsid w:val="00214673"/>
    <w:rsid w:val="002146B3"/>
    <w:rsid w:val="002147C8"/>
    <w:rsid w:val="00215030"/>
    <w:rsid w:val="002151F1"/>
    <w:rsid w:val="00215455"/>
    <w:rsid w:val="0021594E"/>
    <w:rsid w:val="00215B9B"/>
    <w:rsid w:val="00216019"/>
    <w:rsid w:val="002160E5"/>
    <w:rsid w:val="00216336"/>
    <w:rsid w:val="0021634B"/>
    <w:rsid w:val="0021635C"/>
    <w:rsid w:val="002163DC"/>
    <w:rsid w:val="0021640A"/>
    <w:rsid w:val="00216676"/>
    <w:rsid w:val="00216ADB"/>
    <w:rsid w:val="0021713C"/>
    <w:rsid w:val="00217367"/>
    <w:rsid w:val="0021768A"/>
    <w:rsid w:val="00217783"/>
    <w:rsid w:val="002177CE"/>
    <w:rsid w:val="002177D0"/>
    <w:rsid w:val="00217C47"/>
    <w:rsid w:val="00217FED"/>
    <w:rsid w:val="0022080F"/>
    <w:rsid w:val="00220C6C"/>
    <w:rsid w:val="00220DF2"/>
    <w:rsid w:val="0022102F"/>
    <w:rsid w:val="00221796"/>
    <w:rsid w:val="00221A30"/>
    <w:rsid w:val="00221AED"/>
    <w:rsid w:val="00221DC1"/>
    <w:rsid w:val="00221E2C"/>
    <w:rsid w:val="00221ED6"/>
    <w:rsid w:val="00221F53"/>
    <w:rsid w:val="00221FC3"/>
    <w:rsid w:val="00222075"/>
    <w:rsid w:val="00222271"/>
    <w:rsid w:val="0022293D"/>
    <w:rsid w:val="00222A1E"/>
    <w:rsid w:val="00222A8E"/>
    <w:rsid w:val="00222CAC"/>
    <w:rsid w:val="00222E45"/>
    <w:rsid w:val="00222EA9"/>
    <w:rsid w:val="00222FE8"/>
    <w:rsid w:val="0022304D"/>
    <w:rsid w:val="002231B7"/>
    <w:rsid w:val="00223561"/>
    <w:rsid w:val="0022388F"/>
    <w:rsid w:val="00223C2E"/>
    <w:rsid w:val="00223CAC"/>
    <w:rsid w:val="00223FB8"/>
    <w:rsid w:val="0022406F"/>
    <w:rsid w:val="00224202"/>
    <w:rsid w:val="002243B8"/>
    <w:rsid w:val="002245D4"/>
    <w:rsid w:val="00224655"/>
    <w:rsid w:val="00224776"/>
    <w:rsid w:val="00224847"/>
    <w:rsid w:val="00224901"/>
    <w:rsid w:val="00224906"/>
    <w:rsid w:val="00224C12"/>
    <w:rsid w:val="00224F4E"/>
    <w:rsid w:val="0022537B"/>
    <w:rsid w:val="002253A5"/>
    <w:rsid w:val="00225473"/>
    <w:rsid w:val="002255F6"/>
    <w:rsid w:val="00225660"/>
    <w:rsid w:val="002257A4"/>
    <w:rsid w:val="00225B72"/>
    <w:rsid w:val="00225C8A"/>
    <w:rsid w:val="00225EB5"/>
    <w:rsid w:val="0022644C"/>
    <w:rsid w:val="00226461"/>
    <w:rsid w:val="002267A4"/>
    <w:rsid w:val="00226F59"/>
    <w:rsid w:val="00226FC5"/>
    <w:rsid w:val="002276F1"/>
    <w:rsid w:val="00227931"/>
    <w:rsid w:val="00227B41"/>
    <w:rsid w:val="00227C5C"/>
    <w:rsid w:val="00227DC7"/>
    <w:rsid w:val="00227EDD"/>
    <w:rsid w:val="00227F77"/>
    <w:rsid w:val="002300AE"/>
    <w:rsid w:val="002302FA"/>
    <w:rsid w:val="0023072B"/>
    <w:rsid w:val="00230BC4"/>
    <w:rsid w:val="00230CFC"/>
    <w:rsid w:val="00230D04"/>
    <w:rsid w:val="00230D34"/>
    <w:rsid w:val="0023117E"/>
    <w:rsid w:val="00231296"/>
    <w:rsid w:val="00231D5B"/>
    <w:rsid w:val="00231DF5"/>
    <w:rsid w:val="00231E7D"/>
    <w:rsid w:val="00231EF9"/>
    <w:rsid w:val="00231FEC"/>
    <w:rsid w:val="002321D4"/>
    <w:rsid w:val="002322AB"/>
    <w:rsid w:val="002322D7"/>
    <w:rsid w:val="00232503"/>
    <w:rsid w:val="002326E4"/>
    <w:rsid w:val="00233279"/>
    <w:rsid w:val="00233509"/>
    <w:rsid w:val="00233767"/>
    <w:rsid w:val="002338DC"/>
    <w:rsid w:val="002341A8"/>
    <w:rsid w:val="0023492D"/>
    <w:rsid w:val="00234B85"/>
    <w:rsid w:val="00234D3D"/>
    <w:rsid w:val="00234FAF"/>
    <w:rsid w:val="0023507B"/>
    <w:rsid w:val="00235393"/>
    <w:rsid w:val="002354CE"/>
    <w:rsid w:val="002360AB"/>
    <w:rsid w:val="002361BF"/>
    <w:rsid w:val="002367AD"/>
    <w:rsid w:val="00236897"/>
    <w:rsid w:val="002368AB"/>
    <w:rsid w:val="00236A5A"/>
    <w:rsid w:val="00236C1C"/>
    <w:rsid w:val="00236CE2"/>
    <w:rsid w:val="0023706E"/>
    <w:rsid w:val="0023710E"/>
    <w:rsid w:val="00237134"/>
    <w:rsid w:val="0023720F"/>
    <w:rsid w:val="002373AC"/>
    <w:rsid w:val="00237647"/>
    <w:rsid w:val="0023785D"/>
    <w:rsid w:val="00237993"/>
    <w:rsid w:val="002379CD"/>
    <w:rsid w:val="00237DB0"/>
    <w:rsid w:val="002401F1"/>
    <w:rsid w:val="002402AE"/>
    <w:rsid w:val="0024075A"/>
    <w:rsid w:val="0024091D"/>
    <w:rsid w:val="00240A36"/>
    <w:rsid w:val="00240E5D"/>
    <w:rsid w:val="002411B2"/>
    <w:rsid w:val="00241E19"/>
    <w:rsid w:val="0024200C"/>
    <w:rsid w:val="00242186"/>
    <w:rsid w:val="00242298"/>
    <w:rsid w:val="00242537"/>
    <w:rsid w:val="00242592"/>
    <w:rsid w:val="00242703"/>
    <w:rsid w:val="002430A1"/>
    <w:rsid w:val="00243175"/>
    <w:rsid w:val="002436CF"/>
    <w:rsid w:val="002436DA"/>
    <w:rsid w:val="00243B1C"/>
    <w:rsid w:val="00243CB2"/>
    <w:rsid w:val="00243D20"/>
    <w:rsid w:val="00243E5D"/>
    <w:rsid w:val="0024464B"/>
    <w:rsid w:val="00244A09"/>
    <w:rsid w:val="00244ACF"/>
    <w:rsid w:val="00244BFB"/>
    <w:rsid w:val="00244DBC"/>
    <w:rsid w:val="00244EE2"/>
    <w:rsid w:val="002450D6"/>
    <w:rsid w:val="00245363"/>
    <w:rsid w:val="0024539F"/>
    <w:rsid w:val="0024542E"/>
    <w:rsid w:val="0024590C"/>
    <w:rsid w:val="00245ADC"/>
    <w:rsid w:val="00245AEF"/>
    <w:rsid w:val="00245BC3"/>
    <w:rsid w:val="00246582"/>
    <w:rsid w:val="00246A18"/>
    <w:rsid w:val="00246C89"/>
    <w:rsid w:val="002470EC"/>
    <w:rsid w:val="00247331"/>
    <w:rsid w:val="002474AC"/>
    <w:rsid w:val="002474B3"/>
    <w:rsid w:val="00247663"/>
    <w:rsid w:val="0024766B"/>
    <w:rsid w:val="00247672"/>
    <w:rsid w:val="002476C5"/>
    <w:rsid w:val="002476E0"/>
    <w:rsid w:val="00247719"/>
    <w:rsid w:val="00247D7B"/>
    <w:rsid w:val="00247F32"/>
    <w:rsid w:val="002500C3"/>
    <w:rsid w:val="00250310"/>
    <w:rsid w:val="00250649"/>
    <w:rsid w:val="00250A3F"/>
    <w:rsid w:val="00251208"/>
    <w:rsid w:val="002512A8"/>
    <w:rsid w:val="002515E1"/>
    <w:rsid w:val="002517F6"/>
    <w:rsid w:val="00251A92"/>
    <w:rsid w:val="00251B51"/>
    <w:rsid w:val="00251BF9"/>
    <w:rsid w:val="00251D33"/>
    <w:rsid w:val="00252101"/>
    <w:rsid w:val="00252550"/>
    <w:rsid w:val="002525C1"/>
    <w:rsid w:val="0025288E"/>
    <w:rsid w:val="00252E4F"/>
    <w:rsid w:val="00253490"/>
    <w:rsid w:val="00253519"/>
    <w:rsid w:val="002535DE"/>
    <w:rsid w:val="0025377E"/>
    <w:rsid w:val="00253D16"/>
    <w:rsid w:val="00254106"/>
    <w:rsid w:val="00254256"/>
    <w:rsid w:val="00254488"/>
    <w:rsid w:val="002548F9"/>
    <w:rsid w:val="00254A41"/>
    <w:rsid w:val="00254CB0"/>
    <w:rsid w:val="00254CFB"/>
    <w:rsid w:val="00254DD7"/>
    <w:rsid w:val="00254EC2"/>
    <w:rsid w:val="00255008"/>
    <w:rsid w:val="00255439"/>
    <w:rsid w:val="002554DA"/>
    <w:rsid w:val="0025572B"/>
    <w:rsid w:val="0025581F"/>
    <w:rsid w:val="0025594B"/>
    <w:rsid w:val="00255BB4"/>
    <w:rsid w:val="00255CB0"/>
    <w:rsid w:val="00255D8B"/>
    <w:rsid w:val="00255DB4"/>
    <w:rsid w:val="00255EFB"/>
    <w:rsid w:val="00255F97"/>
    <w:rsid w:val="002562A0"/>
    <w:rsid w:val="0025657C"/>
    <w:rsid w:val="002569B0"/>
    <w:rsid w:val="00256E85"/>
    <w:rsid w:val="00257092"/>
    <w:rsid w:val="002571B6"/>
    <w:rsid w:val="002576E1"/>
    <w:rsid w:val="0025781D"/>
    <w:rsid w:val="002579B9"/>
    <w:rsid w:val="00257E82"/>
    <w:rsid w:val="0026035F"/>
    <w:rsid w:val="0026085A"/>
    <w:rsid w:val="00260938"/>
    <w:rsid w:val="002609A5"/>
    <w:rsid w:val="00260CFF"/>
    <w:rsid w:val="0026143C"/>
    <w:rsid w:val="00261B20"/>
    <w:rsid w:val="00262E43"/>
    <w:rsid w:val="00262ECD"/>
    <w:rsid w:val="002632CC"/>
    <w:rsid w:val="00263306"/>
    <w:rsid w:val="00263716"/>
    <w:rsid w:val="00263769"/>
    <w:rsid w:val="002637B8"/>
    <w:rsid w:val="00263AB3"/>
    <w:rsid w:val="00263B6A"/>
    <w:rsid w:val="00263BD4"/>
    <w:rsid w:val="00263C28"/>
    <w:rsid w:val="00263F42"/>
    <w:rsid w:val="00264F12"/>
    <w:rsid w:val="00265221"/>
    <w:rsid w:val="0026524F"/>
    <w:rsid w:val="0026536F"/>
    <w:rsid w:val="0026584D"/>
    <w:rsid w:val="00265874"/>
    <w:rsid w:val="002659B6"/>
    <w:rsid w:val="00265CEC"/>
    <w:rsid w:val="00266500"/>
    <w:rsid w:val="002665CB"/>
    <w:rsid w:val="00266A35"/>
    <w:rsid w:val="00266B53"/>
    <w:rsid w:val="00266D16"/>
    <w:rsid w:val="00266E03"/>
    <w:rsid w:val="002672B1"/>
    <w:rsid w:val="00267A03"/>
    <w:rsid w:val="00267A14"/>
    <w:rsid w:val="00267AD4"/>
    <w:rsid w:val="0027019F"/>
    <w:rsid w:val="00270585"/>
    <w:rsid w:val="00270A33"/>
    <w:rsid w:val="00270B79"/>
    <w:rsid w:val="00270E18"/>
    <w:rsid w:val="00270EAF"/>
    <w:rsid w:val="00271001"/>
    <w:rsid w:val="0027115A"/>
    <w:rsid w:val="00271257"/>
    <w:rsid w:val="00271667"/>
    <w:rsid w:val="002717A5"/>
    <w:rsid w:val="0027198A"/>
    <w:rsid w:val="00271DF0"/>
    <w:rsid w:val="00271F30"/>
    <w:rsid w:val="0027207F"/>
    <w:rsid w:val="002721C1"/>
    <w:rsid w:val="002722B4"/>
    <w:rsid w:val="002723DF"/>
    <w:rsid w:val="0027254D"/>
    <w:rsid w:val="00272570"/>
    <w:rsid w:val="00272C16"/>
    <w:rsid w:val="00272C1B"/>
    <w:rsid w:val="00272F3B"/>
    <w:rsid w:val="002733CF"/>
    <w:rsid w:val="002733D8"/>
    <w:rsid w:val="00273DF4"/>
    <w:rsid w:val="00274040"/>
    <w:rsid w:val="0027461A"/>
    <w:rsid w:val="00274932"/>
    <w:rsid w:val="00274F78"/>
    <w:rsid w:val="002750E7"/>
    <w:rsid w:val="00275139"/>
    <w:rsid w:val="00275733"/>
    <w:rsid w:val="002759E7"/>
    <w:rsid w:val="00276A89"/>
    <w:rsid w:val="00276D17"/>
    <w:rsid w:val="00276D5A"/>
    <w:rsid w:val="00277809"/>
    <w:rsid w:val="002779D7"/>
    <w:rsid w:val="00277B0A"/>
    <w:rsid w:val="00277DE0"/>
    <w:rsid w:val="00280336"/>
    <w:rsid w:val="0028044C"/>
    <w:rsid w:val="002804D4"/>
    <w:rsid w:val="002807FF"/>
    <w:rsid w:val="002808E1"/>
    <w:rsid w:val="00280906"/>
    <w:rsid w:val="00280CE1"/>
    <w:rsid w:val="00280DD8"/>
    <w:rsid w:val="00280E5E"/>
    <w:rsid w:val="00280F35"/>
    <w:rsid w:val="0028109D"/>
    <w:rsid w:val="002816B2"/>
    <w:rsid w:val="00281707"/>
    <w:rsid w:val="0028199A"/>
    <w:rsid w:val="002819CC"/>
    <w:rsid w:val="00281F8E"/>
    <w:rsid w:val="00281FF9"/>
    <w:rsid w:val="00282C89"/>
    <w:rsid w:val="00282D48"/>
    <w:rsid w:val="0028321B"/>
    <w:rsid w:val="00283302"/>
    <w:rsid w:val="0028373B"/>
    <w:rsid w:val="00283A29"/>
    <w:rsid w:val="00284116"/>
    <w:rsid w:val="00284228"/>
    <w:rsid w:val="00284C3C"/>
    <w:rsid w:val="00284EF8"/>
    <w:rsid w:val="00284F3C"/>
    <w:rsid w:val="002852E9"/>
    <w:rsid w:val="00285806"/>
    <w:rsid w:val="00285BA3"/>
    <w:rsid w:val="00285C0B"/>
    <w:rsid w:val="00285FD5"/>
    <w:rsid w:val="002861E1"/>
    <w:rsid w:val="0028689C"/>
    <w:rsid w:val="002870C9"/>
    <w:rsid w:val="002870ED"/>
    <w:rsid w:val="002873CE"/>
    <w:rsid w:val="0028756D"/>
    <w:rsid w:val="002876E1"/>
    <w:rsid w:val="0028773C"/>
    <w:rsid w:val="00287E9B"/>
    <w:rsid w:val="00287EF8"/>
    <w:rsid w:val="00290141"/>
    <w:rsid w:val="002903CA"/>
    <w:rsid w:val="0029050A"/>
    <w:rsid w:val="0029097C"/>
    <w:rsid w:val="00290EC0"/>
    <w:rsid w:val="00290F4D"/>
    <w:rsid w:val="0029188C"/>
    <w:rsid w:val="002919E7"/>
    <w:rsid w:val="00291C81"/>
    <w:rsid w:val="00291D06"/>
    <w:rsid w:val="00291E6E"/>
    <w:rsid w:val="00292227"/>
    <w:rsid w:val="00292AA1"/>
    <w:rsid w:val="00292D8F"/>
    <w:rsid w:val="00293011"/>
    <w:rsid w:val="00293282"/>
    <w:rsid w:val="002933C9"/>
    <w:rsid w:val="002937C9"/>
    <w:rsid w:val="0029382A"/>
    <w:rsid w:val="00293DB5"/>
    <w:rsid w:val="00293E37"/>
    <w:rsid w:val="00293FB0"/>
    <w:rsid w:val="002946CD"/>
    <w:rsid w:val="002948FA"/>
    <w:rsid w:val="00294918"/>
    <w:rsid w:val="00294C5B"/>
    <w:rsid w:val="00294E99"/>
    <w:rsid w:val="00294F42"/>
    <w:rsid w:val="002951B4"/>
    <w:rsid w:val="00295261"/>
    <w:rsid w:val="002952E2"/>
    <w:rsid w:val="00295BFA"/>
    <w:rsid w:val="00295D3F"/>
    <w:rsid w:val="00295D5D"/>
    <w:rsid w:val="00295EEB"/>
    <w:rsid w:val="0029648B"/>
    <w:rsid w:val="002964E6"/>
    <w:rsid w:val="0029675C"/>
    <w:rsid w:val="00296AD0"/>
    <w:rsid w:val="00296F96"/>
    <w:rsid w:val="00297837"/>
    <w:rsid w:val="00297B1E"/>
    <w:rsid w:val="00297B70"/>
    <w:rsid w:val="00297CA7"/>
    <w:rsid w:val="002A024F"/>
    <w:rsid w:val="002A04CB"/>
    <w:rsid w:val="002A0790"/>
    <w:rsid w:val="002A0925"/>
    <w:rsid w:val="002A09E2"/>
    <w:rsid w:val="002A11BC"/>
    <w:rsid w:val="002A1501"/>
    <w:rsid w:val="002A15F1"/>
    <w:rsid w:val="002A1790"/>
    <w:rsid w:val="002A2119"/>
    <w:rsid w:val="002A25C5"/>
    <w:rsid w:val="002A275C"/>
    <w:rsid w:val="002A2C81"/>
    <w:rsid w:val="002A2DDD"/>
    <w:rsid w:val="002A2E58"/>
    <w:rsid w:val="002A302E"/>
    <w:rsid w:val="002A37D1"/>
    <w:rsid w:val="002A3963"/>
    <w:rsid w:val="002A3C1B"/>
    <w:rsid w:val="002A3CD8"/>
    <w:rsid w:val="002A43ED"/>
    <w:rsid w:val="002A4D0A"/>
    <w:rsid w:val="002A4E5F"/>
    <w:rsid w:val="002A5913"/>
    <w:rsid w:val="002A5CF1"/>
    <w:rsid w:val="002A5D6F"/>
    <w:rsid w:val="002A635E"/>
    <w:rsid w:val="002A6492"/>
    <w:rsid w:val="002A64AC"/>
    <w:rsid w:val="002A661E"/>
    <w:rsid w:val="002A6645"/>
    <w:rsid w:val="002A6A3E"/>
    <w:rsid w:val="002A6ABF"/>
    <w:rsid w:val="002A6B5A"/>
    <w:rsid w:val="002A6B81"/>
    <w:rsid w:val="002A6BB4"/>
    <w:rsid w:val="002A6F91"/>
    <w:rsid w:val="002A6FCB"/>
    <w:rsid w:val="002A754A"/>
    <w:rsid w:val="002A75D6"/>
    <w:rsid w:val="002A7B50"/>
    <w:rsid w:val="002A7B9D"/>
    <w:rsid w:val="002A7C80"/>
    <w:rsid w:val="002A7F2F"/>
    <w:rsid w:val="002B00BC"/>
    <w:rsid w:val="002B0432"/>
    <w:rsid w:val="002B0460"/>
    <w:rsid w:val="002B06E7"/>
    <w:rsid w:val="002B08CE"/>
    <w:rsid w:val="002B0E27"/>
    <w:rsid w:val="002B166C"/>
    <w:rsid w:val="002B1784"/>
    <w:rsid w:val="002B17C2"/>
    <w:rsid w:val="002B19B7"/>
    <w:rsid w:val="002B19CF"/>
    <w:rsid w:val="002B1E36"/>
    <w:rsid w:val="002B1F69"/>
    <w:rsid w:val="002B2002"/>
    <w:rsid w:val="002B2065"/>
    <w:rsid w:val="002B2150"/>
    <w:rsid w:val="002B2425"/>
    <w:rsid w:val="002B25B8"/>
    <w:rsid w:val="002B2A76"/>
    <w:rsid w:val="002B307C"/>
    <w:rsid w:val="002B30D4"/>
    <w:rsid w:val="002B3189"/>
    <w:rsid w:val="002B31E9"/>
    <w:rsid w:val="002B3441"/>
    <w:rsid w:val="002B35BC"/>
    <w:rsid w:val="002B35DD"/>
    <w:rsid w:val="002B39B7"/>
    <w:rsid w:val="002B3A15"/>
    <w:rsid w:val="002B3C8F"/>
    <w:rsid w:val="002B3ED7"/>
    <w:rsid w:val="002B429E"/>
    <w:rsid w:val="002B44B5"/>
    <w:rsid w:val="002B469C"/>
    <w:rsid w:val="002B48DD"/>
    <w:rsid w:val="002B4A08"/>
    <w:rsid w:val="002B4B94"/>
    <w:rsid w:val="002B4BE2"/>
    <w:rsid w:val="002B54C2"/>
    <w:rsid w:val="002B55E3"/>
    <w:rsid w:val="002B5D43"/>
    <w:rsid w:val="002B5E05"/>
    <w:rsid w:val="002B60B5"/>
    <w:rsid w:val="002B6153"/>
    <w:rsid w:val="002B674F"/>
    <w:rsid w:val="002B677E"/>
    <w:rsid w:val="002B67E6"/>
    <w:rsid w:val="002B6D25"/>
    <w:rsid w:val="002B6EA3"/>
    <w:rsid w:val="002B6FF2"/>
    <w:rsid w:val="002B706B"/>
    <w:rsid w:val="002B718D"/>
    <w:rsid w:val="002B7218"/>
    <w:rsid w:val="002B73F0"/>
    <w:rsid w:val="002B7405"/>
    <w:rsid w:val="002B7610"/>
    <w:rsid w:val="002B777B"/>
    <w:rsid w:val="002B7C7B"/>
    <w:rsid w:val="002C0017"/>
    <w:rsid w:val="002C03F0"/>
    <w:rsid w:val="002C06AE"/>
    <w:rsid w:val="002C0924"/>
    <w:rsid w:val="002C09B2"/>
    <w:rsid w:val="002C09E3"/>
    <w:rsid w:val="002C0B14"/>
    <w:rsid w:val="002C0F52"/>
    <w:rsid w:val="002C1159"/>
    <w:rsid w:val="002C11FC"/>
    <w:rsid w:val="002C145D"/>
    <w:rsid w:val="002C1679"/>
    <w:rsid w:val="002C1731"/>
    <w:rsid w:val="002C1908"/>
    <w:rsid w:val="002C1F19"/>
    <w:rsid w:val="002C221E"/>
    <w:rsid w:val="002C245B"/>
    <w:rsid w:val="002C2490"/>
    <w:rsid w:val="002C26D6"/>
    <w:rsid w:val="002C29A1"/>
    <w:rsid w:val="002C29C9"/>
    <w:rsid w:val="002C2A5B"/>
    <w:rsid w:val="002C2D5D"/>
    <w:rsid w:val="002C2E94"/>
    <w:rsid w:val="002C374F"/>
    <w:rsid w:val="002C37CA"/>
    <w:rsid w:val="002C39EB"/>
    <w:rsid w:val="002C3A7E"/>
    <w:rsid w:val="002C3AFD"/>
    <w:rsid w:val="002C3BE5"/>
    <w:rsid w:val="002C3C88"/>
    <w:rsid w:val="002C3D04"/>
    <w:rsid w:val="002C3E26"/>
    <w:rsid w:val="002C3F56"/>
    <w:rsid w:val="002C4087"/>
    <w:rsid w:val="002C437E"/>
    <w:rsid w:val="002C43DC"/>
    <w:rsid w:val="002C4611"/>
    <w:rsid w:val="002C4811"/>
    <w:rsid w:val="002C49D2"/>
    <w:rsid w:val="002C4B03"/>
    <w:rsid w:val="002C4E22"/>
    <w:rsid w:val="002C4E5A"/>
    <w:rsid w:val="002C4F0B"/>
    <w:rsid w:val="002C4FE7"/>
    <w:rsid w:val="002C52FB"/>
    <w:rsid w:val="002C5340"/>
    <w:rsid w:val="002C53D1"/>
    <w:rsid w:val="002C5580"/>
    <w:rsid w:val="002C5601"/>
    <w:rsid w:val="002C57F6"/>
    <w:rsid w:val="002C5A28"/>
    <w:rsid w:val="002C5D0E"/>
    <w:rsid w:val="002C5F85"/>
    <w:rsid w:val="002C60C6"/>
    <w:rsid w:val="002C60C8"/>
    <w:rsid w:val="002C61CE"/>
    <w:rsid w:val="002C6448"/>
    <w:rsid w:val="002C6870"/>
    <w:rsid w:val="002C6A59"/>
    <w:rsid w:val="002C6BBA"/>
    <w:rsid w:val="002C6D8E"/>
    <w:rsid w:val="002C6F2E"/>
    <w:rsid w:val="002C7194"/>
    <w:rsid w:val="002C71CF"/>
    <w:rsid w:val="002C7239"/>
    <w:rsid w:val="002C7866"/>
    <w:rsid w:val="002D03D2"/>
    <w:rsid w:val="002D057A"/>
    <w:rsid w:val="002D0C59"/>
    <w:rsid w:val="002D0D81"/>
    <w:rsid w:val="002D0E0B"/>
    <w:rsid w:val="002D0EEB"/>
    <w:rsid w:val="002D1166"/>
    <w:rsid w:val="002D1311"/>
    <w:rsid w:val="002D1498"/>
    <w:rsid w:val="002D1A43"/>
    <w:rsid w:val="002D1EB0"/>
    <w:rsid w:val="002D2036"/>
    <w:rsid w:val="002D24C2"/>
    <w:rsid w:val="002D2960"/>
    <w:rsid w:val="002D2BCF"/>
    <w:rsid w:val="002D2C78"/>
    <w:rsid w:val="002D2DBB"/>
    <w:rsid w:val="002D2E83"/>
    <w:rsid w:val="002D31E5"/>
    <w:rsid w:val="002D3412"/>
    <w:rsid w:val="002D34DD"/>
    <w:rsid w:val="002D36EC"/>
    <w:rsid w:val="002D3D56"/>
    <w:rsid w:val="002D3F0C"/>
    <w:rsid w:val="002D4142"/>
    <w:rsid w:val="002D4272"/>
    <w:rsid w:val="002D43C4"/>
    <w:rsid w:val="002D4491"/>
    <w:rsid w:val="002D450B"/>
    <w:rsid w:val="002D4644"/>
    <w:rsid w:val="002D46DD"/>
    <w:rsid w:val="002D49BF"/>
    <w:rsid w:val="002D4C07"/>
    <w:rsid w:val="002D5054"/>
    <w:rsid w:val="002D5760"/>
    <w:rsid w:val="002D61C4"/>
    <w:rsid w:val="002D623D"/>
    <w:rsid w:val="002D6331"/>
    <w:rsid w:val="002D6454"/>
    <w:rsid w:val="002D65A0"/>
    <w:rsid w:val="002D6642"/>
    <w:rsid w:val="002D679A"/>
    <w:rsid w:val="002D6877"/>
    <w:rsid w:val="002D6917"/>
    <w:rsid w:val="002D6957"/>
    <w:rsid w:val="002D695F"/>
    <w:rsid w:val="002D69F2"/>
    <w:rsid w:val="002D6A7A"/>
    <w:rsid w:val="002D6CAC"/>
    <w:rsid w:val="002D7458"/>
    <w:rsid w:val="002D7604"/>
    <w:rsid w:val="002D76CC"/>
    <w:rsid w:val="002D7E0F"/>
    <w:rsid w:val="002E08BA"/>
    <w:rsid w:val="002E0BB3"/>
    <w:rsid w:val="002E0C93"/>
    <w:rsid w:val="002E128B"/>
    <w:rsid w:val="002E1367"/>
    <w:rsid w:val="002E13CD"/>
    <w:rsid w:val="002E13E0"/>
    <w:rsid w:val="002E1615"/>
    <w:rsid w:val="002E20E0"/>
    <w:rsid w:val="002E20FF"/>
    <w:rsid w:val="002E22A4"/>
    <w:rsid w:val="002E2922"/>
    <w:rsid w:val="002E2FBD"/>
    <w:rsid w:val="002E32DE"/>
    <w:rsid w:val="002E333A"/>
    <w:rsid w:val="002E345F"/>
    <w:rsid w:val="002E34A5"/>
    <w:rsid w:val="002E373E"/>
    <w:rsid w:val="002E3A0F"/>
    <w:rsid w:val="002E3C58"/>
    <w:rsid w:val="002E47FB"/>
    <w:rsid w:val="002E497B"/>
    <w:rsid w:val="002E4B9F"/>
    <w:rsid w:val="002E4C0A"/>
    <w:rsid w:val="002E4D8D"/>
    <w:rsid w:val="002E4EF1"/>
    <w:rsid w:val="002E4F01"/>
    <w:rsid w:val="002E4F29"/>
    <w:rsid w:val="002E5229"/>
    <w:rsid w:val="002E5567"/>
    <w:rsid w:val="002E5859"/>
    <w:rsid w:val="002E5A92"/>
    <w:rsid w:val="002E5B4C"/>
    <w:rsid w:val="002E5BC2"/>
    <w:rsid w:val="002E5D7F"/>
    <w:rsid w:val="002E5F3B"/>
    <w:rsid w:val="002E6325"/>
    <w:rsid w:val="002E6723"/>
    <w:rsid w:val="002E692D"/>
    <w:rsid w:val="002E6BDE"/>
    <w:rsid w:val="002E6CFB"/>
    <w:rsid w:val="002E6D0B"/>
    <w:rsid w:val="002E6D33"/>
    <w:rsid w:val="002E6F57"/>
    <w:rsid w:val="002E6FCF"/>
    <w:rsid w:val="002E7029"/>
    <w:rsid w:val="002E7073"/>
    <w:rsid w:val="002E7439"/>
    <w:rsid w:val="002E749A"/>
    <w:rsid w:val="002E7916"/>
    <w:rsid w:val="002E7944"/>
    <w:rsid w:val="002E797D"/>
    <w:rsid w:val="002E7D07"/>
    <w:rsid w:val="002E7F11"/>
    <w:rsid w:val="002F00FB"/>
    <w:rsid w:val="002F0130"/>
    <w:rsid w:val="002F06EA"/>
    <w:rsid w:val="002F0A6B"/>
    <w:rsid w:val="002F0DAF"/>
    <w:rsid w:val="002F1432"/>
    <w:rsid w:val="002F152C"/>
    <w:rsid w:val="002F1CBD"/>
    <w:rsid w:val="002F1D26"/>
    <w:rsid w:val="002F2131"/>
    <w:rsid w:val="002F2487"/>
    <w:rsid w:val="002F26ED"/>
    <w:rsid w:val="002F2722"/>
    <w:rsid w:val="002F27E7"/>
    <w:rsid w:val="002F2E04"/>
    <w:rsid w:val="002F3226"/>
    <w:rsid w:val="002F35AC"/>
    <w:rsid w:val="002F3724"/>
    <w:rsid w:val="002F37C2"/>
    <w:rsid w:val="002F380B"/>
    <w:rsid w:val="002F3A5C"/>
    <w:rsid w:val="002F3C14"/>
    <w:rsid w:val="002F402E"/>
    <w:rsid w:val="002F406C"/>
    <w:rsid w:val="002F40C3"/>
    <w:rsid w:val="002F44FA"/>
    <w:rsid w:val="002F497E"/>
    <w:rsid w:val="002F4B71"/>
    <w:rsid w:val="002F4BE7"/>
    <w:rsid w:val="002F4CD3"/>
    <w:rsid w:val="002F4EEB"/>
    <w:rsid w:val="002F4F6A"/>
    <w:rsid w:val="002F524B"/>
    <w:rsid w:val="002F55B8"/>
    <w:rsid w:val="002F5847"/>
    <w:rsid w:val="002F5880"/>
    <w:rsid w:val="002F5D02"/>
    <w:rsid w:val="002F5D9E"/>
    <w:rsid w:val="002F5DAA"/>
    <w:rsid w:val="002F5E46"/>
    <w:rsid w:val="002F62AC"/>
    <w:rsid w:val="002F64D2"/>
    <w:rsid w:val="002F6911"/>
    <w:rsid w:val="002F69AA"/>
    <w:rsid w:val="002F6FDA"/>
    <w:rsid w:val="002F760B"/>
    <w:rsid w:val="002F78F2"/>
    <w:rsid w:val="00300660"/>
    <w:rsid w:val="00300BCF"/>
    <w:rsid w:val="00300CC5"/>
    <w:rsid w:val="00300F4F"/>
    <w:rsid w:val="00301209"/>
    <w:rsid w:val="003012CC"/>
    <w:rsid w:val="00301424"/>
    <w:rsid w:val="0030169C"/>
    <w:rsid w:val="00301768"/>
    <w:rsid w:val="003017C9"/>
    <w:rsid w:val="003017DB"/>
    <w:rsid w:val="00301A5E"/>
    <w:rsid w:val="00301B08"/>
    <w:rsid w:val="00301BEE"/>
    <w:rsid w:val="00301C78"/>
    <w:rsid w:val="00301E29"/>
    <w:rsid w:val="00301EA6"/>
    <w:rsid w:val="0030266F"/>
    <w:rsid w:val="00302818"/>
    <w:rsid w:val="00302EC1"/>
    <w:rsid w:val="0030309D"/>
    <w:rsid w:val="003033AB"/>
    <w:rsid w:val="0030354D"/>
    <w:rsid w:val="00303808"/>
    <w:rsid w:val="0030388B"/>
    <w:rsid w:val="00303B50"/>
    <w:rsid w:val="00303D88"/>
    <w:rsid w:val="00303EC8"/>
    <w:rsid w:val="003042EF"/>
    <w:rsid w:val="003048AF"/>
    <w:rsid w:val="00304C2E"/>
    <w:rsid w:val="00304E3F"/>
    <w:rsid w:val="00304EF3"/>
    <w:rsid w:val="003050CE"/>
    <w:rsid w:val="00305163"/>
    <w:rsid w:val="003052B6"/>
    <w:rsid w:val="00305929"/>
    <w:rsid w:val="00305BAA"/>
    <w:rsid w:val="00305E59"/>
    <w:rsid w:val="003063F8"/>
    <w:rsid w:val="0030680F"/>
    <w:rsid w:val="00306874"/>
    <w:rsid w:val="00306D5C"/>
    <w:rsid w:val="0030712F"/>
    <w:rsid w:val="003072C0"/>
    <w:rsid w:val="0030740E"/>
    <w:rsid w:val="003077E1"/>
    <w:rsid w:val="00307EDE"/>
    <w:rsid w:val="0031005C"/>
    <w:rsid w:val="00310219"/>
    <w:rsid w:val="00310541"/>
    <w:rsid w:val="00310557"/>
    <w:rsid w:val="003108B2"/>
    <w:rsid w:val="00310A88"/>
    <w:rsid w:val="00310CFB"/>
    <w:rsid w:val="00310F64"/>
    <w:rsid w:val="00310FCD"/>
    <w:rsid w:val="00311063"/>
    <w:rsid w:val="003112C3"/>
    <w:rsid w:val="003115CB"/>
    <w:rsid w:val="0031171D"/>
    <w:rsid w:val="0031174C"/>
    <w:rsid w:val="00311800"/>
    <w:rsid w:val="00311EAB"/>
    <w:rsid w:val="0031204A"/>
    <w:rsid w:val="0031238A"/>
    <w:rsid w:val="003123EB"/>
    <w:rsid w:val="0031247C"/>
    <w:rsid w:val="0031296B"/>
    <w:rsid w:val="00312B65"/>
    <w:rsid w:val="00312D32"/>
    <w:rsid w:val="00312DD0"/>
    <w:rsid w:val="00312DF7"/>
    <w:rsid w:val="00313163"/>
    <w:rsid w:val="0031321C"/>
    <w:rsid w:val="0031332D"/>
    <w:rsid w:val="003136A1"/>
    <w:rsid w:val="003137AD"/>
    <w:rsid w:val="003137DD"/>
    <w:rsid w:val="003138A6"/>
    <w:rsid w:val="00313B9A"/>
    <w:rsid w:val="00313E54"/>
    <w:rsid w:val="003143D5"/>
    <w:rsid w:val="00314436"/>
    <w:rsid w:val="0031472F"/>
    <w:rsid w:val="003148D3"/>
    <w:rsid w:val="00315476"/>
    <w:rsid w:val="0031547F"/>
    <w:rsid w:val="00315837"/>
    <w:rsid w:val="00315968"/>
    <w:rsid w:val="00315C94"/>
    <w:rsid w:val="00315FC1"/>
    <w:rsid w:val="003160FB"/>
    <w:rsid w:val="003161E3"/>
    <w:rsid w:val="003166BE"/>
    <w:rsid w:val="00316D34"/>
    <w:rsid w:val="00316DD9"/>
    <w:rsid w:val="003170C5"/>
    <w:rsid w:val="0031743E"/>
    <w:rsid w:val="00317547"/>
    <w:rsid w:val="00317D3B"/>
    <w:rsid w:val="00317FAC"/>
    <w:rsid w:val="003202C0"/>
    <w:rsid w:val="003204D4"/>
    <w:rsid w:val="0032081F"/>
    <w:rsid w:val="00320A2D"/>
    <w:rsid w:val="00320B69"/>
    <w:rsid w:val="00320CF5"/>
    <w:rsid w:val="00320E67"/>
    <w:rsid w:val="003212C5"/>
    <w:rsid w:val="00321313"/>
    <w:rsid w:val="00321392"/>
    <w:rsid w:val="003217CA"/>
    <w:rsid w:val="00321945"/>
    <w:rsid w:val="003219DC"/>
    <w:rsid w:val="00322153"/>
    <w:rsid w:val="00322379"/>
    <w:rsid w:val="00322543"/>
    <w:rsid w:val="0032289E"/>
    <w:rsid w:val="003229BB"/>
    <w:rsid w:val="00323347"/>
    <w:rsid w:val="00323390"/>
    <w:rsid w:val="0032354C"/>
    <w:rsid w:val="00323658"/>
    <w:rsid w:val="00323C83"/>
    <w:rsid w:val="00323D35"/>
    <w:rsid w:val="00323F3C"/>
    <w:rsid w:val="0032408D"/>
    <w:rsid w:val="0032440C"/>
    <w:rsid w:val="0032440D"/>
    <w:rsid w:val="003244E3"/>
    <w:rsid w:val="003248D2"/>
    <w:rsid w:val="00324C73"/>
    <w:rsid w:val="00324EFC"/>
    <w:rsid w:val="00324FA2"/>
    <w:rsid w:val="00325430"/>
    <w:rsid w:val="00325464"/>
    <w:rsid w:val="00325A98"/>
    <w:rsid w:val="00325C4D"/>
    <w:rsid w:val="00325F46"/>
    <w:rsid w:val="00326223"/>
    <w:rsid w:val="00326648"/>
    <w:rsid w:val="00326AAA"/>
    <w:rsid w:val="00326F13"/>
    <w:rsid w:val="00327022"/>
    <w:rsid w:val="003271E7"/>
    <w:rsid w:val="003273D6"/>
    <w:rsid w:val="003275ED"/>
    <w:rsid w:val="0032797A"/>
    <w:rsid w:val="00327AF3"/>
    <w:rsid w:val="00327E09"/>
    <w:rsid w:val="003304DA"/>
    <w:rsid w:val="003304EE"/>
    <w:rsid w:val="0033075B"/>
    <w:rsid w:val="003308EF"/>
    <w:rsid w:val="003309E1"/>
    <w:rsid w:val="00330B39"/>
    <w:rsid w:val="00331183"/>
    <w:rsid w:val="003312A7"/>
    <w:rsid w:val="003317D8"/>
    <w:rsid w:val="00331FB1"/>
    <w:rsid w:val="003324C2"/>
    <w:rsid w:val="003324E8"/>
    <w:rsid w:val="003328C2"/>
    <w:rsid w:val="00332ACA"/>
    <w:rsid w:val="00332FE4"/>
    <w:rsid w:val="00333000"/>
    <w:rsid w:val="003332BA"/>
    <w:rsid w:val="00333482"/>
    <w:rsid w:val="003334BF"/>
    <w:rsid w:val="003337CD"/>
    <w:rsid w:val="003338B6"/>
    <w:rsid w:val="00333C5F"/>
    <w:rsid w:val="00333E8A"/>
    <w:rsid w:val="00333F08"/>
    <w:rsid w:val="00333FC3"/>
    <w:rsid w:val="003341E0"/>
    <w:rsid w:val="00334218"/>
    <w:rsid w:val="0033421B"/>
    <w:rsid w:val="003345AE"/>
    <w:rsid w:val="00334882"/>
    <w:rsid w:val="00334929"/>
    <w:rsid w:val="00335A70"/>
    <w:rsid w:val="00335A77"/>
    <w:rsid w:val="00335CD6"/>
    <w:rsid w:val="00335D57"/>
    <w:rsid w:val="00335F9F"/>
    <w:rsid w:val="003365E7"/>
    <w:rsid w:val="00336603"/>
    <w:rsid w:val="0033664A"/>
    <w:rsid w:val="00336704"/>
    <w:rsid w:val="00337396"/>
    <w:rsid w:val="0033751D"/>
    <w:rsid w:val="003377D9"/>
    <w:rsid w:val="00337897"/>
    <w:rsid w:val="00337CF1"/>
    <w:rsid w:val="0034006F"/>
    <w:rsid w:val="00340291"/>
    <w:rsid w:val="00340A49"/>
    <w:rsid w:val="00340D0F"/>
    <w:rsid w:val="003410AA"/>
    <w:rsid w:val="0034130D"/>
    <w:rsid w:val="00341BC6"/>
    <w:rsid w:val="00342173"/>
    <w:rsid w:val="0034233A"/>
    <w:rsid w:val="00342914"/>
    <w:rsid w:val="00342B18"/>
    <w:rsid w:val="00342B53"/>
    <w:rsid w:val="00342C12"/>
    <w:rsid w:val="00343035"/>
    <w:rsid w:val="003433B4"/>
    <w:rsid w:val="0034348F"/>
    <w:rsid w:val="003434FB"/>
    <w:rsid w:val="00343746"/>
    <w:rsid w:val="0034374F"/>
    <w:rsid w:val="00343878"/>
    <w:rsid w:val="00343A48"/>
    <w:rsid w:val="00343A8C"/>
    <w:rsid w:val="00343BB9"/>
    <w:rsid w:val="00343F32"/>
    <w:rsid w:val="00344175"/>
    <w:rsid w:val="003446E0"/>
    <w:rsid w:val="003447D8"/>
    <w:rsid w:val="00344926"/>
    <w:rsid w:val="00344933"/>
    <w:rsid w:val="00344A4A"/>
    <w:rsid w:val="00344B83"/>
    <w:rsid w:val="00344F6C"/>
    <w:rsid w:val="003459EF"/>
    <w:rsid w:val="00345C04"/>
    <w:rsid w:val="00345C35"/>
    <w:rsid w:val="00345C3E"/>
    <w:rsid w:val="00345DC7"/>
    <w:rsid w:val="00346131"/>
    <w:rsid w:val="00346D45"/>
    <w:rsid w:val="00346D8B"/>
    <w:rsid w:val="00346E83"/>
    <w:rsid w:val="0034702F"/>
    <w:rsid w:val="00347BB9"/>
    <w:rsid w:val="00347CE7"/>
    <w:rsid w:val="0035000E"/>
    <w:rsid w:val="003502F2"/>
    <w:rsid w:val="00350409"/>
    <w:rsid w:val="0035062D"/>
    <w:rsid w:val="0035080C"/>
    <w:rsid w:val="00351072"/>
    <w:rsid w:val="003511C5"/>
    <w:rsid w:val="00351BE4"/>
    <w:rsid w:val="003525C7"/>
    <w:rsid w:val="003525CF"/>
    <w:rsid w:val="0035266D"/>
    <w:rsid w:val="003529C9"/>
    <w:rsid w:val="00352BFD"/>
    <w:rsid w:val="00352D1B"/>
    <w:rsid w:val="0035338C"/>
    <w:rsid w:val="0035364D"/>
    <w:rsid w:val="003538E9"/>
    <w:rsid w:val="003539CC"/>
    <w:rsid w:val="00353A3E"/>
    <w:rsid w:val="00353D48"/>
    <w:rsid w:val="00353F4F"/>
    <w:rsid w:val="0035419B"/>
    <w:rsid w:val="003541BC"/>
    <w:rsid w:val="00354235"/>
    <w:rsid w:val="003543A1"/>
    <w:rsid w:val="00354636"/>
    <w:rsid w:val="003547A2"/>
    <w:rsid w:val="00354A33"/>
    <w:rsid w:val="00354FB6"/>
    <w:rsid w:val="00355066"/>
    <w:rsid w:val="00355265"/>
    <w:rsid w:val="00355336"/>
    <w:rsid w:val="003554E5"/>
    <w:rsid w:val="00355579"/>
    <w:rsid w:val="003555C7"/>
    <w:rsid w:val="003557D2"/>
    <w:rsid w:val="00355952"/>
    <w:rsid w:val="00355A9A"/>
    <w:rsid w:val="00355C90"/>
    <w:rsid w:val="00356019"/>
    <w:rsid w:val="003560FA"/>
    <w:rsid w:val="00356B5E"/>
    <w:rsid w:val="00356B72"/>
    <w:rsid w:val="00356CB3"/>
    <w:rsid w:val="00356D3D"/>
    <w:rsid w:val="00357366"/>
    <w:rsid w:val="00357461"/>
    <w:rsid w:val="003579B8"/>
    <w:rsid w:val="00357A53"/>
    <w:rsid w:val="00357D44"/>
    <w:rsid w:val="00357F78"/>
    <w:rsid w:val="00357FA2"/>
    <w:rsid w:val="00360326"/>
    <w:rsid w:val="00360736"/>
    <w:rsid w:val="00360AC3"/>
    <w:rsid w:val="00360DE0"/>
    <w:rsid w:val="00360FD9"/>
    <w:rsid w:val="0036107C"/>
    <w:rsid w:val="003614C5"/>
    <w:rsid w:val="00361A2E"/>
    <w:rsid w:val="00361A8B"/>
    <w:rsid w:val="00361BD4"/>
    <w:rsid w:val="00361BE3"/>
    <w:rsid w:val="00361D34"/>
    <w:rsid w:val="00362391"/>
    <w:rsid w:val="003624CE"/>
    <w:rsid w:val="00362582"/>
    <w:rsid w:val="003625CD"/>
    <w:rsid w:val="003626F5"/>
    <w:rsid w:val="00362927"/>
    <w:rsid w:val="00362AAB"/>
    <w:rsid w:val="00362CA1"/>
    <w:rsid w:val="00363386"/>
    <w:rsid w:val="00363524"/>
    <w:rsid w:val="00363AEB"/>
    <w:rsid w:val="00363B83"/>
    <w:rsid w:val="00363BDB"/>
    <w:rsid w:val="00363C9F"/>
    <w:rsid w:val="00363EF4"/>
    <w:rsid w:val="00364066"/>
    <w:rsid w:val="00364428"/>
    <w:rsid w:val="003645BB"/>
    <w:rsid w:val="0036498F"/>
    <w:rsid w:val="00364B08"/>
    <w:rsid w:val="00364D40"/>
    <w:rsid w:val="00364D45"/>
    <w:rsid w:val="0036503A"/>
    <w:rsid w:val="0036515E"/>
    <w:rsid w:val="0036529B"/>
    <w:rsid w:val="00365870"/>
    <w:rsid w:val="00365889"/>
    <w:rsid w:val="0036592F"/>
    <w:rsid w:val="00365D8C"/>
    <w:rsid w:val="00365ED6"/>
    <w:rsid w:val="003665DB"/>
    <w:rsid w:val="003667A9"/>
    <w:rsid w:val="00366B61"/>
    <w:rsid w:val="003673D4"/>
    <w:rsid w:val="003677A9"/>
    <w:rsid w:val="00367A60"/>
    <w:rsid w:val="0037022E"/>
    <w:rsid w:val="0037051E"/>
    <w:rsid w:val="00370F15"/>
    <w:rsid w:val="00370F86"/>
    <w:rsid w:val="003711D4"/>
    <w:rsid w:val="00371B86"/>
    <w:rsid w:val="0037233D"/>
    <w:rsid w:val="003728AA"/>
    <w:rsid w:val="003731EE"/>
    <w:rsid w:val="0037346A"/>
    <w:rsid w:val="00373739"/>
    <w:rsid w:val="003737E8"/>
    <w:rsid w:val="00373A39"/>
    <w:rsid w:val="00374A68"/>
    <w:rsid w:val="00374B50"/>
    <w:rsid w:val="00374EB5"/>
    <w:rsid w:val="003750F1"/>
    <w:rsid w:val="0037542A"/>
    <w:rsid w:val="0037562D"/>
    <w:rsid w:val="003759E0"/>
    <w:rsid w:val="00375AEF"/>
    <w:rsid w:val="00376323"/>
    <w:rsid w:val="003767C0"/>
    <w:rsid w:val="00376958"/>
    <w:rsid w:val="00376A37"/>
    <w:rsid w:val="00376BF0"/>
    <w:rsid w:val="003770E6"/>
    <w:rsid w:val="00377113"/>
    <w:rsid w:val="0037726B"/>
    <w:rsid w:val="003773FD"/>
    <w:rsid w:val="003777FE"/>
    <w:rsid w:val="00377914"/>
    <w:rsid w:val="003779C2"/>
    <w:rsid w:val="00377B2A"/>
    <w:rsid w:val="00377BEF"/>
    <w:rsid w:val="00377F3C"/>
    <w:rsid w:val="003807B9"/>
    <w:rsid w:val="00380A2D"/>
    <w:rsid w:val="00380A92"/>
    <w:rsid w:val="00380B29"/>
    <w:rsid w:val="00381196"/>
    <w:rsid w:val="0038127E"/>
    <w:rsid w:val="0038142E"/>
    <w:rsid w:val="0038163F"/>
    <w:rsid w:val="00381B4C"/>
    <w:rsid w:val="00381C4D"/>
    <w:rsid w:val="00381D03"/>
    <w:rsid w:val="00381FF2"/>
    <w:rsid w:val="0038245C"/>
    <w:rsid w:val="003826B5"/>
    <w:rsid w:val="00382728"/>
    <w:rsid w:val="00382B4D"/>
    <w:rsid w:val="00382CB8"/>
    <w:rsid w:val="00382CF9"/>
    <w:rsid w:val="00383416"/>
    <w:rsid w:val="003837EB"/>
    <w:rsid w:val="003839E7"/>
    <w:rsid w:val="00383AF6"/>
    <w:rsid w:val="00383C43"/>
    <w:rsid w:val="00384326"/>
    <w:rsid w:val="0038464E"/>
    <w:rsid w:val="0038476B"/>
    <w:rsid w:val="003847DD"/>
    <w:rsid w:val="0038484E"/>
    <w:rsid w:val="00384980"/>
    <w:rsid w:val="00384A2B"/>
    <w:rsid w:val="00384BD0"/>
    <w:rsid w:val="00384BEB"/>
    <w:rsid w:val="00384CD0"/>
    <w:rsid w:val="00384FC4"/>
    <w:rsid w:val="00385185"/>
    <w:rsid w:val="00385226"/>
    <w:rsid w:val="00385452"/>
    <w:rsid w:val="00385648"/>
    <w:rsid w:val="00385759"/>
    <w:rsid w:val="00386162"/>
    <w:rsid w:val="003862C6"/>
    <w:rsid w:val="00386385"/>
    <w:rsid w:val="0038659D"/>
    <w:rsid w:val="00386866"/>
    <w:rsid w:val="0038692D"/>
    <w:rsid w:val="003869C9"/>
    <w:rsid w:val="00386C9F"/>
    <w:rsid w:val="00386F15"/>
    <w:rsid w:val="00386F30"/>
    <w:rsid w:val="00387198"/>
    <w:rsid w:val="003873D4"/>
    <w:rsid w:val="003873EE"/>
    <w:rsid w:val="003874C8"/>
    <w:rsid w:val="00387611"/>
    <w:rsid w:val="00387892"/>
    <w:rsid w:val="003879F2"/>
    <w:rsid w:val="00387A9B"/>
    <w:rsid w:val="00387D35"/>
    <w:rsid w:val="00387E13"/>
    <w:rsid w:val="00390002"/>
    <w:rsid w:val="00390091"/>
    <w:rsid w:val="003900A1"/>
    <w:rsid w:val="003902D4"/>
    <w:rsid w:val="003904FC"/>
    <w:rsid w:val="00390751"/>
    <w:rsid w:val="00390A58"/>
    <w:rsid w:val="00390DE4"/>
    <w:rsid w:val="0039115C"/>
    <w:rsid w:val="003911CD"/>
    <w:rsid w:val="0039137D"/>
    <w:rsid w:val="0039182D"/>
    <w:rsid w:val="00391C8A"/>
    <w:rsid w:val="003923C9"/>
    <w:rsid w:val="003924B1"/>
    <w:rsid w:val="003927A0"/>
    <w:rsid w:val="00392AC8"/>
    <w:rsid w:val="00392CE1"/>
    <w:rsid w:val="00392F4B"/>
    <w:rsid w:val="0039312C"/>
    <w:rsid w:val="00393137"/>
    <w:rsid w:val="00393668"/>
    <w:rsid w:val="00393686"/>
    <w:rsid w:val="00393B4C"/>
    <w:rsid w:val="00393D96"/>
    <w:rsid w:val="00393F86"/>
    <w:rsid w:val="00393FEC"/>
    <w:rsid w:val="0039401F"/>
    <w:rsid w:val="003940EF"/>
    <w:rsid w:val="0039412D"/>
    <w:rsid w:val="00394134"/>
    <w:rsid w:val="003941D6"/>
    <w:rsid w:val="003942DA"/>
    <w:rsid w:val="003943E9"/>
    <w:rsid w:val="00394505"/>
    <w:rsid w:val="00394AF2"/>
    <w:rsid w:val="00394C00"/>
    <w:rsid w:val="00394C36"/>
    <w:rsid w:val="00394EE5"/>
    <w:rsid w:val="00394F77"/>
    <w:rsid w:val="00395269"/>
    <w:rsid w:val="003952B9"/>
    <w:rsid w:val="003953EB"/>
    <w:rsid w:val="00395AA2"/>
    <w:rsid w:val="00395C74"/>
    <w:rsid w:val="00395E27"/>
    <w:rsid w:val="00395FA6"/>
    <w:rsid w:val="00396300"/>
    <w:rsid w:val="00396510"/>
    <w:rsid w:val="003967B9"/>
    <w:rsid w:val="003968F3"/>
    <w:rsid w:val="00396BDC"/>
    <w:rsid w:val="00396BE6"/>
    <w:rsid w:val="00396F8E"/>
    <w:rsid w:val="00397233"/>
    <w:rsid w:val="003973C1"/>
    <w:rsid w:val="00397910"/>
    <w:rsid w:val="00397A41"/>
    <w:rsid w:val="00397CD4"/>
    <w:rsid w:val="003A0161"/>
    <w:rsid w:val="003A0515"/>
    <w:rsid w:val="003A065D"/>
    <w:rsid w:val="003A1047"/>
    <w:rsid w:val="003A1089"/>
    <w:rsid w:val="003A193C"/>
    <w:rsid w:val="003A199B"/>
    <w:rsid w:val="003A19E9"/>
    <w:rsid w:val="003A1AEC"/>
    <w:rsid w:val="003A1C2E"/>
    <w:rsid w:val="003A1CCF"/>
    <w:rsid w:val="003A1F90"/>
    <w:rsid w:val="003A27DD"/>
    <w:rsid w:val="003A2CB6"/>
    <w:rsid w:val="003A3054"/>
    <w:rsid w:val="003A3208"/>
    <w:rsid w:val="003A3331"/>
    <w:rsid w:val="003A3C68"/>
    <w:rsid w:val="003A3D14"/>
    <w:rsid w:val="003A3D60"/>
    <w:rsid w:val="003A3E3F"/>
    <w:rsid w:val="003A4022"/>
    <w:rsid w:val="003A40C0"/>
    <w:rsid w:val="003A4558"/>
    <w:rsid w:val="003A4B7F"/>
    <w:rsid w:val="003A500C"/>
    <w:rsid w:val="003A51FC"/>
    <w:rsid w:val="003A59C1"/>
    <w:rsid w:val="003A6179"/>
    <w:rsid w:val="003A6550"/>
    <w:rsid w:val="003A6D8E"/>
    <w:rsid w:val="003A6FC6"/>
    <w:rsid w:val="003A74A0"/>
    <w:rsid w:val="003A7568"/>
    <w:rsid w:val="003A7787"/>
    <w:rsid w:val="003A7B0F"/>
    <w:rsid w:val="003A7CAB"/>
    <w:rsid w:val="003A7DD1"/>
    <w:rsid w:val="003A7DF2"/>
    <w:rsid w:val="003B076C"/>
    <w:rsid w:val="003B090E"/>
    <w:rsid w:val="003B0A55"/>
    <w:rsid w:val="003B0B5F"/>
    <w:rsid w:val="003B15AF"/>
    <w:rsid w:val="003B16CD"/>
    <w:rsid w:val="003B18FC"/>
    <w:rsid w:val="003B1E46"/>
    <w:rsid w:val="003B1E92"/>
    <w:rsid w:val="003B2029"/>
    <w:rsid w:val="003B2583"/>
    <w:rsid w:val="003B270B"/>
    <w:rsid w:val="003B27EA"/>
    <w:rsid w:val="003B2D29"/>
    <w:rsid w:val="003B2D41"/>
    <w:rsid w:val="003B3654"/>
    <w:rsid w:val="003B3E46"/>
    <w:rsid w:val="003B3E78"/>
    <w:rsid w:val="003B3F53"/>
    <w:rsid w:val="003B42C5"/>
    <w:rsid w:val="003B42DC"/>
    <w:rsid w:val="003B4333"/>
    <w:rsid w:val="003B4925"/>
    <w:rsid w:val="003B4A71"/>
    <w:rsid w:val="003B4B32"/>
    <w:rsid w:val="003B4C44"/>
    <w:rsid w:val="003B4C4F"/>
    <w:rsid w:val="003B4EBB"/>
    <w:rsid w:val="003B50FE"/>
    <w:rsid w:val="003B5687"/>
    <w:rsid w:val="003B5750"/>
    <w:rsid w:val="003B59B4"/>
    <w:rsid w:val="003B5ABF"/>
    <w:rsid w:val="003B6352"/>
    <w:rsid w:val="003B694C"/>
    <w:rsid w:val="003B6B46"/>
    <w:rsid w:val="003B6B63"/>
    <w:rsid w:val="003B6D06"/>
    <w:rsid w:val="003B71FA"/>
    <w:rsid w:val="003B7387"/>
    <w:rsid w:val="003B77ED"/>
    <w:rsid w:val="003B7B66"/>
    <w:rsid w:val="003B7C83"/>
    <w:rsid w:val="003C01AF"/>
    <w:rsid w:val="003C0467"/>
    <w:rsid w:val="003C0606"/>
    <w:rsid w:val="003C067D"/>
    <w:rsid w:val="003C1119"/>
    <w:rsid w:val="003C158B"/>
    <w:rsid w:val="003C1764"/>
    <w:rsid w:val="003C18D9"/>
    <w:rsid w:val="003C1ADB"/>
    <w:rsid w:val="003C1CC8"/>
    <w:rsid w:val="003C282E"/>
    <w:rsid w:val="003C2897"/>
    <w:rsid w:val="003C2EEB"/>
    <w:rsid w:val="003C2F94"/>
    <w:rsid w:val="003C2FB4"/>
    <w:rsid w:val="003C3588"/>
    <w:rsid w:val="003C3595"/>
    <w:rsid w:val="003C42A5"/>
    <w:rsid w:val="003C47D4"/>
    <w:rsid w:val="003C48EF"/>
    <w:rsid w:val="003C4A90"/>
    <w:rsid w:val="003C5010"/>
    <w:rsid w:val="003C5029"/>
    <w:rsid w:val="003C52F2"/>
    <w:rsid w:val="003C5540"/>
    <w:rsid w:val="003C5A50"/>
    <w:rsid w:val="003C647E"/>
    <w:rsid w:val="003C6687"/>
    <w:rsid w:val="003C67D7"/>
    <w:rsid w:val="003C6EDE"/>
    <w:rsid w:val="003C6F8C"/>
    <w:rsid w:val="003C7373"/>
    <w:rsid w:val="003C79F5"/>
    <w:rsid w:val="003D0066"/>
    <w:rsid w:val="003D020A"/>
    <w:rsid w:val="003D0DB1"/>
    <w:rsid w:val="003D10EB"/>
    <w:rsid w:val="003D12C9"/>
    <w:rsid w:val="003D1BCC"/>
    <w:rsid w:val="003D20E9"/>
    <w:rsid w:val="003D21D8"/>
    <w:rsid w:val="003D220A"/>
    <w:rsid w:val="003D2362"/>
    <w:rsid w:val="003D2419"/>
    <w:rsid w:val="003D2492"/>
    <w:rsid w:val="003D27B5"/>
    <w:rsid w:val="003D27DC"/>
    <w:rsid w:val="003D2A87"/>
    <w:rsid w:val="003D310F"/>
    <w:rsid w:val="003D3B19"/>
    <w:rsid w:val="003D3C23"/>
    <w:rsid w:val="003D3F64"/>
    <w:rsid w:val="003D402C"/>
    <w:rsid w:val="003D41A9"/>
    <w:rsid w:val="003D43C8"/>
    <w:rsid w:val="003D447B"/>
    <w:rsid w:val="003D457B"/>
    <w:rsid w:val="003D4784"/>
    <w:rsid w:val="003D4AF3"/>
    <w:rsid w:val="003D4BBF"/>
    <w:rsid w:val="003D4EEA"/>
    <w:rsid w:val="003D5015"/>
    <w:rsid w:val="003D52AB"/>
    <w:rsid w:val="003D541C"/>
    <w:rsid w:val="003D5BC5"/>
    <w:rsid w:val="003D6081"/>
    <w:rsid w:val="003D63C9"/>
    <w:rsid w:val="003D644A"/>
    <w:rsid w:val="003D6D84"/>
    <w:rsid w:val="003D700D"/>
    <w:rsid w:val="003D7446"/>
    <w:rsid w:val="003D7777"/>
    <w:rsid w:val="003D7893"/>
    <w:rsid w:val="003D7B54"/>
    <w:rsid w:val="003D7E0C"/>
    <w:rsid w:val="003E00E6"/>
    <w:rsid w:val="003E02A8"/>
    <w:rsid w:val="003E0420"/>
    <w:rsid w:val="003E0B2D"/>
    <w:rsid w:val="003E0C57"/>
    <w:rsid w:val="003E0CAD"/>
    <w:rsid w:val="003E0FEC"/>
    <w:rsid w:val="003E14CE"/>
    <w:rsid w:val="003E1571"/>
    <w:rsid w:val="003E19B3"/>
    <w:rsid w:val="003E1C1F"/>
    <w:rsid w:val="003E1E6C"/>
    <w:rsid w:val="003E1F9D"/>
    <w:rsid w:val="003E1FA2"/>
    <w:rsid w:val="003E248D"/>
    <w:rsid w:val="003E26A8"/>
    <w:rsid w:val="003E2C55"/>
    <w:rsid w:val="003E2CD3"/>
    <w:rsid w:val="003E2F2D"/>
    <w:rsid w:val="003E31F5"/>
    <w:rsid w:val="003E351F"/>
    <w:rsid w:val="003E3552"/>
    <w:rsid w:val="003E3664"/>
    <w:rsid w:val="003E3D3A"/>
    <w:rsid w:val="003E3DA3"/>
    <w:rsid w:val="003E3EB7"/>
    <w:rsid w:val="003E42FD"/>
    <w:rsid w:val="003E4542"/>
    <w:rsid w:val="003E4552"/>
    <w:rsid w:val="003E465F"/>
    <w:rsid w:val="003E4728"/>
    <w:rsid w:val="003E4A60"/>
    <w:rsid w:val="003E4AFD"/>
    <w:rsid w:val="003E4F49"/>
    <w:rsid w:val="003E512B"/>
    <w:rsid w:val="003E5396"/>
    <w:rsid w:val="003E56CE"/>
    <w:rsid w:val="003E5757"/>
    <w:rsid w:val="003E58ED"/>
    <w:rsid w:val="003E58FC"/>
    <w:rsid w:val="003E5B19"/>
    <w:rsid w:val="003E5F03"/>
    <w:rsid w:val="003E6630"/>
    <w:rsid w:val="003E66A0"/>
    <w:rsid w:val="003E6A56"/>
    <w:rsid w:val="003E6CA3"/>
    <w:rsid w:val="003E6CB6"/>
    <w:rsid w:val="003E6CB7"/>
    <w:rsid w:val="003E6DDE"/>
    <w:rsid w:val="003E6EDF"/>
    <w:rsid w:val="003E6FAA"/>
    <w:rsid w:val="003E7059"/>
    <w:rsid w:val="003E726C"/>
    <w:rsid w:val="003E7415"/>
    <w:rsid w:val="003E781D"/>
    <w:rsid w:val="003E7AFA"/>
    <w:rsid w:val="003F0087"/>
    <w:rsid w:val="003F0432"/>
    <w:rsid w:val="003F046A"/>
    <w:rsid w:val="003F0C60"/>
    <w:rsid w:val="003F0CCF"/>
    <w:rsid w:val="003F0EA0"/>
    <w:rsid w:val="003F159D"/>
    <w:rsid w:val="003F15B4"/>
    <w:rsid w:val="003F16F7"/>
    <w:rsid w:val="003F18BE"/>
    <w:rsid w:val="003F1B12"/>
    <w:rsid w:val="003F1BF4"/>
    <w:rsid w:val="003F202E"/>
    <w:rsid w:val="003F20D7"/>
    <w:rsid w:val="003F2915"/>
    <w:rsid w:val="003F29B4"/>
    <w:rsid w:val="003F29E5"/>
    <w:rsid w:val="003F2D3E"/>
    <w:rsid w:val="003F32FB"/>
    <w:rsid w:val="003F3569"/>
    <w:rsid w:val="003F3BEA"/>
    <w:rsid w:val="003F3D8F"/>
    <w:rsid w:val="003F4158"/>
    <w:rsid w:val="003F41CB"/>
    <w:rsid w:val="003F434B"/>
    <w:rsid w:val="003F4395"/>
    <w:rsid w:val="003F441F"/>
    <w:rsid w:val="003F4E03"/>
    <w:rsid w:val="003F50F0"/>
    <w:rsid w:val="003F546D"/>
    <w:rsid w:val="003F54F8"/>
    <w:rsid w:val="003F5862"/>
    <w:rsid w:val="003F5A4D"/>
    <w:rsid w:val="003F5C04"/>
    <w:rsid w:val="003F5EE0"/>
    <w:rsid w:val="003F6230"/>
    <w:rsid w:val="003F6270"/>
    <w:rsid w:val="003F6803"/>
    <w:rsid w:val="003F6D0C"/>
    <w:rsid w:val="003F6D1A"/>
    <w:rsid w:val="003F6D64"/>
    <w:rsid w:val="003F738D"/>
    <w:rsid w:val="003F7473"/>
    <w:rsid w:val="003F7F52"/>
    <w:rsid w:val="00400310"/>
    <w:rsid w:val="004005DF"/>
    <w:rsid w:val="00400858"/>
    <w:rsid w:val="00400C3F"/>
    <w:rsid w:val="00400E24"/>
    <w:rsid w:val="004011CE"/>
    <w:rsid w:val="00401284"/>
    <w:rsid w:val="004015B5"/>
    <w:rsid w:val="004015FA"/>
    <w:rsid w:val="00401683"/>
    <w:rsid w:val="0040181E"/>
    <w:rsid w:val="004018BD"/>
    <w:rsid w:val="004019DA"/>
    <w:rsid w:val="00401AFC"/>
    <w:rsid w:val="00401C1F"/>
    <w:rsid w:val="00401F3F"/>
    <w:rsid w:val="00401F9F"/>
    <w:rsid w:val="00402135"/>
    <w:rsid w:val="00402396"/>
    <w:rsid w:val="00402605"/>
    <w:rsid w:val="004028E8"/>
    <w:rsid w:val="00402F1F"/>
    <w:rsid w:val="0040307E"/>
    <w:rsid w:val="004032F0"/>
    <w:rsid w:val="00403B03"/>
    <w:rsid w:val="00403C53"/>
    <w:rsid w:val="00403EF2"/>
    <w:rsid w:val="00404384"/>
    <w:rsid w:val="004048EE"/>
    <w:rsid w:val="00404A19"/>
    <w:rsid w:val="00404B7E"/>
    <w:rsid w:val="00404C38"/>
    <w:rsid w:val="00404CA3"/>
    <w:rsid w:val="00404E40"/>
    <w:rsid w:val="00405086"/>
    <w:rsid w:val="004050E4"/>
    <w:rsid w:val="004057B3"/>
    <w:rsid w:val="0040580B"/>
    <w:rsid w:val="00405C0A"/>
    <w:rsid w:val="00405CC9"/>
    <w:rsid w:val="00405D7E"/>
    <w:rsid w:val="004063A4"/>
    <w:rsid w:val="004063F0"/>
    <w:rsid w:val="00406537"/>
    <w:rsid w:val="004065B7"/>
    <w:rsid w:val="00406636"/>
    <w:rsid w:val="00406663"/>
    <w:rsid w:val="00406740"/>
    <w:rsid w:val="00406CA3"/>
    <w:rsid w:val="00406EE5"/>
    <w:rsid w:val="00406F47"/>
    <w:rsid w:val="00406FC3"/>
    <w:rsid w:val="004070DA"/>
    <w:rsid w:val="00407392"/>
    <w:rsid w:val="004076BC"/>
    <w:rsid w:val="00407877"/>
    <w:rsid w:val="00407B38"/>
    <w:rsid w:val="00407E11"/>
    <w:rsid w:val="004104AC"/>
    <w:rsid w:val="004104B0"/>
    <w:rsid w:val="004106FF"/>
    <w:rsid w:val="00410A24"/>
    <w:rsid w:val="00410CBC"/>
    <w:rsid w:val="00410DFA"/>
    <w:rsid w:val="0041106B"/>
    <w:rsid w:val="00411641"/>
    <w:rsid w:val="004118CE"/>
    <w:rsid w:val="00411973"/>
    <w:rsid w:val="00412509"/>
    <w:rsid w:val="00412865"/>
    <w:rsid w:val="0041286A"/>
    <w:rsid w:val="00412AF7"/>
    <w:rsid w:val="00412B4E"/>
    <w:rsid w:val="00413318"/>
    <w:rsid w:val="00413611"/>
    <w:rsid w:val="004136F8"/>
    <w:rsid w:val="00413755"/>
    <w:rsid w:val="00413C4C"/>
    <w:rsid w:val="004140F1"/>
    <w:rsid w:val="0041432F"/>
    <w:rsid w:val="00414387"/>
    <w:rsid w:val="004145D0"/>
    <w:rsid w:val="00414A2B"/>
    <w:rsid w:val="00415635"/>
    <w:rsid w:val="004156CD"/>
    <w:rsid w:val="00415AC5"/>
    <w:rsid w:val="00415F16"/>
    <w:rsid w:val="004167A3"/>
    <w:rsid w:val="00416857"/>
    <w:rsid w:val="00416A67"/>
    <w:rsid w:val="0041728A"/>
    <w:rsid w:val="00417DA6"/>
    <w:rsid w:val="00417DD5"/>
    <w:rsid w:val="00417FB5"/>
    <w:rsid w:val="00420480"/>
    <w:rsid w:val="0042052C"/>
    <w:rsid w:val="004208B5"/>
    <w:rsid w:val="00420A2B"/>
    <w:rsid w:val="00420A37"/>
    <w:rsid w:val="00420B4F"/>
    <w:rsid w:val="00420CFD"/>
    <w:rsid w:val="00420DA3"/>
    <w:rsid w:val="00421227"/>
    <w:rsid w:val="00421586"/>
    <w:rsid w:val="004216A1"/>
    <w:rsid w:val="00421787"/>
    <w:rsid w:val="00421958"/>
    <w:rsid w:val="004219EC"/>
    <w:rsid w:val="00422318"/>
    <w:rsid w:val="00422B99"/>
    <w:rsid w:val="00422D63"/>
    <w:rsid w:val="00422E08"/>
    <w:rsid w:val="004230B2"/>
    <w:rsid w:val="00423556"/>
    <w:rsid w:val="0042380A"/>
    <w:rsid w:val="00423ACB"/>
    <w:rsid w:val="00423C1F"/>
    <w:rsid w:val="00423D20"/>
    <w:rsid w:val="00423E1B"/>
    <w:rsid w:val="00423EAF"/>
    <w:rsid w:val="004243E8"/>
    <w:rsid w:val="00424942"/>
    <w:rsid w:val="00424D2E"/>
    <w:rsid w:val="00424DE7"/>
    <w:rsid w:val="00424F6A"/>
    <w:rsid w:val="004251E5"/>
    <w:rsid w:val="0042539B"/>
    <w:rsid w:val="00425494"/>
    <w:rsid w:val="004257D7"/>
    <w:rsid w:val="00425A65"/>
    <w:rsid w:val="00425A9E"/>
    <w:rsid w:val="00425D6F"/>
    <w:rsid w:val="00426034"/>
    <w:rsid w:val="00426A4B"/>
    <w:rsid w:val="00426F85"/>
    <w:rsid w:val="004270F3"/>
    <w:rsid w:val="004272E2"/>
    <w:rsid w:val="004278E4"/>
    <w:rsid w:val="00427A75"/>
    <w:rsid w:val="00427AD7"/>
    <w:rsid w:val="0043015D"/>
    <w:rsid w:val="0043029E"/>
    <w:rsid w:val="00430431"/>
    <w:rsid w:val="00430991"/>
    <w:rsid w:val="00430A53"/>
    <w:rsid w:val="004315EF"/>
    <w:rsid w:val="00431689"/>
    <w:rsid w:val="0043196A"/>
    <w:rsid w:val="00431D0E"/>
    <w:rsid w:val="00431DAA"/>
    <w:rsid w:val="00431E6E"/>
    <w:rsid w:val="00431F23"/>
    <w:rsid w:val="00432018"/>
    <w:rsid w:val="00432549"/>
    <w:rsid w:val="00432573"/>
    <w:rsid w:val="004327A2"/>
    <w:rsid w:val="0043322B"/>
    <w:rsid w:val="00433337"/>
    <w:rsid w:val="0043339F"/>
    <w:rsid w:val="0043349F"/>
    <w:rsid w:val="00433564"/>
    <w:rsid w:val="00433B91"/>
    <w:rsid w:val="00433E92"/>
    <w:rsid w:val="004343A7"/>
    <w:rsid w:val="004343C9"/>
    <w:rsid w:val="00434550"/>
    <w:rsid w:val="00434623"/>
    <w:rsid w:val="00434D6B"/>
    <w:rsid w:val="00434E71"/>
    <w:rsid w:val="0043542B"/>
    <w:rsid w:val="00435611"/>
    <w:rsid w:val="00435807"/>
    <w:rsid w:val="004358E5"/>
    <w:rsid w:val="004359A7"/>
    <w:rsid w:val="00435D5A"/>
    <w:rsid w:val="00435F89"/>
    <w:rsid w:val="0043624D"/>
    <w:rsid w:val="00436373"/>
    <w:rsid w:val="004366FE"/>
    <w:rsid w:val="004367A5"/>
    <w:rsid w:val="004367E8"/>
    <w:rsid w:val="00436B5D"/>
    <w:rsid w:val="00436F87"/>
    <w:rsid w:val="00437003"/>
    <w:rsid w:val="004374BF"/>
    <w:rsid w:val="00437649"/>
    <w:rsid w:val="00437AAA"/>
    <w:rsid w:val="00437CBD"/>
    <w:rsid w:val="00440822"/>
    <w:rsid w:val="00440916"/>
    <w:rsid w:val="00440BE4"/>
    <w:rsid w:val="0044148A"/>
    <w:rsid w:val="004414C7"/>
    <w:rsid w:val="0044177A"/>
    <w:rsid w:val="00441B1E"/>
    <w:rsid w:val="00441BDE"/>
    <w:rsid w:val="00441E71"/>
    <w:rsid w:val="0044245E"/>
    <w:rsid w:val="004426F1"/>
    <w:rsid w:val="0044272B"/>
    <w:rsid w:val="00442748"/>
    <w:rsid w:val="00442A20"/>
    <w:rsid w:val="00442E08"/>
    <w:rsid w:val="00442E94"/>
    <w:rsid w:val="0044302E"/>
    <w:rsid w:val="004437F0"/>
    <w:rsid w:val="0044384D"/>
    <w:rsid w:val="00443E88"/>
    <w:rsid w:val="00443EEE"/>
    <w:rsid w:val="00443FC9"/>
    <w:rsid w:val="004440D3"/>
    <w:rsid w:val="00444138"/>
    <w:rsid w:val="0044457C"/>
    <w:rsid w:val="00444641"/>
    <w:rsid w:val="00444FF0"/>
    <w:rsid w:val="00445508"/>
    <w:rsid w:val="004455EC"/>
    <w:rsid w:val="00445749"/>
    <w:rsid w:val="00445835"/>
    <w:rsid w:val="004458AC"/>
    <w:rsid w:val="0044615E"/>
    <w:rsid w:val="00446233"/>
    <w:rsid w:val="00446307"/>
    <w:rsid w:val="0044641D"/>
    <w:rsid w:val="0044658B"/>
    <w:rsid w:val="00447329"/>
    <w:rsid w:val="00447412"/>
    <w:rsid w:val="004474EA"/>
    <w:rsid w:val="004478D9"/>
    <w:rsid w:val="00447DF2"/>
    <w:rsid w:val="00447F64"/>
    <w:rsid w:val="004506A3"/>
    <w:rsid w:val="0045089F"/>
    <w:rsid w:val="00450917"/>
    <w:rsid w:val="00450B06"/>
    <w:rsid w:val="00450C49"/>
    <w:rsid w:val="0045138B"/>
    <w:rsid w:val="00451439"/>
    <w:rsid w:val="00451470"/>
    <w:rsid w:val="00451552"/>
    <w:rsid w:val="0045156D"/>
    <w:rsid w:val="00451682"/>
    <w:rsid w:val="004516AA"/>
    <w:rsid w:val="00451A0B"/>
    <w:rsid w:val="00451F75"/>
    <w:rsid w:val="00452069"/>
    <w:rsid w:val="0045265C"/>
    <w:rsid w:val="0045268C"/>
    <w:rsid w:val="00452B40"/>
    <w:rsid w:val="00452B7E"/>
    <w:rsid w:val="00452CF4"/>
    <w:rsid w:val="00453325"/>
    <w:rsid w:val="0045338E"/>
    <w:rsid w:val="0045343B"/>
    <w:rsid w:val="00453516"/>
    <w:rsid w:val="00453626"/>
    <w:rsid w:val="00453B43"/>
    <w:rsid w:val="00453CE3"/>
    <w:rsid w:val="00454260"/>
    <w:rsid w:val="004543F6"/>
    <w:rsid w:val="00454409"/>
    <w:rsid w:val="004544E2"/>
    <w:rsid w:val="00454557"/>
    <w:rsid w:val="00454645"/>
    <w:rsid w:val="00454856"/>
    <w:rsid w:val="004548CC"/>
    <w:rsid w:val="004550F9"/>
    <w:rsid w:val="0045519E"/>
    <w:rsid w:val="00455A67"/>
    <w:rsid w:val="00455F6B"/>
    <w:rsid w:val="004565B8"/>
    <w:rsid w:val="00456661"/>
    <w:rsid w:val="00456B62"/>
    <w:rsid w:val="00456BC8"/>
    <w:rsid w:val="00456BDA"/>
    <w:rsid w:val="00456DDB"/>
    <w:rsid w:val="00457340"/>
    <w:rsid w:val="00457363"/>
    <w:rsid w:val="004574B3"/>
    <w:rsid w:val="00457A08"/>
    <w:rsid w:val="00457BFE"/>
    <w:rsid w:val="0046016A"/>
    <w:rsid w:val="004601AD"/>
    <w:rsid w:val="00460621"/>
    <w:rsid w:val="00460851"/>
    <w:rsid w:val="00460D22"/>
    <w:rsid w:val="00460E16"/>
    <w:rsid w:val="00460EE9"/>
    <w:rsid w:val="00460F02"/>
    <w:rsid w:val="004610D6"/>
    <w:rsid w:val="00461303"/>
    <w:rsid w:val="004614D5"/>
    <w:rsid w:val="004620A2"/>
    <w:rsid w:val="004623E3"/>
    <w:rsid w:val="00462417"/>
    <w:rsid w:val="004625C0"/>
    <w:rsid w:val="004627B3"/>
    <w:rsid w:val="004627D6"/>
    <w:rsid w:val="00462973"/>
    <w:rsid w:val="00462AE3"/>
    <w:rsid w:val="00462F6D"/>
    <w:rsid w:val="00463323"/>
    <w:rsid w:val="00463409"/>
    <w:rsid w:val="00463886"/>
    <w:rsid w:val="0046398A"/>
    <w:rsid w:val="00463A8E"/>
    <w:rsid w:val="00463B31"/>
    <w:rsid w:val="00464B62"/>
    <w:rsid w:val="00464C94"/>
    <w:rsid w:val="00464D34"/>
    <w:rsid w:val="00465935"/>
    <w:rsid w:val="00465947"/>
    <w:rsid w:val="00465D0C"/>
    <w:rsid w:val="00465E07"/>
    <w:rsid w:val="00465EE1"/>
    <w:rsid w:val="00465F8E"/>
    <w:rsid w:val="00466168"/>
    <w:rsid w:val="004661F7"/>
    <w:rsid w:val="00466374"/>
    <w:rsid w:val="004666BA"/>
    <w:rsid w:val="00466BA4"/>
    <w:rsid w:val="00466C2B"/>
    <w:rsid w:val="00466C66"/>
    <w:rsid w:val="004674C8"/>
    <w:rsid w:val="0046783F"/>
    <w:rsid w:val="00467F93"/>
    <w:rsid w:val="00470207"/>
    <w:rsid w:val="00470321"/>
    <w:rsid w:val="00470A23"/>
    <w:rsid w:val="00470D7E"/>
    <w:rsid w:val="00470DE9"/>
    <w:rsid w:val="00470F85"/>
    <w:rsid w:val="00470FAB"/>
    <w:rsid w:val="00470FFA"/>
    <w:rsid w:val="00471236"/>
    <w:rsid w:val="004714E2"/>
    <w:rsid w:val="00471541"/>
    <w:rsid w:val="00471996"/>
    <w:rsid w:val="00471EBE"/>
    <w:rsid w:val="0047200C"/>
    <w:rsid w:val="004722BC"/>
    <w:rsid w:val="0047242C"/>
    <w:rsid w:val="00472524"/>
    <w:rsid w:val="00472921"/>
    <w:rsid w:val="004729DB"/>
    <w:rsid w:val="00472AED"/>
    <w:rsid w:val="00472D07"/>
    <w:rsid w:val="00473092"/>
    <w:rsid w:val="0047354B"/>
    <w:rsid w:val="0047364C"/>
    <w:rsid w:val="00473D39"/>
    <w:rsid w:val="0047425C"/>
    <w:rsid w:val="004742BB"/>
    <w:rsid w:val="00474491"/>
    <w:rsid w:val="00474564"/>
    <w:rsid w:val="00474742"/>
    <w:rsid w:val="0047474E"/>
    <w:rsid w:val="0047480D"/>
    <w:rsid w:val="0047485C"/>
    <w:rsid w:val="004748DE"/>
    <w:rsid w:val="00475522"/>
    <w:rsid w:val="0047572C"/>
    <w:rsid w:val="00475C9E"/>
    <w:rsid w:val="00475D48"/>
    <w:rsid w:val="004766AE"/>
    <w:rsid w:val="00477212"/>
    <w:rsid w:val="00477250"/>
    <w:rsid w:val="0047789A"/>
    <w:rsid w:val="00477908"/>
    <w:rsid w:val="00480129"/>
    <w:rsid w:val="004801DC"/>
    <w:rsid w:val="004805BA"/>
    <w:rsid w:val="004806CF"/>
    <w:rsid w:val="00480BC1"/>
    <w:rsid w:val="00480CA4"/>
    <w:rsid w:val="00480D8E"/>
    <w:rsid w:val="00481152"/>
    <w:rsid w:val="004813D0"/>
    <w:rsid w:val="004817CF"/>
    <w:rsid w:val="0048196C"/>
    <w:rsid w:val="00481B14"/>
    <w:rsid w:val="00481C9F"/>
    <w:rsid w:val="00481CD6"/>
    <w:rsid w:val="00481E29"/>
    <w:rsid w:val="00481F02"/>
    <w:rsid w:val="0048206B"/>
    <w:rsid w:val="00482200"/>
    <w:rsid w:val="00482527"/>
    <w:rsid w:val="004826E2"/>
    <w:rsid w:val="004835D8"/>
    <w:rsid w:val="0048368B"/>
    <w:rsid w:val="00484034"/>
    <w:rsid w:val="00484318"/>
    <w:rsid w:val="00484952"/>
    <w:rsid w:val="00484FEC"/>
    <w:rsid w:val="004850C6"/>
    <w:rsid w:val="0048510F"/>
    <w:rsid w:val="00485720"/>
    <w:rsid w:val="00485782"/>
    <w:rsid w:val="00485B1A"/>
    <w:rsid w:val="00485D5F"/>
    <w:rsid w:val="00485D9A"/>
    <w:rsid w:val="004860FF"/>
    <w:rsid w:val="00486707"/>
    <w:rsid w:val="00486801"/>
    <w:rsid w:val="00486B30"/>
    <w:rsid w:val="00486CF5"/>
    <w:rsid w:val="00486F54"/>
    <w:rsid w:val="00486F99"/>
    <w:rsid w:val="0048735C"/>
    <w:rsid w:val="00487368"/>
    <w:rsid w:val="00487684"/>
    <w:rsid w:val="0048770B"/>
    <w:rsid w:val="00487938"/>
    <w:rsid w:val="00487A1E"/>
    <w:rsid w:val="004900EA"/>
    <w:rsid w:val="004904CD"/>
    <w:rsid w:val="004906CD"/>
    <w:rsid w:val="004908B8"/>
    <w:rsid w:val="00490A51"/>
    <w:rsid w:val="00490E9E"/>
    <w:rsid w:val="00490FDA"/>
    <w:rsid w:val="004910E9"/>
    <w:rsid w:val="004912DE"/>
    <w:rsid w:val="00491847"/>
    <w:rsid w:val="00491A94"/>
    <w:rsid w:val="00491AD7"/>
    <w:rsid w:val="00491F89"/>
    <w:rsid w:val="00491FCE"/>
    <w:rsid w:val="00491FD0"/>
    <w:rsid w:val="0049239C"/>
    <w:rsid w:val="004923DE"/>
    <w:rsid w:val="00492798"/>
    <w:rsid w:val="00492B5A"/>
    <w:rsid w:val="00492CDA"/>
    <w:rsid w:val="0049334D"/>
    <w:rsid w:val="00493653"/>
    <w:rsid w:val="00493F26"/>
    <w:rsid w:val="00494660"/>
    <w:rsid w:val="00494AB8"/>
    <w:rsid w:val="00494FBD"/>
    <w:rsid w:val="0049502D"/>
    <w:rsid w:val="00495E36"/>
    <w:rsid w:val="00495E90"/>
    <w:rsid w:val="00495EE0"/>
    <w:rsid w:val="00495EE5"/>
    <w:rsid w:val="00495F0B"/>
    <w:rsid w:val="0049604D"/>
    <w:rsid w:val="004964B7"/>
    <w:rsid w:val="00496792"/>
    <w:rsid w:val="004967B0"/>
    <w:rsid w:val="004969AE"/>
    <w:rsid w:val="00496AE4"/>
    <w:rsid w:val="004971DD"/>
    <w:rsid w:val="00497450"/>
    <w:rsid w:val="004975CB"/>
    <w:rsid w:val="00497CB4"/>
    <w:rsid w:val="004A0013"/>
    <w:rsid w:val="004A00D7"/>
    <w:rsid w:val="004A0135"/>
    <w:rsid w:val="004A061B"/>
    <w:rsid w:val="004A069E"/>
    <w:rsid w:val="004A07EE"/>
    <w:rsid w:val="004A0865"/>
    <w:rsid w:val="004A0979"/>
    <w:rsid w:val="004A0CA1"/>
    <w:rsid w:val="004A11C0"/>
    <w:rsid w:val="004A11C4"/>
    <w:rsid w:val="004A1290"/>
    <w:rsid w:val="004A1611"/>
    <w:rsid w:val="004A17E0"/>
    <w:rsid w:val="004A1CF1"/>
    <w:rsid w:val="004A1F46"/>
    <w:rsid w:val="004A265B"/>
    <w:rsid w:val="004A278B"/>
    <w:rsid w:val="004A32C3"/>
    <w:rsid w:val="004A35DA"/>
    <w:rsid w:val="004A3B49"/>
    <w:rsid w:val="004A3BC4"/>
    <w:rsid w:val="004A3BF6"/>
    <w:rsid w:val="004A41FD"/>
    <w:rsid w:val="004A429E"/>
    <w:rsid w:val="004A4577"/>
    <w:rsid w:val="004A46C6"/>
    <w:rsid w:val="004A50DE"/>
    <w:rsid w:val="004A52F5"/>
    <w:rsid w:val="004A53EA"/>
    <w:rsid w:val="004A635D"/>
    <w:rsid w:val="004A6636"/>
    <w:rsid w:val="004A66C1"/>
    <w:rsid w:val="004A69B6"/>
    <w:rsid w:val="004A6C9C"/>
    <w:rsid w:val="004A73BA"/>
    <w:rsid w:val="004A74B4"/>
    <w:rsid w:val="004A7636"/>
    <w:rsid w:val="004A7834"/>
    <w:rsid w:val="004A7839"/>
    <w:rsid w:val="004A78C4"/>
    <w:rsid w:val="004B0491"/>
    <w:rsid w:val="004B0811"/>
    <w:rsid w:val="004B138A"/>
    <w:rsid w:val="004B15CA"/>
    <w:rsid w:val="004B177F"/>
    <w:rsid w:val="004B185E"/>
    <w:rsid w:val="004B1999"/>
    <w:rsid w:val="004B1B51"/>
    <w:rsid w:val="004B1B8E"/>
    <w:rsid w:val="004B1E1B"/>
    <w:rsid w:val="004B2241"/>
    <w:rsid w:val="004B22D1"/>
    <w:rsid w:val="004B23C3"/>
    <w:rsid w:val="004B246B"/>
    <w:rsid w:val="004B247F"/>
    <w:rsid w:val="004B264E"/>
    <w:rsid w:val="004B2EF1"/>
    <w:rsid w:val="004B3782"/>
    <w:rsid w:val="004B379D"/>
    <w:rsid w:val="004B3990"/>
    <w:rsid w:val="004B3A2D"/>
    <w:rsid w:val="004B3B02"/>
    <w:rsid w:val="004B3C46"/>
    <w:rsid w:val="004B40B6"/>
    <w:rsid w:val="004B40C1"/>
    <w:rsid w:val="004B40C8"/>
    <w:rsid w:val="004B411C"/>
    <w:rsid w:val="004B443A"/>
    <w:rsid w:val="004B48F0"/>
    <w:rsid w:val="004B4A07"/>
    <w:rsid w:val="004B4DE0"/>
    <w:rsid w:val="004B4F12"/>
    <w:rsid w:val="004B5938"/>
    <w:rsid w:val="004B5D6B"/>
    <w:rsid w:val="004B604C"/>
    <w:rsid w:val="004B6086"/>
    <w:rsid w:val="004B6270"/>
    <w:rsid w:val="004B6896"/>
    <w:rsid w:val="004B698A"/>
    <w:rsid w:val="004B6A21"/>
    <w:rsid w:val="004B6C00"/>
    <w:rsid w:val="004B7A86"/>
    <w:rsid w:val="004B7C42"/>
    <w:rsid w:val="004B7F06"/>
    <w:rsid w:val="004C0162"/>
    <w:rsid w:val="004C0277"/>
    <w:rsid w:val="004C0384"/>
    <w:rsid w:val="004C05B5"/>
    <w:rsid w:val="004C0D42"/>
    <w:rsid w:val="004C102F"/>
    <w:rsid w:val="004C1050"/>
    <w:rsid w:val="004C11CA"/>
    <w:rsid w:val="004C1FD9"/>
    <w:rsid w:val="004C223A"/>
    <w:rsid w:val="004C2532"/>
    <w:rsid w:val="004C2792"/>
    <w:rsid w:val="004C2A7B"/>
    <w:rsid w:val="004C2C06"/>
    <w:rsid w:val="004C2DF3"/>
    <w:rsid w:val="004C2EA7"/>
    <w:rsid w:val="004C314E"/>
    <w:rsid w:val="004C31BD"/>
    <w:rsid w:val="004C33E4"/>
    <w:rsid w:val="004C3505"/>
    <w:rsid w:val="004C371A"/>
    <w:rsid w:val="004C3BF1"/>
    <w:rsid w:val="004C3D78"/>
    <w:rsid w:val="004C3E77"/>
    <w:rsid w:val="004C4075"/>
    <w:rsid w:val="004C41EA"/>
    <w:rsid w:val="004C4339"/>
    <w:rsid w:val="004C465A"/>
    <w:rsid w:val="004C537E"/>
    <w:rsid w:val="004C5543"/>
    <w:rsid w:val="004C57DC"/>
    <w:rsid w:val="004C597E"/>
    <w:rsid w:val="004C5C33"/>
    <w:rsid w:val="004C5D0E"/>
    <w:rsid w:val="004C5D60"/>
    <w:rsid w:val="004C5D73"/>
    <w:rsid w:val="004C5D87"/>
    <w:rsid w:val="004C6057"/>
    <w:rsid w:val="004C68CD"/>
    <w:rsid w:val="004C692A"/>
    <w:rsid w:val="004C6CCD"/>
    <w:rsid w:val="004C7017"/>
    <w:rsid w:val="004C7031"/>
    <w:rsid w:val="004C7B26"/>
    <w:rsid w:val="004C7B68"/>
    <w:rsid w:val="004C7F88"/>
    <w:rsid w:val="004D0186"/>
    <w:rsid w:val="004D0258"/>
    <w:rsid w:val="004D030C"/>
    <w:rsid w:val="004D0368"/>
    <w:rsid w:val="004D044E"/>
    <w:rsid w:val="004D0578"/>
    <w:rsid w:val="004D0744"/>
    <w:rsid w:val="004D07AD"/>
    <w:rsid w:val="004D09D2"/>
    <w:rsid w:val="004D0A6F"/>
    <w:rsid w:val="004D0C3E"/>
    <w:rsid w:val="004D0EE7"/>
    <w:rsid w:val="004D1049"/>
    <w:rsid w:val="004D112E"/>
    <w:rsid w:val="004D1294"/>
    <w:rsid w:val="004D1C03"/>
    <w:rsid w:val="004D1EA2"/>
    <w:rsid w:val="004D26CE"/>
    <w:rsid w:val="004D28F1"/>
    <w:rsid w:val="004D2BF3"/>
    <w:rsid w:val="004D2D80"/>
    <w:rsid w:val="004D3395"/>
    <w:rsid w:val="004D34A3"/>
    <w:rsid w:val="004D3666"/>
    <w:rsid w:val="004D36F5"/>
    <w:rsid w:val="004D387C"/>
    <w:rsid w:val="004D3C53"/>
    <w:rsid w:val="004D3EAB"/>
    <w:rsid w:val="004D4044"/>
    <w:rsid w:val="004D4145"/>
    <w:rsid w:val="004D491A"/>
    <w:rsid w:val="004D4F4F"/>
    <w:rsid w:val="004D5011"/>
    <w:rsid w:val="004D587B"/>
    <w:rsid w:val="004D5ED8"/>
    <w:rsid w:val="004D62A4"/>
    <w:rsid w:val="004D66F8"/>
    <w:rsid w:val="004D706B"/>
    <w:rsid w:val="004D7195"/>
    <w:rsid w:val="004D72D6"/>
    <w:rsid w:val="004D773A"/>
    <w:rsid w:val="004D7CB0"/>
    <w:rsid w:val="004D7FC3"/>
    <w:rsid w:val="004E00EE"/>
    <w:rsid w:val="004E0334"/>
    <w:rsid w:val="004E0B41"/>
    <w:rsid w:val="004E0C39"/>
    <w:rsid w:val="004E0F53"/>
    <w:rsid w:val="004E1709"/>
    <w:rsid w:val="004E1766"/>
    <w:rsid w:val="004E19FE"/>
    <w:rsid w:val="004E1AD8"/>
    <w:rsid w:val="004E1C7C"/>
    <w:rsid w:val="004E1ED5"/>
    <w:rsid w:val="004E219C"/>
    <w:rsid w:val="004E21C8"/>
    <w:rsid w:val="004E2282"/>
    <w:rsid w:val="004E248B"/>
    <w:rsid w:val="004E2B69"/>
    <w:rsid w:val="004E2FC9"/>
    <w:rsid w:val="004E30BF"/>
    <w:rsid w:val="004E3288"/>
    <w:rsid w:val="004E328A"/>
    <w:rsid w:val="004E369F"/>
    <w:rsid w:val="004E3733"/>
    <w:rsid w:val="004E3879"/>
    <w:rsid w:val="004E390C"/>
    <w:rsid w:val="004E398E"/>
    <w:rsid w:val="004E3A77"/>
    <w:rsid w:val="004E3AB8"/>
    <w:rsid w:val="004E429E"/>
    <w:rsid w:val="004E431B"/>
    <w:rsid w:val="004E4A2B"/>
    <w:rsid w:val="004E4DAC"/>
    <w:rsid w:val="004E4E7A"/>
    <w:rsid w:val="004E4FC9"/>
    <w:rsid w:val="004E5D77"/>
    <w:rsid w:val="004E614B"/>
    <w:rsid w:val="004E66A1"/>
    <w:rsid w:val="004E66E7"/>
    <w:rsid w:val="004E6784"/>
    <w:rsid w:val="004E69B1"/>
    <w:rsid w:val="004E6AC4"/>
    <w:rsid w:val="004E6B07"/>
    <w:rsid w:val="004E6BDD"/>
    <w:rsid w:val="004E6C30"/>
    <w:rsid w:val="004E6F49"/>
    <w:rsid w:val="004E6FFE"/>
    <w:rsid w:val="004E7389"/>
    <w:rsid w:val="004E7410"/>
    <w:rsid w:val="004E7478"/>
    <w:rsid w:val="004E7D20"/>
    <w:rsid w:val="004F0057"/>
    <w:rsid w:val="004F04D7"/>
    <w:rsid w:val="004F04F3"/>
    <w:rsid w:val="004F0671"/>
    <w:rsid w:val="004F185F"/>
    <w:rsid w:val="004F1955"/>
    <w:rsid w:val="004F2146"/>
    <w:rsid w:val="004F21C2"/>
    <w:rsid w:val="004F21FF"/>
    <w:rsid w:val="004F229D"/>
    <w:rsid w:val="004F2846"/>
    <w:rsid w:val="004F294F"/>
    <w:rsid w:val="004F2FDC"/>
    <w:rsid w:val="004F2FFE"/>
    <w:rsid w:val="004F3060"/>
    <w:rsid w:val="004F3372"/>
    <w:rsid w:val="004F33C7"/>
    <w:rsid w:val="004F342B"/>
    <w:rsid w:val="004F3439"/>
    <w:rsid w:val="004F3513"/>
    <w:rsid w:val="004F37A4"/>
    <w:rsid w:val="004F3A88"/>
    <w:rsid w:val="004F3F23"/>
    <w:rsid w:val="004F4430"/>
    <w:rsid w:val="004F475D"/>
    <w:rsid w:val="004F4B1C"/>
    <w:rsid w:val="004F4C75"/>
    <w:rsid w:val="004F5214"/>
    <w:rsid w:val="004F5658"/>
    <w:rsid w:val="004F56E1"/>
    <w:rsid w:val="004F57A3"/>
    <w:rsid w:val="004F5802"/>
    <w:rsid w:val="004F6231"/>
    <w:rsid w:val="004F6241"/>
    <w:rsid w:val="004F66D8"/>
    <w:rsid w:val="004F689E"/>
    <w:rsid w:val="004F6AC7"/>
    <w:rsid w:val="004F6B65"/>
    <w:rsid w:val="004F6BD7"/>
    <w:rsid w:val="004F6C09"/>
    <w:rsid w:val="004F727E"/>
    <w:rsid w:val="004F7389"/>
    <w:rsid w:val="004F7B31"/>
    <w:rsid w:val="004F7B3B"/>
    <w:rsid w:val="004F7DBD"/>
    <w:rsid w:val="004F7F10"/>
    <w:rsid w:val="004F7F5D"/>
    <w:rsid w:val="00500C11"/>
    <w:rsid w:val="00500CC1"/>
    <w:rsid w:val="00500D3E"/>
    <w:rsid w:val="00501254"/>
    <w:rsid w:val="00501331"/>
    <w:rsid w:val="0050153E"/>
    <w:rsid w:val="005017E5"/>
    <w:rsid w:val="005019CF"/>
    <w:rsid w:val="00501D11"/>
    <w:rsid w:val="00502108"/>
    <w:rsid w:val="005022A5"/>
    <w:rsid w:val="00502409"/>
    <w:rsid w:val="005025BD"/>
    <w:rsid w:val="00502B9D"/>
    <w:rsid w:val="00502BA0"/>
    <w:rsid w:val="00502FB9"/>
    <w:rsid w:val="0050310D"/>
    <w:rsid w:val="005031C1"/>
    <w:rsid w:val="005036CF"/>
    <w:rsid w:val="00503F2A"/>
    <w:rsid w:val="005041B8"/>
    <w:rsid w:val="00504223"/>
    <w:rsid w:val="0050437D"/>
    <w:rsid w:val="005044B2"/>
    <w:rsid w:val="005048EC"/>
    <w:rsid w:val="00504ACA"/>
    <w:rsid w:val="00504C3B"/>
    <w:rsid w:val="00504E0D"/>
    <w:rsid w:val="00505047"/>
    <w:rsid w:val="0050535D"/>
    <w:rsid w:val="00505633"/>
    <w:rsid w:val="00505830"/>
    <w:rsid w:val="0050592A"/>
    <w:rsid w:val="005059DC"/>
    <w:rsid w:val="005059E9"/>
    <w:rsid w:val="00505B48"/>
    <w:rsid w:val="00505ED0"/>
    <w:rsid w:val="00505FA3"/>
    <w:rsid w:val="00506615"/>
    <w:rsid w:val="00506967"/>
    <w:rsid w:val="00506BA1"/>
    <w:rsid w:val="00506D11"/>
    <w:rsid w:val="00506EA1"/>
    <w:rsid w:val="00507698"/>
    <w:rsid w:val="00507A4C"/>
    <w:rsid w:val="00507B3B"/>
    <w:rsid w:val="00507C84"/>
    <w:rsid w:val="00507CAF"/>
    <w:rsid w:val="00507D3A"/>
    <w:rsid w:val="00507E94"/>
    <w:rsid w:val="00510081"/>
    <w:rsid w:val="005100C6"/>
    <w:rsid w:val="005102E4"/>
    <w:rsid w:val="00510471"/>
    <w:rsid w:val="005105B6"/>
    <w:rsid w:val="00510732"/>
    <w:rsid w:val="00510AE1"/>
    <w:rsid w:val="00510D65"/>
    <w:rsid w:val="00510D7F"/>
    <w:rsid w:val="00511058"/>
    <w:rsid w:val="0051119D"/>
    <w:rsid w:val="00511230"/>
    <w:rsid w:val="005112BA"/>
    <w:rsid w:val="0051161E"/>
    <w:rsid w:val="005117C9"/>
    <w:rsid w:val="0051184E"/>
    <w:rsid w:val="00511B0B"/>
    <w:rsid w:val="00511F69"/>
    <w:rsid w:val="00511F7D"/>
    <w:rsid w:val="0051207C"/>
    <w:rsid w:val="005121F2"/>
    <w:rsid w:val="00512367"/>
    <w:rsid w:val="0051243F"/>
    <w:rsid w:val="005124BD"/>
    <w:rsid w:val="00512D44"/>
    <w:rsid w:val="00512F3F"/>
    <w:rsid w:val="00513540"/>
    <w:rsid w:val="005136E6"/>
    <w:rsid w:val="00513DAC"/>
    <w:rsid w:val="00514A9A"/>
    <w:rsid w:val="00514CE8"/>
    <w:rsid w:val="00514E31"/>
    <w:rsid w:val="0051529D"/>
    <w:rsid w:val="00515441"/>
    <w:rsid w:val="00515891"/>
    <w:rsid w:val="00515B98"/>
    <w:rsid w:val="00516057"/>
    <w:rsid w:val="0051653F"/>
    <w:rsid w:val="00516794"/>
    <w:rsid w:val="00516967"/>
    <w:rsid w:val="00516D0E"/>
    <w:rsid w:val="00516E9E"/>
    <w:rsid w:val="00517A06"/>
    <w:rsid w:val="00517CF3"/>
    <w:rsid w:val="00517FA9"/>
    <w:rsid w:val="0052010E"/>
    <w:rsid w:val="0052073A"/>
    <w:rsid w:val="00520757"/>
    <w:rsid w:val="00520EC1"/>
    <w:rsid w:val="00520FB7"/>
    <w:rsid w:val="005212B2"/>
    <w:rsid w:val="005212ED"/>
    <w:rsid w:val="0052149E"/>
    <w:rsid w:val="00521530"/>
    <w:rsid w:val="00521958"/>
    <w:rsid w:val="00521F74"/>
    <w:rsid w:val="00522D87"/>
    <w:rsid w:val="00523070"/>
    <w:rsid w:val="005230D4"/>
    <w:rsid w:val="005232EE"/>
    <w:rsid w:val="0052355A"/>
    <w:rsid w:val="005235FF"/>
    <w:rsid w:val="00523EA8"/>
    <w:rsid w:val="00524009"/>
    <w:rsid w:val="00524245"/>
    <w:rsid w:val="00524501"/>
    <w:rsid w:val="0052462E"/>
    <w:rsid w:val="005249DF"/>
    <w:rsid w:val="00524BF0"/>
    <w:rsid w:val="00524DF6"/>
    <w:rsid w:val="00524E82"/>
    <w:rsid w:val="00524EEA"/>
    <w:rsid w:val="00525335"/>
    <w:rsid w:val="00525532"/>
    <w:rsid w:val="005257C8"/>
    <w:rsid w:val="00526424"/>
    <w:rsid w:val="005266EB"/>
    <w:rsid w:val="00526707"/>
    <w:rsid w:val="00526A18"/>
    <w:rsid w:val="00526A97"/>
    <w:rsid w:val="00526D7B"/>
    <w:rsid w:val="00526D9C"/>
    <w:rsid w:val="00526E56"/>
    <w:rsid w:val="005272A2"/>
    <w:rsid w:val="00527636"/>
    <w:rsid w:val="005276F3"/>
    <w:rsid w:val="005305D0"/>
    <w:rsid w:val="0053072D"/>
    <w:rsid w:val="005308E6"/>
    <w:rsid w:val="00530F21"/>
    <w:rsid w:val="00530F4E"/>
    <w:rsid w:val="00531124"/>
    <w:rsid w:val="005315D8"/>
    <w:rsid w:val="0053171C"/>
    <w:rsid w:val="00531A2C"/>
    <w:rsid w:val="00531D50"/>
    <w:rsid w:val="00531D83"/>
    <w:rsid w:val="0053207E"/>
    <w:rsid w:val="00532665"/>
    <w:rsid w:val="005326A6"/>
    <w:rsid w:val="0053284F"/>
    <w:rsid w:val="00532CCE"/>
    <w:rsid w:val="00533243"/>
    <w:rsid w:val="0053357D"/>
    <w:rsid w:val="005339E0"/>
    <w:rsid w:val="00533A8A"/>
    <w:rsid w:val="00533D27"/>
    <w:rsid w:val="00533EBE"/>
    <w:rsid w:val="005343FC"/>
    <w:rsid w:val="005346C2"/>
    <w:rsid w:val="005348AC"/>
    <w:rsid w:val="00534AEB"/>
    <w:rsid w:val="00534E3F"/>
    <w:rsid w:val="00534E42"/>
    <w:rsid w:val="00534F4B"/>
    <w:rsid w:val="00535156"/>
    <w:rsid w:val="0053548B"/>
    <w:rsid w:val="00535599"/>
    <w:rsid w:val="00535855"/>
    <w:rsid w:val="00535B2F"/>
    <w:rsid w:val="00535B73"/>
    <w:rsid w:val="00535B88"/>
    <w:rsid w:val="00535FB7"/>
    <w:rsid w:val="005364E5"/>
    <w:rsid w:val="0053665C"/>
    <w:rsid w:val="00536717"/>
    <w:rsid w:val="00536A7C"/>
    <w:rsid w:val="00536C04"/>
    <w:rsid w:val="00536C6C"/>
    <w:rsid w:val="00536D11"/>
    <w:rsid w:val="00537199"/>
    <w:rsid w:val="005372FB"/>
    <w:rsid w:val="005374B5"/>
    <w:rsid w:val="005374F7"/>
    <w:rsid w:val="00537881"/>
    <w:rsid w:val="00537990"/>
    <w:rsid w:val="005379EF"/>
    <w:rsid w:val="00537C7E"/>
    <w:rsid w:val="00537DCD"/>
    <w:rsid w:val="005401F7"/>
    <w:rsid w:val="00540408"/>
    <w:rsid w:val="00540589"/>
    <w:rsid w:val="0054077F"/>
    <w:rsid w:val="0054078F"/>
    <w:rsid w:val="00540944"/>
    <w:rsid w:val="00540BF5"/>
    <w:rsid w:val="00540ECF"/>
    <w:rsid w:val="0054114B"/>
    <w:rsid w:val="00541241"/>
    <w:rsid w:val="00541602"/>
    <w:rsid w:val="00541968"/>
    <w:rsid w:val="00541ABA"/>
    <w:rsid w:val="00541F85"/>
    <w:rsid w:val="00541FF7"/>
    <w:rsid w:val="0054219F"/>
    <w:rsid w:val="005423FD"/>
    <w:rsid w:val="00542486"/>
    <w:rsid w:val="005428F0"/>
    <w:rsid w:val="00542B68"/>
    <w:rsid w:val="00542C62"/>
    <w:rsid w:val="00542CD2"/>
    <w:rsid w:val="00542E36"/>
    <w:rsid w:val="00542E7B"/>
    <w:rsid w:val="00542F07"/>
    <w:rsid w:val="00542F95"/>
    <w:rsid w:val="00543113"/>
    <w:rsid w:val="0054316C"/>
    <w:rsid w:val="005431B4"/>
    <w:rsid w:val="00543585"/>
    <w:rsid w:val="005439ED"/>
    <w:rsid w:val="00543BF7"/>
    <w:rsid w:val="00543D65"/>
    <w:rsid w:val="00543DD2"/>
    <w:rsid w:val="00543FCE"/>
    <w:rsid w:val="005442E5"/>
    <w:rsid w:val="00544355"/>
    <w:rsid w:val="005444B1"/>
    <w:rsid w:val="005445A9"/>
    <w:rsid w:val="00544600"/>
    <w:rsid w:val="0054486B"/>
    <w:rsid w:val="00544940"/>
    <w:rsid w:val="00544D38"/>
    <w:rsid w:val="00544F30"/>
    <w:rsid w:val="0054520F"/>
    <w:rsid w:val="00545493"/>
    <w:rsid w:val="00545960"/>
    <w:rsid w:val="00545D11"/>
    <w:rsid w:val="00545FA7"/>
    <w:rsid w:val="00545FAA"/>
    <w:rsid w:val="0054608C"/>
    <w:rsid w:val="005462F9"/>
    <w:rsid w:val="005464A3"/>
    <w:rsid w:val="005464BB"/>
    <w:rsid w:val="0054654A"/>
    <w:rsid w:val="0054680D"/>
    <w:rsid w:val="005468C0"/>
    <w:rsid w:val="0054695F"/>
    <w:rsid w:val="005470AB"/>
    <w:rsid w:val="0054711E"/>
    <w:rsid w:val="005472D2"/>
    <w:rsid w:val="005474FA"/>
    <w:rsid w:val="00547516"/>
    <w:rsid w:val="005475CF"/>
    <w:rsid w:val="00547AC0"/>
    <w:rsid w:val="00547B7A"/>
    <w:rsid w:val="00547B7E"/>
    <w:rsid w:val="00547BE2"/>
    <w:rsid w:val="0055032D"/>
    <w:rsid w:val="005504BD"/>
    <w:rsid w:val="00550EDD"/>
    <w:rsid w:val="00551472"/>
    <w:rsid w:val="005517AA"/>
    <w:rsid w:val="005519F2"/>
    <w:rsid w:val="00551FD5"/>
    <w:rsid w:val="005521CD"/>
    <w:rsid w:val="00552CCD"/>
    <w:rsid w:val="00553632"/>
    <w:rsid w:val="00553660"/>
    <w:rsid w:val="005536A6"/>
    <w:rsid w:val="005539B3"/>
    <w:rsid w:val="00554560"/>
    <w:rsid w:val="00554740"/>
    <w:rsid w:val="00554B15"/>
    <w:rsid w:val="00555014"/>
    <w:rsid w:val="00555172"/>
    <w:rsid w:val="005551CC"/>
    <w:rsid w:val="00555349"/>
    <w:rsid w:val="005559E4"/>
    <w:rsid w:val="00555B7B"/>
    <w:rsid w:val="00555DCB"/>
    <w:rsid w:val="005561AE"/>
    <w:rsid w:val="0055621D"/>
    <w:rsid w:val="00556247"/>
    <w:rsid w:val="00557535"/>
    <w:rsid w:val="005575E5"/>
    <w:rsid w:val="00557A47"/>
    <w:rsid w:val="00557B33"/>
    <w:rsid w:val="00557B65"/>
    <w:rsid w:val="00557D37"/>
    <w:rsid w:val="00557F2B"/>
    <w:rsid w:val="00557F40"/>
    <w:rsid w:val="0056004B"/>
    <w:rsid w:val="005601B0"/>
    <w:rsid w:val="005601CC"/>
    <w:rsid w:val="005602FD"/>
    <w:rsid w:val="005603FC"/>
    <w:rsid w:val="005604B3"/>
    <w:rsid w:val="005608ED"/>
    <w:rsid w:val="00560BEF"/>
    <w:rsid w:val="00560D15"/>
    <w:rsid w:val="0056123E"/>
    <w:rsid w:val="00561632"/>
    <w:rsid w:val="00561775"/>
    <w:rsid w:val="00561991"/>
    <w:rsid w:val="00561A5E"/>
    <w:rsid w:val="00561A96"/>
    <w:rsid w:val="00561D3D"/>
    <w:rsid w:val="00561E03"/>
    <w:rsid w:val="00562045"/>
    <w:rsid w:val="00562497"/>
    <w:rsid w:val="00562682"/>
    <w:rsid w:val="00562732"/>
    <w:rsid w:val="005629E8"/>
    <w:rsid w:val="00562DDC"/>
    <w:rsid w:val="00562FEC"/>
    <w:rsid w:val="00563871"/>
    <w:rsid w:val="005638EF"/>
    <w:rsid w:val="00563D1B"/>
    <w:rsid w:val="00564199"/>
    <w:rsid w:val="00564338"/>
    <w:rsid w:val="0056477E"/>
    <w:rsid w:val="00564866"/>
    <w:rsid w:val="00564BE9"/>
    <w:rsid w:val="0056509C"/>
    <w:rsid w:val="005653C6"/>
    <w:rsid w:val="00565CEE"/>
    <w:rsid w:val="00565E50"/>
    <w:rsid w:val="00565E7C"/>
    <w:rsid w:val="00565FD2"/>
    <w:rsid w:val="00566349"/>
    <w:rsid w:val="0056654A"/>
    <w:rsid w:val="0056659F"/>
    <w:rsid w:val="00566C0B"/>
    <w:rsid w:val="00566C45"/>
    <w:rsid w:val="00566DD4"/>
    <w:rsid w:val="00566F10"/>
    <w:rsid w:val="00566F66"/>
    <w:rsid w:val="0056731B"/>
    <w:rsid w:val="00567532"/>
    <w:rsid w:val="00567565"/>
    <w:rsid w:val="0056781F"/>
    <w:rsid w:val="00567CF7"/>
    <w:rsid w:val="00567E81"/>
    <w:rsid w:val="005701F5"/>
    <w:rsid w:val="005706FA"/>
    <w:rsid w:val="00570859"/>
    <w:rsid w:val="00570AB8"/>
    <w:rsid w:val="00570AF1"/>
    <w:rsid w:val="005712A3"/>
    <w:rsid w:val="005714A7"/>
    <w:rsid w:val="0057211F"/>
    <w:rsid w:val="00572235"/>
    <w:rsid w:val="005728F4"/>
    <w:rsid w:val="00572C9B"/>
    <w:rsid w:val="00572DE0"/>
    <w:rsid w:val="00573279"/>
    <w:rsid w:val="0057338B"/>
    <w:rsid w:val="0057419F"/>
    <w:rsid w:val="005742EC"/>
    <w:rsid w:val="005748CE"/>
    <w:rsid w:val="0057493C"/>
    <w:rsid w:val="00575480"/>
    <w:rsid w:val="00575BCF"/>
    <w:rsid w:val="00576515"/>
    <w:rsid w:val="00576BC9"/>
    <w:rsid w:val="00576CCD"/>
    <w:rsid w:val="00576F26"/>
    <w:rsid w:val="00576FE2"/>
    <w:rsid w:val="0057745D"/>
    <w:rsid w:val="005774FD"/>
    <w:rsid w:val="00577D8E"/>
    <w:rsid w:val="00577E90"/>
    <w:rsid w:val="0058004A"/>
    <w:rsid w:val="005800EC"/>
    <w:rsid w:val="005808F6"/>
    <w:rsid w:val="00580AB4"/>
    <w:rsid w:val="00580B0E"/>
    <w:rsid w:val="00580EE6"/>
    <w:rsid w:val="0058139E"/>
    <w:rsid w:val="005815F8"/>
    <w:rsid w:val="00581716"/>
    <w:rsid w:val="00581ED5"/>
    <w:rsid w:val="005821F0"/>
    <w:rsid w:val="00582240"/>
    <w:rsid w:val="005823AA"/>
    <w:rsid w:val="0058289F"/>
    <w:rsid w:val="005828CD"/>
    <w:rsid w:val="0058290C"/>
    <w:rsid w:val="00582A28"/>
    <w:rsid w:val="00582CF1"/>
    <w:rsid w:val="00582ED0"/>
    <w:rsid w:val="00582F30"/>
    <w:rsid w:val="00583166"/>
    <w:rsid w:val="00583329"/>
    <w:rsid w:val="00583362"/>
    <w:rsid w:val="0058358F"/>
    <w:rsid w:val="005847E5"/>
    <w:rsid w:val="00584D4C"/>
    <w:rsid w:val="00584E4C"/>
    <w:rsid w:val="00584ECE"/>
    <w:rsid w:val="00585021"/>
    <w:rsid w:val="00585071"/>
    <w:rsid w:val="005855C6"/>
    <w:rsid w:val="00585667"/>
    <w:rsid w:val="00585740"/>
    <w:rsid w:val="00585775"/>
    <w:rsid w:val="0058582B"/>
    <w:rsid w:val="0058584C"/>
    <w:rsid w:val="00585A85"/>
    <w:rsid w:val="00585E97"/>
    <w:rsid w:val="00585FC6"/>
    <w:rsid w:val="0058602E"/>
    <w:rsid w:val="0058635E"/>
    <w:rsid w:val="0058706E"/>
    <w:rsid w:val="0058772F"/>
    <w:rsid w:val="005877FC"/>
    <w:rsid w:val="005878A7"/>
    <w:rsid w:val="005879A0"/>
    <w:rsid w:val="00587DC7"/>
    <w:rsid w:val="00587EF6"/>
    <w:rsid w:val="00590269"/>
    <w:rsid w:val="0059063D"/>
    <w:rsid w:val="00590AB3"/>
    <w:rsid w:val="00590CEF"/>
    <w:rsid w:val="00591125"/>
    <w:rsid w:val="00591297"/>
    <w:rsid w:val="00592006"/>
    <w:rsid w:val="005923CE"/>
    <w:rsid w:val="005926A3"/>
    <w:rsid w:val="0059296B"/>
    <w:rsid w:val="00592CD6"/>
    <w:rsid w:val="00593010"/>
    <w:rsid w:val="00593121"/>
    <w:rsid w:val="00593639"/>
    <w:rsid w:val="0059371C"/>
    <w:rsid w:val="00593B7E"/>
    <w:rsid w:val="00593E59"/>
    <w:rsid w:val="00593F2C"/>
    <w:rsid w:val="00594807"/>
    <w:rsid w:val="00595148"/>
    <w:rsid w:val="00595173"/>
    <w:rsid w:val="00595407"/>
    <w:rsid w:val="005957E1"/>
    <w:rsid w:val="00595882"/>
    <w:rsid w:val="005959D3"/>
    <w:rsid w:val="00595C02"/>
    <w:rsid w:val="00596541"/>
    <w:rsid w:val="00596675"/>
    <w:rsid w:val="00596B1F"/>
    <w:rsid w:val="00596C88"/>
    <w:rsid w:val="00596D8F"/>
    <w:rsid w:val="00596D91"/>
    <w:rsid w:val="005975F3"/>
    <w:rsid w:val="00597738"/>
    <w:rsid w:val="00597C69"/>
    <w:rsid w:val="00597EAA"/>
    <w:rsid w:val="00597F2D"/>
    <w:rsid w:val="00597F79"/>
    <w:rsid w:val="00597FA5"/>
    <w:rsid w:val="005A009C"/>
    <w:rsid w:val="005A00F0"/>
    <w:rsid w:val="005A0146"/>
    <w:rsid w:val="005A0439"/>
    <w:rsid w:val="005A04A4"/>
    <w:rsid w:val="005A0900"/>
    <w:rsid w:val="005A091F"/>
    <w:rsid w:val="005A094B"/>
    <w:rsid w:val="005A0D15"/>
    <w:rsid w:val="005A0E37"/>
    <w:rsid w:val="005A1172"/>
    <w:rsid w:val="005A175E"/>
    <w:rsid w:val="005A1C33"/>
    <w:rsid w:val="005A1C38"/>
    <w:rsid w:val="005A1C73"/>
    <w:rsid w:val="005A2ABB"/>
    <w:rsid w:val="005A2B7D"/>
    <w:rsid w:val="005A2C1E"/>
    <w:rsid w:val="005A2EEF"/>
    <w:rsid w:val="005A33E4"/>
    <w:rsid w:val="005A38A8"/>
    <w:rsid w:val="005A3905"/>
    <w:rsid w:val="005A3AE6"/>
    <w:rsid w:val="005A3C52"/>
    <w:rsid w:val="005A3E41"/>
    <w:rsid w:val="005A4236"/>
    <w:rsid w:val="005A4889"/>
    <w:rsid w:val="005A4B3C"/>
    <w:rsid w:val="005A4C67"/>
    <w:rsid w:val="005A520E"/>
    <w:rsid w:val="005A55C3"/>
    <w:rsid w:val="005A565A"/>
    <w:rsid w:val="005A5970"/>
    <w:rsid w:val="005A5BD5"/>
    <w:rsid w:val="005A5D32"/>
    <w:rsid w:val="005A61B2"/>
    <w:rsid w:val="005A6878"/>
    <w:rsid w:val="005A69A3"/>
    <w:rsid w:val="005A6E81"/>
    <w:rsid w:val="005A6F61"/>
    <w:rsid w:val="005A7089"/>
    <w:rsid w:val="005A70F6"/>
    <w:rsid w:val="005A7150"/>
    <w:rsid w:val="005A71E8"/>
    <w:rsid w:val="005A726C"/>
    <w:rsid w:val="005A759E"/>
    <w:rsid w:val="005A763E"/>
    <w:rsid w:val="005A766F"/>
    <w:rsid w:val="005A7762"/>
    <w:rsid w:val="005A785B"/>
    <w:rsid w:val="005A7887"/>
    <w:rsid w:val="005A7A95"/>
    <w:rsid w:val="005A7B5E"/>
    <w:rsid w:val="005B01DC"/>
    <w:rsid w:val="005B026E"/>
    <w:rsid w:val="005B054E"/>
    <w:rsid w:val="005B060E"/>
    <w:rsid w:val="005B0D18"/>
    <w:rsid w:val="005B11B4"/>
    <w:rsid w:val="005B15EB"/>
    <w:rsid w:val="005B18F5"/>
    <w:rsid w:val="005B1D0F"/>
    <w:rsid w:val="005B1F68"/>
    <w:rsid w:val="005B1F86"/>
    <w:rsid w:val="005B2510"/>
    <w:rsid w:val="005B2B57"/>
    <w:rsid w:val="005B2BB4"/>
    <w:rsid w:val="005B2E4C"/>
    <w:rsid w:val="005B3473"/>
    <w:rsid w:val="005B3547"/>
    <w:rsid w:val="005B39D4"/>
    <w:rsid w:val="005B3EC1"/>
    <w:rsid w:val="005B3EE4"/>
    <w:rsid w:val="005B3F81"/>
    <w:rsid w:val="005B4013"/>
    <w:rsid w:val="005B42D9"/>
    <w:rsid w:val="005B4309"/>
    <w:rsid w:val="005B46ED"/>
    <w:rsid w:val="005B4B2B"/>
    <w:rsid w:val="005B4CF7"/>
    <w:rsid w:val="005B4DB5"/>
    <w:rsid w:val="005B54EF"/>
    <w:rsid w:val="005B5760"/>
    <w:rsid w:val="005B5833"/>
    <w:rsid w:val="005B5A52"/>
    <w:rsid w:val="005B5B5F"/>
    <w:rsid w:val="005B5E41"/>
    <w:rsid w:val="005B5FDA"/>
    <w:rsid w:val="005B6021"/>
    <w:rsid w:val="005B6168"/>
    <w:rsid w:val="005B6190"/>
    <w:rsid w:val="005B666B"/>
    <w:rsid w:val="005B6732"/>
    <w:rsid w:val="005B6A91"/>
    <w:rsid w:val="005B6B27"/>
    <w:rsid w:val="005B7006"/>
    <w:rsid w:val="005B72C1"/>
    <w:rsid w:val="005B73E7"/>
    <w:rsid w:val="005B77CA"/>
    <w:rsid w:val="005B7960"/>
    <w:rsid w:val="005B7A18"/>
    <w:rsid w:val="005B7AE5"/>
    <w:rsid w:val="005B7D08"/>
    <w:rsid w:val="005B7DC0"/>
    <w:rsid w:val="005B7DD8"/>
    <w:rsid w:val="005C0167"/>
    <w:rsid w:val="005C016E"/>
    <w:rsid w:val="005C0388"/>
    <w:rsid w:val="005C0437"/>
    <w:rsid w:val="005C051F"/>
    <w:rsid w:val="005C076A"/>
    <w:rsid w:val="005C0BB3"/>
    <w:rsid w:val="005C0CD9"/>
    <w:rsid w:val="005C1061"/>
    <w:rsid w:val="005C126E"/>
    <w:rsid w:val="005C15D6"/>
    <w:rsid w:val="005C1622"/>
    <w:rsid w:val="005C17A1"/>
    <w:rsid w:val="005C185D"/>
    <w:rsid w:val="005C18D0"/>
    <w:rsid w:val="005C19D5"/>
    <w:rsid w:val="005C1B9E"/>
    <w:rsid w:val="005C1C0A"/>
    <w:rsid w:val="005C29F3"/>
    <w:rsid w:val="005C2C78"/>
    <w:rsid w:val="005C2C7E"/>
    <w:rsid w:val="005C2E19"/>
    <w:rsid w:val="005C3602"/>
    <w:rsid w:val="005C3666"/>
    <w:rsid w:val="005C3702"/>
    <w:rsid w:val="005C413A"/>
    <w:rsid w:val="005C41CC"/>
    <w:rsid w:val="005C42DB"/>
    <w:rsid w:val="005C4352"/>
    <w:rsid w:val="005C49AB"/>
    <w:rsid w:val="005C4D39"/>
    <w:rsid w:val="005C505C"/>
    <w:rsid w:val="005C5446"/>
    <w:rsid w:val="005C5487"/>
    <w:rsid w:val="005C571B"/>
    <w:rsid w:val="005C5B8E"/>
    <w:rsid w:val="005C5E0D"/>
    <w:rsid w:val="005C63DB"/>
    <w:rsid w:val="005C64B9"/>
    <w:rsid w:val="005C6AF3"/>
    <w:rsid w:val="005C6BB9"/>
    <w:rsid w:val="005C7066"/>
    <w:rsid w:val="005C73E9"/>
    <w:rsid w:val="005C78EB"/>
    <w:rsid w:val="005C7DE8"/>
    <w:rsid w:val="005C7E64"/>
    <w:rsid w:val="005C7EF9"/>
    <w:rsid w:val="005C7F3F"/>
    <w:rsid w:val="005D0280"/>
    <w:rsid w:val="005D0434"/>
    <w:rsid w:val="005D0979"/>
    <w:rsid w:val="005D0C18"/>
    <w:rsid w:val="005D1071"/>
    <w:rsid w:val="005D184B"/>
    <w:rsid w:val="005D1B33"/>
    <w:rsid w:val="005D1EFB"/>
    <w:rsid w:val="005D255D"/>
    <w:rsid w:val="005D258B"/>
    <w:rsid w:val="005D2DFD"/>
    <w:rsid w:val="005D304D"/>
    <w:rsid w:val="005D30BB"/>
    <w:rsid w:val="005D31AD"/>
    <w:rsid w:val="005D3364"/>
    <w:rsid w:val="005D3EDE"/>
    <w:rsid w:val="005D4424"/>
    <w:rsid w:val="005D46B2"/>
    <w:rsid w:val="005D4B84"/>
    <w:rsid w:val="005D5129"/>
    <w:rsid w:val="005D51F6"/>
    <w:rsid w:val="005D554E"/>
    <w:rsid w:val="005D56BA"/>
    <w:rsid w:val="005D585B"/>
    <w:rsid w:val="005D59A0"/>
    <w:rsid w:val="005D5A20"/>
    <w:rsid w:val="005D5B37"/>
    <w:rsid w:val="005D5B97"/>
    <w:rsid w:val="005D5C27"/>
    <w:rsid w:val="005D5F52"/>
    <w:rsid w:val="005D624C"/>
    <w:rsid w:val="005D6345"/>
    <w:rsid w:val="005D63CA"/>
    <w:rsid w:val="005D66B1"/>
    <w:rsid w:val="005D671A"/>
    <w:rsid w:val="005D6AE9"/>
    <w:rsid w:val="005D6E20"/>
    <w:rsid w:val="005D6EC3"/>
    <w:rsid w:val="005D6EEA"/>
    <w:rsid w:val="005D7645"/>
    <w:rsid w:val="005D7A4D"/>
    <w:rsid w:val="005D7C14"/>
    <w:rsid w:val="005D7C21"/>
    <w:rsid w:val="005E0229"/>
    <w:rsid w:val="005E05D2"/>
    <w:rsid w:val="005E05DB"/>
    <w:rsid w:val="005E0D81"/>
    <w:rsid w:val="005E1065"/>
    <w:rsid w:val="005E13F7"/>
    <w:rsid w:val="005E1779"/>
    <w:rsid w:val="005E1E23"/>
    <w:rsid w:val="005E208E"/>
    <w:rsid w:val="005E28F3"/>
    <w:rsid w:val="005E2C70"/>
    <w:rsid w:val="005E2FF3"/>
    <w:rsid w:val="005E3021"/>
    <w:rsid w:val="005E30C2"/>
    <w:rsid w:val="005E3459"/>
    <w:rsid w:val="005E349C"/>
    <w:rsid w:val="005E35F8"/>
    <w:rsid w:val="005E376B"/>
    <w:rsid w:val="005E392C"/>
    <w:rsid w:val="005E398C"/>
    <w:rsid w:val="005E3A20"/>
    <w:rsid w:val="005E3EDB"/>
    <w:rsid w:val="005E3F2D"/>
    <w:rsid w:val="005E41AF"/>
    <w:rsid w:val="005E420F"/>
    <w:rsid w:val="005E45BD"/>
    <w:rsid w:val="005E45BF"/>
    <w:rsid w:val="005E4659"/>
    <w:rsid w:val="005E475E"/>
    <w:rsid w:val="005E4768"/>
    <w:rsid w:val="005E48AC"/>
    <w:rsid w:val="005E4ECC"/>
    <w:rsid w:val="005E505E"/>
    <w:rsid w:val="005E53E5"/>
    <w:rsid w:val="005E5733"/>
    <w:rsid w:val="005E57D0"/>
    <w:rsid w:val="005E58F3"/>
    <w:rsid w:val="005E5EC1"/>
    <w:rsid w:val="005E6152"/>
    <w:rsid w:val="005E6442"/>
    <w:rsid w:val="005E6720"/>
    <w:rsid w:val="005E740B"/>
    <w:rsid w:val="005E746D"/>
    <w:rsid w:val="005E74F5"/>
    <w:rsid w:val="005E753F"/>
    <w:rsid w:val="005E76CE"/>
    <w:rsid w:val="005E7AAB"/>
    <w:rsid w:val="005E7F87"/>
    <w:rsid w:val="005E7FF6"/>
    <w:rsid w:val="005F013C"/>
    <w:rsid w:val="005F08A1"/>
    <w:rsid w:val="005F0940"/>
    <w:rsid w:val="005F09D3"/>
    <w:rsid w:val="005F09F0"/>
    <w:rsid w:val="005F0DA0"/>
    <w:rsid w:val="005F0FBF"/>
    <w:rsid w:val="005F10BE"/>
    <w:rsid w:val="005F12E0"/>
    <w:rsid w:val="005F1326"/>
    <w:rsid w:val="005F1515"/>
    <w:rsid w:val="005F22B0"/>
    <w:rsid w:val="005F2479"/>
    <w:rsid w:val="005F26F4"/>
    <w:rsid w:val="005F281F"/>
    <w:rsid w:val="005F2A7B"/>
    <w:rsid w:val="005F2F9E"/>
    <w:rsid w:val="005F3430"/>
    <w:rsid w:val="005F3819"/>
    <w:rsid w:val="005F3935"/>
    <w:rsid w:val="005F3F9D"/>
    <w:rsid w:val="005F42AB"/>
    <w:rsid w:val="005F44D0"/>
    <w:rsid w:val="005F47CC"/>
    <w:rsid w:val="005F4BB9"/>
    <w:rsid w:val="005F4CA2"/>
    <w:rsid w:val="005F5305"/>
    <w:rsid w:val="005F549C"/>
    <w:rsid w:val="005F5614"/>
    <w:rsid w:val="005F5D37"/>
    <w:rsid w:val="005F601A"/>
    <w:rsid w:val="005F6300"/>
    <w:rsid w:val="005F63C4"/>
    <w:rsid w:val="005F66DB"/>
    <w:rsid w:val="005F66E2"/>
    <w:rsid w:val="005F6DB6"/>
    <w:rsid w:val="005F6F85"/>
    <w:rsid w:val="005F70D2"/>
    <w:rsid w:val="005F7191"/>
    <w:rsid w:val="005F71AB"/>
    <w:rsid w:val="005F7A39"/>
    <w:rsid w:val="005F7AB2"/>
    <w:rsid w:val="0060034D"/>
    <w:rsid w:val="006005BE"/>
    <w:rsid w:val="006006FA"/>
    <w:rsid w:val="00600841"/>
    <w:rsid w:val="0060094B"/>
    <w:rsid w:val="00600AAF"/>
    <w:rsid w:val="00600F52"/>
    <w:rsid w:val="00601182"/>
    <w:rsid w:val="006012EA"/>
    <w:rsid w:val="00601A7E"/>
    <w:rsid w:val="00601C0E"/>
    <w:rsid w:val="0060207E"/>
    <w:rsid w:val="0060232B"/>
    <w:rsid w:val="0060234F"/>
    <w:rsid w:val="006026DC"/>
    <w:rsid w:val="006026F5"/>
    <w:rsid w:val="00602D52"/>
    <w:rsid w:val="00603134"/>
    <w:rsid w:val="0060346E"/>
    <w:rsid w:val="00603554"/>
    <w:rsid w:val="00603819"/>
    <w:rsid w:val="006041FB"/>
    <w:rsid w:val="006047D2"/>
    <w:rsid w:val="0060488A"/>
    <w:rsid w:val="00604BA9"/>
    <w:rsid w:val="00604C14"/>
    <w:rsid w:val="00604CA3"/>
    <w:rsid w:val="00605345"/>
    <w:rsid w:val="0060545D"/>
    <w:rsid w:val="00605C26"/>
    <w:rsid w:val="00605DA6"/>
    <w:rsid w:val="00606172"/>
    <w:rsid w:val="0060626C"/>
    <w:rsid w:val="006064B6"/>
    <w:rsid w:val="00606747"/>
    <w:rsid w:val="0060678B"/>
    <w:rsid w:val="00606C09"/>
    <w:rsid w:val="00607195"/>
    <w:rsid w:val="006075D6"/>
    <w:rsid w:val="006076E4"/>
    <w:rsid w:val="00607A1D"/>
    <w:rsid w:val="00607A83"/>
    <w:rsid w:val="006100C7"/>
    <w:rsid w:val="006103ED"/>
    <w:rsid w:val="006104C5"/>
    <w:rsid w:val="006105A7"/>
    <w:rsid w:val="006108DC"/>
    <w:rsid w:val="006109C1"/>
    <w:rsid w:val="00610C14"/>
    <w:rsid w:val="00610C40"/>
    <w:rsid w:val="00610FE9"/>
    <w:rsid w:val="00611278"/>
    <w:rsid w:val="00611368"/>
    <w:rsid w:val="0061137A"/>
    <w:rsid w:val="0061183D"/>
    <w:rsid w:val="00611AA6"/>
    <w:rsid w:val="00611D19"/>
    <w:rsid w:val="00611F73"/>
    <w:rsid w:val="00612125"/>
    <w:rsid w:val="006123DF"/>
    <w:rsid w:val="006124F9"/>
    <w:rsid w:val="0061267E"/>
    <w:rsid w:val="00612759"/>
    <w:rsid w:val="00612A2E"/>
    <w:rsid w:val="00612F01"/>
    <w:rsid w:val="006134A8"/>
    <w:rsid w:val="006139EE"/>
    <w:rsid w:val="00613C2A"/>
    <w:rsid w:val="00613E37"/>
    <w:rsid w:val="00614559"/>
    <w:rsid w:val="006149BA"/>
    <w:rsid w:val="00614F1C"/>
    <w:rsid w:val="006150FE"/>
    <w:rsid w:val="00615320"/>
    <w:rsid w:val="006157A6"/>
    <w:rsid w:val="006158A3"/>
    <w:rsid w:val="00615C2C"/>
    <w:rsid w:val="00615D45"/>
    <w:rsid w:val="00615E94"/>
    <w:rsid w:val="0061602E"/>
    <w:rsid w:val="00616280"/>
    <w:rsid w:val="00616338"/>
    <w:rsid w:val="0061669D"/>
    <w:rsid w:val="00616837"/>
    <w:rsid w:val="00616FBB"/>
    <w:rsid w:val="00617014"/>
    <w:rsid w:val="00617015"/>
    <w:rsid w:val="00617066"/>
    <w:rsid w:val="006171D7"/>
    <w:rsid w:val="00617375"/>
    <w:rsid w:val="00617B16"/>
    <w:rsid w:val="00620817"/>
    <w:rsid w:val="00620880"/>
    <w:rsid w:val="00620B03"/>
    <w:rsid w:val="00620FE2"/>
    <w:rsid w:val="006214BE"/>
    <w:rsid w:val="00621527"/>
    <w:rsid w:val="006217D8"/>
    <w:rsid w:val="006217E6"/>
    <w:rsid w:val="0062189F"/>
    <w:rsid w:val="0062195D"/>
    <w:rsid w:val="00621ABA"/>
    <w:rsid w:val="00621AFA"/>
    <w:rsid w:val="00621CE2"/>
    <w:rsid w:val="00621F7F"/>
    <w:rsid w:val="00621FF2"/>
    <w:rsid w:val="0062204F"/>
    <w:rsid w:val="00622917"/>
    <w:rsid w:val="00622A4E"/>
    <w:rsid w:val="006230C7"/>
    <w:rsid w:val="006231CD"/>
    <w:rsid w:val="00623365"/>
    <w:rsid w:val="0062336D"/>
    <w:rsid w:val="0062348D"/>
    <w:rsid w:val="0062351D"/>
    <w:rsid w:val="0062357B"/>
    <w:rsid w:val="0062368E"/>
    <w:rsid w:val="0062386A"/>
    <w:rsid w:val="00623CD3"/>
    <w:rsid w:val="00623CEA"/>
    <w:rsid w:val="00623F42"/>
    <w:rsid w:val="0062496A"/>
    <w:rsid w:val="00624B77"/>
    <w:rsid w:val="00624BE7"/>
    <w:rsid w:val="00624D0B"/>
    <w:rsid w:val="00624E9F"/>
    <w:rsid w:val="00625179"/>
    <w:rsid w:val="00625454"/>
    <w:rsid w:val="006255F7"/>
    <w:rsid w:val="0062567D"/>
    <w:rsid w:val="00625814"/>
    <w:rsid w:val="00625962"/>
    <w:rsid w:val="00625B11"/>
    <w:rsid w:val="00625D5E"/>
    <w:rsid w:val="00625DD0"/>
    <w:rsid w:val="00625FC3"/>
    <w:rsid w:val="006262D2"/>
    <w:rsid w:val="00626426"/>
    <w:rsid w:val="0062658C"/>
    <w:rsid w:val="006265FA"/>
    <w:rsid w:val="00626D00"/>
    <w:rsid w:val="00626FA4"/>
    <w:rsid w:val="00627EC7"/>
    <w:rsid w:val="00627FEE"/>
    <w:rsid w:val="0063026E"/>
    <w:rsid w:val="006305AD"/>
    <w:rsid w:val="00630647"/>
    <w:rsid w:val="0063065E"/>
    <w:rsid w:val="006306DE"/>
    <w:rsid w:val="00630A8C"/>
    <w:rsid w:val="00630D1D"/>
    <w:rsid w:val="0063122C"/>
    <w:rsid w:val="00631B15"/>
    <w:rsid w:val="00631BD0"/>
    <w:rsid w:val="00631D28"/>
    <w:rsid w:val="00631F22"/>
    <w:rsid w:val="006322CD"/>
    <w:rsid w:val="006323DF"/>
    <w:rsid w:val="006329C3"/>
    <w:rsid w:val="00632CE8"/>
    <w:rsid w:val="00633036"/>
    <w:rsid w:val="006333C1"/>
    <w:rsid w:val="006333E9"/>
    <w:rsid w:val="006334DC"/>
    <w:rsid w:val="0063377B"/>
    <w:rsid w:val="00633801"/>
    <w:rsid w:val="00633830"/>
    <w:rsid w:val="00633D9E"/>
    <w:rsid w:val="00634B94"/>
    <w:rsid w:val="006353AB"/>
    <w:rsid w:val="006354E3"/>
    <w:rsid w:val="00635762"/>
    <w:rsid w:val="00635796"/>
    <w:rsid w:val="00635B7A"/>
    <w:rsid w:val="00635D5B"/>
    <w:rsid w:val="00635EC5"/>
    <w:rsid w:val="0063618B"/>
    <w:rsid w:val="006363C6"/>
    <w:rsid w:val="00636503"/>
    <w:rsid w:val="0063688E"/>
    <w:rsid w:val="00636C92"/>
    <w:rsid w:val="00636D83"/>
    <w:rsid w:val="0063711C"/>
    <w:rsid w:val="00637370"/>
    <w:rsid w:val="0063737E"/>
    <w:rsid w:val="00637F65"/>
    <w:rsid w:val="006401E8"/>
    <w:rsid w:val="00640327"/>
    <w:rsid w:val="006411A3"/>
    <w:rsid w:val="006411FA"/>
    <w:rsid w:val="006416BA"/>
    <w:rsid w:val="00641C87"/>
    <w:rsid w:val="00642265"/>
    <w:rsid w:val="00642434"/>
    <w:rsid w:val="0064245B"/>
    <w:rsid w:val="006426AC"/>
    <w:rsid w:val="00642C11"/>
    <w:rsid w:val="006431A8"/>
    <w:rsid w:val="006432C8"/>
    <w:rsid w:val="006433CE"/>
    <w:rsid w:val="0064358C"/>
    <w:rsid w:val="006437CA"/>
    <w:rsid w:val="00643A89"/>
    <w:rsid w:val="00643EA9"/>
    <w:rsid w:val="00643F2F"/>
    <w:rsid w:val="006443F1"/>
    <w:rsid w:val="00644522"/>
    <w:rsid w:val="006445E7"/>
    <w:rsid w:val="006448D6"/>
    <w:rsid w:val="00644991"/>
    <w:rsid w:val="00644B12"/>
    <w:rsid w:val="00644CB6"/>
    <w:rsid w:val="00644CBC"/>
    <w:rsid w:val="00644E32"/>
    <w:rsid w:val="0064504C"/>
    <w:rsid w:val="0064504F"/>
    <w:rsid w:val="006450C5"/>
    <w:rsid w:val="006451BE"/>
    <w:rsid w:val="006454FD"/>
    <w:rsid w:val="00645631"/>
    <w:rsid w:val="00645A2A"/>
    <w:rsid w:val="00645B53"/>
    <w:rsid w:val="00645CFA"/>
    <w:rsid w:val="00646131"/>
    <w:rsid w:val="006462B2"/>
    <w:rsid w:val="0064638D"/>
    <w:rsid w:val="00646476"/>
    <w:rsid w:val="0064683F"/>
    <w:rsid w:val="00646A47"/>
    <w:rsid w:val="00646E17"/>
    <w:rsid w:val="00646E30"/>
    <w:rsid w:val="0064706F"/>
    <w:rsid w:val="0064714F"/>
    <w:rsid w:val="006471E9"/>
    <w:rsid w:val="00647A70"/>
    <w:rsid w:val="00647F4A"/>
    <w:rsid w:val="006507F5"/>
    <w:rsid w:val="00650821"/>
    <w:rsid w:val="00650C3F"/>
    <w:rsid w:val="00650D04"/>
    <w:rsid w:val="0065108B"/>
    <w:rsid w:val="00651117"/>
    <w:rsid w:val="0065127E"/>
    <w:rsid w:val="0065130A"/>
    <w:rsid w:val="006513DA"/>
    <w:rsid w:val="00651593"/>
    <w:rsid w:val="00651A57"/>
    <w:rsid w:val="00651E0D"/>
    <w:rsid w:val="00651FB2"/>
    <w:rsid w:val="00652117"/>
    <w:rsid w:val="00652386"/>
    <w:rsid w:val="0065254A"/>
    <w:rsid w:val="00652B72"/>
    <w:rsid w:val="006531B5"/>
    <w:rsid w:val="006532B1"/>
    <w:rsid w:val="00653633"/>
    <w:rsid w:val="00653868"/>
    <w:rsid w:val="00653F63"/>
    <w:rsid w:val="0065400C"/>
    <w:rsid w:val="0065400E"/>
    <w:rsid w:val="00654010"/>
    <w:rsid w:val="00654060"/>
    <w:rsid w:val="006540EE"/>
    <w:rsid w:val="00654668"/>
    <w:rsid w:val="00654A16"/>
    <w:rsid w:val="00654A3A"/>
    <w:rsid w:val="00654B17"/>
    <w:rsid w:val="0065550B"/>
    <w:rsid w:val="0065564E"/>
    <w:rsid w:val="006556BE"/>
    <w:rsid w:val="0065570C"/>
    <w:rsid w:val="00656270"/>
    <w:rsid w:val="006566B5"/>
    <w:rsid w:val="0065687F"/>
    <w:rsid w:val="00656AEF"/>
    <w:rsid w:val="00656B41"/>
    <w:rsid w:val="00656F07"/>
    <w:rsid w:val="00657568"/>
    <w:rsid w:val="0065778B"/>
    <w:rsid w:val="00657941"/>
    <w:rsid w:val="00657957"/>
    <w:rsid w:val="00657AE2"/>
    <w:rsid w:val="00657FD1"/>
    <w:rsid w:val="00660027"/>
    <w:rsid w:val="006601C8"/>
    <w:rsid w:val="006602A3"/>
    <w:rsid w:val="006603CD"/>
    <w:rsid w:val="006610AA"/>
    <w:rsid w:val="00661210"/>
    <w:rsid w:val="0066124C"/>
    <w:rsid w:val="006615D7"/>
    <w:rsid w:val="006616EE"/>
    <w:rsid w:val="0066189F"/>
    <w:rsid w:val="00661D36"/>
    <w:rsid w:val="00661DAC"/>
    <w:rsid w:val="00661F92"/>
    <w:rsid w:val="00662185"/>
    <w:rsid w:val="00662250"/>
    <w:rsid w:val="006622D3"/>
    <w:rsid w:val="006624CB"/>
    <w:rsid w:val="0066294A"/>
    <w:rsid w:val="00662967"/>
    <w:rsid w:val="00662D56"/>
    <w:rsid w:val="006635B3"/>
    <w:rsid w:val="00663788"/>
    <w:rsid w:val="0066381E"/>
    <w:rsid w:val="006638DB"/>
    <w:rsid w:val="00663922"/>
    <w:rsid w:val="00663F79"/>
    <w:rsid w:val="006648CC"/>
    <w:rsid w:val="00664CEA"/>
    <w:rsid w:val="006650D1"/>
    <w:rsid w:val="006653D5"/>
    <w:rsid w:val="006659F3"/>
    <w:rsid w:val="00665B22"/>
    <w:rsid w:val="00665B65"/>
    <w:rsid w:val="00665CC5"/>
    <w:rsid w:val="00665CC8"/>
    <w:rsid w:val="00665E77"/>
    <w:rsid w:val="00666031"/>
    <w:rsid w:val="00666679"/>
    <w:rsid w:val="0066689F"/>
    <w:rsid w:val="00666CD2"/>
    <w:rsid w:val="006670BD"/>
    <w:rsid w:val="006670F0"/>
    <w:rsid w:val="00667231"/>
    <w:rsid w:val="00667316"/>
    <w:rsid w:val="006674F0"/>
    <w:rsid w:val="0066786A"/>
    <w:rsid w:val="0067006F"/>
    <w:rsid w:val="00670096"/>
    <w:rsid w:val="00670400"/>
    <w:rsid w:val="00670552"/>
    <w:rsid w:val="00670D8C"/>
    <w:rsid w:val="00670F4B"/>
    <w:rsid w:val="006710F5"/>
    <w:rsid w:val="0067129D"/>
    <w:rsid w:val="00671461"/>
    <w:rsid w:val="006714B7"/>
    <w:rsid w:val="00671535"/>
    <w:rsid w:val="00671541"/>
    <w:rsid w:val="0067193A"/>
    <w:rsid w:val="0067194D"/>
    <w:rsid w:val="00671A2A"/>
    <w:rsid w:val="00672168"/>
    <w:rsid w:val="006721C3"/>
    <w:rsid w:val="00672936"/>
    <w:rsid w:val="006732F6"/>
    <w:rsid w:val="0067382B"/>
    <w:rsid w:val="00673C62"/>
    <w:rsid w:val="0067423D"/>
    <w:rsid w:val="006743F2"/>
    <w:rsid w:val="00674645"/>
    <w:rsid w:val="0067470B"/>
    <w:rsid w:val="0067482E"/>
    <w:rsid w:val="00674A3A"/>
    <w:rsid w:val="00674E5E"/>
    <w:rsid w:val="006754BF"/>
    <w:rsid w:val="00675864"/>
    <w:rsid w:val="00675B94"/>
    <w:rsid w:val="006764E7"/>
    <w:rsid w:val="00676743"/>
    <w:rsid w:val="006768DC"/>
    <w:rsid w:val="00676D1C"/>
    <w:rsid w:val="00676E6A"/>
    <w:rsid w:val="00677600"/>
    <w:rsid w:val="00677660"/>
    <w:rsid w:val="0067787F"/>
    <w:rsid w:val="006778C5"/>
    <w:rsid w:val="00677D8D"/>
    <w:rsid w:val="00677EC4"/>
    <w:rsid w:val="00677FB7"/>
    <w:rsid w:val="00680109"/>
    <w:rsid w:val="00680166"/>
    <w:rsid w:val="00680265"/>
    <w:rsid w:val="006807B5"/>
    <w:rsid w:val="0068086B"/>
    <w:rsid w:val="00681127"/>
    <w:rsid w:val="0068169B"/>
    <w:rsid w:val="0068193B"/>
    <w:rsid w:val="006819E6"/>
    <w:rsid w:val="00681ADD"/>
    <w:rsid w:val="00681BA3"/>
    <w:rsid w:val="00681C37"/>
    <w:rsid w:val="00681C5D"/>
    <w:rsid w:val="00681F90"/>
    <w:rsid w:val="00682337"/>
    <w:rsid w:val="006826D7"/>
    <w:rsid w:val="006829F1"/>
    <w:rsid w:val="00682B02"/>
    <w:rsid w:val="00682B14"/>
    <w:rsid w:val="00682C2E"/>
    <w:rsid w:val="00683111"/>
    <w:rsid w:val="00683186"/>
    <w:rsid w:val="0068322F"/>
    <w:rsid w:val="006834BA"/>
    <w:rsid w:val="00683719"/>
    <w:rsid w:val="00683A53"/>
    <w:rsid w:val="00683B98"/>
    <w:rsid w:val="00683BAD"/>
    <w:rsid w:val="00683BFA"/>
    <w:rsid w:val="00683D7A"/>
    <w:rsid w:val="00683E2B"/>
    <w:rsid w:val="00684126"/>
    <w:rsid w:val="0068489E"/>
    <w:rsid w:val="006849F0"/>
    <w:rsid w:val="00684B3F"/>
    <w:rsid w:val="00684BCF"/>
    <w:rsid w:val="00685195"/>
    <w:rsid w:val="00685486"/>
    <w:rsid w:val="006854D7"/>
    <w:rsid w:val="006855FC"/>
    <w:rsid w:val="006856B6"/>
    <w:rsid w:val="00685857"/>
    <w:rsid w:val="00685C77"/>
    <w:rsid w:val="00685D1F"/>
    <w:rsid w:val="00685DFE"/>
    <w:rsid w:val="0068703F"/>
    <w:rsid w:val="0068766F"/>
    <w:rsid w:val="006877E4"/>
    <w:rsid w:val="00687873"/>
    <w:rsid w:val="006878EC"/>
    <w:rsid w:val="00687DDA"/>
    <w:rsid w:val="00687E5F"/>
    <w:rsid w:val="0069052B"/>
    <w:rsid w:val="00690538"/>
    <w:rsid w:val="006907AD"/>
    <w:rsid w:val="00690B20"/>
    <w:rsid w:val="00690E3A"/>
    <w:rsid w:val="00691110"/>
    <w:rsid w:val="00691470"/>
    <w:rsid w:val="0069153C"/>
    <w:rsid w:val="00691C5D"/>
    <w:rsid w:val="00691DB6"/>
    <w:rsid w:val="00691ED2"/>
    <w:rsid w:val="00691ED6"/>
    <w:rsid w:val="00692148"/>
    <w:rsid w:val="0069258F"/>
    <w:rsid w:val="006927B5"/>
    <w:rsid w:val="006928B5"/>
    <w:rsid w:val="00692B78"/>
    <w:rsid w:val="00692C3C"/>
    <w:rsid w:val="00692D7E"/>
    <w:rsid w:val="00692F58"/>
    <w:rsid w:val="0069310D"/>
    <w:rsid w:val="00693131"/>
    <w:rsid w:val="0069328C"/>
    <w:rsid w:val="0069332E"/>
    <w:rsid w:val="0069353C"/>
    <w:rsid w:val="0069355D"/>
    <w:rsid w:val="006935E9"/>
    <w:rsid w:val="00693B50"/>
    <w:rsid w:val="00693FA8"/>
    <w:rsid w:val="0069419C"/>
    <w:rsid w:val="00694B0A"/>
    <w:rsid w:val="00694C33"/>
    <w:rsid w:val="00694ECB"/>
    <w:rsid w:val="00695063"/>
    <w:rsid w:val="00696114"/>
    <w:rsid w:val="006961CD"/>
    <w:rsid w:val="00696558"/>
    <w:rsid w:val="0069667C"/>
    <w:rsid w:val="00696B12"/>
    <w:rsid w:val="00696C3A"/>
    <w:rsid w:val="00696D10"/>
    <w:rsid w:val="00696D1C"/>
    <w:rsid w:val="0069767C"/>
    <w:rsid w:val="006977BA"/>
    <w:rsid w:val="0069786C"/>
    <w:rsid w:val="006978BC"/>
    <w:rsid w:val="00697B2D"/>
    <w:rsid w:val="00697B49"/>
    <w:rsid w:val="00697D9D"/>
    <w:rsid w:val="006A01CF"/>
    <w:rsid w:val="006A04B7"/>
    <w:rsid w:val="006A0507"/>
    <w:rsid w:val="006A0A04"/>
    <w:rsid w:val="006A0A81"/>
    <w:rsid w:val="006A1207"/>
    <w:rsid w:val="006A14F9"/>
    <w:rsid w:val="006A1504"/>
    <w:rsid w:val="006A17A5"/>
    <w:rsid w:val="006A19CA"/>
    <w:rsid w:val="006A19EC"/>
    <w:rsid w:val="006A1C5C"/>
    <w:rsid w:val="006A1FF1"/>
    <w:rsid w:val="006A22A7"/>
    <w:rsid w:val="006A26E2"/>
    <w:rsid w:val="006A2CAE"/>
    <w:rsid w:val="006A2D7E"/>
    <w:rsid w:val="006A2E44"/>
    <w:rsid w:val="006A30B4"/>
    <w:rsid w:val="006A30C1"/>
    <w:rsid w:val="006A34E1"/>
    <w:rsid w:val="006A3596"/>
    <w:rsid w:val="006A389F"/>
    <w:rsid w:val="006A399D"/>
    <w:rsid w:val="006A3B41"/>
    <w:rsid w:val="006A3CF8"/>
    <w:rsid w:val="006A3F68"/>
    <w:rsid w:val="006A4015"/>
    <w:rsid w:val="006A40AA"/>
    <w:rsid w:val="006A44D7"/>
    <w:rsid w:val="006A44DC"/>
    <w:rsid w:val="006A478B"/>
    <w:rsid w:val="006A6275"/>
    <w:rsid w:val="006A6456"/>
    <w:rsid w:val="006A6D0C"/>
    <w:rsid w:val="006A6D44"/>
    <w:rsid w:val="006A6E7B"/>
    <w:rsid w:val="006A6FB3"/>
    <w:rsid w:val="006A7062"/>
    <w:rsid w:val="006A7073"/>
    <w:rsid w:val="006A7189"/>
    <w:rsid w:val="006A75D6"/>
    <w:rsid w:val="006A7780"/>
    <w:rsid w:val="006A790F"/>
    <w:rsid w:val="006A7B0F"/>
    <w:rsid w:val="006A7B1B"/>
    <w:rsid w:val="006A7BE7"/>
    <w:rsid w:val="006A7C45"/>
    <w:rsid w:val="006B02BE"/>
    <w:rsid w:val="006B0522"/>
    <w:rsid w:val="006B0602"/>
    <w:rsid w:val="006B0761"/>
    <w:rsid w:val="006B0EC4"/>
    <w:rsid w:val="006B0ECB"/>
    <w:rsid w:val="006B0FBF"/>
    <w:rsid w:val="006B1177"/>
    <w:rsid w:val="006B174C"/>
    <w:rsid w:val="006B1AD0"/>
    <w:rsid w:val="006B22CB"/>
    <w:rsid w:val="006B29AD"/>
    <w:rsid w:val="006B2A18"/>
    <w:rsid w:val="006B309F"/>
    <w:rsid w:val="006B31F2"/>
    <w:rsid w:val="006B33FC"/>
    <w:rsid w:val="006B37CE"/>
    <w:rsid w:val="006B385E"/>
    <w:rsid w:val="006B3DFE"/>
    <w:rsid w:val="006B3E00"/>
    <w:rsid w:val="006B40AD"/>
    <w:rsid w:val="006B460B"/>
    <w:rsid w:val="006B4A4E"/>
    <w:rsid w:val="006B58A5"/>
    <w:rsid w:val="006B5D04"/>
    <w:rsid w:val="006B5DB1"/>
    <w:rsid w:val="006B5FBC"/>
    <w:rsid w:val="006B602E"/>
    <w:rsid w:val="006B61D2"/>
    <w:rsid w:val="006B6733"/>
    <w:rsid w:val="006B6D9B"/>
    <w:rsid w:val="006B6E65"/>
    <w:rsid w:val="006B708D"/>
    <w:rsid w:val="006B712C"/>
    <w:rsid w:val="006B773D"/>
    <w:rsid w:val="006B7775"/>
    <w:rsid w:val="006B7BE7"/>
    <w:rsid w:val="006B7F03"/>
    <w:rsid w:val="006C003F"/>
    <w:rsid w:val="006C00C9"/>
    <w:rsid w:val="006C01E2"/>
    <w:rsid w:val="006C02A2"/>
    <w:rsid w:val="006C0686"/>
    <w:rsid w:val="006C11A9"/>
    <w:rsid w:val="006C1285"/>
    <w:rsid w:val="006C1363"/>
    <w:rsid w:val="006C14BC"/>
    <w:rsid w:val="006C14D6"/>
    <w:rsid w:val="006C173A"/>
    <w:rsid w:val="006C1822"/>
    <w:rsid w:val="006C18BE"/>
    <w:rsid w:val="006C1E26"/>
    <w:rsid w:val="006C1E5C"/>
    <w:rsid w:val="006C20E4"/>
    <w:rsid w:val="006C2863"/>
    <w:rsid w:val="006C29AA"/>
    <w:rsid w:val="006C29D4"/>
    <w:rsid w:val="006C2A46"/>
    <w:rsid w:val="006C2BAC"/>
    <w:rsid w:val="006C2DDA"/>
    <w:rsid w:val="006C32DB"/>
    <w:rsid w:val="006C3683"/>
    <w:rsid w:val="006C3706"/>
    <w:rsid w:val="006C39CD"/>
    <w:rsid w:val="006C3BB0"/>
    <w:rsid w:val="006C3DF4"/>
    <w:rsid w:val="006C4398"/>
    <w:rsid w:val="006C4726"/>
    <w:rsid w:val="006C4831"/>
    <w:rsid w:val="006C48B3"/>
    <w:rsid w:val="006C48BF"/>
    <w:rsid w:val="006C496E"/>
    <w:rsid w:val="006C4B30"/>
    <w:rsid w:val="006C4D6B"/>
    <w:rsid w:val="006C509E"/>
    <w:rsid w:val="006C537D"/>
    <w:rsid w:val="006C54C9"/>
    <w:rsid w:val="006C5B20"/>
    <w:rsid w:val="006C5B61"/>
    <w:rsid w:val="006C5DA5"/>
    <w:rsid w:val="006C5ED1"/>
    <w:rsid w:val="006C5F19"/>
    <w:rsid w:val="006C5FB1"/>
    <w:rsid w:val="006C6405"/>
    <w:rsid w:val="006C6584"/>
    <w:rsid w:val="006C6637"/>
    <w:rsid w:val="006C695E"/>
    <w:rsid w:val="006C69F8"/>
    <w:rsid w:val="006C6C0D"/>
    <w:rsid w:val="006C7106"/>
    <w:rsid w:val="006C77F3"/>
    <w:rsid w:val="006C7A2B"/>
    <w:rsid w:val="006C7B0E"/>
    <w:rsid w:val="006C7BF5"/>
    <w:rsid w:val="006C7E06"/>
    <w:rsid w:val="006D017C"/>
    <w:rsid w:val="006D03C0"/>
    <w:rsid w:val="006D097B"/>
    <w:rsid w:val="006D0A54"/>
    <w:rsid w:val="006D0B6A"/>
    <w:rsid w:val="006D0C5D"/>
    <w:rsid w:val="006D0CBC"/>
    <w:rsid w:val="006D0DD3"/>
    <w:rsid w:val="006D1104"/>
    <w:rsid w:val="006D112B"/>
    <w:rsid w:val="006D11C6"/>
    <w:rsid w:val="006D145E"/>
    <w:rsid w:val="006D14BA"/>
    <w:rsid w:val="006D1500"/>
    <w:rsid w:val="006D1892"/>
    <w:rsid w:val="006D2029"/>
    <w:rsid w:val="006D21BC"/>
    <w:rsid w:val="006D22D6"/>
    <w:rsid w:val="006D2352"/>
    <w:rsid w:val="006D23B3"/>
    <w:rsid w:val="006D24A0"/>
    <w:rsid w:val="006D269B"/>
    <w:rsid w:val="006D2A03"/>
    <w:rsid w:val="006D2B58"/>
    <w:rsid w:val="006D2E2E"/>
    <w:rsid w:val="006D366A"/>
    <w:rsid w:val="006D366F"/>
    <w:rsid w:val="006D36D8"/>
    <w:rsid w:val="006D41CF"/>
    <w:rsid w:val="006D437D"/>
    <w:rsid w:val="006D4775"/>
    <w:rsid w:val="006D4CCF"/>
    <w:rsid w:val="006D50DF"/>
    <w:rsid w:val="006D55F2"/>
    <w:rsid w:val="006D58AB"/>
    <w:rsid w:val="006D58F1"/>
    <w:rsid w:val="006D5975"/>
    <w:rsid w:val="006D5D14"/>
    <w:rsid w:val="006D5D7D"/>
    <w:rsid w:val="006D5DC6"/>
    <w:rsid w:val="006D5FAA"/>
    <w:rsid w:val="006D65A9"/>
    <w:rsid w:val="006D67F5"/>
    <w:rsid w:val="006D6C33"/>
    <w:rsid w:val="006D6CF0"/>
    <w:rsid w:val="006D6FAC"/>
    <w:rsid w:val="006D7214"/>
    <w:rsid w:val="006D7478"/>
    <w:rsid w:val="006D7540"/>
    <w:rsid w:val="006D7544"/>
    <w:rsid w:val="006E000A"/>
    <w:rsid w:val="006E00DF"/>
    <w:rsid w:val="006E04B0"/>
    <w:rsid w:val="006E0517"/>
    <w:rsid w:val="006E06AB"/>
    <w:rsid w:val="006E0A89"/>
    <w:rsid w:val="006E0F8A"/>
    <w:rsid w:val="006E1038"/>
    <w:rsid w:val="006E11BC"/>
    <w:rsid w:val="006E11C9"/>
    <w:rsid w:val="006E1348"/>
    <w:rsid w:val="006E148A"/>
    <w:rsid w:val="006E15EE"/>
    <w:rsid w:val="006E1767"/>
    <w:rsid w:val="006E1A70"/>
    <w:rsid w:val="006E1D2A"/>
    <w:rsid w:val="006E1F62"/>
    <w:rsid w:val="006E2119"/>
    <w:rsid w:val="006E24EF"/>
    <w:rsid w:val="006E26A8"/>
    <w:rsid w:val="006E2E6F"/>
    <w:rsid w:val="006E35EE"/>
    <w:rsid w:val="006E37C3"/>
    <w:rsid w:val="006E3B25"/>
    <w:rsid w:val="006E3C90"/>
    <w:rsid w:val="006E3C96"/>
    <w:rsid w:val="006E3EF9"/>
    <w:rsid w:val="006E4856"/>
    <w:rsid w:val="006E49B5"/>
    <w:rsid w:val="006E4D3F"/>
    <w:rsid w:val="006E4D9B"/>
    <w:rsid w:val="006E5095"/>
    <w:rsid w:val="006E513F"/>
    <w:rsid w:val="006E5628"/>
    <w:rsid w:val="006E59A1"/>
    <w:rsid w:val="006E5D8D"/>
    <w:rsid w:val="006E61D6"/>
    <w:rsid w:val="006E61EF"/>
    <w:rsid w:val="006E624A"/>
    <w:rsid w:val="006E6452"/>
    <w:rsid w:val="006E69D0"/>
    <w:rsid w:val="006E6B82"/>
    <w:rsid w:val="006E6D25"/>
    <w:rsid w:val="006E6D9F"/>
    <w:rsid w:val="006E6E95"/>
    <w:rsid w:val="006E712D"/>
    <w:rsid w:val="006E71E7"/>
    <w:rsid w:val="006E722C"/>
    <w:rsid w:val="006E74D2"/>
    <w:rsid w:val="006E78AC"/>
    <w:rsid w:val="006E78C1"/>
    <w:rsid w:val="006E792A"/>
    <w:rsid w:val="006E7AE8"/>
    <w:rsid w:val="006E7D73"/>
    <w:rsid w:val="006E7D92"/>
    <w:rsid w:val="006F0291"/>
    <w:rsid w:val="006F0702"/>
    <w:rsid w:val="006F0CE2"/>
    <w:rsid w:val="006F1118"/>
    <w:rsid w:val="006F112A"/>
    <w:rsid w:val="006F1383"/>
    <w:rsid w:val="006F16DA"/>
    <w:rsid w:val="006F16FB"/>
    <w:rsid w:val="006F1D0C"/>
    <w:rsid w:val="006F1EB1"/>
    <w:rsid w:val="006F2363"/>
    <w:rsid w:val="006F23E1"/>
    <w:rsid w:val="006F252E"/>
    <w:rsid w:val="006F259B"/>
    <w:rsid w:val="006F2640"/>
    <w:rsid w:val="006F2A34"/>
    <w:rsid w:val="006F2AAC"/>
    <w:rsid w:val="006F2B33"/>
    <w:rsid w:val="006F2EFB"/>
    <w:rsid w:val="006F3057"/>
    <w:rsid w:val="006F30C3"/>
    <w:rsid w:val="006F33AE"/>
    <w:rsid w:val="006F34B9"/>
    <w:rsid w:val="006F3D04"/>
    <w:rsid w:val="006F437F"/>
    <w:rsid w:val="006F4686"/>
    <w:rsid w:val="006F4798"/>
    <w:rsid w:val="006F49BC"/>
    <w:rsid w:val="006F4B5A"/>
    <w:rsid w:val="006F4DD5"/>
    <w:rsid w:val="006F4F2D"/>
    <w:rsid w:val="006F5097"/>
    <w:rsid w:val="006F5BE3"/>
    <w:rsid w:val="006F6086"/>
    <w:rsid w:val="006F6386"/>
    <w:rsid w:val="006F6513"/>
    <w:rsid w:val="006F65D7"/>
    <w:rsid w:val="006F6775"/>
    <w:rsid w:val="006F6883"/>
    <w:rsid w:val="006F6B92"/>
    <w:rsid w:val="006F7040"/>
    <w:rsid w:val="006F72CF"/>
    <w:rsid w:val="006F74BD"/>
    <w:rsid w:val="00700038"/>
    <w:rsid w:val="00700145"/>
    <w:rsid w:val="00700494"/>
    <w:rsid w:val="00700524"/>
    <w:rsid w:val="00700752"/>
    <w:rsid w:val="00700E6B"/>
    <w:rsid w:val="00700F29"/>
    <w:rsid w:val="007013CF"/>
    <w:rsid w:val="007018B4"/>
    <w:rsid w:val="00701F3A"/>
    <w:rsid w:val="00702258"/>
    <w:rsid w:val="007026DB"/>
    <w:rsid w:val="00702727"/>
    <w:rsid w:val="00702AA2"/>
    <w:rsid w:val="007030B6"/>
    <w:rsid w:val="007030E7"/>
    <w:rsid w:val="007031E0"/>
    <w:rsid w:val="00703760"/>
    <w:rsid w:val="00703B34"/>
    <w:rsid w:val="00703D28"/>
    <w:rsid w:val="00703EF0"/>
    <w:rsid w:val="00704105"/>
    <w:rsid w:val="007046CE"/>
    <w:rsid w:val="007046F1"/>
    <w:rsid w:val="00704AA0"/>
    <w:rsid w:val="00704BB5"/>
    <w:rsid w:val="00704BE8"/>
    <w:rsid w:val="00704FEA"/>
    <w:rsid w:val="00705B7A"/>
    <w:rsid w:val="00705FF8"/>
    <w:rsid w:val="00706B7F"/>
    <w:rsid w:val="00706D15"/>
    <w:rsid w:val="0070745C"/>
    <w:rsid w:val="0070757C"/>
    <w:rsid w:val="00707857"/>
    <w:rsid w:val="00707B18"/>
    <w:rsid w:val="00707BE0"/>
    <w:rsid w:val="00707D8E"/>
    <w:rsid w:val="00707E16"/>
    <w:rsid w:val="0071060B"/>
    <w:rsid w:val="00710CA6"/>
    <w:rsid w:val="0071109D"/>
    <w:rsid w:val="007112EC"/>
    <w:rsid w:val="007112FA"/>
    <w:rsid w:val="007114F4"/>
    <w:rsid w:val="0071171E"/>
    <w:rsid w:val="00711844"/>
    <w:rsid w:val="0071192D"/>
    <w:rsid w:val="0071199B"/>
    <w:rsid w:val="00711FE7"/>
    <w:rsid w:val="007121D7"/>
    <w:rsid w:val="007121DF"/>
    <w:rsid w:val="0071261E"/>
    <w:rsid w:val="007127FB"/>
    <w:rsid w:val="00712AB6"/>
    <w:rsid w:val="00712D03"/>
    <w:rsid w:val="007132C8"/>
    <w:rsid w:val="0071352B"/>
    <w:rsid w:val="00713663"/>
    <w:rsid w:val="00713D7D"/>
    <w:rsid w:val="00713DEE"/>
    <w:rsid w:val="00713F5B"/>
    <w:rsid w:val="00714368"/>
    <w:rsid w:val="00714398"/>
    <w:rsid w:val="00714507"/>
    <w:rsid w:val="00714684"/>
    <w:rsid w:val="007146BE"/>
    <w:rsid w:val="00714E18"/>
    <w:rsid w:val="007157AB"/>
    <w:rsid w:val="00715A39"/>
    <w:rsid w:val="00716509"/>
    <w:rsid w:val="0071653E"/>
    <w:rsid w:val="007165AF"/>
    <w:rsid w:val="00716613"/>
    <w:rsid w:val="00716789"/>
    <w:rsid w:val="007175EE"/>
    <w:rsid w:val="007176DF"/>
    <w:rsid w:val="0071771E"/>
    <w:rsid w:val="007178C1"/>
    <w:rsid w:val="00717D35"/>
    <w:rsid w:val="00717E19"/>
    <w:rsid w:val="00717EF5"/>
    <w:rsid w:val="00717F3F"/>
    <w:rsid w:val="007202F2"/>
    <w:rsid w:val="00720681"/>
    <w:rsid w:val="007207C5"/>
    <w:rsid w:val="00720A32"/>
    <w:rsid w:val="00720B22"/>
    <w:rsid w:val="00720CB9"/>
    <w:rsid w:val="007212DB"/>
    <w:rsid w:val="00721752"/>
    <w:rsid w:val="00721CB8"/>
    <w:rsid w:val="00722860"/>
    <w:rsid w:val="00722BA1"/>
    <w:rsid w:val="00722E8E"/>
    <w:rsid w:val="0072363D"/>
    <w:rsid w:val="007239FA"/>
    <w:rsid w:val="00723E3E"/>
    <w:rsid w:val="00724609"/>
    <w:rsid w:val="0072474A"/>
    <w:rsid w:val="007247CE"/>
    <w:rsid w:val="00724A46"/>
    <w:rsid w:val="00724B67"/>
    <w:rsid w:val="00724D12"/>
    <w:rsid w:val="00725455"/>
    <w:rsid w:val="007256AE"/>
    <w:rsid w:val="0072589F"/>
    <w:rsid w:val="00725DFE"/>
    <w:rsid w:val="00726442"/>
    <w:rsid w:val="0072657E"/>
    <w:rsid w:val="0072658C"/>
    <w:rsid w:val="00726AB2"/>
    <w:rsid w:val="00726B7B"/>
    <w:rsid w:val="00726BBD"/>
    <w:rsid w:val="00726D5E"/>
    <w:rsid w:val="00726E5D"/>
    <w:rsid w:val="007270E5"/>
    <w:rsid w:val="007276FF"/>
    <w:rsid w:val="00727A48"/>
    <w:rsid w:val="00730073"/>
    <w:rsid w:val="0073065F"/>
    <w:rsid w:val="007306FD"/>
    <w:rsid w:val="00730937"/>
    <w:rsid w:val="007309F6"/>
    <w:rsid w:val="00730AA1"/>
    <w:rsid w:val="00730ABF"/>
    <w:rsid w:val="00730B25"/>
    <w:rsid w:val="00730C5E"/>
    <w:rsid w:val="00730CDE"/>
    <w:rsid w:val="00730FA6"/>
    <w:rsid w:val="007310E1"/>
    <w:rsid w:val="0073156C"/>
    <w:rsid w:val="00731947"/>
    <w:rsid w:val="00731A66"/>
    <w:rsid w:val="00731B8A"/>
    <w:rsid w:val="00731C13"/>
    <w:rsid w:val="00731C2C"/>
    <w:rsid w:val="007321C9"/>
    <w:rsid w:val="00732330"/>
    <w:rsid w:val="0073249A"/>
    <w:rsid w:val="00732695"/>
    <w:rsid w:val="007328F9"/>
    <w:rsid w:val="00732B96"/>
    <w:rsid w:val="00732C26"/>
    <w:rsid w:val="00732FB0"/>
    <w:rsid w:val="00733733"/>
    <w:rsid w:val="007339A7"/>
    <w:rsid w:val="00733BF7"/>
    <w:rsid w:val="00733C26"/>
    <w:rsid w:val="00733E6C"/>
    <w:rsid w:val="00733F06"/>
    <w:rsid w:val="00734214"/>
    <w:rsid w:val="00734738"/>
    <w:rsid w:val="00734A8F"/>
    <w:rsid w:val="00734BEF"/>
    <w:rsid w:val="00734C60"/>
    <w:rsid w:val="00734EA6"/>
    <w:rsid w:val="00734ED6"/>
    <w:rsid w:val="0073547C"/>
    <w:rsid w:val="007357C7"/>
    <w:rsid w:val="007358F0"/>
    <w:rsid w:val="00735B3D"/>
    <w:rsid w:val="00735C26"/>
    <w:rsid w:val="00736611"/>
    <w:rsid w:val="00736B82"/>
    <w:rsid w:val="00736C67"/>
    <w:rsid w:val="00736CCD"/>
    <w:rsid w:val="00736CF7"/>
    <w:rsid w:val="00736F1E"/>
    <w:rsid w:val="007372BD"/>
    <w:rsid w:val="00737437"/>
    <w:rsid w:val="00737A0E"/>
    <w:rsid w:val="00737A4F"/>
    <w:rsid w:val="00737F67"/>
    <w:rsid w:val="0074041F"/>
    <w:rsid w:val="00740515"/>
    <w:rsid w:val="00740908"/>
    <w:rsid w:val="00740EA6"/>
    <w:rsid w:val="0074146E"/>
    <w:rsid w:val="007415D2"/>
    <w:rsid w:val="00741B9A"/>
    <w:rsid w:val="00741CC7"/>
    <w:rsid w:val="00741D85"/>
    <w:rsid w:val="00741F1D"/>
    <w:rsid w:val="0074201B"/>
    <w:rsid w:val="00742067"/>
    <w:rsid w:val="00742225"/>
    <w:rsid w:val="0074236E"/>
    <w:rsid w:val="00742D12"/>
    <w:rsid w:val="00742E92"/>
    <w:rsid w:val="007432D7"/>
    <w:rsid w:val="007434D1"/>
    <w:rsid w:val="007439C1"/>
    <w:rsid w:val="0074407F"/>
    <w:rsid w:val="007442C3"/>
    <w:rsid w:val="0074446A"/>
    <w:rsid w:val="0074450C"/>
    <w:rsid w:val="0074476F"/>
    <w:rsid w:val="007447D6"/>
    <w:rsid w:val="0074493A"/>
    <w:rsid w:val="007450C1"/>
    <w:rsid w:val="007457B6"/>
    <w:rsid w:val="0074587E"/>
    <w:rsid w:val="007459BD"/>
    <w:rsid w:val="00745B8B"/>
    <w:rsid w:val="00745C22"/>
    <w:rsid w:val="00745C7D"/>
    <w:rsid w:val="00745CF9"/>
    <w:rsid w:val="00745D32"/>
    <w:rsid w:val="00745DE8"/>
    <w:rsid w:val="00745F35"/>
    <w:rsid w:val="00746227"/>
    <w:rsid w:val="0074624E"/>
    <w:rsid w:val="007464F9"/>
    <w:rsid w:val="0074650D"/>
    <w:rsid w:val="00746C17"/>
    <w:rsid w:val="00746D75"/>
    <w:rsid w:val="00746DD5"/>
    <w:rsid w:val="0074725A"/>
    <w:rsid w:val="00747462"/>
    <w:rsid w:val="007475AE"/>
    <w:rsid w:val="0074760E"/>
    <w:rsid w:val="0074795B"/>
    <w:rsid w:val="00747AB2"/>
    <w:rsid w:val="00747CA2"/>
    <w:rsid w:val="00747E34"/>
    <w:rsid w:val="00747FBE"/>
    <w:rsid w:val="00750819"/>
    <w:rsid w:val="00750BDB"/>
    <w:rsid w:val="00750E66"/>
    <w:rsid w:val="00750EFB"/>
    <w:rsid w:val="00750F62"/>
    <w:rsid w:val="007510BD"/>
    <w:rsid w:val="00751192"/>
    <w:rsid w:val="00751239"/>
    <w:rsid w:val="007517BA"/>
    <w:rsid w:val="00751CF9"/>
    <w:rsid w:val="007524B9"/>
    <w:rsid w:val="00752B38"/>
    <w:rsid w:val="00752CC6"/>
    <w:rsid w:val="00752DF6"/>
    <w:rsid w:val="00752E2D"/>
    <w:rsid w:val="0075307C"/>
    <w:rsid w:val="007533B5"/>
    <w:rsid w:val="007533BD"/>
    <w:rsid w:val="007535BD"/>
    <w:rsid w:val="007537D8"/>
    <w:rsid w:val="007538F5"/>
    <w:rsid w:val="00753C17"/>
    <w:rsid w:val="00754601"/>
    <w:rsid w:val="00754832"/>
    <w:rsid w:val="00754FC0"/>
    <w:rsid w:val="007558F8"/>
    <w:rsid w:val="00755C1C"/>
    <w:rsid w:val="00755E66"/>
    <w:rsid w:val="00756889"/>
    <w:rsid w:val="007568A2"/>
    <w:rsid w:val="007569BC"/>
    <w:rsid w:val="00756D8D"/>
    <w:rsid w:val="007571A8"/>
    <w:rsid w:val="00757291"/>
    <w:rsid w:val="00757446"/>
    <w:rsid w:val="00757B6F"/>
    <w:rsid w:val="00757C34"/>
    <w:rsid w:val="0076002F"/>
    <w:rsid w:val="0076038B"/>
    <w:rsid w:val="00760587"/>
    <w:rsid w:val="007605C2"/>
    <w:rsid w:val="00760C84"/>
    <w:rsid w:val="007615B2"/>
    <w:rsid w:val="00761756"/>
    <w:rsid w:val="007619AB"/>
    <w:rsid w:val="00761CD6"/>
    <w:rsid w:val="00762136"/>
    <w:rsid w:val="00762572"/>
    <w:rsid w:val="00762B71"/>
    <w:rsid w:val="00762FF9"/>
    <w:rsid w:val="00763722"/>
    <w:rsid w:val="00763A55"/>
    <w:rsid w:val="00763AB0"/>
    <w:rsid w:val="00763D99"/>
    <w:rsid w:val="0076439E"/>
    <w:rsid w:val="007645C9"/>
    <w:rsid w:val="00764965"/>
    <w:rsid w:val="00764C12"/>
    <w:rsid w:val="00764D14"/>
    <w:rsid w:val="00764DA3"/>
    <w:rsid w:val="00764E52"/>
    <w:rsid w:val="00764E86"/>
    <w:rsid w:val="00764E89"/>
    <w:rsid w:val="00764E94"/>
    <w:rsid w:val="00765140"/>
    <w:rsid w:val="007651C0"/>
    <w:rsid w:val="00765311"/>
    <w:rsid w:val="0076531F"/>
    <w:rsid w:val="00765A47"/>
    <w:rsid w:val="00765ADA"/>
    <w:rsid w:val="00765BC6"/>
    <w:rsid w:val="00765CCA"/>
    <w:rsid w:val="00766465"/>
    <w:rsid w:val="007665A4"/>
    <w:rsid w:val="00766638"/>
    <w:rsid w:val="00767558"/>
    <w:rsid w:val="00767936"/>
    <w:rsid w:val="00770061"/>
    <w:rsid w:val="00770428"/>
    <w:rsid w:val="00770910"/>
    <w:rsid w:val="00770E08"/>
    <w:rsid w:val="00770F83"/>
    <w:rsid w:val="0077136F"/>
    <w:rsid w:val="007714AE"/>
    <w:rsid w:val="0077167F"/>
    <w:rsid w:val="0077180E"/>
    <w:rsid w:val="007719EE"/>
    <w:rsid w:val="00771BB2"/>
    <w:rsid w:val="00771BC1"/>
    <w:rsid w:val="00771FF2"/>
    <w:rsid w:val="007723DB"/>
    <w:rsid w:val="00772640"/>
    <w:rsid w:val="00772897"/>
    <w:rsid w:val="0077290D"/>
    <w:rsid w:val="00772AA2"/>
    <w:rsid w:val="00772AB6"/>
    <w:rsid w:val="00772C8B"/>
    <w:rsid w:val="00772D6B"/>
    <w:rsid w:val="00772DDA"/>
    <w:rsid w:val="00772E10"/>
    <w:rsid w:val="00772E7D"/>
    <w:rsid w:val="00773534"/>
    <w:rsid w:val="00773695"/>
    <w:rsid w:val="00773790"/>
    <w:rsid w:val="0077383B"/>
    <w:rsid w:val="00773BD6"/>
    <w:rsid w:val="00773D02"/>
    <w:rsid w:val="00773DF7"/>
    <w:rsid w:val="00773DFE"/>
    <w:rsid w:val="0077470E"/>
    <w:rsid w:val="007749DD"/>
    <w:rsid w:val="00774A45"/>
    <w:rsid w:val="0077514A"/>
    <w:rsid w:val="0077526C"/>
    <w:rsid w:val="0077579E"/>
    <w:rsid w:val="00775D3F"/>
    <w:rsid w:val="007761E8"/>
    <w:rsid w:val="00776416"/>
    <w:rsid w:val="007765CB"/>
    <w:rsid w:val="00776F25"/>
    <w:rsid w:val="00777348"/>
    <w:rsid w:val="007774E8"/>
    <w:rsid w:val="007777E2"/>
    <w:rsid w:val="007778B5"/>
    <w:rsid w:val="007779E4"/>
    <w:rsid w:val="00777B2C"/>
    <w:rsid w:val="00777C02"/>
    <w:rsid w:val="00777CE8"/>
    <w:rsid w:val="00777EC3"/>
    <w:rsid w:val="00780463"/>
    <w:rsid w:val="0078135E"/>
    <w:rsid w:val="007813B9"/>
    <w:rsid w:val="00781C2C"/>
    <w:rsid w:val="00782165"/>
    <w:rsid w:val="007822FF"/>
    <w:rsid w:val="0078273C"/>
    <w:rsid w:val="00782E93"/>
    <w:rsid w:val="00782EC7"/>
    <w:rsid w:val="00782F0C"/>
    <w:rsid w:val="007835FD"/>
    <w:rsid w:val="00783D0F"/>
    <w:rsid w:val="00783E74"/>
    <w:rsid w:val="00783FEC"/>
    <w:rsid w:val="007841BF"/>
    <w:rsid w:val="0078434B"/>
    <w:rsid w:val="0078446F"/>
    <w:rsid w:val="007845F6"/>
    <w:rsid w:val="007846DD"/>
    <w:rsid w:val="00784AB3"/>
    <w:rsid w:val="00784AF6"/>
    <w:rsid w:val="00784B6B"/>
    <w:rsid w:val="00784E26"/>
    <w:rsid w:val="007852E7"/>
    <w:rsid w:val="00785364"/>
    <w:rsid w:val="007857E2"/>
    <w:rsid w:val="00785D68"/>
    <w:rsid w:val="00785E42"/>
    <w:rsid w:val="00785F9A"/>
    <w:rsid w:val="00786062"/>
    <w:rsid w:val="007861BF"/>
    <w:rsid w:val="0078630F"/>
    <w:rsid w:val="00786637"/>
    <w:rsid w:val="00786A1F"/>
    <w:rsid w:val="00786B5B"/>
    <w:rsid w:val="007872B1"/>
    <w:rsid w:val="00787371"/>
    <w:rsid w:val="00787531"/>
    <w:rsid w:val="007878A2"/>
    <w:rsid w:val="00787934"/>
    <w:rsid w:val="0078798B"/>
    <w:rsid w:val="00787E21"/>
    <w:rsid w:val="00790288"/>
    <w:rsid w:val="00790B9D"/>
    <w:rsid w:val="0079144D"/>
    <w:rsid w:val="00791890"/>
    <w:rsid w:val="00791CE8"/>
    <w:rsid w:val="00792666"/>
    <w:rsid w:val="0079292D"/>
    <w:rsid w:val="00792E38"/>
    <w:rsid w:val="0079311F"/>
    <w:rsid w:val="007934E5"/>
    <w:rsid w:val="0079353B"/>
    <w:rsid w:val="007936A4"/>
    <w:rsid w:val="007939A8"/>
    <w:rsid w:val="00793C1A"/>
    <w:rsid w:val="00793CEA"/>
    <w:rsid w:val="00793EFB"/>
    <w:rsid w:val="007941C2"/>
    <w:rsid w:val="0079438A"/>
    <w:rsid w:val="007945AA"/>
    <w:rsid w:val="0079463B"/>
    <w:rsid w:val="007947E0"/>
    <w:rsid w:val="00794A65"/>
    <w:rsid w:val="00794B29"/>
    <w:rsid w:val="00794B8F"/>
    <w:rsid w:val="00794FBE"/>
    <w:rsid w:val="00795255"/>
    <w:rsid w:val="00795ACE"/>
    <w:rsid w:val="00795D23"/>
    <w:rsid w:val="00795EF1"/>
    <w:rsid w:val="0079606E"/>
    <w:rsid w:val="00796107"/>
    <w:rsid w:val="0079669D"/>
    <w:rsid w:val="0079696D"/>
    <w:rsid w:val="00796A5A"/>
    <w:rsid w:val="00796B38"/>
    <w:rsid w:val="00796D45"/>
    <w:rsid w:val="00796D54"/>
    <w:rsid w:val="00796DB6"/>
    <w:rsid w:val="00796FB4"/>
    <w:rsid w:val="00797218"/>
    <w:rsid w:val="0079727A"/>
    <w:rsid w:val="007972B5"/>
    <w:rsid w:val="00797351"/>
    <w:rsid w:val="00797C29"/>
    <w:rsid w:val="00797C5F"/>
    <w:rsid w:val="007A0028"/>
    <w:rsid w:val="007A02F5"/>
    <w:rsid w:val="007A043A"/>
    <w:rsid w:val="007A04C0"/>
    <w:rsid w:val="007A073E"/>
    <w:rsid w:val="007A0C0D"/>
    <w:rsid w:val="007A1481"/>
    <w:rsid w:val="007A1AA1"/>
    <w:rsid w:val="007A1B5F"/>
    <w:rsid w:val="007A1B61"/>
    <w:rsid w:val="007A1D0C"/>
    <w:rsid w:val="007A1D1B"/>
    <w:rsid w:val="007A1F23"/>
    <w:rsid w:val="007A20A9"/>
    <w:rsid w:val="007A272D"/>
    <w:rsid w:val="007A290A"/>
    <w:rsid w:val="007A2D4C"/>
    <w:rsid w:val="007A320D"/>
    <w:rsid w:val="007A32FA"/>
    <w:rsid w:val="007A33E5"/>
    <w:rsid w:val="007A36D5"/>
    <w:rsid w:val="007A469E"/>
    <w:rsid w:val="007A4707"/>
    <w:rsid w:val="007A54EE"/>
    <w:rsid w:val="007A5571"/>
    <w:rsid w:val="007A5606"/>
    <w:rsid w:val="007A585A"/>
    <w:rsid w:val="007A59C2"/>
    <w:rsid w:val="007A5BF1"/>
    <w:rsid w:val="007A5D7E"/>
    <w:rsid w:val="007A6136"/>
    <w:rsid w:val="007A636C"/>
    <w:rsid w:val="007A63B6"/>
    <w:rsid w:val="007A6618"/>
    <w:rsid w:val="007A6A71"/>
    <w:rsid w:val="007A6C32"/>
    <w:rsid w:val="007A6FDB"/>
    <w:rsid w:val="007A73A7"/>
    <w:rsid w:val="007A74B2"/>
    <w:rsid w:val="007A796F"/>
    <w:rsid w:val="007A79B9"/>
    <w:rsid w:val="007A79EA"/>
    <w:rsid w:val="007B0352"/>
    <w:rsid w:val="007B0360"/>
    <w:rsid w:val="007B0B18"/>
    <w:rsid w:val="007B0D21"/>
    <w:rsid w:val="007B126E"/>
    <w:rsid w:val="007B13A0"/>
    <w:rsid w:val="007B1760"/>
    <w:rsid w:val="007B1798"/>
    <w:rsid w:val="007B17B6"/>
    <w:rsid w:val="007B183E"/>
    <w:rsid w:val="007B1DEF"/>
    <w:rsid w:val="007B20C0"/>
    <w:rsid w:val="007B2167"/>
    <w:rsid w:val="007B2173"/>
    <w:rsid w:val="007B2826"/>
    <w:rsid w:val="007B2AA3"/>
    <w:rsid w:val="007B2F19"/>
    <w:rsid w:val="007B3028"/>
    <w:rsid w:val="007B36F5"/>
    <w:rsid w:val="007B38DC"/>
    <w:rsid w:val="007B470B"/>
    <w:rsid w:val="007B50ED"/>
    <w:rsid w:val="007B5E6F"/>
    <w:rsid w:val="007B5F1F"/>
    <w:rsid w:val="007B6369"/>
    <w:rsid w:val="007B6785"/>
    <w:rsid w:val="007B6806"/>
    <w:rsid w:val="007B6A97"/>
    <w:rsid w:val="007B71D9"/>
    <w:rsid w:val="007B7234"/>
    <w:rsid w:val="007B729C"/>
    <w:rsid w:val="007B7315"/>
    <w:rsid w:val="007B74FC"/>
    <w:rsid w:val="007B7796"/>
    <w:rsid w:val="007B78E1"/>
    <w:rsid w:val="007B793B"/>
    <w:rsid w:val="007B7B91"/>
    <w:rsid w:val="007B7F6D"/>
    <w:rsid w:val="007C032E"/>
    <w:rsid w:val="007C044D"/>
    <w:rsid w:val="007C0732"/>
    <w:rsid w:val="007C07DA"/>
    <w:rsid w:val="007C0974"/>
    <w:rsid w:val="007C0D97"/>
    <w:rsid w:val="007C0DB3"/>
    <w:rsid w:val="007C1829"/>
    <w:rsid w:val="007C18B5"/>
    <w:rsid w:val="007C1A81"/>
    <w:rsid w:val="007C1DCB"/>
    <w:rsid w:val="007C1EF3"/>
    <w:rsid w:val="007C227F"/>
    <w:rsid w:val="007C23BB"/>
    <w:rsid w:val="007C273A"/>
    <w:rsid w:val="007C2792"/>
    <w:rsid w:val="007C286A"/>
    <w:rsid w:val="007C2C04"/>
    <w:rsid w:val="007C2DA6"/>
    <w:rsid w:val="007C3217"/>
    <w:rsid w:val="007C33FA"/>
    <w:rsid w:val="007C360A"/>
    <w:rsid w:val="007C3959"/>
    <w:rsid w:val="007C3AC1"/>
    <w:rsid w:val="007C42AF"/>
    <w:rsid w:val="007C42EA"/>
    <w:rsid w:val="007C43B5"/>
    <w:rsid w:val="007C4AC7"/>
    <w:rsid w:val="007C4B1E"/>
    <w:rsid w:val="007C56F8"/>
    <w:rsid w:val="007C5B3B"/>
    <w:rsid w:val="007C5B9B"/>
    <w:rsid w:val="007C5C8C"/>
    <w:rsid w:val="007C69BF"/>
    <w:rsid w:val="007C6B37"/>
    <w:rsid w:val="007C6E9D"/>
    <w:rsid w:val="007C6F69"/>
    <w:rsid w:val="007C732E"/>
    <w:rsid w:val="007C73F4"/>
    <w:rsid w:val="007C78D3"/>
    <w:rsid w:val="007C7D6A"/>
    <w:rsid w:val="007D01A5"/>
    <w:rsid w:val="007D02F7"/>
    <w:rsid w:val="007D03F9"/>
    <w:rsid w:val="007D0403"/>
    <w:rsid w:val="007D0614"/>
    <w:rsid w:val="007D062D"/>
    <w:rsid w:val="007D0857"/>
    <w:rsid w:val="007D0975"/>
    <w:rsid w:val="007D098E"/>
    <w:rsid w:val="007D0C16"/>
    <w:rsid w:val="007D11A4"/>
    <w:rsid w:val="007D13FE"/>
    <w:rsid w:val="007D1923"/>
    <w:rsid w:val="007D1C55"/>
    <w:rsid w:val="007D20C7"/>
    <w:rsid w:val="007D2292"/>
    <w:rsid w:val="007D2852"/>
    <w:rsid w:val="007D28BD"/>
    <w:rsid w:val="007D2D9E"/>
    <w:rsid w:val="007D2FDC"/>
    <w:rsid w:val="007D3022"/>
    <w:rsid w:val="007D3397"/>
    <w:rsid w:val="007D36DE"/>
    <w:rsid w:val="007D375C"/>
    <w:rsid w:val="007D3BF6"/>
    <w:rsid w:val="007D3C00"/>
    <w:rsid w:val="007D3C3D"/>
    <w:rsid w:val="007D417E"/>
    <w:rsid w:val="007D440B"/>
    <w:rsid w:val="007D453A"/>
    <w:rsid w:val="007D46EC"/>
    <w:rsid w:val="007D48F7"/>
    <w:rsid w:val="007D4AFD"/>
    <w:rsid w:val="007D4CA5"/>
    <w:rsid w:val="007D550A"/>
    <w:rsid w:val="007D57E2"/>
    <w:rsid w:val="007D5954"/>
    <w:rsid w:val="007D5C37"/>
    <w:rsid w:val="007D5E40"/>
    <w:rsid w:val="007D6136"/>
    <w:rsid w:val="007D624B"/>
    <w:rsid w:val="007D64BE"/>
    <w:rsid w:val="007D691E"/>
    <w:rsid w:val="007D6EBE"/>
    <w:rsid w:val="007D6F3B"/>
    <w:rsid w:val="007D727F"/>
    <w:rsid w:val="007D741A"/>
    <w:rsid w:val="007D7420"/>
    <w:rsid w:val="007D792C"/>
    <w:rsid w:val="007D7A80"/>
    <w:rsid w:val="007D7AD0"/>
    <w:rsid w:val="007D7EA2"/>
    <w:rsid w:val="007D7F99"/>
    <w:rsid w:val="007E009C"/>
    <w:rsid w:val="007E00BB"/>
    <w:rsid w:val="007E01E0"/>
    <w:rsid w:val="007E0232"/>
    <w:rsid w:val="007E031C"/>
    <w:rsid w:val="007E0467"/>
    <w:rsid w:val="007E04A6"/>
    <w:rsid w:val="007E086F"/>
    <w:rsid w:val="007E0895"/>
    <w:rsid w:val="007E09AC"/>
    <w:rsid w:val="007E0BED"/>
    <w:rsid w:val="007E0D57"/>
    <w:rsid w:val="007E0D83"/>
    <w:rsid w:val="007E0EBB"/>
    <w:rsid w:val="007E10CA"/>
    <w:rsid w:val="007E15EF"/>
    <w:rsid w:val="007E160D"/>
    <w:rsid w:val="007E16E1"/>
    <w:rsid w:val="007E181A"/>
    <w:rsid w:val="007E186F"/>
    <w:rsid w:val="007E1B4E"/>
    <w:rsid w:val="007E3107"/>
    <w:rsid w:val="007E337D"/>
    <w:rsid w:val="007E3629"/>
    <w:rsid w:val="007E3646"/>
    <w:rsid w:val="007E3753"/>
    <w:rsid w:val="007E4177"/>
    <w:rsid w:val="007E41F4"/>
    <w:rsid w:val="007E491F"/>
    <w:rsid w:val="007E4F28"/>
    <w:rsid w:val="007E4FB2"/>
    <w:rsid w:val="007E5283"/>
    <w:rsid w:val="007E56B9"/>
    <w:rsid w:val="007E5A17"/>
    <w:rsid w:val="007E5AF8"/>
    <w:rsid w:val="007E5B08"/>
    <w:rsid w:val="007E5B79"/>
    <w:rsid w:val="007E5C05"/>
    <w:rsid w:val="007E5DB1"/>
    <w:rsid w:val="007E5FCE"/>
    <w:rsid w:val="007E60DB"/>
    <w:rsid w:val="007E6C4D"/>
    <w:rsid w:val="007E6C69"/>
    <w:rsid w:val="007E6C79"/>
    <w:rsid w:val="007E72C1"/>
    <w:rsid w:val="007E7994"/>
    <w:rsid w:val="007E79CD"/>
    <w:rsid w:val="007E7D6C"/>
    <w:rsid w:val="007E7EB1"/>
    <w:rsid w:val="007F0072"/>
    <w:rsid w:val="007F06AC"/>
    <w:rsid w:val="007F0771"/>
    <w:rsid w:val="007F0991"/>
    <w:rsid w:val="007F0C1A"/>
    <w:rsid w:val="007F0CF6"/>
    <w:rsid w:val="007F0E10"/>
    <w:rsid w:val="007F0E45"/>
    <w:rsid w:val="007F122C"/>
    <w:rsid w:val="007F1307"/>
    <w:rsid w:val="007F1D77"/>
    <w:rsid w:val="007F23EC"/>
    <w:rsid w:val="007F24A8"/>
    <w:rsid w:val="007F29A4"/>
    <w:rsid w:val="007F2B74"/>
    <w:rsid w:val="007F323C"/>
    <w:rsid w:val="007F3A32"/>
    <w:rsid w:val="007F3A84"/>
    <w:rsid w:val="007F3FB2"/>
    <w:rsid w:val="007F4236"/>
    <w:rsid w:val="007F42DF"/>
    <w:rsid w:val="007F4753"/>
    <w:rsid w:val="007F4824"/>
    <w:rsid w:val="007F4A71"/>
    <w:rsid w:val="007F4B57"/>
    <w:rsid w:val="007F4BAE"/>
    <w:rsid w:val="007F4CCA"/>
    <w:rsid w:val="007F5454"/>
    <w:rsid w:val="007F5625"/>
    <w:rsid w:val="007F5E35"/>
    <w:rsid w:val="007F5F8C"/>
    <w:rsid w:val="007F6288"/>
    <w:rsid w:val="007F6505"/>
    <w:rsid w:val="007F6D8A"/>
    <w:rsid w:val="007F7541"/>
    <w:rsid w:val="007F7850"/>
    <w:rsid w:val="007F78BA"/>
    <w:rsid w:val="007F78E9"/>
    <w:rsid w:val="007F7AA9"/>
    <w:rsid w:val="008005B8"/>
    <w:rsid w:val="00800601"/>
    <w:rsid w:val="0080079A"/>
    <w:rsid w:val="0080084F"/>
    <w:rsid w:val="00800A49"/>
    <w:rsid w:val="00800A9B"/>
    <w:rsid w:val="008013F7"/>
    <w:rsid w:val="00801678"/>
    <w:rsid w:val="0080169A"/>
    <w:rsid w:val="0080179C"/>
    <w:rsid w:val="008018BC"/>
    <w:rsid w:val="00801ADC"/>
    <w:rsid w:val="00801D62"/>
    <w:rsid w:val="00801ED7"/>
    <w:rsid w:val="00802044"/>
    <w:rsid w:val="00802047"/>
    <w:rsid w:val="00802121"/>
    <w:rsid w:val="0080285B"/>
    <w:rsid w:val="008029C6"/>
    <w:rsid w:val="008029EA"/>
    <w:rsid w:val="00802A7A"/>
    <w:rsid w:val="008032BC"/>
    <w:rsid w:val="008035BA"/>
    <w:rsid w:val="008035E8"/>
    <w:rsid w:val="0080360F"/>
    <w:rsid w:val="00803A35"/>
    <w:rsid w:val="00803A3B"/>
    <w:rsid w:val="00803D04"/>
    <w:rsid w:val="00803F25"/>
    <w:rsid w:val="008042AA"/>
    <w:rsid w:val="008044D9"/>
    <w:rsid w:val="008044EE"/>
    <w:rsid w:val="00804586"/>
    <w:rsid w:val="008045AB"/>
    <w:rsid w:val="0080486B"/>
    <w:rsid w:val="008048F0"/>
    <w:rsid w:val="00804CAA"/>
    <w:rsid w:val="0080526C"/>
    <w:rsid w:val="008052B7"/>
    <w:rsid w:val="00805397"/>
    <w:rsid w:val="00805A6F"/>
    <w:rsid w:val="00805DED"/>
    <w:rsid w:val="00805F0B"/>
    <w:rsid w:val="00805F2B"/>
    <w:rsid w:val="0080620C"/>
    <w:rsid w:val="008062F5"/>
    <w:rsid w:val="00806445"/>
    <w:rsid w:val="008065C3"/>
    <w:rsid w:val="008066AF"/>
    <w:rsid w:val="00806866"/>
    <w:rsid w:val="00806ED8"/>
    <w:rsid w:val="00807112"/>
    <w:rsid w:val="0080748A"/>
    <w:rsid w:val="008076DE"/>
    <w:rsid w:val="00807838"/>
    <w:rsid w:val="00807BFE"/>
    <w:rsid w:val="00807D40"/>
    <w:rsid w:val="00807E85"/>
    <w:rsid w:val="008101C2"/>
    <w:rsid w:val="00810351"/>
    <w:rsid w:val="00810465"/>
    <w:rsid w:val="00810853"/>
    <w:rsid w:val="0081099F"/>
    <w:rsid w:val="00810B76"/>
    <w:rsid w:val="00810C35"/>
    <w:rsid w:val="008113DC"/>
    <w:rsid w:val="008117FB"/>
    <w:rsid w:val="00811A95"/>
    <w:rsid w:val="00811B89"/>
    <w:rsid w:val="00811B8F"/>
    <w:rsid w:val="00811FEA"/>
    <w:rsid w:val="00812125"/>
    <w:rsid w:val="008123B5"/>
    <w:rsid w:val="00812D5A"/>
    <w:rsid w:val="00813156"/>
    <w:rsid w:val="00813292"/>
    <w:rsid w:val="0081355B"/>
    <w:rsid w:val="008137D0"/>
    <w:rsid w:val="0081383A"/>
    <w:rsid w:val="00813918"/>
    <w:rsid w:val="0081402E"/>
    <w:rsid w:val="008140F8"/>
    <w:rsid w:val="00814109"/>
    <w:rsid w:val="00814414"/>
    <w:rsid w:val="008148A9"/>
    <w:rsid w:val="00814FAB"/>
    <w:rsid w:val="00814FD4"/>
    <w:rsid w:val="008151F5"/>
    <w:rsid w:val="008153E1"/>
    <w:rsid w:val="00816735"/>
    <w:rsid w:val="008168C9"/>
    <w:rsid w:val="00816906"/>
    <w:rsid w:val="00816947"/>
    <w:rsid w:val="00816963"/>
    <w:rsid w:val="00816BC1"/>
    <w:rsid w:val="00817305"/>
    <w:rsid w:val="00817C09"/>
    <w:rsid w:val="008201F9"/>
    <w:rsid w:val="0082040F"/>
    <w:rsid w:val="00820425"/>
    <w:rsid w:val="008204DD"/>
    <w:rsid w:val="008206B3"/>
    <w:rsid w:val="0082089B"/>
    <w:rsid w:val="008208CD"/>
    <w:rsid w:val="00820E87"/>
    <w:rsid w:val="00821140"/>
    <w:rsid w:val="008213C4"/>
    <w:rsid w:val="0082151C"/>
    <w:rsid w:val="008215BD"/>
    <w:rsid w:val="00821A63"/>
    <w:rsid w:val="00821C7E"/>
    <w:rsid w:val="00822207"/>
    <w:rsid w:val="008222B8"/>
    <w:rsid w:val="008222C2"/>
    <w:rsid w:val="0082233A"/>
    <w:rsid w:val="00822659"/>
    <w:rsid w:val="00822918"/>
    <w:rsid w:val="00822B96"/>
    <w:rsid w:val="00822BD9"/>
    <w:rsid w:val="00822E43"/>
    <w:rsid w:val="00822E6A"/>
    <w:rsid w:val="00822F3E"/>
    <w:rsid w:val="00823222"/>
    <w:rsid w:val="00823461"/>
    <w:rsid w:val="008237E0"/>
    <w:rsid w:val="008238E2"/>
    <w:rsid w:val="008239A0"/>
    <w:rsid w:val="0082412A"/>
    <w:rsid w:val="008241FD"/>
    <w:rsid w:val="00824245"/>
    <w:rsid w:val="00824763"/>
    <w:rsid w:val="008249DB"/>
    <w:rsid w:val="00824A9C"/>
    <w:rsid w:val="00824D25"/>
    <w:rsid w:val="008255FD"/>
    <w:rsid w:val="00825AAD"/>
    <w:rsid w:val="00825D4B"/>
    <w:rsid w:val="00826127"/>
    <w:rsid w:val="008265C3"/>
    <w:rsid w:val="00826653"/>
    <w:rsid w:val="0082667B"/>
    <w:rsid w:val="008267DE"/>
    <w:rsid w:val="00826816"/>
    <w:rsid w:val="00826F13"/>
    <w:rsid w:val="00826F27"/>
    <w:rsid w:val="00827024"/>
    <w:rsid w:val="008272E5"/>
    <w:rsid w:val="00827323"/>
    <w:rsid w:val="00827807"/>
    <w:rsid w:val="0083049A"/>
    <w:rsid w:val="008305B9"/>
    <w:rsid w:val="0083069E"/>
    <w:rsid w:val="00830B6B"/>
    <w:rsid w:val="00830F84"/>
    <w:rsid w:val="00830FAD"/>
    <w:rsid w:val="008311AA"/>
    <w:rsid w:val="00831224"/>
    <w:rsid w:val="00831853"/>
    <w:rsid w:val="0083189C"/>
    <w:rsid w:val="0083246C"/>
    <w:rsid w:val="00832575"/>
    <w:rsid w:val="00832611"/>
    <w:rsid w:val="00832ADD"/>
    <w:rsid w:val="00832D01"/>
    <w:rsid w:val="00832FEE"/>
    <w:rsid w:val="008338D1"/>
    <w:rsid w:val="00833997"/>
    <w:rsid w:val="00834132"/>
    <w:rsid w:val="00834169"/>
    <w:rsid w:val="00834453"/>
    <w:rsid w:val="0083469F"/>
    <w:rsid w:val="00834992"/>
    <w:rsid w:val="00834A0B"/>
    <w:rsid w:val="00834AB3"/>
    <w:rsid w:val="00834BB6"/>
    <w:rsid w:val="0083515A"/>
    <w:rsid w:val="008351D7"/>
    <w:rsid w:val="008351E6"/>
    <w:rsid w:val="00835743"/>
    <w:rsid w:val="00835BF5"/>
    <w:rsid w:val="00835FB7"/>
    <w:rsid w:val="0083631C"/>
    <w:rsid w:val="0083657D"/>
    <w:rsid w:val="0083680D"/>
    <w:rsid w:val="00836A34"/>
    <w:rsid w:val="00836A8D"/>
    <w:rsid w:val="00836C53"/>
    <w:rsid w:val="00836EDC"/>
    <w:rsid w:val="00837040"/>
    <w:rsid w:val="00837464"/>
    <w:rsid w:val="008375CE"/>
    <w:rsid w:val="0083777B"/>
    <w:rsid w:val="008377D3"/>
    <w:rsid w:val="00837A4D"/>
    <w:rsid w:val="00837FDC"/>
    <w:rsid w:val="00840024"/>
    <w:rsid w:val="008405B1"/>
    <w:rsid w:val="008406D6"/>
    <w:rsid w:val="0084081B"/>
    <w:rsid w:val="00840E43"/>
    <w:rsid w:val="008412EF"/>
    <w:rsid w:val="00841330"/>
    <w:rsid w:val="00841423"/>
    <w:rsid w:val="00841428"/>
    <w:rsid w:val="008414DB"/>
    <w:rsid w:val="00841A67"/>
    <w:rsid w:val="00841C47"/>
    <w:rsid w:val="00841DB3"/>
    <w:rsid w:val="00841DB4"/>
    <w:rsid w:val="00841FCF"/>
    <w:rsid w:val="00842150"/>
    <w:rsid w:val="00842F84"/>
    <w:rsid w:val="00843315"/>
    <w:rsid w:val="0084343D"/>
    <w:rsid w:val="0084344F"/>
    <w:rsid w:val="00843799"/>
    <w:rsid w:val="00843805"/>
    <w:rsid w:val="008438FD"/>
    <w:rsid w:val="00843BCA"/>
    <w:rsid w:val="00843C96"/>
    <w:rsid w:val="00843D40"/>
    <w:rsid w:val="00843EB1"/>
    <w:rsid w:val="00844160"/>
    <w:rsid w:val="00844226"/>
    <w:rsid w:val="0084429C"/>
    <w:rsid w:val="0084438A"/>
    <w:rsid w:val="00844632"/>
    <w:rsid w:val="0084497F"/>
    <w:rsid w:val="00844ED1"/>
    <w:rsid w:val="0084500F"/>
    <w:rsid w:val="008452BB"/>
    <w:rsid w:val="00845413"/>
    <w:rsid w:val="00845519"/>
    <w:rsid w:val="008455A9"/>
    <w:rsid w:val="00845648"/>
    <w:rsid w:val="00845728"/>
    <w:rsid w:val="00845796"/>
    <w:rsid w:val="00845A99"/>
    <w:rsid w:val="00845BC1"/>
    <w:rsid w:val="00846000"/>
    <w:rsid w:val="00846158"/>
    <w:rsid w:val="00846B7C"/>
    <w:rsid w:val="00846CDE"/>
    <w:rsid w:val="00846D07"/>
    <w:rsid w:val="00847434"/>
    <w:rsid w:val="00847736"/>
    <w:rsid w:val="008477CA"/>
    <w:rsid w:val="00847C4F"/>
    <w:rsid w:val="00847D14"/>
    <w:rsid w:val="00847F47"/>
    <w:rsid w:val="00850154"/>
    <w:rsid w:val="008501C8"/>
    <w:rsid w:val="00850214"/>
    <w:rsid w:val="00850406"/>
    <w:rsid w:val="008504DF"/>
    <w:rsid w:val="00850781"/>
    <w:rsid w:val="00850B5D"/>
    <w:rsid w:val="00850FD6"/>
    <w:rsid w:val="008510CD"/>
    <w:rsid w:val="00851125"/>
    <w:rsid w:val="0085115B"/>
    <w:rsid w:val="008513F6"/>
    <w:rsid w:val="00851440"/>
    <w:rsid w:val="00851D61"/>
    <w:rsid w:val="00852258"/>
    <w:rsid w:val="00852540"/>
    <w:rsid w:val="008525AE"/>
    <w:rsid w:val="00852632"/>
    <w:rsid w:val="00852D8B"/>
    <w:rsid w:val="008531E3"/>
    <w:rsid w:val="008532A1"/>
    <w:rsid w:val="008533B5"/>
    <w:rsid w:val="008537E5"/>
    <w:rsid w:val="00853B1E"/>
    <w:rsid w:val="00853E2E"/>
    <w:rsid w:val="008543AF"/>
    <w:rsid w:val="0085453E"/>
    <w:rsid w:val="008545B7"/>
    <w:rsid w:val="008545F0"/>
    <w:rsid w:val="00854A3B"/>
    <w:rsid w:val="0085508F"/>
    <w:rsid w:val="008550C6"/>
    <w:rsid w:val="0085545F"/>
    <w:rsid w:val="00855588"/>
    <w:rsid w:val="0085568C"/>
    <w:rsid w:val="00855959"/>
    <w:rsid w:val="00855985"/>
    <w:rsid w:val="00855C11"/>
    <w:rsid w:val="00855C73"/>
    <w:rsid w:val="00855D82"/>
    <w:rsid w:val="00855EBC"/>
    <w:rsid w:val="00856358"/>
    <w:rsid w:val="00856704"/>
    <w:rsid w:val="0085691F"/>
    <w:rsid w:val="0085695B"/>
    <w:rsid w:val="00856A5B"/>
    <w:rsid w:val="00856B37"/>
    <w:rsid w:val="00856F40"/>
    <w:rsid w:val="00857131"/>
    <w:rsid w:val="00857143"/>
    <w:rsid w:val="00857584"/>
    <w:rsid w:val="00857986"/>
    <w:rsid w:val="00860461"/>
    <w:rsid w:val="008604E8"/>
    <w:rsid w:val="00860530"/>
    <w:rsid w:val="00860553"/>
    <w:rsid w:val="008606D5"/>
    <w:rsid w:val="0086097B"/>
    <w:rsid w:val="008610DA"/>
    <w:rsid w:val="008612E8"/>
    <w:rsid w:val="00861357"/>
    <w:rsid w:val="00861387"/>
    <w:rsid w:val="008614F7"/>
    <w:rsid w:val="008616D7"/>
    <w:rsid w:val="008622A2"/>
    <w:rsid w:val="008627F3"/>
    <w:rsid w:val="00862B96"/>
    <w:rsid w:val="008630F0"/>
    <w:rsid w:val="008635F4"/>
    <w:rsid w:val="0086366F"/>
    <w:rsid w:val="00863BC2"/>
    <w:rsid w:val="00863F2B"/>
    <w:rsid w:val="0086453F"/>
    <w:rsid w:val="0086465F"/>
    <w:rsid w:val="00864B9D"/>
    <w:rsid w:val="00865022"/>
    <w:rsid w:val="008652AA"/>
    <w:rsid w:val="008654A5"/>
    <w:rsid w:val="0086563B"/>
    <w:rsid w:val="00866208"/>
    <w:rsid w:val="0086635B"/>
    <w:rsid w:val="00866448"/>
    <w:rsid w:val="00866630"/>
    <w:rsid w:val="0086671A"/>
    <w:rsid w:val="0086677B"/>
    <w:rsid w:val="00866BE4"/>
    <w:rsid w:val="00866D89"/>
    <w:rsid w:val="00866EFF"/>
    <w:rsid w:val="0086703F"/>
    <w:rsid w:val="00867120"/>
    <w:rsid w:val="008676E6"/>
    <w:rsid w:val="00867B9D"/>
    <w:rsid w:val="00867BC8"/>
    <w:rsid w:val="00867CB2"/>
    <w:rsid w:val="00867F0D"/>
    <w:rsid w:val="00870467"/>
    <w:rsid w:val="00870731"/>
    <w:rsid w:val="00870A1B"/>
    <w:rsid w:val="00870C01"/>
    <w:rsid w:val="00871022"/>
    <w:rsid w:val="008714F7"/>
    <w:rsid w:val="00871505"/>
    <w:rsid w:val="0087153A"/>
    <w:rsid w:val="00871A6D"/>
    <w:rsid w:val="00871A8C"/>
    <w:rsid w:val="00871B92"/>
    <w:rsid w:val="00871D90"/>
    <w:rsid w:val="008729A7"/>
    <w:rsid w:val="008730E9"/>
    <w:rsid w:val="008732FC"/>
    <w:rsid w:val="00873517"/>
    <w:rsid w:val="00873601"/>
    <w:rsid w:val="008744CA"/>
    <w:rsid w:val="00874743"/>
    <w:rsid w:val="00874847"/>
    <w:rsid w:val="00874B86"/>
    <w:rsid w:val="00874E93"/>
    <w:rsid w:val="00875048"/>
    <w:rsid w:val="008753A1"/>
    <w:rsid w:val="00875752"/>
    <w:rsid w:val="008757CC"/>
    <w:rsid w:val="008758A4"/>
    <w:rsid w:val="00875EAD"/>
    <w:rsid w:val="00875F04"/>
    <w:rsid w:val="0087635A"/>
    <w:rsid w:val="008763C7"/>
    <w:rsid w:val="008763D9"/>
    <w:rsid w:val="00876439"/>
    <w:rsid w:val="00876821"/>
    <w:rsid w:val="008769C9"/>
    <w:rsid w:val="00876B02"/>
    <w:rsid w:val="00876CB6"/>
    <w:rsid w:val="00876D08"/>
    <w:rsid w:val="00876D80"/>
    <w:rsid w:val="00876DD3"/>
    <w:rsid w:val="008772B8"/>
    <w:rsid w:val="008773D5"/>
    <w:rsid w:val="00877470"/>
    <w:rsid w:val="0087799A"/>
    <w:rsid w:val="00877B73"/>
    <w:rsid w:val="008800E1"/>
    <w:rsid w:val="0088019A"/>
    <w:rsid w:val="00880202"/>
    <w:rsid w:val="00880351"/>
    <w:rsid w:val="008809C5"/>
    <w:rsid w:val="00880B6B"/>
    <w:rsid w:val="00880E3A"/>
    <w:rsid w:val="00880E79"/>
    <w:rsid w:val="008810ED"/>
    <w:rsid w:val="00881149"/>
    <w:rsid w:val="0088125C"/>
    <w:rsid w:val="00881274"/>
    <w:rsid w:val="0088153A"/>
    <w:rsid w:val="008815EE"/>
    <w:rsid w:val="008816E1"/>
    <w:rsid w:val="008816F5"/>
    <w:rsid w:val="00881CA9"/>
    <w:rsid w:val="00882191"/>
    <w:rsid w:val="00882591"/>
    <w:rsid w:val="00882CAB"/>
    <w:rsid w:val="00882CD4"/>
    <w:rsid w:val="00882DBE"/>
    <w:rsid w:val="008831A1"/>
    <w:rsid w:val="00883441"/>
    <w:rsid w:val="00883598"/>
    <w:rsid w:val="008837FF"/>
    <w:rsid w:val="00883859"/>
    <w:rsid w:val="008838DB"/>
    <w:rsid w:val="0088394F"/>
    <w:rsid w:val="008839A3"/>
    <w:rsid w:val="008839A9"/>
    <w:rsid w:val="0088433E"/>
    <w:rsid w:val="0088452D"/>
    <w:rsid w:val="008849B7"/>
    <w:rsid w:val="00884E11"/>
    <w:rsid w:val="00884E28"/>
    <w:rsid w:val="00884FCA"/>
    <w:rsid w:val="00885068"/>
    <w:rsid w:val="00885997"/>
    <w:rsid w:val="008859D8"/>
    <w:rsid w:val="00885C57"/>
    <w:rsid w:val="00885C5E"/>
    <w:rsid w:val="00886758"/>
    <w:rsid w:val="00886872"/>
    <w:rsid w:val="00886C0A"/>
    <w:rsid w:val="00886DEE"/>
    <w:rsid w:val="00886E6E"/>
    <w:rsid w:val="00886ED2"/>
    <w:rsid w:val="0088765F"/>
    <w:rsid w:val="00887900"/>
    <w:rsid w:val="00887A6F"/>
    <w:rsid w:val="00887AC8"/>
    <w:rsid w:val="00887BFB"/>
    <w:rsid w:val="00887F8A"/>
    <w:rsid w:val="008900A7"/>
    <w:rsid w:val="008902E2"/>
    <w:rsid w:val="00890435"/>
    <w:rsid w:val="00890722"/>
    <w:rsid w:val="008907AA"/>
    <w:rsid w:val="00890882"/>
    <w:rsid w:val="00890AFE"/>
    <w:rsid w:val="00890B55"/>
    <w:rsid w:val="00890CD7"/>
    <w:rsid w:val="00890D65"/>
    <w:rsid w:val="00891141"/>
    <w:rsid w:val="0089216D"/>
    <w:rsid w:val="00892208"/>
    <w:rsid w:val="008928C7"/>
    <w:rsid w:val="0089290C"/>
    <w:rsid w:val="00892F22"/>
    <w:rsid w:val="00893229"/>
    <w:rsid w:val="0089335F"/>
    <w:rsid w:val="0089341F"/>
    <w:rsid w:val="0089389B"/>
    <w:rsid w:val="008938F3"/>
    <w:rsid w:val="00893B6E"/>
    <w:rsid w:val="008945F0"/>
    <w:rsid w:val="0089460B"/>
    <w:rsid w:val="008946C5"/>
    <w:rsid w:val="00894779"/>
    <w:rsid w:val="0089501F"/>
    <w:rsid w:val="008953BE"/>
    <w:rsid w:val="00895570"/>
    <w:rsid w:val="008956DC"/>
    <w:rsid w:val="00895771"/>
    <w:rsid w:val="0089593C"/>
    <w:rsid w:val="00895DAB"/>
    <w:rsid w:val="0089605F"/>
    <w:rsid w:val="0089684A"/>
    <w:rsid w:val="00896982"/>
    <w:rsid w:val="008969E4"/>
    <w:rsid w:val="00896A7D"/>
    <w:rsid w:val="00896CA6"/>
    <w:rsid w:val="00896F47"/>
    <w:rsid w:val="00897459"/>
    <w:rsid w:val="00897849"/>
    <w:rsid w:val="00897863"/>
    <w:rsid w:val="00897A3B"/>
    <w:rsid w:val="00897A43"/>
    <w:rsid w:val="00897B33"/>
    <w:rsid w:val="00897C8A"/>
    <w:rsid w:val="008A01A6"/>
    <w:rsid w:val="008A056A"/>
    <w:rsid w:val="008A0B79"/>
    <w:rsid w:val="008A0D97"/>
    <w:rsid w:val="008A159F"/>
    <w:rsid w:val="008A1ADF"/>
    <w:rsid w:val="008A1BB0"/>
    <w:rsid w:val="008A1EA2"/>
    <w:rsid w:val="008A218F"/>
    <w:rsid w:val="008A2257"/>
    <w:rsid w:val="008A23D1"/>
    <w:rsid w:val="008A2474"/>
    <w:rsid w:val="008A26E8"/>
    <w:rsid w:val="008A3095"/>
    <w:rsid w:val="008A35CB"/>
    <w:rsid w:val="008A3BCC"/>
    <w:rsid w:val="008A3BCD"/>
    <w:rsid w:val="008A3C65"/>
    <w:rsid w:val="008A426D"/>
    <w:rsid w:val="008A42B3"/>
    <w:rsid w:val="008A4535"/>
    <w:rsid w:val="008A45A8"/>
    <w:rsid w:val="008A460F"/>
    <w:rsid w:val="008A4764"/>
    <w:rsid w:val="008A4BC7"/>
    <w:rsid w:val="008A5375"/>
    <w:rsid w:val="008A57F8"/>
    <w:rsid w:val="008A593C"/>
    <w:rsid w:val="008A6045"/>
    <w:rsid w:val="008A61B3"/>
    <w:rsid w:val="008A682B"/>
    <w:rsid w:val="008A6AF1"/>
    <w:rsid w:val="008A7460"/>
    <w:rsid w:val="008A74AA"/>
    <w:rsid w:val="008A7694"/>
    <w:rsid w:val="008B026A"/>
    <w:rsid w:val="008B0856"/>
    <w:rsid w:val="008B0934"/>
    <w:rsid w:val="008B0938"/>
    <w:rsid w:val="008B0A63"/>
    <w:rsid w:val="008B1071"/>
    <w:rsid w:val="008B150B"/>
    <w:rsid w:val="008B17EA"/>
    <w:rsid w:val="008B1A0D"/>
    <w:rsid w:val="008B20F3"/>
    <w:rsid w:val="008B2408"/>
    <w:rsid w:val="008B2CF2"/>
    <w:rsid w:val="008B2FB9"/>
    <w:rsid w:val="008B32BC"/>
    <w:rsid w:val="008B33C0"/>
    <w:rsid w:val="008B368D"/>
    <w:rsid w:val="008B3A84"/>
    <w:rsid w:val="008B3F17"/>
    <w:rsid w:val="008B464B"/>
    <w:rsid w:val="008B4FA5"/>
    <w:rsid w:val="008B505B"/>
    <w:rsid w:val="008B52AF"/>
    <w:rsid w:val="008B657A"/>
    <w:rsid w:val="008B65C0"/>
    <w:rsid w:val="008B68A5"/>
    <w:rsid w:val="008B6D58"/>
    <w:rsid w:val="008B7943"/>
    <w:rsid w:val="008B7988"/>
    <w:rsid w:val="008B7C63"/>
    <w:rsid w:val="008C0258"/>
    <w:rsid w:val="008C0445"/>
    <w:rsid w:val="008C04C1"/>
    <w:rsid w:val="008C09EE"/>
    <w:rsid w:val="008C0BA0"/>
    <w:rsid w:val="008C0C00"/>
    <w:rsid w:val="008C0C02"/>
    <w:rsid w:val="008C0F0B"/>
    <w:rsid w:val="008C16DD"/>
    <w:rsid w:val="008C1BFE"/>
    <w:rsid w:val="008C1C50"/>
    <w:rsid w:val="008C234C"/>
    <w:rsid w:val="008C25AF"/>
    <w:rsid w:val="008C2686"/>
    <w:rsid w:val="008C2884"/>
    <w:rsid w:val="008C2B25"/>
    <w:rsid w:val="008C2BB7"/>
    <w:rsid w:val="008C2C78"/>
    <w:rsid w:val="008C2D7E"/>
    <w:rsid w:val="008C2DC6"/>
    <w:rsid w:val="008C2E10"/>
    <w:rsid w:val="008C32AB"/>
    <w:rsid w:val="008C3AA2"/>
    <w:rsid w:val="008C3B03"/>
    <w:rsid w:val="008C3D1D"/>
    <w:rsid w:val="008C3F69"/>
    <w:rsid w:val="008C4131"/>
    <w:rsid w:val="008C4F5B"/>
    <w:rsid w:val="008C5084"/>
    <w:rsid w:val="008C53A5"/>
    <w:rsid w:val="008C5846"/>
    <w:rsid w:val="008C5D29"/>
    <w:rsid w:val="008C6174"/>
    <w:rsid w:val="008C64B3"/>
    <w:rsid w:val="008C64FA"/>
    <w:rsid w:val="008C6AE0"/>
    <w:rsid w:val="008C6B37"/>
    <w:rsid w:val="008C7E52"/>
    <w:rsid w:val="008C7EF4"/>
    <w:rsid w:val="008D03C0"/>
    <w:rsid w:val="008D05AF"/>
    <w:rsid w:val="008D05BD"/>
    <w:rsid w:val="008D0932"/>
    <w:rsid w:val="008D09D2"/>
    <w:rsid w:val="008D0C4B"/>
    <w:rsid w:val="008D0C7F"/>
    <w:rsid w:val="008D0E8C"/>
    <w:rsid w:val="008D0FD5"/>
    <w:rsid w:val="008D1161"/>
    <w:rsid w:val="008D12DE"/>
    <w:rsid w:val="008D18A7"/>
    <w:rsid w:val="008D19C5"/>
    <w:rsid w:val="008D1C69"/>
    <w:rsid w:val="008D24F1"/>
    <w:rsid w:val="008D25F7"/>
    <w:rsid w:val="008D265F"/>
    <w:rsid w:val="008D29F6"/>
    <w:rsid w:val="008D2D31"/>
    <w:rsid w:val="008D3075"/>
    <w:rsid w:val="008D3338"/>
    <w:rsid w:val="008D34D2"/>
    <w:rsid w:val="008D3660"/>
    <w:rsid w:val="008D3661"/>
    <w:rsid w:val="008D3722"/>
    <w:rsid w:val="008D37D0"/>
    <w:rsid w:val="008D3990"/>
    <w:rsid w:val="008D3A0D"/>
    <w:rsid w:val="008D3AF6"/>
    <w:rsid w:val="008D3DB2"/>
    <w:rsid w:val="008D3DB7"/>
    <w:rsid w:val="008D3FB2"/>
    <w:rsid w:val="008D466A"/>
    <w:rsid w:val="008D481B"/>
    <w:rsid w:val="008D4916"/>
    <w:rsid w:val="008D4ADC"/>
    <w:rsid w:val="008D4E67"/>
    <w:rsid w:val="008D53B2"/>
    <w:rsid w:val="008D5A4E"/>
    <w:rsid w:val="008D5B9E"/>
    <w:rsid w:val="008D5FBC"/>
    <w:rsid w:val="008D61FD"/>
    <w:rsid w:val="008D642A"/>
    <w:rsid w:val="008D65FC"/>
    <w:rsid w:val="008D6677"/>
    <w:rsid w:val="008D6D44"/>
    <w:rsid w:val="008D6EFD"/>
    <w:rsid w:val="008D7062"/>
    <w:rsid w:val="008D70E8"/>
    <w:rsid w:val="008D7777"/>
    <w:rsid w:val="008D7EF6"/>
    <w:rsid w:val="008E04A4"/>
    <w:rsid w:val="008E0A87"/>
    <w:rsid w:val="008E10EF"/>
    <w:rsid w:val="008E1328"/>
    <w:rsid w:val="008E1421"/>
    <w:rsid w:val="008E1483"/>
    <w:rsid w:val="008E1525"/>
    <w:rsid w:val="008E1716"/>
    <w:rsid w:val="008E17EE"/>
    <w:rsid w:val="008E1B9B"/>
    <w:rsid w:val="008E1E0C"/>
    <w:rsid w:val="008E1EE1"/>
    <w:rsid w:val="008E21FC"/>
    <w:rsid w:val="008E265B"/>
    <w:rsid w:val="008E2910"/>
    <w:rsid w:val="008E2A0F"/>
    <w:rsid w:val="008E2C4C"/>
    <w:rsid w:val="008E2E99"/>
    <w:rsid w:val="008E3064"/>
    <w:rsid w:val="008E315E"/>
    <w:rsid w:val="008E32FB"/>
    <w:rsid w:val="008E3641"/>
    <w:rsid w:val="008E3B32"/>
    <w:rsid w:val="008E3D8C"/>
    <w:rsid w:val="008E3DF6"/>
    <w:rsid w:val="008E3F2F"/>
    <w:rsid w:val="008E4122"/>
    <w:rsid w:val="008E41C4"/>
    <w:rsid w:val="008E4359"/>
    <w:rsid w:val="008E46B3"/>
    <w:rsid w:val="008E4770"/>
    <w:rsid w:val="008E4C49"/>
    <w:rsid w:val="008E4D72"/>
    <w:rsid w:val="008E4DC4"/>
    <w:rsid w:val="008E505D"/>
    <w:rsid w:val="008E512A"/>
    <w:rsid w:val="008E5489"/>
    <w:rsid w:val="008E54B6"/>
    <w:rsid w:val="008E54D1"/>
    <w:rsid w:val="008E5B58"/>
    <w:rsid w:val="008E5BF9"/>
    <w:rsid w:val="008E5DE5"/>
    <w:rsid w:val="008E605B"/>
    <w:rsid w:val="008E61C4"/>
    <w:rsid w:val="008E6A37"/>
    <w:rsid w:val="008E6A80"/>
    <w:rsid w:val="008E6AFF"/>
    <w:rsid w:val="008E6B23"/>
    <w:rsid w:val="008E6C01"/>
    <w:rsid w:val="008E6D68"/>
    <w:rsid w:val="008E6EBC"/>
    <w:rsid w:val="008E6EDB"/>
    <w:rsid w:val="008E7232"/>
    <w:rsid w:val="008E7283"/>
    <w:rsid w:val="008E72FD"/>
    <w:rsid w:val="008E74BE"/>
    <w:rsid w:val="008E74D9"/>
    <w:rsid w:val="008E78FF"/>
    <w:rsid w:val="008E79FA"/>
    <w:rsid w:val="008E7FE8"/>
    <w:rsid w:val="008F073E"/>
    <w:rsid w:val="008F0C04"/>
    <w:rsid w:val="008F0E52"/>
    <w:rsid w:val="008F0F9D"/>
    <w:rsid w:val="008F10E0"/>
    <w:rsid w:val="008F1444"/>
    <w:rsid w:val="008F1634"/>
    <w:rsid w:val="008F1C38"/>
    <w:rsid w:val="008F1D4C"/>
    <w:rsid w:val="008F2383"/>
    <w:rsid w:val="008F23B8"/>
    <w:rsid w:val="008F2418"/>
    <w:rsid w:val="008F2532"/>
    <w:rsid w:val="008F2864"/>
    <w:rsid w:val="008F2976"/>
    <w:rsid w:val="008F2996"/>
    <w:rsid w:val="008F2C6B"/>
    <w:rsid w:val="008F3929"/>
    <w:rsid w:val="008F3EB6"/>
    <w:rsid w:val="008F4334"/>
    <w:rsid w:val="008F43E3"/>
    <w:rsid w:val="008F4551"/>
    <w:rsid w:val="008F4C93"/>
    <w:rsid w:val="008F4F9B"/>
    <w:rsid w:val="008F4F9D"/>
    <w:rsid w:val="008F5480"/>
    <w:rsid w:val="008F568A"/>
    <w:rsid w:val="008F5771"/>
    <w:rsid w:val="008F58C7"/>
    <w:rsid w:val="008F58F4"/>
    <w:rsid w:val="008F61FC"/>
    <w:rsid w:val="008F637B"/>
    <w:rsid w:val="008F704E"/>
    <w:rsid w:val="008F71E3"/>
    <w:rsid w:val="008F7398"/>
    <w:rsid w:val="008F74E5"/>
    <w:rsid w:val="008F74FC"/>
    <w:rsid w:val="008F75C7"/>
    <w:rsid w:val="008F766B"/>
    <w:rsid w:val="008F7743"/>
    <w:rsid w:val="008F77C3"/>
    <w:rsid w:val="008F7911"/>
    <w:rsid w:val="008F7A3A"/>
    <w:rsid w:val="008F7B37"/>
    <w:rsid w:val="008F7D7F"/>
    <w:rsid w:val="008F7E5A"/>
    <w:rsid w:val="00900083"/>
    <w:rsid w:val="009001D1"/>
    <w:rsid w:val="00900A55"/>
    <w:rsid w:val="00900ABF"/>
    <w:rsid w:val="00900D76"/>
    <w:rsid w:val="0090110C"/>
    <w:rsid w:val="00901372"/>
    <w:rsid w:val="00901494"/>
    <w:rsid w:val="00901936"/>
    <w:rsid w:val="0090197C"/>
    <w:rsid w:val="00901DD6"/>
    <w:rsid w:val="00901E1B"/>
    <w:rsid w:val="00901F90"/>
    <w:rsid w:val="00902585"/>
    <w:rsid w:val="0090260D"/>
    <w:rsid w:val="0090264A"/>
    <w:rsid w:val="0090298A"/>
    <w:rsid w:val="00902B75"/>
    <w:rsid w:val="00902C80"/>
    <w:rsid w:val="009031B6"/>
    <w:rsid w:val="00903700"/>
    <w:rsid w:val="0090380F"/>
    <w:rsid w:val="00903AF7"/>
    <w:rsid w:val="00903FA2"/>
    <w:rsid w:val="0090429E"/>
    <w:rsid w:val="0090444D"/>
    <w:rsid w:val="00904493"/>
    <w:rsid w:val="009044BA"/>
    <w:rsid w:val="00904675"/>
    <w:rsid w:val="00904F4F"/>
    <w:rsid w:val="00905514"/>
    <w:rsid w:val="00905EDE"/>
    <w:rsid w:val="00906057"/>
    <w:rsid w:val="009060B6"/>
    <w:rsid w:val="0090618A"/>
    <w:rsid w:val="009063A8"/>
    <w:rsid w:val="00906406"/>
    <w:rsid w:val="00906648"/>
    <w:rsid w:val="00906715"/>
    <w:rsid w:val="00906C09"/>
    <w:rsid w:val="00906EAB"/>
    <w:rsid w:val="00906FA6"/>
    <w:rsid w:val="00907C60"/>
    <w:rsid w:val="00910755"/>
    <w:rsid w:val="00910BB3"/>
    <w:rsid w:val="00910E1F"/>
    <w:rsid w:val="00910E60"/>
    <w:rsid w:val="00911232"/>
    <w:rsid w:val="0091124E"/>
    <w:rsid w:val="009112BF"/>
    <w:rsid w:val="009112E9"/>
    <w:rsid w:val="0091162A"/>
    <w:rsid w:val="0091163C"/>
    <w:rsid w:val="00911670"/>
    <w:rsid w:val="00911879"/>
    <w:rsid w:val="00911BE4"/>
    <w:rsid w:val="00911F26"/>
    <w:rsid w:val="00911F78"/>
    <w:rsid w:val="00912029"/>
    <w:rsid w:val="0091214F"/>
    <w:rsid w:val="00912181"/>
    <w:rsid w:val="0091219A"/>
    <w:rsid w:val="00912575"/>
    <w:rsid w:val="00912BC9"/>
    <w:rsid w:val="00912EBA"/>
    <w:rsid w:val="00912FF6"/>
    <w:rsid w:val="009130FE"/>
    <w:rsid w:val="009131AE"/>
    <w:rsid w:val="0091346B"/>
    <w:rsid w:val="00913750"/>
    <w:rsid w:val="0091381E"/>
    <w:rsid w:val="009139F4"/>
    <w:rsid w:val="00913B0B"/>
    <w:rsid w:val="00913B5E"/>
    <w:rsid w:val="00913C38"/>
    <w:rsid w:val="00913C43"/>
    <w:rsid w:val="00913DE5"/>
    <w:rsid w:val="00913EA2"/>
    <w:rsid w:val="009143CC"/>
    <w:rsid w:val="009144CB"/>
    <w:rsid w:val="00914BB0"/>
    <w:rsid w:val="00914BD5"/>
    <w:rsid w:val="00914D60"/>
    <w:rsid w:val="00914DC7"/>
    <w:rsid w:val="00914E23"/>
    <w:rsid w:val="0091546D"/>
    <w:rsid w:val="00915754"/>
    <w:rsid w:val="00915A95"/>
    <w:rsid w:val="00915BC9"/>
    <w:rsid w:val="009163C1"/>
    <w:rsid w:val="0091669F"/>
    <w:rsid w:val="00916841"/>
    <w:rsid w:val="00916C28"/>
    <w:rsid w:val="00916DA8"/>
    <w:rsid w:val="00916E86"/>
    <w:rsid w:val="00916F02"/>
    <w:rsid w:val="0091708E"/>
    <w:rsid w:val="00917C55"/>
    <w:rsid w:val="009201E0"/>
    <w:rsid w:val="0092024F"/>
    <w:rsid w:val="0092060C"/>
    <w:rsid w:val="009209CA"/>
    <w:rsid w:val="009209F1"/>
    <w:rsid w:val="00920BC6"/>
    <w:rsid w:val="00920D00"/>
    <w:rsid w:val="00921047"/>
    <w:rsid w:val="009210C3"/>
    <w:rsid w:val="0092120F"/>
    <w:rsid w:val="009214E9"/>
    <w:rsid w:val="00921533"/>
    <w:rsid w:val="009216D5"/>
    <w:rsid w:val="0092278E"/>
    <w:rsid w:val="0092280F"/>
    <w:rsid w:val="00922F3B"/>
    <w:rsid w:val="00923356"/>
    <w:rsid w:val="00923776"/>
    <w:rsid w:val="009237A4"/>
    <w:rsid w:val="00923AC3"/>
    <w:rsid w:val="00923ECE"/>
    <w:rsid w:val="00923F63"/>
    <w:rsid w:val="009242AB"/>
    <w:rsid w:val="00924712"/>
    <w:rsid w:val="00924881"/>
    <w:rsid w:val="009248B2"/>
    <w:rsid w:val="00924D4B"/>
    <w:rsid w:val="00925141"/>
    <w:rsid w:val="00925971"/>
    <w:rsid w:val="009259EB"/>
    <w:rsid w:val="00925B5F"/>
    <w:rsid w:val="00925FBE"/>
    <w:rsid w:val="0092653C"/>
    <w:rsid w:val="009269EB"/>
    <w:rsid w:val="00926AA6"/>
    <w:rsid w:val="00926BC7"/>
    <w:rsid w:val="00926C20"/>
    <w:rsid w:val="00926C80"/>
    <w:rsid w:val="00927CA4"/>
    <w:rsid w:val="00927D98"/>
    <w:rsid w:val="00927DA3"/>
    <w:rsid w:val="00927FD0"/>
    <w:rsid w:val="0093094F"/>
    <w:rsid w:val="00930AC6"/>
    <w:rsid w:val="00930E51"/>
    <w:rsid w:val="009310C6"/>
    <w:rsid w:val="00931179"/>
    <w:rsid w:val="009311D9"/>
    <w:rsid w:val="00931367"/>
    <w:rsid w:val="00931737"/>
    <w:rsid w:val="00931BE0"/>
    <w:rsid w:val="00931D11"/>
    <w:rsid w:val="00932621"/>
    <w:rsid w:val="009326F8"/>
    <w:rsid w:val="009329FD"/>
    <w:rsid w:val="00932E46"/>
    <w:rsid w:val="00932ED0"/>
    <w:rsid w:val="00932F7D"/>
    <w:rsid w:val="00933263"/>
    <w:rsid w:val="00933289"/>
    <w:rsid w:val="00933339"/>
    <w:rsid w:val="009335F9"/>
    <w:rsid w:val="0093361F"/>
    <w:rsid w:val="00933766"/>
    <w:rsid w:val="00933810"/>
    <w:rsid w:val="00933AF0"/>
    <w:rsid w:val="00933C01"/>
    <w:rsid w:val="00933D54"/>
    <w:rsid w:val="00933D80"/>
    <w:rsid w:val="009345BC"/>
    <w:rsid w:val="00934B4F"/>
    <w:rsid w:val="00934B53"/>
    <w:rsid w:val="00934B9B"/>
    <w:rsid w:val="00935886"/>
    <w:rsid w:val="009358E5"/>
    <w:rsid w:val="00935AA9"/>
    <w:rsid w:val="0093635A"/>
    <w:rsid w:val="0093697E"/>
    <w:rsid w:val="00936CB4"/>
    <w:rsid w:val="00936ED7"/>
    <w:rsid w:val="00936F18"/>
    <w:rsid w:val="009374AE"/>
    <w:rsid w:val="00937795"/>
    <w:rsid w:val="0093782E"/>
    <w:rsid w:val="009378C7"/>
    <w:rsid w:val="00937C86"/>
    <w:rsid w:val="00940202"/>
    <w:rsid w:val="00940309"/>
    <w:rsid w:val="0094043F"/>
    <w:rsid w:val="0094063B"/>
    <w:rsid w:val="00940BE0"/>
    <w:rsid w:val="00940C76"/>
    <w:rsid w:val="00940CF4"/>
    <w:rsid w:val="00940E7C"/>
    <w:rsid w:val="00941152"/>
    <w:rsid w:val="009412ED"/>
    <w:rsid w:val="009414E1"/>
    <w:rsid w:val="00941CA4"/>
    <w:rsid w:val="00941F26"/>
    <w:rsid w:val="0094220C"/>
    <w:rsid w:val="00942603"/>
    <w:rsid w:val="00942796"/>
    <w:rsid w:val="00942ADF"/>
    <w:rsid w:val="00942B4D"/>
    <w:rsid w:val="00942DDB"/>
    <w:rsid w:val="00942F77"/>
    <w:rsid w:val="00944130"/>
    <w:rsid w:val="009444C7"/>
    <w:rsid w:val="0094467A"/>
    <w:rsid w:val="009448BF"/>
    <w:rsid w:val="00944D67"/>
    <w:rsid w:val="00944FF7"/>
    <w:rsid w:val="00945368"/>
    <w:rsid w:val="009454E4"/>
    <w:rsid w:val="00945749"/>
    <w:rsid w:val="00946097"/>
    <w:rsid w:val="00946258"/>
    <w:rsid w:val="00946343"/>
    <w:rsid w:val="009464A2"/>
    <w:rsid w:val="00946785"/>
    <w:rsid w:val="00946A44"/>
    <w:rsid w:val="00946B3E"/>
    <w:rsid w:val="00946DB1"/>
    <w:rsid w:val="00947048"/>
    <w:rsid w:val="00947375"/>
    <w:rsid w:val="009475B3"/>
    <w:rsid w:val="00947764"/>
    <w:rsid w:val="009479F5"/>
    <w:rsid w:val="00947BCE"/>
    <w:rsid w:val="00947E4A"/>
    <w:rsid w:val="00950094"/>
    <w:rsid w:val="0095039F"/>
    <w:rsid w:val="0095045C"/>
    <w:rsid w:val="00950584"/>
    <w:rsid w:val="0095066C"/>
    <w:rsid w:val="0095077E"/>
    <w:rsid w:val="00950814"/>
    <w:rsid w:val="009508D0"/>
    <w:rsid w:val="00950B24"/>
    <w:rsid w:val="00950CB4"/>
    <w:rsid w:val="00950FA9"/>
    <w:rsid w:val="009510F7"/>
    <w:rsid w:val="00951156"/>
    <w:rsid w:val="0095171E"/>
    <w:rsid w:val="0095191D"/>
    <w:rsid w:val="00951B65"/>
    <w:rsid w:val="00952261"/>
    <w:rsid w:val="009526D4"/>
    <w:rsid w:val="0095286A"/>
    <w:rsid w:val="00952A4F"/>
    <w:rsid w:val="00952C4F"/>
    <w:rsid w:val="00952D2F"/>
    <w:rsid w:val="00952E88"/>
    <w:rsid w:val="009530C7"/>
    <w:rsid w:val="00953663"/>
    <w:rsid w:val="009536CB"/>
    <w:rsid w:val="0095382D"/>
    <w:rsid w:val="00953B6F"/>
    <w:rsid w:val="00953CF3"/>
    <w:rsid w:val="00953EA2"/>
    <w:rsid w:val="00953F08"/>
    <w:rsid w:val="00953F2A"/>
    <w:rsid w:val="009540AF"/>
    <w:rsid w:val="00954A1B"/>
    <w:rsid w:val="00954A39"/>
    <w:rsid w:val="009550D2"/>
    <w:rsid w:val="0095525C"/>
    <w:rsid w:val="009552F3"/>
    <w:rsid w:val="009555B0"/>
    <w:rsid w:val="0095570F"/>
    <w:rsid w:val="00955726"/>
    <w:rsid w:val="009557CA"/>
    <w:rsid w:val="0095608A"/>
    <w:rsid w:val="0095648D"/>
    <w:rsid w:val="0095672E"/>
    <w:rsid w:val="00956756"/>
    <w:rsid w:val="00956A99"/>
    <w:rsid w:val="00956DF1"/>
    <w:rsid w:val="00956E7F"/>
    <w:rsid w:val="00957198"/>
    <w:rsid w:val="00957210"/>
    <w:rsid w:val="00957296"/>
    <w:rsid w:val="00957436"/>
    <w:rsid w:val="009575AA"/>
    <w:rsid w:val="00957645"/>
    <w:rsid w:val="00957812"/>
    <w:rsid w:val="00957956"/>
    <w:rsid w:val="00957B33"/>
    <w:rsid w:val="00957D2F"/>
    <w:rsid w:val="00957F63"/>
    <w:rsid w:val="0096001D"/>
    <w:rsid w:val="009600C1"/>
    <w:rsid w:val="00960162"/>
    <w:rsid w:val="0096031E"/>
    <w:rsid w:val="0096031F"/>
    <w:rsid w:val="0096038E"/>
    <w:rsid w:val="0096041A"/>
    <w:rsid w:val="00960720"/>
    <w:rsid w:val="00960761"/>
    <w:rsid w:val="009607DA"/>
    <w:rsid w:val="0096086B"/>
    <w:rsid w:val="009609F6"/>
    <w:rsid w:val="00960B20"/>
    <w:rsid w:val="0096150D"/>
    <w:rsid w:val="009615AE"/>
    <w:rsid w:val="009617A4"/>
    <w:rsid w:val="00961EC4"/>
    <w:rsid w:val="00961EE5"/>
    <w:rsid w:val="00962068"/>
    <w:rsid w:val="009621DB"/>
    <w:rsid w:val="00962204"/>
    <w:rsid w:val="00962303"/>
    <w:rsid w:val="0096299E"/>
    <w:rsid w:val="00962C59"/>
    <w:rsid w:val="00963047"/>
    <w:rsid w:val="0096306B"/>
    <w:rsid w:val="009633F8"/>
    <w:rsid w:val="00963739"/>
    <w:rsid w:val="00963AF1"/>
    <w:rsid w:val="00963B2F"/>
    <w:rsid w:val="00963C2C"/>
    <w:rsid w:val="00963EE1"/>
    <w:rsid w:val="00963F5A"/>
    <w:rsid w:val="009643C1"/>
    <w:rsid w:val="00964539"/>
    <w:rsid w:val="00965005"/>
    <w:rsid w:val="009655FC"/>
    <w:rsid w:val="009656A7"/>
    <w:rsid w:val="00965801"/>
    <w:rsid w:val="009658DC"/>
    <w:rsid w:val="00965CBA"/>
    <w:rsid w:val="00965E4F"/>
    <w:rsid w:val="00966072"/>
    <w:rsid w:val="00966B78"/>
    <w:rsid w:val="00967230"/>
    <w:rsid w:val="00967243"/>
    <w:rsid w:val="0096727D"/>
    <w:rsid w:val="00967532"/>
    <w:rsid w:val="009675D7"/>
    <w:rsid w:val="009700EF"/>
    <w:rsid w:val="00970370"/>
    <w:rsid w:val="009704C0"/>
    <w:rsid w:val="00970880"/>
    <w:rsid w:val="0097098E"/>
    <w:rsid w:val="00970AAD"/>
    <w:rsid w:val="00970BBA"/>
    <w:rsid w:val="009710AD"/>
    <w:rsid w:val="009710C1"/>
    <w:rsid w:val="0097176B"/>
    <w:rsid w:val="009721B4"/>
    <w:rsid w:val="009721C3"/>
    <w:rsid w:val="0097244A"/>
    <w:rsid w:val="009725A3"/>
    <w:rsid w:val="009729E8"/>
    <w:rsid w:val="00973304"/>
    <w:rsid w:val="009733C4"/>
    <w:rsid w:val="009735D8"/>
    <w:rsid w:val="00973738"/>
    <w:rsid w:val="00973820"/>
    <w:rsid w:val="00973890"/>
    <w:rsid w:val="00973999"/>
    <w:rsid w:val="00973A04"/>
    <w:rsid w:val="00973BAC"/>
    <w:rsid w:val="00973E95"/>
    <w:rsid w:val="00973F02"/>
    <w:rsid w:val="00973FCE"/>
    <w:rsid w:val="00974382"/>
    <w:rsid w:val="009748FB"/>
    <w:rsid w:val="00974986"/>
    <w:rsid w:val="00974A0B"/>
    <w:rsid w:val="009750FC"/>
    <w:rsid w:val="0097543C"/>
    <w:rsid w:val="009754A9"/>
    <w:rsid w:val="0097559A"/>
    <w:rsid w:val="00975626"/>
    <w:rsid w:val="009758DF"/>
    <w:rsid w:val="00975914"/>
    <w:rsid w:val="009759AA"/>
    <w:rsid w:val="00976481"/>
    <w:rsid w:val="009765AF"/>
    <w:rsid w:val="009765E5"/>
    <w:rsid w:val="0097696D"/>
    <w:rsid w:val="00976DC2"/>
    <w:rsid w:val="00976DF9"/>
    <w:rsid w:val="00976E13"/>
    <w:rsid w:val="00976EBD"/>
    <w:rsid w:val="0097722D"/>
    <w:rsid w:val="00977328"/>
    <w:rsid w:val="00977533"/>
    <w:rsid w:val="009775DD"/>
    <w:rsid w:val="00977C55"/>
    <w:rsid w:val="00980751"/>
    <w:rsid w:val="00980775"/>
    <w:rsid w:val="009807F3"/>
    <w:rsid w:val="00980DCB"/>
    <w:rsid w:val="0098115B"/>
    <w:rsid w:val="0098125B"/>
    <w:rsid w:val="00981A7E"/>
    <w:rsid w:val="00981A8D"/>
    <w:rsid w:val="00981E6F"/>
    <w:rsid w:val="00981F3A"/>
    <w:rsid w:val="00982227"/>
    <w:rsid w:val="00982484"/>
    <w:rsid w:val="00982507"/>
    <w:rsid w:val="009826A7"/>
    <w:rsid w:val="009827C4"/>
    <w:rsid w:val="009829D5"/>
    <w:rsid w:val="00982D0D"/>
    <w:rsid w:val="00982D30"/>
    <w:rsid w:val="00982E79"/>
    <w:rsid w:val="00982F64"/>
    <w:rsid w:val="00983193"/>
    <w:rsid w:val="00983579"/>
    <w:rsid w:val="00983674"/>
    <w:rsid w:val="00983A21"/>
    <w:rsid w:val="00983CC3"/>
    <w:rsid w:val="00983F08"/>
    <w:rsid w:val="00984575"/>
    <w:rsid w:val="00984AD1"/>
    <w:rsid w:val="00984CCB"/>
    <w:rsid w:val="00984D62"/>
    <w:rsid w:val="0098533D"/>
    <w:rsid w:val="00985350"/>
    <w:rsid w:val="009855EC"/>
    <w:rsid w:val="00985609"/>
    <w:rsid w:val="00985DD2"/>
    <w:rsid w:val="0098617F"/>
    <w:rsid w:val="00986712"/>
    <w:rsid w:val="00986E43"/>
    <w:rsid w:val="00986F10"/>
    <w:rsid w:val="009873D6"/>
    <w:rsid w:val="009875D0"/>
    <w:rsid w:val="0098774B"/>
    <w:rsid w:val="00987A0A"/>
    <w:rsid w:val="009901FA"/>
    <w:rsid w:val="00990279"/>
    <w:rsid w:val="00990338"/>
    <w:rsid w:val="0099054B"/>
    <w:rsid w:val="0099057E"/>
    <w:rsid w:val="0099063E"/>
    <w:rsid w:val="0099073B"/>
    <w:rsid w:val="009908CD"/>
    <w:rsid w:val="00990A16"/>
    <w:rsid w:val="00990D9F"/>
    <w:rsid w:val="00990DCE"/>
    <w:rsid w:val="009912EB"/>
    <w:rsid w:val="00991804"/>
    <w:rsid w:val="00991BC2"/>
    <w:rsid w:val="00991D39"/>
    <w:rsid w:val="009923C6"/>
    <w:rsid w:val="0099246C"/>
    <w:rsid w:val="0099296D"/>
    <w:rsid w:val="00992B56"/>
    <w:rsid w:val="00992D36"/>
    <w:rsid w:val="00992D47"/>
    <w:rsid w:val="00992F12"/>
    <w:rsid w:val="009938EB"/>
    <w:rsid w:val="00993D60"/>
    <w:rsid w:val="00993E22"/>
    <w:rsid w:val="0099421B"/>
    <w:rsid w:val="0099469B"/>
    <w:rsid w:val="009947E2"/>
    <w:rsid w:val="009948CE"/>
    <w:rsid w:val="00994A0C"/>
    <w:rsid w:val="00994AA8"/>
    <w:rsid w:val="00994BA1"/>
    <w:rsid w:val="0099505C"/>
    <w:rsid w:val="009952C5"/>
    <w:rsid w:val="009953B8"/>
    <w:rsid w:val="009958D8"/>
    <w:rsid w:val="0099620E"/>
    <w:rsid w:val="00996913"/>
    <w:rsid w:val="00996A6E"/>
    <w:rsid w:val="00996B05"/>
    <w:rsid w:val="00996CD0"/>
    <w:rsid w:val="009970AA"/>
    <w:rsid w:val="00997348"/>
    <w:rsid w:val="009976D8"/>
    <w:rsid w:val="00997817"/>
    <w:rsid w:val="0099784A"/>
    <w:rsid w:val="009978BC"/>
    <w:rsid w:val="009978E3"/>
    <w:rsid w:val="009A0073"/>
    <w:rsid w:val="009A00BA"/>
    <w:rsid w:val="009A03A5"/>
    <w:rsid w:val="009A04EE"/>
    <w:rsid w:val="009A0CA5"/>
    <w:rsid w:val="009A0CBD"/>
    <w:rsid w:val="009A0CF4"/>
    <w:rsid w:val="009A0CF9"/>
    <w:rsid w:val="009A0E97"/>
    <w:rsid w:val="009A0F1D"/>
    <w:rsid w:val="009A11C6"/>
    <w:rsid w:val="009A1245"/>
    <w:rsid w:val="009A13CC"/>
    <w:rsid w:val="009A163E"/>
    <w:rsid w:val="009A243D"/>
    <w:rsid w:val="009A24A8"/>
    <w:rsid w:val="009A272A"/>
    <w:rsid w:val="009A2B0A"/>
    <w:rsid w:val="009A2B0E"/>
    <w:rsid w:val="009A2D36"/>
    <w:rsid w:val="009A2F01"/>
    <w:rsid w:val="009A3023"/>
    <w:rsid w:val="009A3587"/>
    <w:rsid w:val="009A3842"/>
    <w:rsid w:val="009A384F"/>
    <w:rsid w:val="009A3AB1"/>
    <w:rsid w:val="009A4312"/>
    <w:rsid w:val="009A44E7"/>
    <w:rsid w:val="009A4B17"/>
    <w:rsid w:val="009A52C2"/>
    <w:rsid w:val="009A5A76"/>
    <w:rsid w:val="009A5B8F"/>
    <w:rsid w:val="009A5C48"/>
    <w:rsid w:val="009A5FE1"/>
    <w:rsid w:val="009A619C"/>
    <w:rsid w:val="009A68C6"/>
    <w:rsid w:val="009A698B"/>
    <w:rsid w:val="009A69CB"/>
    <w:rsid w:val="009A6BC3"/>
    <w:rsid w:val="009A6CA1"/>
    <w:rsid w:val="009A6D95"/>
    <w:rsid w:val="009A6E11"/>
    <w:rsid w:val="009A6FF7"/>
    <w:rsid w:val="009A7214"/>
    <w:rsid w:val="009A731C"/>
    <w:rsid w:val="009A7A62"/>
    <w:rsid w:val="009A7CE3"/>
    <w:rsid w:val="009A7E7A"/>
    <w:rsid w:val="009A7F02"/>
    <w:rsid w:val="009A7F8A"/>
    <w:rsid w:val="009B0354"/>
    <w:rsid w:val="009B0D22"/>
    <w:rsid w:val="009B0D78"/>
    <w:rsid w:val="009B130E"/>
    <w:rsid w:val="009B154C"/>
    <w:rsid w:val="009B16A8"/>
    <w:rsid w:val="009B17A9"/>
    <w:rsid w:val="009B1BB2"/>
    <w:rsid w:val="009B2383"/>
    <w:rsid w:val="009B24BC"/>
    <w:rsid w:val="009B289B"/>
    <w:rsid w:val="009B2A9E"/>
    <w:rsid w:val="009B3005"/>
    <w:rsid w:val="009B32B1"/>
    <w:rsid w:val="009B33FD"/>
    <w:rsid w:val="009B3524"/>
    <w:rsid w:val="009B37D9"/>
    <w:rsid w:val="009B3A1B"/>
    <w:rsid w:val="009B3AF0"/>
    <w:rsid w:val="009B3C7D"/>
    <w:rsid w:val="009B3CF7"/>
    <w:rsid w:val="009B3EC4"/>
    <w:rsid w:val="009B448D"/>
    <w:rsid w:val="009B4664"/>
    <w:rsid w:val="009B481A"/>
    <w:rsid w:val="009B4848"/>
    <w:rsid w:val="009B4CA2"/>
    <w:rsid w:val="009B4F9B"/>
    <w:rsid w:val="009B54EC"/>
    <w:rsid w:val="009B5553"/>
    <w:rsid w:val="009B55F9"/>
    <w:rsid w:val="009B5654"/>
    <w:rsid w:val="009B57C9"/>
    <w:rsid w:val="009B5A8D"/>
    <w:rsid w:val="009B5A99"/>
    <w:rsid w:val="009B5A9F"/>
    <w:rsid w:val="009B5C14"/>
    <w:rsid w:val="009B5E64"/>
    <w:rsid w:val="009B627C"/>
    <w:rsid w:val="009B647B"/>
    <w:rsid w:val="009B650D"/>
    <w:rsid w:val="009B6634"/>
    <w:rsid w:val="009B67B4"/>
    <w:rsid w:val="009B67D1"/>
    <w:rsid w:val="009B6B19"/>
    <w:rsid w:val="009B6C6D"/>
    <w:rsid w:val="009B6D84"/>
    <w:rsid w:val="009B6F1C"/>
    <w:rsid w:val="009B709F"/>
    <w:rsid w:val="009C0521"/>
    <w:rsid w:val="009C0BE8"/>
    <w:rsid w:val="009C0F94"/>
    <w:rsid w:val="009C1044"/>
    <w:rsid w:val="009C116C"/>
    <w:rsid w:val="009C164D"/>
    <w:rsid w:val="009C16FD"/>
    <w:rsid w:val="009C177D"/>
    <w:rsid w:val="009C19F0"/>
    <w:rsid w:val="009C1D38"/>
    <w:rsid w:val="009C1FA1"/>
    <w:rsid w:val="009C2110"/>
    <w:rsid w:val="009C2351"/>
    <w:rsid w:val="009C245A"/>
    <w:rsid w:val="009C284C"/>
    <w:rsid w:val="009C2959"/>
    <w:rsid w:val="009C2B19"/>
    <w:rsid w:val="009C2BBF"/>
    <w:rsid w:val="009C2F67"/>
    <w:rsid w:val="009C31A1"/>
    <w:rsid w:val="009C31B9"/>
    <w:rsid w:val="009C35C3"/>
    <w:rsid w:val="009C35FF"/>
    <w:rsid w:val="009C3A4F"/>
    <w:rsid w:val="009C3C76"/>
    <w:rsid w:val="009C3FAF"/>
    <w:rsid w:val="009C439F"/>
    <w:rsid w:val="009C4403"/>
    <w:rsid w:val="009C44AE"/>
    <w:rsid w:val="009C4C49"/>
    <w:rsid w:val="009C4E08"/>
    <w:rsid w:val="009C4F7C"/>
    <w:rsid w:val="009C50A2"/>
    <w:rsid w:val="009C548B"/>
    <w:rsid w:val="009C580D"/>
    <w:rsid w:val="009C592B"/>
    <w:rsid w:val="009C5CED"/>
    <w:rsid w:val="009C5D7D"/>
    <w:rsid w:val="009C61E2"/>
    <w:rsid w:val="009C6257"/>
    <w:rsid w:val="009C6441"/>
    <w:rsid w:val="009C650B"/>
    <w:rsid w:val="009C67EB"/>
    <w:rsid w:val="009C71F0"/>
    <w:rsid w:val="009C7295"/>
    <w:rsid w:val="009C744E"/>
    <w:rsid w:val="009C779A"/>
    <w:rsid w:val="009C7B81"/>
    <w:rsid w:val="009C7EB3"/>
    <w:rsid w:val="009C7F4D"/>
    <w:rsid w:val="009D0068"/>
    <w:rsid w:val="009D0921"/>
    <w:rsid w:val="009D0CA8"/>
    <w:rsid w:val="009D0FF6"/>
    <w:rsid w:val="009D1145"/>
    <w:rsid w:val="009D11B0"/>
    <w:rsid w:val="009D195F"/>
    <w:rsid w:val="009D1998"/>
    <w:rsid w:val="009D1DCE"/>
    <w:rsid w:val="009D1EC2"/>
    <w:rsid w:val="009D2000"/>
    <w:rsid w:val="009D21B6"/>
    <w:rsid w:val="009D2406"/>
    <w:rsid w:val="009D2474"/>
    <w:rsid w:val="009D2475"/>
    <w:rsid w:val="009D27C9"/>
    <w:rsid w:val="009D2AB7"/>
    <w:rsid w:val="009D2E7A"/>
    <w:rsid w:val="009D2E87"/>
    <w:rsid w:val="009D3291"/>
    <w:rsid w:val="009D3516"/>
    <w:rsid w:val="009D383B"/>
    <w:rsid w:val="009D3A61"/>
    <w:rsid w:val="009D3F42"/>
    <w:rsid w:val="009D4479"/>
    <w:rsid w:val="009D44A0"/>
    <w:rsid w:val="009D456C"/>
    <w:rsid w:val="009D4592"/>
    <w:rsid w:val="009D46DB"/>
    <w:rsid w:val="009D46F4"/>
    <w:rsid w:val="009D4CB6"/>
    <w:rsid w:val="009D4CED"/>
    <w:rsid w:val="009D4D07"/>
    <w:rsid w:val="009D52D6"/>
    <w:rsid w:val="009D5428"/>
    <w:rsid w:val="009D54EC"/>
    <w:rsid w:val="009D5776"/>
    <w:rsid w:val="009D5A7A"/>
    <w:rsid w:val="009D5B26"/>
    <w:rsid w:val="009D5FAE"/>
    <w:rsid w:val="009D5FCB"/>
    <w:rsid w:val="009D5FD2"/>
    <w:rsid w:val="009D6439"/>
    <w:rsid w:val="009D66CD"/>
    <w:rsid w:val="009D6913"/>
    <w:rsid w:val="009D69E7"/>
    <w:rsid w:val="009D6A9F"/>
    <w:rsid w:val="009D6B1B"/>
    <w:rsid w:val="009D6B25"/>
    <w:rsid w:val="009D6EDF"/>
    <w:rsid w:val="009D6F09"/>
    <w:rsid w:val="009D7121"/>
    <w:rsid w:val="009D7581"/>
    <w:rsid w:val="009D776F"/>
    <w:rsid w:val="009D793C"/>
    <w:rsid w:val="009D794E"/>
    <w:rsid w:val="009E0477"/>
    <w:rsid w:val="009E0620"/>
    <w:rsid w:val="009E0936"/>
    <w:rsid w:val="009E0D37"/>
    <w:rsid w:val="009E104D"/>
    <w:rsid w:val="009E1147"/>
    <w:rsid w:val="009E1657"/>
    <w:rsid w:val="009E19A6"/>
    <w:rsid w:val="009E1D9C"/>
    <w:rsid w:val="009E1E10"/>
    <w:rsid w:val="009E22B1"/>
    <w:rsid w:val="009E22CF"/>
    <w:rsid w:val="009E2390"/>
    <w:rsid w:val="009E27A3"/>
    <w:rsid w:val="009E2A0E"/>
    <w:rsid w:val="009E2A29"/>
    <w:rsid w:val="009E2E40"/>
    <w:rsid w:val="009E32B8"/>
    <w:rsid w:val="009E3357"/>
    <w:rsid w:val="009E3BF8"/>
    <w:rsid w:val="009E4137"/>
    <w:rsid w:val="009E416D"/>
    <w:rsid w:val="009E4F0E"/>
    <w:rsid w:val="009E5343"/>
    <w:rsid w:val="009E5429"/>
    <w:rsid w:val="009E5D6A"/>
    <w:rsid w:val="009E5E2B"/>
    <w:rsid w:val="009E5FFE"/>
    <w:rsid w:val="009E626E"/>
    <w:rsid w:val="009E62A6"/>
    <w:rsid w:val="009E64CA"/>
    <w:rsid w:val="009E6892"/>
    <w:rsid w:val="009E689A"/>
    <w:rsid w:val="009E6CA4"/>
    <w:rsid w:val="009E6E9E"/>
    <w:rsid w:val="009E7692"/>
    <w:rsid w:val="009E7753"/>
    <w:rsid w:val="009E7858"/>
    <w:rsid w:val="009E7E38"/>
    <w:rsid w:val="009E7EF5"/>
    <w:rsid w:val="009E7F77"/>
    <w:rsid w:val="009F02E7"/>
    <w:rsid w:val="009F0592"/>
    <w:rsid w:val="009F0B45"/>
    <w:rsid w:val="009F0F89"/>
    <w:rsid w:val="009F1294"/>
    <w:rsid w:val="009F13A7"/>
    <w:rsid w:val="009F13ED"/>
    <w:rsid w:val="009F1443"/>
    <w:rsid w:val="009F1501"/>
    <w:rsid w:val="009F1556"/>
    <w:rsid w:val="009F1800"/>
    <w:rsid w:val="009F1804"/>
    <w:rsid w:val="009F1A9F"/>
    <w:rsid w:val="009F1C05"/>
    <w:rsid w:val="009F1C5D"/>
    <w:rsid w:val="009F1ECB"/>
    <w:rsid w:val="009F20C6"/>
    <w:rsid w:val="009F212B"/>
    <w:rsid w:val="009F2314"/>
    <w:rsid w:val="009F2359"/>
    <w:rsid w:val="009F2395"/>
    <w:rsid w:val="009F2DBE"/>
    <w:rsid w:val="009F2F2F"/>
    <w:rsid w:val="009F3329"/>
    <w:rsid w:val="009F3481"/>
    <w:rsid w:val="009F38A1"/>
    <w:rsid w:val="009F39E4"/>
    <w:rsid w:val="009F401C"/>
    <w:rsid w:val="009F4229"/>
    <w:rsid w:val="009F44C3"/>
    <w:rsid w:val="009F4665"/>
    <w:rsid w:val="009F471B"/>
    <w:rsid w:val="009F4879"/>
    <w:rsid w:val="009F4A2B"/>
    <w:rsid w:val="009F4A46"/>
    <w:rsid w:val="009F4A74"/>
    <w:rsid w:val="009F4A96"/>
    <w:rsid w:val="009F4C80"/>
    <w:rsid w:val="009F52BE"/>
    <w:rsid w:val="009F5A69"/>
    <w:rsid w:val="009F5AD4"/>
    <w:rsid w:val="009F5E5D"/>
    <w:rsid w:val="009F5F03"/>
    <w:rsid w:val="009F5F0F"/>
    <w:rsid w:val="009F5FBD"/>
    <w:rsid w:val="009F603D"/>
    <w:rsid w:val="009F643A"/>
    <w:rsid w:val="009F6593"/>
    <w:rsid w:val="009F65B8"/>
    <w:rsid w:val="009F67CF"/>
    <w:rsid w:val="009F67F2"/>
    <w:rsid w:val="009F6C5C"/>
    <w:rsid w:val="009F6E26"/>
    <w:rsid w:val="009F6EF1"/>
    <w:rsid w:val="009F7145"/>
    <w:rsid w:val="009F719C"/>
    <w:rsid w:val="009F72E2"/>
    <w:rsid w:val="009F75CA"/>
    <w:rsid w:val="009F7B09"/>
    <w:rsid w:val="009F7C25"/>
    <w:rsid w:val="00A00101"/>
    <w:rsid w:val="00A001C4"/>
    <w:rsid w:val="00A00377"/>
    <w:rsid w:val="00A0063B"/>
    <w:rsid w:val="00A00806"/>
    <w:rsid w:val="00A00855"/>
    <w:rsid w:val="00A008CE"/>
    <w:rsid w:val="00A00C69"/>
    <w:rsid w:val="00A00F06"/>
    <w:rsid w:val="00A00FCB"/>
    <w:rsid w:val="00A011D8"/>
    <w:rsid w:val="00A01363"/>
    <w:rsid w:val="00A01533"/>
    <w:rsid w:val="00A015B9"/>
    <w:rsid w:val="00A017BE"/>
    <w:rsid w:val="00A01AE1"/>
    <w:rsid w:val="00A01BBA"/>
    <w:rsid w:val="00A01C15"/>
    <w:rsid w:val="00A020F2"/>
    <w:rsid w:val="00A02274"/>
    <w:rsid w:val="00A0261D"/>
    <w:rsid w:val="00A02703"/>
    <w:rsid w:val="00A02751"/>
    <w:rsid w:val="00A02DA8"/>
    <w:rsid w:val="00A03327"/>
    <w:rsid w:val="00A03388"/>
    <w:rsid w:val="00A033E5"/>
    <w:rsid w:val="00A03487"/>
    <w:rsid w:val="00A0353F"/>
    <w:rsid w:val="00A03592"/>
    <w:rsid w:val="00A03B71"/>
    <w:rsid w:val="00A03C44"/>
    <w:rsid w:val="00A042D5"/>
    <w:rsid w:val="00A04738"/>
    <w:rsid w:val="00A04903"/>
    <w:rsid w:val="00A0497C"/>
    <w:rsid w:val="00A04C08"/>
    <w:rsid w:val="00A0590B"/>
    <w:rsid w:val="00A059C3"/>
    <w:rsid w:val="00A05B8F"/>
    <w:rsid w:val="00A05FAE"/>
    <w:rsid w:val="00A06076"/>
    <w:rsid w:val="00A0706D"/>
    <w:rsid w:val="00A0726E"/>
    <w:rsid w:val="00A07C32"/>
    <w:rsid w:val="00A07F98"/>
    <w:rsid w:val="00A1001A"/>
    <w:rsid w:val="00A1017A"/>
    <w:rsid w:val="00A1039F"/>
    <w:rsid w:val="00A10458"/>
    <w:rsid w:val="00A1064C"/>
    <w:rsid w:val="00A1083A"/>
    <w:rsid w:val="00A11113"/>
    <w:rsid w:val="00A114E0"/>
    <w:rsid w:val="00A11628"/>
    <w:rsid w:val="00A11B24"/>
    <w:rsid w:val="00A1222B"/>
    <w:rsid w:val="00A123C6"/>
    <w:rsid w:val="00A12978"/>
    <w:rsid w:val="00A12C91"/>
    <w:rsid w:val="00A12E66"/>
    <w:rsid w:val="00A132A6"/>
    <w:rsid w:val="00A13451"/>
    <w:rsid w:val="00A13668"/>
    <w:rsid w:val="00A13D81"/>
    <w:rsid w:val="00A142A2"/>
    <w:rsid w:val="00A145C9"/>
    <w:rsid w:val="00A14B3B"/>
    <w:rsid w:val="00A14D4B"/>
    <w:rsid w:val="00A14F95"/>
    <w:rsid w:val="00A152B6"/>
    <w:rsid w:val="00A1536F"/>
    <w:rsid w:val="00A15DAE"/>
    <w:rsid w:val="00A15ED1"/>
    <w:rsid w:val="00A16171"/>
    <w:rsid w:val="00A1652D"/>
    <w:rsid w:val="00A16645"/>
    <w:rsid w:val="00A16BDF"/>
    <w:rsid w:val="00A16BFF"/>
    <w:rsid w:val="00A16F4C"/>
    <w:rsid w:val="00A174A4"/>
    <w:rsid w:val="00A17BE4"/>
    <w:rsid w:val="00A17D31"/>
    <w:rsid w:val="00A17EF6"/>
    <w:rsid w:val="00A17FF1"/>
    <w:rsid w:val="00A2019F"/>
    <w:rsid w:val="00A201FD"/>
    <w:rsid w:val="00A2040C"/>
    <w:rsid w:val="00A205B5"/>
    <w:rsid w:val="00A2105D"/>
    <w:rsid w:val="00A211EE"/>
    <w:rsid w:val="00A21254"/>
    <w:rsid w:val="00A215BB"/>
    <w:rsid w:val="00A2180F"/>
    <w:rsid w:val="00A219A1"/>
    <w:rsid w:val="00A21EC9"/>
    <w:rsid w:val="00A21EEA"/>
    <w:rsid w:val="00A2266C"/>
    <w:rsid w:val="00A2285E"/>
    <w:rsid w:val="00A2287F"/>
    <w:rsid w:val="00A22C94"/>
    <w:rsid w:val="00A22E8A"/>
    <w:rsid w:val="00A23141"/>
    <w:rsid w:val="00A23165"/>
    <w:rsid w:val="00A23435"/>
    <w:rsid w:val="00A23800"/>
    <w:rsid w:val="00A23A0B"/>
    <w:rsid w:val="00A23A6A"/>
    <w:rsid w:val="00A23CDF"/>
    <w:rsid w:val="00A23D64"/>
    <w:rsid w:val="00A23E70"/>
    <w:rsid w:val="00A24338"/>
    <w:rsid w:val="00A243DD"/>
    <w:rsid w:val="00A24499"/>
    <w:rsid w:val="00A24654"/>
    <w:rsid w:val="00A24965"/>
    <w:rsid w:val="00A24C42"/>
    <w:rsid w:val="00A24C80"/>
    <w:rsid w:val="00A24CDD"/>
    <w:rsid w:val="00A250A1"/>
    <w:rsid w:val="00A25573"/>
    <w:rsid w:val="00A25D69"/>
    <w:rsid w:val="00A25F86"/>
    <w:rsid w:val="00A268D4"/>
    <w:rsid w:val="00A269F1"/>
    <w:rsid w:val="00A26F41"/>
    <w:rsid w:val="00A27006"/>
    <w:rsid w:val="00A2718B"/>
    <w:rsid w:val="00A2734C"/>
    <w:rsid w:val="00A27381"/>
    <w:rsid w:val="00A27386"/>
    <w:rsid w:val="00A27742"/>
    <w:rsid w:val="00A27744"/>
    <w:rsid w:val="00A2791B"/>
    <w:rsid w:val="00A27AAB"/>
    <w:rsid w:val="00A27AD9"/>
    <w:rsid w:val="00A27BCA"/>
    <w:rsid w:val="00A27EB5"/>
    <w:rsid w:val="00A27EBD"/>
    <w:rsid w:val="00A27F41"/>
    <w:rsid w:val="00A30223"/>
    <w:rsid w:val="00A3051E"/>
    <w:rsid w:val="00A30D2C"/>
    <w:rsid w:val="00A31188"/>
    <w:rsid w:val="00A311E6"/>
    <w:rsid w:val="00A3158B"/>
    <w:rsid w:val="00A3167E"/>
    <w:rsid w:val="00A319F6"/>
    <w:rsid w:val="00A31B6B"/>
    <w:rsid w:val="00A31DF5"/>
    <w:rsid w:val="00A31FC9"/>
    <w:rsid w:val="00A320DA"/>
    <w:rsid w:val="00A323CF"/>
    <w:rsid w:val="00A32712"/>
    <w:rsid w:val="00A32B78"/>
    <w:rsid w:val="00A32D79"/>
    <w:rsid w:val="00A32DCE"/>
    <w:rsid w:val="00A32E67"/>
    <w:rsid w:val="00A33057"/>
    <w:rsid w:val="00A3312E"/>
    <w:rsid w:val="00A331A9"/>
    <w:rsid w:val="00A334A5"/>
    <w:rsid w:val="00A336D2"/>
    <w:rsid w:val="00A33740"/>
    <w:rsid w:val="00A339DD"/>
    <w:rsid w:val="00A34429"/>
    <w:rsid w:val="00A34646"/>
    <w:rsid w:val="00A34AA5"/>
    <w:rsid w:val="00A34BBF"/>
    <w:rsid w:val="00A34F6A"/>
    <w:rsid w:val="00A35456"/>
    <w:rsid w:val="00A355F1"/>
    <w:rsid w:val="00A35870"/>
    <w:rsid w:val="00A35E15"/>
    <w:rsid w:val="00A35E29"/>
    <w:rsid w:val="00A362A9"/>
    <w:rsid w:val="00A36352"/>
    <w:rsid w:val="00A3646E"/>
    <w:rsid w:val="00A364DF"/>
    <w:rsid w:val="00A36948"/>
    <w:rsid w:val="00A369EA"/>
    <w:rsid w:val="00A36AFE"/>
    <w:rsid w:val="00A36BBC"/>
    <w:rsid w:val="00A37244"/>
    <w:rsid w:val="00A373EE"/>
    <w:rsid w:val="00A37541"/>
    <w:rsid w:val="00A37683"/>
    <w:rsid w:val="00A3768D"/>
    <w:rsid w:val="00A37802"/>
    <w:rsid w:val="00A37BE9"/>
    <w:rsid w:val="00A37E11"/>
    <w:rsid w:val="00A407CF"/>
    <w:rsid w:val="00A40DEC"/>
    <w:rsid w:val="00A40F68"/>
    <w:rsid w:val="00A4120A"/>
    <w:rsid w:val="00A41685"/>
    <w:rsid w:val="00A41738"/>
    <w:rsid w:val="00A4180F"/>
    <w:rsid w:val="00A41A9C"/>
    <w:rsid w:val="00A41CA0"/>
    <w:rsid w:val="00A41F0E"/>
    <w:rsid w:val="00A41F70"/>
    <w:rsid w:val="00A41F84"/>
    <w:rsid w:val="00A42069"/>
    <w:rsid w:val="00A421CC"/>
    <w:rsid w:val="00A421F6"/>
    <w:rsid w:val="00A42249"/>
    <w:rsid w:val="00A424A7"/>
    <w:rsid w:val="00A42535"/>
    <w:rsid w:val="00A42C3E"/>
    <w:rsid w:val="00A42C95"/>
    <w:rsid w:val="00A42CDD"/>
    <w:rsid w:val="00A42D54"/>
    <w:rsid w:val="00A4330C"/>
    <w:rsid w:val="00A4337D"/>
    <w:rsid w:val="00A43418"/>
    <w:rsid w:val="00A435FD"/>
    <w:rsid w:val="00A43B95"/>
    <w:rsid w:val="00A44099"/>
    <w:rsid w:val="00A445BB"/>
    <w:rsid w:val="00A4464B"/>
    <w:rsid w:val="00A44B10"/>
    <w:rsid w:val="00A44BF5"/>
    <w:rsid w:val="00A44CFD"/>
    <w:rsid w:val="00A44D62"/>
    <w:rsid w:val="00A44F96"/>
    <w:rsid w:val="00A44FDD"/>
    <w:rsid w:val="00A45412"/>
    <w:rsid w:val="00A456B7"/>
    <w:rsid w:val="00A45B8E"/>
    <w:rsid w:val="00A45CB9"/>
    <w:rsid w:val="00A45EF9"/>
    <w:rsid w:val="00A466C7"/>
    <w:rsid w:val="00A4681C"/>
    <w:rsid w:val="00A46A28"/>
    <w:rsid w:val="00A472A3"/>
    <w:rsid w:val="00A47357"/>
    <w:rsid w:val="00A4755B"/>
    <w:rsid w:val="00A477C5"/>
    <w:rsid w:val="00A47BA0"/>
    <w:rsid w:val="00A47EE3"/>
    <w:rsid w:val="00A50182"/>
    <w:rsid w:val="00A50496"/>
    <w:rsid w:val="00A505AB"/>
    <w:rsid w:val="00A508A4"/>
    <w:rsid w:val="00A50AC1"/>
    <w:rsid w:val="00A511D2"/>
    <w:rsid w:val="00A511E7"/>
    <w:rsid w:val="00A515B9"/>
    <w:rsid w:val="00A51BA3"/>
    <w:rsid w:val="00A51DB6"/>
    <w:rsid w:val="00A52748"/>
    <w:rsid w:val="00A52AE7"/>
    <w:rsid w:val="00A52C16"/>
    <w:rsid w:val="00A52C27"/>
    <w:rsid w:val="00A52C70"/>
    <w:rsid w:val="00A52CDB"/>
    <w:rsid w:val="00A52E86"/>
    <w:rsid w:val="00A52F3C"/>
    <w:rsid w:val="00A5301E"/>
    <w:rsid w:val="00A531CF"/>
    <w:rsid w:val="00A53267"/>
    <w:rsid w:val="00A532E1"/>
    <w:rsid w:val="00A5333E"/>
    <w:rsid w:val="00A5347E"/>
    <w:rsid w:val="00A53734"/>
    <w:rsid w:val="00A53CD6"/>
    <w:rsid w:val="00A54031"/>
    <w:rsid w:val="00A5415E"/>
    <w:rsid w:val="00A541C8"/>
    <w:rsid w:val="00A543DF"/>
    <w:rsid w:val="00A5455D"/>
    <w:rsid w:val="00A5483F"/>
    <w:rsid w:val="00A55058"/>
    <w:rsid w:val="00A55287"/>
    <w:rsid w:val="00A556A7"/>
    <w:rsid w:val="00A55998"/>
    <w:rsid w:val="00A5623B"/>
    <w:rsid w:val="00A5657B"/>
    <w:rsid w:val="00A568DC"/>
    <w:rsid w:val="00A568FC"/>
    <w:rsid w:val="00A56F0F"/>
    <w:rsid w:val="00A571BD"/>
    <w:rsid w:val="00A57303"/>
    <w:rsid w:val="00A57C28"/>
    <w:rsid w:val="00A57C30"/>
    <w:rsid w:val="00A604E3"/>
    <w:rsid w:val="00A60612"/>
    <w:rsid w:val="00A606EE"/>
    <w:rsid w:val="00A607F9"/>
    <w:rsid w:val="00A608C3"/>
    <w:rsid w:val="00A60C55"/>
    <w:rsid w:val="00A618B7"/>
    <w:rsid w:val="00A61FCD"/>
    <w:rsid w:val="00A62234"/>
    <w:rsid w:val="00A62592"/>
    <w:rsid w:val="00A62655"/>
    <w:rsid w:val="00A628BA"/>
    <w:rsid w:val="00A62A50"/>
    <w:rsid w:val="00A62A7D"/>
    <w:rsid w:val="00A62B60"/>
    <w:rsid w:val="00A62DA8"/>
    <w:rsid w:val="00A62EC5"/>
    <w:rsid w:val="00A638E7"/>
    <w:rsid w:val="00A639E8"/>
    <w:rsid w:val="00A63A2A"/>
    <w:rsid w:val="00A63C80"/>
    <w:rsid w:val="00A63D0D"/>
    <w:rsid w:val="00A63FAB"/>
    <w:rsid w:val="00A64219"/>
    <w:rsid w:val="00A642EA"/>
    <w:rsid w:val="00A64610"/>
    <w:rsid w:val="00A646C7"/>
    <w:rsid w:val="00A64703"/>
    <w:rsid w:val="00A6490D"/>
    <w:rsid w:val="00A6497C"/>
    <w:rsid w:val="00A64C07"/>
    <w:rsid w:val="00A64C9A"/>
    <w:rsid w:val="00A64D4A"/>
    <w:rsid w:val="00A6515C"/>
    <w:rsid w:val="00A651D6"/>
    <w:rsid w:val="00A65424"/>
    <w:rsid w:val="00A6548E"/>
    <w:rsid w:val="00A65513"/>
    <w:rsid w:val="00A65834"/>
    <w:rsid w:val="00A66238"/>
    <w:rsid w:val="00A66268"/>
    <w:rsid w:val="00A66756"/>
    <w:rsid w:val="00A66980"/>
    <w:rsid w:val="00A66B63"/>
    <w:rsid w:val="00A66DE2"/>
    <w:rsid w:val="00A66F09"/>
    <w:rsid w:val="00A66F34"/>
    <w:rsid w:val="00A671B3"/>
    <w:rsid w:val="00A678D7"/>
    <w:rsid w:val="00A679F4"/>
    <w:rsid w:val="00A679FD"/>
    <w:rsid w:val="00A67EAD"/>
    <w:rsid w:val="00A701F3"/>
    <w:rsid w:val="00A7047D"/>
    <w:rsid w:val="00A70A52"/>
    <w:rsid w:val="00A70CA5"/>
    <w:rsid w:val="00A710FE"/>
    <w:rsid w:val="00A71122"/>
    <w:rsid w:val="00A71172"/>
    <w:rsid w:val="00A71535"/>
    <w:rsid w:val="00A715B9"/>
    <w:rsid w:val="00A715F6"/>
    <w:rsid w:val="00A71A2A"/>
    <w:rsid w:val="00A71B97"/>
    <w:rsid w:val="00A7245F"/>
    <w:rsid w:val="00A72522"/>
    <w:rsid w:val="00A72C4C"/>
    <w:rsid w:val="00A733F9"/>
    <w:rsid w:val="00A73504"/>
    <w:rsid w:val="00A73578"/>
    <w:rsid w:val="00A73858"/>
    <w:rsid w:val="00A73D86"/>
    <w:rsid w:val="00A73E88"/>
    <w:rsid w:val="00A744B7"/>
    <w:rsid w:val="00A74B47"/>
    <w:rsid w:val="00A750CD"/>
    <w:rsid w:val="00A75144"/>
    <w:rsid w:val="00A751A0"/>
    <w:rsid w:val="00A7560E"/>
    <w:rsid w:val="00A75696"/>
    <w:rsid w:val="00A759FA"/>
    <w:rsid w:val="00A7601B"/>
    <w:rsid w:val="00A76107"/>
    <w:rsid w:val="00A7610D"/>
    <w:rsid w:val="00A764A8"/>
    <w:rsid w:val="00A765D6"/>
    <w:rsid w:val="00A769E4"/>
    <w:rsid w:val="00A76BFE"/>
    <w:rsid w:val="00A76CB7"/>
    <w:rsid w:val="00A76D47"/>
    <w:rsid w:val="00A76D5E"/>
    <w:rsid w:val="00A76EF9"/>
    <w:rsid w:val="00A76F21"/>
    <w:rsid w:val="00A771B8"/>
    <w:rsid w:val="00A772E4"/>
    <w:rsid w:val="00A7734F"/>
    <w:rsid w:val="00A773BD"/>
    <w:rsid w:val="00A77E39"/>
    <w:rsid w:val="00A80303"/>
    <w:rsid w:val="00A805CE"/>
    <w:rsid w:val="00A80620"/>
    <w:rsid w:val="00A8074F"/>
    <w:rsid w:val="00A812B4"/>
    <w:rsid w:val="00A817BE"/>
    <w:rsid w:val="00A817DC"/>
    <w:rsid w:val="00A81A25"/>
    <w:rsid w:val="00A81CA7"/>
    <w:rsid w:val="00A82103"/>
    <w:rsid w:val="00A82210"/>
    <w:rsid w:val="00A8226D"/>
    <w:rsid w:val="00A82590"/>
    <w:rsid w:val="00A8268F"/>
    <w:rsid w:val="00A82B6F"/>
    <w:rsid w:val="00A82D93"/>
    <w:rsid w:val="00A83180"/>
    <w:rsid w:val="00A835DE"/>
    <w:rsid w:val="00A83675"/>
    <w:rsid w:val="00A83C99"/>
    <w:rsid w:val="00A83FA9"/>
    <w:rsid w:val="00A840E4"/>
    <w:rsid w:val="00A84594"/>
    <w:rsid w:val="00A84663"/>
    <w:rsid w:val="00A849D3"/>
    <w:rsid w:val="00A84AB1"/>
    <w:rsid w:val="00A853F9"/>
    <w:rsid w:val="00A85481"/>
    <w:rsid w:val="00A85582"/>
    <w:rsid w:val="00A855A0"/>
    <w:rsid w:val="00A85724"/>
    <w:rsid w:val="00A859C9"/>
    <w:rsid w:val="00A85A37"/>
    <w:rsid w:val="00A85AC3"/>
    <w:rsid w:val="00A85B29"/>
    <w:rsid w:val="00A85C81"/>
    <w:rsid w:val="00A8638D"/>
    <w:rsid w:val="00A866BE"/>
    <w:rsid w:val="00A868AF"/>
    <w:rsid w:val="00A86BE8"/>
    <w:rsid w:val="00A86C45"/>
    <w:rsid w:val="00A87014"/>
    <w:rsid w:val="00A8729D"/>
    <w:rsid w:val="00A874F1"/>
    <w:rsid w:val="00A87B6D"/>
    <w:rsid w:val="00A901B1"/>
    <w:rsid w:val="00A9072A"/>
    <w:rsid w:val="00A909D4"/>
    <w:rsid w:val="00A909EB"/>
    <w:rsid w:val="00A90B6E"/>
    <w:rsid w:val="00A90D52"/>
    <w:rsid w:val="00A90D6C"/>
    <w:rsid w:val="00A90F49"/>
    <w:rsid w:val="00A915DE"/>
    <w:rsid w:val="00A9192A"/>
    <w:rsid w:val="00A9199A"/>
    <w:rsid w:val="00A91BD0"/>
    <w:rsid w:val="00A92021"/>
    <w:rsid w:val="00A922D2"/>
    <w:rsid w:val="00A92375"/>
    <w:rsid w:val="00A92E81"/>
    <w:rsid w:val="00A9315A"/>
    <w:rsid w:val="00A932C1"/>
    <w:rsid w:val="00A932D7"/>
    <w:rsid w:val="00A938D1"/>
    <w:rsid w:val="00A939F9"/>
    <w:rsid w:val="00A93A76"/>
    <w:rsid w:val="00A93CC2"/>
    <w:rsid w:val="00A93CD3"/>
    <w:rsid w:val="00A93EAC"/>
    <w:rsid w:val="00A9409C"/>
    <w:rsid w:val="00A944E9"/>
    <w:rsid w:val="00A949C1"/>
    <w:rsid w:val="00A95119"/>
    <w:rsid w:val="00A95549"/>
    <w:rsid w:val="00A95B33"/>
    <w:rsid w:val="00A95DD0"/>
    <w:rsid w:val="00A9631E"/>
    <w:rsid w:val="00A96640"/>
    <w:rsid w:val="00A967FF"/>
    <w:rsid w:val="00A9690E"/>
    <w:rsid w:val="00A96B96"/>
    <w:rsid w:val="00A96E4B"/>
    <w:rsid w:val="00A977BC"/>
    <w:rsid w:val="00A977E4"/>
    <w:rsid w:val="00A97C70"/>
    <w:rsid w:val="00A97DCF"/>
    <w:rsid w:val="00AA015D"/>
    <w:rsid w:val="00AA0618"/>
    <w:rsid w:val="00AA06A0"/>
    <w:rsid w:val="00AA0839"/>
    <w:rsid w:val="00AA1566"/>
    <w:rsid w:val="00AA16BA"/>
    <w:rsid w:val="00AA19D5"/>
    <w:rsid w:val="00AA1ED1"/>
    <w:rsid w:val="00AA2250"/>
    <w:rsid w:val="00AA2305"/>
    <w:rsid w:val="00AA25CC"/>
    <w:rsid w:val="00AA26C0"/>
    <w:rsid w:val="00AA26EE"/>
    <w:rsid w:val="00AA27B8"/>
    <w:rsid w:val="00AA281E"/>
    <w:rsid w:val="00AA2F31"/>
    <w:rsid w:val="00AA3459"/>
    <w:rsid w:val="00AA384F"/>
    <w:rsid w:val="00AA3A5D"/>
    <w:rsid w:val="00AA4949"/>
    <w:rsid w:val="00AA5114"/>
    <w:rsid w:val="00AA5227"/>
    <w:rsid w:val="00AA573C"/>
    <w:rsid w:val="00AA60BF"/>
    <w:rsid w:val="00AA6328"/>
    <w:rsid w:val="00AA667D"/>
    <w:rsid w:val="00AA675E"/>
    <w:rsid w:val="00AA6877"/>
    <w:rsid w:val="00AA6978"/>
    <w:rsid w:val="00AA6E59"/>
    <w:rsid w:val="00AA7031"/>
    <w:rsid w:val="00AA7451"/>
    <w:rsid w:val="00AA76E9"/>
    <w:rsid w:val="00AA7C97"/>
    <w:rsid w:val="00AA7CF7"/>
    <w:rsid w:val="00AB029B"/>
    <w:rsid w:val="00AB04F7"/>
    <w:rsid w:val="00AB0507"/>
    <w:rsid w:val="00AB0792"/>
    <w:rsid w:val="00AB07F0"/>
    <w:rsid w:val="00AB08E4"/>
    <w:rsid w:val="00AB0A66"/>
    <w:rsid w:val="00AB0AFC"/>
    <w:rsid w:val="00AB0B45"/>
    <w:rsid w:val="00AB0BBB"/>
    <w:rsid w:val="00AB0F94"/>
    <w:rsid w:val="00AB12AB"/>
    <w:rsid w:val="00AB14A3"/>
    <w:rsid w:val="00AB21BF"/>
    <w:rsid w:val="00AB2392"/>
    <w:rsid w:val="00AB275A"/>
    <w:rsid w:val="00AB2B7E"/>
    <w:rsid w:val="00AB2E8A"/>
    <w:rsid w:val="00AB2FDF"/>
    <w:rsid w:val="00AB3320"/>
    <w:rsid w:val="00AB332A"/>
    <w:rsid w:val="00AB354D"/>
    <w:rsid w:val="00AB40B7"/>
    <w:rsid w:val="00AB49FB"/>
    <w:rsid w:val="00AB4B21"/>
    <w:rsid w:val="00AB4CDA"/>
    <w:rsid w:val="00AB4D35"/>
    <w:rsid w:val="00AB527C"/>
    <w:rsid w:val="00AB5293"/>
    <w:rsid w:val="00AB56BF"/>
    <w:rsid w:val="00AB5A77"/>
    <w:rsid w:val="00AB5B36"/>
    <w:rsid w:val="00AB5B8D"/>
    <w:rsid w:val="00AB5D23"/>
    <w:rsid w:val="00AB5D6D"/>
    <w:rsid w:val="00AB5DE0"/>
    <w:rsid w:val="00AB5EC0"/>
    <w:rsid w:val="00AB5ED1"/>
    <w:rsid w:val="00AB5F0D"/>
    <w:rsid w:val="00AB603F"/>
    <w:rsid w:val="00AB6094"/>
    <w:rsid w:val="00AB65AA"/>
    <w:rsid w:val="00AB65D7"/>
    <w:rsid w:val="00AB679B"/>
    <w:rsid w:val="00AB6BDA"/>
    <w:rsid w:val="00AB7115"/>
    <w:rsid w:val="00AB7780"/>
    <w:rsid w:val="00AB784E"/>
    <w:rsid w:val="00AB78D2"/>
    <w:rsid w:val="00AB78E7"/>
    <w:rsid w:val="00AB7B2D"/>
    <w:rsid w:val="00AB7FB5"/>
    <w:rsid w:val="00AC0043"/>
    <w:rsid w:val="00AC019E"/>
    <w:rsid w:val="00AC0307"/>
    <w:rsid w:val="00AC0418"/>
    <w:rsid w:val="00AC0519"/>
    <w:rsid w:val="00AC08B5"/>
    <w:rsid w:val="00AC0910"/>
    <w:rsid w:val="00AC10A2"/>
    <w:rsid w:val="00AC113D"/>
    <w:rsid w:val="00AC1254"/>
    <w:rsid w:val="00AC138D"/>
    <w:rsid w:val="00AC1516"/>
    <w:rsid w:val="00AC1680"/>
    <w:rsid w:val="00AC1773"/>
    <w:rsid w:val="00AC1847"/>
    <w:rsid w:val="00AC1AFB"/>
    <w:rsid w:val="00AC1E79"/>
    <w:rsid w:val="00AC1EB2"/>
    <w:rsid w:val="00AC27D9"/>
    <w:rsid w:val="00AC2BEB"/>
    <w:rsid w:val="00AC2D40"/>
    <w:rsid w:val="00AC3188"/>
    <w:rsid w:val="00AC3287"/>
    <w:rsid w:val="00AC345C"/>
    <w:rsid w:val="00AC35CC"/>
    <w:rsid w:val="00AC3C15"/>
    <w:rsid w:val="00AC3DBD"/>
    <w:rsid w:val="00AC3F4F"/>
    <w:rsid w:val="00AC409C"/>
    <w:rsid w:val="00AC42AB"/>
    <w:rsid w:val="00AC43D2"/>
    <w:rsid w:val="00AC4615"/>
    <w:rsid w:val="00AC478A"/>
    <w:rsid w:val="00AC50EE"/>
    <w:rsid w:val="00AC53FA"/>
    <w:rsid w:val="00AC5635"/>
    <w:rsid w:val="00AC571E"/>
    <w:rsid w:val="00AC581B"/>
    <w:rsid w:val="00AC5B17"/>
    <w:rsid w:val="00AC5B1F"/>
    <w:rsid w:val="00AC5D18"/>
    <w:rsid w:val="00AC5D1D"/>
    <w:rsid w:val="00AC603B"/>
    <w:rsid w:val="00AC60D4"/>
    <w:rsid w:val="00AC629B"/>
    <w:rsid w:val="00AC6417"/>
    <w:rsid w:val="00AC69CE"/>
    <w:rsid w:val="00AC6BA0"/>
    <w:rsid w:val="00AC6D3C"/>
    <w:rsid w:val="00AC6E5B"/>
    <w:rsid w:val="00AC6FCE"/>
    <w:rsid w:val="00AC715D"/>
    <w:rsid w:val="00AC7194"/>
    <w:rsid w:val="00AC7849"/>
    <w:rsid w:val="00AC7A51"/>
    <w:rsid w:val="00AC7A8B"/>
    <w:rsid w:val="00AC7AFF"/>
    <w:rsid w:val="00AC7CAF"/>
    <w:rsid w:val="00AD000F"/>
    <w:rsid w:val="00AD0444"/>
    <w:rsid w:val="00AD047A"/>
    <w:rsid w:val="00AD08E4"/>
    <w:rsid w:val="00AD091D"/>
    <w:rsid w:val="00AD092F"/>
    <w:rsid w:val="00AD0D68"/>
    <w:rsid w:val="00AD1023"/>
    <w:rsid w:val="00AD11B8"/>
    <w:rsid w:val="00AD1341"/>
    <w:rsid w:val="00AD1789"/>
    <w:rsid w:val="00AD1824"/>
    <w:rsid w:val="00AD2339"/>
    <w:rsid w:val="00AD2539"/>
    <w:rsid w:val="00AD2885"/>
    <w:rsid w:val="00AD3146"/>
    <w:rsid w:val="00AD3309"/>
    <w:rsid w:val="00AD34B4"/>
    <w:rsid w:val="00AD366D"/>
    <w:rsid w:val="00AD3896"/>
    <w:rsid w:val="00AD3C01"/>
    <w:rsid w:val="00AD41F6"/>
    <w:rsid w:val="00AD43AE"/>
    <w:rsid w:val="00AD46F3"/>
    <w:rsid w:val="00AD4AC8"/>
    <w:rsid w:val="00AD4B14"/>
    <w:rsid w:val="00AD4D95"/>
    <w:rsid w:val="00AD4F6D"/>
    <w:rsid w:val="00AD5165"/>
    <w:rsid w:val="00AD5554"/>
    <w:rsid w:val="00AD55CD"/>
    <w:rsid w:val="00AD5779"/>
    <w:rsid w:val="00AD631E"/>
    <w:rsid w:val="00AD642A"/>
    <w:rsid w:val="00AD6615"/>
    <w:rsid w:val="00AD6700"/>
    <w:rsid w:val="00AD689D"/>
    <w:rsid w:val="00AD6EC4"/>
    <w:rsid w:val="00AD714D"/>
    <w:rsid w:val="00AD74AF"/>
    <w:rsid w:val="00AD77E0"/>
    <w:rsid w:val="00AD7A1D"/>
    <w:rsid w:val="00AE0099"/>
    <w:rsid w:val="00AE02BD"/>
    <w:rsid w:val="00AE0313"/>
    <w:rsid w:val="00AE049B"/>
    <w:rsid w:val="00AE04F1"/>
    <w:rsid w:val="00AE05C7"/>
    <w:rsid w:val="00AE090B"/>
    <w:rsid w:val="00AE10CF"/>
    <w:rsid w:val="00AE1364"/>
    <w:rsid w:val="00AE1B63"/>
    <w:rsid w:val="00AE1C91"/>
    <w:rsid w:val="00AE1CEB"/>
    <w:rsid w:val="00AE1EF5"/>
    <w:rsid w:val="00AE22EE"/>
    <w:rsid w:val="00AE25E8"/>
    <w:rsid w:val="00AE2950"/>
    <w:rsid w:val="00AE2E6E"/>
    <w:rsid w:val="00AE2EB6"/>
    <w:rsid w:val="00AE32A8"/>
    <w:rsid w:val="00AE3370"/>
    <w:rsid w:val="00AE3516"/>
    <w:rsid w:val="00AE3715"/>
    <w:rsid w:val="00AE3BB3"/>
    <w:rsid w:val="00AE3E27"/>
    <w:rsid w:val="00AE4010"/>
    <w:rsid w:val="00AE4193"/>
    <w:rsid w:val="00AE43AA"/>
    <w:rsid w:val="00AE4574"/>
    <w:rsid w:val="00AE466A"/>
    <w:rsid w:val="00AE47FC"/>
    <w:rsid w:val="00AE4808"/>
    <w:rsid w:val="00AE49C4"/>
    <w:rsid w:val="00AE5573"/>
    <w:rsid w:val="00AE58B1"/>
    <w:rsid w:val="00AE5984"/>
    <w:rsid w:val="00AE59C7"/>
    <w:rsid w:val="00AE5BC4"/>
    <w:rsid w:val="00AE5C7F"/>
    <w:rsid w:val="00AE5D3C"/>
    <w:rsid w:val="00AE6288"/>
    <w:rsid w:val="00AE6328"/>
    <w:rsid w:val="00AE6950"/>
    <w:rsid w:val="00AE6D6E"/>
    <w:rsid w:val="00AE703C"/>
    <w:rsid w:val="00AE723E"/>
    <w:rsid w:val="00AE7530"/>
    <w:rsid w:val="00AE7603"/>
    <w:rsid w:val="00AE7AF5"/>
    <w:rsid w:val="00AE7F5F"/>
    <w:rsid w:val="00AF0025"/>
    <w:rsid w:val="00AF0254"/>
    <w:rsid w:val="00AF02BA"/>
    <w:rsid w:val="00AF0525"/>
    <w:rsid w:val="00AF0683"/>
    <w:rsid w:val="00AF07E8"/>
    <w:rsid w:val="00AF0C07"/>
    <w:rsid w:val="00AF10D5"/>
    <w:rsid w:val="00AF130B"/>
    <w:rsid w:val="00AF144C"/>
    <w:rsid w:val="00AF1468"/>
    <w:rsid w:val="00AF1599"/>
    <w:rsid w:val="00AF165D"/>
    <w:rsid w:val="00AF1DD1"/>
    <w:rsid w:val="00AF1E23"/>
    <w:rsid w:val="00AF21E3"/>
    <w:rsid w:val="00AF2BBB"/>
    <w:rsid w:val="00AF30B5"/>
    <w:rsid w:val="00AF331C"/>
    <w:rsid w:val="00AF351A"/>
    <w:rsid w:val="00AF38DE"/>
    <w:rsid w:val="00AF392D"/>
    <w:rsid w:val="00AF39DD"/>
    <w:rsid w:val="00AF3B17"/>
    <w:rsid w:val="00AF42F3"/>
    <w:rsid w:val="00AF4541"/>
    <w:rsid w:val="00AF4678"/>
    <w:rsid w:val="00AF487A"/>
    <w:rsid w:val="00AF4A8C"/>
    <w:rsid w:val="00AF4CB7"/>
    <w:rsid w:val="00AF5088"/>
    <w:rsid w:val="00AF5396"/>
    <w:rsid w:val="00AF5A2F"/>
    <w:rsid w:val="00AF5B90"/>
    <w:rsid w:val="00AF5FB1"/>
    <w:rsid w:val="00AF61EF"/>
    <w:rsid w:val="00AF62E8"/>
    <w:rsid w:val="00AF6C57"/>
    <w:rsid w:val="00AF7078"/>
    <w:rsid w:val="00AF70F2"/>
    <w:rsid w:val="00AF7119"/>
    <w:rsid w:val="00AF7233"/>
    <w:rsid w:val="00AF739E"/>
    <w:rsid w:val="00AF7473"/>
    <w:rsid w:val="00AF75EB"/>
    <w:rsid w:val="00AF7640"/>
    <w:rsid w:val="00AF7A2D"/>
    <w:rsid w:val="00AF7D35"/>
    <w:rsid w:val="00AF7E04"/>
    <w:rsid w:val="00AF7FD1"/>
    <w:rsid w:val="00B00130"/>
    <w:rsid w:val="00B0052B"/>
    <w:rsid w:val="00B0057D"/>
    <w:rsid w:val="00B0071E"/>
    <w:rsid w:val="00B00993"/>
    <w:rsid w:val="00B00AC7"/>
    <w:rsid w:val="00B011EF"/>
    <w:rsid w:val="00B013B6"/>
    <w:rsid w:val="00B0156C"/>
    <w:rsid w:val="00B01D5B"/>
    <w:rsid w:val="00B02355"/>
    <w:rsid w:val="00B024EB"/>
    <w:rsid w:val="00B035AC"/>
    <w:rsid w:val="00B03636"/>
    <w:rsid w:val="00B0381D"/>
    <w:rsid w:val="00B03DCE"/>
    <w:rsid w:val="00B03EBD"/>
    <w:rsid w:val="00B0460A"/>
    <w:rsid w:val="00B0498D"/>
    <w:rsid w:val="00B052E5"/>
    <w:rsid w:val="00B0581C"/>
    <w:rsid w:val="00B0584B"/>
    <w:rsid w:val="00B05ADE"/>
    <w:rsid w:val="00B05B9E"/>
    <w:rsid w:val="00B05EF1"/>
    <w:rsid w:val="00B05EFC"/>
    <w:rsid w:val="00B05F48"/>
    <w:rsid w:val="00B05FAB"/>
    <w:rsid w:val="00B06457"/>
    <w:rsid w:val="00B06474"/>
    <w:rsid w:val="00B0676A"/>
    <w:rsid w:val="00B072C4"/>
    <w:rsid w:val="00B073C2"/>
    <w:rsid w:val="00B07591"/>
    <w:rsid w:val="00B07E11"/>
    <w:rsid w:val="00B10224"/>
    <w:rsid w:val="00B103DB"/>
    <w:rsid w:val="00B105C3"/>
    <w:rsid w:val="00B10685"/>
    <w:rsid w:val="00B1095D"/>
    <w:rsid w:val="00B10A62"/>
    <w:rsid w:val="00B10EFC"/>
    <w:rsid w:val="00B1176D"/>
    <w:rsid w:val="00B11853"/>
    <w:rsid w:val="00B11B62"/>
    <w:rsid w:val="00B11BBC"/>
    <w:rsid w:val="00B11F11"/>
    <w:rsid w:val="00B12078"/>
    <w:rsid w:val="00B120F2"/>
    <w:rsid w:val="00B126D1"/>
    <w:rsid w:val="00B129D5"/>
    <w:rsid w:val="00B12E97"/>
    <w:rsid w:val="00B12ECA"/>
    <w:rsid w:val="00B133AD"/>
    <w:rsid w:val="00B137C8"/>
    <w:rsid w:val="00B1440F"/>
    <w:rsid w:val="00B147BC"/>
    <w:rsid w:val="00B147D2"/>
    <w:rsid w:val="00B14F01"/>
    <w:rsid w:val="00B15395"/>
    <w:rsid w:val="00B15515"/>
    <w:rsid w:val="00B15948"/>
    <w:rsid w:val="00B15A88"/>
    <w:rsid w:val="00B15A9E"/>
    <w:rsid w:val="00B1600A"/>
    <w:rsid w:val="00B16159"/>
    <w:rsid w:val="00B16739"/>
    <w:rsid w:val="00B16BF2"/>
    <w:rsid w:val="00B16D9C"/>
    <w:rsid w:val="00B173E1"/>
    <w:rsid w:val="00B174F8"/>
    <w:rsid w:val="00B174FF"/>
    <w:rsid w:val="00B17729"/>
    <w:rsid w:val="00B17A95"/>
    <w:rsid w:val="00B17B3C"/>
    <w:rsid w:val="00B17C5A"/>
    <w:rsid w:val="00B17D5D"/>
    <w:rsid w:val="00B17DBC"/>
    <w:rsid w:val="00B20AC0"/>
    <w:rsid w:val="00B20AC4"/>
    <w:rsid w:val="00B20AD2"/>
    <w:rsid w:val="00B20DEE"/>
    <w:rsid w:val="00B20E17"/>
    <w:rsid w:val="00B20EBB"/>
    <w:rsid w:val="00B2113E"/>
    <w:rsid w:val="00B2160C"/>
    <w:rsid w:val="00B21664"/>
    <w:rsid w:val="00B2170E"/>
    <w:rsid w:val="00B21B7B"/>
    <w:rsid w:val="00B21E3C"/>
    <w:rsid w:val="00B22707"/>
    <w:rsid w:val="00B227F6"/>
    <w:rsid w:val="00B22842"/>
    <w:rsid w:val="00B229B9"/>
    <w:rsid w:val="00B22A61"/>
    <w:rsid w:val="00B22E3F"/>
    <w:rsid w:val="00B2338D"/>
    <w:rsid w:val="00B243D1"/>
    <w:rsid w:val="00B24888"/>
    <w:rsid w:val="00B24906"/>
    <w:rsid w:val="00B24EBE"/>
    <w:rsid w:val="00B24EDE"/>
    <w:rsid w:val="00B25572"/>
    <w:rsid w:val="00B25798"/>
    <w:rsid w:val="00B257AE"/>
    <w:rsid w:val="00B25CB9"/>
    <w:rsid w:val="00B25CD2"/>
    <w:rsid w:val="00B25DAE"/>
    <w:rsid w:val="00B25DCE"/>
    <w:rsid w:val="00B26230"/>
    <w:rsid w:val="00B262CE"/>
    <w:rsid w:val="00B2647B"/>
    <w:rsid w:val="00B265D9"/>
    <w:rsid w:val="00B26654"/>
    <w:rsid w:val="00B26C57"/>
    <w:rsid w:val="00B270D7"/>
    <w:rsid w:val="00B27255"/>
    <w:rsid w:val="00B2735D"/>
    <w:rsid w:val="00B2738E"/>
    <w:rsid w:val="00B2795D"/>
    <w:rsid w:val="00B27C5B"/>
    <w:rsid w:val="00B300FC"/>
    <w:rsid w:val="00B3019D"/>
    <w:rsid w:val="00B301CD"/>
    <w:rsid w:val="00B3028C"/>
    <w:rsid w:val="00B302D0"/>
    <w:rsid w:val="00B304BC"/>
    <w:rsid w:val="00B304BD"/>
    <w:rsid w:val="00B3052F"/>
    <w:rsid w:val="00B30652"/>
    <w:rsid w:val="00B306C3"/>
    <w:rsid w:val="00B30747"/>
    <w:rsid w:val="00B30A5D"/>
    <w:rsid w:val="00B30B20"/>
    <w:rsid w:val="00B30D29"/>
    <w:rsid w:val="00B30E67"/>
    <w:rsid w:val="00B31108"/>
    <w:rsid w:val="00B31196"/>
    <w:rsid w:val="00B31462"/>
    <w:rsid w:val="00B31672"/>
    <w:rsid w:val="00B31926"/>
    <w:rsid w:val="00B319C8"/>
    <w:rsid w:val="00B31AF7"/>
    <w:rsid w:val="00B31EAF"/>
    <w:rsid w:val="00B32081"/>
    <w:rsid w:val="00B322C9"/>
    <w:rsid w:val="00B322D6"/>
    <w:rsid w:val="00B324F7"/>
    <w:rsid w:val="00B32537"/>
    <w:rsid w:val="00B32A5E"/>
    <w:rsid w:val="00B32D96"/>
    <w:rsid w:val="00B332A6"/>
    <w:rsid w:val="00B33433"/>
    <w:rsid w:val="00B336A7"/>
    <w:rsid w:val="00B339A1"/>
    <w:rsid w:val="00B33E0D"/>
    <w:rsid w:val="00B33E4A"/>
    <w:rsid w:val="00B3446E"/>
    <w:rsid w:val="00B344CE"/>
    <w:rsid w:val="00B346E2"/>
    <w:rsid w:val="00B34928"/>
    <w:rsid w:val="00B34EB5"/>
    <w:rsid w:val="00B34F04"/>
    <w:rsid w:val="00B34FA1"/>
    <w:rsid w:val="00B354E0"/>
    <w:rsid w:val="00B354FE"/>
    <w:rsid w:val="00B355D6"/>
    <w:rsid w:val="00B35C93"/>
    <w:rsid w:val="00B363D3"/>
    <w:rsid w:val="00B364A7"/>
    <w:rsid w:val="00B36542"/>
    <w:rsid w:val="00B369B1"/>
    <w:rsid w:val="00B3700B"/>
    <w:rsid w:val="00B37474"/>
    <w:rsid w:val="00B375D1"/>
    <w:rsid w:val="00B37823"/>
    <w:rsid w:val="00B37C99"/>
    <w:rsid w:val="00B37F03"/>
    <w:rsid w:val="00B37FE8"/>
    <w:rsid w:val="00B403AB"/>
    <w:rsid w:val="00B4043E"/>
    <w:rsid w:val="00B40516"/>
    <w:rsid w:val="00B4072C"/>
    <w:rsid w:val="00B40744"/>
    <w:rsid w:val="00B409A7"/>
    <w:rsid w:val="00B40AB5"/>
    <w:rsid w:val="00B40CB3"/>
    <w:rsid w:val="00B40E84"/>
    <w:rsid w:val="00B4134A"/>
    <w:rsid w:val="00B41863"/>
    <w:rsid w:val="00B418A3"/>
    <w:rsid w:val="00B41A1E"/>
    <w:rsid w:val="00B41A6B"/>
    <w:rsid w:val="00B42070"/>
    <w:rsid w:val="00B42A6A"/>
    <w:rsid w:val="00B42B39"/>
    <w:rsid w:val="00B42B7A"/>
    <w:rsid w:val="00B42C94"/>
    <w:rsid w:val="00B4327A"/>
    <w:rsid w:val="00B436C1"/>
    <w:rsid w:val="00B43E69"/>
    <w:rsid w:val="00B43F35"/>
    <w:rsid w:val="00B448F1"/>
    <w:rsid w:val="00B449D9"/>
    <w:rsid w:val="00B45255"/>
    <w:rsid w:val="00B454C9"/>
    <w:rsid w:val="00B45711"/>
    <w:rsid w:val="00B45BF7"/>
    <w:rsid w:val="00B45D76"/>
    <w:rsid w:val="00B45D79"/>
    <w:rsid w:val="00B45FDE"/>
    <w:rsid w:val="00B4603E"/>
    <w:rsid w:val="00B46210"/>
    <w:rsid w:val="00B4630A"/>
    <w:rsid w:val="00B46470"/>
    <w:rsid w:val="00B467DF"/>
    <w:rsid w:val="00B46BE4"/>
    <w:rsid w:val="00B46D5E"/>
    <w:rsid w:val="00B46FC9"/>
    <w:rsid w:val="00B47100"/>
    <w:rsid w:val="00B47161"/>
    <w:rsid w:val="00B47404"/>
    <w:rsid w:val="00B47534"/>
    <w:rsid w:val="00B4756C"/>
    <w:rsid w:val="00B478FC"/>
    <w:rsid w:val="00B50006"/>
    <w:rsid w:val="00B5002B"/>
    <w:rsid w:val="00B50170"/>
    <w:rsid w:val="00B5070A"/>
    <w:rsid w:val="00B50712"/>
    <w:rsid w:val="00B50C89"/>
    <w:rsid w:val="00B50F02"/>
    <w:rsid w:val="00B50F32"/>
    <w:rsid w:val="00B50FA8"/>
    <w:rsid w:val="00B50FE0"/>
    <w:rsid w:val="00B51296"/>
    <w:rsid w:val="00B51823"/>
    <w:rsid w:val="00B51B25"/>
    <w:rsid w:val="00B51F8C"/>
    <w:rsid w:val="00B51FC4"/>
    <w:rsid w:val="00B520F8"/>
    <w:rsid w:val="00B5216D"/>
    <w:rsid w:val="00B52334"/>
    <w:rsid w:val="00B52519"/>
    <w:rsid w:val="00B52A2B"/>
    <w:rsid w:val="00B52D70"/>
    <w:rsid w:val="00B52F57"/>
    <w:rsid w:val="00B53269"/>
    <w:rsid w:val="00B534EF"/>
    <w:rsid w:val="00B538F2"/>
    <w:rsid w:val="00B53B3C"/>
    <w:rsid w:val="00B53BD3"/>
    <w:rsid w:val="00B53C48"/>
    <w:rsid w:val="00B53EA0"/>
    <w:rsid w:val="00B540EC"/>
    <w:rsid w:val="00B54298"/>
    <w:rsid w:val="00B5440C"/>
    <w:rsid w:val="00B54F72"/>
    <w:rsid w:val="00B552FB"/>
    <w:rsid w:val="00B5559D"/>
    <w:rsid w:val="00B55733"/>
    <w:rsid w:val="00B55D70"/>
    <w:rsid w:val="00B55DEF"/>
    <w:rsid w:val="00B5603D"/>
    <w:rsid w:val="00B56481"/>
    <w:rsid w:val="00B56562"/>
    <w:rsid w:val="00B566BD"/>
    <w:rsid w:val="00B56752"/>
    <w:rsid w:val="00B56853"/>
    <w:rsid w:val="00B568FE"/>
    <w:rsid w:val="00B56ADF"/>
    <w:rsid w:val="00B56C47"/>
    <w:rsid w:val="00B56CB0"/>
    <w:rsid w:val="00B56CF2"/>
    <w:rsid w:val="00B56D95"/>
    <w:rsid w:val="00B56E7E"/>
    <w:rsid w:val="00B56ED4"/>
    <w:rsid w:val="00B56FAA"/>
    <w:rsid w:val="00B57020"/>
    <w:rsid w:val="00B5744B"/>
    <w:rsid w:val="00B574C9"/>
    <w:rsid w:val="00B575DA"/>
    <w:rsid w:val="00B57652"/>
    <w:rsid w:val="00B576FF"/>
    <w:rsid w:val="00B57771"/>
    <w:rsid w:val="00B5786A"/>
    <w:rsid w:val="00B579E4"/>
    <w:rsid w:val="00B57A84"/>
    <w:rsid w:val="00B57B0E"/>
    <w:rsid w:val="00B601CE"/>
    <w:rsid w:val="00B6041F"/>
    <w:rsid w:val="00B608AF"/>
    <w:rsid w:val="00B60E1C"/>
    <w:rsid w:val="00B60F77"/>
    <w:rsid w:val="00B6113E"/>
    <w:rsid w:val="00B61709"/>
    <w:rsid w:val="00B61993"/>
    <w:rsid w:val="00B6199A"/>
    <w:rsid w:val="00B619A1"/>
    <w:rsid w:val="00B61B1C"/>
    <w:rsid w:val="00B61BAD"/>
    <w:rsid w:val="00B61D35"/>
    <w:rsid w:val="00B61D89"/>
    <w:rsid w:val="00B61E9B"/>
    <w:rsid w:val="00B61ED2"/>
    <w:rsid w:val="00B626F2"/>
    <w:rsid w:val="00B62741"/>
    <w:rsid w:val="00B62E3D"/>
    <w:rsid w:val="00B6302D"/>
    <w:rsid w:val="00B63146"/>
    <w:rsid w:val="00B63265"/>
    <w:rsid w:val="00B63607"/>
    <w:rsid w:val="00B63647"/>
    <w:rsid w:val="00B63794"/>
    <w:rsid w:val="00B63885"/>
    <w:rsid w:val="00B63A6D"/>
    <w:rsid w:val="00B63ACE"/>
    <w:rsid w:val="00B63B9A"/>
    <w:rsid w:val="00B64372"/>
    <w:rsid w:val="00B644E7"/>
    <w:rsid w:val="00B64896"/>
    <w:rsid w:val="00B648A9"/>
    <w:rsid w:val="00B64ECA"/>
    <w:rsid w:val="00B6504B"/>
    <w:rsid w:val="00B65255"/>
    <w:rsid w:val="00B65A22"/>
    <w:rsid w:val="00B65B19"/>
    <w:rsid w:val="00B65BF4"/>
    <w:rsid w:val="00B65D7E"/>
    <w:rsid w:val="00B65DC1"/>
    <w:rsid w:val="00B65E38"/>
    <w:rsid w:val="00B65FE1"/>
    <w:rsid w:val="00B66944"/>
    <w:rsid w:val="00B66DA1"/>
    <w:rsid w:val="00B67005"/>
    <w:rsid w:val="00B672BE"/>
    <w:rsid w:val="00B6742B"/>
    <w:rsid w:val="00B67459"/>
    <w:rsid w:val="00B67497"/>
    <w:rsid w:val="00B67826"/>
    <w:rsid w:val="00B67C26"/>
    <w:rsid w:val="00B67E43"/>
    <w:rsid w:val="00B700FB"/>
    <w:rsid w:val="00B7047A"/>
    <w:rsid w:val="00B706D0"/>
    <w:rsid w:val="00B70882"/>
    <w:rsid w:val="00B70BFD"/>
    <w:rsid w:val="00B70CCC"/>
    <w:rsid w:val="00B70E83"/>
    <w:rsid w:val="00B710E9"/>
    <w:rsid w:val="00B713BF"/>
    <w:rsid w:val="00B71600"/>
    <w:rsid w:val="00B718FD"/>
    <w:rsid w:val="00B72109"/>
    <w:rsid w:val="00B72207"/>
    <w:rsid w:val="00B723F1"/>
    <w:rsid w:val="00B72613"/>
    <w:rsid w:val="00B73218"/>
    <w:rsid w:val="00B73505"/>
    <w:rsid w:val="00B73532"/>
    <w:rsid w:val="00B7376B"/>
    <w:rsid w:val="00B73821"/>
    <w:rsid w:val="00B73B6D"/>
    <w:rsid w:val="00B73E86"/>
    <w:rsid w:val="00B74CAF"/>
    <w:rsid w:val="00B7550D"/>
    <w:rsid w:val="00B758BE"/>
    <w:rsid w:val="00B75B07"/>
    <w:rsid w:val="00B75D5D"/>
    <w:rsid w:val="00B76169"/>
    <w:rsid w:val="00B764CF"/>
    <w:rsid w:val="00B76771"/>
    <w:rsid w:val="00B767C0"/>
    <w:rsid w:val="00B7689F"/>
    <w:rsid w:val="00B769D0"/>
    <w:rsid w:val="00B76C31"/>
    <w:rsid w:val="00B76CAA"/>
    <w:rsid w:val="00B76CB6"/>
    <w:rsid w:val="00B77042"/>
    <w:rsid w:val="00B7707D"/>
    <w:rsid w:val="00B779C9"/>
    <w:rsid w:val="00B77F99"/>
    <w:rsid w:val="00B80254"/>
    <w:rsid w:val="00B803F3"/>
    <w:rsid w:val="00B804BA"/>
    <w:rsid w:val="00B807D9"/>
    <w:rsid w:val="00B80A20"/>
    <w:rsid w:val="00B80A9B"/>
    <w:rsid w:val="00B80B1A"/>
    <w:rsid w:val="00B80DA4"/>
    <w:rsid w:val="00B815DB"/>
    <w:rsid w:val="00B81B07"/>
    <w:rsid w:val="00B81EC4"/>
    <w:rsid w:val="00B8242C"/>
    <w:rsid w:val="00B828A6"/>
    <w:rsid w:val="00B82A3C"/>
    <w:rsid w:val="00B82DFC"/>
    <w:rsid w:val="00B8356E"/>
    <w:rsid w:val="00B83A09"/>
    <w:rsid w:val="00B83A46"/>
    <w:rsid w:val="00B83E6E"/>
    <w:rsid w:val="00B840BB"/>
    <w:rsid w:val="00B84268"/>
    <w:rsid w:val="00B84577"/>
    <w:rsid w:val="00B846EB"/>
    <w:rsid w:val="00B8476D"/>
    <w:rsid w:val="00B84807"/>
    <w:rsid w:val="00B848DC"/>
    <w:rsid w:val="00B8495E"/>
    <w:rsid w:val="00B849FD"/>
    <w:rsid w:val="00B84DD6"/>
    <w:rsid w:val="00B84E68"/>
    <w:rsid w:val="00B851E0"/>
    <w:rsid w:val="00B852FC"/>
    <w:rsid w:val="00B856D1"/>
    <w:rsid w:val="00B85942"/>
    <w:rsid w:val="00B85C7F"/>
    <w:rsid w:val="00B85DDF"/>
    <w:rsid w:val="00B863A3"/>
    <w:rsid w:val="00B863BC"/>
    <w:rsid w:val="00B86413"/>
    <w:rsid w:val="00B86556"/>
    <w:rsid w:val="00B865EC"/>
    <w:rsid w:val="00B86831"/>
    <w:rsid w:val="00B86BB4"/>
    <w:rsid w:val="00B86E5D"/>
    <w:rsid w:val="00B86EF4"/>
    <w:rsid w:val="00B8700D"/>
    <w:rsid w:val="00B8712D"/>
    <w:rsid w:val="00B8747C"/>
    <w:rsid w:val="00B87781"/>
    <w:rsid w:val="00B87801"/>
    <w:rsid w:val="00B87CD9"/>
    <w:rsid w:val="00B905C7"/>
    <w:rsid w:val="00B907A0"/>
    <w:rsid w:val="00B90A18"/>
    <w:rsid w:val="00B90B01"/>
    <w:rsid w:val="00B90C7C"/>
    <w:rsid w:val="00B90CF8"/>
    <w:rsid w:val="00B90D5F"/>
    <w:rsid w:val="00B90E3E"/>
    <w:rsid w:val="00B910B3"/>
    <w:rsid w:val="00B91172"/>
    <w:rsid w:val="00B915E5"/>
    <w:rsid w:val="00B917C4"/>
    <w:rsid w:val="00B917E3"/>
    <w:rsid w:val="00B918DA"/>
    <w:rsid w:val="00B91972"/>
    <w:rsid w:val="00B920BD"/>
    <w:rsid w:val="00B921DA"/>
    <w:rsid w:val="00B9245C"/>
    <w:rsid w:val="00B92D0E"/>
    <w:rsid w:val="00B933DC"/>
    <w:rsid w:val="00B9356D"/>
    <w:rsid w:val="00B93B05"/>
    <w:rsid w:val="00B943E8"/>
    <w:rsid w:val="00B94716"/>
    <w:rsid w:val="00B94783"/>
    <w:rsid w:val="00B9487E"/>
    <w:rsid w:val="00B94BAB"/>
    <w:rsid w:val="00B94CA4"/>
    <w:rsid w:val="00B9571E"/>
    <w:rsid w:val="00B95777"/>
    <w:rsid w:val="00B95CA7"/>
    <w:rsid w:val="00B96465"/>
    <w:rsid w:val="00B968A4"/>
    <w:rsid w:val="00B96FD2"/>
    <w:rsid w:val="00B97085"/>
    <w:rsid w:val="00B97123"/>
    <w:rsid w:val="00B971D5"/>
    <w:rsid w:val="00B975E8"/>
    <w:rsid w:val="00B9771D"/>
    <w:rsid w:val="00B977FD"/>
    <w:rsid w:val="00B97D84"/>
    <w:rsid w:val="00B97DFA"/>
    <w:rsid w:val="00B97F22"/>
    <w:rsid w:val="00BA01F2"/>
    <w:rsid w:val="00BA028D"/>
    <w:rsid w:val="00BA033B"/>
    <w:rsid w:val="00BA038E"/>
    <w:rsid w:val="00BA0650"/>
    <w:rsid w:val="00BA127F"/>
    <w:rsid w:val="00BA12A3"/>
    <w:rsid w:val="00BA1468"/>
    <w:rsid w:val="00BA177C"/>
    <w:rsid w:val="00BA1D63"/>
    <w:rsid w:val="00BA1E1B"/>
    <w:rsid w:val="00BA228D"/>
    <w:rsid w:val="00BA2356"/>
    <w:rsid w:val="00BA265D"/>
    <w:rsid w:val="00BA2789"/>
    <w:rsid w:val="00BA2ABE"/>
    <w:rsid w:val="00BA2CED"/>
    <w:rsid w:val="00BA31EF"/>
    <w:rsid w:val="00BA33E6"/>
    <w:rsid w:val="00BA36E5"/>
    <w:rsid w:val="00BA373D"/>
    <w:rsid w:val="00BA3BD1"/>
    <w:rsid w:val="00BA4349"/>
    <w:rsid w:val="00BA4676"/>
    <w:rsid w:val="00BA4D1F"/>
    <w:rsid w:val="00BA4FAD"/>
    <w:rsid w:val="00BA5359"/>
    <w:rsid w:val="00BA5406"/>
    <w:rsid w:val="00BA5D17"/>
    <w:rsid w:val="00BA5D5D"/>
    <w:rsid w:val="00BA5E8D"/>
    <w:rsid w:val="00BA5F5D"/>
    <w:rsid w:val="00BA6023"/>
    <w:rsid w:val="00BA64AB"/>
    <w:rsid w:val="00BA664F"/>
    <w:rsid w:val="00BA68B4"/>
    <w:rsid w:val="00BA6945"/>
    <w:rsid w:val="00BA69CC"/>
    <w:rsid w:val="00BA69EB"/>
    <w:rsid w:val="00BA6B35"/>
    <w:rsid w:val="00BA6F7D"/>
    <w:rsid w:val="00BA6FBC"/>
    <w:rsid w:val="00BA70B6"/>
    <w:rsid w:val="00BA72B7"/>
    <w:rsid w:val="00BA72BB"/>
    <w:rsid w:val="00BA74C6"/>
    <w:rsid w:val="00BA75AE"/>
    <w:rsid w:val="00BA7709"/>
    <w:rsid w:val="00BA78F5"/>
    <w:rsid w:val="00BA7A31"/>
    <w:rsid w:val="00BA7BEF"/>
    <w:rsid w:val="00BB0169"/>
    <w:rsid w:val="00BB02C5"/>
    <w:rsid w:val="00BB097B"/>
    <w:rsid w:val="00BB0994"/>
    <w:rsid w:val="00BB0B95"/>
    <w:rsid w:val="00BB0E2A"/>
    <w:rsid w:val="00BB0F57"/>
    <w:rsid w:val="00BB1107"/>
    <w:rsid w:val="00BB1281"/>
    <w:rsid w:val="00BB1732"/>
    <w:rsid w:val="00BB17B8"/>
    <w:rsid w:val="00BB1A38"/>
    <w:rsid w:val="00BB1C25"/>
    <w:rsid w:val="00BB2479"/>
    <w:rsid w:val="00BB26D6"/>
    <w:rsid w:val="00BB28D6"/>
    <w:rsid w:val="00BB2DC6"/>
    <w:rsid w:val="00BB350E"/>
    <w:rsid w:val="00BB358C"/>
    <w:rsid w:val="00BB3A6D"/>
    <w:rsid w:val="00BB3EE5"/>
    <w:rsid w:val="00BB3FAB"/>
    <w:rsid w:val="00BB4578"/>
    <w:rsid w:val="00BB4A03"/>
    <w:rsid w:val="00BB4F03"/>
    <w:rsid w:val="00BB5551"/>
    <w:rsid w:val="00BB5592"/>
    <w:rsid w:val="00BB5876"/>
    <w:rsid w:val="00BB59EF"/>
    <w:rsid w:val="00BB5D34"/>
    <w:rsid w:val="00BB5E1E"/>
    <w:rsid w:val="00BB5E7B"/>
    <w:rsid w:val="00BB5EC5"/>
    <w:rsid w:val="00BB615E"/>
    <w:rsid w:val="00BB68BA"/>
    <w:rsid w:val="00BB6BA6"/>
    <w:rsid w:val="00BB6BFF"/>
    <w:rsid w:val="00BB6CA0"/>
    <w:rsid w:val="00BB7260"/>
    <w:rsid w:val="00BB7555"/>
    <w:rsid w:val="00BB7A9B"/>
    <w:rsid w:val="00BB7CE2"/>
    <w:rsid w:val="00BB7EA1"/>
    <w:rsid w:val="00BC007B"/>
    <w:rsid w:val="00BC0366"/>
    <w:rsid w:val="00BC0568"/>
    <w:rsid w:val="00BC0AD8"/>
    <w:rsid w:val="00BC0C24"/>
    <w:rsid w:val="00BC1C04"/>
    <w:rsid w:val="00BC2127"/>
    <w:rsid w:val="00BC2657"/>
    <w:rsid w:val="00BC265D"/>
    <w:rsid w:val="00BC266F"/>
    <w:rsid w:val="00BC2718"/>
    <w:rsid w:val="00BC2822"/>
    <w:rsid w:val="00BC2ACE"/>
    <w:rsid w:val="00BC2D46"/>
    <w:rsid w:val="00BC2EE4"/>
    <w:rsid w:val="00BC3003"/>
    <w:rsid w:val="00BC32C7"/>
    <w:rsid w:val="00BC35B3"/>
    <w:rsid w:val="00BC3674"/>
    <w:rsid w:val="00BC388D"/>
    <w:rsid w:val="00BC39A3"/>
    <w:rsid w:val="00BC39B1"/>
    <w:rsid w:val="00BC3BE1"/>
    <w:rsid w:val="00BC3FC7"/>
    <w:rsid w:val="00BC4044"/>
    <w:rsid w:val="00BC40BD"/>
    <w:rsid w:val="00BC41AA"/>
    <w:rsid w:val="00BC4223"/>
    <w:rsid w:val="00BC42EC"/>
    <w:rsid w:val="00BC4419"/>
    <w:rsid w:val="00BC4B37"/>
    <w:rsid w:val="00BC4D5D"/>
    <w:rsid w:val="00BC50BB"/>
    <w:rsid w:val="00BC50D3"/>
    <w:rsid w:val="00BC541B"/>
    <w:rsid w:val="00BC550E"/>
    <w:rsid w:val="00BC5688"/>
    <w:rsid w:val="00BC5B41"/>
    <w:rsid w:val="00BC5FC7"/>
    <w:rsid w:val="00BC651C"/>
    <w:rsid w:val="00BC699E"/>
    <w:rsid w:val="00BC6DDA"/>
    <w:rsid w:val="00BC6E30"/>
    <w:rsid w:val="00BC702B"/>
    <w:rsid w:val="00BC72C8"/>
    <w:rsid w:val="00BC7430"/>
    <w:rsid w:val="00BC7743"/>
    <w:rsid w:val="00BC7C03"/>
    <w:rsid w:val="00BC7C5F"/>
    <w:rsid w:val="00BC7C77"/>
    <w:rsid w:val="00BC7FB7"/>
    <w:rsid w:val="00BD01BB"/>
    <w:rsid w:val="00BD07B1"/>
    <w:rsid w:val="00BD0FA9"/>
    <w:rsid w:val="00BD12A4"/>
    <w:rsid w:val="00BD131B"/>
    <w:rsid w:val="00BD1328"/>
    <w:rsid w:val="00BD147F"/>
    <w:rsid w:val="00BD14E9"/>
    <w:rsid w:val="00BD16F0"/>
    <w:rsid w:val="00BD1786"/>
    <w:rsid w:val="00BD194A"/>
    <w:rsid w:val="00BD1A03"/>
    <w:rsid w:val="00BD1C46"/>
    <w:rsid w:val="00BD2025"/>
    <w:rsid w:val="00BD2204"/>
    <w:rsid w:val="00BD2537"/>
    <w:rsid w:val="00BD2608"/>
    <w:rsid w:val="00BD2657"/>
    <w:rsid w:val="00BD27EB"/>
    <w:rsid w:val="00BD2880"/>
    <w:rsid w:val="00BD28FE"/>
    <w:rsid w:val="00BD2AFD"/>
    <w:rsid w:val="00BD2EF4"/>
    <w:rsid w:val="00BD307E"/>
    <w:rsid w:val="00BD321A"/>
    <w:rsid w:val="00BD3348"/>
    <w:rsid w:val="00BD344E"/>
    <w:rsid w:val="00BD387C"/>
    <w:rsid w:val="00BD3B57"/>
    <w:rsid w:val="00BD4052"/>
    <w:rsid w:val="00BD45D5"/>
    <w:rsid w:val="00BD4DEF"/>
    <w:rsid w:val="00BD5193"/>
    <w:rsid w:val="00BD533E"/>
    <w:rsid w:val="00BD58A7"/>
    <w:rsid w:val="00BD5A7F"/>
    <w:rsid w:val="00BD5C0C"/>
    <w:rsid w:val="00BD5C17"/>
    <w:rsid w:val="00BD5FB1"/>
    <w:rsid w:val="00BD6304"/>
    <w:rsid w:val="00BD6555"/>
    <w:rsid w:val="00BD6609"/>
    <w:rsid w:val="00BD6733"/>
    <w:rsid w:val="00BD68E4"/>
    <w:rsid w:val="00BD6943"/>
    <w:rsid w:val="00BD69B2"/>
    <w:rsid w:val="00BD6A88"/>
    <w:rsid w:val="00BD6B8A"/>
    <w:rsid w:val="00BD6BED"/>
    <w:rsid w:val="00BD6C69"/>
    <w:rsid w:val="00BD6CBA"/>
    <w:rsid w:val="00BD6D9A"/>
    <w:rsid w:val="00BD7160"/>
    <w:rsid w:val="00BD7582"/>
    <w:rsid w:val="00BD75BB"/>
    <w:rsid w:val="00BD760B"/>
    <w:rsid w:val="00BD774A"/>
    <w:rsid w:val="00BD7C8A"/>
    <w:rsid w:val="00BD7F88"/>
    <w:rsid w:val="00BE007E"/>
    <w:rsid w:val="00BE00F7"/>
    <w:rsid w:val="00BE01B5"/>
    <w:rsid w:val="00BE06F2"/>
    <w:rsid w:val="00BE07FE"/>
    <w:rsid w:val="00BE0A3C"/>
    <w:rsid w:val="00BE0CA2"/>
    <w:rsid w:val="00BE0E15"/>
    <w:rsid w:val="00BE0E48"/>
    <w:rsid w:val="00BE0F5E"/>
    <w:rsid w:val="00BE1423"/>
    <w:rsid w:val="00BE14D3"/>
    <w:rsid w:val="00BE14E9"/>
    <w:rsid w:val="00BE1C69"/>
    <w:rsid w:val="00BE1D9C"/>
    <w:rsid w:val="00BE2034"/>
    <w:rsid w:val="00BE26CD"/>
    <w:rsid w:val="00BE272A"/>
    <w:rsid w:val="00BE2791"/>
    <w:rsid w:val="00BE2A80"/>
    <w:rsid w:val="00BE2FD8"/>
    <w:rsid w:val="00BE313E"/>
    <w:rsid w:val="00BE34B4"/>
    <w:rsid w:val="00BE3819"/>
    <w:rsid w:val="00BE3954"/>
    <w:rsid w:val="00BE3BDE"/>
    <w:rsid w:val="00BE3C10"/>
    <w:rsid w:val="00BE3F7A"/>
    <w:rsid w:val="00BE4295"/>
    <w:rsid w:val="00BE4471"/>
    <w:rsid w:val="00BE47A7"/>
    <w:rsid w:val="00BE48B7"/>
    <w:rsid w:val="00BE4DC5"/>
    <w:rsid w:val="00BE4F7D"/>
    <w:rsid w:val="00BE507D"/>
    <w:rsid w:val="00BE50ED"/>
    <w:rsid w:val="00BE5226"/>
    <w:rsid w:val="00BE543A"/>
    <w:rsid w:val="00BE5482"/>
    <w:rsid w:val="00BE553D"/>
    <w:rsid w:val="00BE5546"/>
    <w:rsid w:val="00BE5EE8"/>
    <w:rsid w:val="00BE662A"/>
    <w:rsid w:val="00BE687F"/>
    <w:rsid w:val="00BE6951"/>
    <w:rsid w:val="00BE6F53"/>
    <w:rsid w:val="00BE6FB5"/>
    <w:rsid w:val="00BE779A"/>
    <w:rsid w:val="00BE7B33"/>
    <w:rsid w:val="00BF05C4"/>
    <w:rsid w:val="00BF0AB5"/>
    <w:rsid w:val="00BF0CA4"/>
    <w:rsid w:val="00BF0E69"/>
    <w:rsid w:val="00BF1081"/>
    <w:rsid w:val="00BF1271"/>
    <w:rsid w:val="00BF19B7"/>
    <w:rsid w:val="00BF1E9A"/>
    <w:rsid w:val="00BF1EFB"/>
    <w:rsid w:val="00BF2017"/>
    <w:rsid w:val="00BF2306"/>
    <w:rsid w:val="00BF257C"/>
    <w:rsid w:val="00BF2D46"/>
    <w:rsid w:val="00BF2D72"/>
    <w:rsid w:val="00BF2E24"/>
    <w:rsid w:val="00BF2E88"/>
    <w:rsid w:val="00BF2EBB"/>
    <w:rsid w:val="00BF2F99"/>
    <w:rsid w:val="00BF2FC5"/>
    <w:rsid w:val="00BF2FF1"/>
    <w:rsid w:val="00BF30DD"/>
    <w:rsid w:val="00BF34E1"/>
    <w:rsid w:val="00BF37A7"/>
    <w:rsid w:val="00BF3BA2"/>
    <w:rsid w:val="00BF4501"/>
    <w:rsid w:val="00BF456C"/>
    <w:rsid w:val="00BF4CE0"/>
    <w:rsid w:val="00BF4E56"/>
    <w:rsid w:val="00BF4EF8"/>
    <w:rsid w:val="00BF5282"/>
    <w:rsid w:val="00BF59EA"/>
    <w:rsid w:val="00BF5E07"/>
    <w:rsid w:val="00BF612A"/>
    <w:rsid w:val="00BF65D9"/>
    <w:rsid w:val="00BF6A09"/>
    <w:rsid w:val="00BF6FCD"/>
    <w:rsid w:val="00BF72CD"/>
    <w:rsid w:val="00BF749D"/>
    <w:rsid w:val="00BF74EC"/>
    <w:rsid w:val="00BF750B"/>
    <w:rsid w:val="00BF75AA"/>
    <w:rsid w:val="00C002F6"/>
    <w:rsid w:val="00C0040A"/>
    <w:rsid w:val="00C00623"/>
    <w:rsid w:val="00C00747"/>
    <w:rsid w:val="00C00896"/>
    <w:rsid w:val="00C00A5C"/>
    <w:rsid w:val="00C00B36"/>
    <w:rsid w:val="00C00E65"/>
    <w:rsid w:val="00C014A3"/>
    <w:rsid w:val="00C01639"/>
    <w:rsid w:val="00C01B42"/>
    <w:rsid w:val="00C01BF3"/>
    <w:rsid w:val="00C01E16"/>
    <w:rsid w:val="00C01E1B"/>
    <w:rsid w:val="00C01F0C"/>
    <w:rsid w:val="00C024FA"/>
    <w:rsid w:val="00C027A8"/>
    <w:rsid w:val="00C02915"/>
    <w:rsid w:val="00C02BC8"/>
    <w:rsid w:val="00C02CE1"/>
    <w:rsid w:val="00C02D1D"/>
    <w:rsid w:val="00C02F92"/>
    <w:rsid w:val="00C035F7"/>
    <w:rsid w:val="00C03627"/>
    <w:rsid w:val="00C0374A"/>
    <w:rsid w:val="00C03792"/>
    <w:rsid w:val="00C03EF6"/>
    <w:rsid w:val="00C03FB8"/>
    <w:rsid w:val="00C041DF"/>
    <w:rsid w:val="00C04462"/>
    <w:rsid w:val="00C044EF"/>
    <w:rsid w:val="00C046CD"/>
    <w:rsid w:val="00C0475A"/>
    <w:rsid w:val="00C048D0"/>
    <w:rsid w:val="00C04934"/>
    <w:rsid w:val="00C04993"/>
    <w:rsid w:val="00C04E98"/>
    <w:rsid w:val="00C04F66"/>
    <w:rsid w:val="00C04F9A"/>
    <w:rsid w:val="00C051C0"/>
    <w:rsid w:val="00C05783"/>
    <w:rsid w:val="00C057B9"/>
    <w:rsid w:val="00C05C33"/>
    <w:rsid w:val="00C05FA5"/>
    <w:rsid w:val="00C06149"/>
    <w:rsid w:val="00C06963"/>
    <w:rsid w:val="00C06BA6"/>
    <w:rsid w:val="00C06C1D"/>
    <w:rsid w:val="00C06DAC"/>
    <w:rsid w:val="00C06DBC"/>
    <w:rsid w:val="00C06E9A"/>
    <w:rsid w:val="00C0730A"/>
    <w:rsid w:val="00C07E23"/>
    <w:rsid w:val="00C1011A"/>
    <w:rsid w:val="00C1039C"/>
    <w:rsid w:val="00C10980"/>
    <w:rsid w:val="00C10AB4"/>
    <w:rsid w:val="00C10C1F"/>
    <w:rsid w:val="00C1145E"/>
    <w:rsid w:val="00C11AD5"/>
    <w:rsid w:val="00C122B4"/>
    <w:rsid w:val="00C12444"/>
    <w:rsid w:val="00C126CB"/>
    <w:rsid w:val="00C12715"/>
    <w:rsid w:val="00C127E2"/>
    <w:rsid w:val="00C12984"/>
    <w:rsid w:val="00C12B80"/>
    <w:rsid w:val="00C12BA7"/>
    <w:rsid w:val="00C12F2F"/>
    <w:rsid w:val="00C13125"/>
    <w:rsid w:val="00C13325"/>
    <w:rsid w:val="00C13EFE"/>
    <w:rsid w:val="00C1492F"/>
    <w:rsid w:val="00C15F75"/>
    <w:rsid w:val="00C1616D"/>
    <w:rsid w:val="00C165D0"/>
    <w:rsid w:val="00C16673"/>
    <w:rsid w:val="00C16C2E"/>
    <w:rsid w:val="00C16C6E"/>
    <w:rsid w:val="00C173F7"/>
    <w:rsid w:val="00C17403"/>
    <w:rsid w:val="00C1774D"/>
    <w:rsid w:val="00C17764"/>
    <w:rsid w:val="00C1792C"/>
    <w:rsid w:val="00C17EF2"/>
    <w:rsid w:val="00C20419"/>
    <w:rsid w:val="00C20531"/>
    <w:rsid w:val="00C20A99"/>
    <w:rsid w:val="00C20D0B"/>
    <w:rsid w:val="00C21535"/>
    <w:rsid w:val="00C215E9"/>
    <w:rsid w:val="00C217E4"/>
    <w:rsid w:val="00C21B0E"/>
    <w:rsid w:val="00C21C1B"/>
    <w:rsid w:val="00C21D7C"/>
    <w:rsid w:val="00C21D82"/>
    <w:rsid w:val="00C21EAD"/>
    <w:rsid w:val="00C21EE0"/>
    <w:rsid w:val="00C2250A"/>
    <w:rsid w:val="00C226E0"/>
    <w:rsid w:val="00C22928"/>
    <w:rsid w:val="00C229D6"/>
    <w:rsid w:val="00C22A3C"/>
    <w:rsid w:val="00C22A76"/>
    <w:rsid w:val="00C22EC7"/>
    <w:rsid w:val="00C22F30"/>
    <w:rsid w:val="00C22F4A"/>
    <w:rsid w:val="00C230EE"/>
    <w:rsid w:val="00C23436"/>
    <w:rsid w:val="00C236BA"/>
    <w:rsid w:val="00C23ABA"/>
    <w:rsid w:val="00C23DFF"/>
    <w:rsid w:val="00C23EBC"/>
    <w:rsid w:val="00C240DF"/>
    <w:rsid w:val="00C241A5"/>
    <w:rsid w:val="00C246C7"/>
    <w:rsid w:val="00C24990"/>
    <w:rsid w:val="00C24A05"/>
    <w:rsid w:val="00C24AF2"/>
    <w:rsid w:val="00C24F6D"/>
    <w:rsid w:val="00C24FF7"/>
    <w:rsid w:val="00C25303"/>
    <w:rsid w:val="00C25485"/>
    <w:rsid w:val="00C2597B"/>
    <w:rsid w:val="00C25A01"/>
    <w:rsid w:val="00C25E0B"/>
    <w:rsid w:val="00C262F2"/>
    <w:rsid w:val="00C2653C"/>
    <w:rsid w:val="00C26BD9"/>
    <w:rsid w:val="00C26F7E"/>
    <w:rsid w:val="00C2717D"/>
    <w:rsid w:val="00C27322"/>
    <w:rsid w:val="00C27581"/>
    <w:rsid w:val="00C27948"/>
    <w:rsid w:val="00C27D48"/>
    <w:rsid w:val="00C30145"/>
    <w:rsid w:val="00C30486"/>
    <w:rsid w:val="00C307FE"/>
    <w:rsid w:val="00C31270"/>
    <w:rsid w:val="00C312C4"/>
    <w:rsid w:val="00C31B04"/>
    <w:rsid w:val="00C31F9C"/>
    <w:rsid w:val="00C32A46"/>
    <w:rsid w:val="00C32BE3"/>
    <w:rsid w:val="00C32C1A"/>
    <w:rsid w:val="00C32F82"/>
    <w:rsid w:val="00C33221"/>
    <w:rsid w:val="00C3339F"/>
    <w:rsid w:val="00C33575"/>
    <w:rsid w:val="00C33B26"/>
    <w:rsid w:val="00C33B7E"/>
    <w:rsid w:val="00C33BED"/>
    <w:rsid w:val="00C33E2D"/>
    <w:rsid w:val="00C34053"/>
    <w:rsid w:val="00C34183"/>
    <w:rsid w:val="00C3438E"/>
    <w:rsid w:val="00C347DB"/>
    <w:rsid w:val="00C3481B"/>
    <w:rsid w:val="00C348E2"/>
    <w:rsid w:val="00C34ADC"/>
    <w:rsid w:val="00C34BB7"/>
    <w:rsid w:val="00C34BBF"/>
    <w:rsid w:val="00C34C5A"/>
    <w:rsid w:val="00C34C7A"/>
    <w:rsid w:val="00C350EB"/>
    <w:rsid w:val="00C35200"/>
    <w:rsid w:val="00C3553E"/>
    <w:rsid w:val="00C35A93"/>
    <w:rsid w:val="00C35AEE"/>
    <w:rsid w:val="00C35B91"/>
    <w:rsid w:val="00C362FF"/>
    <w:rsid w:val="00C36926"/>
    <w:rsid w:val="00C36A8F"/>
    <w:rsid w:val="00C36F56"/>
    <w:rsid w:val="00C372D6"/>
    <w:rsid w:val="00C3761F"/>
    <w:rsid w:val="00C40384"/>
    <w:rsid w:val="00C4056C"/>
    <w:rsid w:val="00C406B6"/>
    <w:rsid w:val="00C406FF"/>
    <w:rsid w:val="00C4073E"/>
    <w:rsid w:val="00C40808"/>
    <w:rsid w:val="00C4083B"/>
    <w:rsid w:val="00C40A92"/>
    <w:rsid w:val="00C40CAD"/>
    <w:rsid w:val="00C41084"/>
    <w:rsid w:val="00C4131C"/>
    <w:rsid w:val="00C41432"/>
    <w:rsid w:val="00C414C6"/>
    <w:rsid w:val="00C41CC9"/>
    <w:rsid w:val="00C41ED5"/>
    <w:rsid w:val="00C422D7"/>
    <w:rsid w:val="00C42C3C"/>
    <w:rsid w:val="00C43148"/>
    <w:rsid w:val="00C431F0"/>
    <w:rsid w:val="00C4343E"/>
    <w:rsid w:val="00C435DC"/>
    <w:rsid w:val="00C439B1"/>
    <w:rsid w:val="00C43A7C"/>
    <w:rsid w:val="00C43AA5"/>
    <w:rsid w:val="00C43BD4"/>
    <w:rsid w:val="00C43C59"/>
    <w:rsid w:val="00C43CC6"/>
    <w:rsid w:val="00C43DC7"/>
    <w:rsid w:val="00C44248"/>
    <w:rsid w:val="00C44366"/>
    <w:rsid w:val="00C4479A"/>
    <w:rsid w:val="00C447C1"/>
    <w:rsid w:val="00C44F51"/>
    <w:rsid w:val="00C4508F"/>
    <w:rsid w:val="00C4520D"/>
    <w:rsid w:val="00C4540C"/>
    <w:rsid w:val="00C455C3"/>
    <w:rsid w:val="00C459C0"/>
    <w:rsid w:val="00C45A63"/>
    <w:rsid w:val="00C45C71"/>
    <w:rsid w:val="00C45C7D"/>
    <w:rsid w:val="00C45E76"/>
    <w:rsid w:val="00C463B8"/>
    <w:rsid w:val="00C464B1"/>
    <w:rsid w:val="00C46762"/>
    <w:rsid w:val="00C46805"/>
    <w:rsid w:val="00C472C5"/>
    <w:rsid w:val="00C4730E"/>
    <w:rsid w:val="00C4732C"/>
    <w:rsid w:val="00C475B1"/>
    <w:rsid w:val="00C47B7F"/>
    <w:rsid w:val="00C47F62"/>
    <w:rsid w:val="00C50257"/>
    <w:rsid w:val="00C50522"/>
    <w:rsid w:val="00C50569"/>
    <w:rsid w:val="00C5076F"/>
    <w:rsid w:val="00C50F2B"/>
    <w:rsid w:val="00C51040"/>
    <w:rsid w:val="00C512E5"/>
    <w:rsid w:val="00C5131A"/>
    <w:rsid w:val="00C513C6"/>
    <w:rsid w:val="00C513DD"/>
    <w:rsid w:val="00C514E0"/>
    <w:rsid w:val="00C5154B"/>
    <w:rsid w:val="00C51946"/>
    <w:rsid w:val="00C51B7E"/>
    <w:rsid w:val="00C51EEE"/>
    <w:rsid w:val="00C52076"/>
    <w:rsid w:val="00C521EA"/>
    <w:rsid w:val="00C5285B"/>
    <w:rsid w:val="00C5286C"/>
    <w:rsid w:val="00C52C6F"/>
    <w:rsid w:val="00C52D22"/>
    <w:rsid w:val="00C52F9E"/>
    <w:rsid w:val="00C52FBE"/>
    <w:rsid w:val="00C53311"/>
    <w:rsid w:val="00C53A1B"/>
    <w:rsid w:val="00C53E2F"/>
    <w:rsid w:val="00C53F25"/>
    <w:rsid w:val="00C53FEE"/>
    <w:rsid w:val="00C5456E"/>
    <w:rsid w:val="00C548D6"/>
    <w:rsid w:val="00C54DBC"/>
    <w:rsid w:val="00C54F4D"/>
    <w:rsid w:val="00C5533C"/>
    <w:rsid w:val="00C5541E"/>
    <w:rsid w:val="00C556FD"/>
    <w:rsid w:val="00C55C51"/>
    <w:rsid w:val="00C55FD1"/>
    <w:rsid w:val="00C56059"/>
    <w:rsid w:val="00C56803"/>
    <w:rsid w:val="00C56BF1"/>
    <w:rsid w:val="00C56C87"/>
    <w:rsid w:val="00C56C9B"/>
    <w:rsid w:val="00C56DD6"/>
    <w:rsid w:val="00C57058"/>
    <w:rsid w:val="00C570BC"/>
    <w:rsid w:val="00C57412"/>
    <w:rsid w:val="00C574BC"/>
    <w:rsid w:val="00C576C4"/>
    <w:rsid w:val="00C578B9"/>
    <w:rsid w:val="00C57A8F"/>
    <w:rsid w:val="00C60F96"/>
    <w:rsid w:val="00C60FF4"/>
    <w:rsid w:val="00C61502"/>
    <w:rsid w:val="00C61836"/>
    <w:rsid w:val="00C61E6D"/>
    <w:rsid w:val="00C6231D"/>
    <w:rsid w:val="00C628B2"/>
    <w:rsid w:val="00C6290D"/>
    <w:rsid w:val="00C62AAE"/>
    <w:rsid w:val="00C62C49"/>
    <w:rsid w:val="00C62CBD"/>
    <w:rsid w:val="00C62EC5"/>
    <w:rsid w:val="00C634C7"/>
    <w:rsid w:val="00C63879"/>
    <w:rsid w:val="00C639E4"/>
    <w:rsid w:val="00C63A59"/>
    <w:rsid w:val="00C63B8C"/>
    <w:rsid w:val="00C63CDB"/>
    <w:rsid w:val="00C63D89"/>
    <w:rsid w:val="00C63F73"/>
    <w:rsid w:val="00C6463F"/>
    <w:rsid w:val="00C64FE0"/>
    <w:rsid w:val="00C656B5"/>
    <w:rsid w:val="00C6586D"/>
    <w:rsid w:val="00C65916"/>
    <w:rsid w:val="00C660E4"/>
    <w:rsid w:val="00C66324"/>
    <w:rsid w:val="00C663C5"/>
    <w:rsid w:val="00C66612"/>
    <w:rsid w:val="00C66704"/>
    <w:rsid w:val="00C6677C"/>
    <w:rsid w:val="00C66787"/>
    <w:rsid w:val="00C667CD"/>
    <w:rsid w:val="00C66D06"/>
    <w:rsid w:val="00C67332"/>
    <w:rsid w:val="00C673AD"/>
    <w:rsid w:val="00C67720"/>
    <w:rsid w:val="00C6778A"/>
    <w:rsid w:val="00C67806"/>
    <w:rsid w:val="00C67828"/>
    <w:rsid w:val="00C7020A"/>
    <w:rsid w:val="00C7066C"/>
    <w:rsid w:val="00C7072A"/>
    <w:rsid w:val="00C70783"/>
    <w:rsid w:val="00C70888"/>
    <w:rsid w:val="00C70894"/>
    <w:rsid w:val="00C70A4E"/>
    <w:rsid w:val="00C70B4E"/>
    <w:rsid w:val="00C70CE3"/>
    <w:rsid w:val="00C70E53"/>
    <w:rsid w:val="00C718E5"/>
    <w:rsid w:val="00C727B5"/>
    <w:rsid w:val="00C7283E"/>
    <w:rsid w:val="00C72855"/>
    <w:rsid w:val="00C729A1"/>
    <w:rsid w:val="00C729A8"/>
    <w:rsid w:val="00C72C51"/>
    <w:rsid w:val="00C72CB6"/>
    <w:rsid w:val="00C72E47"/>
    <w:rsid w:val="00C72EB2"/>
    <w:rsid w:val="00C731DA"/>
    <w:rsid w:val="00C73477"/>
    <w:rsid w:val="00C73708"/>
    <w:rsid w:val="00C73904"/>
    <w:rsid w:val="00C7391E"/>
    <w:rsid w:val="00C73F6D"/>
    <w:rsid w:val="00C74048"/>
    <w:rsid w:val="00C742FC"/>
    <w:rsid w:val="00C7430A"/>
    <w:rsid w:val="00C744A5"/>
    <w:rsid w:val="00C7451B"/>
    <w:rsid w:val="00C747F8"/>
    <w:rsid w:val="00C7495C"/>
    <w:rsid w:val="00C74D88"/>
    <w:rsid w:val="00C74F90"/>
    <w:rsid w:val="00C74FE6"/>
    <w:rsid w:val="00C7511D"/>
    <w:rsid w:val="00C75191"/>
    <w:rsid w:val="00C7520D"/>
    <w:rsid w:val="00C7533A"/>
    <w:rsid w:val="00C7549C"/>
    <w:rsid w:val="00C756B8"/>
    <w:rsid w:val="00C75BAB"/>
    <w:rsid w:val="00C75BAE"/>
    <w:rsid w:val="00C75FAA"/>
    <w:rsid w:val="00C7617C"/>
    <w:rsid w:val="00C76324"/>
    <w:rsid w:val="00C76453"/>
    <w:rsid w:val="00C769AC"/>
    <w:rsid w:val="00C76A71"/>
    <w:rsid w:val="00C77547"/>
    <w:rsid w:val="00C77958"/>
    <w:rsid w:val="00C77C61"/>
    <w:rsid w:val="00C77E84"/>
    <w:rsid w:val="00C780FF"/>
    <w:rsid w:val="00C8048D"/>
    <w:rsid w:val="00C804BA"/>
    <w:rsid w:val="00C805ED"/>
    <w:rsid w:val="00C80935"/>
    <w:rsid w:val="00C80999"/>
    <w:rsid w:val="00C809A2"/>
    <w:rsid w:val="00C80B08"/>
    <w:rsid w:val="00C80E49"/>
    <w:rsid w:val="00C81357"/>
    <w:rsid w:val="00C813E2"/>
    <w:rsid w:val="00C818C5"/>
    <w:rsid w:val="00C81A91"/>
    <w:rsid w:val="00C8209C"/>
    <w:rsid w:val="00C824BF"/>
    <w:rsid w:val="00C82643"/>
    <w:rsid w:val="00C8268B"/>
    <w:rsid w:val="00C82963"/>
    <w:rsid w:val="00C82A0A"/>
    <w:rsid w:val="00C82FB5"/>
    <w:rsid w:val="00C8302A"/>
    <w:rsid w:val="00C83B98"/>
    <w:rsid w:val="00C83BF4"/>
    <w:rsid w:val="00C83E41"/>
    <w:rsid w:val="00C83F47"/>
    <w:rsid w:val="00C84350"/>
    <w:rsid w:val="00C8463F"/>
    <w:rsid w:val="00C84B82"/>
    <w:rsid w:val="00C84CDB"/>
    <w:rsid w:val="00C84F91"/>
    <w:rsid w:val="00C85259"/>
    <w:rsid w:val="00C859E8"/>
    <w:rsid w:val="00C85FAE"/>
    <w:rsid w:val="00C86068"/>
    <w:rsid w:val="00C86350"/>
    <w:rsid w:val="00C8677B"/>
    <w:rsid w:val="00C86B9C"/>
    <w:rsid w:val="00C86BAA"/>
    <w:rsid w:val="00C8724F"/>
    <w:rsid w:val="00C87934"/>
    <w:rsid w:val="00C87CD9"/>
    <w:rsid w:val="00C90119"/>
    <w:rsid w:val="00C90773"/>
    <w:rsid w:val="00C908AE"/>
    <w:rsid w:val="00C9094D"/>
    <w:rsid w:val="00C90A23"/>
    <w:rsid w:val="00C90F7F"/>
    <w:rsid w:val="00C910E3"/>
    <w:rsid w:val="00C91365"/>
    <w:rsid w:val="00C9186B"/>
    <w:rsid w:val="00C91C16"/>
    <w:rsid w:val="00C91C64"/>
    <w:rsid w:val="00C91F89"/>
    <w:rsid w:val="00C91FDB"/>
    <w:rsid w:val="00C921F7"/>
    <w:rsid w:val="00C9221B"/>
    <w:rsid w:val="00C92433"/>
    <w:rsid w:val="00C924D5"/>
    <w:rsid w:val="00C929EB"/>
    <w:rsid w:val="00C92B55"/>
    <w:rsid w:val="00C92EB3"/>
    <w:rsid w:val="00C9345C"/>
    <w:rsid w:val="00C93600"/>
    <w:rsid w:val="00C93B8C"/>
    <w:rsid w:val="00C93C2B"/>
    <w:rsid w:val="00C93EB7"/>
    <w:rsid w:val="00C93ED8"/>
    <w:rsid w:val="00C94433"/>
    <w:rsid w:val="00C94549"/>
    <w:rsid w:val="00C945F2"/>
    <w:rsid w:val="00C94A6A"/>
    <w:rsid w:val="00C94BC7"/>
    <w:rsid w:val="00C94F18"/>
    <w:rsid w:val="00C94F71"/>
    <w:rsid w:val="00C95250"/>
    <w:rsid w:val="00C95647"/>
    <w:rsid w:val="00C9578C"/>
    <w:rsid w:val="00C959B3"/>
    <w:rsid w:val="00C95A80"/>
    <w:rsid w:val="00C95AAF"/>
    <w:rsid w:val="00C964B0"/>
    <w:rsid w:val="00C96637"/>
    <w:rsid w:val="00C9688B"/>
    <w:rsid w:val="00C96C8A"/>
    <w:rsid w:val="00C96EBE"/>
    <w:rsid w:val="00C97002"/>
    <w:rsid w:val="00C9748A"/>
    <w:rsid w:val="00C9772C"/>
    <w:rsid w:val="00CA0191"/>
    <w:rsid w:val="00CA025B"/>
    <w:rsid w:val="00CA0984"/>
    <w:rsid w:val="00CA0B10"/>
    <w:rsid w:val="00CA0B92"/>
    <w:rsid w:val="00CA0DD9"/>
    <w:rsid w:val="00CA0E6E"/>
    <w:rsid w:val="00CA0F31"/>
    <w:rsid w:val="00CA1023"/>
    <w:rsid w:val="00CA12A6"/>
    <w:rsid w:val="00CA136A"/>
    <w:rsid w:val="00CA13DE"/>
    <w:rsid w:val="00CA1473"/>
    <w:rsid w:val="00CA1529"/>
    <w:rsid w:val="00CA1C00"/>
    <w:rsid w:val="00CA1C53"/>
    <w:rsid w:val="00CA1CA2"/>
    <w:rsid w:val="00CA1CB3"/>
    <w:rsid w:val="00CA258C"/>
    <w:rsid w:val="00CA2842"/>
    <w:rsid w:val="00CA2FE1"/>
    <w:rsid w:val="00CA34C0"/>
    <w:rsid w:val="00CA35BC"/>
    <w:rsid w:val="00CA361C"/>
    <w:rsid w:val="00CA374E"/>
    <w:rsid w:val="00CA39B3"/>
    <w:rsid w:val="00CA39B5"/>
    <w:rsid w:val="00CA3F1D"/>
    <w:rsid w:val="00CA40F2"/>
    <w:rsid w:val="00CA43D4"/>
    <w:rsid w:val="00CA455A"/>
    <w:rsid w:val="00CA46FC"/>
    <w:rsid w:val="00CA4771"/>
    <w:rsid w:val="00CA4E79"/>
    <w:rsid w:val="00CA5228"/>
    <w:rsid w:val="00CA53E0"/>
    <w:rsid w:val="00CA6132"/>
    <w:rsid w:val="00CA6164"/>
    <w:rsid w:val="00CA628D"/>
    <w:rsid w:val="00CA6298"/>
    <w:rsid w:val="00CA62CA"/>
    <w:rsid w:val="00CA68EF"/>
    <w:rsid w:val="00CA69C8"/>
    <w:rsid w:val="00CA6BD1"/>
    <w:rsid w:val="00CA70C6"/>
    <w:rsid w:val="00CA70DD"/>
    <w:rsid w:val="00CA7208"/>
    <w:rsid w:val="00CA73FB"/>
    <w:rsid w:val="00CA75FC"/>
    <w:rsid w:val="00CA7666"/>
    <w:rsid w:val="00CA7944"/>
    <w:rsid w:val="00CA79EE"/>
    <w:rsid w:val="00CA7A57"/>
    <w:rsid w:val="00CB00D7"/>
    <w:rsid w:val="00CB01FE"/>
    <w:rsid w:val="00CB02E9"/>
    <w:rsid w:val="00CB0A06"/>
    <w:rsid w:val="00CB0C72"/>
    <w:rsid w:val="00CB0DCB"/>
    <w:rsid w:val="00CB0E5F"/>
    <w:rsid w:val="00CB104A"/>
    <w:rsid w:val="00CB163F"/>
    <w:rsid w:val="00CB1A5D"/>
    <w:rsid w:val="00CB1B70"/>
    <w:rsid w:val="00CB1BAE"/>
    <w:rsid w:val="00CB20EB"/>
    <w:rsid w:val="00CB23ED"/>
    <w:rsid w:val="00CB26AD"/>
    <w:rsid w:val="00CB2934"/>
    <w:rsid w:val="00CB2E6B"/>
    <w:rsid w:val="00CB33F9"/>
    <w:rsid w:val="00CB3648"/>
    <w:rsid w:val="00CB374F"/>
    <w:rsid w:val="00CB4CE7"/>
    <w:rsid w:val="00CB5215"/>
    <w:rsid w:val="00CB52B7"/>
    <w:rsid w:val="00CB5373"/>
    <w:rsid w:val="00CB5413"/>
    <w:rsid w:val="00CB55BA"/>
    <w:rsid w:val="00CB55C7"/>
    <w:rsid w:val="00CB5A76"/>
    <w:rsid w:val="00CB5B79"/>
    <w:rsid w:val="00CB5ED6"/>
    <w:rsid w:val="00CB6795"/>
    <w:rsid w:val="00CB67F0"/>
    <w:rsid w:val="00CB6B98"/>
    <w:rsid w:val="00CB7290"/>
    <w:rsid w:val="00CB746B"/>
    <w:rsid w:val="00CB7AE1"/>
    <w:rsid w:val="00CB7D0E"/>
    <w:rsid w:val="00CB7E40"/>
    <w:rsid w:val="00CB7F4A"/>
    <w:rsid w:val="00CB7FD3"/>
    <w:rsid w:val="00CC0303"/>
    <w:rsid w:val="00CC04B3"/>
    <w:rsid w:val="00CC0782"/>
    <w:rsid w:val="00CC08C8"/>
    <w:rsid w:val="00CC095E"/>
    <w:rsid w:val="00CC0EF1"/>
    <w:rsid w:val="00CC1000"/>
    <w:rsid w:val="00CC13D2"/>
    <w:rsid w:val="00CC16AD"/>
    <w:rsid w:val="00CC1933"/>
    <w:rsid w:val="00CC19B3"/>
    <w:rsid w:val="00CC1C6E"/>
    <w:rsid w:val="00CC1E39"/>
    <w:rsid w:val="00CC1F5D"/>
    <w:rsid w:val="00CC209F"/>
    <w:rsid w:val="00CC21B2"/>
    <w:rsid w:val="00CC2466"/>
    <w:rsid w:val="00CC25B3"/>
    <w:rsid w:val="00CC2868"/>
    <w:rsid w:val="00CC28D4"/>
    <w:rsid w:val="00CC2AEA"/>
    <w:rsid w:val="00CC2B0B"/>
    <w:rsid w:val="00CC2D34"/>
    <w:rsid w:val="00CC3472"/>
    <w:rsid w:val="00CC3810"/>
    <w:rsid w:val="00CC3A9F"/>
    <w:rsid w:val="00CC3ACE"/>
    <w:rsid w:val="00CC3B0E"/>
    <w:rsid w:val="00CC3EFD"/>
    <w:rsid w:val="00CC44EE"/>
    <w:rsid w:val="00CC4758"/>
    <w:rsid w:val="00CC4C72"/>
    <w:rsid w:val="00CC5015"/>
    <w:rsid w:val="00CC531B"/>
    <w:rsid w:val="00CC54DA"/>
    <w:rsid w:val="00CC5A50"/>
    <w:rsid w:val="00CC5B10"/>
    <w:rsid w:val="00CC5EF8"/>
    <w:rsid w:val="00CC6081"/>
    <w:rsid w:val="00CC625F"/>
    <w:rsid w:val="00CC63B2"/>
    <w:rsid w:val="00CC64DF"/>
    <w:rsid w:val="00CC6533"/>
    <w:rsid w:val="00CC67C9"/>
    <w:rsid w:val="00CC6811"/>
    <w:rsid w:val="00CC68AB"/>
    <w:rsid w:val="00CC6DD0"/>
    <w:rsid w:val="00CC6FBA"/>
    <w:rsid w:val="00CC7036"/>
    <w:rsid w:val="00CC7130"/>
    <w:rsid w:val="00CC71F7"/>
    <w:rsid w:val="00CC7212"/>
    <w:rsid w:val="00CC73E6"/>
    <w:rsid w:val="00CC7689"/>
    <w:rsid w:val="00CC76BF"/>
    <w:rsid w:val="00CC782A"/>
    <w:rsid w:val="00CC7943"/>
    <w:rsid w:val="00CC7A37"/>
    <w:rsid w:val="00CC7DDA"/>
    <w:rsid w:val="00CC7E92"/>
    <w:rsid w:val="00CD022D"/>
    <w:rsid w:val="00CD04C4"/>
    <w:rsid w:val="00CD0815"/>
    <w:rsid w:val="00CD0B97"/>
    <w:rsid w:val="00CD0D23"/>
    <w:rsid w:val="00CD1101"/>
    <w:rsid w:val="00CD1222"/>
    <w:rsid w:val="00CD138C"/>
    <w:rsid w:val="00CD1461"/>
    <w:rsid w:val="00CD15DD"/>
    <w:rsid w:val="00CD1AD7"/>
    <w:rsid w:val="00CD1C8E"/>
    <w:rsid w:val="00CD1F92"/>
    <w:rsid w:val="00CD21FE"/>
    <w:rsid w:val="00CD25A3"/>
    <w:rsid w:val="00CD285A"/>
    <w:rsid w:val="00CD28F4"/>
    <w:rsid w:val="00CD2B7F"/>
    <w:rsid w:val="00CD2EA0"/>
    <w:rsid w:val="00CD3022"/>
    <w:rsid w:val="00CD303D"/>
    <w:rsid w:val="00CD30E4"/>
    <w:rsid w:val="00CD316B"/>
    <w:rsid w:val="00CD3495"/>
    <w:rsid w:val="00CD349E"/>
    <w:rsid w:val="00CD3669"/>
    <w:rsid w:val="00CD3A8F"/>
    <w:rsid w:val="00CD3CDC"/>
    <w:rsid w:val="00CD3F7B"/>
    <w:rsid w:val="00CD41F0"/>
    <w:rsid w:val="00CD4919"/>
    <w:rsid w:val="00CD49D1"/>
    <w:rsid w:val="00CD4E8A"/>
    <w:rsid w:val="00CD545E"/>
    <w:rsid w:val="00CD5504"/>
    <w:rsid w:val="00CD5994"/>
    <w:rsid w:val="00CD5A21"/>
    <w:rsid w:val="00CD5B44"/>
    <w:rsid w:val="00CD5BB3"/>
    <w:rsid w:val="00CD5D64"/>
    <w:rsid w:val="00CD60BC"/>
    <w:rsid w:val="00CD62A3"/>
    <w:rsid w:val="00CD62CB"/>
    <w:rsid w:val="00CD6315"/>
    <w:rsid w:val="00CD6C29"/>
    <w:rsid w:val="00CD75F4"/>
    <w:rsid w:val="00CD7818"/>
    <w:rsid w:val="00CD7C64"/>
    <w:rsid w:val="00CE00E8"/>
    <w:rsid w:val="00CE04C7"/>
    <w:rsid w:val="00CE0712"/>
    <w:rsid w:val="00CE084B"/>
    <w:rsid w:val="00CE0CE1"/>
    <w:rsid w:val="00CE11E2"/>
    <w:rsid w:val="00CE145C"/>
    <w:rsid w:val="00CE14B9"/>
    <w:rsid w:val="00CE1670"/>
    <w:rsid w:val="00CE1D0A"/>
    <w:rsid w:val="00CE1D1D"/>
    <w:rsid w:val="00CE208B"/>
    <w:rsid w:val="00CE2387"/>
    <w:rsid w:val="00CE2448"/>
    <w:rsid w:val="00CE2657"/>
    <w:rsid w:val="00CE27AE"/>
    <w:rsid w:val="00CE29B5"/>
    <w:rsid w:val="00CE2D19"/>
    <w:rsid w:val="00CE2F88"/>
    <w:rsid w:val="00CE34D2"/>
    <w:rsid w:val="00CE390A"/>
    <w:rsid w:val="00CE393D"/>
    <w:rsid w:val="00CE3C43"/>
    <w:rsid w:val="00CE3EA7"/>
    <w:rsid w:val="00CE3F19"/>
    <w:rsid w:val="00CE40D6"/>
    <w:rsid w:val="00CE441B"/>
    <w:rsid w:val="00CE45F0"/>
    <w:rsid w:val="00CE4B44"/>
    <w:rsid w:val="00CE4F5F"/>
    <w:rsid w:val="00CE518C"/>
    <w:rsid w:val="00CE524A"/>
    <w:rsid w:val="00CE526C"/>
    <w:rsid w:val="00CE52C8"/>
    <w:rsid w:val="00CE5413"/>
    <w:rsid w:val="00CE5818"/>
    <w:rsid w:val="00CE58D5"/>
    <w:rsid w:val="00CE592D"/>
    <w:rsid w:val="00CE59B0"/>
    <w:rsid w:val="00CE59F3"/>
    <w:rsid w:val="00CE5BD1"/>
    <w:rsid w:val="00CE6291"/>
    <w:rsid w:val="00CE64F3"/>
    <w:rsid w:val="00CE669E"/>
    <w:rsid w:val="00CE6732"/>
    <w:rsid w:val="00CE6BE3"/>
    <w:rsid w:val="00CE6C89"/>
    <w:rsid w:val="00CE6D36"/>
    <w:rsid w:val="00CE6E31"/>
    <w:rsid w:val="00CE731C"/>
    <w:rsid w:val="00CE74E4"/>
    <w:rsid w:val="00CE7544"/>
    <w:rsid w:val="00CE7545"/>
    <w:rsid w:val="00CE7549"/>
    <w:rsid w:val="00CE7572"/>
    <w:rsid w:val="00CE7654"/>
    <w:rsid w:val="00CE770B"/>
    <w:rsid w:val="00CE7738"/>
    <w:rsid w:val="00CE78D6"/>
    <w:rsid w:val="00CE7A9D"/>
    <w:rsid w:val="00CE7BA8"/>
    <w:rsid w:val="00CE7BC2"/>
    <w:rsid w:val="00CE7D8D"/>
    <w:rsid w:val="00CE7E70"/>
    <w:rsid w:val="00CF042D"/>
    <w:rsid w:val="00CF0670"/>
    <w:rsid w:val="00CF06C4"/>
    <w:rsid w:val="00CF06E1"/>
    <w:rsid w:val="00CF08E3"/>
    <w:rsid w:val="00CF0999"/>
    <w:rsid w:val="00CF145C"/>
    <w:rsid w:val="00CF162D"/>
    <w:rsid w:val="00CF18DA"/>
    <w:rsid w:val="00CF1BB8"/>
    <w:rsid w:val="00CF1DF8"/>
    <w:rsid w:val="00CF1EE2"/>
    <w:rsid w:val="00CF2436"/>
    <w:rsid w:val="00CF2488"/>
    <w:rsid w:val="00CF24D9"/>
    <w:rsid w:val="00CF2FDB"/>
    <w:rsid w:val="00CF312C"/>
    <w:rsid w:val="00CF320C"/>
    <w:rsid w:val="00CF3633"/>
    <w:rsid w:val="00CF379C"/>
    <w:rsid w:val="00CF37F0"/>
    <w:rsid w:val="00CF47A7"/>
    <w:rsid w:val="00CF4879"/>
    <w:rsid w:val="00CF4B7B"/>
    <w:rsid w:val="00CF4D4C"/>
    <w:rsid w:val="00CF4E3F"/>
    <w:rsid w:val="00CF5238"/>
    <w:rsid w:val="00CF5276"/>
    <w:rsid w:val="00CF5543"/>
    <w:rsid w:val="00CF57E3"/>
    <w:rsid w:val="00CF590C"/>
    <w:rsid w:val="00CF5EE2"/>
    <w:rsid w:val="00CF642B"/>
    <w:rsid w:val="00CF649F"/>
    <w:rsid w:val="00CF67EB"/>
    <w:rsid w:val="00CF70FE"/>
    <w:rsid w:val="00CF7714"/>
    <w:rsid w:val="00CF778E"/>
    <w:rsid w:val="00CF7A23"/>
    <w:rsid w:val="00CF7AEF"/>
    <w:rsid w:val="00CF7E91"/>
    <w:rsid w:val="00D005F7"/>
    <w:rsid w:val="00D00C3B"/>
    <w:rsid w:val="00D0100F"/>
    <w:rsid w:val="00D011C4"/>
    <w:rsid w:val="00D013D1"/>
    <w:rsid w:val="00D01476"/>
    <w:rsid w:val="00D014D3"/>
    <w:rsid w:val="00D014EF"/>
    <w:rsid w:val="00D019DC"/>
    <w:rsid w:val="00D020AA"/>
    <w:rsid w:val="00D021BA"/>
    <w:rsid w:val="00D0253A"/>
    <w:rsid w:val="00D0273C"/>
    <w:rsid w:val="00D02CBC"/>
    <w:rsid w:val="00D02EDB"/>
    <w:rsid w:val="00D03420"/>
    <w:rsid w:val="00D03626"/>
    <w:rsid w:val="00D039FE"/>
    <w:rsid w:val="00D03BD0"/>
    <w:rsid w:val="00D0422A"/>
    <w:rsid w:val="00D042D3"/>
    <w:rsid w:val="00D043A0"/>
    <w:rsid w:val="00D0471F"/>
    <w:rsid w:val="00D04871"/>
    <w:rsid w:val="00D04975"/>
    <w:rsid w:val="00D04A6C"/>
    <w:rsid w:val="00D05408"/>
    <w:rsid w:val="00D05421"/>
    <w:rsid w:val="00D054B5"/>
    <w:rsid w:val="00D055DF"/>
    <w:rsid w:val="00D0585D"/>
    <w:rsid w:val="00D05A91"/>
    <w:rsid w:val="00D05F7D"/>
    <w:rsid w:val="00D060C8"/>
    <w:rsid w:val="00D061DC"/>
    <w:rsid w:val="00D064B0"/>
    <w:rsid w:val="00D066B5"/>
    <w:rsid w:val="00D06928"/>
    <w:rsid w:val="00D0720C"/>
    <w:rsid w:val="00D07705"/>
    <w:rsid w:val="00D07AB7"/>
    <w:rsid w:val="00D07BFB"/>
    <w:rsid w:val="00D1002F"/>
    <w:rsid w:val="00D10146"/>
    <w:rsid w:val="00D1028E"/>
    <w:rsid w:val="00D10322"/>
    <w:rsid w:val="00D10644"/>
    <w:rsid w:val="00D10844"/>
    <w:rsid w:val="00D109C7"/>
    <w:rsid w:val="00D11381"/>
    <w:rsid w:val="00D11410"/>
    <w:rsid w:val="00D1145C"/>
    <w:rsid w:val="00D11837"/>
    <w:rsid w:val="00D118B7"/>
    <w:rsid w:val="00D118FE"/>
    <w:rsid w:val="00D11940"/>
    <w:rsid w:val="00D11F70"/>
    <w:rsid w:val="00D122FC"/>
    <w:rsid w:val="00D12CE9"/>
    <w:rsid w:val="00D12E3B"/>
    <w:rsid w:val="00D13363"/>
    <w:rsid w:val="00D1397E"/>
    <w:rsid w:val="00D13B7D"/>
    <w:rsid w:val="00D13D9B"/>
    <w:rsid w:val="00D13DF7"/>
    <w:rsid w:val="00D13E22"/>
    <w:rsid w:val="00D13EA9"/>
    <w:rsid w:val="00D1408F"/>
    <w:rsid w:val="00D145A0"/>
    <w:rsid w:val="00D145B5"/>
    <w:rsid w:val="00D14805"/>
    <w:rsid w:val="00D14852"/>
    <w:rsid w:val="00D149CB"/>
    <w:rsid w:val="00D14B4B"/>
    <w:rsid w:val="00D14D64"/>
    <w:rsid w:val="00D14DC1"/>
    <w:rsid w:val="00D14F1B"/>
    <w:rsid w:val="00D156FE"/>
    <w:rsid w:val="00D15830"/>
    <w:rsid w:val="00D15A41"/>
    <w:rsid w:val="00D15B26"/>
    <w:rsid w:val="00D15F57"/>
    <w:rsid w:val="00D161AA"/>
    <w:rsid w:val="00D16221"/>
    <w:rsid w:val="00D1671A"/>
    <w:rsid w:val="00D169E4"/>
    <w:rsid w:val="00D16A34"/>
    <w:rsid w:val="00D16D3E"/>
    <w:rsid w:val="00D172B0"/>
    <w:rsid w:val="00D172E9"/>
    <w:rsid w:val="00D17BF5"/>
    <w:rsid w:val="00D17C61"/>
    <w:rsid w:val="00D17C62"/>
    <w:rsid w:val="00D17DD1"/>
    <w:rsid w:val="00D17EF7"/>
    <w:rsid w:val="00D20612"/>
    <w:rsid w:val="00D20642"/>
    <w:rsid w:val="00D207AB"/>
    <w:rsid w:val="00D20D49"/>
    <w:rsid w:val="00D20E31"/>
    <w:rsid w:val="00D20F12"/>
    <w:rsid w:val="00D2116F"/>
    <w:rsid w:val="00D21529"/>
    <w:rsid w:val="00D2162B"/>
    <w:rsid w:val="00D21C28"/>
    <w:rsid w:val="00D21DC0"/>
    <w:rsid w:val="00D21DCB"/>
    <w:rsid w:val="00D21F26"/>
    <w:rsid w:val="00D223FF"/>
    <w:rsid w:val="00D227E4"/>
    <w:rsid w:val="00D22DDF"/>
    <w:rsid w:val="00D236B1"/>
    <w:rsid w:val="00D23815"/>
    <w:rsid w:val="00D23B44"/>
    <w:rsid w:val="00D23C25"/>
    <w:rsid w:val="00D23D81"/>
    <w:rsid w:val="00D242B3"/>
    <w:rsid w:val="00D24484"/>
    <w:rsid w:val="00D24790"/>
    <w:rsid w:val="00D247F7"/>
    <w:rsid w:val="00D248B5"/>
    <w:rsid w:val="00D248BC"/>
    <w:rsid w:val="00D24A45"/>
    <w:rsid w:val="00D25159"/>
    <w:rsid w:val="00D25322"/>
    <w:rsid w:val="00D25C23"/>
    <w:rsid w:val="00D26005"/>
    <w:rsid w:val="00D26774"/>
    <w:rsid w:val="00D26B6E"/>
    <w:rsid w:val="00D26C00"/>
    <w:rsid w:val="00D26FA7"/>
    <w:rsid w:val="00D271F8"/>
    <w:rsid w:val="00D273CC"/>
    <w:rsid w:val="00D2744D"/>
    <w:rsid w:val="00D2782A"/>
    <w:rsid w:val="00D27DE3"/>
    <w:rsid w:val="00D3022A"/>
    <w:rsid w:val="00D306F8"/>
    <w:rsid w:val="00D307CB"/>
    <w:rsid w:val="00D308DF"/>
    <w:rsid w:val="00D30CAD"/>
    <w:rsid w:val="00D30FBA"/>
    <w:rsid w:val="00D31464"/>
    <w:rsid w:val="00D31549"/>
    <w:rsid w:val="00D31765"/>
    <w:rsid w:val="00D31B20"/>
    <w:rsid w:val="00D31B8C"/>
    <w:rsid w:val="00D31D1B"/>
    <w:rsid w:val="00D32291"/>
    <w:rsid w:val="00D32357"/>
    <w:rsid w:val="00D3253A"/>
    <w:rsid w:val="00D326C6"/>
    <w:rsid w:val="00D331BF"/>
    <w:rsid w:val="00D33504"/>
    <w:rsid w:val="00D337A7"/>
    <w:rsid w:val="00D33800"/>
    <w:rsid w:val="00D3404C"/>
    <w:rsid w:val="00D3413A"/>
    <w:rsid w:val="00D341CC"/>
    <w:rsid w:val="00D3452C"/>
    <w:rsid w:val="00D3488A"/>
    <w:rsid w:val="00D34A43"/>
    <w:rsid w:val="00D34B19"/>
    <w:rsid w:val="00D34D21"/>
    <w:rsid w:val="00D34E0B"/>
    <w:rsid w:val="00D34ED7"/>
    <w:rsid w:val="00D34F89"/>
    <w:rsid w:val="00D351DD"/>
    <w:rsid w:val="00D3554B"/>
    <w:rsid w:val="00D3570A"/>
    <w:rsid w:val="00D35BB9"/>
    <w:rsid w:val="00D35C2B"/>
    <w:rsid w:val="00D35C6E"/>
    <w:rsid w:val="00D362EC"/>
    <w:rsid w:val="00D36433"/>
    <w:rsid w:val="00D36596"/>
    <w:rsid w:val="00D3680C"/>
    <w:rsid w:val="00D36D34"/>
    <w:rsid w:val="00D36DE7"/>
    <w:rsid w:val="00D36DEB"/>
    <w:rsid w:val="00D37003"/>
    <w:rsid w:val="00D37428"/>
    <w:rsid w:val="00D37627"/>
    <w:rsid w:val="00D37B82"/>
    <w:rsid w:val="00D4003B"/>
    <w:rsid w:val="00D40208"/>
    <w:rsid w:val="00D4047A"/>
    <w:rsid w:val="00D405CB"/>
    <w:rsid w:val="00D407A9"/>
    <w:rsid w:val="00D40958"/>
    <w:rsid w:val="00D4098A"/>
    <w:rsid w:val="00D40B73"/>
    <w:rsid w:val="00D410CB"/>
    <w:rsid w:val="00D412D1"/>
    <w:rsid w:val="00D414E4"/>
    <w:rsid w:val="00D41514"/>
    <w:rsid w:val="00D41665"/>
    <w:rsid w:val="00D41706"/>
    <w:rsid w:val="00D4185A"/>
    <w:rsid w:val="00D41B35"/>
    <w:rsid w:val="00D41C78"/>
    <w:rsid w:val="00D4202F"/>
    <w:rsid w:val="00D4245A"/>
    <w:rsid w:val="00D42613"/>
    <w:rsid w:val="00D42686"/>
    <w:rsid w:val="00D42A9E"/>
    <w:rsid w:val="00D42DB3"/>
    <w:rsid w:val="00D43969"/>
    <w:rsid w:val="00D43FD4"/>
    <w:rsid w:val="00D44424"/>
    <w:rsid w:val="00D44806"/>
    <w:rsid w:val="00D44A0D"/>
    <w:rsid w:val="00D44B07"/>
    <w:rsid w:val="00D450D2"/>
    <w:rsid w:val="00D453FA"/>
    <w:rsid w:val="00D454BC"/>
    <w:rsid w:val="00D458BF"/>
    <w:rsid w:val="00D461EA"/>
    <w:rsid w:val="00D462D8"/>
    <w:rsid w:val="00D4650B"/>
    <w:rsid w:val="00D46AEC"/>
    <w:rsid w:val="00D46B3A"/>
    <w:rsid w:val="00D46B46"/>
    <w:rsid w:val="00D471EB"/>
    <w:rsid w:val="00D4742A"/>
    <w:rsid w:val="00D47433"/>
    <w:rsid w:val="00D4744A"/>
    <w:rsid w:val="00D4751E"/>
    <w:rsid w:val="00D475B5"/>
    <w:rsid w:val="00D47C09"/>
    <w:rsid w:val="00D503F0"/>
    <w:rsid w:val="00D5059D"/>
    <w:rsid w:val="00D5065C"/>
    <w:rsid w:val="00D50756"/>
    <w:rsid w:val="00D50CB8"/>
    <w:rsid w:val="00D510F1"/>
    <w:rsid w:val="00D5148E"/>
    <w:rsid w:val="00D514A8"/>
    <w:rsid w:val="00D514EE"/>
    <w:rsid w:val="00D51601"/>
    <w:rsid w:val="00D51C76"/>
    <w:rsid w:val="00D5218E"/>
    <w:rsid w:val="00D523E3"/>
    <w:rsid w:val="00D52530"/>
    <w:rsid w:val="00D5258D"/>
    <w:rsid w:val="00D5263E"/>
    <w:rsid w:val="00D52C78"/>
    <w:rsid w:val="00D52C9D"/>
    <w:rsid w:val="00D52CBC"/>
    <w:rsid w:val="00D530C3"/>
    <w:rsid w:val="00D53131"/>
    <w:rsid w:val="00D53231"/>
    <w:rsid w:val="00D533EB"/>
    <w:rsid w:val="00D5382F"/>
    <w:rsid w:val="00D53AD7"/>
    <w:rsid w:val="00D53CF8"/>
    <w:rsid w:val="00D53E10"/>
    <w:rsid w:val="00D53E11"/>
    <w:rsid w:val="00D53F55"/>
    <w:rsid w:val="00D54037"/>
    <w:rsid w:val="00D5456D"/>
    <w:rsid w:val="00D549AF"/>
    <w:rsid w:val="00D54B86"/>
    <w:rsid w:val="00D54B8F"/>
    <w:rsid w:val="00D54BFD"/>
    <w:rsid w:val="00D54C77"/>
    <w:rsid w:val="00D55063"/>
    <w:rsid w:val="00D5508D"/>
    <w:rsid w:val="00D5509B"/>
    <w:rsid w:val="00D550F4"/>
    <w:rsid w:val="00D551C2"/>
    <w:rsid w:val="00D5537A"/>
    <w:rsid w:val="00D55B69"/>
    <w:rsid w:val="00D55D73"/>
    <w:rsid w:val="00D560F5"/>
    <w:rsid w:val="00D56474"/>
    <w:rsid w:val="00D565B1"/>
    <w:rsid w:val="00D5672C"/>
    <w:rsid w:val="00D56A30"/>
    <w:rsid w:val="00D56E85"/>
    <w:rsid w:val="00D56FBB"/>
    <w:rsid w:val="00D57228"/>
    <w:rsid w:val="00D574D4"/>
    <w:rsid w:val="00D577F6"/>
    <w:rsid w:val="00D57A18"/>
    <w:rsid w:val="00D57BD0"/>
    <w:rsid w:val="00D57CF4"/>
    <w:rsid w:val="00D57E87"/>
    <w:rsid w:val="00D57ED0"/>
    <w:rsid w:val="00D57F24"/>
    <w:rsid w:val="00D57F8F"/>
    <w:rsid w:val="00D6026D"/>
    <w:rsid w:val="00D60467"/>
    <w:rsid w:val="00D60471"/>
    <w:rsid w:val="00D606A2"/>
    <w:rsid w:val="00D60968"/>
    <w:rsid w:val="00D609C3"/>
    <w:rsid w:val="00D60A24"/>
    <w:rsid w:val="00D60B0F"/>
    <w:rsid w:val="00D60B21"/>
    <w:rsid w:val="00D60BBB"/>
    <w:rsid w:val="00D60BC8"/>
    <w:rsid w:val="00D60C88"/>
    <w:rsid w:val="00D60D98"/>
    <w:rsid w:val="00D611BA"/>
    <w:rsid w:val="00D61D78"/>
    <w:rsid w:val="00D61E70"/>
    <w:rsid w:val="00D61F26"/>
    <w:rsid w:val="00D61F8C"/>
    <w:rsid w:val="00D623A0"/>
    <w:rsid w:val="00D624DB"/>
    <w:rsid w:val="00D625AE"/>
    <w:rsid w:val="00D6261B"/>
    <w:rsid w:val="00D6273F"/>
    <w:rsid w:val="00D6274D"/>
    <w:rsid w:val="00D62780"/>
    <w:rsid w:val="00D62B1A"/>
    <w:rsid w:val="00D62CB2"/>
    <w:rsid w:val="00D62E47"/>
    <w:rsid w:val="00D62F0B"/>
    <w:rsid w:val="00D630C7"/>
    <w:rsid w:val="00D631BD"/>
    <w:rsid w:val="00D6349D"/>
    <w:rsid w:val="00D6358D"/>
    <w:rsid w:val="00D635F6"/>
    <w:rsid w:val="00D639BF"/>
    <w:rsid w:val="00D63C84"/>
    <w:rsid w:val="00D63CAC"/>
    <w:rsid w:val="00D641F1"/>
    <w:rsid w:val="00D6427B"/>
    <w:rsid w:val="00D64355"/>
    <w:rsid w:val="00D643C5"/>
    <w:rsid w:val="00D645C6"/>
    <w:rsid w:val="00D64D2A"/>
    <w:rsid w:val="00D64F2D"/>
    <w:rsid w:val="00D64F99"/>
    <w:rsid w:val="00D65131"/>
    <w:rsid w:val="00D65473"/>
    <w:rsid w:val="00D65570"/>
    <w:rsid w:val="00D65D16"/>
    <w:rsid w:val="00D65D40"/>
    <w:rsid w:val="00D65D5C"/>
    <w:rsid w:val="00D65E30"/>
    <w:rsid w:val="00D65EEC"/>
    <w:rsid w:val="00D665FA"/>
    <w:rsid w:val="00D66F25"/>
    <w:rsid w:val="00D671CE"/>
    <w:rsid w:val="00D677A3"/>
    <w:rsid w:val="00D6788F"/>
    <w:rsid w:val="00D678FA"/>
    <w:rsid w:val="00D67C63"/>
    <w:rsid w:val="00D67F63"/>
    <w:rsid w:val="00D706AA"/>
    <w:rsid w:val="00D706CD"/>
    <w:rsid w:val="00D7082C"/>
    <w:rsid w:val="00D70909"/>
    <w:rsid w:val="00D70A9E"/>
    <w:rsid w:val="00D70E7A"/>
    <w:rsid w:val="00D70F73"/>
    <w:rsid w:val="00D71086"/>
    <w:rsid w:val="00D714C6"/>
    <w:rsid w:val="00D7165B"/>
    <w:rsid w:val="00D716F0"/>
    <w:rsid w:val="00D71763"/>
    <w:rsid w:val="00D717F0"/>
    <w:rsid w:val="00D71811"/>
    <w:rsid w:val="00D71829"/>
    <w:rsid w:val="00D718CE"/>
    <w:rsid w:val="00D71EAB"/>
    <w:rsid w:val="00D71F28"/>
    <w:rsid w:val="00D7208B"/>
    <w:rsid w:val="00D72121"/>
    <w:rsid w:val="00D7248A"/>
    <w:rsid w:val="00D724E4"/>
    <w:rsid w:val="00D733DA"/>
    <w:rsid w:val="00D7352E"/>
    <w:rsid w:val="00D73560"/>
    <w:rsid w:val="00D7373E"/>
    <w:rsid w:val="00D738BA"/>
    <w:rsid w:val="00D739B6"/>
    <w:rsid w:val="00D73DA1"/>
    <w:rsid w:val="00D73EE2"/>
    <w:rsid w:val="00D740E4"/>
    <w:rsid w:val="00D740E9"/>
    <w:rsid w:val="00D74251"/>
    <w:rsid w:val="00D7450C"/>
    <w:rsid w:val="00D74E13"/>
    <w:rsid w:val="00D75328"/>
    <w:rsid w:val="00D75650"/>
    <w:rsid w:val="00D75781"/>
    <w:rsid w:val="00D757D7"/>
    <w:rsid w:val="00D7636A"/>
    <w:rsid w:val="00D76923"/>
    <w:rsid w:val="00D76D42"/>
    <w:rsid w:val="00D76D77"/>
    <w:rsid w:val="00D77948"/>
    <w:rsid w:val="00D77A76"/>
    <w:rsid w:val="00D77F7E"/>
    <w:rsid w:val="00D80108"/>
    <w:rsid w:val="00D8026F"/>
    <w:rsid w:val="00D80396"/>
    <w:rsid w:val="00D806F6"/>
    <w:rsid w:val="00D80801"/>
    <w:rsid w:val="00D80915"/>
    <w:rsid w:val="00D810A4"/>
    <w:rsid w:val="00D81367"/>
    <w:rsid w:val="00D816C4"/>
    <w:rsid w:val="00D8194E"/>
    <w:rsid w:val="00D81DB4"/>
    <w:rsid w:val="00D8200C"/>
    <w:rsid w:val="00D82200"/>
    <w:rsid w:val="00D82248"/>
    <w:rsid w:val="00D8248F"/>
    <w:rsid w:val="00D825FF"/>
    <w:rsid w:val="00D82718"/>
    <w:rsid w:val="00D827B4"/>
    <w:rsid w:val="00D82936"/>
    <w:rsid w:val="00D82A0C"/>
    <w:rsid w:val="00D82BD6"/>
    <w:rsid w:val="00D82D4B"/>
    <w:rsid w:val="00D82F39"/>
    <w:rsid w:val="00D83096"/>
    <w:rsid w:val="00D835D1"/>
    <w:rsid w:val="00D83676"/>
    <w:rsid w:val="00D836C5"/>
    <w:rsid w:val="00D83720"/>
    <w:rsid w:val="00D83889"/>
    <w:rsid w:val="00D83B51"/>
    <w:rsid w:val="00D83B73"/>
    <w:rsid w:val="00D847BD"/>
    <w:rsid w:val="00D847C2"/>
    <w:rsid w:val="00D852DD"/>
    <w:rsid w:val="00D85474"/>
    <w:rsid w:val="00D8564E"/>
    <w:rsid w:val="00D857AB"/>
    <w:rsid w:val="00D85937"/>
    <w:rsid w:val="00D85A78"/>
    <w:rsid w:val="00D85B92"/>
    <w:rsid w:val="00D85D1A"/>
    <w:rsid w:val="00D85D68"/>
    <w:rsid w:val="00D85E7D"/>
    <w:rsid w:val="00D86474"/>
    <w:rsid w:val="00D86F81"/>
    <w:rsid w:val="00D87347"/>
    <w:rsid w:val="00D874A4"/>
    <w:rsid w:val="00D877E1"/>
    <w:rsid w:val="00D878BE"/>
    <w:rsid w:val="00D87D3C"/>
    <w:rsid w:val="00D87D9D"/>
    <w:rsid w:val="00D87E61"/>
    <w:rsid w:val="00D9011F"/>
    <w:rsid w:val="00D901EA"/>
    <w:rsid w:val="00D901F2"/>
    <w:rsid w:val="00D903C8"/>
    <w:rsid w:val="00D90B05"/>
    <w:rsid w:val="00D90D65"/>
    <w:rsid w:val="00D9100F"/>
    <w:rsid w:val="00D911B8"/>
    <w:rsid w:val="00D91419"/>
    <w:rsid w:val="00D918AE"/>
    <w:rsid w:val="00D91963"/>
    <w:rsid w:val="00D91E99"/>
    <w:rsid w:val="00D92383"/>
    <w:rsid w:val="00D9241C"/>
    <w:rsid w:val="00D9255B"/>
    <w:rsid w:val="00D927EF"/>
    <w:rsid w:val="00D92991"/>
    <w:rsid w:val="00D92DE3"/>
    <w:rsid w:val="00D92E39"/>
    <w:rsid w:val="00D9303A"/>
    <w:rsid w:val="00D93156"/>
    <w:rsid w:val="00D93963"/>
    <w:rsid w:val="00D939E2"/>
    <w:rsid w:val="00D93F78"/>
    <w:rsid w:val="00D94075"/>
    <w:rsid w:val="00D942DC"/>
    <w:rsid w:val="00D944AD"/>
    <w:rsid w:val="00D94590"/>
    <w:rsid w:val="00D94A6A"/>
    <w:rsid w:val="00D94F66"/>
    <w:rsid w:val="00D95616"/>
    <w:rsid w:val="00D95A3C"/>
    <w:rsid w:val="00D961F5"/>
    <w:rsid w:val="00D965FD"/>
    <w:rsid w:val="00D96B63"/>
    <w:rsid w:val="00D96D51"/>
    <w:rsid w:val="00D97204"/>
    <w:rsid w:val="00D97A83"/>
    <w:rsid w:val="00D97A87"/>
    <w:rsid w:val="00D97DCA"/>
    <w:rsid w:val="00DA00C1"/>
    <w:rsid w:val="00DA0BB2"/>
    <w:rsid w:val="00DA0C38"/>
    <w:rsid w:val="00DA0D2A"/>
    <w:rsid w:val="00DA13CE"/>
    <w:rsid w:val="00DA15E2"/>
    <w:rsid w:val="00DA199F"/>
    <w:rsid w:val="00DA19BD"/>
    <w:rsid w:val="00DA1AC1"/>
    <w:rsid w:val="00DA1B00"/>
    <w:rsid w:val="00DA1C93"/>
    <w:rsid w:val="00DA1CD9"/>
    <w:rsid w:val="00DA2156"/>
    <w:rsid w:val="00DA235A"/>
    <w:rsid w:val="00DA241B"/>
    <w:rsid w:val="00DA253F"/>
    <w:rsid w:val="00DA2852"/>
    <w:rsid w:val="00DA2910"/>
    <w:rsid w:val="00DA2B4D"/>
    <w:rsid w:val="00DA2D8A"/>
    <w:rsid w:val="00DA3976"/>
    <w:rsid w:val="00DA3A69"/>
    <w:rsid w:val="00DA4005"/>
    <w:rsid w:val="00DA450B"/>
    <w:rsid w:val="00DA4902"/>
    <w:rsid w:val="00DA49E3"/>
    <w:rsid w:val="00DA4D5D"/>
    <w:rsid w:val="00DA4F3B"/>
    <w:rsid w:val="00DA509E"/>
    <w:rsid w:val="00DA5305"/>
    <w:rsid w:val="00DA54DB"/>
    <w:rsid w:val="00DA56D3"/>
    <w:rsid w:val="00DA57E9"/>
    <w:rsid w:val="00DA586D"/>
    <w:rsid w:val="00DA58B6"/>
    <w:rsid w:val="00DA6260"/>
    <w:rsid w:val="00DA63B6"/>
    <w:rsid w:val="00DA63DA"/>
    <w:rsid w:val="00DA678F"/>
    <w:rsid w:val="00DA691D"/>
    <w:rsid w:val="00DA6ADD"/>
    <w:rsid w:val="00DA6B41"/>
    <w:rsid w:val="00DA7096"/>
    <w:rsid w:val="00DA743B"/>
    <w:rsid w:val="00DA747C"/>
    <w:rsid w:val="00DA7549"/>
    <w:rsid w:val="00DA759E"/>
    <w:rsid w:val="00DA7831"/>
    <w:rsid w:val="00DA79AE"/>
    <w:rsid w:val="00DA79DA"/>
    <w:rsid w:val="00DA7F21"/>
    <w:rsid w:val="00DB01BB"/>
    <w:rsid w:val="00DB0335"/>
    <w:rsid w:val="00DB0537"/>
    <w:rsid w:val="00DB0704"/>
    <w:rsid w:val="00DB0927"/>
    <w:rsid w:val="00DB1327"/>
    <w:rsid w:val="00DB1388"/>
    <w:rsid w:val="00DB1692"/>
    <w:rsid w:val="00DB2562"/>
    <w:rsid w:val="00DB2F06"/>
    <w:rsid w:val="00DB346B"/>
    <w:rsid w:val="00DB39C9"/>
    <w:rsid w:val="00DB3D64"/>
    <w:rsid w:val="00DB4458"/>
    <w:rsid w:val="00DB46C4"/>
    <w:rsid w:val="00DB50A1"/>
    <w:rsid w:val="00DB5512"/>
    <w:rsid w:val="00DB5597"/>
    <w:rsid w:val="00DB608A"/>
    <w:rsid w:val="00DB622D"/>
    <w:rsid w:val="00DB644C"/>
    <w:rsid w:val="00DB6536"/>
    <w:rsid w:val="00DB6939"/>
    <w:rsid w:val="00DB6D34"/>
    <w:rsid w:val="00DB6E59"/>
    <w:rsid w:val="00DB706C"/>
    <w:rsid w:val="00DB7B0D"/>
    <w:rsid w:val="00DB7C7D"/>
    <w:rsid w:val="00DC03C8"/>
    <w:rsid w:val="00DC03C9"/>
    <w:rsid w:val="00DC04DC"/>
    <w:rsid w:val="00DC0774"/>
    <w:rsid w:val="00DC0C4B"/>
    <w:rsid w:val="00DC15F6"/>
    <w:rsid w:val="00DC16F6"/>
    <w:rsid w:val="00DC17BD"/>
    <w:rsid w:val="00DC1800"/>
    <w:rsid w:val="00DC19D9"/>
    <w:rsid w:val="00DC1B91"/>
    <w:rsid w:val="00DC2146"/>
    <w:rsid w:val="00DC288B"/>
    <w:rsid w:val="00DC2AE2"/>
    <w:rsid w:val="00DC2B8F"/>
    <w:rsid w:val="00DC2F6B"/>
    <w:rsid w:val="00DC354F"/>
    <w:rsid w:val="00DC3B67"/>
    <w:rsid w:val="00DC3FD2"/>
    <w:rsid w:val="00DC4713"/>
    <w:rsid w:val="00DC4A66"/>
    <w:rsid w:val="00DC4DC3"/>
    <w:rsid w:val="00DC4ECF"/>
    <w:rsid w:val="00DC4F7A"/>
    <w:rsid w:val="00DC5336"/>
    <w:rsid w:val="00DC5B1B"/>
    <w:rsid w:val="00DC5F51"/>
    <w:rsid w:val="00DC641C"/>
    <w:rsid w:val="00DC642C"/>
    <w:rsid w:val="00DC677C"/>
    <w:rsid w:val="00DC67A9"/>
    <w:rsid w:val="00DC67DA"/>
    <w:rsid w:val="00DC6AA9"/>
    <w:rsid w:val="00DC6ABE"/>
    <w:rsid w:val="00DC6F22"/>
    <w:rsid w:val="00DC6F69"/>
    <w:rsid w:val="00DC734A"/>
    <w:rsid w:val="00DC747F"/>
    <w:rsid w:val="00DC750F"/>
    <w:rsid w:val="00DC77A7"/>
    <w:rsid w:val="00DC7A15"/>
    <w:rsid w:val="00DC7B85"/>
    <w:rsid w:val="00DC7F39"/>
    <w:rsid w:val="00DD0541"/>
    <w:rsid w:val="00DD06FC"/>
    <w:rsid w:val="00DD0766"/>
    <w:rsid w:val="00DD093D"/>
    <w:rsid w:val="00DD0959"/>
    <w:rsid w:val="00DD099F"/>
    <w:rsid w:val="00DD0FDB"/>
    <w:rsid w:val="00DD101D"/>
    <w:rsid w:val="00DD155F"/>
    <w:rsid w:val="00DD1723"/>
    <w:rsid w:val="00DD1781"/>
    <w:rsid w:val="00DD1B7E"/>
    <w:rsid w:val="00DD1F2C"/>
    <w:rsid w:val="00DD2408"/>
    <w:rsid w:val="00DD2573"/>
    <w:rsid w:val="00DD3015"/>
    <w:rsid w:val="00DD32D6"/>
    <w:rsid w:val="00DD34E6"/>
    <w:rsid w:val="00DD3B29"/>
    <w:rsid w:val="00DD3B2D"/>
    <w:rsid w:val="00DD3B67"/>
    <w:rsid w:val="00DD3FCF"/>
    <w:rsid w:val="00DD43B9"/>
    <w:rsid w:val="00DD49F6"/>
    <w:rsid w:val="00DD4E7F"/>
    <w:rsid w:val="00DD546B"/>
    <w:rsid w:val="00DD58D9"/>
    <w:rsid w:val="00DD5B07"/>
    <w:rsid w:val="00DD5B68"/>
    <w:rsid w:val="00DD5DA7"/>
    <w:rsid w:val="00DD601A"/>
    <w:rsid w:val="00DD62C5"/>
    <w:rsid w:val="00DD67CD"/>
    <w:rsid w:val="00DD6A9F"/>
    <w:rsid w:val="00DD6D08"/>
    <w:rsid w:val="00DD6EE7"/>
    <w:rsid w:val="00DD722F"/>
    <w:rsid w:val="00DD74B0"/>
    <w:rsid w:val="00DD7913"/>
    <w:rsid w:val="00DD7C74"/>
    <w:rsid w:val="00DD7D7A"/>
    <w:rsid w:val="00DE086D"/>
    <w:rsid w:val="00DE0B5B"/>
    <w:rsid w:val="00DE13E4"/>
    <w:rsid w:val="00DE16AE"/>
    <w:rsid w:val="00DE1922"/>
    <w:rsid w:val="00DE1EEE"/>
    <w:rsid w:val="00DE208B"/>
    <w:rsid w:val="00DE2111"/>
    <w:rsid w:val="00DE222B"/>
    <w:rsid w:val="00DE22C0"/>
    <w:rsid w:val="00DE23E0"/>
    <w:rsid w:val="00DE23E4"/>
    <w:rsid w:val="00DE2959"/>
    <w:rsid w:val="00DE2C1C"/>
    <w:rsid w:val="00DE2DF2"/>
    <w:rsid w:val="00DE2DFC"/>
    <w:rsid w:val="00DE3093"/>
    <w:rsid w:val="00DE30A9"/>
    <w:rsid w:val="00DE312E"/>
    <w:rsid w:val="00DE3323"/>
    <w:rsid w:val="00DE33AB"/>
    <w:rsid w:val="00DE34B0"/>
    <w:rsid w:val="00DE3561"/>
    <w:rsid w:val="00DE3736"/>
    <w:rsid w:val="00DE38A8"/>
    <w:rsid w:val="00DE3932"/>
    <w:rsid w:val="00DE3A78"/>
    <w:rsid w:val="00DE4066"/>
    <w:rsid w:val="00DE407D"/>
    <w:rsid w:val="00DE4110"/>
    <w:rsid w:val="00DE472E"/>
    <w:rsid w:val="00DE493A"/>
    <w:rsid w:val="00DE4A18"/>
    <w:rsid w:val="00DE4CC1"/>
    <w:rsid w:val="00DE4E98"/>
    <w:rsid w:val="00DE52DE"/>
    <w:rsid w:val="00DE565E"/>
    <w:rsid w:val="00DE5818"/>
    <w:rsid w:val="00DE5A3E"/>
    <w:rsid w:val="00DE5EDA"/>
    <w:rsid w:val="00DE6077"/>
    <w:rsid w:val="00DE631E"/>
    <w:rsid w:val="00DE64F8"/>
    <w:rsid w:val="00DE682F"/>
    <w:rsid w:val="00DE6A6D"/>
    <w:rsid w:val="00DE6B07"/>
    <w:rsid w:val="00DE707D"/>
    <w:rsid w:val="00DE783B"/>
    <w:rsid w:val="00DE78A9"/>
    <w:rsid w:val="00DE7A45"/>
    <w:rsid w:val="00DE7F6F"/>
    <w:rsid w:val="00DE7F86"/>
    <w:rsid w:val="00DF0011"/>
    <w:rsid w:val="00DF0091"/>
    <w:rsid w:val="00DF02D4"/>
    <w:rsid w:val="00DF080E"/>
    <w:rsid w:val="00DF08C9"/>
    <w:rsid w:val="00DF08E1"/>
    <w:rsid w:val="00DF0D7B"/>
    <w:rsid w:val="00DF0EFB"/>
    <w:rsid w:val="00DF0FF9"/>
    <w:rsid w:val="00DF103B"/>
    <w:rsid w:val="00DF1051"/>
    <w:rsid w:val="00DF10EA"/>
    <w:rsid w:val="00DF1189"/>
    <w:rsid w:val="00DF1F55"/>
    <w:rsid w:val="00DF1F78"/>
    <w:rsid w:val="00DF26A8"/>
    <w:rsid w:val="00DF2750"/>
    <w:rsid w:val="00DF2895"/>
    <w:rsid w:val="00DF2A07"/>
    <w:rsid w:val="00DF2AEB"/>
    <w:rsid w:val="00DF2B00"/>
    <w:rsid w:val="00DF2B9D"/>
    <w:rsid w:val="00DF2C56"/>
    <w:rsid w:val="00DF2DE9"/>
    <w:rsid w:val="00DF2E9B"/>
    <w:rsid w:val="00DF2F7F"/>
    <w:rsid w:val="00DF3793"/>
    <w:rsid w:val="00DF3B7E"/>
    <w:rsid w:val="00DF3CFE"/>
    <w:rsid w:val="00DF3DBB"/>
    <w:rsid w:val="00DF3EA4"/>
    <w:rsid w:val="00DF3F2F"/>
    <w:rsid w:val="00DF3F48"/>
    <w:rsid w:val="00DF3FCC"/>
    <w:rsid w:val="00DF42BA"/>
    <w:rsid w:val="00DF4389"/>
    <w:rsid w:val="00DF44A9"/>
    <w:rsid w:val="00DF46CD"/>
    <w:rsid w:val="00DF4839"/>
    <w:rsid w:val="00DF48DB"/>
    <w:rsid w:val="00DF4CFA"/>
    <w:rsid w:val="00DF5B15"/>
    <w:rsid w:val="00DF5B3F"/>
    <w:rsid w:val="00DF5C8C"/>
    <w:rsid w:val="00DF642A"/>
    <w:rsid w:val="00DF6CD7"/>
    <w:rsid w:val="00DF6F77"/>
    <w:rsid w:val="00DF6FF7"/>
    <w:rsid w:val="00DF7027"/>
    <w:rsid w:val="00DF739A"/>
    <w:rsid w:val="00DF7669"/>
    <w:rsid w:val="00DF769A"/>
    <w:rsid w:val="00DF7AF2"/>
    <w:rsid w:val="00DF7CBC"/>
    <w:rsid w:val="00DF7EA4"/>
    <w:rsid w:val="00E00053"/>
    <w:rsid w:val="00E001CF"/>
    <w:rsid w:val="00E00895"/>
    <w:rsid w:val="00E00A5D"/>
    <w:rsid w:val="00E00B1C"/>
    <w:rsid w:val="00E00F83"/>
    <w:rsid w:val="00E0120C"/>
    <w:rsid w:val="00E01263"/>
    <w:rsid w:val="00E01835"/>
    <w:rsid w:val="00E01956"/>
    <w:rsid w:val="00E019D9"/>
    <w:rsid w:val="00E01A49"/>
    <w:rsid w:val="00E01BE4"/>
    <w:rsid w:val="00E01C5E"/>
    <w:rsid w:val="00E01DB0"/>
    <w:rsid w:val="00E01E38"/>
    <w:rsid w:val="00E0207F"/>
    <w:rsid w:val="00E02190"/>
    <w:rsid w:val="00E02521"/>
    <w:rsid w:val="00E02769"/>
    <w:rsid w:val="00E02BB0"/>
    <w:rsid w:val="00E02CAC"/>
    <w:rsid w:val="00E02F73"/>
    <w:rsid w:val="00E03180"/>
    <w:rsid w:val="00E03314"/>
    <w:rsid w:val="00E037E2"/>
    <w:rsid w:val="00E03832"/>
    <w:rsid w:val="00E03A48"/>
    <w:rsid w:val="00E03D68"/>
    <w:rsid w:val="00E04034"/>
    <w:rsid w:val="00E04527"/>
    <w:rsid w:val="00E0461D"/>
    <w:rsid w:val="00E047D7"/>
    <w:rsid w:val="00E04825"/>
    <w:rsid w:val="00E04AEB"/>
    <w:rsid w:val="00E04CED"/>
    <w:rsid w:val="00E054DE"/>
    <w:rsid w:val="00E055D6"/>
    <w:rsid w:val="00E0578A"/>
    <w:rsid w:val="00E05AF1"/>
    <w:rsid w:val="00E05CB7"/>
    <w:rsid w:val="00E05D2E"/>
    <w:rsid w:val="00E05ED9"/>
    <w:rsid w:val="00E06320"/>
    <w:rsid w:val="00E0643F"/>
    <w:rsid w:val="00E06FA0"/>
    <w:rsid w:val="00E0724C"/>
    <w:rsid w:val="00E0734E"/>
    <w:rsid w:val="00E073D4"/>
    <w:rsid w:val="00E07643"/>
    <w:rsid w:val="00E10134"/>
    <w:rsid w:val="00E10147"/>
    <w:rsid w:val="00E10310"/>
    <w:rsid w:val="00E109BC"/>
    <w:rsid w:val="00E10E66"/>
    <w:rsid w:val="00E11156"/>
    <w:rsid w:val="00E11CDB"/>
    <w:rsid w:val="00E1210E"/>
    <w:rsid w:val="00E12463"/>
    <w:rsid w:val="00E12471"/>
    <w:rsid w:val="00E124F4"/>
    <w:rsid w:val="00E12532"/>
    <w:rsid w:val="00E1282E"/>
    <w:rsid w:val="00E12870"/>
    <w:rsid w:val="00E12D86"/>
    <w:rsid w:val="00E12EBB"/>
    <w:rsid w:val="00E13291"/>
    <w:rsid w:val="00E1362D"/>
    <w:rsid w:val="00E136E5"/>
    <w:rsid w:val="00E137FC"/>
    <w:rsid w:val="00E13F9B"/>
    <w:rsid w:val="00E14173"/>
    <w:rsid w:val="00E142A6"/>
    <w:rsid w:val="00E143B0"/>
    <w:rsid w:val="00E145BE"/>
    <w:rsid w:val="00E14D95"/>
    <w:rsid w:val="00E15501"/>
    <w:rsid w:val="00E1586C"/>
    <w:rsid w:val="00E16142"/>
    <w:rsid w:val="00E16248"/>
    <w:rsid w:val="00E1634E"/>
    <w:rsid w:val="00E167A4"/>
    <w:rsid w:val="00E16873"/>
    <w:rsid w:val="00E168DB"/>
    <w:rsid w:val="00E170E3"/>
    <w:rsid w:val="00E17268"/>
    <w:rsid w:val="00E175FE"/>
    <w:rsid w:val="00E178FF"/>
    <w:rsid w:val="00E17A9A"/>
    <w:rsid w:val="00E17AEE"/>
    <w:rsid w:val="00E17B09"/>
    <w:rsid w:val="00E17B0F"/>
    <w:rsid w:val="00E17BF1"/>
    <w:rsid w:val="00E17E30"/>
    <w:rsid w:val="00E20488"/>
    <w:rsid w:val="00E206F7"/>
    <w:rsid w:val="00E21266"/>
    <w:rsid w:val="00E216DA"/>
    <w:rsid w:val="00E21E87"/>
    <w:rsid w:val="00E21EC1"/>
    <w:rsid w:val="00E2207E"/>
    <w:rsid w:val="00E2211E"/>
    <w:rsid w:val="00E2232D"/>
    <w:rsid w:val="00E2246D"/>
    <w:rsid w:val="00E22743"/>
    <w:rsid w:val="00E22901"/>
    <w:rsid w:val="00E22A15"/>
    <w:rsid w:val="00E22BBD"/>
    <w:rsid w:val="00E230FB"/>
    <w:rsid w:val="00E23547"/>
    <w:rsid w:val="00E23FCA"/>
    <w:rsid w:val="00E24138"/>
    <w:rsid w:val="00E24143"/>
    <w:rsid w:val="00E245AA"/>
    <w:rsid w:val="00E24719"/>
    <w:rsid w:val="00E24849"/>
    <w:rsid w:val="00E24AC2"/>
    <w:rsid w:val="00E24B7D"/>
    <w:rsid w:val="00E24E5E"/>
    <w:rsid w:val="00E2527E"/>
    <w:rsid w:val="00E258D3"/>
    <w:rsid w:val="00E259C0"/>
    <w:rsid w:val="00E25D09"/>
    <w:rsid w:val="00E25D4B"/>
    <w:rsid w:val="00E25EAD"/>
    <w:rsid w:val="00E25F64"/>
    <w:rsid w:val="00E2626A"/>
    <w:rsid w:val="00E26C6A"/>
    <w:rsid w:val="00E26E82"/>
    <w:rsid w:val="00E26EA9"/>
    <w:rsid w:val="00E26F5E"/>
    <w:rsid w:val="00E270AE"/>
    <w:rsid w:val="00E27607"/>
    <w:rsid w:val="00E27A45"/>
    <w:rsid w:val="00E27A52"/>
    <w:rsid w:val="00E305C3"/>
    <w:rsid w:val="00E308ED"/>
    <w:rsid w:val="00E309A0"/>
    <w:rsid w:val="00E30AFD"/>
    <w:rsid w:val="00E30E17"/>
    <w:rsid w:val="00E31C88"/>
    <w:rsid w:val="00E31F94"/>
    <w:rsid w:val="00E3201F"/>
    <w:rsid w:val="00E3252C"/>
    <w:rsid w:val="00E32560"/>
    <w:rsid w:val="00E32792"/>
    <w:rsid w:val="00E3300F"/>
    <w:rsid w:val="00E33036"/>
    <w:rsid w:val="00E330B3"/>
    <w:rsid w:val="00E332D4"/>
    <w:rsid w:val="00E337A0"/>
    <w:rsid w:val="00E33A25"/>
    <w:rsid w:val="00E33AFB"/>
    <w:rsid w:val="00E33CDA"/>
    <w:rsid w:val="00E33DBE"/>
    <w:rsid w:val="00E33DBF"/>
    <w:rsid w:val="00E3409A"/>
    <w:rsid w:val="00E34231"/>
    <w:rsid w:val="00E342FF"/>
    <w:rsid w:val="00E34A19"/>
    <w:rsid w:val="00E34FD5"/>
    <w:rsid w:val="00E3539A"/>
    <w:rsid w:val="00E3546C"/>
    <w:rsid w:val="00E355D0"/>
    <w:rsid w:val="00E356E4"/>
    <w:rsid w:val="00E3576E"/>
    <w:rsid w:val="00E35E81"/>
    <w:rsid w:val="00E36014"/>
    <w:rsid w:val="00E36024"/>
    <w:rsid w:val="00E361EE"/>
    <w:rsid w:val="00E3663E"/>
    <w:rsid w:val="00E3692E"/>
    <w:rsid w:val="00E36ADB"/>
    <w:rsid w:val="00E36AE9"/>
    <w:rsid w:val="00E36CC0"/>
    <w:rsid w:val="00E36CE7"/>
    <w:rsid w:val="00E37245"/>
    <w:rsid w:val="00E376FB"/>
    <w:rsid w:val="00E378D1"/>
    <w:rsid w:val="00E40011"/>
    <w:rsid w:val="00E40621"/>
    <w:rsid w:val="00E409F7"/>
    <w:rsid w:val="00E40BD9"/>
    <w:rsid w:val="00E40C06"/>
    <w:rsid w:val="00E40F83"/>
    <w:rsid w:val="00E41055"/>
    <w:rsid w:val="00E413A4"/>
    <w:rsid w:val="00E41498"/>
    <w:rsid w:val="00E41687"/>
    <w:rsid w:val="00E41B00"/>
    <w:rsid w:val="00E41B0B"/>
    <w:rsid w:val="00E41CD1"/>
    <w:rsid w:val="00E41FB4"/>
    <w:rsid w:val="00E4212B"/>
    <w:rsid w:val="00E423FE"/>
    <w:rsid w:val="00E42F04"/>
    <w:rsid w:val="00E42F2E"/>
    <w:rsid w:val="00E431D2"/>
    <w:rsid w:val="00E43322"/>
    <w:rsid w:val="00E437EF"/>
    <w:rsid w:val="00E43AA7"/>
    <w:rsid w:val="00E43C52"/>
    <w:rsid w:val="00E43CA9"/>
    <w:rsid w:val="00E43E51"/>
    <w:rsid w:val="00E43EA4"/>
    <w:rsid w:val="00E440CB"/>
    <w:rsid w:val="00E441A0"/>
    <w:rsid w:val="00E44612"/>
    <w:rsid w:val="00E447A1"/>
    <w:rsid w:val="00E44EF2"/>
    <w:rsid w:val="00E45244"/>
    <w:rsid w:val="00E45398"/>
    <w:rsid w:val="00E45656"/>
    <w:rsid w:val="00E456DC"/>
    <w:rsid w:val="00E45AD7"/>
    <w:rsid w:val="00E45E2C"/>
    <w:rsid w:val="00E46064"/>
    <w:rsid w:val="00E460B0"/>
    <w:rsid w:val="00E46207"/>
    <w:rsid w:val="00E46330"/>
    <w:rsid w:val="00E4640C"/>
    <w:rsid w:val="00E46BB5"/>
    <w:rsid w:val="00E46BF6"/>
    <w:rsid w:val="00E47011"/>
    <w:rsid w:val="00E474D7"/>
    <w:rsid w:val="00E474E5"/>
    <w:rsid w:val="00E47611"/>
    <w:rsid w:val="00E47CAD"/>
    <w:rsid w:val="00E501F5"/>
    <w:rsid w:val="00E5055B"/>
    <w:rsid w:val="00E505EF"/>
    <w:rsid w:val="00E5061B"/>
    <w:rsid w:val="00E50806"/>
    <w:rsid w:val="00E50E8E"/>
    <w:rsid w:val="00E511DF"/>
    <w:rsid w:val="00E51A3D"/>
    <w:rsid w:val="00E51A92"/>
    <w:rsid w:val="00E51EDB"/>
    <w:rsid w:val="00E52029"/>
    <w:rsid w:val="00E5210C"/>
    <w:rsid w:val="00E5212B"/>
    <w:rsid w:val="00E521F5"/>
    <w:rsid w:val="00E5296D"/>
    <w:rsid w:val="00E52E6D"/>
    <w:rsid w:val="00E53211"/>
    <w:rsid w:val="00E53286"/>
    <w:rsid w:val="00E532ED"/>
    <w:rsid w:val="00E53492"/>
    <w:rsid w:val="00E5349A"/>
    <w:rsid w:val="00E546B8"/>
    <w:rsid w:val="00E54967"/>
    <w:rsid w:val="00E54B03"/>
    <w:rsid w:val="00E54D52"/>
    <w:rsid w:val="00E54E83"/>
    <w:rsid w:val="00E54F0E"/>
    <w:rsid w:val="00E550EC"/>
    <w:rsid w:val="00E553F9"/>
    <w:rsid w:val="00E55910"/>
    <w:rsid w:val="00E559F5"/>
    <w:rsid w:val="00E55AA6"/>
    <w:rsid w:val="00E55F25"/>
    <w:rsid w:val="00E55FBC"/>
    <w:rsid w:val="00E563B2"/>
    <w:rsid w:val="00E56E42"/>
    <w:rsid w:val="00E56FC0"/>
    <w:rsid w:val="00E57075"/>
    <w:rsid w:val="00E57092"/>
    <w:rsid w:val="00E5729C"/>
    <w:rsid w:val="00E574C7"/>
    <w:rsid w:val="00E60075"/>
    <w:rsid w:val="00E60814"/>
    <w:rsid w:val="00E609CE"/>
    <w:rsid w:val="00E60FAD"/>
    <w:rsid w:val="00E61164"/>
    <w:rsid w:val="00E61210"/>
    <w:rsid w:val="00E617E7"/>
    <w:rsid w:val="00E61E3D"/>
    <w:rsid w:val="00E6203E"/>
    <w:rsid w:val="00E625B6"/>
    <w:rsid w:val="00E62A3E"/>
    <w:rsid w:val="00E62C98"/>
    <w:rsid w:val="00E62E47"/>
    <w:rsid w:val="00E62E8E"/>
    <w:rsid w:val="00E63053"/>
    <w:rsid w:val="00E630AC"/>
    <w:rsid w:val="00E631C7"/>
    <w:rsid w:val="00E63638"/>
    <w:rsid w:val="00E636DD"/>
    <w:rsid w:val="00E63A0D"/>
    <w:rsid w:val="00E63B49"/>
    <w:rsid w:val="00E63BFA"/>
    <w:rsid w:val="00E63D1E"/>
    <w:rsid w:val="00E63E88"/>
    <w:rsid w:val="00E63EA5"/>
    <w:rsid w:val="00E643A0"/>
    <w:rsid w:val="00E644BF"/>
    <w:rsid w:val="00E64B85"/>
    <w:rsid w:val="00E651A4"/>
    <w:rsid w:val="00E651D7"/>
    <w:rsid w:val="00E65454"/>
    <w:rsid w:val="00E656C4"/>
    <w:rsid w:val="00E657A3"/>
    <w:rsid w:val="00E65AF7"/>
    <w:rsid w:val="00E65C76"/>
    <w:rsid w:val="00E6622F"/>
    <w:rsid w:val="00E66234"/>
    <w:rsid w:val="00E6649B"/>
    <w:rsid w:val="00E66985"/>
    <w:rsid w:val="00E66A28"/>
    <w:rsid w:val="00E66A39"/>
    <w:rsid w:val="00E67031"/>
    <w:rsid w:val="00E6716A"/>
    <w:rsid w:val="00E67273"/>
    <w:rsid w:val="00E67473"/>
    <w:rsid w:val="00E674B3"/>
    <w:rsid w:val="00E674C3"/>
    <w:rsid w:val="00E676BD"/>
    <w:rsid w:val="00E67CF6"/>
    <w:rsid w:val="00E701EF"/>
    <w:rsid w:val="00E70943"/>
    <w:rsid w:val="00E70A6C"/>
    <w:rsid w:val="00E70B4E"/>
    <w:rsid w:val="00E71000"/>
    <w:rsid w:val="00E71849"/>
    <w:rsid w:val="00E718A7"/>
    <w:rsid w:val="00E71B79"/>
    <w:rsid w:val="00E71DE2"/>
    <w:rsid w:val="00E71F53"/>
    <w:rsid w:val="00E72A67"/>
    <w:rsid w:val="00E72AE5"/>
    <w:rsid w:val="00E72B33"/>
    <w:rsid w:val="00E72BE6"/>
    <w:rsid w:val="00E72E32"/>
    <w:rsid w:val="00E73166"/>
    <w:rsid w:val="00E73376"/>
    <w:rsid w:val="00E737E0"/>
    <w:rsid w:val="00E738F6"/>
    <w:rsid w:val="00E73BDB"/>
    <w:rsid w:val="00E73E20"/>
    <w:rsid w:val="00E74163"/>
    <w:rsid w:val="00E74195"/>
    <w:rsid w:val="00E74727"/>
    <w:rsid w:val="00E74739"/>
    <w:rsid w:val="00E74C02"/>
    <w:rsid w:val="00E74F39"/>
    <w:rsid w:val="00E75186"/>
    <w:rsid w:val="00E75583"/>
    <w:rsid w:val="00E7588E"/>
    <w:rsid w:val="00E758F9"/>
    <w:rsid w:val="00E75967"/>
    <w:rsid w:val="00E75E0D"/>
    <w:rsid w:val="00E76345"/>
    <w:rsid w:val="00E768D7"/>
    <w:rsid w:val="00E76B4C"/>
    <w:rsid w:val="00E76E14"/>
    <w:rsid w:val="00E770DE"/>
    <w:rsid w:val="00E777A6"/>
    <w:rsid w:val="00E7790F"/>
    <w:rsid w:val="00E77C5E"/>
    <w:rsid w:val="00E77EB2"/>
    <w:rsid w:val="00E8017E"/>
    <w:rsid w:val="00E803B6"/>
    <w:rsid w:val="00E80A13"/>
    <w:rsid w:val="00E80D3D"/>
    <w:rsid w:val="00E812F5"/>
    <w:rsid w:val="00E8153A"/>
    <w:rsid w:val="00E817C5"/>
    <w:rsid w:val="00E81DA8"/>
    <w:rsid w:val="00E81E2D"/>
    <w:rsid w:val="00E8228F"/>
    <w:rsid w:val="00E8231A"/>
    <w:rsid w:val="00E82C25"/>
    <w:rsid w:val="00E82F1B"/>
    <w:rsid w:val="00E83555"/>
    <w:rsid w:val="00E83616"/>
    <w:rsid w:val="00E83A68"/>
    <w:rsid w:val="00E8410F"/>
    <w:rsid w:val="00E846F8"/>
    <w:rsid w:val="00E84AAA"/>
    <w:rsid w:val="00E84E96"/>
    <w:rsid w:val="00E851B3"/>
    <w:rsid w:val="00E851EB"/>
    <w:rsid w:val="00E855E3"/>
    <w:rsid w:val="00E856A5"/>
    <w:rsid w:val="00E85903"/>
    <w:rsid w:val="00E86045"/>
    <w:rsid w:val="00E862DD"/>
    <w:rsid w:val="00E869D8"/>
    <w:rsid w:val="00E86C28"/>
    <w:rsid w:val="00E86DA2"/>
    <w:rsid w:val="00E87161"/>
    <w:rsid w:val="00E87266"/>
    <w:rsid w:val="00E87552"/>
    <w:rsid w:val="00E8777B"/>
    <w:rsid w:val="00E90152"/>
    <w:rsid w:val="00E903B0"/>
    <w:rsid w:val="00E903C1"/>
    <w:rsid w:val="00E90498"/>
    <w:rsid w:val="00E9057C"/>
    <w:rsid w:val="00E90A73"/>
    <w:rsid w:val="00E91371"/>
    <w:rsid w:val="00E91431"/>
    <w:rsid w:val="00E9168C"/>
    <w:rsid w:val="00E918F4"/>
    <w:rsid w:val="00E91CF5"/>
    <w:rsid w:val="00E91D41"/>
    <w:rsid w:val="00E91EF0"/>
    <w:rsid w:val="00E92017"/>
    <w:rsid w:val="00E92369"/>
    <w:rsid w:val="00E927E6"/>
    <w:rsid w:val="00E92E38"/>
    <w:rsid w:val="00E93295"/>
    <w:rsid w:val="00E936E9"/>
    <w:rsid w:val="00E9378F"/>
    <w:rsid w:val="00E93C85"/>
    <w:rsid w:val="00E93D7A"/>
    <w:rsid w:val="00E9405B"/>
    <w:rsid w:val="00E941B5"/>
    <w:rsid w:val="00E9420D"/>
    <w:rsid w:val="00E942AF"/>
    <w:rsid w:val="00E943D4"/>
    <w:rsid w:val="00E94460"/>
    <w:rsid w:val="00E9456C"/>
    <w:rsid w:val="00E94AD0"/>
    <w:rsid w:val="00E94E31"/>
    <w:rsid w:val="00E94E62"/>
    <w:rsid w:val="00E94E72"/>
    <w:rsid w:val="00E94E89"/>
    <w:rsid w:val="00E9545A"/>
    <w:rsid w:val="00E958CB"/>
    <w:rsid w:val="00E95B01"/>
    <w:rsid w:val="00E95F2B"/>
    <w:rsid w:val="00E9628C"/>
    <w:rsid w:val="00E96628"/>
    <w:rsid w:val="00E9671F"/>
    <w:rsid w:val="00E968E7"/>
    <w:rsid w:val="00E96976"/>
    <w:rsid w:val="00E96F2C"/>
    <w:rsid w:val="00E97050"/>
    <w:rsid w:val="00E97062"/>
    <w:rsid w:val="00E9710C"/>
    <w:rsid w:val="00E9730F"/>
    <w:rsid w:val="00E9748B"/>
    <w:rsid w:val="00E97664"/>
    <w:rsid w:val="00E97ACA"/>
    <w:rsid w:val="00E97CB4"/>
    <w:rsid w:val="00E97F79"/>
    <w:rsid w:val="00EA02A1"/>
    <w:rsid w:val="00EA057A"/>
    <w:rsid w:val="00EA15B6"/>
    <w:rsid w:val="00EA16CC"/>
    <w:rsid w:val="00EA1B2B"/>
    <w:rsid w:val="00EA1B37"/>
    <w:rsid w:val="00EA1FDD"/>
    <w:rsid w:val="00EA261E"/>
    <w:rsid w:val="00EA2634"/>
    <w:rsid w:val="00EA267E"/>
    <w:rsid w:val="00EA2CEE"/>
    <w:rsid w:val="00EA2D5F"/>
    <w:rsid w:val="00EA2DCB"/>
    <w:rsid w:val="00EA2DCD"/>
    <w:rsid w:val="00EA3343"/>
    <w:rsid w:val="00EA411A"/>
    <w:rsid w:val="00EA440F"/>
    <w:rsid w:val="00EA462A"/>
    <w:rsid w:val="00EA46E1"/>
    <w:rsid w:val="00EA4994"/>
    <w:rsid w:val="00EA4C67"/>
    <w:rsid w:val="00EA4E71"/>
    <w:rsid w:val="00EA4FC3"/>
    <w:rsid w:val="00EA5376"/>
    <w:rsid w:val="00EA56DC"/>
    <w:rsid w:val="00EA60AB"/>
    <w:rsid w:val="00EA6BDB"/>
    <w:rsid w:val="00EA7921"/>
    <w:rsid w:val="00EA7948"/>
    <w:rsid w:val="00EA7D15"/>
    <w:rsid w:val="00EA7E7D"/>
    <w:rsid w:val="00EB00E5"/>
    <w:rsid w:val="00EB049B"/>
    <w:rsid w:val="00EB0770"/>
    <w:rsid w:val="00EB09B4"/>
    <w:rsid w:val="00EB0D37"/>
    <w:rsid w:val="00EB10A8"/>
    <w:rsid w:val="00EB2265"/>
    <w:rsid w:val="00EB2324"/>
    <w:rsid w:val="00EB2430"/>
    <w:rsid w:val="00EB2553"/>
    <w:rsid w:val="00EB25DC"/>
    <w:rsid w:val="00EB2A14"/>
    <w:rsid w:val="00EB2B0A"/>
    <w:rsid w:val="00EB2DBE"/>
    <w:rsid w:val="00EB3849"/>
    <w:rsid w:val="00EB3A69"/>
    <w:rsid w:val="00EB3AE3"/>
    <w:rsid w:val="00EB3D17"/>
    <w:rsid w:val="00EB3DD1"/>
    <w:rsid w:val="00EB48ED"/>
    <w:rsid w:val="00EB4983"/>
    <w:rsid w:val="00EB4F7B"/>
    <w:rsid w:val="00EB4FA3"/>
    <w:rsid w:val="00EB4FAE"/>
    <w:rsid w:val="00EB5071"/>
    <w:rsid w:val="00EB54E5"/>
    <w:rsid w:val="00EB59F1"/>
    <w:rsid w:val="00EB5AF8"/>
    <w:rsid w:val="00EB5B7F"/>
    <w:rsid w:val="00EB6052"/>
    <w:rsid w:val="00EB6385"/>
    <w:rsid w:val="00EB644C"/>
    <w:rsid w:val="00EB6582"/>
    <w:rsid w:val="00EB6817"/>
    <w:rsid w:val="00EB6831"/>
    <w:rsid w:val="00EB6D3F"/>
    <w:rsid w:val="00EB6DB7"/>
    <w:rsid w:val="00EB704D"/>
    <w:rsid w:val="00EB792A"/>
    <w:rsid w:val="00EC0526"/>
    <w:rsid w:val="00EC09B8"/>
    <w:rsid w:val="00EC0C4C"/>
    <w:rsid w:val="00EC0D50"/>
    <w:rsid w:val="00EC140E"/>
    <w:rsid w:val="00EC1CC9"/>
    <w:rsid w:val="00EC1D98"/>
    <w:rsid w:val="00EC20A4"/>
    <w:rsid w:val="00EC2863"/>
    <w:rsid w:val="00EC2BCB"/>
    <w:rsid w:val="00EC2C98"/>
    <w:rsid w:val="00EC32AF"/>
    <w:rsid w:val="00EC348E"/>
    <w:rsid w:val="00EC361D"/>
    <w:rsid w:val="00EC3ADE"/>
    <w:rsid w:val="00EC3CDB"/>
    <w:rsid w:val="00EC3ED3"/>
    <w:rsid w:val="00EC3F7E"/>
    <w:rsid w:val="00EC42D3"/>
    <w:rsid w:val="00EC49EC"/>
    <w:rsid w:val="00EC4DA6"/>
    <w:rsid w:val="00EC502B"/>
    <w:rsid w:val="00EC531B"/>
    <w:rsid w:val="00EC556F"/>
    <w:rsid w:val="00EC56C5"/>
    <w:rsid w:val="00EC5732"/>
    <w:rsid w:val="00EC58F4"/>
    <w:rsid w:val="00EC5A13"/>
    <w:rsid w:val="00EC5A38"/>
    <w:rsid w:val="00EC5E7E"/>
    <w:rsid w:val="00EC6529"/>
    <w:rsid w:val="00EC6A79"/>
    <w:rsid w:val="00EC6C1E"/>
    <w:rsid w:val="00EC6CF7"/>
    <w:rsid w:val="00EC710C"/>
    <w:rsid w:val="00EC7402"/>
    <w:rsid w:val="00EC740E"/>
    <w:rsid w:val="00EC74D6"/>
    <w:rsid w:val="00EC761C"/>
    <w:rsid w:val="00EC792F"/>
    <w:rsid w:val="00EC7BF0"/>
    <w:rsid w:val="00ED00C0"/>
    <w:rsid w:val="00ED0199"/>
    <w:rsid w:val="00ED03A2"/>
    <w:rsid w:val="00ED05DD"/>
    <w:rsid w:val="00ED07DA"/>
    <w:rsid w:val="00ED0C1A"/>
    <w:rsid w:val="00ED1219"/>
    <w:rsid w:val="00ED12EC"/>
    <w:rsid w:val="00ED1340"/>
    <w:rsid w:val="00ED14CF"/>
    <w:rsid w:val="00ED1626"/>
    <w:rsid w:val="00ED1716"/>
    <w:rsid w:val="00ED1928"/>
    <w:rsid w:val="00ED1C72"/>
    <w:rsid w:val="00ED2015"/>
    <w:rsid w:val="00ED2028"/>
    <w:rsid w:val="00ED2250"/>
    <w:rsid w:val="00ED228E"/>
    <w:rsid w:val="00ED22AC"/>
    <w:rsid w:val="00ED22FB"/>
    <w:rsid w:val="00ED23C2"/>
    <w:rsid w:val="00ED2CAC"/>
    <w:rsid w:val="00ED3608"/>
    <w:rsid w:val="00ED37EA"/>
    <w:rsid w:val="00ED39DB"/>
    <w:rsid w:val="00ED3C55"/>
    <w:rsid w:val="00ED3F61"/>
    <w:rsid w:val="00ED42B0"/>
    <w:rsid w:val="00ED4410"/>
    <w:rsid w:val="00ED457C"/>
    <w:rsid w:val="00ED4877"/>
    <w:rsid w:val="00ED48BD"/>
    <w:rsid w:val="00ED4A6E"/>
    <w:rsid w:val="00ED4A85"/>
    <w:rsid w:val="00ED5506"/>
    <w:rsid w:val="00ED5809"/>
    <w:rsid w:val="00ED5B2A"/>
    <w:rsid w:val="00ED60F8"/>
    <w:rsid w:val="00ED6427"/>
    <w:rsid w:val="00ED660C"/>
    <w:rsid w:val="00ED698A"/>
    <w:rsid w:val="00ED6A91"/>
    <w:rsid w:val="00ED6B4D"/>
    <w:rsid w:val="00ED6E6B"/>
    <w:rsid w:val="00ED6F85"/>
    <w:rsid w:val="00ED7429"/>
    <w:rsid w:val="00ED7641"/>
    <w:rsid w:val="00ED76E2"/>
    <w:rsid w:val="00ED788F"/>
    <w:rsid w:val="00ED7936"/>
    <w:rsid w:val="00ED79BE"/>
    <w:rsid w:val="00ED7A84"/>
    <w:rsid w:val="00EE0361"/>
    <w:rsid w:val="00EE0A35"/>
    <w:rsid w:val="00EE1069"/>
    <w:rsid w:val="00EE13D6"/>
    <w:rsid w:val="00EE160A"/>
    <w:rsid w:val="00EE17D9"/>
    <w:rsid w:val="00EE1A34"/>
    <w:rsid w:val="00EE1F63"/>
    <w:rsid w:val="00EE200D"/>
    <w:rsid w:val="00EE20B4"/>
    <w:rsid w:val="00EE2C55"/>
    <w:rsid w:val="00EE2FF6"/>
    <w:rsid w:val="00EE3337"/>
    <w:rsid w:val="00EE3BE6"/>
    <w:rsid w:val="00EE3D52"/>
    <w:rsid w:val="00EE3D6A"/>
    <w:rsid w:val="00EE3ED9"/>
    <w:rsid w:val="00EE45C1"/>
    <w:rsid w:val="00EE47C2"/>
    <w:rsid w:val="00EE4CC0"/>
    <w:rsid w:val="00EE53F0"/>
    <w:rsid w:val="00EE5600"/>
    <w:rsid w:val="00EE560A"/>
    <w:rsid w:val="00EE5B5D"/>
    <w:rsid w:val="00EE5E68"/>
    <w:rsid w:val="00EE6199"/>
    <w:rsid w:val="00EE68DF"/>
    <w:rsid w:val="00EE69FC"/>
    <w:rsid w:val="00EE6B68"/>
    <w:rsid w:val="00EE6CDE"/>
    <w:rsid w:val="00EE6DEB"/>
    <w:rsid w:val="00EE7115"/>
    <w:rsid w:val="00EE73D3"/>
    <w:rsid w:val="00EE75B0"/>
    <w:rsid w:val="00EE761F"/>
    <w:rsid w:val="00EE7BF5"/>
    <w:rsid w:val="00EE7E61"/>
    <w:rsid w:val="00EF0441"/>
    <w:rsid w:val="00EF044F"/>
    <w:rsid w:val="00EF05B4"/>
    <w:rsid w:val="00EF0833"/>
    <w:rsid w:val="00EF0A10"/>
    <w:rsid w:val="00EF0BB8"/>
    <w:rsid w:val="00EF0D50"/>
    <w:rsid w:val="00EF0E6E"/>
    <w:rsid w:val="00EF1015"/>
    <w:rsid w:val="00EF129B"/>
    <w:rsid w:val="00EF133D"/>
    <w:rsid w:val="00EF1F4A"/>
    <w:rsid w:val="00EF1F77"/>
    <w:rsid w:val="00EF257D"/>
    <w:rsid w:val="00EF2832"/>
    <w:rsid w:val="00EF2E80"/>
    <w:rsid w:val="00EF303A"/>
    <w:rsid w:val="00EF30FC"/>
    <w:rsid w:val="00EF31EE"/>
    <w:rsid w:val="00EF3412"/>
    <w:rsid w:val="00EF3817"/>
    <w:rsid w:val="00EF3A20"/>
    <w:rsid w:val="00EF3AC0"/>
    <w:rsid w:val="00EF3B2B"/>
    <w:rsid w:val="00EF3CA5"/>
    <w:rsid w:val="00EF44EF"/>
    <w:rsid w:val="00EF4835"/>
    <w:rsid w:val="00EF488A"/>
    <w:rsid w:val="00EF49EB"/>
    <w:rsid w:val="00EF4EFA"/>
    <w:rsid w:val="00EF51BF"/>
    <w:rsid w:val="00EF5245"/>
    <w:rsid w:val="00EF56AE"/>
    <w:rsid w:val="00EF5B57"/>
    <w:rsid w:val="00EF604B"/>
    <w:rsid w:val="00EF6139"/>
    <w:rsid w:val="00EF6AD6"/>
    <w:rsid w:val="00EF6ED7"/>
    <w:rsid w:val="00EF7756"/>
    <w:rsid w:val="00EF7A3E"/>
    <w:rsid w:val="00EF7F82"/>
    <w:rsid w:val="00F00087"/>
    <w:rsid w:val="00F0011E"/>
    <w:rsid w:val="00F002A9"/>
    <w:rsid w:val="00F01504"/>
    <w:rsid w:val="00F019DE"/>
    <w:rsid w:val="00F01AB6"/>
    <w:rsid w:val="00F01AFC"/>
    <w:rsid w:val="00F01CA8"/>
    <w:rsid w:val="00F022AA"/>
    <w:rsid w:val="00F02309"/>
    <w:rsid w:val="00F0243A"/>
    <w:rsid w:val="00F02644"/>
    <w:rsid w:val="00F0266B"/>
    <w:rsid w:val="00F02734"/>
    <w:rsid w:val="00F028F4"/>
    <w:rsid w:val="00F02BC7"/>
    <w:rsid w:val="00F02DD8"/>
    <w:rsid w:val="00F02EC6"/>
    <w:rsid w:val="00F03215"/>
    <w:rsid w:val="00F035CC"/>
    <w:rsid w:val="00F036B8"/>
    <w:rsid w:val="00F037AC"/>
    <w:rsid w:val="00F0391C"/>
    <w:rsid w:val="00F03B68"/>
    <w:rsid w:val="00F03CE3"/>
    <w:rsid w:val="00F03F64"/>
    <w:rsid w:val="00F03FB8"/>
    <w:rsid w:val="00F04090"/>
    <w:rsid w:val="00F042B8"/>
    <w:rsid w:val="00F047A8"/>
    <w:rsid w:val="00F04E76"/>
    <w:rsid w:val="00F050F3"/>
    <w:rsid w:val="00F05338"/>
    <w:rsid w:val="00F054E0"/>
    <w:rsid w:val="00F05521"/>
    <w:rsid w:val="00F05527"/>
    <w:rsid w:val="00F0577C"/>
    <w:rsid w:val="00F05A87"/>
    <w:rsid w:val="00F05E53"/>
    <w:rsid w:val="00F06221"/>
    <w:rsid w:val="00F06325"/>
    <w:rsid w:val="00F068DA"/>
    <w:rsid w:val="00F069B1"/>
    <w:rsid w:val="00F06AA9"/>
    <w:rsid w:val="00F06FA6"/>
    <w:rsid w:val="00F0714A"/>
    <w:rsid w:val="00F071AE"/>
    <w:rsid w:val="00F07BA0"/>
    <w:rsid w:val="00F07D01"/>
    <w:rsid w:val="00F07D10"/>
    <w:rsid w:val="00F07FCE"/>
    <w:rsid w:val="00F10444"/>
    <w:rsid w:val="00F105D9"/>
    <w:rsid w:val="00F110B3"/>
    <w:rsid w:val="00F11152"/>
    <w:rsid w:val="00F1117D"/>
    <w:rsid w:val="00F1125A"/>
    <w:rsid w:val="00F11856"/>
    <w:rsid w:val="00F11945"/>
    <w:rsid w:val="00F11A8F"/>
    <w:rsid w:val="00F121C6"/>
    <w:rsid w:val="00F1248C"/>
    <w:rsid w:val="00F129EE"/>
    <w:rsid w:val="00F129F3"/>
    <w:rsid w:val="00F12A70"/>
    <w:rsid w:val="00F12D7B"/>
    <w:rsid w:val="00F130AA"/>
    <w:rsid w:val="00F13228"/>
    <w:rsid w:val="00F1346C"/>
    <w:rsid w:val="00F13760"/>
    <w:rsid w:val="00F13A94"/>
    <w:rsid w:val="00F13DB8"/>
    <w:rsid w:val="00F13F60"/>
    <w:rsid w:val="00F13FBE"/>
    <w:rsid w:val="00F14206"/>
    <w:rsid w:val="00F14853"/>
    <w:rsid w:val="00F14907"/>
    <w:rsid w:val="00F14E45"/>
    <w:rsid w:val="00F14F9C"/>
    <w:rsid w:val="00F15610"/>
    <w:rsid w:val="00F15760"/>
    <w:rsid w:val="00F159AC"/>
    <w:rsid w:val="00F15A56"/>
    <w:rsid w:val="00F15CA3"/>
    <w:rsid w:val="00F15D33"/>
    <w:rsid w:val="00F15D90"/>
    <w:rsid w:val="00F15E73"/>
    <w:rsid w:val="00F161F1"/>
    <w:rsid w:val="00F1637D"/>
    <w:rsid w:val="00F1660D"/>
    <w:rsid w:val="00F16755"/>
    <w:rsid w:val="00F16C9D"/>
    <w:rsid w:val="00F16EF4"/>
    <w:rsid w:val="00F16F42"/>
    <w:rsid w:val="00F17AB6"/>
    <w:rsid w:val="00F20233"/>
    <w:rsid w:val="00F2064A"/>
    <w:rsid w:val="00F20A79"/>
    <w:rsid w:val="00F20D0B"/>
    <w:rsid w:val="00F210C2"/>
    <w:rsid w:val="00F21144"/>
    <w:rsid w:val="00F213EC"/>
    <w:rsid w:val="00F21519"/>
    <w:rsid w:val="00F2162D"/>
    <w:rsid w:val="00F2181C"/>
    <w:rsid w:val="00F2181D"/>
    <w:rsid w:val="00F21AE8"/>
    <w:rsid w:val="00F22102"/>
    <w:rsid w:val="00F22636"/>
    <w:rsid w:val="00F2297F"/>
    <w:rsid w:val="00F22C66"/>
    <w:rsid w:val="00F22D2A"/>
    <w:rsid w:val="00F23034"/>
    <w:rsid w:val="00F2341F"/>
    <w:rsid w:val="00F23511"/>
    <w:rsid w:val="00F2367E"/>
    <w:rsid w:val="00F2440F"/>
    <w:rsid w:val="00F24BC2"/>
    <w:rsid w:val="00F25028"/>
    <w:rsid w:val="00F25385"/>
    <w:rsid w:val="00F25518"/>
    <w:rsid w:val="00F2581A"/>
    <w:rsid w:val="00F26286"/>
    <w:rsid w:val="00F267D3"/>
    <w:rsid w:val="00F2698F"/>
    <w:rsid w:val="00F26B7B"/>
    <w:rsid w:val="00F26BB4"/>
    <w:rsid w:val="00F26DB9"/>
    <w:rsid w:val="00F26F9B"/>
    <w:rsid w:val="00F26FD2"/>
    <w:rsid w:val="00F270F3"/>
    <w:rsid w:val="00F27404"/>
    <w:rsid w:val="00F27744"/>
    <w:rsid w:val="00F27D73"/>
    <w:rsid w:val="00F27DA8"/>
    <w:rsid w:val="00F27ED1"/>
    <w:rsid w:val="00F3065D"/>
    <w:rsid w:val="00F30AE3"/>
    <w:rsid w:val="00F30B34"/>
    <w:rsid w:val="00F30C26"/>
    <w:rsid w:val="00F30F0A"/>
    <w:rsid w:val="00F31507"/>
    <w:rsid w:val="00F31514"/>
    <w:rsid w:val="00F318AE"/>
    <w:rsid w:val="00F31B68"/>
    <w:rsid w:val="00F31E2B"/>
    <w:rsid w:val="00F321B7"/>
    <w:rsid w:val="00F32366"/>
    <w:rsid w:val="00F32F4C"/>
    <w:rsid w:val="00F330B8"/>
    <w:rsid w:val="00F331E7"/>
    <w:rsid w:val="00F3327C"/>
    <w:rsid w:val="00F3329D"/>
    <w:rsid w:val="00F332D5"/>
    <w:rsid w:val="00F3346B"/>
    <w:rsid w:val="00F33B58"/>
    <w:rsid w:val="00F33C4A"/>
    <w:rsid w:val="00F33C8A"/>
    <w:rsid w:val="00F34410"/>
    <w:rsid w:val="00F34A04"/>
    <w:rsid w:val="00F350B4"/>
    <w:rsid w:val="00F35265"/>
    <w:rsid w:val="00F35579"/>
    <w:rsid w:val="00F356B7"/>
    <w:rsid w:val="00F3587D"/>
    <w:rsid w:val="00F35B1C"/>
    <w:rsid w:val="00F35DA7"/>
    <w:rsid w:val="00F35F81"/>
    <w:rsid w:val="00F3637B"/>
    <w:rsid w:val="00F36518"/>
    <w:rsid w:val="00F36EED"/>
    <w:rsid w:val="00F3731C"/>
    <w:rsid w:val="00F37448"/>
    <w:rsid w:val="00F37B3D"/>
    <w:rsid w:val="00F37C5B"/>
    <w:rsid w:val="00F37E82"/>
    <w:rsid w:val="00F4028A"/>
    <w:rsid w:val="00F4070E"/>
    <w:rsid w:val="00F40D71"/>
    <w:rsid w:val="00F40E45"/>
    <w:rsid w:val="00F412B9"/>
    <w:rsid w:val="00F4137A"/>
    <w:rsid w:val="00F414E0"/>
    <w:rsid w:val="00F418CF"/>
    <w:rsid w:val="00F41FB4"/>
    <w:rsid w:val="00F4209B"/>
    <w:rsid w:val="00F42777"/>
    <w:rsid w:val="00F427F4"/>
    <w:rsid w:val="00F42AD2"/>
    <w:rsid w:val="00F42ECB"/>
    <w:rsid w:val="00F42ED7"/>
    <w:rsid w:val="00F42F17"/>
    <w:rsid w:val="00F43183"/>
    <w:rsid w:val="00F4384B"/>
    <w:rsid w:val="00F43BA8"/>
    <w:rsid w:val="00F440ED"/>
    <w:rsid w:val="00F4437A"/>
    <w:rsid w:val="00F44456"/>
    <w:rsid w:val="00F447F8"/>
    <w:rsid w:val="00F44A5A"/>
    <w:rsid w:val="00F44DEF"/>
    <w:rsid w:val="00F44F1F"/>
    <w:rsid w:val="00F44F6F"/>
    <w:rsid w:val="00F452E8"/>
    <w:rsid w:val="00F455E5"/>
    <w:rsid w:val="00F46000"/>
    <w:rsid w:val="00F4662F"/>
    <w:rsid w:val="00F467B3"/>
    <w:rsid w:val="00F467FE"/>
    <w:rsid w:val="00F46CA5"/>
    <w:rsid w:val="00F46F04"/>
    <w:rsid w:val="00F46FA7"/>
    <w:rsid w:val="00F4732A"/>
    <w:rsid w:val="00F47866"/>
    <w:rsid w:val="00F4795D"/>
    <w:rsid w:val="00F47CA9"/>
    <w:rsid w:val="00F47E9B"/>
    <w:rsid w:val="00F500B8"/>
    <w:rsid w:val="00F504D5"/>
    <w:rsid w:val="00F50535"/>
    <w:rsid w:val="00F506E5"/>
    <w:rsid w:val="00F50844"/>
    <w:rsid w:val="00F50D20"/>
    <w:rsid w:val="00F516E7"/>
    <w:rsid w:val="00F518D0"/>
    <w:rsid w:val="00F51B2B"/>
    <w:rsid w:val="00F52001"/>
    <w:rsid w:val="00F5203D"/>
    <w:rsid w:val="00F520D2"/>
    <w:rsid w:val="00F520D9"/>
    <w:rsid w:val="00F5222D"/>
    <w:rsid w:val="00F52496"/>
    <w:rsid w:val="00F525C3"/>
    <w:rsid w:val="00F52CF2"/>
    <w:rsid w:val="00F52F14"/>
    <w:rsid w:val="00F52F77"/>
    <w:rsid w:val="00F530E7"/>
    <w:rsid w:val="00F535FA"/>
    <w:rsid w:val="00F539A6"/>
    <w:rsid w:val="00F539DD"/>
    <w:rsid w:val="00F53C49"/>
    <w:rsid w:val="00F53C6C"/>
    <w:rsid w:val="00F53E71"/>
    <w:rsid w:val="00F54183"/>
    <w:rsid w:val="00F541FD"/>
    <w:rsid w:val="00F54570"/>
    <w:rsid w:val="00F54B1F"/>
    <w:rsid w:val="00F54EAB"/>
    <w:rsid w:val="00F54EE4"/>
    <w:rsid w:val="00F5535E"/>
    <w:rsid w:val="00F55911"/>
    <w:rsid w:val="00F559BB"/>
    <w:rsid w:val="00F55DEF"/>
    <w:rsid w:val="00F56076"/>
    <w:rsid w:val="00F5614F"/>
    <w:rsid w:val="00F564E8"/>
    <w:rsid w:val="00F56878"/>
    <w:rsid w:val="00F5699C"/>
    <w:rsid w:val="00F569FB"/>
    <w:rsid w:val="00F56A8C"/>
    <w:rsid w:val="00F56B85"/>
    <w:rsid w:val="00F57038"/>
    <w:rsid w:val="00F57116"/>
    <w:rsid w:val="00F571A0"/>
    <w:rsid w:val="00F57360"/>
    <w:rsid w:val="00F57393"/>
    <w:rsid w:val="00F57D44"/>
    <w:rsid w:val="00F600E1"/>
    <w:rsid w:val="00F60549"/>
    <w:rsid w:val="00F605DB"/>
    <w:rsid w:val="00F605ED"/>
    <w:rsid w:val="00F607CD"/>
    <w:rsid w:val="00F60DB5"/>
    <w:rsid w:val="00F60E15"/>
    <w:rsid w:val="00F60E8C"/>
    <w:rsid w:val="00F60F9C"/>
    <w:rsid w:val="00F6111B"/>
    <w:rsid w:val="00F61556"/>
    <w:rsid w:val="00F617E8"/>
    <w:rsid w:val="00F61976"/>
    <w:rsid w:val="00F6207F"/>
    <w:rsid w:val="00F620E9"/>
    <w:rsid w:val="00F6213E"/>
    <w:rsid w:val="00F6246F"/>
    <w:rsid w:val="00F625F6"/>
    <w:rsid w:val="00F627E5"/>
    <w:rsid w:val="00F62C64"/>
    <w:rsid w:val="00F62D60"/>
    <w:rsid w:val="00F62EA8"/>
    <w:rsid w:val="00F632C7"/>
    <w:rsid w:val="00F6379D"/>
    <w:rsid w:val="00F63DE2"/>
    <w:rsid w:val="00F63FF5"/>
    <w:rsid w:val="00F64548"/>
    <w:rsid w:val="00F64761"/>
    <w:rsid w:val="00F64790"/>
    <w:rsid w:val="00F64F61"/>
    <w:rsid w:val="00F65102"/>
    <w:rsid w:val="00F65199"/>
    <w:rsid w:val="00F652ED"/>
    <w:rsid w:val="00F65410"/>
    <w:rsid w:val="00F65965"/>
    <w:rsid w:val="00F65968"/>
    <w:rsid w:val="00F659AA"/>
    <w:rsid w:val="00F65C9A"/>
    <w:rsid w:val="00F65D60"/>
    <w:rsid w:val="00F65E47"/>
    <w:rsid w:val="00F660FE"/>
    <w:rsid w:val="00F66426"/>
    <w:rsid w:val="00F66A32"/>
    <w:rsid w:val="00F66B1F"/>
    <w:rsid w:val="00F66D60"/>
    <w:rsid w:val="00F67081"/>
    <w:rsid w:val="00F67136"/>
    <w:rsid w:val="00F7022C"/>
    <w:rsid w:val="00F7035C"/>
    <w:rsid w:val="00F70368"/>
    <w:rsid w:val="00F7081C"/>
    <w:rsid w:val="00F70C13"/>
    <w:rsid w:val="00F70CE7"/>
    <w:rsid w:val="00F7123D"/>
    <w:rsid w:val="00F716F1"/>
    <w:rsid w:val="00F7174E"/>
    <w:rsid w:val="00F71972"/>
    <w:rsid w:val="00F71BA8"/>
    <w:rsid w:val="00F71C66"/>
    <w:rsid w:val="00F71E88"/>
    <w:rsid w:val="00F726A9"/>
    <w:rsid w:val="00F72C3E"/>
    <w:rsid w:val="00F72ECC"/>
    <w:rsid w:val="00F7307C"/>
    <w:rsid w:val="00F731FE"/>
    <w:rsid w:val="00F732AC"/>
    <w:rsid w:val="00F736F7"/>
    <w:rsid w:val="00F7373C"/>
    <w:rsid w:val="00F738FA"/>
    <w:rsid w:val="00F73950"/>
    <w:rsid w:val="00F73AD8"/>
    <w:rsid w:val="00F73C74"/>
    <w:rsid w:val="00F73EEA"/>
    <w:rsid w:val="00F73F65"/>
    <w:rsid w:val="00F744F3"/>
    <w:rsid w:val="00F746D7"/>
    <w:rsid w:val="00F74D53"/>
    <w:rsid w:val="00F753DA"/>
    <w:rsid w:val="00F75442"/>
    <w:rsid w:val="00F75513"/>
    <w:rsid w:val="00F75778"/>
    <w:rsid w:val="00F75999"/>
    <w:rsid w:val="00F75B30"/>
    <w:rsid w:val="00F75BB2"/>
    <w:rsid w:val="00F75C02"/>
    <w:rsid w:val="00F75D5D"/>
    <w:rsid w:val="00F75FB7"/>
    <w:rsid w:val="00F76091"/>
    <w:rsid w:val="00F76991"/>
    <w:rsid w:val="00F76AA0"/>
    <w:rsid w:val="00F76CFF"/>
    <w:rsid w:val="00F774AD"/>
    <w:rsid w:val="00F77B00"/>
    <w:rsid w:val="00F77B57"/>
    <w:rsid w:val="00F77C13"/>
    <w:rsid w:val="00F77C89"/>
    <w:rsid w:val="00F801BC"/>
    <w:rsid w:val="00F8037F"/>
    <w:rsid w:val="00F806DF"/>
    <w:rsid w:val="00F808E8"/>
    <w:rsid w:val="00F80C2A"/>
    <w:rsid w:val="00F80E89"/>
    <w:rsid w:val="00F81600"/>
    <w:rsid w:val="00F81E6B"/>
    <w:rsid w:val="00F8212C"/>
    <w:rsid w:val="00F82197"/>
    <w:rsid w:val="00F821F6"/>
    <w:rsid w:val="00F82438"/>
    <w:rsid w:val="00F8264F"/>
    <w:rsid w:val="00F826AF"/>
    <w:rsid w:val="00F82912"/>
    <w:rsid w:val="00F82C6D"/>
    <w:rsid w:val="00F82EAD"/>
    <w:rsid w:val="00F82F4B"/>
    <w:rsid w:val="00F82F6B"/>
    <w:rsid w:val="00F82F6F"/>
    <w:rsid w:val="00F83047"/>
    <w:rsid w:val="00F830EB"/>
    <w:rsid w:val="00F8339F"/>
    <w:rsid w:val="00F833FD"/>
    <w:rsid w:val="00F8352C"/>
    <w:rsid w:val="00F83947"/>
    <w:rsid w:val="00F83C4E"/>
    <w:rsid w:val="00F83FFA"/>
    <w:rsid w:val="00F842E8"/>
    <w:rsid w:val="00F84548"/>
    <w:rsid w:val="00F847B7"/>
    <w:rsid w:val="00F84A79"/>
    <w:rsid w:val="00F84B22"/>
    <w:rsid w:val="00F84E55"/>
    <w:rsid w:val="00F8504F"/>
    <w:rsid w:val="00F85119"/>
    <w:rsid w:val="00F85120"/>
    <w:rsid w:val="00F85A09"/>
    <w:rsid w:val="00F85B23"/>
    <w:rsid w:val="00F865C5"/>
    <w:rsid w:val="00F869A0"/>
    <w:rsid w:val="00F871B0"/>
    <w:rsid w:val="00F87517"/>
    <w:rsid w:val="00F8757F"/>
    <w:rsid w:val="00F87605"/>
    <w:rsid w:val="00F877B3"/>
    <w:rsid w:val="00F877ED"/>
    <w:rsid w:val="00F9085E"/>
    <w:rsid w:val="00F90CA0"/>
    <w:rsid w:val="00F90CF5"/>
    <w:rsid w:val="00F90F47"/>
    <w:rsid w:val="00F91062"/>
    <w:rsid w:val="00F911F1"/>
    <w:rsid w:val="00F9163C"/>
    <w:rsid w:val="00F91E47"/>
    <w:rsid w:val="00F91FC1"/>
    <w:rsid w:val="00F92AA9"/>
    <w:rsid w:val="00F92ABC"/>
    <w:rsid w:val="00F92B0F"/>
    <w:rsid w:val="00F92E47"/>
    <w:rsid w:val="00F92E5C"/>
    <w:rsid w:val="00F92E99"/>
    <w:rsid w:val="00F93008"/>
    <w:rsid w:val="00F932A1"/>
    <w:rsid w:val="00F9370F"/>
    <w:rsid w:val="00F93A67"/>
    <w:rsid w:val="00F93BB8"/>
    <w:rsid w:val="00F93C98"/>
    <w:rsid w:val="00F93D69"/>
    <w:rsid w:val="00F943DA"/>
    <w:rsid w:val="00F9449E"/>
    <w:rsid w:val="00F944ED"/>
    <w:rsid w:val="00F9481E"/>
    <w:rsid w:val="00F94921"/>
    <w:rsid w:val="00F94BC0"/>
    <w:rsid w:val="00F958C3"/>
    <w:rsid w:val="00F95C5F"/>
    <w:rsid w:val="00F964D7"/>
    <w:rsid w:val="00F96628"/>
    <w:rsid w:val="00F96E62"/>
    <w:rsid w:val="00F96F18"/>
    <w:rsid w:val="00F96F50"/>
    <w:rsid w:val="00F974B3"/>
    <w:rsid w:val="00F9760B"/>
    <w:rsid w:val="00F97921"/>
    <w:rsid w:val="00F97951"/>
    <w:rsid w:val="00F97C0C"/>
    <w:rsid w:val="00F97EF1"/>
    <w:rsid w:val="00FA00A6"/>
    <w:rsid w:val="00FA01C0"/>
    <w:rsid w:val="00FA042C"/>
    <w:rsid w:val="00FA06E5"/>
    <w:rsid w:val="00FA0882"/>
    <w:rsid w:val="00FA0963"/>
    <w:rsid w:val="00FA0AA7"/>
    <w:rsid w:val="00FA146D"/>
    <w:rsid w:val="00FA14EA"/>
    <w:rsid w:val="00FA14FD"/>
    <w:rsid w:val="00FA164F"/>
    <w:rsid w:val="00FA1772"/>
    <w:rsid w:val="00FA179C"/>
    <w:rsid w:val="00FA1BE5"/>
    <w:rsid w:val="00FA1F72"/>
    <w:rsid w:val="00FA214A"/>
    <w:rsid w:val="00FA2788"/>
    <w:rsid w:val="00FA2CDD"/>
    <w:rsid w:val="00FA30B7"/>
    <w:rsid w:val="00FA3326"/>
    <w:rsid w:val="00FA3734"/>
    <w:rsid w:val="00FA3DCE"/>
    <w:rsid w:val="00FA3F29"/>
    <w:rsid w:val="00FA426B"/>
    <w:rsid w:val="00FA445D"/>
    <w:rsid w:val="00FA459B"/>
    <w:rsid w:val="00FA4A3F"/>
    <w:rsid w:val="00FA4E51"/>
    <w:rsid w:val="00FA4E90"/>
    <w:rsid w:val="00FA505A"/>
    <w:rsid w:val="00FA5272"/>
    <w:rsid w:val="00FA5865"/>
    <w:rsid w:val="00FA589D"/>
    <w:rsid w:val="00FA5A03"/>
    <w:rsid w:val="00FA5C6A"/>
    <w:rsid w:val="00FA602C"/>
    <w:rsid w:val="00FA621D"/>
    <w:rsid w:val="00FA6236"/>
    <w:rsid w:val="00FA64C1"/>
    <w:rsid w:val="00FA64D0"/>
    <w:rsid w:val="00FA6675"/>
    <w:rsid w:val="00FA66A4"/>
    <w:rsid w:val="00FA6AD4"/>
    <w:rsid w:val="00FA6DD8"/>
    <w:rsid w:val="00FA6FBE"/>
    <w:rsid w:val="00FA706C"/>
    <w:rsid w:val="00FA73B1"/>
    <w:rsid w:val="00FA73F8"/>
    <w:rsid w:val="00FA7721"/>
    <w:rsid w:val="00FA7A0A"/>
    <w:rsid w:val="00FA7CD9"/>
    <w:rsid w:val="00FA7F87"/>
    <w:rsid w:val="00FB0423"/>
    <w:rsid w:val="00FB04C9"/>
    <w:rsid w:val="00FB0916"/>
    <w:rsid w:val="00FB09D5"/>
    <w:rsid w:val="00FB0DBD"/>
    <w:rsid w:val="00FB0F73"/>
    <w:rsid w:val="00FB1007"/>
    <w:rsid w:val="00FB14D1"/>
    <w:rsid w:val="00FB1738"/>
    <w:rsid w:val="00FB1E8E"/>
    <w:rsid w:val="00FB1EB2"/>
    <w:rsid w:val="00FB2007"/>
    <w:rsid w:val="00FB207C"/>
    <w:rsid w:val="00FB2213"/>
    <w:rsid w:val="00FB2430"/>
    <w:rsid w:val="00FB28A3"/>
    <w:rsid w:val="00FB2EBE"/>
    <w:rsid w:val="00FB309A"/>
    <w:rsid w:val="00FB3201"/>
    <w:rsid w:val="00FB3275"/>
    <w:rsid w:val="00FB3472"/>
    <w:rsid w:val="00FB34E6"/>
    <w:rsid w:val="00FB3718"/>
    <w:rsid w:val="00FB3875"/>
    <w:rsid w:val="00FB418F"/>
    <w:rsid w:val="00FB43C2"/>
    <w:rsid w:val="00FB449C"/>
    <w:rsid w:val="00FB45FC"/>
    <w:rsid w:val="00FB47AF"/>
    <w:rsid w:val="00FB4F5E"/>
    <w:rsid w:val="00FB5070"/>
    <w:rsid w:val="00FB519B"/>
    <w:rsid w:val="00FB51CC"/>
    <w:rsid w:val="00FB53F6"/>
    <w:rsid w:val="00FB560B"/>
    <w:rsid w:val="00FB56D0"/>
    <w:rsid w:val="00FB5D3F"/>
    <w:rsid w:val="00FB5F57"/>
    <w:rsid w:val="00FB61E6"/>
    <w:rsid w:val="00FB633D"/>
    <w:rsid w:val="00FB6389"/>
    <w:rsid w:val="00FB63FE"/>
    <w:rsid w:val="00FB6C89"/>
    <w:rsid w:val="00FB7371"/>
    <w:rsid w:val="00FB79C4"/>
    <w:rsid w:val="00FB7AC9"/>
    <w:rsid w:val="00FB7E6B"/>
    <w:rsid w:val="00FB7F35"/>
    <w:rsid w:val="00FC0043"/>
    <w:rsid w:val="00FC008F"/>
    <w:rsid w:val="00FC0785"/>
    <w:rsid w:val="00FC0A6B"/>
    <w:rsid w:val="00FC0CB1"/>
    <w:rsid w:val="00FC0CFD"/>
    <w:rsid w:val="00FC0D1F"/>
    <w:rsid w:val="00FC0F5A"/>
    <w:rsid w:val="00FC1071"/>
    <w:rsid w:val="00FC1123"/>
    <w:rsid w:val="00FC1219"/>
    <w:rsid w:val="00FC1413"/>
    <w:rsid w:val="00FC1B10"/>
    <w:rsid w:val="00FC1E05"/>
    <w:rsid w:val="00FC1EDB"/>
    <w:rsid w:val="00FC1F42"/>
    <w:rsid w:val="00FC2063"/>
    <w:rsid w:val="00FC2366"/>
    <w:rsid w:val="00FC2890"/>
    <w:rsid w:val="00FC2F3E"/>
    <w:rsid w:val="00FC2FDC"/>
    <w:rsid w:val="00FC2FF4"/>
    <w:rsid w:val="00FC3119"/>
    <w:rsid w:val="00FC3147"/>
    <w:rsid w:val="00FC3320"/>
    <w:rsid w:val="00FC3A93"/>
    <w:rsid w:val="00FC3E35"/>
    <w:rsid w:val="00FC3E9A"/>
    <w:rsid w:val="00FC49CF"/>
    <w:rsid w:val="00FC50D6"/>
    <w:rsid w:val="00FC51B9"/>
    <w:rsid w:val="00FC6459"/>
    <w:rsid w:val="00FC6537"/>
    <w:rsid w:val="00FC6A99"/>
    <w:rsid w:val="00FC7858"/>
    <w:rsid w:val="00FC7A5F"/>
    <w:rsid w:val="00FD0342"/>
    <w:rsid w:val="00FD0382"/>
    <w:rsid w:val="00FD06B1"/>
    <w:rsid w:val="00FD07E7"/>
    <w:rsid w:val="00FD0830"/>
    <w:rsid w:val="00FD0A7F"/>
    <w:rsid w:val="00FD0E84"/>
    <w:rsid w:val="00FD0FD2"/>
    <w:rsid w:val="00FD1017"/>
    <w:rsid w:val="00FD103B"/>
    <w:rsid w:val="00FD13C8"/>
    <w:rsid w:val="00FD1555"/>
    <w:rsid w:val="00FD15E1"/>
    <w:rsid w:val="00FD183F"/>
    <w:rsid w:val="00FD1897"/>
    <w:rsid w:val="00FD18D6"/>
    <w:rsid w:val="00FD1A7E"/>
    <w:rsid w:val="00FD1C05"/>
    <w:rsid w:val="00FD1C44"/>
    <w:rsid w:val="00FD1F7F"/>
    <w:rsid w:val="00FD21C9"/>
    <w:rsid w:val="00FD2447"/>
    <w:rsid w:val="00FD25A0"/>
    <w:rsid w:val="00FD25ED"/>
    <w:rsid w:val="00FD25FB"/>
    <w:rsid w:val="00FD2BF7"/>
    <w:rsid w:val="00FD3854"/>
    <w:rsid w:val="00FD3A79"/>
    <w:rsid w:val="00FD3B20"/>
    <w:rsid w:val="00FD3D24"/>
    <w:rsid w:val="00FD40C6"/>
    <w:rsid w:val="00FD4168"/>
    <w:rsid w:val="00FD4408"/>
    <w:rsid w:val="00FD4781"/>
    <w:rsid w:val="00FD4A02"/>
    <w:rsid w:val="00FD4B9B"/>
    <w:rsid w:val="00FD4DB1"/>
    <w:rsid w:val="00FD4F35"/>
    <w:rsid w:val="00FD5362"/>
    <w:rsid w:val="00FD53FF"/>
    <w:rsid w:val="00FD55D1"/>
    <w:rsid w:val="00FD584C"/>
    <w:rsid w:val="00FD5C56"/>
    <w:rsid w:val="00FD63F9"/>
    <w:rsid w:val="00FD640F"/>
    <w:rsid w:val="00FD647B"/>
    <w:rsid w:val="00FD6BA0"/>
    <w:rsid w:val="00FD6F1B"/>
    <w:rsid w:val="00FD7088"/>
    <w:rsid w:val="00FD75A0"/>
    <w:rsid w:val="00FD75AE"/>
    <w:rsid w:val="00FD76CE"/>
    <w:rsid w:val="00FD7822"/>
    <w:rsid w:val="00FD79E8"/>
    <w:rsid w:val="00FE00FB"/>
    <w:rsid w:val="00FE0139"/>
    <w:rsid w:val="00FE0330"/>
    <w:rsid w:val="00FE094E"/>
    <w:rsid w:val="00FE0952"/>
    <w:rsid w:val="00FE0C36"/>
    <w:rsid w:val="00FE0E47"/>
    <w:rsid w:val="00FE106B"/>
    <w:rsid w:val="00FE15AD"/>
    <w:rsid w:val="00FE1787"/>
    <w:rsid w:val="00FE1887"/>
    <w:rsid w:val="00FE18B6"/>
    <w:rsid w:val="00FE19AF"/>
    <w:rsid w:val="00FE1A16"/>
    <w:rsid w:val="00FE2127"/>
    <w:rsid w:val="00FE2186"/>
    <w:rsid w:val="00FE2221"/>
    <w:rsid w:val="00FE22D9"/>
    <w:rsid w:val="00FE280C"/>
    <w:rsid w:val="00FE2876"/>
    <w:rsid w:val="00FE2AE8"/>
    <w:rsid w:val="00FE2BD0"/>
    <w:rsid w:val="00FE2E40"/>
    <w:rsid w:val="00FE33F0"/>
    <w:rsid w:val="00FE34BC"/>
    <w:rsid w:val="00FE36B4"/>
    <w:rsid w:val="00FE387F"/>
    <w:rsid w:val="00FE3B21"/>
    <w:rsid w:val="00FE401A"/>
    <w:rsid w:val="00FE41A0"/>
    <w:rsid w:val="00FE46E5"/>
    <w:rsid w:val="00FE46EF"/>
    <w:rsid w:val="00FE4788"/>
    <w:rsid w:val="00FE4C7B"/>
    <w:rsid w:val="00FE4F5D"/>
    <w:rsid w:val="00FE51D3"/>
    <w:rsid w:val="00FE54BE"/>
    <w:rsid w:val="00FE54C3"/>
    <w:rsid w:val="00FE5917"/>
    <w:rsid w:val="00FE5A5A"/>
    <w:rsid w:val="00FE5A9E"/>
    <w:rsid w:val="00FE5B51"/>
    <w:rsid w:val="00FE5CBD"/>
    <w:rsid w:val="00FE5F84"/>
    <w:rsid w:val="00FE6485"/>
    <w:rsid w:val="00FE64CD"/>
    <w:rsid w:val="00FE6728"/>
    <w:rsid w:val="00FE672A"/>
    <w:rsid w:val="00FE6760"/>
    <w:rsid w:val="00FE6AA0"/>
    <w:rsid w:val="00FE6D30"/>
    <w:rsid w:val="00FE6F5B"/>
    <w:rsid w:val="00FE6F8B"/>
    <w:rsid w:val="00FE7021"/>
    <w:rsid w:val="00FE70BC"/>
    <w:rsid w:val="00FE70CB"/>
    <w:rsid w:val="00FE7C77"/>
    <w:rsid w:val="00FE7D0C"/>
    <w:rsid w:val="00FE7DDE"/>
    <w:rsid w:val="00FE7DEB"/>
    <w:rsid w:val="00FE7EBB"/>
    <w:rsid w:val="00FF0933"/>
    <w:rsid w:val="00FF0BAE"/>
    <w:rsid w:val="00FF0CA0"/>
    <w:rsid w:val="00FF12A2"/>
    <w:rsid w:val="00FF1AD2"/>
    <w:rsid w:val="00FF236F"/>
    <w:rsid w:val="00FF23A8"/>
    <w:rsid w:val="00FF2669"/>
    <w:rsid w:val="00FF28A7"/>
    <w:rsid w:val="00FF299D"/>
    <w:rsid w:val="00FF2AED"/>
    <w:rsid w:val="00FF2C7B"/>
    <w:rsid w:val="00FF32FC"/>
    <w:rsid w:val="00FF3337"/>
    <w:rsid w:val="00FF3EC7"/>
    <w:rsid w:val="00FF41CA"/>
    <w:rsid w:val="00FF4204"/>
    <w:rsid w:val="00FF4403"/>
    <w:rsid w:val="00FF4823"/>
    <w:rsid w:val="00FF4A65"/>
    <w:rsid w:val="00FF4BBE"/>
    <w:rsid w:val="00FF50A3"/>
    <w:rsid w:val="00FF5191"/>
    <w:rsid w:val="00FF5291"/>
    <w:rsid w:val="00FF5905"/>
    <w:rsid w:val="00FF59BC"/>
    <w:rsid w:val="00FF5C43"/>
    <w:rsid w:val="00FF5E0D"/>
    <w:rsid w:val="00FF62AC"/>
    <w:rsid w:val="00FF63B4"/>
    <w:rsid w:val="00FF6435"/>
    <w:rsid w:val="00FF64DF"/>
    <w:rsid w:val="00FF6A6E"/>
    <w:rsid w:val="00FF6BE4"/>
    <w:rsid w:val="00FF6DB5"/>
    <w:rsid w:val="00FF6F35"/>
    <w:rsid w:val="00FF714C"/>
    <w:rsid w:val="00FF759E"/>
    <w:rsid w:val="00FF75D4"/>
    <w:rsid w:val="00FF7628"/>
    <w:rsid w:val="00FF76FE"/>
    <w:rsid w:val="00FF7B34"/>
    <w:rsid w:val="00FF7CD2"/>
    <w:rsid w:val="00FF7ECD"/>
    <w:rsid w:val="01391B04"/>
    <w:rsid w:val="01F4CBC1"/>
    <w:rsid w:val="02E6EDC1"/>
    <w:rsid w:val="054CC6BB"/>
    <w:rsid w:val="07121A06"/>
    <w:rsid w:val="08AF5504"/>
    <w:rsid w:val="0B3C25A5"/>
    <w:rsid w:val="0B863099"/>
    <w:rsid w:val="0C05F7FD"/>
    <w:rsid w:val="0D002FBF"/>
    <w:rsid w:val="0D8BFEF8"/>
    <w:rsid w:val="0E2609A0"/>
    <w:rsid w:val="0F827CA6"/>
    <w:rsid w:val="10139ADD"/>
    <w:rsid w:val="11FFFC31"/>
    <w:rsid w:val="122EB8BA"/>
    <w:rsid w:val="126D3F3A"/>
    <w:rsid w:val="145BE82D"/>
    <w:rsid w:val="157F4B30"/>
    <w:rsid w:val="1583EB39"/>
    <w:rsid w:val="17FF205C"/>
    <w:rsid w:val="18B8700D"/>
    <w:rsid w:val="1A2428B5"/>
    <w:rsid w:val="1AE6969A"/>
    <w:rsid w:val="1C140BFF"/>
    <w:rsid w:val="1E8127DF"/>
    <w:rsid w:val="1F087934"/>
    <w:rsid w:val="1FAE37B6"/>
    <w:rsid w:val="210E6BC3"/>
    <w:rsid w:val="21C16791"/>
    <w:rsid w:val="2335D3EA"/>
    <w:rsid w:val="23B01F76"/>
    <w:rsid w:val="2456EBC0"/>
    <w:rsid w:val="24F0FB6D"/>
    <w:rsid w:val="255BE783"/>
    <w:rsid w:val="256D2A13"/>
    <w:rsid w:val="25BB98C0"/>
    <w:rsid w:val="26920571"/>
    <w:rsid w:val="2703528C"/>
    <w:rsid w:val="298A8716"/>
    <w:rsid w:val="2DAB5D9D"/>
    <w:rsid w:val="2E9CED0B"/>
    <w:rsid w:val="30D39EE7"/>
    <w:rsid w:val="317A4967"/>
    <w:rsid w:val="338D173B"/>
    <w:rsid w:val="37B94B73"/>
    <w:rsid w:val="38AE1685"/>
    <w:rsid w:val="38BB7DB3"/>
    <w:rsid w:val="38FCFE16"/>
    <w:rsid w:val="393BF89C"/>
    <w:rsid w:val="3FFB790F"/>
    <w:rsid w:val="40508431"/>
    <w:rsid w:val="4067B1D6"/>
    <w:rsid w:val="4078A917"/>
    <w:rsid w:val="423BCD22"/>
    <w:rsid w:val="42EE1E56"/>
    <w:rsid w:val="431651BE"/>
    <w:rsid w:val="48151F61"/>
    <w:rsid w:val="4B3BE63A"/>
    <w:rsid w:val="4BA5C61E"/>
    <w:rsid w:val="4C98F2BC"/>
    <w:rsid w:val="4C99B9BF"/>
    <w:rsid w:val="4E4494C0"/>
    <w:rsid w:val="50E3A3CE"/>
    <w:rsid w:val="51E468D0"/>
    <w:rsid w:val="5255F8FA"/>
    <w:rsid w:val="525F2DD4"/>
    <w:rsid w:val="554184FB"/>
    <w:rsid w:val="5683853C"/>
    <w:rsid w:val="5846B154"/>
    <w:rsid w:val="58813CB1"/>
    <w:rsid w:val="64042E53"/>
    <w:rsid w:val="6AA3BD32"/>
    <w:rsid w:val="6F02294B"/>
    <w:rsid w:val="70ABC12D"/>
    <w:rsid w:val="70DA8BE3"/>
    <w:rsid w:val="70EEB151"/>
    <w:rsid w:val="730FC9DE"/>
    <w:rsid w:val="73A7C966"/>
    <w:rsid w:val="73FDDBD8"/>
    <w:rsid w:val="740A1BE0"/>
    <w:rsid w:val="76941BBF"/>
    <w:rsid w:val="771941AB"/>
    <w:rsid w:val="7895E7B6"/>
    <w:rsid w:val="7945EE0B"/>
    <w:rsid w:val="7A53CFCB"/>
    <w:rsid w:val="7AB2CE4C"/>
    <w:rsid w:val="7B000F42"/>
    <w:rsid w:val="7CC9A89C"/>
    <w:rsid w:val="7CDC47AC"/>
    <w:rsid w:val="7D708777"/>
    <w:rsid w:val="7E455112"/>
    <w:rsid w:val="7F25713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9C0BC4C"/>
  <w15:chartTrackingRefBased/>
  <w15:docId w15:val="{26B3F3B0-7F53-4914-8418-D94AEF57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58BE"/>
    <w:pPr>
      <w:widowControl w:val="0"/>
      <w:autoSpaceDE w:val="0"/>
      <w:autoSpaceDN w:val="0"/>
      <w:adjustRightInd w:val="0"/>
    </w:pPr>
    <w:rPr>
      <w:sz w:val="24"/>
      <w:szCs w:val="24"/>
    </w:rPr>
  </w:style>
  <w:style w:type="paragraph" w:styleId="Heading1">
    <w:name w:val="heading 1"/>
    <w:basedOn w:val="Normal"/>
    <w:next w:val="Normal"/>
    <w:link w:val="Heading1Char"/>
    <w:qFormat/>
    <w:rsid w:val="001B126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F958C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uiPriority w:val="99"/>
    <w:qFormat/>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qFormat/>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style>
  <w:style w:type="character" w:customStyle="1" w:styleId="FootnoteTextChar">
    <w:name w:val="Footnote Text Char"/>
    <w:aliases w:val=" Char Char,Char Char,Char18 Char,F1 Char,FT Char,Footnote Text - NEW Char,Footnote Text AG Char,Footnote Text Char Char Char,Footnote Text Char Char Char Char Char,Footnote Text Char1 Char Char Char,Footnote ak Char,Footnotes Char"/>
    <w:link w:val="FootnoteText"/>
    <w:uiPriority w:val="99"/>
    <w:locked/>
    <w:rsid w:val="00F40E45"/>
    <w:rPr>
      <w:lang w:val="en-US" w:eastAsia="en-US" w:bidi="ar-SA"/>
    </w:rPr>
  </w:style>
  <w:style w:type="character" w:customStyle="1" w:styleId="CharChar5">
    <w:name w:val="Char Char5"/>
    <w:semiHidden/>
    <w:locked/>
    <w:rsid w:val="000702BB"/>
    <w:rPr>
      <w:rFonts w:cs="Times New Roman"/>
      <w:lang w:val="en-US" w:eastAsia="en-US" w:bidi="ar-SA"/>
    </w:rPr>
  </w:style>
  <w:style w:type="character" w:styleId="CommentReference">
    <w:name w:val="annotation reference"/>
    <w:uiPriority w:val="99"/>
    <w:rsid w:val="00A855A0"/>
    <w:rPr>
      <w:sz w:val="16"/>
      <w:szCs w:val="16"/>
    </w:rPr>
  </w:style>
  <w:style w:type="paragraph" w:styleId="CommentText">
    <w:name w:val="annotation text"/>
    <w:aliases w:val="Times New Roman,t"/>
    <w:basedOn w:val="Normal"/>
    <w:link w:val="CommentTextChar"/>
    <w:uiPriority w:val="99"/>
    <w:qFormat/>
    <w:rsid w:val="00A855A0"/>
    <w:rPr>
      <w:sz w:val="20"/>
      <w:szCs w:val="20"/>
    </w:rPr>
  </w:style>
  <w:style w:type="character" w:customStyle="1" w:styleId="CommentTextChar">
    <w:name w:val="Comment Text Char"/>
    <w:aliases w:val="Times New Roman Char,t Char"/>
    <w:basedOn w:val="DefaultParagraphFont"/>
    <w:link w:val="CommentText"/>
    <w:uiPriority w:val="99"/>
    <w:rsid w:val="00A855A0"/>
  </w:style>
  <w:style w:type="paragraph" w:styleId="CommentSubject">
    <w:name w:val="annotation subject"/>
    <w:basedOn w:val="CommentText"/>
    <w:next w:val="CommentText"/>
    <w:link w:val="CommentSubjectChar"/>
    <w:rsid w:val="00A855A0"/>
    <w:rPr>
      <w:b/>
      <w:bCs/>
    </w:rPr>
  </w:style>
  <w:style w:type="character" w:customStyle="1" w:styleId="CommentSubjectChar">
    <w:name w:val="Comment Subject Char"/>
    <w:link w:val="CommentSubject"/>
    <w:rsid w:val="00A855A0"/>
    <w:rPr>
      <w:b/>
      <w:bCs/>
    </w:rPr>
  </w:style>
  <w:style w:type="character" w:styleId="Hyperlink">
    <w:name w:val="Hyperlink"/>
    <w:rsid w:val="007945AA"/>
    <w:rPr>
      <w:rFonts w:cs="Times New Roman"/>
      <w:color w:val="0000FF"/>
      <w:u w:val="single"/>
    </w:rPr>
  </w:style>
  <w:style w:type="character" w:customStyle="1" w:styleId="BodyTextChar">
    <w:name w:val="Body Text Char"/>
    <w:link w:val="BodyText"/>
    <w:rsid w:val="005C7066"/>
    <w:rPr>
      <w:sz w:val="24"/>
      <w:szCs w:val="24"/>
    </w:rPr>
  </w:style>
  <w:style w:type="paragraph" w:styleId="ListParagraph">
    <w:name w:val="List Paragraph"/>
    <w:basedOn w:val="Normal"/>
    <w:uiPriority w:val="34"/>
    <w:qFormat/>
    <w:rsid w:val="00232503"/>
    <w:pPr>
      <w:ind w:left="720"/>
      <w:contextualSpacing/>
    </w:pPr>
  </w:style>
  <w:style w:type="paragraph" w:styleId="HTMLPreformatted">
    <w:name w:val="HTML Preformatted"/>
    <w:basedOn w:val="Normal"/>
    <w:link w:val="HTMLPreformattedChar"/>
    <w:uiPriority w:val="99"/>
    <w:unhideWhenUsed/>
    <w:rsid w:val="003342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34218"/>
    <w:rPr>
      <w:rFonts w:ascii="Courier New" w:hAnsi="Courier New" w:cs="Courier New"/>
    </w:rPr>
  </w:style>
  <w:style w:type="paragraph" w:styleId="Revision">
    <w:name w:val="Revision"/>
    <w:hidden/>
    <w:uiPriority w:val="99"/>
    <w:semiHidden/>
    <w:rsid w:val="00016C2A"/>
    <w:rPr>
      <w:sz w:val="24"/>
      <w:szCs w:val="24"/>
    </w:rPr>
  </w:style>
  <w:style w:type="character" w:customStyle="1" w:styleId="CommentTextChar1">
    <w:name w:val="Comment Text Char1"/>
    <w:uiPriority w:val="99"/>
    <w:locked/>
    <w:rsid w:val="002C1731"/>
    <w:rPr>
      <w:rFonts w:ascii="Times New Roman" w:eastAsia="Times New Roman" w:hAnsi="Times New Roman" w:cs="Times New Roman"/>
      <w:sz w:val="20"/>
      <w:szCs w:val="20"/>
    </w:rPr>
  </w:style>
  <w:style w:type="character" w:styleId="UnresolvedMention">
    <w:name w:val="Unresolved Mention"/>
    <w:basedOn w:val="DefaultParagraphFont"/>
    <w:uiPriority w:val="99"/>
    <w:unhideWhenUsed/>
    <w:rsid w:val="00A84594"/>
    <w:rPr>
      <w:color w:val="605E5C"/>
      <w:shd w:val="clear" w:color="auto" w:fill="E1DFDD"/>
    </w:rPr>
  </w:style>
  <w:style w:type="table" w:styleId="TableGrid">
    <w:name w:val="Table Grid"/>
    <w:basedOn w:val="TableNormal"/>
    <w:rsid w:val="008E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17FAC"/>
    <w:rPr>
      <w:color w:val="954F72" w:themeColor="followedHyperlink"/>
      <w:u w:val="single"/>
    </w:rPr>
  </w:style>
  <w:style w:type="character" w:styleId="Mention">
    <w:name w:val="Mention"/>
    <w:basedOn w:val="DefaultParagraphFont"/>
    <w:uiPriority w:val="99"/>
    <w:unhideWhenUsed/>
    <w:rsid w:val="00CE45F0"/>
    <w:rPr>
      <w:color w:val="2B579A"/>
      <w:shd w:val="clear" w:color="auto" w:fill="E1DFDD"/>
    </w:rPr>
  </w:style>
  <w:style w:type="character" w:customStyle="1" w:styleId="ui-provider">
    <w:name w:val="ui-provider"/>
    <w:basedOn w:val="DefaultParagraphFont"/>
    <w:rsid w:val="00FE2E40"/>
  </w:style>
  <w:style w:type="character" w:customStyle="1" w:styleId="inline-header">
    <w:name w:val="inline-header"/>
    <w:basedOn w:val="DefaultParagraphFont"/>
    <w:rsid w:val="00A456B7"/>
  </w:style>
  <w:style w:type="paragraph" w:styleId="BodyText3">
    <w:name w:val="Body Text 3"/>
    <w:basedOn w:val="Normal"/>
    <w:link w:val="BodyText3Char"/>
    <w:rsid w:val="00B9571E"/>
    <w:pPr>
      <w:spacing w:after="120"/>
    </w:pPr>
    <w:rPr>
      <w:sz w:val="16"/>
      <w:szCs w:val="16"/>
    </w:rPr>
  </w:style>
  <w:style w:type="character" w:customStyle="1" w:styleId="BodyText3Char">
    <w:name w:val="Body Text 3 Char"/>
    <w:basedOn w:val="DefaultParagraphFont"/>
    <w:link w:val="BodyText3"/>
    <w:rsid w:val="00B9571E"/>
    <w:rPr>
      <w:sz w:val="16"/>
      <w:szCs w:val="16"/>
    </w:rPr>
  </w:style>
  <w:style w:type="character" w:customStyle="1" w:styleId="Heading1Char">
    <w:name w:val="Heading 1 Char"/>
    <w:basedOn w:val="DefaultParagraphFont"/>
    <w:link w:val="Heading1"/>
    <w:rsid w:val="001B1268"/>
    <w:rPr>
      <w:rFonts w:asciiTheme="majorHAnsi" w:eastAsiaTheme="majorEastAsia" w:hAnsiTheme="majorHAnsi" w:cstheme="majorBidi"/>
      <w:color w:val="2E74B5" w:themeColor="accent1" w:themeShade="BF"/>
      <w:sz w:val="32"/>
      <w:szCs w:val="32"/>
    </w:rPr>
  </w:style>
  <w:style w:type="paragraph" w:customStyle="1" w:styleId="HeadingStyle">
    <w:name w:val="Heading Style"/>
    <w:basedOn w:val="Heading1"/>
    <w:link w:val="HeadingStyleChar"/>
    <w:qFormat/>
    <w:rsid w:val="001B1268"/>
    <w:pPr>
      <w:ind w:left="720" w:hanging="720"/>
    </w:pPr>
    <w:rPr>
      <w:b/>
      <w:bCs/>
      <w:sz w:val="24"/>
      <w:szCs w:val="24"/>
    </w:rPr>
  </w:style>
  <w:style w:type="character" w:customStyle="1" w:styleId="HeadingStyleChar">
    <w:name w:val="Heading Style Char"/>
    <w:basedOn w:val="Heading1Char"/>
    <w:link w:val="HeadingStyle"/>
    <w:rsid w:val="001B1268"/>
    <w:rPr>
      <w:rFonts w:asciiTheme="majorHAnsi" w:eastAsiaTheme="majorEastAsia" w:hAnsiTheme="majorHAnsi" w:cstheme="majorBidi"/>
      <w:b/>
      <w:bCs/>
      <w:color w:val="2E74B5" w:themeColor="accent1" w:themeShade="BF"/>
      <w:sz w:val="24"/>
      <w:szCs w:val="24"/>
    </w:rPr>
  </w:style>
  <w:style w:type="character" w:customStyle="1" w:styleId="Heading2Char">
    <w:name w:val="Heading 2 Char"/>
    <w:basedOn w:val="DefaultParagraphFont"/>
    <w:link w:val="Heading2"/>
    <w:semiHidden/>
    <w:rsid w:val="00F958C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3/11/03/2023-23716/federal-independent-dispute-resolution-operation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sa-idr.cm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nosurprises/help-resolve-payment-disputes/payment-disputes-between-providers-and-health-plans" TargetMode="External" /><Relationship Id="rId2" Type="http://schemas.openxmlformats.org/officeDocument/2006/relationships/hyperlink" Target="https://www.federalregister.gov/documents/2023/11/03/2023-23716/federal-independent-dispute-resolution-operations" TargetMode="External" /><Relationship Id="rId3" Type="http://schemas.openxmlformats.org/officeDocument/2006/relationships/hyperlink" Target="https://www.dol.gov/sites/dolgov/files/EBSA/laws-and-regulations/rules-and-regulations/technical-appendices/labor-cost-inputs-used-in-ebsa-opr-ria-and-pra-burden-calculations-june-2019.pdf" TargetMode="External" /><Relationship Id="rId4" Type="http://schemas.openxmlformats.org/officeDocument/2006/relationships/hyperlink" Target="https://www.cms.gov/nosurprises/Help-resolve-payment-disputes/certified-IDRE-li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702f922a-4822-456a-81ca-e751b937cee3">
      <UserInfo>
        <DisplayName>Meidell, Matthew R - EBSA</DisplayName>
        <AccountId>2348</AccountId>
        <AccountType/>
      </UserInfo>
    </SharedWithUsers>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C3F6A-0BAF-4D54-B13A-F82FB1C85B43}">
  <ds:schemaRefs>
    <ds:schemaRef ds:uri="http://schemas.openxmlformats.org/officeDocument/2006/bibliography"/>
  </ds:schemaRefs>
</ds:datastoreItem>
</file>

<file path=customXml/itemProps2.xml><?xml version="1.0" encoding="utf-8"?>
<ds:datastoreItem xmlns:ds="http://schemas.openxmlformats.org/officeDocument/2006/customXml" ds:itemID="{713F74E5-4CFE-46D1-94FD-7516F5FC7484}">
  <ds:schemaRefs>
    <ds:schemaRef ds:uri="http://schemas.microsoft.com/office/2006/metadata/properties"/>
    <ds:schemaRef ds:uri="http://schemas.microsoft.com/office/infopath/2007/PartnerControls"/>
    <ds:schemaRef ds:uri="702f922a-4822-456a-81ca-e751b937cee3"/>
    <ds:schemaRef ds:uri="3f770ad9-5eb5-4717-9e53-a4191c0fe3a3"/>
    <ds:schemaRef ds:uri="bee3cffc-2f53-4e00-a92a-7337a39469a7"/>
  </ds:schemaRefs>
</ds:datastoreItem>
</file>

<file path=customXml/itemProps3.xml><?xml version="1.0" encoding="utf-8"?>
<ds:datastoreItem xmlns:ds="http://schemas.openxmlformats.org/officeDocument/2006/customXml" ds:itemID="{D3BC389E-B5E2-4899-B945-CC3C44DD7F3C}">
  <ds:schemaRefs>
    <ds:schemaRef ds:uri="http://schemas.microsoft.com/sharepoint/v3/contenttype/forms"/>
  </ds:schemaRefs>
</ds:datastoreItem>
</file>

<file path=customXml/itemProps4.xml><?xml version="1.0" encoding="utf-8"?>
<ds:datastoreItem xmlns:ds="http://schemas.openxmlformats.org/officeDocument/2006/customXml" ds:itemID="{859009AD-D2C1-4BD2-9F26-BC4289311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19459</Words>
  <Characters>106834</Characters>
  <Application>Microsoft Office Word</Application>
  <DocSecurity>0</DocSecurity>
  <Lines>2739</Lines>
  <Paragraphs>1137</Paragraphs>
  <ScaleCrop>false</ScaleCrop>
  <Company/>
  <LinksUpToDate>false</LinksUpToDate>
  <CharactersWithSpaces>125156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EBSA-DOL</dc:creator>
  <cp:lastModifiedBy>Mariam Khan- EBSA</cp:lastModifiedBy>
  <cp:revision>2</cp:revision>
  <dcterms:created xsi:type="dcterms:W3CDTF">2026-06-05T14:33:00Z</dcterms:created>
  <dcterms:modified xsi:type="dcterms:W3CDTF">2026-06-05T14:33:00Z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docLang">
    <vt:lpwstr>en</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f27fd79d-2802-44a1-a2bd-ee8d001506a4</vt:lpwstr>
  </property>
</Properties>
</file>