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D1A0D" w:rsidRPr="003D6316" w:rsidP="00BD1A0D" w14:paraId="5FFD880A" w14:textId="77777777">
      <w:pPr>
        <w:spacing w:after="0"/>
        <w:ind w:left="5760"/>
      </w:pPr>
      <w:bookmarkStart w:id="0" w:name="_Hlk136346672"/>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BD1A0D" w:rsidRPr="003D6316" w:rsidP="00BD1A0D" w14:paraId="1C58D75A" w14:textId="77777777">
      <w:pPr>
        <w:ind w:left="5760"/>
      </w:pPr>
      <w:r w:rsidRPr="003D6316">
        <w:t xml:space="preserve">Expiration Date: </w:t>
      </w:r>
      <w:r>
        <w:t>XX/XX/XXXX</w:t>
      </w:r>
    </w:p>
    <w:p w:rsidR="00BD1A0D" w:rsidRPr="00CF2F49" w:rsidP="00CF2F49" w14:paraId="1BBE4AC4" w14:textId="4B961679">
      <w:pPr>
        <w:pStyle w:val="Heading1"/>
        <w:spacing w:after="0"/>
        <w:ind w:left="0"/>
        <w:jc w:val="center"/>
        <w:rPr>
          <w:b w:val="0"/>
          <w:bCs w:val="0"/>
        </w:rPr>
      </w:pPr>
      <w:bookmarkStart w:id="1" w:name="APPENDIX_3:"/>
      <w:bookmarkEnd w:id="1"/>
      <w:r w:rsidRPr="00CF2F49">
        <w:t>Appendix XX:</w:t>
      </w:r>
    </w:p>
    <w:p w:rsidR="00BD1A0D" w:rsidP="00CF2F49" w14:paraId="174A6ADE" w14:textId="3EFD53E6">
      <w:pPr>
        <w:pStyle w:val="Heading1"/>
        <w:spacing w:after="0"/>
        <w:ind w:left="0"/>
        <w:jc w:val="center"/>
      </w:pPr>
      <w:r w:rsidRPr="00CF2F49">
        <w:t>Federal Independent Dispute Resolution (IDR) Process: Notice of IDR Initiation Data Elements</w:t>
      </w:r>
    </w:p>
    <w:p w:rsidR="00CF2F49" w:rsidRPr="00CF2F49" w:rsidP="00CF2F49" w14:paraId="5842260A" w14:textId="77777777">
      <w:pPr>
        <w:pStyle w:val="Heading1"/>
        <w:spacing w:after="0"/>
        <w:ind w:left="0"/>
        <w:jc w:val="center"/>
        <w:rPr>
          <w:b w:val="0"/>
          <w:bCs w:val="0"/>
        </w:rPr>
      </w:pPr>
    </w:p>
    <w:p w:rsidR="00BD1A0D" w:rsidRPr="00146FBF" w:rsidP="00146FBF" w14:paraId="20D6062C" w14:textId="1A3138D5">
      <w:pPr>
        <w:tabs>
          <w:tab w:val="left" w:pos="6750"/>
        </w:tabs>
      </w:pPr>
      <w:r>
        <w:t>The Departments of the Treasury, Labor, and Health and Human Services (Departments) and the Office of Personnel Management (OPM) have issued regulations that implement provisions of the No Surprise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w:t>
      </w:r>
      <w:r w:rsidR="002C14A6">
        <w:t xml:space="preserve"> </w:t>
      </w:r>
    </w:p>
    <w:p w:rsidR="00BD1A0D" w:rsidRPr="007654CD" w:rsidP="22D9D5C0" w14:paraId="4C4DA0E1" w14:textId="0B4701D8">
      <w:r>
        <w:t xml:space="preserve">The No Surprises Act provides that, if open negotiations do not result in an agreement between the parties for an out-of-network rate by the end of the 30-business-day open negotiation period, a plan, issuer, FEHB carrier, provider, facility, or provider of air ambulance services may then, during the 4-business-day period beginning on the first business day after the last day of the open negotiation period (or, for claims subject to a </w:t>
      </w:r>
      <w:r w:rsidR="0094001D">
        <w:t>cooling-off</w:t>
      </w:r>
      <w:r>
        <w:t xml:space="preserve"> period, during the 30-business-day period beginning on the day after the last day of the </w:t>
      </w:r>
      <w:r w:rsidR="0094001D">
        <w:t xml:space="preserve">cooling-off </w:t>
      </w:r>
      <w:r>
        <w:t xml:space="preserve">period), initiate the Federal IDR process. The Departments and OPM have issued </w:t>
      </w:r>
      <w:r w:rsidR="00C2107B">
        <w:t xml:space="preserve">final </w:t>
      </w:r>
      <w:r>
        <w:t>rules that would amend the Federal IDR initiation process. Under the</w:t>
      </w:r>
      <w:r w:rsidR="00C2107B">
        <w:t>se</w:t>
      </w:r>
      <w:r>
        <w:t xml:space="preserve"> </w:t>
      </w:r>
      <w:r w:rsidR="00C2107B">
        <w:t xml:space="preserve">final </w:t>
      </w:r>
      <w:r>
        <w:t>rules, the initiation date of the Federal IDR process would be the date of receipt of the notice of IDR initiation by the Departments through the Federal IDR portal. Under t</w:t>
      </w:r>
      <w:r w:rsidRPr="7F561576">
        <w:rPr>
          <w:color w:val="000000" w:themeColor="text1"/>
        </w:rPr>
        <w:t>he</w:t>
      </w:r>
      <w:r w:rsidR="00514A8E">
        <w:rPr>
          <w:color w:val="000000" w:themeColor="text1"/>
        </w:rPr>
        <w:t>se final</w:t>
      </w:r>
      <w:r w:rsidR="00FE0C67">
        <w:rPr>
          <w:color w:val="000000" w:themeColor="text1"/>
        </w:rPr>
        <w:t xml:space="preserve"> </w:t>
      </w:r>
      <w:r w:rsidRPr="7F561576">
        <w:rPr>
          <w:color w:val="000000" w:themeColor="text1"/>
        </w:rPr>
        <w:t xml:space="preserve">rules, the non-initiating party </w:t>
      </w:r>
      <w:r w:rsidR="00637A9D">
        <w:rPr>
          <w:color w:val="000000" w:themeColor="text1"/>
        </w:rPr>
        <w:t>is</w:t>
      </w:r>
      <w:r w:rsidRPr="7F561576">
        <w:rPr>
          <w:color w:val="000000" w:themeColor="text1"/>
        </w:rPr>
        <w:t xml:space="preserve"> required to submit to the initiating party and to the Departments a written notice and supporting documentation in response to the notice of IDR initiation within 3 business days after the date of IDR initiation.</w:t>
      </w:r>
    </w:p>
    <w:p w:rsidR="00BD1A0D" w:rsidRPr="00BD1A0D" w14:paraId="521A0642" w14:textId="7EDF581A">
      <w:r>
        <w:t xml:space="preserve">The Federal IDR process is available only for certain services, such as out-of-network emergency services, certain services provided by out-of-network providers at an in-network facility, or out-of-network air ambulance services. The Federal IDR process is also available only if a state All-Payer Model Agreement or specified state law does not apply; otherwise, the state </w:t>
      </w:r>
      <w:r w:rsidR="00785DC2">
        <w:t xml:space="preserve">All-Payer Model </w:t>
      </w:r>
      <w:r>
        <w:t xml:space="preserve">Agreement or </w:t>
      </w:r>
      <w:r w:rsidR="003906C4">
        <w:t xml:space="preserve">specified state </w:t>
      </w:r>
      <w:r>
        <w:t>law applies.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BD1A0D" w:rsidRPr="00F024BE" w:rsidP="022687B2" w14:paraId="4B6EF58E" w14:textId="35DBB825">
      <w:r>
        <w:t xml:space="preserve">The table below identifies data elements under the </w:t>
      </w:r>
      <w:r w:rsidR="00256FA5">
        <w:t xml:space="preserve">final </w:t>
      </w:r>
      <w:r>
        <w:t xml:space="preserve">rules that group health plans, health insurance issuers offering group and individual health insurance coverage, or FEHB carriers and </w:t>
      </w:r>
      <w:r>
        <w:t xml:space="preserve">nonparticipating health care providers, facilities, and providers of air ambulance services </w:t>
      </w:r>
      <w:r w:rsidR="00256FA5">
        <w:t>are</w:t>
      </w:r>
      <w:r>
        <w:t xml:space="preserve"> required to submit through the Federal IDR portal, available at </w:t>
      </w:r>
      <w:hyperlink r:id="rId7">
        <w:r>
          <w:t>https://www.nsa-idr.cms.gov</w:t>
        </w:r>
      </w:hyperlink>
      <w:r>
        <w:t xml:space="preserve">, during the 4-business-day period beginning on the first business day after the last day of the open negotiation period (or, for claims subject to a cooling off period, during the 30-business-day period beginning on the day after the last day of the cooling off period) to initiate the Federal IDR process. </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
      <w:tblGrid>
        <w:gridCol w:w="3695"/>
        <w:gridCol w:w="5755"/>
      </w:tblGrid>
      <w:tr w14:paraId="4D96D91E" w14:textId="77777777" w:rsidTr="35E4C487">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Ex>
        <w:trPr>
          <w:cantSplit/>
          <w:tblHeader/>
        </w:trPr>
        <w:tc>
          <w:tcPr>
            <w:tcW w:w="3695" w:type="dxa"/>
          </w:tcPr>
          <w:p w:rsidR="00BD1A0D" w:rsidRPr="003D6316" w14:paraId="7ACF31C8"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BD1A0D" w:rsidRPr="003D6316" w14:paraId="79B5C6C1" w14:textId="77777777">
            <w:pPr>
              <w:pStyle w:val="TableParagraph"/>
              <w:spacing w:after="0"/>
              <w:ind w:left="0" w:right="16"/>
              <w:jc w:val="center"/>
              <w:rPr>
                <w:b/>
              </w:rPr>
            </w:pPr>
            <w:r w:rsidRPr="003D6316">
              <w:rPr>
                <w:b/>
                <w:spacing w:val="-2"/>
              </w:rPr>
              <w:t>DESCRIPTION</w:t>
            </w:r>
          </w:p>
        </w:tc>
      </w:tr>
      <w:tr w14:paraId="2AF32DD5"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F138E2" w14:paraId="2F14293E" w14:textId="6F99C5D2">
            <w:pPr>
              <w:pStyle w:val="TableParagraph"/>
              <w:spacing w:after="0"/>
              <w:ind w:left="30" w:right="48"/>
            </w:pPr>
            <w:r>
              <w:t>Identification of the provider, facility, or provider of air ambulance services</w:t>
            </w:r>
          </w:p>
        </w:tc>
        <w:tc>
          <w:tcPr>
            <w:tcW w:w="5755" w:type="dxa"/>
          </w:tcPr>
          <w:p w:rsidR="00BD1A0D" w:rsidRPr="003D6316" w:rsidP="22D9D5C0" w14:paraId="337F0518" w14:textId="69800B69">
            <w:pPr>
              <w:pStyle w:val="TableParagraph"/>
              <w:tabs>
                <w:tab w:val="left" w:pos="1766"/>
              </w:tabs>
              <w:spacing w:after="0" w:line="270" w:lineRule="atLeast"/>
              <w:ind w:left="0" w:right="76"/>
            </w:pPr>
            <w:r>
              <w:t xml:space="preserve">Information sufficient to identify the provider, facility, or provider or air ambulance services, including the name and current contact information (including </w:t>
            </w:r>
            <w:r w:rsidR="00854990">
              <w:t xml:space="preserve">the </w:t>
            </w:r>
            <w:r>
              <w:t xml:space="preserve">legal business name, email address, phone number, and mailing address), the National Provider Identifier (NPI); and if the initiating party is a provider, facility, or provider of air ambulance services, the Tax Identification Number (TIN) </w:t>
            </w:r>
          </w:p>
        </w:tc>
      </w:tr>
      <w:tr w14:paraId="601F6A97"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4E31FC20" w14:textId="7042A95D">
            <w:pPr>
              <w:pStyle w:val="TableParagraph"/>
              <w:spacing w:after="0"/>
              <w:ind w:left="30"/>
            </w:pPr>
            <w:r>
              <w:t>Identification of the plan, issuer, or FEHB carrier</w:t>
            </w:r>
          </w:p>
        </w:tc>
        <w:tc>
          <w:tcPr>
            <w:tcW w:w="5755" w:type="dxa"/>
          </w:tcPr>
          <w:p w:rsidR="22D9D5C0" w:rsidP="22D9D5C0" w14:paraId="7B281D3F" w14:textId="684B85BA">
            <w:pPr>
              <w:pStyle w:val="TableParagraph"/>
              <w:tabs>
                <w:tab w:val="left" w:pos="2133"/>
              </w:tabs>
              <w:spacing w:after="0"/>
              <w:ind w:left="0" w:right="76"/>
            </w:pPr>
            <w:r>
              <w:t>Information sufficient to identify the plan, issuer, or FEHB carrier, including:</w:t>
            </w:r>
          </w:p>
          <w:p w:rsidR="00BD1A0D" w:rsidRPr="003D6316" w:rsidP="22D9D5C0" w14:paraId="28C2323F" w14:textId="72599942">
            <w:pPr>
              <w:pStyle w:val="TableParagraph"/>
              <w:numPr>
                <w:ilvl w:val="0"/>
                <w:numId w:val="1"/>
              </w:numPr>
              <w:tabs>
                <w:tab w:val="left" w:pos="2133"/>
              </w:tabs>
              <w:spacing w:after="0"/>
              <w:ind w:right="76"/>
            </w:pPr>
            <w:r>
              <w:t xml:space="preserve">The plan’s, </w:t>
            </w:r>
            <w:bookmarkStart w:id="2" w:name="_Int_xRbxW6xV"/>
            <w:r>
              <w:t>issuer’s</w:t>
            </w:r>
            <w:bookmarkEnd w:id="2"/>
            <w:r>
              <w:t>, or FEHB carrier’s registration number</w:t>
            </w:r>
            <w:r w:rsidR="00ED7FCC">
              <w:t xml:space="preserve"> as required under</w:t>
            </w:r>
            <w:r>
              <w:t xml:space="preserve"> 26 CFR 54.9816-9, 29 CFR 2590.716-9, and 45 CFR 149.530 or an attestation from the initiating party </w:t>
            </w:r>
            <w:r w:rsidRPr="00983D35" w:rsidR="00983D35">
              <w:t>that the plan's or issuer's registration number was not provided on any remittance advice associated with the initial payment or notice of denial of payment for the item or service</w:t>
            </w:r>
            <w:r>
              <w:t xml:space="preserve">; </w:t>
            </w:r>
          </w:p>
          <w:p w:rsidR="00BD1A0D" w:rsidRPr="003D6316" w:rsidP="22D9D5C0" w14:paraId="46984C34" w14:textId="725977AD">
            <w:pPr>
              <w:pStyle w:val="TableParagraph"/>
              <w:numPr>
                <w:ilvl w:val="0"/>
                <w:numId w:val="1"/>
              </w:numPr>
              <w:tabs>
                <w:tab w:val="left" w:pos="2133"/>
              </w:tabs>
              <w:spacing w:after="0"/>
              <w:ind w:right="76"/>
            </w:pPr>
            <w:r>
              <w:t>The legal business name of the plan, issuer, or FEHB carrier</w:t>
            </w:r>
            <w:r w:rsidR="00D02E5D">
              <w:t xml:space="preserve"> (</w:t>
            </w:r>
            <w:r w:rsidRPr="00D02E5D" w:rsidR="00D02E5D">
              <w:t>or, in the case of a self-insured group health plan that does not have a legal business name, the legal business name of the plan sponsor</w:t>
            </w:r>
            <w:r w:rsidR="00D02E5D">
              <w:t>)</w:t>
            </w:r>
            <w:r>
              <w:t xml:space="preserve"> and the current contact information (name, email address, phone number, and mailing address) of the plan, issuer, or FEHB carrier as </w:t>
            </w:r>
            <w:r w:rsidR="00D02E5D">
              <w:t xml:space="preserve">provided </w:t>
            </w:r>
            <w:r w:rsidRPr="00D02E5D" w:rsidR="00D02E5D">
              <w:t>with any remittance advice associated with the initial payment or notice of denial of payment for the item or service</w:t>
            </w:r>
            <w:r>
              <w:t>; and</w:t>
            </w:r>
          </w:p>
          <w:p w:rsidR="00BD1A0D" w:rsidRPr="003D6316" w:rsidP="22D9D5C0" w14:paraId="6EA236DB" w14:textId="6D5DFBDF">
            <w:pPr>
              <w:pStyle w:val="TableParagraph"/>
              <w:numPr>
                <w:ilvl w:val="0"/>
                <w:numId w:val="1"/>
              </w:numPr>
              <w:tabs>
                <w:tab w:val="left" w:pos="2133"/>
              </w:tabs>
              <w:spacing w:after="0"/>
              <w:ind w:right="76"/>
            </w:pPr>
            <w:r>
              <w:t>If the initiating party is a plan or issuer, the plan type (for example, self-insured or fully-insured) and TIN (or, in the case of a plan that does not have a TIN, the TIN of the</w:t>
            </w:r>
            <w:r w:rsidR="002C14A6">
              <w:t xml:space="preserve"> </w:t>
            </w:r>
            <w:r>
              <w:t>plan sponsor)</w:t>
            </w:r>
          </w:p>
        </w:tc>
      </w:tr>
      <w:tr w14:paraId="00CEF834"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30490696" w14:textId="446418C4">
            <w:pPr>
              <w:pStyle w:val="TableParagraph"/>
              <w:spacing w:after="0"/>
              <w:ind w:left="30" w:right="48"/>
            </w:pPr>
            <w:r>
              <w:t>Third-party representative (if applicable)</w:t>
            </w:r>
          </w:p>
        </w:tc>
        <w:tc>
          <w:tcPr>
            <w:tcW w:w="5755" w:type="dxa"/>
          </w:tcPr>
          <w:p w:rsidR="00BD1A0D" w:rsidRPr="003D6316" w14:paraId="7C8E7943" w14:textId="29565B62">
            <w:pPr>
              <w:pStyle w:val="TableParagraph"/>
              <w:spacing w:after="0"/>
              <w:ind w:left="0" w:right="76"/>
            </w:pPr>
            <w:r>
              <w:t>Name and contact information (including the legal business name, email address, phone number,</w:t>
            </w:r>
            <w:r w:rsidR="00AE0D04">
              <w:t xml:space="preserve"> TIN,</w:t>
            </w:r>
            <w:r>
              <w:t xml:space="preserve"> and mailing address) for any third party representing the </w:t>
            </w:r>
            <w:r w:rsidR="004E090A">
              <w:t xml:space="preserve">initiating </w:t>
            </w:r>
            <w:r>
              <w:t>party, and an attestation that the third party has the authority to act on behalf of the party it represents in the Federal IDR process</w:t>
            </w:r>
          </w:p>
        </w:tc>
      </w:tr>
      <w:tr w14:paraId="607D92D6"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1F1495EB" w14:textId="226F0042">
            <w:pPr>
              <w:pStyle w:val="TableParagraph"/>
              <w:spacing w:after="0"/>
              <w:ind w:left="30" w:right="48"/>
            </w:pPr>
            <w:r>
              <w:t xml:space="preserve">Whether dispute includes batched or bundled qualified IDR items or services </w:t>
            </w:r>
          </w:p>
        </w:tc>
        <w:tc>
          <w:tcPr>
            <w:tcW w:w="5755" w:type="dxa"/>
          </w:tcPr>
          <w:p w:rsidR="00BD1A0D" w:rsidRPr="003D6316" w14:paraId="73C82698" w14:textId="331B9D89">
            <w:pPr>
              <w:pStyle w:val="TableParagraph"/>
              <w:spacing w:after="0"/>
              <w:ind w:left="0" w:right="76"/>
            </w:pPr>
            <w:r>
              <w:t>Information sufficient to identify whether the dispute being initiated includes batched or bundled qualified IDR items or services</w:t>
            </w:r>
          </w:p>
        </w:tc>
      </w:tr>
      <w:tr w14:paraId="0102568E"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4C76F67B" w14:textId="1E76466E">
            <w:pPr>
              <w:pStyle w:val="TableParagraph"/>
              <w:spacing w:after="0"/>
              <w:ind w:left="30" w:right="48"/>
            </w:pPr>
            <w:r>
              <w:t>Identification of the qualified IDR item or service that is the subject of the notice of IDR initiation</w:t>
            </w:r>
          </w:p>
        </w:tc>
        <w:tc>
          <w:tcPr>
            <w:tcW w:w="5755" w:type="dxa"/>
          </w:tcPr>
          <w:p w:rsidR="00BD1A0D" w:rsidRPr="003D6316" w:rsidP="22D9D5C0" w14:paraId="3388105A" w14:textId="106611EF">
            <w:pPr>
              <w:pStyle w:val="TableParagraph"/>
              <w:spacing w:after="0"/>
              <w:ind w:left="0" w:right="76"/>
            </w:pPr>
            <w:r>
              <w:t>Information sufficient to identify the qualified IDR item or service that is the subject of the notice of IDR initiation, including:</w:t>
            </w:r>
          </w:p>
          <w:p w:rsidR="00BD1A0D" w:rsidRPr="003D6316" w:rsidP="22D9D5C0" w14:paraId="1F10A8A3" w14:textId="10A69797">
            <w:pPr>
              <w:pStyle w:val="TableParagraph"/>
              <w:numPr>
                <w:ilvl w:val="0"/>
                <w:numId w:val="2"/>
              </w:numPr>
              <w:spacing w:after="0"/>
              <w:ind w:right="76"/>
            </w:pPr>
            <w:r>
              <w:t xml:space="preserve">The date(s) the qualified IDR item or service was furnished; </w:t>
            </w:r>
          </w:p>
          <w:p w:rsidR="009615C2" w:rsidP="22D9D5C0" w14:paraId="606C3ED0" w14:textId="5E60421F">
            <w:pPr>
              <w:pStyle w:val="TableParagraph"/>
              <w:numPr>
                <w:ilvl w:val="0"/>
                <w:numId w:val="2"/>
              </w:numPr>
              <w:spacing w:after="0"/>
              <w:ind w:right="76"/>
            </w:pPr>
            <w:r w:rsidRPr="214C8C53">
              <w:rPr>
                <w:color w:val="000000" w:themeColor="text1"/>
              </w:rPr>
              <w:t>If the initiating party is a provider, facility, or provider of air ambulance services, t</w:t>
            </w:r>
            <w:r>
              <w:t xml:space="preserve">he date(s) that the provider, facility, or provider of air ambulance services received the initial payment or notice of denial of payment for such item or service from the plan, issuer, or FEHB carrier; </w:t>
            </w:r>
          </w:p>
          <w:p w:rsidR="00BD1A0D" w:rsidRPr="003D6316" w:rsidP="22D9D5C0" w14:paraId="74EF030A" w14:textId="77C97B83">
            <w:pPr>
              <w:pStyle w:val="TableParagraph"/>
              <w:numPr>
                <w:ilvl w:val="0"/>
                <w:numId w:val="2"/>
              </w:numPr>
              <w:spacing w:after="0"/>
              <w:ind w:right="76"/>
            </w:pPr>
            <w:r>
              <w:t xml:space="preserve">The date the open negotiation period began; </w:t>
            </w:r>
          </w:p>
          <w:p w:rsidR="006D2D08" w:rsidP="22D9D5C0" w14:paraId="61FD5926" w14:textId="39918805">
            <w:pPr>
              <w:pStyle w:val="TableParagraph"/>
              <w:numPr>
                <w:ilvl w:val="0"/>
                <w:numId w:val="2"/>
              </w:numPr>
              <w:spacing w:after="0"/>
              <w:ind w:right="76"/>
            </w:pPr>
            <w:r>
              <w:t>The type of item or service (specifically, whether the qualified IDR item or service is an emergency service as defined in 29 CFR 2590.716-4(c)(2)(i) or (ii), and 45 CFR 149.110(c)(2)(i) or (ii), a non-emergency service as described in 29 CFR 2590.716-5(b), and 45 CFR 149.120(b), or an air ambulance service as defined in 29 CFR 2590.717-</w:t>
            </w:r>
            <w:r w:rsidR="00290523">
              <w:t>3</w:t>
            </w:r>
            <w:r>
              <w:t xml:space="preserve">, and 45 CFR 149.30); </w:t>
            </w:r>
          </w:p>
          <w:p w:rsidR="00BD1A0D" w:rsidRPr="003D6316" w:rsidP="22D9D5C0" w14:paraId="70A1FF7B" w14:textId="20710685">
            <w:pPr>
              <w:pStyle w:val="TableParagraph"/>
              <w:numPr>
                <w:ilvl w:val="0"/>
                <w:numId w:val="2"/>
              </w:numPr>
              <w:spacing w:after="0"/>
              <w:ind w:right="76"/>
            </w:pPr>
            <w:r>
              <w:t xml:space="preserve">Whether the service is a professional service or facility-based service; </w:t>
            </w:r>
          </w:p>
          <w:p w:rsidR="00BD1A0D" w:rsidRPr="003D6316" w:rsidP="22D9D5C0" w14:paraId="3373C929" w14:textId="4620F171">
            <w:pPr>
              <w:pStyle w:val="TableParagraph"/>
              <w:numPr>
                <w:ilvl w:val="0"/>
                <w:numId w:val="2"/>
              </w:numPr>
              <w:spacing w:after="0"/>
              <w:ind w:right="76"/>
            </w:pPr>
            <w:r>
              <w:t xml:space="preserve">The State where the item or service was furnished; </w:t>
            </w:r>
          </w:p>
          <w:p w:rsidR="00BD1A0D" w:rsidRPr="003D6316" w:rsidP="22D9D5C0" w14:paraId="14C6302E" w14:textId="7752E4A2">
            <w:pPr>
              <w:pStyle w:val="TableParagraph"/>
              <w:numPr>
                <w:ilvl w:val="0"/>
                <w:numId w:val="2"/>
              </w:numPr>
              <w:spacing w:after="0"/>
              <w:ind w:right="76"/>
            </w:pPr>
            <w:r>
              <w:t xml:space="preserve">The claim number; </w:t>
            </w:r>
          </w:p>
          <w:p w:rsidR="00BD1A0D" w:rsidRPr="003D6316" w:rsidP="22D9D5C0" w14:paraId="787DE261" w14:textId="529B09A6">
            <w:pPr>
              <w:pStyle w:val="TableParagraph"/>
              <w:numPr>
                <w:ilvl w:val="0"/>
                <w:numId w:val="2"/>
              </w:numPr>
              <w:spacing w:after="0"/>
              <w:ind w:right="76"/>
            </w:pPr>
            <w:r>
              <w:t>The service code; and</w:t>
            </w:r>
          </w:p>
          <w:p w:rsidR="00BD1A0D" w:rsidRPr="003D6316" w:rsidP="22D9D5C0" w14:paraId="0ADAA541" w14:textId="62299FE4">
            <w:pPr>
              <w:pStyle w:val="TableParagraph"/>
              <w:numPr>
                <w:ilvl w:val="0"/>
                <w:numId w:val="2"/>
              </w:numPr>
              <w:spacing w:after="0"/>
              <w:ind w:right="76"/>
            </w:pPr>
            <w:r>
              <w:t xml:space="preserve">Information to identify the </w:t>
            </w:r>
            <w:r>
              <w:t>location</w:t>
            </w:r>
            <w:r>
              <w:t xml:space="preserve"> the item or service was furnished (including place of service code or bill type code)</w:t>
            </w:r>
          </w:p>
        </w:tc>
      </w:tr>
      <w:tr w14:paraId="28E7EA4A"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14:paraId="51BF31F1" w14:textId="4D6A6AD8">
            <w:pPr>
              <w:pStyle w:val="TableParagraph"/>
              <w:spacing w:after="0"/>
              <w:ind w:left="30" w:right="48"/>
            </w:pPr>
            <w:r>
              <w:t>Initial payment amount</w:t>
            </w:r>
          </w:p>
        </w:tc>
        <w:tc>
          <w:tcPr>
            <w:tcW w:w="5755" w:type="dxa"/>
          </w:tcPr>
          <w:p w:rsidR="00BD1A0D" w:rsidRPr="004F01A9" w14:paraId="2EEBD8C6" w14:textId="0DDD79B6">
            <w:pPr>
              <w:pStyle w:val="TableParagraph"/>
              <w:spacing w:after="0"/>
              <w:ind w:left="0" w:right="76"/>
            </w:pPr>
            <w:r>
              <w:t>The initial payment amount (including $0 if</w:t>
            </w:r>
            <w:r w:rsidR="002B0D56">
              <w:t xml:space="preserve"> </w:t>
            </w:r>
            <w:r>
              <w:t>payment is denied)</w:t>
            </w:r>
          </w:p>
        </w:tc>
      </w:tr>
      <w:tr w14:paraId="60E75BE7"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163E2F" w14:paraId="638F5627" w14:textId="0D7EEB2C">
            <w:pPr>
              <w:pStyle w:val="TableParagraph"/>
              <w:spacing w:after="0"/>
              <w:ind w:left="30" w:right="48"/>
            </w:pPr>
            <w:r>
              <w:t>Amount of cost-sharing (applicable to plans, issuers, or FEHB carriers)</w:t>
            </w:r>
          </w:p>
        </w:tc>
        <w:tc>
          <w:tcPr>
            <w:tcW w:w="5755" w:type="dxa"/>
          </w:tcPr>
          <w:p w:rsidR="00163E2F" w14:paraId="0CE8FABA" w14:textId="6393CFDE">
            <w:pPr>
              <w:pStyle w:val="TableParagraph"/>
              <w:spacing w:after="0"/>
              <w:ind w:left="0" w:right="76"/>
            </w:pPr>
            <w:r>
              <w:t>If the initiating party is a plan</w:t>
            </w:r>
            <w:r w:rsidR="00C0230A">
              <w:t>,</w:t>
            </w:r>
            <w:r>
              <w:t xml:space="preserve"> issuer</w:t>
            </w:r>
            <w:r w:rsidR="00C0230A">
              <w:t>, or FEHB carrier</w:t>
            </w:r>
            <w:r>
              <w:t xml:space="preserve">, the amount of cost sharing imposed </w:t>
            </w:r>
            <w:r>
              <w:t>for</w:t>
            </w:r>
            <w:r>
              <w:t xml:space="preserve"> the item or service, if any</w:t>
            </w:r>
          </w:p>
        </w:tc>
      </w:tr>
      <w:tr w14:paraId="6CD4A3BA"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6413E1DC" w14:textId="7E0C1C05">
            <w:pPr>
              <w:pStyle w:val="TableParagraph"/>
              <w:spacing w:after="0"/>
              <w:ind w:left="30" w:right="48"/>
            </w:pPr>
            <w:r>
              <w:t>Qualifying payment amount</w:t>
            </w:r>
          </w:p>
        </w:tc>
        <w:tc>
          <w:tcPr>
            <w:tcW w:w="5755" w:type="dxa"/>
          </w:tcPr>
          <w:p w:rsidR="00BD1A0D" w:rsidRPr="003D6316" w14:paraId="69CCB1FA" w14:textId="459A2D9B">
            <w:pPr>
              <w:pStyle w:val="TableParagraph"/>
              <w:spacing w:after="0"/>
              <w:ind w:left="0" w:right="76"/>
            </w:pPr>
            <w:r>
              <w:t>The qualifying payment amount, if provided with the initial payment or notice of denial of payment or if the initiating party is a plan, issuer, or FEHB carrier</w:t>
            </w:r>
          </w:p>
        </w:tc>
      </w:tr>
      <w:tr w14:paraId="7AF39831"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349A0398" w14:textId="680779D1">
            <w:pPr>
              <w:pStyle w:val="TableParagraph"/>
              <w:spacing w:after="0"/>
              <w:ind w:left="30" w:right="48"/>
            </w:pPr>
            <w:r>
              <w:t>Statement regarding patient consent (applicable to providers or facilities)</w:t>
            </w:r>
          </w:p>
        </w:tc>
        <w:tc>
          <w:tcPr>
            <w:tcW w:w="5755" w:type="dxa"/>
          </w:tcPr>
          <w:p w:rsidR="00BD1A0D" w:rsidRPr="003D6316" w:rsidP="07C2A518" w14:paraId="13889CC9" w14:textId="40D4016D">
            <w:pPr>
              <w:pStyle w:val="TableParagraph"/>
              <w:spacing w:after="0"/>
              <w:ind w:left="0" w:right="76"/>
              <w:rPr>
                <w:rStyle w:val="paren"/>
              </w:rPr>
            </w:pPr>
            <w:r w:rsidRPr="07C2A518">
              <w:rPr>
                <w:rStyle w:val="paren"/>
              </w:rPr>
              <w:t xml:space="preserve">If the initiating party is a provider or facility, a statement that the items and services do not qualify for the notice and consent exception described at </w:t>
            </w:r>
            <w:r w:rsidR="006C127F">
              <w:rPr>
                <w:rStyle w:val="paren"/>
              </w:rPr>
              <w:t xml:space="preserve">45 CFR </w:t>
            </w:r>
            <w:r w:rsidRPr="07C2A518">
              <w:rPr>
                <w:rStyle w:val="paren"/>
              </w:rPr>
              <w:t xml:space="preserve">§ 149.410(b) or § 149.420(c) through (i) </w:t>
            </w:r>
          </w:p>
        </w:tc>
      </w:tr>
      <w:tr w14:paraId="19B14194"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6E229373" w14:textId="3C993EF0">
            <w:pPr>
              <w:pStyle w:val="TableParagraph"/>
              <w:spacing w:after="0"/>
              <w:ind w:left="30" w:right="48"/>
            </w:pPr>
            <w:r>
              <w:t>Statement regarding provider status</w:t>
            </w:r>
          </w:p>
        </w:tc>
        <w:tc>
          <w:tcPr>
            <w:tcW w:w="5755" w:type="dxa"/>
          </w:tcPr>
          <w:p w:rsidR="00BD1A0D" w:rsidRPr="003D6316" w:rsidP="00E16B6C" w14:paraId="3F7F8229" w14:textId="1284ED36">
            <w:pPr>
              <w:pStyle w:val="TableParagraph"/>
              <w:tabs>
                <w:tab w:val="left" w:pos="1725"/>
              </w:tabs>
              <w:spacing w:after="0"/>
              <w:ind w:left="0" w:right="76"/>
            </w:pPr>
            <w:r>
              <w:t xml:space="preserve">A statement </w:t>
            </w:r>
            <w:r w:rsidRPr="0010666B">
              <w:t xml:space="preserve">that the provider, facility, or provider of air ambulance services was </w:t>
            </w:r>
            <w:r>
              <w:t>a nonparticipating provider, nonparticipating emergency facility, or nonparticipating provider of air ambulance services on the date the item or service was furnished</w:t>
            </w:r>
          </w:p>
        </w:tc>
      </w:tr>
      <w:tr w14:paraId="63172F32"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14:paraId="402D86B5" w14:textId="0992883E">
            <w:pPr>
              <w:pStyle w:val="TableParagraph"/>
              <w:spacing w:after="0"/>
              <w:ind w:left="30" w:right="48"/>
            </w:pPr>
            <w:r>
              <w:t>Qualified IDR item or service attestation</w:t>
            </w:r>
          </w:p>
        </w:tc>
        <w:tc>
          <w:tcPr>
            <w:tcW w:w="5755" w:type="dxa"/>
          </w:tcPr>
          <w:p w:rsidR="00BD1A0D" w:rsidRPr="003D6316" w14:paraId="2D95B395" w14:textId="70189BCC">
            <w:pPr>
              <w:pStyle w:val="TableParagraph"/>
              <w:spacing w:after="0"/>
              <w:ind w:left="0" w:right="76"/>
            </w:pPr>
            <w:r>
              <w:t>Attestation that the item or service under dispute is a qualified IDR item or service</w:t>
            </w:r>
            <w:r w:rsidR="00CB7AE9">
              <w:t xml:space="preserve"> and </w:t>
            </w:r>
            <w:r w:rsidRPr="00CB7AE9" w:rsidR="00CB7AE9">
              <w:t>is eligible for the Federal IDR process</w:t>
            </w:r>
            <w:r>
              <w:t>, and the basis for the attestation</w:t>
            </w:r>
          </w:p>
        </w:tc>
      </w:tr>
      <w:tr w14:paraId="3BDC9447"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16B6C" w14:paraId="235B5EB5" w14:textId="4BDC0AB8">
            <w:pPr>
              <w:pStyle w:val="TableParagraph"/>
              <w:spacing w:after="0"/>
              <w:ind w:left="30" w:right="48"/>
            </w:pPr>
            <w:r>
              <w:t>General information</w:t>
            </w:r>
          </w:p>
        </w:tc>
        <w:tc>
          <w:tcPr>
            <w:tcW w:w="5755" w:type="dxa"/>
          </w:tcPr>
          <w:p w:rsidR="00E16B6C" w:rsidRPr="003D6316" w:rsidP="00B9459D" w14:paraId="034CFEEE" w14:textId="2B82B63A">
            <w:pPr>
              <w:pStyle w:val="TableParagraph"/>
              <w:tabs>
                <w:tab w:val="left" w:pos="2174"/>
              </w:tabs>
              <w:spacing w:after="0"/>
              <w:ind w:left="0" w:right="76"/>
            </w:pPr>
            <w:r>
              <w:t xml:space="preserve">General information </w:t>
            </w:r>
            <w:r w:rsidRPr="00194BAE" w:rsidR="00194BAE">
              <w:t xml:space="preserve">listed in the standard notice of IDR initiation </w:t>
            </w:r>
            <w:r>
              <w:t>developed by the Departments describing the Federal IDR process (including a description of the purpose of the Federal IDR process and key deadlines in the Federal IDR process)</w:t>
            </w:r>
          </w:p>
        </w:tc>
      </w:tr>
      <w:tr w14:paraId="420FCC69"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16B6C" w14:paraId="5FA76596" w14:textId="47671BEB">
            <w:pPr>
              <w:pStyle w:val="TableParagraph"/>
              <w:spacing w:after="0"/>
              <w:ind w:left="30" w:right="48"/>
            </w:pPr>
            <w:r>
              <w:t xml:space="preserve">Initial payment </w:t>
            </w:r>
            <w:r w:rsidR="004127F7">
              <w:t>or</w:t>
            </w:r>
            <w:r>
              <w:t xml:space="preserve"> notice of denial of payment </w:t>
            </w:r>
          </w:p>
        </w:tc>
        <w:tc>
          <w:tcPr>
            <w:tcW w:w="5755" w:type="dxa"/>
          </w:tcPr>
          <w:p w:rsidR="00E16B6C" w:rsidRPr="003D6316" w:rsidP="00E16B6C" w14:paraId="33F1106C" w14:textId="12191340">
            <w:pPr>
              <w:pStyle w:val="TableParagraph"/>
              <w:spacing w:after="0"/>
              <w:ind w:left="0" w:right="76"/>
            </w:pPr>
            <w:r>
              <w:t xml:space="preserve">A copy of </w:t>
            </w:r>
            <w:r w:rsidRPr="00842F69" w:rsidR="00842F69">
              <w:t>any remittance advice associated with the initial payment or notice of denial of payment for the item or service</w:t>
            </w:r>
          </w:p>
        </w:tc>
      </w:tr>
      <w:tr w14:paraId="3176E4D5"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14:paraId="0B7A89BA" w14:textId="7D1D60C4">
            <w:pPr>
              <w:pStyle w:val="TableParagraph"/>
              <w:spacing w:after="0"/>
              <w:ind w:left="30" w:right="48"/>
            </w:pPr>
            <w:r>
              <w:t>Preferred certified IDR entity</w:t>
            </w:r>
          </w:p>
        </w:tc>
        <w:tc>
          <w:tcPr>
            <w:tcW w:w="5755" w:type="dxa"/>
          </w:tcPr>
          <w:p w:rsidR="00BD1A0D" w:rsidRPr="003D6316" w:rsidP="00B9459D" w14:paraId="77026202" w14:textId="7DE15279">
            <w:pPr>
              <w:pStyle w:val="TableParagraph"/>
              <w:tabs>
                <w:tab w:val="left" w:pos="1481"/>
              </w:tabs>
              <w:spacing w:after="0"/>
              <w:ind w:left="0" w:right="76"/>
            </w:pPr>
            <w:r>
              <w:t>Preferred certified IDR entity</w:t>
            </w:r>
          </w:p>
        </w:tc>
      </w:tr>
    </w:tbl>
    <w:p w:rsidR="00BD1A0D" w:rsidRPr="003D6316" w:rsidP="00BD1A0D" w14:paraId="39358DD4" w14:textId="77777777">
      <w:pPr>
        <w:pStyle w:val="Heading2"/>
        <w:spacing w:before="240"/>
        <w:ind w:left="0" w:right="187"/>
      </w:pPr>
      <w:r w:rsidRPr="003D6316">
        <w:t>Paperwork Reduction Act Statement</w:t>
      </w:r>
    </w:p>
    <w:p w:rsidR="00BD1A0D" w:rsidP="00BD1A0D" w14:paraId="568EDEAC" w14:textId="7D506F43">
      <w:pPr>
        <w:ind w:right="180"/>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 xml:space="preserve">The public reporting burden for this voluntary collection of information is estimated to be approximately </w:t>
      </w:r>
      <w:r w:rsidR="00080E00">
        <w:t>30</w:t>
      </w:r>
      <w:r w:rsidR="006F0D5C">
        <w:t xml:space="preserve"> minutes</w:t>
      </w:r>
      <w:r w:rsidRPr="003D6316">
        <w:rPr>
          <w:spacing w:val="-2"/>
        </w:rPr>
        <w:t xml:space="preserve">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 xml:space="preserve">information about requesting assistance, gathering information, </w:t>
      </w:r>
      <w:r w:rsidRPr="003D6316">
        <w:t>completing</w:t>
      </w:r>
      <w:r w:rsidRPr="003D6316">
        <w:t xml:space="preserve">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reducing this burden, to the U.S. Department of Labor, Employee Benefits Security </w:t>
      </w:r>
      <w:r w:rsidRPr="003D6316">
        <w:t xml:space="preserve">Administration, Office of </w:t>
      </w:r>
      <w:r w:rsidR="022687B2">
        <w:t>Research and Analysis</w:t>
      </w:r>
      <w:r w:rsidRPr="003D6316">
        <w:t xml:space="preserve">, Attention: PRA Clearance Officer, 200 Constitution Avenue, N.W., Room N-5718, Washington, DC 20210 or email </w:t>
      </w:r>
      <w:hyperlink r:id="rId8">
        <w:r w:rsidRPr="003D6316">
          <w:rPr>
            <w:color w:val="0000FF"/>
            <w:u w:val="single" w:color="0000FF"/>
          </w:rPr>
          <w:t>ebsa.opr@dol.gov</w:t>
        </w:r>
      </w:hyperlink>
      <w:r w:rsidRPr="003D6316">
        <w:rPr>
          <w:color w:val="0000FF"/>
        </w:rPr>
        <w:t xml:space="preserve"> </w:t>
      </w:r>
      <w:r w:rsidRPr="003D6316">
        <w:t>and reference the OMB Control Number 1210-0169.</w:t>
      </w:r>
      <w:r w:rsidRPr="003D6316">
        <w:rPr>
          <w:spacing w:val="40"/>
        </w:rPr>
        <w:t xml:space="preserve"> </w:t>
      </w:r>
      <w:r w:rsidR="000F0515">
        <w:rPr>
          <w:b/>
          <w:bCs/>
        </w:rPr>
        <w:t xml:space="preserve">Note: Please do not submit the data elements or notice described in this document to </w:t>
      </w:r>
      <w:hyperlink r:id="rId8" w:history="1">
        <w:r w:rsidR="000F0515">
          <w:rPr>
            <w:rStyle w:val="Hyperlink"/>
            <w:b/>
            <w:bCs/>
          </w:rPr>
          <w:t>ebsa.opr@dol.gov</w:t>
        </w:r>
      </w:hyperlink>
      <w:r w:rsidR="000F0515">
        <w:rPr>
          <w:b/>
          <w:bCs/>
        </w:rPr>
        <w:t xml:space="preserve">. All Federal IDR process data elements and notices must be submitted through the Federal IDR portal at </w:t>
      </w:r>
      <w:hyperlink r:id="rId9" w:history="1">
        <w:r w:rsidR="000F0515">
          <w:rPr>
            <w:rStyle w:val="Hyperlink"/>
            <w:b/>
            <w:bCs/>
          </w:rPr>
          <w:t>https://www.nsa-idr.cms.gov/</w:t>
        </w:r>
      </w:hyperlink>
      <w:r w:rsidRPr="00D43FF6" w:rsidR="000F0515">
        <w:rPr>
          <w:b/>
          <w:bCs/>
        </w:rPr>
        <w:t>.</w:t>
      </w:r>
    </w:p>
    <w:p w:rsidR="00BD1A0D" w:rsidP="00BD1A0D" w14:paraId="42015276" w14:textId="77777777">
      <w:pPr>
        <w:pStyle w:val="BodyText"/>
        <w:ind w:left="120" w:right="433"/>
      </w:pPr>
    </w:p>
    <w:bookmarkEnd w:id="0"/>
    <w:p w:rsidR="00690FE2" w14:paraId="47C55AE0" w14:textId="77777777"/>
    <w:sectPr w:rsidSect="00BD1A0D">
      <w:footerReference w:type="default" r:id="rId10"/>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FE2" w14:paraId="0930AB69"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90FE2"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90FE2" w14:paraId="403AD28D"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EBB49"/>
    <w:multiLevelType w:val="hybridMultilevel"/>
    <w:tmpl w:val="7084F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F21CDEA"/>
    <w:multiLevelType w:val="hybridMultilevel"/>
    <w:tmpl w:val="A13A9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27210793">
    <w:abstractNumId w:val="1"/>
  </w:num>
  <w:num w:numId="2" w16cid:durableId="32697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0D"/>
    <w:rsid w:val="0000793D"/>
    <w:rsid w:val="00010B19"/>
    <w:rsid w:val="00011D94"/>
    <w:rsid w:val="0002310E"/>
    <w:rsid w:val="00027195"/>
    <w:rsid w:val="00033120"/>
    <w:rsid w:val="00044BCE"/>
    <w:rsid w:val="000710CB"/>
    <w:rsid w:val="00080E00"/>
    <w:rsid w:val="000A099D"/>
    <w:rsid w:val="000A5328"/>
    <w:rsid w:val="000A5FD0"/>
    <w:rsid w:val="000D1AF4"/>
    <w:rsid w:val="000F0515"/>
    <w:rsid w:val="00103497"/>
    <w:rsid w:val="0010666B"/>
    <w:rsid w:val="00107393"/>
    <w:rsid w:val="00135AE4"/>
    <w:rsid w:val="00135D74"/>
    <w:rsid w:val="001443AB"/>
    <w:rsid w:val="00146A6E"/>
    <w:rsid w:val="00146FBF"/>
    <w:rsid w:val="00163E2F"/>
    <w:rsid w:val="00194BAE"/>
    <w:rsid w:val="001951FC"/>
    <w:rsid w:val="001A57B7"/>
    <w:rsid w:val="001B4992"/>
    <w:rsid w:val="001E6E55"/>
    <w:rsid w:val="00233900"/>
    <w:rsid w:val="00256FA5"/>
    <w:rsid w:val="00261AE3"/>
    <w:rsid w:val="00277652"/>
    <w:rsid w:val="0027770D"/>
    <w:rsid w:val="0028227B"/>
    <w:rsid w:val="00283EDE"/>
    <w:rsid w:val="00290523"/>
    <w:rsid w:val="002908E9"/>
    <w:rsid w:val="002B0D56"/>
    <w:rsid w:val="002C14A6"/>
    <w:rsid w:val="002D1A1D"/>
    <w:rsid w:val="002E3879"/>
    <w:rsid w:val="003268E1"/>
    <w:rsid w:val="00340882"/>
    <w:rsid w:val="0036247F"/>
    <w:rsid w:val="00364137"/>
    <w:rsid w:val="0036750B"/>
    <w:rsid w:val="00381B32"/>
    <w:rsid w:val="003906C4"/>
    <w:rsid w:val="003D3973"/>
    <w:rsid w:val="003D6316"/>
    <w:rsid w:val="00402B15"/>
    <w:rsid w:val="004127F7"/>
    <w:rsid w:val="00442713"/>
    <w:rsid w:val="004451F8"/>
    <w:rsid w:val="00465FE1"/>
    <w:rsid w:val="004743E0"/>
    <w:rsid w:val="00485F0A"/>
    <w:rsid w:val="004B1AF4"/>
    <w:rsid w:val="004B77DB"/>
    <w:rsid w:val="004E090A"/>
    <w:rsid w:val="004F01A9"/>
    <w:rsid w:val="004F5B68"/>
    <w:rsid w:val="00514A8E"/>
    <w:rsid w:val="00515368"/>
    <w:rsid w:val="0052560E"/>
    <w:rsid w:val="005527B7"/>
    <w:rsid w:val="00564DA8"/>
    <w:rsid w:val="00564DD1"/>
    <w:rsid w:val="005661BC"/>
    <w:rsid w:val="005732AA"/>
    <w:rsid w:val="00580C37"/>
    <w:rsid w:val="00582820"/>
    <w:rsid w:val="00586A44"/>
    <w:rsid w:val="00592C10"/>
    <w:rsid w:val="005A26B8"/>
    <w:rsid w:val="005A3681"/>
    <w:rsid w:val="005C14B7"/>
    <w:rsid w:val="005D2AFF"/>
    <w:rsid w:val="005E2D58"/>
    <w:rsid w:val="005E7485"/>
    <w:rsid w:val="00610EBA"/>
    <w:rsid w:val="00631BB7"/>
    <w:rsid w:val="00636EF7"/>
    <w:rsid w:val="00637A9D"/>
    <w:rsid w:val="00652652"/>
    <w:rsid w:val="00653ACD"/>
    <w:rsid w:val="00662789"/>
    <w:rsid w:val="006650D1"/>
    <w:rsid w:val="00680C06"/>
    <w:rsid w:val="00690FE2"/>
    <w:rsid w:val="006B3ED1"/>
    <w:rsid w:val="006C0AC9"/>
    <w:rsid w:val="006C127F"/>
    <w:rsid w:val="006D2D08"/>
    <w:rsid w:val="006F0D5C"/>
    <w:rsid w:val="006F3CF3"/>
    <w:rsid w:val="006F4820"/>
    <w:rsid w:val="00711607"/>
    <w:rsid w:val="00726AC9"/>
    <w:rsid w:val="0072779C"/>
    <w:rsid w:val="00731FE8"/>
    <w:rsid w:val="0073468C"/>
    <w:rsid w:val="00750A9B"/>
    <w:rsid w:val="00760121"/>
    <w:rsid w:val="0076124F"/>
    <w:rsid w:val="007654CD"/>
    <w:rsid w:val="0078224F"/>
    <w:rsid w:val="00783535"/>
    <w:rsid w:val="00785DC2"/>
    <w:rsid w:val="00791A7B"/>
    <w:rsid w:val="00792482"/>
    <w:rsid w:val="007B7492"/>
    <w:rsid w:val="007C2745"/>
    <w:rsid w:val="008123E5"/>
    <w:rsid w:val="00842F69"/>
    <w:rsid w:val="00854990"/>
    <w:rsid w:val="008631DF"/>
    <w:rsid w:val="008B1500"/>
    <w:rsid w:val="008D230F"/>
    <w:rsid w:val="008E659A"/>
    <w:rsid w:val="008F741C"/>
    <w:rsid w:val="00904CDA"/>
    <w:rsid w:val="0094001D"/>
    <w:rsid w:val="0095013D"/>
    <w:rsid w:val="009615C2"/>
    <w:rsid w:val="00963847"/>
    <w:rsid w:val="00983D35"/>
    <w:rsid w:val="0099427C"/>
    <w:rsid w:val="00A006A7"/>
    <w:rsid w:val="00A034CB"/>
    <w:rsid w:val="00A12788"/>
    <w:rsid w:val="00A5369A"/>
    <w:rsid w:val="00AA7AE7"/>
    <w:rsid w:val="00AB0A16"/>
    <w:rsid w:val="00AC0BB4"/>
    <w:rsid w:val="00AE0D04"/>
    <w:rsid w:val="00AE5BFC"/>
    <w:rsid w:val="00AE6DD4"/>
    <w:rsid w:val="00AF5AFD"/>
    <w:rsid w:val="00B21E6B"/>
    <w:rsid w:val="00B438E2"/>
    <w:rsid w:val="00B55812"/>
    <w:rsid w:val="00B64A2F"/>
    <w:rsid w:val="00B72409"/>
    <w:rsid w:val="00B746AE"/>
    <w:rsid w:val="00B9459D"/>
    <w:rsid w:val="00BA1F52"/>
    <w:rsid w:val="00BB31CE"/>
    <w:rsid w:val="00BC2A80"/>
    <w:rsid w:val="00BD1A0D"/>
    <w:rsid w:val="00BE20B6"/>
    <w:rsid w:val="00C0230A"/>
    <w:rsid w:val="00C10DD5"/>
    <w:rsid w:val="00C202CC"/>
    <w:rsid w:val="00C2107B"/>
    <w:rsid w:val="00C426ED"/>
    <w:rsid w:val="00C5539E"/>
    <w:rsid w:val="00C9016C"/>
    <w:rsid w:val="00CA0D98"/>
    <w:rsid w:val="00CB7AE9"/>
    <w:rsid w:val="00CC4FE7"/>
    <w:rsid w:val="00CC696D"/>
    <w:rsid w:val="00CF1CFB"/>
    <w:rsid w:val="00CF2F49"/>
    <w:rsid w:val="00D02E5D"/>
    <w:rsid w:val="00D03A11"/>
    <w:rsid w:val="00D168F7"/>
    <w:rsid w:val="00D40E0E"/>
    <w:rsid w:val="00D43FF6"/>
    <w:rsid w:val="00D443DB"/>
    <w:rsid w:val="00D53A6B"/>
    <w:rsid w:val="00D90DEC"/>
    <w:rsid w:val="00D94512"/>
    <w:rsid w:val="00DB3A8F"/>
    <w:rsid w:val="00DD04F7"/>
    <w:rsid w:val="00DF01BE"/>
    <w:rsid w:val="00E00573"/>
    <w:rsid w:val="00E06BCF"/>
    <w:rsid w:val="00E16B6C"/>
    <w:rsid w:val="00E50F38"/>
    <w:rsid w:val="00E61109"/>
    <w:rsid w:val="00E85BCF"/>
    <w:rsid w:val="00EA6296"/>
    <w:rsid w:val="00EB5342"/>
    <w:rsid w:val="00EC1D2A"/>
    <w:rsid w:val="00EC219D"/>
    <w:rsid w:val="00EC404D"/>
    <w:rsid w:val="00EC4D1D"/>
    <w:rsid w:val="00ED6018"/>
    <w:rsid w:val="00ED798A"/>
    <w:rsid w:val="00ED7FCC"/>
    <w:rsid w:val="00EE4EE2"/>
    <w:rsid w:val="00F024BE"/>
    <w:rsid w:val="00F138E2"/>
    <w:rsid w:val="00F378A3"/>
    <w:rsid w:val="00F428DE"/>
    <w:rsid w:val="00F44E96"/>
    <w:rsid w:val="00F81C18"/>
    <w:rsid w:val="00FC6B0E"/>
    <w:rsid w:val="00FD1769"/>
    <w:rsid w:val="00FD35A3"/>
    <w:rsid w:val="00FE0C67"/>
    <w:rsid w:val="00FE42C0"/>
    <w:rsid w:val="00FF3D3C"/>
    <w:rsid w:val="022687B2"/>
    <w:rsid w:val="07C2A518"/>
    <w:rsid w:val="12348BDD"/>
    <w:rsid w:val="214C8C53"/>
    <w:rsid w:val="22D9D5C0"/>
    <w:rsid w:val="26016540"/>
    <w:rsid w:val="35E4C487"/>
    <w:rsid w:val="3F48185A"/>
    <w:rsid w:val="420BA702"/>
    <w:rsid w:val="4A1B7F82"/>
    <w:rsid w:val="5ADC91BF"/>
    <w:rsid w:val="6CB0A4DD"/>
    <w:rsid w:val="738B7247"/>
    <w:rsid w:val="761745A3"/>
    <w:rsid w:val="7F561576"/>
    <w:rsid w:val="7FAB14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104CBA"/>
  <w15:chartTrackingRefBased/>
  <w15:docId w15:val="{932CF203-04A6-4F06-B478-9467F1B7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A0D"/>
    <w:pPr>
      <w:widowControl w:val="0"/>
      <w:autoSpaceDE w:val="0"/>
      <w:autoSpaceDN w:val="0"/>
      <w:spacing w:after="240" w:line="24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BD1A0D"/>
    <w:pPr>
      <w:ind w:left="120"/>
      <w:outlineLvl w:val="0"/>
    </w:pPr>
    <w:rPr>
      <w:b/>
      <w:bCs/>
      <w:szCs w:val="24"/>
    </w:rPr>
  </w:style>
  <w:style w:type="paragraph" w:styleId="Heading2">
    <w:name w:val="heading 2"/>
    <w:basedOn w:val="Heading1"/>
    <w:next w:val="Normal"/>
    <w:link w:val="Heading2Char"/>
    <w:uiPriority w:val="9"/>
    <w:unhideWhenUsed/>
    <w:qFormat/>
    <w:rsid w:val="00BD1A0D"/>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A0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BD1A0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D1A0D"/>
    <w:rPr>
      <w:szCs w:val="24"/>
    </w:rPr>
  </w:style>
  <w:style w:type="character" w:customStyle="1" w:styleId="BodyTextChar">
    <w:name w:val="Body Text Char"/>
    <w:basedOn w:val="DefaultParagraphFont"/>
    <w:link w:val="BodyText"/>
    <w:uiPriority w:val="1"/>
    <w:rsid w:val="00BD1A0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D1A0D"/>
    <w:pPr>
      <w:ind w:left="835"/>
    </w:pPr>
  </w:style>
  <w:style w:type="paragraph" w:styleId="ListParagraph">
    <w:name w:val="List Paragraph"/>
    <w:basedOn w:val="Normal"/>
    <w:uiPriority w:val="34"/>
    <w:qFormat/>
    <w:rsid w:val="00BD1A0D"/>
    <w:pPr>
      <w:spacing w:after="0"/>
      <w:ind w:left="460" w:hanging="360"/>
    </w:pPr>
    <w:rPr>
      <w:rFonts w:ascii="Arial" w:eastAsia="Arial" w:hAnsi="Arial" w:cs="Arial"/>
      <w:sz w:val="22"/>
    </w:rPr>
  </w:style>
  <w:style w:type="character" w:styleId="CommentReference">
    <w:name w:val="annotation reference"/>
    <w:uiPriority w:val="99"/>
    <w:unhideWhenUsed/>
    <w:rsid w:val="00BD1A0D"/>
    <w:rPr>
      <w:sz w:val="16"/>
      <w:szCs w:val="16"/>
    </w:rPr>
  </w:style>
  <w:style w:type="paragraph" w:styleId="CommentText">
    <w:name w:val="annotation text"/>
    <w:basedOn w:val="Normal"/>
    <w:link w:val="CommentTextChar"/>
    <w:uiPriority w:val="99"/>
    <w:unhideWhenUsed/>
    <w:rsid w:val="00BD1A0D"/>
    <w:pPr>
      <w:widowControl/>
      <w:autoSpaceDE/>
      <w:autoSpaceDN/>
      <w:spacing w:after="0"/>
    </w:pPr>
    <w:rPr>
      <w:sz w:val="20"/>
      <w:szCs w:val="20"/>
    </w:rPr>
  </w:style>
  <w:style w:type="character" w:customStyle="1" w:styleId="CommentTextChar">
    <w:name w:val="Comment Text Char"/>
    <w:basedOn w:val="DefaultParagraphFont"/>
    <w:link w:val="CommentText"/>
    <w:uiPriority w:val="99"/>
    <w:rsid w:val="00BD1A0D"/>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BD1A0D"/>
    <w:pPr>
      <w:widowControl/>
      <w:autoSpaceDE/>
      <w:autoSpaceDN/>
      <w:spacing w:after="0"/>
    </w:pPr>
    <w:rPr>
      <w:sz w:val="20"/>
      <w:szCs w:val="20"/>
    </w:rPr>
  </w:style>
  <w:style w:type="character" w:customStyle="1" w:styleId="FootnoteTextChar">
    <w:name w:val="Footnote Text Char"/>
    <w:basedOn w:val="DefaultParagraphFont"/>
    <w:link w:val="FootnoteText"/>
    <w:rsid w:val="00BD1A0D"/>
    <w:rPr>
      <w:rFonts w:ascii="Times New Roman" w:eastAsia="Times New Roman" w:hAnsi="Times New Roman" w:cs="Times New Roman"/>
      <w:sz w:val="20"/>
      <w:szCs w:val="20"/>
    </w:rPr>
  </w:style>
  <w:style w:type="character" w:styleId="FootnoteReference">
    <w:name w:val="footnote reference"/>
    <w:unhideWhenUsed/>
    <w:rsid w:val="00BD1A0D"/>
    <w:rPr>
      <w:vertAlign w:val="superscript"/>
    </w:rPr>
  </w:style>
  <w:style w:type="character" w:styleId="Hyperlink">
    <w:name w:val="Hyperlink"/>
    <w:basedOn w:val="DefaultParagraphFont"/>
    <w:uiPriority w:val="99"/>
    <w:unhideWhenUsed/>
    <w:rsid w:val="00BD1A0D"/>
    <w:rPr>
      <w:color w:val="0563C1" w:themeColor="hyperlink"/>
      <w:u w:val="single"/>
    </w:rPr>
  </w:style>
  <w:style w:type="paragraph" w:styleId="BalloonText">
    <w:name w:val="Balloon Text"/>
    <w:basedOn w:val="Normal"/>
    <w:link w:val="BalloonTextChar"/>
    <w:uiPriority w:val="99"/>
    <w:semiHidden/>
    <w:unhideWhenUsed/>
    <w:rsid w:val="00BD1A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A0D"/>
    <w:rPr>
      <w:rFonts w:ascii="Segoe UI" w:eastAsia="Times New Roman" w:hAnsi="Segoe UI" w:cs="Segoe UI"/>
      <w:sz w:val="18"/>
      <w:szCs w:val="18"/>
    </w:rPr>
  </w:style>
  <w:style w:type="character" w:customStyle="1" w:styleId="paren">
    <w:name w:val="paren"/>
    <w:basedOn w:val="DefaultParagraphFont"/>
    <w:rsid w:val="005527B7"/>
  </w:style>
  <w:style w:type="paragraph" w:styleId="CommentSubject">
    <w:name w:val="annotation subject"/>
    <w:basedOn w:val="CommentText"/>
    <w:next w:val="CommentText"/>
    <w:link w:val="CommentSubjectChar"/>
    <w:uiPriority w:val="99"/>
    <w:semiHidden/>
    <w:unhideWhenUsed/>
    <w:rsid w:val="00261AE3"/>
    <w:pPr>
      <w:widowControl w:val="0"/>
      <w:autoSpaceDE w:val="0"/>
      <w:autoSpaceDN w:val="0"/>
      <w:spacing w:after="240"/>
    </w:pPr>
    <w:rPr>
      <w:b/>
      <w:bCs/>
    </w:rPr>
  </w:style>
  <w:style w:type="character" w:customStyle="1" w:styleId="CommentSubjectChar">
    <w:name w:val="Comment Subject Char"/>
    <w:basedOn w:val="CommentTextChar"/>
    <w:link w:val="CommentSubject"/>
    <w:uiPriority w:val="99"/>
    <w:semiHidden/>
    <w:rsid w:val="00261AE3"/>
    <w:rPr>
      <w:rFonts w:ascii="Times New Roman" w:eastAsia="Times New Roman" w:hAnsi="Times New Roman" w:cs="Times New Roman"/>
      <w:b/>
      <w:bCs/>
      <w:sz w:val="20"/>
      <w:szCs w:val="20"/>
    </w:rPr>
  </w:style>
  <w:style w:type="paragraph" w:styleId="Revision">
    <w:name w:val="Revision"/>
    <w:hidden/>
    <w:uiPriority w:val="99"/>
    <w:semiHidden/>
    <w:rsid w:val="005A3681"/>
    <w:pPr>
      <w:spacing w:after="0" w:line="240" w:lineRule="auto"/>
    </w:pPr>
    <w:rPr>
      <w:rFonts w:ascii="Times New Roman" w:eastAsia="Times New Roman" w:hAnsi="Times New Roman" w:cs="Times New Roman"/>
      <w:sz w:val="24"/>
    </w:rPr>
  </w:style>
  <w:style w:type="paragraph" w:styleId="Header">
    <w:name w:val="header"/>
    <w:basedOn w:val="Normal"/>
    <w:link w:val="HeaderChar"/>
    <w:uiPriority w:val="99"/>
    <w:semiHidden/>
    <w:unhideWhenUsed/>
    <w:rsid w:val="00E50F38"/>
    <w:pPr>
      <w:tabs>
        <w:tab w:val="center" w:pos="4680"/>
        <w:tab w:val="right" w:pos="9360"/>
      </w:tabs>
      <w:spacing w:after="0"/>
    </w:pPr>
  </w:style>
  <w:style w:type="character" w:customStyle="1" w:styleId="HeaderChar">
    <w:name w:val="Header Char"/>
    <w:basedOn w:val="DefaultParagraphFont"/>
    <w:link w:val="Header"/>
    <w:uiPriority w:val="99"/>
    <w:semiHidden/>
    <w:rsid w:val="00E50F38"/>
    <w:rPr>
      <w:rFonts w:ascii="Times New Roman" w:eastAsia="Times New Roman" w:hAnsi="Times New Roman" w:cs="Times New Roman"/>
      <w:sz w:val="24"/>
    </w:rPr>
  </w:style>
  <w:style w:type="paragraph" w:styleId="Footer">
    <w:name w:val="footer"/>
    <w:basedOn w:val="Normal"/>
    <w:link w:val="FooterChar"/>
    <w:uiPriority w:val="99"/>
    <w:semiHidden/>
    <w:unhideWhenUsed/>
    <w:rsid w:val="00E50F38"/>
    <w:pPr>
      <w:tabs>
        <w:tab w:val="center" w:pos="4680"/>
        <w:tab w:val="right" w:pos="9360"/>
      </w:tabs>
      <w:spacing w:after="0"/>
    </w:pPr>
  </w:style>
  <w:style w:type="character" w:customStyle="1" w:styleId="FooterChar">
    <w:name w:val="Footer Char"/>
    <w:basedOn w:val="DefaultParagraphFont"/>
    <w:link w:val="Footer"/>
    <w:uiPriority w:val="99"/>
    <w:semiHidden/>
    <w:rsid w:val="00E50F38"/>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8B1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sa-idr.cms.gov" TargetMode="External" /><Relationship Id="rId8" Type="http://schemas.openxmlformats.org/officeDocument/2006/relationships/hyperlink" Target="mailto:ebsa.opr@dol.gov" TargetMode="External" /><Relationship Id="rId9"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
        <AccountId xsi:nil="true"/>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E4D74744-E026-44BC-B2D3-84EE917A268A}">
  <ds:schemaRefs>
    <ds:schemaRef ds:uri="http://schemas.microsoft.com/sharepoint/v3/contenttype/forms"/>
  </ds:schemaRefs>
</ds:datastoreItem>
</file>

<file path=customXml/itemProps2.xml><?xml version="1.0" encoding="utf-8"?>
<ds:datastoreItem xmlns:ds="http://schemas.openxmlformats.org/officeDocument/2006/customXml" ds:itemID="{7376FFFD-7942-4E84-8EB1-4B1B1EFB1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63F1F-C1D4-455C-9B10-4F38D225D696}">
  <ds:schemaRefs>
    <ds:schemaRef ds:uri="http://schemas.microsoft.com/office/2006/metadata/properties"/>
    <ds:schemaRef ds:uri="http://schemas.microsoft.com/office/infopath/2007/PartnerControls"/>
    <ds:schemaRef ds:uri="702f922a-4822-456a-81ca-e751b937cee3"/>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1662</Words>
  <Characters>9478</Characters>
  <Application>Microsoft Office Word</Application>
  <DocSecurity>0</DocSecurity>
  <Lines>78</Lines>
  <Paragraphs>22</Paragraphs>
  <ScaleCrop>false</ScaleCrop>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(she/her), Nora (CMS/CCIIO)</dc:creator>
  <cp:lastModifiedBy>Mariam Khan- EBSA</cp:lastModifiedBy>
  <cp:revision>52</cp:revision>
  <dcterms:created xsi:type="dcterms:W3CDTF">2023-10-19T17:43:00Z</dcterms:created>
  <dcterms:modified xsi:type="dcterms:W3CDTF">2026-06-09T13:45:00Z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0x0101007D72D2FFA849DC42B2A0F9FA0A01678D</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