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3085" w:rsidRPr="007B0DB1" w:rsidP="005B3085" w14:paraId="46DFE91B"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B. </w:t>
      </w:r>
      <w:r>
        <w:rPr>
          <w:rFonts w:ascii="Times New Roman" w:hAnsi="Times New Roman" w:cs="Times New Roman"/>
          <w:b/>
          <w:sz w:val="24"/>
          <w:szCs w:val="24"/>
        </w:rPr>
        <w:t>COLLECTION OF INFORMATION EMPLOYING STATISTICAL METHODS</w:t>
      </w:r>
      <w:r w:rsidRPr="007B0DB1">
        <w:rPr>
          <w:rFonts w:ascii="Times New Roman" w:hAnsi="Times New Roman" w:cs="Times New Roman"/>
          <w:b/>
          <w:sz w:val="24"/>
          <w:szCs w:val="24"/>
        </w:rPr>
        <w:t xml:space="preserve"> </w:t>
      </w:r>
    </w:p>
    <w:p w:rsidR="005B3085" w:rsidRPr="007B0DB1" w:rsidP="005B3085" w14:paraId="16FE7C30" w14:textId="77777777">
      <w:pPr>
        <w:spacing w:after="0" w:line="240" w:lineRule="auto"/>
        <w:rPr>
          <w:rFonts w:ascii="Times New Roman" w:hAnsi="Times New Roman" w:cs="Times New Roman"/>
          <w:b/>
          <w:sz w:val="24"/>
          <w:szCs w:val="24"/>
        </w:rPr>
      </w:pPr>
    </w:p>
    <w:p w:rsidR="005B3085" w:rsidRPr="007B0DB1" w:rsidP="005B3085" w14:paraId="3BEF0CF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1. </w:t>
      </w:r>
      <w:r>
        <w:rPr>
          <w:rFonts w:ascii="Times New Roman" w:hAnsi="Times New Roman" w:cs="Times New Roman"/>
          <w:b/>
          <w:sz w:val="24"/>
          <w:szCs w:val="24"/>
        </w:rPr>
        <w:t>Universe and Respondent Selection</w:t>
      </w:r>
    </w:p>
    <w:p w:rsidR="005B3085" w:rsidRPr="007B0DB1" w:rsidP="005B3085" w14:paraId="5CD0224F" w14:textId="77777777">
      <w:pPr>
        <w:spacing w:after="0" w:line="240" w:lineRule="auto"/>
        <w:rPr>
          <w:rFonts w:ascii="Times New Roman" w:hAnsi="Times New Roman" w:cs="Times New Roman"/>
          <w:sz w:val="24"/>
          <w:szCs w:val="24"/>
        </w:rPr>
      </w:pPr>
    </w:p>
    <w:p w:rsidR="00F92436" w:rsidP="00F92436" w14:paraId="3C154C23" w14:textId="5BF81FF1">
      <w:pPr>
        <w:spacing w:after="0" w:line="240" w:lineRule="auto"/>
        <w:rPr>
          <w:rFonts w:ascii="Times New Roman" w:hAnsi="Times New Roman" w:cs="Times New Roman"/>
          <w:sz w:val="24"/>
          <w:szCs w:val="24"/>
        </w:rPr>
      </w:pPr>
      <w:r w:rsidRPr="6CDA271E">
        <w:rPr>
          <w:rFonts w:ascii="Times New Roman" w:hAnsi="Times New Roman" w:cs="Times New Roman"/>
          <w:sz w:val="24"/>
          <w:szCs w:val="24"/>
        </w:rPr>
        <w:t xml:space="preserve">The </w:t>
      </w:r>
      <w:r w:rsidR="00461F45">
        <w:rPr>
          <w:rFonts w:ascii="Times New Roman" w:hAnsi="Times New Roman" w:cs="Times New Roman"/>
          <w:sz w:val="24"/>
          <w:szCs w:val="24"/>
        </w:rPr>
        <w:t xml:space="preserve">2025 </w:t>
      </w:r>
      <w:r w:rsidRPr="6CDA271E">
        <w:rPr>
          <w:rFonts w:ascii="Times New Roman" w:hAnsi="Times New Roman" w:cs="Times New Roman"/>
          <w:sz w:val="24"/>
          <w:szCs w:val="24"/>
        </w:rPr>
        <w:t>Census of Prosecutor Offices (</w:t>
      </w:r>
      <w:r w:rsidR="009457E3">
        <w:rPr>
          <w:rFonts w:ascii="Times New Roman" w:hAnsi="Times New Roman" w:cs="Times New Roman"/>
          <w:sz w:val="24"/>
          <w:szCs w:val="24"/>
        </w:rPr>
        <w:t>2025 CPO</w:t>
      </w:r>
      <w:r w:rsidRPr="6CDA271E">
        <w:rPr>
          <w:rFonts w:ascii="Times New Roman" w:hAnsi="Times New Roman" w:cs="Times New Roman"/>
          <w:sz w:val="24"/>
          <w:szCs w:val="24"/>
        </w:rPr>
        <w:t>) will be administered to all prosecutor offices that handle felony cases in courts of general jurisdiction in the United States.</w:t>
      </w:r>
      <w:r w:rsidR="009B6C83">
        <w:rPr>
          <w:rFonts w:ascii="Times New Roman" w:hAnsi="Times New Roman" w:cs="Times New Roman"/>
          <w:sz w:val="24"/>
          <w:szCs w:val="24"/>
        </w:rPr>
        <w:t xml:space="preserve"> </w:t>
      </w:r>
      <w:r w:rsidRPr="6CDA271E">
        <w:rPr>
          <w:rFonts w:ascii="Times New Roman" w:hAnsi="Times New Roman" w:cs="Times New Roman"/>
          <w:sz w:val="24"/>
          <w:szCs w:val="24"/>
        </w:rPr>
        <w:t xml:space="preserve">Over the course of nearly 10 months (March through December </w:t>
      </w:r>
      <w:r w:rsidRPr="6CDA271E" w:rsidR="002F03F2">
        <w:rPr>
          <w:rFonts w:ascii="Times New Roman" w:hAnsi="Times New Roman" w:cs="Times New Roman"/>
          <w:sz w:val="24"/>
          <w:szCs w:val="24"/>
        </w:rPr>
        <w:t>202</w:t>
      </w:r>
      <w:r w:rsidR="002F03F2">
        <w:rPr>
          <w:rFonts w:ascii="Times New Roman" w:hAnsi="Times New Roman" w:cs="Times New Roman"/>
          <w:sz w:val="24"/>
          <w:szCs w:val="24"/>
        </w:rPr>
        <w:t>5</w:t>
      </w:r>
      <w:r w:rsidRPr="6CDA271E">
        <w:rPr>
          <w:rFonts w:ascii="Times New Roman" w:hAnsi="Times New Roman" w:cs="Times New Roman"/>
          <w:sz w:val="24"/>
          <w:szCs w:val="24"/>
        </w:rPr>
        <w:t xml:space="preserve">), </w:t>
      </w:r>
      <w:r w:rsidR="005E4768">
        <w:rPr>
          <w:rFonts w:ascii="Times New Roman" w:hAnsi="Times New Roman" w:cs="Times New Roman"/>
          <w:sz w:val="24"/>
          <w:szCs w:val="24"/>
        </w:rPr>
        <w:t>the Bureau of Justice Statistics (</w:t>
      </w:r>
      <w:r w:rsidR="00021B9B">
        <w:rPr>
          <w:rFonts w:ascii="Times New Roman" w:hAnsi="Times New Roman" w:cs="Times New Roman"/>
          <w:sz w:val="24"/>
          <w:szCs w:val="24"/>
        </w:rPr>
        <w:t>BJS</w:t>
      </w:r>
      <w:r w:rsidR="005E4768">
        <w:rPr>
          <w:rFonts w:ascii="Times New Roman" w:hAnsi="Times New Roman" w:cs="Times New Roman"/>
          <w:sz w:val="24"/>
          <w:szCs w:val="24"/>
        </w:rPr>
        <w:t>)</w:t>
      </w:r>
      <w:r w:rsidR="00021B9B">
        <w:rPr>
          <w:rFonts w:ascii="Times New Roman" w:hAnsi="Times New Roman" w:cs="Times New Roman"/>
          <w:sz w:val="24"/>
          <w:szCs w:val="24"/>
        </w:rPr>
        <w:t xml:space="preserve">, </w:t>
      </w:r>
      <w:r w:rsidRPr="6CDA271E">
        <w:rPr>
          <w:rFonts w:ascii="Times New Roman" w:hAnsi="Times New Roman" w:cs="Times New Roman"/>
          <w:sz w:val="24"/>
          <w:szCs w:val="24"/>
        </w:rPr>
        <w:t xml:space="preserve">the Urban Institute (Urban), </w:t>
      </w:r>
      <w:r w:rsidR="00021B9B">
        <w:rPr>
          <w:rFonts w:ascii="Times New Roman" w:hAnsi="Times New Roman" w:cs="Times New Roman"/>
          <w:sz w:val="24"/>
          <w:szCs w:val="24"/>
        </w:rPr>
        <w:t>and</w:t>
      </w:r>
      <w:r w:rsidRPr="6CDA271E">
        <w:rPr>
          <w:rFonts w:ascii="Times New Roman" w:hAnsi="Times New Roman" w:cs="Times New Roman"/>
          <w:sz w:val="24"/>
          <w:szCs w:val="24"/>
        </w:rPr>
        <w:t xml:space="preserve"> the Association of Prosecuting Attorneys (APA), led the effort to </w:t>
      </w:r>
      <w:r w:rsidR="00021B9B">
        <w:rPr>
          <w:rFonts w:ascii="Times New Roman" w:hAnsi="Times New Roman" w:cs="Times New Roman"/>
          <w:sz w:val="24"/>
          <w:szCs w:val="24"/>
        </w:rPr>
        <w:t>verify</w:t>
      </w:r>
      <w:r w:rsidRPr="6CDA271E" w:rsidR="00021B9B">
        <w:rPr>
          <w:rFonts w:ascii="Times New Roman" w:hAnsi="Times New Roman" w:cs="Times New Roman"/>
          <w:sz w:val="24"/>
          <w:szCs w:val="24"/>
        </w:rPr>
        <w:t xml:space="preserve"> </w:t>
      </w:r>
      <w:r w:rsidRPr="6CDA271E">
        <w:rPr>
          <w:rFonts w:ascii="Times New Roman" w:hAnsi="Times New Roman" w:cs="Times New Roman"/>
          <w:sz w:val="24"/>
          <w:szCs w:val="24"/>
        </w:rPr>
        <w:t>the universe of prosecutor offices in all 50 states</w:t>
      </w:r>
      <w:r w:rsidR="005F402C">
        <w:rPr>
          <w:rFonts w:ascii="Times New Roman" w:hAnsi="Times New Roman" w:cs="Times New Roman"/>
          <w:sz w:val="24"/>
          <w:szCs w:val="24"/>
        </w:rPr>
        <w:t xml:space="preserve"> and</w:t>
      </w:r>
      <w:r w:rsidRPr="6CDA271E" w:rsidR="005F402C">
        <w:rPr>
          <w:rFonts w:ascii="Times New Roman" w:hAnsi="Times New Roman" w:cs="Times New Roman"/>
          <w:sz w:val="24"/>
          <w:szCs w:val="24"/>
        </w:rPr>
        <w:t xml:space="preserve"> </w:t>
      </w:r>
      <w:r w:rsidRPr="6CDA271E">
        <w:rPr>
          <w:rFonts w:ascii="Times New Roman" w:hAnsi="Times New Roman" w:cs="Times New Roman"/>
          <w:sz w:val="24"/>
          <w:szCs w:val="24"/>
        </w:rPr>
        <w:t xml:space="preserve">the District of Columbia </w:t>
      </w:r>
      <w:r w:rsidR="00461F45">
        <w:rPr>
          <w:rFonts w:ascii="Times New Roman" w:hAnsi="Times New Roman" w:cs="Times New Roman"/>
          <w:sz w:val="24"/>
          <w:szCs w:val="24"/>
        </w:rPr>
        <w:t xml:space="preserve">under BJS’s generic clearance </w:t>
      </w:r>
      <w:r w:rsidRPr="00461F45">
        <w:rPr>
          <w:rFonts w:ascii="Times New Roman" w:hAnsi="Times New Roman" w:cs="Times New Roman"/>
          <w:sz w:val="24"/>
          <w:szCs w:val="24"/>
        </w:rPr>
        <w:t>(</w:t>
      </w:r>
      <w:r w:rsidRPr="00950B45">
        <w:rPr>
          <w:rFonts w:ascii="Times New Roman" w:hAnsi="Times New Roman"/>
          <w:sz w:val="24"/>
          <w:szCs w:val="24"/>
        </w:rPr>
        <w:t>OMB #</w:t>
      </w:r>
      <w:r w:rsidRPr="00950B45" w:rsidR="00CE0972">
        <w:rPr>
          <w:rFonts w:ascii="Times New Roman" w:hAnsi="Times New Roman"/>
          <w:sz w:val="24"/>
          <w:szCs w:val="24"/>
        </w:rPr>
        <w:t>1121-0339</w:t>
      </w:r>
      <w:r w:rsidRPr="00461F45">
        <w:rPr>
          <w:rFonts w:ascii="Times New Roman" w:hAnsi="Times New Roman" w:cs="Times New Roman"/>
          <w:sz w:val="24"/>
          <w:szCs w:val="24"/>
        </w:rPr>
        <w:t xml:space="preserve">). </w:t>
      </w:r>
      <w:r w:rsidRPr="00F92436" w:rsidR="00513056">
        <w:rPr>
          <w:rFonts w:ascii="Times New Roman" w:hAnsi="Times New Roman" w:cs="Times New Roman"/>
          <w:sz w:val="24"/>
          <w:szCs w:val="24"/>
        </w:rPr>
        <w:t xml:space="preserve">The </w:t>
      </w:r>
      <w:r w:rsidR="002C2AB2">
        <w:rPr>
          <w:rFonts w:ascii="Times New Roman" w:hAnsi="Times New Roman" w:cs="Times New Roman"/>
          <w:sz w:val="24"/>
          <w:szCs w:val="24"/>
        </w:rPr>
        <w:t>universe</w:t>
      </w:r>
      <w:r w:rsidRPr="00F92436" w:rsidR="00513056">
        <w:rPr>
          <w:rFonts w:ascii="Times New Roman" w:hAnsi="Times New Roman" w:cs="Times New Roman"/>
          <w:sz w:val="24"/>
          <w:szCs w:val="24"/>
        </w:rPr>
        <w:t xml:space="preserve"> was developed by identifying all </w:t>
      </w:r>
      <w:r w:rsidRPr="000B326D" w:rsidR="009539EC">
        <w:rPr>
          <w:rFonts w:ascii="Times New Roman" w:hAnsi="Times New Roman" w:cs="Times New Roman"/>
          <w:sz w:val="24"/>
          <w:szCs w:val="24"/>
        </w:rPr>
        <w:t>district, county, prosecuting, and state or commonwealth attorneys</w:t>
      </w:r>
      <w:r w:rsidR="009539EC">
        <w:rPr>
          <w:rFonts w:ascii="Times New Roman" w:hAnsi="Times New Roman" w:cs="Times New Roman"/>
          <w:sz w:val="24"/>
          <w:szCs w:val="24"/>
        </w:rPr>
        <w:t>’</w:t>
      </w:r>
      <w:r w:rsidRPr="00F92436" w:rsidR="009539EC">
        <w:rPr>
          <w:rFonts w:ascii="Times New Roman" w:hAnsi="Times New Roman" w:cs="Times New Roman"/>
          <w:sz w:val="24"/>
          <w:szCs w:val="24"/>
        </w:rPr>
        <w:t xml:space="preserve"> </w:t>
      </w:r>
      <w:r w:rsidRPr="00F92436" w:rsidR="00513056">
        <w:rPr>
          <w:rFonts w:ascii="Times New Roman" w:hAnsi="Times New Roman" w:cs="Times New Roman"/>
          <w:sz w:val="24"/>
          <w:szCs w:val="24"/>
        </w:rPr>
        <w:t xml:space="preserve">offices </w:t>
      </w:r>
      <w:r w:rsidR="006D0709">
        <w:rPr>
          <w:rFonts w:ascii="Times New Roman" w:hAnsi="Times New Roman" w:cs="Times New Roman"/>
          <w:sz w:val="24"/>
          <w:szCs w:val="24"/>
        </w:rPr>
        <w:t xml:space="preserve">that </w:t>
      </w:r>
      <w:r w:rsidRPr="000B326D" w:rsidR="000B326D">
        <w:rPr>
          <w:rFonts w:ascii="Times New Roman" w:hAnsi="Times New Roman" w:cs="Times New Roman"/>
          <w:sz w:val="24"/>
          <w:szCs w:val="24"/>
        </w:rPr>
        <w:t>handle felony cases in state courts of general jurisdiction</w:t>
      </w:r>
      <w:r w:rsidRPr="00F92436" w:rsidR="00513056">
        <w:rPr>
          <w:rFonts w:ascii="Times New Roman" w:hAnsi="Times New Roman" w:cs="Times New Roman"/>
          <w:sz w:val="24"/>
          <w:szCs w:val="24"/>
        </w:rPr>
        <w:t>.</w:t>
      </w:r>
      <w:r w:rsidR="00F16CE7">
        <w:rPr>
          <w:rFonts w:ascii="Times New Roman" w:hAnsi="Times New Roman" w:cs="Times New Roman"/>
          <w:sz w:val="24"/>
          <w:szCs w:val="24"/>
        </w:rPr>
        <w:t xml:space="preserve"> Within this </w:t>
      </w:r>
      <w:r w:rsidR="005813A1">
        <w:rPr>
          <w:rFonts w:ascii="Times New Roman" w:hAnsi="Times New Roman" w:cs="Times New Roman"/>
          <w:sz w:val="24"/>
          <w:szCs w:val="24"/>
        </w:rPr>
        <w:t>definition there</w:t>
      </w:r>
      <w:r w:rsidR="00F16CE7">
        <w:rPr>
          <w:rFonts w:ascii="Times New Roman" w:hAnsi="Times New Roman" w:cs="Times New Roman"/>
          <w:sz w:val="24"/>
          <w:szCs w:val="24"/>
        </w:rPr>
        <w:t xml:space="preserve"> </w:t>
      </w:r>
      <w:r w:rsidR="00D1725B">
        <w:rPr>
          <w:rFonts w:ascii="Times New Roman" w:hAnsi="Times New Roman" w:cs="Times New Roman"/>
          <w:sz w:val="24"/>
          <w:szCs w:val="24"/>
        </w:rPr>
        <w:t>are</w:t>
      </w:r>
      <w:r w:rsidR="00F16CE7">
        <w:rPr>
          <w:rFonts w:ascii="Times New Roman" w:hAnsi="Times New Roman" w:cs="Times New Roman"/>
          <w:sz w:val="24"/>
          <w:szCs w:val="24"/>
        </w:rPr>
        <w:t xml:space="preserve"> </w:t>
      </w:r>
      <w:r w:rsidR="000A5A06">
        <w:rPr>
          <w:rFonts w:ascii="Times New Roman" w:hAnsi="Times New Roman" w:cs="Times New Roman"/>
          <w:sz w:val="24"/>
          <w:szCs w:val="24"/>
        </w:rPr>
        <w:t>2,349</w:t>
      </w:r>
      <w:r w:rsidR="000B326D">
        <w:rPr>
          <w:rFonts w:ascii="Times New Roman" w:hAnsi="Times New Roman" w:cs="Times New Roman"/>
          <w:sz w:val="24"/>
          <w:szCs w:val="24"/>
        </w:rPr>
        <w:t xml:space="preserve"> eligible prosecutor offices</w:t>
      </w:r>
      <w:r w:rsidR="00F16CE7">
        <w:rPr>
          <w:rFonts w:ascii="Times New Roman" w:hAnsi="Times New Roman" w:cs="Times New Roman"/>
          <w:sz w:val="24"/>
          <w:szCs w:val="24"/>
        </w:rPr>
        <w:t>.</w:t>
      </w:r>
      <w:r w:rsidR="009B6C83">
        <w:rPr>
          <w:rFonts w:ascii="Times New Roman" w:hAnsi="Times New Roman" w:cs="Times New Roman"/>
          <w:sz w:val="24"/>
          <w:szCs w:val="24"/>
        </w:rPr>
        <w:t xml:space="preserve"> </w:t>
      </w:r>
    </w:p>
    <w:p w:rsidR="005813A1" w:rsidP="00F92436" w14:paraId="7BE8DB4D" w14:textId="77777777">
      <w:pPr>
        <w:spacing w:after="0" w:line="240" w:lineRule="auto"/>
        <w:rPr>
          <w:rFonts w:ascii="Times New Roman" w:hAnsi="Times New Roman" w:cs="Times New Roman"/>
          <w:sz w:val="24"/>
          <w:szCs w:val="24"/>
        </w:rPr>
      </w:pPr>
    </w:p>
    <w:p w:rsidR="005813A1" w:rsidRPr="005813A1" w:rsidP="005813A1" w14:paraId="467C32B0" w14:textId="6CAF09B6">
      <w:pPr>
        <w:spacing w:after="0" w:line="240" w:lineRule="auto"/>
        <w:rPr>
          <w:rFonts w:ascii="Times New Roman" w:hAnsi="Times New Roman" w:cs="Times New Roman"/>
          <w:sz w:val="24"/>
          <w:szCs w:val="24"/>
        </w:rPr>
      </w:pPr>
      <w:r>
        <w:rPr>
          <w:rFonts w:ascii="Times New Roman" w:hAnsi="Times New Roman" w:cs="Times New Roman"/>
          <w:sz w:val="24"/>
          <w:szCs w:val="24"/>
        </w:rPr>
        <w:t>Prosecutors serve a key role in the criminal justice system, as they are responsible for protecting the public, ensuring due process, and administering justice for each case while ensuring efficient use of limited resources.</w:t>
      </w:r>
      <w:r w:rsidRPr="6CDA271E">
        <w:rPr>
          <w:rFonts w:ascii="Times New Roman" w:hAnsi="Times New Roman" w:cs="Times New Roman"/>
          <w:sz w:val="24"/>
          <w:szCs w:val="24"/>
        </w:rPr>
        <w:t xml:space="preserve"> </w:t>
      </w:r>
      <w:r w:rsidR="009B6C83">
        <w:rPr>
          <w:rFonts w:ascii="Times New Roman" w:hAnsi="Times New Roman" w:cs="Times New Roman"/>
          <w:sz w:val="24"/>
          <w:szCs w:val="24"/>
        </w:rPr>
        <w:t xml:space="preserve">Prosecutors have broad discretion in deciding which cases to prosecute. It is important that they have access to updated, representative data regarding the staffing, expenditures, and caseloads of the nation’s prosecutor offices. </w:t>
      </w:r>
      <w:r w:rsidRPr="005813A1">
        <w:rPr>
          <w:rFonts w:ascii="Times New Roman" w:hAnsi="Times New Roman" w:cs="Times New Roman"/>
          <w:sz w:val="24"/>
          <w:szCs w:val="24"/>
        </w:rPr>
        <w:t xml:space="preserve">The most recent data available from </w:t>
      </w:r>
      <w:r w:rsidR="009B6C83">
        <w:rPr>
          <w:rFonts w:ascii="Times New Roman" w:hAnsi="Times New Roman" w:cs="Times New Roman"/>
          <w:sz w:val="24"/>
          <w:szCs w:val="24"/>
        </w:rPr>
        <w:t>prosecutors</w:t>
      </w:r>
      <w:r w:rsidRPr="005813A1">
        <w:rPr>
          <w:rFonts w:ascii="Times New Roman" w:hAnsi="Times New Roman" w:cs="Times New Roman"/>
          <w:sz w:val="24"/>
          <w:szCs w:val="24"/>
        </w:rPr>
        <w:t xml:space="preserve"> is the </w:t>
      </w:r>
      <w:r w:rsidR="00896B64">
        <w:rPr>
          <w:rFonts w:ascii="Times New Roman" w:hAnsi="Times New Roman" w:cs="Times New Roman"/>
          <w:sz w:val="24"/>
          <w:szCs w:val="24"/>
        </w:rPr>
        <w:t>2020 National Survey of Prosecutors</w:t>
      </w:r>
      <w:r w:rsidR="000A5A06">
        <w:rPr>
          <w:rFonts w:ascii="Times New Roman" w:hAnsi="Times New Roman" w:cs="Times New Roman"/>
          <w:sz w:val="24"/>
          <w:szCs w:val="24"/>
        </w:rPr>
        <w:t xml:space="preserve"> (NSP)</w:t>
      </w:r>
      <w:r w:rsidR="00793550">
        <w:rPr>
          <w:rFonts w:ascii="Times New Roman" w:hAnsi="Times New Roman" w:cs="Times New Roman"/>
          <w:sz w:val="24"/>
          <w:szCs w:val="24"/>
        </w:rPr>
        <w:t>, which surveyed 750 prosecutor offices.</w:t>
      </w:r>
      <w:r w:rsidR="009B6C83">
        <w:rPr>
          <w:rFonts w:ascii="Times New Roman" w:hAnsi="Times New Roman" w:cs="Times New Roman"/>
          <w:sz w:val="24"/>
          <w:szCs w:val="24"/>
        </w:rPr>
        <w:t xml:space="preserve"> </w:t>
      </w:r>
      <w:r w:rsidR="00793550">
        <w:rPr>
          <w:rFonts w:ascii="Times New Roman" w:hAnsi="Times New Roman" w:cs="Times New Roman"/>
          <w:sz w:val="24"/>
          <w:szCs w:val="24"/>
        </w:rPr>
        <w:t>The</w:t>
      </w:r>
      <w:r w:rsidR="00896B64">
        <w:rPr>
          <w:rFonts w:ascii="Times New Roman" w:hAnsi="Times New Roman" w:cs="Times New Roman"/>
          <w:sz w:val="24"/>
          <w:szCs w:val="24"/>
        </w:rPr>
        <w:t xml:space="preserve"> last census was the </w:t>
      </w:r>
      <w:r w:rsidRPr="005813A1">
        <w:rPr>
          <w:rFonts w:ascii="Times New Roman" w:hAnsi="Times New Roman" w:cs="Times New Roman"/>
          <w:sz w:val="24"/>
          <w:szCs w:val="24"/>
        </w:rPr>
        <w:t xml:space="preserve">2007 National Census of State Court Prosecutors. The main reference period for this project will be </w:t>
      </w:r>
      <w:r w:rsidR="00D1725B">
        <w:rPr>
          <w:rFonts w:ascii="Times New Roman" w:hAnsi="Times New Roman" w:cs="Times New Roman"/>
          <w:sz w:val="24"/>
          <w:szCs w:val="24"/>
        </w:rPr>
        <w:t xml:space="preserve">calendar year </w:t>
      </w:r>
      <w:r w:rsidRPr="005813A1">
        <w:rPr>
          <w:rFonts w:ascii="Times New Roman" w:hAnsi="Times New Roman" w:cs="Times New Roman"/>
          <w:sz w:val="24"/>
          <w:szCs w:val="24"/>
        </w:rPr>
        <w:t>January 1, 202</w:t>
      </w:r>
      <w:r>
        <w:rPr>
          <w:rFonts w:ascii="Times New Roman" w:hAnsi="Times New Roman" w:cs="Times New Roman"/>
          <w:sz w:val="24"/>
          <w:szCs w:val="24"/>
        </w:rPr>
        <w:t>5,</w:t>
      </w:r>
      <w:r w:rsidRPr="005813A1">
        <w:rPr>
          <w:rFonts w:ascii="Times New Roman" w:hAnsi="Times New Roman" w:cs="Times New Roman"/>
          <w:sz w:val="24"/>
          <w:szCs w:val="24"/>
        </w:rPr>
        <w:t xml:space="preserve"> through December 31, 202</w:t>
      </w:r>
      <w:r>
        <w:rPr>
          <w:rFonts w:ascii="Times New Roman" w:hAnsi="Times New Roman" w:cs="Times New Roman"/>
          <w:sz w:val="24"/>
          <w:szCs w:val="24"/>
        </w:rPr>
        <w:t>5</w:t>
      </w:r>
      <w:r w:rsidR="009B6C83">
        <w:rPr>
          <w:rFonts w:ascii="Times New Roman" w:hAnsi="Times New Roman" w:cs="Times New Roman"/>
          <w:sz w:val="24"/>
          <w:szCs w:val="24"/>
        </w:rPr>
        <w:t>,</w:t>
      </w:r>
      <w:r w:rsidR="00D1725B">
        <w:rPr>
          <w:rFonts w:ascii="Times New Roman" w:hAnsi="Times New Roman" w:cs="Times New Roman"/>
          <w:sz w:val="24"/>
          <w:szCs w:val="24"/>
        </w:rPr>
        <w:t xml:space="preserve"> or fiscal year 2025, as </w:t>
      </w:r>
      <w:r w:rsidR="009B6C83">
        <w:rPr>
          <w:rFonts w:ascii="Times New Roman" w:hAnsi="Times New Roman" w:cs="Times New Roman"/>
          <w:sz w:val="24"/>
          <w:szCs w:val="24"/>
        </w:rPr>
        <w:t>selected and defined</w:t>
      </w:r>
      <w:r w:rsidR="00D1725B">
        <w:rPr>
          <w:rFonts w:ascii="Times New Roman" w:hAnsi="Times New Roman" w:cs="Times New Roman"/>
          <w:sz w:val="24"/>
          <w:szCs w:val="24"/>
        </w:rPr>
        <w:t xml:space="preserve"> by the responding prosecutor office</w:t>
      </w:r>
      <w:r w:rsidRPr="005813A1">
        <w:rPr>
          <w:rFonts w:ascii="Times New Roman" w:hAnsi="Times New Roman" w:cs="Times New Roman"/>
          <w:sz w:val="24"/>
          <w:szCs w:val="24"/>
        </w:rPr>
        <w:t>.</w:t>
      </w:r>
    </w:p>
    <w:p w:rsidR="005813A1" w:rsidP="00F92436" w14:paraId="2EE5D1B7" w14:textId="77777777">
      <w:pPr>
        <w:spacing w:after="0" w:line="240" w:lineRule="auto"/>
        <w:rPr>
          <w:rFonts w:ascii="Times New Roman" w:hAnsi="Times New Roman" w:cs="Times New Roman"/>
          <w:sz w:val="24"/>
          <w:szCs w:val="24"/>
        </w:rPr>
      </w:pPr>
    </w:p>
    <w:p w:rsidR="00021B9B" w:rsidP="00F92436" w14:paraId="7B47DC46" w14:textId="033CE844">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Universe/Sampling Frame</w:t>
      </w:r>
    </w:p>
    <w:p w:rsidR="00021B9B" w:rsidRPr="00EB22CF" w:rsidP="00F92436" w14:paraId="6FCE5474" w14:textId="77777777">
      <w:pPr>
        <w:spacing w:after="0" w:line="240" w:lineRule="auto"/>
        <w:rPr>
          <w:rFonts w:ascii="Times New Roman" w:hAnsi="Times New Roman" w:cs="Times New Roman"/>
          <w:sz w:val="24"/>
          <w:szCs w:val="24"/>
          <w:u w:val="single"/>
        </w:rPr>
      </w:pPr>
    </w:p>
    <w:p w:rsidR="00904A0D" w:rsidRPr="00904A0D" w:rsidP="00904A0D" w14:paraId="46FC8361" w14:textId="4FAA167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96B64">
        <w:rPr>
          <w:rFonts w:ascii="Times New Roman" w:hAnsi="Times New Roman" w:cs="Times New Roman"/>
          <w:sz w:val="24"/>
          <w:szCs w:val="24"/>
        </w:rPr>
        <w:t xml:space="preserve">he </w:t>
      </w:r>
      <w:r w:rsidR="009457E3">
        <w:rPr>
          <w:rFonts w:ascii="Times New Roman" w:hAnsi="Times New Roman" w:cs="Times New Roman"/>
          <w:sz w:val="24"/>
          <w:szCs w:val="24"/>
        </w:rPr>
        <w:t>2025 CPO</w:t>
      </w:r>
      <w:r w:rsidR="00896B64">
        <w:rPr>
          <w:rFonts w:ascii="Times New Roman" w:hAnsi="Times New Roman" w:cs="Times New Roman"/>
          <w:sz w:val="24"/>
          <w:szCs w:val="24"/>
        </w:rPr>
        <w:t xml:space="preserve"> project team </w:t>
      </w:r>
      <w:r w:rsidRPr="120E50B6" w:rsidR="120E50B6">
        <w:rPr>
          <w:rFonts w:ascii="Times New Roman" w:hAnsi="Times New Roman" w:cs="Times New Roman"/>
          <w:sz w:val="24"/>
          <w:szCs w:val="24"/>
        </w:rPr>
        <w:t xml:space="preserve">updated </w:t>
      </w:r>
      <w:r w:rsidR="00021B9B">
        <w:rPr>
          <w:rFonts w:ascii="Times New Roman" w:hAnsi="Times New Roman" w:cs="Times New Roman"/>
          <w:sz w:val="24"/>
          <w:szCs w:val="24"/>
        </w:rPr>
        <w:t>the</w:t>
      </w:r>
      <w:r w:rsidRPr="120E50B6" w:rsidR="120E50B6">
        <w:rPr>
          <w:rFonts w:ascii="Times New Roman" w:hAnsi="Times New Roman" w:cs="Times New Roman"/>
          <w:sz w:val="24"/>
          <w:szCs w:val="24"/>
        </w:rPr>
        <w:t xml:space="preserve"> </w:t>
      </w:r>
      <w:r w:rsidR="00461F45">
        <w:rPr>
          <w:rFonts w:ascii="Times New Roman" w:hAnsi="Times New Roman" w:cs="Times New Roman"/>
          <w:sz w:val="24"/>
          <w:szCs w:val="24"/>
        </w:rPr>
        <w:t xml:space="preserve">2020 </w:t>
      </w:r>
      <w:r>
        <w:rPr>
          <w:rFonts w:ascii="Times New Roman" w:hAnsi="Times New Roman" w:cs="Times New Roman"/>
          <w:sz w:val="24"/>
          <w:szCs w:val="24"/>
        </w:rPr>
        <w:t xml:space="preserve">NSP </w:t>
      </w:r>
      <w:r w:rsidRPr="120E50B6" w:rsidR="120E50B6">
        <w:rPr>
          <w:rFonts w:ascii="Times New Roman" w:hAnsi="Times New Roman" w:cs="Times New Roman"/>
          <w:sz w:val="24"/>
          <w:szCs w:val="24"/>
        </w:rPr>
        <w:t>frame</w:t>
      </w:r>
      <w:r w:rsidR="0047038F">
        <w:rPr>
          <w:rFonts w:ascii="Times New Roman" w:hAnsi="Times New Roman" w:cs="Times New Roman"/>
          <w:sz w:val="24"/>
          <w:szCs w:val="24"/>
        </w:rPr>
        <w:t xml:space="preserve"> by </w:t>
      </w:r>
      <w:r w:rsidR="00021B9B">
        <w:rPr>
          <w:rFonts w:ascii="Times New Roman" w:hAnsi="Times New Roman" w:cs="Times New Roman"/>
          <w:sz w:val="24"/>
          <w:szCs w:val="24"/>
        </w:rPr>
        <w:t>using</w:t>
      </w:r>
      <w:r w:rsidRPr="120E50B6" w:rsidR="120E50B6">
        <w:rPr>
          <w:rFonts w:ascii="Times New Roman" w:hAnsi="Times New Roman" w:cs="Times New Roman"/>
          <w:sz w:val="24"/>
          <w:szCs w:val="24"/>
        </w:rPr>
        <w:t xml:space="preserve"> APA’s </w:t>
      </w:r>
      <w:r w:rsidR="00021B9B">
        <w:rPr>
          <w:rFonts w:ascii="Times New Roman" w:hAnsi="Times New Roman" w:cs="Times New Roman"/>
          <w:sz w:val="24"/>
          <w:szCs w:val="24"/>
        </w:rPr>
        <w:t xml:space="preserve">membership </w:t>
      </w:r>
      <w:r w:rsidR="003A6502">
        <w:rPr>
          <w:rFonts w:ascii="Times New Roman" w:hAnsi="Times New Roman" w:cs="Times New Roman"/>
          <w:sz w:val="24"/>
          <w:szCs w:val="24"/>
        </w:rPr>
        <w:t>directory</w:t>
      </w:r>
      <w:r w:rsidR="00021B9B">
        <w:rPr>
          <w:rFonts w:ascii="Times New Roman" w:hAnsi="Times New Roman" w:cs="Times New Roman"/>
          <w:sz w:val="24"/>
          <w:szCs w:val="24"/>
        </w:rPr>
        <w:t>,</w:t>
      </w:r>
      <w:r w:rsidRPr="120E50B6" w:rsidR="003A6502">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state prosecutor association’s </w:t>
      </w:r>
      <w:r w:rsidR="00D1725B">
        <w:rPr>
          <w:rFonts w:ascii="Times New Roman" w:hAnsi="Times New Roman" w:cs="Times New Roman"/>
          <w:sz w:val="24"/>
          <w:szCs w:val="24"/>
        </w:rPr>
        <w:t>web</w:t>
      </w:r>
      <w:r w:rsidRPr="120E50B6" w:rsidR="120E50B6">
        <w:rPr>
          <w:rFonts w:ascii="Times New Roman" w:hAnsi="Times New Roman" w:cs="Times New Roman"/>
          <w:sz w:val="24"/>
          <w:szCs w:val="24"/>
        </w:rPr>
        <w:t>site</w:t>
      </w:r>
      <w:r w:rsidR="00021B9B">
        <w:rPr>
          <w:rFonts w:ascii="Times New Roman" w:hAnsi="Times New Roman" w:cs="Times New Roman"/>
          <w:sz w:val="24"/>
          <w:szCs w:val="24"/>
        </w:rPr>
        <w:t>s, and</w:t>
      </w:r>
      <w:r w:rsidR="00D1725B">
        <w:rPr>
          <w:rFonts w:ascii="Times New Roman" w:hAnsi="Times New Roman" w:cs="Times New Roman"/>
          <w:sz w:val="24"/>
          <w:szCs w:val="24"/>
        </w:rPr>
        <w:t xml:space="preserve"> prosecutor office’s website</w:t>
      </w:r>
      <w:r w:rsidR="00021B9B">
        <w:rPr>
          <w:rFonts w:ascii="Times New Roman" w:hAnsi="Times New Roman" w:cs="Times New Roman"/>
          <w:sz w:val="24"/>
          <w:szCs w:val="24"/>
        </w:rPr>
        <w:t>s</w:t>
      </w:r>
      <w:r w:rsidR="0047038F">
        <w:rPr>
          <w:rFonts w:ascii="Times New Roman" w:hAnsi="Times New Roman" w:cs="Times New Roman"/>
          <w:sz w:val="24"/>
          <w:szCs w:val="24"/>
        </w:rPr>
        <w:t>. This effort</w:t>
      </w:r>
      <w:r w:rsidRPr="120E50B6" w:rsidR="120E50B6">
        <w:rPr>
          <w:rFonts w:ascii="Times New Roman" w:hAnsi="Times New Roman" w:cs="Times New Roman"/>
          <w:sz w:val="24"/>
          <w:szCs w:val="24"/>
        </w:rPr>
        <w:t xml:space="preserve"> </w:t>
      </w:r>
      <w:r w:rsidR="0047038F">
        <w:rPr>
          <w:rFonts w:ascii="Times New Roman" w:hAnsi="Times New Roman" w:cs="Times New Roman"/>
          <w:sz w:val="24"/>
          <w:szCs w:val="24"/>
        </w:rPr>
        <w:t>verified</w:t>
      </w:r>
      <w:r w:rsidRPr="120E50B6" w:rsidR="120E50B6">
        <w:rPr>
          <w:rFonts w:ascii="Times New Roman" w:hAnsi="Times New Roman" w:cs="Times New Roman"/>
          <w:sz w:val="24"/>
          <w:szCs w:val="24"/>
        </w:rPr>
        <w:t xml:space="preserve"> </w:t>
      </w:r>
      <w:r>
        <w:rPr>
          <w:rFonts w:ascii="Times New Roman" w:hAnsi="Times New Roman" w:cs="Times New Roman"/>
          <w:sz w:val="24"/>
          <w:szCs w:val="24"/>
        </w:rPr>
        <w:t xml:space="preserve">existing offices and </w:t>
      </w:r>
      <w:r w:rsidR="0047038F">
        <w:rPr>
          <w:rFonts w:ascii="Times New Roman" w:hAnsi="Times New Roman" w:cs="Times New Roman"/>
          <w:sz w:val="24"/>
          <w:szCs w:val="24"/>
        </w:rPr>
        <w:t>determined</w:t>
      </w:r>
      <w:r>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if any redistricting </w:t>
      </w:r>
      <w:r>
        <w:rPr>
          <w:rFonts w:ascii="Times New Roman" w:hAnsi="Times New Roman" w:cs="Times New Roman"/>
          <w:sz w:val="24"/>
          <w:szCs w:val="24"/>
        </w:rPr>
        <w:t xml:space="preserve">occurred </w:t>
      </w:r>
      <w:r w:rsidRPr="120E50B6" w:rsidR="120E50B6">
        <w:rPr>
          <w:rFonts w:ascii="Times New Roman" w:hAnsi="Times New Roman" w:cs="Times New Roman"/>
          <w:sz w:val="24"/>
          <w:szCs w:val="24"/>
        </w:rPr>
        <w:t xml:space="preserve">or new </w:t>
      </w:r>
      <w:r>
        <w:rPr>
          <w:rFonts w:ascii="Times New Roman" w:hAnsi="Times New Roman" w:cs="Times New Roman"/>
          <w:sz w:val="24"/>
          <w:szCs w:val="24"/>
        </w:rPr>
        <w:t>offices</w:t>
      </w:r>
      <w:r w:rsidRPr="120E50B6" w:rsidR="120E50B6">
        <w:rPr>
          <w:rFonts w:ascii="Times New Roman" w:hAnsi="Times New Roman" w:cs="Times New Roman"/>
          <w:sz w:val="24"/>
          <w:szCs w:val="24"/>
        </w:rPr>
        <w:t xml:space="preserve"> were added. When there was a discrepancy between the </w:t>
      </w:r>
      <w:r w:rsidR="000A5A06">
        <w:rPr>
          <w:rFonts w:ascii="Times New Roman" w:hAnsi="Times New Roman" w:cs="Times New Roman"/>
          <w:sz w:val="24"/>
          <w:szCs w:val="24"/>
        </w:rPr>
        <w:t xml:space="preserve">2020 NSP frame, the </w:t>
      </w:r>
      <w:r w:rsidRPr="120E50B6" w:rsidR="120E50B6">
        <w:rPr>
          <w:rFonts w:ascii="Times New Roman" w:hAnsi="Times New Roman" w:cs="Times New Roman"/>
          <w:sz w:val="24"/>
          <w:szCs w:val="24"/>
        </w:rPr>
        <w:t xml:space="preserve">state association’s site, APA’s directory, and the actual prosecutor’s website, </w:t>
      </w:r>
      <w:r w:rsidR="002F03F2">
        <w:rPr>
          <w:rFonts w:ascii="Times New Roman" w:hAnsi="Times New Roman" w:cs="Times New Roman"/>
          <w:sz w:val="24"/>
          <w:szCs w:val="24"/>
        </w:rPr>
        <w:t xml:space="preserve">the </w:t>
      </w:r>
      <w:r w:rsidR="009457E3">
        <w:rPr>
          <w:rFonts w:ascii="Times New Roman" w:hAnsi="Times New Roman" w:cs="Times New Roman"/>
          <w:sz w:val="24"/>
          <w:szCs w:val="24"/>
        </w:rPr>
        <w:t>2025 CPO</w:t>
      </w:r>
      <w:r w:rsidR="00BF657C">
        <w:rPr>
          <w:rFonts w:ascii="Times New Roman" w:hAnsi="Times New Roman" w:cs="Times New Roman"/>
          <w:sz w:val="24"/>
          <w:szCs w:val="24"/>
        </w:rPr>
        <w:t xml:space="preserve"> </w:t>
      </w:r>
      <w:r w:rsidR="002F03F2">
        <w:rPr>
          <w:rFonts w:ascii="Times New Roman" w:hAnsi="Times New Roman" w:cs="Times New Roman"/>
          <w:sz w:val="24"/>
          <w:szCs w:val="24"/>
        </w:rPr>
        <w:t xml:space="preserve">team </w:t>
      </w:r>
      <w:r w:rsidR="00021B9B">
        <w:rPr>
          <w:rFonts w:ascii="Times New Roman" w:hAnsi="Times New Roman" w:cs="Times New Roman"/>
          <w:sz w:val="24"/>
          <w:szCs w:val="24"/>
        </w:rPr>
        <w:t>used</w:t>
      </w:r>
      <w:r w:rsidRPr="120E50B6" w:rsidR="120E50B6">
        <w:rPr>
          <w:rFonts w:ascii="Times New Roman" w:hAnsi="Times New Roman" w:cs="Times New Roman"/>
          <w:sz w:val="24"/>
          <w:szCs w:val="24"/>
        </w:rPr>
        <w:t xml:space="preserve"> the prosecutor’s </w:t>
      </w:r>
      <w:r w:rsidR="003A6502">
        <w:rPr>
          <w:rFonts w:ascii="Times New Roman" w:hAnsi="Times New Roman" w:cs="Times New Roman"/>
          <w:sz w:val="24"/>
          <w:szCs w:val="24"/>
        </w:rPr>
        <w:t>website</w:t>
      </w:r>
      <w:r w:rsidRPr="120E50B6" w:rsidR="120E50B6">
        <w:rPr>
          <w:rFonts w:ascii="Times New Roman" w:hAnsi="Times New Roman" w:cs="Times New Roman"/>
          <w:sz w:val="24"/>
          <w:szCs w:val="24"/>
        </w:rPr>
        <w:t xml:space="preserve">. </w:t>
      </w:r>
      <w:r w:rsidR="00D1725B">
        <w:rPr>
          <w:rFonts w:ascii="Times New Roman" w:hAnsi="Times New Roman" w:cs="Times New Roman"/>
          <w:sz w:val="24"/>
          <w:szCs w:val="24"/>
        </w:rPr>
        <w:t>The</w:t>
      </w:r>
      <w:r w:rsidRPr="120E50B6" w:rsidR="00D1725B">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criteria for eligible offices were those handling </w:t>
      </w:r>
      <w:r w:rsidRPr="120E50B6" w:rsidR="003A6502">
        <w:rPr>
          <w:rFonts w:ascii="Times New Roman" w:hAnsi="Times New Roman" w:cs="Times New Roman"/>
          <w:sz w:val="24"/>
          <w:szCs w:val="24"/>
        </w:rPr>
        <w:t>felon</w:t>
      </w:r>
      <w:r w:rsidR="003A6502">
        <w:rPr>
          <w:rFonts w:ascii="Times New Roman" w:hAnsi="Times New Roman" w:cs="Times New Roman"/>
          <w:sz w:val="24"/>
          <w:szCs w:val="24"/>
        </w:rPr>
        <w:t>y</w:t>
      </w:r>
      <w:r w:rsidRPr="120E50B6" w:rsidR="003A6502">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cases in state courts </w:t>
      </w:r>
      <w:r w:rsidR="00D1725B">
        <w:rPr>
          <w:rFonts w:ascii="Times New Roman" w:hAnsi="Times New Roman" w:cs="Times New Roman"/>
          <w:sz w:val="24"/>
          <w:szCs w:val="24"/>
        </w:rPr>
        <w:t>of</w:t>
      </w:r>
      <w:r w:rsidRPr="120E50B6" w:rsidR="00D1725B">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general jurisdiction. This included offices </w:t>
      </w:r>
      <w:r w:rsidRPr="120E50B6" w:rsidR="120E50B6">
        <w:rPr>
          <w:rFonts w:ascii="Times New Roman" w:hAnsi="Times New Roman" w:cs="Times New Roman"/>
          <w:sz w:val="24"/>
          <w:szCs w:val="24"/>
        </w:rPr>
        <w:t>at</w:t>
      </w:r>
      <w:r w:rsidRPr="120E50B6" w:rsidR="120E50B6">
        <w:rPr>
          <w:rFonts w:ascii="Times New Roman" w:hAnsi="Times New Roman" w:cs="Times New Roman"/>
          <w:sz w:val="24"/>
          <w:szCs w:val="24"/>
        </w:rPr>
        <w:t xml:space="preserve"> the state</w:t>
      </w:r>
      <w:r w:rsidR="00021B9B">
        <w:rPr>
          <w:rFonts w:ascii="Times New Roman" w:hAnsi="Times New Roman" w:cs="Times New Roman"/>
          <w:sz w:val="24"/>
          <w:szCs w:val="24"/>
        </w:rPr>
        <w:t xml:space="preserve"> (Alaska, Connecticut, District of Columbia, Delaware, and Rhode Island)</w:t>
      </w:r>
      <w:r w:rsidRPr="120E50B6" w:rsidR="120E50B6">
        <w:rPr>
          <w:rFonts w:ascii="Times New Roman" w:hAnsi="Times New Roman" w:cs="Times New Roman"/>
          <w:sz w:val="24"/>
          <w:szCs w:val="24"/>
        </w:rPr>
        <w:t>, single county, and multi-county level</w:t>
      </w:r>
      <w:r w:rsidR="00021B9B">
        <w:rPr>
          <w:rFonts w:ascii="Times New Roman" w:hAnsi="Times New Roman" w:cs="Times New Roman"/>
          <w:sz w:val="24"/>
          <w:szCs w:val="24"/>
        </w:rPr>
        <w:t>s</w:t>
      </w:r>
      <w:r>
        <w:rPr>
          <w:rFonts w:ascii="Times New Roman" w:hAnsi="Times New Roman" w:cs="Times New Roman"/>
          <w:sz w:val="24"/>
          <w:szCs w:val="24"/>
        </w:rPr>
        <w:t>.</w:t>
      </w:r>
      <w:r w:rsidRPr="120E50B6" w:rsidR="120E50B6">
        <w:rPr>
          <w:rFonts w:ascii="Times New Roman" w:hAnsi="Times New Roman" w:cs="Times New Roman"/>
          <w:sz w:val="24"/>
          <w:szCs w:val="24"/>
        </w:rPr>
        <w:t xml:space="preserve"> Additionally, </w:t>
      </w:r>
      <w:r>
        <w:rPr>
          <w:rFonts w:ascii="Times New Roman" w:hAnsi="Times New Roman" w:cs="Times New Roman"/>
          <w:sz w:val="24"/>
          <w:szCs w:val="24"/>
        </w:rPr>
        <w:t xml:space="preserve">since frame development occurred immediately after the 2024 election cycle, </w:t>
      </w:r>
      <w:r w:rsidR="002F03F2">
        <w:rPr>
          <w:rFonts w:ascii="Times New Roman" w:hAnsi="Times New Roman" w:cs="Times New Roman"/>
          <w:sz w:val="24"/>
          <w:szCs w:val="24"/>
        </w:rPr>
        <w:t>the</w:t>
      </w:r>
      <w:r w:rsidR="00BF657C">
        <w:rPr>
          <w:rFonts w:ascii="Times New Roman" w:hAnsi="Times New Roman" w:cs="Times New Roman"/>
          <w:sz w:val="24"/>
          <w:szCs w:val="24"/>
        </w:rPr>
        <w:t xml:space="preserve"> </w:t>
      </w:r>
      <w:r w:rsidR="009457E3">
        <w:rPr>
          <w:rFonts w:ascii="Times New Roman" w:hAnsi="Times New Roman" w:cs="Times New Roman"/>
          <w:sz w:val="24"/>
          <w:szCs w:val="24"/>
        </w:rPr>
        <w:t>2025 CPO</w:t>
      </w:r>
      <w:r w:rsidR="002F03F2">
        <w:rPr>
          <w:rFonts w:ascii="Times New Roman" w:hAnsi="Times New Roman" w:cs="Times New Roman"/>
          <w:sz w:val="24"/>
          <w:szCs w:val="24"/>
        </w:rPr>
        <w:t xml:space="preserve"> team</w:t>
      </w:r>
      <w:r w:rsidRPr="120E50B6" w:rsidR="002F03F2">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reviewed each </w:t>
      </w:r>
      <w:r w:rsidR="00190595">
        <w:rPr>
          <w:rFonts w:ascii="Times New Roman" w:hAnsi="Times New Roman" w:cs="Times New Roman"/>
          <w:sz w:val="24"/>
          <w:szCs w:val="24"/>
        </w:rPr>
        <w:t>jurisdiction’</w:t>
      </w:r>
      <w:r w:rsidRPr="120E50B6" w:rsidR="00190595">
        <w:rPr>
          <w:rFonts w:ascii="Times New Roman" w:hAnsi="Times New Roman" w:cs="Times New Roman"/>
          <w:sz w:val="24"/>
          <w:szCs w:val="24"/>
        </w:rPr>
        <w:t>s</w:t>
      </w:r>
      <w:r w:rsidRPr="120E50B6" w:rsidR="120E50B6">
        <w:rPr>
          <w:rFonts w:ascii="Times New Roman" w:hAnsi="Times New Roman" w:cs="Times New Roman"/>
          <w:sz w:val="24"/>
          <w:szCs w:val="24"/>
        </w:rPr>
        <w:t xml:space="preserve"> election results and called election clerks to verify the results</w:t>
      </w:r>
      <w:r>
        <w:rPr>
          <w:rFonts w:ascii="Times New Roman" w:hAnsi="Times New Roman" w:cs="Times New Roman"/>
          <w:sz w:val="24"/>
          <w:szCs w:val="24"/>
        </w:rPr>
        <w:t xml:space="preserve"> of any changes in chief prosecutors</w:t>
      </w:r>
      <w:r w:rsidRPr="120E50B6" w:rsidR="120E50B6">
        <w:rPr>
          <w:rFonts w:ascii="Times New Roman" w:hAnsi="Times New Roman" w:cs="Times New Roman"/>
          <w:sz w:val="24"/>
          <w:szCs w:val="24"/>
        </w:rPr>
        <w:t xml:space="preserve">. When there was a discrepancy between the prosecutor website and the election results, </w:t>
      </w:r>
      <w:r w:rsidR="002F03F2">
        <w:rPr>
          <w:rFonts w:ascii="Times New Roman" w:hAnsi="Times New Roman" w:cs="Times New Roman"/>
          <w:sz w:val="24"/>
          <w:szCs w:val="24"/>
        </w:rPr>
        <w:t>the</w:t>
      </w:r>
      <w:r w:rsidR="00BF657C">
        <w:rPr>
          <w:rFonts w:ascii="Times New Roman" w:hAnsi="Times New Roman" w:cs="Times New Roman"/>
          <w:sz w:val="24"/>
          <w:szCs w:val="24"/>
        </w:rPr>
        <w:t xml:space="preserve"> </w:t>
      </w:r>
      <w:r w:rsidR="009457E3">
        <w:rPr>
          <w:rFonts w:ascii="Times New Roman" w:hAnsi="Times New Roman" w:cs="Times New Roman"/>
          <w:sz w:val="24"/>
          <w:szCs w:val="24"/>
        </w:rPr>
        <w:t>2025 CPO</w:t>
      </w:r>
      <w:r w:rsidR="002F03F2">
        <w:rPr>
          <w:rFonts w:ascii="Times New Roman" w:hAnsi="Times New Roman" w:cs="Times New Roman"/>
          <w:sz w:val="24"/>
          <w:szCs w:val="24"/>
        </w:rPr>
        <w:t xml:space="preserve"> team</w:t>
      </w:r>
      <w:r w:rsidRPr="120E50B6" w:rsidR="002F03F2">
        <w:rPr>
          <w:rFonts w:ascii="Times New Roman" w:hAnsi="Times New Roman" w:cs="Times New Roman"/>
          <w:sz w:val="24"/>
          <w:szCs w:val="24"/>
        </w:rPr>
        <w:t xml:space="preserve"> </w:t>
      </w:r>
      <w:r w:rsidRPr="120E50B6" w:rsidR="120E50B6">
        <w:rPr>
          <w:rFonts w:ascii="Times New Roman" w:hAnsi="Times New Roman" w:cs="Times New Roman"/>
          <w:sz w:val="24"/>
          <w:szCs w:val="24"/>
        </w:rPr>
        <w:t xml:space="preserve">used the election results as the most accurate information. This effort resulted in a universe list of 2,349 prosecutor offices </w:t>
      </w:r>
      <w:r>
        <w:rPr>
          <w:rFonts w:ascii="Times New Roman" w:hAnsi="Times New Roman" w:cs="Times New Roman"/>
          <w:sz w:val="24"/>
          <w:szCs w:val="24"/>
        </w:rPr>
        <w:t xml:space="preserve">and chief prosecutors </w:t>
      </w:r>
      <w:r w:rsidRPr="120E50B6" w:rsidR="120E50B6">
        <w:rPr>
          <w:rFonts w:ascii="Times New Roman" w:hAnsi="Times New Roman" w:cs="Times New Roman"/>
          <w:sz w:val="24"/>
          <w:szCs w:val="24"/>
        </w:rPr>
        <w:t xml:space="preserve">as of December 2025 (see Table 1). An additional round of checks for new offices will be conducted prior to the start of data collection, though we </w:t>
      </w:r>
      <w:r w:rsidRPr="120E50B6" w:rsidR="000A5A06">
        <w:rPr>
          <w:rFonts w:ascii="Times New Roman" w:hAnsi="Times New Roman" w:cs="Times New Roman"/>
          <w:sz w:val="24"/>
          <w:szCs w:val="24"/>
        </w:rPr>
        <w:t>expect</w:t>
      </w:r>
      <w:r w:rsidRPr="120E50B6" w:rsidR="120E50B6">
        <w:rPr>
          <w:rFonts w:ascii="Times New Roman" w:hAnsi="Times New Roman" w:cs="Times New Roman"/>
          <w:sz w:val="24"/>
          <w:szCs w:val="24"/>
        </w:rPr>
        <w:t xml:space="preserve"> the total </w:t>
      </w:r>
      <w:r w:rsidRPr="120E50B6" w:rsidR="120E50B6">
        <w:rPr>
          <w:rFonts w:ascii="Times New Roman" w:hAnsi="Times New Roman" w:cs="Times New Roman"/>
          <w:sz w:val="24"/>
          <w:szCs w:val="24"/>
        </w:rPr>
        <w:t>universe</w:t>
      </w:r>
      <w:r w:rsidRPr="120E50B6" w:rsidR="120E50B6">
        <w:rPr>
          <w:rFonts w:ascii="Times New Roman" w:hAnsi="Times New Roman" w:cs="Times New Roman"/>
          <w:sz w:val="24"/>
          <w:szCs w:val="24"/>
        </w:rPr>
        <w:t xml:space="preserve"> of offices will </w:t>
      </w:r>
      <w:r>
        <w:rPr>
          <w:rFonts w:ascii="Times New Roman" w:hAnsi="Times New Roman" w:cs="Times New Roman"/>
          <w:sz w:val="24"/>
          <w:szCs w:val="24"/>
        </w:rPr>
        <w:t xml:space="preserve">remain stable at </w:t>
      </w:r>
      <w:r w:rsidRPr="002D66EE" w:rsidR="120E50B6">
        <w:rPr>
          <w:rFonts w:ascii="Times New Roman" w:hAnsi="Times New Roman" w:cs="Times New Roman"/>
          <w:sz w:val="24"/>
          <w:szCs w:val="24"/>
        </w:rPr>
        <w:t>2,349</w:t>
      </w:r>
      <w:r w:rsidRPr="120E50B6" w:rsidR="120E50B6">
        <w:rPr>
          <w:rFonts w:ascii="Times New Roman" w:hAnsi="Times New Roman" w:cs="Times New Roman"/>
          <w:sz w:val="24"/>
          <w:szCs w:val="24"/>
        </w:rPr>
        <w:t xml:space="preserve"> at the time of data collection.</w:t>
      </w:r>
    </w:p>
    <w:p w:rsidR="00F92436" w:rsidRPr="00904A0D" w:rsidP="00F92436" w14:paraId="750C0A12" w14:textId="56FFE053">
      <w:pPr>
        <w:spacing w:after="0" w:line="240" w:lineRule="auto"/>
        <w:rPr>
          <w:rFonts w:ascii="Times New Roman" w:hAnsi="Times New Roman" w:cs="Times New Roman"/>
          <w:sz w:val="24"/>
          <w:szCs w:val="24"/>
        </w:rPr>
      </w:pPr>
    </w:p>
    <w:p w:rsidR="00F95F45" w:rsidP="00F92436" w14:paraId="269282EE" w14:textId="77777777">
      <w:pPr>
        <w:spacing w:after="0" w:line="240" w:lineRule="auto"/>
        <w:rPr>
          <w:rFonts w:ascii="Times New Roman" w:hAnsi="Times New Roman" w:cs="Times New Roman"/>
          <w:sz w:val="24"/>
          <w:szCs w:val="24"/>
        </w:rPr>
      </w:pPr>
    </w:p>
    <w:p w:rsidR="000D0268" w:rsidP="00F92436" w14:paraId="148BC362" w14:textId="77777777">
      <w:pPr>
        <w:spacing w:after="0" w:line="240" w:lineRule="auto"/>
        <w:rPr>
          <w:rFonts w:ascii="Times New Roman" w:hAnsi="Times New Roman" w:cs="Times New Roman"/>
          <w:sz w:val="24"/>
          <w:szCs w:val="24"/>
        </w:rPr>
      </w:pPr>
    </w:p>
    <w:p w:rsidR="00461F45" w:rsidP="00F92436" w14:paraId="7FE3AA4D" w14:textId="77777777">
      <w:pPr>
        <w:spacing w:after="0" w:line="240" w:lineRule="auto"/>
        <w:rPr>
          <w:rFonts w:ascii="Times New Roman" w:hAnsi="Times New Roman" w:cs="Times New Roman"/>
          <w:sz w:val="24"/>
          <w:szCs w:val="24"/>
        </w:rPr>
      </w:pPr>
    </w:p>
    <w:p w:rsidR="000D0268" w:rsidP="00F92436" w14:paraId="486C9566" w14:textId="77777777">
      <w:pPr>
        <w:spacing w:after="0" w:line="240" w:lineRule="auto"/>
        <w:rPr>
          <w:rFonts w:ascii="Times New Roman" w:hAnsi="Times New Roman" w:cs="Times New Roman"/>
          <w:sz w:val="24"/>
          <w:szCs w:val="24"/>
        </w:rPr>
      </w:pPr>
    </w:p>
    <w:p w:rsidR="00F95F45" w:rsidRPr="0080389D" w:rsidP="00F92436" w14:paraId="6274EC90" w14:textId="02CA861E">
      <w:pPr>
        <w:spacing w:after="0" w:line="240" w:lineRule="auto"/>
        <w:rPr>
          <w:rFonts w:ascii="Times New Roman" w:hAnsi="Times New Roman" w:cs="Times New Roman"/>
          <w:b/>
          <w:bCs/>
          <w:sz w:val="24"/>
          <w:szCs w:val="24"/>
        </w:rPr>
      </w:pPr>
      <w:r w:rsidRPr="0080389D">
        <w:rPr>
          <w:rFonts w:ascii="Times New Roman" w:hAnsi="Times New Roman" w:cs="Times New Roman"/>
          <w:b/>
          <w:bCs/>
          <w:sz w:val="24"/>
          <w:szCs w:val="24"/>
        </w:rPr>
        <w:t>Table 1. Jurisdiction Types Identified during Frame Building</w:t>
      </w:r>
    </w:p>
    <w:tbl>
      <w:tblPr>
        <w:tblW w:w="9260" w:type="dxa"/>
        <w:tblLook w:val="04A0"/>
      </w:tblPr>
      <w:tblGrid>
        <w:gridCol w:w="2420"/>
        <w:gridCol w:w="4864"/>
        <w:gridCol w:w="1976"/>
      </w:tblGrid>
      <w:tr w14:paraId="19753477" w14:textId="77777777" w:rsidTr="00CE0972">
        <w:tblPrEx>
          <w:tblW w:w="9260" w:type="dxa"/>
          <w:tblLook w:val="04A0"/>
        </w:tblPrEx>
        <w:trPr>
          <w:trHeight w:val="280"/>
        </w:trPr>
        <w:tc>
          <w:tcPr>
            <w:tcW w:w="2420"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8D8D8"/>
            <w:noWrap/>
            <w:hideMark/>
          </w:tcPr>
          <w:p w:rsidR="00F95F45" w:rsidRPr="0080389D" w:rsidP="00712D2F" w14:paraId="04A7A4EF" w14:textId="77777777">
            <w:pPr>
              <w:spacing w:after="0" w:line="240" w:lineRule="auto"/>
              <w:rPr>
                <w:rFonts w:ascii="Times New Roman" w:eastAsia="Times New Roman" w:hAnsi="Times New Roman" w:cs="Times New Roman"/>
                <w:color w:val="000000"/>
                <w:sz w:val="24"/>
                <w:szCs w:val="24"/>
              </w:rPr>
            </w:pPr>
            <w:bookmarkStart w:id="0" w:name="_Hlk224028837"/>
            <w:r w:rsidRPr="0080389D">
              <w:rPr>
                <w:rFonts w:ascii="Times New Roman" w:eastAsia="Times New Roman" w:hAnsi="Times New Roman" w:cs="Times New Roman"/>
                <w:color w:val="000000"/>
                <w:sz w:val="24"/>
                <w:szCs w:val="24"/>
              </w:rPr>
              <w:t>Jurisdiction Type</w:t>
            </w:r>
          </w:p>
        </w:tc>
        <w:tc>
          <w:tcPr>
            <w:tcW w:w="4864" w:type="dxa"/>
            <w:tcBorders>
              <w:top w:val="single" w:sz="8" w:space="0" w:color="000000" w:themeColor="text1"/>
              <w:left w:val="nil"/>
              <w:bottom w:val="single" w:sz="4" w:space="0" w:color="000000" w:themeColor="text1"/>
              <w:right w:val="single" w:sz="4" w:space="0" w:color="auto"/>
            </w:tcBorders>
            <w:shd w:val="clear" w:color="auto" w:fill="D8D8D8"/>
          </w:tcPr>
          <w:p w:rsidR="00F95F45" w:rsidRPr="0080389D" w:rsidP="00712D2F" w14:paraId="2DCB352E" w14:textId="57BA467F">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Definition</w:t>
            </w:r>
          </w:p>
        </w:tc>
        <w:tc>
          <w:tcPr>
            <w:tcW w:w="1976" w:type="dxa"/>
            <w:tcBorders>
              <w:top w:val="single" w:sz="8" w:space="0" w:color="000000" w:themeColor="text1"/>
              <w:left w:val="single" w:sz="4" w:space="0" w:color="auto"/>
              <w:bottom w:val="single" w:sz="4" w:space="0" w:color="000000" w:themeColor="text1"/>
              <w:right w:val="single" w:sz="8" w:space="0" w:color="000000" w:themeColor="text1"/>
            </w:tcBorders>
            <w:shd w:val="clear" w:color="auto" w:fill="D8D8D8"/>
            <w:noWrap/>
            <w:hideMark/>
          </w:tcPr>
          <w:p w:rsidR="00F95F45" w:rsidRPr="0080389D" w:rsidP="00712D2F" w14:paraId="2E6F2749" w14:textId="64EE8758">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N</w:t>
            </w:r>
          </w:p>
        </w:tc>
      </w:tr>
      <w:tr w14:paraId="1FEE66DD" w14:textId="77777777" w:rsidTr="00CE0972">
        <w:tblPrEx>
          <w:tblW w:w="9260" w:type="dxa"/>
          <w:tblLook w:val="04A0"/>
        </w:tblPrEx>
        <w:trPr>
          <w:trHeight w:val="840"/>
        </w:trPr>
        <w:tc>
          <w:tcPr>
            <w:tcW w:w="2420" w:type="dxa"/>
            <w:tcBorders>
              <w:top w:val="nil"/>
              <w:left w:val="single" w:sz="8" w:space="0" w:color="000000" w:themeColor="text1"/>
              <w:bottom w:val="single" w:sz="4" w:space="0" w:color="000000" w:themeColor="text1"/>
              <w:right w:val="single" w:sz="4" w:space="0" w:color="000000" w:themeColor="text1"/>
            </w:tcBorders>
            <w:noWrap/>
            <w:hideMark/>
          </w:tcPr>
          <w:p w:rsidR="00F95F45" w:rsidRPr="0080389D" w:rsidP="00712D2F" w14:paraId="406A85BC" w14:textId="2515CC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Multi-county</w:t>
            </w:r>
          </w:p>
        </w:tc>
        <w:tc>
          <w:tcPr>
            <w:tcW w:w="4864" w:type="dxa"/>
            <w:tcBorders>
              <w:top w:val="nil"/>
              <w:left w:val="nil"/>
              <w:bottom w:val="single" w:sz="4" w:space="0" w:color="000000" w:themeColor="text1"/>
              <w:right w:val="single" w:sz="4" w:space="0" w:color="auto"/>
            </w:tcBorders>
          </w:tcPr>
          <w:p w:rsidR="00F95F45" w:rsidRPr="0080389D" w:rsidP="0080389D" w14:paraId="60E8672A" w14:textId="458834A1">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Office is multi-county, or serves a judicial circuit or district consisting of more than one county</w:t>
            </w:r>
          </w:p>
        </w:tc>
        <w:tc>
          <w:tcPr>
            <w:tcW w:w="1976" w:type="dxa"/>
            <w:tcBorders>
              <w:top w:val="single" w:sz="4" w:space="0" w:color="000000" w:themeColor="text1"/>
              <w:left w:val="single" w:sz="4" w:space="0" w:color="auto"/>
              <w:bottom w:val="single" w:sz="4" w:space="0" w:color="000000" w:themeColor="text1"/>
              <w:right w:val="single" w:sz="8" w:space="0" w:color="000000" w:themeColor="text1"/>
            </w:tcBorders>
            <w:noWrap/>
            <w:hideMark/>
          </w:tcPr>
          <w:p w:rsidR="00F95F45" w:rsidRPr="0080389D" w:rsidP="120E50B6" w14:paraId="5199423B" w14:textId="6EA44840">
            <w:pPr>
              <w:spacing w:after="0" w:line="240" w:lineRule="auto"/>
              <w:jc w:val="center"/>
              <w:rPr>
                <w:rFonts w:ascii="Times New Roman" w:eastAsia="Times New Roman" w:hAnsi="Times New Roman" w:cs="Times New Roman"/>
                <w:color w:val="000000"/>
                <w:sz w:val="24"/>
                <w:szCs w:val="24"/>
              </w:rPr>
            </w:pPr>
            <w:r w:rsidRPr="120E50B6">
              <w:rPr>
                <w:rFonts w:ascii="Times New Roman" w:eastAsia="Times New Roman" w:hAnsi="Times New Roman" w:cs="Times New Roman"/>
                <w:color w:val="000000" w:themeColor="text1"/>
                <w:sz w:val="24"/>
                <w:szCs w:val="24"/>
              </w:rPr>
              <w:t>431</w:t>
            </w:r>
          </w:p>
        </w:tc>
      </w:tr>
      <w:tr w14:paraId="46C3300D" w14:textId="77777777" w:rsidTr="004F3D8D">
        <w:tblPrEx>
          <w:tblW w:w="9260" w:type="dxa"/>
          <w:tblLook w:val="04A0"/>
        </w:tblPrEx>
        <w:trPr>
          <w:trHeight w:val="845"/>
        </w:trPr>
        <w:tc>
          <w:tcPr>
            <w:tcW w:w="2420" w:type="dxa"/>
            <w:tcBorders>
              <w:top w:val="nil"/>
              <w:left w:val="single" w:sz="8" w:space="0" w:color="000000" w:themeColor="text1"/>
              <w:bottom w:val="single" w:sz="4" w:space="0" w:color="000000" w:themeColor="text1"/>
              <w:right w:val="single" w:sz="4" w:space="0" w:color="000000" w:themeColor="text1"/>
            </w:tcBorders>
            <w:noWrap/>
            <w:hideMark/>
          </w:tcPr>
          <w:p w:rsidR="00F95F45" w:rsidRPr="0080389D" w:rsidP="00712D2F" w14:paraId="17ECDEDD"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County</w:t>
            </w:r>
          </w:p>
        </w:tc>
        <w:tc>
          <w:tcPr>
            <w:tcW w:w="4864" w:type="dxa"/>
            <w:tcBorders>
              <w:top w:val="nil"/>
              <w:left w:val="nil"/>
              <w:bottom w:val="single" w:sz="4" w:space="0" w:color="000000" w:themeColor="text1"/>
              <w:right w:val="single" w:sz="4" w:space="0" w:color="auto"/>
            </w:tcBorders>
          </w:tcPr>
          <w:p w:rsidR="00F95F45" w:rsidRPr="0080389D" w:rsidP="0080389D" w14:paraId="514B0419" w14:textId="606F4256">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Office serves one county, an independent city/county equivalent, or a judicial district/circuit containing only one county</w:t>
            </w:r>
          </w:p>
        </w:tc>
        <w:tc>
          <w:tcPr>
            <w:tcW w:w="1976" w:type="dxa"/>
            <w:tcBorders>
              <w:top w:val="single" w:sz="4" w:space="0" w:color="000000" w:themeColor="text1"/>
              <w:left w:val="single" w:sz="4" w:space="0" w:color="auto"/>
              <w:bottom w:val="single" w:sz="4" w:space="0" w:color="000000" w:themeColor="text1"/>
              <w:right w:val="single" w:sz="8" w:space="0" w:color="000000" w:themeColor="text1"/>
            </w:tcBorders>
            <w:noWrap/>
            <w:hideMark/>
          </w:tcPr>
          <w:p w:rsidR="00F95F45" w:rsidRPr="0080389D" w:rsidP="120E50B6" w14:paraId="752E8F10" w14:textId="1BC1F164">
            <w:pPr>
              <w:spacing w:after="0" w:line="240" w:lineRule="auto"/>
              <w:jc w:val="center"/>
              <w:rPr>
                <w:rFonts w:ascii="Times New Roman" w:eastAsia="Times New Roman" w:hAnsi="Times New Roman" w:cs="Times New Roman"/>
                <w:color w:val="000000"/>
                <w:sz w:val="24"/>
                <w:szCs w:val="24"/>
              </w:rPr>
            </w:pPr>
            <w:r w:rsidRPr="120E50B6">
              <w:rPr>
                <w:rFonts w:ascii="Times New Roman" w:eastAsia="Times New Roman" w:hAnsi="Times New Roman" w:cs="Times New Roman"/>
                <w:color w:val="000000" w:themeColor="text1"/>
                <w:sz w:val="24"/>
                <w:szCs w:val="24"/>
              </w:rPr>
              <w:t>1</w:t>
            </w:r>
            <w:r w:rsidR="00D1725B">
              <w:rPr>
                <w:rFonts w:ascii="Times New Roman" w:eastAsia="Times New Roman" w:hAnsi="Times New Roman" w:cs="Times New Roman"/>
                <w:color w:val="000000" w:themeColor="text1"/>
                <w:sz w:val="24"/>
                <w:szCs w:val="24"/>
              </w:rPr>
              <w:t>,</w:t>
            </w:r>
            <w:r w:rsidRPr="120E50B6" w:rsidR="000E1C11">
              <w:rPr>
                <w:rFonts w:ascii="Times New Roman" w:eastAsia="Times New Roman" w:hAnsi="Times New Roman" w:cs="Times New Roman"/>
                <w:color w:val="000000" w:themeColor="text1"/>
                <w:sz w:val="24"/>
                <w:szCs w:val="24"/>
              </w:rPr>
              <w:t>91</w:t>
            </w:r>
            <w:r w:rsidR="000E1C11">
              <w:rPr>
                <w:rFonts w:ascii="Times New Roman" w:eastAsia="Times New Roman" w:hAnsi="Times New Roman" w:cs="Times New Roman"/>
                <w:color w:val="000000" w:themeColor="text1"/>
                <w:sz w:val="24"/>
                <w:szCs w:val="24"/>
              </w:rPr>
              <w:t>3</w:t>
            </w:r>
          </w:p>
        </w:tc>
      </w:tr>
      <w:tr w14:paraId="3874DB85" w14:textId="77777777" w:rsidTr="004F3D8D">
        <w:tblPrEx>
          <w:tblW w:w="9260" w:type="dxa"/>
          <w:tblLook w:val="04A0"/>
        </w:tblPrEx>
        <w:trPr>
          <w:trHeight w:val="350"/>
        </w:trPr>
        <w:tc>
          <w:tcPr>
            <w:tcW w:w="2420" w:type="dxa"/>
            <w:tcBorders>
              <w:top w:val="nil"/>
              <w:left w:val="single" w:sz="8" w:space="0" w:color="000000" w:themeColor="text1"/>
              <w:bottom w:val="single" w:sz="4" w:space="0" w:color="000000" w:themeColor="text1"/>
              <w:right w:val="single" w:sz="4" w:space="0" w:color="000000" w:themeColor="text1"/>
            </w:tcBorders>
            <w:noWrap/>
            <w:hideMark/>
          </w:tcPr>
          <w:p w:rsidR="00F95F45" w:rsidRPr="0080389D" w:rsidP="00712D2F" w14:paraId="6736C1AE"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Statewide</w:t>
            </w:r>
          </w:p>
        </w:tc>
        <w:tc>
          <w:tcPr>
            <w:tcW w:w="4864" w:type="dxa"/>
            <w:tcBorders>
              <w:top w:val="nil"/>
              <w:left w:val="nil"/>
              <w:bottom w:val="single" w:sz="4" w:space="0" w:color="000000" w:themeColor="text1"/>
              <w:right w:val="single" w:sz="4" w:space="0" w:color="auto"/>
            </w:tcBorders>
          </w:tcPr>
          <w:p w:rsidR="00F95F45" w:rsidRPr="0080389D" w:rsidP="0080389D" w14:paraId="64406356" w14:textId="2D30F7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80389D">
              <w:rPr>
                <w:rFonts w:ascii="Times New Roman" w:eastAsia="Times New Roman" w:hAnsi="Times New Roman" w:cs="Times New Roman"/>
                <w:color w:val="000000"/>
                <w:sz w:val="24"/>
                <w:szCs w:val="24"/>
              </w:rPr>
              <w:t>ffice</w:t>
            </w:r>
            <w:r w:rsidR="00C0734A">
              <w:rPr>
                <w:rFonts w:ascii="Times New Roman" w:eastAsia="Times New Roman" w:hAnsi="Times New Roman" w:cs="Times New Roman"/>
                <w:color w:val="000000"/>
                <w:sz w:val="24"/>
                <w:szCs w:val="24"/>
              </w:rPr>
              <w:t xml:space="preserve"> </w:t>
            </w:r>
            <w:r w:rsidR="00FA2604">
              <w:rPr>
                <w:rFonts w:ascii="Times New Roman" w:eastAsia="Times New Roman" w:hAnsi="Times New Roman" w:cs="Times New Roman"/>
                <w:color w:val="000000"/>
                <w:sz w:val="24"/>
                <w:szCs w:val="24"/>
              </w:rPr>
              <w:t>that</w:t>
            </w:r>
            <w:r w:rsidRPr="0080389D">
              <w:rPr>
                <w:rFonts w:ascii="Times New Roman" w:eastAsia="Times New Roman" w:hAnsi="Times New Roman" w:cs="Times New Roman"/>
                <w:color w:val="000000"/>
                <w:sz w:val="24"/>
                <w:szCs w:val="24"/>
              </w:rPr>
              <w:t xml:space="preserve"> </w:t>
            </w:r>
            <w:r w:rsidRPr="0080389D" w:rsidR="00C0734A">
              <w:rPr>
                <w:rFonts w:ascii="Times New Roman" w:eastAsia="Times New Roman" w:hAnsi="Times New Roman" w:cs="Times New Roman"/>
                <w:color w:val="000000"/>
                <w:sz w:val="24"/>
                <w:szCs w:val="24"/>
              </w:rPr>
              <w:t>takes</w:t>
            </w:r>
            <w:r w:rsidRPr="0080389D">
              <w:rPr>
                <w:rFonts w:ascii="Times New Roman" w:eastAsia="Times New Roman" w:hAnsi="Times New Roman" w:cs="Times New Roman"/>
                <w:color w:val="000000"/>
                <w:sz w:val="24"/>
                <w:szCs w:val="24"/>
              </w:rPr>
              <w:t xml:space="preserve"> cases across </w:t>
            </w:r>
            <w:r>
              <w:rPr>
                <w:rFonts w:ascii="Times New Roman" w:eastAsia="Times New Roman" w:hAnsi="Times New Roman" w:cs="Times New Roman"/>
                <w:color w:val="000000"/>
                <w:sz w:val="24"/>
                <w:szCs w:val="24"/>
              </w:rPr>
              <w:t>an</w:t>
            </w:r>
            <w:r w:rsidRPr="0080389D">
              <w:rPr>
                <w:rFonts w:ascii="Times New Roman" w:eastAsia="Times New Roman" w:hAnsi="Times New Roman" w:cs="Times New Roman"/>
                <w:color w:val="000000"/>
                <w:sz w:val="24"/>
                <w:szCs w:val="24"/>
              </w:rPr>
              <w:t xml:space="preserve"> entire state</w:t>
            </w:r>
          </w:p>
        </w:tc>
        <w:tc>
          <w:tcPr>
            <w:tcW w:w="1976" w:type="dxa"/>
            <w:tcBorders>
              <w:top w:val="single" w:sz="4" w:space="0" w:color="000000" w:themeColor="text1"/>
              <w:left w:val="single" w:sz="4" w:space="0" w:color="auto"/>
              <w:bottom w:val="single" w:sz="4" w:space="0" w:color="000000" w:themeColor="text1"/>
              <w:right w:val="single" w:sz="8" w:space="0" w:color="000000" w:themeColor="text1"/>
            </w:tcBorders>
            <w:noWrap/>
            <w:hideMark/>
          </w:tcPr>
          <w:p w:rsidR="00F95F45" w:rsidRPr="0080389D" w:rsidP="120E50B6" w14:paraId="3AB10E8C" w14:textId="5D1EF1B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5</w:t>
            </w:r>
          </w:p>
        </w:tc>
      </w:tr>
      <w:tr w14:paraId="0F6D0DBC" w14:textId="77777777" w:rsidTr="00A35904">
        <w:tblPrEx>
          <w:tblW w:w="9260" w:type="dxa"/>
          <w:tblLook w:val="04A0"/>
        </w:tblPrEx>
        <w:trPr>
          <w:trHeight w:val="323"/>
        </w:trPr>
        <w:tc>
          <w:tcPr>
            <w:tcW w:w="2420" w:type="dxa"/>
            <w:tcBorders>
              <w:top w:val="nil"/>
              <w:left w:val="single" w:sz="8" w:space="0" w:color="000000" w:themeColor="text1"/>
              <w:bottom w:val="single" w:sz="8" w:space="0" w:color="000000" w:themeColor="text1"/>
              <w:right w:val="single" w:sz="4" w:space="0" w:color="000000" w:themeColor="text1"/>
            </w:tcBorders>
            <w:shd w:val="clear" w:color="auto" w:fill="D8D8D8"/>
            <w:noWrap/>
            <w:hideMark/>
          </w:tcPr>
          <w:p w:rsidR="00F95F45" w:rsidRPr="0080389D" w:rsidP="00712D2F" w14:paraId="783C546C"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Total</w:t>
            </w:r>
          </w:p>
        </w:tc>
        <w:tc>
          <w:tcPr>
            <w:tcW w:w="4864" w:type="dxa"/>
            <w:tcBorders>
              <w:top w:val="nil"/>
              <w:left w:val="nil"/>
              <w:bottom w:val="single" w:sz="8" w:space="0" w:color="000000" w:themeColor="text1"/>
              <w:right w:val="single" w:sz="4" w:space="0" w:color="auto"/>
            </w:tcBorders>
            <w:shd w:val="clear" w:color="auto" w:fill="D8D8D8"/>
          </w:tcPr>
          <w:p w:rsidR="00F95F45" w:rsidRPr="0080389D" w:rsidP="00712D2F" w14:paraId="70B86C35" w14:textId="77777777">
            <w:pPr>
              <w:spacing w:after="0" w:line="240" w:lineRule="auto"/>
              <w:jc w:val="center"/>
              <w:rPr>
                <w:rFonts w:ascii="Times New Roman" w:eastAsia="Times New Roman" w:hAnsi="Times New Roman" w:cs="Times New Roman"/>
                <w:color w:val="000000"/>
                <w:sz w:val="24"/>
                <w:szCs w:val="24"/>
              </w:rPr>
            </w:pPr>
          </w:p>
        </w:tc>
        <w:tc>
          <w:tcPr>
            <w:tcW w:w="1976" w:type="dxa"/>
            <w:tcBorders>
              <w:top w:val="single" w:sz="4" w:space="0" w:color="000000" w:themeColor="text1"/>
              <w:left w:val="single" w:sz="4" w:space="0" w:color="auto"/>
              <w:bottom w:val="single" w:sz="8" w:space="0" w:color="000000" w:themeColor="text1"/>
              <w:right w:val="single" w:sz="8" w:space="0" w:color="000000" w:themeColor="text1"/>
            </w:tcBorders>
            <w:shd w:val="clear" w:color="auto" w:fill="D8D8D8"/>
            <w:noWrap/>
            <w:hideMark/>
          </w:tcPr>
          <w:p w:rsidR="00F95F45" w:rsidRPr="0080389D" w:rsidP="00712D2F" w14:paraId="3D7F995D" w14:textId="779CB46D">
            <w:pPr>
              <w:spacing w:after="0" w:line="240" w:lineRule="auto"/>
              <w:jc w:val="center"/>
              <w:rPr>
                <w:rFonts w:ascii="Times New Roman" w:eastAsia="Times New Roman" w:hAnsi="Times New Roman" w:cs="Times New Roman"/>
                <w:b/>
                <w:bCs/>
                <w:color w:val="000000"/>
                <w:sz w:val="24"/>
                <w:szCs w:val="24"/>
              </w:rPr>
            </w:pPr>
            <w:r w:rsidRPr="002D66EE">
              <w:rPr>
                <w:rFonts w:ascii="Times New Roman" w:eastAsia="Times New Roman" w:hAnsi="Times New Roman" w:cs="Times New Roman"/>
                <w:b/>
                <w:bCs/>
                <w:color w:val="000000" w:themeColor="text1"/>
                <w:sz w:val="24"/>
                <w:szCs w:val="24"/>
              </w:rPr>
              <w:t>2</w:t>
            </w:r>
            <w:r w:rsidR="00D1725B">
              <w:rPr>
                <w:rFonts w:ascii="Times New Roman" w:eastAsia="Times New Roman" w:hAnsi="Times New Roman" w:cs="Times New Roman"/>
                <w:b/>
                <w:bCs/>
                <w:color w:val="000000" w:themeColor="text1"/>
                <w:sz w:val="24"/>
                <w:szCs w:val="24"/>
              </w:rPr>
              <w:t>,</w:t>
            </w:r>
            <w:r w:rsidRPr="002D66EE">
              <w:rPr>
                <w:rFonts w:ascii="Times New Roman" w:eastAsia="Times New Roman" w:hAnsi="Times New Roman" w:cs="Times New Roman"/>
                <w:b/>
                <w:bCs/>
                <w:color w:val="000000" w:themeColor="text1"/>
                <w:sz w:val="24"/>
                <w:szCs w:val="24"/>
              </w:rPr>
              <w:t>349*</w:t>
            </w:r>
          </w:p>
        </w:tc>
      </w:tr>
    </w:tbl>
    <w:bookmarkEnd w:id="0"/>
    <w:p w:rsidR="00FA5679" w:rsidRPr="00523B12" w:rsidP="00FA2604" w14:paraId="46086B10" w14:textId="38C5133E">
      <w:pPr>
        <w:spacing w:after="0" w:line="240" w:lineRule="auto"/>
        <w:rPr>
          <w:rFonts w:ascii="Times New Roman" w:hAnsi="Times New Roman" w:cs="Times New Roman"/>
        </w:rPr>
      </w:pPr>
      <w:r w:rsidRPr="00523B12">
        <w:rPr>
          <w:rFonts w:ascii="Times New Roman" w:hAnsi="Times New Roman" w:cs="Times New Roman"/>
        </w:rPr>
        <w:t xml:space="preserve">*The total represented in the table reflects the status of the frame as of </w:t>
      </w:r>
      <w:r w:rsidR="00C0734A">
        <w:rPr>
          <w:rFonts w:ascii="Times New Roman" w:hAnsi="Times New Roman" w:cs="Times New Roman"/>
        </w:rPr>
        <w:t>December</w:t>
      </w:r>
      <w:r w:rsidRPr="00523B12">
        <w:rPr>
          <w:rFonts w:ascii="Times New Roman" w:hAnsi="Times New Roman" w:cs="Times New Roman"/>
        </w:rPr>
        <w:t xml:space="preserve"> 202</w:t>
      </w:r>
      <w:r w:rsidR="00C0734A">
        <w:rPr>
          <w:rFonts w:ascii="Times New Roman" w:hAnsi="Times New Roman" w:cs="Times New Roman"/>
        </w:rPr>
        <w:t>5</w:t>
      </w:r>
      <w:r w:rsidRPr="00523B12">
        <w:rPr>
          <w:rFonts w:ascii="Times New Roman" w:hAnsi="Times New Roman" w:cs="Times New Roman"/>
        </w:rPr>
        <w:t xml:space="preserve">. </w:t>
      </w:r>
    </w:p>
    <w:p w:rsidR="00F92436" w:rsidRPr="00F92436" w:rsidP="00F92436" w14:paraId="69EB5650" w14:textId="77777777">
      <w:pPr>
        <w:spacing w:after="0" w:line="240" w:lineRule="auto"/>
        <w:rPr>
          <w:rFonts w:ascii="Times New Roman" w:hAnsi="Times New Roman" w:cs="Times New Roman"/>
          <w:sz w:val="24"/>
          <w:szCs w:val="24"/>
        </w:rPr>
      </w:pPr>
    </w:p>
    <w:p w:rsidR="004B56CF" w:rsidP="004B56CF" w14:paraId="5A54E2E7" w14:textId="27DFC1D9">
      <w:pPr>
        <w:spacing w:after="0" w:line="240" w:lineRule="auto"/>
        <w:rPr>
          <w:rFonts w:ascii="Times New Roman" w:hAnsi="Times New Roman" w:cs="Times New Roman"/>
          <w:sz w:val="24"/>
          <w:szCs w:val="24"/>
        </w:rPr>
      </w:pPr>
      <w:r w:rsidRPr="00FC289A">
        <w:rPr>
          <w:rFonts w:ascii="Times New Roman" w:hAnsi="Times New Roman" w:cs="Times New Roman"/>
          <w:sz w:val="24"/>
          <w:szCs w:val="24"/>
        </w:rPr>
        <w:t xml:space="preserve">Throughout the remainder of the project, the office list will be updated with any </w:t>
      </w:r>
      <w:r w:rsidRPr="00FC289A" w:rsidR="005C129A">
        <w:rPr>
          <w:rFonts w:ascii="Times New Roman" w:hAnsi="Times New Roman" w:cs="Times New Roman"/>
          <w:sz w:val="24"/>
          <w:szCs w:val="24"/>
        </w:rPr>
        <w:t xml:space="preserve">leadership changes or </w:t>
      </w:r>
      <w:r w:rsidRPr="00FC289A">
        <w:rPr>
          <w:rFonts w:ascii="Times New Roman" w:hAnsi="Times New Roman" w:cs="Times New Roman"/>
          <w:sz w:val="24"/>
          <w:szCs w:val="24"/>
        </w:rPr>
        <w:t>new contact information discovered during data collection.</w:t>
      </w:r>
      <w:r w:rsidRPr="00FC289A" w:rsidR="005C129A">
        <w:rPr>
          <w:rFonts w:ascii="Times New Roman" w:hAnsi="Times New Roman" w:cs="Times New Roman"/>
          <w:sz w:val="24"/>
          <w:szCs w:val="24"/>
        </w:rPr>
        <w:t xml:space="preserve"> The </w:t>
      </w:r>
      <w:r w:rsidRPr="00FC289A">
        <w:rPr>
          <w:rFonts w:ascii="Times New Roman" w:hAnsi="Times New Roman" w:cs="Times New Roman"/>
          <w:sz w:val="24"/>
          <w:szCs w:val="24"/>
        </w:rPr>
        <w:t xml:space="preserve">dynamic nature of frame maintenance will ensure the most current </w:t>
      </w:r>
      <w:r w:rsidRPr="00FC289A" w:rsidR="00FC289A">
        <w:rPr>
          <w:rFonts w:ascii="Times New Roman" w:hAnsi="Times New Roman" w:cs="Times New Roman"/>
          <w:sz w:val="24"/>
          <w:szCs w:val="24"/>
        </w:rPr>
        <w:t>prosecutor</w:t>
      </w:r>
      <w:r w:rsidRPr="00FC289A">
        <w:rPr>
          <w:rFonts w:ascii="Times New Roman" w:hAnsi="Times New Roman" w:cs="Times New Roman"/>
          <w:sz w:val="24"/>
          <w:szCs w:val="24"/>
        </w:rPr>
        <w:t xml:space="preserve"> leadership and office contact information is used for data collection.</w:t>
      </w:r>
    </w:p>
    <w:p w:rsidR="00167E81" w:rsidP="00167E81" w14:paraId="14A02571" w14:textId="77777777">
      <w:pPr>
        <w:spacing w:after="0" w:line="240" w:lineRule="auto"/>
        <w:rPr>
          <w:rFonts w:ascii="Times New Roman" w:hAnsi="Times New Roman" w:cs="Times New Roman"/>
          <w:sz w:val="24"/>
          <w:szCs w:val="24"/>
        </w:rPr>
      </w:pPr>
    </w:p>
    <w:p w:rsidR="005B3085" w:rsidRPr="007B0DB1" w:rsidP="005B3085" w14:paraId="00EEF6DF" w14:textId="7FB84A4D">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2. Procedures for </w:t>
      </w:r>
      <w:r w:rsidR="006B3F5E">
        <w:rPr>
          <w:rFonts w:ascii="Times New Roman" w:hAnsi="Times New Roman" w:cs="Times New Roman"/>
          <w:b/>
          <w:sz w:val="24"/>
          <w:szCs w:val="24"/>
        </w:rPr>
        <w:t>C</w:t>
      </w:r>
      <w:r w:rsidRPr="007B0DB1">
        <w:rPr>
          <w:rFonts w:ascii="Times New Roman" w:hAnsi="Times New Roman" w:cs="Times New Roman"/>
          <w:b/>
          <w:sz w:val="24"/>
          <w:szCs w:val="24"/>
        </w:rPr>
        <w:t xml:space="preserve">ollecting </w:t>
      </w:r>
      <w:r w:rsidR="006B3F5E">
        <w:rPr>
          <w:rFonts w:ascii="Times New Roman" w:hAnsi="Times New Roman" w:cs="Times New Roman"/>
          <w:b/>
          <w:sz w:val="24"/>
          <w:szCs w:val="24"/>
        </w:rPr>
        <w:t>I</w:t>
      </w:r>
      <w:r>
        <w:rPr>
          <w:rFonts w:ascii="Times New Roman" w:hAnsi="Times New Roman" w:cs="Times New Roman"/>
          <w:b/>
          <w:sz w:val="24"/>
          <w:szCs w:val="24"/>
        </w:rPr>
        <w:t>nformation</w:t>
      </w:r>
    </w:p>
    <w:p w:rsidR="005B3085" w:rsidRPr="007B0DB1" w:rsidP="005B3085" w14:paraId="6A81876D" w14:textId="77777777">
      <w:pPr>
        <w:spacing w:after="0" w:line="240" w:lineRule="auto"/>
        <w:rPr>
          <w:rFonts w:ascii="Times New Roman" w:hAnsi="Times New Roman" w:cs="Times New Roman"/>
          <w:sz w:val="24"/>
          <w:szCs w:val="24"/>
        </w:rPr>
      </w:pPr>
    </w:p>
    <w:p w:rsidR="00FA5679" w:rsidP="00A80F31" w14:paraId="778E66E0" w14:textId="5C07734B">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Data collection for the </w:t>
      </w:r>
      <w:r w:rsidR="009457E3">
        <w:rPr>
          <w:rFonts w:ascii="Times New Roman" w:hAnsi="Times New Roman" w:cs="Times New Roman"/>
          <w:sz w:val="24"/>
          <w:szCs w:val="24"/>
        </w:rPr>
        <w:t>2025 CPO</w:t>
      </w:r>
      <w:r w:rsidRPr="008542A8">
        <w:rPr>
          <w:rFonts w:ascii="Times New Roman" w:hAnsi="Times New Roman" w:cs="Times New Roman"/>
          <w:sz w:val="24"/>
          <w:szCs w:val="24"/>
        </w:rPr>
        <w:t xml:space="preserve"> will involve </w:t>
      </w:r>
      <w:r w:rsidRPr="008542A8" w:rsidR="003D4070">
        <w:rPr>
          <w:rFonts w:ascii="Times New Roman" w:hAnsi="Times New Roman" w:cs="Times New Roman"/>
          <w:sz w:val="24"/>
          <w:szCs w:val="24"/>
        </w:rPr>
        <w:t xml:space="preserve">a series of </w:t>
      </w:r>
      <w:r w:rsidR="001C4D32">
        <w:rPr>
          <w:rFonts w:ascii="Times New Roman" w:hAnsi="Times New Roman" w:cs="Times New Roman"/>
          <w:sz w:val="24"/>
          <w:szCs w:val="24"/>
        </w:rPr>
        <w:t xml:space="preserve">communication efforts </w:t>
      </w:r>
      <w:r w:rsidRPr="008542A8" w:rsidR="003D4070">
        <w:rPr>
          <w:rFonts w:ascii="Times New Roman" w:hAnsi="Times New Roman" w:cs="Times New Roman"/>
          <w:sz w:val="24"/>
          <w:szCs w:val="24"/>
        </w:rPr>
        <w:t xml:space="preserve">using multiple modes. </w:t>
      </w:r>
      <w:r>
        <w:rPr>
          <w:rFonts w:ascii="Times New Roman" w:hAnsi="Times New Roman" w:cs="Times New Roman"/>
          <w:sz w:val="24"/>
          <w:szCs w:val="24"/>
        </w:rPr>
        <w:t xml:space="preserve">Table 2 summarizes the office contacts and non-response follow up. </w:t>
      </w:r>
    </w:p>
    <w:p w:rsidR="00C50D7E" w:rsidP="00FA5679" w14:paraId="4FB1E3AF" w14:textId="77777777">
      <w:pPr>
        <w:spacing w:after="0" w:line="240" w:lineRule="auto"/>
        <w:rPr>
          <w:rFonts w:ascii="Times New Roman" w:hAnsi="Times New Roman" w:cs="Times New Roman"/>
          <w:b/>
          <w:bCs/>
          <w:sz w:val="24"/>
          <w:szCs w:val="24"/>
        </w:rPr>
        <w:sectPr w:rsidSect="00EE77C0">
          <w:headerReference w:type="default" r:id="rId6"/>
          <w:footerReference w:type="default" r:id="rId7"/>
          <w:pgSz w:w="12240" w:h="15840"/>
          <w:pgMar w:top="1440" w:right="1440" w:bottom="1440" w:left="1440" w:header="720" w:footer="720" w:gutter="0"/>
          <w:cols w:space="720"/>
          <w:docGrid w:linePitch="360"/>
        </w:sectPr>
      </w:pPr>
    </w:p>
    <w:p w:rsidR="00FA5679" w:rsidP="00FA5679" w14:paraId="2A9BD22D" w14:textId="3E9A4514">
      <w:pPr>
        <w:spacing w:after="0" w:line="240" w:lineRule="auto"/>
        <w:rPr>
          <w:rFonts w:ascii="Times New Roman" w:hAnsi="Times New Roman" w:cs="Times New Roman"/>
          <w:b/>
          <w:bCs/>
          <w:sz w:val="24"/>
          <w:szCs w:val="24"/>
        </w:rPr>
      </w:pPr>
      <w:r w:rsidRPr="44B2B041">
        <w:rPr>
          <w:rFonts w:ascii="Times New Roman" w:hAnsi="Times New Roman" w:cs="Times New Roman"/>
          <w:b/>
          <w:bCs/>
          <w:sz w:val="24"/>
          <w:szCs w:val="24"/>
        </w:rPr>
        <w:t>Table 2.  Contact Procedures</w:t>
      </w:r>
    </w:p>
    <w:p w:rsidR="00912D04" w:rsidP="00FA5679" w14:paraId="531347D7" w14:textId="77777777">
      <w:pPr>
        <w:spacing w:after="0" w:line="240" w:lineRule="auto"/>
        <w:rPr>
          <w:rFonts w:ascii="Times New Roman" w:hAnsi="Times New Roman" w:cs="Times New Roman"/>
          <w:b/>
          <w:bCs/>
          <w:sz w:val="24"/>
          <w:szCs w:val="24"/>
        </w:rPr>
      </w:pPr>
    </w:p>
    <w:tbl>
      <w:tblPr>
        <w:tblW w:w="12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1155"/>
        <w:gridCol w:w="1260"/>
        <w:gridCol w:w="2987"/>
        <w:gridCol w:w="3224"/>
        <w:gridCol w:w="4319"/>
      </w:tblGrid>
      <w:tr w14:paraId="423122C6" w14:textId="77777777" w:rsidTr="00EB22CF">
        <w:tblPrEx>
          <w:tblW w:w="12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Ex>
        <w:trPr>
          <w:trHeight w:val="267"/>
          <w:tblHeader/>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27C413DB" w14:textId="77777777">
            <w:pPr>
              <w:spacing w:after="0" w:line="240" w:lineRule="auto"/>
              <w:rPr>
                <w:rFonts w:ascii="Times New Roman" w:hAnsi="Times New Roman" w:cs="Times New Roman"/>
                <w:b/>
              </w:rPr>
            </w:pPr>
            <w:r w:rsidRPr="00EB22CF">
              <w:rPr>
                <w:rFonts w:ascii="Times New Roman" w:hAnsi="Times New Roman" w:cs="Times New Roman"/>
                <w:b/>
              </w:rPr>
              <w:t>Contact</w:t>
            </w:r>
          </w:p>
        </w:tc>
        <w:tc>
          <w:tcPr>
            <w:tcW w:w="1260" w:type="dxa"/>
            <w:tcBorders>
              <w:top w:val="single" w:sz="12" w:space="0" w:color="auto"/>
              <w:left w:val="single" w:sz="12" w:space="0" w:color="auto"/>
              <w:bottom w:val="single" w:sz="12" w:space="0" w:color="auto"/>
              <w:right w:val="single" w:sz="12" w:space="0" w:color="auto"/>
            </w:tcBorders>
            <w:hideMark/>
          </w:tcPr>
          <w:p w:rsidR="00912D04" w:rsidRPr="00EB22CF" w:rsidP="00CC0B29" w14:paraId="283A8D14" w14:textId="77777777">
            <w:pPr>
              <w:spacing w:after="0" w:line="240" w:lineRule="auto"/>
              <w:rPr>
                <w:rFonts w:ascii="Times New Roman" w:hAnsi="Times New Roman" w:cs="Times New Roman"/>
                <w:b/>
              </w:rPr>
            </w:pPr>
            <w:r w:rsidRPr="00EB22CF">
              <w:rPr>
                <w:rFonts w:ascii="Times New Roman" w:hAnsi="Times New Roman" w:cs="Times New Roman"/>
                <w:b/>
              </w:rPr>
              <w:t>Attachment</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69430DE8" w14:textId="77777777">
            <w:pPr>
              <w:spacing w:after="0" w:line="240" w:lineRule="auto"/>
              <w:rPr>
                <w:rFonts w:ascii="Times New Roman" w:hAnsi="Times New Roman" w:cs="Times New Roman"/>
                <w:b/>
              </w:rPr>
            </w:pPr>
            <w:r w:rsidRPr="00EB22CF">
              <w:rPr>
                <w:rFonts w:ascii="Times New Roman" w:hAnsi="Times New Roman" w:cs="Times New Roman"/>
                <w:b/>
              </w:rPr>
              <w:t>Contact Description</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4C796EB9" w14:textId="77777777">
            <w:pPr>
              <w:spacing w:after="0" w:line="240" w:lineRule="auto"/>
              <w:rPr>
                <w:rFonts w:ascii="Times New Roman" w:hAnsi="Times New Roman" w:cs="Times New Roman"/>
                <w:b/>
              </w:rPr>
            </w:pPr>
            <w:r w:rsidRPr="00EB22CF">
              <w:rPr>
                <w:rFonts w:ascii="Times New Roman" w:hAnsi="Times New Roman" w:cs="Times New Roman"/>
                <w:b/>
              </w:rPr>
              <w:t>Timing of Contact</w:t>
            </w:r>
          </w:p>
        </w:tc>
        <w:tc>
          <w:tcPr>
            <w:tcW w:w="4319" w:type="dxa"/>
            <w:tcBorders>
              <w:top w:val="single" w:sz="12" w:space="0" w:color="auto"/>
              <w:left w:val="single" w:sz="12" w:space="0" w:color="auto"/>
              <w:bottom w:val="single" w:sz="12" w:space="0" w:color="auto"/>
              <w:right w:val="single" w:sz="12" w:space="0" w:color="auto"/>
            </w:tcBorders>
            <w:hideMark/>
          </w:tcPr>
          <w:p w:rsidR="00912D04" w:rsidRPr="00EB22CF" w:rsidP="00CC0B29" w14:paraId="69998932" w14:textId="77777777">
            <w:pPr>
              <w:spacing w:after="0" w:line="240" w:lineRule="auto"/>
              <w:rPr>
                <w:rFonts w:ascii="Times New Roman" w:hAnsi="Times New Roman" w:cs="Times New Roman"/>
                <w:b/>
              </w:rPr>
            </w:pPr>
            <w:r w:rsidRPr="00EB22CF">
              <w:rPr>
                <w:rFonts w:ascii="Times New Roman" w:hAnsi="Times New Roman" w:cs="Times New Roman"/>
                <w:b/>
              </w:rPr>
              <w:t>Details</w:t>
            </w:r>
          </w:p>
        </w:tc>
      </w:tr>
      <w:tr w14:paraId="7390D961"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720FD713" w14:textId="77777777">
            <w:pPr>
              <w:spacing w:after="0" w:line="240" w:lineRule="auto"/>
              <w:rPr>
                <w:rFonts w:ascii="Times New Roman" w:hAnsi="Times New Roman" w:cs="Times New Roman"/>
              </w:rPr>
            </w:pPr>
            <w:r w:rsidRPr="00EB22CF">
              <w:rPr>
                <w:rFonts w:ascii="Times New Roman" w:hAnsi="Times New Roman" w:cs="Times New Roman"/>
              </w:rPr>
              <w:t>1</w:t>
            </w:r>
          </w:p>
        </w:tc>
        <w:tc>
          <w:tcPr>
            <w:tcW w:w="1260" w:type="dxa"/>
            <w:tcBorders>
              <w:top w:val="single" w:sz="12" w:space="0" w:color="auto"/>
              <w:left w:val="single" w:sz="12" w:space="0" w:color="auto"/>
              <w:bottom w:val="single" w:sz="12" w:space="0" w:color="auto"/>
              <w:right w:val="single" w:sz="12" w:space="0" w:color="auto"/>
            </w:tcBorders>
            <w:hideMark/>
          </w:tcPr>
          <w:p w:rsidR="00912D04" w:rsidRPr="00EB22CF" w:rsidP="00CC0B29" w14:paraId="64BAE93D" w14:textId="153FC090">
            <w:pPr>
              <w:spacing w:after="0" w:line="240" w:lineRule="auto"/>
              <w:rPr>
                <w:rFonts w:ascii="Times New Roman" w:hAnsi="Times New Roman" w:cs="Times New Roman"/>
              </w:rPr>
            </w:pPr>
            <w:r w:rsidRPr="00EB22CF">
              <w:rPr>
                <w:rFonts w:ascii="Times New Roman" w:hAnsi="Times New Roman" w:cs="Times New Roman"/>
              </w:rPr>
              <w:t xml:space="preserve"> </w:t>
            </w:r>
            <w:r w:rsidR="00300E17">
              <w:rPr>
                <w:rFonts w:ascii="Times New Roman" w:hAnsi="Times New Roman" w:cs="Times New Roman"/>
              </w:rPr>
              <w:t>7</w:t>
            </w:r>
            <w:r w:rsidRPr="00EB22CF" w:rsidR="00D1725B">
              <w:rPr>
                <w:rFonts w:ascii="Times New Roman" w:hAnsi="Times New Roman" w:cs="Times New Roman"/>
              </w:rPr>
              <w:t>, 2</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7192B461" w14:textId="6EC27AD6">
            <w:pPr>
              <w:spacing w:after="0" w:line="240" w:lineRule="auto"/>
              <w:rPr>
                <w:rFonts w:ascii="Times New Roman" w:hAnsi="Times New Roman" w:cs="Times New Roman"/>
              </w:rPr>
            </w:pPr>
            <w:r w:rsidRPr="00EB22CF">
              <w:rPr>
                <w:rFonts w:ascii="Times New Roman" w:hAnsi="Times New Roman" w:cs="Times New Roman"/>
              </w:rPr>
              <w:t>Pre-notification letter from BJS with CPO Overview (mail)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241EEAAC" w14:textId="77777777">
            <w:pPr>
              <w:spacing w:after="0" w:line="240" w:lineRule="auto"/>
              <w:rPr>
                <w:rFonts w:ascii="Times New Roman" w:hAnsi="Times New Roman" w:cs="Times New Roman"/>
              </w:rPr>
            </w:pPr>
            <w:r w:rsidRPr="00EB22CF">
              <w:rPr>
                <w:rFonts w:ascii="Times New Roman" w:hAnsi="Times New Roman" w:cs="Times New Roman"/>
              </w:rPr>
              <w:t>1 week before data collection begins</w:t>
            </w:r>
          </w:p>
        </w:tc>
        <w:tc>
          <w:tcPr>
            <w:tcW w:w="4319" w:type="dxa"/>
            <w:tcBorders>
              <w:top w:val="single" w:sz="12" w:space="0" w:color="auto"/>
              <w:left w:val="single" w:sz="12" w:space="0" w:color="auto"/>
              <w:bottom w:val="single" w:sz="12" w:space="0" w:color="auto"/>
              <w:right w:val="single" w:sz="12" w:space="0" w:color="auto"/>
            </w:tcBorders>
            <w:hideMark/>
          </w:tcPr>
          <w:p w:rsidR="00912D04" w:rsidRPr="00EB22CF" w:rsidP="00CC0B29" w14:paraId="511D7EA8" w14:textId="77777777">
            <w:pPr>
              <w:spacing w:after="0" w:line="240" w:lineRule="auto"/>
              <w:rPr>
                <w:rFonts w:ascii="Times New Roman" w:hAnsi="Times New Roman" w:cs="Times New Roman"/>
              </w:rPr>
            </w:pPr>
            <w:r w:rsidRPr="00EB22CF">
              <w:rPr>
                <w:rFonts w:ascii="Times New Roman" w:hAnsi="Times New Roman" w:cs="Times New Roman"/>
              </w:rPr>
              <w:t>Send to all offices via USPS</w:t>
            </w:r>
          </w:p>
        </w:tc>
      </w:tr>
      <w:tr w14:paraId="10716B57"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16F06317" w14:textId="77777777">
            <w:pPr>
              <w:spacing w:after="0" w:line="240" w:lineRule="auto"/>
              <w:rPr>
                <w:rFonts w:ascii="Times New Roman" w:hAnsi="Times New Roman" w:cs="Times New Roman"/>
              </w:rPr>
            </w:pPr>
            <w:r w:rsidRPr="00EB22CF">
              <w:rPr>
                <w:rFonts w:ascii="Times New Roman" w:hAnsi="Times New Roman" w:cs="Times New Roman"/>
              </w:rPr>
              <w:t>2</w:t>
            </w:r>
          </w:p>
        </w:tc>
        <w:tc>
          <w:tcPr>
            <w:tcW w:w="1260" w:type="dxa"/>
            <w:tcBorders>
              <w:top w:val="single" w:sz="12" w:space="0" w:color="auto"/>
              <w:left w:val="single" w:sz="12" w:space="0" w:color="auto"/>
              <w:bottom w:val="single" w:sz="12" w:space="0" w:color="auto"/>
              <w:right w:val="single" w:sz="12" w:space="0" w:color="auto"/>
            </w:tcBorders>
            <w:hideMark/>
          </w:tcPr>
          <w:p w:rsidR="00912D04" w:rsidRPr="00EB22CF" w:rsidP="00CC0B29" w14:paraId="1F161EC8" w14:textId="0F5246E6">
            <w:pPr>
              <w:spacing w:after="0" w:line="240" w:lineRule="auto"/>
              <w:rPr>
                <w:rFonts w:ascii="Times New Roman" w:hAnsi="Times New Roman" w:cs="Times New Roman"/>
              </w:rPr>
            </w:pPr>
            <w:r>
              <w:rPr>
                <w:rFonts w:ascii="Times New Roman" w:hAnsi="Times New Roman" w:cs="Times New Roman"/>
              </w:rPr>
              <w:t>8</w:t>
            </w:r>
            <w:r w:rsidRPr="00EB22CF" w:rsidR="0094268F">
              <w:rPr>
                <w:rFonts w:ascii="Times New Roman" w:hAnsi="Times New Roman" w:cs="Times New Roman"/>
              </w:rPr>
              <w:t xml:space="preserve">, </w:t>
            </w:r>
            <w:r>
              <w:rPr>
                <w:rFonts w:ascii="Times New Roman" w:hAnsi="Times New Roman" w:cs="Times New Roman"/>
              </w:rPr>
              <w:t>9</w:t>
            </w:r>
            <w:r w:rsidRPr="00EB22CF" w:rsidR="00654C20">
              <w:rPr>
                <w:rFonts w:ascii="Times New Roman" w:hAnsi="Times New Roman" w:cs="Times New Roman"/>
              </w:rPr>
              <w:t xml:space="preserve">, </w:t>
            </w:r>
            <w:r w:rsidRPr="00EB22CF" w:rsidR="0094268F">
              <w:rPr>
                <w:rFonts w:ascii="Times New Roman" w:hAnsi="Times New Roman" w:cs="Times New Roman"/>
              </w:rPr>
              <w:t>1, 2</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2EA7A5B1" w14:textId="10CA4C77">
            <w:pPr>
              <w:spacing w:after="0" w:line="240" w:lineRule="auto"/>
              <w:rPr>
                <w:rFonts w:ascii="Times New Roman" w:hAnsi="Times New Roman" w:cs="Times New Roman"/>
              </w:rPr>
            </w:pPr>
            <w:r w:rsidRPr="00EB22CF">
              <w:rPr>
                <w:rFonts w:ascii="Times New Roman" w:hAnsi="Times New Roman" w:cs="Times New Roman"/>
              </w:rPr>
              <w:t>Invitation letter with the survey link</w:t>
            </w:r>
            <w:r w:rsidRPr="00EB22CF" w:rsidR="0094268F">
              <w:rPr>
                <w:rFonts w:ascii="Times New Roman" w:hAnsi="Times New Roman" w:cs="Times New Roman"/>
              </w:rPr>
              <w:t xml:space="preserve">, </w:t>
            </w:r>
            <w:r w:rsidR="00CF2833">
              <w:rPr>
                <w:rFonts w:ascii="Times New Roman" w:hAnsi="Times New Roman" w:cs="Times New Roman"/>
              </w:rPr>
              <w:t xml:space="preserve">APA </w:t>
            </w:r>
            <w:r w:rsidRPr="00EB22CF" w:rsidR="00654C20">
              <w:rPr>
                <w:rFonts w:ascii="Times New Roman" w:hAnsi="Times New Roman" w:cs="Times New Roman"/>
              </w:rPr>
              <w:t xml:space="preserve">endorsement letter, </w:t>
            </w:r>
            <w:r w:rsidRPr="00EB22CF" w:rsidR="0094268F">
              <w:rPr>
                <w:rFonts w:ascii="Times New Roman" w:hAnsi="Times New Roman" w:cs="Times New Roman"/>
              </w:rPr>
              <w:t xml:space="preserve">hardcopy survey, and CPO Overview </w:t>
            </w:r>
            <w:r w:rsidRPr="00EB22CF">
              <w:rPr>
                <w:rFonts w:ascii="Times New Roman" w:hAnsi="Times New Roman" w:cs="Times New Roman"/>
              </w:rPr>
              <w:t>(email)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708C3244" w14:textId="77777777">
            <w:pPr>
              <w:spacing w:after="0" w:line="240" w:lineRule="auto"/>
              <w:rPr>
                <w:rFonts w:ascii="Times New Roman" w:hAnsi="Times New Roman" w:cs="Times New Roman"/>
              </w:rPr>
            </w:pPr>
            <w:r w:rsidRPr="00EB22CF">
              <w:rPr>
                <w:rFonts w:ascii="Times New Roman" w:hAnsi="Times New Roman" w:cs="Times New Roman"/>
              </w:rPr>
              <w:t>Start of data collection</w:t>
            </w:r>
          </w:p>
        </w:tc>
        <w:tc>
          <w:tcPr>
            <w:tcW w:w="4319" w:type="dxa"/>
            <w:tcBorders>
              <w:top w:val="single" w:sz="12" w:space="0" w:color="auto"/>
              <w:left w:val="single" w:sz="12" w:space="0" w:color="auto"/>
              <w:bottom w:val="single" w:sz="12" w:space="0" w:color="auto"/>
              <w:right w:val="single" w:sz="12" w:space="0" w:color="auto"/>
            </w:tcBorders>
            <w:hideMark/>
          </w:tcPr>
          <w:p w:rsidR="00912D04" w:rsidRPr="00EB22CF" w:rsidP="00CC0B29" w14:paraId="4D715908" w14:textId="77777777">
            <w:pPr>
              <w:spacing w:after="0" w:line="240" w:lineRule="auto"/>
              <w:rPr>
                <w:rFonts w:ascii="Times New Roman" w:hAnsi="Times New Roman" w:cs="Times New Roman"/>
              </w:rPr>
            </w:pPr>
            <w:r w:rsidRPr="00EB22CF">
              <w:rPr>
                <w:rFonts w:ascii="Times New Roman" w:hAnsi="Times New Roman" w:cs="Times New Roman"/>
              </w:rPr>
              <w:t xml:space="preserve">Send to all offices via email </w:t>
            </w:r>
          </w:p>
        </w:tc>
      </w:tr>
      <w:tr w14:paraId="6FA3314A"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F2833" w:rsidRPr="00EB22CF" w:rsidP="00CC0B29" w14:paraId="2990900F" w14:textId="12157205">
            <w:pPr>
              <w:spacing w:after="0" w:line="240" w:lineRule="auto"/>
              <w:rPr>
                <w:rFonts w:ascii="Times New Roman" w:hAnsi="Times New Roman" w:cs="Times New Roman"/>
              </w:rPr>
            </w:pPr>
            <w:r>
              <w:rPr>
                <w:rFonts w:ascii="Times New Roman" w:hAnsi="Times New Roman" w:cs="Times New Roman"/>
              </w:rPr>
              <w:t>3</w:t>
            </w:r>
          </w:p>
        </w:tc>
        <w:tc>
          <w:tcPr>
            <w:tcW w:w="1260" w:type="dxa"/>
            <w:tcBorders>
              <w:top w:val="single" w:sz="12" w:space="0" w:color="auto"/>
              <w:left w:val="single" w:sz="12" w:space="0" w:color="auto"/>
              <w:bottom w:val="single" w:sz="12" w:space="0" w:color="auto"/>
              <w:right w:val="single" w:sz="12" w:space="0" w:color="auto"/>
            </w:tcBorders>
          </w:tcPr>
          <w:p w:rsidR="00CF2833" w:rsidP="00CC0B29" w14:paraId="29F34639" w14:textId="1BDBAE0D">
            <w:pPr>
              <w:spacing w:after="0" w:line="240" w:lineRule="auto"/>
              <w:rPr>
                <w:rFonts w:ascii="Times New Roman" w:hAnsi="Times New Roman" w:cs="Times New Roman"/>
              </w:rPr>
            </w:pPr>
            <w:r>
              <w:rPr>
                <w:rFonts w:ascii="Times New Roman" w:hAnsi="Times New Roman" w:cs="Times New Roman"/>
              </w:rPr>
              <w:t>10, 11</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F2833" w:rsidRPr="00EB22CF" w:rsidP="00CC0B29" w14:paraId="74D9CA14" w14:textId="2187E180">
            <w:pPr>
              <w:spacing w:after="0" w:line="240" w:lineRule="auto"/>
              <w:rPr>
                <w:rFonts w:ascii="Times New Roman" w:hAnsi="Times New Roman" w:cs="Times New Roman"/>
              </w:rPr>
            </w:pPr>
            <w:r>
              <w:rPr>
                <w:rFonts w:ascii="Times New Roman" w:hAnsi="Times New Roman" w:cs="Times New Roman"/>
              </w:rPr>
              <w:t xml:space="preserve">Webinar outline, webinar invitation </w:t>
            </w:r>
            <w:r w:rsidR="00CF00E7">
              <w:rPr>
                <w:rFonts w:ascii="Times New Roman" w:hAnsi="Times New Roman" w:cs="Times New Roman"/>
              </w:rPr>
              <w:t>email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CF2833" w:rsidRPr="00EB22CF" w:rsidP="00CC0B29" w14:paraId="622A4525" w14:textId="2E2E8655">
            <w:pPr>
              <w:spacing w:after="0" w:line="240" w:lineRule="auto"/>
              <w:rPr>
                <w:rFonts w:ascii="Times New Roman" w:hAnsi="Times New Roman" w:cs="Times New Roman"/>
              </w:rPr>
            </w:pPr>
            <w:r>
              <w:rPr>
                <w:rFonts w:ascii="Times New Roman" w:hAnsi="Times New Roman" w:cs="Times New Roman"/>
              </w:rPr>
              <w:t>1 week after data collection</w:t>
            </w:r>
          </w:p>
        </w:tc>
        <w:tc>
          <w:tcPr>
            <w:tcW w:w="4319" w:type="dxa"/>
            <w:tcBorders>
              <w:top w:val="single" w:sz="12" w:space="0" w:color="auto"/>
              <w:left w:val="single" w:sz="12" w:space="0" w:color="auto"/>
              <w:bottom w:val="single" w:sz="12" w:space="0" w:color="auto"/>
              <w:right w:val="single" w:sz="12" w:space="0" w:color="auto"/>
            </w:tcBorders>
          </w:tcPr>
          <w:p w:rsidR="00CF2833" w:rsidRPr="00EB22CF" w:rsidP="00CC0B29" w14:paraId="0AAB7B3B" w14:textId="74260AF4">
            <w:pPr>
              <w:spacing w:after="0" w:line="240" w:lineRule="auto"/>
              <w:rPr>
                <w:rFonts w:ascii="Times New Roman" w:hAnsi="Times New Roman" w:cs="Times New Roman"/>
              </w:rPr>
            </w:pPr>
            <w:r w:rsidRPr="00EB22CF">
              <w:rPr>
                <w:rFonts w:ascii="Times New Roman" w:hAnsi="Times New Roman" w:cs="Times New Roman"/>
              </w:rPr>
              <w:t>Send to all offices via email</w:t>
            </w:r>
          </w:p>
        </w:tc>
      </w:tr>
      <w:tr w14:paraId="756FE4DE" w14:textId="77777777" w:rsidTr="00EB22CF">
        <w:tblPrEx>
          <w:tblW w:w="12945" w:type="dxa"/>
          <w:tblLayout w:type="fixed"/>
          <w:tblCellMar>
            <w:left w:w="0" w:type="dxa"/>
            <w:right w:w="0" w:type="dxa"/>
          </w:tblCellMar>
          <w:tblLook w:val="04A0"/>
        </w:tblPrEx>
        <w:trPr>
          <w:trHeight w:val="235"/>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2EC3590C" w14:textId="77777777">
            <w:pPr>
              <w:spacing w:after="0" w:line="240" w:lineRule="auto"/>
              <w:rPr>
                <w:rFonts w:ascii="Times New Roman" w:hAnsi="Times New Roman" w:cs="Times New Roman"/>
              </w:rPr>
            </w:pPr>
            <w:r w:rsidRPr="00EB22CF">
              <w:rPr>
                <w:rFonts w:ascii="Times New Roman" w:hAnsi="Times New Roman" w:cs="Times New Roman"/>
              </w:rPr>
              <w:t>4</w:t>
            </w:r>
          </w:p>
        </w:tc>
        <w:tc>
          <w:tcPr>
            <w:tcW w:w="1260" w:type="dxa"/>
            <w:tcBorders>
              <w:top w:val="single" w:sz="12" w:space="0" w:color="auto"/>
              <w:left w:val="single" w:sz="12" w:space="0" w:color="auto"/>
              <w:bottom w:val="single" w:sz="12" w:space="0" w:color="auto"/>
              <w:right w:val="single" w:sz="12" w:space="0" w:color="auto"/>
            </w:tcBorders>
            <w:hideMark/>
          </w:tcPr>
          <w:p w:rsidR="00912D04" w:rsidRPr="00EB22CF" w:rsidP="00CC0B29" w14:paraId="173BFF66" w14:textId="671B75E0">
            <w:pPr>
              <w:spacing w:after="0" w:line="240" w:lineRule="auto"/>
              <w:rPr>
                <w:rFonts w:ascii="Times New Roman" w:hAnsi="Times New Roman" w:cs="Times New Roman"/>
              </w:rPr>
            </w:pPr>
            <w:r>
              <w:rPr>
                <w:rFonts w:ascii="Times New Roman" w:hAnsi="Times New Roman" w:cs="Times New Roman"/>
              </w:rPr>
              <w:t>12</w:t>
            </w:r>
            <w:r w:rsidRPr="00EB22CF">
              <w:rPr>
                <w:rFonts w:ascii="Times New Roman" w:hAnsi="Times New Roman" w:cs="Times New Roman"/>
              </w:rPr>
              <w:t>a</w:t>
            </w:r>
            <w:r w:rsidRPr="00EB22CF">
              <w:rPr>
                <w:rFonts w:ascii="Times New Roman" w:hAnsi="Times New Roman" w:cs="Times New Roman"/>
              </w:rPr>
              <w:t xml:space="preserve">, </w:t>
            </w:r>
            <w:r>
              <w:rPr>
                <w:rFonts w:ascii="Times New Roman" w:hAnsi="Times New Roman" w:cs="Times New Roman"/>
              </w:rPr>
              <w:t>12</w:t>
            </w:r>
            <w:r w:rsidRPr="00EB22CF">
              <w:rPr>
                <w:rFonts w:ascii="Times New Roman" w:hAnsi="Times New Roman" w:cs="Times New Roman"/>
              </w:rPr>
              <w:t>b</w:t>
            </w:r>
            <w:r w:rsidRPr="00EB22CF">
              <w:rPr>
                <w:rFonts w:ascii="Times New Roman" w:hAnsi="Times New Roman" w:cs="Times New Roman"/>
              </w:rPr>
              <w:t xml:space="preserve">, </w:t>
            </w:r>
            <w:r>
              <w:rPr>
                <w:rFonts w:ascii="Times New Roman" w:hAnsi="Times New Roman" w:cs="Times New Roman"/>
              </w:rPr>
              <w:t>12</w:t>
            </w:r>
            <w:r w:rsidRPr="00EB22CF">
              <w:rPr>
                <w:rFonts w:ascii="Times New Roman" w:hAnsi="Times New Roman" w:cs="Times New Roman"/>
              </w:rPr>
              <w:t>c</w:t>
            </w:r>
            <w:r w:rsidRPr="00EB22CF">
              <w:rPr>
                <w:rFonts w:ascii="Times New Roman" w:hAnsi="Times New Roman" w:cs="Times New Roman"/>
              </w:rPr>
              <w:t xml:space="preserve">, </w:t>
            </w:r>
            <w:r>
              <w:rPr>
                <w:rFonts w:ascii="Times New Roman" w:hAnsi="Times New Roman" w:cs="Times New Roman"/>
              </w:rPr>
              <w:t>12</w:t>
            </w:r>
            <w:r w:rsidRPr="00EB22CF">
              <w:rPr>
                <w:rFonts w:ascii="Times New Roman" w:hAnsi="Times New Roman" w:cs="Times New Roman"/>
              </w:rPr>
              <w:t>d</w:t>
            </w:r>
            <w:r w:rsidRPr="00EB22CF">
              <w:rPr>
                <w:rFonts w:ascii="Times New Roman" w:hAnsi="Times New Roman" w:cs="Times New Roman"/>
              </w:rPr>
              <w:t xml:space="preserve">, </w:t>
            </w:r>
            <w:r>
              <w:rPr>
                <w:rFonts w:ascii="Times New Roman" w:hAnsi="Times New Roman" w:cs="Times New Roman"/>
              </w:rPr>
              <w:t>12</w:t>
            </w:r>
            <w:r w:rsidRPr="00EB22CF">
              <w:rPr>
                <w:rFonts w:ascii="Times New Roman" w:hAnsi="Times New Roman" w:cs="Times New Roman"/>
              </w:rPr>
              <w:t>e</w:t>
            </w:r>
            <w:r w:rsidRPr="00EB22CF" w:rsidR="005319F1">
              <w:rPr>
                <w:rFonts w:ascii="Times New Roman" w:hAnsi="Times New Roman" w:cs="Times New Roman"/>
              </w:rPr>
              <w:t>; 1</w:t>
            </w:r>
            <w:r w:rsidR="00300E17">
              <w:rPr>
                <w:rFonts w:ascii="Times New Roman" w:hAnsi="Times New Roman" w:cs="Times New Roman"/>
              </w:rPr>
              <w:t>,</w:t>
            </w:r>
            <w:r w:rsidRPr="00EB22CF" w:rsidR="00300E17">
              <w:rPr>
                <w:rFonts w:ascii="Times New Roman" w:hAnsi="Times New Roman" w:cs="Times New Roman"/>
              </w:rPr>
              <w:t xml:space="preserve"> </w:t>
            </w:r>
            <w:r w:rsidRPr="00EB22CF" w:rsidR="005319F1">
              <w:rPr>
                <w:rFonts w:ascii="Times New Roman" w:hAnsi="Times New Roman" w:cs="Times New Roman"/>
              </w:rPr>
              <w:t>2</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73C19DF4" w14:textId="5C6C4FE9">
            <w:pPr>
              <w:spacing w:after="0" w:line="240" w:lineRule="auto"/>
              <w:rPr>
                <w:rFonts w:ascii="Times New Roman" w:hAnsi="Times New Roman" w:cs="Times New Roman"/>
              </w:rPr>
            </w:pPr>
            <w:r w:rsidRPr="00EB22CF">
              <w:rPr>
                <w:rFonts w:ascii="Times New Roman" w:hAnsi="Times New Roman" w:cs="Times New Roman"/>
              </w:rPr>
              <w:t>R</w:t>
            </w:r>
            <w:r w:rsidRPr="00EB22CF" w:rsidR="005319F1">
              <w:rPr>
                <w:rFonts w:ascii="Times New Roman" w:hAnsi="Times New Roman" w:cs="Times New Roman"/>
              </w:rPr>
              <w:t>otating r</w:t>
            </w:r>
            <w:r w:rsidRPr="00EB22CF">
              <w:rPr>
                <w:rFonts w:ascii="Times New Roman" w:hAnsi="Times New Roman" w:cs="Times New Roman"/>
              </w:rPr>
              <w:t>eminder message</w:t>
            </w:r>
            <w:r w:rsidRPr="00EB22CF" w:rsidR="005319F1">
              <w:rPr>
                <w:rFonts w:ascii="Times New Roman" w:hAnsi="Times New Roman" w:cs="Times New Roman"/>
              </w:rPr>
              <w:t>s</w:t>
            </w:r>
            <w:r w:rsidRPr="00EB22CF">
              <w:rPr>
                <w:rFonts w:ascii="Times New Roman" w:hAnsi="Times New Roman" w:cs="Times New Roman"/>
              </w:rPr>
              <w:t xml:space="preserve"> from Urban and BJS (email)</w:t>
            </w:r>
            <w:r w:rsidRPr="00EB22CF" w:rsidR="005319F1">
              <w:rPr>
                <w:rFonts w:ascii="Times New Roman" w:hAnsi="Times New Roman" w:cs="Times New Roman"/>
              </w:rPr>
              <w:t>, CPO Overview, some with hardcopy of survey</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12D04" w:rsidRPr="00EB22CF" w:rsidP="00CC0B29" w14:paraId="65D598CB" w14:textId="10C21BAF">
            <w:pPr>
              <w:spacing w:after="0" w:line="240" w:lineRule="auto"/>
              <w:rPr>
                <w:rFonts w:ascii="Times New Roman" w:hAnsi="Times New Roman" w:cs="Times New Roman"/>
              </w:rPr>
            </w:pPr>
            <w:r w:rsidRPr="00EB22CF">
              <w:rPr>
                <w:rFonts w:ascii="Times New Roman" w:hAnsi="Times New Roman" w:cs="Times New Roman"/>
              </w:rPr>
              <w:t>2 weeks after data collection begins and then once per week until week 36</w:t>
            </w:r>
          </w:p>
        </w:tc>
        <w:tc>
          <w:tcPr>
            <w:tcW w:w="4319" w:type="dxa"/>
            <w:tcBorders>
              <w:top w:val="single" w:sz="12" w:space="0" w:color="auto"/>
              <w:left w:val="single" w:sz="12" w:space="0" w:color="auto"/>
              <w:bottom w:val="single" w:sz="12" w:space="0" w:color="auto"/>
              <w:right w:val="single" w:sz="12" w:space="0" w:color="auto"/>
            </w:tcBorders>
            <w:hideMark/>
          </w:tcPr>
          <w:p w:rsidR="00912D04" w:rsidRPr="00EB22CF" w:rsidP="00CC0B29" w14:paraId="4E538707" w14:textId="77777777">
            <w:pPr>
              <w:spacing w:after="0" w:line="240" w:lineRule="auto"/>
              <w:rPr>
                <w:rFonts w:ascii="Times New Roman" w:hAnsi="Times New Roman" w:cs="Times New Roman"/>
              </w:rPr>
            </w:pPr>
            <w:r w:rsidRPr="00EB22CF">
              <w:rPr>
                <w:rFonts w:ascii="Times New Roman" w:hAnsi="Times New Roman" w:cs="Times New Roman"/>
              </w:rPr>
              <w:t>Send to non-responding offices via email</w:t>
            </w:r>
          </w:p>
        </w:tc>
      </w:tr>
      <w:tr w14:paraId="6FA12FE9" w14:textId="77777777" w:rsidTr="00EB22CF">
        <w:tblPrEx>
          <w:tblW w:w="12945" w:type="dxa"/>
          <w:tblLayout w:type="fixed"/>
          <w:tblCellMar>
            <w:left w:w="0" w:type="dxa"/>
            <w:right w:w="0" w:type="dxa"/>
          </w:tblCellMar>
          <w:tblLook w:val="04A0"/>
        </w:tblPrEx>
        <w:trPr>
          <w:trHeight w:val="231"/>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B35DA" w:rsidRPr="00EB22CF" w:rsidP="009B35DA" w14:paraId="37EFEA2F" w14:textId="38125849">
            <w:pPr>
              <w:spacing w:after="0" w:line="240" w:lineRule="auto"/>
              <w:rPr>
                <w:rFonts w:ascii="Times New Roman" w:hAnsi="Times New Roman" w:cs="Times New Roman"/>
              </w:rPr>
            </w:pPr>
            <w:r>
              <w:rPr>
                <w:rFonts w:ascii="Times New Roman" w:hAnsi="Times New Roman" w:cs="Times New Roman"/>
              </w:rPr>
              <w:t>6</w:t>
            </w:r>
          </w:p>
        </w:tc>
        <w:tc>
          <w:tcPr>
            <w:tcW w:w="1260" w:type="dxa"/>
            <w:tcBorders>
              <w:top w:val="single" w:sz="12" w:space="0" w:color="auto"/>
              <w:left w:val="single" w:sz="12" w:space="0" w:color="auto"/>
              <w:bottom w:val="single" w:sz="12" w:space="0" w:color="auto"/>
              <w:right w:val="single" w:sz="12" w:space="0" w:color="auto"/>
            </w:tcBorders>
          </w:tcPr>
          <w:p w:rsidR="009B35DA" w:rsidRPr="00EB22CF" w:rsidP="009B35DA" w14:paraId="09F7CD5E" w14:textId="32D1BE81">
            <w:pPr>
              <w:spacing w:after="0" w:line="240" w:lineRule="auto"/>
              <w:rPr>
                <w:rFonts w:ascii="Times New Roman" w:hAnsi="Times New Roman" w:cs="Times New Roman"/>
              </w:rPr>
            </w:pPr>
            <w:r>
              <w:rPr>
                <w:rFonts w:ascii="Times New Roman" w:hAnsi="Times New Roman" w:cs="Times New Roman"/>
              </w:rPr>
              <w:t>13</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75E82" w:rsidRPr="00975E82" w:rsidP="00975E82" w14:paraId="690173CE" w14:textId="77777777">
            <w:pPr>
              <w:spacing w:after="0" w:line="240" w:lineRule="auto"/>
              <w:rPr>
                <w:rFonts w:ascii="Times New Roman" w:hAnsi="Times New Roman" w:cs="Times New Roman"/>
                <w:iCs/>
              </w:rPr>
            </w:pPr>
            <w:r w:rsidRPr="00975E82">
              <w:rPr>
                <w:rFonts w:ascii="Times New Roman" w:hAnsi="Times New Roman" w:cs="Times New Roman"/>
                <w:iCs/>
              </w:rPr>
              <w:t>State prosecutor associations’ endorsement letter</w:t>
            </w:r>
          </w:p>
          <w:p w:rsidR="009B35DA" w:rsidRPr="00EB22CF" w:rsidP="009B35DA" w14:paraId="028E3CC9" w14:textId="0ECCFC8D">
            <w:pPr>
              <w:spacing w:after="0" w:line="240" w:lineRule="auto"/>
              <w:rPr>
                <w:rFonts w:ascii="Times New Roman" w:hAnsi="Times New Roman" w:cs="Times New Roman"/>
              </w:rPr>
            </w:pP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B35DA" w:rsidRPr="00EB22CF" w:rsidP="009B35DA" w14:paraId="25BE8FE3" w14:textId="0EB800FD">
            <w:pPr>
              <w:spacing w:after="0" w:line="24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weeks after data collection</w:t>
            </w:r>
          </w:p>
        </w:tc>
        <w:tc>
          <w:tcPr>
            <w:tcW w:w="4319" w:type="dxa"/>
            <w:tcBorders>
              <w:top w:val="single" w:sz="12" w:space="0" w:color="auto"/>
              <w:left w:val="single" w:sz="12" w:space="0" w:color="auto"/>
              <w:bottom w:val="single" w:sz="12" w:space="0" w:color="auto"/>
              <w:right w:val="single" w:sz="12" w:space="0" w:color="auto"/>
            </w:tcBorders>
          </w:tcPr>
          <w:p w:rsidR="009B35DA" w:rsidRPr="00EB22CF" w:rsidP="009B35DA" w14:paraId="1AA2B908" w14:textId="53658C71">
            <w:pPr>
              <w:spacing w:after="0" w:line="240" w:lineRule="auto"/>
              <w:rPr>
                <w:rFonts w:ascii="Times New Roman" w:hAnsi="Times New Roman" w:cs="Times New Roman"/>
              </w:rPr>
            </w:pPr>
            <w:r w:rsidRPr="00EB22CF">
              <w:rPr>
                <w:rFonts w:ascii="Times New Roman" w:hAnsi="Times New Roman" w:cs="Times New Roman"/>
              </w:rPr>
              <w:t>Send to non-responding offices via email</w:t>
            </w:r>
          </w:p>
        </w:tc>
      </w:tr>
      <w:tr w14:paraId="53E59843" w14:textId="77777777" w:rsidTr="00EB22CF">
        <w:tblPrEx>
          <w:tblW w:w="12945" w:type="dxa"/>
          <w:tblLayout w:type="fixed"/>
          <w:tblCellMar>
            <w:left w:w="0" w:type="dxa"/>
            <w:right w:w="0" w:type="dxa"/>
          </w:tblCellMar>
          <w:tblLook w:val="04A0"/>
        </w:tblPrEx>
        <w:trPr>
          <w:trHeight w:val="231"/>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60AC03DF" w14:textId="2385FD00">
            <w:pPr>
              <w:spacing w:after="0" w:line="240" w:lineRule="auto"/>
              <w:rPr>
                <w:rFonts w:ascii="Times New Roman" w:hAnsi="Times New Roman" w:cs="Times New Roman"/>
              </w:rPr>
            </w:pPr>
            <w:r>
              <w:rPr>
                <w:rFonts w:ascii="Times New Roman" w:hAnsi="Times New Roman" w:cs="Times New Roman"/>
              </w:rPr>
              <w:t>7</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421D5927" w14:textId="67054690">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4</w:t>
            </w:r>
            <w:r w:rsidRPr="00EB22CF">
              <w:rPr>
                <w:rFonts w:ascii="Times New Roman" w:hAnsi="Times New Roman" w:cs="Times New Roman"/>
              </w:rPr>
              <w:t>, 1</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7AF21085" w14:textId="77777777">
            <w:pPr>
              <w:spacing w:after="0" w:line="240" w:lineRule="auto"/>
              <w:rPr>
                <w:rFonts w:ascii="Times New Roman" w:hAnsi="Times New Roman" w:cs="Times New Roman"/>
              </w:rPr>
            </w:pPr>
            <w:r w:rsidRPr="00EB22CF">
              <w:rPr>
                <w:rFonts w:ascii="Times New Roman" w:hAnsi="Times New Roman" w:cs="Times New Roman"/>
              </w:rPr>
              <w:t xml:space="preserve">Reminder letter and hardcopy survey (mail) </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3370B8FA" w14:textId="3A5F9A24">
            <w:pPr>
              <w:spacing w:after="0" w:line="240" w:lineRule="auto"/>
              <w:rPr>
                <w:rFonts w:ascii="Times New Roman" w:hAnsi="Times New Roman" w:cs="Times New Roman"/>
              </w:rPr>
            </w:pPr>
            <w:r w:rsidRPr="00EB22CF">
              <w:rPr>
                <w:rFonts w:ascii="Times New Roman" w:hAnsi="Times New Roman" w:cs="Times New Roman"/>
              </w:rPr>
              <w:t>4 weeks after data collection begins (one time mailing)</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06750FA3" w14:textId="77777777">
            <w:pPr>
              <w:spacing w:after="0" w:line="240" w:lineRule="auto"/>
              <w:rPr>
                <w:rFonts w:ascii="Times New Roman" w:hAnsi="Times New Roman" w:cs="Times New Roman"/>
              </w:rPr>
            </w:pPr>
            <w:r w:rsidRPr="00EB22CF">
              <w:rPr>
                <w:rFonts w:ascii="Times New Roman" w:hAnsi="Times New Roman" w:cs="Times New Roman"/>
              </w:rPr>
              <w:t>Send to non-responding offices via USPS mail</w:t>
            </w:r>
          </w:p>
        </w:tc>
      </w:tr>
      <w:tr w14:paraId="00250E08"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2A0F1716" w14:textId="5070FE18">
            <w:pPr>
              <w:spacing w:after="0" w:line="240" w:lineRule="auto"/>
              <w:rPr>
                <w:rFonts w:ascii="Times New Roman" w:hAnsi="Times New Roman" w:cs="Times New Roman"/>
              </w:rPr>
            </w:pPr>
            <w:r>
              <w:rPr>
                <w:rFonts w:ascii="Times New Roman" w:hAnsi="Times New Roman" w:cs="Times New Roman"/>
              </w:rPr>
              <w:t>8</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1FF56B2E" w14:textId="77AC92F6">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5</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251D826E" w14:textId="7DCAA042">
            <w:pPr>
              <w:spacing w:after="0" w:line="240" w:lineRule="auto"/>
              <w:rPr>
                <w:rFonts w:ascii="Times New Roman" w:hAnsi="Times New Roman" w:cs="Times New Roman"/>
              </w:rPr>
            </w:pPr>
            <w:r w:rsidRPr="00EB22CF">
              <w:rPr>
                <w:rFonts w:ascii="Times New Roman" w:hAnsi="Times New Roman" w:cs="Times New Roman"/>
              </w:rPr>
              <w:t>Reminder calls from Urban (telephone)</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78216AB5" w14:textId="5D32C9BB">
            <w:pPr>
              <w:spacing w:after="0" w:line="240" w:lineRule="auto"/>
              <w:rPr>
                <w:rFonts w:ascii="Times New Roman" w:hAnsi="Times New Roman" w:cs="Times New Roman"/>
              </w:rPr>
            </w:pPr>
            <w:r w:rsidRPr="00EB22CF">
              <w:rPr>
                <w:rFonts w:ascii="Times New Roman" w:hAnsi="Times New Roman" w:cs="Times New Roman"/>
              </w:rPr>
              <w:t xml:space="preserve">8 weeks after data collection begins and every 3 weeks until 2nd set of reminder calls start 17 weeks after data collection begins </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35079D29" w14:textId="77777777">
            <w:pPr>
              <w:spacing w:after="0" w:line="240" w:lineRule="auto"/>
              <w:rPr>
                <w:rFonts w:ascii="Times New Roman" w:hAnsi="Times New Roman" w:cs="Times New Roman"/>
              </w:rPr>
            </w:pPr>
            <w:r w:rsidRPr="00EB22CF">
              <w:rPr>
                <w:rFonts w:ascii="Times New Roman" w:hAnsi="Times New Roman" w:cs="Times New Roman"/>
              </w:rPr>
              <w:t>Call non-responding offices</w:t>
            </w:r>
          </w:p>
        </w:tc>
      </w:tr>
      <w:tr w14:paraId="7670BD82"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2897FE1B" w14:textId="328EEC37">
            <w:pPr>
              <w:spacing w:after="0" w:line="240" w:lineRule="auto"/>
              <w:rPr>
                <w:rFonts w:ascii="Times New Roman" w:hAnsi="Times New Roman" w:cs="Times New Roman"/>
              </w:rPr>
            </w:pPr>
            <w:r>
              <w:rPr>
                <w:rFonts w:ascii="Times New Roman" w:hAnsi="Times New Roman" w:cs="Times New Roman"/>
              </w:rPr>
              <w:t>9</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69FC2A4C" w14:textId="5DFDAD99">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6</w:t>
            </w:r>
            <w:r w:rsidRPr="00EB22CF">
              <w:rPr>
                <w:rFonts w:ascii="Times New Roman" w:hAnsi="Times New Roman" w:cs="Times New Roman"/>
              </w:rPr>
              <w:t>, 1</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09EFA1B2" w14:textId="77777777">
            <w:pPr>
              <w:spacing w:after="0" w:line="240" w:lineRule="auto"/>
              <w:rPr>
                <w:rFonts w:ascii="Times New Roman" w:hAnsi="Times New Roman" w:cs="Times New Roman"/>
              </w:rPr>
            </w:pPr>
            <w:r w:rsidRPr="00EB22CF">
              <w:rPr>
                <w:rFonts w:ascii="Times New Roman" w:hAnsi="Times New Roman" w:cs="Times New Roman"/>
              </w:rPr>
              <w:t xml:space="preserve">Reminder letter from BJS and hardcopy survey (mail) </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491AD559" w14:textId="77777777">
            <w:pPr>
              <w:spacing w:after="0" w:line="240" w:lineRule="auto"/>
              <w:rPr>
                <w:rFonts w:ascii="Times New Roman" w:hAnsi="Times New Roman" w:cs="Times New Roman"/>
              </w:rPr>
            </w:pPr>
            <w:r w:rsidRPr="00EB22CF">
              <w:rPr>
                <w:rFonts w:ascii="Times New Roman" w:hAnsi="Times New Roman" w:cs="Times New Roman"/>
              </w:rPr>
              <w:t>12 weeks after data collection begins</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25778D34" w14:textId="77777777">
            <w:pPr>
              <w:spacing w:after="0" w:line="240" w:lineRule="auto"/>
              <w:rPr>
                <w:rFonts w:ascii="Times New Roman" w:hAnsi="Times New Roman" w:cs="Times New Roman"/>
              </w:rPr>
            </w:pPr>
            <w:r w:rsidRPr="00EB22CF">
              <w:rPr>
                <w:rFonts w:ascii="Times New Roman" w:hAnsi="Times New Roman" w:cs="Times New Roman"/>
              </w:rPr>
              <w:t>Send to non-responding offices via USPS mail</w:t>
            </w:r>
          </w:p>
        </w:tc>
      </w:tr>
      <w:tr w14:paraId="6A4CDD17"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5E231837" w14:textId="67F9A7E9">
            <w:pPr>
              <w:spacing w:after="0" w:line="240" w:lineRule="auto"/>
              <w:rPr>
                <w:rFonts w:ascii="Times New Roman" w:hAnsi="Times New Roman" w:cs="Times New Roman"/>
              </w:rPr>
            </w:pPr>
            <w:r>
              <w:rPr>
                <w:rFonts w:ascii="Times New Roman" w:hAnsi="Times New Roman" w:cs="Times New Roman"/>
              </w:rPr>
              <w:t>10</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0364D6B8" w14:textId="24589ABD">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7</w:t>
            </w:r>
            <w:r w:rsidRPr="00EB22CF">
              <w:rPr>
                <w:rFonts w:ascii="Times New Roman" w:hAnsi="Times New Roman" w:cs="Times New Roman"/>
              </w:rPr>
              <w:t>, 1</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4E8DF110" w14:textId="4E342A5F">
            <w:pPr>
              <w:spacing w:after="0" w:line="240" w:lineRule="auto"/>
              <w:rPr>
                <w:rFonts w:ascii="Times New Roman" w:hAnsi="Times New Roman" w:cs="Times New Roman"/>
              </w:rPr>
            </w:pPr>
            <w:r w:rsidRPr="00EB22CF">
              <w:rPr>
                <w:rFonts w:ascii="Times New Roman" w:hAnsi="Times New Roman" w:cs="Times New Roman"/>
              </w:rPr>
              <w:t>Reminder from Urban (mail)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3665D0B3" w14:textId="29542E54">
            <w:pPr>
              <w:spacing w:after="0" w:line="240" w:lineRule="auto"/>
              <w:rPr>
                <w:rFonts w:ascii="Times New Roman" w:hAnsi="Times New Roman" w:cs="Times New Roman"/>
              </w:rPr>
            </w:pPr>
            <w:r w:rsidRPr="00EB22CF">
              <w:rPr>
                <w:rFonts w:ascii="Times New Roman" w:hAnsi="Times New Roman" w:cs="Times New Roman"/>
              </w:rPr>
              <w:t>16 weeks after data collection begins (one time mailing)</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7B042D5A" w14:textId="77777777">
            <w:pPr>
              <w:spacing w:after="0" w:line="240" w:lineRule="auto"/>
              <w:rPr>
                <w:rFonts w:ascii="Times New Roman" w:hAnsi="Times New Roman" w:cs="Times New Roman"/>
              </w:rPr>
            </w:pPr>
            <w:r w:rsidRPr="00EB22CF">
              <w:rPr>
                <w:rFonts w:ascii="Times New Roman" w:hAnsi="Times New Roman" w:cs="Times New Roman"/>
              </w:rPr>
              <w:t>Send to non-responding offices via USPS mail</w:t>
            </w:r>
          </w:p>
        </w:tc>
      </w:tr>
      <w:tr w14:paraId="42118755"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21CA9DE3" w14:textId="7635120F">
            <w:pPr>
              <w:spacing w:after="0" w:line="240" w:lineRule="auto"/>
              <w:rPr>
                <w:rFonts w:ascii="Times New Roman" w:hAnsi="Times New Roman" w:cs="Times New Roman"/>
              </w:rPr>
            </w:pPr>
            <w:r>
              <w:rPr>
                <w:rFonts w:ascii="Times New Roman" w:hAnsi="Times New Roman" w:cs="Times New Roman"/>
              </w:rPr>
              <w:t>11</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7517E1D5" w14:textId="1CE55587">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8</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303F9673" w14:textId="1EAD3C86">
            <w:pPr>
              <w:spacing w:after="0" w:line="240" w:lineRule="auto"/>
              <w:rPr>
                <w:rFonts w:ascii="Times New Roman" w:hAnsi="Times New Roman" w:cs="Times New Roman"/>
              </w:rPr>
            </w:pPr>
            <w:r w:rsidRPr="00EB22CF">
              <w:rPr>
                <w:rFonts w:ascii="Times New Roman" w:hAnsi="Times New Roman" w:cs="Times New Roman"/>
              </w:rPr>
              <w:t>Reminder calls from Urban (telephone)</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127B8D2D" w14:textId="01F55FBE">
            <w:pPr>
              <w:spacing w:after="0" w:line="240" w:lineRule="auto"/>
              <w:rPr>
                <w:rFonts w:ascii="Times New Roman" w:hAnsi="Times New Roman" w:cs="Times New Roman"/>
              </w:rPr>
            </w:pPr>
            <w:r w:rsidRPr="00EB22CF">
              <w:rPr>
                <w:rFonts w:ascii="Times New Roman" w:hAnsi="Times New Roman" w:cs="Times New Roman"/>
              </w:rPr>
              <w:t>17 weeks after data collection begins and every 2 weeks until data collection closes</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28E3B132" w14:textId="77777777">
            <w:pPr>
              <w:spacing w:after="0" w:line="240" w:lineRule="auto"/>
              <w:rPr>
                <w:rFonts w:ascii="Times New Roman" w:hAnsi="Times New Roman" w:cs="Times New Roman"/>
              </w:rPr>
            </w:pPr>
            <w:r w:rsidRPr="00EB22CF">
              <w:rPr>
                <w:rFonts w:ascii="Times New Roman" w:hAnsi="Times New Roman" w:cs="Times New Roman"/>
              </w:rPr>
              <w:t>Call non-responding offices</w:t>
            </w:r>
          </w:p>
        </w:tc>
      </w:tr>
      <w:tr w14:paraId="448E87F0" w14:textId="77777777" w:rsidTr="00EB22CF">
        <w:tblPrEx>
          <w:tblW w:w="12945" w:type="dxa"/>
          <w:tblLayout w:type="fixed"/>
          <w:tblCellMar>
            <w:left w:w="0" w:type="dxa"/>
            <w:right w:w="0" w:type="dxa"/>
          </w:tblCellMar>
          <w:tblLook w:val="04A0"/>
        </w:tblPrEx>
        <w:trPr>
          <w:trHeight w:val="409"/>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35819C40" w14:textId="250ED285">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2</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48540AF5" w14:textId="05E638EE">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9</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5B352C53" w14:textId="77777777">
            <w:pPr>
              <w:spacing w:after="0" w:line="240" w:lineRule="auto"/>
              <w:rPr>
                <w:rFonts w:ascii="Times New Roman" w:hAnsi="Times New Roman" w:cs="Times New Roman"/>
              </w:rPr>
            </w:pPr>
            <w:r w:rsidRPr="00EB22CF">
              <w:rPr>
                <w:rFonts w:ascii="Times New Roman" w:hAnsi="Times New Roman" w:cs="Times New Roman"/>
              </w:rPr>
              <w:t>Last chance communication postcard from BJS</w:t>
            </w:r>
          </w:p>
          <w:p w:rsidR="009B35DA" w:rsidRPr="00EB22CF" w:rsidP="009B35DA" w14:paraId="21F24565" w14:textId="77777777">
            <w:pPr>
              <w:spacing w:after="0" w:line="240" w:lineRule="auto"/>
              <w:rPr>
                <w:rFonts w:ascii="Times New Roman" w:hAnsi="Times New Roman" w:cs="Times New Roman"/>
              </w:rPr>
            </w:pPr>
            <w:r w:rsidRPr="00EB22CF">
              <w:rPr>
                <w:rFonts w:ascii="Times New Roman" w:hAnsi="Times New Roman" w:cs="Times New Roman"/>
              </w:rPr>
              <w:t>(mail)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665CF3FA" w14:textId="77777777">
            <w:pPr>
              <w:spacing w:after="0" w:line="240" w:lineRule="auto"/>
              <w:rPr>
                <w:rFonts w:ascii="Times New Roman" w:hAnsi="Times New Roman" w:cs="Times New Roman"/>
              </w:rPr>
            </w:pPr>
            <w:r w:rsidRPr="00EB22CF">
              <w:rPr>
                <w:rFonts w:ascii="Times New Roman" w:hAnsi="Times New Roman" w:cs="Times New Roman"/>
              </w:rPr>
              <w:t>20 weeks after data collection begins and 4 weeks before data collection closes</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1708B82E" w14:textId="77777777">
            <w:pPr>
              <w:spacing w:after="0" w:line="240" w:lineRule="auto"/>
              <w:rPr>
                <w:rFonts w:ascii="Times New Roman" w:hAnsi="Times New Roman" w:cs="Times New Roman"/>
              </w:rPr>
            </w:pPr>
            <w:r w:rsidRPr="00EB22CF">
              <w:rPr>
                <w:rFonts w:ascii="Times New Roman" w:hAnsi="Times New Roman" w:cs="Times New Roman"/>
              </w:rPr>
              <w:t xml:space="preserve">Send to non-responding offices via USPS mail </w:t>
            </w:r>
          </w:p>
        </w:tc>
      </w:tr>
      <w:tr w14:paraId="0A84EDE6" w14:textId="77777777" w:rsidTr="00EB22CF">
        <w:tblPrEx>
          <w:tblW w:w="12945" w:type="dxa"/>
          <w:tblLayout w:type="fixed"/>
          <w:tblCellMar>
            <w:left w:w="0" w:type="dxa"/>
            <w:right w:w="0" w:type="dxa"/>
          </w:tblCellMar>
          <w:tblLook w:val="04A0"/>
        </w:tblPrEx>
        <w:trPr>
          <w:trHeight w:val="240"/>
        </w:trPr>
        <w:tc>
          <w:tcPr>
            <w:tcW w:w="115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2B01EA1D" w14:textId="6C22B94E">
            <w:pPr>
              <w:spacing w:after="0" w:line="240" w:lineRule="auto"/>
              <w:rPr>
                <w:rFonts w:ascii="Times New Roman" w:hAnsi="Times New Roman" w:cs="Times New Roman"/>
              </w:rPr>
            </w:pPr>
            <w:r w:rsidRPr="00EB22CF">
              <w:rPr>
                <w:rFonts w:ascii="Times New Roman" w:hAnsi="Times New Roman" w:cs="Times New Roman"/>
              </w:rPr>
              <w:t>1</w:t>
            </w:r>
            <w:r>
              <w:rPr>
                <w:rFonts w:ascii="Times New Roman" w:hAnsi="Times New Roman" w:cs="Times New Roman"/>
              </w:rPr>
              <w:t>3</w:t>
            </w:r>
          </w:p>
        </w:tc>
        <w:tc>
          <w:tcPr>
            <w:tcW w:w="1260" w:type="dxa"/>
            <w:tcBorders>
              <w:top w:val="single" w:sz="12" w:space="0" w:color="auto"/>
              <w:left w:val="single" w:sz="12" w:space="0" w:color="auto"/>
              <w:bottom w:val="single" w:sz="12" w:space="0" w:color="auto"/>
              <w:right w:val="single" w:sz="12" w:space="0" w:color="auto"/>
            </w:tcBorders>
            <w:hideMark/>
          </w:tcPr>
          <w:p w:rsidR="009B35DA" w:rsidRPr="00EB22CF" w:rsidP="009B35DA" w14:paraId="037F31E8" w14:textId="2DD83378">
            <w:pPr>
              <w:spacing w:after="0" w:line="240" w:lineRule="auto"/>
              <w:rPr>
                <w:rFonts w:ascii="Times New Roman" w:hAnsi="Times New Roman" w:cs="Times New Roman"/>
              </w:rPr>
            </w:pPr>
            <w:r>
              <w:rPr>
                <w:rFonts w:ascii="Times New Roman" w:hAnsi="Times New Roman" w:cs="Times New Roman"/>
              </w:rPr>
              <w:t>20</w:t>
            </w:r>
          </w:p>
        </w:tc>
        <w:tc>
          <w:tcPr>
            <w:tcW w:w="298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41AA3CD1" w14:textId="77777777">
            <w:pPr>
              <w:spacing w:after="0" w:line="240" w:lineRule="auto"/>
              <w:rPr>
                <w:rFonts w:ascii="Times New Roman" w:hAnsi="Times New Roman" w:cs="Times New Roman"/>
              </w:rPr>
            </w:pPr>
            <w:r w:rsidRPr="00EB22CF">
              <w:rPr>
                <w:rFonts w:ascii="Times New Roman" w:hAnsi="Times New Roman" w:cs="Times New Roman"/>
              </w:rPr>
              <w:t>Thank you letter (email)</w:t>
            </w:r>
          </w:p>
        </w:tc>
        <w:tc>
          <w:tcPr>
            <w:tcW w:w="322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9B35DA" w:rsidRPr="00EB22CF" w:rsidP="009B35DA" w14:paraId="3AEBE5DC" w14:textId="77777777">
            <w:pPr>
              <w:spacing w:after="0" w:line="240" w:lineRule="auto"/>
              <w:rPr>
                <w:rFonts w:ascii="Times New Roman" w:hAnsi="Times New Roman" w:cs="Times New Roman"/>
              </w:rPr>
            </w:pPr>
            <w:r w:rsidRPr="00EB22CF">
              <w:rPr>
                <w:rFonts w:ascii="Times New Roman" w:hAnsi="Times New Roman" w:cs="Times New Roman"/>
              </w:rPr>
              <w:t>Upon survey completion</w:t>
            </w:r>
          </w:p>
        </w:tc>
        <w:tc>
          <w:tcPr>
            <w:tcW w:w="4319" w:type="dxa"/>
            <w:tcBorders>
              <w:top w:val="single" w:sz="12" w:space="0" w:color="auto"/>
              <w:left w:val="single" w:sz="12" w:space="0" w:color="auto"/>
              <w:bottom w:val="single" w:sz="12" w:space="0" w:color="auto"/>
              <w:right w:val="single" w:sz="12" w:space="0" w:color="auto"/>
            </w:tcBorders>
            <w:hideMark/>
          </w:tcPr>
          <w:p w:rsidR="009B35DA" w:rsidRPr="00EB22CF" w:rsidP="009B35DA" w14:paraId="06DDEACA" w14:textId="77777777">
            <w:pPr>
              <w:spacing w:after="0" w:line="240" w:lineRule="auto"/>
              <w:rPr>
                <w:rFonts w:ascii="Times New Roman" w:hAnsi="Times New Roman" w:cs="Times New Roman"/>
              </w:rPr>
            </w:pPr>
            <w:r w:rsidRPr="00EB22CF">
              <w:rPr>
                <w:rFonts w:ascii="Times New Roman" w:hAnsi="Times New Roman" w:cs="Times New Roman"/>
              </w:rPr>
              <w:t>Send to each office as they complete the survey</w:t>
            </w:r>
          </w:p>
        </w:tc>
      </w:tr>
    </w:tbl>
    <w:p w:rsidR="00C50D7E" w:rsidP="00A80F31" w14:paraId="37361059" w14:textId="77777777">
      <w:pPr>
        <w:spacing w:after="0" w:line="240" w:lineRule="auto"/>
        <w:rPr>
          <w:rFonts w:ascii="Times New Roman" w:hAnsi="Times New Roman" w:cs="Times New Roman"/>
          <w:sz w:val="24"/>
          <w:szCs w:val="24"/>
        </w:rPr>
        <w:sectPr w:rsidSect="00C50D7E">
          <w:pgSz w:w="15840" w:h="12240" w:orient="landscape"/>
          <w:pgMar w:top="1440" w:right="1440" w:bottom="1440" w:left="1440" w:header="720" w:footer="720" w:gutter="0"/>
          <w:cols w:space="720"/>
          <w:docGrid w:linePitch="360"/>
        </w:sectPr>
      </w:pPr>
    </w:p>
    <w:p w:rsidR="00912D04" w:rsidRPr="00611B68" w:rsidP="00611B68" w14:paraId="10B73EE5" w14:textId="4D80B72F">
      <w:pPr>
        <w:contextualSpacing/>
        <w:rPr>
          <w:rFonts w:ascii="Times New Roman" w:eastAsia="Times New Roman" w:hAnsi="Times New Roman" w:cs="Times New Roman"/>
          <w:iCs/>
          <w:sz w:val="24"/>
          <w:szCs w:val="24"/>
        </w:rPr>
      </w:pPr>
      <w:r w:rsidRPr="120FF7D8">
        <w:rPr>
          <w:rFonts w:ascii="Times New Roman" w:hAnsi="Times New Roman" w:cs="Times New Roman"/>
          <w:sz w:val="24"/>
          <w:szCs w:val="24"/>
        </w:rPr>
        <w:t xml:space="preserve">Data collection will begin with a BJS pre-notification letter </w:t>
      </w:r>
      <w:r w:rsidRPr="120FF7D8">
        <w:rPr>
          <w:rFonts w:ascii="Times New Roman" w:hAnsi="Times New Roman" w:cs="Times New Roman"/>
          <w:color w:val="000000" w:themeColor="text1"/>
          <w:sz w:val="24"/>
          <w:szCs w:val="24"/>
        </w:rPr>
        <w:t>signed by the BJS Acting Director</w:t>
      </w:r>
      <w:r w:rsidRPr="120FF7D8">
        <w:rPr>
          <w:rFonts w:ascii="Times New Roman" w:hAnsi="Times New Roman" w:cs="Times New Roman"/>
          <w:sz w:val="24"/>
          <w:szCs w:val="24"/>
        </w:rPr>
        <w:t xml:space="preserve"> </w:t>
      </w:r>
      <w:r w:rsidR="00A87D9C">
        <w:rPr>
          <w:rFonts w:ascii="Times New Roman" w:hAnsi="Times New Roman" w:cs="Times New Roman"/>
          <w:sz w:val="24"/>
          <w:szCs w:val="24"/>
        </w:rPr>
        <w:t xml:space="preserve">on BJS letterhead </w:t>
      </w:r>
      <w:r w:rsidR="0047038F">
        <w:rPr>
          <w:rFonts w:ascii="Times New Roman" w:hAnsi="Times New Roman" w:cs="Times New Roman"/>
          <w:sz w:val="24"/>
          <w:szCs w:val="24"/>
        </w:rPr>
        <w:t xml:space="preserve">and </w:t>
      </w:r>
      <w:r w:rsidRPr="120FF7D8">
        <w:rPr>
          <w:rFonts w:ascii="Times New Roman" w:hAnsi="Times New Roman" w:cs="Times New Roman"/>
          <w:sz w:val="24"/>
          <w:szCs w:val="24"/>
        </w:rPr>
        <w:t>mailed via USPS to each prosecutor office (</w:t>
      </w:r>
      <w:r w:rsidRPr="120FF7D8">
        <w:rPr>
          <w:rFonts w:ascii="Times New Roman" w:hAnsi="Times New Roman" w:cs="Times New Roman"/>
          <w:b/>
          <w:bCs/>
          <w:sz w:val="24"/>
          <w:szCs w:val="24"/>
        </w:rPr>
        <w:t xml:space="preserve">Attachment </w:t>
      </w:r>
      <w:r w:rsidR="00A90F19">
        <w:rPr>
          <w:rFonts w:ascii="Times New Roman" w:hAnsi="Times New Roman" w:cs="Times New Roman"/>
          <w:b/>
          <w:bCs/>
          <w:sz w:val="24"/>
          <w:szCs w:val="24"/>
        </w:rPr>
        <w:t>7</w:t>
      </w:r>
      <w:r w:rsidRPr="120FF7D8">
        <w:rPr>
          <w:rFonts w:ascii="Times New Roman" w:hAnsi="Times New Roman" w:cs="Times New Roman"/>
          <w:b/>
          <w:bCs/>
          <w:sz w:val="24"/>
          <w:szCs w:val="24"/>
        </w:rPr>
        <w:t>)</w:t>
      </w:r>
      <w:r w:rsidRPr="120FF7D8">
        <w:rPr>
          <w:rFonts w:ascii="Times New Roman" w:hAnsi="Times New Roman" w:cs="Times New Roman"/>
          <w:sz w:val="24"/>
          <w:szCs w:val="24"/>
        </w:rPr>
        <w:t xml:space="preserve">. </w:t>
      </w:r>
      <w:r w:rsidRPr="120FF7D8">
        <w:rPr>
          <w:rFonts w:ascii="Times New Roman" w:hAnsi="Times New Roman" w:cs="Times New Roman"/>
          <w:color w:val="000000" w:themeColor="text1"/>
          <w:sz w:val="24"/>
          <w:szCs w:val="24"/>
        </w:rPr>
        <w:t xml:space="preserve">The letter will inform each office of the upcoming </w:t>
      </w:r>
      <w:r w:rsidR="009457E3">
        <w:rPr>
          <w:rFonts w:ascii="Times New Roman" w:hAnsi="Times New Roman" w:cs="Times New Roman"/>
          <w:color w:val="000000" w:themeColor="text1"/>
          <w:sz w:val="24"/>
          <w:szCs w:val="24"/>
        </w:rPr>
        <w:t>2025 CPO</w:t>
      </w:r>
      <w:r w:rsidRPr="120FF7D8">
        <w:rPr>
          <w:rFonts w:ascii="Times New Roman" w:hAnsi="Times New Roman" w:cs="Times New Roman"/>
          <w:color w:val="000000" w:themeColor="text1"/>
          <w:sz w:val="24"/>
          <w:szCs w:val="24"/>
        </w:rPr>
        <w:t xml:space="preserve"> data collection, the reason for the collection, importance of the data to the prosecutor community, and contact information for any questions the office may have. </w:t>
      </w:r>
      <w:bookmarkStart w:id="1" w:name="_Hlk164954484"/>
      <w:r w:rsidRPr="120FF7D8">
        <w:rPr>
          <w:rFonts w:ascii="Times New Roman" w:hAnsi="Times New Roman" w:cs="Times New Roman"/>
          <w:sz w:val="24"/>
          <w:szCs w:val="24"/>
        </w:rPr>
        <w:t xml:space="preserve">One week after the pre-notification letter is sent, the project team will email the formal invitation letter and unique </w:t>
      </w:r>
      <w:r w:rsidRPr="120FF7D8">
        <w:rPr>
          <w:rFonts w:ascii="Times New Roman" w:hAnsi="Times New Roman" w:cs="Times New Roman"/>
          <w:color w:val="000000" w:themeColor="text1"/>
          <w:sz w:val="24"/>
          <w:szCs w:val="24"/>
        </w:rPr>
        <w:t xml:space="preserve">survey link </w:t>
      </w:r>
      <w:r w:rsidRPr="120FF7D8">
        <w:rPr>
          <w:rFonts w:ascii="Times New Roman" w:hAnsi="Times New Roman" w:cs="Times New Roman"/>
          <w:sz w:val="24"/>
          <w:szCs w:val="24"/>
        </w:rPr>
        <w:t xml:space="preserve">to each office </w:t>
      </w:r>
      <w:r w:rsidRPr="120FF7D8">
        <w:rPr>
          <w:rFonts w:ascii="Times New Roman" w:hAnsi="Times New Roman" w:cs="Times New Roman"/>
          <w:b/>
          <w:bCs/>
          <w:sz w:val="24"/>
          <w:szCs w:val="24"/>
        </w:rPr>
        <w:t xml:space="preserve">(Attachment </w:t>
      </w:r>
      <w:r w:rsidR="00A90F19">
        <w:rPr>
          <w:rFonts w:ascii="Times New Roman" w:hAnsi="Times New Roman" w:cs="Times New Roman"/>
          <w:b/>
          <w:bCs/>
          <w:sz w:val="24"/>
          <w:szCs w:val="24"/>
        </w:rPr>
        <w:t>8</w:t>
      </w:r>
      <w:r w:rsidRPr="120FF7D8">
        <w:rPr>
          <w:rFonts w:ascii="Times New Roman" w:hAnsi="Times New Roman" w:cs="Times New Roman"/>
          <w:b/>
          <w:bCs/>
          <w:sz w:val="24"/>
          <w:szCs w:val="24"/>
        </w:rPr>
        <w:t>)</w:t>
      </w:r>
      <w:bookmarkEnd w:id="1"/>
      <w:r w:rsidRPr="120FF7D8">
        <w:rPr>
          <w:rFonts w:ascii="Times New Roman" w:hAnsi="Times New Roman" w:cs="Times New Roman"/>
          <w:b/>
          <w:bCs/>
          <w:sz w:val="24"/>
          <w:szCs w:val="24"/>
        </w:rPr>
        <w:t>.</w:t>
      </w:r>
      <w:r w:rsidRPr="120FF7D8">
        <w:rPr>
          <w:rFonts w:ascii="Times New Roman" w:hAnsi="Times New Roman" w:cs="Times New Roman"/>
          <w:sz w:val="24"/>
          <w:szCs w:val="24"/>
        </w:rPr>
        <w:t xml:space="preserve"> </w:t>
      </w:r>
      <w:r w:rsidR="00610068">
        <w:rPr>
          <w:rFonts w:ascii="Times New Roman" w:hAnsi="Times New Roman" w:cs="Times New Roman"/>
          <w:sz w:val="24"/>
          <w:szCs w:val="24"/>
        </w:rPr>
        <w:t xml:space="preserve">Additionally, an endorsement letter signed by </w:t>
      </w:r>
      <w:r w:rsidR="0085042A">
        <w:rPr>
          <w:rFonts w:ascii="Times New Roman" w:hAnsi="Times New Roman" w:cs="Times New Roman"/>
          <w:sz w:val="24"/>
          <w:szCs w:val="24"/>
        </w:rPr>
        <w:t xml:space="preserve">the Association of Prosecuting Attorneys </w:t>
      </w:r>
      <w:r w:rsidR="00610068">
        <w:rPr>
          <w:rFonts w:ascii="Times New Roman" w:hAnsi="Times New Roman" w:cs="Times New Roman"/>
          <w:sz w:val="24"/>
          <w:szCs w:val="24"/>
        </w:rPr>
        <w:t xml:space="preserve">will be attached </w:t>
      </w:r>
      <w:r w:rsidRPr="00EB22CF" w:rsidR="00610068">
        <w:rPr>
          <w:rFonts w:ascii="Times New Roman" w:hAnsi="Times New Roman" w:cs="Times New Roman"/>
          <w:b/>
          <w:bCs/>
          <w:sz w:val="24"/>
          <w:szCs w:val="24"/>
        </w:rPr>
        <w:t xml:space="preserve">(Attachment </w:t>
      </w:r>
      <w:r w:rsidR="00A90F19">
        <w:rPr>
          <w:rFonts w:ascii="Times New Roman" w:hAnsi="Times New Roman" w:cs="Times New Roman"/>
          <w:b/>
          <w:bCs/>
          <w:sz w:val="24"/>
          <w:szCs w:val="24"/>
        </w:rPr>
        <w:t>9</w:t>
      </w:r>
      <w:r w:rsidRPr="00EB22CF" w:rsidR="00610068">
        <w:rPr>
          <w:rFonts w:ascii="Times New Roman" w:hAnsi="Times New Roman" w:cs="Times New Roman"/>
          <w:b/>
          <w:bCs/>
          <w:sz w:val="24"/>
          <w:szCs w:val="24"/>
        </w:rPr>
        <w:t>)</w:t>
      </w:r>
      <w:r w:rsidR="00610068">
        <w:rPr>
          <w:rFonts w:ascii="Times New Roman" w:hAnsi="Times New Roman" w:cs="Times New Roman"/>
          <w:sz w:val="24"/>
          <w:szCs w:val="24"/>
        </w:rPr>
        <w:t xml:space="preserve">. </w:t>
      </w:r>
      <w:r w:rsidR="00476998">
        <w:rPr>
          <w:rFonts w:ascii="Times New Roman" w:hAnsi="Times New Roman" w:cs="Times New Roman"/>
          <w:sz w:val="24"/>
          <w:szCs w:val="24"/>
        </w:rPr>
        <w:t xml:space="preserve">One week after data collection begins, the CPO team will host </w:t>
      </w:r>
      <w:r w:rsidR="006E3164">
        <w:rPr>
          <w:rFonts w:ascii="Times New Roman" w:hAnsi="Times New Roman" w:cs="Times New Roman"/>
          <w:sz w:val="24"/>
          <w:szCs w:val="24"/>
        </w:rPr>
        <w:t>a 1-hour long webinar that will explain the 2025 CPO to potential respondents (</w:t>
      </w:r>
      <w:r w:rsidRPr="00611B68" w:rsidR="006E3164">
        <w:rPr>
          <w:rFonts w:ascii="Times New Roman" w:hAnsi="Times New Roman" w:cs="Times New Roman"/>
          <w:b/>
          <w:bCs/>
          <w:sz w:val="24"/>
          <w:szCs w:val="24"/>
        </w:rPr>
        <w:t>Attachment 10</w:t>
      </w:r>
      <w:r w:rsidR="006E3164">
        <w:rPr>
          <w:rFonts w:ascii="Times New Roman" w:hAnsi="Times New Roman" w:cs="Times New Roman"/>
          <w:sz w:val="24"/>
          <w:szCs w:val="24"/>
        </w:rPr>
        <w:t>).</w:t>
      </w:r>
      <w:r w:rsidR="00476998">
        <w:rPr>
          <w:rFonts w:ascii="Times New Roman" w:hAnsi="Times New Roman" w:cs="Times New Roman"/>
          <w:sz w:val="24"/>
          <w:szCs w:val="24"/>
        </w:rPr>
        <w:t xml:space="preserve"> </w:t>
      </w:r>
      <w:r w:rsidR="003B5125">
        <w:rPr>
          <w:rFonts w:ascii="Times New Roman" w:hAnsi="Times New Roman" w:cs="Times New Roman"/>
          <w:sz w:val="24"/>
          <w:szCs w:val="24"/>
        </w:rPr>
        <w:t xml:space="preserve">Urban will </w:t>
      </w:r>
      <w:r w:rsidR="00BE220D">
        <w:rPr>
          <w:rFonts w:ascii="Times New Roman" w:hAnsi="Times New Roman" w:cs="Times New Roman"/>
          <w:sz w:val="24"/>
          <w:szCs w:val="24"/>
        </w:rPr>
        <w:t xml:space="preserve">send an </w:t>
      </w:r>
      <w:r w:rsidR="003B5125">
        <w:rPr>
          <w:rFonts w:ascii="Times New Roman" w:hAnsi="Times New Roman" w:cs="Times New Roman"/>
          <w:sz w:val="24"/>
          <w:szCs w:val="24"/>
        </w:rPr>
        <w:t>email inviting all prosecutor offices to attend (</w:t>
      </w:r>
      <w:r w:rsidRPr="00611B68" w:rsidR="003B5125">
        <w:rPr>
          <w:rFonts w:ascii="Times New Roman" w:hAnsi="Times New Roman" w:cs="Times New Roman"/>
          <w:b/>
          <w:bCs/>
          <w:sz w:val="24"/>
          <w:szCs w:val="24"/>
        </w:rPr>
        <w:t>Attachment 11</w:t>
      </w:r>
      <w:r w:rsidR="003B5125">
        <w:rPr>
          <w:rFonts w:ascii="Times New Roman" w:hAnsi="Times New Roman" w:cs="Times New Roman"/>
          <w:sz w:val="24"/>
          <w:szCs w:val="24"/>
        </w:rPr>
        <w:t xml:space="preserve">). </w:t>
      </w:r>
      <w:r>
        <w:rPr>
          <w:rFonts w:ascii="Times New Roman" w:hAnsi="Times New Roman" w:cs="Times New Roman"/>
          <w:sz w:val="24"/>
          <w:szCs w:val="24"/>
        </w:rPr>
        <w:t xml:space="preserve">Two weeks after data collection begins, weekly email reminders will be sent to non-responding offices </w:t>
      </w:r>
      <w:r w:rsidR="003A6502">
        <w:rPr>
          <w:rFonts w:ascii="Times New Roman" w:hAnsi="Times New Roman" w:cs="Times New Roman"/>
          <w:sz w:val="24"/>
          <w:szCs w:val="24"/>
        </w:rPr>
        <w:t>(</w:t>
      </w:r>
      <w:r>
        <w:rPr>
          <w:rFonts w:ascii="Times New Roman" w:hAnsi="Times New Roman" w:cs="Times New Roman"/>
          <w:b/>
          <w:bCs/>
          <w:sz w:val="24"/>
          <w:szCs w:val="24"/>
        </w:rPr>
        <w:t xml:space="preserve">Attachments </w:t>
      </w:r>
      <w:r w:rsidR="001912A9">
        <w:rPr>
          <w:rFonts w:ascii="Times New Roman" w:hAnsi="Times New Roman" w:cs="Times New Roman"/>
          <w:b/>
          <w:bCs/>
          <w:sz w:val="24"/>
          <w:szCs w:val="24"/>
        </w:rPr>
        <w:t>12a</w:t>
      </w:r>
      <w:r w:rsidR="003B18E0">
        <w:rPr>
          <w:rFonts w:ascii="Times New Roman" w:hAnsi="Times New Roman" w:cs="Times New Roman"/>
          <w:b/>
          <w:bCs/>
          <w:sz w:val="24"/>
          <w:szCs w:val="24"/>
        </w:rPr>
        <w:t>-</w:t>
      </w:r>
      <w:r w:rsidR="001912A9">
        <w:rPr>
          <w:rFonts w:ascii="Times New Roman" w:hAnsi="Times New Roman" w:cs="Times New Roman"/>
          <w:b/>
          <w:bCs/>
          <w:sz w:val="24"/>
          <w:szCs w:val="24"/>
        </w:rPr>
        <w:t>12e</w:t>
      </w:r>
      <w:r>
        <w:rPr>
          <w:rFonts w:ascii="Times New Roman" w:hAnsi="Times New Roman" w:cs="Times New Roman"/>
          <w:b/>
          <w:bCs/>
          <w:sz w:val="24"/>
          <w:szCs w:val="24"/>
        </w:rPr>
        <w:t>)</w:t>
      </w:r>
      <w:r>
        <w:rPr>
          <w:rFonts w:ascii="Times New Roman" w:hAnsi="Times New Roman" w:cs="Times New Roman"/>
          <w:sz w:val="24"/>
          <w:szCs w:val="24"/>
        </w:rPr>
        <w:t xml:space="preserve">. </w:t>
      </w:r>
      <w:r w:rsidR="002D418B">
        <w:rPr>
          <w:rFonts w:ascii="Times New Roman" w:hAnsi="Times New Roman" w:cs="Times New Roman"/>
          <w:sz w:val="24"/>
          <w:szCs w:val="24"/>
        </w:rPr>
        <w:t>Emailed reminders will be paused when another mode of outreach is planned (e.g., in week 4, the project team will mail a reminder letter and hardcopy survey and not send the email reminder).</w:t>
      </w:r>
      <w:r w:rsidR="0067775C">
        <w:rPr>
          <w:rFonts w:ascii="Times New Roman" w:hAnsi="Times New Roman" w:cs="Times New Roman"/>
          <w:sz w:val="24"/>
          <w:szCs w:val="24"/>
        </w:rPr>
        <w:t xml:space="preserve"> An additional endorsement letter signed by </w:t>
      </w:r>
      <w:r w:rsidR="00BE220D">
        <w:rPr>
          <w:rFonts w:ascii="Times New Roman" w:eastAsia="Times New Roman" w:hAnsi="Times New Roman" w:cs="Times New Roman"/>
          <w:iCs/>
          <w:sz w:val="24"/>
          <w:szCs w:val="24"/>
        </w:rPr>
        <w:t>s</w:t>
      </w:r>
      <w:r w:rsidRPr="00975E82" w:rsidR="00975E82">
        <w:rPr>
          <w:rFonts w:ascii="Times New Roman" w:eastAsia="Times New Roman" w:hAnsi="Times New Roman" w:cs="Times New Roman"/>
          <w:iCs/>
          <w:sz w:val="24"/>
          <w:szCs w:val="24"/>
        </w:rPr>
        <w:t>tate prosecutor associations</w:t>
      </w:r>
      <w:r w:rsidR="00BE220D">
        <w:rPr>
          <w:rFonts w:ascii="Times New Roman" w:eastAsia="Times New Roman" w:hAnsi="Times New Roman" w:cs="Times New Roman"/>
          <w:iCs/>
          <w:sz w:val="24"/>
          <w:szCs w:val="24"/>
        </w:rPr>
        <w:t xml:space="preserve"> </w:t>
      </w:r>
      <w:r w:rsidR="0067775C">
        <w:rPr>
          <w:rFonts w:ascii="Times New Roman" w:hAnsi="Times New Roman" w:cs="Times New Roman"/>
          <w:sz w:val="24"/>
          <w:szCs w:val="24"/>
        </w:rPr>
        <w:t xml:space="preserve">will be attached to the </w:t>
      </w:r>
      <w:r w:rsidR="002D6526">
        <w:rPr>
          <w:rFonts w:ascii="Times New Roman" w:hAnsi="Times New Roman" w:cs="Times New Roman"/>
          <w:sz w:val="24"/>
          <w:szCs w:val="24"/>
        </w:rPr>
        <w:t xml:space="preserve">second </w:t>
      </w:r>
      <w:r w:rsidR="0067775C">
        <w:rPr>
          <w:rFonts w:ascii="Times New Roman" w:hAnsi="Times New Roman" w:cs="Times New Roman"/>
          <w:sz w:val="24"/>
          <w:szCs w:val="24"/>
        </w:rPr>
        <w:t xml:space="preserve">reminder email </w:t>
      </w:r>
      <w:r w:rsidR="00BE220D">
        <w:rPr>
          <w:rFonts w:ascii="Times New Roman" w:hAnsi="Times New Roman" w:cs="Times New Roman"/>
          <w:sz w:val="24"/>
          <w:szCs w:val="24"/>
        </w:rPr>
        <w:t xml:space="preserve">and sent to offices located in states with a state prosecutor association </w:t>
      </w:r>
      <w:r w:rsidR="0067775C">
        <w:rPr>
          <w:rFonts w:ascii="Times New Roman" w:hAnsi="Times New Roman" w:cs="Times New Roman"/>
          <w:sz w:val="24"/>
          <w:szCs w:val="24"/>
        </w:rPr>
        <w:t>(</w:t>
      </w:r>
      <w:r w:rsidRPr="00611B68" w:rsidR="00A50C67">
        <w:rPr>
          <w:rFonts w:ascii="Times New Roman" w:hAnsi="Times New Roman" w:cs="Times New Roman"/>
          <w:b/>
          <w:bCs/>
          <w:sz w:val="24"/>
          <w:szCs w:val="24"/>
        </w:rPr>
        <w:t>A</w:t>
      </w:r>
      <w:r w:rsidRPr="00611B68" w:rsidR="0067775C">
        <w:rPr>
          <w:rFonts w:ascii="Times New Roman" w:hAnsi="Times New Roman" w:cs="Times New Roman"/>
          <w:b/>
          <w:bCs/>
          <w:sz w:val="24"/>
          <w:szCs w:val="24"/>
        </w:rPr>
        <w:t xml:space="preserve">ttachment </w:t>
      </w:r>
      <w:r w:rsidRPr="00611B68" w:rsidR="001912A9">
        <w:rPr>
          <w:rFonts w:ascii="Times New Roman" w:hAnsi="Times New Roman" w:cs="Times New Roman"/>
          <w:b/>
          <w:bCs/>
          <w:sz w:val="24"/>
          <w:szCs w:val="24"/>
        </w:rPr>
        <w:t>13</w:t>
      </w:r>
      <w:r w:rsidR="0067775C">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7C4434">
        <w:rPr>
          <w:rFonts w:ascii="Times New Roman" w:hAnsi="Times New Roman" w:cs="Times New Roman"/>
          <w:sz w:val="24"/>
          <w:szCs w:val="24"/>
        </w:rPr>
        <w:t xml:space="preserve"> </w:t>
      </w:r>
    </w:p>
    <w:p w:rsidR="00D40986" w:rsidRPr="00E62E22" w:rsidP="00912D04" w14:paraId="7C97C899" w14:textId="77777777">
      <w:pPr>
        <w:spacing w:after="0" w:line="240" w:lineRule="auto"/>
        <w:rPr>
          <w:rFonts w:ascii="Times New Roman" w:hAnsi="Times New Roman" w:cs="Times New Roman"/>
          <w:sz w:val="24"/>
          <w:szCs w:val="24"/>
          <w:highlight w:val="yellow"/>
        </w:rPr>
      </w:pPr>
    </w:p>
    <w:p w:rsidR="00A80F31" w:rsidRPr="00E62E22" w:rsidP="120E50B6" w14:paraId="5DE85649" w14:textId="3C764559">
      <w:pPr>
        <w:spacing w:after="0" w:line="240" w:lineRule="auto"/>
        <w:rPr>
          <w:rFonts w:ascii="Times New Roman" w:hAnsi="Times New Roman" w:cs="Times New Roman"/>
          <w:color w:val="000000"/>
          <w:sz w:val="24"/>
          <w:szCs w:val="24"/>
        </w:rPr>
      </w:pPr>
      <w:r w:rsidRPr="120FF7D8">
        <w:rPr>
          <w:rFonts w:ascii="Times New Roman" w:hAnsi="Times New Roman" w:cs="Times New Roman"/>
          <w:sz w:val="24"/>
          <w:szCs w:val="24"/>
        </w:rPr>
        <w:t>It is anticipated that a web-based format is the preferred mode for response</w:t>
      </w:r>
      <w:r w:rsidR="00C50232">
        <w:rPr>
          <w:rFonts w:ascii="Times New Roman" w:hAnsi="Times New Roman" w:cs="Times New Roman"/>
          <w:sz w:val="24"/>
          <w:szCs w:val="24"/>
        </w:rPr>
        <w:t>; however,</w:t>
      </w:r>
      <w:r w:rsidR="00A87D9C">
        <w:rPr>
          <w:rFonts w:ascii="Times New Roman" w:hAnsi="Times New Roman" w:cs="Times New Roman"/>
          <w:sz w:val="24"/>
          <w:szCs w:val="24"/>
        </w:rPr>
        <w:t xml:space="preserve"> a hardcopy form using various formats (e.g., mail, email, or phone) </w:t>
      </w:r>
      <w:r w:rsidR="00C50232">
        <w:rPr>
          <w:rFonts w:ascii="Times New Roman" w:hAnsi="Times New Roman" w:cs="Times New Roman"/>
          <w:sz w:val="24"/>
          <w:szCs w:val="24"/>
        </w:rPr>
        <w:t xml:space="preserve">will be </w:t>
      </w:r>
      <w:r w:rsidR="00A87D9C">
        <w:rPr>
          <w:rFonts w:ascii="Times New Roman" w:hAnsi="Times New Roman" w:cs="Times New Roman"/>
          <w:sz w:val="24"/>
          <w:szCs w:val="24"/>
        </w:rPr>
        <w:t>offered as alternatives</w:t>
      </w:r>
      <w:r w:rsidRPr="120FF7D8">
        <w:rPr>
          <w:rFonts w:ascii="Times New Roman" w:hAnsi="Times New Roman" w:cs="Times New Roman"/>
          <w:sz w:val="24"/>
          <w:szCs w:val="24"/>
        </w:rPr>
        <w:t xml:space="preserve">. </w:t>
      </w:r>
      <w:r w:rsidR="00A87D9C">
        <w:rPr>
          <w:rFonts w:ascii="Times New Roman" w:hAnsi="Times New Roman" w:cs="Times New Roman"/>
          <w:sz w:val="24"/>
          <w:szCs w:val="24"/>
        </w:rPr>
        <w:t xml:space="preserve">Four and 12 weeks after the initial invitation, non-responding offices will receive </w:t>
      </w:r>
      <w:r w:rsidRPr="120FF7D8">
        <w:rPr>
          <w:rFonts w:ascii="Times New Roman" w:hAnsi="Times New Roman" w:cs="Times New Roman"/>
          <w:sz w:val="24"/>
          <w:szCs w:val="24"/>
        </w:rPr>
        <w:t xml:space="preserve">a reminder letter </w:t>
      </w:r>
      <w:r w:rsidRPr="120FF7D8">
        <w:rPr>
          <w:rFonts w:ascii="Times New Roman" w:hAnsi="Times New Roman" w:cs="Times New Roman"/>
          <w:b/>
          <w:bCs/>
          <w:sz w:val="24"/>
          <w:szCs w:val="24"/>
        </w:rPr>
        <w:t xml:space="preserve">(Attachment </w:t>
      </w:r>
      <w:r w:rsidR="001912A9">
        <w:rPr>
          <w:rFonts w:ascii="Times New Roman" w:hAnsi="Times New Roman" w:cs="Times New Roman"/>
          <w:b/>
          <w:bCs/>
          <w:sz w:val="24"/>
          <w:szCs w:val="24"/>
        </w:rPr>
        <w:t>14</w:t>
      </w:r>
      <w:r w:rsidRPr="120FF7D8">
        <w:rPr>
          <w:rFonts w:ascii="Times New Roman" w:hAnsi="Times New Roman" w:cs="Times New Roman"/>
          <w:b/>
          <w:bCs/>
          <w:sz w:val="24"/>
          <w:szCs w:val="24"/>
        </w:rPr>
        <w:t>)</w:t>
      </w:r>
      <w:r w:rsidRPr="120FF7D8">
        <w:rPr>
          <w:rFonts w:ascii="Times New Roman" w:hAnsi="Times New Roman" w:cs="Times New Roman"/>
          <w:sz w:val="24"/>
          <w:szCs w:val="24"/>
        </w:rPr>
        <w:t xml:space="preserve">, hardcopy survey, and a postage-paid business reply envelope via USPS. </w:t>
      </w:r>
      <w:r w:rsidR="000A5A06">
        <w:rPr>
          <w:rFonts w:ascii="Times New Roman" w:hAnsi="Times New Roman" w:cs="Times New Roman"/>
          <w:sz w:val="24"/>
          <w:szCs w:val="24"/>
        </w:rPr>
        <w:t>This</w:t>
      </w:r>
      <w:r w:rsidRPr="120FF7D8" w:rsidR="000A5A06">
        <w:rPr>
          <w:rFonts w:ascii="Times New Roman" w:hAnsi="Times New Roman" w:cs="Times New Roman"/>
          <w:sz w:val="24"/>
          <w:szCs w:val="24"/>
        </w:rPr>
        <w:t xml:space="preserve"> </w:t>
      </w:r>
      <w:r w:rsidRPr="120FF7D8">
        <w:rPr>
          <w:rFonts w:ascii="Times New Roman" w:hAnsi="Times New Roman" w:cs="Times New Roman"/>
          <w:sz w:val="24"/>
          <w:szCs w:val="24"/>
        </w:rPr>
        <w:t xml:space="preserve">material will include a </w:t>
      </w:r>
      <w:r w:rsidRPr="120FF7D8">
        <w:rPr>
          <w:rFonts w:ascii="Times New Roman" w:hAnsi="Times New Roman" w:cs="Times New Roman"/>
          <w:color w:val="000000" w:themeColor="text1"/>
          <w:sz w:val="24"/>
          <w:szCs w:val="24"/>
        </w:rPr>
        <w:t>numeric case ID and bar code</w:t>
      </w:r>
      <w:r w:rsidRPr="120FF7D8">
        <w:rPr>
          <w:rFonts w:ascii="Times New Roman" w:hAnsi="Times New Roman" w:cs="Times New Roman"/>
          <w:sz w:val="24"/>
          <w:szCs w:val="24"/>
        </w:rPr>
        <w:t xml:space="preserve"> so returned surveys can be easily reconciled with the frame. </w:t>
      </w:r>
      <w:r w:rsidRPr="120FF7D8">
        <w:rPr>
          <w:rFonts w:ascii="Times New Roman" w:hAnsi="Times New Roman" w:cs="Times New Roman"/>
          <w:color w:val="000000" w:themeColor="text1"/>
          <w:sz w:val="24"/>
          <w:szCs w:val="24"/>
        </w:rPr>
        <w:t xml:space="preserve">The letter will include contact information for the data collection agent </w:t>
      </w:r>
      <w:r w:rsidRPr="120FF7D8" w:rsidR="000A5A06">
        <w:rPr>
          <w:rFonts w:ascii="Times New Roman" w:hAnsi="Times New Roman" w:cs="Times New Roman"/>
          <w:color w:val="000000" w:themeColor="text1"/>
          <w:sz w:val="24"/>
          <w:szCs w:val="24"/>
        </w:rPr>
        <w:t>and</w:t>
      </w:r>
      <w:r w:rsidRPr="120FF7D8">
        <w:rPr>
          <w:rFonts w:ascii="Times New Roman" w:hAnsi="Times New Roman" w:cs="Times New Roman"/>
          <w:color w:val="000000" w:themeColor="text1"/>
          <w:sz w:val="24"/>
          <w:szCs w:val="24"/>
        </w:rPr>
        <w:t xml:space="preserve"> inform</w:t>
      </w:r>
      <w:r w:rsidR="00A87D9C">
        <w:rPr>
          <w:rFonts w:ascii="Times New Roman" w:hAnsi="Times New Roman" w:cs="Times New Roman"/>
          <w:color w:val="000000" w:themeColor="text1"/>
          <w:sz w:val="24"/>
          <w:szCs w:val="24"/>
        </w:rPr>
        <w:t>s</w:t>
      </w:r>
      <w:r w:rsidRPr="120FF7D8">
        <w:rPr>
          <w:rFonts w:ascii="Times New Roman" w:hAnsi="Times New Roman" w:cs="Times New Roman"/>
          <w:color w:val="000000" w:themeColor="text1"/>
          <w:sz w:val="24"/>
          <w:szCs w:val="24"/>
        </w:rPr>
        <w:t xml:space="preserve"> the office that the survey can be completed </w:t>
      </w:r>
      <w:r w:rsidR="0011378B">
        <w:rPr>
          <w:rFonts w:ascii="Times New Roman" w:hAnsi="Times New Roman" w:cs="Times New Roman"/>
          <w:color w:val="000000" w:themeColor="text1"/>
          <w:sz w:val="24"/>
          <w:szCs w:val="24"/>
        </w:rPr>
        <w:t xml:space="preserve">and returned via the </w:t>
      </w:r>
      <w:r w:rsidR="0011378B">
        <w:rPr>
          <w:rFonts w:ascii="Times New Roman" w:hAnsi="Times New Roman" w:cs="Times New Roman"/>
          <w:color w:val="000000" w:themeColor="text1"/>
          <w:sz w:val="24"/>
          <w:szCs w:val="24"/>
        </w:rPr>
        <w:t>included prepaid envelope</w:t>
      </w:r>
      <w:r w:rsidR="0011378B">
        <w:rPr>
          <w:rFonts w:ascii="Times New Roman" w:hAnsi="Times New Roman" w:cs="Times New Roman"/>
          <w:color w:val="000000" w:themeColor="text1"/>
          <w:sz w:val="24"/>
          <w:szCs w:val="24"/>
        </w:rPr>
        <w:t xml:space="preserve">, scanned and returned to the project email, completed </w:t>
      </w:r>
      <w:r w:rsidRPr="120FF7D8">
        <w:rPr>
          <w:rFonts w:ascii="Times New Roman" w:hAnsi="Times New Roman" w:cs="Times New Roman"/>
          <w:color w:val="000000" w:themeColor="text1"/>
          <w:sz w:val="24"/>
          <w:szCs w:val="24"/>
        </w:rPr>
        <w:t xml:space="preserve">by web with </w:t>
      </w:r>
      <w:r w:rsidRPr="120FF7D8">
        <w:rPr>
          <w:rFonts w:ascii="Times New Roman" w:hAnsi="Times New Roman" w:cs="Times New Roman"/>
          <w:color w:val="000000" w:themeColor="text1"/>
          <w:sz w:val="24"/>
          <w:szCs w:val="24"/>
        </w:rPr>
        <w:t>the provided</w:t>
      </w:r>
      <w:r w:rsidRPr="120FF7D8">
        <w:rPr>
          <w:rFonts w:ascii="Times New Roman" w:hAnsi="Times New Roman" w:cs="Times New Roman"/>
          <w:color w:val="000000" w:themeColor="text1"/>
          <w:sz w:val="24"/>
          <w:szCs w:val="24"/>
        </w:rPr>
        <w:t xml:space="preserve"> unique link</w:t>
      </w:r>
      <w:r w:rsidR="0011378B">
        <w:rPr>
          <w:rFonts w:ascii="Times New Roman" w:hAnsi="Times New Roman" w:cs="Times New Roman"/>
          <w:color w:val="000000" w:themeColor="text1"/>
          <w:sz w:val="24"/>
          <w:szCs w:val="24"/>
        </w:rPr>
        <w:t>,</w:t>
      </w:r>
      <w:r w:rsidRPr="120FF7D8">
        <w:rPr>
          <w:rFonts w:ascii="Times New Roman" w:hAnsi="Times New Roman" w:cs="Times New Roman"/>
          <w:color w:val="000000" w:themeColor="text1"/>
          <w:sz w:val="24"/>
          <w:szCs w:val="24"/>
        </w:rPr>
        <w:t xml:space="preserve"> or </w:t>
      </w:r>
      <w:r w:rsidR="0011378B">
        <w:rPr>
          <w:rFonts w:ascii="Times New Roman" w:hAnsi="Times New Roman" w:cs="Times New Roman"/>
          <w:color w:val="000000" w:themeColor="text1"/>
          <w:sz w:val="24"/>
          <w:szCs w:val="24"/>
        </w:rPr>
        <w:t xml:space="preserve">by </w:t>
      </w:r>
      <w:r w:rsidRPr="120FF7D8">
        <w:rPr>
          <w:rFonts w:ascii="Times New Roman" w:hAnsi="Times New Roman" w:cs="Times New Roman"/>
          <w:color w:val="000000" w:themeColor="text1"/>
          <w:sz w:val="24"/>
          <w:szCs w:val="24"/>
        </w:rPr>
        <w:t xml:space="preserve">telephone. </w:t>
      </w:r>
    </w:p>
    <w:p w:rsidR="120E50B6" w:rsidP="120E50B6" w14:paraId="48B819B6" w14:textId="689102BF">
      <w:pPr>
        <w:spacing w:after="0" w:line="240" w:lineRule="auto"/>
        <w:rPr>
          <w:rFonts w:ascii="Times New Roman" w:hAnsi="Times New Roman" w:cs="Times New Roman"/>
          <w:color w:val="000000" w:themeColor="text1"/>
          <w:sz w:val="24"/>
          <w:szCs w:val="24"/>
          <w:highlight w:val="yellow"/>
        </w:rPr>
      </w:pPr>
    </w:p>
    <w:p w:rsidR="009E37FB" w:rsidP="120E50B6" w14:paraId="0B8D778C" w14:textId="2875403A">
      <w:pPr>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Eight</w:t>
      </w:r>
      <w:r w:rsidRPr="120FF7D8">
        <w:rPr>
          <w:rFonts w:ascii="Times New Roman" w:hAnsi="Times New Roman" w:cs="Times New Roman"/>
          <w:color w:val="000000" w:themeColor="text1"/>
          <w:sz w:val="24"/>
          <w:szCs w:val="24"/>
        </w:rPr>
        <w:t xml:space="preserve"> </w:t>
      </w:r>
      <w:r w:rsidRPr="120FF7D8" w:rsidR="120FF7D8">
        <w:rPr>
          <w:rFonts w:ascii="Times New Roman" w:hAnsi="Times New Roman" w:cs="Times New Roman"/>
          <w:color w:val="000000" w:themeColor="text1"/>
          <w:sz w:val="24"/>
          <w:szCs w:val="24"/>
        </w:rPr>
        <w:t xml:space="preserve">weeks after the start of data collection, outbound telephone calls will be made to non-responding offices </w:t>
      </w:r>
      <w:r w:rsidRPr="120FF7D8" w:rsidR="120FF7D8">
        <w:rPr>
          <w:rFonts w:ascii="Times New Roman" w:hAnsi="Times New Roman" w:cs="Times New Roman"/>
          <w:b/>
          <w:bCs/>
          <w:color w:val="000000" w:themeColor="text1"/>
          <w:sz w:val="24"/>
          <w:szCs w:val="24"/>
        </w:rPr>
        <w:t xml:space="preserve">(Attachment </w:t>
      </w:r>
      <w:r w:rsidR="00E21D5A">
        <w:rPr>
          <w:rFonts w:ascii="Times New Roman" w:hAnsi="Times New Roman" w:cs="Times New Roman"/>
          <w:b/>
          <w:bCs/>
          <w:color w:val="000000" w:themeColor="text1"/>
          <w:sz w:val="24"/>
          <w:szCs w:val="24"/>
        </w:rPr>
        <w:t>15</w:t>
      </w:r>
      <w:r w:rsidRPr="120FF7D8" w:rsidR="120FF7D8">
        <w:rPr>
          <w:rFonts w:ascii="Times New Roman" w:hAnsi="Times New Roman" w:cs="Times New Roman"/>
          <w:b/>
          <w:bCs/>
          <w:color w:val="000000" w:themeColor="text1"/>
          <w:sz w:val="24"/>
          <w:szCs w:val="24"/>
        </w:rPr>
        <w:t>)</w:t>
      </w:r>
      <w:r w:rsidRPr="120FF7D8" w:rsidR="120FF7D8">
        <w:rPr>
          <w:rFonts w:ascii="Times New Roman" w:hAnsi="Times New Roman" w:cs="Times New Roman"/>
          <w:color w:val="000000" w:themeColor="text1"/>
          <w:sz w:val="24"/>
          <w:szCs w:val="24"/>
        </w:rPr>
        <w:t xml:space="preserve">. These calls will confirm that the office received the </w:t>
      </w:r>
      <w:r w:rsidR="009457E3">
        <w:rPr>
          <w:rFonts w:ascii="Times New Roman" w:hAnsi="Times New Roman" w:cs="Times New Roman"/>
          <w:color w:val="000000" w:themeColor="text1"/>
          <w:sz w:val="24"/>
          <w:szCs w:val="24"/>
        </w:rPr>
        <w:t>2025 CPO</w:t>
      </w:r>
      <w:r w:rsidRPr="120FF7D8" w:rsidR="120FF7D8">
        <w:rPr>
          <w:rFonts w:ascii="Times New Roman" w:hAnsi="Times New Roman" w:cs="Times New Roman"/>
          <w:color w:val="000000" w:themeColor="text1"/>
          <w:sz w:val="24"/>
          <w:szCs w:val="24"/>
        </w:rPr>
        <w:t xml:space="preserve"> materials, respond to any questions and determine the respondent</w:t>
      </w:r>
      <w:r w:rsidRPr="004B3047" w:rsidR="120FF7D8">
        <w:rPr>
          <w:rFonts w:ascii="Times New Roman" w:hAnsi="Times New Roman" w:cs="Times New Roman"/>
          <w:color w:val="000000" w:themeColor="text1"/>
          <w:sz w:val="24"/>
          <w:szCs w:val="24"/>
        </w:rPr>
        <w:t xml:space="preserve">(s) for the office. </w:t>
      </w:r>
      <w:r w:rsidR="00E21D5A">
        <w:rPr>
          <w:rFonts w:ascii="Times New Roman" w:hAnsi="Times New Roman" w:cs="Times New Roman"/>
          <w:color w:val="000000"/>
          <w:sz w:val="24"/>
          <w:szCs w:val="24"/>
        </w:rPr>
        <w:t>T</w:t>
      </w:r>
      <w:r w:rsidR="00CB2935">
        <w:rPr>
          <w:rFonts w:ascii="Times New Roman" w:hAnsi="Times New Roman" w:cs="Times New Roman"/>
          <w:color w:val="000000"/>
          <w:sz w:val="24"/>
          <w:szCs w:val="24"/>
        </w:rPr>
        <w:t>welve</w:t>
      </w:r>
      <w:r w:rsidR="00E21D5A">
        <w:rPr>
          <w:rFonts w:ascii="Times New Roman" w:hAnsi="Times New Roman" w:cs="Times New Roman"/>
          <w:color w:val="000000"/>
          <w:sz w:val="24"/>
          <w:szCs w:val="24"/>
        </w:rPr>
        <w:t xml:space="preserve"> weeks after the start of data collection, a second hardcopy survey and a reminder letter </w:t>
      </w:r>
      <w:r w:rsidR="00E21D5A">
        <w:rPr>
          <w:rFonts w:ascii="Times New Roman" w:hAnsi="Times New Roman" w:cs="Times New Roman"/>
          <w:b/>
          <w:bCs/>
          <w:color w:val="000000"/>
          <w:sz w:val="24"/>
          <w:szCs w:val="24"/>
        </w:rPr>
        <w:t>(Attachment 1</w:t>
      </w:r>
      <w:r w:rsidR="00CB2935">
        <w:rPr>
          <w:rFonts w:ascii="Times New Roman" w:hAnsi="Times New Roman" w:cs="Times New Roman"/>
          <w:b/>
          <w:bCs/>
          <w:color w:val="000000"/>
          <w:sz w:val="24"/>
          <w:szCs w:val="24"/>
        </w:rPr>
        <w:t>6</w:t>
      </w:r>
      <w:r w:rsidR="00E21D5A">
        <w:rPr>
          <w:rFonts w:ascii="Times New Roman" w:hAnsi="Times New Roman" w:cs="Times New Roman"/>
          <w:b/>
          <w:bCs/>
          <w:color w:val="000000"/>
          <w:sz w:val="24"/>
          <w:szCs w:val="24"/>
        </w:rPr>
        <w:t>)</w:t>
      </w:r>
      <w:r w:rsidR="00E21D5A">
        <w:rPr>
          <w:rFonts w:ascii="Times New Roman" w:hAnsi="Times New Roman" w:cs="Times New Roman"/>
          <w:color w:val="000000"/>
          <w:sz w:val="24"/>
          <w:szCs w:val="24"/>
        </w:rPr>
        <w:t xml:space="preserve"> will be mailed via USPS first class mail. A postage-paid business reply envelope will be included in the packet. </w:t>
      </w:r>
      <w:r w:rsidRPr="004B3047">
        <w:rPr>
          <w:rFonts w:ascii="Times New Roman" w:hAnsi="Times New Roman" w:cs="Times New Roman"/>
          <w:color w:val="000000"/>
          <w:sz w:val="24"/>
          <w:szCs w:val="24"/>
        </w:rPr>
        <w:t xml:space="preserve">Four weeks after the </w:t>
      </w:r>
      <w:r>
        <w:rPr>
          <w:rFonts w:ascii="Times New Roman" w:hAnsi="Times New Roman" w:cs="Times New Roman"/>
          <w:color w:val="000000"/>
          <w:sz w:val="24"/>
          <w:szCs w:val="24"/>
        </w:rPr>
        <w:t xml:space="preserve">second </w:t>
      </w:r>
      <w:r w:rsidRPr="004B3047">
        <w:rPr>
          <w:rFonts w:ascii="Times New Roman" w:hAnsi="Times New Roman" w:cs="Times New Roman"/>
          <w:color w:val="000000"/>
          <w:sz w:val="24"/>
          <w:szCs w:val="24"/>
        </w:rPr>
        <w:t>hardcopy survey mailing, a reminder</w:t>
      </w:r>
      <w:r w:rsidR="000A5A06">
        <w:rPr>
          <w:rFonts w:ascii="Times New Roman" w:hAnsi="Times New Roman" w:cs="Times New Roman"/>
          <w:color w:val="000000"/>
          <w:sz w:val="24"/>
          <w:szCs w:val="24"/>
        </w:rPr>
        <w:t xml:space="preserve"> letter</w:t>
      </w:r>
      <w:r w:rsidRPr="004B3047">
        <w:rPr>
          <w:rFonts w:ascii="Times New Roman" w:hAnsi="Times New Roman" w:cs="Times New Roman"/>
          <w:color w:val="000000"/>
          <w:sz w:val="24"/>
          <w:szCs w:val="24"/>
        </w:rPr>
        <w:t xml:space="preserve"> </w:t>
      </w:r>
      <w:r w:rsidRPr="004B3047">
        <w:rPr>
          <w:rFonts w:ascii="Times New Roman" w:hAnsi="Times New Roman" w:cs="Times New Roman"/>
          <w:b/>
          <w:bCs/>
          <w:color w:val="000000"/>
          <w:sz w:val="24"/>
          <w:szCs w:val="24"/>
        </w:rPr>
        <w:t xml:space="preserve">(Attachment </w:t>
      </w:r>
      <w:r w:rsidRPr="004B3047" w:rsidR="001912A9">
        <w:rPr>
          <w:rFonts w:ascii="Times New Roman" w:hAnsi="Times New Roman" w:cs="Times New Roman"/>
          <w:b/>
          <w:bCs/>
          <w:color w:val="000000"/>
          <w:sz w:val="24"/>
          <w:szCs w:val="24"/>
        </w:rPr>
        <w:t>1</w:t>
      </w:r>
      <w:r w:rsidR="001912A9">
        <w:rPr>
          <w:rFonts w:ascii="Times New Roman" w:hAnsi="Times New Roman" w:cs="Times New Roman"/>
          <w:b/>
          <w:bCs/>
          <w:color w:val="000000"/>
          <w:sz w:val="24"/>
          <w:szCs w:val="24"/>
        </w:rPr>
        <w:t>7</w:t>
      </w:r>
      <w:r w:rsidRPr="004B3047">
        <w:rPr>
          <w:rFonts w:ascii="Times New Roman" w:hAnsi="Times New Roman" w:cs="Times New Roman"/>
          <w:b/>
          <w:bCs/>
          <w:color w:val="000000"/>
          <w:sz w:val="24"/>
          <w:szCs w:val="24"/>
        </w:rPr>
        <w:t xml:space="preserve">) </w:t>
      </w:r>
      <w:r w:rsidRPr="004B3047">
        <w:rPr>
          <w:rFonts w:ascii="Times New Roman" w:hAnsi="Times New Roman" w:cs="Times New Roman"/>
          <w:color w:val="000000"/>
          <w:sz w:val="24"/>
          <w:szCs w:val="24"/>
        </w:rPr>
        <w:t>will be mailed to</w:t>
      </w:r>
      <w:r>
        <w:rPr>
          <w:rFonts w:ascii="Times New Roman" w:hAnsi="Times New Roman" w:cs="Times New Roman"/>
          <w:color w:val="000000"/>
          <w:sz w:val="24"/>
          <w:szCs w:val="24"/>
        </w:rPr>
        <w:t xml:space="preserve"> non-responding offices and </w:t>
      </w:r>
      <w:r>
        <w:rPr>
          <w:rFonts w:ascii="Times New Roman" w:hAnsi="Times New Roman" w:cs="Times New Roman"/>
          <w:color w:val="000000"/>
          <w:sz w:val="24"/>
          <w:szCs w:val="24"/>
        </w:rPr>
        <w:t xml:space="preserve">further </w:t>
      </w:r>
      <w:r>
        <w:rPr>
          <w:rFonts w:ascii="Times New Roman" w:hAnsi="Times New Roman" w:cs="Times New Roman"/>
          <w:color w:val="000000"/>
          <w:sz w:val="24"/>
          <w:szCs w:val="24"/>
        </w:rPr>
        <w:t xml:space="preserve">telephone outreach from Urban </w:t>
      </w:r>
      <w:r>
        <w:rPr>
          <w:rFonts w:ascii="Times New Roman" w:hAnsi="Times New Roman" w:cs="Times New Roman"/>
          <w:b/>
          <w:bCs/>
          <w:color w:val="000000"/>
          <w:sz w:val="24"/>
          <w:szCs w:val="24"/>
        </w:rPr>
        <w:t xml:space="preserve">(Attachment </w:t>
      </w:r>
      <w:r w:rsidR="001912A9">
        <w:rPr>
          <w:rFonts w:ascii="Times New Roman" w:hAnsi="Times New Roman" w:cs="Times New Roman"/>
          <w:b/>
          <w:bCs/>
          <w:color w:val="000000"/>
          <w:sz w:val="24"/>
          <w:szCs w:val="24"/>
        </w:rPr>
        <w:t>18</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will begin. Four weeks prior to the close of data collection, a last chance postcard </w:t>
      </w:r>
      <w:r>
        <w:rPr>
          <w:rFonts w:ascii="Times New Roman" w:hAnsi="Times New Roman" w:cs="Times New Roman"/>
          <w:b/>
          <w:bCs/>
          <w:color w:val="000000"/>
          <w:sz w:val="24"/>
          <w:szCs w:val="24"/>
        </w:rPr>
        <w:t xml:space="preserve">(Attachment </w:t>
      </w:r>
      <w:r w:rsidR="001912A9">
        <w:rPr>
          <w:rFonts w:ascii="Times New Roman" w:hAnsi="Times New Roman" w:cs="Times New Roman"/>
          <w:b/>
          <w:bCs/>
          <w:color w:val="000000"/>
          <w:sz w:val="24"/>
          <w:szCs w:val="24"/>
        </w:rPr>
        <w:t>19</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will be sent to non-responding offices.</w:t>
      </w:r>
    </w:p>
    <w:p w:rsidR="5C33A50F" w:rsidP="120E50B6" w14:paraId="330EECE8" w14:textId="3E79F520">
      <w:pPr>
        <w:spacing w:after="0" w:line="240" w:lineRule="auto"/>
        <w:rPr>
          <w:rFonts w:ascii="Times New Roman" w:hAnsi="Times New Roman" w:cs="Times New Roman"/>
          <w:color w:val="000000" w:themeColor="text1"/>
          <w:sz w:val="24"/>
          <w:szCs w:val="24"/>
        </w:rPr>
      </w:pPr>
    </w:p>
    <w:p w:rsidR="00E92BB0" w:rsidRPr="008542A8" w:rsidP="003D4070" w14:paraId="51D189A7" w14:textId="345D4177">
      <w:pPr>
        <w:spacing w:after="0" w:line="240" w:lineRule="auto"/>
        <w:rPr>
          <w:rFonts w:ascii="Times New Roman" w:hAnsi="Times New Roman" w:cs="Times New Roman"/>
          <w:color w:val="000000"/>
          <w:sz w:val="24"/>
          <w:szCs w:val="24"/>
        </w:rPr>
      </w:pPr>
      <w:r w:rsidRPr="120E50B6">
        <w:rPr>
          <w:rFonts w:ascii="Times New Roman" w:hAnsi="Times New Roman" w:cs="Times New Roman"/>
          <w:color w:val="000000" w:themeColor="text1"/>
          <w:sz w:val="24"/>
          <w:szCs w:val="24"/>
        </w:rPr>
        <w:t>The web-based survey is programmed so that sections may be delegated to others within the office</w:t>
      </w:r>
      <w:r w:rsidR="005B1EDF">
        <w:rPr>
          <w:rFonts w:ascii="Times New Roman" w:hAnsi="Times New Roman" w:cs="Times New Roman"/>
          <w:color w:val="000000" w:themeColor="text1"/>
          <w:sz w:val="24"/>
          <w:szCs w:val="24"/>
        </w:rPr>
        <w:t xml:space="preserve"> (e.g. administrative assistants, HR, research staff, IT support, accountants)</w:t>
      </w:r>
      <w:r w:rsidRPr="120E50B6">
        <w:rPr>
          <w:rFonts w:ascii="Times New Roman" w:hAnsi="Times New Roman" w:cs="Times New Roman"/>
          <w:color w:val="000000" w:themeColor="text1"/>
          <w:sz w:val="24"/>
          <w:szCs w:val="24"/>
        </w:rPr>
        <w:t>. It is BJS’s understanding that contributions from several staff within the office may be needed to complete the survey</w:t>
      </w:r>
      <w:r w:rsidR="00C50232">
        <w:rPr>
          <w:rFonts w:ascii="Times New Roman" w:hAnsi="Times New Roman" w:cs="Times New Roman"/>
          <w:color w:val="000000" w:themeColor="text1"/>
          <w:sz w:val="24"/>
          <w:szCs w:val="24"/>
        </w:rPr>
        <w:t xml:space="preserve">. </w:t>
      </w:r>
      <w:r w:rsidR="005B1EDF">
        <w:rPr>
          <w:rFonts w:ascii="Times New Roman" w:hAnsi="Times New Roman" w:cs="Times New Roman"/>
          <w:color w:val="000000" w:themeColor="text1"/>
          <w:sz w:val="24"/>
          <w:szCs w:val="24"/>
        </w:rPr>
        <w:t xml:space="preserve">Prosecutor offices are encouraged in outreaches to delegate completing the survey to staff who are best suited to answer all or specific questions. The survey link can be shared among </w:t>
      </w:r>
      <w:r w:rsidR="005B1EDF">
        <w:rPr>
          <w:rFonts w:ascii="Times New Roman" w:hAnsi="Times New Roman" w:cs="Times New Roman"/>
          <w:color w:val="000000" w:themeColor="text1"/>
          <w:sz w:val="24"/>
          <w:szCs w:val="24"/>
        </w:rPr>
        <w:t>staff</w:t>
      </w:r>
      <w:r w:rsidR="005B1EDF">
        <w:rPr>
          <w:rFonts w:ascii="Times New Roman" w:hAnsi="Times New Roman" w:cs="Times New Roman"/>
          <w:color w:val="000000" w:themeColor="text1"/>
          <w:sz w:val="24"/>
          <w:szCs w:val="24"/>
        </w:rPr>
        <w:t xml:space="preserve"> and hard copies can be downloaded. Additionally, the mailed surveys can be distributed among staff. </w:t>
      </w:r>
      <w:r w:rsidRPr="00A35904">
        <w:rPr>
          <w:rFonts w:ascii="Times New Roman" w:hAnsi="Times New Roman" w:cs="Times New Roman"/>
          <w:color w:val="000000" w:themeColor="text1"/>
          <w:sz w:val="24"/>
          <w:szCs w:val="24"/>
        </w:rPr>
        <w:t xml:space="preserve">At the end of the web-based survey, respondents will have the option to print their responses. Offices will also receive a thank you email </w:t>
      </w:r>
      <w:r w:rsidRPr="00A35904">
        <w:rPr>
          <w:rFonts w:ascii="Times New Roman" w:hAnsi="Times New Roman" w:cs="Times New Roman"/>
          <w:b/>
          <w:bCs/>
          <w:color w:val="000000" w:themeColor="text1"/>
          <w:sz w:val="24"/>
          <w:szCs w:val="24"/>
        </w:rPr>
        <w:t xml:space="preserve">(Attachment </w:t>
      </w:r>
      <w:r w:rsidR="001912A9">
        <w:rPr>
          <w:rFonts w:ascii="Times New Roman" w:hAnsi="Times New Roman" w:cs="Times New Roman"/>
          <w:b/>
          <w:bCs/>
          <w:color w:val="000000" w:themeColor="text1"/>
          <w:sz w:val="24"/>
          <w:szCs w:val="24"/>
        </w:rPr>
        <w:t>20</w:t>
      </w:r>
      <w:r w:rsidRPr="00A35904">
        <w:rPr>
          <w:rFonts w:ascii="Times New Roman" w:hAnsi="Times New Roman" w:cs="Times New Roman"/>
          <w:b/>
          <w:bCs/>
          <w:color w:val="000000" w:themeColor="text1"/>
          <w:sz w:val="24"/>
          <w:szCs w:val="24"/>
        </w:rPr>
        <w:t>)</w:t>
      </w:r>
      <w:r w:rsidRPr="00A35904">
        <w:rPr>
          <w:rFonts w:ascii="Times New Roman" w:hAnsi="Times New Roman" w:cs="Times New Roman"/>
          <w:color w:val="000000" w:themeColor="text1"/>
          <w:sz w:val="24"/>
          <w:szCs w:val="24"/>
        </w:rPr>
        <w:t xml:space="preserve"> upon survey completion. </w:t>
      </w:r>
    </w:p>
    <w:p w:rsidR="004D42B0" w:rsidRPr="008542A8" w:rsidP="003D4070" w14:paraId="03E92BBF" w14:textId="77777777">
      <w:pPr>
        <w:spacing w:after="0" w:line="240" w:lineRule="auto"/>
        <w:rPr>
          <w:rFonts w:ascii="Times New Roman" w:hAnsi="Times New Roman" w:cs="Times New Roman"/>
          <w:color w:val="000000"/>
          <w:sz w:val="24"/>
          <w:szCs w:val="24"/>
        </w:rPr>
      </w:pPr>
    </w:p>
    <w:p w:rsidR="004327FF" w:rsidRPr="002539F4" w:rsidP="004327FF" w14:paraId="230734F6" w14:textId="1BC7D235">
      <w:pPr>
        <w:autoSpaceDE w:val="0"/>
        <w:autoSpaceDN w:val="0"/>
        <w:adjustRightInd w:val="0"/>
        <w:spacing w:before="3"/>
        <w:ind w:right="59"/>
        <w:rPr>
          <w:rFonts w:ascii="Times New Roman" w:hAnsi="Times New Roman" w:cs="Times New Roman"/>
          <w:b/>
          <w:bCs/>
          <w:sz w:val="24"/>
          <w:szCs w:val="24"/>
        </w:rPr>
      </w:pPr>
      <w:r w:rsidRPr="002539F4">
        <w:rPr>
          <w:rFonts w:ascii="Times New Roman" w:hAnsi="Times New Roman" w:cs="Times New Roman"/>
          <w:b/>
          <w:bCs/>
          <w:sz w:val="24"/>
          <w:szCs w:val="24"/>
        </w:rPr>
        <w:t>Data Processing</w:t>
      </w:r>
    </w:p>
    <w:p w:rsidR="004327FF" w:rsidRPr="002539F4" w:rsidP="004327FF" w14:paraId="2D2D94ED" w14:textId="6C2BD727">
      <w:pPr>
        <w:rPr>
          <w:rFonts w:ascii="Times New Roman" w:hAnsi="Times New Roman" w:cs="Times New Roman"/>
          <w:sz w:val="24"/>
          <w:szCs w:val="24"/>
        </w:rPr>
      </w:pPr>
      <w:r w:rsidRPr="002539F4">
        <w:rPr>
          <w:rFonts w:ascii="Times New Roman" w:hAnsi="Times New Roman" w:cs="Times New Roman"/>
          <w:sz w:val="24"/>
          <w:szCs w:val="24"/>
        </w:rPr>
        <w:t xml:space="preserve">Upon receipt of a survey (web or hardcopy), data will be reviewed and edited, and if needed, the respondent will be contacted to clarify answers or provide missing information. Respondents who submit via web will be prompted with real-time validation checks when submitting missing or inconsistent data. Any unresolved items that remain after the respondent submits will result in </w:t>
      </w:r>
      <w:r w:rsidR="00CA1D36">
        <w:rPr>
          <w:rFonts w:ascii="Times New Roman" w:hAnsi="Times New Roman" w:cs="Times New Roman"/>
          <w:sz w:val="24"/>
          <w:szCs w:val="24"/>
        </w:rPr>
        <w:t>Urban</w:t>
      </w:r>
      <w:r>
        <w:rPr>
          <w:rFonts w:ascii="Times New Roman" w:hAnsi="Times New Roman" w:cs="Times New Roman"/>
          <w:sz w:val="24"/>
          <w:szCs w:val="24"/>
        </w:rPr>
        <w:t xml:space="preserve"> </w:t>
      </w:r>
      <w:r w:rsidRPr="002539F4">
        <w:rPr>
          <w:rFonts w:ascii="Times New Roman" w:hAnsi="Times New Roman" w:cs="Times New Roman"/>
          <w:sz w:val="24"/>
          <w:szCs w:val="24"/>
        </w:rPr>
        <w:t xml:space="preserve">staff </w:t>
      </w:r>
      <w:r w:rsidR="00512EA8">
        <w:rPr>
          <w:rFonts w:ascii="Times New Roman" w:hAnsi="Times New Roman" w:cs="Times New Roman"/>
          <w:sz w:val="24"/>
          <w:szCs w:val="24"/>
        </w:rPr>
        <w:t xml:space="preserve">contacting </w:t>
      </w:r>
      <w:r w:rsidRPr="002539F4">
        <w:rPr>
          <w:rFonts w:ascii="Times New Roman" w:hAnsi="Times New Roman" w:cs="Times New Roman"/>
          <w:sz w:val="24"/>
          <w:szCs w:val="24"/>
        </w:rPr>
        <w:t>the respondent to attempt to resolve these issues.</w:t>
      </w:r>
      <w:r>
        <w:rPr>
          <w:rFonts w:ascii="Times New Roman" w:hAnsi="Times New Roman" w:cs="Times New Roman"/>
          <w:sz w:val="24"/>
          <w:szCs w:val="24"/>
        </w:rPr>
        <w:t xml:space="preserve"> </w:t>
      </w:r>
      <w:r w:rsidRPr="002539F4">
        <w:rPr>
          <w:rFonts w:ascii="Times New Roman" w:hAnsi="Times New Roman" w:cs="Times New Roman"/>
          <w:sz w:val="24"/>
          <w:szCs w:val="24"/>
        </w:rPr>
        <w:t xml:space="preserve">The following is a summary of the data quality assurance steps that </w:t>
      </w:r>
      <w:r w:rsidR="008D05D4">
        <w:rPr>
          <w:rFonts w:ascii="Times New Roman" w:hAnsi="Times New Roman" w:cs="Times New Roman"/>
          <w:sz w:val="24"/>
          <w:szCs w:val="24"/>
        </w:rPr>
        <w:t>Urban</w:t>
      </w:r>
      <w:r>
        <w:rPr>
          <w:rFonts w:ascii="Times New Roman" w:hAnsi="Times New Roman" w:cs="Times New Roman"/>
          <w:sz w:val="24"/>
          <w:szCs w:val="24"/>
        </w:rPr>
        <w:t xml:space="preserve"> </w:t>
      </w:r>
      <w:r w:rsidRPr="002539F4">
        <w:rPr>
          <w:rFonts w:ascii="Times New Roman" w:hAnsi="Times New Roman" w:cs="Times New Roman"/>
          <w:sz w:val="24"/>
          <w:szCs w:val="24"/>
        </w:rPr>
        <w:t>will take during the data collection and processing period:</w:t>
      </w:r>
    </w:p>
    <w:p w:rsidR="004327FF" w:rsidRPr="002539F4" w:rsidP="004327FF" w14:paraId="3F2D503D" w14:textId="6E3035B9">
      <w:pPr>
        <w:rPr>
          <w:rFonts w:ascii="Times New Roman" w:hAnsi="Times New Roman" w:cs="Times New Roman"/>
          <w:sz w:val="24"/>
          <w:szCs w:val="24"/>
        </w:rPr>
      </w:pPr>
      <w:r w:rsidRPr="002539F4">
        <w:rPr>
          <w:rFonts w:ascii="Times New Roman" w:hAnsi="Times New Roman" w:cs="Times New Roman"/>
          <w:i/>
          <w:iCs/>
          <w:sz w:val="24"/>
          <w:szCs w:val="24"/>
        </w:rPr>
        <w:t xml:space="preserve">Data </w:t>
      </w:r>
      <w:r w:rsidR="0060144E">
        <w:rPr>
          <w:rFonts w:ascii="Times New Roman" w:hAnsi="Times New Roman" w:cs="Times New Roman"/>
          <w:i/>
          <w:iCs/>
          <w:sz w:val="24"/>
          <w:szCs w:val="24"/>
        </w:rPr>
        <w:t>Review</w:t>
      </w:r>
      <w:r w:rsidRPr="002539F4">
        <w:rPr>
          <w:rFonts w:ascii="Times New Roman" w:hAnsi="Times New Roman" w:cs="Times New Roman"/>
          <w:i/>
          <w:iCs/>
          <w:sz w:val="24"/>
          <w:szCs w:val="24"/>
        </w:rPr>
        <w:t>.</w:t>
      </w:r>
      <w:r w:rsidRPr="002539F4">
        <w:rPr>
          <w:rFonts w:ascii="Times New Roman" w:hAnsi="Times New Roman" w:cs="Times New Roman"/>
          <w:sz w:val="24"/>
          <w:szCs w:val="24"/>
        </w:rPr>
        <w:t xml:space="preserve">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will reconcile missing or </w:t>
      </w:r>
      <w:r w:rsidR="0060144E">
        <w:rPr>
          <w:rFonts w:ascii="Times New Roman" w:hAnsi="Times New Roman" w:cs="Times New Roman"/>
          <w:sz w:val="24"/>
          <w:szCs w:val="24"/>
        </w:rPr>
        <w:t>inconsistent</w:t>
      </w:r>
      <w:r w:rsidRPr="002539F4" w:rsidR="0060144E">
        <w:rPr>
          <w:rFonts w:ascii="Times New Roman" w:hAnsi="Times New Roman" w:cs="Times New Roman"/>
          <w:sz w:val="24"/>
          <w:szCs w:val="24"/>
        </w:rPr>
        <w:t xml:space="preserve"> </w:t>
      </w:r>
      <w:r w:rsidRPr="002539F4">
        <w:rPr>
          <w:rFonts w:ascii="Times New Roman" w:hAnsi="Times New Roman" w:cs="Times New Roman"/>
          <w:sz w:val="24"/>
          <w:szCs w:val="24"/>
        </w:rPr>
        <w:t>data through automated and manual edits of each questionnaire</w:t>
      </w:r>
      <w:r w:rsidR="0060144E">
        <w:rPr>
          <w:rFonts w:ascii="Times New Roman" w:hAnsi="Times New Roman" w:cs="Times New Roman"/>
          <w:sz w:val="24"/>
          <w:szCs w:val="24"/>
        </w:rPr>
        <w:t>, following up with respondents only when the data cannot be inferred from other responses</w:t>
      </w:r>
      <w:r w:rsidRPr="002539F4">
        <w:rPr>
          <w:rFonts w:ascii="Times New Roman" w:hAnsi="Times New Roman" w:cs="Times New Roman"/>
          <w:sz w:val="24"/>
          <w:szCs w:val="24"/>
        </w:rPr>
        <w:t>. In collaboration with BJS,</w:t>
      </w:r>
      <w:r>
        <w:rPr>
          <w:rFonts w:ascii="Times New Roman" w:hAnsi="Times New Roman" w:cs="Times New Roman"/>
          <w:sz w:val="24"/>
          <w:szCs w:val="24"/>
        </w:rPr>
        <w:t xml:space="preserve">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can quickly identify which hardcopy cases require follow-up and indicate the items that need clarification or retrieval from the respondent</w:t>
      </w:r>
      <w:r w:rsidR="00DE1457">
        <w:rPr>
          <w:rFonts w:ascii="Times New Roman" w:hAnsi="Times New Roman" w:cs="Times New Roman"/>
          <w:sz w:val="24"/>
          <w:szCs w:val="24"/>
        </w:rPr>
        <w:t xml:space="preserve"> </w:t>
      </w:r>
      <w:r w:rsidR="0060144E">
        <w:rPr>
          <w:rFonts w:ascii="Times New Roman" w:hAnsi="Times New Roman" w:cs="Times New Roman"/>
          <w:sz w:val="24"/>
          <w:szCs w:val="24"/>
        </w:rPr>
        <w:t>wh</w:t>
      </w:r>
      <w:r w:rsidRPr="002539F4">
        <w:rPr>
          <w:rFonts w:ascii="Times New Roman" w:hAnsi="Times New Roman" w:cs="Times New Roman"/>
          <w:sz w:val="24"/>
          <w:szCs w:val="24"/>
        </w:rPr>
        <w:t>en the project team identifies missing or inconsistent answers</w:t>
      </w:r>
      <w:r w:rsidR="000C67BA">
        <w:rPr>
          <w:rFonts w:ascii="Times New Roman" w:hAnsi="Times New Roman" w:cs="Times New Roman"/>
          <w:sz w:val="24"/>
          <w:szCs w:val="24"/>
        </w:rPr>
        <w:t xml:space="preserve"> that cannot be inferred from other responses</w:t>
      </w:r>
      <w:r w:rsidRPr="002539F4">
        <w:rPr>
          <w:rFonts w:ascii="Times New Roman" w:hAnsi="Times New Roman" w:cs="Times New Roman"/>
          <w:sz w:val="24"/>
          <w:szCs w:val="24"/>
        </w:rPr>
        <w:t xml:space="preserve">,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staff will contact the respondent for clarification. Throughout the data retrieval process,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will document the critical questions needing retrieval (e.g., missing or inconsistent data elements), request clarification on the provided information, obtain values for missing data elements, and examine any other issues related to the respondent’s submission. </w:t>
      </w:r>
    </w:p>
    <w:p w:rsidR="004327FF" w:rsidRPr="002539F4" w:rsidP="004327FF" w14:paraId="486C0190" w14:textId="3BF68F47">
      <w:pPr>
        <w:rPr>
          <w:rFonts w:ascii="Times New Roman" w:hAnsi="Times New Roman" w:cs="Times New Roman"/>
          <w:sz w:val="24"/>
          <w:szCs w:val="24"/>
        </w:rPr>
      </w:pPr>
      <w:r w:rsidRPr="002539F4">
        <w:rPr>
          <w:rFonts w:ascii="Times New Roman" w:hAnsi="Times New Roman" w:cs="Times New Roman"/>
          <w:i/>
          <w:iCs/>
          <w:sz w:val="24"/>
          <w:szCs w:val="24"/>
        </w:rPr>
        <w:t>Data Entry.</w:t>
      </w:r>
      <w:r w:rsidRPr="002539F4">
        <w:rPr>
          <w:rFonts w:ascii="Times New Roman" w:hAnsi="Times New Roman" w:cs="Times New Roman"/>
          <w:sz w:val="24"/>
          <w:szCs w:val="24"/>
        </w:rPr>
        <w:t xml:space="preserve"> Respondents completing the survey via the web instrument will enter their responses directly into the online instrument. For those respondents returning the survey via </w:t>
      </w:r>
      <w:r w:rsidRPr="002539F4">
        <w:rPr>
          <w:rFonts w:ascii="Times New Roman" w:hAnsi="Times New Roman" w:cs="Times New Roman"/>
          <w:sz w:val="24"/>
          <w:szCs w:val="24"/>
        </w:rPr>
        <w:t>hardcopy</w:t>
      </w:r>
      <w:r w:rsidRPr="002539F4">
        <w:rPr>
          <w:rFonts w:ascii="Times New Roman" w:hAnsi="Times New Roman" w:cs="Times New Roman"/>
          <w:sz w:val="24"/>
          <w:szCs w:val="24"/>
        </w:rPr>
        <w:t xml:space="preserve"> (mail or </w:t>
      </w:r>
      <w:r w:rsidR="000C67BA">
        <w:rPr>
          <w:rFonts w:ascii="Times New Roman" w:hAnsi="Times New Roman" w:cs="Times New Roman"/>
          <w:sz w:val="24"/>
          <w:szCs w:val="24"/>
        </w:rPr>
        <w:t>email</w:t>
      </w:r>
      <w:r w:rsidRPr="002539F4">
        <w:rPr>
          <w:rFonts w:ascii="Times New Roman" w:hAnsi="Times New Roman" w:cs="Times New Roman"/>
          <w:sz w:val="24"/>
          <w:szCs w:val="24"/>
        </w:rPr>
        <w:t xml:space="preserve">), </w:t>
      </w:r>
      <w:r w:rsidR="0060144E">
        <w:rPr>
          <w:rFonts w:ascii="Times New Roman" w:hAnsi="Times New Roman" w:cs="Times New Roman"/>
          <w:sz w:val="24"/>
          <w:szCs w:val="24"/>
        </w:rPr>
        <w:t xml:space="preserve">Urban staff will enter the </w:t>
      </w:r>
      <w:r w:rsidRPr="002539F4">
        <w:rPr>
          <w:rFonts w:ascii="Times New Roman" w:hAnsi="Times New Roman" w:cs="Times New Roman"/>
          <w:sz w:val="24"/>
          <w:szCs w:val="24"/>
        </w:rPr>
        <w:t xml:space="preserve">data once received. Throughout the remainder of the data collection period, </w:t>
      </w:r>
      <w:r w:rsidR="008D05D4">
        <w:rPr>
          <w:rFonts w:ascii="Times New Roman" w:hAnsi="Times New Roman" w:cs="Times New Roman"/>
          <w:sz w:val="24"/>
          <w:szCs w:val="24"/>
        </w:rPr>
        <w:t>Urban</w:t>
      </w:r>
      <w:r w:rsidRPr="002539F4">
        <w:rPr>
          <w:rFonts w:ascii="Times New Roman" w:hAnsi="Times New Roman" w:cs="Times New Roman"/>
          <w:sz w:val="24"/>
          <w:szCs w:val="24"/>
        </w:rPr>
        <w:t xml:space="preserve"> staff will conduct regular data reviews to evaluate the quality and completeness of data captured in both the web and hardcopy modes.</w:t>
      </w:r>
    </w:p>
    <w:p w:rsidR="005B3085" w:rsidRPr="007B0DB1" w:rsidP="005B3085" w14:paraId="4EDFC3A2" w14:textId="77777777">
      <w:pPr>
        <w:spacing w:after="0" w:line="240" w:lineRule="auto"/>
        <w:rPr>
          <w:rFonts w:ascii="Times New Roman" w:hAnsi="Times New Roman" w:cs="Times New Roman"/>
          <w:sz w:val="24"/>
          <w:szCs w:val="24"/>
        </w:rPr>
      </w:pPr>
    </w:p>
    <w:p w:rsidR="005B3085" w:rsidRPr="007B0DB1" w:rsidP="005B3085" w14:paraId="7960FB22"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3. Methods to </w:t>
      </w:r>
      <w:r>
        <w:rPr>
          <w:rFonts w:ascii="Times New Roman" w:hAnsi="Times New Roman" w:cs="Times New Roman"/>
          <w:b/>
          <w:sz w:val="24"/>
          <w:szCs w:val="24"/>
        </w:rPr>
        <w:t>M</w:t>
      </w:r>
      <w:r w:rsidRPr="007B0DB1">
        <w:rPr>
          <w:rFonts w:ascii="Times New Roman" w:hAnsi="Times New Roman" w:cs="Times New Roman"/>
          <w:b/>
          <w:sz w:val="24"/>
          <w:szCs w:val="24"/>
        </w:rPr>
        <w:t xml:space="preserve">aximize </w:t>
      </w:r>
      <w:r>
        <w:rPr>
          <w:rFonts w:ascii="Times New Roman" w:hAnsi="Times New Roman" w:cs="Times New Roman"/>
          <w:b/>
          <w:sz w:val="24"/>
          <w:szCs w:val="24"/>
        </w:rPr>
        <w:t>R</w:t>
      </w:r>
      <w:r w:rsidRPr="007B0DB1">
        <w:rPr>
          <w:rFonts w:ascii="Times New Roman" w:hAnsi="Times New Roman" w:cs="Times New Roman"/>
          <w:b/>
          <w:sz w:val="24"/>
          <w:szCs w:val="24"/>
        </w:rPr>
        <w:t>esponse</w:t>
      </w:r>
    </w:p>
    <w:p w:rsidR="005B3085" w:rsidP="005B3085" w14:paraId="188F4D07" w14:textId="77777777">
      <w:pPr>
        <w:spacing w:after="0" w:line="240" w:lineRule="auto"/>
        <w:rPr>
          <w:rFonts w:ascii="Times New Roman" w:hAnsi="Times New Roman" w:cs="Times New Roman"/>
          <w:sz w:val="24"/>
          <w:szCs w:val="24"/>
        </w:rPr>
      </w:pPr>
    </w:p>
    <w:p w:rsidR="004327FF" w:rsidP="571C56B5" w14:paraId="3BE3AA89" w14:textId="7433AECC">
      <w:pPr>
        <w:spacing w:after="0" w:line="240" w:lineRule="auto"/>
        <w:rPr>
          <w:rFonts w:ascii="Times New Roman" w:hAnsi="Times New Roman" w:cs="Times New Roman"/>
          <w:sz w:val="24"/>
          <w:szCs w:val="24"/>
        </w:rPr>
      </w:pPr>
      <w:r w:rsidRPr="6CDA271E">
        <w:rPr>
          <w:rFonts w:ascii="Times New Roman" w:hAnsi="Times New Roman" w:cs="Times New Roman"/>
          <w:sz w:val="24"/>
          <w:szCs w:val="24"/>
        </w:rPr>
        <w:t xml:space="preserve">The 2007 </w:t>
      </w:r>
      <w:r w:rsidR="00CE0972">
        <w:rPr>
          <w:rFonts w:ascii="Times New Roman" w:hAnsi="Times New Roman" w:cs="Times New Roman"/>
          <w:sz w:val="24"/>
          <w:szCs w:val="24"/>
        </w:rPr>
        <w:t>CPO</w:t>
      </w:r>
      <w:r w:rsidR="00AC1EA0">
        <w:rPr>
          <w:rFonts w:ascii="Times New Roman" w:hAnsi="Times New Roman" w:cs="Times New Roman"/>
          <w:sz w:val="24"/>
          <w:szCs w:val="24"/>
        </w:rPr>
        <w:t xml:space="preserve"> </w:t>
      </w:r>
      <w:r w:rsidRPr="6CDA271E">
        <w:rPr>
          <w:rFonts w:ascii="Times New Roman" w:hAnsi="Times New Roman" w:cs="Times New Roman"/>
          <w:sz w:val="24"/>
          <w:szCs w:val="24"/>
        </w:rPr>
        <w:t xml:space="preserve">had a </w:t>
      </w:r>
      <w:r w:rsidR="008A73FB">
        <w:rPr>
          <w:rFonts w:ascii="Times New Roman" w:hAnsi="Times New Roman" w:cs="Times New Roman"/>
          <w:sz w:val="24"/>
          <w:szCs w:val="24"/>
        </w:rPr>
        <w:t>9</w:t>
      </w:r>
      <w:r w:rsidR="00342094">
        <w:rPr>
          <w:rFonts w:ascii="Times New Roman" w:hAnsi="Times New Roman" w:cs="Times New Roman"/>
          <w:sz w:val="24"/>
          <w:szCs w:val="24"/>
        </w:rPr>
        <w:t>5</w:t>
      </w:r>
      <w:r w:rsidRPr="6CDA271E">
        <w:rPr>
          <w:rFonts w:ascii="Times New Roman" w:hAnsi="Times New Roman" w:cs="Times New Roman"/>
          <w:sz w:val="24"/>
          <w:szCs w:val="24"/>
        </w:rPr>
        <w:t xml:space="preserve">% response rate </w:t>
      </w:r>
      <w:r w:rsidR="008A73FB">
        <w:rPr>
          <w:rFonts w:ascii="Times New Roman" w:hAnsi="Times New Roman" w:cs="Times New Roman"/>
          <w:sz w:val="24"/>
          <w:szCs w:val="24"/>
        </w:rPr>
        <w:t>and the 2020 NSP had a 67% response rate</w:t>
      </w:r>
      <w:r w:rsidRPr="6CDA271E">
        <w:rPr>
          <w:rFonts w:ascii="Times New Roman" w:hAnsi="Times New Roman" w:cs="Times New Roman"/>
          <w:sz w:val="24"/>
          <w:szCs w:val="24"/>
        </w:rPr>
        <w:t xml:space="preserve">. BJS anticipates the </w:t>
      </w:r>
      <w:r w:rsidR="009457E3">
        <w:rPr>
          <w:rFonts w:ascii="Times New Roman" w:hAnsi="Times New Roman" w:cs="Times New Roman"/>
          <w:sz w:val="24"/>
          <w:szCs w:val="24"/>
        </w:rPr>
        <w:t>2025 CPO</w:t>
      </w:r>
      <w:r w:rsidRPr="6CDA271E">
        <w:rPr>
          <w:rFonts w:ascii="Times New Roman" w:hAnsi="Times New Roman" w:cs="Times New Roman"/>
          <w:sz w:val="24"/>
          <w:szCs w:val="24"/>
        </w:rPr>
        <w:t xml:space="preserve"> will achieve an 85% response rate through various activities to ensure high response rates. </w:t>
      </w:r>
      <w:r w:rsidR="00FC4958">
        <w:rPr>
          <w:rFonts w:ascii="Times New Roman" w:hAnsi="Times New Roman" w:cs="Times New Roman"/>
          <w:sz w:val="24"/>
          <w:szCs w:val="24"/>
        </w:rPr>
        <w:t xml:space="preserve">BJS anticipates a response rate lower than the recommended OMB target of 95% due to falling response rates in establishment surveys </w:t>
      </w:r>
      <w:r w:rsidR="00225C3B">
        <w:rPr>
          <w:rFonts w:ascii="Times New Roman" w:hAnsi="Times New Roman" w:cs="Times New Roman"/>
          <w:sz w:val="24"/>
          <w:szCs w:val="24"/>
        </w:rPr>
        <w:t>across federal statistical agencies.</w:t>
      </w:r>
      <w:r>
        <w:rPr>
          <w:rStyle w:val="FootnoteReference"/>
          <w:rFonts w:ascii="Times New Roman" w:hAnsi="Times New Roman" w:cs="Times New Roman"/>
          <w:sz w:val="24"/>
          <w:szCs w:val="24"/>
        </w:rPr>
        <w:footnoteReference w:id="4"/>
      </w:r>
    </w:p>
    <w:p w:rsidR="004327FF" w:rsidRPr="002539F4" w:rsidP="008542A8" w14:paraId="6FD13977" w14:textId="77777777">
      <w:pPr>
        <w:spacing w:after="0" w:line="240" w:lineRule="auto"/>
        <w:rPr>
          <w:rFonts w:ascii="Times New Roman" w:hAnsi="Times New Roman" w:cs="Times New Roman"/>
          <w:bCs/>
          <w:iCs/>
          <w:sz w:val="24"/>
          <w:szCs w:val="24"/>
        </w:rPr>
      </w:pPr>
    </w:p>
    <w:p w:rsidR="008542A8" w:rsidRPr="008542A8" w:rsidP="008542A8" w14:paraId="05EE764E" w14:textId="08D3E84A">
      <w:pPr>
        <w:spacing w:after="0" w:line="240" w:lineRule="auto"/>
        <w:rPr>
          <w:rFonts w:ascii="Times New Roman" w:hAnsi="Times New Roman" w:cs="Times New Roman"/>
          <w:sz w:val="24"/>
          <w:szCs w:val="24"/>
        </w:rPr>
      </w:pPr>
      <w:r w:rsidRPr="008542A8">
        <w:rPr>
          <w:rFonts w:ascii="Times New Roman" w:hAnsi="Times New Roman" w:cs="Times New Roman"/>
          <w:b/>
          <w:i/>
          <w:sz w:val="24"/>
          <w:szCs w:val="24"/>
        </w:rPr>
        <w:t xml:space="preserve">Instrument development. </w:t>
      </w:r>
      <w:r w:rsidRPr="008542A8">
        <w:rPr>
          <w:rFonts w:ascii="Times New Roman" w:hAnsi="Times New Roman" w:cs="Times New Roman"/>
          <w:sz w:val="24"/>
          <w:szCs w:val="24"/>
        </w:rPr>
        <w:t xml:space="preserve">In developing the </w:t>
      </w:r>
      <w:r w:rsidR="009457E3">
        <w:rPr>
          <w:rFonts w:ascii="Times New Roman" w:hAnsi="Times New Roman" w:cs="Times New Roman"/>
          <w:sz w:val="24"/>
          <w:szCs w:val="24"/>
        </w:rPr>
        <w:t>2025 CPO</w:t>
      </w:r>
      <w:r w:rsidRPr="008542A8">
        <w:rPr>
          <w:rFonts w:ascii="Times New Roman" w:hAnsi="Times New Roman" w:cs="Times New Roman"/>
          <w:sz w:val="24"/>
          <w:szCs w:val="24"/>
        </w:rPr>
        <w:t xml:space="preserve"> instrument, the project team’s priority was to make an instrument </w:t>
      </w:r>
      <w:r w:rsidR="00996FED">
        <w:rPr>
          <w:rFonts w:ascii="Times New Roman" w:hAnsi="Times New Roman" w:cs="Times New Roman"/>
          <w:sz w:val="24"/>
          <w:szCs w:val="24"/>
        </w:rPr>
        <w:t xml:space="preserve">consistent </w:t>
      </w:r>
      <w:r w:rsidR="00A636E3">
        <w:rPr>
          <w:rFonts w:ascii="Times New Roman" w:hAnsi="Times New Roman" w:cs="Times New Roman"/>
          <w:sz w:val="24"/>
          <w:szCs w:val="24"/>
        </w:rPr>
        <w:t xml:space="preserve">with </w:t>
      </w:r>
      <w:r w:rsidRPr="008542A8">
        <w:rPr>
          <w:rFonts w:ascii="Times New Roman" w:hAnsi="Times New Roman" w:cs="Times New Roman"/>
          <w:sz w:val="24"/>
          <w:szCs w:val="24"/>
        </w:rPr>
        <w:t xml:space="preserve">the 2007 </w:t>
      </w:r>
      <w:r w:rsidR="007E155C">
        <w:rPr>
          <w:rFonts w:ascii="Times New Roman" w:hAnsi="Times New Roman" w:cs="Times New Roman"/>
          <w:sz w:val="24"/>
          <w:szCs w:val="24"/>
        </w:rPr>
        <w:t xml:space="preserve">census instrument </w:t>
      </w:r>
      <w:r w:rsidRPr="008542A8">
        <w:rPr>
          <w:rFonts w:ascii="Times New Roman" w:hAnsi="Times New Roman" w:cs="Times New Roman"/>
          <w:sz w:val="24"/>
          <w:szCs w:val="24"/>
        </w:rPr>
        <w:t xml:space="preserve">to permit comparisons over </w:t>
      </w:r>
      <w:r w:rsidRPr="008542A8" w:rsidR="006F78A8">
        <w:rPr>
          <w:rFonts w:ascii="Times New Roman" w:hAnsi="Times New Roman" w:cs="Times New Roman"/>
          <w:sz w:val="24"/>
          <w:szCs w:val="24"/>
        </w:rPr>
        <w:t>time</w:t>
      </w:r>
      <w:r w:rsidR="00650E5D">
        <w:rPr>
          <w:rFonts w:ascii="Times New Roman" w:hAnsi="Times New Roman" w:cs="Times New Roman"/>
          <w:sz w:val="24"/>
          <w:szCs w:val="24"/>
        </w:rPr>
        <w:t xml:space="preserve">. The </w:t>
      </w:r>
      <w:r w:rsidR="009457E3">
        <w:rPr>
          <w:rFonts w:ascii="Times New Roman" w:hAnsi="Times New Roman" w:cs="Times New Roman"/>
          <w:sz w:val="24"/>
          <w:szCs w:val="24"/>
        </w:rPr>
        <w:t>2025 CPO</w:t>
      </w:r>
      <w:r w:rsidR="001E2E4F">
        <w:rPr>
          <w:rFonts w:ascii="Times New Roman" w:hAnsi="Times New Roman" w:cs="Times New Roman"/>
          <w:sz w:val="24"/>
          <w:szCs w:val="24"/>
        </w:rPr>
        <w:t xml:space="preserve"> </w:t>
      </w:r>
      <w:r w:rsidR="00650E5D">
        <w:rPr>
          <w:rFonts w:ascii="Times New Roman" w:hAnsi="Times New Roman" w:cs="Times New Roman"/>
          <w:sz w:val="24"/>
          <w:szCs w:val="24"/>
        </w:rPr>
        <w:t>uses</w:t>
      </w:r>
      <w:r w:rsidR="008D05D4">
        <w:rPr>
          <w:rFonts w:ascii="Times New Roman" w:hAnsi="Times New Roman" w:cs="Times New Roman"/>
          <w:sz w:val="24"/>
          <w:szCs w:val="24"/>
        </w:rPr>
        <w:t xml:space="preserve"> definitions of key words from the 2020</w:t>
      </w:r>
      <w:r w:rsidR="007E155C">
        <w:rPr>
          <w:rFonts w:ascii="Times New Roman" w:hAnsi="Times New Roman" w:cs="Times New Roman"/>
          <w:sz w:val="24"/>
          <w:szCs w:val="24"/>
        </w:rPr>
        <w:t xml:space="preserve"> NSP</w:t>
      </w:r>
      <w:r w:rsidRPr="008542A8">
        <w:rPr>
          <w:rFonts w:ascii="Times New Roman" w:hAnsi="Times New Roman" w:cs="Times New Roman"/>
          <w:sz w:val="24"/>
          <w:szCs w:val="24"/>
        </w:rPr>
        <w:t xml:space="preserve">. The team also sought to address known problems with the wording of </w:t>
      </w:r>
      <w:r w:rsidR="00EC3183">
        <w:rPr>
          <w:rFonts w:ascii="Times New Roman" w:hAnsi="Times New Roman" w:cs="Times New Roman"/>
          <w:sz w:val="24"/>
          <w:szCs w:val="24"/>
        </w:rPr>
        <w:t>both</w:t>
      </w:r>
      <w:r w:rsidRPr="008542A8">
        <w:rPr>
          <w:rFonts w:ascii="Times New Roman" w:hAnsi="Times New Roman" w:cs="Times New Roman"/>
          <w:sz w:val="24"/>
          <w:szCs w:val="24"/>
        </w:rPr>
        <w:t xml:space="preserve"> instrument</w:t>
      </w:r>
      <w:r w:rsidR="00EC3183">
        <w:rPr>
          <w:rFonts w:ascii="Times New Roman" w:hAnsi="Times New Roman" w:cs="Times New Roman"/>
          <w:sz w:val="24"/>
          <w:szCs w:val="24"/>
        </w:rPr>
        <w:t>s</w:t>
      </w:r>
      <w:r w:rsidRPr="008542A8">
        <w:rPr>
          <w:rFonts w:ascii="Times New Roman" w:hAnsi="Times New Roman" w:cs="Times New Roman"/>
          <w:sz w:val="24"/>
          <w:szCs w:val="24"/>
        </w:rPr>
        <w:t xml:space="preserve">, </w:t>
      </w:r>
      <w:r w:rsidR="0060144E">
        <w:rPr>
          <w:rFonts w:ascii="Times New Roman" w:hAnsi="Times New Roman" w:cs="Times New Roman"/>
          <w:sz w:val="24"/>
          <w:szCs w:val="24"/>
        </w:rPr>
        <w:t xml:space="preserve">and </w:t>
      </w:r>
      <w:r w:rsidRPr="008542A8">
        <w:rPr>
          <w:rFonts w:ascii="Times New Roman" w:hAnsi="Times New Roman" w:cs="Times New Roman"/>
          <w:sz w:val="24"/>
          <w:szCs w:val="24"/>
        </w:rPr>
        <w:t>to update the instrument to reflect contemporary concerns.</w:t>
      </w:r>
    </w:p>
    <w:p w:rsidR="008542A8" w:rsidRPr="008542A8" w:rsidP="008542A8" w14:paraId="283D488F" w14:textId="77777777">
      <w:pPr>
        <w:spacing w:after="0" w:line="240" w:lineRule="auto"/>
        <w:rPr>
          <w:rFonts w:ascii="Times New Roman" w:hAnsi="Times New Roman" w:cs="Times New Roman"/>
          <w:sz w:val="24"/>
          <w:szCs w:val="24"/>
        </w:rPr>
      </w:pPr>
    </w:p>
    <w:p w:rsidR="008542A8" w:rsidRPr="00EB22CF" w:rsidP="00EB22CF" w14:paraId="52154E98" w14:textId="44830F49">
      <w:pPr>
        <w:spacing w:after="0"/>
        <w:rPr>
          <w:rFonts w:ascii="Times New Roman" w:eastAsia="Times New Roman" w:hAnsi="Times New Roman" w:cs="Times New Roman"/>
          <w:bCs/>
        </w:rPr>
      </w:pPr>
      <w:r w:rsidRPr="008542A8">
        <w:rPr>
          <w:rFonts w:ascii="Times New Roman" w:hAnsi="Times New Roman" w:cs="Times New Roman"/>
          <w:sz w:val="24"/>
          <w:szCs w:val="24"/>
        </w:rPr>
        <w:t xml:space="preserve">Because the </w:t>
      </w:r>
      <w:r w:rsidR="009457E3">
        <w:rPr>
          <w:rFonts w:ascii="Times New Roman" w:hAnsi="Times New Roman" w:cs="Times New Roman"/>
          <w:sz w:val="24"/>
          <w:szCs w:val="24"/>
        </w:rPr>
        <w:t>2025 CPO</w:t>
      </w:r>
      <w:r w:rsidRPr="008542A8">
        <w:rPr>
          <w:rFonts w:ascii="Times New Roman" w:hAnsi="Times New Roman" w:cs="Times New Roman"/>
          <w:sz w:val="24"/>
          <w:szCs w:val="24"/>
        </w:rPr>
        <w:t xml:space="preserve"> instrument is intended to be sent to </w:t>
      </w:r>
      <w:r w:rsidR="00EC3183">
        <w:rPr>
          <w:rFonts w:ascii="Times New Roman" w:hAnsi="Times New Roman" w:cs="Times New Roman"/>
          <w:sz w:val="24"/>
          <w:szCs w:val="24"/>
        </w:rPr>
        <w:t>prosecutor</w:t>
      </w:r>
      <w:r w:rsidRPr="008542A8">
        <w:rPr>
          <w:rFonts w:ascii="Times New Roman" w:hAnsi="Times New Roman" w:cs="Times New Roman"/>
          <w:sz w:val="24"/>
          <w:szCs w:val="24"/>
        </w:rPr>
        <w:t xml:space="preserve"> offices across the nation, consultation with subject matter experts was an essential part of instrument preparation. The process of revising the instrument began with the project team engaging in a series of meetings to discuss and update the 2007 </w:t>
      </w:r>
      <w:r w:rsidR="007E155C">
        <w:rPr>
          <w:rFonts w:ascii="Times New Roman" w:hAnsi="Times New Roman" w:cs="Times New Roman"/>
          <w:sz w:val="24"/>
          <w:szCs w:val="24"/>
        </w:rPr>
        <w:t>census</w:t>
      </w:r>
      <w:r w:rsidRPr="008542A8">
        <w:rPr>
          <w:rFonts w:ascii="Times New Roman" w:hAnsi="Times New Roman" w:cs="Times New Roman"/>
          <w:sz w:val="24"/>
          <w:szCs w:val="24"/>
        </w:rPr>
        <w:t xml:space="preserve"> instrument. </w:t>
      </w:r>
    </w:p>
    <w:p w:rsidR="008542A8" w:rsidRPr="008542A8" w:rsidP="008542A8" w14:paraId="16750359" w14:textId="77777777">
      <w:pPr>
        <w:spacing w:after="0" w:line="240" w:lineRule="auto"/>
        <w:rPr>
          <w:rFonts w:ascii="Times New Roman" w:hAnsi="Times New Roman" w:cs="Times New Roman"/>
          <w:sz w:val="24"/>
          <w:szCs w:val="24"/>
        </w:rPr>
      </w:pPr>
    </w:p>
    <w:p w:rsidR="008542A8" w:rsidRPr="008542A8" w:rsidP="008542A8" w14:paraId="220E36EA" w14:textId="15A6413B">
      <w:pPr>
        <w:spacing w:after="0" w:line="240" w:lineRule="auto"/>
        <w:rPr>
          <w:rFonts w:ascii="Times New Roman" w:hAnsi="Times New Roman" w:cs="Times New Roman"/>
          <w:sz w:val="24"/>
          <w:szCs w:val="24"/>
        </w:rPr>
      </w:pPr>
      <w:r>
        <w:rPr>
          <w:rFonts w:ascii="Times New Roman" w:hAnsi="Times New Roman" w:cs="Times New Roman"/>
          <w:sz w:val="24"/>
          <w:szCs w:val="24"/>
        </w:rPr>
        <w:t>The revisions made by Urban and approved by BJS prior to the expert panel meeting</w:t>
      </w:r>
      <w:r w:rsidRPr="008542A8">
        <w:rPr>
          <w:rFonts w:ascii="Times New Roman" w:hAnsi="Times New Roman" w:cs="Times New Roman"/>
          <w:sz w:val="24"/>
          <w:szCs w:val="24"/>
        </w:rPr>
        <w:t xml:space="preserve"> included:</w:t>
      </w:r>
    </w:p>
    <w:p w:rsidR="008542A8" w:rsidRPr="008542A8" w:rsidP="008542A8" w14:paraId="165D70B9" w14:textId="77777777">
      <w:pPr>
        <w:spacing w:after="0" w:line="240" w:lineRule="auto"/>
        <w:rPr>
          <w:rFonts w:ascii="Times New Roman" w:hAnsi="Times New Roman" w:cs="Times New Roman"/>
          <w:sz w:val="24"/>
          <w:szCs w:val="24"/>
        </w:rPr>
      </w:pPr>
    </w:p>
    <w:p w:rsidR="008542A8" w:rsidRPr="008542A8" w:rsidP="008542A8" w14:paraId="19BA2826" w14:textId="52796225">
      <w:pPr>
        <w:pStyle w:val="ListParagraph"/>
        <w:numPr>
          <w:ilvl w:val="0"/>
          <w:numId w:val="21"/>
        </w:numPr>
        <w:spacing w:after="0" w:line="240" w:lineRule="auto"/>
        <w:rPr>
          <w:rFonts w:ascii="Times New Roman" w:hAnsi="Times New Roman" w:cs="Times New Roman"/>
          <w:sz w:val="24"/>
          <w:szCs w:val="24"/>
        </w:rPr>
      </w:pPr>
      <w:r w:rsidRPr="15FCD9AB">
        <w:rPr>
          <w:rFonts w:ascii="Times New Roman" w:hAnsi="Times New Roman" w:cs="Times New Roman"/>
          <w:sz w:val="24"/>
          <w:szCs w:val="24"/>
        </w:rPr>
        <w:t xml:space="preserve">Straightforward wording updates (e.g., </w:t>
      </w:r>
      <w:r w:rsidR="00AC1EA0">
        <w:rPr>
          <w:rFonts w:ascii="Times New Roman" w:hAnsi="Times New Roman" w:cs="Times New Roman"/>
          <w:sz w:val="24"/>
          <w:szCs w:val="24"/>
        </w:rPr>
        <w:t>reference year updated to reflect most recent year of data</w:t>
      </w:r>
      <w:r w:rsidRPr="15FCD9AB">
        <w:rPr>
          <w:rFonts w:ascii="Times New Roman" w:hAnsi="Times New Roman" w:cs="Times New Roman"/>
          <w:sz w:val="24"/>
          <w:szCs w:val="24"/>
        </w:rPr>
        <w:t>);</w:t>
      </w:r>
    </w:p>
    <w:p w:rsidR="15FCD9AB" w:rsidP="15FCD9AB" w14:paraId="3E1FFEA5" w14:textId="43700756">
      <w:pPr>
        <w:pStyle w:val="ListParagraph"/>
        <w:numPr>
          <w:ilvl w:val="0"/>
          <w:numId w:val="21"/>
        </w:numPr>
        <w:spacing w:after="0" w:line="240" w:lineRule="auto"/>
        <w:rPr>
          <w:rFonts w:ascii="Times New Roman" w:hAnsi="Times New Roman" w:cs="Times New Roman"/>
          <w:sz w:val="24"/>
          <w:szCs w:val="24"/>
        </w:rPr>
      </w:pPr>
      <w:r w:rsidRPr="5831D765">
        <w:rPr>
          <w:rFonts w:ascii="Times New Roman" w:hAnsi="Times New Roman" w:cs="Times New Roman"/>
          <w:sz w:val="24"/>
          <w:szCs w:val="24"/>
        </w:rPr>
        <w:t>Addition of demographic questions about prosecutorial leadership and staff;</w:t>
      </w:r>
    </w:p>
    <w:p w:rsidR="5831D765" w:rsidP="5831D765" w14:paraId="42EC9183" w14:textId="4712F765">
      <w:pPr>
        <w:pStyle w:val="ListParagraph"/>
        <w:numPr>
          <w:ilvl w:val="0"/>
          <w:numId w:val="21"/>
        </w:numPr>
        <w:spacing w:after="0" w:line="240" w:lineRule="auto"/>
        <w:rPr>
          <w:rFonts w:ascii="Times New Roman" w:hAnsi="Times New Roman" w:cs="Times New Roman"/>
          <w:sz w:val="24"/>
          <w:szCs w:val="24"/>
        </w:rPr>
      </w:pPr>
      <w:r w:rsidRPr="5831D765">
        <w:rPr>
          <w:rFonts w:ascii="Times New Roman" w:hAnsi="Times New Roman" w:cs="Times New Roman"/>
          <w:sz w:val="24"/>
          <w:szCs w:val="24"/>
        </w:rPr>
        <w:t>Addition of questions to capture prosecutorial staff turnover, such as length of tenure, departures and hires, and number of vacant positions;</w:t>
      </w:r>
    </w:p>
    <w:p w:rsidR="3994DA4D" w:rsidP="3994DA4D" w14:paraId="2FA773EF" w14:textId="465E6924">
      <w:pPr>
        <w:pStyle w:val="ListParagraph"/>
        <w:numPr>
          <w:ilvl w:val="0"/>
          <w:numId w:val="21"/>
        </w:numPr>
        <w:spacing w:after="0" w:line="240" w:lineRule="auto"/>
        <w:rPr>
          <w:rFonts w:ascii="Times New Roman" w:hAnsi="Times New Roman" w:cs="Times New Roman"/>
          <w:sz w:val="24"/>
          <w:szCs w:val="24"/>
        </w:rPr>
      </w:pPr>
      <w:r w:rsidRPr="32DFB640">
        <w:rPr>
          <w:rFonts w:ascii="Times New Roman" w:hAnsi="Times New Roman" w:cs="Times New Roman"/>
          <w:sz w:val="24"/>
          <w:szCs w:val="24"/>
        </w:rPr>
        <w:t xml:space="preserve">Addition of questions about matters </w:t>
      </w:r>
      <w:r w:rsidRPr="32DFB640">
        <w:rPr>
          <w:rFonts w:ascii="Times New Roman" w:hAnsi="Times New Roman" w:cs="Times New Roman"/>
          <w:sz w:val="24"/>
          <w:szCs w:val="24"/>
        </w:rPr>
        <w:t>referred</w:t>
      </w:r>
      <w:r w:rsidRPr="32DFB640">
        <w:rPr>
          <w:rFonts w:ascii="Times New Roman" w:hAnsi="Times New Roman" w:cs="Times New Roman"/>
          <w:sz w:val="24"/>
          <w:szCs w:val="24"/>
        </w:rPr>
        <w:t>, filed, diverted, and closed for a more comprehensive understanding of caseloads;</w:t>
      </w:r>
    </w:p>
    <w:p w:rsidR="29D0F134" w:rsidP="29D0F134" w14:paraId="25F460E3" w14:textId="0C965B97">
      <w:pPr>
        <w:pStyle w:val="ListParagraph"/>
        <w:numPr>
          <w:ilvl w:val="0"/>
          <w:numId w:val="21"/>
        </w:numPr>
        <w:spacing w:after="0" w:line="240" w:lineRule="auto"/>
        <w:rPr>
          <w:rFonts w:ascii="Times New Roman" w:hAnsi="Times New Roman" w:cs="Times New Roman"/>
          <w:sz w:val="24"/>
          <w:szCs w:val="24"/>
        </w:rPr>
      </w:pPr>
      <w:r w:rsidRPr="60A677D9">
        <w:rPr>
          <w:rFonts w:ascii="Times New Roman" w:hAnsi="Times New Roman" w:cs="Times New Roman"/>
          <w:sz w:val="24"/>
          <w:szCs w:val="24"/>
        </w:rPr>
        <w:t>Addition of a section on transparency and data dissemination to understand how prosecutorial data are collected and shared.</w:t>
      </w:r>
    </w:p>
    <w:p w:rsidR="008542A8" w:rsidRPr="008542A8" w:rsidP="008542A8" w14:paraId="1FECE200" w14:textId="77777777">
      <w:pPr>
        <w:spacing w:after="0" w:line="240" w:lineRule="auto"/>
        <w:rPr>
          <w:rFonts w:ascii="Times New Roman" w:hAnsi="Times New Roman" w:cs="Times New Roman"/>
          <w:sz w:val="24"/>
          <w:szCs w:val="24"/>
        </w:rPr>
      </w:pPr>
    </w:p>
    <w:p w:rsidR="008542A8" w:rsidRPr="008542A8" w:rsidP="00950B45" w14:paraId="5DA6CD8D" w14:textId="7809F037">
      <w:pPr>
        <w:spacing w:after="0"/>
        <w:rPr>
          <w:rFonts w:ascii="Times New Roman" w:hAnsi="Times New Roman" w:cs="Times New Roman"/>
          <w:sz w:val="24"/>
          <w:szCs w:val="24"/>
        </w:rPr>
      </w:pPr>
      <w:bookmarkStart w:id="2" w:name="_Hlk225945759"/>
      <w:r w:rsidRPr="6CDA271E">
        <w:rPr>
          <w:rFonts w:ascii="Times New Roman" w:hAnsi="Times New Roman" w:cs="Times New Roman"/>
          <w:sz w:val="24"/>
          <w:szCs w:val="24"/>
        </w:rPr>
        <w:t xml:space="preserve">The project team met with a subject matter expert panel </w:t>
      </w:r>
      <w:r w:rsidR="00D6163A">
        <w:rPr>
          <w:rFonts w:ascii="Times New Roman" w:hAnsi="Times New Roman" w:cs="Times New Roman"/>
          <w:sz w:val="24"/>
          <w:szCs w:val="24"/>
        </w:rPr>
        <w:t xml:space="preserve">of 19 individuals </w:t>
      </w:r>
      <w:r w:rsidRPr="6CDA271E">
        <w:rPr>
          <w:rFonts w:ascii="Times New Roman" w:hAnsi="Times New Roman" w:cs="Times New Roman"/>
          <w:sz w:val="24"/>
          <w:szCs w:val="24"/>
        </w:rPr>
        <w:t>virtually in August 2024 to discuss issues where input from the field was especially important</w:t>
      </w:r>
      <w:r w:rsidRPr="000C67BA">
        <w:rPr>
          <w:rFonts w:ascii="Times New Roman" w:hAnsi="Times New Roman" w:cs="Times New Roman"/>
          <w:sz w:val="24"/>
          <w:szCs w:val="24"/>
        </w:rPr>
        <w:t xml:space="preserve">. </w:t>
      </w:r>
      <w:r w:rsidRPr="00EB22CF" w:rsidR="004D1230">
        <w:rPr>
          <w:rFonts w:ascii="Times New Roman" w:eastAsia="Times New Roman" w:hAnsi="Times New Roman" w:cs="Times New Roman"/>
          <w:bCs/>
          <w:sz w:val="24"/>
          <w:szCs w:val="24"/>
        </w:rPr>
        <w:t>The panel included 19 individuals</w:t>
      </w:r>
      <w:r w:rsidR="00D6163A">
        <w:rPr>
          <w:rFonts w:ascii="Times New Roman" w:eastAsia="Times New Roman" w:hAnsi="Times New Roman" w:cs="Times New Roman"/>
          <w:bCs/>
          <w:sz w:val="24"/>
          <w:szCs w:val="24"/>
        </w:rPr>
        <w:t xml:space="preserve">. </w:t>
      </w:r>
      <w:bookmarkEnd w:id="2"/>
      <w:r w:rsidRPr="6CDA271E">
        <w:rPr>
          <w:rFonts w:ascii="Times New Roman" w:hAnsi="Times New Roman" w:cs="Times New Roman"/>
          <w:sz w:val="24"/>
          <w:szCs w:val="24"/>
        </w:rPr>
        <w:t>As a result of the expert panel meeting, the following changes were made:</w:t>
      </w:r>
    </w:p>
    <w:p w:rsidR="008542A8" w:rsidRPr="008542A8" w:rsidP="008542A8" w14:paraId="632872DC" w14:textId="77777777">
      <w:pPr>
        <w:spacing w:after="0" w:line="240" w:lineRule="auto"/>
        <w:rPr>
          <w:rFonts w:ascii="Times New Roman" w:hAnsi="Times New Roman" w:cs="Times New Roman"/>
          <w:sz w:val="24"/>
          <w:szCs w:val="24"/>
        </w:rPr>
      </w:pPr>
    </w:p>
    <w:p w:rsidR="636ED05E" w:rsidP="636ED05E" w14:paraId="29E8FB1C" w14:textId="5D805CEE">
      <w:pPr>
        <w:pStyle w:val="ListParagraph"/>
        <w:numPr>
          <w:ilvl w:val="0"/>
          <w:numId w:val="22"/>
        </w:numPr>
        <w:spacing w:after="0" w:line="240" w:lineRule="auto"/>
        <w:rPr>
          <w:rFonts w:ascii="Times New Roman" w:hAnsi="Times New Roman" w:cs="Times New Roman"/>
          <w:sz w:val="24"/>
          <w:szCs w:val="24"/>
        </w:rPr>
      </w:pPr>
      <w:r w:rsidRPr="616E8128">
        <w:rPr>
          <w:rFonts w:ascii="Times New Roman" w:hAnsi="Times New Roman" w:cs="Times New Roman"/>
          <w:sz w:val="24"/>
          <w:szCs w:val="24"/>
        </w:rPr>
        <w:t>Revision of staffing questions to differentiate between full-time litigating attorneys, part-time litigating attorneys, and non-attorney staff;</w:t>
      </w:r>
    </w:p>
    <w:p w:rsidR="616E8128" w:rsidP="616E8128" w14:paraId="672AD639" w14:textId="262A5B1D">
      <w:pPr>
        <w:pStyle w:val="ListParagraph"/>
        <w:numPr>
          <w:ilvl w:val="0"/>
          <w:numId w:val="22"/>
        </w:numPr>
        <w:spacing w:after="0" w:line="240" w:lineRule="auto"/>
        <w:rPr>
          <w:rFonts w:ascii="Times New Roman" w:hAnsi="Times New Roman" w:cs="Times New Roman"/>
          <w:sz w:val="24"/>
          <w:szCs w:val="24"/>
        </w:rPr>
      </w:pPr>
      <w:r w:rsidRPr="616E8128">
        <w:rPr>
          <w:rFonts w:ascii="Times New Roman" w:hAnsi="Times New Roman" w:cs="Times New Roman"/>
          <w:sz w:val="24"/>
          <w:szCs w:val="24"/>
        </w:rPr>
        <w:t>Addition of the option to report expenditures by calendar year or fiscal year;</w:t>
      </w:r>
    </w:p>
    <w:p w:rsidR="616E8128" w:rsidP="616E8128" w14:paraId="3B1C04FA" w14:textId="000388C5">
      <w:pPr>
        <w:pStyle w:val="ListParagraph"/>
        <w:numPr>
          <w:ilvl w:val="0"/>
          <w:numId w:val="22"/>
        </w:numPr>
        <w:spacing w:after="0" w:line="240" w:lineRule="auto"/>
        <w:rPr>
          <w:rFonts w:ascii="Times New Roman" w:hAnsi="Times New Roman" w:cs="Times New Roman"/>
          <w:sz w:val="24"/>
          <w:szCs w:val="24"/>
        </w:rPr>
      </w:pPr>
      <w:r w:rsidRPr="616E8128">
        <w:rPr>
          <w:rFonts w:ascii="Times New Roman" w:hAnsi="Times New Roman" w:cs="Times New Roman"/>
          <w:sz w:val="24"/>
          <w:szCs w:val="24"/>
        </w:rPr>
        <w:t xml:space="preserve">Addition of detailed definitions of key terms in each section, such as “case,” “matter,” and “operating expenditures”; </w:t>
      </w:r>
    </w:p>
    <w:p w:rsidR="616E8128" w:rsidP="616E8128" w14:paraId="43D6BB96" w14:textId="3106B670">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Addition</w:t>
      </w:r>
      <w:r w:rsidRPr="120E50B6" w:rsidR="120E50B6">
        <w:rPr>
          <w:rFonts w:ascii="Times New Roman" w:hAnsi="Times New Roman" w:cs="Times New Roman"/>
          <w:sz w:val="24"/>
          <w:szCs w:val="24"/>
        </w:rPr>
        <w:t xml:space="preserve"> of a table to separately indicate the number of matters reviewed, matters declined, and case</w:t>
      </w:r>
      <w:r w:rsidR="0060144E">
        <w:rPr>
          <w:rFonts w:ascii="Times New Roman" w:hAnsi="Times New Roman" w:cs="Times New Roman"/>
          <w:sz w:val="24"/>
          <w:szCs w:val="24"/>
        </w:rPr>
        <w:t>s</w:t>
      </w:r>
      <w:r w:rsidRPr="120E50B6" w:rsidR="120E50B6">
        <w:rPr>
          <w:rFonts w:ascii="Times New Roman" w:hAnsi="Times New Roman" w:cs="Times New Roman"/>
          <w:sz w:val="24"/>
          <w:szCs w:val="24"/>
        </w:rPr>
        <w:t xml:space="preserve"> filed in court for felony matters;</w:t>
      </w:r>
      <w:r w:rsidR="00342094">
        <w:rPr>
          <w:rFonts w:ascii="Times New Roman" w:hAnsi="Times New Roman" w:cs="Times New Roman"/>
          <w:sz w:val="24"/>
          <w:szCs w:val="24"/>
        </w:rPr>
        <w:t xml:space="preserve"> and</w:t>
      </w:r>
    </w:p>
    <w:p w:rsidR="120E50B6" w:rsidP="120E50B6" w14:paraId="48E90294" w14:textId="31B20899">
      <w:pPr>
        <w:pStyle w:val="ListParagraph"/>
        <w:numPr>
          <w:ilvl w:val="0"/>
          <w:numId w:val="22"/>
        </w:numPr>
        <w:spacing w:after="0" w:line="240" w:lineRule="auto"/>
        <w:rPr>
          <w:rFonts w:ascii="Times New Roman" w:hAnsi="Times New Roman" w:cs="Times New Roman"/>
          <w:sz w:val="24"/>
          <w:szCs w:val="24"/>
        </w:rPr>
      </w:pPr>
      <w:r w:rsidRPr="120E50B6">
        <w:rPr>
          <w:rFonts w:ascii="Times New Roman" w:hAnsi="Times New Roman" w:cs="Times New Roman"/>
          <w:sz w:val="24"/>
          <w:szCs w:val="24"/>
        </w:rPr>
        <w:t>Reduction of the section on transparency and data dissemination into one question on methods for sharing data with the public</w:t>
      </w:r>
      <w:r w:rsidR="00342094">
        <w:rPr>
          <w:rFonts w:ascii="Times New Roman" w:hAnsi="Times New Roman" w:cs="Times New Roman"/>
          <w:sz w:val="24"/>
          <w:szCs w:val="24"/>
        </w:rPr>
        <w:t>.</w:t>
      </w:r>
    </w:p>
    <w:p w:rsidR="008542A8" w:rsidRPr="008542A8" w:rsidP="008542A8" w14:paraId="5F1D93B0" w14:textId="77777777">
      <w:pPr>
        <w:spacing w:after="0" w:line="240" w:lineRule="auto"/>
        <w:rPr>
          <w:rFonts w:ascii="Times New Roman" w:hAnsi="Times New Roman" w:cs="Times New Roman"/>
          <w:sz w:val="24"/>
          <w:szCs w:val="24"/>
        </w:rPr>
      </w:pPr>
    </w:p>
    <w:p w:rsidR="0085544D" w:rsidP="217CAAB7" w14:paraId="612E9B63" w14:textId="262143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 </w:t>
      </w:r>
      <w:r>
        <w:rPr>
          <w:rFonts w:ascii="Times New Roman" w:hAnsi="Times New Roman" w:cs="Times New Roman"/>
          <w:sz w:val="24"/>
          <w:szCs w:val="24"/>
        </w:rPr>
        <w:t xml:space="preserve">revisions developed due to cognitive test respondent feedback are detailed below in the “Testing of Procedures” section. </w:t>
      </w:r>
    </w:p>
    <w:p w:rsidR="0085544D" w:rsidP="217CAAB7" w14:paraId="5C05AD65" w14:textId="77777777">
      <w:pPr>
        <w:spacing w:after="0" w:line="240" w:lineRule="auto"/>
        <w:rPr>
          <w:rFonts w:ascii="Times New Roman" w:hAnsi="Times New Roman" w:cs="Times New Roman"/>
          <w:sz w:val="24"/>
          <w:szCs w:val="24"/>
        </w:rPr>
      </w:pPr>
    </w:p>
    <w:p w:rsidR="008542A8" w:rsidP="217CAAB7" w14:paraId="75FFB37B" w14:textId="3051742E">
      <w:pPr>
        <w:spacing w:after="0" w:line="240" w:lineRule="auto"/>
        <w:rPr>
          <w:rFonts w:ascii="Times New Roman" w:hAnsi="Times New Roman" w:cs="Times New Roman"/>
          <w:sz w:val="24"/>
          <w:szCs w:val="24"/>
        </w:rPr>
      </w:pPr>
      <w:r w:rsidRPr="6CDA271E">
        <w:rPr>
          <w:rFonts w:ascii="Times New Roman" w:hAnsi="Times New Roman" w:cs="Times New Roman"/>
          <w:sz w:val="24"/>
          <w:szCs w:val="24"/>
        </w:rPr>
        <w:t>The final instrument (</w:t>
      </w:r>
      <w:r w:rsidRPr="6CDA271E">
        <w:rPr>
          <w:rFonts w:ascii="Times New Roman" w:hAnsi="Times New Roman" w:cs="Times New Roman"/>
          <w:b/>
          <w:bCs/>
          <w:sz w:val="24"/>
          <w:szCs w:val="24"/>
        </w:rPr>
        <w:t>Attachment 1</w:t>
      </w:r>
      <w:r w:rsidRPr="6CDA271E">
        <w:rPr>
          <w:rFonts w:ascii="Times New Roman" w:hAnsi="Times New Roman" w:cs="Times New Roman"/>
          <w:sz w:val="24"/>
          <w:szCs w:val="24"/>
        </w:rPr>
        <w:t xml:space="preserve">) will be supported by various help functions to maximize response rates. The project email and </w:t>
      </w:r>
      <w:r w:rsidR="009457E3">
        <w:rPr>
          <w:rFonts w:ascii="Times New Roman" w:hAnsi="Times New Roman" w:cs="Times New Roman"/>
          <w:sz w:val="24"/>
          <w:szCs w:val="24"/>
        </w:rPr>
        <w:t>2025 CPO</w:t>
      </w:r>
      <w:r w:rsidRPr="6CDA271E">
        <w:rPr>
          <w:rFonts w:ascii="Times New Roman" w:hAnsi="Times New Roman" w:cs="Times New Roman"/>
          <w:sz w:val="24"/>
          <w:szCs w:val="24"/>
        </w:rPr>
        <w:t xml:space="preserve"> team leadership’s phone numbers will appear on the introductory page of the survey and on the emails shared with the questionnaire and all other recruitment materials. </w:t>
      </w:r>
      <w:r w:rsidR="00091313">
        <w:rPr>
          <w:rFonts w:ascii="Times New Roman" w:hAnsi="Times New Roman" w:cs="Times New Roman"/>
          <w:sz w:val="24"/>
          <w:szCs w:val="24"/>
        </w:rPr>
        <w:t>Additionally, t</w:t>
      </w:r>
      <w:r w:rsidRPr="6CDA271E">
        <w:rPr>
          <w:rFonts w:ascii="Times New Roman" w:hAnsi="Times New Roman" w:cs="Times New Roman"/>
          <w:sz w:val="24"/>
          <w:szCs w:val="24"/>
        </w:rPr>
        <w:t xml:space="preserve">he </w:t>
      </w:r>
      <w:r w:rsidR="00091313">
        <w:rPr>
          <w:rFonts w:ascii="Times New Roman" w:hAnsi="Times New Roman" w:cs="Times New Roman"/>
          <w:sz w:val="24"/>
          <w:szCs w:val="24"/>
        </w:rPr>
        <w:t xml:space="preserve">web-based </w:t>
      </w:r>
      <w:r w:rsidRPr="6CDA271E">
        <w:rPr>
          <w:rFonts w:ascii="Times New Roman" w:hAnsi="Times New Roman" w:cs="Times New Roman"/>
          <w:sz w:val="24"/>
          <w:szCs w:val="24"/>
        </w:rPr>
        <w:t>survey is programmed so that responses are captured and saved in real-time as they are entered</w:t>
      </w:r>
      <w:r w:rsidR="004D1230">
        <w:rPr>
          <w:rFonts w:ascii="Times New Roman" w:hAnsi="Times New Roman" w:cs="Times New Roman"/>
          <w:sz w:val="24"/>
          <w:szCs w:val="24"/>
        </w:rPr>
        <w:t>. This</w:t>
      </w:r>
      <w:r w:rsidRPr="6CDA271E">
        <w:rPr>
          <w:rFonts w:ascii="Times New Roman" w:hAnsi="Times New Roman" w:cs="Times New Roman"/>
          <w:sz w:val="24"/>
          <w:szCs w:val="24"/>
        </w:rPr>
        <w:t xml:space="preserve"> </w:t>
      </w:r>
      <w:r w:rsidRPr="6CDA271E" w:rsidR="004D1230">
        <w:rPr>
          <w:rFonts w:ascii="Times New Roman" w:hAnsi="Times New Roman" w:cs="Times New Roman"/>
          <w:sz w:val="24"/>
          <w:szCs w:val="24"/>
        </w:rPr>
        <w:t>allow</w:t>
      </w:r>
      <w:r w:rsidR="004D1230">
        <w:rPr>
          <w:rFonts w:ascii="Times New Roman" w:hAnsi="Times New Roman" w:cs="Times New Roman"/>
          <w:sz w:val="24"/>
          <w:szCs w:val="24"/>
        </w:rPr>
        <w:t>s</w:t>
      </w:r>
      <w:r w:rsidRPr="6CDA271E" w:rsidR="004D1230">
        <w:rPr>
          <w:rFonts w:ascii="Times New Roman" w:hAnsi="Times New Roman" w:cs="Times New Roman"/>
          <w:sz w:val="24"/>
          <w:szCs w:val="24"/>
        </w:rPr>
        <w:t xml:space="preserve"> </w:t>
      </w:r>
      <w:r w:rsidRPr="6CDA271E">
        <w:rPr>
          <w:rFonts w:ascii="Times New Roman" w:hAnsi="Times New Roman" w:cs="Times New Roman"/>
          <w:sz w:val="24"/>
          <w:szCs w:val="24"/>
        </w:rPr>
        <w:t xml:space="preserve">the </w:t>
      </w:r>
      <w:r w:rsidRPr="6CDA271E">
        <w:rPr>
          <w:rFonts w:ascii="Times New Roman" w:hAnsi="Times New Roman" w:cs="Times New Roman"/>
          <w:sz w:val="24"/>
          <w:szCs w:val="24"/>
        </w:rPr>
        <w:t>respondent</w:t>
      </w:r>
      <w:r w:rsidRPr="6CDA271E">
        <w:rPr>
          <w:rFonts w:ascii="Times New Roman" w:hAnsi="Times New Roman" w:cs="Times New Roman"/>
          <w:sz w:val="24"/>
          <w:szCs w:val="24"/>
        </w:rPr>
        <w:t xml:space="preserve"> to complete the </w:t>
      </w:r>
      <w:r w:rsidRPr="6CDA271E">
        <w:rPr>
          <w:rFonts w:ascii="Times New Roman" w:hAnsi="Times New Roman" w:cs="Times New Roman"/>
          <w:sz w:val="24"/>
          <w:szCs w:val="24"/>
        </w:rPr>
        <w:t>survey</w:t>
      </w:r>
      <w:r w:rsidR="00091313">
        <w:rPr>
          <w:rFonts w:ascii="Times New Roman" w:hAnsi="Times New Roman" w:cs="Times New Roman"/>
          <w:sz w:val="24"/>
          <w:szCs w:val="24"/>
        </w:rPr>
        <w:t xml:space="preserve"> where they left off and</w:t>
      </w:r>
      <w:r w:rsidRPr="6CDA271E">
        <w:rPr>
          <w:rFonts w:ascii="Times New Roman" w:hAnsi="Times New Roman" w:cs="Times New Roman"/>
          <w:sz w:val="24"/>
          <w:szCs w:val="24"/>
        </w:rPr>
        <w:t xml:space="preserve"> as they have time. The survey will be on the Voxco platform. </w:t>
      </w:r>
      <w:r w:rsidR="00091313">
        <w:rPr>
          <w:rFonts w:ascii="Times New Roman" w:hAnsi="Times New Roman" w:cs="Times New Roman"/>
          <w:sz w:val="24"/>
          <w:szCs w:val="24"/>
        </w:rPr>
        <w:t>Voxco allows</w:t>
      </w:r>
      <w:r w:rsidR="004D1230">
        <w:rPr>
          <w:rFonts w:ascii="Times New Roman" w:hAnsi="Times New Roman" w:cs="Times New Roman"/>
          <w:sz w:val="24"/>
          <w:szCs w:val="24"/>
        </w:rPr>
        <w:t xml:space="preserve"> </w:t>
      </w:r>
      <w:r w:rsidR="00091313">
        <w:rPr>
          <w:rFonts w:ascii="Times New Roman" w:hAnsi="Times New Roman" w:cs="Times New Roman"/>
          <w:sz w:val="24"/>
          <w:szCs w:val="24"/>
        </w:rPr>
        <w:t>a unique</w:t>
      </w:r>
      <w:r w:rsidRPr="6CDA271E">
        <w:rPr>
          <w:rFonts w:ascii="Times New Roman" w:hAnsi="Times New Roman" w:cs="Times New Roman"/>
          <w:sz w:val="24"/>
          <w:szCs w:val="24"/>
        </w:rPr>
        <w:t xml:space="preserve"> PIN </w:t>
      </w:r>
      <w:r w:rsidR="00091313">
        <w:rPr>
          <w:rFonts w:ascii="Times New Roman" w:hAnsi="Times New Roman" w:cs="Times New Roman"/>
          <w:sz w:val="24"/>
          <w:szCs w:val="24"/>
        </w:rPr>
        <w:t>to be assigned to</w:t>
      </w:r>
      <w:r w:rsidRPr="6CDA271E" w:rsidR="00091313">
        <w:rPr>
          <w:rFonts w:ascii="Times New Roman" w:hAnsi="Times New Roman" w:cs="Times New Roman"/>
          <w:sz w:val="24"/>
          <w:szCs w:val="24"/>
        </w:rPr>
        <w:t xml:space="preserve"> </w:t>
      </w:r>
      <w:r w:rsidRPr="6CDA271E">
        <w:rPr>
          <w:rFonts w:ascii="Times New Roman" w:hAnsi="Times New Roman" w:cs="Times New Roman"/>
          <w:sz w:val="24"/>
          <w:szCs w:val="24"/>
        </w:rPr>
        <w:t>each office, provide</w:t>
      </w:r>
      <w:r w:rsidR="00091313">
        <w:rPr>
          <w:rFonts w:ascii="Times New Roman" w:hAnsi="Times New Roman" w:cs="Times New Roman"/>
          <w:sz w:val="24"/>
          <w:szCs w:val="24"/>
        </w:rPr>
        <w:t>s</w:t>
      </w:r>
      <w:r w:rsidRPr="6CDA271E">
        <w:rPr>
          <w:rFonts w:ascii="Times New Roman" w:hAnsi="Times New Roman" w:cs="Times New Roman"/>
          <w:sz w:val="24"/>
          <w:szCs w:val="24"/>
        </w:rPr>
        <w:t xml:space="preserve"> easier non-response tracking, and allow</w:t>
      </w:r>
      <w:r w:rsidR="00091313">
        <w:rPr>
          <w:rFonts w:ascii="Times New Roman" w:hAnsi="Times New Roman" w:cs="Times New Roman"/>
          <w:sz w:val="24"/>
          <w:szCs w:val="24"/>
        </w:rPr>
        <w:t>s</w:t>
      </w:r>
      <w:r w:rsidRPr="6CDA271E">
        <w:rPr>
          <w:rFonts w:ascii="Times New Roman" w:hAnsi="Times New Roman" w:cs="Times New Roman"/>
          <w:sz w:val="24"/>
          <w:szCs w:val="24"/>
        </w:rPr>
        <w:t xml:space="preserve"> for multiple delegates in the office to respond to the questionnaire. By setting up a unique PIN, </w:t>
      </w:r>
      <w:r w:rsidR="00091313">
        <w:rPr>
          <w:rFonts w:ascii="Times New Roman" w:hAnsi="Times New Roman" w:cs="Times New Roman"/>
          <w:sz w:val="24"/>
          <w:szCs w:val="24"/>
        </w:rPr>
        <w:t>respondents</w:t>
      </w:r>
      <w:r w:rsidRPr="6CDA271E" w:rsidR="00091313">
        <w:rPr>
          <w:rFonts w:ascii="Times New Roman" w:hAnsi="Times New Roman" w:cs="Times New Roman"/>
          <w:sz w:val="24"/>
          <w:szCs w:val="24"/>
        </w:rPr>
        <w:t xml:space="preserve"> </w:t>
      </w:r>
      <w:r w:rsidRPr="6CDA271E">
        <w:rPr>
          <w:rFonts w:ascii="Times New Roman" w:hAnsi="Times New Roman" w:cs="Times New Roman"/>
          <w:sz w:val="24"/>
          <w:szCs w:val="24"/>
        </w:rPr>
        <w:t xml:space="preserve">can </w:t>
      </w:r>
      <w:r w:rsidR="007809F1">
        <w:rPr>
          <w:rFonts w:ascii="Times New Roman" w:hAnsi="Times New Roman" w:cs="Times New Roman"/>
          <w:sz w:val="24"/>
          <w:szCs w:val="24"/>
        </w:rPr>
        <w:t xml:space="preserve">open and </w:t>
      </w:r>
      <w:r w:rsidRPr="6CDA271E">
        <w:rPr>
          <w:rFonts w:ascii="Times New Roman" w:hAnsi="Times New Roman" w:cs="Times New Roman"/>
          <w:sz w:val="24"/>
          <w:szCs w:val="24"/>
        </w:rPr>
        <w:t xml:space="preserve">save it from any device; as </w:t>
      </w:r>
      <w:r w:rsidR="004D1230">
        <w:rPr>
          <w:rFonts w:ascii="Times New Roman" w:hAnsi="Times New Roman" w:cs="Times New Roman"/>
          <w:sz w:val="24"/>
          <w:szCs w:val="24"/>
        </w:rPr>
        <w:t>they</w:t>
      </w:r>
      <w:r w:rsidRPr="6CDA271E" w:rsidR="004D1230">
        <w:rPr>
          <w:rFonts w:ascii="Times New Roman" w:hAnsi="Times New Roman" w:cs="Times New Roman"/>
          <w:sz w:val="24"/>
          <w:szCs w:val="24"/>
        </w:rPr>
        <w:t xml:space="preserve"> </w:t>
      </w:r>
      <w:r w:rsidRPr="6CDA271E">
        <w:rPr>
          <w:rFonts w:ascii="Times New Roman" w:hAnsi="Times New Roman" w:cs="Times New Roman"/>
          <w:sz w:val="24"/>
          <w:szCs w:val="24"/>
        </w:rPr>
        <w:t xml:space="preserve">advance to a new page, it saves automatically. The survey </w:t>
      </w:r>
      <w:r w:rsidR="007809F1">
        <w:rPr>
          <w:rFonts w:ascii="Times New Roman" w:hAnsi="Times New Roman" w:cs="Times New Roman"/>
          <w:sz w:val="24"/>
          <w:szCs w:val="24"/>
        </w:rPr>
        <w:t xml:space="preserve">can be shared easily among staff. </w:t>
      </w:r>
      <w:r w:rsidRPr="6CDA271E">
        <w:rPr>
          <w:rFonts w:ascii="Times New Roman" w:hAnsi="Times New Roman" w:cs="Times New Roman"/>
          <w:sz w:val="24"/>
          <w:szCs w:val="24"/>
        </w:rPr>
        <w:t xml:space="preserve"> </w:t>
      </w:r>
      <w:r w:rsidR="007809F1">
        <w:rPr>
          <w:rFonts w:ascii="Times New Roman" w:hAnsi="Times New Roman" w:cs="Times New Roman"/>
          <w:sz w:val="24"/>
          <w:szCs w:val="24"/>
        </w:rPr>
        <w:t>The chief prosecutor can</w:t>
      </w:r>
      <w:r w:rsidRPr="6CDA271E">
        <w:rPr>
          <w:rFonts w:ascii="Times New Roman" w:hAnsi="Times New Roman" w:cs="Times New Roman"/>
          <w:sz w:val="24"/>
          <w:szCs w:val="24"/>
        </w:rPr>
        <w:t xml:space="preserve"> delegate</w:t>
      </w:r>
      <w:r w:rsidR="008F4C14">
        <w:rPr>
          <w:rFonts w:ascii="Times New Roman" w:hAnsi="Times New Roman" w:cs="Times New Roman"/>
          <w:sz w:val="24"/>
          <w:szCs w:val="24"/>
        </w:rPr>
        <w:t xml:space="preserve"> </w:t>
      </w:r>
      <w:r w:rsidR="007809F1">
        <w:rPr>
          <w:rFonts w:ascii="Times New Roman" w:hAnsi="Times New Roman" w:cs="Times New Roman"/>
          <w:sz w:val="24"/>
          <w:szCs w:val="24"/>
        </w:rPr>
        <w:t xml:space="preserve">the survey to others </w:t>
      </w:r>
      <w:r w:rsidR="008F4C14">
        <w:rPr>
          <w:rFonts w:ascii="Times New Roman" w:hAnsi="Times New Roman" w:cs="Times New Roman"/>
          <w:sz w:val="24"/>
          <w:szCs w:val="24"/>
        </w:rPr>
        <w:t xml:space="preserve">by </w:t>
      </w:r>
      <w:r w:rsidR="004D1230">
        <w:rPr>
          <w:rFonts w:ascii="Times New Roman" w:hAnsi="Times New Roman" w:cs="Times New Roman"/>
          <w:sz w:val="24"/>
          <w:szCs w:val="24"/>
        </w:rPr>
        <w:t>sharing the</w:t>
      </w:r>
      <w:r w:rsidR="008F4C14">
        <w:rPr>
          <w:rFonts w:ascii="Times New Roman" w:hAnsi="Times New Roman" w:cs="Times New Roman"/>
          <w:sz w:val="24"/>
          <w:szCs w:val="24"/>
        </w:rPr>
        <w:t xml:space="preserve"> link or printing off </w:t>
      </w:r>
      <w:r w:rsidR="004D1230">
        <w:rPr>
          <w:rFonts w:ascii="Times New Roman" w:hAnsi="Times New Roman" w:cs="Times New Roman"/>
          <w:sz w:val="24"/>
          <w:szCs w:val="24"/>
        </w:rPr>
        <w:t xml:space="preserve">and </w:t>
      </w:r>
      <w:r w:rsidR="007809F1">
        <w:rPr>
          <w:rFonts w:ascii="Times New Roman" w:hAnsi="Times New Roman" w:cs="Times New Roman"/>
          <w:sz w:val="24"/>
          <w:szCs w:val="24"/>
        </w:rPr>
        <w:t>distributing</w:t>
      </w:r>
      <w:r w:rsidR="008F4C14">
        <w:rPr>
          <w:rFonts w:ascii="Times New Roman" w:hAnsi="Times New Roman" w:cs="Times New Roman"/>
          <w:sz w:val="24"/>
          <w:szCs w:val="24"/>
        </w:rPr>
        <w:t xml:space="preserve"> a hardcopy</w:t>
      </w:r>
      <w:r w:rsidRPr="6CDA271E">
        <w:rPr>
          <w:rFonts w:ascii="Times New Roman" w:hAnsi="Times New Roman" w:cs="Times New Roman"/>
          <w:sz w:val="24"/>
          <w:szCs w:val="24"/>
        </w:rPr>
        <w:t xml:space="preserve">. If various delegates from different units in their office </w:t>
      </w:r>
      <w:r w:rsidR="007E155C">
        <w:rPr>
          <w:rFonts w:ascii="Times New Roman" w:hAnsi="Times New Roman" w:cs="Times New Roman"/>
          <w:sz w:val="24"/>
          <w:szCs w:val="24"/>
        </w:rPr>
        <w:t>are</w:t>
      </w:r>
      <w:r w:rsidRPr="6CDA271E">
        <w:rPr>
          <w:rFonts w:ascii="Times New Roman" w:hAnsi="Times New Roman" w:cs="Times New Roman"/>
          <w:sz w:val="24"/>
          <w:szCs w:val="24"/>
        </w:rPr>
        <w:t xml:space="preserve"> sent the questionnaire, the online platform </w:t>
      </w:r>
      <w:r w:rsidR="003D750B">
        <w:rPr>
          <w:rFonts w:ascii="Times New Roman" w:hAnsi="Times New Roman" w:cs="Times New Roman"/>
          <w:sz w:val="24"/>
          <w:szCs w:val="24"/>
        </w:rPr>
        <w:t>allows</w:t>
      </w:r>
      <w:r w:rsidRPr="6CDA271E">
        <w:rPr>
          <w:rFonts w:ascii="Times New Roman" w:hAnsi="Times New Roman" w:cs="Times New Roman"/>
          <w:sz w:val="24"/>
          <w:szCs w:val="24"/>
        </w:rPr>
        <w:t xml:space="preserve"> staff to </w:t>
      </w:r>
      <w:r w:rsidR="003D750B">
        <w:rPr>
          <w:rFonts w:ascii="Times New Roman" w:hAnsi="Times New Roman" w:cs="Times New Roman"/>
          <w:sz w:val="24"/>
          <w:szCs w:val="24"/>
        </w:rPr>
        <w:t>access</w:t>
      </w:r>
      <w:r w:rsidRPr="6CDA271E" w:rsidR="003D750B">
        <w:rPr>
          <w:rFonts w:ascii="Times New Roman" w:hAnsi="Times New Roman" w:cs="Times New Roman"/>
          <w:sz w:val="24"/>
          <w:szCs w:val="24"/>
        </w:rPr>
        <w:t xml:space="preserve"> </w:t>
      </w:r>
      <w:r w:rsidRPr="6CDA271E">
        <w:rPr>
          <w:rFonts w:ascii="Times New Roman" w:hAnsi="Times New Roman" w:cs="Times New Roman"/>
          <w:sz w:val="24"/>
          <w:szCs w:val="24"/>
        </w:rPr>
        <w:t>their relevant section</w:t>
      </w:r>
      <w:r w:rsidR="003D750B">
        <w:rPr>
          <w:rFonts w:ascii="Times New Roman" w:hAnsi="Times New Roman" w:cs="Times New Roman"/>
          <w:sz w:val="24"/>
          <w:szCs w:val="24"/>
        </w:rPr>
        <w:t>s</w:t>
      </w:r>
      <w:r w:rsidRPr="6CDA271E">
        <w:rPr>
          <w:rFonts w:ascii="Times New Roman" w:hAnsi="Times New Roman" w:cs="Times New Roman"/>
          <w:sz w:val="24"/>
          <w:szCs w:val="24"/>
        </w:rPr>
        <w:t xml:space="preserve"> via the table of contents.</w:t>
      </w:r>
    </w:p>
    <w:p w:rsidR="008542A8" w:rsidP="008542A8" w14:paraId="0CB7B982" w14:textId="1C49A43C">
      <w:pPr>
        <w:spacing w:after="0" w:line="240" w:lineRule="auto"/>
        <w:rPr>
          <w:rFonts w:ascii="Times New Roman" w:hAnsi="Times New Roman" w:cs="Times New Roman"/>
          <w:sz w:val="24"/>
          <w:szCs w:val="24"/>
        </w:rPr>
      </w:pPr>
    </w:p>
    <w:p w:rsidR="00C73F59" w:rsidRPr="00C73F59" w:rsidP="00C73F59" w14:paraId="7086A58E" w14:textId="0B0AD81B">
      <w:pPr>
        <w:rPr>
          <w:rFonts w:ascii="Times New Roman" w:hAnsi="Times New Roman" w:cs="Times New Roman"/>
          <w:sz w:val="24"/>
          <w:szCs w:val="24"/>
        </w:rPr>
      </w:pPr>
      <w:r w:rsidRPr="5C33A50F">
        <w:rPr>
          <w:rFonts w:ascii="Times New Roman" w:hAnsi="Times New Roman" w:cs="Times New Roman"/>
          <w:b/>
          <w:bCs/>
          <w:i/>
          <w:iCs/>
          <w:sz w:val="24"/>
          <w:szCs w:val="24"/>
        </w:rPr>
        <w:t xml:space="preserve">Outreach and recruitment efforts. </w:t>
      </w:r>
      <w:r w:rsidRPr="5C33A50F">
        <w:rPr>
          <w:rFonts w:ascii="Times New Roman" w:hAnsi="Times New Roman" w:cs="Times New Roman"/>
          <w:sz w:val="24"/>
          <w:szCs w:val="24"/>
        </w:rPr>
        <w:t xml:space="preserve">Recruitment strategies for the </w:t>
      </w:r>
      <w:r w:rsidR="009457E3">
        <w:rPr>
          <w:rFonts w:ascii="Times New Roman" w:hAnsi="Times New Roman" w:cs="Times New Roman"/>
          <w:sz w:val="24"/>
          <w:szCs w:val="24"/>
        </w:rPr>
        <w:t>2025 CPO</w:t>
      </w:r>
      <w:r w:rsidRPr="5C33A50F">
        <w:rPr>
          <w:rFonts w:ascii="Times New Roman" w:hAnsi="Times New Roman" w:cs="Times New Roman"/>
          <w:sz w:val="24"/>
          <w:szCs w:val="24"/>
        </w:rPr>
        <w:t xml:space="preserve"> were developed to maximize response rates. The </w:t>
      </w:r>
      <w:r w:rsidR="009457E3">
        <w:rPr>
          <w:rFonts w:ascii="Times New Roman" w:hAnsi="Times New Roman" w:cs="Times New Roman"/>
          <w:sz w:val="24"/>
          <w:szCs w:val="24"/>
        </w:rPr>
        <w:t>2025 CPO</w:t>
      </w:r>
      <w:r w:rsidRPr="5C33A50F">
        <w:rPr>
          <w:rFonts w:ascii="Times New Roman" w:hAnsi="Times New Roman" w:cs="Times New Roman"/>
          <w:sz w:val="24"/>
          <w:szCs w:val="24"/>
        </w:rPr>
        <w:t xml:space="preserve"> is a complete enumeration of prosecutor offices in the United States and diverse communication methods will inform the prosecutor community of the importance of the project, how the data will be used and encourage participation. </w:t>
      </w:r>
      <w:r w:rsidR="00A4533C">
        <w:rPr>
          <w:rFonts w:ascii="Times New Roman" w:hAnsi="Times New Roman" w:cs="Times New Roman"/>
          <w:sz w:val="24"/>
          <w:szCs w:val="24"/>
        </w:rPr>
        <w:t xml:space="preserve">In addition to a strong outreach protocol (see Table 2 and Procedures for Collecting Information), </w:t>
      </w:r>
      <w:r w:rsidRPr="5C33A50F">
        <w:rPr>
          <w:rFonts w:ascii="Times New Roman" w:hAnsi="Times New Roman" w:cs="Times New Roman"/>
          <w:sz w:val="24"/>
          <w:szCs w:val="24"/>
        </w:rPr>
        <w:t xml:space="preserve">BJS will utilize several </w:t>
      </w:r>
      <w:r w:rsidR="00A4533C">
        <w:rPr>
          <w:rFonts w:ascii="Times New Roman" w:hAnsi="Times New Roman" w:cs="Times New Roman"/>
          <w:sz w:val="24"/>
          <w:szCs w:val="24"/>
        </w:rPr>
        <w:t xml:space="preserve">other </w:t>
      </w:r>
      <w:r w:rsidRPr="5C33A50F">
        <w:rPr>
          <w:rFonts w:ascii="Times New Roman" w:hAnsi="Times New Roman" w:cs="Times New Roman"/>
          <w:sz w:val="24"/>
          <w:szCs w:val="24"/>
        </w:rPr>
        <w:t xml:space="preserve">approaches to </w:t>
      </w:r>
      <w:r w:rsidR="009457E3">
        <w:rPr>
          <w:rFonts w:ascii="Times New Roman" w:hAnsi="Times New Roman" w:cs="Times New Roman"/>
          <w:sz w:val="24"/>
          <w:szCs w:val="24"/>
        </w:rPr>
        <w:t>2025</w:t>
      </w:r>
      <w:r w:rsidR="00D17907">
        <w:rPr>
          <w:rFonts w:ascii="Times New Roman" w:hAnsi="Times New Roman" w:cs="Times New Roman"/>
          <w:sz w:val="24"/>
          <w:szCs w:val="24"/>
        </w:rPr>
        <w:t>.</w:t>
      </w:r>
      <w:r w:rsidR="009457E3">
        <w:rPr>
          <w:rFonts w:ascii="Times New Roman" w:hAnsi="Times New Roman" w:cs="Times New Roman"/>
          <w:sz w:val="24"/>
          <w:szCs w:val="24"/>
        </w:rPr>
        <w:t xml:space="preserve"> </w:t>
      </w:r>
      <w:r w:rsidRPr="00D17907" w:rsidR="00D17907">
        <w:rPr>
          <w:rFonts w:ascii="Times New Roman" w:hAnsi="Times New Roman" w:cs="Times New Roman"/>
          <w:sz w:val="24"/>
          <w:szCs w:val="24"/>
        </w:rPr>
        <w:t xml:space="preserve">The project team may administer a critical item survey to increase response rates if low. Items for inclusion will be identified during data collection. </w:t>
      </w:r>
      <w:r w:rsidR="00A4533C">
        <w:rPr>
          <w:rFonts w:ascii="Times New Roman" w:hAnsi="Times New Roman" w:cs="Times New Roman"/>
          <w:sz w:val="24"/>
          <w:szCs w:val="24"/>
        </w:rPr>
        <w:t xml:space="preserve"> </w:t>
      </w:r>
    </w:p>
    <w:p w:rsidR="344883D8" w:rsidP="5C33A50F" w14:paraId="1364CF22" w14:textId="166A0680">
      <w:pPr>
        <w:pStyle w:val="ListParagraph"/>
        <w:numPr>
          <w:ilvl w:val="0"/>
          <w:numId w:val="24"/>
        </w:numPr>
        <w:rPr>
          <w:rFonts w:ascii="Times New Roman" w:eastAsia="Times New Roman" w:hAnsi="Times New Roman" w:cs="Times New Roman"/>
          <w:sz w:val="24"/>
          <w:szCs w:val="24"/>
        </w:rPr>
      </w:pPr>
      <w:r w:rsidRPr="5C33A50F">
        <w:rPr>
          <w:rFonts w:ascii="Times New Roman" w:eastAsia="Times New Roman" w:hAnsi="Times New Roman" w:cs="Times New Roman"/>
          <w:sz w:val="24"/>
          <w:szCs w:val="24"/>
        </w:rPr>
        <w:t>States prosecutor associations: Crucial to the successful administration of the survey is the buy-in from the executive directors of each state prosecutor association across the country. They convene all prosecutors in their state regularly and have a close relationship with chief prosecutors.</w:t>
      </w:r>
      <w:r w:rsidR="008F4C14">
        <w:rPr>
          <w:rFonts w:ascii="Times New Roman" w:eastAsia="Times New Roman" w:hAnsi="Times New Roman" w:cs="Times New Roman"/>
          <w:sz w:val="24"/>
          <w:szCs w:val="24"/>
        </w:rPr>
        <w:t xml:space="preserve"> </w:t>
      </w:r>
      <w:r w:rsidR="007809F1">
        <w:rPr>
          <w:rFonts w:ascii="Times New Roman" w:eastAsia="Times New Roman" w:hAnsi="Times New Roman" w:cs="Times New Roman"/>
          <w:sz w:val="24"/>
          <w:szCs w:val="24"/>
        </w:rPr>
        <w:t>The CPO team will seek opportunities</w:t>
      </w:r>
      <w:r w:rsidR="008F4C14">
        <w:rPr>
          <w:rFonts w:ascii="Times New Roman" w:eastAsia="Times New Roman" w:hAnsi="Times New Roman" w:cs="Times New Roman"/>
          <w:sz w:val="24"/>
          <w:szCs w:val="24"/>
        </w:rPr>
        <w:t xml:space="preserve"> </w:t>
      </w:r>
      <w:r w:rsidR="007809F1">
        <w:rPr>
          <w:rFonts w:ascii="Times New Roman" w:eastAsia="Times New Roman" w:hAnsi="Times New Roman" w:cs="Times New Roman"/>
          <w:sz w:val="24"/>
          <w:szCs w:val="24"/>
        </w:rPr>
        <w:t xml:space="preserve">to </w:t>
      </w:r>
      <w:r w:rsidR="008F4C14">
        <w:rPr>
          <w:rFonts w:ascii="Times New Roman" w:eastAsia="Times New Roman" w:hAnsi="Times New Roman" w:cs="Times New Roman"/>
          <w:sz w:val="24"/>
          <w:szCs w:val="24"/>
        </w:rPr>
        <w:t xml:space="preserve">virtually present on the census at one of their convenings. </w:t>
      </w:r>
      <w:r w:rsidRPr="5C33A50F">
        <w:rPr>
          <w:rFonts w:ascii="Times New Roman" w:eastAsia="Times New Roman" w:hAnsi="Times New Roman" w:cs="Times New Roman"/>
          <w:sz w:val="24"/>
          <w:szCs w:val="24"/>
        </w:rPr>
        <w:t xml:space="preserve"> </w:t>
      </w:r>
    </w:p>
    <w:p w:rsidR="344883D8" w:rsidP="5C33A50F" w14:paraId="32B67834" w14:textId="32362637">
      <w:pPr>
        <w:pStyle w:val="ListParagraph"/>
        <w:numPr>
          <w:ilvl w:val="0"/>
          <w:numId w:val="24"/>
        </w:numPr>
        <w:rPr>
          <w:rFonts w:ascii="Times New Roman" w:eastAsia="Times New Roman" w:hAnsi="Times New Roman" w:cs="Times New Roman"/>
          <w:sz w:val="24"/>
          <w:szCs w:val="24"/>
        </w:rPr>
      </w:pPr>
      <w:r w:rsidRPr="5C33A50F">
        <w:rPr>
          <w:rFonts w:ascii="Times New Roman" w:eastAsia="Times New Roman" w:hAnsi="Times New Roman" w:cs="Times New Roman"/>
          <w:sz w:val="24"/>
          <w:szCs w:val="24"/>
        </w:rPr>
        <w:t xml:space="preserve">Targeted partner outreach: Partner </w:t>
      </w:r>
      <w:r w:rsidRPr="00257A66">
        <w:rPr>
          <w:rFonts w:ascii="Times New Roman" w:eastAsia="Times New Roman" w:hAnsi="Times New Roman" w:cs="Times New Roman"/>
          <w:sz w:val="24"/>
          <w:szCs w:val="24"/>
        </w:rPr>
        <w:t>organizations</w:t>
      </w:r>
      <w:r w:rsidRPr="00257A66" w:rsidR="008F4C14">
        <w:rPr>
          <w:rFonts w:ascii="Times New Roman" w:eastAsia="Times New Roman" w:hAnsi="Times New Roman" w:cs="Times New Roman"/>
          <w:sz w:val="24"/>
          <w:szCs w:val="24"/>
        </w:rPr>
        <w:t xml:space="preserve"> such as the </w:t>
      </w:r>
      <w:r w:rsidRPr="00EB22CF" w:rsidR="008F4C14">
        <w:rPr>
          <w:rFonts w:ascii="Times New Roman" w:hAnsi="Times New Roman" w:cs="Times New Roman"/>
          <w:sz w:val="24"/>
          <w:szCs w:val="24"/>
        </w:rPr>
        <w:t xml:space="preserve">Association of Prosecuting Attorneys (APA), Fair and Just Prosecution (FJP), and Institute for Innovation </w:t>
      </w:r>
      <w:r w:rsidR="00C93C74">
        <w:rPr>
          <w:rFonts w:ascii="Times New Roman" w:hAnsi="Times New Roman" w:cs="Times New Roman"/>
          <w:sz w:val="24"/>
          <w:szCs w:val="24"/>
        </w:rPr>
        <w:t>i</w:t>
      </w:r>
      <w:r w:rsidRPr="00EB22CF" w:rsidR="008F4C14">
        <w:rPr>
          <w:rFonts w:ascii="Times New Roman" w:hAnsi="Times New Roman" w:cs="Times New Roman"/>
          <w:sz w:val="24"/>
          <w:szCs w:val="24"/>
        </w:rPr>
        <w:t xml:space="preserve">n Prosecution (IIP) </w:t>
      </w:r>
      <w:r w:rsidRPr="00257A66">
        <w:rPr>
          <w:rFonts w:ascii="Times New Roman" w:eastAsia="Times New Roman" w:hAnsi="Times New Roman" w:cs="Times New Roman"/>
          <w:sz w:val="24"/>
          <w:szCs w:val="24"/>
        </w:rPr>
        <w:t>will email their membership listserv/newsletter and/or their</w:t>
      </w:r>
      <w:r w:rsidRPr="5C33A50F">
        <w:rPr>
          <w:rFonts w:ascii="Times New Roman" w:eastAsia="Times New Roman" w:hAnsi="Times New Roman" w:cs="Times New Roman"/>
          <w:sz w:val="24"/>
          <w:szCs w:val="24"/>
        </w:rPr>
        <w:t xml:space="preserve"> networks to </w:t>
      </w:r>
      <w:r w:rsidR="00257A66">
        <w:rPr>
          <w:rFonts w:ascii="Times New Roman" w:eastAsia="Times New Roman" w:hAnsi="Times New Roman" w:cs="Times New Roman"/>
          <w:sz w:val="24"/>
          <w:szCs w:val="24"/>
        </w:rPr>
        <w:t>promote</w:t>
      </w:r>
      <w:r w:rsidRPr="5C33A50F" w:rsidR="00257A66">
        <w:rPr>
          <w:rFonts w:ascii="Times New Roman" w:eastAsia="Times New Roman" w:hAnsi="Times New Roman" w:cs="Times New Roman"/>
          <w:sz w:val="24"/>
          <w:szCs w:val="24"/>
        </w:rPr>
        <w:t xml:space="preserve"> </w:t>
      </w:r>
      <w:r w:rsidRPr="5C33A50F">
        <w:rPr>
          <w:rFonts w:ascii="Times New Roman" w:eastAsia="Times New Roman" w:hAnsi="Times New Roman" w:cs="Times New Roman"/>
          <w:sz w:val="24"/>
          <w:szCs w:val="24"/>
        </w:rPr>
        <w:t>the census.</w:t>
      </w:r>
    </w:p>
    <w:p w:rsidR="344883D8" w:rsidP="5C33A50F" w14:paraId="21B8D7BA" w14:textId="637DFB98">
      <w:pPr>
        <w:pStyle w:val="ListParagraph"/>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CPO</w:t>
      </w:r>
      <w:r w:rsidRPr="5C33A50F">
        <w:rPr>
          <w:rFonts w:ascii="Times New Roman" w:eastAsia="Times New Roman" w:hAnsi="Times New Roman" w:cs="Times New Roman"/>
          <w:sz w:val="24"/>
          <w:szCs w:val="24"/>
        </w:rPr>
        <w:t xml:space="preserve"> </w:t>
      </w:r>
      <w:r w:rsidRPr="5C33A50F" w:rsidR="5C33A50F">
        <w:rPr>
          <w:rFonts w:ascii="Times New Roman" w:eastAsia="Times New Roman" w:hAnsi="Times New Roman" w:cs="Times New Roman"/>
          <w:sz w:val="24"/>
          <w:szCs w:val="24"/>
        </w:rPr>
        <w:t xml:space="preserve">webinar: </w:t>
      </w:r>
      <w:r>
        <w:rPr>
          <w:rFonts w:ascii="Times New Roman" w:eastAsia="Times New Roman" w:hAnsi="Times New Roman" w:cs="Times New Roman"/>
          <w:sz w:val="24"/>
          <w:szCs w:val="24"/>
        </w:rPr>
        <w:t xml:space="preserve">The CPO team </w:t>
      </w:r>
      <w:r w:rsidRPr="5C33A50F" w:rsidR="5C33A50F">
        <w:rPr>
          <w:rFonts w:ascii="Times New Roman" w:eastAsia="Times New Roman" w:hAnsi="Times New Roman" w:cs="Times New Roman"/>
          <w:sz w:val="24"/>
          <w:szCs w:val="24"/>
        </w:rPr>
        <w:t xml:space="preserve">will host a webinar </w:t>
      </w:r>
      <w:r w:rsidRPr="00D53A14" w:rsidR="00D53A14">
        <w:rPr>
          <w:rFonts w:ascii="Times New Roman" w:eastAsia="Times New Roman" w:hAnsi="Times New Roman" w:cs="Times New Roman"/>
          <w:sz w:val="24"/>
          <w:szCs w:val="24"/>
        </w:rPr>
        <w:t xml:space="preserve">about one week after </w:t>
      </w:r>
      <w:r w:rsidRPr="5C33A50F" w:rsidR="5C33A50F">
        <w:rPr>
          <w:rFonts w:ascii="Times New Roman" w:eastAsia="Times New Roman" w:hAnsi="Times New Roman" w:cs="Times New Roman"/>
          <w:sz w:val="24"/>
          <w:szCs w:val="24"/>
        </w:rPr>
        <w:t xml:space="preserve">the census administration begins that </w:t>
      </w:r>
      <w:r w:rsidRPr="00D53A14" w:rsidR="00D53A14">
        <w:rPr>
          <w:rFonts w:ascii="Times New Roman" w:eastAsia="Times New Roman" w:hAnsi="Times New Roman" w:cs="Times New Roman"/>
          <w:sz w:val="24"/>
          <w:szCs w:val="24"/>
        </w:rPr>
        <w:t xml:space="preserve">provides information about CPO, </w:t>
      </w:r>
      <w:r w:rsidR="00D53A14">
        <w:rPr>
          <w:rFonts w:ascii="Times New Roman" w:eastAsia="Times New Roman" w:hAnsi="Times New Roman" w:cs="Times New Roman"/>
          <w:sz w:val="24"/>
          <w:szCs w:val="24"/>
        </w:rPr>
        <w:t xml:space="preserve">BJS, and </w:t>
      </w:r>
      <w:r w:rsidR="00AC46E8">
        <w:rPr>
          <w:rFonts w:ascii="Times New Roman" w:eastAsia="Times New Roman" w:hAnsi="Times New Roman" w:cs="Times New Roman"/>
          <w:sz w:val="24"/>
          <w:szCs w:val="24"/>
        </w:rPr>
        <w:t xml:space="preserve">BJS’ </w:t>
      </w:r>
      <w:r w:rsidRPr="00D53A14" w:rsidR="00D53A14">
        <w:rPr>
          <w:rFonts w:ascii="Times New Roman" w:eastAsia="Times New Roman" w:hAnsi="Times New Roman" w:cs="Times New Roman"/>
          <w:sz w:val="24"/>
          <w:szCs w:val="24"/>
        </w:rPr>
        <w:t>privacy and data protection guidelines</w:t>
      </w:r>
      <w:r w:rsidR="00D53A14">
        <w:rPr>
          <w:rFonts w:ascii="Times New Roman" w:eastAsia="Times New Roman" w:hAnsi="Times New Roman" w:cs="Times New Roman"/>
          <w:sz w:val="24"/>
          <w:szCs w:val="24"/>
        </w:rPr>
        <w:t xml:space="preserve">. </w:t>
      </w:r>
      <w:r w:rsidR="003301F2">
        <w:rPr>
          <w:rFonts w:ascii="Times New Roman" w:eastAsia="Times New Roman" w:hAnsi="Times New Roman" w:cs="Times New Roman"/>
          <w:sz w:val="24"/>
          <w:szCs w:val="24"/>
        </w:rPr>
        <w:t>The webinar will conclude with a question/answer session</w:t>
      </w:r>
      <w:r w:rsidR="005C00B2">
        <w:rPr>
          <w:rFonts w:ascii="Times New Roman" w:eastAsia="Times New Roman" w:hAnsi="Times New Roman" w:cs="Times New Roman"/>
          <w:sz w:val="24"/>
          <w:szCs w:val="24"/>
        </w:rPr>
        <w:t xml:space="preserve"> about </w:t>
      </w:r>
      <w:r w:rsidR="005C00B2">
        <w:rPr>
          <w:rFonts w:ascii="Times New Roman" w:eastAsia="Times New Roman" w:hAnsi="Times New Roman" w:cs="Times New Roman"/>
          <w:sz w:val="24"/>
          <w:szCs w:val="24"/>
        </w:rPr>
        <w:t>the data</w:t>
      </w:r>
      <w:r w:rsidR="005C00B2">
        <w:rPr>
          <w:rFonts w:ascii="Times New Roman" w:eastAsia="Times New Roman" w:hAnsi="Times New Roman" w:cs="Times New Roman"/>
          <w:sz w:val="24"/>
          <w:szCs w:val="24"/>
        </w:rPr>
        <w:t xml:space="preserve"> collection</w:t>
      </w:r>
      <w:r w:rsidR="003301F2">
        <w:rPr>
          <w:rFonts w:ascii="Times New Roman" w:eastAsia="Times New Roman" w:hAnsi="Times New Roman" w:cs="Times New Roman"/>
          <w:sz w:val="24"/>
          <w:szCs w:val="24"/>
        </w:rPr>
        <w:t>.</w:t>
      </w:r>
      <w:r w:rsidR="005C00B2">
        <w:rPr>
          <w:rFonts w:ascii="Times New Roman" w:eastAsia="Times New Roman" w:hAnsi="Times New Roman" w:cs="Times New Roman"/>
          <w:sz w:val="24"/>
          <w:szCs w:val="24"/>
        </w:rPr>
        <w:t xml:space="preserve"> </w:t>
      </w:r>
      <w:r w:rsidRPr="5C33A50F" w:rsidR="5C33A50F">
        <w:rPr>
          <w:rFonts w:ascii="Times New Roman" w:eastAsia="Times New Roman" w:hAnsi="Times New Roman" w:cs="Times New Roman"/>
          <w:sz w:val="24"/>
          <w:szCs w:val="24"/>
        </w:rPr>
        <w:t>.</w:t>
      </w:r>
      <w:r w:rsidRPr="5C33A50F" w:rsidR="5C33A50F">
        <w:rPr>
          <w:rFonts w:ascii="Times New Roman" w:eastAsia="Times New Roman" w:hAnsi="Times New Roman" w:cs="Times New Roman"/>
          <w:sz w:val="24"/>
          <w:szCs w:val="24"/>
        </w:rPr>
        <w:t xml:space="preserve"> </w:t>
      </w:r>
    </w:p>
    <w:p w:rsidR="344883D8" w:rsidP="5C33A50F" w14:paraId="498678E9" w14:textId="2DD94DEA">
      <w:pPr>
        <w:pStyle w:val="ListParagraph"/>
        <w:numPr>
          <w:ilvl w:val="0"/>
          <w:numId w:val="24"/>
        </w:numPr>
        <w:rPr>
          <w:rFonts w:ascii="Times New Roman" w:eastAsia="Times New Roman" w:hAnsi="Times New Roman" w:cs="Times New Roman"/>
          <w:sz w:val="24"/>
          <w:szCs w:val="24"/>
        </w:rPr>
      </w:pPr>
      <w:r w:rsidRPr="5C33A50F">
        <w:rPr>
          <w:rFonts w:ascii="Times New Roman" w:eastAsia="Times New Roman" w:hAnsi="Times New Roman" w:cs="Times New Roman"/>
          <w:sz w:val="24"/>
          <w:szCs w:val="24"/>
        </w:rPr>
        <w:t xml:space="preserve">Consistent branding: Prosecutors are asked to </w:t>
      </w:r>
      <w:r w:rsidRPr="5C33A50F">
        <w:rPr>
          <w:rFonts w:ascii="Times New Roman" w:eastAsia="Times New Roman" w:hAnsi="Times New Roman" w:cs="Times New Roman"/>
          <w:sz w:val="24"/>
          <w:szCs w:val="24"/>
        </w:rPr>
        <w:t>take</w:t>
      </w:r>
      <w:r w:rsidRPr="5C33A50F">
        <w:rPr>
          <w:rFonts w:ascii="Times New Roman" w:eastAsia="Times New Roman" w:hAnsi="Times New Roman" w:cs="Times New Roman"/>
          <w:sz w:val="24"/>
          <w:szCs w:val="24"/>
        </w:rPr>
        <w:t xml:space="preserve"> surveys often. This census </w:t>
      </w:r>
      <w:r w:rsidR="009E0033">
        <w:rPr>
          <w:rFonts w:ascii="Times New Roman" w:eastAsia="Times New Roman" w:hAnsi="Times New Roman" w:cs="Times New Roman"/>
          <w:sz w:val="24"/>
          <w:szCs w:val="24"/>
        </w:rPr>
        <w:t>has</w:t>
      </w:r>
      <w:r w:rsidRPr="5C33A50F">
        <w:rPr>
          <w:rFonts w:ascii="Times New Roman" w:eastAsia="Times New Roman" w:hAnsi="Times New Roman" w:cs="Times New Roman"/>
          <w:sz w:val="24"/>
          <w:szCs w:val="24"/>
        </w:rPr>
        <w:t xml:space="preserve"> consistent branding across all materials and use</w:t>
      </w:r>
      <w:r w:rsidR="009E0033">
        <w:rPr>
          <w:rFonts w:ascii="Times New Roman" w:eastAsia="Times New Roman" w:hAnsi="Times New Roman" w:cs="Times New Roman"/>
          <w:sz w:val="24"/>
          <w:szCs w:val="24"/>
        </w:rPr>
        <w:t>s</w:t>
      </w:r>
      <w:r w:rsidRPr="5C33A50F">
        <w:rPr>
          <w:rFonts w:ascii="Times New Roman" w:eastAsia="Times New Roman" w:hAnsi="Times New Roman" w:cs="Times New Roman"/>
          <w:sz w:val="24"/>
          <w:szCs w:val="24"/>
        </w:rPr>
        <w:t xml:space="preserve"> the same title, unique logo (which has been created as part of the project), and </w:t>
      </w:r>
      <w:r w:rsidRPr="5C33A50F">
        <w:rPr>
          <w:rFonts w:ascii="Times New Roman" w:eastAsia="Times New Roman" w:hAnsi="Times New Roman" w:cs="Times New Roman"/>
          <w:sz w:val="24"/>
          <w:szCs w:val="24"/>
        </w:rPr>
        <w:t>acronym</w:t>
      </w:r>
      <w:r w:rsidRPr="5C33A50F">
        <w:rPr>
          <w:rFonts w:ascii="Times New Roman" w:eastAsia="Times New Roman" w:hAnsi="Times New Roman" w:cs="Times New Roman"/>
          <w:sz w:val="24"/>
          <w:szCs w:val="24"/>
        </w:rPr>
        <w:t>.</w:t>
      </w:r>
    </w:p>
    <w:p w:rsidR="00D17907" w:rsidRPr="00950B45" w:rsidP="00950B45" w14:paraId="6117951D" w14:textId="092BE4ED">
      <w:pPr>
        <w:pStyle w:val="ListParagraph"/>
        <w:numPr>
          <w:ilvl w:val="0"/>
          <w:numId w:val="29"/>
        </w:num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Mode and source of outreach: The project team will use various</w:t>
      </w:r>
      <w:r w:rsidRPr="5C33A50F" w:rsidR="5C33A50F">
        <w:rPr>
          <w:rFonts w:ascii="Times New Roman" w:eastAsia="Times New Roman" w:hAnsi="Times New Roman" w:cs="Times New Roman"/>
          <w:sz w:val="24"/>
          <w:szCs w:val="24"/>
        </w:rPr>
        <w:t xml:space="preserve"> nonresponse </w:t>
      </w:r>
      <w:r>
        <w:rPr>
          <w:rFonts w:ascii="Times New Roman" w:eastAsia="Times New Roman" w:hAnsi="Times New Roman" w:cs="Times New Roman"/>
          <w:sz w:val="24"/>
          <w:szCs w:val="24"/>
        </w:rPr>
        <w:t>modes and sources</w:t>
      </w:r>
      <w:r w:rsidRPr="5C33A50F">
        <w:rPr>
          <w:rFonts w:ascii="Times New Roman" w:eastAsia="Times New Roman" w:hAnsi="Times New Roman" w:cs="Times New Roman"/>
          <w:sz w:val="24"/>
          <w:szCs w:val="24"/>
        </w:rPr>
        <w:t xml:space="preserve"> </w:t>
      </w:r>
      <w:r w:rsidRPr="5C33A50F" w:rsidR="5C33A50F">
        <w:rPr>
          <w:rFonts w:ascii="Times New Roman" w:eastAsia="Times New Roman" w:hAnsi="Times New Roman" w:cs="Times New Roman"/>
          <w:sz w:val="24"/>
          <w:szCs w:val="24"/>
        </w:rPr>
        <w:t>during data collection to include communication from BJS, Urban, and project partners.</w:t>
      </w:r>
      <w:bookmarkStart w:id="3" w:name="_Hlk226538190"/>
    </w:p>
    <w:bookmarkEnd w:id="3"/>
    <w:p w:rsidR="00C73F59" w:rsidRPr="00C73F59" w:rsidP="00EB22CF" w14:paraId="31568E51" w14:textId="4B6EC541">
      <w:pPr>
        <w:pStyle w:val="ListParagraph"/>
        <w:spacing w:after="0" w:line="240" w:lineRule="auto"/>
      </w:pPr>
    </w:p>
    <w:p w:rsidR="000B4E31" w:rsidP="005B3085" w14:paraId="71051F89" w14:textId="0AAFF25A">
      <w:pPr>
        <w:spacing w:after="0" w:line="240" w:lineRule="auto"/>
        <w:rPr>
          <w:rFonts w:ascii="Times New Roman" w:hAnsi="Times New Roman" w:cs="Times New Roman"/>
          <w:sz w:val="24"/>
          <w:szCs w:val="24"/>
        </w:rPr>
      </w:pPr>
      <w:r w:rsidRPr="26C3223B">
        <w:rPr>
          <w:rFonts w:ascii="Times New Roman" w:hAnsi="Times New Roman" w:cs="Times New Roman"/>
          <w:b/>
          <w:bCs/>
          <w:i/>
          <w:iCs/>
          <w:sz w:val="24"/>
          <w:szCs w:val="24"/>
        </w:rPr>
        <w:t>Nonresponse follow-up protocols.</w:t>
      </w:r>
      <w:r w:rsidRPr="26C3223B">
        <w:rPr>
          <w:rFonts w:ascii="Times New Roman" w:hAnsi="Times New Roman" w:cs="Times New Roman"/>
          <w:sz w:val="24"/>
          <w:szCs w:val="24"/>
        </w:rPr>
        <w:t xml:space="preserve"> Prosecutor offices that do not complete the survey will be contacted through a series of follow-up prompts to remind them to complete the survey. This approach is consistent with best survey practices and moves from the least costly to the costliest outreach. Table 2 (above) outlines the follow-up contacts. Contacts will remain </w:t>
      </w:r>
      <w:r w:rsidR="00650E5D">
        <w:rPr>
          <w:rFonts w:ascii="Times New Roman" w:hAnsi="Times New Roman" w:cs="Times New Roman"/>
          <w:sz w:val="24"/>
          <w:szCs w:val="24"/>
        </w:rPr>
        <w:t>flexible</w:t>
      </w:r>
      <w:r w:rsidRPr="26C3223B" w:rsidR="00650E5D">
        <w:rPr>
          <w:rFonts w:ascii="Times New Roman" w:hAnsi="Times New Roman" w:cs="Times New Roman"/>
          <w:sz w:val="24"/>
          <w:szCs w:val="24"/>
        </w:rPr>
        <w:t xml:space="preserve"> </w:t>
      </w:r>
      <w:r w:rsidRPr="26C3223B">
        <w:rPr>
          <w:rFonts w:ascii="Times New Roman" w:hAnsi="Times New Roman" w:cs="Times New Roman"/>
          <w:sz w:val="24"/>
          <w:szCs w:val="24"/>
        </w:rPr>
        <w:t xml:space="preserve">in their </w:t>
      </w:r>
      <w:r w:rsidR="00650E5D">
        <w:rPr>
          <w:rFonts w:ascii="Times New Roman" w:hAnsi="Times New Roman" w:cs="Times New Roman"/>
          <w:sz w:val="24"/>
          <w:szCs w:val="24"/>
        </w:rPr>
        <w:t>timing</w:t>
      </w:r>
      <w:r w:rsidRPr="26C3223B" w:rsidR="00650E5D">
        <w:rPr>
          <w:rFonts w:ascii="Times New Roman" w:hAnsi="Times New Roman" w:cs="Times New Roman"/>
          <w:sz w:val="24"/>
          <w:szCs w:val="24"/>
        </w:rPr>
        <w:t xml:space="preserve"> </w:t>
      </w:r>
      <w:r w:rsidRPr="26C3223B">
        <w:rPr>
          <w:rFonts w:ascii="Times New Roman" w:hAnsi="Times New Roman" w:cs="Times New Roman"/>
          <w:sz w:val="24"/>
          <w:szCs w:val="24"/>
        </w:rPr>
        <w:t xml:space="preserve">and source as response rates are closely monitored </w:t>
      </w:r>
      <w:r w:rsidR="00650E5D">
        <w:rPr>
          <w:rFonts w:ascii="Times New Roman" w:hAnsi="Times New Roman" w:cs="Times New Roman"/>
          <w:sz w:val="24"/>
          <w:szCs w:val="24"/>
        </w:rPr>
        <w:t>from</w:t>
      </w:r>
      <w:r w:rsidRPr="26C3223B" w:rsidR="00650E5D">
        <w:rPr>
          <w:rFonts w:ascii="Times New Roman" w:hAnsi="Times New Roman" w:cs="Times New Roman"/>
          <w:sz w:val="24"/>
          <w:szCs w:val="24"/>
        </w:rPr>
        <w:t xml:space="preserve"> </w:t>
      </w:r>
      <w:r w:rsidRPr="26C3223B">
        <w:rPr>
          <w:rFonts w:ascii="Times New Roman" w:hAnsi="Times New Roman" w:cs="Times New Roman"/>
          <w:sz w:val="24"/>
          <w:szCs w:val="24"/>
        </w:rPr>
        <w:t xml:space="preserve">previous outreach efforts. That is, subsequent outreaches will be responsive to notable upticks in response rates by determining </w:t>
      </w:r>
      <w:r w:rsidRPr="26C3223B">
        <w:rPr>
          <w:rFonts w:ascii="Times New Roman" w:hAnsi="Times New Roman" w:cs="Times New Roman"/>
          <w:sz w:val="24"/>
          <w:szCs w:val="24"/>
        </w:rPr>
        <w:t xml:space="preserve">whether </w:t>
      </w:r>
      <w:r w:rsidR="00650E5D">
        <w:rPr>
          <w:rFonts w:ascii="Times New Roman" w:hAnsi="Times New Roman" w:cs="Times New Roman"/>
          <w:sz w:val="24"/>
          <w:szCs w:val="24"/>
        </w:rPr>
        <w:t>the source of outreach (e.g., BJS, Urban, project partners)</w:t>
      </w:r>
      <w:r w:rsidR="000900EF">
        <w:rPr>
          <w:rFonts w:ascii="Times New Roman" w:hAnsi="Times New Roman" w:cs="Times New Roman"/>
          <w:sz w:val="24"/>
          <w:szCs w:val="24"/>
        </w:rPr>
        <w:t xml:space="preserve"> or </w:t>
      </w:r>
      <w:r w:rsidR="00650E5D">
        <w:rPr>
          <w:rFonts w:ascii="Times New Roman" w:hAnsi="Times New Roman" w:cs="Times New Roman"/>
          <w:sz w:val="24"/>
          <w:szCs w:val="24"/>
        </w:rPr>
        <w:t xml:space="preserve">the mode (email, mail, phone) are more successful in generating increased response. </w:t>
      </w:r>
    </w:p>
    <w:p w:rsidR="00650E5D" w:rsidP="005B3085" w14:paraId="0227092F" w14:textId="77777777">
      <w:pPr>
        <w:spacing w:after="0" w:line="240" w:lineRule="auto"/>
        <w:rPr>
          <w:rFonts w:ascii="Times New Roman" w:hAnsi="Times New Roman" w:cs="Times New Roman"/>
          <w:sz w:val="24"/>
          <w:szCs w:val="24"/>
        </w:rPr>
      </w:pPr>
    </w:p>
    <w:p w:rsidR="005B3085" w:rsidP="602FA251" w14:paraId="3D68DCBB" w14:textId="6C97B0F8">
      <w:pPr>
        <w:spacing w:after="0" w:line="240" w:lineRule="auto"/>
        <w:rPr>
          <w:rFonts w:ascii="Times New Roman" w:hAnsi="Times New Roman" w:cs="Times New Roman"/>
          <w:b/>
          <w:bCs/>
          <w:sz w:val="24"/>
          <w:szCs w:val="24"/>
        </w:rPr>
      </w:pPr>
      <w:r w:rsidRPr="602FA251">
        <w:rPr>
          <w:rFonts w:ascii="Times New Roman" w:hAnsi="Times New Roman" w:cs="Times New Roman"/>
          <w:b/>
          <w:bCs/>
          <w:sz w:val="24"/>
          <w:szCs w:val="24"/>
        </w:rPr>
        <w:t>Addressing nonresponse</w:t>
      </w:r>
    </w:p>
    <w:p w:rsidR="00912D4E" w:rsidRPr="00FC289A" w:rsidP="602FA251" w14:paraId="3FEFB7C7" w14:textId="05A9B092">
      <w:pPr>
        <w:spacing w:after="0" w:line="240" w:lineRule="auto"/>
        <w:rPr>
          <w:rFonts w:ascii="Times New Roman" w:hAnsi="Times New Roman" w:cs="Times New Roman"/>
          <w:b/>
          <w:bCs/>
          <w:sz w:val="24"/>
          <w:szCs w:val="24"/>
        </w:rPr>
      </w:pPr>
    </w:p>
    <w:p w:rsidR="00912D4E" w:rsidRPr="00FC289A" w:rsidP="602FA251" w14:paraId="1DB8B068" w14:textId="5192B092">
      <w:pPr>
        <w:tabs>
          <w:tab w:val="left" w:pos="576"/>
          <w:tab w:val="left" w:pos="720"/>
        </w:tabs>
        <w:spacing w:after="0"/>
      </w:pPr>
      <w:r w:rsidRPr="602FA251">
        <w:rPr>
          <w:rFonts w:ascii="Times New Roman" w:eastAsia="Times New Roman" w:hAnsi="Times New Roman" w:cs="Times New Roman"/>
          <w:i/>
          <w:iCs/>
          <w:sz w:val="24"/>
          <w:szCs w:val="24"/>
        </w:rPr>
        <w:t>Weighting for Unit Non-Respons</w:t>
      </w:r>
      <w:r w:rsidRPr="602FA251">
        <w:rPr>
          <w:rFonts w:ascii="Times New Roman" w:eastAsia="Times New Roman" w:hAnsi="Times New Roman" w:cs="Times New Roman"/>
          <w:color w:val="000000" w:themeColor="text1"/>
          <w:sz w:val="24"/>
          <w:szCs w:val="24"/>
        </w:rPr>
        <w:t>e</w:t>
      </w:r>
      <w:r w:rsidRPr="602FA251">
        <w:rPr>
          <w:rFonts w:ascii="Times New Roman" w:eastAsia="Times New Roman" w:hAnsi="Times New Roman" w:cs="Times New Roman"/>
          <w:i/>
          <w:iCs/>
          <w:sz w:val="24"/>
          <w:szCs w:val="24"/>
        </w:rPr>
        <w:t xml:space="preserve">  </w:t>
      </w:r>
    </w:p>
    <w:p w:rsidR="000900EF" w:rsidP="602FA251" w14:paraId="6E37BFF8" w14:textId="643DBF07">
      <w:pPr>
        <w:tabs>
          <w:tab w:val="left" w:pos="576"/>
          <w:tab w:val="left" w:pos="720"/>
        </w:tabs>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project team</w:t>
      </w:r>
      <w:r w:rsidRPr="602FA251">
        <w:rPr>
          <w:rFonts w:ascii="Times New Roman" w:eastAsia="Times New Roman" w:hAnsi="Times New Roman" w:cs="Times New Roman"/>
          <w:color w:val="000000" w:themeColor="text1"/>
          <w:sz w:val="24"/>
          <w:szCs w:val="24"/>
        </w:rPr>
        <w:t xml:space="preserve"> </w:t>
      </w:r>
      <w:r w:rsidRPr="602FA251" w:rsidR="602FA251">
        <w:rPr>
          <w:rFonts w:ascii="Times New Roman" w:eastAsia="Times New Roman" w:hAnsi="Times New Roman" w:cs="Times New Roman"/>
          <w:color w:val="000000" w:themeColor="text1"/>
          <w:sz w:val="24"/>
          <w:szCs w:val="24"/>
        </w:rPr>
        <w:t xml:space="preserve">will strive to obtain the highest possible response rate for </w:t>
      </w:r>
      <w:r w:rsidR="009457E3">
        <w:rPr>
          <w:rFonts w:ascii="Times New Roman" w:eastAsia="Times New Roman" w:hAnsi="Times New Roman" w:cs="Times New Roman"/>
          <w:color w:val="000000" w:themeColor="text1"/>
          <w:sz w:val="24"/>
          <w:szCs w:val="24"/>
        </w:rPr>
        <w:t>2025 CPO</w:t>
      </w:r>
      <w:r w:rsidRPr="602FA251" w:rsidR="602FA251">
        <w:rPr>
          <w:rFonts w:ascii="Times New Roman" w:eastAsia="Times New Roman" w:hAnsi="Times New Roman" w:cs="Times New Roman"/>
          <w:color w:val="000000" w:themeColor="text1"/>
          <w:sz w:val="24"/>
          <w:szCs w:val="24"/>
        </w:rPr>
        <w:t xml:space="preserve">. </w:t>
      </w:r>
      <w:r w:rsidR="006C257A">
        <w:rPr>
          <w:rFonts w:ascii="Times New Roman" w:eastAsia="Times New Roman" w:hAnsi="Times New Roman" w:cs="Times New Roman"/>
          <w:color w:val="000000" w:themeColor="text1"/>
          <w:sz w:val="24"/>
          <w:szCs w:val="24"/>
        </w:rPr>
        <w:t>It</w:t>
      </w:r>
      <w:r w:rsidRPr="602FA251" w:rsidR="602FA251">
        <w:rPr>
          <w:rFonts w:ascii="Times New Roman" w:eastAsia="Times New Roman" w:hAnsi="Times New Roman" w:cs="Times New Roman"/>
          <w:color w:val="000000" w:themeColor="text1"/>
          <w:sz w:val="24"/>
          <w:szCs w:val="24"/>
        </w:rPr>
        <w:t xml:space="preserve"> is anticipated that the application of the steps described above will result in participation from at least 85% of offices. While the </w:t>
      </w:r>
      <w:r w:rsidR="009457E3">
        <w:rPr>
          <w:rFonts w:ascii="Times New Roman" w:eastAsia="Times New Roman" w:hAnsi="Times New Roman" w:cs="Times New Roman"/>
          <w:color w:val="000000" w:themeColor="text1"/>
          <w:sz w:val="24"/>
          <w:szCs w:val="24"/>
        </w:rPr>
        <w:t>2025 CPO</w:t>
      </w:r>
      <w:r w:rsidRPr="602FA251" w:rsidR="602FA251">
        <w:rPr>
          <w:rFonts w:ascii="Times New Roman" w:eastAsia="Times New Roman" w:hAnsi="Times New Roman" w:cs="Times New Roman"/>
          <w:color w:val="000000" w:themeColor="text1"/>
          <w:sz w:val="24"/>
          <w:szCs w:val="24"/>
        </w:rPr>
        <w:t xml:space="preserve"> will be implemented as a census, the final list of responding offices will likely be a nonrandom sample of the study population due to differential response rates across subpopulations. Therefore, Urban will develop an analysis weight for each respondent through a two-step weighting adjustment procedure. The sample base weight is 1 for all sample members because it is a census. The first step is an eligibility step. If any respondents are found to be ineligible, the base weight will be set to zero at this step. </w:t>
      </w:r>
      <w:r>
        <w:rPr>
          <w:rFonts w:ascii="Times New Roman" w:eastAsia="Times New Roman" w:hAnsi="Times New Roman" w:cs="Times New Roman"/>
          <w:color w:val="000000" w:themeColor="text1"/>
          <w:sz w:val="24"/>
          <w:szCs w:val="24"/>
        </w:rPr>
        <w:t>W</w:t>
      </w:r>
      <w:r w:rsidRPr="602FA251" w:rsidR="602FA251">
        <w:rPr>
          <w:rFonts w:ascii="Times New Roman" w:eastAsia="Times New Roman" w:hAnsi="Times New Roman" w:cs="Times New Roman"/>
          <w:color w:val="000000" w:themeColor="text1"/>
          <w:sz w:val="24"/>
          <w:szCs w:val="24"/>
        </w:rPr>
        <w:t xml:space="preserve">e expect that a very small percentage </w:t>
      </w:r>
      <w:r w:rsidRPr="602FA251" w:rsidR="001C6217">
        <w:rPr>
          <w:rFonts w:ascii="Times New Roman" w:eastAsia="Times New Roman" w:hAnsi="Times New Roman" w:cs="Times New Roman"/>
          <w:color w:val="000000" w:themeColor="text1"/>
          <w:sz w:val="24"/>
          <w:szCs w:val="24"/>
        </w:rPr>
        <w:t xml:space="preserve">(less than 5%) </w:t>
      </w:r>
      <w:r w:rsidRPr="602FA251" w:rsidR="602FA251">
        <w:rPr>
          <w:rFonts w:ascii="Times New Roman" w:eastAsia="Times New Roman" w:hAnsi="Times New Roman" w:cs="Times New Roman"/>
          <w:color w:val="000000" w:themeColor="text1"/>
          <w:sz w:val="24"/>
          <w:szCs w:val="24"/>
        </w:rPr>
        <w:t xml:space="preserve">of prosecutor offices will be deemed ineligible for the </w:t>
      </w:r>
      <w:r w:rsidR="009457E3">
        <w:rPr>
          <w:rFonts w:ascii="Times New Roman" w:eastAsia="Times New Roman" w:hAnsi="Times New Roman" w:cs="Times New Roman"/>
          <w:color w:val="000000" w:themeColor="text1"/>
          <w:sz w:val="24"/>
          <w:szCs w:val="24"/>
        </w:rPr>
        <w:t>2025 CPO</w:t>
      </w:r>
      <w:r w:rsidRPr="602FA251" w:rsidR="602FA251">
        <w:rPr>
          <w:rFonts w:ascii="Times New Roman" w:eastAsia="Times New Roman" w:hAnsi="Times New Roman" w:cs="Times New Roman"/>
          <w:color w:val="000000" w:themeColor="text1"/>
          <w:sz w:val="24"/>
          <w:szCs w:val="24"/>
        </w:rPr>
        <w:t xml:space="preserve">. </w:t>
      </w:r>
    </w:p>
    <w:p w:rsidR="000900EF" w:rsidP="602FA251" w14:paraId="22B12F34" w14:textId="77777777">
      <w:pPr>
        <w:tabs>
          <w:tab w:val="left" w:pos="576"/>
          <w:tab w:val="left" w:pos="720"/>
        </w:tabs>
        <w:spacing w:after="0"/>
        <w:rPr>
          <w:rFonts w:ascii="Times New Roman" w:eastAsia="Times New Roman" w:hAnsi="Times New Roman" w:cs="Times New Roman"/>
          <w:color w:val="000000" w:themeColor="text1"/>
          <w:sz w:val="24"/>
          <w:szCs w:val="24"/>
        </w:rPr>
      </w:pPr>
    </w:p>
    <w:p w:rsidR="00912D4E" w:rsidRPr="00FC289A" w:rsidP="602FA251" w14:paraId="096EACA6" w14:textId="28CD2421">
      <w:pPr>
        <w:tabs>
          <w:tab w:val="left" w:pos="576"/>
          <w:tab w:val="left" w:pos="720"/>
        </w:tabs>
        <w:spacing w:after="0"/>
      </w:pPr>
      <w:r>
        <w:rPr>
          <w:rFonts w:ascii="Times New Roman" w:eastAsia="Times New Roman" w:hAnsi="Times New Roman" w:cs="Times New Roman"/>
          <w:color w:val="000000" w:themeColor="text1"/>
          <w:sz w:val="24"/>
          <w:szCs w:val="24"/>
        </w:rPr>
        <w:t xml:space="preserve">The second step is a nonresponse weight adjustment step. </w:t>
      </w:r>
      <w:r w:rsidRPr="602FA251" w:rsidR="602FA251">
        <w:rPr>
          <w:rFonts w:ascii="Times New Roman" w:eastAsia="Times New Roman" w:hAnsi="Times New Roman" w:cs="Times New Roman"/>
          <w:color w:val="000000" w:themeColor="text1"/>
          <w:sz w:val="24"/>
          <w:szCs w:val="24"/>
        </w:rPr>
        <w:t xml:space="preserve">The weight carried by non-respondents will be transferred to respondents within each adjustment cell so each responding office will represent a portion of the non-responding </w:t>
      </w:r>
      <w:r w:rsidRPr="602FA251" w:rsidR="602FA251">
        <w:rPr>
          <w:rFonts w:ascii="Times New Roman" w:eastAsia="Times New Roman" w:hAnsi="Times New Roman" w:cs="Times New Roman"/>
          <w:color w:val="000000" w:themeColor="text1"/>
          <w:sz w:val="24"/>
          <w:szCs w:val="24"/>
        </w:rPr>
        <w:t>offices</w:t>
      </w:r>
      <w:r w:rsidRPr="602FA251" w:rsidR="602FA251">
        <w:rPr>
          <w:rFonts w:ascii="Times New Roman" w:eastAsia="Times New Roman" w:hAnsi="Times New Roman" w:cs="Times New Roman"/>
          <w:color w:val="000000" w:themeColor="text1"/>
          <w:sz w:val="24"/>
          <w:szCs w:val="24"/>
        </w:rPr>
        <w:t xml:space="preserve"> and the sum of the weights will be the total number of eligible offices. To determine which variables should be used to create the adjustment cells, a non-response bias analysis to compare response rates among different subgroups will be carried out. Variables analyzed may include the office size, region, state, single county vs. multiple county offices, and ruralness/urbanicity (population density). Variables where subgroups have the largest differential response rates will be used to define the adjustment cells for the nonresponse weight adjustment. The details of these analyses will be included in a non-response bias analysis report. To avoid introducing unnecessary weight variation, each adjustment cell will contain at least 20 cases. </w:t>
      </w:r>
    </w:p>
    <w:p w:rsidR="00912D4E" w:rsidRPr="00FC289A" w:rsidP="602FA251" w14:paraId="7DD4B4F3" w14:textId="0ACA180F">
      <w:pPr>
        <w:tabs>
          <w:tab w:val="left" w:pos="576"/>
          <w:tab w:val="left" w:pos="720"/>
        </w:tabs>
        <w:spacing w:after="0"/>
      </w:pPr>
      <w:r w:rsidRPr="602FA251">
        <w:rPr>
          <w:rFonts w:ascii="Times New Roman" w:eastAsia="Times New Roman" w:hAnsi="Times New Roman" w:cs="Times New Roman"/>
          <w:color w:val="000000" w:themeColor="text1"/>
          <w:sz w:val="24"/>
          <w:szCs w:val="24"/>
        </w:rPr>
        <w:t xml:space="preserve"> </w:t>
      </w:r>
    </w:p>
    <w:p w:rsidR="00912D4E" w:rsidRPr="00FC289A" w:rsidP="602FA251" w14:paraId="1A031A35" w14:textId="2FD661E3">
      <w:pPr>
        <w:spacing w:line="257" w:lineRule="auto"/>
      </w:pPr>
      <w:r w:rsidRPr="602FA251">
        <w:rPr>
          <w:rFonts w:ascii="Times New Roman" w:eastAsia="Times New Roman" w:hAnsi="Times New Roman" w:cs="Times New Roman"/>
          <w:color w:val="000000" w:themeColor="text1"/>
          <w:sz w:val="24"/>
          <w:szCs w:val="24"/>
        </w:rPr>
        <w:t xml:space="preserve">The response rate achieved for the last full census of prosecutor offices conducted by BJS in 2007 was robust (exceeding 95%). However, BJS expects an 85% response rate for </w:t>
      </w:r>
      <w:r w:rsidR="009457E3">
        <w:rPr>
          <w:rFonts w:ascii="Times New Roman" w:eastAsia="Times New Roman" w:hAnsi="Times New Roman" w:cs="Times New Roman"/>
          <w:color w:val="000000" w:themeColor="text1"/>
          <w:sz w:val="24"/>
          <w:szCs w:val="24"/>
        </w:rPr>
        <w:t>2025 CPO</w:t>
      </w:r>
      <w:r w:rsidRPr="602FA251">
        <w:rPr>
          <w:rFonts w:ascii="Times New Roman" w:eastAsia="Times New Roman" w:hAnsi="Times New Roman" w:cs="Times New Roman"/>
          <w:color w:val="000000" w:themeColor="text1"/>
          <w:sz w:val="24"/>
          <w:szCs w:val="24"/>
        </w:rPr>
        <w:t>. Lower response rates increase the risk of bias, resulting in differences between the sample estimates and the target population's actual values. If the final response rate falls below 85%, Urban will conduct a more thorough non-response bias analysis to assess the weighting and, if necessary, improve the sample weights. This analysis will involve comparing the characteristics of respondents and non-respondents to identify any significant discrepancies, comparing the sample estimates to external sources, comparing estimates using the base weights to the adjusted weights, and evaluating survey metadata such as response dates, ranks, and lengths in relation to the response behavior.</w:t>
      </w:r>
    </w:p>
    <w:p w:rsidR="00912D4E" w:rsidRPr="00FC289A" w:rsidP="602FA251" w14:paraId="55DA9340" w14:textId="6D188821">
      <w:pPr>
        <w:spacing w:after="0"/>
      </w:pPr>
      <w:r w:rsidRPr="602FA251">
        <w:rPr>
          <w:rFonts w:ascii="Times New Roman" w:eastAsia="Times New Roman" w:hAnsi="Times New Roman" w:cs="Times New Roman"/>
          <w:i/>
          <w:iCs/>
          <w:color w:val="000000" w:themeColor="text1"/>
          <w:sz w:val="24"/>
          <w:szCs w:val="24"/>
        </w:rPr>
        <w:t>Imputation for Item Non-Response</w:t>
      </w:r>
    </w:p>
    <w:p w:rsidR="00912D4E" w:rsidP="00A4533C" w14:paraId="26861F1E" w14:textId="58AD052A">
      <w:pPr>
        <w:spacing w:after="0"/>
        <w:rPr>
          <w:rFonts w:ascii="Times New Roman" w:eastAsia="Times New Roman" w:hAnsi="Times New Roman" w:cs="Times New Roman"/>
          <w:color w:val="000000" w:themeColor="text1"/>
          <w:sz w:val="24"/>
          <w:szCs w:val="24"/>
        </w:rPr>
      </w:pPr>
      <w:r w:rsidRPr="602FA251">
        <w:rPr>
          <w:rFonts w:ascii="Times New Roman" w:eastAsia="Times New Roman" w:hAnsi="Times New Roman" w:cs="Times New Roman"/>
          <w:color w:val="000000" w:themeColor="text1"/>
          <w:sz w:val="24"/>
          <w:szCs w:val="24"/>
        </w:rPr>
        <w:t xml:space="preserve">Item-missing data occurs when an otherwise complete questionnaire is received but not all survey items are answered or responses are illogical (e.g., out of range, inconsistent with an </w:t>
      </w:r>
      <w:r w:rsidRPr="602FA251">
        <w:rPr>
          <w:rFonts w:ascii="Times New Roman" w:eastAsia="Times New Roman" w:hAnsi="Times New Roman" w:cs="Times New Roman"/>
          <w:color w:val="000000" w:themeColor="text1"/>
          <w:sz w:val="24"/>
          <w:szCs w:val="24"/>
        </w:rPr>
        <w:t xml:space="preserve">earlier response to a </w:t>
      </w:r>
      <w:r w:rsidRPr="602FA251">
        <w:rPr>
          <w:rFonts w:ascii="Times New Roman" w:eastAsia="Times New Roman" w:hAnsi="Times New Roman" w:cs="Times New Roman"/>
          <w:color w:val="000000" w:themeColor="text1"/>
          <w:sz w:val="24"/>
          <w:szCs w:val="24"/>
        </w:rPr>
        <w:t>related survey question</w:t>
      </w:r>
      <w:r w:rsidRPr="602FA251">
        <w:rPr>
          <w:rFonts w:ascii="Times New Roman" w:eastAsia="Times New Roman" w:hAnsi="Times New Roman" w:cs="Times New Roman"/>
          <w:color w:val="000000" w:themeColor="text1"/>
          <w:sz w:val="24"/>
          <w:szCs w:val="24"/>
        </w:rPr>
        <w:t xml:space="preserve">). </w:t>
      </w:r>
      <w:r w:rsidR="00257A66">
        <w:rPr>
          <w:rFonts w:ascii="Times New Roman" w:eastAsia="Times New Roman" w:hAnsi="Times New Roman" w:cs="Times New Roman"/>
          <w:color w:val="000000" w:themeColor="text1"/>
          <w:sz w:val="24"/>
          <w:szCs w:val="24"/>
        </w:rPr>
        <w:t>The project team</w:t>
      </w:r>
      <w:r w:rsidRPr="602FA251" w:rsidR="00257A66">
        <w:rPr>
          <w:rFonts w:ascii="Times New Roman" w:eastAsia="Times New Roman" w:hAnsi="Times New Roman" w:cs="Times New Roman"/>
          <w:color w:val="000000" w:themeColor="text1"/>
          <w:sz w:val="24"/>
          <w:szCs w:val="24"/>
        </w:rPr>
        <w:t xml:space="preserve"> </w:t>
      </w:r>
      <w:r w:rsidRPr="602FA251">
        <w:rPr>
          <w:rFonts w:ascii="Times New Roman" w:eastAsia="Times New Roman" w:hAnsi="Times New Roman" w:cs="Times New Roman"/>
          <w:color w:val="000000" w:themeColor="text1"/>
          <w:sz w:val="24"/>
          <w:szCs w:val="24"/>
        </w:rPr>
        <w:t xml:space="preserve">will make every effort to follow up with individual prosecutor offices that have missing or illogical data on </w:t>
      </w:r>
      <w:r w:rsidRPr="602FA251">
        <w:rPr>
          <w:rFonts w:ascii="Times New Roman" w:eastAsia="Times New Roman" w:hAnsi="Times New Roman" w:cs="Times New Roman"/>
          <w:color w:val="000000" w:themeColor="text1"/>
          <w:sz w:val="24"/>
          <w:szCs w:val="24"/>
        </w:rPr>
        <w:t>particular survey</w:t>
      </w:r>
      <w:r w:rsidRPr="602FA251">
        <w:rPr>
          <w:rFonts w:ascii="Times New Roman" w:eastAsia="Times New Roman" w:hAnsi="Times New Roman" w:cs="Times New Roman"/>
          <w:color w:val="000000" w:themeColor="text1"/>
          <w:sz w:val="24"/>
          <w:szCs w:val="24"/>
        </w:rPr>
        <w:t xml:space="preserve"> items to obtain this information. However, despite our best efforts to minimize missing data during the data collection phase, we expect that a small amount will remain. For example, offices may leave certain items blank due to lack of access to the information or the fact that the data are not being recorded by the office’s records management system. To fill in those gaps, imputation is a technique that can be used to “complete” the dataset. Accordingly, Urban proposes using hot-deck and multiple imputation methods to ensure a complete data file. For item non-response rates less than 5%, imputation will not be used. </w:t>
      </w:r>
    </w:p>
    <w:p w:rsidR="00A4533C" w:rsidRPr="00FC289A" w:rsidP="00950B45" w14:paraId="7F3733BF" w14:textId="77777777">
      <w:pPr>
        <w:spacing w:after="0"/>
      </w:pPr>
    </w:p>
    <w:p w:rsidR="00912D4E" w:rsidRPr="00FC289A" w:rsidP="602FA251" w14:paraId="58C03E92" w14:textId="1F2EDC92">
      <w:pPr>
        <w:spacing w:line="257" w:lineRule="auto"/>
      </w:pPr>
      <w:r w:rsidRPr="602FA251">
        <w:rPr>
          <w:rFonts w:ascii="Times New Roman" w:eastAsia="Times New Roman" w:hAnsi="Times New Roman" w:cs="Times New Roman"/>
          <w:color w:val="000000" w:themeColor="text1"/>
          <w:sz w:val="24"/>
          <w:szCs w:val="24"/>
        </w:rPr>
        <w:t xml:space="preserve">For </w:t>
      </w:r>
      <w:r w:rsidR="00AD2412">
        <w:rPr>
          <w:rFonts w:ascii="Times New Roman" w:eastAsia="Times New Roman" w:hAnsi="Times New Roman" w:cs="Times New Roman"/>
          <w:color w:val="000000" w:themeColor="text1"/>
          <w:sz w:val="24"/>
          <w:szCs w:val="24"/>
        </w:rPr>
        <w:t xml:space="preserve">item </w:t>
      </w:r>
      <w:r w:rsidRPr="602FA251">
        <w:rPr>
          <w:rFonts w:ascii="Times New Roman" w:eastAsia="Times New Roman" w:hAnsi="Times New Roman" w:cs="Times New Roman"/>
          <w:color w:val="000000" w:themeColor="text1"/>
          <w:sz w:val="24"/>
          <w:szCs w:val="24"/>
        </w:rPr>
        <w:t xml:space="preserve">non-response rates </w:t>
      </w:r>
      <w:r w:rsidR="00AD2412">
        <w:rPr>
          <w:rFonts w:ascii="Times New Roman" w:eastAsia="Times New Roman" w:hAnsi="Times New Roman" w:cs="Times New Roman"/>
          <w:color w:val="000000" w:themeColor="text1"/>
          <w:sz w:val="24"/>
          <w:szCs w:val="24"/>
        </w:rPr>
        <w:t xml:space="preserve">from </w:t>
      </w:r>
      <w:r w:rsidRPr="602FA251">
        <w:rPr>
          <w:rFonts w:ascii="Times New Roman" w:eastAsia="Times New Roman" w:hAnsi="Times New Roman" w:cs="Times New Roman"/>
          <w:color w:val="000000" w:themeColor="text1"/>
          <w:sz w:val="24"/>
          <w:szCs w:val="24"/>
        </w:rPr>
        <w:t>5-20%, hot deck imputation is a cost-</w:t>
      </w:r>
      <w:r w:rsidRPr="602FA251">
        <w:rPr>
          <w:rFonts w:ascii="Times New Roman" w:eastAsia="Times New Roman" w:hAnsi="Times New Roman" w:cs="Times New Roman"/>
          <w:color w:val="000000" w:themeColor="text1"/>
          <w:sz w:val="24"/>
          <w:szCs w:val="24"/>
        </w:rPr>
        <w:t>efficient imputation</w:t>
      </w:r>
      <w:r w:rsidRPr="602FA251">
        <w:rPr>
          <w:rFonts w:ascii="Times New Roman" w:eastAsia="Times New Roman" w:hAnsi="Times New Roman" w:cs="Times New Roman"/>
          <w:color w:val="000000" w:themeColor="text1"/>
          <w:sz w:val="24"/>
          <w:szCs w:val="24"/>
        </w:rPr>
        <w:t xml:space="preserve"> method that protects relationships between variables that are observed in the non-missing data. For each variable to be </w:t>
      </w:r>
      <w:r w:rsidRPr="602FA251">
        <w:rPr>
          <w:rFonts w:ascii="Times New Roman" w:eastAsia="Times New Roman" w:hAnsi="Times New Roman" w:cs="Times New Roman"/>
          <w:color w:val="000000" w:themeColor="text1"/>
          <w:sz w:val="24"/>
          <w:szCs w:val="24"/>
        </w:rPr>
        <w:t>imputed</w:t>
      </w:r>
      <w:r w:rsidRPr="602FA251">
        <w:rPr>
          <w:rFonts w:ascii="Times New Roman" w:eastAsia="Times New Roman" w:hAnsi="Times New Roman" w:cs="Times New Roman"/>
          <w:color w:val="000000" w:themeColor="text1"/>
          <w:sz w:val="24"/>
          <w:szCs w:val="24"/>
        </w:rPr>
        <w:t xml:space="preserve"> using hot deck, the file will be sorted by variables that have correlations with the variable to be imputed. These “sort” variables will be chosen based on models in which the variable to be imputed is the dependent variable and the independent variables (sort variable candidates) will be other questionnaire items or variables known for all eligible agencies considered for weighting (see above). The initial models will be formed based on subjective knowledge of which independent variables are associated with the missing variable and its response status and the design variables. Several modeling techniques can be used, and Urban plans to use tree-based classifications and regressions. These </w:t>
      </w:r>
      <w:r w:rsidRPr="602FA251">
        <w:rPr>
          <w:rFonts w:ascii="Times New Roman" w:eastAsia="Times New Roman" w:hAnsi="Times New Roman" w:cs="Times New Roman"/>
          <w:color w:val="000000" w:themeColor="text1"/>
          <w:sz w:val="24"/>
          <w:szCs w:val="24"/>
        </w:rPr>
        <w:t>sort</w:t>
      </w:r>
      <w:r w:rsidRPr="602FA251">
        <w:rPr>
          <w:rFonts w:ascii="Times New Roman" w:eastAsia="Times New Roman" w:hAnsi="Times New Roman" w:cs="Times New Roman"/>
          <w:color w:val="000000" w:themeColor="text1"/>
          <w:sz w:val="24"/>
          <w:szCs w:val="24"/>
        </w:rPr>
        <w:t xml:space="preserve"> variable candidates can be quantitative (continuous and discrete) or categorical, but the quantitative sort variables chosen will be converted to categorical variables during imputation so that later variables in the sort order can still have an impact on the sorting of the file. Once the file is sorted, hot deck imputation uses the nearest neighbor as the donor for the missing value. Each variable to be </w:t>
      </w:r>
      <w:r w:rsidRPr="602FA251">
        <w:rPr>
          <w:rFonts w:ascii="Times New Roman" w:eastAsia="Times New Roman" w:hAnsi="Times New Roman" w:cs="Times New Roman"/>
          <w:color w:val="000000" w:themeColor="text1"/>
          <w:sz w:val="24"/>
          <w:szCs w:val="24"/>
        </w:rPr>
        <w:t>imputed</w:t>
      </w:r>
      <w:r w:rsidRPr="602FA251">
        <w:rPr>
          <w:rFonts w:ascii="Times New Roman" w:eastAsia="Times New Roman" w:hAnsi="Times New Roman" w:cs="Times New Roman"/>
          <w:color w:val="000000" w:themeColor="text1"/>
          <w:sz w:val="24"/>
          <w:szCs w:val="24"/>
        </w:rPr>
        <w:t xml:space="preserve"> will be sorted according to its own set of sort variables. This single-imputation method does result in an under-representation in variance. We note that for continuous variables, the hot deck imputation may be augmented by multiplying a proportionality constant, such as office size or other population measure, so the imputed continuous values make sense in the context of the office’s size and/or complexity.</w:t>
      </w:r>
    </w:p>
    <w:p w:rsidR="00912D4E" w:rsidRPr="00FC289A" w:rsidP="602FA251" w14:paraId="711CAA57" w14:textId="484478F9">
      <w:pPr>
        <w:spacing w:line="257" w:lineRule="auto"/>
      </w:pPr>
      <w:r w:rsidRPr="602FA251">
        <w:rPr>
          <w:rFonts w:ascii="Times New Roman" w:eastAsia="Times New Roman" w:hAnsi="Times New Roman" w:cs="Times New Roman"/>
          <w:color w:val="000000" w:themeColor="text1"/>
          <w:sz w:val="24"/>
          <w:szCs w:val="24"/>
        </w:rPr>
        <w:t xml:space="preserve">If there is a high non-response rate for certain items (20 to 60 percent), hot deck will not work as well due to the necessary re-use of donors. In these situations, </w:t>
      </w:r>
      <w:r w:rsidR="00AD2412">
        <w:rPr>
          <w:rFonts w:ascii="Times New Roman" w:eastAsia="Times New Roman" w:hAnsi="Times New Roman" w:cs="Times New Roman"/>
          <w:color w:val="000000" w:themeColor="text1"/>
          <w:sz w:val="24"/>
          <w:szCs w:val="24"/>
        </w:rPr>
        <w:t>a commonly</w:t>
      </w:r>
      <w:r w:rsidRPr="602FA251">
        <w:rPr>
          <w:rFonts w:ascii="Times New Roman" w:eastAsia="Times New Roman" w:hAnsi="Times New Roman" w:cs="Times New Roman"/>
          <w:color w:val="000000" w:themeColor="text1"/>
          <w:sz w:val="24"/>
          <w:szCs w:val="24"/>
        </w:rPr>
        <w:t xml:space="preserve"> used option for variables with high non-response is multiple imputation. Multiple imputation involves model building for multiple related variables in which all are imputed together or sequentially. In multiple imputation, the missing values are imputed several times to create multiple complete datasets by replacing missing values with plausible values. The multiple complete datasets are used to estimate the parameter of interest. The estimates will be different from each other reflecting the randomness of drawing from the plausible values. Then the estimates are pooled together to obtain one estimate and its variance. Multiple imputation can reduce non-response bias in items with high missing data rates (20% or greater) better than hot deck imputation. </w:t>
      </w:r>
    </w:p>
    <w:p w:rsidR="00912D4E" w:rsidRPr="00FC289A" w:rsidP="602FA251" w14:paraId="33F022F7" w14:textId="6B06FBBF">
      <w:pPr>
        <w:spacing w:line="257" w:lineRule="auto"/>
      </w:pPr>
      <w:r w:rsidRPr="602FA251">
        <w:rPr>
          <w:rFonts w:ascii="Times New Roman" w:eastAsia="Times New Roman" w:hAnsi="Times New Roman" w:cs="Times New Roman"/>
          <w:color w:val="000000" w:themeColor="text1"/>
          <w:sz w:val="24"/>
          <w:szCs w:val="24"/>
        </w:rPr>
        <w:t xml:space="preserve">Imputed values will be merged into the final data file (and flagged) prior to delivery to BJS and subsequent archiving of data to the public. In the case of single imputation, the values will be </w:t>
      </w:r>
      <w:r w:rsidRPr="602FA251">
        <w:rPr>
          <w:rFonts w:ascii="Times New Roman" w:eastAsia="Times New Roman" w:hAnsi="Times New Roman" w:cs="Times New Roman"/>
          <w:color w:val="000000" w:themeColor="text1"/>
          <w:sz w:val="24"/>
          <w:szCs w:val="24"/>
        </w:rPr>
        <w:t>inserted and flagged in both the internal BJS and external public data, with a dataset and documentation indicating the variables that should be used containing values with single imputation. If there are variables where it is necessary to use multiple imputation, the multiple datasets containing imputed values will be provided to BJS for both internal and external public use, with documentation indicating the variables that require multiple imputation and programming code to create valid point and variance estimates. As with the single imputation variables, multiple imputation values will be flagged. It is important that the final post-imputation dataset can be easily used by analysts within prosecutors’ offices and members of the public who may not have advanced statistical skills. This will be accomplished through clear documentation of all data processing decisions, adjustments, weighting, and imputation procedures applied to the final dataset – thereby achieving the dual aims of completeness and ease of use.</w:t>
      </w:r>
    </w:p>
    <w:p w:rsidR="005B3085" w:rsidRPr="007B0DB1" w:rsidP="005B3085" w14:paraId="39963236" w14:textId="77777777">
      <w:pPr>
        <w:spacing w:after="0" w:line="240" w:lineRule="auto"/>
        <w:rPr>
          <w:rFonts w:ascii="Times New Roman" w:hAnsi="Times New Roman" w:cs="Times New Roman"/>
          <w:b/>
          <w:sz w:val="24"/>
          <w:szCs w:val="24"/>
        </w:rPr>
      </w:pPr>
      <w:bookmarkStart w:id="4" w:name="_Hlk167457761"/>
      <w:bookmarkEnd w:id="4"/>
    </w:p>
    <w:p w:rsidR="005B3085" w:rsidRPr="007B0DB1" w:rsidP="005B3085" w14:paraId="52110C3F"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4. Test</w:t>
      </w:r>
      <w:r>
        <w:rPr>
          <w:rFonts w:ascii="Times New Roman" w:hAnsi="Times New Roman" w:cs="Times New Roman"/>
          <w:b/>
          <w:sz w:val="24"/>
          <w:szCs w:val="24"/>
        </w:rPr>
        <w:t>ing</w:t>
      </w:r>
      <w:r w:rsidRPr="007B0DB1">
        <w:rPr>
          <w:rFonts w:ascii="Times New Roman" w:hAnsi="Times New Roman" w:cs="Times New Roman"/>
          <w:b/>
          <w:sz w:val="24"/>
          <w:szCs w:val="24"/>
        </w:rPr>
        <w:t xml:space="preserve"> of </w:t>
      </w:r>
      <w:r>
        <w:rPr>
          <w:rFonts w:ascii="Times New Roman" w:hAnsi="Times New Roman" w:cs="Times New Roman"/>
          <w:b/>
          <w:sz w:val="24"/>
          <w:szCs w:val="24"/>
        </w:rPr>
        <w:t>Procedures</w:t>
      </w:r>
    </w:p>
    <w:p w:rsidR="005B3085" w:rsidRPr="007B0DB1" w:rsidP="005B3085" w14:paraId="730FA36D" w14:textId="77777777">
      <w:pPr>
        <w:spacing w:after="0" w:line="240" w:lineRule="auto"/>
        <w:rPr>
          <w:rFonts w:ascii="Times New Roman" w:hAnsi="Times New Roman" w:cs="Times New Roman"/>
          <w:b/>
          <w:sz w:val="24"/>
          <w:szCs w:val="24"/>
        </w:rPr>
      </w:pPr>
    </w:p>
    <w:p w:rsidR="008A7326" w:rsidRPr="007B0DB1" w:rsidP="008A7326" w14:paraId="4496BF5B" w14:textId="605DFF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D6A2E">
        <w:rPr>
          <w:rFonts w:ascii="Times New Roman" w:hAnsi="Times New Roman" w:cs="Times New Roman"/>
          <w:sz w:val="24"/>
          <w:szCs w:val="24"/>
        </w:rPr>
        <w:t>project team</w:t>
      </w:r>
      <w:r>
        <w:rPr>
          <w:rFonts w:ascii="Times New Roman" w:hAnsi="Times New Roman" w:cs="Times New Roman"/>
          <w:sz w:val="24"/>
          <w:szCs w:val="24"/>
        </w:rPr>
        <w:t xml:space="preserve"> </w:t>
      </w:r>
      <w:r w:rsidRPr="007B0DB1">
        <w:rPr>
          <w:rFonts w:ascii="Times New Roman" w:hAnsi="Times New Roman" w:cs="Times New Roman"/>
          <w:sz w:val="24"/>
          <w:szCs w:val="24"/>
        </w:rPr>
        <w:t xml:space="preserve">conducted cognitive testing </w:t>
      </w:r>
      <w:r>
        <w:rPr>
          <w:rFonts w:ascii="Times New Roman" w:hAnsi="Times New Roman" w:cs="Times New Roman"/>
          <w:sz w:val="24"/>
          <w:szCs w:val="24"/>
        </w:rPr>
        <w:t xml:space="preserve">of </w:t>
      </w:r>
      <w:r w:rsidRPr="007B0DB1">
        <w:rPr>
          <w:rFonts w:ascii="Times New Roman" w:hAnsi="Times New Roman" w:cs="Times New Roman"/>
          <w:sz w:val="24"/>
          <w:szCs w:val="24"/>
        </w:rPr>
        <w:t xml:space="preserve">the </w:t>
      </w:r>
      <w:r w:rsidRPr="000B48D8">
        <w:rPr>
          <w:rFonts w:ascii="Times New Roman" w:hAnsi="Times New Roman" w:cs="Times New Roman"/>
          <w:sz w:val="24"/>
          <w:szCs w:val="24"/>
        </w:rPr>
        <w:t xml:space="preserve">instrument </w:t>
      </w:r>
      <w:r w:rsidR="00D42C5F">
        <w:rPr>
          <w:rFonts w:ascii="Times New Roman" w:hAnsi="Times New Roman" w:cs="Times New Roman"/>
          <w:sz w:val="24"/>
          <w:szCs w:val="24"/>
        </w:rPr>
        <w:t xml:space="preserve">under BJS’s generic clearance </w:t>
      </w:r>
      <w:r w:rsidRPr="000B48D8">
        <w:rPr>
          <w:rFonts w:ascii="Times New Roman" w:hAnsi="Times New Roman" w:cs="Times New Roman"/>
          <w:sz w:val="24"/>
          <w:szCs w:val="24"/>
        </w:rPr>
        <w:t xml:space="preserve">(OMB No. </w:t>
      </w:r>
      <w:r w:rsidRPr="00CE0972" w:rsidR="00CE0972">
        <w:rPr>
          <w:rFonts w:ascii="Times New Roman" w:eastAsia="Times New Roman" w:hAnsi="Times New Roman" w:cs="Times New Roman"/>
          <w:sz w:val="24"/>
          <w:szCs w:val="24"/>
        </w:rPr>
        <w:t>1121-0339</w:t>
      </w:r>
      <w:r w:rsidRPr="000B48D8">
        <w:rPr>
          <w:rFonts w:ascii="Times New Roman" w:hAnsi="Times New Roman" w:cs="Times New Roman"/>
          <w:sz w:val="24"/>
          <w:szCs w:val="24"/>
        </w:rPr>
        <w:t>)</w:t>
      </w:r>
      <w:r>
        <w:rPr>
          <w:rFonts w:ascii="Times New Roman" w:hAnsi="Times New Roman" w:cs="Times New Roman"/>
          <w:sz w:val="24"/>
          <w:szCs w:val="24"/>
        </w:rPr>
        <w:t xml:space="preserve"> from </w:t>
      </w:r>
      <w:r w:rsidR="008939F3">
        <w:rPr>
          <w:rFonts w:ascii="Times New Roman" w:hAnsi="Times New Roman" w:cs="Times New Roman"/>
          <w:sz w:val="24"/>
          <w:szCs w:val="24"/>
        </w:rPr>
        <w:t>July</w:t>
      </w:r>
      <w:r w:rsidR="00295144">
        <w:rPr>
          <w:rFonts w:ascii="Times New Roman" w:hAnsi="Times New Roman" w:cs="Times New Roman"/>
          <w:sz w:val="24"/>
          <w:szCs w:val="24"/>
        </w:rPr>
        <w:t xml:space="preserve"> through </w:t>
      </w:r>
      <w:r w:rsidR="008939F3">
        <w:rPr>
          <w:rFonts w:ascii="Times New Roman" w:hAnsi="Times New Roman" w:cs="Times New Roman"/>
          <w:sz w:val="24"/>
          <w:szCs w:val="24"/>
        </w:rPr>
        <w:t>November 2025</w:t>
      </w:r>
      <w:r w:rsidRPr="000B48D8">
        <w:rPr>
          <w:rFonts w:ascii="Times New Roman" w:hAnsi="Times New Roman" w:cs="Times New Roman"/>
          <w:sz w:val="24"/>
          <w:szCs w:val="24"/>
        </w:rPr>
        <w:t>.</w:t>
      </w:r>
      <w:r w:rsidRPr="007B0DB1">
        <w:t xml:space="preserve"> </w:t>
      </w:r>
      <w:r w:rsidRPr="007B0DB1">
        <w:rPr>
          <w:rFonts w:ascii="Times New Roman" w:hAnsi="Times New Roman" w:cs="Times New Roman"/>
          <w:sz w:val="24"/>
          <w:szCs w:val="24"/>
        </w:rPr>
        <w:t xml:space="preserve"> </w:t>
      </w:r>
    </w:p>
    <w:p w:rsidR="008542A8" w:rsidP="008542A8" w14:paraId="48E4BCD7" w14:textId="77777777">
      <w:pPr>
        <w:spacing w:after="0" w:line="240" w:lineRule="auto"/>
        <w:rPr>
          <w:rFonts w:ascii="Times New Roman" w:hAnsi="Times New Roman" w:cs="Times New Roman"/>
          <w:b/>
          <w:sz w:val="24"/>
          <w:szCs w:val="24"/>
        </w:rPr>
      </w:pPr>
    </w:p>
    <w:p w:rsidR="008542A8" w:rsidP="62681EFA" w14:paraId="0EB31BB5" w14:textId="3772C462">
      <w:pPr>
        <w:spacing w:after="0" w:line="240" w:lineRule="auto"/>
        <w:rPr>
          <w:rFonts w:ascii="Times New Roman" w:hAnsi="Times New Roman" w:cs="Times New Roman"/>
          <w:b/>
          <w:bCs/>
          <w:sz w:val="24"/>
          <w:szCs w:val="24"/>
        </w:rPr>
      </w:pPr>
      <w:r w:rsidRPr="62681EFA">
        <w:rPr>
          <w:rFonts w:ascii="Times New Roman" w:hAnsi="Times New Roman" w:cs="Times New Roman"/>
          <w:b/>
          <w:bCs/>
          <w:sz w:val="24"/>
          <w:szCs w:val="24"/>
        </w:rPr>
        <w:t>Cognitive testing</w:t>
      </w:r>
    </w:p>
    <w:p w:rsidR="008542A8" w:rsidP="008542A8" w14:paraId="083AB291" w14:textId="77777777">
      <w:pPr>
        <w:spacing w:after="0" w:line="240" w:lineRule="auto"/>
        <w:rPr>
          <w:rFonts w:ascii="Times New Roman" w:hAnsi="Times New Roman" w:cs="Times New Roman"/>
          <w:b/>
          <w:sz w:val="24"/>
          <w:szCs w:val="24"/>
        </w:rPr>
      </w:pPr>
    </w:p>
    <w:p w:rsidR="006A4B13" w:rsidP="50C75FC8" w14:paraId="11C01854" w14:textId="07BC2616">
      <w:pPr>
        <w:spacing w:after="0" w:line="240" w:lineRule="auto"/>
        <w:rPr>
          <w:rFonts w:ascii="Times New Roman" w:eastAsia="Calibri" w:hAnsi="Times New Roman" w:cs="Times New Roman"/>
          <w:color w:val="000000" w:themeColor="text1"/>
          <w:sz w:val="24"/>
          <w:szCs w:val="24"/>
        </w:rPr>
      </w:pPr>
      <w:r w:rsidRPr="50C75FC8">
        <w:rPr>
          <w:rFonts w:ascii="Times New Roman" w:hAnsi="Times New Roman" w:cs="Times New Roman"/>
          <w:sz w:val="24"/>
          <w:szCs w:val="24"/>
        </w:rPr>
        <w:t xml:space="preserve">The project team completed cognitive testing of the </w:t>
      </w:r>
      <w:r w:rsidR="009457E3">
        <w:rPr>
          <w:rFonts w:ascii="Times New Roman" w:hAnsi="Times New Roman" w:cs="Times New Roman"/>
          <w:sz w:val="24"/>
          <w:szCs w:val="24"/>
        </w:rPr>
        <w:t>2025 CPO</w:t>
      </w:r>
      <w:r w:rsidRPr="50C75FC8">
        <w:rPr>
          <w:rFonts w:ascii="Times New Roman" w:hAnsi="Times New Roman" w:cs="Times New Roman"/>
          <w:sz w:val="24"/>
          <w:szCs w:val="24"/>
        </w:rPr>
        <w:t xml:space="preserve"> instrument between July and November 2025 to assess its quality and to evaluate whether offices had the information needed to respond to the draft questions. </w:t>
      </w:r>
      <w:r w:rsidRPr="50C75FC8">
        <w:rPr>
          <w:rFonts w:ascii="Times New Roman" w:eastAsia="Calibri" w:hAnsi="Times New Roman" w:cs="Times New Roman"/>
          <w:sz w:val="24"/>
          <w:szCs w:val="24"/>
        </w:rPr>
        <w:t xml:space="preserve">In determining which offices to select to participate in the </w:t>
      </w:r>
      <w:r w:rsidR="009457E3">
        <w:rPr>
          <w:rFonts w:ascii="Times New Roman" w:eastAsia="Calibri" w:hAnsi="Times New Roman" w:cs="Times New Roman"/>
          <w:sz w:val="24"/>
          <w:szCs w:val="24"/>
        </w:rPr>
        <w:t>2025 CPO</w:t>
      </w:r>
      <w:r w:rsidRPr="50C75FC8">
        <w:rPr>
          <w:rFonts w:ascii="Times New Roman" w:eastAsia="Calibri" w:hAnsi="Times New Roman" w:cs="Times New Roman"/>
          <w:sz w:val="24"/>
          <w:szCs w:val="24"/>
        </w:rPr>
        <w:t xml:space="preserve"> pretest and cognitive interviewing, </w:t>
      </w:r>
      <w:r w:rsidR="00E637D3">
        <w:rPr>
          <w:rFonts w:ascii="Times New Roman" w:eastAsia="Calibri" w:hAnsi="Times New Roman" w:cs="Times New Roman"/>
          <w:color w:val="000000" w:themeColor="text1"/>
          <w:sz w:val="24"/>
          <w:szCs w:val="24"/>
        </w:rPr>
        <w:t>the project team</w:t>
      </w:r>
      <w:r w:rsidRPr="50C75FC8">
        <w:rPr>
          <w:rFonts w:ascii="Times New Roman" w:eastAsia="Calibri" w:hAnsi="Times New Roman" w:cs="Times New Roman"/>
          <w:color w:val="000000" w:themeColor="text1"/>
          <w:sz w:val="24"/>
          <w:szCs w:val="24"/>
        </w:rPr>
        <w:t xml:space="preserve"> considered the major structural and contextual differences in prosecutor offices across the country and developed a list of characteristics to include when selecting cognitive participants. The different office profiles could influence the availability and accessibility of financial and institutional data. Thus, the project team sought to include at least one office from each of these categories, to identify whether there are barriers in the survey instrument for offices that fit into each subset/stratum. Selected offices could fulfill more than one criterion (e.g., an urban office with an elected prosecutor). Additionally, </w:t>
      </w:r>
      <w:r w:rsidR="000D6A2E">
        <w:rPr>
          <w:rFonts w:ascii="Times New Roman" w:eastAsia="Calibri" w:hAnsi="Times New Roman" w:cs="Times New Roman"/>
          <w:color w:val="000000" w:themeColor="text1"/>
          <w:sz w:val="24"/>
          <w:szCs w:val="24"/>
        </w:rPr>
        <w:t>the project team</w:t>
      </w:r>
      <w:r w:rsidRPr="50C75FC8" w:rsidR="000D6A2E">
        <w:rPr>
          <w:rFonts w:ascii="Times New Roman" w:eastAsia="Calibri" w:hAnsi="Times New Roman" w:cs="Times New Roman"/>
          <w:color w:val="000000" w:themeColor="text1"/>
          <w:sz w:val="24"/>
          <w:szCs w:val="24"/>
        </w:rPr>
        <w:t xml:space="preserve"> </w:t>
      </w:r>
      <w:r w:rsidRPr="50C75FC8">
        <w:rPr>
          <w:rFonts w:ascii="Times New Roman" w:eastAsia="Calibri" w:hAnsi="Times New Roman" w:cs="Times New Roman"/>
          <w:color w:val="000000" w:themeColor="text1"/>
          <w:sz w:val="24"/>
          <w:szCs w:val="24"/>
        </w:rPr>
        <w:t>endeavored to select geographically diverse offices across the country.</w:t>
      </w:r>
    </w:p>
    <w:p w:rsidR="00E637D3" w:rsidP="50C75FC8" w14:paraId="58935D3F" w14:textId="77777777">
      <w:pPr>
        <w:spacing w:after="0" w:line="240" w:lineRule="auto"/>
        <w:rPr>
          <w:rFonts w:ascii="Times New Roman" w:eastAsia="Calibri" w:hAnsi="Times New Roman" w:cs="Times New Roman"/>
          <w:color w:val="000000" w:themeColor="text1"/>
          <w:sz w:val="24"/>
          <w:szCs w:val="24"/>
        </w:rPr>
      </w:pPr>
    </w:p>
    <w:p w:rsidR="006A4B13" w:rsidP="50C75FC8" w14:paraId="0B97E9F5" w14:textId="0195A44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Nineteen</w:t>
      </w:r>
      <w:r w:rsidRPr="50C75FC8" w:rsidR="50C75FC8">
        <w:rPr>
          <w:rFonts w:ascii="Times New Roman" w:eastAsia="Calibri" w:hAnsi="Times New Roman" w:cs="Times New Roman"/>
          <w:sz w:val="24"/>
          <w:szCs w:val="24"/>
        </w:rPr>
        <w:t xml:space="preserve"> offices based on the following criteria/office types</w:t>
      </w:r>
      <w:r w:rsidRPr="00E637D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were identified </w:t>
      </w:r>
      <w:r w:rsidRPr="50C75FC8">
        <w:rPr>
          <w:rFonts w:ascii="Times New Roman" w:eastAsia="Calibri" w:hAnsi="Times New Roman" w:cs="Times New Roman"/>
          <w:sz w:val="24"/>
          <w:szCs w:val="24"/>
        </w:rPr>
        <w:t>to conduct the pretest</w:t>
      </w:r>
      <w:r w:rsidRPr="50C75FC8" w:rsidR="50C75FC8">
        <w:rPr>
          <w:rFonts w:ascii="Times New Roman" w:eastAsia="Calibri" w:hAnsi="Times New Roman" w:cs="Times New Roman"/>
          <w:sz w:val="24"/>
          <w:szCs w:val="24"/>
        </w:rPr>
        <w:t>:</w:t>
      </w:r>
    </w:p>
    <w:p w:rsidR="006A4B13" w:rsidP="50C75FC8" w14:paraId="589EB774" w14:textId="5EFA11E6">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US region   </w:t>
      </w:r>
    </w:p>
    <w:p w:rsidR="006A4B13" w:rsidP="50C75FC8" w14:paraId="5282D57D" w14:textId="608D0AED">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Office in a rural, urban, and suburban jurisdiction</w:t>
      </w:r>
    </w:p>
    <w:p w:rsidR="006A4B13" w:rsidP="50C75FC8" w14:paraId="414E3117" w14:textId="6886EAA2">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Jurisdiction size (in population)</w:t>
      </w:r>
    </w:p>
    <w:p w:rsidR="006A4B13" w:rsidP="50C75FC8" w14:paraId="54E044FE" w14:textId="46A8EAA3">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Elected and appointed chief prosecutors</w:t>
      </w:r>
    </w:p>
    <w:p w:rsidR="006A4B13" w:rsidP="50C75FC8" w14:paraId="00F47376" w14:textId="7BDFB9C8">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Political affiliation (if elected)</w:t>
      </w:r>
    </w:p>
    <w:p w:rsidR="006A4B13" w:rsidP="50C75FC8" w14:paraId="3835E7E5" w14:textId="624E6468">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Single county and multiple counties</w:t>
      </w:r>
    </w:p>
    <w:p w:rsidR="006A4B13" w:rsidP="50C75FC8" w14:paraId="7DA5B52F" w14:textId="3AB4C22D">
      <w:pPr>
        <w:numPr>
          <w:ilvl w:val="0"/>
          <w:numId w:val="3"/>
        </w:num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Statewide office</w:t>
      </w:r>
    </w:p>
    <w:p w:rsidR="006A4B13" w:rsidP="50C75FC8" w14:paraId="44BACDC9" w14:textId="5B4E6AFD">
      <w:p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 xml:space="preserve"> </w:t>
      </w:r>
    </w:p>
    <w:p w:rsidR="50C75FC8" w:rsidP="00A35904" w14:paraId="2BC2CF40" w14:textId="39A306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Nineteen prosecutor offices </w:t>
      </w:r>
      <w:r w:rsidRPr="50C75FC8">
        <w:rPr>
          <w:rFonts w:ascii="Times New Roman" w:eastAsia="Calibri" w:hAnsi="Times New Roman" w:cs="Times New Roman"/>
          <w:sz w:val="24"/>
          <w:szCs w:val="24"/>
        </w:rPr>
        <w:t xml:space="preserve">were </w:t>
      </w:r>
      <w:r w:rsidR="00EF624E">
        <w:rPr>
          <w:rFonts w:ascii="Times New Roman" w:eastAsia="Calibri" w:hAnsi="Times New Roman" w:cs="Times New Roman"/>
          <w:sz w:val="24"/>
          <w:szCs w:val="24"/>
        </w:rPr>
        <w:t xml:space="preserve">initially </w:t>
      </w:r>
      <w:r w:rsidRPr="50C75FC8">
        <w:rPr>
          <w:rFonts w:ascii="Times New Roman" w:eastAsia="Calibri" w:hAnsi="Times New Roman" w:cs="Times New Roman"/>
          <w:sz w:val="24"/>
          <w:szCs w:val="24"/>
        </w:rPr>
        <w:t xml:space="preserve">invited to participate in </w:t>
      </w:r>
      <w:r w:rsidR="00EF624E">
        <w:rPr>
          <w:rFonts w:ascii="Times New Roman" w:eastAsia="Calibri" w:hAnsi="Times New Roman" w:cs="Times New Roman"/>
          <w:sz w:val="24"/>
          <w:szCs w:val="24"/>
        </w:rPr>
        <w:t>cognitive testing</w:t>
      </w:r>
      <w:r>
        <w:rPr>
          <w:rFonts w:ascii="Times New Roman" w:eastAsia="Calibri" w:hAnsi="Times New Roman" w:cs="Times New Roman"/>
          <w:sz w:val="24"/>
          <w:szCs w:val="24"/>
        </w:rPr>
        <w:t>. Thirty-five</w:t>
      </w:r>
      <w:r w:rsidRPr="50C75FC8">
        <w:rPr>
          <w:rFonts w:ascii="Times New Roman" w:eastAsia="Calibri" w:hAnsi="Times New Roman" w:cs="Times New Roman"/>
          <w:sz w:val="24"/>
          <w:szCs w:val="24"/>
        </w:rPr>
        <w:t xml:space="preserve"> alternate offices were selected to replace offices </w:t>
      </w:r>
      <w:r w:rsidR="00EF624E">
        <w:rPr>
          <w:rFonts w:ascii="Times New Roman" w:eastAsia="Calibri" w:hAnsi="Times New Roman" w:cs="Times New Roman"/>
          <w:sz w:val="24"/>
          <w:szCs w:val="24"/>
        </w:rPr>
        <w:t xml:space="preserve">that </w:t>
      </w:r>
      <w:r w:rsidRPr="50C75FC8">
        <w:rPr>
          <w:rFonts w:ascii="Times New Roman" w:eastAsia="Calibri" w:hAnsi="Times New Roman" w:cs="Times New Roman"/>
          <w:sz w:val="24"/>
          <w:szCs w:val="24"/>
        </w:rPr>
        <w:t>declined participation</w:t>
      </w:r>
      <w:r w:rsidR="00EF624E">
        <w:rPr>
          <w:rFonts w:ascii="Times New Roman" w:eastAsia="Calibri" w:hAnsi="Times New Roman" w:cs="Times New Roman"/>
          <w:sz w:val="24"/>
          <w:szCs w:val="24"/>
        </w:rPr>
        <w:t xml:space="preserve"> or </w:t>
      </w:r>
      <w:r w:rsidRPr="50C75FC8">
        <w:rPr>
          <w:rFonts w:ascii="Times New Roman" w:eastAsia="Calibri" w:hAnsi="Times New Roman" w:cs="Times New Roman"/>
          <w:sz w:val="24"/>
          <w:szCs w:val="24"/>
        </w:rPr>
        <w:t xml:space="preserve">did not reply </w:t>
      </w:r>
      <w:r w:rsidR="00E637D3">
        <w:rPr>
          <w:rFonts w:ascii="Times New Roman" w:eastAsia="Calibri" w:hAnsi="Times New Roman" w:cs="Times New Roman"/>
          <w:sz w:val="24"/>
          <w:szCs w:val="24"/>
        </w:rPr>
        <w:t>after non-response follow up</w:t>
      </w:r>
      <w:r w:rsidRPr="50C75FC8">
        <w:rPr>
          <w:rFonts w:ascii="Times New Roman" w:eastAsia="Calibri" w:hAnsi="Times New Roman" w:cs="Times New Roman"/>
          <w:sz w:val="24"/>
          <w:szCs w:val="24"/>
        </w:rPr>
        <w:t xml:space="preserve">. </w:t>
      </w:r>
      <w:r w:rsidR="000841C7">
        <w:rPr>
          <w:rFonts w:ascii="Times New Roman" w:eastAsia="Calibri" w:hAnsi="Times New Roman" w:cs="Times New Roman"/>
          <w:sz w:val="24"/>
          <w:szCs w:val="24"/>
        </w:rPr>
        <w:t>Sixteen</w:t>
      </w:r>
      <w:r w:rsidRPr="50C75FC8">
        <w:rPr>
          <w:rFonts w:ascii="Times New Roman" w:eastAsia="Calibri" w:hAnsi="Times New Roman" w:cs="Times New Roman"/>
          <w:sz w:val="24"/>
          <w:szCs w:val="24"/>
        </w:rPr>
        <w:t xml:space="preserve"> offices </w:t>
      </w:r>
      <w:r w:rsidR="000841C7">
        <w:rPr>
          <w:rFonts w:ascii="Times New Roman" w:eastAsia="Calibri" w:hAnsi="Times New Roman" w:cs="Times New Roman"/>
          <w:sz w:val="24"/>
          <w:szCs w:val="24"/>
        </w:rPr>
        <w:t>completed the cognitive test questionnaire and 15 participated in debriefing interviews. One office</w:t>
      </w:r>
      <w:r w:rsidRPr="50C75FC8">
        <w:rPr>
          <w:rFonts w:ascii="Times New Roman" w:eastAsia="Calibri" w:hAnsi="Times New Roman" w:cs="Times New Roman"/>
          <w:sz w:val="24"/>
          <w:szCs w:val="24"/>
        </w:rPr>
        <w:t xml:space="preserve"> completed the questionnaire but did </w:t>
      </w:r>
      <w:r w:rsidR="000841C7">
        <w:rPr>
          <w:rFonts w:ascii="Times New Roman" w:eastAsia="Calibri" w:hAnsi="Times New Roman" w:cs="Times New Roman"/>
          <w:sz w:val="24"/>
          <w:szCs w:val="24"/>
        </w:rPr>
        <w:t>not respond</w:t>
      </w:r>
      <w:r w:rsidRPr="50C75FC8">
        <w:rPr>
          <w:rFonts w:ascii="Times New Roman" w:eastAsia="Calibri" w:hAnsi="Times New Roman" w:cs="Times New Roman"/>
          <w:sz w:val="24"/>
          <w:szCs w:val="24"/>
        </w:rPr>
        <w:t xml:space="preserve"> when asked to schedule a cognitive interview.   </w:t>
      </w:r>
    </w:p>
    <w:p w:rsidR="00EF624E" w:rsidP="50C75FC8" w14:paraId="388D5D88" w14:textId="77777777">
      <w:pPr>
        <w:spacing w:after="0"/>
        <w:rPr>
          <w:rFonts w:ascii="Times New Roman" w:eastAsia="Calibri" w:hAnsi="Times New Roman" w:cs="Times New Roman"/>
          <w:sz w:val="24"/>
          <w:szCs w:val="24"/>
        </w:rPr>
      </w:pPr>
    </w:p>
    <w:p w:rsidR="50C75FC8" w:rsidP="50C75FC8" w14:paraId="68BA39E0" w14:textId="71387C32">
      <w:p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The</w:t>
      </w:r>
      <w:r w:rsidRPr="50C75FC8">
        <w:rPr>
          <w:rFonts w:ascii="Times New Roman" w:eastAsia="Calibri" w:hAnsi="Times New Roman" w:cs="Times New Roman"/>
          <w:sz w:val="24"/>
          <w:szCs w:val="24"/>
        </w:rPr>
        <w:t xml:space="preserve"> project team sought to test the instrument on a variety of office types</w:t>
      </w:r>
      <w:r>
        <w:rPr>
          <w:rFonts w:ascii="Times New Roman" w:eastAsia="Calibri" w:hAnsi="Times New Roman" w:cs="Times New Roman"/>
          <w:sz w:val="24"/>
          <w:szCs w:val="24"/>
        </w:rPr>
        <w:t xml:space="preserve"> that were </w:t>
      </w:r>
      <w:r w:rsidRPr="50C75FC8">
        <w:rPr>
          <w:rFonts w:ascii="Times New Roman" w:eastAsia="Calibri" w:hAnsi="Times New Roman" w:cs="Times New Roman"/>
          <w:sz w:val="24"/>
          <w:szCs w:val="24"/>
        </w:rPr>
        <w:t>geographical</w:t>
      </w:r>
      <w:r>
        <w:rPr>
          <w:rFonts w:ascii="Times New Roman" w:eastAsia="Calibri" w:hAnsi="Times New Roman" w:cs="Times New Roman"/>
          <w:sz w:val="24"/>
          <w:szCs w:val="24"/>
        </w:rPr>
        <w:t>ly</w:t>
      </w:r>
      <w:r w:rsidRPr="50C75FC8">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divers</w:t>
      </w:r>
      <w:r>
        <w:rPr>
          <w:rFonts w:ascii="Times New Roman" w:eastAsia="Calibri" w:hAnsi="Times New Roman" w:cs="Times New Roman"/>
          <w:sz w:val="24"/>
          <w:szCs w:val="24"/>
        </w:rPr>
        <w:t>e</w:t>
      </w:r>
      <w:r w:rsidRPr="50C75FC8">
        <w:rPr>
          <w:rFonts w:ascii="Times New Roman" w:eastAsia="Calibri" w:hAnsi="Times New Roman" w:cs="Times New Roman"/>
          <w:sz w:val="24"/>
          <w:szCs w:val="24"/>
        </w:rPr>
        <w:t xml:space="preserve">. </w:t>
      </w:r>
      <w:r w:rsidR="00E16A64">
        <w:rPr>
          <w:rFonts w:ascii="Times New Roman" w:eastAsia="Calibri" w:hAnsi="Times New Roman" w:cs="Times New Roman"/>
          <w:sz w:val="24"/>
          <w:szCs w:val="24"/>
        </w:rPr>
        <w:t>T</w:t>
      </w:r>
      <w:r w:rsidRPr="50C75FC8">
        <w:rPr>
          <w:rFonts w:ascii="Times New Roman" w:eastAsia="Calibri" w:hAnsi="Times New Roman" w:cs="Times New Roman"/>
          <w:sz w:val="24"/>
          <w:szCs w:val="24"/>
        </w:rPr>
        <w:t xml:space="preserve">he 15 offices </w:t>
      </w:r>
      <w:r>
        <w:rPr>
          <w:rFonts w:ascii="Times New Roman" w:eastAsia="Calibri" w:hAnsi="Times New Roman" w:cs="Times New Roman"/>
          <w:sz w:val="24"/>
          <w:szCs w:val="24"/>
        </w:rPr>
        <w:t>that</w:t>
      </w:r>
      <w:r w:rsidR="00E16A64">
        <w:rPr>
          <w:rFonts w:ascii="Times New Roman" w:eastAsia="Calibri" w:hAnsi="Times New Roman" w:cs="Times New Roman"/>
          <w:sz w:val="24"/>
          <w:szCs w:val="24"/>
        </w:rPr>
        <w:t xml:space="preserve"> fully participated in cognitive testing </w:t>
      </w:r>
      <w:r w:rsidRPr="50C75FC8">
        <w:rPr>
          <w:rFonts w:ascii="Times New Roman" w:eastAsia="Calibri" w:hAnsi="Times New Roman" w:cs="Times New Roman"/>
          <w:sz w:val="24"/>
          <w:szCs w:val="24"/>
        </w:rPr>
        <w:t>represented the following subsets/office types</w:t>
      </w:r>
      <w:r w:rsidR="00172BB5">
        <w:rPr>
          <w:rFonts w:ascii="Times New Roman" w:eastAsia="Calibri" w:hAnsi="Times New Roman" w:cs="Times New Roman"/>
          <w:sz w:val="24"/>
          <w:szCs w:val="24"/>
        </w:rPr>
        <w:t xml:space="preserve"> (subsets are not mutually exclusive)</w:t>
      </w:r>
      <w:r w:rsidRPr="50C75FC8">
        <w:rPr>
          <w:rFonts w:ascii="Times New Roman" w:eastAsia="Calibri" w:hAnsi="Times New Roman" w:cs="Times New Roman"/>
          <w:sz w:val="24"/>
          <w:szCs w:val="24"/>
        </w:rPr>
        <w:t>:</w:t>
      </w:r>
    </w:p>
    <w:p w:rsidR="50C75FC8" w:rsidP="50C75FC8" w14:paraId="018CDAB1" w14:textId="4E6812D5">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South region</w:t>
      </w:r>
    </w:p>
    <w:p w:rsidR="50C75FC8" w:rsidP="50C75FC8" w14:paraId="2F540005" w14:textId="036A5FF9">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Midwest region</w:t>
      </w:r>
    </w:p>
    <w:p w:rsidR="50C75FC8" w:rsidP="50C75FC8" w14:paraId="6381F1A1" w14:textId="74D2FA79">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West region</w:t>
      </w:r>
    </w:p>
    <w:p w:rsidR="50C75FC8" w:rsidP="50C75FC8" w14:paraId="684950A7" w14:textId="303F0C7C">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Northwest region</w:t>
      </w:r>
    </w:p>
    <w:p w:rsidR="50C75FC8" w:rsidP="50C75FC8" w14:paraId="016C3707" w14:textId="2B205254">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Northeast region</w:t>
      </w:r>
    </w:p>
    <w:p w:rsidR="50C75FC8" w:rsidP="50C75FC8" w14:paraId="234417D9" w14:textId="1849117C">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US Eastern region</w:t>
      </w:r>
    </w:p>
    <w:p w:rsidR="50C75FC8" w:rsidP="50C75FC8" w14:paraId="7D69C931" w14:textId="2A6D705B">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Office in a rural jurisdiction</w:t>
      </w:r>
    </w:p>
    <w:p w:rsidR="50C75FC8" w:rsidP="50C75FC8" w14:paraId="2EEE03FE" w14:textId="06E6AFC6">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Office in an urban jurisdiction</w:t>
      </w:r>
    </w:p>
    <w:p w:rsidR="50C75FC8" w:rsidP="50C75FC8" w14:paraId="6D96359D" w14:textId="105C21CC">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Office in a suburban jurisdiction</w:t>
      </w:r>
    </w:p>
    <w:p w:rsidR="50C75FC8" w:rsidP="50C75FC8" w14:paraId="43872EBF" w14:textId="0BB7AD6E">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Large jurisdiction size (over 500,000 population)</w:t>
      </w:r>
    </w:p>
    <w:p w:rsidR="50C75FC8" w:rsidP="50C75FC8" w14:paraId="701791E4" w14:textId="4E820E53">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Small jurisdiction size (under 500,000 population)</w:t>
      </w:r>
    </w:p>
    <w:p w:rsidR="50C75FC8" w:rsidP="50C75FC8" w14:paraId="26F1746B" w14:textId="2CDEC6A4">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Elected chief prosecutor</w:t>
      </w:r>
    </w:p>
    <w:p w:rsidR="50C75FC8" w:rsidP="50C75FC8" w14:paraId="3DF0AD58" w14:textId="5768FA55">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Republican elected chief prosecutor</w:t>
      </w:r>
    </w:p>
    <w:p w:rsidR="50C75FC8" w:rsidP="50C75FC8" w14:paraId="59B14384" w14:textId="4B80C673">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Democratic elected chief prosecutor</w:t>
      </w:r>
    </w:p>
    <w:p w:rsidR="50C75FC8" w:rsidP="50C75FC8" w14:paraId="40452438" w14:textId="541DB192">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Independent elected chief prosecutor</w:t>
      </w:r>
    </w:p>
    <w:p w:rsidR="50C75FC8" w:rsidP="50C75FC8" w14:paraId="7A50A8E3" w14:textId="420D750C">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 xml:space="preserve">Single county jurisdiction </w:t>
      </w:r>
    </w:p>
    <w:p w:rsidR="50C75FC8" w:rsidP="50C75FC8" w14:paraId="06BBDB5A" w14:textId="2EB21351">
      <w:pPr>
        <w:numPr>
          <w:ilvl w:val="0"/>
          <w:numId w:val="2"/>
        </w:numPr>
        <w:spacing w:after="0"/>
        <w:rPr>
          <w:rFonts w:ascii="Times New Roman" w:eastAsia="Calibri" w:hAnsi="Times New Roman" w:cs="Times New Roman"/>
          <w:sz w:val="24"/>
          <w:szCs w:val="24"/>
        </w:rPr>
      </w:pPr>
      <w:r w:rsidRPr="50C75FC8">
        <w:rPr>
          <w:rFonts w:ascii="Times New Roman" w:eastAsia="Calibri" w:hAnsi="Times New Roman" w:cs="Times New Roman"/>
          <w:sz w:val="24"/>
          <w:szCs w:val="24"/>
        </w:rPr>
        <w:t>Multiple county jurisdiction</w:t>
      </w:r>
    </w:p>
    <w:p w:rsidR="50C75FC8" w:rsidP="50C75FC8" w14:paraId="65C4B0C6" w14:textId="4D6057B6">
      <w:pPr>
        <w:spacing w:after="0"/>
        <w:rPr>
          <w:rFonts w:ascii="Times New Roman" w:hAnsi="Times New Roman" w:cs="Times New Roman"/>
          <w:sz w:val="24"/>
          <w:szCs w:val="24"/>
        </w:rPr>
      </w:pPr>
    </w:p>
    <w:p w:rsidR="50C75FC8" w:rsidP="50C75FC8" w14:paraId="450086A7" w14:textId="3C7567CE">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project</w:t>
      </w:r>
      <w:r w:rsidRPr="50C75FC8">
        <w:rPr>
          <w:rFonts w:ascii="Times New Roman" w:eastAsia="Calibri" w:hAnsi="Times New Roman" w:cs="Times New Roman"/>
          <w:sz w:val="24"/>
          <w:szCs w:val="24"/>
        </w:rPr>
        <w:t xml:space="preserve"> </w:t>
      </w:r>
      <w:r>
        <w:rPr>
          <w:rFonts w:ascii="Times New Roman" w:eastAsia="Calibri" w:hAnsi="Times New Roman" w:cs="Times New Roman"/>
          <w:sz w:val="24"/>
          <w:szCs w:val="24"/>
        </w:rPr>
        <w:t>team sent</w:t>
      </w:r>
      <w:r w:rsidRPr="50C75FC8">
        <w:rPr>
          <w:rFonts w:ascii="Times New Roman" w:eastAsia="Calibri" w:hAnsi="Times New Roman" w:cs="Times New Roman"/>
          <w:sz w:val="24"/>
          <w:szCs w:val="24"/>
        </w:rPr>
        <w:t xml:space="preserve"> an initial email to</w:t>
      </w:r>
      <w:r w:rsidRPr="002F06A2">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prosecutor offices that were selected for the pretest sample</w:t>
      </w:r>
      <w:r>
        <w:rPr>
          <w:rFonts w:ascii="Times New Roman" w:eastAsia="Calibri" w:hAnsi="Times New Roman" w:cs="Times New Roman"/>
          <w:sz w:val="24"/>
          <w:szCs w:val="24"/>
        </w:rPr>
        <w:t>. This outreach</w:t>
      </w:r>
      <w:r w:rsidRPr="002F06A2">
        <w:rPr>
          <w:rFonts w:ascii="Times New Roman" w:eastAsia="Calibri" w:hAnsi="Times New Roman" w:cs="Times New Roman"/>
          <w:sz w:val="24"/>
          <w:szCs w:val="24"/>
        </w:rPr>
        <w:t xml:space="preserve"> </w:t>
      </w:r>
      <w:r>
        <w:rPr>
          <w:rFonts w:ascii="Times New Roman" w:eastAsia="Calibri" w:hAnsi="Times New Roman" w:cs="Times New Roman"/>
          <w:sz w:val="24"/>
          <w:szCs w:val="24"/>
        </w:rPr>
        <w:t>went to</w:t>
      </w:r>
      <w:r w:rsidRPr="50C75FC8">
        <w:rPr>
          <w:rFonts w:ascii="Times New Roman" w:eastAsia="Calibri" w:hAnsi="Times New Roman" w:cs="Times New Roman"/>
          <w:sz w:val="24"/>
          <w:szCs w:val="24"/>
        </w:rPr>
        <w:t xml:space="preserve"> chief prosecutor</w:t>
      </w:r>
      <w:r>
        <w:rPr>
          <w:rFonts w:ascii="Times New Roman" w:eastAsia="Calibri" w:hAnsi="Times New Roman" w:cs="Times New Roman"/>
          <w:sz w:val="24"/>
          <w:szCs w:val="24"/>
        </w:rPr>
        <w:t>s</w:t>
      </w:r>
      <w:r w:rsidRPr="50C75F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included information about the </w:t>
      </w:r>
      <w:r w:rsidRPr="50C75FC8">
        <w:rPr>
          <w:rFonts w:ascii="Times New Roman" w:eastAsia="Calibri" w:hAnsi="Times New Roman" w:cs="Times New Roman"/>
          <w:sz w:val="24"/>
          <w:szCs w:val="24"/>
        </w:rPr>
        <w:t xml:space="preserve">purpose of the survey and cognitive test. After obtaining consent, respondents were asked to complete the questionnaire </w:t>
      </w:r>
      <w:r w:rsidR="00F5486C">
        <w:rPr>
          <w:rFonts w:ascii="Times New Roman" w:eastAsia="Calibri" w:hAnsi="Times New Roman" w:cs="Times New Roman"/>
          <w:sz w:val="24"/>
          <w:szCs w:val="24"/>
        </w:rPr>
        <w:t xml:space="preserve">via PDF and return to the project team via email. </w:t>
      </w:r>
      <w:r w:rsidRPr="50C75FC8">
        <w:rPr>
          <w:rFonts w:ascii="Times New Roman" w:eastAsia="Calibri" w:hAnsi="Times New Roman" w:cs="Times New Roman"/>
          <w:sz w:val="24"/>
          <w:szCs w:val="24"/>
        </w:rPr>
        <w:t>Upon receipt of a completed survey, a project team member reached out to the respondent via email to schedule the cognitive debriefing interview</w:t>
      </w:r>
      <w:r w:rsidR="00F5486C">
        <w:rPr>
          <w:rFonts w:ascii="Times New Roman" w:eastAsia="Calibri" w:hAnsi="Times New Roman" w:cs="Times New Roman"/>
          <w:sz w:val="24"/>
          <w:szCs w:val="24"/>
        </w:rPr>
        <w:t xml:space="preserve">. </w:t>
      </w:r>
      <w:r w:rsidRPr="120FF7D8" w:rsidR="120FF7D8">
        <w:rPr>
          <w:rFonts w:ascii="Times New Roman" w:eastAsia="Calibri" w:hAnsi="Times New Roman" w:cs="Times New Roman"/>
          <w:sz w:val="24"/>
          <w:szCs w:val="24"/>
        </w:rPr>
        <w:t xml:space="preserve">The debriefing interviews included a review of the instructions and screener questions and asked about readability, question clarity, adequacy of response choices, overall ease of providing the requested information, and the terminology used for each question. The length of time needed to complete the survey, challenges in providing the information requested, and the preferred mode of completing the survey were also discussed in these cognitive interviews. Results were recorded by Urban staff members conducting the debriefing call and reviewed following the call for accuracy and completeness. The final cognitive testing report is in </w:t>
      </w:r>
      <w:r w:rsidRPr="120FF7D8" w:rsidR="120FF7D8">
        <w:rPr>
          <w:rFonts w:ascii="Times New Roman" w:eastAsia="Calibri" w:hAnsi="Times New Roman" w:cs="Times New Roman"/>
          <w:b/>
          <w:bCs/>
          <w:sz w:val="24"/>
          <w:szCs w:val="24"/>
        </w:rPr>
        <w:t xml:space="preserve">Attachment </w:t>
      </w:r>
      <w:r w:rsidR="00A90F19">
        <w:rPr>
          <w:rFonts w:ascii="Times New Roman" w:eastAsia="Calibri" w:hAnsi="Times New Roman" w:cs="Times New Roman"/>
          <w:b/>
          <w:bCs/>
          <w:sz w:val="24"/>
          <w:szCs w:val="24"/>
        </w:rPr>
        <w:t>6</w:t>
      </w:r>
      <w:r w:rsidRPr="120FF7D8" w:rsidR="120FF7D8">
        <w:rPr>
          <w:rFonts w:ascii="Times New Roman" w:eastAsia="Calibri" w:hAnsi="Times New Roman" w:cs="Times New Roman"/>
          <w:sz w:val="24"/>
          <w:szCs w:val="24"/>
        </w:rPr>
        <w:t>.</w:t>
      </w:r>
    </w:p>
    <w:p w:rsidR="26C3223B" w:rsidP="26C3223B" w14:paraId="614D4CFA" w14:textId="5AEC06DC">
      <w:pPr>
        <w:spacing w:after="0"/>
        <w:rPr>
          <w:rFonts w:ascii="Times New Roman" w:eastAsia="Calibri" w:hAnsi="Times New Roman" w:cs="Times New Roman"/>
          <w:sz w:val="24"/>
          <w:szCs w:val="24"/>
        </w:rPr>
      </w:pPr>
    </w:p>
    <w:p w:rsidR="008A7326" w:rsidP="50C75FC8" w14:paraId="3CB4F505" w14:textId="6EE1607A">
      <w:pPr>
        <w:spacing w:after="0"/>
        <w:rPr>
          <w:rFonts w:ascii="Times New Roman" w:eastAsia="Calibri" w:hAnsi="Times New Roman" w:cs="Times New Roman"/>
          <w:sz w:val="24"/>
          <w:szCs w:val="24"/>
        </w:rPr>
      </w:pPr>
      <w:r w:rsidRPr="50C75FC8">
        <w:rPr>
          <w:rFonts w:ascii="Times New Roman" w:hAnsi="Times New Roman" w:cs="Times New Roman"/>
          <w:i/>
          <w:iCs/>
          <w:sz w:val="24"/>
          <w:szCs w:val="24"/>
        </w:rPr>
        <w:t>General findings</w:t>
      </w:r>
      <w:r w:rsidRPr="50C75FC8">
        <w:rPr>
          <w:rFonts w:ascii="Times New Roman" w:hAnsi="Times New Roman" w:cs="Times New Roman"/>
          <w:sz w:val="24"/>
          <w:szCs w:val="24"/>
        </w:rPr>
        <w:t xml:space="preserve">. </w:t>
      </w:r>
      <w:r w:rsidRPr="50C75FC8">
        <w:rPr>
          <w:rFonts w:ascii="Times New Roman" w:eastAsia="Calibri" w:hAnsi="Times New Roman" w:cs="Times New Roman"/>
          <w:sz w:val="24"/>
          <w:szCs w:val="24"/>
        </w:rPr>
        <w:t>All offices reported that it was not difficult for them to complete the questionnaire</w:t>
      </w:r>
      <w:r w:rsidR="00E16A64">
        <w:rPr>
          <w:rFonts w:ascii="Times New Roman" w:eastAsia="Calibri" w:hAnsi="Times New Roman" w:cs="Times New Roman"/>
          <w:sz w:val="24"/>
          <w:szCs w:val="24"/>
        </w:rPr>
        <w:t xml:space="preserve">; however, </w:t>
      </w:r>
      <w:r w:rsidR="000774EF">
        <w:rPr>
          <w:rFonts w:ascii="Times New Roman" w:eastAsia="Calibri" w:hAnsi="Times New Roman" w:cs="Times New Roman"/>
          <w:sz w:val="24"/>
          <w:szCs w:val="24"/>
        </w:rPr>
        <w:t xml:space="preserve">many stated that </w:t>
      </w:r>
      <w:r w:rsidR="00E16A64">
        <w:rPr>
          <w:rFonts w:ascii="Times New Roman" w:eastAsia="Calibri" w:hAnsi="Times New Roman" w:cs="Times New Roman"/>
          <w:sz w:val="24"/>
          <w:szCs w:val="24"/>
        </w:rPr>
        <w:t>the</w:t>
      </w:r>
      <w:r w:rsidRPr="50C75FC8" w:rsidR="00E16A64">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case</w:t>
      </w:r>
      <w:r w:rsidR="00BA584F">
        <w:rPr>
          <w:rFonts w:ascii="Times New Roman" w:eastAsia="Calibri" w:hAnsi="Times New Roman" w:cs="Times New Roman"/>
          <w:sz w:val="24"/>
          <w:szCs w:val="24"/>
        </w:rPr>
        <w:t>load</w:t>
      </w:r>
      <w:r w:rsidRPr="50C75FC8">
        <w:rPr>
          <w:rFonts w:ascii="Times New Roman" w:eastAsia="Calibri" w:hAnsi="Times New Roman" w:cs="Times New Roman"/>
          <w:sz w:val="24"/>
          <w:szCs w:val="24"/>
        </w:rPr>
        <w:t xml:space="preserve"> number and staffing questions </w:t>
      </w:r>
      <w:r w:rsidR="00E16A64">
        <w:rPr>
          <w:rFonts w:ascii="Times New Roman" w:eastAsia="Calibri" w:hAnsi="Times New Roman" w:cs="Times New Roman"/>
          <w:sz w:val="24"/>
          <w:szCs w:val="24"/>
        </w:rPr>
        <w:t>on</w:t>
      </w:r>
      <w:r w:rsidRPr="50C75FC8" w:rsidR="00E16A64">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recruitment, retention, and tenure</w:t>
      </w:r>
      <w:r w:rsidR="00E16A64">
        <w:rPr>
          <w:rFonts w:ascii="Times New Roman" w:eastAsia="Calibri" w:hAnsi="Times New Roman" w:cs="Times New Roman"/>
          <w:sz w:val="24"/>
          <w:szCs w:val="24"/>
        </w:rPr>
        <w:t xml:space="preserve"> were difficult to answer</w:t>
      </w:r>
      <w:r w:rsidRPr="50C75FC8">
        <w:rPr>
          <w:rFonts w:ascii="Times New Roman" w:eastAsia="Calibri" w:hAnsi="Times New Roman" w:cs="Times New Roman"/>
          <w:sz w:val="24"/>
          <w:szCs w:val="24"/>
        </w:rPr>
        <w:t xml:space="preserve">. Many offices indicated that it would take extra time for them to answer questions about the exact number of specific types of cases received (even for those offices with automated case management systems), if that were required, with some adding that the estimate options made it worth completing. Accordingly, though many respondents did not check the estimate box, upon discussing with them, they admitted </w:t>
      </w:r>
      <w:r w:rsidR="00E16A64">
        <w:rPr>
          <w:rFonts w:ascii="Times New Roman" w:eastAsia="Calibri" w:hAnsi="Times New Roman" w:cs="Times New Roman"/>
          <w:sz w:val="24"/>
          <w:szCs w:val="24"/>
        </w:rPr>
        <w:t>their answer was</w:t>
      </w:r>
      <w:r w:rsidRPr="50C75FC8" w:rsidR="00E16A64">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not exact. </w:t>
      </w:r>
    </w:p>
    <w:p w:rsidR="008A7326" w:rsidRPr="00167DEC" w:rsidP="50C75FC8" w14:paraId="7473E385" w14:textId="68B83B51">
      <w:pPr>
        <w:spacing w:after="0"/>
        <w:rPr>
          <w:rFonts w:ascii="Times New Roman" w:eastAsia="Calibri" w:hAnsi="Times New Roman" w:cs="Times New Roman"/>
          <w:sz w:val="24"/>
          <w:szCs w:val="24"/>
        </w:rPr>
      </w:pPr>
    </w:p>
    <w:p w:rsidR="008A7326" w:rsidP="50C75FC8" w14:paraId="457D7C86" w14:textId="2FA29B3E">
      <w:pPr>
        <w:spacing w:after="0"/>
        <w:rPr>
          <w:rFonts w:ascii="Times New Roman" w:eastAsia="Calibri" w:hAnsi="Times New Roman" w:cs="Times New Roman"/>
          <w:sz w:val="24"/>
          <w:szCs w:val="24"/>
        </w:rPr>
      </w:pPr>
      <w:r>
        <w:rPr>
          <w:rFonts w:ascii="Times New Roman" w:eastAsia="Calibri" w:hAnsi="Times New Roman" w:cs="Times New Roman"/>
          <w:sz w:val="24"/>
          <w:szCs w:val="24"/>
        </w:rPr>
        <w:t>Common feedback given indicated</w:t>
      </w:r>
      <w:r w:rsidRPr="50C75FC8" w:rsidR="50C75FC8">
        <w:rPr>
          <w:rFonts w:ascii="Times New Roman" w:eastAsia="Calibri" w:hAnsi="Times New Roman" w:cs="Times New Roman"/>
          <w:sz w:val="24"/>
          <w:szCs w:val="24"/>
        </w:rPr>
        <w:t xml:space="preserve"> that the ease of responding to many questions depend</w:t>
      </w:r>
      <w:r>
        <w:rPr>
          <w:rFonts w:ascii="Times New Roman" w:eastAsia="Calibri" w:hAnsi="Times New Roman" w:cs="Times New Roman"/>
          <w:sz w:val="24"/>
          <w:szCs w:val="24"/>
        </w:rPr>
        <w:t>ed</w:t>
      </w:r>
      <w:r w:rsidRPr="50C75FC8" w:rsidR="50C75FC8">
        <w:rPr>
          <w:rFonts w:ascii="Times New Roman" w:eastAsia="Calibri" w:hAnsi="Times New Roman" w:cs="Times New Roman"/>
          <w:sz w:val="24"/>
          <w:szCs w:val="24"/>
        </w:rPr>
        <w:t xml:space="preserve"> on the size of the office. For example, for the staffing section, most of the smaller offices shared that it was easy for them, but they would imagine it would be difficult for larger offices. </w:t>
      </w:r>
      <w:r w:rsidR="00E16A64">
        <w:rPr>
          <w:rFonts w:ascii="Times New Roman" w:eastAsia="Calibri" w:hAnsi="Times New Roman" w:cs="Times New Roman"/>
          <w:sz w:val="24"/>
          <w:szCs w:val="24"/>
        </w:rPr>
        <w:t>Conversely</w:t>
      </w:r>
      <w:r w:rsidR="00555020">
        <w:rPr>
          <w:rFonts w:ascii="Times New Roman" w:eastAsia="Calibri" w:hAnsi="Times New Roman" w:cs="Times New Roman"/>
          <w:sz w:val="24"/>
          <w:szCs w:val="24"/>
        </w:rPr>
        <w:t>, s</w:t>
      </w:r>
      <w:r w:rsidRPr="50C75FC8" w:rsidR="50C75FC8">
        <w:rPr>
          <w:rFonts w:ascii="Times New Roman" w:eastAsia="Calibri" w:hAnsi="Times New Roman" w:cs="Times New Roman"/>
          <w:sz w:val="24"/>
          <w:szCs w:val="24"/>
        </w:rPr>
        <w:t xml:space="preserve">everal large offices </w:t>
      </w:r>
      <w:r w:rsidR="00555020">
        <w:rPr>
          <w:rFonts w:ascii="Times New Roman" w:eastAsia="Calibri" w:hAnsi="Times New Roman" w:cs="Times New Roman"/>
          <w:sz w:val="24"/>
          <w:szCs w:val="24"/>
        </w:rPr>
        <w:t>reported that</w:t>
      </w:r>
      <w:r w:rsidRPr="50C75FC8" w:rsidR="00555020">
        <w:rPr>
          <w:rFonts w:ascii="Times New Roman" w:eastAsia="Calibri" w:hAnsi="Times New Roman" w:cs="Times New Roman"/>
          <w:sz w:val="24"/>
          <w:szCs w:val="24"/>
        </w:rPr>
        <w:t xml:space="preserve"> </w:t>
      </w:r>
      <w:r w:rsidRPr="50C75FC8" w:rsidR="50C75FC8">
        <w:rPr>
          <w:rFonts w:ascii="Times New Roman" w:eastAsia="Calibri" w:hAnsi="Times New Roman" w:cs="Times New Roman"/>
          <w:sz w:val="24"/>
          <w:szCs w:val="24"/>
        </w:rPr>
        <w:t xml:space="preserve">the caseload questions were discoverable due to their case management systems, but the smaller offices struggled with answering these, including </w:t>
      </w:r>
      <w:r>
        <w:rPr>
          <w:rFonts w:ascii="Times New Roman" w:eastAsia="Calibri" w:hAnsi="Times New Roman" w:cs="Times New Roman"/>
          <w:sz w:val="24"/>
          <w:szCs w:val="24"/>
        </w:rPr>
        <w:t>some offices</w:t>
      </w:r>
      <w:r w:rsidRPr="50C75FC8" w:rsidR="50C75FC8">
        <w:rPr>
          <w:rFonts w:ascii="Times New Roman" w:eastAsia="Calibri" w:hAnsi="Times New Roman" w:cs="Times New Roman"/>
          <w:sz w:val="24"/>
          <w:szCs w:val="24"/>
        </w:rPr>
        <w:t xml:space="preserve"> saying they do not have a case management system that aggregates data for them.</w:t>
      </w:r>
    </w:p>
    <w:p w:rsidR="00411530" w:rsidRPr="00167DEC" w:rsidP="50C75FC8" w14:paraId="6B38CF80" w14:textId="6264E931">
      <w:pPr>
        <w:spacing w:after="0"/>
        <w:rPr>
          <w:rFonts w:ascii="Times New Roman" w:eastAsia="Calibri" w:hAnsi="Times New Roman" w:cs="Times New Roman"/>
          <w:sz w:val="24"/>
          <w:szCs w:val="24"/>
        </w:rPr>
      </w:pPr>
    </w:p>
    <w:p w:rsidR="008542A8" w:rsidP="50C75FC8" w14:paraId="5AB1BF71" w14:textId="5452D524">
      <w:p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i/>
          <w:iCs/>
          <w:sz w:val="24"/>
          <w:szCs w:val="24"/>
        </w:rPr>
        <w:t>Staffing.</w:t>
      </w:r>
      <w:r w:rsidRPr="50C75FC8">
        <w:rPr>
          <w:rFonts w:ascii="Times New Roman" w:eastAsia="Calibri" w:hAnsi="Times New Roman" w:cs="Times New Roman"/>
          <w:sz w:val="24"/>
          <w:szCs w:val="24"/>
        </w:rPr>
        <w:t xml:space="preserve"> Section A of the </w:t>
      </w:r>
      <w:r w:rsidR="009457E3">
        <w:rPr>
          <w:rFonts w:ascii="Times New Roman" w:eastAsia="Calibri" w:hAnsi="Times New Roman" w:cs="Times New Roman"/>
          <w:sz w:val="24"/>
          <w:szCs w:val="24"/>
        </w:rPr>
        <w:t>2025 CPO</w:t>
      </w:r>
      <w:r w:rsidRPr="50C75FC8">
        <w:rPr>
          <w:rFonts w:ascii="Times New Roman" w:eastAsia="Calibri" w:hAnsi="Times New Roman" w:cs="Times New Roman"/>
          <w:sz w:val="24"/>
          <w:szCs w:val="24"/>
        </w:rPr>
        <w:t xml:space="preserve"> captures information about staffing in prosecutor offices, including part-time and full-time attorney demographics, salaries, retention metrics, </w:t>
      </w:r>
      <w:r w:rsidR="00D8517F">
        <w:rPr>
          <w:rFonts w:ascii="Times New Roman" w:eastAsia="Calibri" w:hAnsi="Times New Roman" w:cs="Times New Roman"/>
          <w:sz w:val="24"/>
          <w:szCs w:val="24"/>
        </w:rPr>
        <w:t xml:space="preserve">and </w:t>
      </w:r>
      <w:r w:rsidRPr="50C75FC8">
        <w:rPr>
          <w:rFonts w:ascii="Times New Roman" w:eastAsia="Calibri" w:hAnsi="Times New Roman" w:cs="Times New Roman"/>
          <w:sz w:val="24"/>
          <w:szCs w:val="24"/>
        </w:rPr>
        <w:t xml:space="preserve">non-attorney staff. Based on cognitive test feedback, several revisions were suggested in this section. </w:t>
      </w:r>
    </w:p>
    <w:p w:rsidR="008542A8" w:rsidP="00D8517F" w14:paraId="3D7A8A52" w14:textId="265EAF26">
      <w:p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sz w:val="24"/>
          <w:szCs w:val="24"/>
        </w:rPr>
        <w:t xml:space="preserve">First, there was confusion over how “litigating attorney” is defined. For example, some were unsure whether this meant the same as trial attorneys and whether appeals staff and management staff (who are not trying cases any longer) </w:t>
      </w:r>
      <w:r w:rsidR="000774EF">
        <w:rPr>
          <w:rFonts w:ascii="Times New Roman" w:eastAsia="Calibri" w:hAnsi="Times New Roman" w:cs="Times New Roman"/>
          <w:sz w:val="24"/>
          <w:szCs w:val="24"/>
        </w:rPr>
        <w:t>were to be</w:t>
      </w:r>
      <w:r w:rsidRPr="50C75FC8" w:rsidR="000774EF">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included. Further, it was unclear whether this number should include the chief prosecutor. A remaining question was whether these were attorneys that only </w:t>
      </w:r>
      <w:r w:rsidRPr="50C75FC8" w:rsidR="000774EF">
        <w:rPr>
          <w:rFonts w:ascii="Times New Roman" w:eastAsia="Calibri" w:hAnsi="Times New Roman" w:cs="Times New Roman"/>
          <w:sz w:val="24"/>
          <w:szCs w:val="24"/>
        </w:rPr>
        <w:t>worked</w:t>
      </w:r>
      <w:r w:rsidRPr="50C75FC8">
        <w:rPr>
          <w:rFonts w:ascii="Times New Roman" w:eastAsia="Calibri" w:hAnsi="Times New Roman" w:cs="Times New Roman"/>
          <w:sz w:val="24"/>
          <w:szCs w:val="24"/>
        </w:rPr>
        <w:t xml:space="preserve"> on criminal cases</w:t>
      </w:r>
      <w:r w:rsidR="000774EF">
        <w:rPr>
          <w:rFonts w:ascii="Times New Roman" w:eastAsia="Calibri" w:hAnsi="Times New Roman" w:cs="Times New Roman"/>
          <w:sz w:val="24"/>
          <w:szCs w:val="24"/>
        </w:rPr>
        <w:t>.</w:t>
      </w:r>
      <w:r w:rsidRPr="50C75FC8" w:rsidR="000774EF">
        <w:rPr>
          <w:rFonts w:ascii="Times New Roman" w:eastAsia="Calibri" w:hAnsi="Times New Roman" w:cs="Times New Roman"/>
          <w:sz w:val="24"/>
          <w:szCs w:val="24"/>
        </w:rPr>
        <w:t xml:space="preserve"> </w:t>
      </w:r>
      <w:r w:rsidR="000774EF">
        <w:rPr>
          <w:rFonts w:ascii="Times New Roman" w:eastAsia="Calibri" w:hAnsi="Times New Roman" w:cs="Times New Roman"/>
          <w:sz w:val="24"/>
          <w:szCs w:val="24"/>
        </w:rPr>
        <w:t>T</w:t>
      </w:r>
      <w:r w:rsidRPr="50C75FC8" w:rsidR="000774EF">
        <w:rPr>
          <w:rFonts w:ascii="Times New Roman" w:eastAsia="Calibri" w:hAnsi="Times New Roman" w:cs="Times New Roman"/>
          <w:sz w:val="24"/>
          <w:szCs w:val="24"/>
        </w:rPr>
        <w:t xml:space="preserve">his </w:t>
      </w:r>
      <w:r w:rsidR="000774EF">
        <w:rPr>
          <w:rFonts w:ascii="Times New Roman" w:eastAsia="Calibri" w:hAnsi="Times New Roman" w:cs="Times New Roman"/>
          <w:sz w:val="24"/>
          <w:szCs w:val="24"/>
        </w:rPr>
        <w:t xml:space="preserve">proved to be </w:t>
      </w:r>
      <w:r w:rsidRPr="50C75FC8">
        <w:rPr>
          <w:rFonts w:ascii="Times New Roman" w:eastAsia="Calibri" w:hAnsi="Times New Roman" w:cs="Times New Roman"/>
          <w:sz w:val="24"/>
          <w:szCs w:val="24"/>
        </w:rPr>
        <w:t xml:space="preserve">challenging for offices where attorneys have dual roles between criminal and civil cases. Seven respondents noted that a definition </w:t>
      </w:r>
      <w:r w:rsidR="000774EF">
        <w:rPr>
          <w:rFonts w:ascii="Times New Roman" w:eastAsia="Calibri" w:hAnsi="Times New Roman" w:cs="Times New Roman"/>
          <w:sz w:val="24"/>
          <w:szCs w:val="24"/>
        </w:rPr>
        <w:t>was</w:t>
      </w:r>
      <w:r w:rsidRPr="50C75FC8" w:rsidR="000774EF">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necessary. To address these concerns, </w:t>
      </w:r>
      <w:r w:rsidR="00D8517F">
        <w:rPr>
          <w:rFonts w:ascii="Times New Roman" w:eastAsia="Calibri" w:hAnsi="Times New Roman" w:cs="Times New Roman"/>
          <w:sz w:val="24"/>
          <w:szCs w:val="24"/>
        </w:rPr>
        <w:t xml:space="preserve">the project team added the following definition to the instrument: </w:t>
      </w:r>
      <w:r w:rsidRPr="50C75FC8">
        <w:rPr>
          <w:rFonts w:ascii="Times New Roman" w:eastAsia="Calibri" w:hAnsi="Times New Roman" w:cs="Times New Roman"/>
          <w:sz w:val="24"/>
          <w:szCs w:val="24"/>
        </w:rPr>
        <w:t xml:space="preserve"> </w:t>
      </w:r>
    </w:p>
    <w:p w:rsidR="00D8517F" w:rsidP="00D8517F" w14:paraId="443C68A5" w14:textId="77777777">
      <w:pPr>
        <w:spacing w:after="0" w:line="240" w:lineRule="auto"/>
        <w:rPr>
          <w:rFonts w:ascii="Times New Roman" w:eastAsia="Calibri" w:hAnsi="Times New Roman" w:cs="Times New Roman"/>
          <w:sz w:val="24"/>
          <w:szCs w:val="24"/>
        </w:rPr>
      </w:pPr>
    </w:p>
    <w:p w:rsidR="008542A8" w:rsidRPr="00D773C0" w:rsidP="008820F8" w14:paraId="73D114BD" w14:textId="62DE0770">
      <w:pPr>
        <w:spacing w:after="0" w:line="240" w:lineRule="auto"/>
        <w:ind w:left="720"/>
        <w:rPr>
          <w:rFonts w:ascii="Times New Roman" w:eastAsia="Calibri" w:hAnsi="Times New Roman" w:cs="Times New Roman"/>
          <w:i/>
          <w:iCs/>
          <w:sz w:val="24"/>
          <w:szCs w:val="24"/>
        </w:rPr>
      </w:pPr>
      <w:r w:rsidRPr="00D773C0">
        <w:rPr>
          <w:rFonts w:ascii="Times New Roman" w:eastAsia="Calibri" w:hAnsi="Times New Roman" w:cs="Times New Roman"/>
          <w:i/>
          <w:iCs/>
          <w:sz w:val="24"/>
          <w:szCs w:val="24"/>
        </w:rPr>
        <w:t>“</w:t>
      </w:r>
      <w:r w:rsidRPr="008820F8" w:rsidR="008820F8">
        <w:rPr>
          <w:rFonts w:ascii="Times New Roman" w:eastAsia="Calibri" w:hAnsi="Times New Roman" w:cs="Times New Roman"/>
          <w:i/>
          <w:iCs/>
          <w:sz w:val="24"/>
          <w:szCs w:val="24"/>
        </w:rPr>
        <w:t>A litigating attorney is an attorney, excluding the chief prosecutor, who carries an assigned caseload (e.g., assistant prosecutors, civil attorneys)</w:t>
      </w:r>
      <w:r w:rsidRPr="00D773C0">
        <w:rPr>
          <w:rFonts w:ascii="Times New Roman" w:eastAsia="Calibri" w:hAnsi="Times New Roman" w:cs="Times New Roman"/>
          <w:i/>
          <w:iCs/>
          <w:sz w:val="24"/>
          <w:szCs w:val="24"/>
        </w:rPr>
        <w:t>”</w:t>
      </w:r>
      <w:r w:rsidR="008820F8">
        <w:rPr>
          <w:rFonts w:ascii="Times New Roman" w:eastAsia="Calibri" w:hAnsi="Times New Roman" w:cs="Times New Roman"/>
          <w:i/>
          <w:iCs/>
          <w:sz w:val="24"/>
          <w:szCs w:val="24"/>
        </w:rPr>
        <w:t>.</w:t>
      </w:r>
    </w:p>
    <w:p w:rsidR="00411530" w:rsidP="00411530" w14:paraId="3E27C82A" w14:textId="0ADB2EE4">
      <w:pPr>
        <w:spacing w:after="0" w:line="240" w:lineRule="auto"/>
        <w:rPr>
          <w:rFonts w:ascii="Times New Roman" w:eastAsia="Calibri" w:hAnsi="Times New Roman" w:cs="Times New Roman"/>
          <w:color w:val="000000" w:themeColor="text1"/>
          <w:sz w:val="24"/>
          <w:szCs w:val="24"/>
        </w:rPr>
      </w:pPr>
      <w:r w:rsidRPr="50C75FC8">
        <w:rPr>
          <w:rFonts w:ascii="Times New Roman" w:eastAsia="Calibri" w:hAnsi="Times New Roman" w:cs="Times New Roman"/>
          <w:sz w:val="24"/>
          <w:szCs w:val="24"/>
        </w:rPr>
        <w:t xml:space="preserve"> </w:t>
      </w:r>
    </w:p>
    <w:p w:rsidR="008542A8" w:rsidP="00411530" w14:paraId="69C1B8B3" w14:textId="6999BBFE">
      <w:pPr>
        <w:spacing w:after="0" w:line="240" w:lineRule="auto"/>
        <w:rPr>
          <w:rFonts w:ascii="Times New Roman" w:eastAsia="Calibri" w:hAnsi="Times New Roman" w:cs="Times New Roman"/>
          <w:color w:val="000000" w:themeColor="text1"/>
          <w:sz w:val="24"/>
          <w:szCs w:val="24"/>
        </w:rPr>
      </w:pPr>
      <w:bookmarkStart w:id="5" w:name="_Hlk218695975"/>
      <w:r>
        <w:rPr>
          <w:rFonts w:ascii="Times New Roman" w:eastAsia="Calibri" w:hAnsi="Times New Roman" w:cs="Times New Roman"/>
          <w:color w:val="000000" w:themeColor="text1"/>
          <w:sz w:val="24"/>
          <w:szCs w:val="24"/>
        </w:rPr>
        <w:t>There were also several concerns regarding</w:t>
      </w:r>
      <w:r w:rsidRPr="50C75FC8" w:rsidR="50C75FC8">
        <w:rPr>
          <w:rFonts w:ascii="Times New Roman" w:eastAsia="Calibri" w:hAnsi="Times New Roman" w:cs="Times New Roman"/>
          <w:color w:val="000000" w:themeColor="text1"/>
          <w:sz w:val="24"/>
          <w:szCs w:val="24"/>
        </w:rPr>
        <w:t xml:space="preserve"> non-attorney staff. </w:t>
      </w:r>
      <w:r w:rsidR="00BA584F">
        <w:rPr>
          <w:rFonts w:ascii="Times New Roman" w:eastAsia="Calibri" w:hAnsi="Times New Roman" w:cs="Times New Roman"/>
          <w:color w:val="000000" w:themeColor="text1"/>
          <w:sz w:val="24"/>
          <w:szCs w:val="24"/>
        </w:rPr>
        <w:t>One</w:t>
      </w:r>
      <w:r w:rsidRPr="50C75FC8" w:rsidR="00BA584F">
        <w:rPr>
          <w:rFonts w:ascii="Times New Roman" w:eastAsia="Calibri" w:hAnsi="Times New Roman" w:cs="Times New Roman"/>
          <w:color w:val="000000" w:themeColor="text1"/>
          <w:sz w:val="24"/>
          <w:szCs w:val="24"/>
        </w:rPr>
        <w:t xml:space="preserve"> </w:t>
      </w:r>
      <w:r w:rsidR="00BA584F">
        <w:rPr>
          <w:rFonts w:ascii="Times New Roman" w:eastAsia="Calibri" w:hAnsi="Times New Roman" w:cs="Times New Roman"/>
          <w:color w:val="000000" w:themeColor="text1"/>
          <w:sz w:val="24"/>
          <w:szCs w:val="24"/>
        </w:rPr>
        <w:t>recommendation</w:t>
      </w:r>
      <w:r w:rsidRPr="50C75FC8" w:rsidR="50C75FC8">
        <w:rPr>
          <w:rFonts w:ascii="Times New Roman" w:eastAsia="Calibri" w:hAnsi="Times New Roman" w:cs="Times New Roman"/>
          <w:color w:val="000000" w:themeColor="text1"/>
          <w:sz w:val="24"/>
          <w:szCs w:val="24"/>
        </w:rPr>
        <w:t xml:space="preserve"> was</w:t>
      </w:r>
      <w:r w:rsidR="000D265F">
        <w:rPr>
          <w:rFonts w:ascii="Times New Roman" w:eastAsia="Calibri" w:hAnsi="Times New Roman" w:cs="Times New Roman"/>
          <w:color w:val="000000" w:themeColor="text1"/>
          <w:sz w:val="24"/>
          <w:szCs w:val="24"/>
        </w:rPr>
        <w:t xml:space="preserve"> that</w:t>
      </w:r>
      <w:r w:rsidRPr="50C75FC8" w:rsidR="50C75FC8">
        <w:rPr>
          <w:rFonts w:ascii="Times New Roman" w:eastAsia="Calibri" w:hAnsi="Times New Roman" w:cs="Times New Roman"/>
          <w:color w:val="000000" w:themeColor="text1"/>
          <w:sz w:val="24"/>
          <w:szCs w:val="24"/>
        </w:rPr>
        <w:t xml:space="preserve"> there needed to be a line </w:t>
      </w:r>
      <w:r w:rsidR="00BA584F">
        <w:rPr>
          <w:rFonts w:ascii="Times New Roman" w:eastAsia="Calibri" w:hAnsi="Times New Roman" w:cs="Times New Roman"/>
          <w:color w:val="000000" w:themeColor="text1"/>
          <w:sz w:val="24"/>
          <w:szCs w:val="24"/>
        </w:rPr>
        <w:t>for</w:t>
      </w:r>
      <w:r w:rsidRPr="50C75FC8" w:rsidR="50C75FC8">
        <w:rPr>
          <w:rFonts w:ascii="Times New Roman" w:eastAsia="Calibri" w:hAnsi="Times New Roman" w:cs="Times New Roman"/>
          <w:color w:val="000000" w:themeColor="text1"/>
          <w:sz w:val="24"/>
          <w:szCs w:val="24"/>
        </w:rPr>
        <w:t xml:space="preserve"> administrative or clerical staff</w:t>
      </w:r>
      <w:r>
        <w:rPr>
          <w:rFonts w:ascii="Times New Roman" w:eastAsia="Calibri" w:hAnsi="Times New Roman" w:cs="Times New Roman"/>
          <w:color w:val="000000" w:themeColor="text1"/>
          <w:sz w:val="24"/>
          <w:szCs w:val="24"/>
        </w:rPr>
        <w:t xml:space="preserve"> as an option for non-attorney staff</w:t>
      </w:r>
      <w:r w:rsidRPr="50C75FC8" w:rsidR="50C75FC8">
        <w:rPr>
          <w:rFonts w:ascii="Times New Roman" w:eastAsia="Calibri" w:hAnsi="Times New Roman" w:cs="Times New Roman"/>
          <w:color w:val="000000" w:themeColor="text1"/>
          <w:sz w:val="24"/>
          <w:szCs w:val="24"/>
        </w:rPr>
        <w:t xml:space="preserve">. One office included those staff in the legal support option, but most did not. </w:t>
      </w:r>
      <w:r w:rsidR="00A71BF4">
        <w:rPr>
          <w:rFonts w:ascii="Times New Roman" w:eastAsia="Calibri" w:hAnsi="Times New Roman" w:cs="Times New Roman"/>
          <w:color w:val="000000" w:themeColor="text1"/>
          <w:sz w:val="24"/>
          <w:szCs w:val="24"/>
        </w:rPr>
        <w:t>Several offices reported that</w:t>
      </w:r>
      <w:r w:rsidRPr="50C75FC8" w:rsidR="50C75FC8">
        <w:rPr>
          <w:rFonts w:ascii="Times New Roman" w:eastAsia="Calibri" w:hAnsi="Times New Roman" w:cs="Times New Roman"/>
          <w:color w:val="000000" w:themeColor="text1"/>
          <w:sz w:val="24"/>
          <w:szCs w:val="24"/>
        </w:rPr>
        <w:t xml:space="preserve"> </w:t>
      </w:r>
      <w:r w:rsidR="00A71BF4">
        <w:rPr>
          <w:rFonts w:ascii="Times New Roman" w:eastAsia="Calibri" w:hAnsi="Times New Roman" w:cs="Times New Roman"/>
          <w:color w:val="000000" w:themeColor="text1"/>
          <w:sz w:val="24"/>
          <w:szCs w:val="24"/>
        </w:rPr>
        <w:t xml:space="preserve">it </w:t>
      </w:r>
      <w:r w:rsidRPr="50C75FC8" w:rsidR="50C75FC8">
        <w:rPr>
          <w:rFonts w:ascii="Times New Roman" w:eastAsia="Calibri" w:hAnsi="Times New Roman" w:cs="Times New Roman"/>
          <w:color w:val="000000" w:themeColor="text1"/>
          <w:sz w:val="24"/>
          <w:szCs w:val="24"/>
        </w:rPr>
        <w:t>was not clear what is included in legal services.</w:t>
      </w:r>
      <w:r w:rsidR="00A71BF4">
        <w:rPr>
          <w:rFonts w:ascii="Times New Roman" w:eastAsia="Calibri" w:hAnsi="Times New Roman" w:cs="Times New Roman"/>
          <w:color w:val="000000" w:themeColor="text1"/>
          <w:sz w:val="24"/>
          <w:szCs w:val="24"/>
        </w:rPr>
        <w:t xml:space="preserve"> On</w:t>
      </w:r>
      <w:r w:rsidRPr="50C75FC8" w:rsidR="50C75FC8">
        <w:rPr>
          <w:rFonts w:ascii="Times New Roman" w:eastAsia="Calibri" w:hAnsi="Times New Roman" w:cs="Times New Roman"/>
          <w:color w:val="000000" w:themeColor="text1"/>
          <w:sz w:val="24"/>
          <w:szCs w:val="24"/>
        </w:rPr>
        <w:t xml:space="preserve">e office did not think of adding administrative staff </w:t>
      </w:r>
      <w:r w:rsidRPr="50C75FC8" w:rsidR="0069699C">
        <w:rPr>
          <w:rFonts w:ascii="Times New Roman" w:eastAsia="Calibri" w:hAnsi="Times New Roman" w:cs="Times New Roman"/>
          <w:color w:val="000000" w:themeColor="text1"/>
          <w:sz w:val="24"/>
          <w:szCs w:val="24"/>
        </w:rPr>
        <w:t>to</w:t>
      </w:r>
      <w:r w:rsidRPr="50C75FC8" w:rsidR="50C75FC8">
        <w:rPr>
          <w:rFonts w:ascii="Times New Roman" w:eastAsia="Calibri" w:hAnsi="Times New Roman" w:cs="Times New Roman"/>
          <w:color w:val="000000" w:themeColor="text1"/>
          <w:sz w:val="24"/>
          <w:szCs w:val="24"/>
        </w:rPr>
        <w:t xml:space="preserve"> the table because they believed the question was about specialized non-attorney staff, </w:t>
      </w:r>
      <w:r w:rsidR="00A71BF4">
        <w:rPr>
          <w:rFonts w:ascii="Times New Roman" w:eastAsia="Calibri" w:hAnsi="Times New Roman" w:cs="Times New Roman"/>
          <w:color w:val="000000" w:themeColor="text1"/>
          <w:sz w:val="24"/>
          <w:szCs w:val="24"/>
        </w:rPr>
        <w:t>rather than</w:t>
      </w:r>
      <w:r w:rsidRPr="50C75FC8" w:rsidR="50C75FC8">
        <w:rPr>
          <w:rFonts w:ascii="Times New Roman" w:eastAsia="Calibri" w:hAnsi="Times New Roman" w:cs="Times New Roman"/>
          <w:color w:val="000000" w:themeColor="text1"/>
          <w:sz w:val="24"/>
          <w:szCs w:val="24"/>
        </w:rPr>
        <w:t xml:space="preserve"> general support staff. There was also confusion on how to answer this question when </w:t>
      </w:r>
      <w:r>
        <w:rPr>
          <w:rFonts w:ascii="Times New Roman" w:eastAsia="Calibri" w:hAnsi="Times New Roman" w:cs="Times New Roman"/>
          <w:color w:val="000000" w:themeColor="text1"/>
          <w:sz w:val="24"/>
          <w:szCs w:val="24"/>
        </w:rPr>
        <w:t>a person held</w:t>
      </w:r>
      <w:r w:rsidRPr="50C75FC8" w:rsidR="50C75FC8">
        <w:rPr>
          <w:rFonts w:ascii="Times New Roman" w:eastAsia="Calibri" w:hAnsi="Times New Roman" w:cs="Times New Roman"/>
          <w:color w:val="000000" w:themeColor="text1"/>
          <w:sz w:val="24"/>
          <w:szCs w:val="24"/>
        </w:rPr>
        <w:t xml:space="preserve"> multiple roles. Finally, several offices recommended changing “child support” to “child support enforcement.”</w:t>
      </w:r>
      <w:r w:rsidR="005D212E">
        <w:rPr>
          <w:rFonts w:ascii="Times New Roman" w:eastAsia="Calibri" w:hAnsi="Times New Roman" w:cs="Times New Roman"/>
          <w:color w:val="000000" w:themeColor="text1"/>
          <w:sz w:val="24"/>
          <w:szCs w:val="24"/>
        </w:rPr>
        <w:t xml:space="preserve"> </w:t>
      </w:r>
      <w:r w:rsidR="00D8517F">
        <w:rPr>
          <w:rFonts w:ascii="Times New Roman" w:eastAsia="Calibri" w:hAnsi="Times New Roman" w:cs="Times New Roman"/>
          <w:color w:val="000000" w:themeColor="text1"/>
          <w:sz w:val="24"/>
          <w:szCs w:val="24"/>
        </w:rPr>
        <w:t xml:space="preserve">In response, the project team </w:t>
      </w:r>
      <w:r w:rsidR="005D212E">
        <w:rPr>
          <w:rFonts w:ascii="Times New Roman" w:eastAsia="Calibri" w:hAnsi="Times New Roman" w:cs="Times New Roman"/>
          <w:color w:val="000000" w:themeColor="text1"/>
          <w:sz w:val="24"/>
          <w:szCs w:val="24"/>
        </w:rPr>
        <w:t>add</w:t>
      </w:r>
      <w:r w:rsidR="00D8517F">
        <w:rPr>
          <w:rFonts w:ascii="Times New Roman" w:eastAsia="Calibri" w:hAnsi="Times New Roman" w:cs="Times New Roman"/>
          <w:color w:val="000000" w:themeColor="text1"/>
          <w:sz w:val="24"/>
          <w:szCs w:val="24"/>
        </w:rPr>
        <w:t xml:space="preserve">ed </w:t>
      </w:r>
      <w:r w:rsidRPr="00A71BF4" w:rsidR="0065629F">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a</w:t>
      </w:r>
      <w:r w:rsidRPr="00A35904">
        <w:rPr>
          <w:rFonts w:ascii="Times New Roman" w:eastAsia="Calibri" w:hAnsi="Times New Roman" w:cs="Times New Roman"/>
          <w:color w:val="000000" w:themeColor="text1"/>
          <w:sz w:val="24"/>
          <w:szCs w:val="24"/>
        </w:rPr>
        <w:t>dministrative</w:t>
      </w:r>
      <w:r w:rsidRPr="00A35904" w:rsidR="005D212E">
        <w:rPr>
          <w:rFonts w:ascii="Times New Roman" w:eastAsia="Calibri" w:hAnsi="Times New Roman" w:cs="Times New Roman"/>
          <w:color w:val="000000" w:themeColor="text1"/>
          <w:sz w:val="24"/>
          <w:szCs w:val="24"/>
        </w:rPr>
        <w:t>/clerical staff</w:t>
      </w:r>
      <w:r w:rsidRPr="00A71BF4" w:rsidR="0065629F">
        <w:rPr>
          <w:rFonts w:ascii="Times New Roman" w:eastAsia="Calibri" w:hAnsi="Times New Roman" w:cs="Times New Roman"/>
          <w:color w:val="000000" w:themeColor="text1"/>
          <w:sz w:val="24"/>
          <w:szCs w:val="24"/>
        </w:rPr>
        <w:t>”</w:t>
      </w:r>
      <w:r w:rsidR="005D212E">
        <w:rPr>
          <w:rFonts w:ascii="Times New Roman" w:eastAsia="Calibri" w:hAnsi="Times New Roman" w:cs="Times New Roman"/>
          <w:color w:val="000000" w:themeColor="text1"/>
          <w:sz w:val="24"/>
          <w:szCs w:val="24"/>
        </w:rPr>
        <w:t xml:space="preserve"> </w:t>
      </w:r>
      <w:r w:rsidR="00A71BF4">
        <w:rPr>
          <w:rFonts w:ascii="Times New Roman" w:eastAsia="Calibri" w:hAnsi="Times New Roman" w:cs="Times New Roman"/>
          <w:color w:val="000000" w:themeColor="text1"/>
          <w:sz w:val="24"/>
          <w:szCs w:val="24"/>
        </w:rPr>
        <w:t>and “</w:t>
      </w:r>
      <w:r w:rsidRPr="50C75FC8" w:rsidR="00A71BF4">
        <w:rPr>
          <w:rFonts w:ascii="Times New Roman" w:eastAsia="Calibri" w:hAnsi="Times New Roman" w:cs="Times New Roman"/>
          <w:color w:val="000000" w:themeColor="text1"/>
          <w:sz w:val="24"/>
          <w:szCs w:val="24"/>
        </w:rPr>
        <w:t>child support enforcement</w:t>
      </w:r>
      <w:r w:rsidR="00A71BF4">
        <w:rPr>
          <w:rFonts w:ascii="Times New Roman" w:eastAsia="Calibri" w:hAnsi="Times New Roman" w:cs="Times New Roman"/>
          <w:color w:val="000000" w:themeColor="text1"/>
          <w:sz w:val="24"/>
          <w:szCs w:val="24"/>
        </w:rPr>
        <w:t xml:space="preserve">” </w:t>
      </w:r>
      <w:r w:rsidR="005D212E">
        <w:rPr>
          <w:rFonts w:ascii="Times New Roman" w:eastAsia="Calibri" w:hAnsi="Times New Roman" w:cs="Times New Roman"/>
          <w:color w:val="000000" w:themeColor="text1"/>
          <w:sz w:val="24"/>
          <w:szCs w:val="24"/>
        </w:rPr>
        <w:t xml:space="preserve">as </w:t>
      </w:r>
      <w:r>
        <w:rPr>
          <w:rFonts w:ascii="Times New Roman" w:eastAsia="Calibri" w:hAnsi="Times New Roman" w:cs="Times New Roman"/>
          <w:color w:val="000000" w:themeColor="text1"/>
          <w:sz w:val="24"/>
          <w:szCs w:val="24"/>
        </w:rPr>
        <w:t>options for non-attorney staff</w:t>
      </w:r>
      <w:r w:rsidR="00B41BB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positions </w:t>
      </w:r>
      <w:r w:rsidR="00B41BB2">
        <w:rPr>
          <w:rFonts w:ascii="Times New Roman" w:eastAsia="Calibri" w:hAnsi="Times New Roman" w:cs="Times New Roman"/>
          <w:color w:val="000000" w:themeColor="text1"/>
          <w:sz w:val="24"/>
          <w:szCs w:val="24"/>
        </w:rPr>
        <w:t xml:space="preserve">on </w:t>
      </w:r>
      <w:r w:rsidR="00651F86">
        <w:rPr>
          <w:rFonts w:ascii="Times New Roman" w:eastAsia="Calibri" w:hAnsi="Times New Roman" w:cs="Times New Roman"/>
          <w:color w:val="000000" w:themeColor="text1"/>
          <w:sz w:val="24"/>
          <w:szCs w:val="24"/>
        </w:rPr>
        <w:t>the</w:t>
      </w:r>
      <w:r w:rsidR="00B41BB2">
        <w:rPr>
          <w:rFonts w:ascii="Times New Roman" w:eastAsia="Calibri" w:hAnsi="Times New Roman" w:cs="Times New Roman"/>
          <w:color w:val="000000" w:themeColor="text1"/>
          <w:sz w:val="24"/>
          <w:szCs w:val="24"/>
        </w:rPr>
        <w:t xml:space="preserve"> updated </w:t>
      </w:r>
      <w:r w:rsidR="00651F86">
        <w:rPr>
          <w:rFonts w:ascii="Times New Roman" w:eastAsia="Calibri" w:hAnsi="Times New Roman" w:cs="Times New Roman"/>
          <w:color w:val="000000" w:themeColor="text1"/>
          <w:sz w:val="24"/>
          <w:szCs w:val="24"/>
        </w:rPr>
        <w:t>instrument</w:t>
      </w:r>
      <w:r w:rsidR="00D8517F">
        <w:rPr>
          <w:rFonts w:ascii="Times New Roman" w:eastAsia="Calibri" w:hAnsi="Times New Roman" w:cs="Times New Roman"/>
          <w:color w:val="000000" w:themeColor="text1"/>
          <w:sz w:val="24"/>
          <w:szCs w:val="24"/>
        </w:rPr>
        <w:t>.</w:t>
      </w:r>
    </w:p>
    <w:bookmarkEnd w:id="5"/>
    <w:p w:rsidR="00411530" w:rsidP="00411530" w14:paraId="3E771C89" w14:textId="77777777">
      <w:pPr>
        <w:spacing w:after="0" w:line="240" w:lineRule="auto"/>
        <w:rPr>
          <w:rFonts w:ascii="Times New Roman" w:eastAsia="Calibri" w:hAnsi="Times New Roman" w:cs="Times New Roman"/>
          <w:color w:val="000000" w:themeColor="text1"/>
          <w:sz w:val="24"/>
          <w:szCs w:val="24"/>
        </w:rPr>
      </w:pPr>
    </w:p>
    <w:p w:rsidR="00D773C0" w:rsidRPr="00D773C0" w:rsidP="00A35904" w14:paraId="669B77B3" w14:textId="61E45E79">
      <w:pPr>
        <w:spacing w:after="0" w:line="240" w:lineRule="auto"/>
        <w:rPr>
          <w:rFonts w:ascii="Times New Roman" w:eastAsia="Calibri" w:hAnsi="Times New Roman" w:cs="Times New Roman"/>
          <w:i/>
          <w:iCs/>
          <w:color w:val="000000" w:themeColor="text1"/>
          <w:sz w:val="24"/>
          <w:szCs w:val="24"/>
        </w:rPr>
      </w:pPr>
      <w:bookmarkStart w:id="6" w:name="_Hlk218695988"/>
      <w:r>
        <w:rPr>
          <w:rFonts w:ascii="Times New Roman" w:eastAsia="Calibri" w:hAnsi="Times New Roman" w:cs="Times New Roman"/>
          <w:color w:val="000000" w:themeColor="text1"/>
          <w:sz w:val="24"/>
          <w:szCs w:val="24"/>
        </w:rPr>
        <w:t>R</w:t>
      </w:r>
      <w:r w:rsidRPr="50C75FC8" w:rsidR="50C75FC8">
        <w:rPr>
          <w:rFonts w:ascii="Times New Roman" w:eastAsia="Calibri" w:hAnsi="Times New Roman" w:cs="Times New Roman"/>
          <w:color w:val="000000" w:themeColor="text1"/>
          <w:sz w:val="24"/>
          <w:szCs w:val="24"/>
        </w:rPr>
        <w:t xml:space="preserve">espondents overwhelmingly agreed that the part-time questions were either irrelevant or uninteresting, and several believed the part-time questions on demographics, salaries, retention, </w:t>
      </w:r>
      <w:r w:rsidRPr="50C75FC8" w:rsidR="50C75FC8">
        <w:rPr>
          <w:rFonts w:ascii="Times New Roman" w:eastAsia="Calibri" w:hAnsi="Times New Roman" w:cs="Times New Roman"/>
          <w:color w:val="000000" w:themeColor="text1"/>
          <w:sz w:val="24"/>
          <w:szCs w:val="24"/>
        </w:rPr>
        <w:t xml:space="preserve">and tenure should be cut. One suggested combining the full- and part-time questions into one question </w:t>
      </w:r>
      <w:r w:rsidRPr="50C75FC8" w:rsidR="00977344">
        <w:rPr>
          <w:rFonts w:ascii="Times New Roman" w:eastAsia="Calibri" w:hAnsi="Times New Roman" w:cs="Times New Roman"/>
          <w:color w:val="000000" w:themeColor="text1"/>
          <w:sz w:val="24"/>
          <w:szCs w:val="24"/>
        </w:rPr>
        <w:t>on</w:t>
      </w:r>
      <w:r w:rsidRPr="50C75FC8" w:rsidR="50C75FC8">
        <w:rPr>
          <w:rFonts w:ascii="Times New Roman" w:eastAsia="Calibri" w:hAnsi="Times New Roman" w:cs="Times New Roman"/>
          <w:color w:val="000000" w:themeColor="text1"/>
          <w:sz w:val="24"/>
          <w:szCs w:val="24"/>
        </w:rPr>
        <w:t xml:space="preserve"> table</w:t>
      </w:r>
      <w:r w:rsidR="00977344">
        <w:rPr>
          <w:rFonts w:ascii="Times New Roman" w:eastAsia="Calibri" w:hAnsi="Times New Roman" w:cs="Times New Roman"/>
          <w:color w:val="000000" w:themeColor="text1"/>
          <w:sz w:val="24"/>
          <w:szCs w:val="24"/>
        </w:rPr>
        <w:t>s</w:t>
      </w:r>
      <w:r w:rsidRPr="50C75FC8" w:rsidR="50C75FC8">
        <w:rPr>
          <w:rFonts w:ascii="Times New Roman" w:eastAsia="Calibri" w:hAnsi="Times New Roman" w:cs="Times New Roman"/>
          <w:color w:val="000000" w:themeColor="text1"/>
          <w:sz w:val="24"/>
          <w:szCs w:val="24"/>
        </w:rPr>
        <w:t xml:space="preserve"> rather than a separate version of the question for each type of staff. There was even confusion </w:t>
      </w:r>
      <w:r w:rsidRPr="50C75FC8" w:rsidR="000D265F">
        <w:rPr>
          <w:rFonts w:ascii="Times New Roman" w:eastAsia="Calibri" w:hAnsi="Times New Roman" w:cs="Times New Roman"/>
          <w:color w:val="000000" w:themeColor="text1"/>
          <w:sz w:val="24"/>
          <w:szCs w:val="24"/>
        </w:rPr>
        <w:t>about</w:t>
      </w:r>
      <w:r w:rsidRPr="50C75FC8" w:rsidR="50C75FC8">
        <w:rPr>
          <w:rFonts w:ascii="Times New Roman" w:eastAsia="Calibri" w:hAnsi="Times New Roman" w:cs="Times New Roman"/>
          <w:color w:val="000000" w:themeColor="text1"/>
          <w:sz w:val="24"/>
          <w:szCs w:val="24"/>
        </w:rPr>
        <w:t xml:space="preserve"> what constitutes part-time litigating attorneys and whether that includes temporary staff or if it means litigating attorneys who spend part of their time on criminal cases. </w:t>
      </w:r>
      <w:r>
        <w:rPr>
          <w:rFonts w:ascii="Times New Roman" w:eastAsia="Calibri" w:hAnsi="Times New Roman" w:cs="Times New Roman"/>
          <w:color w:val="000000" w:themeColor="text1"/>
          <w:sz w:val="24"/>
          <w:szCs w:val="24"/>
        </w:rPr>
        <w:t>To address these concerns</w:t>
      </w:r>
      <w:r w:rsidR="007A0423">
        <w:rPr>
          <w:rFonts w:ascii="Times New Roman" w:eastAsia="Calibri" w:hAnsi="Times New Roman" w:cs="Times New Roman"/>
          <w:color w:val="000000" w:themeColor="text1"/>
          <w:sz w:val="24"/>
          <w:szCs w:val="24"/>
        </w:rPr>
        <w:t xml:space="preserve"> and reduce the burden</w:t>
      </w:r>
      <w:r>
        <w:rPr>
          <w:rFonts w:ascii="Times New Roman" w:eastAsia="Calibri" w:hAnsi="Times New Roman" w:cs="Times New Roman"/>
          <w:color w:val="000000" w:themeColor="text1"/>
          <w:sz w:val="24"/>
          <w:szCs w:val="24"/>
        </w:rPr>
        <w:t xml:space="preserve">, </w:t>
      </w:r>
      <w:r w:rsidR="008820F8">
        <w:rPr>
          <w:rFonts w:ascii="Times New Roman" w:eastAsia="Calibri" w:hAnsi="Times New Roman" w:cs="Times New Roman"/>
          <w:color w:val="000000" w:themeColor="text1"/>
          <w:sz w:val="24"/>
          <w:szCs w:val="24"/>
        </w:rPr>
        <w:t xml:space="preserve">the updated instrument </w:t>
      </w:r>
      <w:r w:rsidR="00D8517F">
        <w:rPr>
          <w:rFonts w:ascii="Times New Roman" w:eastAsia="Calibri" w:hAnsi="Times New Roman" w:cs="Times New Roman"/>
          <w:color w:val="000000" w:themeColor="text1"/>
          <w:sz w:val="24"/>
          <w:szCs w:val="24"/>
        </w:rPr>
        <w:t xml:space="preserve">was revised </w:t>
      </w:r>
      <w:r w:rsidR="008820F8">
        <w:rPr>
          <w:rFonts w:ascii="Times New Roman" w:eastAsia="Calibri" w:hAnsi="Times New Roman" w:cs="Times New Roman"/>
          <w:color w:val="000000" w:themeColor="text1"/>
          <w:sz w:val="24"/>
          <w:szCs w:val="24"/>
        </w:rPr>
        <w:t>to only</w:t>
      </w:r>
      <w:r w:rsidR="007A0423">
        <w:rPr>
          <w:rFonts w:ascii="Times New Roman" w:eastAsia="Calibri" w:hAnsi="Times New Roman" w:cs="Times New Roman"/>
          <w:color w:val="000000" w:themeColor="text1"/>
          <w:sz w:val="24"/>
          <w:szCs w:val="24"/>
        </w:rPr>
        <w:t xml:space="preserve"> </w:t>
      </w:r>
      <w:r w:rsidR="00D8517F">
        <w:rPr>
          <w:rFonts w:ascii="Times New Roman" w:eastAsia="Calibri" w:hAnsi="Times New Roman" w:cs="Times New Roman"/>
          <w:color w:val="000000" w:themeColor="text1"/>
          <w:sz w:val="24"/>
          <w:szCs w:val="24"/>
        </w:rPr>
        <w:t>ask for</w:t>
      </w:r>
      <w:r w:rsidR="007A0423">
        <w:rPr>
          <w:rFonts w:ascii="Times New Roman" w:eastAsia="Calibri" w:hAnsi="Times New Roman" w:cs="Times New Roman"/>
          <w:color w:val="000000" w:themeColor="text1"/>
          <w:sz w:val="24"/>
          <w:szCs w:val="24"/>
        </w:rPr>
        <w:t xml:space="preserve"> the total number of both part-</w:t>
      </w:r>
      <w:r w:rsidR="008820F8">
        <w:rPr>
          <w:rFonts w:ascii="Times New Roman" w:eastAsia="Calibri" w:hAnsi="Times New Roman" w:cs="Times New Roman"/>
          <w:color w:val="000000" w:themeColor="text1"/>
          <w:sz w:val="24"/>
          <w:szCs w:val="24"/>
        </w:rPr>
        <w:t xml:space="preserve"> and full-</w:t>
      </w:r>
      <w:r w:rsidR="007A0423">
        <w:rPr>
          <w:rFonts w:ascii="Times New Roman" w:eastAsia="Calibri" w:hAnsi="Times New Roman" w:cs="Times New Roman"/>
          <w:color w:val="000000" w:themeColor="text1"/>
          <w:sz w:val="24"/>
          <w:szCs w:val="24"/>
        </w:rPr>
        <w:t xml:space="preserve">time litigating attorneys and non-attorney staff. Demographic and staffing questions for part-time litigating and non-attorney staff were removed. Additionally, questions on salaries, retention and tenure were cut.    </w:t>
      </w:r>
      <w:r>
        <w:rPr>
          <w:rFonts w:ascii="Times New Roman" w:eastAsia="Calibri" w:hAnsi="Times New Roman" w:cs="Times New Roman"/>
          <w:color w:val="000000" w:themeColor="text1"/>
          <w:sz w:val="24"/>
          <w:szCs w:val="24"/>
        </w:rPr>
        <w:t xml:space="preserve"> </w:t>
      </w:r>
    </w:p>
    <w:bookmarkEnd w:id="6"/>
    <w:p w:rsidR="008542A8" w:rsidP="50C75FC8" w14:paraId="0B55C5A5" w14:textId="69191055">
      <w:pPr>
        <w:spacing w:after="0" w:line="240" w:lineRule="auto"/>
        <w:rPr>
          <w:rFonts w:ascii="Times New Roman" w:eastAsia="Calibri" w:hAnsi="Times New Roman" w:cs="Times New Roman"/>
          <w:color w:val="000000" w:themeColor="text1"/>
          <w:sz w:val="24"/>
          <w:szCs w:val="24"/>
        </w:rPr>
      </w:pPr>
    </w:p>
    <w:p w:rsidR="00BB61EE" w:rsidP="50C75FC8" w14:paraId="63C1CE94" w14:textId="1423F298">
      <w:pPr>
        <w:spacing w:after="0" w:line="240" w:lineRule="auto"/>
        <w:rPr>
          <w:rFonts w:ascii="Times New Roman" w:eastAsia="Calibri" w:hAnsi="Times New Roman" w:cs="Times New Roman"/>
          <w:color w:val="000000" w:themeColor="text1"/>
          <w:sz w:val="24"/>
          <w:szCs w:val="24"/>
        </w:rPr>
      </w:pPr>
      <w:r w:rsidRPr="50C75FC8">
        <w:rPr>
          <w:rFonts w:ascii="Times New Roman" w:eastAsia="Calibri" w:hAnsi="Times New Roman" w:cs="Times New Roman"/>
          <w:i/>
          <w:iCs/>
          <w:color w:val="000000" w:themeColor="text1"/>
          <w:sz w:val="24"/>
          <w:szCs w:val="24"/>
        </w:rPr>
        <w:t>Expenditures</w:t>
      </w:r>
      <w:r w:rsidRPr="50C75FC8">
        <w:rPr>
          <w:rFonts w:ascii="Times New Roman" w:eastAsia="Calibri" w:hAnsi="Times New Roman" w:cs="Times New Roman"/>
          <w:color w:val="000000" w:themeColor="text1"/>
          <w:sz w:val="24"/>
          <w:szCs w:val="24"/>
        </w:rPr>
        <w:t xml:space="preserve">. Section B of the </w:t>
      </w:r>
      <w:r w:rsidR="009457E3">
        <w:rPr>
          <w:rFonts w:ascii="Times New Roman" w:eastAsia="Calibri" w:hAnsi="Times New Roman" w:cs="Times New Roman"/>
          <w:color w:val="000000" w:themeColor="text1"/>
          <w:sz w:val="24"/>
          <w:szCs w:val="24"/>
        </w:rPr>
        <w:t>2025 CPO</w:t>
      </w:r>
      <w:r w:rsidRPr="50C75FC8">
        <w:rPr>
          <w:rFonts w:ascii="Times New Roman" w:eastAsia="Calibri" w:hAnsi="Times New Roman" w:cs="Times New Roman"/>
          <w:color w:val="000000" w:themeColor="text1"/>
          <w:sz w:val="24"/>
          <w:szCs w:val="24"/>
        </w:rPr>
        <w:t xml:space="preserve"> focuses on</w:t>
      </w:r>
      <w:r w:rsidR="0040127A">
        <w:rPr>
          <w:rFonts w:ascii="Times New Roman" w:eastAsia="Calibri" w:hAnsi="Times New Roman" w:cs="Times New Roman"/>
          <w:color w:val="000000" w:themeColor="text1"/>
          <w:sz w:val="24"/>
          <w:szCs w:val="24"/>
        </w:rPr>
        <w:t xml:space="preserve"> operating</w:t>
      </w:r>
      <w:r w:rsidRPr="50C75FC8">
        <w:rPr>
          <w:rFonts w:ascii="Times New Roman" w:eastAsia="Calibri" w:hAnsi="Times New Roman" w:cs="Times New Roman"/>
          <w:color w:val="000000" w:themeColor="text1"/>
          <w:sz w:val="24"/>
          <w:szCs w:val="24"/>
        </w:rPr>
        <w:t xml:space="preserve"> </w:t>
      </w:r>
      <w:r w:rsidRPr="50C75FC8" w:rsidR="00103E43">
        <w:rPr>
          <w:rFonts w:ascii="Times New Roman" w:eastAsia="Calibri" w:hAnsi="Times New Roman" w:cs="Times New Roman"/>
          <w:color w:val="000000" w:themeColor="text1"/>
          <w:sz w:val="24"/>
          <w:szCs w:val="24"/>
        </w:rPr>
        <w:t>expenditure</w:t>
      </w:r>
      <w:r w:rsidR="0040127A">
        <w:rPr>
          <w:rFonts w:ascii="Times New Roman" w:eastAsia="Calibri" w:hAnsi="Times New Roman" w:cs="Times New Roman"/>
          <w:color w:val="000000" w:themeColor="text1"/>
          <w:sz w:val="24"/>
          <w:szCs w:val="24"/>
        </w:rPr>
        <w:t>s</w:t>
      </w:r>
      <w:r w:rsidRPr="50C75FC8">
        <w:rPr>
          <w:rFonts w:ascii="Times New Roman" w:eastAsia="Calibri" w:hAnsi="Times New Roman" w:cs="Times New Roman"/>
          <w:color w:val="000000" w:themeColor="text1"/>
          <w:sz w:val="24"/>
          <w:szCs w:val="24"/>
        </w:rPr>
        <w:t xml:space="preserve"> for the prosecutor office’s criminal work. Several offices could only reply with their budget</w:t>
      </w:r>
      <w:r w:rsidR="00103E43">
        <w:rPr>
          <w:rFonts w:ascii="Times New Roman" w:eastAsia="Calibri" w:hAnsi="Times New Roman" w:cs="Times New Roman"/>
          <w:color w:val="000000" w:themeColor="text1"/>
          <w:sz w:val="24"/>
          <w:szCs w:val="24"/>
        </w:rPr>
        <w:t xml:space="preserve"> rather than expenditure</w:t>
      </w:r>
      <w:r w:rsidRPr="50C75FC8">
        <w:rPr>
          <w:rFonts w:ascii="Times New Roman" w:eastAsia="Calibri" w:hAnsi="Times New Roman" w:cs="Times New Roman"/>
          <w:color w:val="000000" w:themeColor="text1"/>
          <w:sz w:val="24"/>
          <w:szCs w:val="24"/>
        </w:rPr>
        <w:t xml:space="preserve">. Two respondents said it would be interesting to ask for both the budget and the expenditure to get a sense of any </w:t>
      </w:r>
      <w:r w:rsidRPr="50C75FC8" w:rsidR="00103E43">
        <w:rPr>
          <w:rFonts w:ascii="Times New Roman" w:eastAsia="Calibri" w:hAnsi="Times New Roman" w:cs="Times New Roman"/>
          <w:color w:val="000000" w:themeColor="text1"/>
          <w:sz w:val="24"/>
          <w:szCs w:val="24"/>
        </w:rPr>
        <w:t>discrepanc</w:t>
      </w:r>
      <w:r w:rsidR="00103E43">
        <w:rPr>
          <w:rFonts w:ascii="Times New Roman" w:eastAsia="Calibri" w:hAnsi="Times New Roman" w:cs="Times New Roman"/>
          <w:color w:val="000000" w:themeColor="text1"/>
          <w:sz w:val="24"/>
          <w:szCs w:val="24"/>
        </w:rPr>
        <w:t>ies</w:t>
      </w:r>
      <w:r w:rsidRPr="50C75FC8">
        <w:rPr>
          <w:rFonts w:ascii="Times New Roman" w:eastAsia="Calibri" w:hAnsi="Times New Roman" w:cs="Times New Roman"/>
          <w:color w:val="000000" w:themeColor="text1"/>
          <w:sz w:val="24"/>
          <w:szCs w:val="24"/>
        </w:rPr>
        <w:t xml:space="preserve">. </w:t>
      </w:r>
      <w:r w:rsidR="00103E43">
        <w:rPr>
          <w:rFonts w:ascii="Times New Roman" w:eastAsia="Calibri" w:hAnsi="Times New Roman" w:cs="Times New Roman"/>
          <w:color w:val="000000" w:themeColor="text1"/>
          <w:sz w:val="24"/>
          <w:szCs w:val="24"/>
        </w:rPr>
        <w:t xml:space="preserve">Offices that </w:t>
      </w:r>
      <w:r w:rsidRPr="50C75FC8">
        <w:rPr>
          <w:rFonts w:ascii="Times New Roman" w:eastAsia="Calibri" w:hAnsi="Times New Roman" w:cs="Times New Roman"/>
          <w:color w:val="000000" w:themeColor="text1"/>
          <w:sz w:val="24"/>
          <w:szCs w:val="24"/>
        </w:rPr>
        <w:t>handle</w:t>
      </w:r>
      <w:r w:rsidR="00103E43">
        <w:rPr>
          <w:rFonts w:ascii="Times New Roman" w:eastAsia="Calibri" w:hAnsi="Times New Roman" w:cs="Times New Roman"/>
          <w:color w:val="000000" w:themeColor="text1"/>
          <w:sz w:val="24"/>
          <w:szCs w:val="24"/>
        </w:rPr>
        <w:t xml:space="preserve"> both</w:t>
      </w:r>
      <w:r w:rsidRPr="50C75FC8">
        <w:rPr>
          <w:rFonts w:ascii="Times New Roman" w:eastAsia="Calibri" w:hAnsi="Times New Roman" w:cs="Times New Roman"/>
          <w:color w:val="000000" w:themeColor="text1"/>
          <w:sz w:val="24"/>
          <w:szCs w:val="24"/>
        </w:rPr>
        <w:t xml:space="preserve"> civil and criminal cases</w:t>
      </w:r>
      <w:r w:rsidR="00103E43">
        <w:rPr>
          <w:rFonts w:ascii="Times New Roman" w:eastAsia="Calibri" w:hAnsi="Times New Roman" w:cs="Times New Roman"/>
          <w:color w:val="000000" w:themeColor="text1"/>
          <w:sz w:val="24"/>
          <w:szCs w:val="24"/>
        </w:rPr>
        <w:t xml:space="preserve"> reported that they were </w:t>
      </w:r>
      <w:r w:rsidRPr="50C75FC8">
        <w:rPr>
          <w:rFonts w:ascii="Times New Roman" w:eastAsia="Calibri" w:hAnsi="Times New Roman" w:cs="Times New Roman"/>
          <w:color w:val="000000" w:themeColor="text1"/>
          <w:sz w:val="24"/>
          <w:szCs w:val="24"/>
        </w:rPr>
        <w:t xml:space="preserve">unable to separate out </w:t>
      </w:r>
      <w:r w:rsidRPr="50C75FC8" w:rsidR="00103E43">
        <w:rPr>
          <w:rFonts w:ascii="Times New Roman" w:eastAsia="Calibri" w:hAnsi="Times New Roman" w:cs="Times New Roman"/>
          <w:color w:val="000000" w:themeColor="text1"/>
          <w:sz w:val="24"/>
          <w:szCs w:val="24"/>
        </w:rPr>
        <w:t>th</w:t>
      </w:r>
      <w:r w:rsidR="00103E43">
        <w:rPr>
          <w:rFonts w:ascii="Times New Roman" w:eastAsia="Calibri" w:hAnsi="Times New Roman" w:cs="Times New Roman"/>
          <w:color w:val="000000" w:themeColor="text1"/>
          <w:sz w:val="24"/>
          <w:szCs w:val="24"/>
        </w:rPr>
        <w:t>e</w:t>
      </w:r>
      <w:r w:rsidRPr="50C75FC8" w:rsidR="00103E43">
        <w:rPr>
          <w:rFonts w:ascii="Times New Roman" w:eastAsia="Calibri" w:hAnsi="Times New Roman" w:cs="Times New Roman"/>
          <w:color w:val="000000" w:themeColor="text1"/>
          <w:sz w:val="24"/>
          <w:szCs w:val="24"/>
        </w:rPr>
        <w:t xml:space="preserve"> </w:t>
      </w:r>
      <w:r w:rsidRPr="50C75FC8">
        <w:rPr>
          <w:rFonts w:ascii="Times New Roman" w:eastAsia="Calibri" w:hAnsi="Times New Roman" w:cs="Times New Roman"/>
          <w:color w:val="000000" w:themeColor="text1"/>
          <w:sz w:val="24"/>
          <w:szCs w:val="24"/>
        </w:rPr>
        <w:t xml:space="preserve">costs. Seven respondents were interested in adding a question about sources of funding and the breakdown between </w:t>
      </w:r>
      <w:r w:rsidRPr="50C75FC8">
        <w:rPr>
          <w:rFonts w:ascii="Times New Roman" w:eastAsia="Calibri" w:hAnsi="Times New Roman" w:cs="Times New Roman"/>
          <w:color w:val="000000" w:themeColor="text1"/>
          <w:sz w:val="24"/>
          <w:szCs w:val="24"/>
        </w:rPr>
        <w:t>city</w:t>
      </w:r>
      <w:r w:rsidRPr="50C75FC8">
        <w:rPr>
          <w:rFonts w:ascii="Times New Roman" w:eastAsia="Calibri" w:hAnsi="Times New Roman" w:cs="Times New Roman"/>
          <w:color w:val="000000" w:themeColor="text1"/>
          <w:sz w:val="24"/>
          <w:szCs w:val="24"/>
        </w:rPr>
        <w:t xml:space="preserve">, county, state, and federal funding. </w:t>
      </w:r>
      <w:bookmarkStart w:id="7" w:name="_Hlk218696062"/>
      <w:r>
        <w:rPr>
          <w:rFonts w:ascii="Times New Roman" w:eastAsia="Calibri" w:hAnsi="Times New Roman" w:cs="Times New Roman"/>
          <w:color w:val="000000" w:themeColor="text1"/>
          <w:sz w:val="24"/>
          <w:szCs w:val="24"/>
        </w:rPr>
        <w:t>However, to stay consistent with what BJS historically collected in this section, those recommendations were not implemented. Making th</w:t>
      </w:r>
      <w:r w:rsidR="00D8517F">
        <w:rPr>
          <w:rFonts w:ascii="Times New Roman" w:eastAsia="Calibri" w:hAnsi="Times New Roman" w:cs="Times New Roman"/>
          <w:color w:val="000000" w:themeColor="text1"/>
          <w:sz w:val="24"/>
          <w:szCs w:val="24"/>
        </w:rPr>
        <w:t>o</w:t>
      </w:r>
      <w:r>
        <w:rPr>
          <w:rFonts w:ascii="Times New Roman" w:eastAsia="Calibri" w:hAnsi="Times New Roman" w:cs="Times New Roman"/>
          <w:color w:val="000000" w:themeColor="text1"/>
          <w:sz w:val="24"/>
          <w:szCs w:val="24"/>
        </w:rPr>
        <w:t xml:space="preserve">se changes would inhibit BJS’s ability to compare results with previous iterations of </w:t>
      </w:r>
      <w:r w:rsidR="00103E43">
        <w:rPr>
          <w:rFonts w:ascii="Times New Roman" w:eastAsia="Calibri" w:hAnsi="Times New Roman" w:cs="Times New Roman"/>
          <w:color w:val="000000" w:themeColor="text1"/>
          <w:sz w:val="24"/>
          <w:szCs w:val="24"/>
        </w:rPr>
        <w:t xml:space="preserve">the </w:t>
      </w:r>
      <w:r>
        <w:rPr>
          <w:rFonts w:ascii="Times New Roman" w:eastAsia="Calibri" w:hAnsi="Times New Roman" w:cs="Times New Roman"/>
          <w:color w:val="000000" w:themeColor="text1"/>
          <w:sz w:val="24"/>
          <w:szCs w:val="24"/>
        </w:rPr>
        <w:t xml:space="preserve">NSP </w:t>
      </w:r>
      <w:r w:rsidR="00103E43">
        <w:rPr>
          <w:rFonts w:ascii="Times New Roman" w:eastAsia="Calibri" w:hAnsi="Times New Roman" w:cs="Times New Roman"/>
          <w:color w:val="000000" w:themeColor="text1"/>
          <w:sz w:val="24"/>
          <w:szCs w:val="24"/>
        </w:rPr>
        <w:t>series</w:t>
      </w:r>
      <w:r>
        <w:rPr>
          <w:rFonts w:ascii="Times New Roman" w:eastAsia="Calibri" w:hAnsi="Times New Roman" w:cs="Times New Roman"/>
          <w:color w:val="000000" w:themeColor="text1"/>
          <w:sz w:val="24"/>
          <w:szCs w:val="24"/>
        </w:rPr>
        <w:t xml:space="preserve">. </w:t>
      </w:r>
    </w:p>
    <w:bookmarkEnd w:id="7"/>
    <w:p w:rsidR="008542A8" w:rsidP="50C75FC8" w14:paraId="4B0137B1" w14:textId="47C6E199">
      <w:pPr>
        <w:spacing w:after="0" w:line="240" w:lineRule="auto"/>
        <w:rPr>
          <w:rFonts w:ascii="Times New Roman" w:eastAsia="Calibri" w:hAnsi="Times New Roman" w:cs="Times New Roman"/>
          <w:sz w:val="24"/>
          <w:szCs w:val="24"/>
        </w:rPr>
      </w:pPr>
    </w:p>
    <w:p w:rsidR="008542A8" w:rsidP="50C75FC8" w14:paraId="614210B9" w14:textId="421E679E">
      <w:p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i/>
          <w:iCs/>
          <w:sz w:val="24"/>
          <w:szCs w:val="24"/>
        </w:rPr>
        <w:t>Caseloads.</w:t>
      </w:r>
      <w:r w:rsidRPr="50C75FC8">
        <w:rPr>
          <w:rFonts w:ascii="Times New Roman" w:eastAsia="Calibri" w:hAnsi="Times New Roman" w:cs="Times New Roman"/>
          <w:sz w:val="24"/>
          <w:szCs w:val="24"/>
        </w:rPr>
        <w:t xml:space="preserve"> Section C of the </w:t>
      </w:r>
      <w:r w:rsidR="009457E3">
        <w:rPr>
          <w:rFonts w:ascii="Times New Roman" w:eastAsia="Calibri" w:hAnsi="Times New Roman" w:cs="Times New Roman"/>
          <w:sz w:val="24"/>
          <w:szCs w:val="24"/>
        </w:rPr>
        <w:t>2025 CPO</w:t>
      </w:r>
      <w:r w:rsidRPr="50C75FC8">
        <w:rPr>
          <w:rFonts w:ascii="Times New Roman" w:eastAsia="Calibri" w:hAnsi="Times New Roman" w:cs="Times New Roman"/>
          <w:sz w:val="24"/>
          <w:szCs w:val="24"/>
        </w:rPr>
        <w:t xml:space="preserve"> census </w:t>
      </w:r>
      <w:r w:rsidR="00FD72EB">
        <w:rPr>
          <w:rFonts w:ascii="Times New Roman" w:eastAsia="Calibri" w:hAnsi="Times New Roman" w:cs="Times New Roman"/>
          <w:sz w:val="24"/>
          <w:szCs w:val="24"/>
        </w:rPr>
        <w:t>requests</w:t>
      </w:r>
      <w:r w:rsidRPr="50C75FC8" w:rsidR="00FD72EB">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caseload information for prosecutor offices. </w:t>
      </w:r>
      <w:r w:rsidR="00146761">
        <w:rPr>
          <w:rFonts w:ascii="Times New Roman" w:eastAsia="Calibri" w:hAnsi="Times New Roman" w:cs="Times New Roman"/>
          <w:sz w:val="24"/>
          <w:szCs w:val="24"/>
        </w:rPr>
        <w:t>Respondents reported difficulty understanding the instrument</w:t>
      </w:r>
      <w:r w:rsidR="00C86C0A">
        <w:rPr>
          <w:rFonts w:ascii="Times New Roman" w:eastAsia="Calibri" w:hAnsi="Times New Roman" w:cs="Times New Roman"/>
          <w:sz w:val="24"/>
          <w:szCs w:val="24"/>
        </w:rPr>
        <w:t>’</w:t>
      </w:r>
      <w:r w:rsidR="00146761">
        <w:rPr>
          <w:rFonts w:ascii="Times New Roman" w:eastAsia="Calibri" w:hAnsi="Times New Roman" w:cs="Times New Roman"/>
          <w:sz w:val="24"/>
          <w:szCs w:val="24"/>
        </w:rPr>
        <w:t>s</w:t>
      </w:r>
      <w:r w:rsidRPr="50C75FC8">
        <w:rPr>
          <w:rFonts w:ascii="Times New Roman" w:eastAsia="Calibri" w:hAnsi="Times New Roman" w:cs="Times New Roman"/>
          <w:sz w:val="24"/>
          <w:szCs w:val="24"/>
        </w:rPr>
        <w:t xml:space="preserve"> definitions of case and matter</w:t>
      </w:r>
      <w:r w:rsidR="00146761">
        <w:rPr>
          <w:rFonts w:ascii="Times New Roman" w:eastAsia="Calibri" w:hAnsi="Times New Roman" w:cs="Times New Roman"/>
          <w:sz w:val="24"/>
          <w:szCs w:val="24"/>
        </w:rPr>
        <w:t>s</w:t>
      </w:r>
      <w:r w:rsidRPr="50C75FC8">
        <w:rPr>
          <w:rFonts w:ascii="Times New Roman" w:eastAsia="Calibri" w:hAnsi="Times New Roman" w:cs="Times New Roman"/>
          <w:sz w:val="24"/>
          <w:szCs w:val="24"/>
        </w:rPr>
        <w:t xml:space="preserve">. Some complications raised include 1) the entity that can refer cases and file cases vary by jurisdiction and the prosecutor may not be responsible for filing cases; 2) </w:t>
      </w:r>
      <w:r w:rsidRPr="50C75FC8" w:rsidR="00146761">
        <w:rPr>
          <w:rFonts w:ascii="Times New Roman" w:eastAsia="Calibri" w:hAnsi="Times New Roman" w:cs="Times New Roman"/>
          <w:sz w:val="24"/>
          <w:szCs w:val="24"/>
        </w:rPr>
        <w:t>the</w:t>
      </w:r>
      <w:r w:rsidR="00146761">
        <w:rPr>
          <w:rFonts w:ascii="Times New Roman" w:eastAsia="Calibri" w:hAnsi="Times New Roman" w:cs="Times New Roman"/>
          <w:sz w:val="24"/>
          <w:szCs w:val="24"/>
        </w:rPr>
        <w:t>ir office</w:t>
      </w:r>
      <w:r w:rsidRPr="50C75FC8" w:rsidR="00146761">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measure</w:t>
      </w:r>
      <w:r w:rsidR="00146761">
        <w:rPr>
          <w:rFonts w:ascii="Times New Roman" w:eastAsia="Calibri" w:hAnsi="Times New Roman" w:cs="Times New Roman"/>
          <w:sz w:val="24"/>
          <w:szCs w:val="24"/>
        </w:rPr>
        <w:t>d</w:t>
      </w:r>
      <w:r w:rsidRPr="50C75FC8">
        <w:rPr>
          <w:rFonts w:ascii="Times New Roman" w:eastAsia="Calibri" w:hAnsi="Times New Roman" w:cs="Times New Roman"/>
          <w:sz w:val="24"/>
          <w:szCs w:val="24"/>
        </w:rPr>
        <w:t xml:space="preserve"> </w:t>
      </w:r>
      <w:r w:rsidR="00A71BF4">
        <w:rPr>
          <w:rFonts w:ascii="Times New Roman" w:eastAsia="Calibri" w:hAnsi="Times New Roman" w:cs="Times New Roman"/>
          <w:sz w:val="24"/>
          <w:szCs w:val="24"/>
        </w:rPr>
        <w:t xml:space="preserve">cases </w:t>
      </w:r>
      <w:r w:rsidRPr="50C75FC8">
        <w:rPr>
          <w:rFonts w:ascii="Times New Roman" w:eastAsia="Calibri" w:hAnsi="Times New Roman" w:cs="Times New Roman"/>
          <w:sz w:val="24"/>
          <w:szCs w:val="24"/>
        </w:rPr>
        <w:t>by incident</w:t>
      </w:r>
      <w:r w:rsidR="00146761">
        <w:rPr>
          <w:rFonts w:ascii="Times New Roman" w:eastAsia="Calibri" w:hAnsi="Times New Roman" w:cs="Times New Roman"/>
          <w:sz w:val="24"/>
          <w:szCs w:val="24"/>
        </w:rPr>
        <w:t xml:space="preserve"> rather than defendant</w:t>
      </w:r>
      <w:r w:rsidRPr="50C75FC8">
        <w:rPr>
          <w:rFonts w:ascii="Times New Roman" w:eastAsia="Calibri" w:hAnsi="Times New Roman" w:cs="Times New Roman"/>
          <w:sz w:val="24"/>
          <w:szCs w:val="24"/>
        </w:rPr>
        <w:t xml:space="preserve">, even if there </w:t>
      </w:r>
      <w:r w:rsidR="001D49F9">
        <w:rPr>
          <w:rFonts w:ascii="Times New Roman" w:eastAsia="Calibri" w:hAnsi="Times New Roman" w:cs="Times New Roman"/>
          <w:sz w:val="24"/>
          <w:szCs w:val="24"/>
        </w:rPr>
        <w:t>were</w:t>
      </w:r>
      <w:r w:rsidRPr="50C75FC8" w:rsidR="001D49F9">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multiple co-defendants; and 3) whether a filing </w:t>
      </w:r>
      <w:r w:rsidR="001D49F9">
        <w:rPr>
          <w:rFonts w:ascii="Times New Roman" w:eastAsia="Calibri" w:hAnsi="Times New Roman" w:cs="Times New Roman"/>
          <w:sz w:val="24"/>
          <w:szCs w:val="24"/>
        </w:rPr>
        <w:t>wa</w:t>
      </w:r>
      <w:r w:rsidRPr="50C75FC8" w:rsidR="001D49F9">
        <w:rPr>
          <w:rFonts w:ascii="Times New Roman" w:eastAsia="Calibri" w:hAnsi="Times New Roman" w:cs="Times New Roman"/>
          <w:sz w:val="24"/>
          <w:szCs w:val="24"/>
        </w:rPr>
        <w:t xml:space="preserve">s </w:t>
      </w:r>
      <w:r w:rsidRPr="50C75FC8">
        <w:rPr>
          <w:rFonts w:ascii="Times New Roman" w:eastAsia="Calibri" w:hAnsi="Times New Roman" w:cs="Times New Roman"/>
          <w:sz w:val="24"/>
          <w:szCs w:val="24"/>
        </w:rPr>
        <w:t xml:space="preserve">due to an indictment by the office or because a case </w:t>
      </w:r>
      <w:r w:rsidR="00146761">
        <w:rPr>
          <w:rFonts w:ascii="Times New Roman" w:eastAsia="Calibri" w:hAnsi="Times New Roman" w:cs="Times New Roman"/>
          <w:sz w:val="24"/>
          <w:szCs w:val="24"/>
        </w:rPr>
        <w:t>was</w:t>
      </w:r>
      <w:r w:rsidRPr="50C75FC8" w:rsidR="00146761">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taken up by the district court. One respondent </w:t>
      </w:r>
      <w:r w:rsidR="00146761">
        <w:rPr>
          <w:rFonts w:ascii="Times New Roman" w:eastAsia="Calibri" w:hAnsi="Times New Roman" w:cs="Times New Roman"/>
          <w:sz w:val="24"/>
          <w:szCs w:val="24"/>
        </w:rPr>
        <w:t>reported that</w:t>
      </w:r>
      <w:r w:rsidRPr="50C75FC8" w:rsidR="00146761">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their case management system </w:t>
      </w:r>
      <w:r w:rsidRPr="50C75FC8" w:rsidR="00146761">
        <w:rPr>
          <w:rFonts w:ascii="Times New Roman" w:eastAsia="Calibri" w:hAnsi="Times New Roman" w:cs="Times New Roman"/>
          <w:sz w:val="24"/>
          <w:szCs w:val="24"/>
        </w:rPr>
        <w:t>c</w:t>
      </w:r>
      <w:r w:rsidR="00146761">
        <w:rPr>
          <w:rFonts w:ascii="Times New Roman" w:eastAsia="Calibri" w:hAnsi="Times New Roman" w:cs="Times New Roman"/>
          <w:sz w:val="24"/>
          <w:szCs w:val="24"/>
        </w:rPr>
        <w:t>ould</w:t>
      </w:r>
      <w:r w:rsidRPr="50C75FC8" w:rsidR="00146761">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only pull up cases and </w:t>
      </w:r>
      <w:r w:rsidRPr="50C75FC8">
        <w:rPr>
          <w:rFonts w:ascii="Times New Roman" w:eastAsia="Calibri" w:hAnsi="Times New Roman" w:cs="Times New Roman"/>
          <w:sz w:val="24"/>
          <w:szCs w:val="24"/>
        </w:rPr>
        <w:t>not</w:t>
      </w:r>
      <w:r w:rsidRPr="50C75FC8">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matters</w:t>
      </w:r>
      <w:r w:rsidRPr="50C75FC8">
        <w:rPr>
          <w:rFonts w:ascii="Times New Roman" w:eastAsia="Calibri" w:hAnsi="Times New Roman" w:cs="Times New Roman"/>
          <w:sz w:val="24"/>
          <w:szCs w:val="24"/>
        </w:rPr>
        <w:t xml:space="preserve">. </w:t>
      </w:r>
      <w:r w:rsidR="00146761">
        <w:rPr>
          <w:rFonts w:ascii="Times New Roman" w:eastAsia="Calibri" w:hAnsi="Times New Roman" w:cs="Times New Roman"/>
          <w:sz w:val="24"/>
          <w:szCs w:val="24"/>
        </w:rPr>
        <w:t>Another</w:t>
      </w:r>
      <w:r w:rsidRPr="50C75FC8">
        <w:rPr>
          <w:rFonts w:ascii="Times New Roman" w:eastAsia="Calibri" w:hAnsi="Times New Roman" w:cs="Times New Roman"/>
          <w:sz w:val="24"/>
          <w:szCs w:val="24"/>
        </w:rPr>
        <w:t xml:space="preserve"> respondent shared that they do</w:t>
      </w:r>
      <w:r w:rsidR="00C86C0A">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n</w:t>
      </w:r>
      <w:r w:rsidR="00C86C0A">
        <w:rPr>
          <w:rFonts w:ascii="Times New Roman" w:eastAsia="Calibri" w:hAnsi="Times New Roman" w:cs="Times New Roman"/>
          <w:sz w:val="24"/>
          <w:szCs w:val="24"/>
        </w:rPr>
        <w:t>o</w:t>
      </w:r>
      <w:r w:rsidRPr="50C75FC8">
        <w:rPr>
          <w:rFonts w:ascii="Times New Roman" w:eastAsia="Calibri" w:hAnsi="Times New Roman" w:cs="Times New Roman"/>
          <w:sz w:val="24"/>
          <w:szCs w:val="24"/>
        </w:rPr>
        <w:t xml:space="preserve">t have a case management system that tracks many of the questions </w:t>
      </w:r>
      <w:r w:rsidR="00146761">
        <w:rPr>
          <w:rFonts w:ascii="Times New Roman" w:eastAsia="Calibri" w:hAnsi="Times New Roman" w:cs="Times New Roman"/>
          <w:sz w:val="24"/>
          <w:szCs w:val="24"/>
        </w:rPr>
        <w:t xml:space="preserve">asked </w:t>
      </w:r>
      <w:r w:rsidRPr="50C75FC8">
        <w:rPr>
          <w:rFonts w:ascii="Times New Roman" w:eastAsia="Calibri" w:hAnsi="Times New Roman" w:cs="Times New Roman"/>
          <w:sz w:val="24"/>
          <w:szCs w:val="24"/>
        </w:rPr>
        <w:t xml:space="preserve">in this section. That respondent said it </w:t>
      </w:r>
      <w:r w:rsidR="00146761">
        <w:rPr>
          <w:rFonts w:ascii="Times New Roman" w:eastAsia="Calibri" w:hAnsi="Times New Roman" w:cs="Times New Roman"/>
          <w:sz w:val="24"/>
          <w:szCs w:val="24"/>
        </w:rPr>
        <w:t>was</w:t>
      </w:r>
      <w:r w:rsidRPr="50C75FC8" w:rsidR="00146761">
        <w:rPr>
          <w:rFonts w:ascii="Times New Roman" w:eastAsia="Calibri" w:hAnsi="Times New Roman" w:cs="Times New Roman"/>
          <w:sz w:val="24"/>
          <w:szCs w:val="24"/>
        </w:rPr>
        <w:t xml:space="preserve"> </w:t>
      </w:r>
      <w:r w:rsidRPr="50C75FC8">
        <w:rPr>
          <w:rFonts w:ascii="Times New Roman" w:eastAsia="Calibri" w:hAnsi="Times New Roman" w:cs="Times New Roman"/>
          <w:sz w:val="24"/>
          <w:szCs w:val="24"/>
        </w:rPr>
        <w:t xml:space="preserve">crucial </w:t>
      </w:r>
      <w:r w:rsidR="00146761">
        <w:rPr>
          <w:rFonts w:ascii="Times New Roman" w:eastAsia="Calibri" w:hAnsi="Times New Roman" w:cs="Times New Roman"/>
          <w:sz w:val="24"/>
          <w:szCs w:val="24"/>
        </w:rPr>
        <w:t>that BJS</w:t>
      </w:r>
      <w:r w:rsidRPr="50C75FC8">
        <w:rPr>
          <w:rFonts w:ascii="Times New Roman" w:eastAsia="Calibri" w:hAnsi="Times New Roman" w:cs="Times New Roman"/>
          <w:sz w:val="24"/>
          <w:szCs w:val="24"/>
        </w:rPr>
        <w:t xml:space="preserve"> ask if they have an electronic case management </w:t>
      </w:r>
      <w:r w:rsidR="001D49F9">
        <w:rPr>
          <w:rFonts w:ascii="Times New Roman" w:eastAsia="Calibri" w:hAnsi="Times New Roman" w:cs="Times New Roman"/>
          <w:sz w:val="24"/>
          <w:szCs w:val="24"/>
        </w:rPr>
        <w:t xml:space="preserve">system </w:t>
      </w:r>
      <w:r w:rsidRPr="50C75FC8">
        <w:rPr>
          <w:rFonts w:ascii="Times New Roman" w:eastAsia="Calibri" w:hAnsi="Times New Roman" w:cs="Times New Roman"/>
          <w:sz w:val="24"/>
          <w:szCs w:val="24"/>
        </w:rPr>
        <w:t xml:space="preserve">that tracks cases across their life span. </w:t>
      </w:r>
      <w:r w:rsidR="001D49F9">
        <w:rPr>
          <w:rFonts w:ascii="Times New Roman" w:eastAsia="Calibri" w:hAnsi="Times New Roman" w:cs="Times New Roman"/>
          <w:sz w:val="24"/>
          <w:szCs w:val="24"/>
        </w:rPr>
        <w:t>Following these recommendations,</w:t>
      </w:r>
      <w:r w:rsidR="00146761">
        <w:rPr>
          <w:rFonts w:ascii="Times New Roman" w:eastAsia="Calibri" w:hAnsi="Times New Roman" w:cs="Times New Roman"/>
          <w:sz w:val="24"/>
          <w:szCs w:val="24"/>
        </w:rPr>
        <w:t xml:space="preserve"> the project team decided </w:t>
      </w:r>
      <w:r w:rsidR="005D212E">
        <w:rPr>
          <w:rFonts w:ascii="Times New Roman" w:eastAsia="Calibri" w:hAnsi="Times New Roman" w:cs="Times New Roman"/>
          <w:sz w:val="24"/>
          <w:szCs w:val="24"/>
        </w:rPr>
        <w:t xml:space="preserve">to </w:t>
      </w:r>
      <w:r w:rsidR="00146761">
        <w:rPr>
          <w:rFonts w:ascii="Times New Roman" w:eastAsia="Calibri" w:hAnsi="Times New Roman" w:cs="Times New Roman"/>
          <w:sz w:val="24"/>
          <w:szCs w:val="24"/>
        </w:rPr>
        <w:t>keep the</w:t>
      </w:r>
      <w:r w:rsidR="005D212E">
        <w:rPr>
          <w:rFonts w:ascii="Times New Roman" w:eastAsia="Calibri" w:hAnsi="Times New Roman" w:cs="Times New Roman"/>
          <w:sz w:val="24"/>
          <w:szCs w:val="24"/>
        </w:rPr>
        <w:t xml:space="preserve"> definitions for case and matter </w:t>
      </w:r>
      <w:r w:rsidR="00146761">
        <w:rPr>
          <w:rFonts w:ascii="Times New Roman" w:eastAsia="Calibri" w:hAnsi="Times New Roman" w:cs="Times New Roman"/>
          <w:sz w:val="24"/>
          <w:szCs w:val="24"/>
        </w:rPr>
        <w:t xml:space="preserve">as is and </w:t>
      </w:r>
      <w:r w:rsidR="001D49F9">
        <w:rPr>
          <w:rFonts w:ascii="Times New Roman" w:eastAsia="Calibri" w:hAnsi="Times New Roman" w:cs="Times New Roman"/>
          <w:sz w:val="24"/>
          <w:szCs w:val="24"/>
        </w:rPr>
        <w:t xml:space="preserve">added </w:t>
      </w:r>
      <w:r w:rsidR="00146761">
        <w:rPr>
          <w:rFonts w:ascii="Times New Roman" w:eastAsia="Calibri" w:hAnsi="Times New Roman" w:cs="Times New Roman"/>
          <w:sz w:val="24"/>
          <w:szCs w:val="24"/>
        </w:rPr>
        <w:t xml:space="preserve">a question </w:t>
      </w:r>
      <w:r w:rsidR="001D49F9">
        <w:rPr>
          <w:rFonts w:ascii="Times New Roman" w:eastAsia="Calibri" w:hAnsi="Times New Roman" w:cs="Times New Roman"/>
          <w:sz w:val="24"/>
          <w:szCs w:val="24"/>
        </w:rPr>
        <w:t>whether</w:t>
      </w:r>
      <w:r w:rsidR="00146761">
        <w:rPr>
          <w:rFonts w:ascii="Times New Roman" w:eastAsia="Calibri" w:hAnsi="Times New Roman" w:cs="Times New Roman"/>
          <w:sz w:val="24"/>
          <w:szCs w:val="24"/>
        </w:rPr>
        <w:t xml:space="preserve"> their office had an electronic case management system. </w:t>
      </w:r>
    </w:p>
    <w:p w:rsidR="00411530" w:rsidP="00411530" w14:paraId="14005E95" w14:textId="77777777">
      <w:pPr>
        <w:spacing w:after="0" w:line="240" w:lineRule="auto"/>
        <w:rPr>
          <w:rFonts w:ascii="Times New Roman" w:eastAsia="Calibri" w:hAnsi="Times New Roman" w:cs="Times New Roman"/>
          <w:sz w:val="24"/>
          <w:szCs w:val="24"/>
        </w:rPr>
      </w:pPr>
    </w:p>
    <w:p w:rsidR="007A3DFB" w:rsidP="00411530" w14:paraId="68EE3F1C" w14:textId="157A9974">
      <w:pPr>
        <w:spacing w:after="0" w:line="240" w:lineRule="auto"/>
        <w:rPr>
          <w:rFonts w:ascii="Times New Roman" w:eastAsia="Calibri" w:hAnsi="Times New Roman" w:cs="Times New Roman"/>
          <w:sz w:val="24"/>
          <w:szCs w:val="24"/>
        </w:rPr>
      </w:pPr>
      <w:bookmarkStart w:id="8" w:name="_Hlk218696445"/>
      <w:r>
        <w:rPr>
          <w:rFonts w:ascii="Times New Roman" w:eastAsia="Calibri" w:hAnsi="Times New Roman" w:cs="Times New Roman"/>
          <w:sz w:val="24"/>
          <w:szCs w:val="24"/>
        </w:rPr>
        <w:t>Question C2</w:t>
      </w:r>
      <w:r w:rsidR="00146761">
        <w:rPr>
          <w:rFonts w:ascii="Times New Roman" w:eastAsia="Calibri" w:hAnsi="Times New Roman" w:cs="Times New Roman"/>
          <w:sz w:val="24"/>
          <w:szCs w:val="24"/>
        </w:rPr>
        <w:t xml:space="preserve"> asked </w:t>
      </w:r>
      <w:r>
        <w:rPr>
          <w:rFonts w:ascii="Times New Roman" w:eastAsia="Calibri" w:hAnsi="Times New Roman" w:cs="Times New Roman"/>
          <w:sz w:val="24"/>
          <w:szCs w:val="24"/>
        </w:rPr>
        <w:t>about</w:t>
      </w:r>
      <w:r w:rsidRPr="50C75FC8" w:rsidR="50C75FC8">
        <w:rPr>
          <w:rFonts w:ascii="Times New Roman" w:eastAsia="Calibri" w:hAnsi="Times New Roman" w:cs="Times New Roman"/>
          <w:sz w:val="24"/>
          <w:szCs w:val="24"/>
        </w:rPr>
        <w:t xml:space="preserve"> matters and cases </w:t>
      </w:r>
      <w:r w:rsidRPr="50C75FC8" w:rsidR="50C75FC8">
        <w:rPr>
          <w:rFonts w:ascii="Times New Roman" w:eastAsia="Calibri" w:hAnsi="Times New Roman" w:cs="Times New Roman"/>
          <w:sz w:val="24"/>
          <w:szCs w:val="24"/>
        </w:rPr>
        <w:t>by</w:t>
      </w:r>
      <w:r w:rsidRPr="50C75FC8" w:rsidR="50C75FC8">
        <w:rPr>
          <w:rFonts w:ascii="Times New Roman" w:eastAsia="Calibri" w:hAnsi="Times New Roman" w:cs="Times New Roman"/>
          <w:sz w:val="24"/>
          <w:szCs w:val="24"/>
        </w:rPr>
        <w:t xml:space="preserve"> </w:t>
      </w:r>
      <w:r w:rsidR="00C86C0A">
        <w:rPr>
          <w:rFonts w:ascii="Times New Roman" w:eastAsia="Calibri" w:hAnsi="Times New Roman" w:cs="Times New Roman"/>
          <w:sz w:val="24"/>
          <w:szCs w:val="24"/>
        </w:rPr>
        <w:t>offense seriousness</w:t>
      </w:r>
      <w:r w:rsidR="00C86C0A">
        <w:rPr>
          <w:rFonts w:ascii="Times New Roman" w:eastAsia="Calibri" w:hAnsi="Times New Roman" w:cs="Times New Roman"/>
          <w:sz w:val="24"/>
          <w:szCs w:val="24"/>
        </w:rPr>
        <w:t xml:space="preserve"> (e.g., felony, misdemeanor, municipal, traffic, or juvenile)</w:t>
      </w:r>
      <w:r w:rsidR="00FD72EB">
        <w:rPr>
          <w:rFonts w:ascii="Times New Roman" w:eastAsia="Calibri" w:hAnsi="Times New Roman" w:cs="Times New Roman"/>
          <w:sz w:val="24"/>
          <w:szCs w:val="24"/>
        </w:rPr>
        <w:t>, which</w:t>
      </w:r>
      <w:r w:rsidRPr="50C75FC8" w:rsidR="50C75FC8">
        <w:rPr>
          <w:rFonts w:ascii="Times New Roman" w:eastAsia="Calibri" w:hAnsi="Times New Roman" w:cs="Times New Roman"/>
          <w:sz w:val="24"/>
          <w:szCs w:val="24"/>
        </w:rPr>
        <w:t xml:space="preserve"> proved difficult for many offices</w:t>
      </w:r>
      <w:r w:rsidR="00146761">
        <w:rPr>
          <w:rFonts w:ascii="Times New Roman" w:eastAsia="Calibri" w:hAnsi="Times New Roman" w:cs="Times New Roman"/>
          <w:sz w:val="24"/>
          <w:szCs w:val="24"/>
        </w:rPr>
        <w:t>. A</w:t>
      </w:r>
      <w:r w:rsidRPr="50C75FC8" w:rsidR="50C75FC8">
        <w:rPr>
          <w:rFonts w:ascii="Times New Roman" w:eastAsia="Calibri" w:hAnsi="Times New Roman" w:cs="Times New Roman"/>
          <w:sz w:val="24"/>
          <w:szCs w:val="24"/>
        </w:rPr>
        <w:t xml:space="preserve"> common </w:t>
      </w:r>
      <w:r>
        <w:rPr>
          <w:rFonts w:ascii="Times New Roman" w:eastAsia="Calibri" w:hAnsi="Times New Roman" w:cs="Times New Roman"/>
          <w:sz w:val="24"/>
          <w:szCs w:val="24"/>
        </w:rPr>
        <w:t>point of feedback</w:t>
      </w:r>
      <w:r w:rsidRPr="50C75FC8" w:rsidR="50C75FC8">
        <w:rPr>
          <w:rFonts w:ascii="Times New Roman" w:eastAsia="Calibri" w:hAnsi="Times New Roman" w:cs="Times New Roman"/>
          <w:sz w:val="24"/>
          <w:szCs w:val="24"/>
        </w:rPr>
        <w:t xml:space="preserve"> </w:t>
      </w:r>
      <w:r w:rsidR="00146761">
        <w:rPr>
          <w:rFonts w:ascii="Times New Roman" w:eastAsia="Calibri" w:hAnsi="Times New Roman" w:cs="Times New Roman"/>
          <w:sz w:val="24"/>
          <w:szCs w:val="24"/>
        </w:rPr>
        <w:t xml:space="preserve">for this question </w:t>
      </w:r>
      <w:r w:rsidRPr="50C75FC8" w:rsidR="50C75FC8">
        <w:rPr>
          <w:rFonts w:ascii="Times New Roman" w:eastAsia="Calibri" w:hAnsi="Times New Roman" w:cs="Times New Roman"/>
          <w:sz w:val="24"/>
          <w:szCs w:val="24"/>
        </w:rPr>
        <w:t xml:space="preserve">was </w:t>
      </w:r>
      <w:r w:rsidR="00146761">
        <w:rPr>
          <w:rFonts w:ascii="Times New Roman" w:eastAsia="Calibri" w:hAnsi="Times New Roman" w:cs="Times New Roman"/>
          <w:sz w:val="24"/>
          <w:szCs w:val="24"/>
        </w:rPr>
        <w:t xml:space="preserve">that </w:t>
      </w:r>
      <w:r w:rsidRPr="50C75FC8" w:rsidR="50C75FC8">
        <w:rPr>
          <w:rFonts w:ascii="Times New Roman" w:eastAsia="Calibri" w:hAnsi="Times New Roman" w:cs="Times New Roman"/>
          <w:sz w:val="24"/>
          <w:szCs w:val="24"/>
        </w:rPr>
        <w:t xml:space="preserve">there </w:t>
      </w:r>
      <w:r w:rsidR="00146761">
        <w:rPr>
          <w:rFonts w:ascii="Times New Roman" w:eastAsia="Calibri" w:hAnsi="Times New Roman" w:cs="Times New Roman"/>
          <w:sz w:val="24"/>
          <w:szCs w:val="24"/>
        </w:rPr>
        <w:t xml:space="preserve">was </w:t>
      </w:r>
      <w:r w:rsidRPr="50C75FC8" w:rsidR="50C75FC8">
        <w:rPr>
          <w:rFonts w:ascii="Times New Roman" w:eastAsia="Calibri" w:hAnsi="Times New Roman" w:cs="Times New Roman"/>
          <w:sz w:val="24"/>
          <w:szCs w:val="24"/>
        </w:rPr>
        <w:t xml:space="preserve">no distinction between municipal cases and traffic. Others asked whether misdemeanors </w:t>
      </w:r>
      <w:r w:rsidR="00146761">
        <w:rPr>
          <w:rFonts w:ascii="Times New Roman" w:eastAsia="Calibri" w:hAnsi="Times New Roman" w:cs="Times New Roman"/>
          <w:sz w:val="24"/>
          <w:szCs w:val="24"/>
        </w:rPr>
        <w:t xml:space="preserve">were </w:t>
      </w:r>
      <w:r w:rsidRPr="50C75FC8" w:rsidR="50C75FC8">
        <w:rPr>
          <w:rFonts w:ascii="Times New Roman" w:eastAsia="Calibri" w:hAnsi="Times New Roman" w:cs="Times New Roman"/>
          <w:sz w:val="24"/>
          <w:szCs w:val="24"/>
        </w:rPr>
        <w:t xml:space="preserve">specifically for gross or petty misdemeanors and if diversion should fall under the other matters section. To improve this question, respondents offered different options. One shared that the important issue here is separating out felonies against all other types of cases. However, one office said they were happy to have questions </w:t>
      </w:r>
      <w:r w:rsidRPr="50C75FC8" w:rsidR="00411530">
        <w:rPr>
          <w:rFonts w:ascii="Times New Roman" w:eastAsia="Calibri" w:hAnsi="Times New Roman" w:cs="Times New Roman"/>
          <w:sz w:val="24"/>
          <w:szCs w:val="24"/>
        </w:rPr>
        <w:t>about</w:t>
      </w:r>
      <w:r w:rsidRPr="50C75FC8" w:rsidR="50C75FC8">
        <w:rPr>
          <w:rFonts w:ascii="Times New Roman" w:eastAsia="Calibri" w:hAnsi="Times New Roman" w:cs="Times New Roman"/>
          <w:sz w:val="24"/>
          <w:szCs w:val="24"/>
        </w:rPr>
        <w:t xml:space="preserve"> misdemeanors, as it reflects much of their work. Another suggestion was to </w:t>
      </w:r>
      <w:r w:rsidRPr="50C75FC8" w:rsidR="00411530">
        <w:rPr>
          <w:rFonts w:ascii="Times New Roman" w:eastAsia="Calibri" w:hAnsi="Times New Roman" w:cs="Times New Roman"/>
          <w:sz w:val="24"/>
          <w:szCs w:val="24"/>
        </w:rPr>
        <w:t>separate</w:t>
      </w:r>
      <w:r w:rsidRPr="50C75FC8" w:rsidR="50C75FC8">
        <w:rPr>
          <w:rFonts w:ascii="Times New Roman" w:eastAsia="Calibri" w:hAnsi="Times New Roman" w:cs="Times New Roman"/>
          <w:sz w:val="24"/>
          <w:szCs w:val="24"/>
        </w:rPr>
        <w:t xml:space="preserve"> juvenile cases from the other matters listed in the bottom, though this was complicated by one respondent that said if </w:t>
      </w:r>
      <w:r w:rsidRPr="50C75FC8" w:rsidR="006E7864">
        <w:rPr>
          <w:rFonts w:ascii="Times New Roman" w:eastAsia="Calibri" w:hAnsi="Times New Roman" w:cs="Times New Roman"/>
          <w:sz w:val="24"/>
          <w:szCs w:val="24"/>
        </w:rPr>
        <w:t xml:space="preserve">a case involving a juvenile defendant is referred </w:t>
      </w:r>
      <w:r w:rsidR="006E7864">
        <w:rPr>
          <w:rFonts w:ascii="Times New Roman" w:eastAsia="Calibri" w:hAnsi="Times New Roman" w:cs="Times New Roman"/>
          <w:sz w:val="24"/>
          <w:szCs w:val="24"/>
        </w:rPr>
        <w:t xml:space="preserve">to </w:t>
      </w:r>
      <w:r w:rsidRPr="50C75FC8" w:rsidR="50C75FC8">
        <w:rPr>
          <w:rFonts w:ascii="Times New Roman" w:eastAsia="Calibri" w:hAnsi="Times New Roman" w:cs="Times New Roman"/>
          <w:sz w:val="24"/>
          <w:szCs w:val="24"/>
        </w:rPr>
        <w:t>their office, it is either a felony or misdemeanor case and is not explicitly considered juvenile. Across all respondents, this was mentioned as a high burden question.</w:t>
      </w:r>
      <w:r>
        <w:rPr>
          <w:rFonts w:ascii="Times New Roman" w:eastAsia="Calibri" w:hAnsi="Times New Roman" w:cs="Times New Roman"/>
          <w:sz w:val="24"/>
          <w:szCs w:val="24"/>
        </w:rPr>
        <w:t xml:space="preserve"> For simplicity and to reduce the burden, the </w:t>
      </w:r>
      <w:r>
        <w:rPr>
          <w:rFonts w:ascii="Times New Roman" w:eastAsia="Calibri" w:hAnsi="Times New Roman" w:cs="Times New Roman"/>
          <w:sz w:val="24"/>
          <w:szCs w:val="24"/>
        </w:rPr>
        <w:t xml:space="preserve">instrument </w:t>
      </w:r>
      <w:r w:rsidR="00146761">
        <w:rPr>
          <w:rFonts w:ascii="Times New Roman" w:eastAsia="Calibri" w:hAnsi="Times New Roman" w:cs="Times New Roman"/>
          <w:sz w:val="24"/>
          <w:szCs w:val="24"/>
        </w:rPr>
        <w:t xml:space="preserve">was revised </w:t>
      </w:r>
      <w:r>
        <w:rPr>
          <w:rFonts w:ascii="Times New Roman" w:eastAsia="Calibri" w:hAnsi="Times New Roman" w:cs="Times New Roman"/>
          <w:sz w:val="24"/>
          <w:szCs w:val="24"/>
        </w:rPr>
        <w:t xml:space="preserve">to only ask about felony matters reviewed, filed in court, or declined for prosecution. </w:t>
      </w:r>
    </w:p>
    <w:bookmarkEnd w:id="8"/>
    <w:p w:rsidR="00411530" w:rsidP="00411530" w14:paraId="7A9FAF52" w14:textId="77777777">
      <w:pPr>
        <w:spacing w:after="0" w:line="240" w:lineRule="auto"/>
        <w:rPr>
          <w:rFonts w:ascii="Times New Roman" w:eastAsia="Calibri" w:hAnsi="Times New Roman" w:cs="Times New Roman"/>
          <w:sz w:val="24"/>
          <w:szCs w:val="24"/>
        </w:rPr>
      </w:pPr>
    </w:p>
    <w:p w:rsidR="007755AA" w:rsidP="00411530" w14:paraId="736DC668" w14:textId="3C5B6E46">
      <w:pPr>
        <w:spacing w:after="0" w:line="240" w:lineRule="auto"/>
        <w:rPr>
          <w:rFonts w:ascii="Times New Roman" w:eastAsia="Calibri" w:hAnsi="Times New Roman" w:cs="Times New Roman"/>
          <w:sz w:val="24"/>
          <w:szCs w:val="24"/>
        </w:rPr>
      </w:pPr>
      <w:bookmarkStart w:id="9" w:name="_Hlk218696455"/>
      <w:r>
        <w:rPr>
          <w:rFonts w:ascii="Times New Roman" w:eastAsia="Calibri" w:hAnsi="Times New Roman" w:cs="Times New Roman"/>
          <w:sz w:val="24"/>
          <w:szCs w:val="24"/>
        </w:rPr>
        <w:t>Question C3 in the cognitive testing instrument was revised from asking “i</w:t>
      </w:r>
      <w:r w:rsidRPr="00C60156">
        <w:rPr>
          <w:rFonts w:ascii="Times New Roman" w:eastAsia="Calibri" w:hAnsi="Times New Roman" w:cs="Times New Roman"/>
          <w:sz w:val="24"/>
          <w:szCs w:val="24"/>
        </w:rPr>
        <w:t>ndicate the total number of felony cases concluded in 2024</w:t>
      </w:r>
      <w:r w:rsidR="00C86C0A">
        <w:rPr>
          <w:rFonts w:ascii="Times New Roman" w:eastAsia="Calibri" w:hAnsi="Times New Roman" w:cs="Times New Roman"/>
          <w:sz w:val="24"/>
          <w:szCs w:val="24"/>
        </w:rPr>
        <w:t>”</w:t>
      </w:r>
      <w:r>
        <w:rPr>
          <w:rFonts w:ascii="Times New Roman" w:eastAsia="Calibri" w:hAnsi="Times New Roman" w:cs="Times New Roman"/>
          <w:sz w:val="24"/>
          <w:szCs w:val="24"/>
        </w:rPr>
        <w:t xml:space="preserve"> to </w:t>
      </w:r>
      <w:bookmarkStart w:id="10" w:name="_Hlk220070175"/>
      <w:r w:rsidR="00651F86">
        <w:rPr>
          <w:rFonts w:ascii="Times New Roman" w:eastAsia="Calibri" w:hAnsi="Times New Roman" w:cs="Times New Roman"/>
          <w:sz w:val="24"/>
          <w:szCs w:val="24"/>
        </w:rPr>
        <w:t>“</w:t>
      </w:r>
      <w:r>
        <w:rPr>
          <w:rFonts w:ascii="Times New Roman" w:eastAsia="Calibri" w:hAnsi="Times New Roman" w:cs="Times New Roman"/>
          <w:sz w:val="24"/>
          <w:szCs w:val="24"/>
        </w:rPr>
        <w:t>p</w:t>
      </w:r>
      <w:r w:rsidRPr="00C60156">
        <w:rPr>
          <w:rFonts w:ascii="Times New Roman" w:eastAsia="Calibri" w:hAnsi="Times New Roman" w:cs="Times New Roman"/>
          <w:sz w:val="24"/>
          <w:szCs w:val="24"/>
        </w:rPr>
        <w:t xml:space="preserve">lease indicate the number of </w:t>
      </w:r>
      <w:r w:rsidRPr="00A35904">
        <w:rPr>
          <w:rFonts w:ascii="Times New Roman" w:eastAsia="Calibri" w:hAnsi="Times New Roman" w:cs="Times New Roman"/>
          <w:sz w:val="24"/>
          <w:szCs w:val="24"/>
        </w:rPr>
        <w:t>felony cases</w:t>
      </w:r>
      <w:r w:rsidRPr="00C60156">
        <w:rPr>
          <w:rFonts w:ascii="Times New Roman" w:eastAsia="Calibri" w:hAnsi="Times New Roman" w:cs="Times New Roman"/>
          <w:sz w:val="24"/>
          <w:szCs w:val="24"/>
        </w:rPr>
        <w:t xml:space="preserve"> filed in court by your office</w:t>
      </w:r>
      <w:r w:rsidRPr="00C60156">
        <w:rPr>
          <w:rFonts w:ascii="Times New Roman" w:eastAsia="Calibri" w:hAnsi="Times New Roman" w:cs="Times New Roman"/>
          <w:b/>
          <w:bCs/>
          <w:sz w:val="24"/>
          <w:szCs w:val="24"/>
        </w:rPr>
        <w:t>,</w:t>
      </w:r>
      <w:r w:rsidRPr="00C60156">
        <w:rPr>
          <w:rFonts w:ascii="Times New Roman" w:eastAsia="Calibri" w:hAnsi="Times New Roman" w:cs="Times New Roman"/>
          <w:sz w:val="24"/>
          <w:szCs w:val="24"/>
        </w:rPr>
        <w:t xml:space="preserve"> </w:t>
      </w:r>
      <w:bookmarkStart w:id="11" w:name="_Hlk220410828"/>
      <w:bookmarkEnd w:id="10"/>
      <w:r w:rsidRPr="00C60156">
        <w:rPr>
          <w:rFonts w:ascii="Times New Roman" w:eastAsia="Calibri" w:hAnsi="Times New Roman" w:cs="Times New Roman"/>
          <w:sz w:val="24"/>
          <w:szCs w:val="24"/>
        </w:rPr>
        <w:t>that were concluded by court or jury trial, plea, nolle prosequi or dismissal</w:t>
      </w:r>
      <w:r>
        <w:rPr>
          <w:rFonts w:ascii="Times New Roman" w:eastAsia="Calibri" w:hAnsi="Times New Roman" w:cs="Times New Roman"/>
          <w:sz w:val="24"/>
          <w:szCs w:val="24"/>
        </w:rPr>
        <w:t xml:space="preserve">, </w:t>
      </w:r>
      <w:r w:rsidRPr="00C60156">
        <w:rPr>
          <w:rFonts w:ascii="Times New Roman" w:eastAsia="Calibri" w:hAnsi="Times New Roman" w:cs="Times New Roman"/>
          <w:sz w:val="24"/>
          <w:szCs w:val="24"/>
        </w:rPr>
        <w:t>by other means</w:t>
      </w:r>
      <w:r>
        <w:rPr>
          <w:rFonts w:ascii="Times New Roman" w:eastAsia="Calibri" w:hAnsi="Times New Roman" w:cs="Times New Roman"/>
          <w:sz w:val="24"/>
          <w:szCs w:val="24"/>
        </w:rPr>
        <w:t>, or n</w:t>
      </w:r>
      <w:r w:rsidRPr="007755AA">
        <w:rPr>
          <w:rFonts w:ascii="Times New Roman" w:eastAsia="Calibri" w:hAnsi="Times New Roman" w:cs="Times New Roman"/>
          <w:sz w:val="24"/>
          <w:szCs w:val="24"/>
        </w:rPr>
        <w:t>ot concluded, case remain</w:t>
      </w:r>
      <w:r>
        <w:rPr>
          <w:rFonts w:ascii="Times New Roman" w:eastAsia="Calibri" w:hAnsi="Times New Roman" w:cs="Times New Roman"/>
          <w:sz w:val="24"/>
          <w:szCs w:val="24"/>
        </w:rPr>
        <w:t>ed</w:t>
      </w:r>
      <w:r w:rsidRPr="007755AA">
        <w:rPr>
          <w:rFonts w:ascii="Times New Roman" w:eastAsia="Calibri" w:hAnsi="Times New Roman" w:cs="Times New Roman"/>
          <w:sz w:val="24"/>
          <w:szCs w:val="24"/>
        </w:rPr>
        <w:t xml:space="preserve"> open</w:t>
      </w:r>
      <w:r w:rsidRPr="00C60156">
        <w:rPr>
          <w:rFonts w:ascii="Times New Roman" w:eastAsia="Calibri" w:hAnsi="Times New Roman" w:cs="Times New Roman"/>
          <w:sz w:val="24"/>
          <w:szCs w:val="24"/>
        </w:rPr>
        <w:t xml:space="preserve"> </w:t>
      </w:r>
      <w:bookmarkEnd w:id="11"/>
      <w:r w:rsidRPr="00C60156">
        <w:rPr>
          <w:rFonts w:ascii="Times New Roman" w:eastAsia="Calibri" w:hAnsi="Times New Roman" w:cs="Times New Roman"/>
          <w:sz w:val="24"/>
          <w:szCs w:val="24"/>
        </w:rPr>
        <w:t>in 2025</w:t>
      </w:r>
      <w:r w:rsidR="00651F86">
        <w:rPr>
          <w:rFonts w:ascii="Times New Roman" w:eastAsia="Calibri" w:hAnsi="Times New Roman" w:cs="Times New Roman"/>
          <w:sz w:val="24"/>
          <w:szCs w:val="24"/>
        </w:rPr>
        <w:t>.</w:t>
      </w:r>
      <w:r w:rsidR="00C86C0A">
        <w:rPr>
          <w:rFonts w:ascii="Times New Roman" w:eastAsia="Calibri" w:hAnsi="Times New Roman" w:cs="Times New Roman"/>
          <w:sz w:val="24"/>
          <w:szCs w:val="24"/>
        </w:rPr>
        <w:t>”</w:t>
      </w:r>
      <w:r w:rsidR="00651F86">
        <w:rPr>
          <w:rFonts w:ascii="Times New Roman" w:eastAsia="Calibri" w:hAnsi="Times New Roman" w:cs="Times New Roman"/>
          <w:sz w:val="24"/>
          <w:szCs w:val="24"/>
        </w:rPr>
        <w:t xml:space="preserve"> This was done to better explain what was meant by “concluded” and capture the variety of methods in which a case could be concluded.</w:t>
      </w:r>
      <w:r w:rsidR="00BF657C">
        <w:rPr>
          <w:rFonts w:ascii="Times New Roman" w:eastAsia="Calibri" w:hAnsi="Times New Roman" w:cs="Times New Roman"/>
          <w:sz w:val="24"/>
          <w:szCs w:val="24"/>
        </w:rPr>
        <w:t xml:space="preserve"> </w:t>
      </w:r>
    </w:p>
    <w:p w:rsidR="007755AA" w:rsidP="00411530" w14:paraId="2D873085" w14:textId="77777777">
      <w:pPr>
        <w:spacing w:after="0" w:line="240" w:lineRule="auto"/>
        <w:rPr>
          <w:rFonts w:ascii="Times New Roman" w:eastAsia="Calibri" w:hAnsi="Times New Roman" w:cs="Times New Roman"/>
          <w:sz w:val="24"/>
          <w:szCs w:val="24"/>
        </w:rPr>
      </w:pPr>
    </w:p>
    <w:p w:rsidR="008542A8" w:rsidP="00411530" w14:paraId="3727D72E" w14:textId="0B93509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For question C4, some respondents</w:t>
      </w:r>
      <w:r w:rsidRPr="50C75FC8" w:rsidR="50C75FC8">
        <w:rPr>
          <w:rFonts w:ascii="Times New Roman" w:eastAsia="Calibri" w:hAnsi="Times New Roman" w:cs="Times New Roman"/>
          <w:sz w:val="24"/>
          <w:szCs w:val="24"/>
        </w:rPr>
        <w:t xml:space="preserve"> offered additional types of resolutions including nolle </w:t>
      </w:r>
      <w:r w:rsidRPr="712B8C02" w:rsidR="007A3DFB">
        <w:rPr>
          <w:rFonts w:ascii="Times New Roman" w:eastAsia="Times New Roman" w:hAnsi="Times New Roman" w:cs="Times New Roman"/>
          <w:sz w:val="24"/>
          <w:szCs w:val="24"/>
        </w:rPr>
        <w:t>prosequi</w:t>
      </w:r>
      <w:r w:rsidRPr="50C75FC8" w:rsidR="50C75FC8">
        <w:rPr>
          <w:rFonts w:ascii="Times New Roman" w:eastAsia="Calibri" w:hAnsi="Times New Roman" w:cs="Times New Roman"/>
          <w:sz w:val="24"/>
          <w:szCs w:val="24"/>
        </w:rPr>
        <w:t>, stricken on leave, transfer of venue/jurisdiction, extradition, abated by the death of the defendant, and covered by conviction on another charge (which they did not consider as a dismissed/acquitted charge). One requested breaking down the convictions into convictions by plea versus trials.</w:t>
      </w:r>
      <w:r w:rsidR="00BF657C">
        <w:rPr>
          <w:rFonts w:ascii="Times New Roman" w:eastAsia="Calibri" w:hAnsi="Times New Roman" w:cs="Times New Roman"/>
          <w:sz w:val="24"/>
          <w:szCs w:val="24"/>
        </w:rPr>
        <w:t xml:space="preserve"> These recommendations were incorporated into the updated instrument</w:t>
      </w:r>
      <w:r w:rsidR="00C86C0A">
        <w:rPr>
          <w:rFonts w:ascii="Times New Roman" w:eastAsia="Calibri" w:hAnsi="Times New Roman" w:cs="Times New Roman"/>
          <w:sz w:val="24"/>
          <w:szCs w:val="24"/>
        </w:rPr>
        <w:t xml:space="preserve"> by including conviction of one or more charges, dismissal of all charges, acquittal on all charges, mistrial, or other outcome (please describe)</w:t>
      </w:r>
      <w:r w:rsidR="00BF657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bookmarkEnd w:id="9"/>
    <w:p w:rsidR="00411530" w:rsidP="00411530" w14:paraId="6F41FFCF" w14:textId="77777777">
      <w:pPr>
        <w:spacing w:after="0" w:line="240" w:lineRule="auto"/>
        <w:rPr>
          <w:rFonts w:ascii="Times New Roman" w:eastAsia="Calibri" w:hAnsi="Times New Roman" w:cs="Times New Roman"/>
          <w:sz w:val="24"/>
          <w:szCs w:val="24"/>
        </w:rPr>
      </w:pPr>
    </w:p>
    <w:p w:rsidR="008542A8" w:rsidP="00411530" w14:paraId="1B80A223" w14:textId="0E06CFD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w:t>
      </w:r>
      <w:r w:rsidRPr="50C75FC8" w:rsidR="50C75FC8">
        <w:rPr>
          <w:rFonts w:ascii="Times New Roman" w:eastAsia="Calibri" w:hAnsi="Times New Roman" w:cs="Times New Roman"/>
          <w:sz w:val="24"/>
          <w:szCs w:val="24"/>
        </w:rPr>
        <w:t xml:space="preserve"> last question that was controversial in this section was C6</w:t>
      </w:r>
      <w:r w:rsidR="00D552ED">
        <w:rPr>
          <w:rFonts w:ascii="Times New Roman" w:eastAsia="Calibri" w:hAnsi="Times New Roman" w:cs="Times New Roman"/>
          <w:sz w:val="24"/>
          <w:szCs w:val="24"/>
        </w:rPr>
        <w:t xml:space="preserve"> of the cognitive test instrument</w:t>
      </w:r>
      <w:r w:rsidRPr="50C75FC8" w:rsidR="50C75FC8">
        <w:rPr>
          <w:rFonts w:ascii="Times New Roman" w:eastAsia="Calibri" w:hAnsi="Times New Roman" w:cs="Times New Roman"/>
          <w:sz w:val="24"/>
          <w:szCs w:val="24"/>
        </w:rPr>
        <w:t xml:space="preserve">, </w:t>
      </w:r>
      <w:r w:rsidR="00D552ED">
        <w:rPr>
          <w:rFonts w:ascii="Times New Roman" w:eastAsia="Calibri" w:hAnsi="Times New Roman" w:cs="Times New Roman"/>
          <w:sz w:val="24"/>
          <w:szCs w:val="24"/>
        </w:rPr>
        <w:t xml:space="preserve">which </w:t>
      </w:r>
      <w:r w:rsidRPr="50C75FC8" w:rsidR="50C75FC8">
        <w:rPr>
          <w:rFonts w:ascii="Times New Roman" w:eastAsia="Calibri" w:hAnsi="Times New Roman" w:cs="Times New Roman"/>
          <w:sz w:val="24"/>
          <w:szCs w:val="24"/>
        </w:rPr>
        <w:t>ask</w:t>
      </w:r>
      <w:r w:rsidR="00D552ED">
        <w:rPr>
          <w:rFonts w:ascii="Times New Roman" w:eastAsia="Calibri" w:hAnsi="Times New Roman" w:cs="Times New Roman"/>
          <w:sz w:val="24"/>
          <w:szCs w:val="24"/>
        </w:rPr>
        <w:t>ed</w:t>
      </w:r>
      <w:r w:rsidRPr="50C75FC8" w:rsidR="50C75FC8">
        <w:rPr>
          <w:rFonts w:ascii="Times New Roman" w:eastAsia="Calibri" w:hAnsi="Times New Roman" w:cs="Times New Roman"/>
          <w:sz w:val="24"/>
          <w:szCs w:val="24"/>
        </w:rPr>
        <w:t xml:space="preserve"> about pending cases. Across all respondents, they struggled with answering this question</w:t>
      </w:r>
      <w:r w:rsidR="00A32CE9">
        <w:rPr>
          <w:rFonts w:ascii="Times New Roman" w:eastAsia="Calibri" w:hAnsi="Times New Roman" w:cs="Times New Roman"/>
          <w:sz w:val="24"/>
          <w:szCs w:val="24"/>
        </w:rPr>
        <w:t>; most said</w:t>
      </w:r>
      <w:r w:rsidRPr="50C75FC8" w:rsidR="50C75FC8">
        <w:rPr>
          <w:rFonts w:ascii="Times New Roman" w:eastAsia="Calibri" w:hAnsi="Times New Roman" w:cs="Times New Roman"/>
          <w:sz w:val="24"/>
          <w:szCs w:val="24"/>
        </w:rPr>
        <w:t xml:space="preserve"> they do not collect this </w:t>
      </w:r>
      <w:r w:rsidRPr="50C75FC8" w:rsidR="00D2118D">
        <w:rPr>
          <w:rFonts w:ascii="Times New Roman" w:eastAsia="Calibri" w:hAnsi="Times New Roman" w:cs="Times New Roman"/>
          <w:sz w:val="24"/>
          <w:szCs w:val="24"/>
        </w:rPr>
        <w:t>information,</w:t>
      </w:r>
      <w:r w:rsidRPr="50C75FC8" w:rsidR="50C75FC8">
        <w:rPr>
          <w:rFonts w:ascii="Times New Roman" w:eastAsia="Calibri" w:hAnsi="Times New Roman" w:cs="Times New Roman"/>
          <w:sz w:val="24"/>
          <w:szCs w:val="24"/>
        </w:rPr>
        <w:t xml:space="preserve"> or it would be incredibly time-consuming to find an answer. One respondent said this question was </w:t>
      </w:r>
      <w:r w:rsidR="001D49F9">
        <w:rPr>
          <w:rFonts w:ascii="Times New Roman" w:eastAsia="Calibri" w:hAnsi="Times New Roman" w:cs="Times New Roman"/>
          <w:sz w:val="24"/>
          <w:szCs w:val="24"/>
        </w:rPr>
        <w:t>good</w:t>
      </w:r>
      <w:r>
        <w:rPr>
          <w:rFonts w:ascii="Times New Roman" w:eastAsia="Calibri" w:hAnsi="Times New Roman" w:cs="Times New Roman"/>
          <w:sz w:val="24"/>
          <w:szCs w:val="24"/>
        </w:rPr>
        <w:t xml:space="preserve">, </w:t>
      </w:r>
      <w:r w:rsidRPr="50C75FC8" w:rsidR="50C75FC8">
        <w:rPr>
          <w:rFonts w:ascii="Times New Roman" w:eastAsia="Calibri" w:hAnsi="Times New Roman" w:cs="Times New Roman"/>
          <w:sz w:val="24"/>
          <w:szCs w:val="24"/>
        </w:rPr>
        <w:t xml:space="preserve">while five others believed this question should be cut. The reasons for cutting were either 1) it is very burdensome or 2) it is implying that the issue of large amounts of pending cases is due to prosecutors when they believe courts have as much if not more </w:t>
      </w:r>
      <w:r w:rsidR="00FD72EB">
        <w:rPr>
          <w:rFonts w:ascii="Times New Roman" w:eastAsia="Calibri" w:hAnsi="Times New Roman" w:cs="Times New Roman"/>
          <w:sz w:val="24"/>
          <w:szCs w:val="24"/>
        </w:rPr>
        <w:t>responsibility</w:t>
      </w:r>
      <w:r w:rsidRPr="50C75FC8" w:rsidR="50C75FC8">
        <w:rPr>
          <w:rFonts w:ascii="Times New Roman" w:eastAsia="Calibri" w:hAnsi="Times New Roman" w:cs="Times New Roman"/>
          <w:sz w:val="24"/>
          <w:szCs w:val="24"/>
        </w:rPr>
        <w:t xml:space="preserve">. </w:t>
      </w:r>
      <w:bookmarkStart w:id="12" w:name="_Hlk218696476"/>
      <w:r w:rsidR="00D2118D">
        <w:rPr>
          <w:rFonts w:ascii="Times New Roman" w:eastAsia="Calibri" w:hAnsi="Times New Roman" w:cs="Times New Roman"/>
          <w:sz w:val="24"/>
          <w:szCs w:val="24"/>
        </w:rPr>
        <w:t>The project team</w:t>
      </w:r>
      <w:r w:rsidR="006E61D4">
        <w:rPr>
          <w:rFonts w:ascii="Times New Roman" w:eastAsia="Calibri" w:hAnsi="Times New Roman" w:cs="Times New Roman"/>
          <w:sz w:val="24"/>
          <w:szCs w:val="24"/>
        </w:rPr>
        <w:t xml:space="preserve"> decided to cut this question for these reasons. </w:t>
      </w:r>
    </w:p>
    <w:bookmarkEnd w:id="12"/>
    <w:p w:rsidR="008542A8" w:rsidP="50C75FC8" w14:paraId="0186C6A3" w14:textId="7A0935D4">
      <w:pPr>
        <w:spacing w:after="0" w:line="240" w:lineRule="auto"/>
        <w:rPr>
          <w:rFonts w:ascii="Times New Roman" w:eastAsia="Calibri" w:hAnsi="Times New Roman" w:cs="Times New Roman"/>
          <w:sz w:val="24"/>
          <w:szCs w:val="24"/>
        </w:rPr>
      </w:pPr>
    </w:p>
    <w:p w:rsidR="007A3DFB" w:rsidP="50C75FC8" w14:paraId="4D56EF7B" w14:textId="2379ED4B">
      <w:pPr>
        <w:spacing w:after="0" w:line="240" w:lineRule="auto"/>
        <w:rPr>
          <w:rFonts w:ascii="Times New Roman" w:eastAsia="Calibri" w:hAnsi="Times New Roman" w:cs="Times New Roman"/>
          <w:sz w:val="24"/>
          <w:szCs w:val="24"/>
        </w:rPr>
      </w:pPr>
      <w:r w:rsidRPr="50C75FC8">
        <w:rPr>
          <w:rFonts w:ascii="Times New Roman" w:eastAsia="Calibri" w:hAnsi="Times New Roman" w:cs="Times New Roman"/>
          <w:i/>
          <w:iCs/>
          <w:sz w:val="24"/>
          <w:szCs w:val="24"/>
        </w:rPr>
        <w:t>New and Emerging Topics.</w:t>
      </w:r>
      <w:r w:rsidRPr="50C75F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section was removed to reduce respondent burden. Although the questions will not be asked in the </w:t>
      </w:r>
      <w:r w:rsidR="009457E3">
        <w:rPr>
          <w:rFonts w:ascii="Times New Roman" w:eastAsia="Calibri" w:hAnsi="Times New Roman" w:cs="Times New Roman"/>
          <w:sz w:val="24"/>
          <w:szCs w:val="24"/>
        </w:rPr>
        <w:t>2025 CPO</w:t>
      </w:r>
      <w:r>
        <w:rPr>
          <w:rFonts w:ascii="Times New Roman" w:eastAsia="Calibri" w:hAnsi="Times New Roman" w:cs="Times New Roman"/>
          <w:sz w:val="24"/>
          <w:szCs w:val="24"/>
        </w:rPr>
        <w:t xml:space="preserve">, the information provided during cognitive testing will be utilized </w:t>
      </w:r>
      <w:r w:rsidR="00651F86">
        <w:rPr>
          <w:rFonts w:ascii="Times New Roman" w:eastAsia="Calibri" w:hAnsi="Times New Roman" w:cs="Times New Roman"/>
          <w:sz w:val="24"/>
          <w:szCs w:val="24"/>
        </w:rPr>
        <w:t xml:space="preserve">to develop future iterations of the NSP. </w:t>
      </w:r>
      <w:r>
        <w:rPr>
          <w:rFonts w:ascii="Times New Roman" w:eastAsia="Calibri" w:hAnsi="Times New Roman" w:cs="Times New Roman"/>
          <w:sz w:val="24"/>
          <w:szCs w:val="24"/>
        </w:rPr>
        <w:t xml:space="preserve"> </w:t>
      </w:r>
    </w:p>
    <w:p w:rsidR="00912D4E" w:rsidRPr="007B0DB1" w:rsidP="005B3085" w14:paraId="76493D12" w14:textId="77777777">
      <w:pPr>
        <w:spacing w:after="0" w:line="240" w:lineRule="auto"/>
        <w:rPr>
          <w:rFonts w:ascii="Times New Roman" w:hAnsi="Times New Roman" w:cs="Times New Roman"/>
          <w:sz w:val="24"/>
          <w:szCs w:val="24"/>
        </w:rPr>
      </w:pPr>
    </w:p>
    <w:p w:rsidR="005B3085" w:rsidRPr="007B0DB1" w:rsidP="005B3085" w14:paraId="5B74391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5. </w:t>
      </w:r>
      <w:r>
        <w:rPr>
          <w:rFonts w:ascii="Times New Roman" w:hAnsi="Times New Roman" w:cs="Times New Roman"/>
          <w:b/>
          <w:sz w:val="24"/>
          <w:szCs w:val="24"/>
        </w:rPr>
        <w:t xml:space="preserve">Consultants on </w:t>
      </w:r>
      <w:r>
        <w:rPr>
          <w:rFonts w:ascii="Times New Roman" w:hAnsi="Times New Roman" w:cs="Times New Roman"/>
          <w:b/>
          <w:sz w:val="24"/>
          <w:szCs w:val="24"/>
        </w:rPr>
        <w:t>the Statistical</w:t>
      </w:r>
      <w:r>
        <w:rPr>
          <w:rFonts w:ascii="Times New Roman" w:hAnsi="Times New Roman" w:cs="Times New Roman"/>
          <w:b/>
          <w:sz w:val="24"/>
          <w:szCs w:val="24"/>
        </w:rPr>
        <w:t xml:space="preserve"> Aspects of the Design</w:t>
      </w:r>
    </w:p>
    <w:p w:rsidR="005B3085" w:rsidRPr="007B0DB1" w:rsidP="005B3085" w14:paraId="14BE1194" w14:textId="77777777">
      <w:pPr>
        <w:spacing w:after="0" w:line="240" w:lineRule="auto"/>
        <w:rPr>
          <w:rFonts w:ascii="Times New Roman" w:hAnsi="Times New Roman" w:cs="Times New Roman"/>
          <w:sz w:val="24"/>
          <w:szCs w:val="24"/>
        </w:rPr>
      </w:pPr>
    </w:p>
    <w:p w:rsidR="005B3085" w:rsidP="005B3085" w14:paraId="5AB50A6B" w14:textId="3E3729B5">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The </w:t>
      </w:r>
      <w:r w:rsidR="00EC60E3">
        <w:rPr>
          <w:rFonts w:ascii="Times New Roman" w:hAnsi="Times New Roman" w:cs="Times New Roman"/>
          <w:sz w:val="24"/>
          <w:szCs w:val="24"/>
        </w:rPr>
        <w:t>Judicial</w:t>
      </w:r>
      <w:r w:rsidRPr="007B0DB1">
        <w:rPr>
          <w:rFonts w:ascii="Times New Roman" w:hAnsi="Times New Roman" w:cs="Times New Roman"/>
          <w:sz w:val="24"/>
          <w:szCs w:val="24"/>
        </w:rPr>
        <w:t xml:space="preserve"> </w:t>
      </w:r>
      <w:r>
        <w:rPr>
          <w:rFonts w:ascii="Times New Roman" w:hAnsi="Times New Roman" w:cs="Times New Roman"/>
          <w:sz w:val="24"/>
          <w:szCs w:val="24"/>
        </w:rPr>
        <w:t>S</w:t>
      </w:r>
      <w:r w:rsidRPr="007B0DB1">
        <w:rPr>
          <w:rFonts w:ascii="Times New Roman" w:hAnsi="Times New Roman" w:cs="Times New Roman"/>
          <w:sz w:val="24"/>
          <w:szCs w:val="24"/>
        </w:rPr>
        <w:t xml:space="preserve">tatistics </w:t>
      </w:r>
      <w:r>
        <w:rPr>
          <w:rFonts w:ascii="Times New Roman" w:hAnsi="Times New Roman" w:cs="Times New Roman"/>
          <w:sz w:val="24"/>
          <w:szCs w:val="24"/>
        </w:rPr>
        <w:t>U</w:t>
      </w:r>
      <w:r w:rsidRPr="007B0DB1">
        <w:rPr>
          <w:rFonts w:ascii="Times New Roman" w:hAnsi="Times New Roman" w:cs="Times New Roman"/>
          <w:sz w:val="24"/>
          <w:szCs w:val="24"/>
        </w:rPr>
        <w:t xml:space="preserve">nit of BJS takes responsibility for the overall design and management of the activities described in this submission, including data collection procedures, development of the questionnaires, and analysis of the data. The following individuals consulted on statistical aspects and </w:t>
      </w:r>
      <w:r w:rsidRPr="007B0DB1">
        <w:rPr>
          <w:rFonts w:ascii="Times New Roman" w:hAnsi="Times New Roman" w:cs="Times New Roman"/>
          <w:sz w:val="24"/>
          <w:szCs w:val="24"/>
        </w:rPr>
        <w:t>collecting</w:t>
      </w:r>
      <w:r w:rsidRPr="007B0DB1">
        <w:rPr>
          <w:rFonts w:ascii="Times New Roman" w:hAnsi="Times New Roman" w:cs="Times New Roman"/>
          <w:sz w:val="24"/>
          <w:szCs w:val="24"/>
        </w:rPr>
        <w:t>/</w:t>
      </w:r>
      <w:r w:rsidRPr="007B0DB1">
        <w:rPr>
          <w:rFonts w:ascii="Times New Roman" w:hAnsi="Times New Roman" w:cs="Times New Roman"/>
          <w:sz w:val="24"/>
          <w:szCs w:val="24"/>
        </w:rPr>
        <w:t>analyzing</w:t>
      </w:r>
      <w:r w:rsidRPr="007B0DB1">
        <w:rPr>
          <w:rFonts w:ascii="Times New Roman" w:hAnsi="Times New Roman" w:cs="Times New Roman"/>
          <w:sz w:val="24"/>
          <w:szCs w:val="24"/>
        </w:rPr>
        <w:t xml:space="preserve"> the data:</w:t>
      </w:r>
    </w:p>
    <w:p w:rsidR="00611B68" w:rsidP="005B3085" w14:paraId="5E240989" w14:textId="77777777">
      <w:pPr>
        <w:spacing w:after="0" w:line="240" w:lineRule="auto"/>
        <w:rPr>
          <w:rFonts w:ascii="Times New Roman" w:hAnsi="Times New Roman" w:cs="Times New Roman"/>
          <w:sz w:val="24"/>
          <w:szCs w:val="24"/>
        </w:rPr>
      </w:pPr>
    </w:p>
    <w:p w:rsidR="00611B68" w:rsidP="005B3085" w14:paraId="0FDEE7A9" w14:textId="77777777">
      <w:pPr>
        <w:spacing w:after="0" w:line="240" w:lineRule="auto"/>
        <w:rPr>
          <w:rFonts w:ascii="Times New Roman" w:hAnsi="Times New Roman" w:cs="Times New Roman"/>
          <w:sz w:val="24"/>
          <w:szCs w:val="24"/>
        </w:rPr>
      </w:pPr>
    </w:p>
    <w:p w:rsidR="00611B68" w:rsidP="005B3085" w14:paraId="62AD1449" w14:textId="77777777">
      <w:pPr>
        <w:spacing w:after="0" w:line="240" w:lineRule="auto"/>
        <w:rPr>
          <w:rFonts w:ascii="Times New Roman" w:hAnsi="Times New Roman" w:cs="Times New Roman"/>
          <w:sz w:val="24"/>
          <w:szCs w:val="24"/>
        </w:rPr>
      </w:pPr>
    </w:p>
    <w:p w:rsidR="00611B68" w:rsidP="005B3085" w14:paraId="1ECCA3C7" w14:textId="77777777">
      <w:pPr>
        <w:spacing w:after="0" w:line="240" w:lineRule="auto"/>
        <w:rPr>
          <w:rFonts w:ascii="Times New Roman" w:hAnsi="Times New Roman" w:cs="Times New Roman"/>
          <w:sz w:val="24"/>
          <w:szCs w:val="24"/>
        </w:rPr>
      </w:pPr>
    </w:p>
    <w:p w:rsidR="00611B68" w:rsidP="005B3085" w14:paraId="31D66333" w14:textId="77777777">
      <w:pPr>
        <w:spacing w:after="0" w:line="240" w:lineRule="auto"/>
        <w:rPr>
          <w:rFonts w:ascii="Times New Roman" w:hAnsi="Times New Roman" w:cs="Times New Roman"/>
          <w:sz w:val="24"/>
          <w:szCs w:val="24"/>
        </w:rPr>
      </w:pPr>
    </w:p>
    <w:p w:rsidR="00611B68" w:rsidP="005B3085" w14:paraId="66C8A987" w14:textId="77777777">
      <w:pPr>
        <w:spacing w:after="0" w:line="240" w:lineRule="auto"/>
        <w:rPr>
          <w:rFonts w:ascii="Times New Roman" w:hAnsi="Times New Roman" w:cs="Times New Roman"/>
          <w:sz w:val="24"/>
          <w:szCs w:val="24"/>
        </w:rPr>
      </w:pPr>
    </w:p>
    <w:p w:rsidR="00611B68" w:rsidP="005B3085" w14:paraId="5BD1E6B1" w14:textId="77777777">
      <w:pPr>
        <w:spacing w:after="0" w:line="240" w:lineRule="auto"/>
        <w:rPr>
          <w:rFonts w:ascii="Times New Roman" w:hAnsi="Times New Roman" w:cs="Times New Roman"/>
          <w:sz w:val="24"/>
          <w:szCs w:val="24"/>
        </w:rPr>
      </w:pPr>
    </w:p>
    <w:p w:rsidR="005B3085" w:rsidP="005B3085" w14:paraId="6E5D98CA" w14:textId="77777777">
      <w:pPr>
        <w:spacing w:after="0" w:line="240" w:lineRule="auto"/>
        <w:rPr>
          <w:rFonts w:ascii="Times New Roman" w:hAnsi="Times New Roman" w:cs="Times New Roman"/>
          <w:sz w:val="24"/>
          <w:szCs w:val="24"/>
        </w:rPr>
      </w:pPr>
    </w:p>
    <w:tbl>
      <w:tblPr>
        <w:tblStyle w:val="TableGrid"/>
        <w:tblW w:w="0" w:type="auto"/>
        <w:tblLook w:val="04A0"/>
      </w:tblPr>
      <w:tblGrid>
        <w:gridCol w:w="3685"/>
        <w:gridCol w:w="4770"/>
      </w:tblGrid>
      <w:tr w14:paraId="176F4D23" w14:textId="77777777" w:rsidTr="397A6A4A">
        <w:tblPrEx>
          <w:tblW w:w="0" w:type="auto"/>
          <w:tblLook w:val="04A0"/>
        </w:tblPrEx>
        <w:trPr>
          <w:trHeight w:val="557"/>
        </w:trPr>
        <w:tc>
          <w:tcPr>
            <w:tcW w:w="3685" w:type="dxa"/>
          </w:tcPr>
          <w:p w:rsidR="00E24128" w:rsidRPr="00D2430F" w:rsidP="00E24128" w14:paraId="17BB6922" w14:textId="379E3AAF">
            <w:pPr>
              <w:rPr>
                <w:rFonts w:ascii="Times New Roman" w:hAnsi="Times New Roman" w:cs="Times New Roman"/>
                <w:b/>
                <w:bCs/>
              </w:rPr>
            </w:pPr>
            <w:r w:rsidRPr="00D2430F">
              <w:rPr>
                <w:rFonts w:ascii="Times New Roman" w:hAnsi="Times New Roman" w:cs="Times New Roman"/>
                <w:b/>
                <w:bCs/>
              </w:rPr>
              <w:t xml:space="preserve">Bureau </w:t>
            </w:r>
            <w:r w:rsidRPr="00D2430F">
              <w:rPr>
                <w:rFonts w:ascii="Times New Roman" w:hAnsi="Times New Roman" w:cs="Times New Roman"/>
                <w:b/>
                <w:bCs/>
              </w:rPr>
              <w:t>of Justice</w:t>
            </w:r>
            <w:r w:rsidRPr="00D2430F">
              <w:rPr>
                <w:rFonts w:ascii="Times New Roman" w:hAnsi="Times New Roman" w:cs="Times New Roman"/>
                <w:b/>
                <w:bCs/>
              </w:rPr>
              <w:t xml:space="preserve"> Statistics</w:t>
            </w:r>
            <w:r w:rsidR="00722567">
              <w:rPr>
                <w:rFonts w:ascii="Times New Roman" w:hAnsi="Times New Roman" w:cs="Times New Roman"/>
                <w:b/>
                <w:bCs/>
              </w:rPr>
              <w:t xml:space="preserve"> Contacts</w:t>
            </w:r>
          </w:p>
          <w:p w:rsidR="00E24128" w:rsidRPr="00D2430F" w:rsidP="00E24128" w14:paraId="72C024E7" w14:textId="0D0DD958">
            <w:pPr>
              <w:rPr>
                <w:rFonts w:ascii="Times New Roman" w:hAnsi="Times New Roman" w:cs="Times New Roman"/>
              </w:rPr>
            </w:pPr>
          </w:p>
        </w:tc>
        <w:tc>
          <w:tcPr>
            <w:tcW w:w="4770" w:type="dxa"/>
          </w:tcPr>
          <w:p w:rsidR="00E24128" w:rsidRPr="00D2430F" w:rsidP="00E24128" w14:paraId="50D99DCA" w14:textId="67F4CB6F">
            <w:pPr>
              <w:rPr>
                <w:rFonts w:ascii="Times New Roman" w:hAnsi="Times New Roman" w:cs="Times New Roman"/>
              </w:rPr>
            </w:pPr>
            <w:r>
              <w:rPr>
                <w:rFonts w:ascii="Times New Roman" w:hAnsi="Times New Roman" w:cs="Times New Roman"/>
                <w:b/>
                <w:bCs/>
              </w:rPr>
              <w:t>Persons</w:t>
            </w:r>
            <w:r>
              <w:rPr>
                <w:rFonts w:ascii="Times New Roman" w:hAnsi="Times New Roman" w:cs="Times New Roman"/>
                <w:b/>
                <w:bCs/>
              </w:rPr>
              <w:t xml:space="preserve"> consulted on data collection, analysis, and methodology</w:t>
            </w:r>
          </w:p>
        </w:tc>
      </w:tr>
      <w:tr w14:paraId="0EFC24CF" w14:textId="77777777" w:rsidTr="397A6A4A">
        <w:tblPrEx>
          <w:tblW w:w="0" w:type="auto"/>
          <w:tblLook w:val="04A0"/>
        </w:tblPrEx>
        <w:trPr>
          <w:trHeight w:val="863"/>
        </w:trPr>
        <w:tc>
          <w:tcPr>
            <w:tcW w:w="3685" w:type="dxa"/>
          </w:tcPr>
          <w:p w:rsidR="008939F3" w:rsidP="008939F3" w14:paraId="326337F5" w14:textId="77777777">
            <w:pPr>
              <w:rPr>
                <w:rFonts w:ascii="Times New Roman" w:hAnsi="Times New Roman" w:cs="Times New Roman"/>
              </w:rPr>
            </w:pPr>
            <w:bookmarkStart w:id="13" w:name="_Hlk170807235"/>
            <w:r w:rsidRPr="69C9F3F5">
              <w:rPr>
                <w:rFonts w:ascii="Times New Roman" w:hAnsi="Times New Roman" w:cs="Times New Roman"/>
              </w:rPr>
              <w:t>George (Ebo) Browne, PhD</w:t>
            </w:r>
          </w:p>
          <w:p w:rsidR="69C9F3F5" w:rsidP="69C9F3F5" w14:paraId="201E1A81" w14:textId="44507F51">
            <w:pPr>
              <w:rPr>
                <w:rFonts w:ascii="Times New Roman" w:hAnsi="Times New Roman" w:cs="Times New Roman"/>
              </w:rPr>
            </w:pPr>
            <w:r w:rsidRPr="69C9F3F5">
              <w:rPr>
                <w:rFonts w:ascii="Times New Roman" w:hAnsi="Times New Roman" w:cs="Times New Roman"/>
              </w:rPr>
              <w:t>Project Manager</w:t>
            </w:r>
          </w:p>
          <w:p w:rsidR="00E24128" w:rsidRPr="00D2430F" w:rsidP="008939F3" w14:paraId="5E9D6358" w14:textId="7329DD18">
            <w:pPr>
              <w:rPr>
                <w:rFonts w:ascii="Times New Roman" w:hAnsi="Times New Roman" w:cs="Times New Roman"/>
              </w:rPr>
            </w:pPr>
            <w:r>
              <w:rPr>
                <w:rFonts w:ascii="Times New Roman" w:hAnsi="Times New Roman" w:cs="Times New Roman"/>
              </w:rPr>
              <w:t xml:space="preserve">(202) </w:t>
            </w:r>
            <w:r w:rsidRPr="000961E0" w:rsidR="000961E0">
              <w:rPr>
                <w:rFonts w:ascii="Times New Roman" w:hAnsi="Times New Roman" w:cs="Times New Roman"/>
              </w:rPr>
              <w:t>307-0765</w:t>
            </w:r>
          </w:p>
        </w:tc>
        <w:tc>
          <w:tcPr>
            <w:tcW w:w="4770" w:type="dxa"/>
          </w:tcPr>
          <w:p w:rsidR="00722567" w:rsidP="00722567" w14:paraId="3C5BD12A" w14:textId="77777777">
            <w:pPr>
              <w:rPr>
                <w:rFonts w:ascii="Times New Roman" w:hAnsi="Times New Roman"/>
              </w:rPr>
            </w:pPr>
            <w:bookmarkStart w:id="14" w:name="OLE_LINK9"/>
            <w:bookmarkStart w:id="15" w:name="OLE_LINK2"/>
            <w:r>
              <w:rPr>
                <w:rFonts w:ascii="Times New Roman" w:hAnsi="Times New Roman"/>
              </w:rPr>
              <w:t>William Adams, MPP</w:t>
            </w:r>
          </w:p>
          <w:p w:rsidR="00722567" w:rsidP="00722567" w14:paraId="29741E03" w14:textId="77777777">
            <w:pPr>
              <w:rPr>
                <w:rFonts w:ascii="Times New Roman" w:hAnsi="Times New Roman"/>
              </w:rPr>
            </w:pPr>
            <w:r>
              <w:rPr>
                <w:rFonts w:ascii="Times New Roman" w:hAnsi="Times New Roman"/>
              </w:rPr>
              <w:t>Urban Institute</w:t>
            </w:r>
          </w:p>
          <w:bookmarkEnd w:id="14"/>
          <w:bookmarkEnd w:id="15"/>
          <w:p w:rsidR="00E24128" w:rsidRPr="00D2430F" w:rsidP="00722567" w14:paraId="6291AD5E" w14:textId="2AA82AEA">
            <w:pPr>
              <w:rPr>
                <w:rFonts w:ascii="Times New Roman" w:hAnsi="Times New Roman" w:cs="Times New Roman"/>
              </w:rPr>
            </w:pPr>
            <w:r>
              <w:rPr>
                <w:rFonts w:ascii="Times New Roman" w:hAnsi="Times New Roman" w:cs="Times New Roman"/>
              </w:rPr>
              <w:t>(202) 261-5506</w:t>
            </w:r>
          </w:p>
        </w:tc>
      </w:tr>
      <w:tr w14:paraId="1AE4EC4C" w14:textId="77777777" w:rsidTr="397A6A4A">
        <w:tblPrEx>
          <w:tblW w:w="0" w:type="auto"/>
          <w:tblLook w:val="04A0"/>
        </w:tblPrEx>
        <w:trPr>
          <w:trHeight w:val="890"/>
        </w:trPr>
        <w:tc>
          <w:tcPr>
            <w:tcW w:w="3685" w:type="dxa"/>
          </w:tcPr>
          <w:p w:rsidR="008939F3" w:rsidRPr="00D2430F" w:rsidP="008939F3" w14:paraId="1ADEAB0B" w14:textId="77777777">
            <w:pPr>
              <w:rPr>
                <w:rFonts w:ascii="Times New Roman" w:hAnsi="Times New Roman" w:cs="Times New Roman"/>
              </w:rPr>
            </w:pPr>
            <w:bookmarkStart w:id="16" w:name="_Hlk170807246"/>
            <w:bookmarkEnd w:id="13"/>
            <w:r>
              <w:rPr>
                <w:rFonts w:ascii="Times New Roman" w:hAnsi="Times New Roman" w:cs="Times New Roman"/>
              </w:rPr>
              <w:t>Suzanne Strong, PhD</w:t>
            </w:r>
          </w:p>
          <w:p w:rsidR="008939F3" w:rsidRPr="00D2430F" w:rsidP="008939F3" w14:paraId="6B547566" w14:textId="77777777">
            <w:pPr>
              <w:rPr>
                <w:rFonts w:ascii="Times New Roman" w:hAnsi="Times New Roman" w:cs="Times New Roman"/>
              </w:rPr>
            </w:pPr>
            <w:r w:rsidRPr="00D2430F">
              <w:rPr>
                <w:rFonts w:ascii="Times New Roman" w:hAnsi="Times New Roman" w:cs="Times New Roman"/>
              </w:rPr>
              <w:t xml:space="preserve">Chief, </w:t>
            </w:r>
            <w:r>
              <w:rPr>
                <w:rFonts w:ascii="Times New Roman" w:hAnsi="Times New Roman" w:cs="Times New Roman"/>
              </w:rPr>
              <w:t>Judicial</w:t>
            </w:r>
            <w:r w:rsidRPr="00D2430F">
              <w:rPr>
                <w:rFonts w:ascii="Times New Roman" w:hAnsi="Times New Roman" w:cs="Times New Roman"/>
              </w:rPr>
              <w:t xml:space="preserve"> Statistics Unit</w:t>
            </w:r>
          </w:p>
          <w:p w:rsidR="00722567" w:rsidRPr="00D2430F" w:rsidP="008939F3" w14:paraId="6639E73B" w14:textId="2813CA9F">
            <w:pPr>
              <w:rPr>
                <w:rFonts w:ascii="Times New Roman" w:hAnsi="Times New Roman" w:cs="Times New Roman"/>
              </w:rPr>
            </w:pPr>
            <w:r w:rsidRPr="00D2430F">
              <w:rPr>
                <w:rFonts w:ascii="Times New Roman" w:hAnsi="Times New Roman" w:cs="Times New Roman"/>
                <w:color w:val="000000"/>
              </w:rPr>
              <w:t>(202</w:t>
            </w:r>
            <w:r w:rsidRPr="00EC60E3">
              <w:rPr>
                <w:rFonts w:ascii="Times New Roman" w:hAnsi="Times New Roman" w:cs="Times New Roman"/>
              </w:rPr>
              <w:t xml:space="preserve">) </w:t>
            </w:r>
            <w:r w:rsidRPr="000961E0" w:rsidR="000961E0">
              <w:rPr>
                <w:rFonts w:ascii="Times New Roman" w:hAnsi="Times New Roman" w:cs="Times New Roman"/>
              </w:rPr>
              <w:t>307-0765</w:t>
            </w:r>
          </w:p>
        </w:tc>
        <w:tc>
          <w:tcPr>
            <w:tcW w:w="4770" w:type="dxa"/>
          </w:tcPr>
          <w:p w:rsidR="00722567" w:rsidP="00722567" w14:paraId="78E4698D" w14:textId="7A97DC7D">
            <w:pPr>
              <w:rPr>
                <w:rFonts w:ascii="Times New Roman" w:hAnsi="Times New Roman"/>
              </w:rPr>
            </w:pPr>
            <w:r>
              <w:rPr>
                <w:rFonts w:ascii="Times New Roman" w:hAnsi="Times New Roman"/>
              </w:rPr>
              <w:t>Andreea Matei, MPP</w:t>
            </w:r>
          </w:p>
          <w:p w:rsidR="00722567" w:rsidRPr="00346ACA" w:rsidP="00722567" w14:paraId="6DB248D2" w14:textId="02F1496A">
            <w:pPr>
              <w:rPr>
                <w:rFonts w:ascii="Times New Roman" w:hAnsi="Times New Roman"/>
              </w:rPr>
            </w:pPr>
            <w:r>
              <w:rPr>
                <w:rFonts w:ascii="Times New Roman" w:hAnsi="Times New Roman"/>
              </w:rPr>
              <w:t>Urban Institute</w:t>
            </w:r>
          </w:p>
          <w:p w:rsidR="00722567" w:rsidRPr="00D2430F" w:rsidP="00722567" w14:paraId="6B196353" w14:textId="4DF1D494">
            <w:pPr>
              <w:rPr>
                <w:rFonts w:ascii="Times New Roman" w:hAnsi="Times New Roman"/>
              </w:rPr>
            </w:pPr>
            <w:r>
              <w:rPr>
                <w:rFonts w:ascii="Times New Roman" w:hAnsi="Times New Roman"/>
              </w:rPr>
              <w:t>(202) 261-5477</w:t>
            </w:r>
          </w:p>
        </w:tc>
      </w:tr>
      <w:tr w14:paraId="10EAD5BF" w14:textId="77777777" w:rsidTr="397A6A4A">
        <w:tblPrEx>
          <w:tblW w:w="0" w:type="auto"/>
          <w:tblLook w:val="04A0"/>
        </w:tblPrEx>
        <w:trPr>
          <w:trHeight w:val="890"/>
        </w:trPr>
        <w:tc>
          <w:tcPr>
            <w:tcW w:w="3685" w:type="dxa"/>
          </w:tcPr>
          <w:p w:rsidR="00722567" w:rsidP="00722567" w14:paraId="05D6F617" w14:textId="77777777">
            <w:pPr>
              <w:rPr>
                <w:rFonts w:ascii="Times New Roman" w:hAnsi="Times New Roman" w:cs="Times New Roman"/>
              </w:rPr>
            </w:pPr>
            <w:r w:rsidRPr="0D637629">
              <w:rPr>
                <w:rFonts w:ascii="Times New Roman" w:hAnsi="Times New Roman" w:cs="Times New Roman"/>
              </w:rPr>
              <w:t>Lizzie Remrey, PhD</w:t>
            </w:r>
          </w:p>
          <w:p w:rsidR="008939F3" w:rsidP="0D637629" w14:paraId="6A9E83DC" w14:textId="14F47040">
            <w:pPr>
              <w:rPr>
                <w:rFonts w:ascii="Times New Roman" w:hAnsi="Times New Roman" w:cs="Times New Roman"/>
              </w:rPr>
            </w:pPr>
            <w:r w:rsidRPr="0D637629">
              <w:rPr>
                <w:rFonts w:ascii="Times New Roman" w:hAnsi="Times New Roman" w:cs="Times New Roman"/>
              </w:rPr>
              <w:t>Statistician</w:t>
            </w:r>
          </w:p>
          <w:p w:rsidR="008939F3" w:rsidP="00722567" w14:paraId="09CF4118" w14:textId="1A50F4A1">
            <w:pPr>
              <w:rPr>
                <w:rFonts w:ascii="Times New Roman" w:hAnsi="Times New Roman" w:cs="Times New Roman"/>
              </w:rPr>
            </w:pPr>
            <w:r w:rsidRPr="397A6A4A">
              <w:rPr>
                <w:rFonts w:ascii="Times New Roman" w:hAnsi="Times New Roman" w:cs="Times New Roman"/>
              </w:rPr>
              <w:t xml:space="preserve">(202) </w:t>
            </w:r>
            <w:r w:rsidRPr="000961E0" w:rsidR="000961E0">
              <w:rPr>
                <w:rFonts w:ascii="Times New Roman" w:hAnsi="Times New Roman" w:cs="Times New Roman"/>
              </w:rPr>
              <w:t>307-0765</w:t>
            </w:r>
          </w:p>
        </w:tc>
        <w:tc>
          <w:tcPr>
            <w:tcW w:w="4770" w:type="dxa"/>
          </w:tcPr>
          <w:p w:rsidR="00722567" w:rsidRPr="00D2430F" w:rsidP="008939F3" w14:paraId="6F00E8AB" w14:textId="29CD90C4">
            <w:pPr>
              <w:rPr>
                <w:rFonts w:ascii="Times New Roman" w:hAnsi="Times New Roman" w:cs="Times New Roman"/>
              </w:rPr>
            </w:pPr>
          </w:p>
        </w:tc>
      </w:tr>
      <w:bookmarkEnd w:id="16"/>
    </w:tbl>
    <w:p w:rsidR="00781FF4" w:rsidP="00B27B00" w14:paraId="38CA3B32" w14:textId="77777777"/>
    <w:sectPr w:rsidSect="00EE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3449999"/>
      <w:docPartObj>
        <w:docPartGallery w:val="Page Numbers (Bottom of Page)"/>
        <w:docPartUnique/>
      </w:docPartObj>
    </w:sdtPr>
    <w:sdtEndPr>
      <w:rPr>
        <w:noProof/>
      </w:rPr>
    </w:sdtEndPr>
    <w:sdtContent>
      <w:p w:rsidR="002F4A37" w14:paraId="6D59AF6D" w14:textId="7777777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8B1ED4" w14:paraId="4E74B767" w14:textId="24ABC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5183" w:rsidP="005B3085" w14:paraId="641CC6D6" w14:textId="77777777">
      <w:pPr>
        <w:spacing w:after="0" w:line="240" w:lineRule="auto"/>
      </w:pPr>
      <w:r>
        <w:separator/>
      </w:r>
    </w:p>
  </w:footnote>
  <w:footnote w:type="continuationSeparator" w:id="1">
    <w:p w:rsidR="000C5183" w:rsidP="005B3085" w14:paraId="3BED4ED5" w14:textId="77777777">
      <w:pPr>
        <w:spacing w:after="0" w:line="240" w:lineRule="auto"/>
      </w:pPr>
      <w:r>
        <w:continuationSeparator/>
      </w:r>
    </w:p>
  </w:footnote>
  <w:footnote w:type="continuationNotice" w:id="2">
    <w:p w:rsidR="000C5183" w14:paraId="0E6B6874" w14:textId="77777777">
      <w:pPr>
        <w:spacing w:after="0" w:line="240" w:lineRule="auto"/>
      </w:pPr>
    </w:p>
  </w:footnote>
  <w:footnote w:id="3">
    <w:p w:rsidR="007C4434" w14:paraId="72F8BD15" w14:textId="5DFA31B0">
      <w:pPr>
        <w:pStyle w:val="FootnoteText"/>
      </w:pPr>
      <w:r>
        <w:rPr>
          <w:rStyle w:val="FootnoteReference"/>
        </w:rPr>
        <w:footnoteRef/>
      </w:r>
      <w:r>
        <w:t xml:space="preserve"> </w:t>
      </w:r>
      <w:r w:rsidRPr="007C4434">
        <w:t>The CPO team identified 26 states with a state prosecut</w:t>
      </w:r>
      <w:r w:rsidR="006B0DBC">
        <w:t>or</w:t>
      </w:r>
      <w:r w:rsidRPr="007C4434">
        <w:t xml:space="preserve"> association. This</w:t>
      </w:r>
      <w:r w:rsidR="006B0DBC">
        <w:t xml:space="preserve"> endorsement</w:t>
      </w:r>
      <w:r w:rsidRPr="007C4434">
        <w:t xml:space="preserve"> letter will only be included in non-response follow ups to prosecutor offices located in these states.</w:t>
      </w:r>
    </w:p>
  </w:footnote>
  <w:footnote w:id="4">
    <w:p w:rsidR="00225C3B" w14:paraId="5C169F9F" w14:textId="3C17D20A">
      <w:pPr>
        <w:pStyle w:val="FootnoteText"/>
      </w:pPr>
      <w:r>
        <w:rPr>
          <w:rStyle w:val="FootnoteReference"/>
        </w:rPr>
        <w:footnoteRef/>
      </w:r>
      <w:r>
        <w:t xml:space="preserve"> See </w:t>
      </w:r>
      <w:hyperlink r:id="rId1" w:history="1">
        <w:r w:rsidRPr="0002719D">
          <w:rPr>
            <w:rStyle w:val="Hyperlink"/>
          </w:rPr>
          <w:t>https://www.amstat.org/docs/default-source/amstat-documents/the-nation's-data-at-risk---report.pdf?v=0321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A37" w:rsidRPr="000778D9" w14:paraId="6EACD99C" w14:textId="71BBB499">
    <w:pPr>
      <w:pStyle w:val="Header"/>
      <w:rPr>
        <w:rFonts w:ascii="Times New Roman" w:hAnsi="Times New Roman" w:cs="Times New Roman"/>
        <w:sz w:val="20"/>
        <w:szCs w:val="20"/>
      </w:rPr>
    </w:pPr>
    <w:r>
      <w:rPr>
        <w:rFonts w:ascii="Times New Roman" w:hAnsi="Times New Roman" w:cs="Times New Roman"/>
        <w:sz w:val="20"/>
        <w:szCs w:val="20"/>
      </w:rPr>
      <w:t xml:space="preserve">Census of </w:t>
    </w:r>
    <w:r w:rsidR="00654A0D">
      <w:rPr>
        <w:rFonts w:ascii="Times New Roman" w:hAnsi="Times New Roman" w:cs="Times New Roman"/>
        <w:sz w:val="20"/>
        <w:szCs w:val="20"/>
      </w:rPr>
      <w:t>Prosecutor</w:t>
    </w:r>
    <w:r>
      <w:rPr>
        <w:rFonts w:ascii="Times New Roman" w:hAnsi="Times New Roman" w:cs="Times New Roman"/>
        <w:sz w:val="20"/>
        <w:szCs w:val="20"/>
      </w:rPr>
      <w:t xml:space="preserve"> Offices</w:t>
    </w:r>
  </w:p>
  <w:p w:rsidR="002F4A37" w:rsidRPr="000778D9" w14:paraId="782524CA" w14:textId="24B5A536">
    <w:pPr>
      <w:pStyle w:val="Header"/>
      <w:rPr>
        <w:rFonts w:ascii="Times New Roman" w:hAnsi="Times New Roman" w:cs="Times New Roman"/>
        <w:sz w:val="20"/>
        <w:szCs w:val="20"/>
      </w:rPr>
    </w:pPr>
    <w:r w:rsidRPr="000778D9">
      <w:rPr>
        <w:rFonts w:ascii="Times New Roman" w:hAnsi="Times New Roman" w:cs="Times New Roman"/>
        <w:sz w:val="20"/>
        <w:szCs w:val="20"/>
      </w:rPr>
      <w:t xml:space="preserve">OMB Control Number </w:t>
    </w:r>
    <w:r w:rsidR="0084762A">
      <w:rPr>
        <w:rFonts w:ascii="Times New Roman" w:hAnsi="Times New Roman" w:cs="Times New Roman"/>
        <w:sz w:val="20"/>
        <w:szCs w:val="20"/>
      </w:rPr>
      <w:t>1121</w:t>
    </w:r>
    <w:r w:rsidR="002F3E1D">
      <w:rPr>
        <w:rFonts w:ascii="Times New Roman" w:hAnsi="Times New Roman" w:cs="Times New Roman"/>
        <w:sz w:val="20"/>
        <w:szCs w:val="20"/>
      </w:rPr>
      <w:t>-</w:t>
    </w:r>
    <w:r w:rsidR="0084762A">
      <w:rPr>
        <w:rFonts w:ascii="Times New Roman" w:hAnsi="Times New Roman" w:cs="Times New Roman"/>
        <w:sz w:val="20"/>
        <w:szCs w:val="20"/>
      </w:rPr>
      <w:t>0149</w:t>
    </w:r>
  </w:p>
  <w:p w:rsidR="008B1ED4" w14:paraId="58B9B106" w14:textId="17253764">
    <w:pPr>
      <w:pStyle w:val="Header"/>
      <w:rPr>
        <w:rFonts w:ascii="Times New Roman" w:hAnsi="Times New Roman" w:cs="Times New Roman"/>
        <w:sz w:val="20"/>
        <w:szCs w:val="20"/>
      </w:rPr>
    </w:pPr>
    <w:r w:rsidRPr="000778D9">
      <w:rPr>
        <w:rFonts w:ascii="Times New Roman" w:hAnsi="Times New Roman" w:cs="Times New Roman"/>
        <w:sz w:val="20"/>
        <w:szCs w:val="20"/>
      </w:rPr>
      <w:t xml:space="preserve">OMB Expiration Date: </w:t>
    </w:r>
    <w:r w:rsidR="00167E81">
      <w:rPr>
        <w:rFonts w:ascii="Times New Roman" w:hAnsi="Times New Roman" w:cs="Times New Roman"/>
        <w:sz w:val="20"/>
        <w:szCs w:val="20"/>
      </w:rPr>
      <w:t>XX/XX/XXXX</w:t>
    </w:r>
  </w:p>
  <w:p w:rsidR="00167E81" w14:paraId="414C18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179D0"/>
    <w:multiLevelType w:val="hybridMultilevel"/>
    <w:tmpl w:val="F4BEE736"/>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E66AE"/>
    <w:multiLevelType w:val="hybridMultilevel"/>
    <w:tmpl w:val="F094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D8F3B8E"/>
    <w:multiLevelType w:val="hybridMultilevel"/>
    <w:tmpl w:val="7122C954"/>
    <w:lvl w:ilvl="0">
      <w:start w:val="3"/>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D6019D"/>
    <w:multiLevelType w:val="hybridMultilevel"/>
    <w:tmpl w:val="17B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187BFB"/>
    <w:multiLevelType w:val="hybridMultilevel"/>
    <w:tmpl w:val="483A6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8266F1"/>
    <w:multiLevelType w:val="hybridMultilevel"/>
    <w:tmpl w:val="022E1E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DC710E"/>
    <w:multiLevelType w:val="hybridMultilevel"/>
    <w:tmpl w:val="CD28E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B578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53F655E"/>
    <w:multiLevelType w:val="hybridMultilevel"/>
    <w:tmpl w:val="4178E26E"/>
    <w:lvl w:ilvl="0">
      <w:start w:val="4"/>
      <w:numFmt w:val="bullet"/>
      <w:lvlText w:val=""/>
      <w:lvlJc w:val="left"/>
      <w:pPr>
        <w:ind w:left="720" w:hanging="360"/>
      </w:pPr>
      <w:rPr>
        <w:rFonts w:ascii="Wingdings" w:hAnsi="Wingdings"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6133D63"/>
    <w:multiLevelType w:val="hybridMultilevel"/>
    <w:tmpl w:val="02B2A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95734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471595"/>
    <w:multiLevelType w:val="hybridMultilevel"/>
    <w:tmpl w:val="745C7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673937"/>
    <w:multiLevelType w:val="hybridMultilevel"/>
    <w:tmpl w:val="04F6CCFC"/>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DD320B"/>
    <w:multiLevelType w:val="hybridMultilevel"/>
    <w:tmpl w:val="337EE4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6AD7705"/>
    <w:multiLevelType w:val="hybridMultilevel"/>
    <w:tmpl w:val="F6A26D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EF227EB"/>
    <w:multiLevelType w:val="hybridMultilevel"/>
    <w:tmpl w:val="21C03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B674E5"/>
    <w:multiLevelType w:val="hybridMultilevel"/>
    <w:tmpl w:val="534C0A10"/>
    <w:lvl w:ilvl="0">
      <w:start w:val="3"/>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3942CA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5F94728"/>
    <w:multiLevelType w:val="hybridMultilevel"/>
    <w:tmpl w:val="28640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B565F1"/>
    <w:multiLevelType w:val="hybridMultilevel"/>
    <w:tmpl w:val="4FD89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5B7BE3"/>
    <w:multiLevelType w:val="hybridMultilevel"/>
    <w:tmpl w:val="8D86B4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A06E51"/>
    <w:multiLevelType w:val="hybridMultilevel"/>
    <w:tmpl w:val="BF5CB2E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2E235F"/>
    <w:multiLevelType w:val="hybridMultilevel"/>
    <w:tmpl w:val="3F5284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3A9629B"/>
    <w:multiLevelType w:val="hybridMultilevel"/>
    <w:tmpl w:val="4DCCD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BF36A7"/>
    <w:multiLevelType w:val="hybridMultilevel"/>
    <w:tmpl w:val="066CA0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83331E"/>
    <w:multiLevelType w:val="hybridMultilevel"/>
    <w:tmpl w:val="AEC8E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7536582">
    <w:abstractNumId w:val="10"/>
  </w:num>
  <w:num w:numId="2" w16cid:durableId="699432763">
    <w:abstractNumId w:val="17"/>
  </w:num>
  <w:num w:numId="3" w16cid:durableId="982081970">
    <w:abstractNumId w:val="7"/>
  </w:num>
  <w:num w:numId="4" w16cid:durableId="464737195">
    <w:abstractNumId w:val="0"/>
  </w:num>
  <w:num w:numId="5" w16cid:durableId="65997088">
    <w:abstractNumId w:val="5"/>
  </w:num>
  <w:num w:numId="6" w16cid:durableId="1169756004">
    <w:abstractNumId w:val="9"/>
  </w:num>
  <w:num w:numId="7" w16cid:durableId="595944126">
    <w:abstractNumId w:val="20"/>
  </w:num>
  <w:num w:numId="8" w16cid:durableId="1535775735">
    <w:abstractNumId w:val="14"/>
  </w:num>
  <w:num w:numId="9" w16cid:durableId="379327864">
    <w:abstractNumId w:val="11"/>
  </w:num>
  <w:num w:numId="10" w16cid:durableId="1513765387">
    <w:abstractNumId w:val="21"/>
  </w:num>
  <w:num w:numId="11" w16cid:durableId="1750686561">
    <w:abstractNumId w:val="6"/>
  </w:num>
  <w:num w:numId="12" w16cid:durableId="1411199742">
    <w:abstractNumId w:val="15"/>
  </w:num>
  <w:num w:numId="13" w16cid:durableId="1931087343">
    <w:abstractNumId w:val="4"/>
  </w:num>
  <w:num w:numId="14" w16cid:durableId="815880463">
    <w:abstractNumId w:val="18"/>
  </w:num>
  <w:num w:numId="15" w16cid:durableId="1308441357">
    <w:abstractNumId w:val="23"/>
  </w:num>
  <w:num w:numId="16" w16cid:durableId="570627840">
    <w:abstractNumId w:val="22"/>
  </w:num>
  <w:num w:numId="17" w16cid:durableId="374432433">
    <w:abstractNumId w:val="1"/>
  </w:num>
  <w:num w:numId="18" w16cid:durableId="1750040295">
    <w:abstractNumId w:val="3"/>
  </w:num>
  <w:num w:numId="19" w16cid:durableId="1122723021">
    <w:abstractNumId w:val="25"/>
  </w:num>
  <w:num w:numId="20" w16cid:durableId="250741897">
    <w:abstractNumId w:val="23"/>
  </w:num>
  <w:num w:numId="21" w16cid:durableId="572349276">
    <w:abstractNumId w:val="16"/>
  </w:num>
  <w:num w:numId="22" w16cid:durableId="248470923">
    <w:abstractNumId w:val="2"/>
  </w:num>
  <w:num w:numId="23" w16cid:durableId="307587235">
    <w:abstractNumId w:val="8"/>
  </w:num>
  <w:num w:numId="24" w16cid:durableId="1336179372">
    <w:abstractNumId w:val="23"/>
  </w:num>
  <w:num w:numId="25" w16cid:durableId="1421486652">
    <w:abstractNumId w:val="23"/>
  </w:num>
  <w:num w:numId="26" w16cid:durableId="620579052">
    <w:abstractNumId w:val="19"/>
  </w:num>
  <w:num w:numId="27" w16cid:durableId="1623196440">
    <w:abstractNumId w:val="12"/>
  </w:num>
  <w:num w:numId="28" w16cid:durableId="1369068435">
    <w:abstractNumId w:val="24"/>
  </w:num>
  <w:num w:numId="29" w16cid:durableId="2013334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85"/>
    <w:rsid w:val="00007567"/>
    <w:rsid w:val="00021B9B"/>
    <w:rsid w:val="000226BF"/>
    <w:rsid w:val="0002719D"/>
    <w:rsid w:val="00034D75"/>
    <w:rsid w:val="00046E4F"/>
    <w:rsid w:val="0006188E"/>
    <w:rsid w:val="00063262"/>
    <w:rsid w:val="00065F86"/>
    <w:rsid w:val="00070BEF"/>
    <w:rsid w:val="0007172C"/>
    <w:rsid w:val="0007187B"/>
    <w:rsid w:val="00071A3E"/>
    <w:rsid w:val="000757C3"/>
    <w:rsid w:val="000774EF"/>
    <w:rsid w:val="000778D9"/>
    <w:rsid w:val="000841C7"/>
    <w:rsid w:val="000900EF"/>
    <w:rsid w:val="00090DBB"/>
    <w:rsid w:val="00091313"/>
    <w:rsid w:val="00091F48"/>
    <w:rsid w:val="00094CF6"/>
    <w:rsid w:val="000961E0"/>
    <w:rsid w:val="000A2739"/>
    <w:rsid w:val="000A5A06"/>
    <w:rsid w:val="000A7A49"/>
    <w:rsid w:val="000B26F4"/>
    <w:rsid w:val="000B326D"/>
    <w:rsid w:val="000B3BAB"/>
    <w:rsid w:val="000B48D8"/>
    <w:rsid w:val="000B4E31"/>
    <w:rsid w:val="000C16F0"/>
    <w:rsid w:val="000C5183"/>
    <w:rsid w:val="000C67BA"/>
    <w:rsid w:val="000D0268"/>
    <w:rsid w:val="000D265F"/>
    <w:rsid w:val="000D6574"/>
    <w:rsid w:val="000D6A2E"/>
    <w:rsid w:val="000D7CBB"/>
    <w:rsid w:val="000E1C11"/>
    <w:rsid w:val="000E445F"/>
    <w:rsid w:val="000F309D"/>
    <w:rsid w:val="000F46D4"/>
    <w:rsid w:val="00100570"/>
    <w:rsid w:val="00103E43"/>
    <w:rsid w:val="00106460"/>
    <w:rsid w:val="001133FC"/>
    <w:rsid w:val="0011378B"/>
    <w:rsid w:val="00114B45"/>
    <w:rsid w:val="0011606A"/>
    <w:rsid w:val="00125831"/>
    <w:rsid w:val="00127FBA"/>
    <w:rsid w:val="001305F9"/>
    <w:rsid w:val="00131488"/>
    <w:rsid w:val="0013778D"/>
    <w:rsid w:val="00146761"/>
    <w:rsid w:val="00147248"/>
    <w:rsid w:val="00147F35"/>
    <w:rsid w:val="00156B00"/>
    <w:rsid w:val="0016019B"/>
    <w:rsid w:val="00167DEC"/>
    <w:rsid w:val="00167E81"/>
    <w:rsid w:val="00171AE7"/>
    <w:rsid w:val="0017258B"/>
    <w:rsid w:val="00172BB5"/>
    <w:rsid w:val="00175DA9"/>
    <w:rsid w:val="00181002"/>
    <w:rsid w:val="00184993"/>
    <w:rsid w:val="00184F5F"/>
    <w:rsid w:val="00185364"/>
    <w:rsid w:val="00190595"/>
    <w:rsid w:val="001912A9"/>
    <w:rsid w:val="00191C75"/>
    <w:rsid w:val="00192647"/>
    <w:rsid w:val="001A468D"/>
    <w:rsid w:val="001A61F1"/>
    <w:rsid w:val="001B2CE4"/>
    <w:rsid w:val="001C2B5D"/>
    <w:rsid w:val="001C4D32"/>
    <w:rsid w:val="001C6217"/>
    <w:rsid w:val="001D0250"/>
    <w:rsid w:val="001D2F0D"/>
    <w:rsid w:val="001D3416"/>
    <w:rsid w:val="001D49F9"/>
    <w:rsid w:val="001D6767"/>
    <w:rsid w:val="001E2E4F"/>
    <w:rsid w:val="001E4F24"/>
    <w:rsid w:val="001E5934"/>
    <w:rsid w:val="001F54BA"/>
    <w:rsid w:val="0021213F"/>
    <w:rsid w:val="0022157F"/>
    <w:rsid w:val="00225C3B"/>
    <w:rsid w:val="00230916"/>
    <w:rsid w:val="00231852"/>
    <w:rsid w:val="0023532A"/>
    <w:rsid w:val="0023607B"/>
    <w:rsid w:val="00237E5C"/>
    <w:rsid w:val="0024324E"/>
    <w:rsid w:val="00243EE2"/>
    <w:rsid w:val="0024437E"/>
    <w:rsid w:val="00244B56"/>
    <w:rsid w:val="002539F4"/>
    <w:rsid w:val="00253E71"/>
    <w:rsid w:val="00257A66"/>
    <w:rsid w:val="00262657"/>
    <w:rsid w:val="00263D97"/>
    <w:rsid w:val="00265361"/>
    <w:rsid w:val="002664EF"/>
    <w:rsid w:val="0026667F"/>
    <w:rsid w:val="00271E1C"/>
    <w:rsid w:val="00275A11"/>
    <w:rsid w:val="00276644"/>
    <w:rsid w:val="00287282"/>
    <w:rsid w:val="0029489E"/>
    <w:rsid w:val="00295144"/>
    <w:rsid w:val="002A22B2"/>
    <w:rsid w:val="002B02BE"/>
    <w:rsid w:val="002B1A4A"/>
    <w:rsid w:val="002C2AB2"/>
    <w:rsid w:val="002C328D"/>
    <w:rsid w:val="002D18A2"/>
    <w:rsid w:val="002D3519"/>
    <w:rsid w:val="002D418B"/>
    <w:rsid w:val="002D6200"/>
    <w:rsid w:val="002D6526"/>
    <w:rsid w:val="002D66EE"/>
    <w:rsid w:val="002E3ED1"/>
    <w:rsid w:val="002E7511"/>
    <w:rsid w:val="002F03F2"/>
    <w:rsid w:val="002F06A2"/>
    <w:rsid w:val="002F3E1D"/>
    <w:rsid w:val="002F4A37"/>
    <w:rsid w:val="002F4CF3"/>
    <w:rsid w:val="00300E17"/>
    <w:rsid w:val="00310FF2"/>
    <w:rsid w:val="003205B3"/>
    <w:rsid w:val="00323B37"/>
    <w:rsid w:val="003300D7"/>
    <w:rsid w:val="003301F2"/>
    <w:rsid w:val="00336E5D"/>
    <w:rsid w:val="00337387"/>
    <w:rsid w:val="00342094"/>
    <w:rsid w:val="003425BC"/>
    <w:rsid w:val="00345F2E"/>
    <w:rsid w:val="003468D1"/>
    <w:rsid w:val="00346ACA"/>
    <w:rsid w:val="00347042"/>
    <w:rsid w:val="003675E5"/>
    <w:rsid w:val="00370BA7"/>
    <w:rsid w:val="00395A6C"/>
    <w:rsid w:val="003A6502"/>
    <w:rsid w:val="003B18E0"/>
    <w:rsid w:val="003B30F8"/>
    <w:rsid w:val="003B3796"/>
    <w:rsid w:val="003B3B7A"/>
    <w:rsid w:val="003B5125"/>
    <w:rsid w:val="003B679E"/>
    <w:rsid w:val="003C005B"/>
    <w:rsid w:val="003C23D6"/>
    <w:rsid w:val="003C2494"/>
    <w:rsid w:val="003C7915"/>
    <w:rsid w:val="003D1328"/>
    <w:rsid w:val="003D3E8D"/>
    <w:rsid w:val="003D4070"/>
    <w:rsid w:val="003D750B"/>
    <w:rsid w:val="003E537A"/>
    <w:rsid w:val="003F11DB"/>
    <w:rsid w:val="003F4872"/>
    <w:rsid w:val="003F4C4F"/>
    <w:rsid w:val="0040127A"/>
    <w:rsid w:val="00401426"/>
    <w:rsid w:val="00406A96"/>
    <w:rsid w:val="00410D7D"/>
    <w:rsid w:val="00411530"/>
    <w:rsid w:val="00412016"/>
    <w:rsid w:val="00415F1D"/>
    <w:rsid w:val="00420EBA"/>
    <w:rsid w:val="00421126"/>
    <w:rsid w:val="00426693"/>
    <w:rsid w:val="00427C12"/>
    <w:rsid w:val="004327FF"/>
    <w:rsid w:val="0043610F"/>
    <w:rsid w:val="0044151A"/>
    <w:rsid w:val="00442C5B"/>
    <w:rsid w:val="004459BB"/>
    <w:rsid w:val="00455774"/>
    <w:rsid w:val="00455DAF"/>
    <w:rsid w:val="00461F45"/>
    <w:rsid w:val="00466177"/>
    <w:rsid w:val="0047038F"/>
    <w:rsid w:val="00476998"/>
    <w:rsid w:val="00476DA6"/>
    <w:rsid w:val="004840AF"/>
    <w:rsid w:val="0048491E"/>
    <w:rsid w:val="00486F83"/>
    <w:rsid w:val="00495673"/>
    <w:rsid w:val="004A0F04"/>
    <w:rsid w:val="004A0F60"/>
    <w:rsid w:val="004A485C"/>
    <w:rsid w:val="004B3047"/>
    <w:rsid w:val="004B3E04"/>
    <w:rsid w:val="004B56CF"/>
    <w:rsid w:val="004B75D5"/>
    <w:rsid w:val="004C3A10"/>
    <w:rsid w:val="004C6C32"/>
    <w:rsid w:val="004C6E16"/>
    <w:rsid w:val="004D0A6D"/>
    <w:rsid w:val="004D1230"/>
    <w:rsid w:val="004D42B0"/>
    <w:rsid w:val="004D4436"/>
    <w:rsid w:val="004F1196"/>
    <w:rsid w:val="004F3D8D"/>
    <w:rsid w:val="0050140C"/>
    <w:rsid w:val="00502EF1"/>
    <w:rsid w:val="0050493D"/>
    <w:rsid w:val="00511F40"/>
    <w:rsid w:val="00511F8E"/>
    <w:rsid w:val="00512193"/>
    <w:rsid w:val="00512EA8"/>
    <w:rsid w:val="00513056"/>
    <w:rsid w:val="0051741C"/>
    <w:rsid w:val="00521236"/>
    <w:rsid w:val="00523B12"/>
    <w:rsid w:val="005319F1"/>
    <w:rsid w:val="00535C39"/>
    <w:rsid w:val="00541843"/>
    <w:rsid w:val="00546FE3"/>
    <w:rsid w:val="00547613"/>
    <w:rsid w:val="00555020"/>
    <w:rsid w:val="005554E0"/>
    <w:rsid w:val="00563232"/>
    <w:rsid w:val="00565AA5"/>
    <w:rsid w:val="00567D9D"/>
    <w:rsid w:val="0057127E"/>
    <w:rsid w:val="00576500"/>
    <w:rsid w:val="00576D5E"/>
    <w:rsid w:val="005813A1"/>
    <w:rsid w:val="00587F1A"/>
    <w:rsid w:val="00592EFB"/>
    <w:rsid w:val="005959F1"/>
    <w:rsid w:val="005A0558"/>
    <w:rsid w:val="005A3EF3"/>
    <w:rsid w:val="005B1EDF"/>
    <w:rsid w:val="005B3085"/>
    <w:rsid w:val="005B3706"/>
    <w:rsid w:val="005B4303"/>
    <w:rsid w:val="005B70F0"/>
    <w:rsid w:val="005C00B2"/>
    <w:rsid w:val="005C129A"/>
    <w:rsid w:val="005C2790"/>
    <w:rsid w:val="005C6519"/>
    <w:rsid w:val="005D194C"/>
    <w:rsid w:val="005D212E"/>
    <w:rsid w:val="005D53F1"/>
    <w:rsid w:val="005E4768"/>
    <w:rsid w:val="005F3EAA"/>
    <w:rsid w:val="005F3EAE"/>
    <w:rsid w:val="005F402C"/>
    <w:rsid w:val="005F7691"/>
    <w:rsid w:val="0060144E"/>
    <w:rsid w:val="00610068"/>
    <w:rsid w:val="00611B68"/>
    <w:rsid w:val="00614A04"/>
    <w:rsid w:val="006161EE"/>
    <w:rsid w:val="00617DA3"/>
    <w:rsid w:val="006259DB"/>
    <w:rsid w:val="00633856"/>
    <w:rsid w:val="006373D0"/>
    <w:rsid w:val="0065060B"/>
    <w:rsid w:val="00650E5D"/>
    <w:rsid w:val="00651F86"/>
    <w:rsid w:val="006525DB"/>
    <w:rsid w:val="00654A0D"/>
    <w:rsid w:val="00654C20"/>
    <w:rsid w:val="0065629F"/>
    <w:rsid w:val="006631E9"/>
    <w:rsid w:val="00665388"/>
    <w:rsid w:val="00674242"/>
    <w:rsid w:val="0067775C"/>
    <w:rsid w:val="00677F66"/>
    <w:rsid w:val="0069699C"/>
    <w:rsid w:val="006A1F48"/>
    <w:rsid w:val="006A29E6"/>
    <w:rsid w:val="006A3060"/>
    <w:rsid w:val="006A4B03"/>
    <w:rsid w:val="006A4B13"/>
    <w:rsid w:val="006B0DBC"/>
    <w:rsid w:val="006B3F5E"/>
    <w:rsid w:val="006B7122"/>
    <w:rsid w:val="006C1494"/>
    <w:rsid w:val="006C257A"/>
    <w:rsid w:val="006C2D77"/>
    <w:rsid w:val="006C64EE"/>
    <w:rsid w:val="006D0709"/>
    <w:rsid w:val="006D40F8"/>
    <w:rsid w:val="006D4A5D"/>
    <w:rsid w:val="006D4EC6"/>
    <w:rsid w:val="006D5017"/>
    <w:rsid w:val="006E0973"/>
    <w:rsid w:val="006E3164"/>
    <w:rsid w:val="006E42D7"/>
    <w:rsid w:val="006E4EEE"/>
    <w:rsid w:val="006E61D4"/>
    <w:rsid w:val="006E7864"/>
    <w:rsid w:val="006F204F"/>
    <w:rsid w:val="006F78A8"/>
    <w:rsid w:val="00701474"/>
    <w:rsid w:val="00712249"/>
    <w:rsid w:val="00712D2F"/>
    <w:rsid w:val="00713914"/>
    <w:rsid w:val="00722567"/>
    <w:rsid w:val="007229DF"/>
    <w:rsid w:val="007243B7"/>
    <w:rsid w:val="00734BF3"/>
    <w:rsid w:val="00735DA6"/>
    <w:rsid w:val="00736747"/>
    <w:rsid w:val="00743B14"/>
    <w:rsid w:val="007469AA"/>
    <w:rsid w:val="00747380"/>
    <w:rsid w:val="00754008"/>
    <w:rsid w:val="0075716C"/>
    <w:rsid w:val="00763041"/>
    <w:rsid w:val="007632D6"/>
    <w:rsid w:val="007755AA"/>
    <w:rsid w:val="007809F1"/>
    <w:rsid w:val="00781AE3"/>
    <w:rsid w:val="00781FF4"/>
    <w:rsid w:val="00784152"/>
    <w:rsid w:val="00784522"/>
    <w:rsid w:val="007864D6"/>
    <w:rsid w:val="00786BD4"/>
    <w:rsid w:val="007931AD"/>
    <w:rsid w:val="00793550"/>
    <w:rsid w:val="0079691B"/>
    <w:rsid w:val="007A0423"/>
    <w:rsid w:val="007A3DFB"/>
    <w:rsid w:val="007B0DB1"/>
    <w:rsid w:val="007B4A26"/>
    <w:rsid w:val="007C0F3F"/>
    <w:rsid w:val="007C2BBC"/>
    <w:rsid w:val="007C4434"/>
    <w:rsid w:val="007D6D12"/>
    <w:rsid w:val="007E155C"/>
    <w:rsid w:val="007E31ED"/>
    <w:rsid w:val="007F0F95"/>
    <w:rsid w:val="007F6CE7"/>
    <w:rsid w:val="0080389D"/>
    <w:rsid w:val="0080539D"/>
    <w:rsid w:val="0081040A"/>
    <w:rsid w:val="00811AAB"/>
    <w:rsid w:val="00830167"/>
    <w:rsid w:val="008405A3"/>
    <w:rsid w:val="0084188B"/>
    <w:rsid w:val="00843CAA"/>
    <w:rsid w:val="0084762A"/>
    <w:rsid w:val="0085042A"/>
    <w:rsid w:val="00852D93"/>
    <w:rsid w:val="008542A8"/>
    <w:rsid w:val="0085544D"/>
    <w:rsid w:val="0086691C"/>
    <w:rsid w:val="00875380"/>
    <w:rsid w:val="00875511"/>
    <w:rsid w:val="00881ECA"/>
    <w:rsid w:val="008820F8"/>
    <w:rsid w:val="00882969"/>
    <w:rsid w:val="0088559A"/>
    <w:rsid w:val="008922AE"/>
    <w:rsid w:val="008939F3"/>
    <w:rsid w:val="00896B64"/>
    <w:rsid w:val="008A5D37"/>
    <w:rsid w:val="008A709A"/>
    <w:rsid w:val="008A7326"/>
    <w:rsid w:val="008A73FB"/>
    <w:rsid w:val="008B1ED4"/>
    <w:rsid w:val="008B43EF"/>
    <w:rsid w:val="008C0FEE"/>
    <w:rsid w:val="008C238B"/>
    <w:rsid w:val="008C735A"/>
    <w:rsid w:val="008D05BB"/>
    <w:rsid w:val="008D05D4"/>
    <w:rsid w:val="008D4A16"/>
    <w:rsid w:val="008E547C"/>
    <w:rsid w:val="008E7BCE"/>
    <w:rsid w:val="008F3B03"/>
    <w:rsid w:val="008F3C06"/>
    <w:rsid w:val="008F4C14"/>
    <w:rsid w:val="00904A0D"/>
    <w:rsid w:val="00912D04"/>
    <w:rsid w:val="00912D4E"/>
    <w:rsid w:val="00913685"/>
    <w:rsid w:val="00914521"/>
    <w:rsid w:val="00926441"/>
    <w:rsid w:val="00933421"/>
    <w:rsid w:val="00937A28"/>
    <w:rsid w:val="0094268F"/>
    <w:rsid w:val="009457E3"/>
    <w:rsid w:val="00950B45"/>
    <w:rsid w:val="00951F38"/>
    <w:rsid w:val="009535AB"/>
    <w:rsid w:val="009539EC"/>
    <w:rsid w:val="00955675"/>
    <w:rsid w:val="00956338"/>
    <w:rsid w:val="00956940"/>
    <w:rsid w:val="00960FAD"/>
    <w:rsid w:val="00967486"/>
    <w:rsid w:val="00967BEB"/>
    <w:rsid w:val="00974A5F"/>
    <w:rsid w:val="00975E82"/>
    <w:rsid w:val="00977344"/>
    <w:rsid w:val="009808F9"/>
    <w:rsid w:val="009919B1"/>
    <w:rsid w:val="00996FED"/>
    <w:rsid w:val="009B0981"/>
    <w:rsid w:val="009B35DA"/>
    <w:rsid w:val="009B53F5"/>
    <w:rsid w:val="009B6C83"/>
    <w:rsid w:val="009C18D5"/>
    <w:rsid w:val="009C226D"/>
    <w:rsid w:val="009C31CC"/>
    <w:rsid w:val="009C7E27"/>
    <w:rsid w:val="009D0000"/>
    <w:rsid w:val="009E0033"/>
    <w:rsid w:val="009E37FB"/>
    <w:rsid w:val="009E4168"/>
    <w:rsid w:val="009E7F2D"/>
    <w:rsid w:val="009F00DC"/>
    <w:rsid w:val="009F01A5"/>
    <w:rsid w:val="009F58E1"/>
    <w:rsid w:val="00A0349C"/>
    <w:rsid w:val="00A03F25"/>
    <w:rsid w:val="00A05F8D"/>
    <w:rsid w:val="00A17973"/>
    <w:rsid w:val="00A32CE9"/>
    <w:rsid w:val="00A33772"/>
    <w:rsid w:val="00A35904"/>
    <w:rsid w:val="00A4533C"/>
    <w:rsid w:val="00A50C67"/>
    <w:rsid w:val="00A56797"/>
    <w:rsid w:val="00A636E3"/>
    <w:rsid w:val="00A71BF4"/>
    <w:rsid w:val="00A74BE4"/>
    <w:rsid w:val="00A80F31"/>
    <w:rsid w:val="00A85BF3"/>
    <w:rsid w:val="00A870CD"/>
    <w:rsid w:val="00A87D9C"/>
    <w:rsid w:val="00A90ACD"/>
    <w:rsid w:val="00A90F19"/>
    <w:rsid w:val="00A9419D"/>
    <w:rsid w:val="00A96175"/>
    <w:rsid w:val="00A96D1B"/>
    <w:rsid w:val="00AA0DA7"/>
    <w:rsid w:val="00AA11EF"/>
    <w:rsid w:val="00AA127A"/>
    <w:rsid w:val="00AA3059"/>
    <w:rsid w:val="00AA3474"/>
    <w:rsid w:val="00AB6AEC"/>
    <w:rsid w:val="00AB75B3"/>
    <w:rsid w:val="00AC1EA0"/>
    <w:rsid w:val="00AC46E8"/>
    <w:rsid w:val="00AC4E76"/>
    <w:rsid w:val="00AD0E2A"/>
    <w:rsid w:val="00AD2412"/>
    <w:rsid w:val="00AD66F3"/>
    <w:rsid w:val="00AD78DC"/>
    <w:rsid w:val="00AE1E15"/>
    <w:rsid w:val="00AE23E7"/>
    <w:rsid w:val="00AF0D06"/>
    <w:rsid w:val="00AF13D5"/>
    <w:rsid w:val="00AF56F3"/>
    <w:rsid w:val="00B063AA"/>
    <w:rsid w:val="00B17861"/>
    <w:rsid w:val="00B275AB"/>
    <w:rsid w:val="00B27B00"/>
    <w:rsid w:val="00B41BB2"/>
    <w:rsid w:val="00B46F87"/>
    <w:rsid w:val="00B47081"/>
    <w:rsid w:val="00B504CE"/>
    <w:rsid w:val="00B53091"/>
    <w:rsid w:val="00B56EBB"/>
    <w:rsid w:val="00B72474"/>
    <w:rsid w:val="00B7500E"/>
    <w:rsid w:val="00B75F58"/>
    <w:rsid w:val="00B81424"/>
    <w:rsid w:val="00B9058A"/>
    <w:rsid w:val="00B95F89"/>
    <w:rsid w:val="00BA584F"/>
    <w:rsid w:val="00BA58FE"/>
    <w:rsid w:val="00BA62F3"/>
    <w:rsid w:val="00BB61EE"/>
    <w:rsid w:val="00BC0700"/>
    <w:rsid w:val="00BC27D6"/>
    <w:rsid w:val="00BD0584"/>
    <w:rsid w:val="00BD5A3F"/>
    <w:rsid w:val="00BE220D"/>
    <w:rsid w:val="00BE2973"/>
    <w:rsid w:val="00BE7576"/>
    <w:rsid w:val="00BF5FC4"/>
    <w:rsid w:val="00BF657C"/>
    <w:rsid w:val="00C00BBB"/>
    <w:rsid w:val="00C00C2B"/>
    <w:rsid w:val="00C01C81"/>
    <w:rsid w:val="00C0734A"/>
    <w:rsid w:val="00C124E0"/>
    <w:rsid w:val="00C13AC7"/>
    <w:rsid w:val="00C174AB"/>
    <w:rsid w:val="00C210F3"/>
    <w:rsid w:val="00C3095E"/>
    <w:rsid w:val="00C435CD"/>
    <w:rsid w:val="00C447CE"/>
    <w:rsid w:val="00C46111"/>
    <w:rsid w:val="00C50232"/>
    <w:rsid w:val="00C50D7E"/>
    <w:rsid w:val="00C53FC5"/>
    <w:rsid w:val="00C60156"/>
    <w:rsid w:val="00C61278"/>
    <w:rsid w:val="00C73F59"/>
    <w:rsid w:val="00C7686B"/>
    <w:rsid w:val="00C86C0A"/>
    <w:rsid w:val="00C86FA3"/>
    <w:rsid w:val="00C91385"/>
    <w:rsid w:val="00C93C74"/>
    <w:rsid w:val="00C95935"/>
    <w:rsid w:val="00CA1D36"/>
    <w:rsid w:val="00CB0A3B"/>
    <w:rsid w:val="00CB2935"/>
    <w:rsid w:val="00CB37D0"/>
    <w:rsid w:val="00CC0B29"/>
    <w:rsid w:val="00CC5679"/>
    <w:rsid w:val="00CD6EE4"/>
    <w:rsid w:val="00CE0972"/>
    <w:rsid w:val="00CE20E3"/>
    <w:rsid w:val="00CF00E7"/>
    <w:rsid w:val="00CF03FC"/>
    <w:rsid w:val="00CF0A44"/>
    <w:rsid w:val="00CF1AB7"/>
    <w:rsid w:val="00CF2833"/>
    <w:rsid w:val="00CF31B7"/>
    <w:rsid w:val="00CF508F"/>
    <w:rsid w:val="00CF6CFA"/>
    <w:rsid w:val="00CF73A6"/>
    <w:rsid w:val="00D125BA"/>
    <w:rsid w:val="00D15F05"/>
    <w:rsid w:val="00D1725B"/>
    <w:rsid w:val="00D17907"/>
    <w:rsid w:val="00D2118D"/>
    <w:rsid w:val="00D230AE"/>
    <w:rsid w:val="00D2430F"/>
    <w:rsid w:val="00D347D0"/>
    <w:rsid w:val="00D40986"/>
    <w:rsid w:val="00D42C5F"/>
    <w:rsid w:val="00D4719A"/>
    <w:rsid w:val="00D50442"/>
    <w:rsid w:val="00D53A14"/>
    <w:rsid w:val="00D54E1C"/>
    <w:rsid w:val="00D552ED"/>
    <w:rsid w:val="00D561D9"/>
    <w:rsid w:val="00D57EA5"/>
    <w:rsid w:val="00D6163A"/>
    <w:rsid w:val="00D773C0"/>
    <w:rsid w:val="00D833AA"/>
    <w:rsid w:val="00D8517F"/>
    <w:rsid w:val="00D853DD"/>
    <w:rsid w:val="00D9448C"/>
    <w:rsid w:val="00D968D8"/>
    <w:rsid w:val="00DA408C"/>
    <w:rsid w:val="00DA671E"/>
    <w:rsid w:val="00DB03B6"/>
    <w:rsid w:val="00DB3A31"/>
    <w:rsid w:val="00DB518C"/>
    <w:rsid w:val="00DB70A2"/>
    <w:rsid w:val="00DC5FC0"/>
    <w:rsid w:val="00DC7E73"/>
    <w:rsid w:val="00DD2339"/>
    <w:rsid w:val="00DD3237"/>
    <w:rsid w:val="00DD733A"/>
    <w:rsid w:val="00DE1457"/>
    <w:rsid w:val="00DE4810"/>
    <w:rsid w:val="00DF5165"/>
    <w:rsid w:val="00DF6BB2"/>
    <w:rsid w:val="00E04713"/>
    <w:rsid w:val="00E065ED"/>
    <w:rsid w:val="00E15DB1"/>
    <w:rsid w:val="00E1602A"/>
    <w:rsid w:val="00E16A64"/>
    <w:rsid w:val="00E21D5A"/>
    <w:rsid w:val="00E24128"/>
    <w:rsid w:val="00E25CAB"/>
    <w:rsid w:val="00E32C9F"/>
    <w:rsid w:val="00E32FEE"/>
    <w:rsid w:val="00E416B9"/>
    <w:rsid w:val="00E420BA"/>
    <w:rsid w:val="00E450C2"/>
    <w:rsid w:val="00E50DA2"/>
    <w:rsid w:val="00E53D1D"/>
    <w:rsid w:val="00E62E22"/>
    <w:rsid w:val="00E637D3"/>
    <w:rsid w:val="00E65076"/>
    <w:rsid w:val="00E65137"/>
    <w:rsid w:val="00E8063D"/>
    <w:rsid w:val="00E839C0"/>
    <w:rsid w:val="00E8630D"/>
    <w:rsid w:val="00E863AE"/>
    <w:rsid w:val="00E92BB0"/>
    <w:rsid w:val="00E94B74"/>
    <w:rsid w:val="00E97732"/>
    <w:rsid w:val="00EA7AAF"/>
    <w:rsid w:val="00EB22CF"/>
    <w:rsid w:val="00EB470C"/>
    <w:rsid w:val="00EB6A45"/>
    <w:rsid w:val="00EB7273"/>
    <w:rsid w:val="00EC1565"/>
    <w:rsid w:val="00EC3183"/>
    <w:rsid w:val="00EC474D"/>
    <w:rsid w:val="00EC60E3"/>
    <w:rsid w:val="00ED55C2"/>
    <w:rsid w:val="00EE2ACF"/>
    <w:rsid w:val="00EE6937"/>
    <w:rsid w:val="00EE77C0"/>
    <w:rsid w:val="00EF4E3D"/>
    <w:rsid w:val="00EF577F"/>
    <w:rsid w:val="00EF624E"/>
    <w:rsid w:val="00F0083C"/>
    <w:rsid w:val="00F00DF4"/>
    <w:rsid w:val="00F0200F"/>
    <w:rsid w:val="00F10530"/>
    <w:rsid w:val="00F13BE6"/>
    <w:rsid w:val="00F14462"/>
    <w:rsid w:val="00F14886"/>
    <w:rsid w:val="00F16CE7"/>
    <w:rsid w:val="00F20E8E"/>
    <w:rsid w:val="00F2254A"/>
    <w:rsid w:val="00F279CF"/>
    <w:rsid w:val="00F33ABF"/>
    <w:rsid w:val="00F34DF9"/>
    <w:rsid w:val="00F36549"/>
    <w:rsid w:val="00F40E60"/>
    <w:rsid w:val="00F5073D"/>
    <w:rsid w:val="00F5486C"/>
    <w:rsid w:val="00F54DE5"/>
    <w:rsid w:val="00F60FD8"/>
    <w:rsid w:val="00F6198A"/>
    <w:rsid w:val="00F6305E"/>
    <w:rsid w:val="00F66CC3"/>
    <w:rsid w:val="00F77DBE"/>
    <w:rsid w:val="00F84B56"/>
    <w:rsid w:val="00F85327"/>
    <w:rsid w:val="00F854FA"/>
    <w:rsid w:val="00F856F4"/>
    <w:rsid w:val="00F85E6E"/>
    <w:rsid w:val="00F9078A"/>
    <w:rsid w:val="00F90B8C"/>
    <w:rsid w:val="00F920EE"/>
    <w:rsid w:val="00F92436"/>
    <w:rsid w:val="00F92F1B"/>
    <w:rsid w:val="00F95F45"/>
    <w:rsid w:val="00FA2604"/>
    <w:rsid w:val="00FA5679"/>
    <w:rsid w:val="00FB4BE0"/>
    <w:rsid w:val="00FC0949"/>
    <w:rsid w:val="00FC289A"/>
    <w:rsid w:val="00FC4958"/>
    <w:rsid w:val="00FC7DBD"/>
    <w:rsid w:val="00FC7F2D"/>
    <w:rsid w:val="00FD7090"/>
    <w:rsid w:val="00FD72EB"/>
    <w:rsid w:val="01138B2D"/>
    <w:rsid w:val="05990ADF"/>
    <w:rsid w:val="0B303278"/>
    <w:rsid w:val="0BF7F2F7"/>
    <w:rsid w:val="0D637629"/>
    <w:rsid w:val="0F2A5944"/>
    <w:rsid w:val="1043A2E2"/>
    <w:rsid w:val="120E50B6"/>
    <w:rsid w:val="120FF7D8"/>
    <w:rsid w:val="15FCD9AB"/>
    <w:rsid w:val="18A98D89"/>
    <w:rsid w:val="1A5A37B0"/>
    <w:rsid w:val="217CAAB7"/>
    <w:rsid w:val="21F02415"/>
    <w:rsid w:val="2614B70A"/>
    <w:rsid w:val="26C3223B"/>
    <w:rsid w:val="29D0F134"/>
    <w:rsid w:val="315E4FF0"/>
    <w:rsid w:val="32DFB640"/>
    <w:rsid w:val="344883D8"/>
    <w:rsid w:val="38CBF11C"/>
    <w:rsid w:val="397A6A4A"/>
    <w:rsid w:val="3994DA4D"/>
    <w:rsid w:val="3A6DC770"/>
    <w:rsid w:val="3F79A657"/>
    <w:rsid w:val="44B2B041"/>
    <w:rsid w:val="49EA9EC8"/>
    <w:rsid w:val="4A0D4873"/>
    <w:rsid w:val="50C75FC8"/>
    <w:rsid w:val="571C56B5"/>
    <w:rsid w:val="5831D765"/>
    <w:rsid w:val="5C33A50F"/>
    <w:rsid w:val="602FA251"/>
    <w:rsid w:val="60A677D9"/>
    <w:rsid w:val="616E8128"/>
    <w:rsid w:val="62681EFA"/>
    <w:rsid w:val="636ED05E"/>
    <w:rsid w:val="69C9F3F5"/>
    <w:rsid w:val="6B1B604D"/>
    <w:rsid w:val="6CA27664"/>
    <w:rsid w:val="6CDA271E"/>
    <w:rsid w:val="6EFD6AED"/>
    <w:rsid w:val="712B8C02"/>
    <w:rsid w:val="72A2E67D"/>
    <w:rsid w:val="73A3CCA9"/>
    <w:rsid w:val="74383E58"/>
    <w:rsid w:val="781F19E7"/>
    <w:rsid w:val="7BBF314D"/>
    <w:rsid w:val="7F20ED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17ABB3"/>
  <w15:docId w15:val="{10A448D0-7E2C-430A-9B1F-8C9D659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085"/>
    <w:rPr>
      <w:sz w:val="16"/>
      <w:szCs w:val="16"/>
    </w:rPr>
  </w:style>
  <w:style w:type="paragraph" w:styleId="CommentText">
    <w:name w:val="annotation text"/>
    <w:basedOn w:val="Normal"/>
    <w:link w:val="CommentTextChar"/>
    <w:uiPriority w:val="99"/>
    <w:unhideWhenUsed/>
    <w:rsid w:val="005B3085"/>
    <w:pPr>
      <w:spacing w:line="240" w:lineRule="auto"/>
    </w:pPr>
    <w:rPr>
      <w:sz w:val="20"/>
      <w:szCs w:val="20"/>
    </w:rPr>
  </w:style>
  <w:style w:type="character" w:customStyle="1" w:styleId="CommentTextChar">
    <w:name w:val="Comment Text Char"/>
    <w:basedOn w:val="DefaultParagraphFont"/>
    <w:link w:val="CommentText"/>
    <w:uiPriority w:val="99"/>
    <w:rsid w:val="005B3085"/>
    <w:rPr>
      <w:sz w:val="20"/>
      <w:szCs w:val="20"/>
    </w:rPr>
  </w:style>
  <w:style w:type="paragraph" w:styleId="CommentSubject">
    <w:name w:val="annotation subject"/>
    <w:basedOn w:val="CommentText"/>
    <w:next w:val="CommentText"/>
    <w:link w:val="CommentSubjectChar"/>
    <w:uiPriority w:val="99"/>
    <w:semiHidden/>
    <w:unhideWhenUsed/>
    <w:rsid w:val="005B3085"/>
    <w:rPr>
      <w:b/>
      <w:bCs/>
    </w:rPr>
  </w:style>
  <w:style w:type="character" w:customStyle="1" w:styleId="CommentSubjectChar">
    <w:name w:val="Comment Subject Char"/>
    <w:basedOn w:val="CommentTextChar"/>
    <w:link w:val="CommentSubject"/>
    <w:uiPriority w:val="99"/>
    <w:semiHidden/>
    <w:rsid w:val="005B3085"/>
    <w:rPr>
      <w:b/>
      <w:bCs/>
      <w:sz w:val="20"/>
      <w:szCs w:val="20"/>
    </w:rPr>
  </w:style>
  <w:style w:type="paragraph" w:styleId="BalloonText">
    <w:name w:val="Balloon Text"/>
    <w:basedOn w:val="Normal"/>
    <w:link w:val="BalloonTextChar"/>
    <w:uiPriority w:val="99"/>
    <w:semiHidden/>
    <w:unhideWhenUsed/>
    <w:rsid w:val="005B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85"/>
    <w:rPr>
      <w:rFonts w:ascii="Segoe UI" w:hAnsi="Segoe UI" w:cs="Segoe UI"/>
      <w:sz w:val="18"/>
      <w:szCs w:val="18"/>
    </w:rPr>
  </w:style>
  <w:style w:type="paragraph" w:styleId="ListParagraph">
    <w:name w:val="List Paragraph"/>
    <w:basedOn w:val="Normal"/>
    <w:uiPriority w:val="34"/>
    <w:qFormat/>
    <w:rsid w:val="005B3085"/>
    <w:pPr>
      <w:ind w:left="720"/>
      <w:contextualSpacing/>
    </w:pPr>
  </w:style>
  <w:style w:type="paragraph" w:styleId="FootnoteText">
    <w:name w:val="footnote text"/>
    <w:aliases w:val="F1"/>
    <w:basedOn w:val="Normal"/>
    <w:link w:val="FootnoteTextChar"/>
    <w:uiPriority w:val="99"/>
    <w:unhideWhenUsed/>
    <w:rsid w:val="005B3085"/>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B3085"/>
    <w:rPr>
      <w:sz w:val="20"/>
      <w:szCs w:val="20"/>
    </w:rPr>
  </w:style>
  <w:style w:type="character" w:styleId="FootnoteReference">
    <w:name w:val="footnote reference"/>
    <w:basedOn w:val="DefaultParagraphFont"/>
    <w:uiPriority w:val="99"/>
    <w:unhideWhenUsed/>
    <w:rsid w:val="005B3085"/>
    <w:rPr>
      <w:vertAlign w:val="superscript"/>
    </w:rPr>
  </w:style>
  <w:style w:type="character" w:styleId="Hyperlink">
    <w:name w:val="Hyperlink"/>
    <w:basedOn w:val="DefaultParagraphFont"/>
    <w:uiPriority w:val="99"/>
    <w:unhideWhenUsed/>
    <w:rsid w:val="005B3085"/>
    <w:rPr>
      <w:color w:val="0563C1" w:themeColor="hyperlink"/>
      <w:u w:val="single"/>
    </w:rPr>
  </w:style>
  <w:style w:type="table" w:styleId="TableGrid">
    <w:name w:val="Table Grid"/>
    <w:basedOn w:val="TableNormal"/>
    <w:uiPriority w:val="39"/>
    <w:rsid w:val="005B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3085"/>
    <w:pPr>
      <w:spacing w:after="0" w:line="240" w:lineRule="auto"/>
    </w:pPr>
  </w:style>
  <w:style w:type="paragraph" w:customStyle="1" w:styleId="CM14">
    <w:name w:val="CM14"/>
    <w:basedOn w:val="Normal"/>
    <w:next w:val="Normal"/>
    <w:uiPriority w:val="99"/>
    <w:rsid w:val="005B3085"/>
    <w:pPr>
      <w:autoSpaceDE w:val="0"/>
      <w:autoSpaceDN w:val="0"/>
      <w:adjustRightInd w:val="0"/>
      <w:spacing w:after="0" w:line="240" w:lineRule="auto"/>
    </w:pPr>
    <w:rPr>
      <w:rFonts w:ascii="Minion Pro" w:eastAsia="Times New Roman" w:hAnsi="Minion Pro" w:cs="Times New Roman"/>
      <w:sz w:val="24"/>
      <w:szCs w:val="24"/>
    </w:rPr>
  </w:style>
  <w:style w:type="paragraph" w:styleId="Header">
    <w:name w:val="header"/>
    <w:basedOn w:val="Normal"/>
    <w:link w:val="HeaderChar"/>
    <w:uiPriority w:val="99"/>
    <w:unhideWhenUsed/>
    <w:rsid w:val="005B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085"/>
  </w:style>
  <w:style w:type="paragraph" w:styleId="Footer">
    <w:name w:val="footer"/>
    <w:basedOn w:val="Normal"/>
    <w:link w:val="FooterChar"/>
    <w:uiPriority w:val="99"/>
    <w:unhideWhenUsed/>
    <w:rsid w:val="005B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085"/>
  </w:style>
  <w:style w:type="character" w:customStyle="1" w:styleId="UnresolvedMention1">
    <w:name w:val="Unresolved Mention1"/>
    <w:basedOn w:val="DefaultParagraphFont"/>
    <w:uiPriority w:val="99"/>
    <w:semiHidden/>
    <w:unhideWhenUsed/>
    <w:rsid w:val="005B3085"/>
    <w:rPr>
      <w:color w:val="605E5C"/>
      <w:shd w:val="clear" w:color="auto" w:fill="E1DFDD"/>
    </w:rPr>
  </w:style>
  <w:style w:type="character" w:customStyle="1" w:styleId="UnresolvedMention2">
    <w:name w:val="Unresolved Mention2"/>
    <w:basedOn w:val="DefaultParagraphFont"/>
    <w:uiPriority w:val="99"/>
    <w:semiHidden/>
    <w:unhideWhenUsed/>
    <w:rsid w:val="005B3085"/>
    <w:rPr>
      <w:color w:val="605E5C"/>
      <w:shd w:val="clear" w:color="auto" w:fill="E1DFDD"/>
    </w:rPr>
  </w:style>
  <w:style w:type="paragraph" w:customStyle="1" w:styleId="Default">
    <w:name w:val="Default"/>
    <w:basedOn w:val="Normal"/>
    <w:rsid w:val="005B3085"/>
    <w:pPr>
      <w:autoSpaceDE w:val="0"/>
      <w:autoSpaceDN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5B3085"/>
    <w:rPr>
      <w:color w:val="605E5C"/>
      <w:shd w:val="clear" w:color="auto" w:fill="E1DFDD"/>
    </w:rPr>
  </w:style>
  <w:style w:type="character" w:styleId="UnresolvedMention">
    <w:name w:val="Unresolved Mention"/>
    <w:basedOn w:val="DefaultParagraphFont"/>
    <w:uiPriority w:val="99"/>
    <w:semiHidden/>
    <w:unhideWhenUsed/>
    <w:rsid w:val="00F9078A"/>
    <w:rPr>
      <w:color w:val="605E5C"/>
      <w:shd w:val="clear" w:color="auto" w:fill="E1DFDD"/>
    </w:rPr>
  </w:style>
  <w:style w:type="character" w:customStyle="1" w:styleId="SP-SglSpParaChar">
    <w:name w:val="SP-Sgl Sp Para Char"/>
    <w:link w:val="SP-SglSpPara"/>
    <w:uiPriority w:val="99"/>
    <w:locked/>
    <w:rsid w:val="00912D4E"/>
    <w:rPr>
      <w:rFonts w:ascii="Times New Roman" w:eastAsia="Times New Roman" w:hAnsi="Times New Roman" w:cs="Times New Roman"/>
      <w:szCs w:val="20"/>
    </w:rPr>
  </w:style>
  <w:style w:type="paragraph" w:customStyle="1" w:styleId="SP-SglSpPara">
    <w:name w:val="SP-Sgl Sp Para"/>
    <w:link w:val="SP-SglSpParaChar"/>
    <w:uiPriority w:val="99"/>
    <w:rsid w:val="00912D4E"/>
    <w:pPr>
      <w:tabs>
        <w:tab w:val="left" w:pos="576"/>
      </w:tabs>
      <w:spacing w:after="0" w:line="240" w:lineRule="atLeast"/>
      <w:ind w:firstLine="576"/>
      <w:jc w:val="both"/>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436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amstat.org/docs/default-source/amstat-documents/the-nation's-data-at-risk---report.pdf?v=0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48C3-93A4-974C-AAF5-F0655F28DEF4}">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6130</Words>
  <Characters>34945</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Adams, Devon</cp:lastModifiedBy>
  <cp:revision>2</cp:revision>
  <cp:lastPrinted>2026-01-10T00:17:00Z</cp:lastPrinted>
  <dcterms:created xsi:type="dcterms:W3CDTF">2026-06-10T14:48:00Z</dcterms:created>
  <dcterms:modified xsi:type="dcterms:W3CDTF">2026-06-10T14:48:00Z</dcterms:modified>
</cp:coreProperties>
</file>