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RPr="0012107F" w:rsidP="00116CD5" w14:paraId="4C554728" w14:textId="77777777">
      <w:pPr>
        <w:widowControl/>
        <w:tabs>
          <w:tab w:val="left" w:pos="720"/>
        </w:tabs>
        <w:ind w:left="720" w:hanging="1440"/>
        <w:jc w:val="center"/>
        <w:rPr>
          <w:rFonts w:ascii="Times New Roman" w:hAnsi="Times New Roman"/>
          <w:b/>
          <w:bCs/>
        </w:rPr>
      </w:pPr>
    </w:p>
    <w:p w:rsidR="00B879FA" w:rsidRPr="0012107F" w:rsidP="00B879FA" w14:paraId="29982F2D" w14:textId="77777777">
      <w:pPr>
        <w:widowControl/>
        <w:tabs>
          <w:tab w:val="left" w:pos="720"/>
        </w:tabs>
        <w:ind w:left="720" w:hanging="1440"/>
        <w:jc w:val="center"/>
        <w:rPr>
          <w:rFonts w:ascii="Times New Roman" w:hAnsi="Times New Roman"/>
          <w:b/>
          <w:bCs/>
        </w:rPr>
      </w:pPr>
      <w:r w:rsidRPr="0012107F">
        <w:rPr>
          <w:rFonts w:ascii="Times New Roman" w:hAnsi="Times New Roman"/>
          <w:b/>
          <w:bCs/>
        </w:rPr>
        <w:t>SUPPORTING STATEMENT FOR</w:t>
      </w:r>
    </w:p>
    <w:p w:rsidR="00116CD5" w:rsidRPr="0012107F" w:rsidP="00B879FA" w14:paraId="2523DF68" w14:textId="40387CFB">
      <w:pPr>
        <w:widowControl/>
        <w:tabs>
          <w:tab w:val="left" w:pos="720"/>
        </w:tabs>
        <w:ind w:left="720" w:hanging="1440"/>
        <w:jc w:val="center"/>
        <w:rPr>
          <w:rFonts w:ascii="Times New Roman" w:hAnsi="Times New Roman"/>
          <w:b/>
          <w:bCs/>
        </w:rPr>
      </w:pPr>
      <w:r w:rsidRPr="0012107F">
        <w:rPr>
          <w:rFonts w:ascii="Times New Roman" w:hAnsi="Times New Roman"/>
          <w:b/>
          <w:bCs/>
        </w:rPr>
        <w:t xml:space="preserve"> </w:t>
      </w:r>
      <w:r w:rsidR="00F1664C">
        <w:rPr>
          <w:rFonts w:ascii="Times New Roman" w:hAnsi="Times New Roman"/>
          <w:b/>
          <w:bCs/>
        </w:rPr>
        <w:t xml:space="preserve">CENSUS OF </w:t>
      </w:r>
      <w:r w:rsidR="009A4A93">
        <w:rPr>
          <w:rFonts w:ascii="Times New Roman" w:hAnsi="Times New Roman"/>
          <w:b/>
          <w:bCs/>
        </w:rPr>
        <w:t>PROSECUTOR</w:t>
      </w:r>
      <w:r w:rsidR="00F1664C">
        <w:rPr>
          <w:rFonts w:ascii="Times New Roman" w:hAnsi="Times New Roman"/>
          <w:b/>
          <w:bCs/>
        </w:rPr>
        <w:t xml:space="preserve"> OFFICES</w:t>
      </w:r>
    </w:p>
    <w:p w:rsidR="000B6FB6" w:rsidRPr="0012107F" w:rsidP="00690F56" w14:paraId="1CF8A88F" w14:textId="77777777">
      <w:pPr>
        <w:widowControl/>
        <w:rPr>
          <w:rFonts w:ascii="Times New Roman" w:hAnsi="Times New Roman"/>
          <w:b/>
          <w:bCs/>
        </w:rPr>
      </w:pPr>
    </w:p>
    <w:p w:rsidR="00705CF8" w:rsidP="00D7631B" w14:paraId="6D794A78" w14:textId="0B5EE5C6">
      <w:pPr>
        <w:pStyle w:val="ListParagraph"/>
        <w:widowControl/>
        <w:numPr>
          <w:ilvl w:val="0"/>
          <w:numId w:val="32"/>
        </w:numPr>
        <w:rPr>
          <w:rFonts w:ascii="Times New Roman" w:hAnsi="Times New Roman"/>
          <w:b/>
          <w:bCs/>
        </w:rPr>
      </w:pPr>
      <w:r>
        <w:rPr>
          <w:rFonts w:ascii="Times New Roman" w:hAnsi="Times New Roman"/>
          <w:b/>
          <w:bCs/>
        </w:rPr>
        <w:t>JUSTIFICATION</w:t>
      </w:r>
    </w:p>
    <w:p w:rsidR="00D7631B" w:rsidP="00D7631B" w14:paraId="00FE9504" w14:textId="77777777">
      <w:pPr>
        <w:widowControl/>
        <w:rPr>
          <w:rFonts w:ascii="Times New Roman" w:hAnsi="Times New Roman"/>
          <w:b/>
          <w:bCs/>
        </w:rPr>
      </w:pPr>
    </w:p>
    <w:p w:rsidR="00D7631B" w:rsidP="00D7631B" w14:paraId="75EE6490" w14:textId="46E62ADA">
      <w:pPr>
        <w:widowControl/>
        <w:rPr>
          <w:rFonts w:ascii="Times New Roman" w:hAnsi="Times New Roman"/>
          <w:b/>
          <w:bCs/>
        </w:rPr>
      </w:pPr>
      <w:r>
        <w:rPr>
          <w:rFonts w:ascii="Times New Roman" w:hAnsi="Times New Roman"/>
          <w:b/>
          <w:bCs/>
        </w:rPr>
        <w:t>Overview</w:t>
      </w:r>
    </w:p>
    <w:p w:rsidR="00D7631B" w:rsidRPr="000A214D" w:rsidP="00D7631B" w14:paraId="1A84A6E2" w14:textId="77777777">
      <w:pPr>
        <w:widowControl/>
        <w:rPr>
          <w:rFonts w:ascii="Times New Roman" w:hAnsi="Times New Roman"/>
          <w:b/>
          <w:bCs/>
        </w:rPr>
      </w:pPr>
    </w:p>
    <w:p w:rsidR="00B87C16" w:rsidRPr="00AE2C40" w:rsidP="00207712" w14:paraId="59F4CEA9" w14:textId="57ECB40D">
      <w:pPr>
        <w:widowControl/>
        <w:autoSpaceDE/>
        <w:autoSpaceDN/>
        <w:adjustRightInd/>
        <w:rPr>
          <w:rFonts w:ascii="Times New Roman" w:hAnsi="Times New Roman"/>
        </w:rPr>
      </w:pPr>
      <w:r w:rsidRPr="009A4A93">
        <w:rPr>
          <w:rFonts w:ascii="Times New Roman" w:hAnsi="Times New Roman"/>
        </w:rPr>
        <w:t>The Bureau of Justice Statistics (BJS)</w:t>
      </w:r>
      <w:r>
        <w:rPr>
          <w:rFonts w:ascii="Times New Roman" w:hAnsi="Times New Roman"/>
        </w:rPr>
        <w:t>, through a cooperative agreement (</w:t>
      </w:r>
      <w:r w:rsidRPr="008C0B31" w:rsidR="008C0B31">
        <w:rPr>
          <w:rFonts w:ascii="Times New Roman" w:hAnsi="Times New Roman"/>
        </w:rPr>
        <w:t>15PBJS-23-GK-02627-BJSB</w:t>
      </w:r>
      <w:r>
        <w:rPr>
          <w:rFonts w:ascii="Times New Roman" w:hAnsi="Times New Roman"/>
        </w:rPr>
        <w:t>) with its data collection agent, the Urban Institute</w:t>
      </w:r>
      <w:r w:rsidR="00207712">
        <w:rPr>
          <w:rFonts w:ascii="Times New Roman" w:hAnsi="Times New Roman"/>
        </w:rPr>
        <w:t xml:space="preserve"> (Urban)</w:t>
      </w:r>
      <w:r w:rsidR="00B327B5">
        <w:rPr>
          <w:rFonts w:ascii="Times New Roman" w:hAnsi="Times New Roman"/>
        </w:rPr>
        <w:t>,</w:t>
      </w:r>
      <w:r w:rsidRPr="009A4A93">
        <w:rPr>
          <w:rFonts w:ascii="Times New Roman" w:hAnsi="Times New Roman"/>
        </w:rPr>
        <w:t xml:space="preserve"> requests clearance to conduct the 2025 Census of </w:t>
      </w:r>
      <w:r w:rsidR="00F9597A">
        <w:rPr>
          <w:rFonts w:ascii="Times New Roman" w:hAnsi="Times New Roman"/>
        </w:rPr>
        <w:t>Prosecuto</w:t>
      </w:r>
      <w:r w:rsidRPr="009A4A93">
        <w:rPr>
          <w:rFonts w:ascii="Times New Roman" w:hAnsi="Times New Roman"/>
        </w:rPr>
        <w:t>r Offices (</w:t>
      </w:r>
      <w:r w:rsidR="00A35CD3">
        <w:rPr>
          <w:rFonts w:ascii="Times New Roman" w:hAnsi="Times New Roman"/>
        </w:rPr>
        <w:t>2025 CPO</w:t>
      </w:r>
      <w:r w:rsidRPr="009A4A93">
        <w:rPr>
          <w:rFonts w:ascii="Times New Roman" w:hAnsi="Times New Roman"/>
        </w:rPr>
        <w:t>), an iteration of the National Survey of Prosecutors (NSP) series</w:t>
      </w:r>
      <w:r w:rsidR="00615E5B">
        <w:rPr>
          <w:rFonts w:ascii="Times New Roman" w:hAnsi="Times New Roman"/>
        </w:rPr>
        <w:t xml:space="preserve"> (OMB Control Number 1121-0149, latest expiration 12/31/2023)</w:t>
      </w:r>
      <w:r w:rsidRPr="009A4A93">
        <w:rPr>
          <w:rFonts w:ascii="Times New Roman" w:hAnsi="Times New Roman"/>
        </w:rPr>
        <w:t>.</w:t>
      </w:r>
      <w:r w:rsidRPr="00B87C16">
        <w:rPr>
          <w:rFonts w:ascii="Roboto" w:hAnsi="Roboto"/>
          <w:color w:val="1B1B1B"/>
          <w:sz w:val="26"/>
          <w:szCs w:val="26"/>
          <w:shd w:val="clear" w:color="auto" w:fill="FFFFFF"/>
        </w:rPr>
        <w:t xml:space="preserve"> </w:t>
      </w:r>
      <w:r w:rsidR="006A7FA8">
        <w:rPr>
          <w:rFonts w:ascii="Times New Roman" w:hAnsi="Times New Roman"/>
        </w:rPr>
        <w:t>This collection</w:t>
      </w:r>
      <w:r w:rsidRPr="00B87C16">
        <w:rPr>
          <w:rFonts w:ascii="Times New Roman" w:hAnsi="Times New Roman"/>
        </w:rPr>
        <w:t xml:space="preserve"> gathers general administration information on </w:t>
      </w:r>
      <w:r>
        <w:rPr>
          <w:rFonts w:ascii="Times New Roman" w:hAnsi="Times New Roman"/>
        </w:rPr>
        <w:t xml:space="preserve">staffing, </w:t>
      </w:r>
      <w:r w:rsidRPr="00B87C16">
        <w:rPr>
          <w:rFonts w:ascii="Times New Roman" w:hAnsi="Times New Roman"/>
        </w:rPr>
        <w:t>budgets,</w:t>
      </w:r>
      <w:r>
        <w:rPr>
          <w:rFonts w:ascii="Times New Roman" w:hAnsi="Times New Roman"/>
        </w:rPr>
        <w:t xml:space="preserve"> and caseloads of state prosecutor offices. BJS </w:t>
      </w:r>
      <w:r w:rsidRPr="00EA794E" w:rsidR="00EA794E">
        <w:rPr>
          <w:rFonts w:ascii="Times New Roman" w:hAnsi="Times New Roman"/>
        </w:rPr>
        <w:t xml:space="preserve">has collected data from state court prosecutors through a survey or census since 1990. </w:t>
      </w:r>
      <w:r w:rsidR="00EA794E">
        <w:rPr>
          <w:rFonts w:ascii="Times New Roman" w:hAnsi="Times New Roman"/>
        </w:rPr>
        <w:t>T</w:t>
      </w:r>
      <w:r w:rsidRPr="00EA794E" w:rsidR="00EA794E">
        <w:rPr>
          <w:rFonts w:ascii="Times New Roman" w:hAnsi="Times New Roman"/>
        </w:rPr>
        <w:t>he last census was conducted in 2007, and the last survey was conducted in 2020.</w:t>
      </w:r>
      <w:r w:rsidRPr="00EA794E" w:rsidR="00EA794E">
        <w:rPr>
          <w:rFonts w:ascii="Arial" w:hAnsi="Arial" w:cs="Arial"/>
          <w:color w:val="000000"/>
          <w:sz w:val="23"/>
          <w:szCs w:val="23"/>
        </w:rPr>
        <w:t xml:space="preserve"> </w:t>
      </w:r>
      <w:r w:rsidR="00A35CD3">
        <w:rPr>
          <w:rFonts w:ascii="Times New Roman" w:hAnsi="Times New Roman"/>
        </w:rPr>
        <w:t>2025 CPO</w:t>
      </w:r>
      <w:r w:rsidR="00EA794E">
        <w:rPr>
          <w:rFonts w:ascii="Times New Roman" w:hAnsi="Times New Roman"/>
        </w:rPr>
        <w:t xml:space="preserve"> </w:t>
      </w:r>
      <w:r w:rsidRPr="00EA794E" w:rsidR="00EA794E">
        <w:rPr>
          <w:rFonts w:ascii="Times New Roman" w:hAnsi="Times New Roman"/>
        </w:rPr>
        <w:t>seeks</w:t>
      </w:r>
      <w:r w:rsidRPr="009A4A93">
        <w:rPr>
          <w:rFonts w:ascii="Times New Roman" w:hAnsi="Times New Roman"/>
        </w:rPr>
        <w:t xml:space="preserve"> information on the administration and operational characteristics </w:t>
      </w:r>
      <w:r w:rsidR="007271AD">
        <w:rPr>
          <w:rFonts w:ascii="Times New Roman" w:hAnsi="Times New Roman"/>
        </w:rPr>
        <w:t>of</w:t>
      </w:r>
      <w:r w:rsidR="00207712">
        <w:rPr>
          <w:rFonts w:ascii="Times New Roman" w:hAnsi="Times New Roman"/>
        </w:rPr>
        <w:t xml:space="preserve"> the</w:t>
      </w:r>
      <w:r w:rsidR="00FE1BF9">
        <w:rPr>
          <w:rFonts w:ascii="Times New Roman" w:hAnsi="Times New Roman"/>
        </w:rPr>
        <w:t xml:space="preserve"> 2,3</w:t>
      </w:r>
      <w:r w:rsidR="00C07C74">
        <w:rPr>
          <w:rFonts w:ascii="Times New Roman" w:hAnsi="Times New Roman"/>
        </w:rPr>
        <w:t>49</w:t>
      </w:r>
      <w:r w:rsidRPr="009A4A93">
        <w:rPr>
          <w:rFonts w:ascii="Times New Roman" w:hAnsi="Times New Roman"/>
        </w:rPr>
        <w:t xml:space="preserve"> prosecutor offices that handle felony cases in </w:t>
      </w:r>
      <w:r w:rsidR="009F064A">
        <w:rPr>
          <w:rFonts w:ascii="Times New Roman" w:hAnsi="Times New Roman"/>
        </w:rPr>
        <w:t xml:space="preserve">state </w:t>
      </w:r>
      <w:r w:rsidRPr="009A4A93">
        <w:rPr>
          <w:rFonts w:ascii="Times New Roman" w:hAnsi="Times New Roman"/>
        </w:rPr>
        <w:t>criminal courts.</w:t>
      </w:r>
      <w:r w:rsidR="00B327B5">
        <w:rPr>
          <w:rFonts w:ascii="Times New Roman" w:hAnsi="Times New Roman"/>
        </w:rPr>
        <w:t xml:space="preserve"> </w:t>
      </w:r>
      <w:r w:rsidRPr="00AE2C40" w:rsidR="00B327B5">
        <w:rPr>
          <w:rFonts w:ascii="Times New Roman" w:hAnsi="Times New Roman"/>
        </w:rPr>
        <w:t>Th</w:t>
      </w:r>
      <w:r w:rsidR="009F064A">
        <w:rPr>
          <w:rFonts w:ascii="Times New Roman" w:hAnsi="Times New Roman"/>
        </w:rPr>
        <w:t xml:space="preserve">is effort </w:t>
      </w:r>
      <w:r w:rsidR="00C82206">
        <w:rPr>
          <w:rFonts w:ascii="Times New Roman" w:hAnsi="Times New Roman"/>
        </w:rPr>
        <w:t>is part of</w:t>
      </w:r>
      <w:r w:rsidRPr="00AE2C40" w:rsidR="00B327B5">
        <w:rPr>
          <w:rFonts w:ascii="Times New Roman" w:hAnsi="Times New Roman"/>
        </w:rPr>
        <w:t xml:space="preserve"> </w:t>
      </w:r>
      <w:r w:rsidR="00C82206">
        <w:rPr>
          <w:rFonts w:ascii="Times New Roman" w:hAnsi="Times New Roman"/>
        </w:rPr>
        <w:t xml:space="preserve">a </w:t>
      </w:r>
      <w:r w:rsidRPr="00AE2C40" w:rsidR="00B327B5">
        <w:rPr>
          <w:rFonts w:ascii="Times New Roman" w:hAnsi="Times New Roman"/>
        </w:rPr>
        <w:t xml:space="preserve">sequence of BJS’s statistical collections </w:t>
      </w:r>
      <w:r w:rsidR="00C82206">
        <w:rPr>
          <w:rFonts w:ascii="Times New Roman" w:hAnsi="Times New Roman"/>
        </w:rPr>
        <w:t>that focus on</w:t>
      </w:r>
      <w:r w:rsidRPr="00AE2C40" w:rsidR="00B327B5">
        <w:rPr>
          <w:rFonts w:ascii="Times New Roman" w:hAnsi="Times New Roman"/>
        </w:rPr>
        <w:t xml:space="preserve"> key criminal justice measures and institutions</w:t>
      </w:r>
      <w:r w:rsidR="00B327B5">
        <w:rPr>
          <w:rFonts w:ascii="Times New Roman" w:hAnsi="Times New Roman"/>
        </w:rPr>
        <w:t xml:space="preserve">. </w:t>
      </w:r>
    </w:p>
    <w:p w:rsidR="00B327B5" w:rsidP="00705CF8" w14:paraId="14FE17CF" w14:textId="77777777">
      <w:pPr>
        <w:widowControl/>
        <w:rPr>
          <w:rFonts w:asciiTheme="minorHAnsi" w:hAnsiTheme="minorHAnsi" w:cstheme="minorHAnsi"/>
          <w:sz w:val="22"/>
          <w:szCs w:val="22"/>
        </w:rPr>
      </w:pPr>
    </w:p>
    <w:p w:rsidR="00690F56" w:rsidP="00690F56" w14:paraId="375316BB" w14:textId="2EC43A27">
      <w:pPr>
        <w:widowControl/>
        <w:rPr>
          <w:rFonts w:ascii="Times New Roman" w:hAnsi="Times New Roman"/>
        </w:rPr>
      </w:pPr>
      <w:r>
        <w:rPr>
          <w:rFonts w:ascii="Times New Roman" w:hAnsi="Times New Roman"/>
        </w:rPr>
        <w:t>T</w:t>
      </w:r>
      <w:r w:rsidR="00AF2577">
        <w:rPr>
          <w:rFonts w:ascii="Times New Roman" w:hAnsi="Times New Roman"/>
        </w:rPr>
        <w:t xml:space="preserve">he </w:t>
      </w:r>
      <w:r w:rsidR="00A35CD3">
        <w:rPr>
          <w:rFonts w:ascii="Times New Roman" w:hAnsi="Times New Roman"/>
        </w:rPr>
        <w:t>2025 CPO</w:t>
      </w:r>
      <w:r w:rsidRPr="00DA7BE2" w:rsidR="00DA7BE2">
        <w:rPr>
          <w:rFonts w:ascii="Times New Roman" w:hAnsi="Times New Roman"/>
        </w:rPr>
        <w:t xml:space="preserve"> aims to build a current frame of </w:t>
      </w:r>
      <w:r w:rsidR="009A4A93">
        <w:rPr>
          <w:rFonts w:ascii="Times New Roman" w:hAnsi="Times New Roman"/>
        </w:rPr>
        <w:t>state prosecutor</w:t>
      </w:r>
      <w:r w:rsidRPr="00DA7BE2" w:rsidR="00DA7BE2">
        <w:rPr>
          <w:rFonts w:ascii="Times New Roman" w:hAnsi="Times New Roman"/>
        </w:rPr>
        <w:t xml:space="preserve"> offices and administer a survey</w:t>
      </w:r>
      <w:r w:rsidR="00887F39">
        <w:rPr>
          <w:rFonts w:ascii="Times New Roman" w:hAnsi="Times New Roman"/>
        </w:rPr>
        <w:t xml:space="preserve"> (</w:t>
      </w:r>
      <w:r w:rsidRPr="004A2169" w:rsidR="00887F39">
        <w:rPr>
          <w:rFonts w:ascii="Times New Roman" w:hAnsi="Times New Roman"/>
          <w:b/>
          <w:bCs/>
        </w:rPr>
        <w:t>Attachment 1</w:t>
      </w:r>
      <w:r w:rsidR="00887F39">
        <w:rPr>
          <w:rFonts w:ascii="Times New Roman" w:hAnsi="Times New Roman"/>
        </w:rPr>
        <w:t>)</w:t>
      </w:r>
      <w:r w:rsidRPr="00DA7BE2" w:rsidR="00DA7BE2">
        <w:rPr>
          <w:rFonts w:ascii="Times New Roman" w:hAnsi="Times New Roman"/>
        </w:rPr>
        <w:t xml:space="preserve"> to all </w:t>
      </w:r>
      <w:r w:rsidR="00524D83">
        <w:rPr>
          <w:rFonts w:ascii="Times New Roman" w:hAnsi="Times New Roman"/>
        </w:rPr>
        <w:t>state prosecutor offices that handle felony cases in</w:t>
      </w:r>
      <w:r w:rsidR="00A73BFD">
        <w:rPr>
          <w:rFonts w:ascii="Times New Roman" w:hAnsi="Times New Roman"/>
        </w:rPr>
        <w:t xml:space="preserve"> courts of</w:t>
      </w:r>
      <w:r w:rsidR="00524D83">
        <w:rPr>
          <w:rFonts w:ascii="Times New Roman" w:hAnsi="Times New Roman"/>
        </w:rPr>
        <w:t xml:space="preserve"> </w:t>
      </w:r>
      <w:r w:rsidR="00AF3B2E">
        <w:rPr>
          <w:rFonts w:ascii="Times New Roman" w:hAnsi="Times New Roman"/>
        </w:rPr>
        <w:t xml:space="preserve">general </w:t>
      </w:r>
      <w:r w:rsidR="00524D83">
        <w:rPr>
          <w:rFonts w:ascii="Times New Roman" w:hAnsi="Times New Roman"/>
        </w:rPr>
        <w:t xml:space="preserve">jurisdictions </w:t>
      </w:r>
      <w:r w:rsidR="00887F39">
        <w:rPr>
          <w:rFonts w:ascii="Times New Roman" w:hAnsi="Times New Roman"/>
        </w:rPr>
        <w:t xml:space="preserve">(an overview may be found in </w:t>
      </w:r>
      <w:r w:rsidRPr="00887F39" w:rsidR="00887F39">
        <w:rPr>
          <w:rFonts w:ascii="Times New Roman" w:hAnsi="Times New Roman"/>
          <w:b/>
          <w:bCs/>
        </w:rPr>
        <w:t>Attachment 2</w:t>
      </w:r>
      <w:r w:rsidR="00887F39">
        <w:rPr>
          <w:rFonts w:ascii="Times New Roman" w:hAnsi="Times New Roman"/>
        </w:rPr>
        <w:t>)</w:t>
      </w:r>
      <w:r w:rsidRPr="00DA7BE2" w:rsidR="00DA7BE2">
        <w:rPr>
          <w:rFonts w:ascii="Times New Roman" w:hAnsi="Times New Roman"/>
        </w:rPr>
        <w:t>.</w:t>
      </w:r>
      <w:r w:rsidRPr="00AF3B2E" w:rsidR="00AF3B2E">
        <w:rPr>
          <w:rStyle w:val="FootnoteReference"/>
          <w:rFonts w:ascii="Times New Roman" w:hAnsi="Times New Roman"/>
        </w:rPr>
        <w:t xml:space="preserve"> </w:t>
      </w:r>
      <w:r>
        <w:rPr>
          <w:rStyle w:val="FootnoteReference"/>
          <w:rFonts w:ascii="Times New Roman" w:hAnsi="Times New Roman"/>
        </w:rPr>
        <w:footnoteReference w:id="2"/>
      </w:r>
      <w:r w:rsidR="00AF3B2E">
        <w:rPr>
          <w:rFonts w:ascii="Times New Roman" w:hAnsi="Times New Roman"/>
        </w:rPr>
        <w:t xml:space="preserve"> </w:t>
      </w:r>
      <w:r w:rsidRPr="00DA7BE2" w:rsidR="00DA7BE2">
        <w:rPr>
          <w:rFonts w:ascii="Times New Roman" w:hAnsi="Times New Roman"/>
        </w:rPr>
        <w:t xml:space="preserve"> </w:t>
      </w:r>
      <w:r w:rsidR="00AF2577">
        <w:rPr>
          <w:rFonts w:ascii="Times New Roman" w:hAnsi="Times New Roman"/>
        </w:rPr>
        <w:t>An earlier generic clearance addressed the frame building portion of the project</w:t>
      </w:r>
      <w:r w:rsidR="00D7631B">
        <w:rPr>
          <w:rFonts w:ascii="Times New Roman" w:hAnsi="Times New Roman"/>
        </w:rPr>
        <w:t xml:space="preserve"> (OMB #</w:t>
      </w:r>
      <w:r w:rsidR="00FD7D1F">
        <w:rPr>
          <w:rFonts w:ascii="Times New Roman" w:hAnsi="Times New Roman"/>
        </w:rPr>
        <w:t>1121-0339</w:t>
      </w:r>
      <w:r w:rsidR="005557AF">
        <w:rPr>
          <w:rFonts w:ascii="Times New Roman" w:hAnsi="Times New Roman"/>
        </w:rPr>
        <w:t xml:space="preserve">; see </w:t>
      </w:r>
      <w:r w:rsidRPr="004A2169" w:rsidR="005557AF">
        <w:rPr>
          <w:rFonts w:ascii="Times New Roman" w:hAnsi="Times New Roman"/>
          <w:b/>
          <w:bCs/>
        </w:rPr>
        <w:t xml:space="preserve">Attachment </w:t>
      </w:r>
      <w:r w:rsidR="00887F39">
        <w:rPr>
          <w:rFonts w:ascii="Times New Roman" w:hAnsi="Times New Roman"/>
          <w:b/>
          <w:bCs/>
        </w:rPr>
        <w:t>3</w:t>
      </w:r>
      <w:r w:rsidR="005557AF">
        <w:rPr>
          <w:rFonts w:ascii="Times New Roman" w:hAnsi="Times New Roman"/>
        </w:rPr>
        <w:t xml:space="preserve"> for clearance</w:t>
      </w:r>
      <w:r w:rsidR="00D7631B">
        <w:rPr>
          <w:rFonts w:ascii="Times New Roman" w:hAnsi="Times New Roman"/>
        </w:rPr>
        <w:t>)</w:t>
      </w:r>
      <w:r w:rsidR="00AF2577">
        <w:rPr>
          <w:rFonts w:ascii="Times New Roman" w:hAnsi="Times New Roman"/>
        </w:rPr>
        <w:t xml:space="preserve">. </w:t>
      </w:r>
      <w:r w:rsidRPr="00DA7BE2" w:rsidR="00B13A72">
        <w:rPr>
          <w:rFonts w:ascii="Times New Roman" w:hAnsi="Times New Roman"/>
        </w:rPr>
        <w:t xml:space="preserve">The CPO survey was developed in consultation with </w:t>
      </w:r>
      <w:r w:rsidR="00B13A72">
        <w:rPr>
          <w:rFonts w:ascii="Times New Roman" w:hAnsi="Times New Roman"/>
        </w:rPr>
        <w:t>prosecutors</w:t>
      </w:r>
      <w:r w:rsidRPr="00DA7BE2" w:rsidR="00B13A72">
        <w:rPr>
          <w:rFonts w:ascii="Times New Roman" w:hAnsi="Times New Roman"/>
        </w:rPr>
        <w:t xml:space="preserve"> to collect </w:t>
      </w:r>
      <w:r>
        <w:rPr>
          <w:rFonts w:ascii="Times New Roman" w:hAnsi="Times New Roman"/>
        </w:rPr>
        <w:t>core</w:t>
      </w:r>
      <w:r w:rsidRPr="00DA7BE2">
        <w:rPr>
          <w:rFonts w:ascii="Times New Roman" w:hAnsi="Times New Roman"/>
        </w:rPr>
        <w:t xml:space="preserve"> </w:t>
      </w:r>
      <w:r w:rsidRPr="00DA7BE2" w:rsidR="00B13A72">
        <w:rPr>
          <w:rFonts w:ascii="Times New Roman" w:hAnsi="Times New Roman"/>
        </w:rPr>
        <w:t xml:space="preserve">information on general office </w:t>
      </w:r>
      <w:r w:rsidR="00B13A72">
        <w:rPr>
          <w:rFonts w:ascii="Times New Roman" w:hAnsi="Times New Roman"/>
        </w:rPr>
        <w:t xml:space="preserve">operations </w:t>
      </w:r>
      <w:r w:rsidRPr="00DA7BE2" w:rsidR="00B13A72">
        <w:rPr>
          <w:rFonts w:ascii="Times New Roman" w:hAnsi="Times New Roman"/>
        </w:rPr>
        <w:t>including staffing,</w:t>
      </w:r>
      <w:r w:rsidR="00B13A72">
        <w:rPr>
          <w:rFonts w:ascii="Times New Roman" w:hAnsi="Times New Roman"/>
        </w:rPr>
        <w:t xml:space="preserve"> </w:t>
      </w:r>
      <w:r w:rsidR="002C0EEF">
        <w:rPr>
          <w:rFonts w:ascii="Times New Roman" w:hAnsi="Times New Roman"/>
        </w:rPr>
        <w:t>office expenditures</w:t>
      </w:r>
      <w:r w:rsidR="00B13A72">
        <w:rPr>
          <w:rFonts w:ascii="Times New Roman" w:hAnsi="Times New Roman"/>
        </w:rPr>
        <w:t>, and</w:t>
      </w:r>
      <w:r w:rsidRPr="00DA7BE2" w:rsidR="00B13A72">
        <w:rPr>
          <w:rFonts w:ascii="Times New Roman" w:hAnsi="Times New Roman"/>
        </w:rPr>
        <w:t xml:space="preserve"> caseload</w:t>
      </w:r>
      <w:r w:rsidR="002C0EEF">
        <w:rPr>
          <w:rFonts w:ascii="Times New Roman" w:hAnsi="Times New Roman"/>
        </w:rPr>
        <w:t xml:space="preserve"> statistics</w:t>
      </w:r>
      <w:r w:rsidR="00B13A72">
        <w:rPr>
          <w:rFonts w:ascii="Times New Roman" w:hAnsi="Times New Roman"/>
        </w:rPr>
        <w:t xml:space="preserve">. </w:t>
      </w:r>
    </w:p>
    <w:p w:rsidR="009A4A93" w:rsidP="00690F56" w14:paraId="5F6D88FF" w14:textId="77777777">
      <w:pPr>
        <w:widowControl/>
        <w:rPr>
          <w:rFonts w:ascii="Times New Roman" w:hAnsi="Times New Roman"/>
          <w:b/>
          <w:bCs/>
        </w:rPr>
      </w:pPr>
    </w:p>
    <w:p w:rsidR="00690F56" w:rsidRPr="0012107F" w:rsidP="00690F56" w14:paraId="38CEE6AD" w14:textId="097E51AF">
      <w:pPr>
        <w:widowControl/>
        <w:rPr>
          <w:rFonts w:ascii="Times New Roman" w:hAnsi="Times New Roman"/>
          <w:b/>
          <w:bCs/>
        </w:rPr>
      </w:pPr>
      <w:r w:rsidRPr="0012107F">
        <w:rPr>
          <w:rFonts w:ascii="Times New Roman" w:hAnsi="Times New Roman"/>
          <w:b/>
          <w:bCs/>
        </w:rPr>
        <w:t>1</w:t>
      </w:r>
      <w:r w:rsidRPr="0012107F">
        <w:rPr>
          <w:rFonts w:ascii="Times New Roman" w:hAnsi="Times New Roman"/>
          <w:b/>
          <w:bCs/>
        </w:rPr>
        <w:t>.  Explain</w:t>
      </w:r>
      <w:r w:rsidRPr="0012107F">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w:t>
      </w:r>
      <w:bookmarkStart w:id="0" w:name="_Hlk222308481"/>
      <w:r w:rsidRPr="0012107F">
        <w:rPr>
          <w:rFonts w:ascii="Times New Roman" w:hAnsi="Times New Roman"/>
          <w:b/>
          <w:bCs/>
        </w:rPr>
        <w:t xml:space="preserve">statute and regulation </w:t>
      </w:r>
      <w:bookmarkEnd w:id="0"/>
      <w:r w:rsidRPr="0012107F">
        <w:rPr>
          <w:rFonts w:ascii="Times New Roman" w:hAnsi="Times New Roman"/>
          <w:b/>
          <w:bCs/>
        </w:rPr>
        <w:t>mandating or authorizing the collection of information.</w:t>
      </w:r>
    </w:p>
    <w:p w:rsidR="00B879FA" w:rsidP="00690F56" w14:paraId="4E5E2C0A" w14:textId="3C96CB19">
      <w:pPr>
        <w:widowControl/>
        <w:rPr>
          <w:rFonts w:ascii="Times New Roman" w:hAnsi="Times New Roman"/>
        </w:rPr>
      </w:pPr>
    </w:p>
    <w:p w:rsidR="00911E1F" w:rsidRPr="00911E1F" w:rsidP="00911E1F" w14:paraId="0B4D58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contextualSpacing/>
        <w:rPr>
          <w:rFonts w:ascii="Times New Roman" w:hAnsi="Times New Roman"/>
          <w:b/>
          <w:bCs/>
          <w:u w:val="single"/>
        </w:rPr>
      </w:pPr>
      <w:r w:rsidRPr="00911E1F">
        <w:rPr>
          <w:rFonts w:ascii="Times New Roman" w:hAnsi="Times New Roman"/>
          <w:b/>
          <w:bCs/>
          <w:u w:val="single"/>
        </w:rPr>
        <w:t xml:space="preserve">Necessity </w:t>
      </w:r>
      <w:r w:rsidRPr="00911E1F">
        <w:rPr>
          <w:rFonts w:ascii="Times New Roman" w:hAnsi="Times New Roman"/>
          <w:b/>
          <w:bCs/>
          <w:u w:val="single"/>
        </w:rPr>
        <w:t>of</w:t>
      </w:r>
      <w:r w:rsidRPr="00911E1F">
        <w:rPr>
          <w:rFonts w:ascii="Times New Roman" w:hAnsi="Times New Roman"/>
          <w:b/>
          <w:bCs/>
          <w:u w:val="single"/>
        </w:rPr>
        <w:t xml:space="preserve"> Information Collection</w:t>
      </w:r>
    </w:p>
    <w:p w:rsidR="00911E1F" w:rsidP="00690F56" w14:paraId="494B1423" w14:textId="77777777">
      <w:pPr>
        <w:widowControl/>
        <w:rPr>
          <w:rFonts w:ascii="Times New Roman" w:hAnsi="Times New Roman"/>
        </w:rPr>
      </w:pPr>
    </w:p>
    <w:p w:rsidR="00CF386A" w:rsidP="00B13A72" w14:paraId="1B923A03" w14:textId="24C9C669">
      <w:pPr>
        <w:widowControl/>
        <w:autoSpaceDE/>
        <w:autoSpaceDN/>
        <w:adjustRightInd/>
        <w:rPr>
          <w:rFonts w:ascii="Times New Roman" w:hAnsi="Times New Roman"/>
        </w:rPr>
      </w:pPr>
      <w:r>
        <w:rPr>
          <w:rFonts w:ascii="Times New Roman" w:hAnsi="Times New Roman"/>
        </w:rPr>
        <w:t>2025 CPO</w:t>
      </w:r>
      <w:r w:rsidRPr="003D7C89" w:rsidR="00DB3631">
        <w:rPr>
          <w:rFonts w:ascii="Times New Roman" w:hAnsi="Times New Roman"/>
        </w:rPr>
        <w:t xml:space="preserve"> plays an important role in BJS being able to fulfill its mission to collect and disseminate information on crime and justice. Since 1990, BJS has sponsored national surveys or censuses of prosecutor offices to collect data on the resources, policies, and practices of this component of state court systems. </w:t>
      </w:r>
      <w:r w:rsidR="00DB3631">
        <w:rPr>
          <w:rFonts w:ascii="Times New Roman" w:hAnsi="Times New Roman"/>
        </w:rPr>
        <w:t xml:space="preserve">Publications from the NSP </w:t>
      </w:r>
      <w:r w:rsidR="00615E5B">
        <w:rPr>
          <w:rFonts w:ascii="Times New Roman" w:hAnsi="Times New Roman"/>
        </w:rPr>
        <w:t xml:space="preserve">series </w:t>
      </w:r>
      <w:r w:rsidR="00DB3631">
        <w:rPr>
          <w:rFonts w:ascii="Times New Roman" w:hAnsi="Times New Roman"/>
        </w:rPr>
        <w:t xml:space="preserve">include </w:t>
      </w:r>
      <w:r w:rsidRPr="00AE2C40" w:rsidR="00DB3631">
        <w:rPr>
          <w:rFonts w:ascii="Times New Roman" w:hAnsi="Times New Roman"/>
          <w:i/>
        </w:rPr>
        <w:t>Prosecutor in State Courts</w:t>
      </w:r>
      <w:r w:rsidRPr="00AE2C40" w:rsidR="00DB3631">
        <w:rPr>
          <w:rFonts w:ascii="Times New Roman" w:hAnsi="Times New Roman"/>
        </w:rPr>
        <w:t xml:space="preserve"> in 1990, 1992, 1994, 1996, 2001, 2005, 2007, and 2020.</w:t>
      </w:r>
      <w:r w:rsidR="00401F00">
        <w:rPr>
          <w:rFonts w:ascii="Times New Roman" w:hAnsi="Times New Roman"/>
        </w:rPr>
        <w:t xml:space="preserve"> Additionally</w:t>
      </w:r>
      <w:r w:rsidRPr="00AE2C40" w:rsidR="00DB3631">
        <w:rPr>
          <w:rFonts w:ascii="Times New Roman" w:hAnsi="Times New Roman"/>
        </w:rPr>
        <w:t xml:space="preserve">, BJS released </w:t>
      </w:r>
      <w:r w:rsidRPr="00AE2C40" w:rsidR="00DB3631">
        <w:rPr>
          <w:rFonts w:ascii="Times New Roman" w:hAnsi="Times New Roman"/>
          <w:i/>
        </w:rPr>
        <w:t>State Court Prosecutors in Large Districts 2001</w:t>
      </w:r>
      <w:r w:rsidRPr="00AE2C40" w:rsidR="00DB3631">
        <w:rPr>
          <w:rFonts w:ascii="Times New Roman" w:hAnsi="Times New Roman"/>
        </w:rPr>
        <w:t xml:space="preserve">, </w:t>
      </w:r>
      <w:r w:rsidRPr="00AE2C40" w:rsidR="00DB3631">
        <w:rPr>
          <w:rFonts w:ascii="Times New Roman" w:hAnsi="Times New Roman"/>
          <w:i/>
        </w:rPr>
        <w:t>State Court Prosecutors in Small Districts 2001</w:t>
      </w:r>
      <w:r w:rsidRPr="00AE2C40" w:rsidR="00DB3631">
        <w:rPr>
          <w:rFonts w:ascii="Times New Roman" w:hAnsi="Times New Roman"/>
        </w:rPr>
        <w:t xml:space="preserve">, </w:t>
      </w:r>
      <w:r w:rsidRPr="00AE2C40" w:rsidR="00DB3631">
        <w:rPr>
          <w:rFonts w:ascii="Times New Roman" w:hAnsi="Times New Roman"/>
          <w:i/>
        </w:rPr>
        <w:t xml:space="preserve">Reporting by Prosecutor Offices to Repositories of Criminal History Records 2005, </w:t>
      </w:r>
      <w:r w:rsidRPr="00AE2C40" w:rsidR="00DB3631">
        <w:rPr>
          <w:rFonts w:ascii="Times New Roman" w:hAnsi="Times New Roman"/>
        </w:rPr>
        <w:t xml:space="preserve">and </w:t>
      </w:r>
      <w:r w:rsidRPr="00AE2C40" w:rsidR="00DB3631">
        <w:rPr>
          <w:rFonts w:ascii="Times New Roman" w:hAnsi="Times New Roman"/>
          <w:i/>
        </w:rPr>
        <w:t>Juveniles Prosecuted in State Criminal Courts</w:t>
      </w:r>
      <w:r w:rsidRPr="00AE2C40" w:rsidR="00DB3631">
        <w:rPr>
          <w:rFonts w:ascii="Times New Roman" w:hAnsi="Times New Roman"/>
        </w:rPr>
        <w:t xml:space="preserve"> </w:t>
      </w:r>
      <w:r w:rsidRPr="00964B09" w:rsidR="00DB3631">
        <w:rPr>
          <w:rFonts w:ascii="Times New Roman" w:hAnsi="Times New Roman"/>
          <w:i/>
          <w:iCs/>
        </w:rPr>
        <w:t>1997</w:t>
      </w:r>
      <w:r w:rsidRPr="00AE2C40" w:rsidR="00DB3631">
        <w:rPr>
          <w:rFonts w:ascii="Times New Roman" w:hAnsi="Times New Roman"/>
        </w:rPr>
        <w:t>.</w:t>
      </w:r>
      <w:r w:rsidR="005A1C00">
        <w:rPr>
          <w:rFonts w:ascii="Times New Roman" w:hAnsi="Times New Roman"/>
        </w:rPr>
        <w:t xml:space="preserve"> </w:t>
      </w:r>
    </w:p>
    <w:p w:rsidR="00CF386A" w:rsidRPr="000501BF" w:rsidP="00B13A72" w14:paraId="5C81EEA8" w14:textId="458F74C1">
      <w:pPr>
        <w:widowControl/>
        <w:autoSpaceDE/>
        <w:autoSpaceDN/>
        <w:adjustRightInd/>
        <w:rPr>
          <w:rFonts w:ascii="Times New Roman" w:hAnsi="Times New Roman"/>
        </w:rPr>
      </w:pPr>
      <w:r w:rsidRPr="00B83D08">
        <w:rPr>
          <w:rFonts w:ascii="Times New Roman" w:hAnsi="Times New Roman"/>
        </w:rPr>
        <w:t xml:space="preserve">The information gathered in the </w:t>
      </w:r>
      <w:r>
        <w:rPr>
          <w:rFonts w:ascii="Times New Roman" w:hAnsi="Times New Roman"/>
        </w:rPr>
        <w:t>NSP</w:t>
      </w:r>
      <w:r w:rsidRPr="00B83D08">
        <w:rPr>
          <w:rFonts w:ascii="Times New Roman" w:hAnsi="Times New Roman"/>
        </w:rPr>
        <w:t xml:space="preserve"> </w:t>
      </w:r>
      <w:r w:rsidR="00615E5B">
        <w:rPr>
          <w:rFonts w:ascii="Times New Roman" w:hAnsi="Times New Roman"/>
        </w:rPr>
        <w:t xml:space="preserve">series </w:t>
      </w:r>
      <w:r w:rsidRPr="00B83D08" w:rsidR="00AF3B2E">
        <w:rPr>
          <w:rFonts w:ascii="Times New Roman" w:hAnsi="Times New Roman"/>
        </w:rPr>
        <w:t>represents</w:t>
      </w:r>
      <w:r w:rsidRPr="00B83D08">
        <w:rPr>
          <w:rFonts w:ascii="Times New Roman" w:hAnsi="Times New Roman"/>
        </w:rPr>
        <w:t xml:space="preserve"> a long-standing effort to provide national</w:t>
      </w:r>
      <w:r w:rsidRPr="007A380E">
        <w:rPr>
          <w:rFonts w:ascii="Times New Roman" w:hAnsi="Times New Roman"/>
        </w:rPr>
        <w:t xml:space="preserve">-level statistics </w:t>
      </w:r>
      <w:r w:rsidRPr="00B83D08">
        <w:rPr>
          <w:rFonts w:ascii="Times New Roman" w:hAnsi="Times New Roman"/>
        </w:rPr>
        <w:t>o</w:t>
      </w:r>
      <w:r>
        <w:rPr>
          <w:rFonts w:ascii="Times New Roman" w:hAnsi="Times New Roman"/>
        </w:rPr>
        <w:t>n the staffing</w:t>
      </w:r>
      <w:r w:rsidR="003214B2">
        <w:rPr>
          <w:rFonts w:ascii="Times New Roman" w:hAnsi="Times New Roman"/>
        </w:rPr>
        <w:t>, expenditures,</w:t>
      </w:r>
      <w:r>
        <w:rPr>
          <w:rFonts w:ascii="Times New Roman" w:hAnsi="Times New Roman"/>
        </w:rPr>
        <w:t xml:space="preserve"> and operations of</w:t>
      </w:r>
      <w:r w:rsidRPr="00B83D08">
        <w:rPr>
          <w:rFonts w:ascii="Times New Roman" w:hAnsi="Times New Roman"/>
        </w:rPr>
        <w:t xml:space="preserve"> </w:t>
      </w:r>
      <w:r w:rsidRPr="007A380E">
        <w:rPr>
          <w:rFonts w:ascii="Times New Roman" w:hAnsi="Times New Roman"/>
        </w:rPr>
        <w:t>prosecutor offices</w:t>
      </w:r>
      <w:r>
        <w:rPr>
          <w:rFonts w:ascii="Times New Roman" w:hAnsi="Times New Roman"/>
        </w:rPr>
        <w:t xml:space="preserve">. </w:t>
      </w:r>
      <w:r w:rsidRPr="00B83D08">
        <w:rPr>
          <w:rFonts w:ascii="Times New Roman" w:hAnsi="Times New Roman"/>
        </w:rPr>
        <w:t xml:space="preserve">While other professional associations and interest groups have conducted periodic collections of similar data, </w:t>
      </w:r>
      <w:bookmarkStart w:id="1" w:name="_Hlk111355000"/>
      <w:r w:rsidRPr="00B83D08">
        <w:rPr>
          <w:rFonts w:ascii="Times New Roman" w:hAnsi="Times New Roman"/>
        </w:rPr>
        <w:t xml:space="preserve">the </w:t>
      </w:r>
      <w:r w:rsidRPr="007A380E">
        <w:rPr>
          <w:rFonts w:ascii="Times New Roman" w:hAnsi="Times New Roman"/>
        </w:rPr>
        <w:t>CPO</w:t>
      </w:r>
      <w:r w:rsidR="003214B2">
        <w:rPr>
          <w:rFonts w:ascii="Times New Roman" w:hAnsi="Times New Roman"/>
        </w:rPr>
        <w:t xml:space="preserve"> portion of the NSP</w:t>
      </w:r>
      <w:r w:rsidRPr="00B83D08">
        <w:rPr>
          <w:rFonts w:ascii="Times New Roman" w:hAnsi="Times New Roman"/>
        </w:rPr>
        <w:t xml:space="preserve"> is the only ongoing </w:t>
      </w:r>
      <w:r w:rsidRPr="007A380E">
        <w:rPr>
          <w:rFonts w:ascii="Times New Roman" w:hAnsi="Times New Roman"/>
        </w:rPr>
        <w:t>census</w:t>
      </w:r>
      <w:r w:rsidRPr="00B83D08">
        <w:rPr>
          <w:rFonts w:ascii="Times New Roman" w:hAnsi="Times New Roman"/>
        </w:rPr>
        <w:t xml:space="preserve"> collection</w:t>
      </w:r>
      <w:bookmarkEnd w:id="1"/>
      <w:r w:rsidRPr="007A380E">
        <w:rPr>
          <w:rFonts w:ascii="Times New Roman" w:hAnsi="Times New Roman"/>
        </w:rPr>
        <w:t xml:space="preserve">. </w:t>
      </w:r>
      <w:r w:rsidRPr="009A4A93">
        <w:rPr>
          <w:rFonts w:ascii="Times New Roman" w:hAnsi="Times New Roman"/>
        </w:rPr>
        <w:t xml:space="preserve">With the last census conducted </w:t>
      </w:r>
      <w:r w:rsidR="002C0EEF">
        <w:rPr>
          <w:rFonts w:ascii="Times New Roman" w:hAnsi="Times New Roman"/>
        </w:rPr>
        <w:t>almost 20 years</w:t>
      </w:r>
      <w:r w:rsidRPr="009A4A93">
        <w:rPr>
          <w:rFonts w:ascii="Times New Roman" w:hAnsi="Times New Roman"/>
        </w:rPr>
        <w:t xml:space="preserve"> ago, </w:t>
      </w:r>
      <w:r>
        <w:rPr>
          <w:rFonts w:ascii="Times New Roman" w:hAnsi="Times New Roman"/>
        </w:rPr>
        <w:t>a</w:t>
      </w:r>
      <w:r w:rsidRPr="009A4A93">
        <w:rPr>
          <w:rFonts w:ascii="Times New Roman" w:hAnsi="Times New Roman"/>
        </w:rPr>
        <w:t xml:space="preserve"> new </w:t>
      </w:r>
      <w:r>
        <w:rPr>
          <w:rFonts w:ascii="Times New Roman" w:hAnsi="Times New Roman"/>
        </w:rPr>
        <w:t>collection is needed to provide updated statistics</w:t>
      </w:r>
      <w:r w:rsidR="00AA4A70">
        <w:rPr>
          <w:rFonts w:ascii="Times New Roman" w:hAnsi="Times New Roman"/>
        </w:rPr>
        <w:t xml:space="preserve"> and an updated frame for the survey collection</w:t>
      </w:r>
      <w:r>
        <w:rPr>
          <w:rFonts w:ascii="Times New Roman" w:hAnsi="Times New Roman"/>
        </w:rPr>
        <w:t xml:space="preserve">. </w:t>
      </w:r>
      <w:r w:rsidRPr="007A380E">
        <w:rPr>
          <w:rFonts w:ascii="Times New Roman" w:hAnsi="Times New Roman"/>
        </w:rPr>
        <w:t>CPO</w:t>
      </w:r>
      <w:r w:rsidRPr="00B83D08">
        <w:rPr>
          <w:rFonts w:ascii="Times New Roman" w:hAnsi="Times New Roman"/>
        </w:rPr>
        <w:t xml:space="preserve"> is a source of valuable information for criminal justice planning</w:t>
      </w:r>
      <w:r w:rsidR="00D00D2B">
        <w:rPr>
          <w:rFonts w:ascii="Times New Roman" w:hAnsi="Times New Roman"/>
        </w:rPr>
        <w:t xml:space="preserve">. </w:t>
      </w:r>
      <w:r w:rsidRPr="00B83D08">
        <w:rPr>
          <w:rFonts w:ascii="Times New Roman" w:hAnsi="Times New Roman"/>
        </w:rPr>
        <w:t xml:space="preserve">The burden involved in collecting </w:t>
      </w:r>
      <w:r w:rsidR="00A35CD3">
        <w:rPr>
          <w:rFonts w:ascii="Times New Roman" w:hAnsi="Times New Roman"/>
        </w:rPr>
        <w:t>2025 CPO</w:t>
      </w:r>
      <w:r w:rsidRPr="00B83D08">
        <w:rPr>
          <w:rFonts w:ascii="Times New Roman" w:hAnsi="Times New Roman"/>
        </w:rPr>
        <w:t xml:space="preserve"> is warranted by the fact that the data are used by the components of the U.S. Department of Justice, Congress, </w:t>
      </w:r>
      <w:r>
        <w:rPr>
          <w:rFonts w:ascii="Times New Roman" w:hAnsi="Times New Roman"/>
        </w:rPr>
        <w:t xml:space="preserve">state-legislators, </w:t>
      </w:r>
      <w:r w:rsidRPr="00B83D08">
        <w:rPr>
          <w:rFonts w:ascii="Times New Roman" w:hAnsi="Times New Roman"/>
        </w:rPr>
        <w:t xml:space="preserve">journalists, researchers, students, and </w:t>
      </w:r>
      <w:r>
        <w:rPr>
          <w:rFonts w:ascii="Times New Roman" w:hAnsi="Times New Roman"/>
        </w:rPr>
        <w:t xml:space="preserve">state </w:t>
      </w:r>
      <w:r w:rsidRPr="007A380E">
        <w:rPr>
          <w:rFonts w:ascii="Times New Roman" w:hAnsi="Times New Roman"/>
        </w:rPr>
        <w:t>prosecutor offices</w:t>
      </w:r>
      <w:r w:rsidRPr="00B83D08">
        <w:rPr>
          <w:rFonts w:ascii="Times New Roman" w:hAnsi="Times New Roman"/>
        </w:rPr>
        <w:t xml:space="preserve"> </w:t>
      </w:r>
      <w:r>
        <w:rPr>
          <w:rFonts w:ascii="Times New Roman" w:hAnsi="Times New Roman"/>
        </w:rPr>
        <w:t>themselves</w:t>
      </w:r>
      <w:r w:rsidRPr="00B83D08">
        <w:rPr>
          <w:rFonts w:ascii="Times New Roman" w:hAnsi="Times New Roman"/>
        </w:rPr>
        <w:t>.</w:t>
      </w:r>
      <w:r w:rsidR="00D82B57">
        <w:rPr>
          <w:rFonts w:ascii="Times New Roman" w:hAnsi="Times New Roman"/>
        </w:rPr>
        <w:t xml:space="preserve"> In addition to BJS publications, the public use file that will be produced from CPO will permit interested parties to conduct their own research. </w:t>
      </w:r>
      <w:r w:rsidR="0016080F">
        <w:rPr>
          <w:rFonts w:ascii="Times New Roman" w:hAnsi="Times New Roman"/>
        </w:rPr>
        <w:t xml:space="preserve">Byers, Warren-Gordon, and Jones (2012) </w:t>
      </w:r>
      <w:r w:rsidR="006F11ED">
        <w:rPr>
          <w:rFonts w:ascii="Times New Roman" w:hAnsi="Times New Roman"/>
        </w:rPr>
        <w:t xml:space="preserve">did this when they </w:t>
      </w:r>
      <w:r w:rsidR="0016080F">
        <w:rPr>
          <w:rFonts w:ascii="Times New Roman" w:hAnsi="Times New Roman"/>
        </w:rPr>
        <w:t>conducted a study using data from the 20</w:t>
      </w:r>
      <w:r w:rsidR="00D11DDC">
        <w:rPr>
          <w:rFonts w:ascii="Times New Roman" w:hAnsi="Times New Roman"/>
        </w:rPr>
        <w:t>0</w:t>
      </w:r>
      <w:r w:rsidR="0016080F">
        <w:rPr>
          <w:rFonts w:ascii="Times New Roman" w:hAnsi="Times New Roman"/>
        </w:rPr>
        <w:t>1 Census to examine state-level hate crime bias laws.</w:t>
      </w:r>
      <w:r>
        <w:rPr>
          <w:rStyle w:val="FootnoteReference"/>
          <w:rFonts w:ascii="Times New Roman" w:hAnsi="Times New Roman"/>
        </w:rPr>
        <w:footnoteReference w:id="3"/>
      </w:r>
      <w:r w:rsidR="0016080F">
        <w:rPr>
          <w:rFonts w:ascii="Times New Roman" w:hAnsi="Times New Roman"/>
        </w:rPr>
        <w:t xml:space="preserve"> </w:t>
      </w:r>
      <w:r w:rsidR="00D11DDC">
        <w:rPr>
          <w:rFonts w:ascii="Times New Roman" w:hAnsi="Times New Roman"/>
        </w:rPr>
        <w:t xml:space="preserve">Thus, information made available through CPO serves as a multifaced tool that can be used in a variety of ways. </w:t>
      </w:r>
    </w:p>
    <w:p w:rsidR="00CF386A" w:rsidP="00B13A72" w14:paraId="407667D6" w14:textId="34EF0627">
      <w:pPr>
        <w:widowControl/>
        <w:autoSpaceDE/>
        <w:autoSpaceDN/>
        <w:adjustRightInd/>
        <w:rPr>
          <w:rFonts w:ascii="Times New Roman" w:hAnsi="Times New Roman"/>
          <w:b/>
          <w:bCs/>
        </w:rPr>
      </w:pPr>
    </w:p>
    <w:p w:rsidR="00B13A72" w:rsidRPr="00CF386A" w:rsidP="00B13A72" w14:paraId="59D51D51" w14:textId="3F550224">
      <w:pPr>
        <w:widowControl/>
        <w:autoSpaceDE/>
        <w:autoSpaceDN/>
        <w:adjustRightInd/>
        <w:rPr>
          <w:rFonts w:ascii="Times New Roman" w:hAnsi="Times New Roman"/>
          <w:b/>
          <w:bCs/>
        </w:rPr>
      </w:pPr>
      <w:r>
        <w:rPr>
          <w:rFonts w:ascii="Times New Roman" w:hAnsi="Times New Roman"/>
        </w:rPr>
        <w:t>2025 CPO</w:t>
      </w:r>
      <w:r>
        <w:rPr>
          <w:rFonts w:ascii="Times New Roman" w:hAnsi="Times New Roman"/>
        </w:rPr>
        <w:t xml:space="preserve"> will </w:t>
      </w:r>
      <w:r w:rsidR="00CF386A">
        <w:rPr>
          <w:rFonts w:ascii="Times New Roman" w:hAnsi="Times New Roman"/>
        </w:rPr>
        <w:t xml:space="preserve">provide updated statistics </w:t>
      </w:r>
      <w:r w:rsidR="00AF3B2E">
        <w:rPr>
          <w:rFonts w:ascii="Times New Roman" w:hAnsi="Times New Roman"/>
        </w:rPr>
        <w:t xml:space="preserve">for the following core measures: </w:t>
      </w:r>
    </w:p>
    <w:p w:rsidR="00B13A72" w:rsidP="00B13A72" w14:paraId="5FD29DF1" w14:textId="77777777">
      <w:pPr>
        <w:widowControl/>
        <w:rPr>
          <w:rFonts w:ascii="Times New Roman" w:hAnsi="Times New Roman"/>
        </w:rPr>
      </w:pPr>
    </w:p>
    <w:p w:rsidR="00B13A72" w:rsidRPr="00AE2C40" w:rsidP="00B13A72" w14:paraId="2E020782" w14:textId="3B3FED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AE2C40">
        <w:rPr>
          <w:rFonts w:ascii="Times New Roman" w:hAnsi="Times New Roman"/>
          <w:b/>
        </w:rPr>
        <w:t>Staffing</w:t>
      </w:r>
      <w:r w:rsidRPr="00AE2C40">
        <w:rPr>
          <w:rFonts w:ascii="Times New Roman" w:hAnsi="Times New Roman"/>
        </w:rPr>
        <w:t>. Staffing questions in the CPO are directed at gathering accurate estimates on the total number and types of positions employed</w:t>
      </w:r>
      <w:r>
        <w:rPr>
          <w:rFonts w:ascii="Times New Roman" w:hAnsi="Times New Roman"/>
        </w:rPr>
        <w:t xml:space="preserve"> by prosecutor offices</w:t>
      </w:r>
      <w:r w:rsidRPr="00AE2C40">
        <w:rPr>
          <w:rFonts w:ascii="Times New Roman" w:hAnsi="Times New Roman"/>
        </w:rPr>
        <w:t xml:space="preserve">. Staffing data are crucial to understanding the human resources available to address crime in local communities. BJS has routinely used this information to do comparisons of changes in prosecutor office staffing over time. For instance, the NSP-20 found that the number of staff employed by state prosecutor offices increased by 44% from 1992 to 2020. </w:t>
      </w:r>
      <w:r w:rsidR="00A35CD3">
        <w:rPr>
          <w:rFonts w:ascii="Times New Roman" w:hAnsi="Times New Roman"/>
        </w:rPr>
        <w:t>2025 CPO</w:t>
      </w:r>
      <w:r>
        <w:rPr>
          <w:rFonts w:ascii="Times New Roman" w:hAnsi="Times New Roman"/>
        </w:rPr>
        <w:t xml:space="preserve"> will add to this information by providing staffing totals for both prosecutor and non-attorney staff.</w:t>
      </w:r>
    </w:p>
    <w:p w:rsidR="00B13A72" w:rsidRPr="00AE2C40" w:rsidP="00B13A72" w14:paraId="1EE6E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b/>
        </w:rPr>
      </w:pPr>
    </w:p>
    <w:p w:rsidR="00B13A72" w:rsidRPr="00382042" w:rsidP="00B13A72" w14:paraId="1A6DFB01" w14:textId="54B421A9">
      <w:pPr>
        <w:widowControl/>
        <w:autoSpaceDE/>
        <w:autoSpaceDN/>
        <w:adjustRightInd/>
        <w:rPr>
          <w:rFonts w:ascii="Times New Roman" w:hAnsi="Times New Roman"/>
          <w:bCs/>
        </w:rPr>
      </w:pPr>
      <w:r w:rsidRPr="00AE2C40">
        <w:rPr>
          <w:rFonts w:ascii="Times New Roman" w:hAnsi="Times New Roman"/>
          <w:b/>
        </w:rPr>
        <w:t>Budget.</w:t>
      </w:r>
      <w:r w:rsidRPr="00AE2C40">
        <w:rPr>
          <w:rFonts w:ascii="Times New Roman" w:hAnsi="Times New Roman"/>
        </w:rPr>
        <w:t xml:space="preserve"> The NSP</w:t>
      </w:r>
      <w:r w:rsidR="003214B2">
        <w:rPr>
          <w:rFonts w:ascii="Times New Roman" w:hAnsi="Times New Roman"/>
        </w:rPr>
        <w:t xml:space="preserve"> series</w:t>
      </w:r>
      <w:r w:rsidRPr="00AE2C40">
        <w:rPr>
          <w:rFonts w:ascii="Times New Roman" w:hAnsi="Times New Roman"/>
        </w:rPr>
        <w:t xml:space="preserve"> has collected prosecutor office budget </w:t>
      </w:r>
      <w:r w:rsidR="003214B2">
        <w:rPr>
          <w:rFonts w:ascii="Times New Roman" w:hAnsi="Times New Roman"/>
        </w:rPr>
        <w:t>or</w:t>
      </w:r>
      <w:r w:rsidRPr="00AE2C40" w:rsidR="003214B2">
        <w:rPr>
          <w:rFonts w:ascii="Times New Roman" w:hAnsi="Times New Roman"/>
        </w:rPr>
        <w:t xml:space="preserve"> </w:t>
      </w:r>
      <w:r w:rsidRPr="00AE2C40">
        <w:rPr>
          <w:rFonts w:ascii="Times New Roman" w:hAnsi="Times New Roman"/>
        </w:rPr>
        <w:t xml:space="preserve">expenditure information since 1990. The only national estimates </w:t>
      </w:r>
      <w:r>
        <w:rPr>
          <w:rFonts w:ascii="Times New Roman" w:hAnsi="Times New Roman"/>
        </w:rPr>
        <w:t>on this topic are from</w:t>
      </w:r>
      <w:r w:rsidRPr="00AE2C40">
        <w:rPr>
          <w:rFonts w:ascii="Times New Roman" w:hAnsi="Times New Roman"/>
        </w:rPr>
        <w:t xml:space="preserve"> </w:t>
      </w:r>
      <w:r>
        <w:rPr>
          <w:rFonts w:ascii="Times New Roman" w:hAnsi="Times New Roman"/>
        </w:rPr>
        <w:t>the NSP.</w:t>
      </w:r>
      <w:r w:rsidRPr="00AE2C40">
        <w:rPr>
          <w:rFonts w:ascii="Times New Roman" w:hAnsi="Times New Roman"/>
          <w:b/>
        </w:rPr>
        <w:t xml:space="preserve"> </w:t>
      </w:r>
      <w:r w:rsidRPr="00AE2C40">
        <w:rPr>
          <w:rFonts w:ascii="Times New Roman" w:hAnsi="Times New Roman"/>
        </w:rPr>
        <w:t>BJS</w:t>
      </w:r>
      <w:r>
        <w:rPr>
          <w:rFonts w:ascii="Times New Roman" w:hAnsi="Times New Roman"/>
        </w:rPr>
        <w:t xml:space="preserve"> data revealed interesting</w:t>
      </w:r>
      <w:r w:rsidRPr="00AE2C40">
        <w:rPr>
          <w:rFonts w:ascii="Times New Roman" w:hAnsi="Times New Roman"/>
        </w:rPr>
        <w:t xml:space="preserve"> changes </w:t>
      </w:r>
      <w:r w:rsidR="003214B2">
        <w:rPr>
          <w:rFonts w:ascii="Times New Roman" w:hAnsi="Times New Roman"/>
        </w:rPr>
        <w:t xml:space="preserve">in </w:t>
      </w:r>
      <w:r>
        <w:rPr>
          <w:rFonts w:ascii="Times New Roman" w:hAnsi="Times New Roman"/>
        </w:rPr>
        <w:t xml:space="preserve">budgets and expenditures </w:t>
      </w:r>
      <w:r w:rsidRPr="00AE2C40">
        <w:rPr>
          <w:rFonts w:ascii="Times New Roman" w:hAnsi="Times New Roman"/>
        </w:rPr>
        <w:t>over</w:t>
      </w:r>
      <w:r>
        <w:rPr>
          <w:rFonts w:ascii="Times New Roman" w:hAnsi="Times New Roman"/>
        </w:rPr>
        <w:t xml:space="preserve"> </w:t>
      </w:r>
      <w:r w:rsidRPr="00AE2C40">
        <w:rPr>
          <w:rFonts w:ascii="Times New Roman" w:hAnsi="Times New Roman"/>
        </w:rPr>
        <w:t>time</w:t>
      </w:r>
      <w:r w:rsidRPr="00382042">
        <w:rPr>
          <w:rFonts w:ascii="Times New Roman" w:hAnsi="Times New Roman"/>
        </w:rPr>
        <w:t xml:space="preserve">. For example, in 2007, the CPO </w:t>
      </w:r>
      <w:r>
        <w:rPr>
          <w:rFonts w:ascii="Times New Roman" w:hAnsi="Times New Roman"/>
        </w:rPr>
        <w:t>found</w:t>
      </w:r>
      <w:r w:rsidRPr="00382042">
        <w:rPr>
          <w:rFonts w:ascii="Times New Roman" w:hAnsi="Times New Roman"/>
        </w:rPr>
        <w:t xml:space="preserve"> that prosecutor</w:t>
      </w:r>
      <w:r>
        <w:rPr>
          <w:rFonts w:ascii="Times New Roman" w:hAnsi="Times New Roman"/>
        </w:rPr>
        <w:t xml:space="preserve"> </w:t>
      </w:r>
      <w:r w:rsidRPr="00382042">
        <w:rPr>
          <w:rFonts w:ascii="Times New Roman" w:hAnsi="Times New Roman"/>
        </w:rPr>
        <w:t xml:space="preserve">offices nationwide had total budgets of over $5.8 billion, which was over </w:t>
      </w:r>
      <w:r>
        <w:rPr>
          <w:rFonts w:ascii="Times New Roman" w:hAnsi="Times New Roman"/>
        </w:rPr>
        <w:t>$</w:t>
      </w:r>
      <w:r w:rsidRPr="00382042">
        <w:rPr>
          <w:rFonts w:ascii="Times New Roman" w:hAnsi="Times New Roman"/>
        </w:rPr>
        <w:t>1.2 billion</w:t>
      </w:r>
      <w:r>
        <w:rPr>
          <w:rFonts w:ascii="Times New Roman" w:hAnsi="Times New Roman"/>
        </w:rPr>
        <w:t xml:space="preserve"> more than</w:t>
      </w:r>
      <w:r w:rsidRPr="00382042">
        <w:rPr>
          <w:rFonts w:ascii="Times New Roman" w:hAnsi="Times New Roman"/>
        </w:rPr>
        <w:t xml:space="preserve"> </w:t>
      </w:r>
      <w:r>
        <w:rPr>
          <w:rFonts w:ascii="Times New Roman" w:hAnsi="Times New Roman"/>
        </w:rPr>
        <w:t xml:space="preserve">what </w:t>
      </w:r>
      <w:r w:rsidRPr="00382042">
        <w:rPr>
          <w:rFonts w:ascii="Times New Roman" w:hAnsi="Times New Roman"/>
        </w:rPr>
        <w:t>was reported in 2001 (</w:t>
      </w:r>
      <w:r>
        <w:rPr>
          <w:rFonts w:ascii="Times New Roman" w:hAnsi="Times New Roman"/>
        </w:rPr>
        <w:t>$</w:t>
      </w:r>
      <w:r w:rsidRPr="00382042">
        <w:rPr>
          <w:rFonts w:ascii="Times New Roman" w:hAnsi="Times New Roman"/>
        </w:rPr>
        <w:t>4.6 billion). Moreover,</w:t>
      </w:r>
      <w:r>
        <w:rPr>
          <w:rFonts w:ascii="Times New Roman" w:hAnsi="Times New Roman"/>
          <w:b/>
        </w:rPr>
        <w:t xml:space="preserve"> </w:t>
      </w:r>
      <w:r>
        <w:rPr>
          <w:rFonts w:ascii="Times New Roman" w:hAnsi="Times New Roman"/>
        </w:rPr>
        <w:t>NSP-20 found that</w:t>
      </w:r>
      <w:r w:rsidRPr="00AE2C40">
        <w:rPr>
          <w:rFonts w:ascii="Times New Roman" w:hAnsi="Times New Roman"/>
        </w:rPr>
        <w:t xml:space="preserve"> state prosecutor offices’ operating expenditure totaled nearly $6.5 billion</w:t>
      </w:r>
      <w:r>
        <w:rPr>
          <w:rFonts w:ascii="Times New Roman" w:hAnsi="Times New Roman"/>
        </w:rPr>
        <w:t xml:space="preserve"> and t</w:t>
      </w:r>
      <w:r w:rsidRPr="008C0B31">
        <w:rPr>
          <w:rFonts w:ascii="Times New Roman" w:hAnsi="Times New Roman"/>
        </w:rPr>
        <w:t>he average operating expenditure per prosecutor was nearly $185,000</w:t>
      </w:r>
      <w:r w:rsidRPr="00AE2C40">
        <w:rPr>
          <w:rFonts w:ascii="Times New Roman" w:hAnsi="Times New Roman"/>
        </w:rPr>
        <w:t>.</w:t>
      </w:r>
      <w:r w:rsidRPr="00382042">
        <w:rPr>
          <w:rFonts w:ascii="Times New Roman" w:hAnsi="Times New Roman"/>
          <w:bCs/>
        </w:rPr>
        <w:t xml:space="preserve"> </w:t>
      </w:r>
      <w:r w:rsidR="00A35CD3">
        <w:rPr>
          <w:rFonts w:ascii="Times New Roman" w:hAnsi="Times New Roman"/>
          <w:bCs/>
        </w:rPr>
        <w:t>2025 CPO</w:t>
      </w:r>
      <w:r w:rsidRPr="00382042">
        <w:rPr>
          <w:rFonts w:ascii="Times New Roman" w:hAnsi="Times New Roman"/>
          <w:bCs/>
        </w:rPr>
        <w:t xml:space="preserve"> will c</w:t>
      </w:r>
      <w:r>
        <w:rPr>
          <w:rFonts w:ascii="Times New Roman" w:hAnsi="Times New Roman"/>
          <w:bCs/>
        </w:rPr>
        <w:t xml:space="preserve">ontinue to examine this topic by having specific questions on expenditures of prosecutor offices. </w:t>
      </w:r>
    </w:p>
    <w:p w:rsidR="00B13A72" w:rsidP="00B13A72" w14:paraId="084320D2" w14:textId="77777777">
      <w:pPr>
        <w:widowControl/>
        <w:autoSpaceDE/>
        <w:autoSpaceDN/>
        <w:adjustRightInd/>
        <w:rPr>
          <w:rFonts w:ascii="Times New Roman" w:hAnsi="Times New Roman"/>
          <w:b/>
        </w:rPr>
      </w:pPr>
    </w:p>
    <w:p w:rsidR="00B13A72" w:rsidP="00B13A72" w14:paraId="124EC865" w14:textId="1D7C3028">
      <w:pPr>
        <w:rPr>
          <w:rFonts w:ascii="Times New Roman" w:hAnsi="Times New Roman"/>
        </w:rPr>
      </w:pPr>
      <w:r w:rsidRPr="00AE2C40">
        <w:rPr>
          <w:rFonts w:ascii="Times New Roman" w:hAnsi="Times New Roman"/>
          <w:b/>
        </w:rPr>
        <w:t>Caseloads</w:t>
      </w:r>
      <w:r w:rsidRPr="00AE2C40">
        <w:rPr>
          <w:rFonts w:ascii="Times New Roman" w:hAnsi="Times New Roman"/>
        </w:rPr>
        <w:t>.</w:t>
      </w:r>
      <w:r>
        <w:rPr>
          <w:rFonts w:ascii="Times New Roman" w:hAnsi="Times New Roman"/>
        </w:rPr>
        <w:t xml:space="preserve"> </w:t>
      </w:r>
      <w:r w:rsidRPr="00AE2C40">
        <w:rPr>
          <w:rFonts w:ascii="Times New Roman" w:hAnsi="Times New Roman"/>
        </w:rPr>
        <w:t xml:space="preserve">Heavy caseloads can place demanding constraints on prosecutors that </w:t>
      </w:r>
      <w:r>
        <w:rPr>
          <w:rFonts w:ascii="Times New Roman" w:hAnsi="Times New Roman"/>
        </w:rPr>
        <w:t xml:space="preserve">may </w:t>
      </w:r>
      <w:r w:rsidRPr="00AE2C40">
        <w:rPr>
          <w:rFonts w:ascii="Times New Roman" w:hAnsi="Times New Roman"/>
        </w:rPr>
        <w:t>impact</w:t>
      </w:r>
      <w:r w:rsidRPr="00AE2C40">
        <w:rPr>
          <w:rFonts w:ascii="Times New Roman" w:hAnsi="Times New Roman"/>
        </w:rPr>
        <w:t xml:space="preserve"> how they handle cases. </w:t>
      </w:r>
      <w:r>
        <w:rPr>
          <w:rFonts w:ascii="Times New Roman" w:hAnsi="Times New Roman"/>
        </w:rPr>
        <w:t>The NSP-20 revealed that</w:t>
      </w:r>
      <w:r w:rsidRPr="00AE2C40">
        <w:rPr>
          <w:rFonts w:ascii="Times New Roman" w:hAnsi="Times New Roman"/>
        </w:rPr>
        <w:t xml:space="preserve"> prosecutors concluded about 1.9 million felony cases</w:t>
      </w:r>
      <w:r>
        <w:rPr>
          <w:rFonts w:ascii="Times New Roman" w:hAnsi="Times New Roman"/>
        </w:rPr>
        <w:t xml:space="preserve"> in 2020. </w:t>
      </w:r>
      <w:r w:rsidRPr="00AE2C40">
        <w:rPr>
          <w:rFonts w:ascii="Times New Roman" w:hAnsi="Times New Roman"/>
        </w:rPr>
        <w:t xml:space="preserve">The NSP-20 </w:t>
      </w:r>
      <w:r>
        <w:rPr>
          <w:rFonts w:ascii="Times New Roman" w:hAnsi="Times New Roman"/>
        </w:rPr>
        <w:t xml:space="preserve">also </w:t>
      </w:r>
      <w:r w:rsidRPr="00AE2C40">
        <w:rPr>
          <w:rFonts w:ascii="Times New Roman" w:hAnsi="Times New Roman"/>
        </w:rPr>
        <w:t>discovered that 85% of state prosecutor offices did not have a policy for attorney caseload size. Excessive prosecutor caseloads may create a backlog in case processing</w:t>
      </w:r>
      <w:r>
        <w:rPr>
          <w:rFonts w:ascii="Times New Roman" w:hAnsi="Times New Roman"/>
        </w:rPr>
        <w:t xml:space="preserve"> that can </w:t>
      </w:r>
      <w:r w:rsidRPr="00AE2C40">
        <w:rPr>
          <w:rFonts w:ascii="Times New Roman" w:hAnsi="Times New Roman"/>
        </w:rPr>
        <w:t>lead to delays in trial</w:t>
      </w:r>
      <w:r>
        <w:rPr>
          <w:rFonts w:ascii="Times New Roman" w:hAnsi="Times New Roman"/>
        </w:rPr>
        <w:t xml:space="preserve"> and ultimately result in negative impact</w:t>
      </w:r>
      <w:r w:rsidR="0050164E">
        <w:rPr>
          <w:rFonts w:ascii="Times New Roman" w:hAnsi="Times New Roman"/>
        </w:rPr>
        <w:t xml:space="preserve">s </w:t>
      </w:r>
      <w:r w:rsidR="0050164E">
        <w:rPr>
          <w:rFonts w:ascii="Times New Roman" w:hAnsi="Times New Roman"/>
        </w:rPr>
        <w:t>to</w:t>
      </w:r>
      <w:r w:rsidR="0050164E">
        <w:rPr>
          <w:rFonts w:ascii="Times New Roman" w:hAnsi="Times New Roman"/>
        </w:rPr>
        <w:t xml:space="preserve"> defendants and </w:t>
      </w:r>
      <w:r w:rsidRPr="00AE2C40">
        <w:rPr>
          <w:rFonts w:ascii="Times New Roman" w:hAnsi="Times New Roman"/>
        </w:rPr>
        <w:t>victims</w:t>
      </w:r>
      <w:r>
        <w:rPr>
          <w:rFonts w:ascii="Times New Roman" w:hAnsi="Times New Roman"/>
        </w:rPr>
        <w:t>.</w:t>
      </w:r>
      <w:r>
        <w:rPr>
          <w:rFonts w:ascii="Times New Roman" w:hAnsi="Times New Roman"/>
          <w:vertAlign w:val="superscript"/>
        </w:rPr>
        <w:footnoteReference w:id="4"/>
      </w:r>
      <w:r w:rsidRPr="00AE2C40">
        <w:rPr>
          <w:rFonts w:ascii="Times New Roman" w:hAnsi="Times New Roman"/>
        </w:rPr>
        <w:t xml:space="preserve"> Thus, there is a need to continually track national trends of caseloads. </w:t>
      </w:r>
      <w:r w:rsidR="00A35CD3">
        <w:rPr>
          <w:rFonts w:ascii="Times New Roman" w:hAnsi="Times New Roman"/>
        </w:rPr>
        <w:t>2025 CPO</w:t>
      </w:r>
      <w:r w:rsidRPr="00AE2C40">
        <w:rPr>
          <w:rFonts w:ascii="Times New Roman" w:hAnsi="Times New Roman"/>
        </w:rPr>
        <w:t xml:space="preserve"> </w:t>
      </w:r>
      <w:r w:rsidRPr="00AE2C40">
        <w:rPr>
          <w:rFonts w:ascii="Times New Roman" w:hAnsi="Times New Roman"/>
        </w:rPr>
        <w:t>proposes to gather data on the number of</w:t>
      </w:r>
      <w:r>
        <w:rPr>
          <w:rFonts w:ascii="Times New Roman" w:hAnsi="Times New Roman"/>
        </w:rPr>
        <w:t xml:space="preserve"> </w:t>
      </w:r>
      <w:r w:rsidRPr="00AE2C40">
        <w:rPr>
          <w:rFonts w:ascii="Times New Roman" w:hAnsi="Times New Roman"/>
        </w:rPr>
        <w:t xml:space="preserve">felony cases closed, method of case closures, and </w:t>
      </w:r>
      <w:r>
        <w:rPr>
          <w:rFonts w:ascii="Times New Roman" w:hAnsi="Times New Roman"/>
        </w:rPr>
        <w:t xml:space="preserve">the number of litigating attorneys </w:t>
      </w:r>
      <w:r w:rsidR="0050164E">
        <w:rPr>
          <w:rFonts w:ascii="Times New Roman" w:hAnsi="Times New Roman"/>
        </w:rPr>
        <w:t xml:space="preserve">per </w:t>
      </w:r>
      <w:r>
        <w:rPr>
          <w:rFonts w:ascii="Times New Roman" w:hAnsi="Times New Roman"/>
        </w:rPr>
        <w:t>office</w:t>
      </w:r>
      <w:r w:rsidRPr="00AE2C40">
        <w:rPr>
          <w:rFonts w:ascii="Times New Roman" w:hAnsi="Times New Roman"/>
        </w:rPr>
        <w:t xml:space="preserve">. </w:t>
      </w:r>
    </w:p>
    <w:p w:rsidR="00077605" w:rsidP="003D7C89" w14:paraId="21F041C8" w14:textId="5F2F7656">
      <w:pPr>
        <w:widowControl/>
        <w:autoSpaceDE/>
        <w:autoSpaceDN/>
        <w:adjustRightInd/>
        <w:rPr>
          <w:rFonts w:ascii="Times New Roman" w:hAnsi="Times New Roman"/>
          <w:b/>
          <w:bCs/>
        </w:rPr>
      </w:pPr>
    </w:p>
    <w:p w:rsidR="00DB3631" w:rsidRPr="00911E1F" w:rsidP="003D7C89" w14:paraId="720B29C9" w14:textId="3ADB97C9">
      <w:pPr>
        <w:widowControl/>
        <w:autoSpaceDE/>
        <w:autoSpaceDN/>
        <w:adjustRightInd/>
        <w:rPr>
          <w:rFonts w:ascii="Times New Roman" w:hAnsi="Times New Roman"/>
          <w:b/>
          <w:bCs/>
          <w:u w:val="single"/>
        </w:rPr>
      </w:pPr>
      <w:r w:rsidRPr="00911E1F">
        <w:rPr>
          <w:rFonts w:ascii="Times New Roman" w:hAnsi="Times New Roman"/>
          <w:b/>
          <w:bCs/>
          <w:u w:val="single"/>
        </w:rPr>
        <w:t xml:space="preserve">Statutes and </w:t>
      </w:r>
      <w:r w:rsidR="00A659A5">
        <w:rPr>
          <w:rFonts w:ascii="Times New Roman" w:hAnsi="Times New Roman"/>
          <w:b/>
          <w:bCs/>
          <w:u w:val="single"/>
        </w:rPr>
        <w:t>R</w:t>
      </w:r>
      <w:r w:rsidRPr="00911E1F">
        <w:rPr>
          <w:rFonts w:ascii="Times New Roman" w:hAnsi="Times New Roman"/>
          <w:b/>
          <w:bCs/>
          <w:u w:val="single"/>
        </w:rPr>
        <w:t>egulation</w:t>
      </w:r>
      <w:r>
        <w:rPr>
          <w:rFonts w:ascii="Times New Roman" w:hAnsi="Times New Roman"/>
          <w:b/>
          <w:bCs/>
          <w:u w:val="single"/>
        </w:rPr>
        <w:t>s</w:t>
      </w:r>
    </w:p>
    <w:p w:rsidR="00911E1F" w:rsidP="003D7C89" w14:paraId="07F963CE" w14:textId="77777777">
      <w:pPr>
        <w:widowControl/>
        <w:autoSpaceDE/>
        <w:autoSpaceDN/>
        <w:adjustRightInd/>
        <w:rPr>
          <w:rFonts w:ascii="Times New Roman" w:hAnsi="Times New Roman"/>
        </w:rPr>
      </w:pPr>
    </w:p>
    <w:p w:rsidR="00BB0D0A" w:rsidP="00207712" w14:paraId="71960852" w14:textId="2BD7344F">
      <w:pPr>
        <w:widowControl/>
        <w:autoSpaceDE/>
        <w:autoSpaceDN/>
        <w:adjustRightInd/>
        <w:rPr>
          <w:rFonts w:ascii="Times New Roman" w:hAnsi="Times New Roman"/>
        </w:rPr>
      </w:pPr>
      <w:r w:rsidRPr="003D7C89">
        <w:rPr>
          <w:rFonts w:ascii="Times New Roman" w:hAnsi="Times New Roman"/>
        </w:rPr>
        <w:t xml:space="preserve">BJS seeks to implement </w:t>
      </w:r>
      <w:r w:rsidR="00A35CD3">
        <w:rPr>
          <w:rFonts w:ascii="Times New Roman" w:hAnsi="Times New Roman"/>
        </w:rPr>
        <w:t>2025 CPO</w:t>
      </w:r>
      <w:r w:rsidRPr="003D7C89">
        <w:rPr>
          <w:rFonts w:ascii="Times New Roman" w:hAnsi="Times New Roman"/>
        </w:rPr>
        <w:t xml:space="preserve"> under its existing authorizing legislation to address the current need for updated statistical information. Under 34 USC § 10132, BJS is authorized to “collect and analyze statistical information, concerning the operations of the criminal justice system at the federal, state, tribal, and local levels</w:t>
      </w:r>
      <w:r w:rsidR="00A659A5">
        <w:rPr>
          <w:rFonts w:ascii="Times New Roman" w:hAnsi="Times New Roman"/>
        </w:rPr>
        <w:t>”</w:t>
      </w:r>
      <w:r w:rsidRPr="003D7C89">
        <w:rPr>
          <w:rFonts w:ascii="Times New Roman" w:hAnsi="Times New Roman"/>
        </w:rPr>
        <w:t xml:space="preserve"> </w:t>
      </w:r>
      <w:r w:rsidRPr="003D7C89">
        <w:rPr>
          <w:rFonts w:ascii="Times New Roman" w:hAnsi="Times New Roman"/>
        </w:rPr>
        <w:t>(</w:t>
      </w:r>
      <w:r w:rsidRPr="003D7C89">
        <w:rPr>
          <w:rFonts w:ascii="Times New Roman" w:hAnsi="Times New Roman"/>
          <w:b/>
        </w:rPr>
        <w:t xml:space="preserve">Attachment </w:t>
      </w:r>
      <w:r w:rsidR="00107937">
        <w:rPr>
          <w:rFonts w:ascii="Times New Roman" w:hAnsi="Times New Roman"/>
          <w:b/>
        </w:rPr>
        <w:t>4</w:t>
      </w:r>
      <w:r w:rsidRPr="003D7C89">
        <w:rPr>
          <w:rFonts w:ascii="Times New Roman" w:hAnsi="Times New Roman"/>
        </w:rPr>
        <w:t xml:space="preserve">). </w:t>
      </w:r>
      <w:r w:rsidRPr="00810939" w:rsidR="00810939">
        <w:rPr>
          <w:rFonts w:ascii="Times New Roman" w:hAnsi="Times New Roman"/>
        </w:rPr>
        <w:t>Prosecutor offices are an essential component of the American criminal justice system.</w:t>
      </w:r>
      <w:r w:rsidR="00810939">
        <w:rPr>
          <w:rFonts w:ascii="Times New Roman" w:hAnsi="Times New Roman"/>
        </w:rPr>
        <w:t xml:space="preserve"> </w:t>
      </w:r>
      <w:r w:rsidR="00A35CD3">
        <w:rPr>
          <w:rFonts w:ascii="Times New Roman" w:hAnsi="Times New Roman"/>
        </w:rPr>
        <w:t>2025 CPO</w:t>
      </w:r>
      <w:r w:rsidR="00810939">
        <w:rPr>
          <w:rFonts w:ascii="Times New Roman" w:hAnsi="Times New Roman"/>
        </w:rPr>
        <w:t xml:space="preserve"> aligns with BJS’</w:t>
      </w:r>
      <w:r w:rsidR="002C0EEF">
        <w:rPr>
          <w:rFonts w:ascii="Times New Roman" w:hAnsi="Times New Roman"/>
        </w:rPr>
        <w:t>s</w:t>
      </w:r>
      <w:r w:rsidR="00810939">
        <w:rPr>
          <w:rFonts w:ascii="Times New Roman" w:hAnsi="Times New Roman"/>
        </w:rPr>
        <w:t xml:space="preserve"> mission to </w:t>
      </w:r>
      <w:r w:rsidRPr="00810939" w:rsidR="00810939">
        <w:rPr>
          <w:rFonts w:ascii="Times New Roman" w:hAnsi="Times New Roman"/>
        </w:rPr>
        <w:t>collect, analyze, publish, and disseminate information on crime, criminal offenders, victims of crime, and the operation of justice systems at all levels of government.</w:t>
      </w:r>
      <w:r w:rsidR="00810939">
        <w:rPr>
          <w:rFonts w:ascii="Times New Roman" w:hAnsi="Times New Roman"/>
        </w:rPr>
        <w:t xml:space="preserve"> Moreover</w:t>
      </w:r>
      <w:r w:rsidR="00A73BFD">
        <w:rPr>
          <w:rFonts w:ascii="Times New Roman" w:hAnsi="Times New Roman"/>
        </w:rPr>
        <w:t xml:space="preserve">, </w:t>
      </w:r>
      <w:r w:rsidR="00A35CD3">
        <w:rPr>
          <w:rFonts w:ascii="Times New Roman" w:hAnsi="Times New Roman"/>
        </w:rPr>
        <w:t>2025 CPO</w:t>
      </w:r>
      <w:r w:rsidRPr="00207712" w:rsidR="00207712">
        <w:rPr>
          <w:rFonts w:ascii="Times New Roman" w:hAnsi="Times New Roman"/>
        </w:rPr>
        <w:t xml:space="preserve"> furthers the D</w:t>
      </w:r>
      <w:r w:rsidR="00810939">
        <w:rPr>
          <w:rFonts w:ascii="Times New Roman" w:hAnsi="Times New Roman"/>
        </w:rPr>
        <w:t>epartment’s</w:t>
      </w:r>
      <w:r w:rsidRPr="00207712" w:rsidR="00207712">
        <w:rPr>
          <w:rFonts w:ascii="Times New Roman" w:hAnsi="Times New Roman"/>
        </w:rPr>
        <w:t xml:space="preserve"> mission by describing the work of prosecutors’ offices, strategies employed by those offices to address different priorities, and changes to </w:t>
      </w:r>
      <w:r w:rsidR="0050164E">
        <w:rPr>
          <w:rFonts w:ascii="Times New Roman" w:hAnsi="Times New Roman"/>
        </w:rPr>
        <w:t xml:space="preserve">staffing, </w:t>
      </w:r>
      <w:r w:rsidR="00D00D2B">
        <w:rPr>
          <w:rFonts w:ascii="Times New Roman" w:hAnsi="Times New Roman"/>
        </w:rPr>
        <w:t xml:space="preserve">office </w:t>
      </w:r>
      <w:r w:rsidR="0050164E">
        <w:rPr>
          <w:rFonts w:ascii="Times New Roman" w:hAnsi="Times New Roman"/>
        </w:rPr>
        <w:t xml:space="preserve">expenditures, and caseloads over time by comparing the </w:t>
      </w:r>
      <w:r w:rsidR="00A35CD3">
        <w:rPr>
          <w:rFonts w:ascii="Times New Roman" w:hAnsi="Times New Roman"/>
        </w:rPr>
        <w:t>2025 CPO</w:t>
      </w:r>
      <w:r w:rsidR="0050164E">
        <w:rPr>
          <w:rFonts w:ascii="Times New Roman" w:hAnsi="Times New Roman"/>
        </w:rPr>
        <w:t xml:space="preserve"> data to earlier NSP series data</w:t>
      </w:r>
      <w:r w:rsidRPr="00207712" w:rsidR="00207712">
        <w:rPr>
          <w:rFonts w:ascii="Times New Roman" w:hAnsi="Times New Roman"/>
        </w:rPr>
        <w:t xml:space="preserve">. </w:t>
      </w:r>
      <w:r w:rsidR="00207712">
        <w:rPr>
          <w:rFonts w:ascii="Times New Roman" w:hAnsi="Times New Roman"/>
        </w:rPr>
        <w:t>Additionally, it</w:t>
      </w:r>
      <w:r w:rsidRPr="00207712" w:rsidR="00207712">
        <w:rPr>
          <w:rFonts w:ascii="Times New Roman" w:hAnsi="Times New Roman"/>
        </w:rPr>
        <w:t xml:space="preserve"> addresses the Attorney General’s priorities of upholding the rule of law by examining how prosecutors charge and handle crimes.</w:t>
      </w:r>
    </w:p>
    <w:p w:rsidR="00207712" w:rsidP="00207712" w14:paraId="2DC5C6E9" w14:textId="77777777">
      <w:pPr>
        <w:widowControl/>
        <w:autoSpaceDE/>
        <w:autoSpaceDN/>
        <w:adjustRightInd/>
        <w:rPr>
          <w:rFonts w:ascii="Times New Roman" w:hAnsi="Times New Roman"/>
        </w:rPr>
      </w:pPr>
    </w:p>
    <w:p w:rsidR="00690F56" w:rsidRPr="0012107F" w:rsidP="00690F56" w14:paraId="2BBF8E2F" w14:textId="155ACBFE">
      <w:pPr>
        <w:widowControl/>
        <w:rPr>
          <w:rFonts w:ascii="Times New Roman" w:hAnsi="Times New Roman"/>
          <w:b/>
          <w:bCs/>
        </w:rPr>
      </w:pPr>
      <w:r w:rsidRPr="0012107F">
        <w:rPr>
          <w:rFonts w:ascii="Times New Roman" w:hAnsi="Times New Roman"/>
          <w:b/>
          <w:bCs/>
        </w:rPr>
        <w:t>2</w:t>
      </w:r>
      <w:r w:rsidRPr="0012107F" w:rsidR="00911E1F">
        <w:rPr>
          <w:rFonts w:ascii="Times New Roman" w:hAnsi="Times New Roman"/>
          <w:b/>
          <w:bCs/>
        </w:rPr>
        <w:t>. Indicate</w:t>
      </w:r>
      <w:r w:rsidRPr="0012107F">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C25E66" w:rsidP="00690F56" w14:paraId="5EFBC942" w14:textId="05552B1B">
      <w:pPr>
        <w:widowControl/>
        <w:rPr>
          <w:rFonts w:ascii="Times New Roman" w:hAnsi="Times New Roman"/>
          <w:b/>
          <w:bCs/>
        </w:rPr>
      </w:pPr>
    </w:p>
    <w:p w:rsidR="00646724" w:rsidP="00690F56" w14:paraId="12D8D6D7" w14:textId="77777777">
      <w:pPr>
        <w:widowControl/>
        <w:rPr>
          <w:rFonts w:ascii="Times New Roman" w:hAnsi="Times New Roman"/>
          <w:b/>
          <w:bCs/>
          <w:u w:val="single"/>
        </w:rPr>
      </w:pPr>
      <w:r w:rsidRPr="00597693">
        <w:rPr>
          <w:rFonts w:ascii="Times New Roman" w:hAnsi="Times New Roman"/>
          <w:b/>
          <w:bCs/>
          <w:u w:val="single"/>
        </w:rPr>
        <w:t>BJS Uses:</w:t>
      </w:r>
    </w:p>
    <w:p w:rsidR="005A1C00" w:rsidP="00B13A72" w14:paraId="2BF0652E" w14:textId="344ADE30">
      <w:pPr>
        <w:widowControl/>
        <w:autoSpaceDE/>
        <w:autoSpaceDN/>
        <w:adjustRightInd/>
        <w:rPr>
          <w:rFonts w:ascii="Times New Roman" w:hAnsi="Times New Roman"/>
        </w:rPr>
      </w:pPr>
      <w:r w:rsidRPr="001D30B6">
        <w:rPr>
          <w:rFonts w:ascii="Times New Roman" w:hAnsi="Times New Roman"/>
        </w:rPr>
        <w:t xml:space="preserve">The </w:t>
      </w:r>
      <w:r w:rsidR="00A35CD3">
        <w:rPr>
          <w:rFonts w:ascii="Times New Roman" w:hAnsi="Times New Roman"/>
        </w:rPr>
        <w:t>2025 CPO</w:t>
      </w:r>
      <w:r w:rsidRPr="001D30B6">
        <w:rPr>
          <w:rFonts w:ascii="Times New Roman" w:hAnsi="Times New Roman"/>
        </w:rPr>
        <w:t xml:space="preserve"> will </w:t>
      </w:r>
      <w:r>
        <w:rPr>
          <w:rFonts w:ascii="Times New Roman" w:hAnsi="Times New Roman"/>
        </w:rPr>
        <w:t>contribute new</w:t>
      </w:r>
      <w:r w:rsidR="001E662D">
        <w:rPr>
          <w:rFonts w:ascii="Times New Roman" w:hAnsi="Times New Roman"/>
        </w:rPr>
        <w:t xml:space="preserve"> information to BJS’s established portfolio of </w:t>
      </w:r>
      <w:r w:rsidR="009E5781">
        <w:rPr>
          <w:rFonts w:ascii="Times New Roman" w:hAnsi="Times New Roman"/>
        </w:rPr>
        <w:t>prosecutorial</w:t>
      </w:r>
      <w:r w:rsidR="001E662D">
        <w:rPr>
          <w:rFonts w:ascii="Times New Roman" w:hAnsi="Times New Roman"/>
        </w:rPr>
        <w:t xml:space="preserve"> research</w:t>
      </w:r>
      <w:r w:rsidR="00D903CB">
        <w:rPr>
          <w:rFonts w:ascii="Times New Roman" w:hAnsi="Times New Roman"/>
        </w:rPr>
        <w:t xml:space="preserve"> by generating a</w:t>
      </w:r>
      <w:r w:rsidR="003869A7">
        <w:rPr>
          <w:rFonts w:ascii="Times New Roman" w:hAnsi="Times New Roman"/>
        </w:rPr>
        <w:t>n</w:t>
      </w:r>
      <w:r w:rsidR="00597693">
        <w:rPr>
          <w:rFonts w:ascii="Times New Roman" w:hAnsi="Times New Roman"/>
        </w:rPr>
        <w:t xml:space="preserve"> updated</w:t>
      </w:r>
      <w:r w:rsidR="00D903CB">
        <w:rPr>
          <w:rFonts w:ascii="Times New Roman" w:hAnsi="Times New Roman"/>
        </w:rPr>
        <w:t xml:space="preserve"> census of </w:t>
      </w:r>
      <w:r w:rsidR="009E5781">
        <w:rPr>
          <w:rFonts w:ascii="Times New Roman" w:hAnsi="Times New Roman"/>
        </w:rPr>
        <w:t>prosecutor</w:t>
      </w:r>
      <w:r w:rsidR="00D903CB">
        <w:rPr>
          <w:rFonts w:ascii="Times New Roman" w:hAnsi="Times New Roman"/>
        </w:rPr>
        <w:t xml:space="preserve"> offices and, through survey administration, capture key aspects of office operations nationwide. </w:t>
      </w:r>
      <w:r w:rsidR="001E662D">
        <w:rPr>
          <w:rFonts w:ascii="Times New Roman" w:hAnsi="Times New Roman"/>
        </w:rPr>
        <w:t>There is no</w:t>
      </w:r>
      <w:r w:rsidR="00597693">
        <w:rPr>
          <w:rFonts w:ascii="Times New Roman" w:hAnsi="Times New Roman"/>
        </w:rPr>
        <w:t xml:space="preserve"> other</w:t>
      </w:r>
      <w:r w:rsidR="001E662D">
        <w:rPr>
          <w:rFonts w:ascii="Times New Roman" w:hAnsi="Times New Roman"/>
        </w:rPr>
        <w:t xml:space="preserve"> national source of data that can offer a complete picture of </w:t>
      </w:r>
      <w:r w:rsidR="009E5781">
        <w:rPr>
          <w:rFonts w:ascii="Times New Roman" w:hAnsi="Times New Roman"/>
        </w:rPr>
        <w:t xml:space="preserve">the work done by prosecutors and the </w:t>
      </w:r>
      <w:r w:rsidR="003869A7">
        <w:rPr>
          <w:rFonts w:ascii="Times New Roman" w:hAnsi="Times New Roman"/>
        </w:rPr>
        <w:t xml:space="preserve">composition and operation </w:t>
      </w:r>
      <w:r w:rsidR="009E5781">
        <w:rPr>
          <w:rFonts w:ascii="Times New Roman" w:hAnsi="Times New Roman"/>
        </w:rPr>
        <w:t>of their offices.</w:t>
      </w:r>
    </w:p>
    <w:p w:rsidR="00D903CB" w:rsidP="00646724" w14:paraId="318F1A99" w14:textId="77777777">
      <w:pPr>
        <w:widowControl/>
        <w:rPr>
          <w:rFonts w:ascii="Times New Roman" w:hAnsi="Times New Roman"/>
        </w:rPr>
      </w:pPr>
    </w:p>
    <w:p w:rsidR="005A14C9" w:rsidRPr="00597693" w:rsidP="00597693" w14:paraId="5771499B" w14:textId="3DDEA337">
      <w:pPr>
        <w:pStyle w:val="ListParagraph"/>
        <w:widowControl/>
        <w:numPr>
          <w:ilvl w:val="0"/>
          <w:numId w:val="28"/>
        </w:numPr>
        <w:ind w:left="360"/>
        <w:rPr>
          <w:rFonts w:ascii="Times New Roman" w:hAnsi="Times New Roman"/>
          <w:b/>
          <w:bCs/>
        </w:rPr>
      </w:pPr>
      <w:r w:rsidRPr="00597693">
        <w:rPr>
          <w:rFonts w:ascii="Times New Roman" w:hAnsi="Times New Roman"/>
          <w:b/>
          <w:bCs/>
        </w:rPr>
        <w:t xml:space="preserve">Validating the national </w:t>
      </w:r>
      <w:r w:rsidR="00700829">
        <w:rPr>
          <w:rFonts w:ascii="Times New Roman" w:hAnsi="Times New Roman"/>
          <w:b/>
          <w:bCs/>
        </w:rPr>
        <w:t>frame</w:t>
      </w:r>
      <w:r w:rsidRPr="00597693" w:rsidR="00700829">
        <w:rPr>
          <w:rFonts w:ascii="Times New Roman" w:hAnsi="Times New Roman"/>
          <w:b/>
          <w:bCs/>
        </w:rPr>
        <w:t xml:space="preserve"> </w:t>
      </w:r>
      <w:r w:rsidRPr="00597693">
        <w:rPr>
          <w:rFonts w:ascii="Times New Roman" w:hAnsi="Times New Roman"/>
          <w:b/>
          <w:bCs/>
        </w:rPr>
        <w:t xml:space="preserve">of </w:t>
      </w:r>
      <w:r w:rsidR="009E5781">
        <w:rPr>
          <w:rFonts w:ascii="Times New Roman" w:hAnsi="Times New Roman"/>
          <w:b/>
          <w:bCs/>
        </w:rPr>
        <w:t>prosecutor</w:t>
      </w:r>
      <w:r w:rsidRPr="00597693">
        <w:rPr>
          <w:rFonts w:ascii="Times New Roman" w:hAnsi="Times New Roman"/>
          <w:b/>
          <w:bCs/>
        </w:rPr>
        <w:t xml:space="preserve"> offices</w:t>
      </w:r>
      <w:r w:rsidRPr="00597693" w:rsidR="00EB4A80">
        <w:rPr>
          <w:rFonts w:ascii="Times New Roman" w:hAnsi="Times New Roman"/>
          <w:b/>
          <w:bCs/>
        </w:rPr>
        <w:t>:</w:t>
      </w:r>
    </w:p>
    <w:p w:rsidR="00D16216" w:rsidRPr="00D16216" w:rsidP="00D16216" w14:paraId="7233AA99" w14:textId="6125C8AC">
      <w:pPr>
        <w:widowControl/>
        <w:rPr>
          <w:rFonts w:ascii="Times New Roman" w:hAnsi="Times New Roman"/>
        </w:rPr>
      </w:pPr>
      <w:r w:rsidRPr="00D16216">
        <w:rPr>
          <w:rFonts w:ascii="Times New Roman" w:hAnsi="Times New Roman"/>
        </w:rPr>
        <w:t xml:space="preserve">BJS will use the </w:t>
      </w:r>
      <w:r w:rsidR="00A35CD3">
        <w:rPr>
          <w:rFonts w:ascii="Times New Roman" w:hAnsi="Times New Roman"/>
        </w:rPr>
        <w:t>2025 CPO</w:t>
      </w:r>
      <w:r w:rsidRPr="00D16216">
        <w:rPr>
          <w:rFonts w:ascii="Times New Roman" w:hAnsi="Times New Roman"/>
        </w:rPr>
        <w:t xml:space="preserve"> to create a current national frame of prosecutor offices that </w:t>
      </w:r>
      <w:r w:rsidR="002136AD">
        <w:rPr>
          <w:rFonts w:ascii="Times New Roman" w:hAnsi="Times New Roman"/>
        </w:rPr>
        <w:t>handle</w:t>
      </w:r>
      <w:r>
        <w:rPr>
          <w:rFonts w:ascii="Times New Roman" w:hAnsi="Times New Roman"/>
        </w:rPr>
        <w:t xml:space="preserve"> felony cases in state courts of general jurisdiction.</w:t>
      </w:r>
      <w:r w:rsidRPr="00D16216" w:rsidR="00AF3B2E">
        <w:rPr>
          <w:rFonts w:ascii="Times New Roman" w:hAnsi="Times New Roman"/>
        </w:rPr>
        <w:t xml:space="preserve"> </w:t>
      </w:r>
      <w:r w:rsidRPr="00D16216">
        <w:rPr>
          <w:rFonts w:ascii="Times New Roman" w:hAnsi="Times New Roman"/>
        </w:rPr>
        <w:t>The project team has identified 2,3</w:t>
      </w:r>
      <w:r w:rsidR="006C4C40">
        <w:rPr>
          <w:rFonts w:ascii="Times New Roman" w:hAnsi="Times New Roman"/>
        </w:rPr>
        <w:t>49</w:t>
      </w:r>
      <w:r w:rsidRPr="00D16216">
        <w:rPr>
          <w:rFonts w:ascii="Times New Roman" w:hAnsi="Times New Roman"/>
        </w:rPr>
        <w:t xml:space="preserve"> offices that meet the criteria</w:t>
      </w:r>
      <w:r w:rsidR="003869A7">
        <w:rPr>
          <w:rFonts w:ascii="Times New Roman" w:hAnsi="Times New Roman"/>
        </w:rPr>
        <w:t xml:space="preserve"> of prosecutor offices handling felony cases in state courts of general jurisdiction</w:t>
      </w:r>
      <w:r w:rsidRPr="00D16216">
        <w:rPr>
          <w:rFonts w:ascii="Times New Roman" w:hAnsi="Times New Roman"/>
        </w:rPr>
        <w:t xml:space="preserve">. </w:t>
      </w:r>
    </w:p>
    <w:p w:rsidR="00EB4A80" w:rsidP="005A14C9" w14:paraId="1DDB8795" w14:textId="77777777">
      <w:pPr>
        <w:widowControl/>
        <w:rPr>
          <w:rFonts w:ascii="Times New Roman" w:hAnsi="Times New Roman"/>
        </w:rPr>
      </w:pPr>
    </w:p>
    <w:p w:rsidR="00EB4A80" w:rsidRPr="00597693" w:rsidP="00597693" w14:paraId="575CA2EF" w14:textId="18082042">
      <w:pPr>
        <w:pStyle w:val="ListParagraph"/>
        <w:widowControl/>
        <w:numPr>
          <w:ilvl w:val="0"/>
          <w:numId w:val="28"/>
        </w:numPr>
        <w:ind w:left="360"/>
        <w:rPr>
          <w:rFonts w:ascii="Times New Roman" w:hAnsi="Times New Roman"/>
          <w:b/>
          <w:bCs/>
        </w:rPr>
      </w:pPr>
      <w:r w:rsidRPr="00597693">
        <w:rPr>
          <w:rFonts w:ascii="Times New Roman" w:hAnsi="Times New Roman"/>
          <w:b/>
          <w:bCs/>
        </w:rPr>
        <w:t xml:space="preserve">Using the </w:t>
      </w:r>
      <w:r w:rsidR="00A35CD3">
        <w:rPr>
          <w:rFonts w:ascii="Times New Roman" w:hAnsi="Times New Roman"/>
          <w:b/>
          <w:bCs/>
        </w:rPr>
        <w:t>2025 CPO</w:t>
      </w:r>
      <w:r w:rsidRPr="00597693">
        <w:rPr>
          <w:rFonts w:ascii="Times New Roman" w:hAnsi="Times New Roman"/>
          <w:b/>
          <w:bCs/>
        </w:rPr>
        <w:t xml:space="preserve"> as a sampling </w:t>
      </w:r>
      <w:r w:rsidR="00597693">
        <w:rPr>
          <w:rFonts w:ascii="Times New Roman" w:hAnsi="Times New Roman"/>
          <w:b/>
          <w:bCs/>
        </w:rPr>
        <w:t>frame</w:t>
      </w:r>
      <w:r w:rsidRPr="00597693">
        <w:rPr>
          <w:rFonts w:ascii="Times New Roman" w:hAnsi="Times New Roman"/>
          <w:b/>
          <w:bCs/>
        </w:rPr>
        <w:t xml:space="preserve"> for future </w:t>
      </w:r>
      <w:r w:rsidR="009E5781">
        <w:rPr>
          <w:rFonts w:ascii="Times New Roman" w:hAnsi="Times New Roman"/>
          <w:b/>
          <w:bCs/>
        </w:rPr>
        <w:t>prosecutor</w:t>
      </w:r>
      <w:r w:rsidRPr="00597693">
        <w:rPr>
          <w:rFonts w:ascii="Times New Roman" w:hAnsi="Times New Roman"/>
          <w:b/>
          <w:bCs/>
        </w:rPr>
        <w:t xml:space="preserve"> surveys:</w:t>
      </w:r>
    </w:p>
    <w:p w:rsidR="00D903CB" w:rsidP="00D903CB" w14:paraId="75776478" w14:textId="0AF7B7BB">
      <w:pPr>
        <w:rPr>
          <w:rFonts w:ascii="Times New Roman" w:hAnsi="Times New Roman"/>
          <w:color w:val="000000"/>
        </w:rPr>
      </w:pPr>
      <w:r>
        <w:rPr>
          <w:rFonts w:ascii="Times New Roman" w:hAnsi="Times New Roman"/>
          <w:color w:val="000000"/>
        </w:rPr>
        <w:t>C</w:t>
      </w:r>
      <w:r>
        <w:rPr>
          <w:rFonts w:ascii="Times New Roman" w:hAnsi="Times New Roman"/>
          <w:color w:val="000000"/>
        </w:rPr>
        <w:t xml:space="preserve">ompiling a comprehensive </w:t>
      </w:r>
      <w:r w:rsidR="00700829">
        <w:rPr>
          <w:rFonts w:ascii="Times New Roman" w:hAnsi="Times New Roman"/>
          <w:color w:val="000000"/>
        </w:rPr>
        <w:t xml:space="preserve">frame </w:t>
      </w:r>
      <w:r>
        <w:rPr>
          <w:rFonts w:ascii="Times New Roman" w:hAnsi="Times New Roman"/>
          <w:color w:val="000000"/>
        </w:rPr>
        <w:t xml:space="preserve">identifying all </w:t>
      </w:r>
      <w:r w:rsidR="009E5781">
        <w:rPr>
          <w:rFonts w:ascii="Times New Roman" w:hAnsi="Times New Roman"/>
          <w:color w:val="000000"/>
        </w:rPr>
        <w:t>prosecutor</w:t>
      </w:r>
      <w:r>
        <w:rPr>
          <w:rFonts w:ascii="Times New Roman" w:hAnsi="Times New Roman"/>
          <w:color w:val="000000"/>
        </w:rPr>
        <w:t xml:space="preserve"> offices in the U.S. will allow BJS to pursue full implementation of </w:t>
      </w:r>
      <w:r w:rsidR="00D16216">
        <w:rPr>
          <w:rFonts w:ascii="Times New Roman" w:hAnsi="Times New Roman"/>
          <w:color w:val="000000"/>
        </w:rPr>
        <w:t>a census</w:t>
      </w:r>
      <w:r>
        <w:rPr>
          <w:rFonts w:ascii="Times New Roman" w:hAnsi="Times New Roman"/>
          <w:color w:val="000000"/>
        </w:rPr>
        <w:t>.</w:t>
      </w:r>
      <w:r w:rsidR="00431860">
        <w:rPr>
          <w:rFonts w:ascii="Times New Roman" w:hAnsi="Times New Roman"/>
          <w:color w:val="000000"/>
        </w:rPr>
        <w:t xml:space="preserve"> By gathering attorney demographic information and office geographic coverage, the </w:t>
      </w:r>
      <w:r w:rsidR="00A35CD3">
        <w:rPr>
          <w:rFonts w:ascii="Times New Roman" w:hAnsi="Times New Roman"/>
          <w:color w:val="000000"/>
        </w:rPr>
        <w:t>2025 CPO</w:t>
      </w:r>
      <w:r w:rsidR="00431860">
        <w:rPr>
          <w:rFonts w:ascii="Times New Roman" w:hAnsi="Times New Roman"/>
          <w:color w:val="000000"/>
        </w:rPr>
        <w:t xml:space="preserve"> will support the creation of </w:t>
      </w:r>
      <w:r w:rsidR="00C25FD4">
        <w:rPr>
          <w:rFonts w:ascii="Times New Roman" w:hAnsi="Times New Roman"/>
          <w:color w:val="000000"/>
        </w:rPr>
        <w:t>a census</w:t>
      </w:r>
      <w:r w:rsidR="004B106A">
        <w:rPr>
          <w:rFonts w:ascii="Times New Roman" w:hAnsi="Times New Roman"/>
          <w:color w:val="000000"/>
        </w:rPr>
        <w:t xml:space="preserve"> that accounts for jurisdiction urbanicity, population size, attorney demographics and employment type (part time versus full time)</w:t>
      </w:r>
      <w:r w:rsidR="002136AD">
        <w:rPr>
          <w:rFonts w:ascii="Times New Roman" w:hAnsi="Times New Roman"/>
          <w:color w:val="000000"/>
        </w:rPr>
        <w:t xml:space="preserve"> from all offices.</w:t>
      </w:r>
      <w:r w:rsidR="008E2832">
        <w:rPr>
          <w:rFonts w:ascii="Times New Roman" w:hAnsi="Times New Roman"/>
          <w:color w:val="000000"/>
        </w:rPr>
        <w:t xml:space="preserve"> These characteristics will provide a detailed sampling frame for future BJS prosecutor surveys.</w:t>
      </w:r>
    </w:p>
    <w:p w:rsidR="00D903CB" w:rsidRPr="001D30B6" w:rsidP="00646724" w14:paraId="3D0B4C35" w14:textId="77777777">
      <w:pPr>
        <w:widowControl/>
        <w:rPr>
          <w:rFonts w:ascii="Times New Roman" w:hAnsi="Times New Roman"/>
        </w:rPr>
      </w:pPr>
    </w:p>
    <w:p w:rsidR="00823187" w:rsidP="00823187" w14:paraId="7A7A8D25" w14:textId="77777777">
      <w:pPr>
        <w:pStyle w:val="ListParagraph"/>
        <w:ind w:left="360"/>
        <w:rPr>
          <w:rFonts w:ascii="Times New Roman" w:hAnsi="Times New Roman"/>
          <w:b/>
        </w:rPr>
      </w:pPr>
    </w:p>
    <w:p w:rsidR="00823187" w:rsidRPr="00823187" w:rsidP="00823187" w14:paraId="08E6FEEA" w14:textId="77777777">
      <w:pPr>
        <w:rPr>
          <w:rFonts w:ascii="Times New Roman" w:hAnsi="Times New Roman"/>
          <w:b/>
        </w:rPr>
      </w:pPr>
    </w:p>
    <w:p w:rsidR="00EB4A80" w:rsidP="00597693" w14:paraId="3917A04F" w14:textId="4A85C518">
      <w:pPr>
        <w:pStyle w:val="ListParagraph"/>
        <w:numPr>
          <w:ilvl w:val="0"/>
          <w:numId w:val="28"/>
        </w:numPr>
        <w:ind w:left="360"/>
        <w:rPr>
          <w:rFonts w:ascii="Times New Roman" w:hAnsi="Times New Roman"/>
          <w:b/>
        </w:rPr>
      </w:pPr>
      <w:r w:rsidRPr="00597693">
        <w:rPr>
          <w:rFonts w:ascii="Times New Roman" w:hAnsi="Times New Roman"/>
          <w:b/>
        </w:rPr>
        <w:t xml:space="preserve">Using the </w:t>
      </w:r>
      <w:r w:rsidR="00A35CD3">
        <w:rPr>
          <w:rFonts w:ascii="Times New Roman" w:hAnsi="Times New Roman"/>
          <w:b/>
        </w:rPr>
        <w:t>2025 CPO</w:t>
      </w:r>
      <w:r>
        <w:rPr>
          <w:rFonts w:ascii="Times New Roman" w:hAnsi="Times New Roman"/>
          <w:b/>
        </w:rPr>
        <w:t xml:space="preserve"> </w:t>
      </w:r>
      <w:r w:rsidRPr="00597693">
        <w:rPr>
          <w:rFonts w:ascii="Times New Roman" w:hAnsi="Times New Roman"/>
          <w:b/>
        </w:rPr>
        <w:t xml:space="preserve">data to develop a current empirical knowledge base about </w:t>
      </w:r>
      <w:r w:rsidR="009E5781">
        <w:rPr>
          <w:rFonts w:ascii="Times New Roman" w:hAnsi="Times New Roman"/>
          <w:b/>
        </w:rPr>
        <w:t>prosecutors</w:t>
      </w:r>
      <w:r w:rsidRPr="00597693">
        <w:rPr>
          <w:rFonts w:ascii="Times New Roman" w:hAnsi="Times New Roman"/>
          <w:b/>
        </w:rPr>
        <w:t>:</w:t>
      </w:r>
    </w:p>
    <w:p w:rsidR="00825361" w:rsidRPr="00E359D5" w:rsidP="00EB4A80" w14:paraId="4D72BE9A" w14:textId="3650C3C8">
      <w:pPr>
        <w:rPr>
          <w:rFonts w:ascii="Times New Roman" w:hAnsi="Times New Roman"/>
          <w:color w:val="000000"/>
        </w:rPr>
      </w:pPr>
      <w:r w:rsidRPr="00597693">
        <w:rPr>
          <w:rFonts w:ascii="Times New Roman" w:hAnsi="Times New Roman"/>
        </w:rPr>
        <w:t>Information gathered through the</w:t>
      </w:r>
      <w:r w:rsidR="00077605">
        <w:rPr>
          <w:rFonts w:ascii="Times New Roman" w:hAnsi="Times New Roman"/>
        </w:rPr>
        <w:t xml:space="preserve"> </w:t>
      </w:r>
      <w:r w:rsidR="00A35CD3">
        <w:rPr>
          <w:rFonts w:ascii="Times New Roman" w:hAnsi="Times New Roman"/>
        </w:rPr>
        <w:t>2025 CPO</w:t>
      </w:r>
      <w:r w:rsidRPr="00597693">
        <w:rPr>
          <w:rFonts w:ascii="Times New Roman" w:hAnsi="Times New Roman"/>
        </w:rPr>
        <w:t xml:space="preserve"> will be a valuable and unique source of knowledge about </w:t>
      </w:r>
      <w:r w:rsidR="009E5781">
        <w:rPr>
          <w:rFonts w:ascii="Times New Roman" w:hAnsi="Times New Roman"/>
        </w:rPr>
        <w:t>prosecutor</w:t>
      </w:r>
      <w:r w:rsidR="00700829">
        <w:rPr>
          <w:rFonts w:ascii="Times New Roman" w:hAnsi="Times New Roman"/>
        </w:rPr>
        <w:t xml:space="preserve"> offices</w:t>
      </w:r>
      <w:r w:rsidR="00AF64BA">
        <w:rPr>
          <w:rFonts w:ascii="Times New Roman" w:hAnsi="Times New Roman"/>
        </w:rPr>
        <w:t xml:space="preserve"> </w:t>
      </w:r>
      <w:r w:rsidR="001032CD">
        <w:rPr>
          <w:rFonts w:ascii="Times New Roman" w:hAnsi="Times New Roman"/>
        </w:rPr>
        <w:t>that</w:t>
      </w:r>
      <w:r w:rsidRPr="00597693">
        <w:rPr>
          <w:rFonts w:ascii="Times New Roman" w:hAnsi="Times New Roman"/>
        </w:rPr>
        <w:t xml:space="preserve"> can be used to fill major gaps in knowledge about </w:t>
      </w:r>
      <w:r>
        <w:rPr>
          <w:rFonts w:ascii="Times New Roman" w:hAnsi="Times New Roman"/>
        </w:rPr>
        <w:t xml:space="preserve">parity </w:t>
      </w:r>
      <w:r w:rsidR="002A7062">
        <w:rPr>
          <w:rFonts w:ascii="Times New Roman" w:hAnsi="Times New Roman"/>
        </w:rPr>
        <w:t>of resources for prosecutors</w:t>
      </w:r>
      <w:r w:rsidRPr="00597693">
        <w:rPr>
          <w:rFonts w:ascii="Times New Roman" w:hAnsi="Times New Roman"/>
        </w:rPr>
        <w:t xml:space="preserve">, particularly when aligned with </w:t>
      </w:r>
      <w:r w:rsidR="008E2832">
        <w:rPr>
          <w:rFonts w:ascii="Times New Roman" w:hAnsi="Times New Roman"/>
        </w:rPr>
        <w:t xml:space="preserve">earlier NSP collections and with </w:t>
      </w:r>
      <w:r w:rsidRPr="00597693">
        <w:rPr>
          <w:rFonts w:ascii="Times New Roman" w:hAnsi="Times New Roman"/>
        </w:rPr>
        <w:t xml:space="preserve">other </w:t>
      </w:r>
      <w:r>
        <w:rPr>
          <w:rFonts w:ascii="Times New Roman" w:hAnsi="Times New Roman"/>
        </w:rPr>
        <w:t xml:space="preserve">BJS </w:t>
      </w:r>
      <w:r w:rsidRPr="00597693">
        <w:rPr>
          <w:rFonts w:ascii="Times New Roman" w:hAnsi="Times New Roman"/>
        </w:rPr>
        <w:t>data collection</w:t>
      </w:r>
      <w:r w:rsidR="00066D48">
        <w:rPr>
          <w:rFonts w:ascii="Times New Roman" w:hAnsi="Times New Roman"/>
        </w:rPr>
        <w:t>s</w:t>
      </w:r>
      <w:r>
        <w:rPr>
          <w:rFonts w:ascii="Times New Roman" w:hAnsi="Times New Roman"/>
        </w:rPr>
        <w:t xml:space="preserve">. </w:t>
      </w:r>
      <w:r w:rsidR="008E2832">
        <w:rPr>
          <w:rFonts w:ascii="Times New Roman" w:hAnsi="Times New Roman"/>
        </w:rPr>
        <w:t xml:space="preserve">First, the </w:t>
      </w:r>
      <w:r w:rsidR="00A35CD3">
        <w:rPr>
          <w:rFonts w:ascii="Times New Roman" w:hAnsi="Times New Roman"/>
        </w:rPr>
        <w:t>2025 CPO</w:t>
      </w:r>
      <w:r w:rsidR="008E2832">
        <w:rPr>
          <w:rFonts w:ascii="Times New Roman" w:hAnsi="Times New Roman"/>
        </w:rPr>
        <w:t xml:space="preserve"> can be compared to earlier NSP data collections to examine trends in prosecutor office staffing, expenditures, and caseloads. Second, the </w:t>
      </w:r>
      <w:r w:rsidR="00A35CD3">
        <w:rPr>
          <w:rFonts w:ascii="Times New Roman" w:hAnsi="Times New Roman"/>
        </w:rPr>
        <w:t>2025 CPO</w:t>
      </w:r>
      <w:r w:rsidR="008E2832">
        <w:rPr>
          <w:rFonts w:ascii="Times New Roman" w:hAnsi="Times New Roman"/>
        </w:rPr>
        <w:t xml:space="preserve"> can be compared to</w:t>
      </w:r>
      <w:r>
        <w:rPr>
          <w:rFonts w:ascii="Times New Roman" w:hAnsi="Times New Roman"/>
        </w:rPr>
        <w:t xml:space="preserve"> </w:t>
      </w:r>
      <w:r w:rsidR="00066D48">
        <w:rPr>
          <w:rFonts w:ascii="Times New Roman" w:hAnsi="Times New Roman"/>
        </w:rPr>
        <w:t xml:space="preserve">the </w:t>
      </w:r>
      <w:r>
        <w:rPr>
          <w:rFonts w:ascii="Times New Roman" w:hAnsi="Times New Roman"/>
        </w:rPr>
        <w:t xml:space="preserve">Census of </w:t>
      </w:r>
      <w:r w:rsidR="009E5781">
        <w:rPr>
          <w:rFonts w:ascii="Times New Roman" w:hAnsi="Times New Roman"/>
        </w:rPr>
        <w:t>Public Defender Offices</w:t>
      </w:r>
      <w:r w:rsidR="008E2832">
        <w:rPr>
          <w:rFonts w:ascii="Times New Roman" w:hAnsi="Times New Roman"/>
        </w:rPr>
        <w:t xml:space="preserve"> (CPDO)</w:t>
      </w:r>
      <w:r>
        <w:rPr>
          <w:rFonts w:ascii="Times New Roman" w:hAnsi="Times New Roman"/>
        </w:rPr>
        <w:t xml:space="preserve"> series</w:t>
      </w:r>
      <w:r w:rsidRPr="00847474">
        <w:rPr>
          <w:rFonts w:ascii="Times New Roman" w:hAnsi="Times New Roman"/>
        </w:rPr>
        <w:t xml:space="preserve"> (</w:t>
      </w:r>
      <w:r w:rsidRPr="000535EF">
        <w:rPr>
          <w:rFonts w:ascii="Times New Roman" w:hAnsi="Times New Roman"/>
        </w:rPr>
        <w:t xml:space="preserve">OMB Control # </w:t>
      </w:r>
      <w:r w:rsidRPr="00FA3467">
        <w:rPr>
          <w:rFonts w:ascii="Times New Roman" w:hAnsi="Times New Roman"/>
        </w:rPr>
        <w:t>1121-0095</w:t>
      </w:r>
      <w:r w:rsidRPr="00847474">
        <w:rPr>
          <w:rFonts w:ascii="Times New Roman" w:hAnsi="Times New Roman"/>
        </w:rPr>
        <w:t>)</w:t>
      </w:r>
      <w:r w:rsidR="00845ADB">
        <w:rPr>
          <w:rFonts w:ascii="Times New Roman" w:hAnsi="Times New Roman"/>
        </w:rPr>
        <w:t>, which</w:t>
      </w:r>
      <w:r w:rsidRPr="00847474">
        <w:rPr>
          <w:rFonts w:ascii="Times New Roman" w:hAnsi="Times New Roman"/>
        </w:rPr>
        <w:t xml:space="preserve"> provides information on the administration, governance, staffing, budgets</w:t>
      </w:r>
      <w:r w:rsidR="008E2832">
        <w:rPr>
          <w:rFonts w:ascii="Times New Roman" w:hAnsi="Times New Roman"/>
        </w:rPr>
        <w:t xml:space="preserve"> or expenditures</w:t>
      </w:r>
      <w:r w:rsidRPr="00847474">
        <w:rPr>
          <w:rFonts w:ascii="Times New Roman" w:hAnsi="Times New Roman"/>
        </w:rPr>
        <w:t xml:space="preserve">, and caseloads of the nation’s </w:t>
      </w:r>
      <w:r>
        <w:rPr>
          <w:rFonts w:ascii="Times New Roman" w:hAnsi="Times New Roman"/>
        </w:rPr>
        <w:t>public defender offices</w:t>
      </w:r>
      <w:r w:rsidR="008E2832">
        <w:rPr>
          <w:rFonts w:ascii="Times New Roman" w:hAnsi="Times New Roman"/>
        </w:rPr>
        <w:t xml:space="preserve">. The </w:t>
      </w:r>
      <w:r w:rsidR="00AA4A70">
        <w:rPr>
          <w:rFonts w:ascii="Times New Roman" w:hAnsi="Times New Roman"/>
        </w:rPr>
        <w:t xml:space="preserve">2024 </w:t>
      </w:r>
      <w:r w:rsidR="008E2832">
        <w:rPr>
          <w:rFonts w:ascii="Times New Roman" w:hAnsi="Times New Roman"/>
        </w:rPr>
        <w:t>CPDO</w:t>
      </w:r>
      <w:r>
        <w:rPr>
          <w:rFonts w:ascii="Times New Roman" w:hAnsi="Times New Roman"/>
        </w:rPr>
        <w:t xml:space="preserve"> is currently </w:t>
      </w:r>
      <w:r w:rsidR="008E2832">
        <w:rPr>
          <w:rFonts w:ascii="Times New Roman" w:hAnsi="Times New Roman"/>
        </w:rPr>
        <w:t xml:space="preserve">in the </w:t>
      </w:r>
      <w:r>
        <w:rPr>
          <w:rFonts w:ascii="Times New Roman" w:hAnsi="Times New Roman"/>
        </w:rPr>
        <w:t xml:space="preserve">field. </w:t>
      </w:r>
      <w:r w:rsidRPr="00847474">
        <w:rPr>
          <w:rFonts w:ascii="Times New Roman" w:hAnsi="Times New Roman"/>
        </w:rPr>
        <w:t>BJS’</w:t>
      </w:r>
      <w:r>
        <w:rPr>
          <w:rFonts w:ascii="Times New Roman" w:hAnsi="Times New Roman"/>
        </w:rPr>
        <w:t>s</w:t>
      </w:r>
      <w:r w:rsidRPr="00847474">
        <w:rPr>
          <w:rFonts w:ascii="Times New Roman" w:hAnsi="Times New Roman"/>
        </w:rPr>
        <w:t xml:space="preserve"> </w:t>
      </w:r>
      <w:r>
        <w:rPr>
          <w:rFonts w:ascii="Times New Roman" w:hAnsi="Times New Roman"/>
          <w:color w:val="000000"/>
        </w:rPr>
        <w:t xml:space="preserve">Criminal Cases in State Courts (OMB Control #1121-0371) and the National Pretrial Reporting Program (OMB Control #1121-0375) are administrative data collections focusing on felony criminal case processing in the United States. </w:t>
      </w:r>
      <w:r w:rsidRPr="00847474">
        <w:rPr>
          <w:rFonts w:ascii="Times New Roman" w:hAnsi="Times New Roman"/>
          <w:color w:val="000000"/>
        </w:rPr>
        <w:t xml:space="preserve">These </w:t>
      </w:r>
      <w:r>
        <w:rPr>
          <w:rFonts w:ascii="Times New Roman" w:hAnsi="Times New Roman"/>
          <w:color w:val="000000"/>
        </w:rPr>
        <w:t xml:space="preserve">collections combined with </w:t>
      </w:r>
      <w:r w:rsidR="00A35CD3">
        <w:rPr>
          <w:rFonts w:ascii="Times New Roman" w:hAnsi="Times New Roman"/>
          <w:color w:val="000000"/>
        </w:rPr>
        <w:t>2025 CPO</w:t>
      </w:r>
      <w:r w:rsidR="008E2832">
        <w:rPr>
          <w:rFonts w:ascii="Times New Roman" w:hAnsi="Times New Roman"/>
          <w:color w:val="000000"/>
        </w:rPr>
        <w:t xml:space="preserve"> and CPDO-24 could</w:t>
      </w:r>
      <w:r w:rsidRPr="00847474">
        <w:rPr>
          <w:rFonts w:ascii="Times New Roman" w:hAnsi="Times New Roman"/>
          <w:color w:val="000000"/>
        </w:rPr>
        <w:t xml:space="preserve"> provide an organizational overview of </w:t>
      </w:r>
      <w:r>
        <w:rPr>
          <w:rFonts w:ascii="Times New Roman" w:hAnsi="Times New Roman"/>
          <w:color w:val="000000"/>
        </w:rPr>
        <w:t>courts</w:t>
      </w:r>
      <w:r w:rsidRPr="00847474">
        <w:rPr>
          <w:rFonts w:ascii="Times New Roman" w:hAnsi="Times New Roman"/>
          <w:color w:val="000000"/>
        </w:rPr>
        <w:t xml:space="preserve">, </w:t>
      </w:r>
      <w:r>
        <w:rPr>
          <w:rFonts w:ascii="Times New Roman" w:hAnsi="Times New Roman"/>
          <w:color w:val="000000"/>
        </w:rPr>
        <w:t xml:space="preserve">public defenders, </w:t>
      </w:r>
      <w:r w:rsidRPr="00847474">
        <w:rPr>
          <w:rFonts w:ascii="Times New Roman" w:hAnsi="Times New Roman"/>
          <w:color w:val="000000"/>
        </w:rPr>
        <w:t xml:space="preserve">and prosecutors responsible for adjudicating criminal cases in state courts. </w:t>
      </w:r>
      <w:r w:rsidR="00E359D5">
        <w:rPr>
          <w:rFonts w:ascii="Times New Roman" w:hAnsi="Times New Roman"/>
          <w:color w:val="000000"/>
        </w:rPr>
        <w:t xml:space="preserve">Thus, </w:t>
      </w:r>
      <w:r w:rsidR="00A35CD3">
        <w:rPr>
          <w:rFonts w:ascii="Times New Roman" w:hAnsi="Times New Roman"/>
          <w:color w:val="000000"/>
        </w:rPr>
        <w:t>2025 CPO</w:t>
      </w:r>
      <w:r w:rsidR="00E359D5">
        <w:rPr>
          <w:rFonts w:ascii="Times New Roman" w:hAnsi="Times New Roman"/>
          <w:color w:val="000000"/>
        </w:rPr>
        <w:t xml:space="preserve"> </w:t>
      </w:r>
      <w:r w:rsidRPr="00E359D5" w:rsidR="00E359D5">
        <w:rPr>
          <w:rFonts w:ascii="Times New Roman" w:hAnsi="Times New Roman"/>
        </w:rPr>
        <w:t>plays an important role in BJS being able to fulfill its mission to collect and disseminate information on crime and justice</w:t>
      </w:r>
      <w:r w:rsidR="00E359D5">
        <w:rPr>
          <w:rFonts w:ascii="Times New Roman" w:hAnsi="Times New Roman"/>
        </w:rPr>
        <w:t xml:space="preserve"> by collecting information from prosecutors</w:t>
      </w:r>
      <w:r w:rsidR="00066D48">
        <w:rPr>
          <w:rFonts w:ascii="Times New Roman" w:hAnsi="Times New Roman"/>
        </w:rPr>
        <w:t>.</w:t>
      </w:r>
    </w:p>
    <w:p w:rsidR="00825361" w:rsidP="00EB4A80" w14:paraId="16AE9612" w14:textId="77777777">
      <w:pPr>
        <w:rPr>
          <w:rFonts w:ascii="Times New Roman" w:hAnsi="Times New Roman"/>
        </w:rPr>
      </w:pPr>
    </w:p>
    <w:p w:rsidR="00EB4A80" w:rsidP="00AF3B2E" w14:paraId="3415FBF9" w14:textId="17CFB816">
      <w:pPr>
        <w:widowControl/>
        <w:autoSpaceDE/>
        <w:autoSpaceDN/>
        <w:adjustRightInd/>
        <w:rPr>
          <w:rFonts w:ascii="Times New Roman" w:hAnsi="Times New Roman"/>
        </w:rPr>
      </w:pPr>
      <w:r>
        <w:rPr>
          <w:rFonts w:ascii="Times New Roman" w:hAnsi="Times New Roman"/>
        </w:rPr>
        <w:t>2025 CPO</w:t>
      </w:r>
      <w:r w:rsidR="00E359D5">
        <w:rPr>
          <w:rFonts w:ascii="Times New Roman" w:hAnsi="Times New Roman"/>
        </w:rPr>
        <w:t xml:space="preserve"> seeks to </w:t>
      </w:r>
      <w:r w:rsidRPr="00B87C16" w:rsidR="00E359D5">
        <w:rPr>
          <w:rFonts w:ascii="Times New Roman" w:hAnsi="Times New Roman"/>
        </w:rPr>
        <w:t xml:space="preserve">collect key statistics about all prosecutor offices currently operating in the </w:t>
      </w:r>
      <w:r w:rsidR="00E359D5">
        <w:rPr>
          <w:rFonts w:ascii="Times New Roman" w:hAnsi="Times New Roman"/>
        </w:rPr>
        <w:t xml:space="preserve">United States. </w:t>
      </w:r>
      <w:r w:rsidRPr="00597693">
        <w:rPr>
          <w:rFonts w:ascii="Times New Roman" w:hAnsi="Times New Roman"/>
        </w:rPr>
        <w:t xml:space="preserve">Below are examples of the pressing policy, practice, and research questions that can be addressed with data collected through the </w:t>
      </w:r>
      <w:r>
        <w:rPr>
          <w:rFonts w:ascii="Times New Roman" w:hAnsi="Times New Roman"/>
        </w:rPr>
        <w:t>2025 CPO</w:t>
      </w:r>
      <w:r w:rsidRPr="00597693">
        <w:rPr>
          <w:rFonts w:ascii="Times New Roman" w:hAnsi="Times New Roman"/>
        </w:rPr>
        <w:t xml:space="preserve">:  </w:t>
      </w:r>
    </w:p>
    <w:p w:rsidR="002A7062" w:rsidRPr="00597693" w:rsidP="002A7062" w14:paraId="6A3ED9B3" w14:textId="27CA5403">
      <w:pPr>
        <w:pStyle w:val="ListParagraph"/>
        <w:numPr>
          <w:ilvl w:val="0"/>
          <w:numId w:val="29"/>
        </w:numPr>
        <w:rPr>
          <w:rFonts w:ascii="Times New Roman" w:hAnsi="Times New Roman"/>
        </w:rPr>
      </w:pPr>
      <w:r>
        <w:rPr>
          <w:rFonts w:ascii="Times New Roman" w:hAnsi="Times New Roman"/>
          <w:i/>
          <w:iCs/>
        </w:rPr>
        <w:t xml:space="preserve">How many </w:t>
      </w:r>
      <w:r w:rsidR="009E5781">
        <w:rPr>
          <w:rFonts w:ascii="Times New Roman" w:hAnsi="Times New Roman"/>
          <w:i/>
          <w:iCs/>
        </w:rPr>
        <w:t>prosecutor</w:t>
      </w:r>
      <w:r>
        <w:rPr>
          <w:rFonts w:ascii="Times New Roman" w:hAnsi="Times New Roman"/>
          <w:i/>
          <w:iCs/>
        </w:rPr>
        <w:t xml:space="preserve"> offices are there in the U.S.?</w:t>
      </w:r>
    </w:p>
    <w:p w:rsidR="002A7062" w:rsidRPr="00597693" w:rsidP="002A7062" w14:paraId="43A5E420" w14:textId="6B6BB25A">
      <w:pPr>
        <w:pStyle w:val="ListParagraph"/>
        <w:numPr>
          <w:ilvl w:val="0"/>
          <w:numId w:val="29"/>
        </w:numPr>
        <w:rPr>
          <w:rFonts w:ascii="Times New Roman" w:hAnsi="Times New Roman"/>
        </w:rPr>
      </w:pPr>
      <w:r>
        <w:rPr>
          <w:rFonts w:ascii="Times New Roman" w:hAnsi="Times New Roman"/>
          <w:i/>
          <w:iCs/>
        </w:rPr>
        <w:t xml:space="preserve">How many </w:t>
      </w:r>
      <w:r w:rsidR="00026AB4">
        <w:rPr>
          <w:rFonts w:ascii="Times New Roman" w:hAnsi="Times New Roman"/>
          <w:i/>
          <w:iCs/>
        </w:rPr>
        <w:t>prosecutors</w:t>
      </w:r>
      <w:r>
        <w:rPr>
          <w:rFonts w:ascii="Times New Roman" w:hAnsi="Times New Roman"/>
          <w:i/>
          <w:iCs/>
        </w:rPr>
        <w:t xml:space="preserve"> are there in the U.S.?</w:t>
      </w:r>
      <w:r w:rsidR="00D75BB2">
        <w:rPr>
          <w:rFonts w:ascii="Times New Roman" w:hAnsi="Times New Roman"/>
          <w:i/>
          <w:iCs/>
        </w:rPr>
        <w:t xml:space="preserve"> </w:t>
      </w:r>
    </w:p>
    <w:p w:rsidR="00026AB4" w:rsidRPr="00026AB4" w:rsidP="00026AB4" w14:paraId="105A1F64" w14:textId="1A25510D">
      <w:pPr>
        <w:pStyle w:val="ListParagraph"/>
        <w:numPr>
          <w:ilvl w:val="0"/>
          <w:numId w:val="29"/>
        </w:numPr>
        <w:rPr>
          <w:rFonts w:ascii="Times New Roman" w:hAnsi="Times New Roman"/>
        </w:rPr>
      </w:pPr>
      <w:r>
        <w:rPr>
          <w:rFonts w:ascii="Times New Roman" w:hAnsi="Times New Roman"/>
          <w:i/>
          <w:iCs/>
        </w:rPr>
        <w:t xml:space="preserve">What are the demographics of the </w:t>
      </w:r>
      <w:r>
        <w:rPr>
          <w:rFonts w:ascii="Times New Roman" w:hAnsi="Times New Roman"/>
          <w:i/>
          <w:iCs/>
        </w:rPr>
        <w:t>prosecutor</w:t>
      </w:r>
      <w:r>
        <w:rPr>
          <w:rFonts w:ascii="Times New Roman" w:hAnsi="Times New Roman"/>
          <w:i/>
          <w:iCs/>
        </w:rPr>
        <w:t xml:space="preserve"> population? </w:t>
      </w:r>
    </w:p>
    <w:p w:rsidR="002A7062" w:rsidRPr="00026AB4" w:rsidP="002A7062" w14:paraId="15F05CEF" w14:textId="1EE46C88">
      <w:pPr>
        <w:pStyle w:val="ListParagraph"/>
        <w:numPr>
          <w:ilvl w:val="0"/>
          <w:numId w:val="29"/>
        </w:numPr>
        <w:rPr>
          <w:rFonts w:ascii="Times New Roman" w:hAnsi="Times New Roman"/>
        </w:rPr>
      </w:pPr>
      <w:r>
        <w:rPr>
          <w:rFonts w:ascii="Times New Roman" w:hAnsi="Times New Roman"/>
          <w:i/>
          <w:iCs/>
        </w:rPr>
        <w:t xml:space="preserve">How many support staff are employed nationwide in </w:t>
      </w:r>
      <w:r w:rsidR="00026AB4">
        <w:rPr>
          <w:rFonts w:ascii="Times New Roman" w:hAnsi="Times New Roman"/>
          <w:i/>
          <w:iCs/>
        </w:rPr>
        <w:t>prosecutor</w:t>
      </w:r>
      <w:r>
        <w:rPr>
          <w:rFonts w:ascii="Times New Roman" w:hAnsi="Times New Roman"/>
          <w:i/>
          <w:iCs/>
        </w:rPr>
        <w:t xml:space="preserve"> offices?</w:t>
      </w:r>
    </w:p>
    <w:p w:rsidR="00026AB4" w:rsidRPr="00597693" w:rsidP="002A7062" w14:paraId="23BC084F" w14:textId="7BC74584">
      <w:pPr>
        <w:pStyle w:val="ListParagraph"/>
        <w:numPr>
          <w:ilvl w:val="0"/>
          <w:numId w:val="29"/>
        </w:numPr>
        <w:rPr>
          <w:rFonts w:ascii="Times New Roman" w:hAnsi="Times New Roman"/>
        </w:rPr>
      </w:pPr>
      <w:r>
        <w:rPr>
          <w:rFonts w:ascii="Times New Roman" w:hAnsi="Times New Roman"/>
          <w:i/>
          <w:iCs/>
        </w:rPr>
        <w:t xml:space="preserve">What </w:t>
      </w:r>
      <w:r w:rsidR="008E2832">
        <w:rPr>
          <w:rFonts w:ascii="Times New Roman" w:hAnsi="Times New Roman"/>
          <w:i/>
          <w:iCs/>
        </w:rPr>
        <w:t xml:space="preserve">are </w:t>
      </w:r>
      <w:r>
        <w:rPr>
          <w:rFonts w:ascii="Times New Roman" w:hAnsi="Times New Roman"/>
          <w:i/>
          <w:iCs/>
        </w:rPr>
        <w:t xml:space="preserve">the average </w:t>
      </w:r>
      <w:r w:rsidR="00540CD8">
        <w:rPr>
          <w:rFonts w:ascii="Times New Roman" w:hAnsi="Times New Roman"/>
          <w:i/>
          <w:iCs/>
        </w:rPr>
        <w:t>expenditure</w:t>
      </w:r>
      <w:r w:rsidR="008E2832">
        <w:rPr>
          <w:rFonts w:ascii="Times New Roman" w:hAnsi="Times New Roman"/>
          <w:i/>
          <w:iCs/>
        </w:rPr>
        <w:t>s</w:t>
      </w:r>
      <w:r>
        <w:rPr>
          <w:rFonts w:ascii="Times New Roman" w:hAnsi="Times New Roman"/>
          <w:i/>
          <w:iCs/>
        </w:rPr>
        <w:t xml:space="preserve"> of prosecutor offices?</w:t>
      </w:r>
    </w:p>
    <w:p w:rsidR="00D75BB2" w:rsidRPr="00597693" w:rsidP="002A7062" w14:paraId="60A24C0E" w14:textId="755BF055">
      <w:pPr>
        <w:pStyle w:val="ListParagraph"/>
        <w:numPr>
          <w:ilvl w:val="0"/>
          <w:numId w:val="29"/>
        </w:numPr>
        <w:rPr>
          <w:rFonts w:ascii="Times New Roman" w:hAnsi="Times New Roman"/>
        </w:rPr>
      </w:pPr>
      <w:r>
        <w:rPr>
          <w:rFonts w:ascii="Times New Roman" w:hAnsi="Times New Roman"/>
          <w:i/>
          <w:iCs/>
        </w:rPr>
        <w:t xml:space="preserve">What </w:t>
      </w:r>
      <w:r w:rsidR="00700829">
        <w:rPr>
          <w:rFonts w:ascii="Times New Roman" w:hAnsi="Times New Roman"/>
          <w:i/>
          <w:iCs/>
        </w:rPr>
        <w:t xml:space="preserve">are the common </w:t>
      </w:r>
      <w:r w:rsidR="00026AB4">
        <w:rPr>
          <w:rFonts w:ascii="Times New Roman" w:hAnsi="Times New Roman"/>
          <w:i/>
          <w:iCs/>
        </w:rPr>
        <w:t>trends of cases reviewed, f</w:t>
      </w:r>
      <w:r w:rsidR="00066D48">
        <w:rPr>
          <w:rFonts w:ascii="Times New Roman" w:hAnsi="Times New Roman"/>
          <w:i/>
          <w:iCs/>
        </w:rPr>
        <w:t>iled,</w:t>
      </w:r>
      <w:r w:rsidR="00026AB4">
        <w:rPr>
          <w:rFonts w:ascii="Times New Roman" w:hAnsi="Times New Roman"/>
          <w:i/>
          <w:iCs/>
        </w:rPr>
        <w:t xml:space="preserve"> and prosecuted</w:t>
      </w:r>
      <w:r>
        <w:rPr>
          <w:rFonts w:ascii="Times New Roman" w:hAnsi="Times New Roman"/>
          <w:i/>
          <w:iCs/>
        </w:rPr>
        <w:t>?</w:t>
      </w:r>
    </w:p>
    <w:p w:rsidR="00FE4ACF" w:rsidRPr="004A2169" w:rsidP="00BB0D0A" w14:paraId="0E9BD178" w14:textId="77777777">
      <w:pPr>
        <w:widowControl/>
        <w:rPr>
          <w:rFonts w:ascii="Times New Roman" w:hAnsi="Times New Roman"/>
        </w:rPr>
      </w:pPr>
    </w:p>
    <w:p w:rsidR="00026AB4" w:rsidRPr="00026AB4" w:rsidP="00026AB4" w14:paraId="6D571C66" w14:textId="4E10066A">
      <w:pPr>
        <w:widowControl/>
        <w:rPr>
          <w:rFonts w:ascii="Times New Roman" w:hAnsi="Times New Roman"/>
          <w:b/>
          <w:bCs/>
        </w:rPr>
      </w:pPr>
      <w:r w:rsidRPr="00383BBD">
        <w:rPr>
          <w:rFonts w:ascii="Times New Roman" w:hAnsi="Times New Roman"/>
          <w:b/>
          <w:bCs/>
        </w:rPr>
        <w:t xml:space="preserve">Other Uses: </w:t>
      </w:r>
    </w:p>
    <w:p w:rsidR="00026AB4" w:rsidP="00026AB4" w14:paraId="43A5FBB2" w14:textId="16D5E6E8">
      <w:pPr>
        <w:widowControl/>
        <w:autoSpaceDE/>
        <w:autoSpaceDN/>
        <w:adjustRightInd/>
        <w:rPr>
          <w:rFonts w:ascii="Times New Roman" w:hAnsi="Times New Roman"/>
        </w:rPr>
      </w:pPr>
      <w:r w:rsidRPr="00026AB4">
        <w:rPr>
          <w:rFonts w:ascii="Times New Roman" w:hAnsi="Times New Roman"/>
        </w:rPr>
        <w:t xml:space="preserve">BJS will make the </w:t>
      </w:r>
      <w:r w:rsidR="00A35CD3">
        <w:rPr>
          <w:rFonts w:ascii="Times New Roman" w:hAnsi="Times New Roman"/>
        </w:rPr>
        <w:t>2025 CPO</w:t>
      </w:r>
      <w:r w:rsidRPr="00026AB4">
        <w:rPr>
          <w:rFonts w:ascii="Times New Roman" w:hAnsi="Times New Roman"/>
        </w:rPr>
        <w:t xml:space="preserve"> data set available to the public through restricted use files located at the National Archive of Criminal Justice Data Archive (NACJD) at the University of Michigan, Ann Arbor, MI (https://www.icpsr.umich.edu/icpsrweb/content/NACJD/index.html). </w:t>
      </w:r>
      <w:r>
        <w:rPr>
          <w:rFonts w:ascii="Times New Roman" w:hAnsi="Times New Roman"/>
        </w:rPr>
        <w:t xml:space="preserve">No information about the </w:t>
      </w:r>
      <w:r>
        <w:rPr>
          <w:rFonts w:ascii="Times New Roman" w:hAnsi="Times New Roman"/>
        </w:rPr>
        <w:t>persons</w:t>
      </w:r>
      <w:r>
        <w:rPr>
          <w:rFonts w:ascii="Times New Roman" w:hAnsi="Times New Roman"/>
        </w:rPr>
        <w:t xml:space="preserve"> completing the survey will be included in any </w:t>
      </w:r>
      <w:r>
        <w:rPr>
          <w:rFonts w:ascii="Times New Roman" w:hAnsi="Times New Roman"/>
        </w:rPr>
        <w:t>archived file</w:t>
      </w:r>
      <w:r>
        <w:rPr>
          <w:rFonts w:ascii="Times New Roman" w:hAnsi="Times New Roman"/>
        </w:rPr>
        <w:t xml:space="preserve">. </w:t>
      </w:r>
    </w:p>
    <w:p w:rsidR="00026AB4" w:rsidRPr="00026AB4" w:rsidP="00026AB4" w14:paraId="28D943BC" w14:textId="51B5AFF5">
      <w:pPr>
        <w:widowControl/>
        <w:autoSpaceDE/>
        <w:autoSpaceDN/>
        <w:adjustRightInd/>
        <w:rPr>
          <w:rFonts w:ascii="Times New Roman" w:hAnsi="Times New Roman"/>
        </w:rPr>
      </w:pPr>
    </w:p>
    <w:p w:rsidR="00E63F3A" w:rsidP="000D087F" w14:paraId="53DB2C8F" w14:textId="070A9C62">
      <w:pPr>
        <w:widowControl/>
        <w:autoSpaceDE/>
        <w:autoSpaceDN/>
        <w:adjustRightInd/>
        <w:rPr>
          <w:rFonts w:ascii="Times New Roman" w:hAnsi="Times New Roman"/>
        </w:rPr>
      </w:pPr>
      <w:r>
        <w:rPr>
          <w:rFonts w:ascii="Times New Roman" w:hAnsi="Times New Roman"/>
        </w:rPr>
        <w:t>Examples of users and uses of the data include—</w:t>
      </w:r>
    </w:p>
    <w:p w:rsidR="00E63F3A" w:rsidP="000D087F" w14:paraId="6246FA31" w14:textId="77777777">
      <w:pPr>
        <w:widowControl/>
        <w:autoSpaceDE/>
        <w:autoSpaceDN/>
        <w:adjustRightInd/>
        <w:rPr>
          <w:rFonts w:ascii="Times New Roman" w:hAnsi="Times New Roman"/>
        </w:rPr>
      </w:pPr>
    </w:p>
    <w:p w:rsidR="00C25FD4" w:rsidRPr="009B62FD" w:rsidP="00C25FD4" w14:paraId="771369EE" w14:textId="26C2C155">
      <w:pPr>
        <w:widowControl/>
        <w:autoSpaceDE/>
        <w:autoSpaceDN/>
        <w:adjustRightInd/>
        <w:rPr>
          <w:rFonts w:ascii="Times New Roman" w:hAnsi="Times New Roman"/>
          <w:b/>
          <w:bCs/>
        </w:rPr>
      </w:pPr>
      <w:r w:rsidRPr="00F4717A">
        <w:rPr>
          <w:rFonts w:ascii="Times New Roman" w:hAnsi="Times New Roman"/>
          <w:b/>
          <w:bCs/>
        </w:rPr>
        <w:t>National Institute of Justice</w:t>
      </w:r>
      <w:r>
        <w:rPr>
          <w:rFonts w:ascii="Times New Roman" w:hAnsi="Times New Roman"/>
          <w:b/>
          <w:bCs/>
        </w:rPr>
        <w:t xml:space="preserve"> (NIJ) – </w:t>
      </w:r>
      <w:r w:rsidR="001363D2">
        <w:rPr>
          <w:rFonts w:ascii="Times New Roman" w:hAnsi="Times New Roman"/>
        </w:rPr>
        <w:t>NIJ</w:t>
      </w:r>
      <w:r w:rsidRPr="007D23CB">
        <w:rPr>
          <w:rFonts w:ascii="Times New Roman" w:hAnsi="Times New Roman"/>
        </w:rPr>
        <w:t xml:space="preserve"> </w:t>
      </w:r>
      <w:r>
        <w:rPr>
          <w:rFonts w:ascii="Times New Roman" w:hAnsi="Times New Roman"/>
        </w:rPr>
        <w:t xml:space="preserve">recently </w:t>
      </w:r>
      <w:r w:rsidR="00D73A3D">
        <w:rPr>
          <w:rFonts w:ascii="Times New Roman" w:hAnsi="Times New Roman"/>
        </w:rPr>
        <w:t>completed</w:t>
      </w:r>
      <w:r w:rsidRPr="007D23CB">
        <w:rPr>
          <w:rFonts w:ascii="Times New Roman" w:hAnsi="Times New Roman"/>
        </w:rPr>
        <w:t xml:space="preserve"> their </w:t>
      </w:r>
      <w:r w:rsidRPr="00D73A3D">
        <w:rPr>
          <w:rFonts w:ascii="Times New Roman" w:hAnsi="Times New Roman"/>
          <w:i/>
          <w:iCs/>
        </w:rPr>
        <w:t>Court Strategic Research Plan for 2020-2024</w:t>
      </w:r>
      <w:r w:rsidRPr="007D23CB">
        <w:rPr>
          <w:rFonts w:ascii="Times New Roman" w:hAnsi="Times New Roman"/>
        </w:rPr>
        <w:t>.</w:t>
      </w:r>
      <w:r>
        <w:rPr>
          <w:rFonts w:ascii="Times New Roman" w:hAnsi="Times New Roman"/>
        </w:rPr>
        <w:t xml:space="preserve"> This </w:t>
      </w:r>
      <w:r w:rsidRPr="007D23CB">
        <w:rPr>
          <w:rFonts w:ascii="Times New Roman" w:hAnsi="Times New Roman"/>
        </w:rPr>
        <w:t>effort</w:t>
      </w:r>
      <w:r w:rsidR="00AB6743">
        <w:rPr>
          <w:rFonts w:ascii="Times New Roman" w:hAnsi="Times New Roman"/>
        </w:rPr>
        <w:t xml:space="preserve"> provided funding to</w:t>
      </w:r>
      <w:r w:rsidRPr="007D23CB">
        <w:rPr>
          <w:rFonts w:ascii="Times New Roman" w:hAnsi="Times New Roman"/>
        </w:rPr>
        <w:t xml:space="preserve"> </w:t>
      </w:r>
      <w:r>
        <w:rPr>
          <w:rFonts w:ascii="Times New Roman" w:hAnsi="Times New Roman"/>
        </w:rPr>
        <w:t>assess</w:t>
      </w:r>
      <w:r w:rsidRPr="007D23CB">
        <w:rPr>
          <w:rFonts w:ascii="Times New Roman" w:hAnsi="Times New Roman"/>
        </w:rPr>
        <w:t xml:space="preserve"> the impact of staffing, budget, and </w:t>
      </w:r>
      <w:r w:rsidRPr="007D23CB" w:rsidR="00AB6743">
        <w:rPr>
          <w:rFonts w:ascii="Times New Roman" w:hAnsi="Times New Roman"/>
        </w:rPr>
        <w:t>resource</w:t>
      </w:r>
      <w:r w:rsidRPr="007D23CB">
        <w:rPr>
          <w:rFonts w:ascii="Times New Roman" w:hAnsi="Times New Roman"/>
        </w:rPr>
        <w:t xml:space="preserve"> allocations of courts</w:t>
      </w:r>
      <w:r w:rsidR="00D73A3D">
        <w:rPr>
          <w:rFonts w:ascii="Times New Roman" w:hAnsi="Times New Roman"/>
        </w:rPr>
        <w:t xml:space="preserve"> and courtroom actors</w:t>
      </w:r>
      <w:r w:rsidRPr="00AB6743">
        <w:rPr>
          <w:rFonts w:ascii="Times New Roman" w:hAnsi="Times New Roman"/>
        </w:rPr>
        <w:t>.</w:t>
      </w:r>
      <w:r w:rsidRPr="00AB6743" w:rsidR="00D73A3D">
        <w:rPr>
          <w:rFonts w:ascii="Times New Roman" w:hAnsi="Times New Roman"/>
        </w:rPr>
        <w:t xml:space="preserve"> NIJ utilized the </w:t>
      </w:r>
      <w:r w:rsidR="00AB6743">
        <w:rPr>
          <w:rFonts w:ascii="Times New Roman" w:hAnsi="Times New Roman"/>
        </w:rPr>
        <w:t>statistics provided by BJS to</w:t>
      </w:r>
      <w:r w:rsidRPr="00AB6743" w:rsidR="00D73A3D">
        <w:rPr>
          <w:rFonts w:ascii="Times New Roman" w:hAnsi="Times New Roman"/>
        </w:rPr>
        <w:t xml:space="preserve"> </w:t>
      </w:r>
      <w:r w:rsidRPr="00AB6743" w:rsidR="00AB6743">
        <w:rPr>
          <w:rFonts w:ascii="Times New Roman" w:hAnsi="Times New Roman"/>
        </w:rPr>
        <w:t>formulate funding opportunities that focus on prosecutor</w:t>
      </w:r>
      <w:r w:rsidR="001363D2">
        <w:rPr>
          <w:rFonts w:ascii="Times New Roman" w:hAnsi="Times New Roman"/>
        </w:rPr>
        <w:t>s</w:t>
      </w:r>
      <w:r w:rsidR="00492FD2">
        <w:rPr>
          <w:rFonts w:ascii="Times New Roman" w:hAnsi="Times New Roman"/>
        </w:rPr>
        <w:t xml:space="preserve"> in this initiative. For example, the</w:t>
      </w:r>
      <w:r w:rsidR="001363D2">
        <w:rPr>
          <w:rFonts w:ascii="Times New Roman" w:hAnsi="Times New Roman"/>
        </w:rPr>
        <w:t xml:space="preserve"> </w:t>
      </w:r>
      <w:r w:rsidRPr="001363D2" w:rsidR="00AB6743">
        <w:rPr>
          <w:rFonts w:ascii="Times New Roman" w:hAnsi="Times New Roman"/>
          <w:i/>
          <w:iCs/>
        </w:rPr>
        <w:t xml:space="preserve">FY </w:t>
      </w:r>
      <w:bookmarkStart w:id="2" w:name="_Hlk221793406"/>
      <w:r w:rsidRPr="001363D2" w:rsidR="001363D2">
        <w:rPr>
          <w:rFonts w:ascii="Times New Roman" w:hAnsi="Times New Roman"/>
          <w:i/>
          <w:iCs/>
        </w:rPr>
        <w:t>24</w:t>
      </w:r>
      <w:r w:rsidRPr="001363D2" w:rsidR="00AB6743">
        <w:rPr>
          <w:rFonts w:ascii="Times New Roman" w:hAnsi="Times New Roman"/>
          <w:i/>
          <w:iCs/>
        </w:rPr>
        <w:t xml:space="preserve"> </w:t>
      </w:r>
      <w:r w:rsidRPr="001363D2">
        <w:rPr>
          <w:rFonts w:ascii="Times New Roman" w:hAnsi="Times New Roman"/>
          <w:i/>
          <w:iCs/>
        </w:rPr>
        <w:t>Prosecution</w:t>
      </w:r>
      <w:r w:rsidRPr="009B62FD">
        <w:rPr>
          <w:rFonts w:ascii="Times New Roman" w:hAnsi="Times New Roman"/>
          <w:i/>
          <w:iCs/>
        </w:rPr>
        <w:t xml:space="preserve"> Practice, Justice, Case Tracking, and Workforce</w:t>
      </w:r>
      <w:r w:rsidR="00492FD2">
        <w:rPr>
          <w:rFonts w:ascii="Times New Roman" w:hAnsi="Times New Roman"/>
          <w:i/>
          <w:iCs/>
        </w:rPr>
        <w:t xml:space="preserve"> </w:t>
      </w:r>
      <w:r w:rsidRPr="00492FD2" w:rsidR="00492FD2">
        <w:rPr>
          <w:rFonts w:ascii="Times New Roman" w:hAnsi="Times New Roman"/>
        </w:rPr>
        <w:t>solicitation</w:t>
      </w:r>
      <w:r w:rsidRPr="00492FD2" w:rsidR="001363D2">
        <w:rPr>
          <w:rFonts w:ascii="Times New Roman" w:hAnsi="Times New Roman"/>
        </w:rPr>
        <w:t xml:space="preserve"> </w:t>
      </w:r>
      <w:r w:rsidR="00AB6743">
        <w:rPr>
          <w:rFonts w:ascii="Times New Roman" w:hAnsi="Times New Roman"/>
        </w:rPr>
        <w:t>cite</w:t>
      </w:r>
      <w:r w:rsidR="00492FD2">
        <w:rPr>
          <w:rFonts w:ascii="Times New Roman" w:hAnsi="Times New Roman"/>
        </w:rPr>
        <w:t>d</w:t>
      </w:r>
      <w:r w:rsidR="00AB6743">
        <w:rPr>
          <w:rFonts w:ascii="Times New Roman" w:hAnsi="Times New Roman"/>
        </w:rPr>
        <w:t xml:space="preserve"> both the NSP and CPO as federal research programs with overlapping priorities</w:t>
      </w:r>
      <w:r w:rsidR="00492FD2">
        <w:rPr>
          <w:rFonts w:ascii="Times New Roman" w:hAnsi="Times New Roman"/>
        </w:rPr>
        <w:t xml:space="preserve"> with this award</w:t>
      </w:r>
      <w:r w:rsidR="00AB6743">
        <w:rPr>
          <w:rFonts w:ascii="Times New Roman" w:hAnsi="Times New Roman"/>
        </w:rPr>
        <w:t>.</w:t>
      </w:r>
      <w:bookmarkEnd w:id="2"/>
      <w:r>
        <w:rPr>
          <w:rStyle w:val="FootnoteReference"/>
          <w:rFonts w:ascii="Times New Roman" w:hAnsi="Times New Roman"/>
        </w:rPr>
        <w:footnoteReference w:id="5"/>
      </w:r>
    </w:p>
    <w:p w:rsidR="00C25FD4" w:rsidP="00C25FD4" w14:paraId="5C76D9A9" w14:textId="45A5F88D">
      <w:pPr>
        <w:widowControl/>
        <w:autoSpaceDE/>
        <w:autoSpaceDN/>
        <w:adjustRightInd/>
        <w:rPr>
          <w:rFonts w:ascii="Times New Roman" w:hAnsi="Times New Roman"/>
        </w:rPr>
      </w:pPr>
      <w:r w:rsidRPr="009B62FD">
        <w:rPr>
          <w:rFonts w:ascii="Times New Roman" w:hAnsi="Times New Roman"/>
          <w:b/>
          <w:bCs/>
        </w:rPr>
        <w:t xml:space="preserve">Bureau of Justice Assistance (BJA) </w:t>
      </w:r>
      <w:r>
        <w:rPr>
          <w:rFonts w:ascii="Times New Roman" w:hAnsi="Times New Roman"/>
          <w:b/>
          <w:bCs/>
        </w:rPr>
        <w:t xml:space="preserve">– </w:t>
      </w:r>
      <w:r w:rsidRPr="00AD45F7">
        <w:rPr>
          <w:rFonts w:ascii="Times New Roman" w:hAnsi="Times New Roman"/>
        </w:rPr>
        <w:t xml:space="preserve">BJA </w:t>
      </w:r>
      <w:r>
        <w:rPr>
          <w:rFonts w:ascii="Times New Roman" w:hAnsi="Times New Roman"/>
        </w:rPr>
        <w:t xml:space="preserve">has released several funding opportunities for prosecutor offices. </w:t>
      </w:r>
      <w:r w:rsidR="005654A9">
        <w:rPr>
          <w:rFonts w:ascii="Times New Roman" w:hAnsi="Times New Roman"/>
        </w:rPr>
        <w:t xml:space="preserve">For example, </w:t>
      </w:r>
      <w:r>
        <w:rPr>
          <w:rFonts w:ascii="Times New Roman" w:hAnsi="Times New Roman"/>
        </w:rPr>
        <w:t xml:space="preserve">BJA’s </w:t>
      </w:r>
      <w:r w:rsidRPr="00820336">
        <w:rPr>
          <w:rFonts w:ascii="Times New Roman" w:hAnsi="Times New Roman"/>
          <w:i/>
          <w:iCs/>
        </w:rPr>
        <w:t>FY</w:t>
      </w:r>
      <w:r w:rsidR="00AB6743">
        <w:rPr>
          <w:rFonts w:ascii="Times New Roman" w:hAnsi="Times New Roman"/>
          <w:i/>
          <w:iCs/>
        </w:rPr>
        <w:t xml:space="preserve"> </w:t>
      </w:r>
      <w:r w:rsidRPr="00820336">
        <w:rPr>
          <w:rFonts w:ascii="Times New Roman" w:hAnsi="Times New Roman"/>
          <w:i/>
          <w:iCs/>
        </w:rPr>
        <w:t>24 Smart Prosecution – Innovative Prosecution Solutions</w:t>
      </w:r>
      <w:r>
        <w:rPr>
          <w:rFonts w:ascii="Times New Roman" w:hAnsi="Times New Roman"/>
        </w:rPr>
        <w:t xml:space="preserve"> </w:t>
      </w:r>
      <w:r w:rsidRPr="00820336">
        <w:rPr>
          <w:rFonts w:ascii="Times New Roman" w:hAnsi="Times New Roman"/>
        </w:rPr>
        <w:t>provide</w:t>
      </w:r>
      <w:r w:rsidR="002136AD">
        <w:rPr>
          <w:rFonts w:ascii="Times New Roman" w:hAnsi="Times New Roman"/>
        </w:rPr>
        <w:t>s</w:t>
      </w:r>
      <w:r w:rsidRPr="00820336">
        <w:rPr>
          <w:rFonts w:ascii="Times New Roman" w:hAnsi="Times New Roman"/>
        </w:rPr>
        <w:t xml:space="preserve"> state, local, and tribal prosecutors with funding to reduce crime </w:t>
      </w:r>
      <w:r>
        <w:rPr>
          <w:rFonts w:ascii="Times New Roman" w:hAnsi="Times New Roman"/>
        </w:rPr>
        <w:t>by</w:t>
      </w:r>
      <w:r w:rsidRPr="00820336">
        <w:rPr>
          <w:rFonts w:ascii="Times New Roman" w:hAnsi="Times New Roman"/>
        </w:rPr>
        <w:t xml:space="preserve"> us</w:t>
      </w:r>
      <w:r>
        <w:rPr>
          <w:rFonts w:ascii="Times New Roman" w:hAnsi="Times New Roman"/>
        </w:rPr>
        <w:t>ing</w:t>
      </w:r>
      <w:r w:rsidRPr="00820336">
        <w:rPr>
          <w:rFonts w:ascii="Times New Roman" w:hAnsi="Times New Roman"/>
        </w:rPr>
        <w:t xml:space="preserve"> data to develop fair, effective, cost-effective, and innovative responses to crime within their jurisdictions.</w:t>
      </w:r>
      <w:r>
        <w:rPr>
          <w:rStyle w:val="FootnoteReference"/>
          <w:rFonts w:ascii="Times New Roman" w:hAnsi="Times New Roman"/>
        </w:rPr>
        <w:footnoteReference w:id="6"/>
      </w:r>
      <w:r>
        <w:rPr>
          <w:rFonts w:ascii="Times New Roman" w:hAnsi="Times New Roman"/>
        </w:rPr>
        <w:t xml:space="preserve"> Additionally, BJA’s </w:t>
      </w:r>
      <w:r w:rsidRPr="00AD45F7">
        <w:rPr>
          <w:rFonts w:ascii="Times New Roman" w:hAnsi="Times New Roman"/>
          <w:i/>
          <w:iCs/>
        </w:rPr>
        <w:t>FY 25 Prosecuting Cold Cases Using DNA</w:t>
      </w:r>
      <w:r>
        <w:rPr>
          <w:rFonts w:ascii="Times New Roman" w:hAnsi="Times New Roman"/>
        </w:rPr>
        <w:t xml:space="preserve"> award supports</w:t>
      </w:r>
      <w:r w:rsidRPr="00AD45F7">
        <w:rPr>
          <w:rFonts w:ascii="Times New Roman" w:hAnsi="Times New Roman"/>
        </w:rPr>
        <w:t xml:space="preserve"> prosecutors in the investigation and prosecution of violent cold case crimes</w:t>
      </w:r>
      <w:r>
        <w:rPr>
          <w:rFonts w:ascii="Times New Roman" w:hAnsi="Times New Roman"/>
        </w:rPr>
        <w:t>.</w:t>
      </w:r>
      <w:r>
        <w:rPr>
          <w:rStyle w:val="FootnoteReference"/>
          <w:rFonts w:ascii="Times New Roman" w:hAnsi="Times New Roman"/>
        </w:rPr>
        <w:footnoteReference w:id="7"/>
      </w:r>
      <w:r>
        <w:rPr>
          <w:rFonts w:ascii="Times New Roman" w:hAnsi="Times New Roman"/>
        </w:rPr>
        <w:t xml:space="preserve"> Metrics captured in CPO</w:t>
      </w:r>
      <w:r w:rsidR="00E2360D">
        <w:rPr>
          <w:rFonts w:ascii="Times New Roman" w:hAnsi="Times New Roman"/>
        </w:rPr>
        <w:t xml:space="preserve"> </w:t>
      </w:r>
      <w:r>
        <w:rPr>
          <w:rFonts w:ascii="Times New Roman" w:hAnsi="Times New Roman"/>
        </w:rPr>
        <w:t>can assist BJA in tracking implementation of past</w:t>
      </w:r>
      <w:r w:rsidR="00AB6743">
        <w:rPr>
          <w:rFonts w:ascii="Times New Roman" w:hAnsi="Times New Roman"/>
        </w:rPr>
        <w:t xml:space="preserve">, present and </w:t>
      </w:r>
      <w:r>
        <w:rPr>
          <w:rFonts w:ascii="Times New Roman" w:hAnsi="Times New Roman"/>
        </w:rPr>
        <w:t xml:space="preserve">future funding </w:t>
      </w:r>
      <w:r w:rsidR="00163A2C">
        <w:rPr>
          <w:rFonts w:ascii="Times New Roman" w:hAnsi="Times New Roman"/>
        </w:rPr>
        <w:t>awards</w:t>
      </w:r>
      <w:r w:rsidR="00A659A5">
        <w:rPr>
          <w:rFonts w:ascii="Times New Roman" w:hAnsi="Times New Roman"/>
        </w:rPr>
        <w:t xml:space="preserve"> </w:t>
      </w:r>
      <w:r w:rsidR="0003168E">
        <w:rPr>
          <w:rFonts w:ascii="Times New Roman" w:hAnsi="Times New Roman"/>
        </w:rPr>
        <w:t xml:space="preserve">for </w:t>
      </w:r>
      <w:r w:rsidR="00A659A5">
        <w:rPr>
          <w:rFonts w:ascii="Times New Roman" w:hAnsi="Times New Roman"/>
        </w:rPr>
        <w:t>prosecutors</w:t>
      </w:r>
      <w:r w:rsidR="00163A2C">
        <w:rPr>
          <w:rFonts w:ascii="Times New Roman" w:hAnsi="Times New Roman"/>
        </w:rPr>
        <w:t>.</w:t>
      </w:r>
      <w:r>
        <w:rPr>
          <w:rFonts w:ascii="Times New Roman" w:hAnsi="Times New Roman"/>
        </w:rPr>
        <w:t xml:space="preserve">   </w:t>
      </w:r>
    </w:p>
    <w:p w:rsidR="00D8240D" w:rsidP="000D087F" w14:paraId="7476F43B" w14:textId="77777777">
      <w:pPr>
        <w:widowControl/>
        <w:autoSpaceDE/>
        <w:autoSpaceDN/>
        <w:adjustRightInd/>
        <w:rPr>
          <w:rFonts w:ascii="Times New Roman" w:hAnsi="Times New Roman"/>
        </w:rPr>
      </w:pPr>
    </w:p>
    <w:p w:rsidR="00087DE9" w:rsidRPr="00C25FD4" w:rsidP="000D087F" w14:paraId="29818895" w14:textId="27080DA0">
      <w:pPr>
        <w:widowControl/>
        <w:autoSpaceDE/>
        <w:autoSpaceDN/>
        <w:adjustRightInd/>
        <w:rPr>
          <w:rFonts w:ascii="Times New Roman" w:hAnsi="Times New Roman"/>
        </w:rPr>
      </w:pPr>
      <w:r w:rsidRPr="00087DE9">
        <w:rPr>
          <w:rFonts w:ascii="Times New Roman" w:hAnsi="Times New Roman"/>
          <w:b/>
          <w:bCs/>
        </w:rPr>
        <w:t>Panel on Modernizing the Nation’s Crime Statistics</w:t>
      </w:r>
      <w:r w:rsidRPr="00087DE9">
        <w:rPr>
          <w:rFonts w:ascii="Times New Roman" w:hAnsi="Times New Roman"/>
        </w:rPr>
        <w:t xml:space="preserve">. </w:t>
      </w:r>
      <w:r w:rsidRPr="00285159" w:rsidR="00285159">
        <w:rPr>
          <w:rFonts w:ascii="Times New Roman" w:hAnsi="Times New Roman"/>
        </w:rPr>
        <w:t>In 2014, BJS and the FBI formed the Panel on Modernizing the Nation’s Crime Statistics</w:t>
      </w:r>
      <w:r w:rsidR="00285159">
        <w:rPr>
          <w:rFonts w:ascii="Times New Roman" w:hAnsi="Times New Roman"/>
        </w:rPr>
        <w:t xml:space="preserve"> </w:t>
      </w:r>
      <w:r w:rsidRPr="00285159" w:rsidR="00285159">
        <w:rPr>
          <w:rFonts w:ascii="Times New Roman" w:hAnsi="Times New Roman"/>
        </w:rPr>
        <w:t>to develop new classifications of crime</w:t>
      </w:r>
      <w:r w:rsidR="00285159">
        <w:rPr>
          <w:rFonts w:ascii="Times New Roman" w:hAnsi="Times New Roman"/>
        </w:rPr>
        <w:t xml:space="preserve"> reporting. </w:t>
      </w:r>
      <w:r w:rsidRPr="00087DE9">
        <w:rPr>
          <w:rFonts w:ascii="Times New Roman" w:hAnsi="Times New Roman"/>
        </w:rPr>
        <w:t xml:space="preserve">Although there is no specific mention of prosecutorial initiatives </w:t>
      </w:r>
      <w:r w:rsidR="00285159">
        <w:rPr>
          <w:rFonts w:ascii="Times New Roman" w:hAnsi="Times New Roman"/>
        </w:rPr>
        <w:t>in the</w:t>
      </w:r>
      <w:r w:rsidRPr="00087DE9">
        <w:rPr>
          <w:rFonts w:ascii="Times New Roman" w:hAnsi="Times New Roman"/>
        </w:rPr>
        <w:t xml:space="preserve"> reports produced by the panel, </w:t>
      </w:r>
      <w:r w:rsidR="00492FD2">
        <w:rPr>
          <w:rFonts w:ascii="Times New Roman" w:hAnsi="Times New Roman"/>
        </w:rPr>
        <w:t xml:space="preserve">they emphasized </w:t>
      </w:r>
      <w:r w:rsidRPr="00087DE9">
        <w:rPr>
          <w:rFonts w:ascii="Times New Roman" w:hAnsi="Times New Roman"/>
        </w:rPr>
        <w:t>collecting data from outcomes that occur after arrest, such as the number of arrests resulting in prosecution, number of filings, and outcomes/sentences by offense in court.</w:t>
      </w:r>
      <w:r>
        <w:rPr>
          <w:rFonts w:ascii="Times New Roman" w:hAnsi="Times New Roman"/>
          <w:vertAlign w:val="superscript"/>
        </w:rPr>
        <w:footnoteReference w:id="8"/>
      </w:r>
      <w:r w:rsidRPr="00087DE9">
        <w:rPr>
          <w:rFonts w:ascii="Times New Roman" w:hAnsi="Times New Roman"/>
        </w:rPr>
        <w:t xml:space="preserve">  Data collected in the </w:t>
      </w:r>
      <w:r w:rsidR="00A35CD3">
        <w:rPr>
          <w:rFonts w:ascii="Times New Roman" w:hAnsi="Times New Roman"/>
        </w:rPr>
        <w:t>2025 CPO</w:t>
      </w:r>
      <w:r w:rsidRPr="00087DE9">
        <w:rPr>
          <w:rFonts w:ascii="Times New Roman" w:hAnsi="Times New Roman"/>
        </w:rPr>
        <w:t xml:space="preserve"> will gather </w:t>
      </w:r>
      <w:r w:rsidR="00540CD8">
        <w:rPr>
          <w:rFonts w:ascii="Times New Roman" w:hAnsi="Times New Roman"/>
        </w:rPr>
        <w:t>similar</w:t>
      </w:r>
      <w:r w:rsidRPr="00087DE9">
        <w:rPr>
          <w:rFonts w:ascii="Times New Roman" w:hAnsi="Times New Roman"/>
        </w:rPr>
        <w:t xml:space="preserve"> information to further enhance statistical data on prosecutor</w:t>
      </w:r>
      <w:r w:rsidR="0003168E">
        <w:rPr>
          <w:rFonts w:ascii="Times New Roman" w:hAnsi="Times New Roman"/>
        </w:rPr>
        <w:t xml:space="preserve"> charging and outcome</w:t>
      </w:r>
      <w:r w:rsidRPr="00087DE9">
        <w:rPr>
          <w:rFonts w:ascii="Times New Roman" w:hAnsi="Times New Roman"/>
        </w:rPr>
        <w:t>s.</w:t>
      </w:r>
    </w:p>
    <w:p w:rsidR="008A4655" w:rsidRPr="008A4655" w:rsidP="000D087F" w14:paraId="45868EFE" w14:textId="51DE389A">
      <w:pPr>
        <w:widowControl/>
        <w:autoSpaceDE/>
        <w:autoSpaceDN/>
        <w:adjustRightInd/>
        <w:rPr>
          <w:rFonts w:ascii="Times New Roman" w:hAnsi="Times New Roman"/>
        </w:rPr>
      </w:pPr>
    </w:p>
    <w:p w:rsidR="00E63F3A" w:rsidP="000D087F" w14:paraId="3FA67B9B" w14:textId="63DEB08A">
      <w:pPr>
        <w:widowControl/>
        <w:autoSpaceDE/>
        <w:autoSpaceDN/>
        <w:adjustRightInd/>
        <w:rPr>
          <w:rFonts w:ascii="Times New Roman" w:hAnsi="Times New Roman"/>
        </w:rPr>
      </w:pPr>
      <w:r>
        <w:rPr>
          <w:rFonts w:ascii="Times New Roman" w:hAnsi="Times New Roman"/>
          <w:b/>
          <w:bCs/>
        </w:rPr>
        <w:t>Academia and Independent Researchers</w:t>
      </w:r>
      <w:r>
        <w:rPr>
          <w:rFonts w:ascii="Times New Roman" w:hAnsi="Times New Roman"/>
        </w:rPr>
        <w:t xml:space="preserve"> – Below is a sample of publications using data from the </w:t>
      </w:r>
      <w:r w:rsidR="00087DE9">
        <w:rPr>
          <w:rFonts w:ascii="Times New Roman" w:hAnsi="Times New Roman"/>
        </w:rPr>
        <w:t>NSP and CPO series</w:t>
      </w:r>
      <w:r>
        <w:rPr>
          <w:rFonts w:ascii="Times New Roman" w:hAnsi="Times New Roman"/>
        </w:rPr>
        <w:t>.</w:t>
      </w:r>
    </w:p>
    <w:p w:rsidR="00742801" w:rsidP="00087DE9" w14:paraId="77C9F5C2" w14:textId="0EFE94CA">
      <w:pPr>
        <w:pStyle w:val="ListParagraph"/>
        <w:widowControl/>
        <w:numPr>
          <w:ilvl w:val="0"/>
          <w:numId w:val="31"/>
        </w:numPr>
        <w:autoSpaceDE/>
        <w:autoSpaceDN/>
        <w:adjustRightInd/>
        <w:rPr>
          <w:rFonts w:ascii="Times New Roman" w:hAnsi="Times New Roman"/>
        </w:rPr>
      </w:pPr>
      <w:r w:rsidRPr="00742801">
        <w:rPr>
          <w:rFonts w:ascii="Times New Roman" w:hAnsi="Times New Roman"/>
        </w:rPr>
        <w:t xml:space="preserve">Choi, </w:t>
      </w:r>
      <w:r w:rsidRPr="00742801" w:rsidR="00AA4A70">
        <w:rPr>
          <w:rFonts w:ascii="Times New Roman" w:hAnsi="Times New Roman"/>
        </w:rPr>
        <w:t>M</w:t>
      </w:r>
      <w:r w:rsidR="00AA4A70">
        <w:rPr>
          <w:rFonts w:ascii="Times New Roman" w:hAnsi="Times New Roman"/>
        </w:rPr>
        <w:t>.</w:t>
      </w:r>
      <w:r w:rsidRPr="00742801">
        <w:rPr>
          <w:rFonts w:ascii="Times New Roman" w:hAnsi="Times New Roman"/>
        </w:rPr>
        <w:t xml:space="preserve"> </w:t>
      </w:r>
      <w:r w:rsidR="00AA4A70">
        <w:rPr>
          <w:rFonts w:ascii="Times New Roman" w:hAnsi="Times New Roman"/>
        </w:rPr>
        <w:t>&amp;</w:t>
      </w:r>
      <w:r w:rsidRPr="00742801">
        <w:rPr>
          <w:rFonts w:ascii="Times New Roman" w:hAnsi="Times New Roman"/>
        </w:rPr>
        <w:t xml:space="preserve"> Giblin</w:t>
      </w:r>
      <w:r w:rsidR="00AA4A70">
        <w:rPr>
          <w:rFonts w:ascii="Times New Roman" w:hAnsi="Times New Roman"/>
        </w:rPr>
        <w:t>, M</w:t>
      </w:r>
      <w:r w:rsidRPr="00742801">
        <w:rPr>
          <w:rFonts w:ascii="Times New Roman" w:hAnsi="Times New Roman"/>
        </w:rPr>
        <w:t xml:space="preserve">. </w:t>
      </w:r>
      <w:r w:rsidR="00AA4A70">
        <w:rPr>
          <w:rFonts w:ascii="Times New Roman" w:hAnsi="Times New Roman"/>
        </w:rPr>
        <w:t xml:space="preserve">(2023). </w:t>
      </w:r>
      <w:r w:rsidRPr="00742801">
        <w:rPr>
          <w:rFonts w:ascii="Times New Roman" w:hAnsi="Times New Roman"/>
        </w:rPr>
        <w:t xml:space="preserve">The environmental and organizational determinants of county prosecutor salaries. </w:t>
      </w:r>
      <w:r w:rsidRPr="004A6E99">
        <w:rPr>
          <w:rFonts w:ascii="Times New Roman" w:hAnsi="Times New Roman"/>
          <w:i/>
          <w:iCs/>
        </w:rPr>
        <w:t xml:space="preserve">Journal of </w:t>
      </w:r>
      <w:r w:rsidR="00AA4A70">
        <w:rPr>
          <w:rFonts w:ascii="Times New Roman" w:hAnsi="Times New Roman"/>
          <w:i/>
          <w:iCs/>
        </w:rPr>
        <w:t>C</w:t>
      </w:r>
      <w:r w:rsidRPr="004A6E99">
        <w:rPr>
          <w:rFonts w:ascii="Times New Roman" w:hAnsi="Times New Roman"/>
          <w:i/>
          <w:iCs/>
        </w:rPr>
        <w:t xml:space="preserve">rime and </w:t>
      </w:r>
      <w:r w:rsidR="00AA4A70">
        <w:rPr>
          <w:rFonts w:ascii="Times New Roman" w:hAnsi="Times New Roman"/>
          <w:i/>
          <w:iCs/>
        </w:rPr>
        <w:t>J</w:t>
      </w:r>
      <w:r w:rsidRPr="004A6E99">
        <w:rPr>
          <w:rFonts w:ascii="Times New Roman" w:hAnsi="Times New Roman"/>
          <w:i/>
          <w:iCs/>
        </w:rPr>
        <w:t>ustice</w:t>
      </w:r>
      <w:r w:rsidR="00AA4A70">
        <w:rPr>
          <w:rFonts w:ascii="Times New Roman" w:hAnsi="Times New Roman"/>
          <w:i/>
          <w:iCs/>
        </w:rPr>
        <w:t>,</w:t>
      </w:r>
      <w:r w:rsidRPr="00742801">
        <w:rPr>
          <w:rFonts w:ascii="Times New Roman" w:hAnsi="Times New Roman"/>
        </w:rPr>
        <w:t xml:space="preserve"> 46</w:t>
      </w:r>
      <w:r w:rsidR="00AA4A70">
        <w:rPr>
          <w:rFonts w:ascii="Times New Roman" w:hAnsi="Times New Roman"/>
        </w:rPr>
        <w:t>(</w:t>
      </w:r>
      <w:r w:rsidRPr="00742801">
        <w:rPr>
          <w:rFonts w:ascii="Times New Roman" w:hAnsi="Times New Roman"/>
        </w:rPr>
        <w:t>3</w:t>
      </w:r>
      <w:r w:rsidR="00AA4A70">
        <w:rPr>
          <w:rFonts w:ascii="Times New Roman" w:hAnsi="Times New Roman"/>
        </w:rPr>
        <w:t>),</w:t>
      </w:r>
      <w:r w:rsidRPr="00742801">
        <w:rPr>
          <w:rFonts w:ascii="Times New Roman" w:hAnsi="Times New Roman"/>
        </w:rPr>
        <w:t xml:space="preserve"> 383-396.</w:t>
      </w:r>
    </w:p>
    <w:p w:rsidR="00087DE9" w:rsidP="00087DE9" w14:paraId="2061D684" w14:textId="579EB810">
      <w:pPr>
        <w:pStyle w:val="ListParagraph"/>
        <w:widowControl/>
        <w:numPr>
          <w:ilvl w:val="0"/>
          <w:numId w:val="31"/>
        </w:numPr>
        <w:autoSpaceDE/>
        <w:autoSpaceDN/>
        <w:adjustRightInd/>
        <w:rPr>
          <w:rFonts w:ascii="Times New Roman" w:hAnsi="Times New Roman"/>
        </w:rPr>
      </w:pPr>
      <w:r w:rsidRPr="00087DE9">
        <w:rPr>
          <w:rFonts w:ascii="Times New Roman" w:hAnsi="Times New Roman"/>
        </w:rPr>
        <w:t>Pfaff, John.</w:t>
      </w:r>
      <w:r w:rsidR="00AA4A70">
        <w:rPr>
          <w:rFonts w:ascii="Times New Roman" w:hAnsi="Times New Roman"/>
        </w:rPr>
        <w:t xml:space="preserve"> (2017).</w:t>
      </w:r>
      <w:r w:rsidRPr="00087DE9">
        <w:rPr>
          <w:rFonts w:ascii="Times New Roman" w:hAnsi="Times New Roman"/>
        </w:rPr>
        <w:t xml:space="preserve"> </w:t>
      </w:r>
      <w:r w:rsidRPr="004A6E99">
        <w:rPr>
          <w:rFonts w:ascii="Times New Roman" w:hAnsi="Times New Roman"/>
          <w:i/>
          <w:iCs/>
        </w:rPr>
        <w:t>Locked in: The true causes of mass incarceration-and how to achieve real reform</w:t>
      </w:r>
      <w:r w:rsidRPr="00087DE9">
        <w:rPr>
          <w:rFonts w:ascii="Times New Roman" w:hAnsi="Times New Roman"/>
        </w:rPr>
        <w:t>. Basic Books.</w:t>
      </w:r>
    </w:p>
    <w:p w:rsidR="00AA4A70" w:rsidRPr="00742801" w:rsidP="00AA4A70" w14:paraId="6408FA1E" w14:textId="517D037B">
      <w:pPr>
        <w:pStyle w:val="ListParagraph"/>
        <w:widowControl/>
        <w:numPr>
          <w:ilvl w:val="0"/>
          <w:numId w:val="31"/>
        </w:numPr>
        <w:autoSpaceDE/>
        <w:autoSpaceDN/>
        <w:adjustRightInd/>
        <w:rPr>
          <w:rFonts w:ascii="Times New Roman" w:hAnsi="Times New Roman"/>
        </w:rPr>
      </w:pPr>
      <w:r w:rsidRPr="00087DE9">
        <w:rPr>
          <w:rFonts w:ascii="Times New Roman" w:hAnsi="Times New Roman"/>
        </w:rPr>
        <w:t xml:space="preserve">Byers, B., Warren-Gordon, </w:t>
      </w:r>
      <w:r>
        <w:rPr>
          <w:rFonts w:ascii="Times New Roman" w:hAnsi="Times New Roman"/>
        </w:rPr>
        <w:t>K., &amp;</w:t>
      </w:r>
      <w:r w:rsidRPr="00087DE9">
        <w:rPr>
          <w:rFonts w:ascii="Times New Roman" w:hAnsi="Times New Roman"/>
        </w:rPr>
        <w:t xml:space="preserve"> Jones</w:t>
      </w:r>
      <w:r>
        <w:rPr>
          <w:rFonts w:ascii="Times New Roman" w:hAnsi="Times New Roman"/>
        </w:rPr>
        <w:t>, J</w:t>
      </w:r>
      <w:r w:rsidRPr="00087DE9">
        <w:rPr>
          <w:rFonts w:ascii="Times New Roman" w:hAnsi="Times New Roman"/>
        </w:rPr>
        <w:t xml:space="preserve">. </w:t>
      </w:r>
      <w:r>
        <w:rPr>
          <w:rFonts w:ascii="Times New Roman" w:hAnsi="Times New Roman"/>
        </w:rPr>
        <w:t xml:space="preserve">(2012). </w:t>
      </w:r>
      <w:r w:rsidRPr="00087DE9">
        <w:rPr>
          <w:rFonts w:ascii="Times New Roman" w:hAnsi="Times New Roman"/>
        </w:rPr>
        <w:t xml:space="preserve">Predictors of hate crime prosecutions: An analysis of data from the national </w:t>
      </w:r>
      <w:r w:rsidRPr="00087DE9">
        <w:rPr>
          <w:rFonts w:ascii="Times New Roman" w:hAnsi="Times New Roman"/>
        </w:rPr>
        <w:t>prosecutors</w:t>
      </w:r>
      <w:r w:rsidRPr="00087DE9">
        <w:rPr>
          <w:rFonts w:ascii="Times New Roman" w:hAnsi="Times New Roman"/>
        </w:rPr>
        <w:t xml:space="preserve"> survey and state-level bias crime laws. </w:t>
      </w:r>
      <w:r w:rsidRPr="004A6E99">
        <w:rPr>
          <w:rFonts w:ascii="Times New Roman" w:hAnsi="Times New Roman"/>
          <w:i/>
          <w:iCs/>
        </w:rPr>
        <w:t>Race and Justice</w:t>
      </w:r>
      <w:r>
        <w:rPr>
          <w:rFonts w:ascii="Times New Roman" w:hAnsi="Times New Roman"/>
        </w:rPr>
        <w:t>,</w:t>
      </w:r>
      <w:r w:rsidRPr="00087DE9">
        <w:rPr>
          <w:rFonts w:ascii="Times New Roman" w:hAnsi="Times New Roman"/>
        </w:rPr>
        <w:t xml:space="preserve"> 2</w:t>
      </w:r>
      <w:r>
        <w:rPr>
          <w:rFonts w:ascii="Times New Roman" w:hAnsi="Times New Roman"/>
        </w:rPr>
        <w:t>(</w:t>
      </w:r>
      <w:r w:rsidRPr="00087DE9">
        <w:rPr>
          <w:rFonts w:ascii="Times New Roman" w:hAnsi="Times New Roman"/>
        </w:rPr>
        <w:t>3</w:t>
      </w:r>
      <w:r>
        <w:rPr>
          <w:rFonts w:ascii="Times New Roman" w:hAnsi="Times New Roman"/>
        </w:rPr>
        <w:t>),</w:t>
      </w:r>
      <w:r w:rsidRPr="00087DE9">
        <w:rPr>
          <w:rFonts w:ascii="Times New Roman" w:hAnsi="Times New Roman"/>
        </w:rPr>
        <w:t xml:space="preserve"> 203-219.</w:t>
      </w:r>
    </w:p>
    <w:p w:rsidR="00AA4A70" w:rsidRPr="004A6E99" w:rsidP="004A6E99" w14:paraId="7E23E226" w14:textId="77777777">
      <w:pPr>
        <w:widowControl/>
        <w:autoSpaceDE/>
        <w:autoSpaceDN/>
        <w:adjustRightInd/>
        <w:ind w:left="360"/>
        <w:rPr>
          <w:rFonts w:ascii="Times New Roman" w:hAnsi="Times New Roman"/>
        </w:rPr>
      </w:pPr>
    </w:p>
    <w:p w:rsidR="00802A30" w:rsidRPr="0012107F" w:rsidP="00802A30" w14:paraId="34E41BA0" w14:textId="77777777">
      <w:pPr>
        <w:widowControl/>
        <w:rPr>
          <w:rFonts w:ascii="Times New Roman" w:hAnsi="Times New Roman"/>
          <w:u w:val="single"/>
        </w:rPr>
      </w:pPr>
    </w:p>
    <w:p w:rsidR="00690F56" w:rsidRPr="0012107F" w:rsidP="00690F56" w14:paraId="1908DC84" w14:textId="101F382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2107F">
        <w:rPr>
          <w:rFonts w:ascii="Times New Roman" w:hAnsi="Times New Roman"/>
          <w:b/>
          <w:bCs/>
        </w:rPr>
        <w:t>for adopting</w:t>
      </w:r>
      <w:r w:rsidRPr="0012107F">
        <w:rPr>
          <w:rFonts w:ascii="Times New Roman" w:hAnsi="Times New Roman"/>
          <w:b/>
          <w:bCs/>
        </w:rPr>
        <w:t xml:space="preserve"> this means of collection. Also</w:t>
      </w:r>
      <w:r w:rsidRPr="0012107F" w:rsidR="00237691">
        <w:rPr>
          <w:rFonts w:ascii="Times New Roman" w:hAnsi="Times New Roman"/>
          <w:b/>
          <w:bCs/>
        </w:rPr>
        <w:t>,</w:t>
      </w:r>
      <w:r w:rsidRPr="0012107F">
        <w:rPr>
          <w:rFonts w:ascii="Times New Roman" w:hAnsi="Times New Roman"/>
          <w:b/>
          <w:bCs/>
        </w:rPr>
        <w:t xml:space="preserve"> describe any consideration of using information technology to reduce burden.</w:t>
      </w:r>
    </w:p>
    <w:p w:rsidR="003C3BF0" w:rsidP="003C3BF0" w14:paraId="7E2954B4" w14:textId="77777777">
      <w:pPr>
        <w:rPr>
          <w:rFonts w:ascii="Times New Roman" w:hAnsi="Times New Roman"/>
        </w:rPr>
      </w:pPr>
    </w:p>
    <w:p w:rsidR="003C3BF0" w:rsidRPr="00347630" w:rsidP="003C3BF0" w14:paraId="3F6A562A" w14:textId="4E74E9F0">
      <w:pPr>
        <w:rPr>
          <w:rFonts w:ascii="Times New Roman" w:hAnsi="Times New Roman"/>
        </w:rPr>
      </w:pPr>
      <w:r w:rsidRPr="00347630">
        <w:rPr>
          <w:rFonts w:ascii="Times New Roman" w:hAnsi="Times New Roman"/>
        </w:rPr>
        <w:t xml:space="preserve">The </w:t>
      </w:r>
      <w:r w:rsidR="00A35CD3">
        <w:rPr>
          <w:rFonts w:ascii="Times New Roman" w:hAnsi="Times New Roman"/>
        </w:rPr>
        <w:t>2025 CPO</w:t>
      </w:r>
      <w:r>
        <w:rPr>
          <w:rFonts w:ascii="Times New Roman" w:hAnsi="Times New Roman"/>
        </w:rPr>
        <w:t xml:space="preserve"> </w:t>
      </w:r>
      <w:r w:rsidRPr="00347630">
        <w:rPr>
          <w:rFonts w:ascii="Times New Roman" w:hAnsi="Times New Roman"/>
        </w:rPr>
        <w:t xml:space="preserve">instrument </w:t>
      </w:r>
      <w:r w:rsidR="00E17F2E">
        <w:rPr>
          <w:rFonts w:ascii="Times New Roman" w:hAnsi="Times New Roman"/>
        </w:rPr>
        <w:t>(</w:t>
      </w:r>
      <w:r w:rsidR="00E17F2E">
        <w:rPr>
          <w:rFonts w:ascii="Times New Roman" w:hAnsi="Times New Roman"/>
          <w:b/>
          <w:bCs/>
        </w:rPr>
        <w:t xml:space="preserve">Attachment </w:t>
      </w:r>
      <w:r w:rsidR="005557AF">
        <w:rPr>
          <w:rFonts w:ascii="Times New Roman" w:hAnsi="Times New Roman"/>
          <w:b/>
          <w:bCs/>
        </w:rPr>
        <w:t>1</w:t>
      </w:r>
      <w:r w:rsidR="00E17F2E">
        <w:rPr>
          <w:rFonts w:ascii="Times New Roman" w:hAnsi="Times New Roman"/>
          <w:b/>
          <w:bCs/>
        </w:rPr>
        <w:t xml:space="preserve">) </w:t>
      </w:r>
      <w:r w:rsidRPr="00347630">
        <w:rPr>
          <w:rFonts w:ascii="Times New Roman" w:hAnsi="Times New Roman"/>
        </w:rPr>
        <w:t xml:space="preserve">and the procedures to collect, clean, and analyze the data </w:t>
      </w:r>
      <w:r w:rsidR="00EB39DF">
        <w:rPr>
          <w:rFonts w:ascii="Times New Roman" w:hAnsi="Times New Roman"/>
        </w:rPr>
        <w:t>were</w:t>
      </w:r>
      <w:r w:rsidRPr="00347630">
        <w:rPr>
          <w:rFonts w:ascii="Times New Roman" w:hAnsi="Times New Roman"/>
        </w:rPr>
        <w:t xml:space="preserve"> developed based on technological advances that enhance data quality and minimize burden to survey participants. </w:t>
      </w:r>
      <w:r w:rsidR="000D72F1">
        <w:rPr>
          <w:rFonts w:ascii="Times New Roman" w:hAnsi="Times New Roman"/>
        </w:rPr>
        <w:t>T</w:t>
      </w:r>
      <w:r w:rsidRPr="00347630">
        <w:rPr>
          <w:rFonts w:ascii="Times New Roman" w:hAnsi="Times New Roman"/>
        </w:rPr>
        <w:t xml:space="preserve">he survey is offered through </w:t>
      </w:r>
      <w:r w:rsidR="000D72F1">
        <w:rPr>
          <w:rFonts w:ascii="Times New Roman" w:hAnsi="Times New Roman"/>
        </w:rPr>
        <w:t xml:space="preserve">hardcopy and web-based </w:t>
      </w:r>
      <w:r>
        <w:rPr>
          <w:rFonts w:ascii="Times New Roman" w:hAnsi="Times New Roman"/>
        </w:rPr>
        <w:t>modes</w:t>
      </w:r>
      <w:r w:rsidRPr="00347630">
        <w:rPr>
          <w:rFonts w:ascii="Times New Roman" w:hAnsi="Times New Roman"/>
        </w:rPr>
        <w:t xml:space="preserve">, </w:t>
      </w:r>
      <w:r w:rsidR="000D72F1">
        <w:rPr>
          <w:rFonts w:ascii="Times New Roman" w:hAnsi="Times New Roman"/>
        </w:rPr>
        <w:t xml:space="preserve">with </w:t>
      </w:r>
      <w:r w:rsidRPr="00347630">
        <w:rPr>
          <w:rFonts w:ascii="Times New Roman" w:hAnsi="Times New Roman"/>
        </w:rPr>
        <w:t xml:space="preserve">the primary mode of data collection </w:t>
      </w:r>
      <w:r w:rsidR="000D72F1">
        <w:rPr>
          <w:rFonts w:ascii="Times New Roman" w:hAnsi="Times New Roman"/>
        </w:rPr>
        <w:t>being</w:t>
      </w:r>
      <w:r w:rsidRPr="00347630">
        <w:rPr>
          <w:rFonts w:ascii="Times New Roman" w:hAnsi="Times New Roman"/>
        </w:rPr>
        <w:t xml:space="preserve"> a web-based, self-administered survey instrument</w:t>
      </w:r>
      <w:r w:rsidR="003F63F0">
        <w:rPr>
          <w:rFonts w:ascii="Times New Roman" w:hAnsi="Times New Roman"/>
        </w:rPr>
        <w:t xml:space="preserve"> (see welcome screen presented in </w:t>
      </w:r>
      <w:r w:rsidRPr="000608C4" w:rsidR="003F63F0">
        <w:rPr>
          <w:rFonts w:ascii="Times New Roman" w:hAnsi="Times New Roman"/>
          <w:b/>
        </w:rPr>
        <w:t xml:space="preserve">Attachment </w:t>
      </w:r>
      <w:r w:rsidR="003F63F0">
        <w:rPr>
          <w:rFonts w:ascii="Times New Roman" w:hAnsi="Times New Roman"/>
          <w:b/>
        </w:rPr>
        <w:t>5</w:t>
      </w:r>
      <w:r w:rsidRPr="002B64A1" w:rsidR="003F63F0">
        <w:rPr>
          <w:rFonts w:ascii="Times New Roman" w:hAnsi="Times New Roman"/>
        </w:rPr>
        <w:t>).</w:t>
      </w:r>
      <w:r w:rsidRPr="002B64A1">
        <w:rPr>
          <w:rFonts w:ascii="Times New Roman" w:hAnsi="Times New Roman"/>
        </w:rPr>
        <w:t xml:space="preserve"> In the </w:t>
      </w:r>
      <w:r w:rsidR="00AA359D">
        <w:rPr>
          <w:rFonts w:ascii="Times New Roman" w:hAnsi="Times New Roman"/>
        </w:rPr>
        <w:t xml:space="preserve">2020 </w:t>
      </w:r>
      <w:r w:rsidR="00DE530A">
        <w:rPr>
          <w:rFonts w:ascii="Times New Roman" w:hAnsi="Times New Roman"/>
        </w:rPr>
        <w:t>NSP</w:t>
      </w:r>
      <w:r w:rsidRPr="002B64A1">
        <w:rPr>
          <w:rFonts w:ascii="Times New Roman" w:hAnsi="Times New Roman"/>
        </w:rPr>
        <w:t xml:space="preserve">, </w:t>
      </w:r>
      <w:r w:rsidRPr="002B64A1">
        <w:rPr>
          <w:rFonts w:ascii="Times New Roman" w:hAnsi="Times New Roman"/>
        </w:rPr>
        <w:t>the majority of</w:t>
      </w:r>
      <w:r w:rsidRPr="002B64A1">
        <w:rPr>
          <w:rFonts w:ascii="Times New Roman" w:hAnsi="Times New Roman"/>
        </w:rPr>
        <w:t xml:space="preserve"> </w:t>
      </w:r>
      <w:r w:rsidR="001D21D2">
        <w:rPr>
          <w:rFonts w:ascii="Times New Roman" w:hAnsi="Times New Roman"/>
        </w:rPr>
        <w:t>prosecutor offices</w:t>
      </w:r>
      <w:r>
        <w:rPr>
          <w:rFonts w:ascii="Times New Roman" w:hAnsi="Times New Roman"/>
        </w:rPr>
        <w:t xml:space="preserve"> </w:t>
      </w:r>
      <w:r w:rsidRPr="002B64A1">
        <w:rPr>
          <w:rFonts w:ascii="Times New Roman" w:hAnsi="Times New Roman"/>
        </w:rPr>
        <w:t>completed the survey online</w:t>
      </w:r>
      <w:r w:rsidR="0066148E">
        <w:rPr>
          <w:rFonts w:ascii="Times New Roman" w:hAnsi="Times New Roman"/>
        </w:rPr>
        <w:t xml:space="preserve"> suggesting </w:t>
      </w:r>
      <w:r w:rsidR="00230B91">
        <w:rPr>
          <w:rFonts w:ascii="Times New Roman" w:hAnsi="Times New Roman"/>
        </w:rPr>
        <w:t>the same</w:t>
      </w:r>
      <w:r w:rsidR="0085513B">
        <w:rPr>
          <w:rFonts w:ascii="Times New Roman" w:hAnsi="Times New Roman"/>
        </w:rPr>
        <w:t xml:space="preserve"> for </w:t>
      </w:r>
      <w:r w:rsidR="00A35CD3">
        <w:rPr>
          <w:rFonts w:ascii="Times New Roman" w:hAnsi="Times New Roman"/>
        </w:rPr>
        <w:t>2025 CPO</w:t>
      </w:r>
      <w:r w:rsidRPr="002B64A1">
        <w:rPr>
          <w:rFonts w:ascii="Times New Roman" w:hAnsi="Times New Roman"/>
        </w:rPr>
        <w:t>.</w:t>
      </w:r>
      <w:r w:rsidR="004B5E6B">
        <w:rPr>
          <w:rFonts w:ascii="Times New Roman" w:hAnsi="Times New Roman"/>
        </w:rPr>
        <w:t xml:space="preserve"> Additionally, </w:t>
      </w:r>
      <w:r w:rsidR="00341B88">
        <w:rPr>
          <w:rFonts w:ascii="Times New Roman" w:hAnsi="Times New Roman"/>
        </w:rPr>
        <w:t xml:space="preserve">if the </w:t>
      </w:r>
      <w:r w:rsidR="00341B88">
        <w:rPr>
          <w:rFonts w:ascii="Times New Roman" w:hAnsi="Times New Roman"/>
        </w:rPr>
        <w:t xml:space="preserve">respondent prefers to complete the </w:t>
      </w:r>
      <w:r w:rsidR="000D72F1">
        <w:rPr>
          <w:rFonts w:ascii="Times New Roman" w:hAnsi="Times New Roman"/>
        </w:rPr>
        <w:t xml:space="preserve">hardcopy </w:t>
      </w:r>
      <w:r w:rsidR="00341B88">
        <w:rPr>
          <w:rFonts w:ascii="Times New Roman" w:hAnsi="Times New Roman"/>
        </w:rPr>
        <w:t>survey by phone</w:t>
      </w:r>
      <w:r w:rsidR="000D72F1">
        <w:rPr>
          <w:rFonts w:ascii="Times New Roman" w:hAnsi="Times New Roman"/>
        </w:rPr>
        <w:t xml:space="preserve"> rather than by mail or email</w:t>
      </w:r>
      <w:r w:rsidR="00341B88">
        <w:rPr>
          <w:rFonts w:ascii="Times New Roman" w:hAnsi="Times New Roman"/>
        </w:rPr>
        <w:t xml:space="preserve">, Urban will enter the data into </w:t>
      </w:r>
      <w:r w:rsidR="004B5E6B">
        <w:rPr>
          <w:rFonts w:ascii="Times New Roman" w:hAnsi="Times New Roman"/>
        </w:rPr>
        <w:t>the web</w:t>
      </w:r>
      <w:r w:rsidR="0003168E">
        <w:rPr>
          <w:rFonts w:ascii="Times New Roman" w:hAnsi="Times New Roman"/>
        </w:rPr>
        <w:t xml:space="preserve"> </w:t>
      </w:r>
      <w:r w:rsidR="000D72F1">
        <w:rPr>
          <w:rFonts w:ascii="Times New Roman" w:hAnsi="Times New Roman"/>
        </w:rPr>
        <w:t>survey</w:t>
      </w:r>
      <w:r w:rsidR="0085513B">
        <w:rPr>
          <w:rFonts w:ascii="Times New Roman" w:hAnsi="Times New Roman"/>
        </w:rPr>
        <w:t xml:space="preserve"> on behalf of the respondent</w:t>
      </w:r>
      <w:r w:rsidR="004B5E6B">
        <w:rPr>
          <w:rFonts w:ascii="Times New Roman" w:hAnsi="Times New Roman"/>
        </w:rPr>
        <w:t xml:space="preserve">. </w:t>
      </w:r>
    </w:p>
    <w:p w:rsidR="003C3BF0" w:rsidRPr="00347630" w:rsidP="003C3BF0" w14:paraId="6D7866FE" w14:textId="77777777">
      <w:pPr>
        <w:rPr>
          <w:rFonts w:ascii="Times New Roman" w:hAnsi="Times New Roman"/>
        </w:rPr>
      </w:pPr>
    </w:p>
    <w:p w:rsidR="003C3BF0" w:rsidRPr="00347630" w:rsidP="003C3BF0" w14:paraId="3F140108" w14:textId="7C82D1FF">
      <w:pPr>
        <w:rPr>
          <w:rFonts w:ascii="Times New Roman" w:hAnsi="Times New Roman"/>
        </w:rPr>
      </w:pPr>
      <w:r w:rsidRPr="00347630">
        <w:rPr>
          <w:rFonts w:ascii="Times New Roman" w:hAnsi="Times New Roman"/>
        </w:rPr>
        <w:t xml:space="preserve">The web </w:t>
      </w:r>
      <w:r w:rsidR="00EB39DF">
        <w:rPr>
          <w:rFonts w:ascii="Times New Roman" w:hAnsi="Times New Roman"/>
        </w:rPr>
        <w:t>survey</w:t>
      </w:r>
      <w:r w:rsidRPr="00347630" w:rsidR="00EB39DF">
        <w:rPr>
          <w:rFonts w:ascii="Times New Roman" w:hAnsi="Times New Roman"/>
        </w:rPr>
        <w:t xml:space="preserve"> </w:t>
      </w:r>
      <w:r w:rsidR="00EB39DF">
        <w:rPr>
          <w:rFonts w:ascii="Times New Roman" w:hAnsi="Times New Roman"/>
        </w:rPr>
        <w:t>will provide</w:t>
      </w:r>
      <w:r w:rsidRPr="00347630">
        <w:rPr>
          <w:rFonts w:ascii="Times New Roman" w:hAnsi="Times New Roman"/>
        </w:rPr>
        <w:t xml:space="preserve"> a high-quality user experience that reduce</w:t>
      </w:r>
      <w:r w:rsidR="00341B88">
        <w:rPr>
          <w:rFonts w:ascii="Times New Roman" w:hAnsi="Times New Roman"/>
        </w:rPr>
        <w:t>s</w:t>
      </w:r>
      <w:r w:rsidRPr="00347630">
        <w:rPr>
          <w:rFonts w:ascii="Times New Roman" w:hAnsi="Times New Roman"/>
        </w:rPr>
        <w:t xml:space="preserve"> respondent burden and ensure</w:t>
      </w:r>
      <w:r w:rsidR="00341B88">
        <w:rPr>
          <w:rFonts w:ascii="Times New Roman" w:hAnsi="Times New Roman"/>
        </w:rPr>
        <w:t>s</w:t>
      </w:r>
      <w:r w:rsidRPr="00347630">
        <w:rPr>
          <w:rFonts w:ascii="Times New Roman" w:hAnsi="Times New Roman"/>
        </w:rPr>
        <w:t xml:space="preserve"> complete and accurate data. All web transactions will be </w:t>
      </w:r>
      <w:r w:rsidRPr="00927782">
        <w:rPr>
          <w:rFonts w:ascii="Times New Roman" w:hAnsi="Times New Roman"/>
        </w:rPr>
        <w:t>secured through SSL encryption</w:t>
      </w:r>
      <w:r w:rsidRPr="00347630">
        <w:rPr>
          <w:rFonts w:ascii="Times New Roman" w:hAnsi="Times New Roman"/>
        </w:rPr>
        <w:t xml:space="preserve">, and </w:t>
      </w:r>
      <w:r>
        <w:rPr>
          <w:rFonts w:ascii="Times New Roman" w:hAnsi="Times New Roman"/>
        </w:rPr>
        <w:t xml:space="preserve">chief </w:t>
      </w:r>
      <w:r w:rsidR="001D21D2">
        <w:rPr>
          <w:rFonts w:ascii="Times New Roman" w:hAnsi="Times New Roman"/>
        </w:rPr>
        <w:t>prosecutor</w:t>
      </w:r>
      <w:r w:rsidR="00540CD8">
        <w:rPr>
          <w:rFonts w:ascii="Times New Roman" w:hAnsi="Times New Roman"/>
        </w:rPr>
        <w:t>s</w:t>
      </w:r>
      <w:r w:rsidR="000608C4">
        <w:rPr>
          <w:rFonts w:ascii="Times New Roman" w:hAnsi="Times New Roman"/>
        </w:rPr>
        <w:t xml:space="preserve"> will</w:t>
      </w:r>
      <w:r w:rsidRPr="00347630">
        <w:rPr>
          <w:rFonts w:ascii="Times New Roman" w:hAnsi="Times New Roman"/>
        </w:rPr>
        <w:t xml:space="preserve"> gain access via unique logins.</w:t>
      </w:r>
      <w:r w:rsidR="00230B91">
        <w:rPr>
          <w:rFonts w:ascii="Times New Roman" w:hAnsi="Times New Roman"/>
        </w:rPr>
        <w:t xml:space="preserve"> The chief prosecutor can also designate all or parts of the survey to relevant staff members for completion.</w:t>
      </w:r>
      <w:r w:rsidRPr="00347630">
        <w:rPr>
          <w:rFonts w:ascii="Times New Roman" w:hAnsi="Times New Roman"/>
        </w:rPr>
        <w:t xml:space="preserve"> The </w:t>
      </w:r>
      <w:r w:rsidR="00A35CD3">
        <w:rPr>
          <w:rFonts w:ascii="Times New Roman" w:hAnsi="Times New Roman"/>
        </w:rPr>
        <w:t>2025 CPO</w:t>
      </w:r>
      <w:r w:rsidRPr="00347630">
        <w:rPr>
          <w:rFonts w:ascii="Times New Roman" w:hAnsi="Times New Roman"/>
        </w:rPr>
        <w:t xml:space="preserve"> instrument has been designed for online data collection using </w:t>
      </w:r>
      <w:r>
        <w:rPr>
          <w:rFonts w:ascii="Times New Roman" w:hAnsi="Times New Roman"/>
        </w:rPr>
        <w:t xml:space="preserve">the </w:t>
      </w:r>
      <w:r w:rsidR="00927782">
        <w:rPr>
          <w:rFonts w:ascii="Times New Roman" w:hAnsi="Times New Roman"/>
        </w:rPr>
        <w:t xml:space="preserve">Voxco </w:t>
      </w:r>
      <w:r>
        <w:rPr>
          <w:rFonts w:ascii="Times New Roman" w:hAnsi="Times New Roman"/>
        </w:rPr>
        <w:t>s</w:t>
      </w:r>
      <w:r w:rsidRPr="00347630">
        <w:rPr>
          <w:rFonts w:ascii="Times New Roman" w:hAnsi="Times New Roman"/>
        </w:rPr>
        <w:t xml:space="preserve">urvey software. </w:t>
      </w:r>
    </w:p>
    <w:p w:rsidR="003C3BF0" w:rsidRPr="00347630" w:rsidP="003C3BF0" w14:paraId="7D7852F7" w14:textId="77777777">
      <w:pPr>
        <w:rPr>
          <w:rFonts w:ascii="Times New Roman" w:hAnsi="Times New Roman"/>
        </w:rPr>
      </w:pPr>
    </w:p>
    <w:p w:rsidR="003C3BF0" w:rsidRPr="00347630" w:rsidP="003C3BF0" w14:paraId="0C13BD61" w14:textId="0439F93E">
      <w:pPr>
        <w:rPr>
          <w:rFonts w:ascii="Times New Roman" w:hAnsi="Times New Roman"/>
        </w:rPr>
      </w:pPr>
      <w:r>
        <w:rPr>
          <w:rFonts w:ascii="Times New Roman" w:hAnsi="Times New Roman"/>
        </w:rPr>
        <w:t>T</w:t>
      </w:r>
      <w:r w:rsidRPr="00347630">
        <w:rPr>
          <w:rFonts w:ascii="Times New Roman" w:hAnsi="Times New Roman"/>
        </w:rPr>
        <w:t>he web survey has a user-friendly interface</w:t>
      </w:r>
      <w:r>
        <w:rPr>
          <w:rFonts w:ascii="Times New Roman" w:hAnsi="Times New Roman"/>
        </w:rPr>
        <w:t xml:space="preserve"> and</w:t>
      </w:r>
      <w:r w:rsidRPr="00347630">
        <w:rPr>
          <w:rFonts w:ascii="Times New Roman" w:hAnsi="Times New Roman"/>
        </w:rPr>
        <w:t xml:space="preserve"> conducts real-time, automated checking of responses for numeric range and logic errors and protects against data entry errors. The web survey include</w:t>
      </w:r>
      <w:r w:rsidR="005559E4">
        <w:rPr>
          <w:rFonts w:ascii="Times New Roman" w:hAnsi="Times New Roman"/>
        </w:rPr>
        <w:t>s</w:t>
      </w:r>
      <w:r w:rsidRPr="00347630">
        <w:rPr>
          <w:rFonts w:ascii="Times New Roman" w:hAnsi="Times New Roman"/>
        </w:rPr>
        <w:t xml:space="preserve"> several value-add features such as (1) the capability to resume work, allowing respondents to stop </w:t>
      </w:r>
      <w:r>
        <w:rPr>
          <w:rFonts w:ascii="Times New Roman" w:hAnsi="Times New Roman"/>
        </w:rPr>
        <w:t xml:space="preserve">responding to the instrument </w:t>
      </w:r>
      <w:r w:rsidRPr="00347630">
        <w:rPr>
          <w:rFonts w:ascii="Times New Roman" w:hAnsi="Times New Roman"/>
        </w:rPr>
        <w:t>and return to the point of break-off at a later time without losing previously entered data; (</w:t>
      </w:r>
      <w:r>
        <w:rPr>
          <w:rFonts w:ascii="Times New Roman" w:hAnsi="Times New Roman"/>
        </w:rPr>
        <w:t>2</w:t>
      </w:r>
      <w:r w:rsidRPr="00347630">
        <w:rPr>
          <w:rFonts w:ascii="Times New Roman" w:hAnsi="Times New Roman"/>
        </w:rPr>
        <w:t>) embedded links within the web instrument that make it easy for respondents to submit requests for support using email; (</w:t>
      </w:r>
      <w:r>
        <w:rPr>
          <w:rFonts w:ascii="Times New Roman" w:hAnsi="Times New Roman"/>
        </w:rPr>
        <w:t>3</w:t>
      </w:r>
      <w:r w:rsidRPr="00347630">
        <w:rPr>
          <w:rFonts w:ascii="Times New Roman" w:hAnsi="Times New Roman"/>
        </w:rPr>
        <w:t>) the ability to print a copy of responses to keep on file once the web survey is complete</w:t>
      </w:r>
      <w:r w:rsidR="00592304">
        <w:rPr>
          <w:rFonts w:ascii="Times New Roman" w:hAnsi="Times New Roman"/>
        </w:rPr>
        <w:t xml:space="preserve">; and (4) the ability to share the unique link with </w:t>
      </w:r>
      <w:r w:rsidR="00CA29D5">
        <w:rPr>
          <w:rFonts w:ascii="Times New Roman" w:hAnsi="Times New Roman"/>
        </w:rPr>
        <w:t>more knowledgeable</w:t>
      </w:r>
      <w:r w:rsidR="00592304">
        <w:rPr>
          <w:rFonts w:ascii="Times New Roman" w:hAnsi="Times New Roman"/>
        </w:rPr>
        <w:t xml:space="preserve"> staff members for assistance with specific sections of the survey</w:t>
      </w:r>
      <w:r w:rsidRPr="00347630">
        <w:rPr>
          <w:rFonts w:ascii="Times New Roman" w:hAnsi="Times New Roman"/>
        </w:rPr>
        <w:t>. In addition, staff will monitor the completion of surveys and</w:t>
      </w:r>
      <w:r>
        <w:rPr>
          <w:rFonts w:ascii="Times New Roman" w:hAnsi="Times New Roman"/>
        </w:rPr>
        <w:t>,</w:t>
      </w:r>
      <w:r w:rsidRPr="00347630">
        <w:rPr>
          <w:rFonts w:ascii="Times New Roman" w:hAnsi="Times New Roman"/>
        </w:rPr>
        <w:t xml:space="preserve"> for those who time out or leave the survey early, be able to email a link to the </w:t>
      </w:r>
      <w:r w:rsidR="00EF7223">
        <w:rPr>
          <w:rFonts w:ascii="Times New Roman" w:hAnsi="Times New Roman"/>
        </w:rPr>
        <w:t>partially completed</w:t>
      </w:r>
      <w:r w:rsidR="00462164">
        <w:rPr>
          <w:rFonts w:ascii="Times New Roman" w:hAnsi="Times New Roman"/>
        </w:rPr>
        <w:t xml:space="preserve"> </w:t>
      </w:r>
      <w:r w:rsidRPr="00347630">
        <w:rPr>
          <w:rFonts w:ascii="Times New Roman" w:hAnsi="Times New Roman"/>
        </w:rPr>
        <w:t xml:space="preserve">survey asking the </w:t>
      </w:r>
      <w:r w:rsidR="00592304">
        <w:rPr>
          <w:rFonts w:ascii="Times New Roman" w:hAnsi="Times New Roman"/>
        </w:rPr>
        <w:t xml:space="preserve">chief </w:t>
      </w:r>
      <w:r w:rsidR="001D21D2">
        <w:rPr>
          <w:rFonts w:ascii="Times New Roman" w:hAnsi="Times New Roman"/>
        </w:rPr>
        <w:t>prosecutor</w:t>
      </w:r>
      <w:r w:rsidR="005559E4">
        <w:rPr>
          <w:rFonts w:ascii="Times New Roman" w:hAnsi="Times New Roman"/>
        </w:rPr>
        <w:t xml:space="preserve"> or other relevant staff</w:t>
      </w:r>
      <w:r w:rsidRPr="00347630">
        <w:rPr>
          <w:rFonts w:ascii="Times New Roman" w:hAnsi="Times New Roman"/>
        </w:rPr>
        <w:t xml:space="preserve"> to complete the survey. </w:t>
      </w:r>
    </w:p>
    <w:p w:rsidR="003C3BF0" w:rsidRPr="00347630" w:rsidP="003C3BF0" w14:paraId="6C54D839" w14:textId="77777777">
      <w:pPr>
        <w:rPr>
          <w:rFonts w:ascii="Times New Roman" w:hAnsi="Times New Roman"/>
        </w:rPr>
      </w:pPr>
    </w:p>
    <w:p w:rsidR="003C3BF0" w:rsidP="003C3BF0" w14:paraId="0DF8066F" w14:textId="59F4A1B3">
      <w:pPr>
        <w:rPr>
          <w:rFonts w:ascii="Times New Roman" w:hAnsi="Times New Roman"/>
        </w:rPr>
      </w:pPr>
      <w:r w:rsidRPr="00347630">
        <w:rPr>
          <w:rFonts w:ascii="Times New Roman" w:hAnsi="Times New Roman"/>
        </w:rPr>
        <w:t xml:space="preserve">Although the web will be emphasized as the preferred mode of survey completion, </w:t>
      </w:r>
      <w:r w:rsidR="000D72F1">
        <w:rPr>
          <w:rFonts w:ascii="Times New Roman" w:hAnsi="Times New Roman"/>
        </w:rPr>
        <w:t>a</w:t>
      </w:r>
      <w:r w:rsidR="00BC3801">
        <w:rPr>
          <w:rFonts w:ascii="Times New Roman" w:hAnsi="Times New Roman"/>
        </w:rPr>
        <w:t xml:space="preserve"> small portion of respondents</w:t>
      </w:r>
      <w:r w:rsidR="000D72F1">
        <w:rPr>
          <w:rFonts w:ascii="Times New Roman" w:hAnsi="Times New Roman"/>
        </w:rPr>
        <w:t xml:space="preserve"> </w:t>
      </w:r>
      <w:r w:rsidR="00BC3801">
        <w:rPr>
          <w:rFonts w:ascii="Times New Roman" w:hAnsi="Times New Roman"/>
        </w:rPr>
        <w:t xml:space="preserve">completed the </w:t>
      </w:r>
      <w:r w:rsidR="00AA359D">
        <w:rPr>
          <w:rFonts w:ascii="Times New Roman" w:hAnsi="Times New Roman"/>
        </w:rPr>
        <w:t xml:space="preserve">2020 </w:t>
      </w:r>
      <w:r w:rsidR="001D21D2">
        <w:rPr>
          <w:rFonts w:ascii="Times New Roman" w:hAnsi="Times New Roman"/>
        </w:rPr>
        <w:t>NSP</w:t>
      </w:r>
      <w:r w:rsidR="000608C4">
        <w:rPr>
          <w:rFonts w:ascii="Times New Roman" w:hAnsi="Times New Roman"/>
        </w:rPr>
        <w:t xml:space="preserve"> in</w:t>
      </w:r>
      <w:r w:rsidR="00BC3801">
        <w:rPr>
          <w:rFonts w:ascii="Times New Roman" w:hAnsi="Times New Roman"/>
        </w:rPr>
        <w:t xml:space="preserve"> </w:t>
      </w:r>
      <w:r w:rsidR="00D574D7">
        <w:rPr>
          <w:rFonts w:ascii="Times New Roman" w:hAnsi="Times New Roman"/>
        </w:rPr>
        <w:t>hardcopy</w:t>
      </w:r>
      <w:r w:rsidR="000D72F1">
        <w:rPr>
          <w:rFonts w:ascii="Times New Roman" w:hAnsi="Times New Roman"/>
        </w:rPr>
        <w:t xml:space="preserve">, largely from rural offices, indicating that some portion of </w:t>
      </w:r>
      <w:r w:rsidR="00A35CD3">
        <w:rPr>
          <w:rFonts w:ascii="Times New Roman" w:hAnsi="Times New Roman"/>
        </w:rPr>
        <w:t>2025 CPO</w:t>
      </w:r>
      <w:r w:rsidR="000D72F1">
        <w:rPr>
          <w:rFonts w:ascii="Times New Roman" w:hAnsi="Times New Roman"/>
        </w:rPr>
        <w:t xml:space="preserve"> respondents will prefer the hardcopy</w:t>
      </w:r>
      <w:r w:rsidR="00BC3801">
        <w:rPr>
          <w:rFonts w:ascii="Times New Roman" w:hAnsi="Times New Roman"/>
        </w:rPr>
        <w:t xml:space="preserve">. </w:t>
      </w:r>
      <w:r w:rsidRPr="00347630">
        <w:rPr>
          <w:rFonts w:ascii="Times New Roman" w:hAnsi="Times New Roman"/>
        </w:rPr>
        <w:t xml:space="preserve">Data collected </w:t>
      </w:r>
      <w:r w:rsidR="00BC3801">
        <w:rPr>
          <w:rFonts w:ascii="Times New Roman" w:hAnsi="Times New Roman"/>
        </w:rPr>
        <w:t xml:space="preserve">via </w:t>
      </w:r>
      <w:r w:rsidR="00E76C86">
        <w:rPr>
          <w:rFonts w:ascii="Times New Roman" w:hAnsi="Times New Roman"/>
        </w:rPr>
        <w:t xml:space="preserve">email, </w:t>
      </w:r>
      <w:r w:rsidR="00BC3801">
        <w:rPr>
          <w:rFonts w:ascii="Times New Roman" w:hAnsi="Times New Roman"/>
        </w:rPr>
        <w:t xml:space="preserve">mail </w:t>
      </w:r>
      <w:r w:rsidR="00857675">
        <w:rPr>
          <w:rFonts w:ascii="Times New Roman" w:hAnsi="Times New Roman"/>
        </w:rPr>
        <w:t xml:space="preserve">or </w:t>
      </w:r>
      <w:r w:rsidRPr="00347630">
        <w:rPr>
          <w:rFonts w:ascii="Times New Roman" w:hAnsi="Times New Roman"/>
        </w:rPr>
        <w:t xml:space="preserve">over the phone will be entered into the </w:t>
      </w:r>
      <w:r w:rsidR="00BB5EDE">
        <w:rPr>
          <w:rFonts w:ascii="Times New Roman" w:hAnsi="Times New Roman"/>
        </w:rPr>
        <w:t>web survey</w:t>
      </w:r>
      <w:r w:rsidRPr="00347630">
        <w:rPr>
          <w:rFonts w:ascii="Times New Roman" w:hAnsi="Times New Roman"/>
        </w:rPr>
        <w:t xml:space="preserve"> as they are received, noting the date and method of submission. </w:t>
      </w:r>
    </w:p>
    <w:p w:rsidR="00010AFD" w:rsidP="005474D0" w14:paraId="7833C681" w14:textId="17774E41">
      <w:pPr>
        <w:widowControl/>
        <w:shd w:val="solid" w:color="FFFFFF" w:fill="FFFFFF"/>
        <w:tabs>
          <w:tab w:val="left" w:pos="360"/>
          <w:tab w:val="left" w:pos="840"/>
          <w:tab w:val="left" w:pos="1440"/>
        </w:tabs>
        <w:rPr>
          <w:rFonts w:ascii="Times New Roman" w:hAnsi="Times New Roman"/>
        </w:rPr>
      </w:pPr>
    </w:p>
    <w:p w:rsidR="00690F56" w:rsidRPr="0012107F" w:rsidP="00690F56" w14:paraId="529483DE" w14:textId="3ECBD16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4</w:t>
      </w:r>
      <w:r w:rsidRPr="0012107F" w:rsidR="005654A9">
        <w:rPr>
          <w:rFonts w:ascii="Times New Roman" w:hAnsi="Times New Roman"/>
          <w:b/>
          <w:bCs/>
        </w:rPr>
        <w:t>. Describe</w:t>
      </w:r>
      <w:r w:rsidRPr="0012107F">
        <w:rPr>
          <w:rFonts w:ascii="Times New Roman" w:hAnsi="Times New Roman"/>
          <w:b/>
          <w:bCs/>
        </w:rPr>
        <w:t xml:space="preserve"> efforts to identify duplication.  Show specifically why any similar information already available cannot be used or modified for use for the purposes described in Item </w:t>
      </w:r>
      <w:r w:rsidRPr="0012107F" w:rsidR="00237691">
        <w:rPr>
          <w:rFonts w:ascii="Times New Roman" w:hAnsi="Times New Roman"/>
          <w:b/>
          <w:bCs/>
        </w:rPr>
        <w:t>A.</w:t>
      </w:r>
      <w:r w:rsidRPr="0012107F">
        <w:rPr>
          <w:rFonts w:ascii="Times New Roman" w:hAnsi="Times New Roman"/>
          <w:b/>
          <w:bCs/>
        </w:rPr>
        <w:t>2 above.</w:t>
      </w:r>
    </w:p>
    <w:p w:rsidR="00690F56" w:rsidP="00690F56" w14:paraId="2693B8DC" w14:textId="03282E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6E8F" w:rsidP="00511D65" w14:paraId="4A09BA12" w14:textId="3DEE7C2E">
      <w:pPr>
        <w:widowControl/>
        <w:autoSpaceDE/>
        <w:autoSpaceDN/>
        <w:adjustRightInd/>
        <w:rPr>
          <w:rFonts w:ascii="Times New Roman" w:hAnsi="Times New Roman"/>
          <w:szCs w:val="20"/>
        </w:rPr>
      </w:pPr>
      <w:bookmarkStart w:id="3" w:name="_Hlk111366073"/>
      <w:r>
        <w:rPr>
          <w:rFonts w:ascii="Times New Roman" w:hAnsi="Times New Roman"/>
        </w:rPr>
        <w:t>2025 CPO</w:t>
      </w:r>
      <w:r w:rsidRPr="00063468" w:rsidR="000C3543">
        <w:rPr>
          <w:rFonts w:ascii="Times New Roman" w:hAnsi="Times New Roman"/>
        </w:rPr>
        <w:t xml:space="preserve"> does not duplicate any other questionnaire or work being done by any other </w:t>
      </w:r>
      <w:r w:rsidR="000C3543">
        <w:rPr>
          <w:rFonts w:ascii="Times New Roman" w:hAnsi="Times New Roman"/>
        </w:rPr>
        <w:t>f</w:t>
      </w:r>
      <w:r w:rsidRPr="00063468" w:rsidR="000C3543">
        <w:rPr>
          <w:rFonts w:ascii="Times New Roman" w:hAnsi="Times New Roman"/>
        </w:rPr>
        <w:t>ederal agenc</w:t>
      </w:r>
      <w:r w:rsidR="000C3543">
        <w:rPr>
          <w:rFonts w:ascii="Times New Roman" w:hAnsi="Times New Roman"/>
        </w:rPr>
        <w:t>y</w:t>
      </w:r>
      <w:r w:rsidRPr="00063468" w:rsidR="000C3543">
        <w:rPr>
          <w:rFonts w:ascii="Times New Roman" w:hAnsi="Times New Roman"/>
        </w:rPr>
        <w:t xml:space="preserve">. </w:t>
      </w:r>
      <w:r w:rsidR="00511D65">
        <w:rPr>
          <w:rFonts w:ascii="Times New Roman" w:hAnsi="Times New Roman"/>
        </w:rPr>
        <w:t>S</w:t>
      </w:r>
      <w:r w:rsidRPr="009B5AFA" w:rsidR="00511D65">
        <w:rPr>
          <w:rFonts w:ascii="Times New Roman" w:hAnsi="Times New Roman"/>
          <w:szCs w:val="20"/>
        </w:rPr>
        <w:t xml:space="preserve">taff </w:t>
      </w:r>
      <w:r>
        <w:rPr>
          <w:rFonts w:ascii="Times New Roman" w:hAnsi="Times New Roman"/>
          <w:szCs w:val="20"/>
        </w:rPr>
        <w:t xml:space="preserve">also </w:t>
      </w:r>
      <w:r w:rsidRPr="009B5AFA" w:rsidR="00511D65">
        <w:rPr>
          <w:rFonts w:ascii="Times New Roman" w:hAnsi="Times New Roman"/>
          <w:szCs w:val="20"/>
        </w:rPr>
        <w:t>reviewed surveys, research data collections</w:t>
      </w:r>
      <w:r w:rsidR="00511D65">
        <w:rPr>
          <w:rFonts w:ascii="Times New Roman" w:hAnsi="Times New Roman"/>
          <w:szCs w:val="20"/>
        </w:rPr>
        <w:t>,</w:t>
      </w:r>
      <w:r w:rsidRPr="009B5AFA" w:rsidR="00511D65">
        <w:rPr>
          <w:rFonts w:ascii="Times New Roman" w:hAnsi="Times New Roman"/>
          <w:szCs w:val="20"/>
        </w:rPr>
        <w:t xml:space="preserve"> programs, and academic literature to identify duplication</w:t>
      </w:r>
      <w:r w:rsidR="000C3543">
        <w:rPr>
          <w:rFonts w:ascii="Times New Roman" w:hAnsi="Times New Roman"/>
          <w:szCs w:val="20"/>
        </w:rPr>
        <w:t>. T</w:t>
      </w:r>
      <w:r w:rsidRPr="009B5AFA" w:rsidR="00511D65">
        <w:rPr>
          <w:rFonts w:ascii="Times New Roman" w:hAnsi="Times New Roman"/>
          <w:szCs w:val="20"/>
        </w:rPr>
        <w:t xml:space="preserve">his review revealed no duplicative effort based on the systematic </w:t>
      </w:r>
      <w:r>
        <w:rPr>
          <w:rFonts w:ascii="Times New Roman" w:hAnsi="Times New Roman"/>
          <w:szCs w:val="20"/>
        </w:rPr>
        <w:t xml:space="preserve">and recurring </w:t>
      </w:r>
      <w:r w:rsidRPr="009B5AFA" w:rsidR="00511D65">
        <w:rPr>
          <w:rFonts w:ascii="Times New Roman" w:hAnsi="Times New Roman"/>
          <w:szCs w:val="20"/>
        </w:rPr>
        <w:t xml:space="preserve">nature of </w:t>
      </w:r>
      <w:r>
        <w:rPr>
          <w:rFonts w:ascii="Times New Roman" w:hAnsi="Times New Roman"/>
          <w:szCs w:val="20"/>
        </w:rPr>
        <w:t>2025 CPO</w:t>
      </w:r>
      <w:r w:rsidRPr="009B5AFA" w:rsidR="00511D65">
        <w:rPr>
          <w:rFonts w:ascii="Times New Roman" w:hAnsi="Times New Roman"/>
          <w:szCs w:val="20"/>
        </w:rPr>
        <w:t xml:space="preserve">.  </w:t>
      </w:r>
    </w:p>
    <w:p w:rsidR="006A6E8F" w:rsidRPr="00511D65" w:rsidP="00511D65" w14:paraId="6CED6949" w14:textId="77777777">
      <w:pPr>
        <w:widowControl/>
        <w:autoSpaceDE/>
        <w:autoSpaceDN/>
        <w:adjustRightInd/>
        <w:rPr>
          <w:rFonts w:ascii="Times New Roman" w:hAnsi="Times New Roman"/>
        </w:rPr>
      </w:pPr>
    </w:p>
    <w:bookmarkEnd w:id="3"/>
    <w:p w:rsidR="00063468" w:rsidRPr="00063468" w:rsidP="00063468" w14:paraId="6DC340AF" w14:textId="2EF572A1">
      <w:pPr>
        <w:rPr>
          <w:rFonts w:ascii="Times New Roman" w:hAnsi="Times New Roman"/>
        </w:rPr>
      </w:pPr>
      <w:r w:rsidRPr="00063468">
        <w:rPr>
          <w:rFonts w:ascii="Times New Roman" w:hAnsi="Times New Roman"/>
        </w:rPr>
        <w:t xml:space="preserve">BJS is the only </w:t>
      </w:r>
      <w:r w:rsidR="000D72F1">
        <w:rPr>
          <w:rFonts w:ascii="Times New Roman" w:hAnsi="Times New Roman"/>
        </w:rPr>
        <w:t>f</w:t>
      </w:r>
      <w:r w:rsidRPr="00063468">
        <w:rPr>
          <w:rFonts w:ascii="Times New Roman" w:hAnsi="Times New Roman"/>
        </w:rPr>
        <w:t xml:space="preserve">ederal government agency that collects comparable data on </w:t>
      </w:r>
      <w:r>
        <w:rPr>
          <w:rFonts w:ascii="Times New Roman" w:hAnsi="Times New Roman"/>
        </w:rPr>
        <w:t>state prosecutors</w:t>
      </w:r>
      <w:r w:rsidRPr="00063468">
        <w:rPr>
          <w:rFonts w:ascii="Times New Roman" w:hAnsi="Times New Roman"/>
        </w:rPr>
        <w:t>.</w:t>
      </w:r>
      <w:r w:rsidRPr="00077605" w:rsidR="00077605">
        <w:rPr>
          <w:rFonts w:ascii="Times New Roman" w:hAnsi="Times New Roman"/>
        </w:rPr>
        <w:t xml:space="preserve"> </w:t>
      </w:r>
      <w:r w:rsidRPr="00AE2C40" w:rsidR="00077605">
        <w:rPr>
          <w:rFonts w:ascii="Times New Roman" w:hAnsi="Times New Roman"/>
        </w:rPr>
        <w:t>While agencies like the U.S. Bureau of Labor Statistics and the Census Bureau collect employment data on attorneys, they do not collect specific information on prosecutors</w:t>
      </w:r>
      <w:r w:rsidR="00077605">
        <w:rPr>
          <w:rFonts w:ascii="Times New Roman" w:hAnsi="Times New Roman"/>
        </w:rPr>
        <w:t>.</w:t>
      </w:r>
      <w:r>
        <w:rPr>
          <w:rFonts w:ascii="Times New Roman" w:hAnsi="Times New Roman"/>
          <w:vertAlign w:val="superscript"/>
        </w:rPr>
        <w:footnoteReference w:id="9"/>
      </w:r>
      <w:r w:rsidRPr="00AE2C40" w:rsidR="00077605">
        <w:rPr>
          <w:rFonts w:ascii="Times New Roman" w:hAnsi="Times New Roman"/>
        </w:rPr>
        <w:t xml:space="preserve"> Similarly, the Census Bureau </w:t>
      </w:r>
      <w:r w:rsidR="006F261E">
        <w:rPr>
          <w:rFonts w:ascii="Times New Roman" w:hAnsi="Times New Roman"/>
        </w:rPr>
        <w:t>only reports</w:t>
      </w:r>
      <w:r w:rsidRPr="00AE2C40" w:rsidR="00077605">
        <w:rPr>
          <w:rFonts w:ascii="Times New Roman" w:hAnsi="Times New Roman"/>
        </w:rPr>
        <w:t xml:space="preserve"> a judicial and legal category</w:t>
      </w:r>
      <w:r w:rsidR="00077605">
        <w:rPr>
          <w:rFonts w:ascii="Times New Roman" w:hAnsi="Times New Roman"/>
        </w:rPr>
        <w:t xml:space="preserve">, so researchers are unable to examine </w:t>
      </w:r>
      <w:r w:rsidR="000C3543">
        <w:rPr>
          <w:rFonts w:ascii="Times New Roman" w:hAnsi="Times New Roman"/>
        </w:rPr>
        <w:t xml:space="preserve">solely </w:t>
      </w:r>
      <w:r w:rsidR="006F261E">
        <w:rPr>
          <w:rFonts w:ascii="Times New Roman" w:hAnsi="Times New Roman"/>
        </w:rPr>
        <w:t xml:space="preserve">employment </w:t>
      </w:r>
      <w:r w:rsidR="00077605">
        <w:rPr>
          <w:rFonts w:ascii="Times New Roman" w:hAnsi="Times New Roman"/>
        </w:rPr>
        <w:t>trends of prosecutors</w:t>
      </w:r>
      <w:r w:rsidR="00E2360D">
        <w:rPr>
          <w:rFonts w:ascii="Times New Roman" w:hAnsi="Times New Roman"/>
        </w:rPr>
        <w:t xml:space="preserve"> in this data</w:t>
      </w:r>
      <w:r w:rsidRPr="00AE2C40" w:rsidR="00077605">
        <w:rPr>
          <w:rFonts w:ascii="Times New Roman" w:hAnsi="Times New Roman"/>
        </w:rPr>
        <w:t>.</w:t>
      </w:r>
      <w:r>
        <w:rPr>
          <w:rFonts w:ascii="Times New Roman" w:hAnsi="Times New Roman"/>
          <w:vertAlign w:val="superscript"/>
        </w:rPr>
        <w:footnoteReference w:id="10"/>
      </w:r>
      <w:r w:rsidRPr="00AE2C40" w:rsidR="00077605">
        <w:rPr>
          <w:rFonts w:ascii="Times New Roman" w:hAnsi="Times New Roman"/>
        </w:rPr>
        <w:t xml:space="preserve"> </w:t>
      </w:r>
      <w:r w:rsidR="00077605">
        <w:rPr>
          <w:rFonts w:ascii="Times New Roman" w:hAnsi="Times New Roman"/>
        </w:rPr>
        <w:t>The</w:t>
      </w:r>
      <w:r w:rsidRPr="00AE2C40" w:rsidR="00077605">
        <w:rPr>
          <w:rFonts w:ascii="Times New Roman" w:hAnsi="Times New Roman"/>
        </w:rPr>
        <w:t xml:space="preserve"> NSP</w:t>
      </w:r>
      <w:r w:rsidR="00077605">
        <w:rPr>
          <w:rFonts w:ascii="Times New Roman" w:hAnsi="Times New Roman"/>
        </w:rPr>
        <w:t xml:space="preserve"> series </w:t>
      </w:r>
      <w:r w:rsidRPr="00AE2C40" w:rsidR="00077605">
        <w:rPr>
          <w:rFonts w:ascii="Times New Roman" w:hAnsi="Times New Roman"/>
        </w:rPr>
        <w:t xml:space="preserve">is the only </w:t>
      </w:r>
      <w:r w:rsidRPr="00AE2C40" w:rsidR="00077605">
        <w:rPr>
          <w:rFonts w:ascii="Times New Roman" w:hAnsi="Times New Roman"/>
        </w:rPr>
        <w:t xml:space="preserve">national collection </w:t>
      </w:r>
      <w:r w:rsidR="00077605">
        <w:rPr>
          <w:rFonts w:ascii="Times New Roman" w:hAnsi="Times New Roman"/>
        </w:rPr>
        <w:t xml:space="preserve">that </w:t>
      </w:r>
      <w:r w:rsidRPr="00AE2C40" w:rsidR="00077605">
        <w:rPr>
          <w:rFonts w:ascii="Times New Roman" w:hAnsi="Times New Roman"/>
        </w:rPr>
        <w:t>specifically focuses on staffing</w:t>
      </w:r>
      <w:r w:rsidR="006F261E">
        <w:rPr>
          <w:rFonts w:ascii="Times New Roman" w:hAnsi="Times New Roman"/>
        </w:rPr>
        <w:t>, expenditures, and caseloads</w:t>
      </w:r>
      <w:r w:rsidRPr="00AE2C40" w:rsidR="00077605">
        <w:rPr>
          <w:rFonts w:ascii="Times New Roman" w:hAnsi="Times New Roman"/>
        </w:rPr>
        <w:t xml:space="preserve"> of prosecutor</w:t>
      </w:r>
      <w:r w:rsidR="006F261E">
        <w:rPr>
          <w:rFonts w:ascii="Times New Roman" w:hAnsi="Times New Roman"/>
        </w:rPr>
        <w:t xml:space="preserve"> office</w:t>
      </w:r>
      <w:r w:rsidRPr="00AE2C40" w:rsidR="00077605">
        <w:rPr>
          <w:rFonts w:ascii="Times New Roman" w:hAnsi="Times New Roman"/>
        </w:rPr>
        <w:t>s.</w:t>
      </w:r>
    </w:p>
    <w:p w:rsidR="009B5AFA" w:rsidRPr="009B5AFA" w:rsidP="009B5AFA" w14:paraId="098017C2" w14:textId="77777777">
      <w:pPr>
        <w:widowControl/>
        <w:autoSpaceDE/>
        <w:autoSpaceDN/>
        <w:adjustRightInd/>
        <w:rPr>
          <w:rFonts w:ascii="Times New Roman" w:hAnsi="Times New Roman"/>
        </w:rPr>
      </w:pPr>
    </w:p>
    <w:p w:rsidR="006A6E8F" w:rsidP="00511D65" w14:paraId="0CD8F975" w14:textId="6F472FBD">
      <w:pPr>
        <w:widowControl/>
        <w:autoSpaceDE/>
        <w:autoSpaceDN/>
        <w:adjustRightInd/>
        <w:rPr>
          <w:rFonts w:ascii="Times New Roman" w:hAnsi="Times New Roman"/>
        </w:rPr>
      </w:pPr>
      <w:r w:rsidRPr="009B5AFA">
        <w:rPr>
          <w:rFonts w:ascii="Times New Roman" w:hAnsi="Times New Roman"/>
        </w:rPr>
        <w:t>In conducting a literature review, BJS found</w:t>
      </w:r>
      <w:r w:rsidR="00540CD8">
        <w:rPr>
          <w:rFonts w:ascii="Times New Roman" w:hAnsi="Times New Roman"/>
        </w:rPr>
        <w:t xml:space="preserve"> </w:t>
      </w:r>
      <w:r w:rsidR="008834FB">
        <w:rPr>
          <w:rFonts w:ascii="Times New Roman" w:hAnsi="Times New Roman"/>
        </w:rPr>
        <w:t xml:space="preserve">that </w:t>
      </w:r>
      <w:r w:rsidR="00540CD8">
        <w:rPr>
          <w:rFonts w:ascii="Times New Roman" w:hAnsi="Times New Roman"/>
        </w:rPr>
        <w:t xml:space="preserve">most </w:t>
      </w:r>
      <w:r w:rsidRPr="009B5AFA">
        <w:rPr>
          <w:rFonts w:ascii="Times New Roman" w:hAnsi="Times New Roman"/>
        </w:rPr>
        <w:t xml:space="preserve">prosecutor surveys </w:t>
      </w:r>
      <w:r w:rsidR="00B1750D">
        <w:rPr>
          <w:rFonts w:ascii="Times New Roman" w:hAnsi="Times New Roman"/>
        </w:rPr>
        <w:t xml:space="preserve">and </w:t>
      </w:r>
      <w:r w:rsidRPr="009B5AFA">
        <w:rPr>
          <w:rFonts w:ascii="Times New Roman" w:hAnsi="Times New Roman"/>
        </w:rPr>
        <w:t xml:space="preserve">studies produced by external organizations </w:t>
      </w:r>
      <w:r w:rsidR="009921E2">
        <w:rPr>
          <w:rFonts w:ascii="Times New Roman" w:hAnsi="Times New Roman"/>
        </w:rPr>
        <w:t xml:space="preserve">were </w:t>
      </w:r>
      <w:r w:rsidRPr="009B5AFA">
        <w:rPr>
          <w:rFonts w:ascii="Times New Roman" w:hAnsi="Times New Roman"/>
        </w:rPr>
        <w:t xml:space="preserve">specific to a particular </w:t>
      </w:r>
      <w:r w:rsidR="00B1750D">
        <w:rPr>
          <w:rFonts w:ascii="Times New Roman" w:hAnsi="Times New Roman"/>
        </w:rPr>
        <w:t>jurisdiction</w:t>
      </w:r>
      <w:r>
        <w:rPr>
          <w:rFonts w:ascii="Times New Roman" w:hAnsi="Times New Roman"/>
        </w:rPr>
        <w:t xml:space="preserve"> or were limited occurrences</w:t>
      </w:r>
      <w:r w:rsidRPr="009B5AFA">
        <w:rPr>
          <w:rFonts w:ascii="Times New Roman" w:hAnsi="Times New Roman"/>
        </w:rPr>
        <w:t xml:space="preserve">. </w:t>
      </w:r>
      <w:r w:rsidR="00CA4C98">
        <w:rPr>
          <w:rFonts w:ascii="Times New Roman" w:hAnsi="Times New Roman"/>
        </w:rPr>
        <w:t xml:space="preserve">For example, Mitchell et al. (2022) conducted a study that examined </w:t>
      </w:r>
      <w:r w:rsidRPr="00CA4C98" w:rsidR="00CA4C98">
        <w:rPr>
          <w:rFonts w:ascii="Times New Roman" w:hAnsi="Times New Roman"/>
        </w:rPr>
        <w:t>case outcomes between jurisdictions headed by progressive and traditional chief prosecutors</w:t>
      </w:r>
      <w:r w:rsidR="009921E2">
        <w:rPr>
          <w:rFonts w:ascii="Times New Roman" w:hAnsi="Times New Roman"/>
        </w:rPr>
        <w:t xml:space="preserve"> </w:t>
      </w:r>
      <w:r w:rsidR="008D1472">
        <w:rPr>
          <w:rFonts w:ascii="Times New Roman" w:hAnsi="Times New Roman"/>
        </w:rPr>
        <w:t>in Florida.</w:t>
      </w:r>
      <w:r>
        <w:rPr>
          <w:rStyle w:val="FootnoteReference"/>
          <w:rFonts w:ascii="Times New Roman" w:hAnsi="Times New Roman"/>
        </w:rPr>
        <w:footnoteReference w:id="11"/>
      </w:r>
      <w:r w:rsidR="008D1472">
        <w:rPr>
          <w:rFonts w:ascii="Times New Roman" w:hAnsi="Times New Roman"/>
        </w:rPr>
        <w:t xml:space="preserve"> </w:t>
      </w:r>
      <w:r w:rsidR="00926AD4">
        <w:rPr>
          <w:rFonts w:ascii="Times New Roman" w:hAnsi="Times New Roman"/>
        </w:rPr>
        <w:t>Similarly,</w:t>
      </w:r>
      <w:r w:rsidR="008D1472">
        <w:rPr>
          <w:rFonts w:ascii="Times New Roman" w:hAnsi="Times New Roman"/>
        </w:rPr>
        <w:t xml:space="preserve"> </w:t>
      </w:r>
      <w:r w:rsidR="00166FA4">
        <w:rPr>
          <w:rFonts w:ascii="Times New Roman" w:hAnsi="Times New Roman"/>
        </w:rPr>
        <w:t>Kutateladze et al. (2014) conducted a study that examined racial and ethnic disparity in prosecution and sentencing</w:t>
      </w:r>
      <w:r w:rsidR="009921E2">
        <w:rPr>
          <w:rFonts w:ascii="Times New Roman" w:hAnsi="Times New Roman"/>
        </w:rPr>
        <w:t xml:space="preserve"> of 185,275 cases from the New York County </w:t>
      </w:r>
      <w:r w:rsidR="00823187">
        <w:rPr>
          <w:rFonts w:ascii="Times New Roman" w:hAnsi="Times New Roman"/>
        </w:rPr>
        <w:t>District</w:t>
      </w:r>
      <w:r w:rsidR="009921E2">
        <w:rPr>
          <w:rFonts w:ascii="Times New Roman" w:hAnsi="Times New Roman"/>
        </w:rPr>
        <w:t xml:space="preserve"> </w:t>
      </w:r>
      <w:r w:rsidR="00511D65">
        <w:rPr>
          <w:rFonts w:ascii="Times New Roman" w:hAnsi="Times New Roman"/>
        </w:rPr>
        <w:t>Attorney’s</w:t>
      </w:r>
      <w:r w:rsidR="009921E2">
        <w:rPr>
          <w:rFonts w:ascii="Times New Roman" w:hAnsi="Times New Roman"/>
        </w:rPr>
        <w:t xml:space="preserve"> Office</w:t>
      </w:r>
      <w:r w:rsidR="00926AD4">
        <w:rPr>
          <w:rFonts w:ascii="Times New Roman" w:hAnsi="Times New Roman"/>
        </w:rPr>
        <w:t>.</w:t>
      </w:r>
      <w:r>
        <w:rPr>
          <w:rStyle w:val="FootnoteReference"/>
          <w:rFonts w:ascii="Times New Roman" w:hAnsi="Times New Roman"/>
        </w:rPr>
        <w:footnoteReference w:id="12"/>
      </w:r>
      <w:r w:rsidR="00B1750D">
        <w:rPr>
          <w:rFonts w:ascii="Times New Roman" w:hAnsi="Times New Roman"/>
        </w:rPr>
        <w:t xml:space="preserve"> </w:t>
      </w:r>
      <w:r w:rsidR="008D1472">
        <w:rPr>
          <w:rFonts w:ascii="Times New Roman" w:hAnsi="Times New Roman"/>
        </w:rPr>
        <w:t xml:space="preserve">Although both studies </w:t>
      </w:r>
      <w:r w:rsidR="00B1750D">
        <w:rPr>
          <w:rFonts w:ascii="Times New Roman" w:hAnsi="Times New Roman"/>
        </w:rPr>
        <w:t xml:space="preserve">yielded </w:t>
      </w:r>
      <w:r w:rsidR="00926AD4">
        <w:rPr>
          <w:rFonts w:ascii="Times New Roman" w:hAnsi="Times New Roman"/>
        </w:rPr>
        <w:t xml:space="preserve">interesting findings, </w:t>
      </w:r>
      <w:r w:rsidR="008D1472">
        <w:rPr>
          <w:rFonts w:ascii="Times New Roman" w:hAnsi="Times New Roman"/>
        </w:rPr>
        <w:t xml:space="preserve">the data </w:t>
      </w:r>
      <w:r w:rsidR="006F261E">
        <w:rPr>
          <w:rFonts w:ascii="Times New Roman" w:hAnsi="Times New Roman"/>
        </w:rPr>
        <w:t xml:space="preserve">were </w:t>
      </w:r>
      <w:r w:rsidR="008D1472">
        <w:rPr>
          <w:rFonts w:ascii="Times New Roman" w:hAnsi="Times New Roman"/>
        </w:rPr>
        <w:t>limited to one jurisdiction</w:t>
      </w:r>
      <w:r w:rsidR="00926AD4">
        <w:rPr>
          <w:rFonts w:ascii="Times New Roman" w:hAnsi="Times New Roman"/>
        </w:rPr>
        <w:t>.</w:t>
      </w:r>
      <w:r w:rsidR="008D1472">
        <w:rPr>
          <w:rFonts w:ascii="Times New Roman" w:hAnsi="Times New Roman"/>
        </w:rPr>
        <w:t xml:space="preserve"> </w:t>
      </w:r>
      <w:r w:rsidR="00A35CD3">
        <w:rPr>
          <w:rFonts w:ascii="Times New Roman" w:hAnsi="Times New Roman"/>
        </w:rPr>
        <w:t>2025 CPO</w:t>
      </w:r>
      <w:r w:rsidR="00926AD4">
        <w:rPr>
          <w:rFonts w:ascii="Times New Roman" w:hAnsi="Times New Roman"/>
        </w:rPr>
        <w:t xml:space="preserve"> amends this limitation by </w:t>
      </w:r>
      <w:r w:rsidR="00647F17">
        <w:rPr>
          <w:rFonts w:ascii="Times New Roman" w:hAnsi="Times New Roman"/>
        </w:rPr>
        <w:t>collect</w:t>
      </w:r>
      <w:r w:rsidR="00926AD4">
        <w:rPr>
          <w:rFonts w:ascii="Times New Roman" w:hAnsi="Times New Roman"/>
        </w:rPr>
        <w:t>ing</w:t>
      </w:r>
      <w:r w:rsidR="00647F17">
        <w:rPr>
          <w:rFonts w:ascii="Times New Roman" w:hAnsi="Times New Roman"/>
        </w:rPr>
        <w:t xml:space="preserve"> data from all state prosecutor offices in the United States. </w:t>
      </w:r>
    </w:p>
    <w:p w:rsidR="006A6E8F" w:rsidP="00511D65" w14:paraId="08D380B2" w14:textId="77777777">
      <w:pPr>
        <w:widowControl/>
        <w:autoSpaceDE/>
        <w:autoSpaceDN/>
        <w:adjustRightInd/>
        <w:rPr>
          <w:rFonts w:ascii="Times New Roman" w:hAnsi="Times New Roman"/>
        </w:rPr>
      </w:pPr>
    </w:p>
    <w:p w:rsidR="009B5AFA" w:rsidP="00511D65" w14:paraId="3DDC5A8C" w14:textId="33777515">
      <w:pPr>
        <w:widowControl/>
        <w:autoSpaceDE/>
        <w:autoSpaceDN/>
        <w:adjustRightInd/>
        <w:rPr>
          <w:rFonts w:ascii="Times New Roman" w:hAnsi="Times New Roman"/>
        </w:rPr>
      </w:pPr>
      <w:r>
        <w:rPr>
          <w:rFonts w:ascii="Times New Roman" w:hAnsi="Times New Roman"/>
        </w:rPr>
        <w:t xml:space="preserve">The few prosecutor studies that were nationwide collections were limited in occurrences. For example, </w:t>
      </w:r>
      <w:r w:rsidR="00AD51AB">
        <w:rPr>
          <w:rFonts w:ascii="Times New Roman" w:hAnsi="Times New Roman"/>
        </w:rPr>
        <w:t xml:space="preserve">Urban’s </w:t>
      </w:r>
      <w:r w:rsidRPr="00AD51AB" w:rsidR="00AD51AB">
        <w:rPr>
          <w:rFonts w:ascii="Times New Roman" w:hAnsi="Times New Roman"/>
        </w:rPr>
        <w:t>2018 National Survey of State Prosecutors</w:t>
      </w:r>
      <w:r w:rsidR="00AD51AB">
        <w:rPr>
          <w:rFonts w:ascii="Times New Roman" w:hAnsi="Times New Roman"/>
        </w:rPr>
        <w:t xml:space="preserve"> utilized BJS’s 2007 </w:t>
      </w:r>
      <w:r w:rsidR="00E73576">
        <w:rPr>
          <w:rFonts w:ascii="Times New Roman" w:hAnsi="Times New Roman"/>
        </w:rPr>
        <w:t xml:space="preserve">census </w:t>
      </w:r>
      <w:r w:rsidR="00AD51AB">
        <w:rPr>
          <w:rFonts w:ascii="Times New Roman" w:hAnsi="Times New Roman"/>
        </w:rPr>
        <w:t xml:space="preserve">to build a </w:t>
      </w:r>
      <w:r w:rsidRPr="00AD51AB" w:rsidR="00AD51AB">
        <w:rPr>
          <w:rFonts w:ascii="Times New Roman" w:hAnsi="Times New Roman"/>
        </w:rPr>
        <w:t xml:space="preserve">sampling frame </w:t>
      </w:r>
      <w:r w:rsidR="00AD51AB">
        <w:rPr>
          <w:rFonts w:ascii="Times New Roman" w:hAnsi="Times New Roman"/>
        </w:rPr>
        <w:t xml:space="preserve">that </w:t>
      </w:r>
      <w:r w:rsidRPr="00AD51AB" w:rsidR="00AD51AB">
        <w:rPr>
          <w:rFonts w:ascii="Times New Roman" w:hAnsi="Times New Roman"/>
        </w:rPr>
        <w:t>consisted of a census of prosecutor offices representing a population of 250,000 residents or more and a stratified random sample of offices representing a population of fewer than 250,000 residents.</w:t>
      </w:r>
      <w:r w:rsidR="00AD51AB">
        <w:rPr>
          <w:rFonts w:ascii="Times New Roman" w:hAnsi="Times New Roman"/>
        </w:rPr>
        <w:t xml:space="preserve"> Although this study produced national estimates, it was a one-time study.  </w:t>
      </w:r>
      <w:r w:rsidR="006F261E">
        <w:rPr>
          <w:rFonts w:ascii="Times New Roman" w:hAnsi="Times New Roman"/>
        </w:rPr>
        <w:t>T</w:t>
      </w:r>
      <w:r w:rsidR="00F53DCA">
        <w:rPr>
          <w:rFonts w:ascii="Times New Roman" w:hAnsi="Times New Roman"/>
        </w:rPr>
        <w:t xml:space="preserve">he National District Attorney Associations’ </w:t>
      </w:r>
      <w:bookmarkStart w:id="4" w:name="_Hlk222329026"/>
      <w:r w:rsidRPr="00F53DCA" w:rsidR="00F53DCA">
        <w:rPr>
          <w:rFonts w:ascii="Times New Roman" w:hAnsi="Times New Roman"/>
        </w:rPr>
        <w:t>2024 National Prosecutor Retention</w:t>
      </w:r>
      <w:bookmarkEnd w:id="4"/>
      <w:r w:rsidRPr="00F53DCA" w:rsidR="00F53DCA">
        <w:rPr>
          <w:rFonts w:ascii="Times New Roman" w:hAnsi="Times New Roman"/>
        </w:rPr>
        <w:t xml:space="preserve"> Survey</w:t>
      </w:r>
      <w:r w:rsidR="006F261E">
        <w:rPr>
          <w:rFonts w:ascii="Times New Roman" w:hAnsi="Times New Roman"/>
        </w:rPr>
        <w:t xml:space="preserve"> reported responses from approximately 4,500 </w:t>
      </w:r>
      <w:r w:rsidR="006F261E">
        <w:rPr>
          <w:rFonts w:ascii="Times New Roman" w:hAnsi="Times New Roman"/>
        </w:rPr>
        <w:t>prosecutors, but</w:t>
      </w:r>
      <w:r w:rsidR="006F261E">
        <w:rPr>
          <w:rFonts w:ascii="Times New Roman" w:hAnsi="Times New Roman"/>
        </w:rPr>
        <w:t xml:space="preserve"> did not include a detailed methodology as to how these prosecutors were selected</w:t>
      </w:r>
      <w:r w:rsidR="00647F17">
        <w:rPr>
          <w:rFonts w:ascii="Times New Roman" w:hAnsi="Times New Roman"/>
        </w:rPr>
        <w:t xml:space="preserve">. Neither of </w:t>
      </w:r>
      <w:r w:rsidRPr="00AD51AB" w:rsidR="00AD51AB">
        <w:rPr>
          <w:rFonts w:ascii="Times New Roman" w:hAnsi="Times New Roman"/>
        </w:rPr>
        <w:t xml:space="preserve">these </w:t>
      </w:r>
      <w:r w:rsidRPr="00AD51AB" w:rsidR="00647F17">
        <w:rPr>
          <w:rFonts w:ascii="Times New Roman" w:hAnsi="Times New Roman"/>
        </w:rPr>
        <w:t>studies</w:t>
      </w:r>
      <w:r w:rsidRPr="00AD51AB" w:rsidR="00AD51AB">
        <w:rPr>
          <w:rFonts w:ascii="Times New Roman" w:hAnsi="Times New Roman"/>
        </w:rPr>
        <w:t xml:space="preserve"> </w:t>
      </w:r>
      <w:r w:rsidRPr="00D60768" w:rsidR="00D60768">
        <w:rPr>
          <w:rFonts w:ascii="Times New Roman" w:hAnsi="Times New Roman"/>
        </w:rPr>
        <w:t>was an ongoing effort</w:t>
      </w:r>
      <w:r w:rsidRPr="00AD51AB" w:rsidR="00AD51AB">
        <w:rPr>
          <w:rFonts w:ascii="Times New Roman" w:hAnsi="Times New Roman"/>
        </w:rPr>
        <w:t>, which is needed for detailed trend analyses</w:t>
      </w:r>
      <w:r w:rsidR="00647F17">
        <w:rPr>
          <w:rFonts w:ascii="Times New Roman" w:hAnsi="Times New Roman"/>
        </w:rPr>
        <w:t>.</w:t>
      </w:r>
      <w:r w:rsidR="00511D65">
        <w:rPr>
          <w:rFonts w:ascii="Times New Roman" w:hAnsi="Times New Roman"/>
        </w:rPr>
        <w:t xml:space="preserve"> Thus, </w:t>
      </w:r>
      <w:r w:rsidR="0014244D">
        <w:rPr>
          <w:rFonts w:ascii="Times New Roman" w:hAnsi="Times New Roman"/>
        </w:rPr>
        <w:t xml:space="preserve">the </w:t>
      </w:r>
      <w:r w:rsidR="00527C7D">
        <w:rPr>
          <w:rFonts w:ascii="Times New Roman" w:hAnsi="Times New Roman"/>
        </w:rPr>
        <w:t xml:space="preserve">NSP series </w:t>
      </w:r>
      <w:r w:rsidR="008834FB">
        <w:rPr>
          <w:rFonts w:ascii="Times New Roman" w:hAnsi="Times New Roman"/>
        </w:rPr>
        <w:t>is the only national data collection on prosecutors that is done on a reoccurring basis.</w:t>
      </w:r>
    </w:p>
    <w:p w:rsidR="00511D65" w:rsidP="00511D65" w14:paraId="504C6ECD" w14:textId="77777777">
      <w:pPr>
        <w:widowControl/>
        <w:autoSpaceDE/>
        <w:autoSpaceDN/>
        <w:adjustRightInd/>
        <w:rPr>
          <w:rFonts w:ascii="Times New Roman" w:hAnsi="Times New Roman"/>
        </w:rPr>
      </w:pPr>
    </w:p>
    <w:p w:rsidR="00690F56" w:rsidP="00690F56" w14:paraId="686EF219" w14:textId="46DC06F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5</w:t>
      </w:r>
      <w:r w:rsidRPr="006A6E8F" w:rsidR="00B1750D">
        <w:rPr>
          <w:rFonts w:ascii="Times New Roman" w:hAnsi="Times New Roman"/>
          <w:b/>
          <w:bCs/>
        </w:rPr>
        <w:t>.</w:t>
      </w:r>
      <w:r w:rsidRPr="000501BF" w:rsidR="00B1750D">
        <w:rPr>
          <w:rFonts w:ascii="Times New Roman" w:hAnsi="Times New Roman"/>
          <w:b/>
          <w:bCs/>
        </w:rPr>
        <w:t xml:space="preserve"> If</w:t>
      </w:r>
      <w:r w:rsidRPr="0012107F">
        <w:rPr>
          <w:rFonts w:ascii="Times New Roman" w:hAnsi="Times New Roman"/>
          <w:b/>
          <w:bCs/>
        </w:rPr>
        <w:t xml:space="preserve"> the collection of information impacts small businesses or other small entities</w:t>
      </w:r>
      <w:r w:rsidRPr="0012107F" w:rsidR="00237691">
        <w:rPr>
          <w:rFonts w:ascii="Times New Roman" w:hAnsi="Times New Roman"/>
          <w:b/>
          <w:bCs/>
        </w:rPr>
        <w:t>,</w:t>
      </w:r>
      <w:r w:rsidRPr="0012107F">
        <w:rPr>
          <w:rFonts w:ascii="Times New Roman" w:hAnsi="Times New Roman"/>
          <w:b/>
          <w:bCs/>
        </w:rPr>
        <w:t xml:space="preserve"> describe any methods used to minimize burden.</w:t>
      </w:r>
    </w:p>
    <w:p w:rsidR="00513128" w:rsidP="00690F56" w14:paraId="598127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27D82" w:rsidP="00690F56" w14:paraId="6E110901" w14:textId="7573A8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S</w:t>
      </w:r>
      <w:r w:rsidR="00513128">
        <w:rPr>
          <w:rFonts w:ascii="Times New Roman" w:hAnsi="Times New Roman"/>
        </w:rPr>
        <w:t xml:space="preserve">mall </w:t>
      </w:r>
      <w:r w:rsidR="00993CA0">
        <w:rPr>
          <w:rFonts w:ascii="Times New Roman" w:hAnsi="Times New Roman"/>
        </w:rPr>
        <w:t>prosecutor</w:t>
      </w:r>
      <w:r w:rsidR="00513128">
        <w:rPr>
          <w:rFonts w:ascii="Times New Roman" w:hAnsi="Times New Roman"/>
        </w:rPr>
        <w:t xml:space="preserve"> offices may experience the burden of the survey to a greater extent</w:t>
      </w:r>
      <w:r w:rsidR="00C13BEA">
        <w:rPr>
          <w:rFonts w:ascii="Times New Roman" w:hAnsi="Times New Roman"/>
        </w:rPr>
        <w:t xml:space="preserve">. The small, rural offices </w:t>
      </w:r>
      <w:r w:rsidR="00C56871">
        <w:rPr>
          <w:rFonts w:ascii="Times New Roman" w:hAnsi="Times New Roman"/>
        </w:rPr>
        <w:t xml:space="preserve">are much more </w:t>
      </w:r>
      <w:r w:rsidR="00C13BEA">
        <w:rPr>
          <w:rFonts w:ascii="Times New Roman" w:hAnsi="Times New Roman"/>
        </w:rPr>
        <w:t xml:space="preserve">likely </w:t>
      </w:r>
      <w:r w:rsidR="00C56871">
        <w:rPr>
          <w:rFonts w:ascii="Times New Roman" w:hAnsi="Times New Roman"/>
        </w:rPr>
        <w:t xml:space="preserve">to </w:t>
      </w:r>
      <w:r w:rsidR="00C13BEA">
        <w:rPr>
          <w:rFonts w:ascii="Times New Roman" w:hAnsi="Times New Roman"/>
        </w:rPr>
        <w:t xml:space="preserve">only have </w:t>
      </w:r>
      <w:r w:rsidR="00993CA0">
        <w:rPr>
          <w:rFonts w:ascii="Times New Roman" w:hAnsi="Times New Roman"/>
        </w:rPr>
        <w:t>a limited number of staff</w:t>
      </w:r>
      <w:r>
        <w:rPr>
          <w:rFonts w:ascii="Times New Roman" w:hAnsi="Times New Roman"/>
        </w:rPr>
        <w:t>, which makes</w:t>
      </w:r>
      <w:r w:rsidR="00E53982">
        <w:rPr>
          <w:rFonts w:ascii="Times New Roman" w:hAnsi="Times New Roman"/>
        </w:rPr>
        <w:t xml:space="preserve"> </w:t>
      </w:r>
      <w:r>
        <w:rPr>
          <w:rFonts w:ascii="Times New Roman" w:hAnsi="Times New Roman"/>
        </w:rPr>
        <w:t>finding</w:t>
      </w:r>
      <w:r w:rsidR="00C13BEA">
        <w:rPr>
          <w:rFonts w:ascii="Times New Roman" w:hAnsi="Times New Roman"/>
        </w:rPr>
        <w:t xml:space="preserve"> time to complete the survey challenging. Respondents in offices comprised of very few attorneys may shoulder more responsibilities than those in larger offices with additional support staff and attorneys. Respondents in these small </w:t>
      </w:r>
      <w:r w:rsidR="00993CA0">
        <w:rPr>
          <w:rFonts w:ascii="Times New Roman" w:hAnsi="Times New Roman"/>
        </w:rPr>
        <w:t xml:space="preserve">prosecutor </w:t>
      </w:r>
      <w:r w:rsidR="00C13BEA">
        <w:rPr>
          <w:rFonts w:ascii="Times New Roman" w:hAnsi="Times New Roman"/>
        </w:rPr>
        <w:t>offices, however, may not need to share the link with anyone else on their staff as they manage all aspects of the office’s operations.</w:t>
      </w:r>
      <w:r>
        <w:rPr>
          <w:rFonts w:ascii="Times New Roman" w:hAnsi="Times New Roman"/>
        </w:rPr>
        <w:t xml:space="preserve"> </w:t>
      </w:r>
    </w:p>
    <w:p w:rsidR="00527C7D" w:rsidP="00690F56" w14:paraId="5293B2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7C7D" w:rsidP="00527C7D" w14:paraId="6D9A5B00" w14:textId="5E54EEB6">
      <w:pPr>
        <w:rPr>
          <w:rFonts w:ascii="Times New Roman" w:hAnsi="Times New Roman"/>
        </w:rPr>
      </w:pPr>
      <w:r>
        <w:rPr>
          <w:rFonts w:ascii="Times New Roman" w:hAnsi="Times New Roman"/>
        </w:rPr>
        <w:t xml:space="preserve">To minimize burden on respondents while completing the </w:t>
      </w:r>
      <w:r w:rsidR="00A35CD3">
        <w:rPr>
          <w:rFonts w:ascii="Times New Roman" w:hAnsi="Times New Roman"/>
        </w:rPr>
        <w:t>2025 CPO</w:t>
      </w:r>
      <w:r>
        <w:rPr>
          <w:rFonts w:ascii="Times New Roman" w:hAnsi="Times New Roman"/>
        </w:rPr>
        <w:t>, Urban will operate a</w:t>
      </w:r>
      <w:r w:rsidRPr="00347630">
        <w:rPr>
          <w:rFonts w:ascii="Times New Roman" w:hAnsi="Times New Roman"/>
        </w:rPr>
        <w:t xml:space="preserve"> helpdesk to </w:t>
      </w:r>
      <w:r w:rsidRPr="00347630">
        <w:rPr>
          <w:rFonts w:ascii="Times New Roman" w:hAnsi="Times New Roman"/>
        </w:rPr>
        <w:t>provide assistance</w:t>
      </w:r>
      <w:r w:rsidRPr="00347630">
        <w:rPr>
          <w:rFonts w:ascii="Times New Roman" w:hAnsi="Times New Roman"/>
        </w:rPr>
        <w:t xml:space="preserve"> by phone </w:t>
      </w:r>
      <w:r>
        <w:rPr>
          <w:rFonts w:ascii="Times New Roman" w:hAnsi="Times New Roman"/>
        </w:rPr>
        <w:t xml:space="preserve">(toll-free) </w:t>
      </w:r>
      <w:r w:rsidRPr="00347630">
        <w:rPr>
          <w:rFonts w:ascii="Times New Roman" w:hAnsi="Times New Roman"/>
        </w:rPr>
        <w:t xml:space="preserve">and email to all respondents during normal business hours (Eastern Time). </w:t>
      </w:r>
      <w:r>
        <w:rPr>
          <w:rFonts w:ascii="Times New Roman" w:hAnsi="Times New Roman"/>
        </w:rPr>
        <w:t>Contact information</w:t>
      </w:r>
      <w:r w:rsidRPr="00347630">
        <w:rPr>
          <w:rFonts w:ascii="Times New Roman" w:hAnsi="Times New Roman"/>
        </w:rPr>
        <w:t xml:space="preserve"> for the project principal investigator will be provided to respondents.</w:t>
      </w:r>
    </w:p>
    <w:p w:rsidR="00527C7D" w:rsidP="00690F56" w14:paraId="06D8430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4CA5" w:rsidP="00690F56" w14:paraId="2A923CCD" w14:textId="5767E0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survey can be accessed by any </w:t>
      </w:r>
      <w:r w:rsidR="00527C7D">
        <w:rPr>
          <w:rFonts w:ascii="Times New Roman" w:hAnsi="Times New Roman"/>
        </w:rPr>
        <w:t xml:space="preserve">internet-connected </w:t>
      </w:r>
      <w:r>
        <w:rPr>
          <w:rFonts w:ascii="Times New Roman" w:hAnsi="Times New Roman"/>
        </w:rPr>
        <w:t xml:space="preserve">device and responses to questions are saved as they are entered. This allows respondents to complete the survey as they </w:t>
      </w:r>
      <w:r w:rsidR="00527C7D">
        <w:rPr>
          <w:rFonts w:ascii="Times New Roman" w:hAnsi="Times New Roman"/>
        </w:rPr>
        <w:t>can</w:t>
      </w:r>
      <w:r>
        <w:rPr>
          <w:rFonts w:ascii="Times New Roman" w:hAnsi="Times New Roman"/>
        </w:rPr>
        <w:t>. The online survey also has</w:t>
      </w:r>
      <w:r w:rsidRPr="00F44CA5">
        <w:rPr>
          <w:rFonts w:ascii="Times New Roman" w:hAnsi="Times New Roman"/>
        </w:rPr>
        <w:t xml:space="preserve"> data entry checks</w:t>
      </w:r>
      <w:r>
        <w:rPr>
          <w:rFonts w:ascii="Times New Roman" w:hAnsi="Times New Roman"/>
        </w:rPr>
        <w:t xml:space="preserve"> which </w:t>
      </w:r>
      <w:r w:rsidRPr="00F44CA5">
        <w:rPr>
          <w:rFonts w:ascii="Times New Roman" w:hAnsi="Times New Roman"/>
        </w:rPr>
        <w:t xml:space="preserve">will reduce the likelihood of data quality follow-up. </w:t>
      </w:r>
    </w:p>
    <w:p w:rsidR="00727D82" w:rsidP="00690F56" w14:paraId="7C6D6D5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3128" w:rsidP="00690F56" w14:paraId="55AFA53D" w14:textId="56AD875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00727D82">
        <w:rPr>
          <w:rFonts w:ascii="Times New Roman" w:hAnsi="Times New Roman"/>
        </w:rPr>
        <w:t xml:space="preserve">o further reduce burden, </w:t>
      </w:r>
      <w:r w:rsidR="0027777D">
        <w:rPr>
          <w:rFonts w:ascii="Times New Roman" w:hAnsi="Times New Roman"/>
        </w:rPr>
        <w:t>questions requesting specific numbers</w:t>
      </w:r>
      <w:r w:rsidR="006A6E8F">
        <w:rPr>
          <w:rFonts w:ascii="Times New Roman" w:hAnsi="Times New Roman"/>
        </w:rPr>
        <w:t>,</w:t>
      </w:r>
      <w:r w:rsidR="0027777D">
        <w:rPr>
          <w:rFonts w:ascii="Times New Roman" w:hAnsi="Times New Roman"/>
        </w:rPr>
        <w:t xml:space="preserve"> such as attorney counts and office expenditures</w:t>
      </w:r>
      <w:r w:rsidR="006A6E8F">
        <w:rPr>
          <w:rFonts w:ascii="Times New Roman" w:hAnsi="Times New Roman"/>
        </w:rPr>
        <w:t>,</w:t>
      </w:r>
      <w:r w:rsidR="0027777D">
        <w:rPr>
          <w:rFonts w:ascii="Times New Roman" w:hAnsi="Times New Roman"/>
        </w:rPr>
        <w:t xml:space="preserve"> include a box for respondents to indicate that their response is an estimate. This allows respondents to give an answer even if </w:t>
      </w:r>
      <w:r w:rsidR="00A94A89">
        <w:rPr>
          <w:rFonts w:ascii="Times New Roman" w:hAnsi="Times New Roman"/>
        </w:rPr>
        <w:t xml:space="preserve">they are </w:t>
      </w:r>
      <w:r w:rsidR="00341B88">
        <w:rPr>
          <w:rFonts w:ascii="Times New Roman" w:hAnsi="Times New Roman"/>
        </w:rPr>
        <w:t xml:space="preserve">unable to look up </w:t>
      </w:r>
      <w:r w:rsidR="00341B88">
        <w:rPr>
          <w:rFonts w:ascii="Times New Roman" w:hAnsi="Times New Roman"/>
        </w:rPr>
        <w:t>the specific</w:t>
      </w:r>
      <w:r w:rsidR="00341B88">
        <w:rPr>
          <w:rFonts w:ascii="Times New Roman" w:hAnsi="Times New Roman"/>
        </w:rPr>
        <w:t xml:space="preserve"> information</w:t>
      </w:r>
      <w:r w:rsidR="0027777D">
        <w:rPr>
          <w:rFonts w:ascii="Times New Roman" w:hAnsi="Times New Roman"/>
        </w:rPr>
        <w:t xml:space="preserve">.  </w:t>
      </w:r>
      <w:r w:rsidR="00727D82">
        <w:rPr>
          <w:rFonts w:ascii="Times New Roman" w:hAnsi="Times New Roman"/>
        </w:rPr>
        <w:t xml:space="preserve"> </w:t>
      </w:r>
      <w:r w:rsidR="00C13BEA">
        <w:rPr>
          <w:rFonts w:ascii="Times New Roman" w:hAnsi="Times New Roman"/>
        </w:rPr>
        <w:t xml:space="preserve">     </w:t>
      </w:r>
    </w:p>
    <w:p w:rsidR="006A6E8F" w:rsidRPr="00513128" w:rsidP="00690F56" w14:paraId="32603F4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5F528885" w14:textId="0FE2E4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 6</w:t>
      </w:r>
      <w:r w:rsidRPr="0012107F" w:rsidR="00237691">
        <w:rPr>
          <w:rFonts w:ascii="Times New Roman" w:hAnsi="Times New Roman"/>
          <w:b/>
          <w:bCs/>
        </w:rPr>
        <w:t xml:space="preserve">. Describe the </w:t>
      </w:r>
      <w:r w:rsidRPr="0012107F" w:rsidR="00237691">
        <w:rPr>
          <w:rFonts w:ascii="Times New Roman" w:hAnsi="Times New Roman"/>
          <w:b/>
          <w:bCs/>
        </w:rPr>
        <w:t>consequence</w:t>
      </w:r>
      <w:r w:rsidRPr="0012107F" w:rsidR="00237691">
        <w:rPr>
          <w:rFonts w:ascii="Times New Roman" w:hAnsi="Times New Roman"/>
          <w:b/>
          <w:bCs/>
        </w:rPr>
        <w:t xml:space="preserve"> </w:t>
      </w:r>
      <w:r w:rsidRPr="0012107F" w:rsidR="00237691">
        <w:rPr>
          <w:rFonts w:ascii="Times New Roman" w:hAnsi="Times New Roman"/>
          <w:b/>
          <w:bCs/>
        </w:rPr>
        <w:t>to</w:t>
      </w:r>
      <w:r w:rsidRPr="0012107F" w:rsidR="00237691">
        <w:rPr>
          <w:rFonts w:ascii="Times New Roman" w:hAnsi="Times New Roman"/>
          <w:b/>
          <w:bCs/>
        </w:rPr>
        <w:t xml:space="preserve"> f</w:t>
      </w:r>
      <w:r w:rsidRPr="0012107F">
        <w:rPr>
          <w:rFonts w:ascii="Times New Roman" w:hAnsi="Times New Roman"/>
          <w:b/>
          <w:bCs/>
        </w:rPr>
        <w:t>ederal program or policy activities if the collection is not conducted or is conducted less frequently, as well as any technical or legal obstacles to reducing burden.</w:t>
      </w:r>
    </w:p>
    <w:p w:rsidR="002F60A6" w:rsidP="00690F56" w14:paraId="2039D8B9" w14:textId="663BEC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333BE" w:rsidP="00A16F9A" w14:paraId="5F471F07" w14:textId="7B56986D">
      <w:pPr>
        <w:rPr>
          <w:rFonts w:ascii="Times New Roman" w:hAnsi="Times New Roman"/>
        </w:rPr>
      </w:pPr>
      <w:r w:rsidRPr="00DC2A6E">
        <w:rPr>
          <w:rFonts w:ascii="Times New Roman" w:hAnsi="Times New Roman"/>
        </w:rPr>
        <w:t xml:space="preserve">If the </w:t>
      </w:r>
      <w:r w:rsidR="00A35CD3">
        <w:rPr>
          <w:rFonts w:ascii="Times New Roman" w:hAnsi="Times New Roman"/>
        </w:rPr>
        <w:t>2025 CPO</w:t>
      </w:r>
      <w:r w:rsidRPr="00DC2A6E">
        <w:rPr>
          <w:rFonts w:ascii="Times New Roman" w:hAnsi="Times New Roman"/>
        </w:rPr>
        <w:t xml:space="preserve"> is not conducted, essential empirical data vital for understanding the landscape of </w:t>
      </w:r>
      <w:r w:rsidR="00993CA0">
        <w:rPr>
          <w:rFonts w:ascii="Times New Roman" w:hAnsi="Times New Roman"/>
        </w:rPr>
        <w:t>prosecutor</w:t>
      </w:r>
      <w:r w:rsidR="00D96F8C">
        <w:rPr>
          <w:rFonts w:ascii="Times New Roman" w:hAnsi="Times New Roman"/>
        </w:rPr>
        <w:t xml:space="preserve"> office</w:t>
      </w:r>
      <w:r w:rsidR="00993CA0">
        <w:rPr>
          <w:rFonts w:ascii="Times New Roman" w:hAnsi="Times New Roman"/>
        </w:rPr>
        <w:t>s</w:t>
      </w:r>
      <w:r w:rsidRPr="00DC2A6E">
        <w:rPr>
          <w:rFonts w:ascii="Times New Roman" w:hAnsi="Times New Roman"/>
        </w:rPr>
        <w:t xml:space="preserve"> </w:t>
      </w:r>
      <w:r w:rsidR="00406F04">
        <w:rPr>
          <w:rFonts w:ascii="Times New Roman" w:hAnsi="Times New Roman"/>
        </w:rPr>
        <w:t>across the nation</w:t>
      </w:r>
      <w:r w:rsidRPr="00DC2A6E">
        <w:rPr>
          <w:rFonts w:ascii="Times New Roman" w:hAnsi="Times New Roman"/>
        </w:rPr>
        <w:t xml:space="preserve"> will remain unavailable. Basic inquiries such as the number and locations of </w:t>
      </w:r>
      <w:r w:rsidR="00993CA0">
        <w:rPr>
          <w:rFonts w:ascii="Times New Roman" w:hAnsi="Times New Roman"/>
        </w:rPr>
        <w:t>prosecutor</w:t>
      </w:r>
      <w:r w:rsidRPr="00DC2A6E">
        <w:rPr>
          <w:rFonts w:ascii="Times New Roman" w:hAnsi="Times New Roman"/>
        </w:rPr>
        <w:t xml:space="preserve"> offices, the size of their staff, and the sources and levels of funding they receive will go unanswered. </w:t>
      </w:r>
      <w:r w:rsidR="0087295F">
        <w:rPr>
          <w:rFonts w:ascii="Times New Roman" w:hAnsi="Times New Roman"/>
        </w:rPr>
        <w:t>T</w:t>
      </w:r>
      <w:r w:rsidRPr="00DC2A6E">
        <w:rPr>
          <w:rFonts w:ascii="Times New Roman" w:hAnsi="Times New Roman"/>
        </w:rPr>
        <w:t>he last CPO was conducted 1</w:t>
      </w:r>
      <w:r w:rsidR="00993CA0">
        <w:rPr>
          <w:rFonts w:ascii="Times New Roman" w:hAnsi="Times New Roman"/>
        </w:rPr>
        <w:t>9</w:t>
      </w:r>
      <w:r w:rsidRPr="00DC2A6E">
        <w:rPr>
          <w:rFonts w:ascii="Times New Roman" w:hAnsi="Times New Roman"/>
        </w:rPr>
        <w:t xml:space="preserve"> years ago. Without a comprehensive </w:t>
      </w:r>
      <w:r w:rsidR="008834FB">
        <w:rPr>
          <w:rFonts w:ascii="Times New Roman" w:hAnsi="Times New Roman"/>
        </w:rPr>
        <w:t>census</w:t>
      </w:r>
      <w:r w:rsidRPr="00DC2A6E">
        <w:rPr>
          <w:rFonts w:ascii="Times New Roman" w:hAnsi="Times New Roman"/>
        </w:rPr>
        <w:t xml:space="preserve"> specifically focused on </w:t>
      </w:r>
      <w:r w:rsidR="00993CA0">
        <w:rPr>
          <w:rFonts w:ascii="Times New Roman" w:hAnsi="Times New Roman"/>
        </w:rPr>
        <w:t>prosecutors</w:t>
      </w:r>
      <w:r w:rsidRPr="00DC2A6E">
        <w:rPr>
          <w:rFonts w:ascii="Times New Roman" w:hAnsi="Times New Roman"/>
        </w:rPr>
        <w:t>, there</w:t>
      </w:r>
      <w:r w:rsidR="00A76F72">
        <w:rPr>
          <w:rFonts w:ascii="Times New Roman" w:hAnsi="Times New Roman"/>
        </w:rPr>
        <w:t xml:space="preserve"> i</w:t>
      </w:r>
      <w:r w:rsidRPr="00DC2A6E">
        <w:rPr>
          <w:rFonts w:ascii="Times New Roman" w:hAnsi="Times New Roman"/>
        </w:rPr>
        <w:t xml:space="preserve">s a significant gap in understanding the current state of </w:t>
      </w:r>
      <w:r w:rsidR="00993CA0">
        <w:rPr>
          <w:rFonts w:ascii="Times New Roman" w:hAnsi="Times New Roman"/>
        </w:rPr>
        <w:t>prosecutors</w:t>
      </w:r>
      <w:r w:rsidRPr="00DC2A6E">
        <w:rPr>
          <w:rFonts w:ascii="Times New Roman" w:hAnsi="Times New Roman"/>
        </w:rPr>
        <w:t xml:space="preserve">. This lack of data impedes efforts to accurately assess the </w:t>
      </w:r>
      <w:r>
        <w:rPr>
          <w:rFonts w:ascii="Times New Roman" w:hAnsi="Times New Roman"/>
        </w:rPr>
        <w:t xml:space="preserve">parity of resources </w:t>
      </w:r>
      <w:r w:rsidR="0066148E">
        <w:rPr>
          <w:rFonts w:ascii="Times New Roman" w:hAnsi="Times New Roman"/>
        </w:rPr>
        <w:t>available to</w:t>
      </w:r>
      <w:r>
        <w:rPr>
          <w:rFonts w:ascii="Times New Roman" w:hAnsi="Times New Roman"/>
        </w:rPr>
        <w:t xml:space="preserve"> prosecutor offices. </w:t>
      </w:r>
    </w:p>
    <w:p w:rsidR="00B333BE" w:rsidP="00A16F9A" w14:paraId="750B77F9" w14:textId="77777777">
      <w:pPr>
        <w:rPr>
          <w:rFonts w:ascii="Times New Roman" w:hAnsi="Times New Roman"/>
        </w:rPr>
      </w:pPr>
    </w:p>
    <w:p w:rsidR="00A16F9A" w:rsidP="00A16F9A" w14:paraId="6FF52946" w14:textId="227C7BF0">
      <w:pPr>
        <w:rPr>
          <w:rFonts w:ascii="Times New Roman" w:hAnsi="Times New Roman"/>
        </w:rPr>
      </w:pPr>
      <w:r w:rsidRPr="00DC2A6E">
        <w:rPr>
          <w:rFonts w:ascii="Times New Roman" w:hAnsi="Times New Roman"/>
        </w:rPr>
        <w:t xml:space="preserve">Additionally, without benchmarking against similar </w:t>
      </w:r>
      <w:r w:rsidR="00993CA0">
        <w:rPr>
          <w:rFonts w:ascii="Times New Roman" w:hAnsi="Times New Roman"/>
        </w:rPr>
        <w:t>prosecutor</w:t>
      </w:r>
      <w:r w:rsidR="00B333BE">
        <w:rPr>
          <w:rFonts w:ascii="Times New Roman" w:hAnsi="Times New Roman"/>
        </w:rPr>
        <w:t xml:space="preserve"> </w:t>
      </w:r>
      <w:r w:rsidRPr="00DC2A6E">
        <w:rPr>
          <w:rFonts w:ascii="Times New Roman" w:hAnsi="Times New Roman"/>
        </w:rPr>
        <w:t xml:space="preserve">offices nationwide, </w:t>
      </w:r>
      <w:r w:rsidR="00B333BE">
        <w:rPr>
          <w:rFonts w:ascii="Times New Roman" w:hAnsi="Times New Roman"/>
        </w:rPr>
        <w:t>offices</w:t>
      </w:r>
      <w:r w:rsidRPr="00DC2A6E">
        <w:rPr>
          <w:rFonts w:ascii="Times New Roman" w:hAnsi="Times New Roman"/>
        </w:rPr>
        <w:t xml:space="preserve"> lack crucial insights into their funding and staffing levels. Policymakers, practitioners, and researchers rely on such data for strategic planning, funding allocation, and policy development, especially considering the substantial federal investment in </w:t>
      </w:r>
      <w:r w:rsidR="00993CA0">
        <w:rPr>
          <w:rFonts w:ascii="Times New Roman" w:hAnsi="Times New Roman"/>
        </w:rPr>
        <w:t>prosecutors</w:t>
      </w:r>
      <w:r w:rsidRPr="00DC2A6E">
        <w:rPr>
          <w:rFonts w:ascii="Times New Roman" w:hAnsi="Times New Roman"/>
        </w:rPr>
        <w:t xml:space="preserve"> each year. Therefore, the urgent need for the </w:t>
      </w:r>
      <w:r w:rsidR="00A35CD3">
        <w:rPr>
          <w:rFonts w:ascii="Times New Roman" w:hAnsi="Times New Roman"/>
        </w:rPr>
        <w:t>2025 CPO</w:t>
      </w:r>
      <w:r w:rsidRPr="00DC2A6E">
        <w:rPr>
          <w:rFonts w:ascii="Times New Roman" w:hAnsi="Times New Roman"/>
        </w:rPr>
        <w:t xml:space="preserve"> cannot be overstated.</w:t>
      </w:r>
    </w:p>
    <w:p w:rsidR="00DC2A6E" w:rsidRPr="00347630" w:rsidP="00A16F9A" w14:paraId="162F47DE" w14:textId="77777777">
      <w:pPr>
        <w:rPr>
          <w:rFonts w:ascii="Times New Roman" w:hAnsi="Times New Roman"/>
        </w:rPr>
      </w:pPr>
    </w:p>
    <w:p w:rsidR="007A6B57" w:rsidRPr="00347EF6" w:rsidP="00347EF6" w14:paraId="587C9E5F" w14:textId="3037BD38">
      <w:pPr>
        <w:rPr>
          <w:rFonts w:ascii="Times New Roman" w:hAnsi="Times New Roman"/>
          <w:szCs w:val="20"/>
        </w:rPr>
      </w:pPr>
      <w:r>
        <w:rPr>
          <w:rFonts w:ascii="Times New Roman" w:hAnsi="Times New Roman"/>
        </w:rPr>
        <w:t>Moreover, t</w:t>
      </w:r>
      <w:r w:rsidRPr="007A6B57">
        <w:rPr>
          <w:rFonts w:ascii="Times New Roman" w:hAnsi="Times New Roman"/>
        </w:rPr>
        <w:t xml:space="preserve">he ongoing call for empirical data regarding </w:t>
      </w:r>
      <w:r w:rsidR="00993CA0">
        <w:rPr>
          <w:rFonts w:ascii="Times New Roman" w:hAnsi="Times New Roman"/>
        </w:rPr>
        <w:t xml:space="preserve">prosecutors has been reinforced by scholars. </w:t>
      </w:r>
      <w:r w:rsidRPr="00993CA0" w:rsidR="00993CA0">
        <w:rPr>
          <w:rFonts w:ascii="Times New Roman" w:hAnsi="Times New Roman"/>
        </w:rPr>
        <w:t xml:space="preserve">Henry et al. (2023) mentioned </w:t>
      </w:r>
      <w:r w:rsidRPr="00993CA0" w:rsidR="0087295F">
        <w:rPr>
          <w:rFonts w:ascii="Times New Roman" w:hAnsi="Times New Roman"/>
        </w:rPr>
        <w:t>they were forced to obtain their own sample</w:t>
      </w:r>
      <w:r w:rsidR="0087295F">
        <w:rPr>
          <w:rFonts w:ascii="Times New Roman" w:hAnsi="Times New Roman"/>
        </w:rPr>
        <w:t xml:space="preserve"> and frame for research</w:t>
      </w:r>
      <w:r w:rsidRPr="00993CA0" w:rsidR="00993CA0">
        <w:rPr>
          <w:rFonts w:ascii="Times New Roman" w:hAnsi="Times New Roman"/>
        </w:rPr>
        <w:t xml:space="preserve"> because BJS had not released data on a census of prosecutor offices since the 2007 CPO</w:t>
      </w:r>
      <w:r w:rsidR="000D0F9A">
        <w:rPr>
          <w:rFonts w:ascii="Times New Roman" w:hAnsi="Times New Roman"/>
        </w:rPr>
        <w:t>.</w:t>
      </w:r>
      <w:r>
        <w:rPr>
          <w:rStyle w:val="FootnoteReference"/>
          <w:rFonts w:ascii="Times New Roman" w:hAnsi="Times New Roman"/>
        </w:rPr>
        <w:footnoteReference w:id="13"/>
      </w:r>
      <w:r w:rsidR="00823187">
        <w:rPr>
          <w:rFonts w:ascii="Times New Roman" w:hAnsi="Times New Roman"/>
        </w:rPr>
        <w:t xml:space="preserve"> </w:t>
      </w:r>
      <w:r w:rsidR="00A60071">
        <w:rPr>
          <w:rFonts w:ascii="Times New Roman" w:hAnsi="Times New Roman"/>
        </w:rPr>
        <w:t xml:space="preserve">This </w:t>
      </w:r>
      <w:r w:rsidR="00823187">
        <w:rPr>
          <w:rFonts w:ascii="Times New Roman" w:hAnsi="Times New Roman"/>
        </w:rPr>
        <w:t>led</w:t>
      </w:r>
      <w:r w:rsidR="00A60071">
        <w:rPr>
          <w:rFonts w:ascii="Times New Roman" w:hAnsi="Times New Roman"/>
        </w:rPr>
        <w:t xml:space="preserve"> to the use of a small sample size and non-scientific measures like determining attorney’s race based on photographs. </w:t>
      </w:r>
      <w:r w:rsidR="00347EF6">
        <w:rPr>
          <w:rFonts w:ascii="Times New Roman" w:hAnsi="Times New Roman"/>
        </w:rPr>
        <w:t xml:space="preserve"> </w:t>
      </w:r>
      <w:r w:rsidR="0087295F">
        <w:rPr>
          <w:rFonts w:ascii="Times New Roman" w:hAnsi="Times New Roman"/>
        </w:rPr>
        <w:t xml:space="preserve">The lack of a recent census also limited efforts in other federal agencies </w:t>
      </w:r>
      <w:r w:rsidR="00347EF6">
        <w:rPr>
          <w:rFonts w:ascii="Times New Roman" w:hAnsi="Times New Roman"/>
        </w:rPr>
        <w:t xml:space="preserve">to achieve national estimates. For example, in 2018, </w:t>
      </w:r>
      <w:r w:rsidR="00347EF6">
        <w:rPr>
          <w:rFonts w:ascii="Times New Roman" w:hAnsi="Times New Roman"/>
          <w:szCs w:val="20"/>
        </w:rPr>
        <w:t xml:space="preserve">BJA funded the </w:t>
      </w:r>
      <w:r w:rsidRPr="00B238A6" w:rsidR="00347EF6">
        <w:rPr>
          <w:rFonts w:ascii="Times New Roman" w:hAnsi="Times New Roman"/>
          <w:szCs w:val="20"/>
        </w:rPr>
        <w:t>National Prosecutor Consortium project</w:t>
      </w:r>
      <w:r w:rsidR="00347EF6">
        <w:rPr>
          <w:rFonts w:ascii="Times New Roman" w:hAnsi="Times New Roman"/>
          <w:szCs w:val="20"/>
        </w:rPr>
        <w:t>. Although this project was branded as a national effort, it only collected data from 527 offices</w:t>
      </w:r>
      <w:r w:rsidR="00063468">
        <w:rPr>
          <w:rFonts w:ascii="Times New Roman" w:hAnsi="Times New Roman"/>
          <w:szCs w:val="20"/>
        </w:rPr>
        <w:t>.</w:t>
      </w:r>
      <w:r>
        <w:rPr>
          <w:rStyle w:val="FootnoteReference"/>
          <w:rFonts w:ascii="Times New Roman" w:hAnsi="Times New Roman"/>
          <w:szCs w:val="20"/>
        </w:rPr>
        <w:footnoteReference w:id="14"/>
      </w:r>
      <w:r w:rsidR="00347EF6">
        <w:rPr>
          <w:rFonts w:ascii="Times New Roman" w:hAnsi="Times New Roman"/>
          <w:szCs w:val="20"/>
        </w:rPr>
        <w:t xml:space="preserve">  </w:t>
      </w:r>
      <w:r w:rsidR="00A60071">
        <w:rPr>
          <w:rFonts w:ascii="Times New Roman" w:hAnsi="Times New Roman"/>
          <w:szCs w:val="20"/>
        </w:rPr>
        <w:t xml:space="preserve">An updated frame through CPO could have assisted in identifying more prosecutor offices </w:t>
      </w:r>
      <w:r w:rsidR="006F11ED">
        <w:rPr>
          <w:rFonts w:ascii="Times New Roman" w:hAnsi="Times New Roman"/>
          <w:szCs w:val="20"/>
        </w:rPr>
        <w:t>for a larger sample.</w:t>
      </w:r>
      <w:r w:rsidR="00A60071">
        <w:rPr>
          <w:rFonts w:ascii="Times New Roman" w:hAnsi="Times New Roman"/>
          <w:szCs w:val="20"/>
        </w:rPr>
        <w:t xml:space="preserve">  </w:t>
      </w:r>
    </w:p>
    <w:p w:rsidR="00690F56" w:rsidRPr="0012107F"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144BC160" w14:textId="672071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2107F">
        <w:rPr>
          <w:rFonts w:ascii="Times New Roman" w:hAnsi="Times New Roman"/>
          <w:b/>
          <w:bCs/>
        </w:rPr>
        <w:t>7</w:t>
      </w:r>
      <w:r w:rsidRPr="0012107F">
        <w:rPr>
          <w:rFonts w:ascii="Times New Roman" w:hAnsi="Times New Roman"/>
          <w:b/>
          <w:bCs/>
        </w:rPr>
        <w:t>.  Explain</w:t>
      </w:r>
      <w:r w:rsidRPr="0012107F">
        <w:rPr>
          <w:rFonts w:ascii="Times New Roman" w:hAnsi="Times New Roman"/>
          <w:b/>
          <w:bCs/>
        </w:rPr>
        <w:t xml:space="preserve"> any special circumstances that would cause an information collection to be conducted in a manner:</w:t>
      </w:r>
    </w:p>
    <w:p w:rsidR="00690F56" w:rsidRPr="003C3E6C" w:rsidP="003C3E6C" w14:paraId="589F4DAA" w14:textId="18277C1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equiring respondents to report information to the agency more often than quarterly;</w:t>
      </w:r>
    </w:p>
    <w:p w:rsidR="00690F56" w:rsidRPr="003C3E6C" w:rsidP="003C3E6C" w14:paraId="4C5CBA9B" w14:textId="5FDDB0B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equiring respondents to prepare a written response to a collection of information in fewer than 30 days after receipt of it;</w:t>
      </w:r>
    </w:p>
    <w:p w:rsidR="00690F56" w:rsidRPr="003C3E6C" w:rsidP="003C3E6C" w14:paraId="04E0B37A" w14:textId="60622C1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equiring respondents to submit more than an original and two copies of any document;</w:t>
      </w:r>
    </w:p>
    <w:p w:rsidR="00690F56" w:rsidRPr="003C3E6C" w:rsidP="003C3E6C" w14:paraId="54A3D962" w14:textId="1D364A7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equiring respondents to retain records, other than health, medical, government contract, grant-in-aid, or tax records for more than three years;</w:t>
      </w:r>
    </w:p>
    <w:p w:rsidR="00690F56" w:rsidRPr="003C3E6C" w:rsidP="003C3E6C" w14:paraId="5F3D507A" w14:textId="60C91A9D">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i</w:t>
      </w:r>
      <w:r w:rsidRPr="0012107F">
        <w:rPr>
          <w:b/>
          <w:bCs/>
        </w:rPr>
        <w:t>n connection with a statistical survey</w:t>
      </w:r>
      <w:r w:rsidRPr="0012107F">
        <w:rPr>
          <w:b/>
          <w:bCs/>
        </w:rPr>
        <w:t>,</w:t>
      </w:r>
      <w:r w:rsidRPr="0012107F">
        <w:rPr>
          <w:b/>
          <w:bCs/>
        </w:rPr>
        <w:t xml:space="preserve"> that is not designed to produce valid and reliable results that can be generalized to the universe of study;</w:t>
      </w:r>
    </w:p>
    <w:p w:rsidR="00690F56" w:rsidRPr="00F72595" w:rsidP="003C3E6C" w14:paraId="52933EAF" w14:textId="179D3EE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equiring the use of statistical data classification that has not been reviewed and approved by OMB;</w:t>
      </w:r>
    </w:p>
    <w:p w:rsidR="00690F56" w:rsidRPr="003C3E6C" w:rsidP="003C3E6C" w14:paraId="109C5387" w14:textId="5EB64A82">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t</w:t>
      </w:r>
      <w:r w:rsidRPr="0012107F">
        <w:rPr>
          <w:b/>
          <w:bCs/>
        </w:rPr>
        <w:t xml:space="preserve">hat includes a pledge of </w:t>
      </w:r>
      <w:r w:rsidRPr="0012107F">
        <w:rPr>
          <w:b/>
          <w:bCs/>
        </w:rPr>
        <w:t>confidentially</w:t>
      </w:r>
      <w:r w:rsidRPr="0012107F">
        <w:rPr>
          <w:b/>
          <w:bCs/>
        </w:rPr>
        <w:t xml:space="preserve"> that is not supported by authority established in statu</w:t>
      </w:r>
      <w:r w:rsidRPr="0012107F" w:rsidR="00CD215D">
        <w:rPr>
          <w:b/>
          <w:bCs/>
        </w:rPr>
        <w:t>t</w:t>
      </w:r>
      <w:r w:rsidRPr="0012107F">
        <w:rPr>
          <w:b/>
          <w:bCs/>
        </w:rPr>
        <w:t>e or regulation</w:t>
      </w:r>
      <w:r w:rsidRPr="0012107F">
        <w:rPr>
          <w:b/>
          <w:bCs/>
        </w:rPr>
        <w:t>,</w:t>
      </w:r>
      <w:r w:rsidRPr="0012107F">
        <w:rPr>
          <w:b/>
          <w:bCs/>
        </w:rPr>
        <w:t xml:space="preserve"> that is not supported by disclosure and data security policies that are consistent with the pledge, or which unnecessarily impedes sharing of data with other agencies for compatible confidential use; or</w:t>
      </w:r>
    </w:p>
    <w:p w:rsidR="00690F56" w:rsidRPr="00166F4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2107F">
        <w:rPr>
          <w:b/>
          <w:bCs/>
        </w:rPr>
        <w:t>r</w:t>
      </w:r>
      <w:r w:rsidRPr="0012107F">
        <w:rPr>
          <w:b/>
          <w:bCs/>
        </w:rPr>
        <w:t>equiring</w:t>
      </w:r>
      <w:r w:rsidRPr="0012107F">
        <w:rPr>
          <w:b/>
          <w:bCs/>
        </w:rPr>
        <w:t xml:space="preserve"> respondents to submit proprietary trade </w:t>
      </w:r>
      <w:r w:rsidRPr="0012107F">
        <w:rPr>
          <w:b/>
          <w:bCs/>
        </w:rPr>
        <w:t>secret</w:t>
      </w:r>
      <w:r w:rsidRPr="0012107F">
        <w:rPr>
          <w:b/>
          <w:bCs/>
        </w:rPr>
        <w:t xml:space="preserve">, or other confidential information unless the agency can </w:t>
      </w:r>
      <w:r w:rsidRPr="0012107F">
        <w:rPr>
          <w:b/>
          <w:bCs/>
        </w:rPr>
        <w:t>demonstrate</w:t>
      </w:r>
      <w:r w:rsidRPr="0012107F">
        <w:rPr>
          <w:b/>
          <w:bCs/>
        </w:rPr>
        <w:t xml:space="preserve"> that it has instituted procedures to protect the information's confidentially to the extent permitted by law.</w:t>
      </w:r>
    </w:p>
    <w:p w:rsidR="00166F4B" w:rsidRPr="0012107F" w:rsidP="00166F4B" w14:paraId="3387F57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87246B" w:rsidRPr="002676B8" w:rsidP="0087246B" w14:paraId="24BBCE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93F2D" w:rsidP="00423E3A" w14:paraId="75A95BC3" w14:textId="0782D9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other</w:t>
      </w:r>
      <w:r w:rsidR="00166F4B">
        <w:rPr>
          <w:rFonts w:ascii="Times New Roman" w:hAnsi="Times New Roman"/>
        </w:rPr>
        <w:t xml:space="preserve"> special </w:t>
      </w:r>
      <w:r>
        <w:rPr>
          <w:rFonts w:ascii="Times New Roman" w:hAnsi="Times New Roman"/>
        </w:rPr>
        <w:t>circumstances in conducting this information collection. The CPO collection is consistent with the guidelines in 5 CFR 1320.5.</w:t>
      </w:r>
      <w:r w:rsidR="00166F4B">
        <w:rPr>
          <w:rFonts w:ascii="Times New Roman" w:hAnsi="Times New Roman"/>
        </w:rPr>
        <w:t xml:space="preserve"> </w:t>
      </w:r>
    </w:p>
    <w:p w:rsidR="00690F56" w:rsidRPr="0012107F"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1E3B8C08" w14:textId="5F158F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 xml:space="preserve"> 8</w:t>
      </w:r>
      <w:r w:rsidRPr="0012107F">
        <w:rPr>
          <w:rFonts w:ascii="Times New Roman" w:hAnsi="Times New Roman"/>
          <w:b/>
          <w:bCs/>
        </w:rPr>
        <w:t>.  If</w:t>
      </w:r>
      <w:r w:rsidRPr="0012107F">
        <w:rPr>
          <w:rFonts w:ascii="Times New Roman" w:hAnsi="Times New Roman"/>
          <w:b/>
          <w:bCs/>
        </w:rPr>
        <w:t xml:space="preserve"> applicable, provide a copy and identify the date and page number of </w:t>
      </w:r>
      <w:r w:rsidRPr="0012107F">
        <w:rPr>
          <w:rFonts w:ascii="Times New Roman" w:hAnsi="Times New Roman"/>
          <w:b/>
          <w:bCs/>
        </w:rPr>
        <w:t>publication</w:t>
      </w:r>
      <w:r w:rsidRPr="0012107F">
        <w:rPr>
          <w:rFonts w:ascii="Times New Roman" w:hAnsi="Times New Roman"/>
          <w:b/>
          <w:bCs/>
        </w:rPr>
        <w:t xml:space="preserve"> in the </w:t>
      </w:r>
      <w:r w:rsidRPr="0012107F">
        <w:rPr>
          <w:rStyle w:val="Heading2Char"/>
          <w:rFonts w:ascii="Times New Roman" w:hAnsi="Times New Roman" w:cs="Times New Roman"/>
          <w:bCs w:val="0"/>
          <w:sz w:val="24"/>
          <w:szCs w:val="24"/>
        </w:rPr>
        <w:t>Federal Register</w:t>
      </w:r>
      <w:r w:rsidRPr="0012107F">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12107F"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Describe efforts to consult with </w:t>
      </w:r>
      <w:r w:rsidRPr="0012107F">
        <w:rPr>
          <w:rFonts w:ascii="Times New Roman" w:hAnsi="Times New Roman"/>
          <w:b/>
          <w:bCs/>
        </w:rPr>
        <w:t>persons</w:t>
      </w:r>
      <w:r w:rsidRPr="0012107F">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F6A59" w:rsidRPr="008422E6" w:rsidP="00534E8F" w14:paraId="4D458FE1" w14:textId="1E269756">
      <w:pPr>
        <w:rPr>
          <w:rFonts w:ascii="Times New Roman" w:hAnsi="Times New Roman"/>
        </w:rPr>
      </w:pPr>
      <w:r w:rsidRPr="008422E6">
        <w:rPr>
          <w:rFonts w:ascii="Times New Roman" w:hAnsi="Times New Roman"/>
        </w:rPr>
        <w:t>The research under this clearance is consistent with the guidelines in 5 CFR 1320.8(d). The 60-day notice was published in the Federal Register</w:t>
      </w:r>
      <w:bookmarkStart w:id="5" w:name="_Hlk178866382"/>
      <w:r w:rsidRPr="008422E6" w:rsidR="0092628E">
        <w:rPr>
          <w:rFonts w:ascii="Times New Roman" w:hAnsi="Times New Roman"/>
        </w:rPr>
        <w:t xml:space="preserve">, Volume </w:t>
      </w:r>
      <w:r w:rsidRPr="008422E6" w:rsidR="00A35CD3">
        <w:rPr>
          <w:rFonts w:ascii="Times New Roman" w:hAnsi="Times New Roman"/>
        </w:rPr>
        <w:t>91</w:t>
      </w:r>
      <w:r w:rsidRPr="008422E6" w:rsidR="0092628E">
        <w:rPr>
          <w:rFonts w:ascii="Times New Roman" w:hAnsi="Times New Roman"/>
        </w:rPr>
        <w:t xml:space="preserve">, Number </w:t>
      </w:r>
      <w:r w:rsidRPr="008422E6" w:rsidR="00A35CD3">
        <w:rPr>
          <w:rFonts w:ascii="Times New Roman" w:hAnsi="Times New Roman"/>
        </w:rPr>
        <w:t>60</w:t>
      </w:r>
      <w:r w:rsidRPr="008422E6" w:rsidR="0092628E">
        <w:rPr>
          <w:rFonts w:ascii="Times New Roman" w:hAnsi="Times New Roman"/>
        </w:rPr>
        <w:t xml:space="preserve">, pages </w:t>
      </w:r>
      <w:r w:rsidRPr="008422E6" w:rsidR="00A35CD3">
        <w:rPr>
          <w:rFonts w:ascii="Times New Roman" w:hAnsi="Times New Roman"/>
        </w:rPr>
        <w:t xml:space="preserve">15638-15639 </w:t>
      </w:r>
      <w:r w:rsidRPr="008422E6" w:rsidR="0092628E">
        <w:rPr>
          <w:rFonts w:ascii="Times New Roman" w:hAnsi="Times New Roman"/>
        </w:rPr>
        <w:t xml:space="preserve">on </w:t>
      </w:r>
      <w:r w:rsidRPr="008422E6" w:rsidR="00F46FE1">
        <w:rPr>
          <w:rFonts w:ascii="Times New Roman" w:hAnsi="Times New Roman"/>
        </w:rPr>
        <w:t xml:space="preserve">March </w:t>
      </w:r>
      <w:r w:rsidRPr="008422E6" w:rsidR="00A35CD3">
        <w:rPr>
          <w:rFonts w:ascii="Times New Roman" w:hAnsi="Times New Roman"/>
        </w:rPr>
        <w:t>30</w:t>
      </w:r>
      <w:r w:rsidRPr="008422E6" w:rsidR="00F46FE1">
        <w:rPr>
          <w:rFonts w:ascii="Times New Roman" w:hAnsi="Times New Roman"/>
        </w:rPr>
        <w:t>,</w:t>
      </w:r>
      <w:r w:rsidRPr="008422E6" w:rsidR="0092628E">
        <w:rPr>
          <w:rFonts w:ascii="Times New Roman" w:hAnsi="Times New Roman"/>
        </w:rPr>
        <w:t xml:space="preserve"> 202</w:t>
      </w:r>
      <w:r w:rsidRPr="008422E6" w:rsidR="00F46FE1">
        <w:rPr>
          <w:rFonts w:ascii="Times New Roman" w:hAnsi="Times New Roman"/>
        </w:rPr>
        <w:t>6</w:t>
      </w:r>
      <w:r w:rsidRPr="008422E6" w:rsidR="0092628E">
        <w:rPr>
          <w:rFonts w:ascii="Times New Roman" w:hAnsi="Times New Roman"/>
        </w:rPr>
        <w:t xml:space="preserve">. The comment period </w:t>
      </w:r>
      <w:r w:rsidRPr="008422E6" w:rsidR="003665B1">
        <w:rPr>
          <w:rFonts w:ascii="Times New Roman" w:hAnsi="Times New Roman"/>
        </w:rPr>
        <w:t>ended</w:t>
      </w:r>
      <w:r w:rsidRPr="008422E6" w:rsidR="0092628E">
        <w:rPr>
          <w:rFonts w:ascii="Times New Roman" w:hAnsi="Times New Roman"/>
        </w:rPr>
        <w:t xml:space="preserve"> on </w:t>
      </w:r>
      <w:r w:rsidR="00E71B24">
        <w:rPr>
          <w:rFonts w:ascii="Times New Roman" w:hAnsi="Times New Roman"/>
        </w:rPr>
        <w:t>May</w:t>
      </w:r>
      <w:r w:rsidRPr="008422E6" w:rsidR="0092628E">
        <w:rPr>
          <w:rFonts w:ascii="Times New Roman" w:hAnsi="Times New Roman"/>
        </w:rPr>
        <w:t xml:space="preserve"> </w:t>
      </w:r>
      <w:r w:rsidRPr="008422E6" w:rsidR="00A35CD3">
        <w:rPr>
          <w:rFonts w:ascii="Times New Roman" w:hAnsi="Times New Roman"/>
        </w:rPr>
        <w:t>29</w:t>
      </w:r>
      <w:r w:rsidRPr="008422E6" w:rsidR="0092628E">
        <w:rPr>
          <w:rFonts w:ascii="Times New Roman" w:hAnsi="Times New Roman"/>
        </w:rPr>
        <w:t>, 202</w:t>
      </w:r>
      <w:r w:rsidRPr="008422E6" w:rsidR="00F46FE1">
        <w:rPr>
          <w:rFonts w:ascii="Times New Roman" w:hAnsi="Times New Roman"/>
        </w:rPr>
        <w:t>6</w:t>
      </w:r>
      <w:r w:rsidRPr="008422E6">
        <w:rPr>
          <w:rFonts w:ascii="Times New Roman" w:hAnsi="Times New Roman"/>
        </w:rPr>
        <w:t>.</w:t>
      </w:r>
      <w:bookmarkEnd w:id="5"/>
      <w:r w:rsidRPr="008422E6" w:rsidR="00534E8F">
        <w:rPr>
          <w:rFonts w:ascii="Times New Roman" w:hAnsi="Times New Roman"/>
        </w:rPr>
        <w:t xml:space="preserve"> </w:t>
      </w:r>
      <w:r w:rsidRPr="008422E6" w:rsidR="001D6A9D">
        <w:rPr>
          <w:rFonts w:ascii="Times New Roman" w:hAnsi="Times New Roman"/>
        </w:rPr>
        <w:t>BJS</w:t>
      </w:r>
      <w:r w:rsidRPr="008422E6" w:rsidR="00DB1BA1">
        <w:rPr>
          <w:rFonts w:ascii="Times New Roman" w:hAnsi="Times New Roman"/>
        </w:rPr>
        <w:t xml:space="preserve"> did not receive any comments.</w:t>
      </w:r>
      <w:r w:rsidRPr="008422E6" w:rsidR="001D6A9D">
        <w:rPr>
          <w:rFonts w:ascii="Times New Roman" w:hAnsi="Times New Roman"/>
        </w:rPr>
        <w:t xml:space="preserve"> </w:t>
      </w:r>
      <w:r w:rsidR="00DB42BB">
        <w:rPr>
          <w:rFonts w:ascii="Times New Roman" w:hAnsi="Times New Roman"/>
        </w:rPr>
        <w:t xml:space="preserve">The </w:t>
      </w:r>
      <w:r w:rsidRPr="00DB42BB" w:rsidR="00DB42BB">
        <w:rPr>
          <w:rFonts w:ascii="Times New Roman" w:hAnsi="Times New Roman"/>
        </w:rPr>
        <w:t>30-day notice was posted following the expiration of the 60-day</w:t>
      </w:r>
      <w:r w:rsidR="00DB42BB">
        <w:rPr>
          <w:rFonts w:ascii="Times New Roman" w:hAnsi="Times New Roman"/>
        </w:rPr>
        <w:t xml:space="preserve"> notice. </w:t>
      </w:r>
    </w:p>
    <w:p w:rsidR="008422E6" w:rsidP="00F46FE1" w14:paraId="2A0F91BC" w14:textId="77777777">
      <w:pPr>
        <w:rPr>
          <w:rFonts w:ascii="Times New Roman" w:hAnsi="Times New Roman"/>
          <w:highlight w:val="yellow"/>
        </w:rPr>
      </w:pPr>
    </w:p>
    <w:p w:rsidR="003E7642" w:rsidRPr="00EB22CF" w:rsidP="003E7642" w14:paraId="7CF909BA" w14:textId="542C1BC1">
      <w:pPr>
        <w:rPr>
          <w:rFonts w:ascii="Times New Roman" w:hAnsi="Times New Roman"/>
          <w:bCs/>
        </w:rPr>
      </w:pPr>
      <w:r w:rsidRPr="6CDA271E">
        <w:rPr>
          <w:rFonts w:ascii="Times New Roman" w:hAnsi="Times New Roman"/>
        </w:rPr>
        <w:t xml:space="preserve">The project team met with a subject matter expert panel virtually in August 2024 to discuss </w:t>
      </w:r>
      <w:r>
        <w:rPr>
          <w:rFonts w:ascii="Times New Roman" w:hAnsi="Times New Roman"/>
        </w:rPr>
        <w:t>the draft instrument and several changes were made to refine the instrument because of the panel’s feedback</w:t>
      </w:r>
      <w:r w:rsidRPr="000C67BA">
        <w:rPr>
          <w:rFonts w:ascii="Times New Roman" w:hAnsi="Times New Roman"/>
        </w:rPr>
        <w:t xml:space="preserve">. </w:t>
      </w:r>
      <w:r w:rsidRPr="00EB22CF">
        <w:rPr>
          <w:rFonts w:ascii="Times New Roman" w:hAnsi="Times New Roman"/>
          <w:bCs/>
        </w:rPr>
        <w:t xml:space="preserve">The panel included the following 19 individuals: </w:t>
      </w:r>
    </w:p>
    <w:p w:rsidR="003E7642" w:rsidRPr="00EB22CF" w:rsidP="003E7642" w14:paraId="78F71F60" w14:textId="77777777">
      <w:pPr>
        <w:rPr>
          <w:rFonts w:ascii="Times New Roman" w:hAnsi="Times New Roman"/>
          <w:bCs/>
        </w:rPr>
      </w:pPr>
      <w:r w:rsidRPr="00EB22CF">
        <w:rPr>
          <w:rFonts w:ascii="Times New Roman" w:hAnsi="Times New Roman"/>
          <w:bCs/>
        </w:rPr>
        <w:tab/>
      </w:r>
    </w:p>
    <w:tbl>
      <w:tblPr>
        <w:tblStyle w:val="TableGrid"/>
        <w:tblW w:w="0" w:type="auto"/>
        <w:tblLook w:val="04A0"/>
      </w:tblPr>
      <w:tblGrid>
        <w:gridCol w:w="4675"/>
        <w:gridCol w:w="4675"/>
      </w:tblGrid>
      <w:tr w14:paraId="4AE8BE9E" w14:textId="77777777" w:rsidTr="00415556">
        <w:tblPrEx>
          <w:tblW w:w="0" w:type="auto"/>
          <w:tblLook w:val="04A0"/>
        </w:tblPrEx>
        <w:tc>
          <w:tcPr>
            <w:tcW w:w="4675" w:type="dxa"/>
          </w:tcPr>
          <w:p w:rsidR="003E7642" w:rsidRPr="00EB22CF" w:rsidP="00415556" w14:paraId="3B7B9AFD" w14:textId="77777777">
            <w:pPr>
              <w:rPr>
                <w:rFonts w:ascii="Times New Roman" w:eastAsia="Times New Roman" w:hAnsi="Times New Roman" w:cs="Times New Roman"/>
                <w:b/>
              </w:rPr>
            </w:pPr>
            <w:r w:rsidRPr="00EB22CF">
              <w:rPr>
                <w:rFonts w:ascii="Times New Roman" w:eastAsia="Times New Roman" w:hAnsi="Times New Roman" w:cs="Times New Roman"/>
                <w:b/>
              </w:rPr>
              <w:t>Jean Peters Baker</w:t>
            </w:r>
          </w:p>
          <w:p w:rsidR="003E7642" w:rsidP="00415556" w14:paraId="0FF5B228" w14:textId="77777777">
            <w:pPr>
              <w:rPr>
                <w:rFonts w:ascii="Times New Roman" w:eastAsia="Times New Roman" w:hAnsi="Times New Roman" w:cs="Times New Roman"/>
                <w:b/>
              </w:rPr>
            </w:pPr>
            <w:r w:rsidRPr="00EB22CF">
              <w:rPr>
                <w:rFonts w:ascii="Times New Roman" w:eastAsia="Times New Roman" w:hAnsi="Times New Roman" w:cs="Times New Roman"/>
                <w:bCs/>
              </w:rPr>
              <w:t>Prosecuting Attorney, Jackson County, MO</w:t>
            </w:r>
          </w:p>
        </w:tc>
        <w:tc>
          <w:tcPr>
            <w:tcW w:w="4675" w:type="dxa"/>
          </w:tcPr>
          <w:p w:rsidR="003E7642" w:rsidRPr="00EB22CF" w:rsidP="00415556" w14:paraId="5FC05EA1" w14:textId="77777777">
            <w:pPr>
              <w:rPr>
                <w:rFonts w:ascii="Times New Roman" w:eastAsia="Times New Roman" w:hAnsi="Times New Roman" w:cs="Times New Roman"/>
                <w:b/>
              </w:rPr>
            </w:pPr>
            <w:r w:rsidRPr="00EB22CF">
              <w:rPr>
                <w:rFonts w:ascii="Times New Roman" w:eastAsia="Times New Roman" w:hAnsi="Times New Roman" w:cs="Times New Roman"/>
                <w:b/>
              </w:rPr>
              <w:t>Matt Jennings</w:t>
            </w:r>
          </w:p>
          <w:p w:rsidR="003E7642" w:rsidP="00415556" w14:paraId="71FB25DF" w14:textId="77777777">
            <w:pPr>
              <w:rPr>
                <w:rFonts w:ascii="Times New Roman" w:eastAsia="Times New Roman" w:hAnsi="Times New Roman" w:cs="Times New Roman"/>
                <w:b/>
              </w:rPr>
            </w:pPr>
            <w:r w:rsidRPr="00EB22CF">
              <w:rPr>
                <w:rFonts w:ascii="Times New Roman" w:eastAsia="Times New Roman" w:hAnsi="Times New Roman" w:cs="Times New Roman"/>
                <w:bCs/>
              </w:rPr>
              <w:t>County Attorney, Missoula County, MT</w:t>
            </w:r>
          </w:p>
        </w:tc>
      </w:tr>
      <w:tr w14:paraId="2740FBE1" w14:textId="77777777" w:rsidTr="00415556">
        <w:tblPrEx>
          <w:tblW w:w="0" w:type="auto"/>
          <w:tblLook w:val="04A0"/>
        </w:tblPrEx>
        <w:tc>
          <w:tcPr>
            <w:tcW w:w="4675" w:type="dxa"/>
          </w:tcPr>
          <w:p w:rsidR="003E7642" w:rsidRPr="00EB22CF" w:rsidP="00415556" w14:paraId="5DE58EBC" w14:textId="77777777">
            <w:pPr>
              <w:rPr>
                <w:rFonts w:ascii="Times New Roman" w:eastAsia="Times New Roman" w:hAnsi="Times New Roman" w:cs="Times New Roman"/>
                <w:b/>
              </w:rPr>
            </w:pPr>
            <w:r w:rsidRPr="00EB22CF">
              <w:rPr>
                <w:rFonts w:ascii="Times New Roman" w:eastAsia="Times New Roman" w:hAnsi="Times New Roman" w:cs="Times New Roman"/>
                <w:b/>
              </w:rPr>
              <w:t>Kriste Burnett</w:t>
            </w:r>
          </w:p>
          <w:p w:rsidR="003E7642" w:rsidP="00415556" w14:paraId="4AA1AC3F"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Palo Pinto County, TX</w:t>
            </w:r>
          </w:p>
        </w:tc>
        <w:tc>
          <w:tcPr>
            <w:tcW w:w="4675" w:type="dxa"/>
          </w:tcPr>
          <w:p w:rsidR="003E7642" w:rsidRPr="00EB22CF" w:rsidP="00415556" w14:paraId="3759C095" w14:textId="77777777">
            <w:pPr>
              <w:rPr>
                <w:rFonts w:ascii="Times New Roman" w:eastAsia="Times New Roman" w:hAnsi="Times New Roman" w:cs="Times New Roman"/>
                <w:b/>
              </w:rPr>
            </w:pPr>
            <w:r w:rsidRPr="00EB22CF">
              <w:rPr>
                <w:rFonts w:ascii="Times New Roman" w:eastAsia="Times New Roman" w:hAnsi="Times New Roman" w:cs="Times New Roman"/>
                <w:b/>
              </w:rPr>
              <w:t>Leesa Manion</w:t>
            </w:r>
          </w:p>
          <w:p w:rsidR="003E7642" w:rsidP="00415556" w14:paraId="093DE9DA" w14:textId="77777777">
            <w:pPr>
              <w:rPr>
                <w:rFonts w:ascii="Times New Roman" w:eastAsia="Times New Roman" w:hAnsi="Times New Roman" w:cs="Times New Roman"/>
                <w:b/>
              </w:rPr>
            </w:pPr>
            <w:r w:rsidRPr="00EB22CF">
              <w:rPr>
                <w:rFonts w:ascii="Times New Roman" w:eastAsia="Times New Roman" w:hAnsi="Times New Roman" w:cs="Times New Roman"/>
                <w:bCs/>
              </w:rPr>
              <w:t>Prosecuting Attorney, King County, WA</w:t>
            </w:r>
          </w:p>
        </w:tc>
      </w:tr>
      <w:tr w14:paraId="3810D523" w14:textId="77777777" w:rsidTr="00415556">
        <w:tblPrEx>
          <w:tblW w:w="0" w:type="auto"/>
          <w:tblLook w:val="04A0"/>
        </w:tblPrEx>
        <w:tc>
          <w:tcPr>
            <w:tcW w:w="4675" w:type="dxa"/>
          </w:tcPr>
          <w:p w:rsidR="003E7642" w:rsidRPr="00EB22CF" w:rsidP="00415556" w14:paraId="030BBC9C" w14:textId="77777777">
            <w:pPr>
              <w:rPr>
                <w:rFonts w:ascii="Times New Roman" w:eastAsia="Times New Roman" w:hAnsi="Times New Roman" w:cs="Times New Roman"/>
                <w:b/>
              </w:rPr>
            </w:pPr>
            <w:r w:rsidRPr="00EB22CF">
              <w:rPr>
                <w:rFonts w:ascii="Times New Roman" w:eastAsia="Times New Roman" w:hAnsi="Times New Roman" w:cs="Times New Roman"/>
                <w:b/>
              </w:rPr>
              <w:t>John Choi</w:t>
            </w:r>
          </w:p>
          <w:p w:rsidR="003E7642" w:rsidP="00415556" w14:paraId="744F664A" w14:textId="77777777">
            <w:pPr>
              <w:rPr>
                <w:rFonts w:ascii="Times New Roman" w:eastAsia="Times New Roman" w:hAnsi="Times New Roman" w:cs="Times New Roman"/>
                <w:b/>
              </w:rPr>
            </w:pPr>
            <w:r w:rsidRPr="00EB22CF">
              <w:rPr>
                <w:rFonts w:ascii="Times New Roman" w:eastAsia="Times New Roman" w:hAnsi="Times New Roman" w:cs="Times New Roman"/>
                <w:bCs/>
              </w:rPr>
              <w:t>County Attorney, Ramsey County, MN</w:t>
            </w:r>
          </w:p>
        </w:tc>
        <w:tc>
          <w:tcPr>
            <w:tcW w:w="4675" w:type="dxa"/>
          </w:tcPr>
          <w:p w:rsidR="003E7642" w:rsidRPr="00EB22CF" w:rsidP="00415556" w14:paraId="251418E0" w14:textId="77777777">
            <w:pPr>
              <w:rPr>
                <w:rFonts w:ascii="Times New Roman" w:eastAsia="Times New Roman" w:hAnsi="Times New Roman" w:cs="Times New Roman"/>
                <w:b/>
              </w:rPr>
            </w:pPr>
            <w:r w:rsidRPr="00EB22CF">
              <w:rPr>
                <w:rFonts w:ascii="Times New Roman" w:eastAsia="Times New Roman" w:hAnsi="Times New Roman" w:cs="Times New Roman"/>
                <w:b/>
              </w:rPr>
              <w:t>George Marquez</w:t>
            </w:r>
          </w:p>
          <w:p w:rsidR="003E7642" w:rsidP="00415556" w14:paraId="0F0B1AD3"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Imperial County, CA</w:t>
            </w:r>
          </w:p>
        </w:tc>
      </w:tr>
      <w:tr w14:paraId="7707F72F" w14:textId="77777777" w:rsidTr="00415556">
        <w:tblPrEx>
          <w:tblW w:w="0" w:type="auto"/>
          <w:tblLook w:val="04A0"/>
        </w:tblPrEx>
        <w:tc>
          <w:tcPr>
            <w:tcW w:w="4675" w:type="dxa"/>
          </w:tcPr>
          <w:p w:rsidR="003E7642" w:rsidRPr="00EB22CF" w:rsidP="00415556" w14:paraId="78CD7A4D" w14:textId="77777777">
            <w:pPr>
              <w:rPr>
                <w:rFonts w:ascii="Times New Roman" w:eastAsia="Times New Roman" w:hAnsi="Times New Roman" w:cs="Times New Roman"/>
                <w:b/>
              </w:rPr>
            </w:pPr>
            <w:r w:rsidRPr="00EB22CF">
              <w:rPr>
                <w:rFonts w:ascii="Times New Roman" w:eastAsia="Times New Roman" w:hAnsi="Times New Roman" w:cs="Times New Roman"/>
                <w:b/>
              </w:rPr>
              <w:t>Mark Dupree</w:t>
            </w:r>
          </w:p>
          <w:p w:rsidR="003E7642" w:rsidP="00415556" w14:paraId="7DD9CCF6"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Wyandotte County, KS</w:t>
            </w:r>
          </w:p>
        </w:tc>
        <w:tc>
          <w:tcPr>
            <w:tcW w:w="4675" w:type="dxa"/>
          </w:tcPr>
          <w:p w:rsidR="003E7642" w:rsidRPr="00EB22CF" w:rsidP="00415556" w14:paraId="2798F646" w14:textId="77777777">
            <w:pPr>
              <w:rPr>
                <w:rFonts w:ascii="Times New Roman" w:eastAsia="Times New Roman" w:hAnsi="Times New Roman" w:cs="Times New Roman"/>
                <w:b/>
              </w:rPr>
            </w:pPr>
            <w:r w:rsidRPr="00EB22CF">
              <w:rPr>
                <w:rFonts w:ascii="Times New Roman" w:eastAsia="Times New Roman" w:hAnsi="Times New Roman" w:cs="Times New Roman"/>
                <w:b/>
              </w:rPr>
              <w:t>Lisa Page</w:t>
            </w:r>
          </w:p>
          <w:p w:rsidR="003E7642" w:rsidP="00415556" w14:paraId="322CAD7A" w14:textId="77777777">
            <w:pPr>
              <w:rPr>
                <w:rFonts w:ascii="Times New Roman" w:eastAsia="Times New Roman" w:hAnsi="Times New Roman" w:cs="Times New Roman"/>
                <w:b/>
              </w:rPr>
            </w:pPr>
            <w:r w:rsidRPr="00EB22CF">
              <w:rPr>
                <w:rFonts w:ascii="Times New Roman" w:eastAsia="Times New Roman" w:hAnsi="Times New Roman" w:cs="Times New Roman"/>
                <w:bCs/>
              </w:rPr>
              <w:t>Chief of Staff, Fourth Judicial Circuit, FL</w:t>
            </w:r>
          </w:p>
        </w:tc>
      </w:tr>
      <w:tr w14:paraId="11300C20" w14:textId="77777777" w:rsidTr="00415556">
        <w:tblPrEx>
          <w:tblW w:w="0" w:type="auto"/>
          <w:tblLook w:val="04A0"/>
        </w:tblPrEx>
        <w:tc>
          <w:tcPr>
            <w:tcW w:w="4675" w:type="dxa"/>
          </w:tcPr>
          <w:p w:rsidR="003E7642" w:rsidRPr="00EB22CF" w:rsidP="00415556" w14:paraId="07A2CC6D" w14:textId="77777777">
            <w:pPr>
              <w:rPr>
                <w:rFonts w:ascii="Times New Roman" w:eastAsia="Times New Roman" w:hAnsi="Times New Roman" w:cs="Times New Roman"/>
                <w:b/>
              </w:rPr>
            </w:pPr>
            <w:r w:rsidRPr="00EB22CF">
              <w:rPr>
                <w:rFonts w:ascii="Times New Roman" w:eastAsia="Times New Roman" w:hAnsi="Times New Roman" w:cs="Times New Roman"/>
                <w:b/>
              </w:rPr>
              <w:t>Reese Frederickson</w:t>
            </w:r>
          </w:p>
          <w:p w:rsidR="003E7642" w:rsidP="00415556" w14:paraId="0B8918F0" w14:textId="77777777">
            <w:pPr>
              <w:rPr>
                <w:rFonts w:ascii="Times New Roman" w:eastAsia="Times New Roman" w:hAnsi="Times New Roman" w:cs="Times New Roman"/>
                <w:b/>
              </w:rPr>
            </w:pPr>
            <w:r w:rsidRPr="00EB22CF">
              <w:rPr>
                <w:rFonts w:ascii="Times New Roman" w:eastAsia="Times New Roman" w:hAnsi="Times New Roman" w:cs="Times New Roman"/>
                <w:bCs/>
              </w:rPr>
              <w:t>County Attorney, Pine County, MN</w:t>
            </w:r>
          </w:p>
        </w:tc>
        <w:tc>
          <w:tcPr>
            <w:tcW w:w="4675" w:type="dxa"/>
          </w:tcPr>
          <w:p w:rsidR="003E7642" w:rsidRPr="00EB22CF" w:rsidP="00415556" w14:paraId="258E7087" w14:textId="77777777">
            <w:pPr>
              <w:rPr>
                <w:rFonts w:ascii="Times New Roman" w:eastAsia="Times New Roman" w:hAnsi="Times New Roman" w:cs="Times New Roman"/>
                <w:b/>
              </w:rPr>
            </w:pPr>
            <w:r w:rsidRPr="00EB22CF">
              <w:rPr>
                <w:rFonts w:ascii="Times New Roman" w:eastAsia="Times New Roman" w:hAnsi="Times New Roman" w:cs="Times New Roman"/>
                <w:b/>
              </w:rPr>
              <w:t>Dalia Racine</w:t>
            </w:r>
          </w:p>
          <w:p w:rsidR="003E7642" w:rsidP="00415556" w14:paraId="647FAD81"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Douglas County, GA</w:t>
            </w:r>
          </w:p>
        </w:tc>
      </w:tr>
      <w:tr w14:paraId="2C6791FF" w14:textId="77777777" w:rsidTr="00415556">
        <w:tblPrEx>
          <w:tblW w:w="0" w:type="auto"/>
          <w:tblLook w:val="04A0"/>
        </w:tblPrEx>
        <w:tc>
          <w:tcPr>
            <w:tcW w:w="4675" w:type="dxa"/>
          </w:tcPr>
          <w:p w:rsidR="003E7642" w:rsidRPr="00EB22CF" w:rsidP="00415556" w14:paraId="7B4DEE6E" w14:textId="77777777">
            <w:pPr>
              <w:rPr>
                <w:rFonts w:ascii="Times New Roman" w:eastAsia="Times New Roman" w:hAnsi="Times New Roman" w:cs="Times New Roman"/>
                <w:b/>
              </w:rPr>
            </w:pPr>
            <w:r w:rsidRPr="00EB22CF">
              <w:rPr>
                <w:rFonts w:ascii="Times New Roman" w:eastAsia="Times New Roman" w:hAnsi="Times New Roman" w:cs="Times New Roman"/>
                <w:b/>
              </w:rPr>
              <w:t>Jose Garza</w:t>
            </w:r>
          </w:p>
          <w:p w:rsidR="003E7642" w:rsidP="00415556" w14:paraId="77C0E4BF"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Travis County, TX</w:t>
            </w:r>
          </w:p>
        </w:tc>
        <w:tc>
          <w:tcPr>
            <w:tcW w:w="4675" w:type="dxa"/>
          </w:tcPr>
          <w:p w:rsidR="003E7642" w:rsidRPr="00EB22CF" w:rsidP="00415556" w14:paraId="3E147E14" w14:textId="77777777">
            <w:pPr>
              <w:rPr>
                <w:rFonts w:ascii="Times New Roman" w:eastAsia="Times New Roman" w:hAnsi="Times New Roman" w:cs="Times New Roman"/>
                <w:b/>
              </w:rPr>
            </w:pPr>
            <w:r w:rsidRPr="00EB22CF">
              <w:rPr>
                <w:rFonts w:ascii="Times New Roman" w:eastAsia="Times New Roman" w:hAnsi="Times New Roman" w:cs="Times New Roman"/>
                <w:b/>
              </w:rPr>
              <w:t>Jeff Reisig</w:t>
            </w:r>
          </w:p>
          <w:p w:rsidR="003E7642" w:rsidP="00415556" w14:paraId="3335A77F"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Yolo County, CA</w:t>
            </w:r>
          </w:p>
        </w:tc>
      </w:tr>
      <w:tr w14:paraId="4370932E" w14:textId="77777777" w:rsidTr="00415556">
        <w:tblPrEx>
          <w:tblW w:w="0" w:type="auto"/>
          <w:tblLook w:val="04A0"/>
        </w:tblPrEx>
        <w:tc>
          <w:tcPr>
            <w:tcW w:w="4675" w:type="dxa"/>
          </w:tcPr>
          <w:p w:rsidR="003E7642" w:rsidRPr="00EB22CF" w:rsidP="00415556" w14:paraId="1C58BBD4" w14:textId="77777777">
            <w:pPr>
              <w:rPr>
                <w:rFonts w:ascii="Times New Roman" w:eastAsia="Times New Roman" w:hAnsi="Times New Roman" w:cs="Times New Roman"/>
                <w:b/>
              </w:rPr>
            </w:pPr>
            <w:r w:rsidRPr="00EB22CF">
              <w:rPr>
                <w:rFonts w:ascii="Times New Roman" w:eastAsia="Times New Roman" w:hAnsi="Times New Roman" w:cs="Times New Roman"/>
                <w:b/>
              </w:rPr>
              <w:t>Sarah George</w:t>
            </w:r>
          </w:p>
          <w:p w:rsidR="003E7642" w:rsidRPr="00EB22CF" w:rsidP="00415556" w14:paraId="132A85D7" w14:textId="77777777">
            <w:pPr>
              <w:rPr>
                <w:rFonts w:ascii="Times New Roman" w:eastAsia="Times New Roman" w:hAnsi="Times New Roman" w:cs="Times New Roman"/>
                <w:b/>
              </w:rPr>
            </w:pPr>
            <w:r w:rsidRPr="00EB22CF">
              <w:rPr>
                <w:rFonts w:ascii="Times New Roman" w:eastAsia="Times New Roman" w:hAnsi="Times New Roman" w:cs="Times New Roman"/>
                <w:bCs/>
              </w:rPr>
              <w:t>State’s Attorney, Chittenden County, VT</w:t>
            </w:r>
          </w:p>
        </w:tc>
        <w:tc>
          <w:tcPr>
            <w:tcW w:w="4675" w:type="dxa"/>
          </w:tcPr>
          <w:p w:rsidR="003E7642" w:rsidRPr="00EB22CF" w:rsidP="00415556" w14:paraId="615D4A11" w14:textId="77777777">
            <w:pPr>
              <w:rPr>
                <w:rFonts w:ascii="Times New Roman" w:eastAsia="Times New Roman" w:hAnsi="Times New Roman" w:cs="Times New Roman"/>
                <w:b/>
              </w:rPr>
            </w:pPr>
            <w:r w:rsidRPr="00EB22CF">
              <w:rPr>
                <w:rFonts w:ascii="Times New Roman" w:eastAsia="Times New Roman" w:hAnsi="Times New Roman" w:cs="Times New Roman"/>
                <w:b/>
              </w:rPr>
              <w:t>Mike Schmidt</w:t>
            </w:r>
          </w:p>
          <w:p w:rsidR="003E7642" w:rsidP="00415556" w14:paraId="52EF5A85"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Multnomah County, OR</w:t>
            </w:r>
          </w:p>
        </w:tc>
      </w:tr>
      <w:tr w14:paraId="0ACDB6CA" w14:textId="77777777" w:rsidTr="00415556">
        <w:tblPrEx>
          <w:tblW w:w="0" w:type="auto"/>
          <w:tblLook w:val="04A0"/>
        </w:tblPrEx>
        <w:tc>
          <w:tcPr>
            <w:tcW w:w="4675" w:type="dxa"/>
          </w:tcPr>
          <w:p w:rsidR="003E7642" w:rsidRPr="00EB22CF" w:rsidP="00415556" w14:paraId="50CB3702" w14:textId="77777777">
            <w:pPr>
              <w:rPr>
                <w:rFonts w:ascii="Times New Roman" w:eastAsia="Times New Roman" w:hAnsi="Times New Roman" w:cs="Times New Roman"/>
                <w:b/>
              </w:rPr>
            </w:pPr>
            <w:r w:rsidRPr="00EB22CF">
              <w:rPr>
                <w:rFonts w:ascii="Times New Roman" w:eastAsia="Times New Roman" w:hAnsi="Times New Roman" w:cs="Times New Roman"/>
                <w:b/>
              </w:rPr>
              <w:t>James Gibbons-Shapiro</w:t>
            </w:r>
          </w:p>
          <w:p w:rsidR="003E7642" w:rsidRPr="00EB22CF" w:rsidP="00415556" w14:paraId="1F0A25C4" w14:textId="77777777">
            <w:pPr>
              <w:rPr>
                <w:rFonts w:ascii="Times New Roman" w:eastAsia="Times New Roman" w:hAnsi="Times New Roman" w:cs="Times New Roman"/>
                <w:b/>
              </w:rPr>
            </w:pPr>
            <w:r w:rsidRPr="00EB22CF">
              <w:rPr>
                <w:rFonts w:ascii="Times New Roman" w:eastAsia="Times New Roman" w:hAnsi="Times New Roman" w:cs="Times New Roman"/>
                <w:bCs/>
              </w:rPr>
              <w:t>Assistant District Attorney, Santa Clara County, CA</w:t>
            </w:r>
          </w:p>
        </w:tc>
        <w:tc>
          <w:tcPr>
            <w:tcW w:w="4675" w:type="dxa"/>
          </w:tcPr>
          <w:p w:rsidR="003E7642" w:rsidRPr="00EB22CF" w:rsidP="00415556" w14:paraId="6357821B" w14:textId="77777777">
            <w:pPr>
              <w:rPr>
                <w:rFonts w:ascii="Times New Roman" w:eastAsia="Times New Roman" w:hAnsi="Times New Roman" w:cs="Times New Roman"/>
                <w:b/>
              </w:rPr>
            </w:pPr>
            <w:r w:rsidRPr="00EB22CF">
              <w:rPr>
                <w:rFonts w:ascii="Times New Roman" w:eastAsia="Times New Roman" w:hAnsi="Times New Roman" w:cs="Times New Roman"/>
                <w:b/>
              </w:rPr>
              <w:t>Eric Sparr</w:t>
            </w:r>
          </w:p>
          <w:p w:rsidR="003E7642" w:rsidP="00415556" w14:paraId="2F271E9A"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Winnebago County, WI</w:t>
            </w:r>
          </w:p>
        </w:tc>
      </w:tr>
      <w:tr w14:paraId="0E77944D" w14:textId="77777777" w:rsidTr="00415556">
        <w:tblPrEx>
          <w:tblW w:w="0" w:type="auto"/>
          <w:tblLook w:val="04A0"/>
        </w:tblPrEx>
        <w:tc>
          <w:tcPr>
            <w:tcW w:w="4675" w:type="dxa"/>
          </w:tcPr>
          <w:p w:rsidR="003E7642" w:rsidRPr="00EB22CF" w:rsidP="00415556" w14:paraId="10EA29BE" w14:textId="77777777">
            <w:pPr>
              <w:rPr>
                <w:rFonts w:ascii="Times New Roman" w:eastAsia="Times New Roman" w:hAnsi="Times New Roman" w:cs="Times New Roman"/>
                <w:b/>
              </w:rPr>
            </w:pPr>
            <w:r w:rsidRPr="00EB22CF">
              <w:rPr>
                <w:rFonts w:ascii="Times New Roman" w:eastAsia="Times New Roman" w:hAnsi="Times New Roman" w:cs="Times New Roman"/>
                <w:b/>
              </w:rPr>
              <w:t>Baird Green</w:t>
            </w:r>
          </w:p>
          <w:p w:rsidR="003E7642" w:rsidRPr="00EB22CF" w:rsidP="00415556" w14:paraId="02502702" w14:textId="77777777">
            <w:pPr>
              <w:rPr>
                <w:rFonts w:ascii="Times New Roman" w:eastAsia="Times New Roman" w:hAnsi="Times New Roman" w:cs="Times New Roman"/>
                <w:b/>
              </w:rPr>
            </w:pPr>
            <w:r w:rsidRPr="00EB22CF">
              <w:rPr>
                <w:rFonts w:ascii="Times New Roman" w:eastAsia="Times New Roman" w:hAnsi="Times New Roman" w:cs="Times New Roman"/>
                <w:bCs/>
              </w:rPr>
              <w:t>Chief Deputy County Attorney, Pima County, AZ</w:t>
            </w:r>
          </w:p>
        </w:tc>
        <w:tc>
          <w:tcPr>
            <w:tcW w:w="4675" w:type="dxa"/>
          </w:tcPr>
          <w:p w:rsidR="003E7642" w:rsidRPr="00EB22CF" w:rsidP="00415556" w14:paraId="57F5280E" w14:textId="77777777">
            <w:pPr>
              <w:rPr>
                <w:rFonts w:ascii="Times New Roman" w:eastAsia="Times New Roman" w:hAnsi="Times New Roman" w:cs="Times New Roman"/>
                <w:b/>
              </w:rPr>
            </w:pPr>
            <w:r w:rsidRPr="00EB22CF">
              <w:rPr>
                <w:rFonts w:ascii="Times New Roman" w:eastAsia="Times New Roman" w:hAnsi="Times New Roman" w:cs="Times New Roman"/>
                <w:b/>
              </w:rPr>
              <w:t>David Sullivan</w:t>
            </w:r>
          </w:p>
          <w:p w:rsidR="003E7642" w:rsidP="00415556" w14:paraId="730E80FE" w14:textId="77777777">
            <w:pPr>
              <w:rPr>
                <w:rFonts w:ascii="Times New Roman" w:eastAsia="Times New Roman" w:hAnsi="Times New Roman" w:cs="Times New Roman"/>
                <w:b/>
              </w:rPr>
            </w:pPr>
            <w:r w:rsidRPr="00EB22CF">
              <w:rPr>
                <w:rFonts w:ascii="Times New Roman" w:eastAsia="Times New Roman" w:hAnsi="Times New Roman" w:cs="Times New Roman"/>
                <w:bCs/>
              </w:rPr>
              <w:t>District Attorney, Northwestern, MA</w:t>
            </w:r>
          </w:p>
        </w:tc>
      </w:tr>
      <w:tr w14:paraId="1FF5E087" w14:textId="77777777" w:rsidTr="00415556">
        <w:tblPrEx>
          <w:tblW w:w="0" w:type="auto"/>
          <w:tblLook w:val="04A0"/>
        </w:tblPrEx>
        <w:tc>
          <w:tcPr>
            <w:tcW w:w="4675" w:type="dxa"/>
          </w:tcPr>
          <w:p w:rsidR="003E7642" w:rsidRPr="00EB22CF" w:rsidP="00415556" w14:paraId="1C81038D" w14:textId="77777777">
            <w:pPr>
              <w:rPr>
                <w:rFonts w:ascii="Times New Roman" w:eastAsia="Times New Roman" w:hAnsi="Times New Roman" w:cs="Times New Roman"/>
                <w:b/>
              </w:rPr>
            </w:pPr>
            <w:r w:rsidRPr="00EB22CF">
              <w:rPr>
                <w:rFonts w:ascii="Times New Roman" w:eastAsia="Times New Roman" w:hAnsi="Times New Roman" w:cs="Times New Roman"/>
                <w:b/>
              </w:rPr>
              <w:t>Oren Gur</w:t>
            </w:r>
          </w:p>
          <w:p w:rsidR="003E7642" w:rsidRPr="00EB22CF" w:rsidP="00415556" w14:paraId="1C71E6D5" w14:textId="77777777">
            <w:pPr>
              <w:rPr>
                <w:rFonts w:ascii="Times New Roman" w:eastAsia="Times New Roman" w:hAnsi="Times New Roman" w:cs="Times New Roman"/>
                <w:b/>
              </w:rPr>
            </w:pPr>
            <w:r w:rsidRPr="00EB22CF">
              <w:rPr>
                <w:rFonts w:ascii="Times New Roman" w:eastAsia="Times New Roman" w:hAnsi="Times New Roman" w:cs="Times New Roman"/>
                <w:bCs/>
              </w:rPr>
              <w:t>Director of Philadelphia District Attorney’s DATA Lab, Philadelphia, PA</w:t>
            </w:r>
          </w:p>
        </w:tc>
        <w:tc>
          <w:tcPr>
            <w:tcW w:w="4675" w:type="dxa"/>
          </w:tcPr>
          <w:p w:rsidR="003E7642" w:rsidP="00415556" w14:paraId="58B12C1B" w14:textId="77777777">
            <w:pPr>
              <w:rPr>
                <w:rFonts w:ascii="Times New Roman" w:eastAsia="Times New Roman" w:hAnsi="Times New Roman" w:cs="Times New Roman"/>
                <w:b/>
              </w:rPr>
            </w:pPr>
          </w:p>
        </w:tc>
      </w:tr>
    </w:tbl>
    <w:p w:rsidR="003E7642" w:rsidP="00F46FE1" w14:paraId="22EAB9C8" w14:textId="77777777">
      <w:pPr>
        <w:rPr>
          <w:rFonts w:ascii="Times New Roman" w:hAnsi="Times New Roman"/>
          <w:highlight w:val="yellow"/>
        </w:rPr>
      </w:pPr>
    </w:p>
    <w:p w:rsidR="003E7642" w:rsidP="003E7642" w14:paraId="2CCFF428" w14:textId="2B73A651">
      <w:pPr>
        <w:rPr>
          <w:rFonts w:ascii="Times New Roman" w:hAnsi="Times New Roman"/>
          <w:bCs/>
        </w:rPr>
      </w:pPr>
      <w:r w:rsidRPr="004A6E99">
        <w:rPr>
          <w:rFonts w:ascii="Times New Roman" w:hAnsi="Times New Roman"/>
        </w:rPr>
        <w:t xml:space="preserve">In addition to the expert panel, the project team conducted cognitive testing of the CPO instrument. Sixteen offices completed the questionnaire and 15 participated in debriefing interviews afterward. For more information on cognitive testing, see </w:t>
      </w:r>
      <w:r w:rsidRPr="004A6E99">
        <w:rPr>
          <w:rFonts w:ascii="Times New Roman" w:hAnsi="Times New Roman"/>
          <w:b/>
          <w:bCs/>
        </w:rPr>
        <w:t>Part B Testing of Procedures</w:t>
      </w:r>
      <w:r w:rsidRPr="004A6E99">
        <w:rPr>
          <w:rFonts w:ascii="Times New Roman" w:hAnsi="Times New Roman"/>
        </w:rPr>
        <w:t xml:space="preserve">. </w:t>
      </w:r>
      <w:r>
        <w:rPr>
          <w:rFonts w:ascii="Times New Roman" w:hAnsi="Times New Roman"/>
          <w:bCs/>
        </w:rPr>
        <w:t xml:space="preserve">Cognitive testing revealed an early version of the </w:t>
      </w:r>
      <w:r w:rsidR="00A35CD3">
        <w:rPr>
          <w:rFonts w:ascii="Times New Roman" w:hAnsi="Times New Roman"/>
          <w:bCs/>
        </w:rPr>
        <w:t>2025 CPO</w:t>
      </w:r>
      <w:r>
        <w:rPr>
          <w:rFonts w:ascii="Times New Roman" w:hAnsi="Times New Roman"/>
          <w:bCs/>
        </w:rPr>
        <w:t xml:space="preserve"> questionnaire had an </w:t>
      </w:r>
      <w:r w:rsidRPr="50C75FC8">
        <w:rPr>
          <w:rFonts w:ascii="Times New Roman" w:eastAsia="Calibri" w:hAnsi="Times New Roman"/>
        </w:rPr>
        <w:t>average time burden of approximately 141.1 minutes per office and a median time burden of 75 minutes</w:t>
      </w:r>
      <w:r>
        <w:rPr>
          <w:rFonts w:ascii="Times New Roman" w:eastAsia="Calibri" w:hAnsi="Times New Roman"/>
        </w:rPr>
        <w:t xml:space="preserve"> (</w:t>
      </w:r>
      <w:r w:rsidRPr="003D7C89">
        <w:rPr>
          <w:rFonts w:ascii="Times New Roman" w:hAnsi="Times New Roman"/>
          <w:b/>
        </w:rPr>
        <w:t>Attachment</w:t>
      </w:r>
      <w:r>
        <w:rPr>
          <w:rFonts w:ascii="Times New Roman" w:hAnsi="Times New Roman"/>
          <w:b/>
        </w:rPr>
        <w:t xml:space="preserve"> </w:t>
      </w:r>
      <w:r w:rsidR="003F63F0">
        <w:rPr>
          <w:rFonts w:ascii="Times New Roman" w:hAnsi="Times New Roman"/>
          <w:b/>
        </w:rPr>
        <w:t>6</w:t>
      </w:r>
      <w:r w:rsidRPr="003D7C89">
        <w:rPr>
          <w:rFonts w:ascii="Times New Roman" w:hAnsi="Times New Roman"/>
        </w:rPr>
        <w:t>)</w:t>
      </w:r>
      <w:r w:rsidRPr="50C75FC8">
        <w:rPr>
          <w:rFonts w:ascii="Times New Roman" w:eastAsia="Calibri" w:hAnsi="Times New Roman"/>
        </w:rPr>
        <w:t>.</w:t>
      </w:r>
      <w:r>
        <w:rPr>
          <w:rFonts w:ascii="Times New Roman" w:eastAsia="Calibri" w:hAnsi="Times New Roman"/>
        </w:rPr>
        <w:t xml:space="preserve"> The questionnaire was reduced to focus on primarily full-time employees, only collecting information on felony cases, and removing the special topics section. These changes, among others, reduced the questionnaire to an anticipated burden of </w:t>
      </w:r>
      <w:r w:rsidR="00A35CD3">
        <w:rPr>
          <w:rFonts w:ascii="Times New Roman" w:eastAsia="Calibri" w:hAnsi="Times New Roman"/>
        </w:rPr>
        <w:t>45</w:t>
      </w:r>
      <w:r>
        <w:rPr>
          <w:rFonts w:ascii="Times New Roman" w:eastAsia="Calibri" w:hAnsi="Times New Roman"/>
        </w:rPr>
        <w:t xml:space="preserve"> minutes. </w:t>
      </w:r>
    </w:p>
    <w:p w:rsidR="00DA7DC9" w:rsidRPr="0012107F" w:rsidP="0060114B" w14:paraId="0C933CDF" w14:textId="77777777">
      <w:pPr>
        <w:widowControl/>
        <w:autoSpaceDE/>
        <w:autoSpaceDN/>
        <w:adjustRightInd/>
        <w:rPr>
          <w:rFonts w:ascii="Times New Roman" w:eastAsia="Calibri" w:hAnsi="Times New Roman"/>
        </w:rPr>
      </w:pPr>
    </w:p>
    <w:p w:rsidR="00690F56" w:rsidP="00690F56" w14:paraId="608739E9" w14:textId="58BABE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9</w:t>
      </w:r>
      <w:r w:rsidRPr="0012107F" w:rsidR="004D1C76">
        <w:rPr>
          <w:rFonts w:ascii="Times New Roman" w:hAnsi="Times New Roman"/>
          <w:b/>
          <w:bCs/>
        </w:rPr>
        <w:t>. Explain</w:t>
      </w:r>
      <w:r w:rsidRPr="0012107F">
        <w:rPr>
          <w:rFonts w:ascii="Times New Roman" w:hAnsi="Times New Roman"/>
          <w:b/>
          <w:bCs/>
        </w:rPr>
        <w:t xml:space="preserve"> any decision to provide any payments or gift</w:t>
      </w:r>
      <w:r w:rsidRPr="0012107F" w:rsidR="009441E2">
        <w:rPr>
          <w:rFonts w:ascii="Times New Roman" w:hAnsi="Times New Roman"/>
          <w:b/>
          <w:bCs/>
        </w:rPr>
        <w:t>s</w:t>
      </w:r>
      <w:r w:rsidRPr="0012107F">
        <w:rPr>
          <w:rFonts w:ascii="Times New Roman" w:hAnsi="Times New Roman"/>
          <w:b/>
          <w:bCs/>
        </w:rPr>
        <w:t xml:space="preserve"> to respondents, other than </w:t>
      </w:r>
      <w:r w:rsidRPr="0012107F" w:rsidR="006E1A08">
        <w:rPr>
          <w:rFonts w:ascii="Times New Roman" w:hAnsi="Times New Roman"/>
          <w:b/>
          <w:bCs/>
        </w:rPr>
        <w:t>remuneration</w:t>
      </w:r>
      <w:r w:rsidRPr="0012107F">
        <w:rPr>
          <w:rFonts w:ascii="Times New Roman" w:hAnsi="Times New Roman"/>
          <w:b/>
          <w:bCs/>
        </w:rPr>
        <w:t xml:space="preserve"> of contractors or grantees.</w:t>
      </w:r>
    </w:p>
    <w:p w:rsidR="00EE1491" w:rsidP="00690F56" w14:paraId="50A8F5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1491" w:rsidP="00EE1491" w14:paraId="190E2B30" w14:textId="2F006A78">
      <w:pPr>
        <w:rPr>
          <w:rFonts w:ascii="Times New Roman" w:hAnsi="Times New Roman"/>
        </w:rPr>
      </w:pPr>
      <w:r w:rsidRPr="00347630">
        <w:rPr>
          <w:rFonts w:ascii="Times New Roman" w:hAnsi="Times New Roman"/>
        </w:rPr>
        <w:t>Not applicable</w:t>
      </w:r>
      <w:r>
        <w:rPr>
          <w:rFonts w:ascii="Times New Roman" w:hAnsi="Times New Roman"/>
        </w:rPr>
        <w:t xml:space="preserve">. </w:t>
      </w:r>
      <w:r>
        <w:rPr>
          <w:rFonts w:ascii="Times New Roman" w:hAnsi="Times New Roman"/>
        </w:rPr>
        <w:t xml:space="preserve">No government funds will be used as payment or for gifts to respondents. </w:t>
      </w:r>
      <w:r>
        <w:rPr>
          <w:rFonts w:ascii="Times New Roman" w:hAnsi="Times New Roman"/>
        </w:rPr>
        <w:t>Prosecutor offices</w:t>
      </w:r>
      <w:r w:rsidRPr="00347630">
        <w:rPr>
          <w:rFonts w:ascii="Times New Roman" w:hAnsi="Times New Roman"/>
        </w:rPr>
        <w:t xml:space="preserve"> will participate voluntarily and will not receive payment. </w:t>
      </w:r>
    </w:p>
    <w:p w:rsidR="00EE1491" w:rsidRPr="0012107F" w:rsidP="00690F56" w14:paraId="73442A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12107F" w:rsidP="00690F56" w14:paraId="0BFB46C5" w14:textId="124789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10</w:t>
      </w:r>
      <w:r w:rsidRPr="0012107F" w:rsidR="004D1C76">
        <w:rPr>
          <w:rFonts w:ascii="Times New Roman" w:hAnsi="Times New Roman"/>
          <w:b/>
          <w:bCs/>
        </w:rPr>
        <w:t>. Describe</w:t>
      </w:r>
      <w:r w:rsidRPr="0012107F">
        <w:rPr>
          <w:rFonts w:ascii="Times New Roman" w:hAnsi="Times New Roman"/>
          <w:b/>
          <w:bCs/>
        </w:rPr>
        <w:t xml:space="preserve"> any assurance of confidentiality provided to respondents and the basis for the assurance in statute, regulation, or agency policy.</w:t>
      </w:r>
    </w:p>
    <w:p w:rsidR="00F66383" w:rsidP="00F66383" w14:paraId="636C7B5C" w14:textId="6DA97FB0">
      <w:pPr>
        <w:rPr>
          <w:rFonts w:ascii="Times New Roman" w:hAnsi="Times New Roman"/>
        </w:rPr>
      </w:pPr>
      <w:r>
        <w:rPr>
          <w:rFonts w:ascii="Times New Roman" w:hAnsi="Times New Roman"/>
        </w:rPr>
        <w:t xml:space="preserve">BJS, its employees, and its data collection agents will only use </w:t>
      </w:r>
      <w:r w:rsidRPr="00347630">
        <w:rPr>
          <w:rFonts w:ascii="Times New Roman" w:hAnsi="Times New Roman"/>
        </w:rPr>
        <w:t>the information gathered in this data collection for statistical or research purposes</w:t>
      </w:r>
      <w:r>
        <w:rPr>
          <w:rFonts w:ascii="Times New Roman" w:hAnsi="Times New Roman"/>
        </w:rPr>
        <w:t xml:space="preserve"> pursuant to </w:t>
      </w:r>
      <w:r w:rsidRPr="000E4CD8">
        <w:rPr>
          <w:rFonts w:ascii="Times New Roman" w:hAnsi="Times New Roman"/>
        </w:rPr>
        <w:t>34 U.S.C. §§ 10231 and 10134</w:t>
      </w:r>
      <w:r w:rsidRPr="00347630">
        <w:rPr>
          <w:rFonts w:ascii="Times New Roman" w:hAnsi="Times New Roman"/>
        </w:rPr>
        <w:t>.</w:t>
      </w:r>
      <w:r w:rsidR="00166F4B">
        <w:rPr>
          <w:rFonts w:ascii="Times New Roman" w:hAnsi="Times New Roman"/>
        </w:rPr>
        <w:t xml:space="preserve"> </w:t>
      </w:r>
      <w:r>
        <w:rPr>
          <w:rFonts w:ascii="Times New Roman" w:hAnsi="Times New Roman"/>
        </w:rPr>
        <w:t>Respondents’</w:t>
      </w:r>
      <w:r w:rsidRPr="00347630">
        <w:rPr>
          <w:rFonts w:ascii="Times New Roman" w:hAnsi="Times New Roman"/>
        </w:rPr>
        <w:t xml:space="preserve"> participation in the survey is </w:t>
      </w:r>
      <w:r w:rsidRPr="00347630" w:rsidR="00166F4B">
        <w:rPr>
          <w:rFonts w:ascii="Times New Roman" w:hAnsi="Times New Roman"/>
        </w:rPr>
        <w:t>voluntary,</w:t>
      </w:r>
      <w:r w:rsidRPr="00347630">
        <w:rPr>
          <w:rFonts w:ascii="Times New Roman" w:hAnsi="Times New Roman"/>
        </w:rPr>
        <w:t xml:space="preserve"> and participants will be informed prior to starting the survey that the information they provide about the</w:t>
      </w:r>
      <w:r>
        <w:rPr>
          <w:rFonts w:ascii="Times New Roman" w:hAnsi="Times New Roman"/>
        </w:rPr>
        <w:t>ir office</w:t>
      </w:r>
      <w:r w:rsidRPr="00347630">
        <w:rPr>
          <w:rFonts w:ascii="Times New Roman" w:hAnsi="Times New Roman"/>
        </w:rPr>
        <w:t xml:space="preserve"> will be available to the </w:t>
      </w:r>
      <w:r w:rsidRPr="00347630">
        <w:rPr>
          <w:rFonts w:ascii="Times New Roman" w:hAnsi="Times New Roman"/>
        </w:rPr>
        <w:t>public</w:t>
      </w:r>
      <w:r w:rsidR="00091255">
        <w:rPr>
          <w:rFonts w:ascii="Times New Roman" w:hAnsi="Times New Roman"/>
        </w:rPr>
        <w:t>, and that the identities of the respondents themselves will remain confidential</w:t>
      </w:r>
      <w:r w:rsidRPr="00347630">
        <w:rPr>
          <w:rFonts w:ascii="Times New Roman" w:hAnsi="Times New Roman"/>
        </w:rPr>
        <w:t>.</w:t>
      </w:r>
    </w:p>
    <w:p w:rsidR="00091255" w:rsidP="00F66383" w14:paraId="13FEFDF2" w14:textId="77777777">
      <w:pPr>
        <w:rPr>
          <w:rFonts w:ascii="Times New Roman" w:hAnsi="Times New Roman"/>
        </w:rPr>
      </w:pPr>
    </w:p>
    <w:p w:rsidR="00091255" w:rsidP="00F66383" w14:paraId="5AECB3AF" w14:textId="6252DAC4">
      <w:pPr>
        <w:rPr>
          <w:rFonts w:ascii="Times New Roman" w:hAnsi="Times New Roman"/>
        </w:rPr>
      </w:pPr>
      <w:r>
        <w:rPr>
          <w:rFonts w:ascii="Times New Roman" w:hAnsi="Times New Roman"/>
        </w:rPr>
        <w:t xml:space="preserve">Specifically for this project, there are two practical responses to privacy. </w:t>
      </w:r>
      <w:r w:rsidRPr="00091255">
        <w:rPr>
          <w:rFonts w:ascii="Times New Roman" w:hAnsi="Times New Roman"/>
        </w:rPr>
        <w:t xml:space="preserve">The first response is about data security. BJS’s data collection agent has a formal data management plan (DMP) that details the security of responses through collection, storage, analysis, and upload to BJS. </w:t>
      </w:r>
      <w:r>
        <w:rPr>
          <w:rFonts w:ascii="Times New Roman" w:hAnsi="Times New Roman"/>
        </w:rPr>
        <w:t>E</w:t>
      </w:r>
      <w:r w:rsidRPr="00091255">
        <w:rPr>
          <w:rFonts w:ascii="Times New Roman" w:hAnsi="Times New Roman"/>
        </w:rPr>
        <w:t xml:space="preserve">lectronic data are stored on the data collection agent’s secure file server, which restricts analysis to that file server and access only to personnel required to complete the project. Paper surveys are entered </w:t>
      </w:r>
      <w:r w:rsidRPr="00091255" w:rsidR="00166F4B">
        <w:rPr>
          <w:rFonts w:ascii="Times New Roman" w:hAnsi="Times New Roman"/>
        </w:rPr>
        <w:t>into</w:t>
      </w:r>
      <w:r w:rsidRPr="00091255">
        <w:rPr>
          <w:rFonts w:ascii="Times New Roman" w:hAnsi="Times New Roman"/>
        </w:rPr>
        <w:t xml:space="preserve"> a secure </w:t>
      </w:r>
      <w:r w:rsidRPr="00091255" w:rsidR="00166F4B">
        <w:rPr>
          <w:rFonts w:ascii="Times New Roman" w:hAnsi="Times New Roman"/>
        </w:rPr>
        <w:t>environment and</w:t>
      </w:r>
      <w:r w:rsidRPr="00091255">
        <w:rPr>
          <w:rFonts w:ascii="Times New Roman" w:hAnsi="Times New Roman"/>
        </w:rPr>
        <w:t xml:space="preserve"> kept in locked cabinets only accessible to relevant staff. Any transfer of data </w:t>
      </w:r>
      <w:r w:rsidR="009907FB">
        <w:rPr>
          <w:rFonts w:ascii="Times New Roman" w:hAnsi="Times New Roman"/>
        </w:rPr>
        <w:t>between the data collection</w:t>
      </w:r>
      <w:r w:rsidR="00343A60">
        <w:rPr>
          <w:rFonts w:ascii="Times New Roman" w:hAnsi="Times New Roman"/>
        </w:rPr>
        <w:t xml:space="preserve"> agent</w:t>
      </w:r>
      <w:r w:rsidR="009907FB">
        <w:rPr>
          <w:rFonts w:ascii="Times New Roman" w:hAnsi="Times New Roman"/>
        </w:rPr>
        <w:t xml:space="preserve"> and BJS </w:t>
      </w:r>
      <w:r w:rsidRPr="00091255">
        <w:rPr>
          <w:rFonts w:ascii="Times New Roman" w:hAnsi="Times New Roman"/>
        </w:rPr>
        <w:t>use</w:t>
      </w:r>
      <w:r w:rsidR="009907FB">
        <w:rPr>
          <w:rFonts w:ascii="Times New Roman" w:hAnsi="Times New Roman"/>
        </w:rPr>
        <w:t>s</w:t>
      </w:r>
      <w:r w:rsidRPr="00091255">
        <w:rPr>
          <w:rFonts w:ascii="Times New Roman" w:hAnsi="Times New Roman"/>
        </w:rPr>
        <w:t xml:space="preserve"> DOJ’s secure file transfer portal</w:t>
      </w:r>
      <w:r w:rsidR="009907FB">
        <w:rPr>
          <w:rFonts w:ascii="Times New Roman" w:hAnsi="Times New Roman"/>
        </w:rPr>
        <w:t>, Box</w:t>
      </w:r>
      <w:r w:rsidRPr="00091255">
        <w:rPr>
          <w:rFonts w:ascii="Times New Roman" w:hAnsi="Times New Roman"/>
        </w:rPr>
        <w:t>.</w:t>
      </w:r>
    </w:p>
    <w:p w:rsidR="00091255" w:rsidP="00F66383" w14:paraId="538623A2" w14:textId="77777777">
      <w:pPr>
        <w:rPr>
          <w:rFonts w:ascii="Times New Roman" w:hAnsi="Times New Roman"/>
        </w:rPr>
      </w:pPr>
    </w:p>
    <w:p w:rsidR="00091255" w:rsidRPr="00091255" w:rsidP="00091255" w14:paraId="287E03E3" w14:textId="1CBF1998">
      <w:pPr>
        <w:rPr>
          <w:rFonts w:ascii="Times New Roman" w:hAnsi="Times New Roman"/>
        </w:rPr>
      </w:pPr>
      <w:r w:rsidRPr="00091255">
        <w:rPr>
          <w:rFonts w:ascii="Times New Roman" w:hAnsi="Times New Roman"/>
        </w:rPr>
        <w:t xml:space="preserve">The second response is about dissemination. According to 28 CFR Part 22.23 (b)(8), BJS and its data collection agents are required to ensure that “Project findings and reports prepared for dissemination will not contain information which can reasonably be expected to be identifiable to a private person except as authorized under § 22.22.” Following the regulation, BJS would be required to report the data in a way that does not allow for any specific </w:t>
      </w:r>
      <w:r w:rsidR="009907FB">
        <w:rPr>
          <w:rFonts w:ascii="Times New Roman" w:hAnsi="Times New Roman"/>
        </w:rPr>
        <w:t>c</w:t>
      </w:r>
      <w:r w:rsidRPr="00091255">
        <w:rPr>
          <w:rFonts w:ascii="Times New Roman" w:hAnsi="Times New Roman"/>
        </w:rPr>
        <w:t xml:space="preserve">hief </w:t>
      </w:r>
      <w:r w:rsidR="00166F4B">
        <w:rPr>
          <w:rFonts w:ascii="Times New Roman" w:hAnsi="Times New Roman"/>
        </w:rPr>
        <w:t xml:space="preserve">prosecutor </w:t>
      </w:r>
      <w:r w:rsidRPr="00091255">
        <w:rPr>
          <w:rFonts w:ascii="Times New Roman" w:hAnsi="Times New Roman"/>
        </w:rPr>
        <w:t xml:space="preserve">or other office staff to be identified by direct or indirect identifier, including by race or ethnicity. In the report, we will apply </w:t>
      </w:r>
      <w:r w:rsidRPr="00091255" w:rsidR="00823187">
        <w:rPr>
          <w:rFonts w:ascii="Times New Roman" w:hAnsi="Times New Roman"/>
        </w:rPr>
        <w:t>appropriate</w:t>
      </w:r>
      <w:r w:rsidRPr="00091255">
        <w:rPr>
          <w:rFonts w:ascii="Times New Roman" w:hAnsi="Times New Roman"/>
        </w:rPr>
        <w:t xml:space="preserve"> statistical disclosure limitation techniques to the data to mitigate disclosure risk and potential for re-identification. </w:t>
      </w:r>
    </w:p>
    <w:p w:rsidR="00091255" w:rsidRPr="00091255" w:rsidP="00091255" w14:paraId="0567F1A3" w14:textId="77777777">
      <w:pPr>
        <w:rPr>
          <w:rFonts w:ascii="Times New Roman" w:hAnsi="Times New Roman"/>
        </w:rPr>
      </w:pPr>
    </w:p>
    <w:p w:rsidR="00091255" w:rsidP="00091255" w14:paraId="7FADA957" w14:textId="43EB3EDF">
      <w:pPr>
        <w:rPr>
          <w:rFonts w:ascii="Times New Roman" w:hAnsi="Times New Roman"/>
        </w:rPr>
      </w:pPr>
      <w:r w:rsidRPr="00091255">
        <w:rPr>
          <w:rFonts w:ascii="Times New Roman" w:hAnsi="Times New Roman"/>
        </w:rPr>
        <w:t xml:space="preserve">Furthermore, all BJS </w:t>
      </w:r>
      <w:r w:rsidR="002B2C60">
        <w:rPr>
          <w:rFonts w:ascii="Times New Roman" w:hAnsi="Times New Roman"/>
        </w:rPr>
        <w:t xml:space="preserve">data collections and </w:t>
      </w:r>
      <w:r w:rsidRPr="00091255">
        <w:rPr>
          <w:rFonts w:ascii="Times New Roman" w:hAnsi="Times New Roman"/>
        </w:rPr>
        <w:t>reports follow the BJS Data Protection Guidelines, which describe our data use and confidentiality requirements to protect information identifiable a private person, including in our published statistical products. This could include suppressing, collapsing, swapping or coarsening cell sizes. BJS defines information identifiable to a private person and a private person as:</w:t>
      </w:r>
    </w:p>
    <w:p w:rsidR="00825251" w:rsidRPr="00091255" w:rsidP="00091255" w14:paraId="014044F3" w14:textId="77777777">
      <w:pPr>
        <w:rPr>
          <w:rFonts w:ascii="Times New Roman" w:hAnsi="Times New Roman"/>
        </w:rPr>
      </w:pPr>
    </w:p>
    <w:p w:rsidR="00091255" w:rsidRPr="00046044" w:rsidP="00046044" w14:paraId="44467879" w14:textId="36FA5B94">
      <w:pPr>
        <w:pStyle w:val="ListParagraph"/>
        <w:numPr>
          <w:ilvl w:val="0"/>
          <w:numId w:val="34"/>
        </w:numPr>
        <w:rPr>
          <w:rFonts w:ascii="Times New Roman" w:hAnsi="Times New Roman"/>
        </w:rPr>
      </w:pPr>
      <w:r w:rsidRPr="00046044">
        <w:rPr>
          <w:rFonts w:ascii="Times New Roman" w:hAnsi="Times New Roman"/>
        </w:rPr>
        <w:t>Information identifiable to a private person means information which either—</w:t>
      </w:r>
    </w:p>
    <w:p w:rsidR="00091255" w:rsidRPr="00046044" w:rsidP="00046044" w14:paraId="5E889C30" w14:textId="77777777">
      <w:pPr>
        <w:pStyle w:val="ListParagraph"/>
        <w:numPr>
          <w:ilvl w:val="1"/>
          <w:numId w:val="34"/>
        </w:numPr>
        <w:rPr>
          <w:rFonts w:ascii="Times New Roman" w:hAnsi="Times New Roman"/>
        </w:rPr>
      </w:pPr>
      <w:r w:rsidRPr="00046044">
        <w:rPr>
          <w:rFonts w:ascii="Times New Roman" w:hAnsi="Times New Roman"/>
        </w:rPr>
        <w:t>Is labelled by name or other personal identifiers, or</w:t>
      </w:r>
    </w:p>
    <w:p w:rsidR="00091255" w:rsidRPr="00046044" w:rsidP="00046044" w14:paraId="39DCBC4C" w14:textId="77777777">
      <w:pPr>
        <w:pStyle w:val="ListParagraph"/>
        <w:numPr>
          <w:ilvl w:val="1"/>
          <w:numId w:val="34"/>
        </w:numPr>
        <w:rPr>
          <w:rFonts w:ascii="Times New Roman" w:hAnsi="Times New Roman"/>
        </w:rPr>
      </w:pPr>
      <w:r w:rsidRPr="00046044">
        <w:rPr>
          <w:rFonts w:ascii="Times New Roman" w:hAnsi="Times New Roman"/>
        </w:rPr>
        <w:t>Can, by virtue of sample size or other factors, be reasonably interpreted as referring to a particular private person.</w:t>
      </w:r>
    </w:p>
    <w:p w:rsidR="00091255" w:rsidRPr="00046044" w:rsidP="00046044" w14:paraId="582276AB" w14:textId="3E4382D6">
      <w:pPr>
        <w:pStyle w:val="ListParagraph"/>
        <w:numPr>
          <w:ilvl w:val="0"/>
          <w:numId w:val="34"/>
        </w:numPr>
        <w:rPr>
          <w:rFonts w:ascii="Times New Roman" w:hAnsi="Times New Roman"/>
        </w:rPr>
      </w:pPr>
      <w:r w:rsidRPr="00046044">
        <w:rPr>
          <w:rFonts w:ascii="Times New Roman" w:hAnsi="Times New Roman"/>
        </w:rPr>
        <w:t>Private person means any person defined in § 22.2(a) other than an agency, or department of Federal, State, or local government, or any component or combination thereof. Included as a private person is an individual acting in his or her official capacity.</w:t>
      </w:r>
    </w:p>
    <w:p w:rsidR="004328D9" w:rsidRPr="0012107F"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11. </w:t>
      </w:r>
      <w:r w:rsidRPr="0012107F">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12107F" w:rsidR="00C667F3">
        <w:rPr>
          <w:rFonts w:ascii="Times New Roman" w:hAnsi="Times New Roman"/>
          <w:b/>
          <w:bCs/>
        </w:rPr>
        <w:t>a</w:t>
      </w:r>
      <w:r w:rsidRPr="0012107F">
        <w:rPr>
          <w:rFonts w:ascii="Times New Roman" w:hAnsi="Times New Roman"/>
          <w:b/>
          <w:bCs/>
        </w:rPr>
        <w:t xml:space="preserve">gency considers the questions necessary, the specific uses to be made of the information, the explanation to be given to </w:t>
      </w:r>
      <w:r w:rsidRPr="0012107F">
        <w:rPr>
          <w:rFonts w:ascii="Times New Roman" w:hAnsi="Times New Roman"/>
          <w:b/>
          <w:bCs/>
        </w:rPr>
        <w:t>persons</w:t>
      </w:r>
      <w:r w:rsidRPr="0012107F">
        <w:rPr>
          <w:rFonts w:ascii="Times New Roman" w:hAnsi="Times New Roman"/>
          <w:b/>
          <w:bCs/>
        </w:rPr>
        <w:t xml:space="preserve"> from whom the information is requested, and any steps to be taken to obtain their consent.</w:t>
      </w:r>
    </w:p>
    <w:p w:rsidR="00F66383" w:rsidRPr="00347630" w:rsidP="00F66383" w14:paraId="069EE2F7" w14:textId="02F7D30D">
      <w:pPr>
        <w:rPr>
          <w:rFonts w:ascii="Times New Roman" w:hAnsi="Times New Roman"/>
        </w:rPr>
      </w:pPr>
      <w:bookmarkStart w:id="6" w:name="_Hlk221880079"/>
      <w:r w:rsidRPr="00347630">
        <w:rPr>
          <w:rFonts w:ascii="Times New Roman" w:hAnsi="Times New Roman"/>
        </w:rPr>
        <w:t>Not applicable</w:t>
      </w:r>
      <w:bookmarkEnd w:id="6"/>
      <w:r w:rsidR="00166F4B">
        <w:rPr>
          <w:rFonts w:ascii="Times New Roman" w:hAnsi="Times New Roman"/>
        </w:rPr>
        <w:t>.</w:t>
      </w:r>
      <w:r w:rsidRPr="00347630">
        <w:rPr>
          <w:rFonts w:ascii="Times New Roman" w:hAnsi="Times New Roman"/>
        </w:rPr>
        <w:t xml:space="preserve"> </w:t>
      </w:r>
      <w:r w:rsidR="00166F4B">
        <w:rPr>
          <w:rFonts w:ascii="Times New Roman" w:hAnsi="Times New Roman"/>
        </w:rPr>
        <w:t>T</w:t>
      </w:r>
      <w:r w:rsidRPr="00347630">
        <w:rPr>
          <w:rFonts w:ascii="Times New Roman" w:hAnsi="Times New Roman"/>
        </w:rPr>
        <w:t>here are no questions of a sensitive nature.</w:t>
      </w:r>
    </w:p>
    <w:p w:rsidR="00690F56" w:rsidRPr="0012107F" w:rsidP="00690F56" w14:paraId="0DE6D347" w14:textId="47AF28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12</w:t>
      </w:r>
      <w:r w:rsidRPr="0012107F" w:rsidR="004D1C76">
        <w:rPr>
          <w:rFonts w:ascii="Times New Roman" w:hAnsi="Times New Roman"/>
          <w:b/>
          <w:bCs/>
        </w:rPr>
        <w:t>. Provide</w:t>
      </w:r>
      <w:r w:rsidRPr="0012107F">
        <w:rPr>
          <w:rFonts w:ascii="Times New Roman" w:hAnsi="Times New Roman"/>
          <w:b/>
          <w:bCs/>
        </w:rPr>
        <w:t xml:space="preserve"> estimates of the hour burden of the collection of information.  The statement should:</w:t>
      </w:r>
    </w:p>
    <w:p w:rsidR="00690F56" w:rsidRPr="002B4E1F" w:rsidP="00383BBD" w14:paraId="2CF1128C" w14:textId="3BCAE8C1">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Indicate </w:t>
      </w:r>
      <w:r w:rsidRPr="0012107F">
        <w:rPr>
          <w:rFonts w:ascii="Times New Roman" w:hAnsi="Times New Roman"/>
          <w:b/>
          <w:bCs/>
        </w:rPr>
        <w:t>the number of respondents, frequency of response, annual hour burden, and an explanation o</w:t>
      </w:r>
      <w:r w:rsidRPr="0012107F" w:rsidR="00D2331B">
        <w:rPr>
          <w:rFonts w:ascii="Times New Roman" w:hAnsi="Times New Roman"/>
          <w:b/>
          <w:bCs/>
        </w:rPr>
        <w:t xml:space="preserve">f </w:t>
      </w:r>
      <w:r w:rsidRPr="0012107F">
        <w:rPr>
          <w:rFonts w:ascii="Times New Roman" w:hAnsi="Times New Roman"/>
          <w:b/>
          <w:bCs/>
        </w:rPr>
        <w:t xml:space="preserve">how the burden was estimated.  Unless directed to do so, </w:t>
      </w:r>
      <w:r w:rsidRPr="0012107F">
        <w:rPr>
          <w:rFonts w:ascii="Times New Roman" w:hAnsi="Times New Roman"/>
          <w:b/>
          <w:bCs/>
        </w:rPr>
        <w:t xml:space="preserve">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12107F">
        <w:rPr>
          <w:rFonts w:ascii="Times New Roman" w:hAnsi="Times New Roman"/>
          <w:b/>
          <w:bCs/>
        </w:rPr>
        <w:t>General</w:t>
      </w:r>
      <w:r w:rsidRPr="0012107F">
        <w:rPr>
          <w:rFonts w:ascii="Times New Roman" w:hAnsi="Times New Roman"/>
          <w:b/>
          <w:bCs/>
        </w:rPr>
        <w:t>,</w:t>
      </w:r>
      <w:r w:rsidRPr="0012107F">
        <w:rPr>
          <w:rFonts w:ascii="Times New Roman" w:hAnsi="Times New Roman"/>
          <w:b/>
          <w:bCs/>
        </w:rPr>
        <w:t xml:space="preserve"> estimates should not include burden hours</w:t>
      </w:r>
      <w:r w:rsidRPr="0012107F" w:rsidR="00CD215D">
        <w:rPr>
          <w:rFonts w:ascii="Times New Roman" w:hAnsi="Times New Roman"/>
          <w:b/>
          <w:bCs/>
        </w:rPr>
        <w:t xml:space="preserve"> </w:t>
      </w:r>
      <w:r w:rsidRPr="0012107F">
        <w:rPr>
          <w:rFonts w:ascii="Times New Roman" w:hAnsi="Times New Roman"/>
          <w:b/>
          <w:bCs/>
        </w:rPr>
        <w:t>for customary and usual business practices.</w:t>
      </w:r>
    </w:p>
    <w:p w:rsidR="00882B1D" w:rsidRPr="002B4E1F" w:rsidP="00383BBD" w14:paraId="2B026727" w14:textId="72501AFD">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rPr>
        <w:t xml:space="preserve">If this </w:t>
      </w:r>
      <w:r w:rsidRPr="0012107F">
        <w:rPr>
          <w:b/>
          <w:bCs/>
        </w:rPr>
        <w:t>request for approval covers more than one form, provide separate hour burden estimates for each form.</w:t>
      </w:r>
    </w:p>
    <w:p w:rsidR="009655B4" w:rsidP="0081040A" w14:paraId="7FE90D8D" w14:textId="37B4F1AF">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12107F" w:rsidR="00312124">
        <w:rPr>
          <w:rFonts w:ascii="Times New Roman" w:hAnsi="Times New Roman"/>
          <w:b/>
          <w:bCs/>
        </w:rPr>
        <w:t>this cost</w:t>
      </w:r>
      <w:r w:rsidRPr="0012107F" w:rsidR="00C667F3">
        <w:rPr>
          <w:rFonts w:ascii="Times New Roman" w:hAnsi="Times New Roman"/>
          <w:b/>
          <w:bCs/>
        </w:rPr>
        <w:t xml:space="preserve"> should be included in Item 14</w:t>
      </w:r>
      <w:r w:rsidRPr="0012107F">
        <w:rPr>
          <w:rFonts w:ascii="Times New Roman" w:hAnsi="Times New Roman"/>
          <w:b/>
          <w:bCs/>
        </w:rPr>
        <w:t>.</w:t>
      </w:r>
    </w:p>
    <w:p w:rsidR="0081040A" w:rsidP="0081040A" w14:paraId="6385B6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47A01" w:rsidP="00647A01" w14:paraId="07E192E6" w14:textId="1E348ABD">
      <w:pPr>
        <w:rPr>
          <w:rFonts w:ascii="Times New Roman" w:hAnsi="Times New Roman"/>
        </w:rPr>
      </w:pPr>
      <w:r w:rsidRPr="0081040A">
        <w:rPr>
          <w:rFonts w:ascii="Times New Roman" w:hAnsi="Times New Roman"/>
        </w:rPr>
        <w:t xml:space="preserve">BJS estimates the respondent burden for the </w:t>
      </w:r>
      <w:r w:rsidR="00A35CD3">
        <w:rPr>
          <w:rFonts w:ascii="Times New Roman" w:hAnsi="Times New Roman"/>
        </w:rPr>
        <w:t>2025 CPO</w:t>
      </w:r>
      <w:r w:rsidRPr="0081040A">
        <w:rPr>
          <w:rFonts w:ascii="Times New Roman" w:hAnsi="Times New Roman"/>
        </w:rPr>
        <w:t xml:space="preserve"> at </w:t>
      </w:r>
      <w:r w:rsidR="009F241B">
        <w:rPr>
          <w:rFonts w:ascii="Times New Roman" w:hAnsi="Times New Roman"/>
        </w:rPr>
        <w:t>4,698</w:t>
      </w:r>
      <w:r w:rsidRPr="00F318BD" w:rsidR="00125F2C">
        <w:rPr>
          <w:rFonts w:ascii="Times New Roman" w:hAnsi="Times New Roman"/>
        </w:rPr>
        <w:t xml:space="preserve"> </w:t>
      </w:r>
      <w:r w:rsidRPr="0081040A">
        <w:rPr>
          <w:rFonts w:ascii="Times New Roman" w:hAnsi="Times New Roman"/>
        </w:rPr>
        <w:t xml:space="preserve">hours. This estimate was calculated based on the total number of </w:t>
      </w:r>
      <w:r w:rsidR="00C07C74">
        <w:rPr>
          <w:rFonts w:ascii="Times New Roman" w:hAnsi="Times New Roman"/>
        </w:rPr>
        <w:t>prosecutor</w:t>
      </w:r>
      <w:r>
        <w:rPr>
          <w:rFonts w:ascii="Times New Roman" w:hAnsi="Times New Roman"/>
        </w:rPr>
        <w:t xml:space="preserve"> offices</w:t>
      </w:r>
      <w:r w:rsidRPr="0081040A">
        <w:rPr>
          <w:rFonts w:ascii="Times New Roman" w:hAnsi="Times New Roman"/>
        </w:rPr>
        <w:t xml:space="preserve"> </w:t>
      </w:r>
      <w:r w:rsidRPr="00281D9A">
        <w:rPr>
          <w:rFonts w:ascii="Times New Roman" w:hAnsi="Times New Roman"/>
        </w:rPr>
        <w:t>(</w:t>
      </w:r>
      <w:r w:rsidR="00C07C74">
        <w:rPr>
          <w:rFonts w:ascii="Times New Roman" w:hAnsi="Times New Roman"/>
        </w:rPr>
        <w:t>2,349</w:t>
      </w:r>
      <w:r w:rsidRPr="00281D9A">
        <w:rPr>
          <w:rFonts w:ascii="Times New Roman" w:hAnsi="Times New Roman"/>
        </w:rPr>
        <w:t>)</w:t>
      </w:r>
      <w:r w:rsidR="00AA7AD8">
        <w:rPr>
          <w:rFonts w:ascii="Times New Roman" w:hAnsi="Times New Roman"/>
        </w:rPr>
        <w:t>,</w:t>
      </w:r>
      <w:r w:rsidR="0003404E">
        <w:rPr>
          <w:rFonts w:ascii="Times New Roman" w:hAnsi="Times New Roman"/>
        </w:rPr>
        <w:t xml:space="preserve"> </w:t>
      </w:r>
      <w:r w:rsidR="009F241B">
        <w:rPr>
          <w:rFonts w:ascii="Times New Roman" w:hAnsi="Times New Roman"/>
        </w:rPr>
        <w:t xml:space="preserve">the time to attend an informational webinar about the data collection (60 minutes), </w:t>
      </w:r>
      <w:r w:rsidR="0003404E">
        <w:rPr>
          <w:rFonts w:ascii="Times New Roman" w:hAnsi="Times New Roman"/>
        </w:rPr>
        <w:t>the</w:t>
      </w:r>
      <w:r w:rsidR="00DF4BB3">
        <w:rPr>
          <w:rFonts w:ascii="Times New Roman" w:hAnsi="Times New Roman"/>
        </w:rPr>
        <w:t xml:space="preserve"> </w:t>
      </w:r>
      <w:r w:rsidR="00170129">
        <w:rPr>
          <w:rFonts w:ascii="Times New Roman" w:hAnsi="Times New Roman"/>
        </w:rPr>
        <w:t>anticipated</w:t>
      </w:r>
      <w:r w:rsidR="00DF4BB3">
        <w:rPr>
          <w:rFonts w:ascii="Times New Roman" w:hAnsi="Times New Roman"/>
        </w:rPr>
        <w:t xml:space="preserve"> time it will take respondents to</w:t>
      </w:r>
      <w:r w:rsidR="00170129">
        <w:rPr>
          <w:rFonts w:ascii="Times New Roman" w:hAnsi="Times New Roman"/>
        </w:rPr>
        <w:t xml:space="preserve"> </w:t>
      </w:r>
      <w:r w:rsidR="00DF4BB3">
        <w:rPr>
          <w:rFonts w:ascii="Times New Roman" w:hAnsi="Times New Roman"/>
        </w:rPr>
        <w:t>complete the questionnaire (</w:t>
      </w:r>
      <w:r w:rsidR="00125F2C">
        <w:rPr>
          <w:rFonts w:ascii="Times New Roman" w:hAnsi="Times New Roman"/>
        </w:rPr>
        <w:t xml:space="preserve">45 </w:t>
      </w:r>
      <w:r w:rsidR="00DF4BB3">
        <w:rPr>
          <w:rFonts w:ascii="Times New Roman" w:hAnsi="Times New Roman"/>
        </w:rPr>
        <w:t>minutes)</w:t>
      </w:r>
      <w:r w:rsidR="00AA7AD8">
        <w:rPr>
          <w:rFonts w:ascii="Times New Roman" w:hAnsi="Times New Roman"/>
        </w:rPr>
        <w:t>,</w:t>
      </w:r>
      <w:r w:rsidR="00170129">
        <w:rPr>
          <w:rFonts w:ascii="Times New Roman" w:hAnsi="Times New Roman"/>
        </w:rPr>
        <w:t xml:space="preserve"> and </w:t>
      </w:r>
      <w:r w:rsidR="009F241B">
        <w:rPr>
          <w:rFonts w:ascii="Times New Roman" w:hAnsi="Times New Roman"/>
        </w:rPr>
        <w:t xml:space="preserve">the time </w:t>
      </w:r>
      <w:r w:rsidR="00AA7AD8">
        <w:rPr>
          <w:rFonts w:ascii="Times New Roman" w:hAnsi="Times New Roman"/>
        </w:rPr>
        <w:t xml:space="preserve">to </w:t>
      </w:r>
      <w:r w:rsidR="00170129">
        <w:rPr>
          <w:rFonts w:ascii="Times New Roman" w:hAnsi="Times New Roman"/>
        </w:rPr>
        <w:t>review outreach material</w:t>
      </w:r>
      <w:r w:rsidR="000076F7">
        <w:rPr>
          <w:rFonts w:ascii="Times New Roman" w:hAnsi="Times New Roman"/>
        </w:rPr>
        <w:t>s</w:t>
      </w:r>
      <w:r w:rsidR="00170129">
        <w:rPr>
          <w:rFonts w:ascii="Times New Roman" w:hAnsi="Times New Roman"/>
        </w:rPr>
        <w:t xml:space="preserve"> and </w:t>
      </w:r>
      <w:r w:rsidR="00DF4BB3">
        <w:rPr>
          <w:rFonts w:ascii="Times New Roman" w:hAnsi="Times New Roman"/>
        </w:rPr>
        <w:t>complete data quality follow</w:t>
      </w:r>
      <w:r w:rsidR="00170129">
        <w:rPr>
          <w:rFonts w:ascii="Times New Roman" w:hAnsi="Times New Roman"/>
        </w:rPr>
        <w:t>-</w:t>
      </w:r>
      <w:r w:rsidR="00DF4BB3">
        <w:rPr>
          <w:rFonts w:ascii="Times New Roman" w:hAnsi="Times New Roman"/>
        </w:rPr>
        <w:t>up (15 minute</w:t>
      </w:r>
      <w:r w:rsidR="00170129">
        <w:rPr>
          <w:rFonts w:ascii="Times New Roman" w:hAnsi="Times New Roman"/>
        </w:rPr>
        <w:t>s). S</w:t>
      </w:r>
      <w:r w:rsidRPr="004433D6">
        <w:rPr>
          <w:rFonts w:ascii="Times New Roman" w:hAnsi="Times New Roman"/>
        </w:rPr>
        <w:t xml:space="preserve">ee Table </w:t>
      </w:r>
      <w:r w:rsidR="00D2457B">
        <w:rPr>
          <w:rFonts w:ascii="Times New Roman" w:hAnsi="Times New Roman"/>
        </w:rPr>
        <w:t>2</w:t>
      </w:r>
      <w:r w:rsidRPr="004433D6">
        <w:rPr>
          <w:rFonts w:ascii="Times New Roman" w:hAnsi="Times New Roman"/>
        </w:rPr>
        <w:t xml:space="preserve"> for calculations</w:t>
      </w:r>
      <w:r w:rsidR="00234139">
        <w:rPr>
          <w:rFonts w:ascii="Times New Roman" w:hAnsi="Times New Roman"/>
        </w:rPr>
        <w:t>.</w:t>
      </w:r>
    </w:p>
    <w:p w:rsidR="00E6009C" w:rsidP="00647A01" w14:paraId="6CFB5D21" w14:textId="77777777">
      <w:pPr>
        <w:rPr>
          <w:rFonts w:ascii="Times New Roman" w:hAnsi="Times New Roman"/>
        </w:rPr>
      </w:pPr>
    </w:p>
    <w:p w:rsidR="00FF253F" w:rsidP="00647A01" w14:paraId="48AC070C" w14:textId="4BE6211E">
      <w:pPr>
        <w:rPr>
          <w:rFonts w:ascii="Times New Roman" w:hAnsi="Times New Roman"/>
          <w:b/>
          <w:bCs/>
        </w:rPr>
      </w:pPr>
      <w:r w:rsidRPr="00F9711B">
        <w:rPr>
          <w:rFonts w:ascii="Times New Roman" w:hAnsi="Times New Roman"/>
          <w:b/>
          <w:bCs/>
        </w:rPr>
        <w:t xml:space="preserve">Table </w:t>
      </w:r>
      <w:r>
        <w:rPr>
          <w:rFonts w:ascii="Times New Roman" w:hAnsi="Times New Roman"/>
          <w:b/>
          <w:bCs/>
        </w:rPr>
        <w:t>2</w:t>
      </w:r>
      <w:r w:rsidRPr="00F9711B">
        <w:rPr>
          <w:rFonts w:ascii="Times New Roman" w:hAnsi="Times New Roman"/>
          <w:b/>
          <w:bCs/>
        </w:rPr>
        <w:t xml:space="preserve">. </w:t>
      </w:r>
      <w:r w:rsidR="00A35CD3">
        <w:rPr>
          <w:rFonts w:ascii="Times New Roman" w:hAnsi="Times New Roman"/>
          <w:b/>
          <w:bCs/>
        </w:rPr>
        <w:t>2025 CPO</w:t>
      </w:r>
      <w:r w:rsidRPr="00F9711B">
        <w:rPr>
          <w:rFonts w:ascii="Times New Roman" w:hAnsi="Times New Roman"/>
          <w:b/>
          <w:bCs/>
        </w:rPr>
        <w:t xml:space="preserve"> Estimated </w:t>
      </w:r>
      <w:r>
        <w:rPr>
          <w:rFonts w:ascii="Times New Roman" w:hAnsi="Times New Roman"/>
          <w:b/>
          <w:bCs/>
        </w:rPr>
        <w:t xml:space="preserve">Annualized Respondent Cost and Hour </w:t>
      </w:r>
      <w:r w:rsidRPr="00F9711B">
        <w:rPr>
          <w:rFonts w:ascii="Times New Roman" w:hAnsi="Times New Roman"/>
          <w:b/>
          <w:bCs/>
        </w:rPr>
        <w:t>Burden</w:t>
      </w:r>
    </w:p>
    <w:tbl>
      <w:tblPr>
        <w:tblStyle w:val="TableGrid"/>
        <w:tblW w:w="9581" w:type="dxa"/>
        <w:tblLayout w:type="fixed"/>
        <w:tblLook w:val="04A0"/>
      </w:tblPr>
      <w:tblGrid>
        <w:gridCol w:w="1885"/>
        <w:gridCol w:w="1491"/>
        <w:gridCol w:w="1620"/>
        <w:gridCol w:w="1710"/>
        <w:gridCol w:w="1184"/>
        <w:gridCol w:w="1691"/>
      </w:tblGrid>
      <w:tr w14:paraId="316A5065" w14:textId="77777777" w:rsidTr="004A2169">
        <w:tblPrEx>
          <w:tblW w:w="9581" w:type="dxa"/>
          <w:tblLayout w:type="fixed"/>
          <w:tblLook w:val="04A0"/>
        </w:tblPrEx>
        <w:trPr>
          <w:trHeight w:val="1178"/>
        </w:trPr>
        <w:tc>
          <w:tcPr>
            <w:tcW w:w="1885" w:type="dxa"/>
          </w:tcPr>
          <w:p w:rsidR="004E054D" w:rsidRPr="00AB165C" w:rsidP="00DF3F60" w14:paraId="7D8B6FAD" w14:textId="77777777">
            <w:pPr>
              <w:rPr>
                <w:rFonts w:ascii="Times New Roman" w:hAnsi="Times New Roman" w:cs="Times New Roman"/>
              </w:rPr>
            </w:pPr>
            <w:bookmarkStart w:id="7" w:name="_Hlk221887474"/>
          </w:p>
        </w:tc>
        <w:tc>
          <w:tcPr>
            <w:tcW w:w="1491" w:type="dxa"/>
          </w:tcPr>
          <w:p w:rsidR="004E054D" w:rsidRPr="00AB165C" w:rsidP="00DF3F60" w14:paraId="69483B67" w14:textId="24E07B42">
            <w:pPr>
              <w:rPr>
                <w:rFonts w:ascii="Times New Roman" w:hAnsi="Times New Roman" w:cs="Times New Roman"/>
                <w:b/>
                <w:bCs/>
              </w:rPr>
            </w:pPr>
            <w:r>
              <w:rPr>
                <w:rFonts w:ascii="Times New Roman" w:hAnsi="Times New Roman" w:cs="Times New Roman"/>
                <w:b/>
                <w:bCs/>
              </w:rPr>
              <w:t>Total annual responses</w:t>
            </w:r>
          </w:p>
        </w:tc>
        <w:tc>
          <w:tcPr>
            <w:tcW w:w="1620" w:type="dxa"/>
          </w:tcPr>
          <w:p w:rsidR="004E054D" w:rsidRPr="00AB165C" w:rsidP="00DF3F60" w14:paraId="2C80AABB" w14:textId="2DE13CD0">
            <w:pPr>
              <w:rPr>
                <w:rFonts w:ascii="Times New Roman" w:hAnsi="Times New Roman" w:cs="Times New Roman"/>
                <w:b/>
                <w:bCs/>
              </w:rPr>
            </w:pPr>
            <w:r>
              <w:rPr>
                <w:rFonts w:ascii="Times New Roman" w:hAnsi="Times New Roman" w:cs="Times New Roman"/>
                <w:b/>
                <w:bCs/>
              </w:rPr>
              <w:t>Participation time (min)</w:t>
            </w:r>
            <w:r w:rsidRPr="00AB165C">
              <w:rPr>
                <w:rFonts w:ascii="Times New Roman" w:hAnsi="Times New Roman" w:cs="Times New Roman"/>
                <w:b/>
                <w:bCs/>
              </w:rPr>
              <w:t xml:space="preserve"> </w:t>
            </w:r>
          </w:p>
        </w:tc>
        <w:tc>
          <w:tcPr>
            <w:tcW w:w="1710" w:type="dxa"/>
          </w:tcPr>
          <w:p w:rsidR="004E054D" w:rsidRPr="00AB165C" w:rsidP="00DF3F60" w14:paraId="4E8DFBA3" w14:textId="17A9DA2C">
            <w:pPr>
              <w:rPr>
                <w:rFonts w:ascii="Times New Roman" w:hAnsi="Times New Roman" w:cs="Times New Roman"/>
                <w:b/>
                <w:bCs/>
              </w:rPr>
            </w:pPr>
            <w:r w:rsidRPr="00AB165C">
              <w:rPr>
                <w:rFonts w:ascii="Times New Roman" w:hAnsi="Times New Roman" w:cs="Times New Roman"/>
                <w:b/>
                <w:bCs/>
              </w:rPr>
              <w:t xml:space="preserve">Total burden </w:t>
            </w:r>
            <w:r>
              <w:rPr>
                <w:rFonts w:ascii="Times New Roman" w:hAnsi="Times New Roman" w:cs="Times New Roman"/>
                <w:b/>
                <w:bCs/>
              </w:rPr>
              <w:t>(</w:t>
            </w:r>
            <w:r w:rsidRPr="00AB165C">
              <w:rPr>
                <w:rFonts w:ascii="Times New Roman" w:hAnsi="Times New Roman" w:cs="Times New Roman"/>
                <w:b/>
                <w:bCs/>
              </w:rPr>
              <w:t>hours</w:t>
            </w:r>
            <w:r>
              <w:rPr>
                <w:rFonts w:ascii="Times New Roman" w:hAnsi="Times New Roman" w:cs="Times New Roman"/>
                <w:b/>
                <w:bCs/>
              </w:rPr>
              <w:t>)</w:t>
            </w:r>
          </w:p>
        </w:tc>
        <w:tc>
          <w:tcPr>
            <w:tcW w:w="1184" w:type="dxa"/>
          </w:tcPr>
          <w:p w:rsidR="004E054D" w:rsidP="00DF3F60" w14:paraId="739945EC" w14:textId="77777777">
            <w:pPr>
              <w:rPr>
                <w:rFonts w:ascii="Times New Roman" w:hAnsi="Times New Roman" w:cs="Times New Roman"/>
                <w:b/>
                <w:bCs/>
              </w:rPr>
            </w:pPr>
            <w:r w:rsidRPr="00AB165C">
              <w:rPr>
                <w:rFonts w:ascii="Times New Roman" w:hAnsi="Times New Roman" w:cs="Times New Roman"/>
                <w:b/>
                <w:bCs/>
              </w:rPr>
              <w:t xml:space="preserve">Hourly </w:t>
            </w:r>
          </w:p>
          <w:p w:rsidR="004E054D" w:rsidRPr="00AB165C" w:rsidP="00DF3F60" w14:paraId="37FB7036" w14:textId="12DB35A9">
            <w:pPr>
              <w:rPr>
                <w:rFonts w:ascii="Times New Roman" w:hAnsi="Times New Roman" w:cs="Times New Roman"/>
                <w:b/>
                <w:bCs/>
              </w:rPr>
            </w:pPr>
            <w:r w:rsidRPr="00AB165C">
              <w:rPr>
                <w:rFonts w:ascii="Times New Roman" w:hAnsi="Times New Roman" w:cs="Times New Roman"/>
                <w:b/>
                <w:bCs/>
              </w:rPr>
              <w:t>rate</w:t>
            </w:r>
            <w:r>
              <w:rPr>
                <w:rStyle w:val="FootnoteReference"/>
                <w:rFonts w:ascii="Times New Roman" w:hAnsi="Times New Roman" w:cs="Times New Roman"/>
                <w:b/>
                <w:bCs/>
              </w:rPr>
              <w:t>*</w:t>
            </w:r>
          </w:p>
        </w:tc>
        <w:tc>
          <w:tcPr>
            <w:tcW w:w="1691" w:type="dxa"/>
          </w:tcPr>
          <w:p w:rsidR="004E054D" w:rsidRPr="00AB165C" w:rsidP="00DF3F60" w14:paraId="440C92D8" w14:textId="77777777">
            <w:pPr>
              <w:rPr>
                <w:rFonts w:ascii="Times New Roman" w:hAnsi="Times New Roman" w:cs="Times New Roman"/>
                <w:b/>
                <w:bCs/>
              </w:rPr>
            </w:pPr>
            <w:r w:rsidRPr="00AB165C">
              <w:rPr>
                <w:rFonts w:ascii="Times New Roman" w:hAnsi="Times New Roman" w:cs="Times New Roman"/>
                <w:b/>
                <w:bCs/>
              </w:rPr>
              <w:t>Monetized value of respondent time</w:t>
            </w:r>
          </w:p>
        </w:tc>
      </w:tr>
      <w:tr w14:paraId="35CEDCC3" w14:textId="77777777" w:rsidTr="002F4DB2">
        <w:tblPrEx>
          <w:tblW w:w="9581" w:type="dxa"/>
          <w:tblLayout w:type="fixed"/>
          <w:tblLook w:val="04A0"/>
        </w:tblPrEx>
        <w:trPr>
          <w:trHeight w:val="467"/>
        </w:trPr>
        <w:tc>
          <w:tcPr>
            <w:tcW w:w="1885" w:type="dxa"/>
          </w:tcPr>
          <w:p w:rsidR="00346123" w:rsidP="009B4AB2" w14:paraId="5D582E89" w14:textId="1B564964">
            <w:pPr>
              <w:rPr>
                <w:rFonts w:ascii="Times New Roman" w:hAnsi="Times New Roman"/>
              </w:rPr>
            </w:pPr>
            <w:r>
              <w:rPr>
                <w:rFonts w:ascii="Times New Roman" w:hAnsi="Times New Roman"/>
              </w:rPr>
              <w:t>Informational webinar</w:t>
            </w:r>
          </w:p>
        </w:tc>
        <w:tc>
          <w:tcPr>
            <w:tcW w:w="1491" w:type="dxa"/>
          </w:tcPr>
          <w:p w:rsidR="00346123" w:rsidP="009B4AB2" w14:paraId="1AFE2CF7" w14:textId="58B6D277">
            <w:pPr>
              <w:rPr>
                <w:rFonts w:ascii="Times New Roman" w:hAnsi="Times New Roman"/>
              </w:rPr>
            </w:pPr>
            <w:r>
              <w:rPr>
                <w:rFonts w:ascii="Times New Roman" w:hAnsi="Times New Roman"/>
              </w:rPr>
              <w:t>2,349</w:t>
            </w:r>
          </w:p>
        </w:tc>
        <w:tc>
          <w:tcPr>
            <w:tcW w:w="1620" w:type="dxa"/>
          </w:tcPr>
          <w:p w:rsidR="00346123" w:rsidP="009B4AB2" w14:paraId="240FC87D" w14:textId="7C2E94CD">
            <w:pPr>
              <w:rPr>
                <w:rFonts w:ascii="Times New Roman" w:hAnsi="Times New Roman"/>
              </w:rPr>
            </w:pPr>
            <w:r>
              <w:rPr>
                <w:rFonts w:ascii="Times New Roman" w:hAnsi="Times New Roman"/>
              </w:rPr>
              <w:t>60</w:t>
            </w:r>
          </w:p>
        </w:tc>
        <w:tc>
          <w:tcPr>
            <w:tcW w:w="1710" w:type="dxa"/>
          </w:tcPr>
          <w:p w:rsidR="00346123" w:rsidRPr="00C97798" w:rsidP="009B4AB2" w14:paraId="0C8B2533" w14:textId="1767A910">
            <w:pPr>
              <w:rPr>
                <w:rFonts w:ascii="Times New Roman" w:hAnsi="Times New Roman"/>
              </w:rPr>
            </w:pPr>
            <w:r>
              <w:rPr>
                <w:rFonts w:ascii="Times New Roman" w:hAnsi="Times New Roman"/>
              </w:rPr>
              <w:t>2,349</w:t>
            </w:r>
          </w:p>
        </w:tc>
        <w:tc>
          <w:tcPr>
            <w:tcW w:w="1184" w:type="dxa"/>
          </w:tcPr>
          <w:p w:rsidR="00346123" w:rsidRPr="00C97798" w:rsidP="009B4AB2" w14:paraId="511EDB6F" w14:textId="1697AE77">
            <w:pPr>
              <w:rPr>
                <w:rFonts w:ascii="Times New Roman" w:hAnsi="Times New Roman"/>
              </w:rPr>
            </w:pPr>
            <w:r w:rsidRPr="00C97798">
              <w:rPr>
                <w:rFonts w:ascii="Times New Roman" w:hAnsi="Times New Roman" w:cs="Times New Roman"/>
              </w:rPr>
              <w:t>$63.60</w:t>
            </w:r>
          </w:p>
        </w:tc>
        <w:tc>
          <w:tcPr>
            <w:tcW w:w="1691" w:type="dxa"/>
          </w:tcPr>
          <w:p w:rsidR="00346123" w:rsidRPr="00C97798" w:rsidP="009B4AB2" w14:paraId="27D51D39" w14:textId="64CA516E">
            <w:pPr>
              <w:rPr>
                <w:rFonts w:ascii="Times New Roman" w:hAnsi="Times New Roman"/>
              </w:rPr>
            </w:pPr>
            <w:r>
              <w:rPr>
                <w:rFonts w:ascii="Times New Roman" w:hAnsi="Times New Roman"/>
              </w:rPr>
              <w:t>$149,396</w:t>
            </w:r>
          </w:p>
        </w:tc>
      </w:tr>
      <w:tr w14:paraId="38D0FCC7" w14:textId="77777777" w:rsidTr="008422E6">
        <w:tblPrEx>
          <w:tblW w:w="9581" w:type="dxa"/>
          <w:tblLayout w:type="fixed"/>
          <w:tblLook w:val="04A0"/>
        </w:tblPrEx>
        <w:trPr>
          <w:trHeight w:val="467"/>
        </w:trPr>
        <w:tc>
          <w:tcPr>
            <w:tcW w:w="1885" w:type="dxa"/>
          </w:tcPr>
          <w:p w:rsidR="009B4AB2" w:rsidRPr="00C97798" w:rsidP="009B4AB2" w14:paraId="72ECD5B4" w14:textId="3A438339">
            <w:pPr>
              <w:rPr>
                <w:rFonts w:ascii="Times New Roman" w:hAnsi="Times New Roman" w:cs="Times New Roman"/>
              </w:rPr>
            </w:pPr>
            <w:r>
              <w:rPr>
                <w:rFonts w:ascii="Times New Roman" w:hAnsi="Times New Roman" w:cs="Times New Roman"/>
              </w:rPr>
              <w:t>Data collection</w:t>
            </w:r>
            <w:r w:rsidRPr="00C97798">
              <w:rPr>
                <w:rFonts w:ascii="Times New Roman" w:hAnsi="Times New Roman" w:cs="Times New Roman"/>
              </w:rPr>
              <w:t xml:space="preserve"> </w:t>
            </w:r>
          </w:p>
        </w:tc>
        <w:tc>
          <w:tcPr>
            <w:tcW w:w="1491" w:type="dxa"/>
          </w:tcPr>
          <w:p w:rsidR="009B4AB2" w:rsidRPr="00C97798" w:rsidP="009B4AB2" w14:paraId="02CF4192" w14:textId="167E0A9C">
            <w:pPr>
              <w:rPr>
                <w:rFonts w:ascii="Times New Roman" w:hAnsi="Times New Roman" w:cs="Times New Roman"/>
              </w:rPr>
            </w:pPr>
            <w:r>
              <w:rPr>
                <w:rFonts w:ascii="Times New Roman" w:hAnsi="Times New Roman" w:cs="Times New Roman"/>
              </w:rPr>
              <w:t>2,349</w:t>
            </w:r>
          </w:p>
        </w:tc>
        <w:tc>
          <w:tcPr>
            <w:tcW w:w="1620" w:type="dxa"/>
          </w:tcPr>
          <w:p w:rsidR="009B4AB2" w:rsidRPr="00C97798" w:rsidP="009B4AB2" w14:paraId="64133629" w14:textId="56915D01">
            <w:pPr>
              <w:rPr>
                <w:rFonts w:ascii="Times New Roman" w:hAnsi="Times New Roman" w:cs="Times New Roman"/>
              </w:rPr>
            </w:pPr>
            <w:r>
              <w:rPr>
                <w:rFonts w:ascii="Times New Roman" w:hAnsi="Times New Roman" w:cs="Times New Roman"/>
              </w:rPr>
              <w:t>45</w:t>
            </w:r>
          </w:p>
        </w:tc>
        <w:tc>
          <w:tcPr>
            <w:tcW w:w="1710" w:type="dxa"/>
          </w:tcPr>
          <w:p w:rsidR="009B4AB2" w:rsidRPr="00C97798" w:rsidP="009B4AB2" w14:paraId="50119E9C" w14:textId="21A9D8CA">
            <w:pPr>
              <w:rPr>
                <w:rFonts w:ascii="Times New Roman" w:hAnsi="Times New Roman" w:cs="Times New Roman"/>
              </w:rPr>
            </w:pPr>
            <w:r w:rsidRPr="00C97798">
              <w:rPr>
                <w:rFonts w:ascii="Times New Roman" w:hAnsi="Times New Roman" w:cs="Times New Roman"/>
              </w:rPr>
              <w:t>1,</w:t>
            </w:r>
            <w:r w:rsidR="00125F2C">
              <w:rPr>
                <w:rFonts w:ascii="Times New Roman" w:hAnsi="Times New Roman" w:cs="Times New Roman"/>
              </w:rPr>
              <w:t>762</w:t>
            </w:r>
          </w:p>
        </w:tc>
        <w:tc>
          <w:tcPr>
            <w:tcW w:w="1184" w:type="dxa"/>
          </w:tcPr>
          <w:p w:rsidR="009B4AB2" w:rsidRPr="00C97798" w:rsidP="009B4AB2" w14:paraId="4EFE9DBD" w14:textId="0D488580">
            <w:pPr>
              <w:rPr>
                <w:rFonts w:ascii="Times New Roman" w:hAnsi="Times New Roman" w:cs="Times New Roman"/>
              </w:rPr>
            </w:pPr>
            <w:r w:rsidRPr="00C97798">
              <w:rPr>
                <w:rFonts w:ascii="Times New Roman" w:hAnsi="Times New Roman" w:cs="Times New Roman"/>
              </w:rPr>
              <w:t>$63.60</w:t>
            </w:r>
          </w:p>
        </w:tc>
        <w:tc>
          <w:tcPr>
            <w:tcW w:w="1691" w:type="dxa"/>
          </w:tcPr>
          <w:p w:rsidR="009B4AB2" w:rsidRPr="00C97798" w:rsidP="009B4AB2" w14:paraId="18F6380D" w14:textId="178BF3CB">
            <w:pPr>
              <w:rPr>
                <w:rFonts w:ascii="Times New Roman" w:hAnsi="Times New Roman" w:cs="Times New Roman"/>
              </w:rPr>
            </w:pPr>
            <w:r w:rsidRPr="00C97798">
              <w:rPr>
                <w:rFonts w:ascii="Times New Roman" w:hAnsi="Times New Roman" w:cs="Times New Roman"/>
              </w:rPr>
              <w:t>$</w:t>
            </w:r>
            <w:r w:rsidR="0077042F">
              <w:rPr>
                <w:rFonts w:ascii="Times New Roman" w:hAnsi="Times New Roman" w:cs="Times New Roman"/>
              </w:rPr>
              <w:t>112,063</w:t>
            </w:r>
          </w:p>
        </w:tc>
      </w:tr>
      <w:tr w14:paraId="0A22ABB0" w14:textId="77777777" w:rsidTr="008422E6">
        <w:tblPrEx>
          <w:tblW w:w="9581" w:type="dxa"/>
          <w:tblLayout w:type="fixed"/>
          <w:tblLook w:val="04A0"/>
        </w:tblPrEx>
        <w:trPr>
          <w:trHeight w:val="980"/>
        </w:trPr>
        <w:tc>
          <w:tcPr>
            <w:tcW w:w="1885" w:type="dxa"/>
          </w:tcPr>
          <w:p w:rsidR="009B4AB2" w:rsidRPr="00C97798" w:rsidP="009B4AB2" w14:paraId="79C39921" w14:textId="1CD59020">
            <w:pPr>
              <w:rPr>
                <w:rFonts w:ascii="Times New Roman" w:hAnsi="Times New Roman" w:cs="Times New Roman"/>
              </w:rPr>
            </w:pPr>
            <w:r>
              <w:rPr>
                <w:rFonts w:ascii="Times New Roman" w:hAnsi="Times New Roman" w:cs="Times New Roman"/>
              </w:rPr>
              <w:t>O</w:t>
            </w:r>
            <w:r w:rsidR="00170129">
              <w:rPr>
                <w:rFonts w:ascii="Times New Roman" w:hAnsi="Times New Roman" w:cs="Times New Roman"/>
              </w:rPr>
              <w:t>utreach and d</w:t>
            </w:r>
            <w:r w:rsidRPr="00C97798">
              <w:rPr>
                <w:rFonts w:ascii="Times New Roman" w:hAnsi="Times New Roman" w:cs="Times New Roman"/>
              </w:rPr>
              <w:t xml:space="preserve">ata quality follow-up </w:t>
            </w:r>
          </w:p>
        </w:tc>
        <w:tc>
          <w:tcPr>
            <w:tcW w:w="1491" w:type="dxa"/>
          </w:tcPr>
          <w:p w:rsidR="009B4AB2" w:rsidRPr="00C97798" w:rsidP="009B4AB2" w14:paraId="5FD6719C" w14:textId="48441688">
            <w:pPr>
              <w:rPr>
                <w:rFonts w:ascii="Times New Roman" w:hAnsi="Times New Roman" w:cs="Times New Roman"/>
              </w:rPr>
            </w:pPr>
            <w:r>
              <w:rPr>
                <w:rFonts w:ascii="Times New Roman" w:hAnsi="Times New Roman" w:cs="Times New Roman"/>
              </w:rPr>
              <w:t>2,349</w:t>
            </w:r>
          </w:p>
        </w:tc>
        <w:tc>
          <w:tcPr>
            <w:tcW w:w="1620" w:type="dxa"/>
          </w:tcPr>
          <w:p w:rsidR="009B4AB2" w:rsidRPr="00C97798" w:rsidP="009B4AB2" w14:paraId="40D159CB" w14:textId="09B5FBC7">
            <w:pPr>
              <w:rPr>
                <w:rFonts w:ascii="Times New Roman" w:hAnsi="Times New Roman" w:cs="Times New Roman"/>
              </w:rPr>
            </w:pPr>
            <w:r>
              <w:rPr>
                <w:rFonts w:ascii="Times New Roman" w:hAnsi="Times New Roman" w:cs="Times New Roman"/>
              </w:rPr>
              <w:t>15</w:t>
            </w:r>
          </w:p>
        </w:tc>
        <w:tc>
          <w:tcPr>
            <w:tcW w:w="1710" w:type="dxa"/>
          </w:tcPr>
          <w:p w:rsidR="009B4AB2" w:rsidRPr="00C97798" w:rsidP="009B4AB2" w14:paraId="3A6E9EB5" w14:textId="5080CF38">
            <w:pPr>
              <w:rPr>
                <w:rFonts w:ascii="Times New Roman" w:hAnsi="Times New Roman" w:cs="Times New Roman"/>
              </w:rPr>
            </w:pPr>
            <w:r>
              <w:rPr>
                <w:rFonts w:ascii="Times New Roman" w:hAnsi="Times New Roman" w:cs="Times New Roman"/>
              </w:rPr>
              <w:t>587</w:t>
            </w:r>
          </w:p>
        </w:tc>
        <w:tc>
          <w:tcPr>
            <w:tcW w:w="1184" w:type="dxa"/>
          </w:tcPr>
          <w:p w:rsidR="009B4AB2" w:rsidRPr="00C97798" w:rsidP="009B4AB2" w14:paraId="40CB570D" w14:textId="248F3E7E">
            <w:pPr>
              <w:rPr>
                <w:rFonts w:ascii="Times New Roman" w:hAnsi="Times New Roman" w:cs="Times New Roman"/>
              </w:rPr>
            </w:pPr>
            <w:r w:rsidRPr="00C97798">
              <w:rPr>
                <w:rFonts w:ascii="Times New Roman" w:hAnsi="Times New Roman" w:cs="Times New Roman"/>
              </w:rPr>
              <w:t>$63.60</w:t>
            </w:r>
          </w:p>
        </w:tc>
        <w:tc>
          <w:tcPr>
            <w:tcW w:w="1691" w:type="dxa"/>
          </w:tcPr>
          <w:p w:rsidR="009B4AB2" w:rsidRPr="00C97798" w:rsidP="009B4AB2" w14:paraId="53D76AA2" w14:textId="47677661">
            <w:pPr>
              <w:rPr>
                <w:rFonts w:ascii="Times New Roman" w:hAnsi="Times New Roman" w:cs="Times New Roman"/>
              </w:rPr>
            </w:pPr>
            <w:r w:rsidRPr="00C97798">
              <w:rPr>
                <w:rFonts w:ascii="Times New Roman" w:hAnsi="Times New Roman" w:cs="Times New Roman"/>
              </w:rPr>
              <w:t>$</w:t>
            </w:r>
            <w:r w:rsidR="00234FBB">
              <w:rPr>
                <w:rFonts w:ascii="Times New Roman" w:hAnsi="Times New Roman" w:cs="Times New Roman"/>
              </w:rPr>
              <w:t>37,333</w:t>
            </w:r>
          </w:p>
        </w:tc>
      </w:tr>
      <w:tr w14:paraId="73522CB0" w14:textId="77777777" w:rsidTr="004A2169">
        <w:tblPrEx>
          <w:tblW w:w="9581" w:type="dxa"/>
          <w:tblLayout w:type="fixed"/>
          <w:tblLook w:val="04A0"/>
        </w:tblPrEx>
        <w:trPr>
          <w:trHeight w:val="350"/>
        </w:trPr>
        <w:tc>
          <w:tcPr>
            <w:tcW w:w="1885" w:type="dxa"/>
          </w:tcPr>
          <w:p w:rsidR="00182EAA" w:rsidRPr="00AB165C" w:rsidP="00182EAA" w14:paraId="2F79F7F0" w14:textId="77777777">
            <w:pPr>
              <w:rPr>
                <w:rFonts w:ascii="Times New Roman" w:hAnsi="Times New Roman" w:cs="Times New Roman"/>
                <w:b/>
                <w:bCs/>
              </w:rPr>
            </w:pPr>
            <w:r w:rsidRPr="00AB165C">
              <w:rPr>
                <w:rFonts w:ascii="Times New Roman" w:hAnsi="Times New Roman" w:cs="Times New Roman"/>
                <w:b/>
                <w:bCs/>
              </w:rPr>
              <w:t>Total</w:t>
            </w:r>
          </w:p>
        </w:tc>
        <w:tc>
          <w:tcPr>
            <w:tcW w:w="1491" w:type="dxa"/>
          </w:tcPr>
          <w:p w:rsidR="00182EAA" w:rsidRPr="00AB165C" w:rsidP="00182EAA" w14:paraId="75296CEE" w14:textId="500620C8">
            <w:pPr>
              <w:rPr>
                <w:rFonts w:ascii="Times New Roman" w:hAnsi="Times New Roman" w:cs="Times New Roman"/>
                <w:b/>
                <w:bCs/>
              </w:rPr>
            </w:pPr>
            <w:r w:rsidRPr="00AB165C">
              <w:rPr>
                <w:rFonts w:ascii="Times New Roman" w:hAnsi="Times New Roman" w:cs="Times New Roman"/>
                <w:b/>
                <w:bCs/>
              </w:rPr>
              <w:t>2,</w:t>
            </w:r>
            <w:r>
              <w:rPr>
                <w:rFonts w:ascii="Times New Roman" w:hAnsi="Times New Roman" w:cs="Times New Roman"/>
                <w:b/>
                <w:bCs/>
              </w:rPr>
              <w:t>349</w:t>
            </w:r>
          </w:p>
        </w:tc>
        <w:tc>
          <w:tcPr>
            <w:tcW w:w="1620" w:type="dxa"/>
          </w:tcPr>
          <w:p w:rsidR="00182EAA" w:rsidRPr="00AB165C" w:rsidP="00182EAA" w14:paraId="57E800D2" w14:textId="60BB47FB">
            <w:pPr>
              <w:rPr>
                <w:rFonts w:ascii="Times New Roman" w:hAnsi="Times New Roman" w:cs="Times New Roman"/>
                <w:b/>
                <w:bCs/>
              </w:rPr>
            </w:pPr>
          </w:p>
        </w:tc>
        <w:tc>
          <w:tcPr>
            <w:tcW w:w="1710" w:type="dxa"/>
          </w:tcPr>
          <w:p w:rsidR="00182EAA" w:rsidRPr="00AB165C" w:rsidP="00182EAA" w14:paraId="5A7FB92B" w14:textId="0BC5416D">
            <w:pPr>
              <w:rPr>
                <w:rFonts w:ascii="Times New Roman" w:hAnsi="Times New Roman" w:cs="Times New Roman"/>
                <w:b/>
                <w:bCs/>
              </w:rPr>
            </w:pPr>
            <w:r>
              <w:rPr>
                <w:rFonts w:ascii="Times New Roman" w:hAnsi="Times New Roman" w:cs="Times New Roman"/>
                <w:b/>
                <w:bCs/>
              </w:rPr>
              <w:t>4,698</w:t>
            </w:r>
          </w:p>
        </w:tc>
        <w:tc>
          <w:tcPr>
            <w:tcW w:w="1184" w:type="dxa"/>
          </w:tcPr>
          <w:p w:rsidR="00182EAA" w:rsidRPr="00AB165C" w:rsidP="00182EAA" w14:paraId="70EF9596" w14:textId="77777777">
            <w:pPr>
              <w:rPr>
                <w:rFonts w:ascii="Times New Roman" w:hAnsi="Times New Roman" w:cs="Times New Roman"/>
                <w:b/>
                <w:bCs/>
              </w:rPr>
            </w:pPr>
            <w:r w:rsidRPr="00AB165C">
              <w:rPr>
                <w:rFonts w:ascii="Times New Roman" w:hAnsi="Times New Roman" w:cs="Times New Roman"/>
                <w:b/>
                <w:bCs/>
              </w:rPr>
              <w:t>--</w:t>
            </w:r>
          </w:p>
        </w:tc>
        <w:tc>
          <w:tcPr>
            <w:tcW w:w="1691" w:type="dxa"/>
          </w:tcPr>
          <w:p w:rsidR="00182EAA" w:rsidRPr="00AB165C" w:rsidP="00182EAA" w14:paraId="324A9C12" w14:textId="296BB2E3">
            <w:pPr>
              <w:rPr>
                <w:rFonts w:ascii="Times New Roman" w:hAnsi="Times New Roman" w:cs="Times New Roman"/>
                <w:b/>
                <w:bCs/>
              </w:rPr>
            </w:pPr>
            <w:r w:rsidRPr="00AB165C">
              <w:rPr>
                <w:rFonts w:ascii="Times New Roman" w:hAnsi="Times New Roman" w:cs="Times New Roman"/>
                <w:b/>
                <w:bCs/>
              </w:rPr>
              <w:t>$</w:t>
            </w:r>
            <w:r w:rsidR="009F241B">
              <w:rPr>
                <w:rFonts w:ascii="Times New Roman" w:hAnsi="Times New Roman" w:cs="Times New Roman"/>
                <w:b/>
                <w:bCs/>
              </w:rPr>
              <w:t>298,793</w:t>
            </w:r>
          </w:p>
        </w:tc>
      </w:tr>
    </w:tbl>
    <w:bookmarkEnd w:id="7"/>
    <w:p w:rsidR="00FF253F" w:rsidRPr="004A2169" w:rsidP="00647A01" w14:paraId="662A3DA2" w14:textId="1621F6E6">
      <w:pPr>
        <w:rPr>
          <w:rFonts w:ascii="Times New Roman" w:hAnsi="Times New Roman"/>
          <w:bCs/>
          <w:i/>
          <w:iCs/>
        </w:rPr>
      </w:pPr>
      <w:r w:rsidRPr="004A2169">
        <w:rPr>
          <w:rFonts w:ascii="Times New Roman" w:hAnsi="Times New Roman"/>
          <w:bCs/>
          <w:i/>
          <w:iCs/>
        </w:rPr>
        <w:t xml:space="preserve">*Hourly rate for respondents obtained from the Bureau of Labor Statistics May 2023 estimates for Local Government Lawyers </w:t>
      </w:r>
    </w:p>
    <w:p w:rsidR="008422E6" w:rsidRPr="00647A01" w:rsidP="00647A01" w14:paraId="34291C01" w14:textId="77777777">
      <w:pPr>
        <w:rPr>
          <w:rFonts w:ascii="Times New Roman" w:hAnsi="Times New Roman"/>
          <w:b/>
          <w:bCs/>
        </w:rPr>
      </w:pPr>
    </w:p>
    <w:p w:rsidR="00CD215D" w:rsidRPr="0012107F" w:rsidP="00CD215D" w14:paraId="4F65FC61" w14:textId="1105AC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13</w:t>
      </w:r>
      <w:r w:rsidRPr="0012107F" w:rsidR="004D1C76">
        <w:rPr>
          <w:rFonts w:ascii="Times New Roman" w:hAnsi="Times New Roman"/>
          <w:b/>
        </w:rPr>
        <w:t>. Provide</w:t>
      </w:r>
      <w:r w:rsidRPr="0012107F">
        <w:rPr>
          <w:rFonts w:ascii="Times New Roman" w:hAnsi="Times New Roman"/>
          <w:b/>
        </w:rPr>
        <w:t xml:space="preserve"> an estimate of </w:t>
      </w:r>
      <w:r w:rsidRPr="0012107F" w:rsidR="00C667F3">
        <w:rPr>
          <w:rFonts w:ascii="Times New Roman" w:hAnsi="Times New Roman"/>
          <w:b/>
        </w:rPr>
        <w:t>the tot</w:t>
      </w:r>
      <w:r w:rsidRPr="0012107F">
        <w:rPr>
          <w:rFonts w:ascii="Times New Roman" w:hAnsi="Times New Roman"/>
          <w:b/>
        </w:rPr>
        <w:t xml:space="preserve">al annual cost burden to respondents or recordkeepers resulting from the collection of information.  (Do not include the cost of any hour </w:t>
      </w:r>
      <w:r w:rsidRPr="0012107F" w:rsidR="00C667F3">
        <w:rPr>
          <w:rFonts w:ascii="Times New Roman" w:hAnsi="Times New Roman"/>
          <w:b/>
        </w:rPr>
        <w:t>burden shown in Items 12 and 14</w:t>
      </w:r>
      <w:r w:rsidRPr="0012107F">
        <w:rPr>
          <w:rFonts w:ascii="Times New Roman" w:hAnsi="Times New Roman"/>
          <w:b/>
        </w:rPr>
        <w:t>)</w:t>
      </w:r>
      <w:r w:rsidRPr="0012107F" w:rsidR="00C667F3">
        <w:rPr>
          <w:rFonts w:ascii="Times New Roman" w:hAnsi="Times New Roman"/>
          <w:b/>
        </w:rPr>
        <w:t>.</w:t>
      </w:r>
    </w:p>
    <w:p w:rsidR="00584F8D" w:rsidRPr="0012107F"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T</w:t>
      </w:r>
      <w:r w:rsidRPr="0012107F" w:rsidR="00CD215D">
        <w:rPr>
          <w:rFonts w:ascii="Times New Roman" w:hAnsi="Times New Roman"/>
          <w:b/>
        </w:rPr>
        <w:t>he cost estimate should be split into two components</w:t>
      </w:r>
      <w:r w:rsidRPr="0012107F" w:rsidR="00CD215D">
        <w:rPr>
          <w:rFonts w:ascii="Times New Roman" w:hAnsi="Times New Roman"/>
          <w:b/>
        </w:rPr>
        <w:t>:</w:t>
      </w:r>
      <w:r w:rsidRPr="0012107F" w:rsidR="00AB4DC3">
        <w:rPr>
          <w:rFonts w:ascii="Times New Roman" w:hAnsi="Times New Roman"/>
          <w:b/>
        </w:rPr>
        <w:t xml:space="preserve">  (</w:t>
      </w:r>
      <w:r w:rsidRPr="0012107F" w:rsidR="00AB4DC3">
        <w:rPr>
          <w:rFonts w:ascii="Times New Roman" w:hAnsi="Times New Roman"/>
          <w:b/>
        </w:rPr>
        <w:t xml:space="preserve">a) </w:t>
      </w:r>
      <w:r w:rsidRPr="0012107F" w:rsidR="00AB4DC3">
        <w:rPr>
          <w:rFonts w:ascii="Times New Roman" w:hAnsi="Times New Roman"/>
          <w:b/>
        </w:rPr>
        <w:t>a total</w:t>
      </w:r>
      <w:r w:rsidRPr="0012107F" w:rsidR="00AB4DC3">
        <w:rPr>
          <w:rFonts w:ascii="Times New Roman" w:hAnsi="Times New Roman"/>
          <w:b/>
        </w:rPr>
        <w:t xml:space="preserve"> capital</w:t>
      </w:r>
    </w:p>
    <w:p w:rsidR="006F6E13" w:rsidRPr="0012107F"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a</w:t>
      </w:r>
      <w:r w:rsidRPr="0012107F" w:rsidR="00AB4DC3">
        <w:rPr>
          <w:rFonts w:ascii="Times New Roman" w:hAnsi="Times New Roman"/>
          <w:b/>
        </w:rPr>
        <w:t>nd</w:t>
      </w:r>
      <w:r w:rsidRPr="0012107F" w:rsidR="00584F8D">
        <w:rPr>
          <w:rFonts w:ascii="Times New Roman" w:hAnsi="Times New Roman"/>
          <w:b/>
        </w:rPr>
        <w:t xml:space="preserve"> </w:t>
      </w:r>
      <w:r w:rsidRPr="0012107F" w:rsidR="00AB4DC3">
        <w:rPr>
          <w:rFonts w:ascii="Times New Roman" w:hAnsi="Times New Roman"/>
          <w:b/>
        </w:rPr>
        <w:t xml:space="preserve">start </w:t>
      </w:r>
      <w:r w:rsidRPr="0012107F" w:rsidR="00CD215D">
        <w:rPr>
          <w:rFonts w:ascii="Times New Roman" w:hAnsi="Times New Roman"/>
          <w:b/>
        </w:rPr>
        <w:t>up</w:t>
      </w:r>
      <w:r w:rsidRPr="0012107F" w:rsidR="00CD215D">
        <w:rPr>
          <w:rFonts w:ascii="Times New Roman" w:hAnsi="Times New Roman"/>
          <w:b/>
        </w:rPr>
        <w:t xml:space="preserve"> cost component </w:t>
      </w:r>
      <w:r w:rsidRPr="0012107F" w:rsidR="00C667F3">
        <w:rPr>
          <w:rFonts w:ascii="Times New Roman" w:hAnsi="Times New Roman"/>
          <w:b/>
        </w:rPr>
        <w:t>(</w:t>
      </w:r>
      <w:r w:rsidRPr="0012107F" w:rsidR="00CD215D">
        <w:rPr>
          <w:rFonts w:ascii="Times New Roman" w:hAnsi="Times New Roman"/>
          <w:b/>
        </w:rPr>
        <w:t>annualized over its expected useful life)</w:t>
      </w:r>
      <w:r w:rsidRPr="0012107F" w:rsidR="00C667F3">
        <w:rPr>
          <w:rFonts w:ascii="Times New Roman" w:hAnsi="Times New Roman"/>
          <w:b/>
        </w:rPr>
        <w:t>;</w:t>
      </w:r>
      <w:r w:rsidRPr="0012107F" w:rsidR="00CD215D">
        <w:rPr>
          <w:rFonts w:ascii="Times New Roman" w:hAnsi="Times New Roman"/>
          <w:b/>
        </w:rPr>
        <w:t xml:space="preserve"> and (b) a</w:t>
      </w:r>
    </w:p>
    <w:p w:rsidR="00584F8D" w:rsidRPr="0012107F"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 xml:space="preserve">total operation and </w:t>
      </w:r>
      <w:r w:rsidRPr="0012107F" w:rsidR="006F6E13">
        <w:rPr>
          <w:rFonts w:ascii="Times New Roman" w:hAnsi="Times New Roman"/>
          <w:b/>
        </w:rPr>
        <w:t>m</w:t>
      </w:r>
      <w:r w:rsidRPr="0012107F">
        <w:rPr>
          <w:rFonts w:ascii="Times New Roman" w:hAnsi="Times New Roman"/>
          <w:b/>
        </w:rPr>
        <w:t>aintenance and purchase of se</w:t>
      </w:r>
      <w:r w:rsidRPr="0012107F" w:rsidR="006F6E13">
        <w:rPr>
          <w:rFonts w:ascii="Times New Roman" w:hAnsi="Times New Roman"/>
          <w:b/>
        </w:rPr>
        <w:t xml:space="preserve">rvice component.  </w:t>
      </w:r>
    </w:p>
    <w:p w:rsidR="00584F8D" w:rsidRPr="0012107F"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ab/>
      </w:r>
      <w:r w:rsidRPr="0012107F">
        <w:rPr>
          <w:rFonts w:ascii="Times New Roman" w:hAnsi="Times New Roman"/>
          <w:b/>
        </w:rPr>
        <w:tab/>
      </w:r>
      <w:r w:rsidRPr="0012107F" w:rsidR="006F6E13">
        <w:rPr>
          <w:rFonts w:ascii="Times New Roman" w:hAnsi="Times New Roman"/>
          <w:b/>
        </w:rPr>
        <w:t>The estimates</w:t>
      </w:r>
      <w:r w:rsidRPr="0012107F">
        <w:rPr>
          <w:rFonts w:ascii="Times New Roman" w:hAnsi="Times New Roman"/>
          <w:b/>
        </w:rPr>
        <w:t xml:space="preserve"> </w:t>
      </w:r>
      <w:r w:rsidRPr="0012107F" w:rsidR="00CD215D">
        <w:rPr>
          <w:rFonts w:ascii="Times New Roman" w:hAnsi="Times New Roman"/>
          <w:b/>
        </w:rPr>
        <w:t xml:space="preserve">should </w:t>
      </w:r>
      <w:r w:rsidRPr="0012107F" w:rsidR="00CD215D">
        <w:rPr>
          <w:rFonts w:ascii="Times New Roman" w:hAnsi="Times New Roman"/>
          <w:b/>
        </w:rPr>
        <w:t>take into account</w:t>
      </w:r>
      <w:r w:rsidRPr="0012107F" w:rsidR="00CD215D">
        <w:rPr>
          <w:rFonts w:ascii="Times New Roman" w:hAnsi="Times New Roman"/>
          <w:b/>
        </w:rPr>
        <w:t xml:space="preserve"> costs associated with generating, </w:t>
      </w:r>
    </w:p>
    <w:p w:rsidR="00584F8D" w:rsidRPr="0012107F"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ab/>
      </w:r>
      <w:r w:rsidRPr="0012107F">
        <w:rPr>
          <w:rFonts w:ascii="Times New Roman" w:hAnsi="Times New Roman"/>
          <w:b/>
        </w:rPr>
        <w:tab/>
      </w:r>
      <w:r w:rsidRPr="0012107F" w:rsidR="00CD215D">
        <w:rPr>
          <w:rFonts w:ascii="Times New Roman" w:hAnsi="Times New Roman"/>
          <w:b/>
        </w:rPr>
        <w:t xml:space="preserve">maintaining, and disclosing or providing </w:t>
      </w:r>
      <w:r w:rsidRPr="0012107F" w:rsidR="00CD215D">
        <w:rPr>
          <w:rFonts w:ascii="Times New Roman" w:hAnsi="Times New Roman"/>
          <w:b/>
        </w:rPr>
        <w:t>the information</w:t>
      </w:r>
      <w:r w:rsidRPr="0012107F" w:rsidR="00CD215D">
        <w:rPr>
          <w:rFonts w:ascii="Times New Roman" w:hAnsi="Times New Roman"/>
          <w:b/>
        </w:rPr>
        <w:t xml:space="preserve">.  Include descriptions of </w:t>
      </w:r>
    </w:p>
    <w:p w:rsidR="00CD215D" w:rsidRPr="0012107F"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 xml:space="preserve">methods used to estimate major cost factors including system and technology acquisition, expected useful life of capital equipment, the discount rate(s), and the </w:t>
      </w:r>
      <w:r w:rsidRPr="0012107F">
        <w:rPr>
          <w:rFonts w:ascii="Times New Roman" w:hAnsi="Times New Roman"/>
          <w:b/>
        </w:rPr>
        <w:t>time period</w:t>
      </w:r>
      <w:r w:rsidRPr="0012107F">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12107F"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12107F" w:rsidP="00CD215D" w14:paraId="32127F6A" w14:textId="330825F2">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5C59" w:rsidP="00DF1F48" w14:paraId="2FE10B32" w14:textId="77777777">
      <w:pPr>
        <w:rPr>
          <w:rFonts w:ascii="Times New Roman" w:hAnsi="Times New Roman"/>
        </w:rPr>
      </w:pPr>
    </w:p>
    <w:p w:rsidR="00DF1F48" w:rsidRPr="00DF1F48" w:rsidP="00DF1F48" w14:paraId="151C2A56" w14:textId="3BDB9EF7">
      <w:pPr>
        <w:rPr>
          <w:rFonts w:ascii="Times New Roman" w:hAnsi="Times New Roman"/>
        </w:rPr>
      </w:pPr>
      <w:r w:rsidRPr="00DF1F48">
        <w:rPr>
          <w:rFonts w:ascii="Times New Roman" w:hAnsi="Times New Roman"/>
        </w:rPr>
        <w:t xml:space="preserve">There are no anticipated costs to respondents beyond the employee time expended in gathering information or completing the instrument. Respondents are not being asked to purchase anything or maintain any services as part of this data collection.  </w:t>
      </w:r>
    </w:p>
    <w:p w:rsidR="00690F56" w:rsidRPr="0012107F"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697B43F9" w14:textId="162F9D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14</w:t>
      </w:r>
      <w:r w:rsidRPr="0012107F" w:rsidR="004D1C76">
        <w:rPr>
          <w:rFonts w:ascii="Times New Roman" w:hAnsi="Times New Roman"/>
          <w:b/>
          <w:bCs/>
        </w:rPr>
        <w:t>. Provide</w:t>
      </w:r>
      <w:r w:rsidRPr="0012107F">
        <w:rPr>
          <w:rFonts w:ascii="Times New Roman" w:hAnsi="Times New Roman"/>
          <w:b/>
          <w:bCs/>
        </w:rPr>
        <w:t xml:space="preserve"> estimates of the annualized cost to the Federal Government.  Also, provide a description of the method used to estimate </w:t>
      </w:r>
      <w:r w:rsidRPr="0012107F">
        <w:rPr>
          <w:rFonts w:ascii="Times New Roman" w:hAnsi="Times New Roman"/>
          <w:b/>
          <w:bCs/>
        </w:rPr>
        <w:t>cost</w:t>
      </w:r>
      <w:r w:rsidRPr="0012107F">
        <w:rPr>
          <w:rFonts w:ascii="Times New Roman" w:hAnsi="Times New Roman"/>
          <w:b/>
          <w:bCs/>
        </w:rPr>
        <w:t>, which should include quantification of hours, operational expenses (such as equipment, overhead, printing, and support staff), any other expense that would not have been incurred</w:t>
      </w:r>
      <w:r w:rsidRPr="0012107F">
        <w:rPr>
          <w:rFonts w:ascii="Times New Roman" w:hAnsi="Times New Roman"/>
        </w:rPr>
        <w:t xml:space="preserve"> </w:t>
      </w:r>
      <w:r w:rsidRPr="0012107F">
        <w:rPr>
          <w:rFonts w:ascii="Times New Roman" w:hAnsi="Times New Roman"/>
          <w:b/>
          <w:bCs/>
        </w:rPr>
        <w:t>without this collection of information.  Agencies also may aggregate cost estimates from Items 12, 13, and 14 into a single table.</w:t>
      </w:r>
    </w:p>
    <w:p w:rsidR="00736F15" w:rsidP="00487586" w14:paraId="10482AAB" w14:textId="77777777">
      <w:pPr>
        <w:rPr>
          <w:rFonts w:ascii="Times New Roman" w:hAnsi="Times New Roman"/>
        </w:rPr>
      </w:pPr>
    </w:p>
    <w:p w:rsidR="00487586" w:rsidP="00487586" w14:paraId="00D9F810" w14:textId="09D34752">
      <w:pPr>
        <w:rPr>
          <w:rFonts w:ascii="Times New Roman" w:hAnsi="Times New Roman"/>
        </w:rPr>
      </w:pPr>
      <w:r w:rsidRPr="00347630">
        <w:rPr>
          <w:rFonts w:ascii="Times New Roman" w:hAnsi="Times New Roman"/>
        </w:rPr>
        <w:t xml:space="preserve">The total cost to the Federal government for the </w:t>
      </w:r>
      <w:r w:rsidR="00A35CD3">
        <w:rPr>
          <w:rFonts w:ascii="Times New Roman" w:hAnsi="Times New Roman"/>
        </w:rPr>
        <w:t>2025 CPO</w:t>
      </w:r>
      <w:r w:rsidRPr="00347630">
        <w:rPr>
          <w:rFonts w:ascii="Times New Roman" w:hAnsi="Times New Roman"/>
        </w:rPr>
        <w:t xml:space="preserve"> data collection </w:t>
      </w:r>
      <w:r w:rsidRPr="00C01ED2">
        <w:rPr>
          <w:rFonts w:ascii="Times New Roman" w:hAnsi="Times New Roman"/>
        </w:rPr>
        <w:t xml:space="preserve">is </w:t>
      </w:r>
      <w:r w:rsidRPr="0076250F">
        <w:rPr>
          <w:rFonts w:ascii="Times New Roman" w:hAnsi="Times New Roman"/>
        </w:rPr>
        <w:t>$</w:t>
      </w:r>
      <w:r w:rsidR="009C490B">
        <w:rPr>
          <w:rFonts w:ascii="Times New Roman" w:hAnsi="Times New Roman"/>
        </w:rPr>
        <w:t>1,261,</w:t>
      </w:r>
      <w:r w:rsidR="00224D3E">
        <w:rPr>
          <w:rFonts w:ascii="Times New Roman" w:hAnsi="Times New Roman"/>
        </w:rPr>
        <w:t>073</w:t>
      </w:r>
      <w:r w:rsidRPr="00347630">
        <w:rPr>
          <w:rFonts w:ascii="Times New Roman" w:hAnsi="Times New Roman"/>
        </w:rPr>
        <w:t>, paid by BJS.</w:t>
      </w:r>
      <w:r>
        <w:rPr>
          <w:rFonts w:ascii="Times New Roman" w:hAnsi="Times New Roman"/>
        </w:rPr>
        <w:t xml:space="preserve"> BJS personnel costs are calculated based on the Office of Personnel Management’s salary table effective January 202</w:t>
      </w:r>
      <w:r w:rsidR="00A070AE">
        <w:rPr>
          <w:rFonts w:ascii="Times New Roman" w:hAnsi="Times New Roman"/>
        </w:rPr>
        <w:t>6</w:t>
      </w:r>
      <w:r>
        <w:rPr>
          <w:rFonts w:ascii="Times New Roman" w:hAnsi="Times New Roman"/>
        </w:rPr>
        <w:t>.</w:t>
      </w:r>
      <w:r w:rsidRPr="00347630">
        <w:rPr>
          <w:rFonts w:ascii="Times New Roman" w:hAnsi="Times New Roman"/>
        </w:rPr>
        <w:t xml:space="preserve"> </w:t>
      </w:r>
      <w:r>
        <w:rPr>
          <w:rFonts w:ascii="Times New Roman" w:hAnsi="Times New Roman"/>
        </w:rPr>
        <w:t>BJS awarded $</w:t>
      </w:r>
      <w:r w:rsidR="00EF7223">
        <w:rPr>
          <w:rFonts w:ascii="Times New Roman" w:hAnsi="Times New Roman"/>
        </w:rPr>
        <w:t xml:space="preserve">699,578 </w:t>
      </w:r>
      <w:r>
        <w:rPr>
          <w:rFonts w:ascii="Times New Roman" w:hAnsi="Times New Roman"/>
        </w:rPr>
        <w:t xml:space="preserve">to </w:t>
      </w:r>
      <w:r w:rsidR="00EA25DA">
        <w:rPr>
          <w:rFonts w:ascii="Times New Roman" w:hAnsi="Times New Roman"/>
        </w:rPr>
        <w:t xml:space="preserve">Urban </w:t>
      </w:r>
      <w:r>
        <w:rPr>
          <w:rFonts w:ascii="Times New Roman" w:hAnsi="Times New Roman"/>
        </w:rPr>
        <w:t xml:space="preserve">through a cooperative agreement. </w:t>
      </w:r>
      <w:r w:rsidRPr="00347630">
        <w:rPr>
          <w:rFonts w:ascii="Times New Roman" w:hAnsi="Times New Roman"/>
        </w:rPr>
        <w:t xml:space="preserve">This cost </w:t>
      </w:r>
      <w:r>
        <w:rPr>
          <w:rFonts w:ascii="Times New Roman" w:hAnsi="Times New Roman"/>
        </w:rPr>
        <w:t xml:space="preserve">is </w:t>
      </w:r>
      <w:r w:rsidRPr="00347630">
        <w:rPr>
          <w:rFonts w:ascii="Times New Roman" w:hAnsi="Times New Roman"/>
        </w:rPr>
        <w:t xml:space="preserve">associated with conducting the </w:t>
      </w:r>
      <w:r w:rsidR="00A35CD3">
        <w:rPr>
          <w:rFonts w:ascii="Times New Roman" w:hAnsi="Times New Roman"/>
        </w:rPr>
        <w:t>2025 CPO</w:t>
      </w:r>
      <w:r w:rsidRPr="00347630">
        <w:rPr>
          <w:rFonts w:ascii="Times New Roman" w:hAnsi="Times New Roman"/>
        </w:rPr>
        <w:t xml:space="preserve"> with a roster of </w:t>
      </w:r>
      <w:r>
        <w:rPr>
          <w:rFonts w:ascii="Times New Roman" w:hAnsi="Times New Roman"/>
        </w:rPr>
        <w:t>2,</w:t>
      </w:r>
      <w:r w:rsidR="00EF7223">
        <w:rPr>
          <w:rFonts w:ascii="Times New Roman" w:hAnsi="Times New Roman"/>
        </w:rPr>
        <w:t>349</w:t>
      </w:r>
      <w:r w:rsidRPr="00347630">
        <w:rPr>
          <w:rFonts w:ascii="Times New Roman" w:hAnsi="Times New Roman"/>
        </w:rPr>
        <w:t xml:space="preserve"> </w:t>
      </w:r>
      <w:r>
        <w:rPr>
          <w:rFonts w:ascii="Times New Roman" w:hAnsi="Times New Roman"/>
        </w:rPr>
        <w:t>offices</w:t>
      </w:r>
      <w:r w:rsidRPr="00347630">
        <w:rPr>
          <w:rFonts w:ascii="Times New Roman" w:hAnsi="Times New Roman"/>
        </w:rPr>
        <w:t>, analyzing the data, and producing BJS reports of the findings. The contractor</w:t>
      </w:r>
      <w:r w:rsidR="00A070AE">
        <w:rPr>
          <w:rFonts w:ascii="Times New Roman" w:hAnsi="Times New Roman"/>
        </w:rPr>
        <w:t xml:space="preserve">’s </w:t>
      </w:r>
      <w:r w:rsidRPr="00347630">
        <w:rPr>
          <w:rFonts w:ascii="Times New Roman" w:hAnsi="Times New Roman"/>
        </w:rPr>
        <w:t xml:space="preserve">costs include the amount spent on outreach efforts, project management, data monitoring and processing, and data documentation. The project is expected to take about </w:t>
      </w:r>
      <w:r w:rsidR="00EF7223">
        <w:rPr>
          <w:rFonts w:ascii="Times New Roman" w:hAnsi="Times New Roman"/>
        </w:rPr>
        <w:t>four</w:t>
      </w:r>
      <w:r>
        <w:rPr>
          <w:rFonts w:ascii="Times New Roman" w:hAnsi="Times New Roman"/>
        </w:rPr>
        <w:t xml:space="preserve"> </w:t>
      </w:r>
      <w:r w:rsidRPr="00347630">
        <w:rPr>
          <w:rFonts w:ascii="Times New Roman" w:hAnsi="Times New Roman"/>
        </w:rPr>
        <w:t>years, beginning in FY 20</w:t>
      </w:r>
      <w:r>
        <w:rPr>
          <w:rFonts w:ascii="Times New Roman" w:hAnsi="Times New Roman"/>
        </w:rPr>
        <w:t>2</w:t>
      </w:r>
      <w:r w:rsidR="00EA25DA">
        <w:rPr>
          <w:rFonts w:ascii="Times New Roman" w:hAnsi="Times New Roman"/>
        </w:rPr>
        <w:t>3</w:t>
      </w:r>
      <w:r w:rsidRPr="00347630">
        <w:rPr>
          <w:rFonts w:ascii="Times New Roman" w:hAnsi="Times New Roman"/>
        </w:rPr>
        <w:t xml:space="preserve"> and ending in FY 2</w:t>
      </w:r>
      <w:r>
        <w:rPr>
          <w:rFonts w:ascii="Times New Roman" w:hAnsi="Times New Roman"/>
        </w:rPr>
        <w:t>02</w:t>
      </w:r>
      <w:r w:rsidR="00EF7223">
        <w:rPr>
          <w:rFonts w:ascii="Times New Roman" w:hAnsi="Times New Roman"/>
        </w:rPr>
        <w:t>7</w:t>
      </w:r>
      <w:r w:rsidRPr="00347630">
        <w:rPr>
          <w:rFonts w:ascii="Times New Roman" w:hAnsi="Times New Roman"/>
        </w:rPr>
        <w:t xml:space="preserve">. </w:t>
      </w:r>
      <w:r>
        <w:rPr>
          <w:rFonts w:ascii="Times New Roman" w:hAnsi="Times New Roman"/>
        </w:rPr>
        <w:t xml:space="preserve">See </w:t>
      </w:r>
      <w:r w:rsidRPr="00BA5A71">
        <w:rPr>
          <w:rFonts w:ascii="Times New Roman" w:hAnsi="Times New Roman"/>
        </w:rPr>
        <w:t xml:space="preserve">Table </w:t>
      </w:r>
      <w:r>
        <w:rPr>
          <w:rFonts w:ascii="Times New Roman" w:hAnsi="Times New Roman"/>
        </w:rPr>
        <w:t>4 for a detailed breakdown of costs to the Federal government.</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422E6" w:rsidP="00DB02DE" w14:paraId="5DB12CA7" w14:textId="77777777">
      <w:pPr>
        <w:rPr>
          <w:rFonts w:ascii="Times New Roman" w:hAnsi="Times New Roman"/>
          <w:b/>
          <w:bCs/>
        </w:rPr>
      </w:pPr>
    </w:p>
    <w:p w:rsidR="00823187" w:rsidP="00DB02DE" w14:paraId="5D75E504" w14:textId="77777777">
      <w:pPr>
        <w:rPr>
          <w:rFonts w:ascii="Times New Roman" w:hAnsi="Times New Roman"/>
          <w:b/>
          <w:bCs/>
        </w:rPr>
      </w:pPr>
    </w:p>
    <w:p w:rsidR="00823187" w:rsidP="00DB02DE" w14:paraId="38B9745D" w14:textId="77777777">
      <w:pPr>
        <w:rPr>
          <w:rFonts w:ascii="Times New Roman" w:hAnsi="Times New Roman"/>
          <w:b/>
          <w:bCs/>
        </w:rPr>
      </w:pPr>
    </w:p>
    <w:p w:rsidR="00823187" w:rsidP="00DB02DE" w14:paraId="6A07D20F" w14:textId="77777777">
      <w:pPr>
        <w:rPr>
          <w:rFonts w:ascii="Times New Roman" w:hAnsi="Times New Roman"/>
          <w:b/>
          <w:bCs/>
        </w:rPr>
      </w:pPr>
    </w:p>
    <w:p w:rsidR="00823187" w:rsidP="00DB02DE" w14:paraId="64D638C1" w14:textId="77777777">
      <w:pPr>
        <w:rPr>
          <w:rFonts w:ascii="Times New Roman" w:hAnsi="Times New Roman"/>
          <w:b/>
          <w:bCs/>
        </w:rPr>
      </w:pPr>
    </w:p>
    <w:p w:rsidR="00DB02DE" w:rsidRPr="00F9711B" w:rsidP="00DB02DE" w14:paraId="29912DAD" w14:textId="040F6563">
      <w:pPr>
        <w:rPr>
          <w:rFonts w:ascii="Times New Roman" w:hAnsi="Times New Roman"/>
          <w:b/>
          <w:bCs/>
        </w:rPr>
      </w:pPr>
      <w:r w:rsidRPr="00F9711B">
        <w:rPr>
          <w:rFonts w:ascii="Times New Roman" w:hAnsi="Times New Roman"/>
          <w:b/>
          <w:bCs/>
        </w:rPr>
        <w:t xml:space="preserve">Table </w:t>
      </w:r>
      <w:r>
        <w:rPr>
          <w:rFonts w:ascii="Times New Roman" w:hAnsi="Times New Roman"/>
          <w:b/>
          <w:bCs/>
        </w:rPr>
        <w:t>4</w:t>
      </w:r>
      <w:r w:rsidRPr="00F9711B">
        <w:rPr>
          <w:rFonts w:ascii="Times New Roman" w:hAnsi="Times New Roman"/>
          <w:b/>
          <w:bCs/>
        </w:rPr>
        <w:t xml:space="preserve">. Estimated BJS and Contractor Costs for </w:t>
      </w:r>
      <w:r w:rsidR="00A35CD3">
        <w:rPr>
          <w:rFonts w:ascii="Times New Roman" w:hAnsi="Times New Roman"/>
          <w:b/>
          <w:bCs/>
        </w:rPr>
        <w:t>2025 CPO</w:t>
      </w:r>
    </w:p>
    <w:tbl>
      <w:tblPr>
        <w:tblStyle w:val="TableGrid"/>
        <w:tblW w:w="9540" w:type="dxa"/>
        <w:tblLook w:val="04A0"/>
      </w:tblPr>
      <w:tblGrid>
        <w:gridCol w:w="5940"/>
        <w:gridCol w:w="1890"/>
        <w:gridCol w:w="1710"/>
      </w:tblGrid>
      <w:tr w14:paraId="1667A96A" w14:textId="77777777" w:rsidTr="00DF3F60">
        <w:tblPrEx>
          <w:tblW w:w="9540" w:type="dxa"/>
          <w:tblLook w:val="04A0"/>
        </w:tblPrEx>
        <w:trPr>
          <w:trHeight w:val="246"/>
        </w:trPr>
        <w:tc>
          <w:tcPr>
            <w:tcW w:w="5940" w:type="dxa"/>
            <w:tcBorders>
              <w:top w:val="nil"/>
              <w:left w:val="nil"/>
              <w:right w:val="nil"/>
            </w:tcBorders>
          </w:tcPr>
          <w:p w:rsidR="00DB02DE" w:rsidRPr="00347630" w:rsidP="00DF3F60" w14:paraId="4192198B" w14:textId="77777777">
            <w:pPr>
              <w:rPr>
                <w:rFonts w:ascii="Times New Roman" w:hAnsi="Times New Roman" w:cs="Times New Roman"/>
              </w:rPr>
            </w:pPr>
          </w:p>
        </w:tc>
        <w:tc>
          <w:tcPr>
            <w:tcW w:w="1890" w:type="dxa"/>
            <w:tcBorders>
              <w:top w:val="nil"/>
              <w:left w:val="nil"/>
              <w:right w:val="nil"/>
            </w:tcBorders>
          </w:tcPr>
          <w:p w:rsidR="00DB02DE" w:rsidRPr="00347630" w:rsidP="00DF3F60" w14:paraId="1CEABF37" w14:textId="77777777">
            <w:pPr>
              <w:rPr>
                <w:rFonts w:ascii="Times New Roman" w:hAnsi="Times New Roman" w:cs="Times New Roman"/>
              </w:rPr>
            </w:pPr>
          </w:p>
        </w:tc>
        <w:tc>
          <w:tcPr>
            <w:tcW w:w="1710" w:type="dxa"/>
            <w:tcBorders>
              <w:top w:val="nil"/>
              <w:left w:val="nil"/>
              <w:right w:val="nil"/>
            </w:tcBorders>
          </w:tcPr>
          <w:p w:rsidR="00DB02DE" w:rsidRPr="00347630" w:rsidP="00DF3F60" w14:paraId="74B67306" w14:textId="77777777">
            <w:pPr>
              <w:rPr>
                <w:rFonts w:ascii="Times New Roman" w:hAnsi="Times New Roman" w:cs="Times New Roman"/>
              </w:rPr>
            </w:pPr>
          </w:p>
        </w:tc>
      </w:tr>
      <w:tr w14:paraId="5647538E" w14:textId="77777777" w:rsidTr="00DF3F60">
        <w:tblPrEx>
          <w:tblW w:w="9540" w:type="dxa"/>
          <w:tblLook w:val="04A0"/>
        </w:tblPrEx>
        <w:trPr>
          <w:trHeight w:val="246"/>
        </w:trPr>
        <w:tc>
          <w:tcPr>
            <w:tcW w:w="5940" w:type="dxa"/>
          </w:tcPr>
          <w:p w:rsidR="00DB02DE" w:rsidRPr="00AB165C" w:rsidP="00DF3F60" w14:paraId="21DB0148" w14:textId="77777777">
            <w:pPr>
              <w:rPr>
                <w:rFonts w:ascii="Times New Roman" w:hAnsi="Times New Roman" w:cs="Times New Roman"/>
                <w:b/>
              </w:rPr>
            </w:pPr>
            <w:r w:rsidRPr="00AB165C">
              <w:rPr>
                <w:rFonts w:ascii="Times New Roman" w:hAnsi="Times New Roman" w:cs="Times New Roman"/>
                <w:b/>
              </w:rPr>
              <w:t xml:space="preserve">Items </w:t>
            </w:r>
          </w:p>
        </w:tc>
        <w:tc>
          <w:tcPr>
            <w:tcW w:w="1890" w:type="dxa"/>
          </w:tcPr>
          <w:p w:rsidR="00DB02DE" w:rsidRPr="00AB165C" w:rsidP="00DF3F60" w14:paraId="69CCDC5A" w14:textId="77777777">
            <w:pPr>
              <w:rPr>
                <w:rFonts w:ascii="Times New Roman" w:hAnsi="Times New Roman" w:cs="Times New Roman"/>
                <w:b/>
              </w:rPr>
            </w:pPr>
            <w:r w:rsidRPr="00AB165C">
              <w:rPr>
                <w:rFonts w:ascii="Times New Roman" w:hAnsi="Times New Roman" w:cs="Times New Roman"/>
                <w:b/>
              </w:rPr>
              <w:t>Costs</w:t>
            </w:r>
          </w:p>
        </w:tc>
        <w:tc>
          <w:tcPr>
            <w:tcW w:w="1710" w:type="dxa"/>
          </w:tcPr>
          <w:p w:rsidR="00DB02DE" w:rsidRPr="00AB165C" w:rsidP="00DF3F60" w14:paraId="732E678C" w14:textId="77777777">
            <w:pPr>
              <w:rPr>
                <w:rFonts w:ascii="Times New Roman" w:hAnsi="Times New Roman" w:cs="Times New Roman"/>
                <w:b/>
              </w:rPr>
            </w:pPr>
            <w:r w:rsidRPr="00AB165C">
              <w:rPr>
                <w:rFonts w:ascii="Times New Roman" w:hAnsi="Times New Roman" w:cs="Times New Roman"/>
                <w:b/>
              </w:rPr>
              <w:t>Total</w:t>
            </w:r>
          </w:p>
        </w:tc>
      </w:tr>
      <w:tr w14:paraId="2F7F459F" w14:textId="77777777" w:rsidTr="00DF3F60">
        <w:tblPrEx>
          <w:tblW w:w="9540" w:type="dxa"/>
          <w:tblLook w:val="04A0"/>
        </w:tblPrEx>
        <w:trPr>
          <w:trHeight w:val="246"/>
        </w:trPr>
        <w:tc>
          <w:tcPr>
            <w:tcW w:w="5940" w:type="dxa"/>
          </w:tcPr>
          <w:p w:rsidR="00DB02DE" w:rsidRPr="00AB165C" w:rsidP="00DF3F60" w14:paraId="095D456E" w14:textId="77777777">
            <w:pPr>
              <w:rPr>
                <w:rFonts w:ascii="Times New Roman" w:hAnsi="Times New Roman" w:cs="Times New Roman"/>
              </w:rPr>
            </w:pPr>
            <w:r w:rsidRPr="00AB165C">
              <w:rPr>
                <w:rFonts w:ascii="Times New Roman" w:hAnsi="Times New Roman" w:cs="Times New Roman"/>
              </w:rPr>
              <w:t xml:space="preserve">BJS Personnel </w:t>
            </w:r>
          </w:p>
        </w:tc>
        <w:tc>
          <w:tcPr>
            <w:tcW w:w="1890" w:type="dxa"/>
          </w:tcPr>
          <w:p w:rsidR="00DB02DE" w:rsidRPr="00AB165C" w:rsidP="00DF3F60" w14:paraId="5A3D5471" w14:textId="58E8F845">
            <w:pPr>
              <w:rPr>
                <w:rFonts w:ascii="Times New Roman" w:hAnsi="Times New Roman" w:cs="Times New Roman"/>
              </w:rPr>
            </w:pPr>
          </w:p>
        </w:tc>
        <w:tc>
          <w:tcPr>
            <w:tcW w:w="1710" w:type="dxa"/>
          </w:tcPr>
          <w:p w:rsidR="00DB02DE" w:rsidRPr="00AB165C" w:rsidP="00DF3F60" w14:paraId="7DDD57D3" w14:textId="77777777">
            <w:pPr>
              <w:rPr>
                <w:rFonts w:ascii="Times New Roman" w:hAnsi="Times New Roman" w:cs="Times New Roman"/>
              </w:rPr>
            </w:pPr>
          </w:p>
        </w:tc>
      </w:tr>
      <w:tr w14:paraId="58FDBC6C" w14:textId="77777777" w:rsidTr="00DF3F60">
        <w:tblPrEx>
          <w:tblW w:w="9540" w:type="dxa"/>
          <w:tblLook w:val="04A0"/>
        </w:tblPrEx>
        <w:trPr>
          <w:trHeight w:val="246"/>
        </w:trPr>
        <w:tc>
          <w:tcPr>
            <w:tcW w:w="5940" w:type="dxa"/>
          </w:tcPr>
          <w:p w:rsidR="00DB02DE" w:rsidRPr="00AB165C" w:rsidP="00DF3F60" w14:paraId="409EA3ED" w14:textId="579E83E2">
            <w:pPr>
              <w:rPr>
                <w:rFonts w:ascii="Times New Roman" w:hAnsi="Times New Roman" w:cs="Times New Roman"/>
              </w:rPr>
            </w:pPr>
            <w:r w:rsidRPr="00AB165C">
              <w:rPr>
                <w:rFonts w:ascii="Times New Roman" w:hAnsi="Times New Roman" w:cs="Times New Roman"/>
              </w:rPr>
              <w:t xml:space="preserve">   GS-1</w:t>
            </w:r>
            <w:r w:rsidR="00170129">
              <w:rPr>
                <w:rFonts w:ascii="Times New Roman" w:hAnsi="Times New Roman" w:cs="Times New Roman"/>
              </w:rPr>
              <w:t>3</w:t>
            </w:r>
            <w:r w:rsidRPr="00AB165C">
              <w:rPr>
                <w:rFonts w:ascii="Times New Roman" w:hAnsi="Times New Roman" w:cs="Times New Roman"/>
              </w:rPr>
              <w:t xml:space="preserve"> Statistician (step </w:t>
            </w:r>
            <w:r w:rsidR="002A439E">
              <w:rPr>
                <w:rFonts w:ascii="Times New Roman" w:hAnsi="Times New Roman" w:cs="Times New Roman"/>
              </w:rPr>
              <w:t>1</w:t>
            </w:r>
            <w:r w:rsidRPr="00AB165C">
              <w:rPr>
                <w:rFonts w:ascii="Times New Roman" w:hAnsi="Times New Roman" w:cs="Times New Roman"/>
              </w:rPr>
              <w:t>: $</w:t>
            </w:r>
            <w:r>
              <w:rPr>
                <w:rFonts w:ascii="Times New Roman" w:hAnsi="Times New Roman" w:cs="Times New Roman"/>
              </w:rPr>
              <w:t>1</w:t>
            </w:r>
            <w:r w:rsidR="00170129">
              <w:rPr>
                <w:rFonts w:ascii="Times New Roman" w:hAnsi="Times New Roman" w:cs="Times New Roman"/>
              </w:rPr>
              <w:t>21</w:t>
            </w:r>
            <w:r w:rsidR="002A439E">
              <w:rPr>
                <w:rFonts w:ascii="Times New Roman" w:hAnsi="Times New Roman" w:cs="Times New Roman"/>
              </w:rPr>
              <w:t>,</w:t>
            </w:r>
            <w:r w:rsidR="00170129">
              <w:rPr>
                <w:rFonts w:ascii="Times New Roman" w:hAnsi="Times New Roman" w:cs="Times New Roman"/>
              </w:rPr>
              <w:t>785</w:t>
            </w:r>
            <w:r w:rsidRPr="00AB165C">
              <w:rPr>
                <w:rFonts w:ascii="Times New Roman" w:hAnsi="Times New Roman" w:cs="Times New Roman"/>
              </w:rPr>
              <w:t xml:space="preserve">), 40%  </w:t>
            </w:r>
          </w:p>
        </w:tc>
        <w:tc>
          <w:tcPr>
            <w:tcW w:w="1890" w:type="dxa"/>
          </w:tcPr>
          <w:p w:rsidR="00DB02DE" w:rsidRPr="00AB165C" w:rsidP="00DF3F60" w14:paraId="210399A9" w14:textId="6A2EC62D">
            <w:pPr>
              <w:rPr>
                <w:rFonts w:ascii="Times New Roman" w:hAnsi="Times New Roman" w:cs="Times New Roman"/>
              </w:rPr>
            </w:pPr>
            <w:r w:rsidRPr="00AB165C">
              <w:rPr>
                <w:rFonts w:ascii="Times New Roman" w:hAnsi="Times New Roman" w:cs="Times New Roman"/>
              </w:rPr>
              <w:t>$</w:t>
            </w:r>
            <w:r w:rsidR="00170129">
              <w:rPr>
                <w:rFonts w:ascii="Times New Roman" w:hAnsi="Times New Roman" w:cs="Times New Roman"/>
              </w:rPr>
              <w:t>48</w:t>
            </w:r>
            <w:r w:rsidR="002A439E">
              <w:rPr>
                <w:rFonts w:ascii="Times New Roman" w:hAnsi="Times New Roman" w:cs="Times New Roman"/>
              </w:rPr>
              <w:t>,</w:t>
            </w:r>
            <w:r w:rsidR="00170129">
              <w:rPr>
                <w:rFonts w:ascii="Times New Roman" w:hAnsi="Times New Roman" w:cs="Times New Roman"/>
              </w:rPr>
              <w:t>714</w:t>
            </w:r>
          </w:p>
        </w:tc>
        <w:tc>
          <w:tcPr>
            <w:tcW w:w="1710" w:type="dxa"/>
          </w:tcPr>
          <w:p w:rsidR="00DB02DE" w:rsidRPr="00AB165C" w:rsidP="00DF3F60" w14:paraId="222AA4B7" w14:textId="77777777">
            <w:pPr>
              <w:rPr>
                <w:rFonts w:ascii="Times New Roman" w:hAnsi="Times New Roman" w:cs="Times New Roman"/>
              </w:rPr>
            </w:pPr>
          </w:p>
        </w:tc>
      </w:tr>
      <w:tr w14:paraId="719E18A9" w14:textId="77777777" w:rsidTr="00DF3F60">
        <w:tblPrEx>
          <w:tblW w:w="9540" w:type="dxa"/>
          <w:tblLook w:val="04A0"/>
        </w:tblPrEx>
        <w:trPr>
          <w:trHeight w:val="494"/>
        </w:trPr>
        <w:tc>
          <w:tcPr>
            <w:tcW w:w="5940" w:type="dxa"/>
          </w:tcPr>
          <w:p w:rsidR="00DB02DE" w:rsidRPr="00AB165C" w:rsidP="00DF3F60" w14:paraId="0B0D0341" w14:textId="1B2D9E77">
            <w:pPr>
              <w:rPr>
                <w:rFonts w:ascii="Times New Roman" w:hAnsi="Times New Roman" w:cs="Times New Roman"/>
              </w:rPr>
            </w:pPr>
            <w:r w:rsidRPr="00AB165C">
              <w:rPr>
                <w:rFonts w:ascii="Times New Roman" w:hAnsi="Times New Roman" w:cs="Times New Roman"/>
              </w:rPr>
              <w:t xml:space="preserve">   GS-15 Supervisory Statistician (step </w:t>
            </w:r>
            <w:r w:rsidR="009C490B">
              <w:rPr>
                <w:rFonts w:ascii="Times New Roman" w:hAnsi="Times New Roman" w:cs="Times New Roman"/>
              </w:rPr>
              <w:t>4</w:t>
            </w:r>
            <w:r w:rsidRPr="00AB165C">
              <w:rPr>
                <w:rFonts w:ascii="Times New Roman" w:hAnsi="Times New Roman" w:cs="Times New Roman"/>
              </w:rPr>
              <w:t>: $1</w:t>
            </w:r>
            <w:r w:rsidR="00170129">
              <w:rPr>
                <w:rFonts w:ascii="Times New Roman" w:hAnsi="Times New Roman" w:cs="Times New Roman"/>
              </w:rPr>
              <w:t>8</w:t>
            </w:r>
            <w:r w:rsidR="009C490B">
              <w:rPr>
                <w:rFonts w:ascii="Times New Roman" w:hAnsi="Times New Roman" w:cs="Times New Roman"/>
              </w:rPr>
              <w:t>6</w:t>
            </w:r>
            <w:r>
              <w:rPr>
                <w:rFonts w:ascii="Times New Roman" w:hAnsi="Times New Roman" w:cs="Times New Roman"/>
              </w:rPr>
              <w:t>,</w:t>
            </w:r>
            <w:r w:rsidR="009C490B">
              <w:rPr>
                <w:rFonts w:ascii="Times New Roman" w:hAnsi="Times New Roman" w:cs="Times New Roman"/>
              </w:rPr>
              <w:t>207</w:t>
            </w:r>
            <w:r w:rsidRPr="00AB165C">
              <w:rPr>
                <w:rFonts w:ascii="Times New Roman" w:hAnsi="Times New Roman" w:cs="Times New Roman"/>
              </w:rPr>
              <w:t>), 1</w:t>
            </w:r>
            <w:r w:rsidR="00BC29C5">
              <w:rPr>
                <w:rFonts w:ascii="Times New Roman" w:hAnsi="Times New Roman" w:cs="Times New Roman"/>
              </w:rPr>
              <w:t>5</w:t>
            </w:r>
            <w:r w:rsidRPr="00AB165C">
              <w:rPr>
                <w:rFonts w:ascii="Times New Roman" w:hAnsi="Times New Roman" w:cs="Times New Roman"/>
              </w:rPr>
              <w:t>%</w:t>
            </w:r>
          </w:p>
        </w:tc>
        <w:tc>
          <w:tcPr>
            <w:tcW w:w="1890" w:type="dxa"/>
          </w:tcPr>
          <w:p w:rsidR="00DB02DE" w:rsidRPr="00AB165C" w:rsidP="00DF3F60" w14:paraId="0D427CA1" w14:textId="14B0AB26">
            <w:pPr>
              <w:rPr>
                <w:rFonts w:ascii="Times New Roman" w:hAnsi="Times New Roman" w:cs="Times New Roman"/>
              </w:rPr>
            </w:pPr>
            <w:r w:rsidRPr="00AB165C">
              <w:rPr>
                <w:rFonts w:ascii="Times New Roman" w:hAnsi="Times New Roman" w:cs="Times New Roman"/>
              </w:rPr>
              <w:t>$</w:t>
            </w:r>
            <w:r w:rsidR="00BC29C5">
              <w:rPr>
                <w:rFonts w:ascii="Times New Roman" w:hAnsi="Times New Roman" w:cs="Times New Roman"/>
              </w:rPr>
              <w:t>2</w:t>
            </w:r>
            <w:r w:rsidR="00D9036D">
              <w:rPr>
                <w:rFonts w:ascii="Times New Roman" w:hAnsi="Times New Roman" w:cs="Times New Roman"/>
              </w:rPr>
              <w:t>7</w:t>
            </w:r>
            <w:r w:rsidR="00BC29C5">
              <w:rPr>
                <w:rFonts w:ascii="Times New Roman" w:hAnsi="Times New Roman" w:cs="Times New Roman"/>
              </w:rPr>
              <w:t>,</w:t>
            </w:r>
            <w:r w:rsidR="009C490B">
              <w:rPr>
                <w:rFonts w:ascii="Times New Roman" w:hAnsi="Times New Roman" w:cs="Times New Roman"/>
              </w:rPr>
              <w:t>931</w:t>
            </w:r>
          </w:p>
        </w:tc>
        <w:tc>
          <w:tcPr>
            <w:tcW w:w="1710" w:type="dxa"/>
          </w:tcPr>
          <w:p w:rsidR="00DB02DE" w:rsidRPr="00AB165C" w:rsidP="00DF3F60" w14:paraId="4AB3DFD0" w14:textId="77777777">
            <w:pPr>
              <w:rPr>
                <w:rFonts w:ascii="Times New Roman" w:hAnsi="Times New Roman" w:cs="Times New Roman"/>
              </w:rPr>
            </w:pPr>
          </w:p>
        </w:tc>
      </w:tr>
      <w:tr w14:paraId="6CB794E6" w14:textId="77777777" w:rsidTr="00DF3F60">
        <w:tblPrEx>
          <w:tblW w:w="9540" w:type="dxa"/>
          <w:tblLook w:val="04A0"/>
        </w:tblPrEx>
        <w:trPr>
          <w:trHeight w:val="246"/>
        </w:trPr>
        <w:tc>
          <w:tcPr>
            <w:tcW w:w="5940" w:type="dxa"/>
          </w:tcPr>
          <w:p w:rsidR="00DB02DE" w:rsidRPr="00AB165C" w:rsidP="00DF3F60" w14:paraId="5924ED06" w14:textId="604550F2">
            <w:pPr>
              <w:rPr>
                <w:rFonts w:ascii="Times New Roman" w:hAnsi="Times New Roman" w:cs="Times New Roman"/>
              </w:rPr>
            </w:pPr>
            <w:r w:rsidRPr="00AB165C">
              <w:rPr>
                <w:rFonts w:ascii="Times New Roman" w:hAnsi="Times New Roman" w:cs="Times New Roman"/>
              </w:rPr>
              <w:t xml:space="preserve">   GS-13 Editor, (step 5: $1</w:t>
            </w:r>
            <w:r w:rsidR="00CF005A">
              <w:rPr>
                <w:rFonts w:ascii="Times New Roman" w:hAnsi="Times New Roman" w:cs="Times New Roman"/>
              </w:rPr>
              <w:t>3</w:t>
            </w:r>
            <w:r w:rsidR="00D9036D">
              <w:rPr>
                <w:rFonts w:ascii="Times New Roman" w:hAnsi="Times New Roman" w:cs="Times New Roman"/>
              </w:rPr>
              <w:t>8</w:t>
            </w:r>
            <w:r w:rsidR="00CF005A">
              <w:rPr>
                <w:rFonts w:ascii="Times New Roman" w:hAnsi="Times New Roman" w:cs="Times New Roman"/>
              </w:rPr>
              <w:t>,</w:t>
            </w:r>
            <w:r w:rsidR="00D9036D">
              <w:rPr>
                <w:rFonts w:ascii="Times New Roman" w:hAnsi="Times New Roman" w:cs="Times New Roman"/>
              </w:rPr>
              <w:t>024</w:t>
            </w:r>
            <w:r w:rsidRPr="00AB165C">
              <w:rPr>
                <w:rFonts w:ascii="Times New Roman" w:hAnsi="Times New Roman" w:cs="Times New Roman"/>
              </w:rPr>
              <w:t xml:space="preserve">), 10% </w:t>
            </w:r>
          </w:p>
        </w:tc>
        <w:tc>
          <w:tcPr>
            <w:tcW w:w="1890" w:type="dxa"/>
          </w:tcPr>
          <w:p w:rsidR="00DB02DE" w:rsidRPr="00AB165C" w:rsidP="00DF3F60" w14:paraId="78A5F317" w14:textId="1D0A5AFE">
            <w:pPr>
              <w:rPr>
                <w:rFonts w:ascii="Times New Roman" w:hAnsi="Times New Roman" w:cs="Times New Roman"/>
              </w:rPr>
            </w:pPr>
            <w:r w:rsidRPr="00AB165C">
              <w:rPr>
                <w:rFonts w:ascii="Times New Roman" w:hAnsi="Times New Roman" w:cs="Times New Roman"/>
              </w:rPr>
              <w:t>$1</w:t>
            </w:r>
            <w:r w:rsidR="00CF005A">
              <w:rPr>
                <w:rFonts w:ascii="Times New Roman" w:hAnsi="Times New Roman" w:cs="Times New Roman"/>
              </w:rPr>
              <w:t>3,</w:t>
            </w:r>
            <w:r w:rsidR="00D9036D">
              <w:rPr>
                <w:rFonts w:ascii="Times New Roman" w:hAnsi="Times New Roman" w:cs="Times New Roman"/>
              </w:rPr>
              <w:t>802</w:t>
            </w:r>
          </w:p>
        </w:tc>
        <w:tc>
          <w:tcPr>
            <w:tcW w:w="1710" w:type="dxa"/>
          </w:tcPr>
          <w:p w:rsidR="00DB02DE" w:rsidRPr="00AB165C" w:rsidP="00DF3F60" w14:paraId="116BB97C" w14:textId="77777777">
            <w:pPr>
              <w:rPr>
                <w:rFonts w:ascii="Times New Roman" w:hAnsi="Times New Roman" w:cs="Times New Roman"/>
              </w:rPr>
            </w:pPr>
          </w:p>
        </w:tc>
      </w:tr>
      <w:tr w14:paraId="29F60202" w14:textId="77777777" w:rsidTr="00DF3F60">
        <w:tblPrEx>
          <w:tblW w:w="9540" w:type="dxa"/>
          <w:tblLook w:val="04A0"/>
        </w:tblPrEx>
        <w:trPr>
          <w:trHeight w:val="235"/>
        </w:trPr>
        <w:tc>
          <w:tcPr>
            <w:tcW w:w="5940" w:type="dxa"/>
          </w:tcPr>
          <w:p w:rsidR="00DB02DE" w:rsidRPr="00AB165C" w:rsidP="00DF3F60" w14:paraId="59D82700" w14:textId="77777777">
            <w:pPr>
              <w:jc w:val="right"/>
              <w:rPr>
                <w:rFonts w:ascii="Times New Roman" w:hAnsi="Times New Roman" w:cs="Times New Roman"/>
              </w:rPr>
            </w:pPr>
            <w:r w:rsidRPr="00AB165C">
              <w:rPr>
                <w:rFonts w:ascii="Times New Roman" w:hAnsi="Times New Roman" w:cs="Times New Roman"/>
              </w:rPr>
              <w:t>Salaries Subtotal:</w:t>
            </w:r>
          </w:p>
        </w:tc>
        <w:tc>
          <w:tcPr>
            <w:tcW w:w="1890" w:type="dxa"/>
          </w:tcPr>
          <w:p w:rsidR="00DB02DE" w:rsidRPr="00AB165C" w:rsidP="00DF3F60" w14:paraId="545D171F" w14:textId="05D2C744">
            <w:pPr>
              <w:rPr>
                <w:rFonts w:ascii="Times New Roman" w:hAnsi="Times New Roman" w:cs="Times New Roman"/>
              </w:rPr>
            </w:pPr>
            <w:r w:rsidRPr="00AB165C">
              <w:rPr>
                <w:rFonts w:ascii="Times New Roman" w:hAnsi="Times New Roman" w:cs="Times New Roman"/>
              </w:rPr>
              <w:t>$</w:t>
            </w:r>
            <w:r w:rsidR="009C490B">
              <w:rPr>
                <w:rFonts w:ascii="Times New Roman" w:hAnsi="Times New Roman" w:cs="Times New Roman"/>
              </w:rPr>
              <w:t>90</w:t>
            </w:r>
            <w:r w:rsidR="002A439E">
              <w:rPr>
                <w:rFonts w:ascii="Times New Roman" w:hAnsi="Times New Roman" w:cs="Times New Roman"/>
              </w:rPr>
              <w:t>,</w:t>
            </w:r>
            <w:r w:rsidR="009C490B">
              <w:rPr>
                <w:rFonts w:ascii="Times New Roman" w:hAnsi="Times New Roman" w:cs="Times New Roman"/>
              </w:rPr>
              <w:t>447</w:t>
            </w:r>
          </w:p>
        </w:tc>
        <w:tc>
          <w:tcPr>
            <w:tcW w:w="1710" w:type="dxa"/>
          </w:tcPr>
          <w:p w:rsidR="00DB02DE" w:rsidRPr="00AB165C" w:rsidP="00DF3F60" w14:paraId="124CDE3A" w14:textId="77777777">
            <w:pPr>
              <w:rPr>
                <w:rFonts w:ascii="Times New Roman" w:hAnsi="Times New Roman" w:cs="Times New Roman"/>
              </w:rPr>
            </w:pPr>
          </w:p>
        </w:tc>
      </w:tr>
      <w:tr w14:paraId="24515715" w14:textId="77777777" w:rsidTr="00DF3F60">
        <w:tblPrEx>
          <w:tblW w:w="9540" w:type="dxa"/>
          <w:tblLook w:val="04A0"/>
        </w:tblPrEx>
        <w:trPr>
          <w:trHeight w:val="246"/>
        </w:trPr>
        <w:tc>
          <w:tcPr>
            <w:tcW w:w="5940" w:type="dxa"/>
          </w:tcPr>
          <w:p w:rsidR="00DB02DE" w:rsidRPr="00AB165C" w:rsidP="00DF3F60" w14:paraId="5DB7BD46" w14:textId="0CC434B8">
            <w:pPr>
              <w:rPr>
                <w:rFonts w:ascii="Times New Roman" w:hAnsi="Times New Roman" w:cs="Times New Roman"/>
              </w:rPr>
            </w:pPr>
            <w:r w:rsidRPr="00AB165C">
              <w:rPr>
                <w:rFonts w:ascii="Times New Roman" w:hAnsi="Times New Roman" w:cs="Times New Roman"/>
              </w:rPr>
              <w:t>Fringe benefits (</w:t>
            </w:r>
            <w:r w:rsidR="002A439E">
              <w:rPr>
                <w:rFonts w:ascii="Times New Roman" w:hAnsi="Times New Roman" w:cs="Times New Roman"/>
              </w:rPr>
              <w:t>30</w:t>
            </w:r>
            <w:r w:rsidRPr="00AB165C">
              <w:rPr>
                <w:rFonts w:ascii="Times New Roman" w:hAnsi="Times New Roman" w:cs="Times New Roman"/>
              </w:rPr>
              <w:t>% of salaries)</w:t>
            </w:r>
          </w:p>
        </w:tc>
        <w:tc>
          <w:tcPr>
            <w:tcW w:w="1890" w:type="dxa"/>
          </w:tcPr>
          <w:p w:rsidR="00DB02DE" w:rsidRPr="00AB165C" w:rsidP="00DF3F60" w14:paraId="6CE50942" w14:textId="1DBB4565">
            <w:pPr>
              <w:rPr>
                <w:rFonts w:ascii="Times New Roman" w:hAnsi="Times New Roman" w:cs="Times New Roman"/>
              </w:rPr>
            </w:pPr>
            <w:r w:rsidRPr="00AB165C">
              <w:rPr>
                <w:rFonts w:ascii="Times New Roman" w:hAnsi="Times New Roman" w:cs="Times New Roman"/>
              </w:rPr>
              <w:t>$</w:t>
            </w:r>
            <w:r w:rsidR="00924126">
              <w:rPr>
                <w:rFonts w:ascii="Times New Roman" w:hAnsi="Times New Roman" w:cs="Times New Roman"/>
              </w:rPr>
              <w:t>2</w:t>
            </w:r>
            <w:r w:rsidR="009C490B">
              <w:rPr>
                <w:rFonts w:ascii="Times New Roman" w:hAnsi="Times New Roman" w:cs="Times New Roman"/>
              </w:rPr>
              <w:t>7</w:t>
            </w:r>
            <w:r w:rsidR="002A439E">
              <w:rPr>
                <w:rFonts w:ascii="Times New Roman" w:hAnsi="Times New Roman" w:cs="Times New Roman"/>
              </w:rPr>
              <w:t>,</w:t>
            </w:r>
            <w:r w:rsidR="009C490B">
              <w:rPr>
                <w:rFonts w:ascii="Times New Roman" w:hAnsi="Times New Roman" w:cs="Times New Roman"/>
              </w:rPr>
              <w:t>134</w:t>
            </w:r>
          </w:p>
        </w:tc>
        <w:tc>
          <w:tcPr>
            <w:tcW w:w="1710" w:type="dxa"/>
          </w:tcPr>
          <w:p w:rsidR="00DB02DE" w:rsidRPr="00AB165C" w:rsidP="00DF3F60" w14:paraId="29A11939" w14:textId="77777777">
            <w:pPr>
              <w:rPr>
                <w:rFonts w:ascii="Times New Roman" w:hAnsi="Times New Roman" w:cs="Times New Roman"/>
              </w:rPr>
            </w:pPr>
          </w:p>
        </w:tc>
      </w:tr>
      <w:tr w14:paraId="3D3CE042" w14:textId="77777777" w:rsidTr="00DF3F60">
        <w:tblPrEx>
          <w:tblW w:w="9540" w:type="dxa"/>
          <w:tblLook w:val="04A0"/>
        </w:tblPrEx>
        <w:trPr>
          <w:trHeight w:val="246"/>
        </w:trPr>
        <w:tc>
          <w:tcPr>
            <w:tcW w:w="5940" w:type="dxa"/>
          </w:tcPr>
          <w:p w:rsidR="00DB02DE" w:rsidRPr="00AB165C" w:rsidP="00DF3F60" w14:paraId="5F867D05" w14:textId="77777777">
            <w:pPr>
              <w:jc w:val="right"/>
              <w:rPr>
                <w:rFonts w:ascii="Times New Roman" w:hAnsi="Times New Roman" w:cs="Times New Roman"/>
              </w:rPr>
            </w:pPr>
            <w:r w:rsidRPr="00AB165C">
              <w:rPr>
                <w:rFonts w:ascii="Times New Roman" w:hAnsi="Times New Roman" w:cs="Times New Roman"/>
              </w:rPr>
              <w:t xml:space="preserve">Salary &amp; Fringe Subtotal: </w:t>
            </w:r>
          </w:p>
        </w:tc>
        <w:tc>
          <w:tcPr>
            <w:tcW w:w="1890" w:type="dxa"/>
          </w:tcPr>
          <w:p w:rsidR="00DB02DE" w:rsidRPr="00AB165C" w:rsidP="00DF3F60" w14:paraId="45771217" w14:textId="550C3E9B">
            <w:pPr>
              <w:rPr>
                <w:rFonts w:ascii="Times New Roman" w:hAnsi="Times New Roman" w:cs="Times New Roman"/>
              </w:rPr>
            </w:pPr>
            <w:r w:rsidRPr="00AB165C">
              <w:rPr>
                <w:rFonts w:ascii="Times New Roman" w:hAnsi="Times New Roman" w:cs="Times New Roman"/>
              </w:rPr>
              <w:t>$</w:t>
            </w:r>
            <w:r w:rsidR="00D9036D">
              <w:rPr>
                <w:rFonts w:ascii="Times New Roman" w:hAnsi="Times New Roman" w:cs="Times New Roman"/>
              </w:rPr>
              <w:t>11</w:t>
            </w:r>
            <w:r w:rsidR="009C490B">
              <w:rPr>
                <w:rFonts w:ascii="Times New Roman" w:hAnsi="Times New Roman" w:cs="Times New Roman"/>
              </w:rPr>
              <w:t>7</w:t>
            </w:r>
            <w:r w:rsidR="002A439E">
              <w:rPr>
                <w:rFonts w:ascii="Times New Roman" w:hAnsi="Times New Roman" w:cs="Times New Roman"/>
              </w:rPr>
              <w:t>,</w:t>
            </w:r>
            <w:r w:rsidR="0077042F">
              <w:rPr>
                <w:rFonts w:ascii="Times New Roman" w:hAnsi="Times New Roman" w:cs="Times New Roman"/>
              </w:rPr>
              <w:t>581</w:t>
            </w:r>
          </w:p>
        </w:tc>
        <w:tc>
          <w:tcPr>
            <w:tcW w:w="1710" w:type="dxa"/>
          </w:tcPr>
          <w:p w:rsidR="00DB02DE" w:rsidRPr="00AB165C" w:rsidP="00DF3F60" w14:paraId="03FDDE11" w14:textId="77777777">
            <w:pPr>
              <w:rPr>
                <w:rFonts w:ascii="Times New Roman" w:hAnsi="Times New Roman" w:cs="Times New Roman"/>
              </w:rPr>
            </w:pPr>
          </w:p>
        </w:tc>
      </w:tr>
      <w:tr w14:paraId="72956A78" w14:textId="77777777" w:rsidTr="00DF3F60">
        <w:tblPrEx>
          <w:tblW w:w="9540" w:type="dxa"/>
          <w:tblLook w:val="04A0"/>
        </w:tblPrEx>
        <w:trPr>
          <w:trHeight w:val="246"/>
        </w:trPr>
        <w:tc>
          <w:tcPr>
            <w:tcW w:w="5940" w:type="dxa"/>
          </w:tcPr>
          <w:p w:rsidR="00DB02DE" w:rsidRPr="00AB165C" w:rsidP="00DF3F60" w14:paraId="637412A6" w14:textId="77777777">
            <w:pPr>
              <w:rPr>
                <w:rFonts w:ascii="Times New Roman" w:hAnsi="Times New Roman" w:cs="Times New Roman"/>
              </w:rPr>
            </w:pPr>
            <w:r w:rsidRPr="00AB165C">
              <w:rPr>
                <w:rFonts w:ascii="Times New Roman" w:hAnsi="Times New Roman" w:cs="Times New Roman"/>
              </w:rPr>
              <w:t>Other administrative costs of salary and fringe (15%)</w:t>
            </w:r>
          </w:p>
        </w:tc>
        <w:tc>
          <w:tcPr>
            <w:tcW w:w="1890" w:type="dxa"/>
          </w:tcPr>
          <w:p w:rsidR="00DB02DE" w:rsidRPr="00AB165C" w:rsidP="00DF3F60" w14:paraId="76FC5FDD" w14:textId="51CAA250">
            <w:pPr>
              <w:rPr>
                <w:rFonts w:ascii="Times New Roman" w:hAnsi="Times New Roman" w:cs="Times New Roman"/>
              </w:rPr>
            </w:pPr>
            <w:r w:rsidRPr="00AB165C">
              <w:rPr>
                <w:rFonts w:ascii="Times New Roman" w:hAnsi="Times New Roman" w:cs="Times New Roman"/>
              </w:rPr>
              <w:t>$</w:t>
            </w:r>
            <w:r w:rsidR="00D9036D">
              <w:rPr>
                <w:rFonts w:ascii="Times New Roman" w:hAnsi="Times New Roman" w:cs="Times New Roman"/>
              </w:rPr>
              <w:t>17</w:t>
            </w:r>
            <w:r w:rsidR="002A439E">
              <w:rPr>
                <w:rFonts w:ascii="Times New Roman" w:hAnsi="Times New Roman" w:cs="Times New Roman"/>
              </w:rPr>
              <w:t>,</w:t>
            </w:r>
            <w:r w:rsidR="0077042F">
              <w:rPr>
                <w:rFonts w:ascii="Times New Roman" w:hAnsi="Times New Roman" w:cs="Times New Roman"/>
              </w:rPr>
              <w:t>6</w:t>
            </w:r>
            <w:r w:rsidR="00224D3E">
              <w:rPr>
                <w:rFonts w:ascii="Times New Roman" w:hAnsi="Times New Roman" w:cs="Times New Roman"/>
              </w:rPr>
              <w:t>37</w:t>
            </w:r>
          </w:p>
        </w:tc>
        <w:tc>
          <w:tcPr>
            <w:tcW w:w="1710" w:type="dxa"/>
          </w:tcPr>
          <w:p w:rsidR="00DB02DE" w:rsidRPr="00AB165C" w:rsidP="00DF3F60" w14:paraId="4AF6A143" w14:textId="77777777">
            <w:pPr>
              <w:rPr>
                <w:rFonts w:ascii="Times New Roman" w:hAnsi="Times New Roman" w:cs="Times New Roman"/>
              </w:rPr>
            </w:pPr>
          </w:p>
        </w:tc>
      </w:tr>
      <w:tr w14:paraId="65974CCA" w14:textId="77777777" w:rsidTr="00DF3F60">
        <w:tblPrEx>
          <w:tblW w:w="9540" w:type="dxa"/>
          <w:tblLook w:val="04A0"/>
        </w:tblPrEx>
        <w:trPr>
          <w:trHeight w:val="246"/>
        </w:trPr>
        <w:tc>
          <w:tcPr>
            <w:tcW w:w="5940" w:type="dxa"/>
          </w:tcPr>
          <w:p w:rsidR="00DB02DE" w:rsidRPr="00AB165C" w:rsidP="00DF3F60" w14:paraId="69226358" w14:textId="77777777">
            <w:pPr>
              <w:jc w:val="right"/>
              <w:rPr>
                <w:rFonts w:ascii="Times New Roman" w:hAnsi="Times New Roman" w:cs="Times New Roman"/>
              </w:rPr>
            </w:pPr>
            <w:r w:rsidRPr="00AB165C">
              <w:rPr>
                <w:rFonts w:ascii="Times New Roman" w:hAnsi="Times New Roman" w:cs="Times New Roman"/>
              </w:rPr>
              <w:t>Total staff costs</w:t>
            </w:r>
          </w:p>
        </w:tc>
        <w:tc>
          <w:tcPr>
            <w:tcW w:w="1890" w:type="dxa"/>
          </w:tcPr>
          <w:p w:rsidR="00DB02DE" w:rsidRPr="00AB165C" w:rsidP="00DF3F60" w14:paraId="674A1A95" w14:textId="74601471">
            <w:pPr>
              <w:rPr>
                <w:rFonts w:ascii="Times New Roman" w:hAnsi="Times New Roman" w:cs="Times New Roman"/>
              </w:rPr>
            </w:pPr>
            <w:r w:rsidRPr="00AB165C">
              <w:rPr>
                <w:rFonts w:ascii="Times New Roman" w:hAnsi="Times New Roman" w:cs="Times New Roman"/>
              </w:rPr>
              <w:t>$1</w:t>
            </w:r>
            <w:r w:rsidR="006E525B">
              <w:rPr>
                <w:rFonts w:ascii="Times New Roman" w:hAnsi="Times New Roman" w:cs="Times New Roman"/>
              </w:rPr>
              <w:t>3</w:t>
            </w:r>
            <w:r w:rsidR="009C490B">
              <w:rPr>
                <w:rFonts w:ascii="Times New Roman" w:hAnsi="Times New Roman" w:cs="Times New Roman"/>
              </w:rPr>
              <w:t>5</w:t>
            </w:r>
            <w:r w:rsidR="002A439E">
              <w:rPr>
                <w:rFonts w:ascii="Times New Roman" w:hAnsi="Times New Roman" w:cs="Times New Roman"/>
              </w:rPr>
              <w:t>,</w:t>
            </w:r>
            <w:r w:rsidR="0077042F">
              <w:rPr>
                <w:rFonts w:ascii="Times New Roman" w:hAnsi="Times New Roman" w:cs="Times New Roman"/>
              </w:rPr>
              <w:t>2</w:t>
            </w:r>
            <w:r w:rsidR="00224D3E">
              <w:rPr>
                <w:rFonts w:ascii="Times New Roman" w:hAnsi="Times New Roman" w:cs="Times New Roman"/>
              </w:rPr>
              <w:t>18</w:t>
            </w:r>
            <w:r w:rsidRPr="00AB165C" w:rsidR="0077042F">
              <w:rPr>
                <w:rFonts w:ascii="Times New Roman" w:hAnsi="Times New Roman" w:cs="Times New Roman"/>
              </w:rPr>
              <w:t xml:space="preserve"> </w:t>
            </w:r>
            <w:r w:rsidRPr="00AB165C">
              <w:rPr>
                <w:rFonts w:ascii="Times New Roman" w:hAnsi="Times New Roman" w:cs="Times New Roman"/>
              </w:rPr>
              <w:t xml:space="preserve">x </w:t>
            </w:r>
            <w:r w:rsidR="00571CBD">
              <w:rPr>
                <w:rFonts w:ascii="Times New Roman" w:hAnsi="Times New Roman" w:cs="Times New Roman"/>
              </w:rPr>
              <w:t xml:space="preserve">4 </w:t>
            </w:r>
            <w:r w:rsidRPr="00AB165C">
              <w:rPr>
                <w:rFonts w:ascii="Times New Roman" w:hAnsi="Times New Roman" w:cs="Times New Roman"/>
              </w:rPr>
              <w:t>years</w:t>
            </w:r>
            <w:r w:rsidR="002A439E">
              <w:rPr>
                <w:rFonts w:ascii="Times New Roman" w:hAnsi="Times New Roman" w:cs="Times New Roman"/>
              </w:rPr>
              <w:t xml:space="preserve">, 2.5% raise escalation </w:t>
            </w:r>
            <w:r w:rsidR="001E3D7C">
              <w:rPr>
                <w:rFonts w:ascii="Times New Roman" w:hAnsi="Times New Roman" w:cs="Times New Roman"/>
              </w:rPr>
              <w:t>in years 2</w:t>
            </w:r>
            <w:r w:rsidR="00571CBD">
              <w:rPr>
                <w:rFonts w:ascii="Times New Roman" w:hAnsi="Times New Roman" w:cs="Times New Roman"/>
              </w:rPr>
              <w:t xml:space="preserve">, </w:t>
            </w:r>
            <w:r w:rsidR="001E3D7C">
              <w:rPr>
                <w:rFonts w:ascii="Times New Roman" w:hAnsi="Times New Roman" w:cs="Times New Roman"/>
              </w:rPr>
              <w:t>3</w:t>
            </w:r>
            <w:r w:rsidR="00571CBD">
              <w:rPr>
                <w:rFonts w:ascii="Times New Roman" w:hAnsi="Times New Roman" w:cs="Times New Roman"/>
              </w:rPr>
              <w:t>, and 4</w:t>
            </w:r>
          </w:p>
        </w:tc>
        <w:tc>
          <w:tcPr>
            <w:tcW w:w="1710" w:type="dxa"/>
          </w:tcPr>
          <w:p w:rsidR="00DB02DE" w:rsidRPr="00AB165C" w:rsidP="00DF3F60" w14:paraId="20EAAA63" w14:textId="24FD24F2">
            <w:pPr>
              <w:rPr>
                <w:rFonts w:ascii="Times New Roman" w:hAnsi="Times New Roman" w:cs="Times New Roman"/>
              </w:rPr>
            </w:pPr>
            <w:r w:rsidRPr="00AB165C">
              <w:rPr>
                <w:rFonts w:ascii="Times New Roman" w:hAnsi="Times New Roman" w:cs="Times New Roman"/>
              </w:rPr>
              <w:t>$</w:t>
            </w:r>
            <w:r w:rsidR="00440211">
              <w:rPr>
                <w:rFonts w:ascii="Times New Roman" w:hAnsi="Times New Roman" w:cs="Times New Roman"/>
              </w:rPr>
              <w:t>5</w:t>
            </w:r>
            <w:r w:rsidR="009C490B">
              <w:rPr>
                <w:rFonts w:ascii="Times New Roman" w:hAnsi="Times New Roman" w:cs="Times New Roman"/>
              </w:rPr>
              <w:t>61,</w:t>
            </w:r>
            <w:r w:rsidR="00224D3E">
              <w:rPr>
                <w:rFonts w:ascii="Times New Roman" w:hAnsi="Times New Roman" w:cs="Times New Roman"/>
              </w:rPr>
              <w:t>495</w:t>
            </w:r>
          </w:p>
        </w:tc>
      </w:tr>
      <w:tr w14:paraId="26256177" w14:textId="77777777" w:rsidTr="00DF3F60">
        <w:tblPrEx>
          <w:tblW w:w="9540" w:type="dxa"/>
          <w:tblLook w:val="04A0"/>
        </w:tblPrEx>
        <w:trPr>
          <w:trHeight w:val="246"/>
        </w:trPr>
        <w:tc>
          <w:tcPr>
            <w:tcW w:w="5940" w:type="dxa"/>
          </w:tcPr>
          <w:p w:rsidR="00DB02DE" w:rsidRPr="00AB165C" w:rsidP="00DF3F60" w14:paraId="7869BD64" w14:textId="524E0EF7">
            <w:pPr>
              <w:rPr>
                <w:rFonts w:ascii="Times New Roman" w:hAnsi="Times New Roman" w:cs="Times New Roman"/>
              </w:rPr>
            </w:pPr>
            <w:r>
              <w:rPr>
                <w:rFonts w:ascii="Times New Roman" w:hAnsi="Times New Roman" w:cs="Times New Roman"/>
              </w:rPr>
              <w:t>Urban</w:t>
            </w:r>
            <w:r w:rsidR="006E525B">
              <w:rPr>
                <w:rFonts w:ascii="Times New Roman" w:hAnsi="Times New Roman" w:cs="Times New Roman"/>
              </w:rPr>
              <w:t xml:space="preserve"> Institute</w:t>
            </w:r>
            <w:r w:rsidRPr="00AB165C">
              <w:rPr>
                <w:rFonts w:ascii="Times New Roman" w:hAnsi="Times New Roman" w:cs="Times New Roman"/>
              </w:rPr>
              <w:t xml:space="preserve"> cooperative agreement</w:t>
            </w:r>
          </w:p>
        </w:tc>
        <w:tc>
          <w:tcPr>
            <w:tcW w:w="1890" w:type="dxa"/>
          </w:tcPr>
          <w:p w:rsidR="00DB02DE" w:rsidRPr="00AB165C" w:rsidP="00DF3F60" w14:paraId="0B93A7A2" w14:textId="691F9426">
            <w:pPr>
              <w:rPr>
                <w:rFonts w:ascii="Times New Roman" w:hAnsi="Times New Roman" w:cs="Times New Roman"/>
              </w:rPr>
            </w:pPr>
            <w:r w:rsidRPr="00AB165C">
              <w:rPr>
                <w:rFonts w:ascii="Times New Roman" w:hAnsi="Times New Roman" w:cs="Times New Roman"/>
              </w:rPr>
              <w:t>$</w:t>
            </w:r>
            <w:bookmarkStart w:id="8" w:name="_Hlk222310359"/>
            <w:r w:rsidR="006E525B">
              <w:rPr>
                <w:rFonts w:ascii="Times New Roman" w:hAnsi="Times New Roman" w:cs="Times New Roman"/>
              </w:rPr>
              <w:t>6</w:t>
            </w:r>
            <w:r w:rsidR="00924126">
              <w:rPr>
                <w:rFonts w:ascii="Times New Roman" w:hAnsi="Times New Roman" w:cs="Times New Roman"/>
              </w:rPr>
              <w:t>99,</w:t>
            </w:r>
            <w:r w:rsidR="006E525B">
              <w:rPr>
                <w:rFonts w:ascii="Times New Roman" w:hAnsi="Times New Roman" w:cs="Times New Roman"/>
              </w:rPr>
              <w:t>578</w:t>
            </w:r>
            <w:bookmarkEnd w:id="8"/>
          </w:p>
        </w:tc>
        <w:tc>
          <w:tcPr>
            <w:tcW w:w="1710" w:type="dxa"/>
          </w:tcPr>
          <w:p w:rsidR="00DB02DE" w:rsidRPr="00AB165C" w:rsidP="00DF3F60" w14:paraId="3A92A088" w14:textId="5333398A">
            <w:pPr>
              <w:rPr>
                <w:rFonts w:ascii="Times New Roman" w:hAnsi="Times New Roman" w:cs="Times New Roman"/>
              </w:rPr>
            </w:pPr>
            <w:r w:rsidRPr="00AB165C">
              <w:rPr>
                <w:rFonts w:ascii="Times New Roman" w:hAnsi="Times New Roman" w:cs="Times New Roman"/>
              </w:rPr>
              <w:t>$</w:t>
            </w:r>
            <w:r w:rsidR="006E525B">
              <w:rPr>
                <w:rFonts w:ascii="Times New Roman" w:hAnsi="Times New Roman" w:cs="Times New Roman"/>
              </w:rPr>
              <w:t>6</w:t>
            </w:r>
            <w:r w:rsidR="00142E3D">
              <w:rPr>
                <w:rFonts w:ascii="Times New Roman" w:hAnsi="Times New Roman" w:cs="Times New Roman"/>
              </w:rPr>
              <w:t>99,</w:t>
            </w:r>
            <w:r w:rsidR="00B71CCF">
              <w:rPr>
                <w:rFonts w:ascii="Times New Roman" w:hAnsi="Times New Roman" w:cs="Times New Roman"/>
              </w:rPr>
              <w:t>578</w:t>
            </w:r>
          </w:p>
        </w:tc>
      </w:tr>
      <w:tr w14:paraId="621010C2" w14:textId="77777777" w:rsidTr="00DF3F60">
        <w:tblPrEx>
          <w:tblW w:w="9540" w:type="dxa"/>
          <w:tblLook w:val="04A0"/>
        </w:tblPrEx>
        <w:trPr>
          <w:trHeight w:val="235"/>
        </w:trPr>
        <w:tc>
          <w:tcPr>
            <w:tcW w:w="5940" w:type="dxa"/>
          </w:tcPr>
          <w:p w:rsidR="00DB02DE" w:rsidRPr="00AB165C" w:rsidP="00DF3F60" w14:paraId="0318E6D4" w14:textId="77777777">
            <w:pPr>
              <w:jc w:val="right"/>
              <w:rPr>
                <w:rFonts w:ascii="Times New Roman" w:hAnsi="Times New Roman" w:cs="Times New Roman"/>
                <w:b/>
              </w:rPr>
            </w:pPr>
            <w:r w:rsidRPr="00AB165C">
              <w:rPr>
                <w:rFonts w:ascii="Times New Roman" w:hAnsi="Times New Roman" w:cs="Times New Roman"/>
                <w:b/>
              </w:rPr>
              <w:t>Total Estimated Costs</w:t>
            </w:r>
          </w:p>
        </w:tc>
        <w:tc>
          <w:tcPr>
            <w:tcW w:w="1890" w:type="dxa"/>
          </w:tcPr>
          <w:p w:rsidR="00DB02DE" w:rsidRPr="00AB165C" w:rsidP="00DF3F60" w14:paraId="6D5C0943" w14:textId="77777777">
            <w:pPr>
              <w:rPr>
                <w:rFonts w:ascii="Times New Roman" w:hAnsi="Times New Roman" w:cs="Times New Roman"/>
              </w:rPr>
            </w:pPr>
          </w:p>
        </w:tc>
        <w:tc>
          <w:tcPr>
            <w:tcW w:w="1710" w:type="dxa"/>
          </w:tcPr>
          <w:p w:rsidR="00DB02DE" w:rsidRPr="00AB165C" w:rsidP="00DF3F60" w14:paraId="7EDC3CA9" w14:textId="1E7F0EFD">
            <w:pPr>
              <w:rPr>
                <w:rFonts w:ascii="Times New Roman" w:hAnsi="Times New Roman" w:cs="Times New Roman"/>
              </w:rPr>
            </w:pPr>
            <w:bookmarkStart w:id="9" w:name="_Hlk224127301"/>
            <w:r w:rsidRPr="00AB165C">
              <w:rPr>
                <w:rFonts w:ascii="Times New Roman" w:hAnsi="Times New Roman" w:cs="Times New Roman"/>
              </w:rPr>
              <w:t>$</w:t>
            </w:r>
            <w:bookmarkStart w:id="10" w:name="_Hlk222310319"/>
            <w:r w:rsidR="00F60153">
              <w:rPr>
                <w:rFonts w:ascii="Times New Roman" w:hAnsi="Times New Roman" w:cs="Times New Roman"/>
              </w:rPr>
              <w:t>1,</w:t>
            </w:r>
            <w:bookmarkEnd w:id="10"/>
            <w:r w:rsidR="009C490B">
              <w:rPr>
                <w:rFonts w:ascii="Times New Roman" w:hAnsi="Times New Roman" w:cs="Times New Roman"/>
              </w:rPr>
              <w:t>261,</w:t>
            </w:r>
            <w:bookmarkEnd w:id="9"/>
            <w:r w:rsidR="00224D3E">
              <w:rPr>
                <w:rFonts w:ascii="Times New Roman" w:hAnsi="Times New Roman" w:cs="Times New Roman"/>
              </w:rPr>
              <w:t>073</w:t>
            </w:r>
          </w:p>
        </w:tc>
      </w:tr>
    </w:tbl>
    <w:p w:rsidR="008B2796" w:rsidRPr="0012107F" w:rsidP="00690F56" w14:paraId="18A7D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5AC189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2107F">
        <w:rPr>
          <w:rFonts w:ascii="Times New Roman" w:hAnsi="Times New Roman"/>
          <w:b/>
          <w:bCs/>
        </w:rPr>
        <w:t>15.</w:t>
      </w:r>
      <w:r w:rsidRPr="0012107F">
        <w:rPr>
          <w:rFonts w:ascii="Times New Roman" w:hAnsi="Times New Roman"/>
          <w:b/>
          <w:bCs/>
        </w:rPr>
        <w:tab/>
        <w:t>Explain the reasons for any</w:t>
      </w:r>
      <w:r w:rsidRPr="0012107F" w:rsidR="00882AB5">
        <w:rPr>
          <w:rFonts w:ascii="Times New Roman" w:hAnsi="Times New Roman"/>
          <w:b/>
          <w:bCs/>
        </w:rPr>
        <w:t xml:space="preserve"> program changes or adjustments.</w:t>
      </w:r>
    </w:p>
    <w:p w:rsidR="00957C78" w:rsidP="0025632C" w14:paraId="13268EBF" w14:textId="77777777">
      <w:pPr>
        <w:rPr>
          <w:rFonts w:ascii="Times New Roman" w:hAnsi="Times New Roman"/>
          <w:bCs/>
        </w:rPr>
      </w:pPr>
    </w:p>
    <w:p w:rsidR="00BC4C16" w:rsidP="003D209F" w14:paraId="7B0EF48B" w14:textId="0E523B8A">
      <w:pPr>
        <w:rPr>
          <w:rFonts w:ascii="Times New Roman" w:hAnsi="Times New Roman"/>
          <w:bCs/>
        </w:rPr>
      </w:pPr>
      <w:r>
        <w:rPr>
          <w:rFonts w:ascii="Times New Roman" w:hAnsi="Times New Roman"/>
          <w:bCs/>
        </w:rPr>
        <w:t xml:space="preserve">Compared to the 2007 CPO, the burden for the 2025 CPO will be higher. </w:t>
      </w:r>
      <w:r w:rsidRPr="00BC4C16" w:rsidR="00F67BF2">
        <w:rPr>
          <w:rFonts w:ascii="Times New Roman" w:hAnsi="Times New Roman"/>
          <w:bCs/>
        </w:rPr>
        <w:t xml:space="preserve">The 2007 CPO </w:t>
      </w:r>
      <w:r w:rsidR="00720E65">
        <w:rPr>
          <w:rFonts w:ascii="Times New Roman" w:hAnsi="Times New Roman"/>
          <w:bCs/>
        </w:rPr>
        <w:t xml:space="preserve">instrument took </w:t>
      </w:r>
      <w:r w:rsidRPr="00BC4C16" w:rsidR="00F67BF2">
        <w:rPr>
          <w:rFonts w:ascii="Times New Roman" w:hAnsi="Times New Roman"/>
          <w:bCs/>
        </w:rPr>
        <w:t>30 minutes</w:t>
      </w:r>
      <w:r w:rsidR="00720E65">
        <w:rPr>
          <w:rFonts w:ascii="Times New Roman" w:hAnsi="Times New Roman"/>
          <w:bCs/>
        </w:rPr>
        <w:t xml:space="preserve"> and</w:t>
      </w:r>
      <w:r w:rsidRPr="00BC4C16" w:rsidR="00F67BF2">
        <w:rPr>
          <w:rFonts w:ascii="Times New Roman" w:hAnsi="Times New Roman"/>
        </w:rPr>
        <w:t xml:space="preserve"> had a 95% response rate</w:t>
      </w:r>
      <w:r w:rsidR="00720E65">
        <w:rPr>
          <w:rFonts w:ascii="Times New Roman" w:hAnsi="Times New Roman"/>
        </w:rPr>
        <w:t>.</w:t>
      </w:r>
      <w:r w:rsidRPr="00BC4C16" w:rsidR="00F67BF2">
        <w:rPr>
          <w:rFonts w:ascii="Times New Roman" w:hAnsi="Times New Roman"/>
        </w:rPr>
        <w:t xml:space="preserve"> </w:t>
      </w:r>
      <w:r w:rsidRPr="00BC4C16">
        <w:rPr>
          <w:rFonts w:ascii="Times New Roman" w:hAnsi="Times New Roman"/>
        </w:rPr>
        <w:t>To</w:t>
      </w:r>
      <w:r w:rsidRPr="00BC4C16" w:rsidR="00F67BF2">
        <w:rPr>
          <w:rFonts w:ascii="Times New Roman" w:hAnsi="Times New Roman"/>
        </w:rPr>
        <w:t xml:space="preserve"> obtain a </w:t>
      </w:r>
      <w:r>
        <w:rPr>
          <w:rFonts w:ascii="Times New Roman" w:hAnsi="Times New Roman"/>
        </w:rPr>
        <w:t>high</w:t>
      </w:r>
      <w:r w:rsidRPr="00BC4C16" w:rsidR="00F67BF2">
        <w:rPr>
          <w:rFonts w:ascii="Times New Roman" w:hAnsi="Times New Roman"/>
        </w:rPr>
        <w:t xml:space="preserve"> response rate, the questions asked in the </w:t>
      </w:r>
      <w:r w:rsidR="000372F5">
        <w:rPr>
          <w:rFonts w:ascii="Times New Roman" w:hAnsi="Times New Roman"/>
        </w:rPr>
        <w:t xml:space="preserve">2025 </w:t>
      </w:r>
      <w:r w:rsidRPr="00BC4C16" w:rsidR="00F67BF2">
        <w:rPr>
          <w:rFonts w:ascii="Times New Roman" w:hAnsi="Times New Roman"/>
        </w:rPr>
        <w:t xml:space="preserve">CPO were constructed in a fashion </w:t>
      </w:r>
      <w:r w:rsidRPr="00BC4C16">
        <w:rPr>
          <w:rFonts w:ascii="Times New Roman" w:hAnsi="Times New Roman"/>
        </w:rPr>
        <w:t xml:space="preserve">that </w:t>
      </w:r>
      <w:r w:rsidRPr="00BC4C16" w:rsidR="00F67BF2">
        <w:rPr>
          <w:rFonts w:ascii="Times New Roman" w:hAnsi="Times New Roman"/>
        </w:rPr>
        <w:t xml:space="preserve">closely aligned with </w:t>
      </w:r>
      <w:r w:rsidRPr="00BC4C16">
        <w:rPr>
          <w:rFonts w:ascii="Times New Roman" w:hAnsi="Times New Roman"/>
        </w:rPr>
        <w:t xml:space="preserve">the </w:t>
      </w:r>
      <w:r w:rsidRPr="00BC4C16" w:rsidR="00F67BF2">
        <w:rPr>
          <w:rFonts w:ascii="Times New Roman" w:hAnsi="Times New Roman"/>
        </w:rPr>
        <w:t>2007</w:t>
      </w:r>
      <w:r w:rsidRPr="00BC4C16">
        <w:rPr>
          <w:rFonts w:ascii="Times New Roman" w:hAnsi="Times New Roman"/>
        </w:rPr>
        <w:t xml:space="preserve"> CPO</w:t>
      </w:r>
      <w:r w:rsidRPr="00BC4C16" w:rsidR="00F67BF2">
        <w:rPr>
          <w:rFonts w:ascii="Times New Roman" w:hAnsi="Times New Roman"/>
        </w:rPr>
        <w:t xml:space="preserve">. </w:t>
      </w:r>
      <w:r w:rsidRPr="00BC4C16">
        <w:rPr>
          <w:rFonts w:ascii="Times New Roman" w:hAnsi="Times New Roman"/>
        </w:rPr>
        <w:t xml:space="preserve">Nonetheless, the instrument was adjusted to reflect modern prosecutorial practices and topics of interest to the Department, the field of prosecutors, scholars, and the </w:t>
      </w:r>
      <w:r w:rsidRPr="00BC4C16">
        <w:rPr>
          <w:rFonts w:ascii="Times New Roman" w:hAnsi="Times New Roman"/>
        </w:rPr>
        <w:t>general public</w:t>
      </w:r>
      <w:r w:rsidRPr="00BC4C16">
        <w:rPr>
          <w:rFonts w:ascii="Times New Roman" w:hAnsi="Times New Roman"/>
        </w:rPr>
        <w:t>.</w:t>
      </w:r>
      <w:r w:rsidR="00720E65">
        <w:rPr>
          <w:rFonts w:ascii="Times New Roman" w:hAnsi="Times New Roman"/>
        </w:rPr>
        <w:t xml:space="preserve"> </w:t>
      </w:r>
      <w:r>
        <w:rPr>
          <w:rFonts w:ascii="Times New Roman" w:hAnsi="Times New Roman"/>
        </w:rPr>
        <w:t>The</w:t>
      </w:r>
      <w:r w:rsidR="000372F5">
        <w:rPr>
          <w:rFonts w:ascii="Times New Roman" w:hAnsi="Times New Roman"/>
        </w:rPr>
        <w:t xml:space="preserve"> instrument burden is higher in the 2025 CPO (45 minutes)</w:t>
      </w:r>
      <w:r>
        <w:rPr>
          <w:rFonts w:ascii="Times New Roman" w:hAnsi="Times New Roman"/>
        </w:rPr>
        <w:t xml:space="preserve"> to account for these adjustments. Additionally, we are offering a </w:t>
      </w:r>
      <w:r w:rsidR="00823187">
        <w:rPr>
          <w:rFonts w:ascii="Times New Roman" w:hAnsi="Times New Roman"/>
        </w:rPr>
        <w:t>1-hour</w:t>
      </w:r>
      <w:r>
        <w:rPr>
          <w:rFonts w:ascii="Times New Roman" w:hAnsi="Times New Roman"/>
        </w:rPr>
        <w:t xml:space="preserve"> informational webinar to help boost the response rate. </w:t>
      </w:r>
    </w:p>
    <w:p w:rsidR="003D209F" w:rsidRPr="003D209F" w:rsidP="003D209F" w14:paraId="3D5C41E0" w14:textId="77777777">
      <w:pPr>
        <w:rPr>
          <w:rFonts w:ascii="Times New Roman" w:hAnsi="Times New Roman"/>
          <w:bCs/>
        </w:rPr>
      </w:pPr>
    </w:p>
    <w:p w:rsidR="00690F56" w:rsidP="00690F56" w14:paraId="4E4F3DC5" w14:textId="103DCB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1</w:t>
      </w:r>
      <w:r w:rsidRPr="0012107F" w:rsidR="00882AB5">
        <w:rPr>
          <w:rFonts w:ascii="Times New Roman" w:hAnsi="Times New Roman"/>
          <w:b/>
          <w:bCs/>
        </w:rPr>
        <w:t xml:space="preserve">6. </w:t>
      </w:r>
      <w:r w:rsidRPr="0012107F">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2107F">
        <w:rPr>
          <w:rFonts w:ascii="Times New Roman" w:hAnsi="Times New Roman"/>
        </w:rPr>
        <w:t>.</w:t>
      </w:r>
    </w:p>
    <w:p w:rsidR="00AB7BC6" w:rsidP="00690F56" w14:paraId="2DC45A33" w14:textId="60C524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F34C1" w:rsidRPr="000F34C1" w:rsidP="000F34C1" w14:paraId="10EA2D62" w14:textId="340DE6CA">
      <w:pPr>
        <w:rPr>
          <w:rFonts w:ascii="Times New Roman" w:hAnsi="Times New Roman"/>
        </w:rPr>
      </w:pPr>
      <w:r w:rsidRPr="000F34C1">
        <w:rPr>
          <w:rFonts w:ascii="Times New Roman" w:hAnsi="Times New Roman"/>
        </w:rPr>
        <w:t xml:space="preserve">BJS plans to release one or more statistical reports summarizing the characteristics of </w:t>
      </w:r>
      <w:r w:rsidR="003D209F">
        <w:rPr>
          <w:rFonts w:ascii="Times New Roman" w:hAnsi="Times New Roman"/>
        </w:rPr>
        <w:t>prosecutor</w:t>
      </w:r>
      <w:r>
        <w:rPr>
          <w:rFonts w:ascii="Times New Roman" w:hAnsi="Times New Roman"/>
        </w:rPr>
        <w:t xml:space="preserve"> offices</w:t>
      </w:r>
      <w:r w:rsidRPr="000F34C1">
        <w:rPr>
          <w:rFonts w:ascii="Times New Roman" w:hAnsi="Times New Roman"/>
        </w:rPr>
        <w:t xml:space="preserve"> across the nation. The first release of the data will </w:t>
      </w:r>
      <w:r w:rsidR="003D209F">
        <w:rPr>
          <w:rFonts w:ascii="Times New Roman" w:hAnsi="Times New Roman"/>
        </w:rPr>
        <w:t xml:space="preserve">provide </w:t>
      </w:r>
      <w:r w:rsidRPr="000F34C1">
        <w:rPr>
          <w:rFonts w:ascii="Times New Roman" w:hAnsi="Times New Roman"/>
        </w:rPr>
        <w:t xml:space="preserve">national counts of all </w:t>
      </w:r>
      <w:r w:rsidR="003D209F">
        <w:rPr>
          <w:rFonts w:ascii="Times New Roman" w:hAnsi="Times New Roman"/>
        </w:rPr>
        <w:t>prosecutors</w:t>
      </w:r>
      <w:r w:rsidR="00AF60D6">
        <w:rPr>
          <w:rFonts w:ascii="Times New Roman" w:hAnsi="Times New Roman"/>
        </w:rPr>
        <w:t xml:space="preserve"> and offices</w:t>
      </w:r>
      <w:r w:rsidRPr="000F34C1">
        <w:rPr>
          <w:rFonts w:ascii="Times New Roman" w:hAnsi="Times New Roman"/>
        </w:rPr>
        <w:t xml:space="preserve"> </w:t>
      </w:r>
      <w:r w:rsidR="003D209F">
        <w:rPr>
          <w:rFonts w:ascii="Times New Roman" w:hAnsi="Times New Roman"/>
        </w:rPr>
        <w:t>in the United States</w:t>
      </w:r>
      <w:r w:rsidRPr="000F34C1">
        <w:rPr>
          <w:rFonts w:ascii="Times New Roman" w:hAnsi="Times New Roman"/>
        </w:rPr>
        <w:t xml:space="preserve">, including: </w:t>
      </w:r>
    </w:p>
    <w:p w:rsidR="003D209F" w:rsidP="000F34C1" w14:paraId="3B9F3389" w14:textId="3C176E43">
      <w:pPr>
        <w:pStyle w:val="ListParagraph"/>
        <w:widowControl/>
        <w:numPr>
          <w:ilvl w:val="1"/>
          <w:numId w:val="23"/>
        </w:numPr>
        <w:autoSpaceDE/>
        <w:autoSpaceDN/>
        <w:adjustRightInd/>
        <w:ind w:left="720"/>
        <w:contextualSpacing/>
        <w:rPr>
          <w:rFonts w:ascii="Times New Roman" w:hAnsi="Times New Roman"/>
        </w:rPr>
      </w:pPr>
      <w:r>
        <w:rPr>
          <w:rFonts w:ascii="Times New Roman" w:hAnsi="Times New Roman"/>
        </w:rPr>
        <w:t>Demographic breakdown of chief and litigating attorneys</w:t>
      </w:r>
    </w:p>
    <w:p w:rsidR="003D209F" w:rsidP="000F34C1" w14:paraId="65E05C7C" w14:textId="40178CF7">
      <w:pPr>
        <w:pStyle w:val="ListParagraph"/>
        <w:widowControl/>
        <w:numPr>
          <w:ilvl w:val="1"/>
          <w:numId w:val="23"/>
        </w:numPr>
        <w:autoSpaceDE/>
        <w:autoSpaceDN/>
        <w:adjustRightInd/>
        <w:ind w:left="720"/>
        <w:contextualSpacing/>
        <w:rPr>
          <w:rFonts w:ascii="Times New Roman" w:hAnsi="Times New Roman"/>
        </w:rPr>
      </w:pPr>
      <w:r>
        <w:rPr>
          <w:rFonts w:ascii="Times New Roman" w:hAnsi="Times New Roman"/>
        </w:rPr>
        <w:t xml:space="preserve">Number </w:t>
      </w:r>
      <w:r w:rsidR="00E94779">
        <w:rPr>
          <w:rFonts w:ascii="Times New Roman" w:hAnsi="Times New Roman"/>
        </w:rPr>
        <w:t xml:space="preserve">of litigating attorneys and </w:t>
      </w:r>
      <w:r>
        <w:rPr>
          <w:rFonts w:ascii="Times New Roman" w:hAnsi="Times New Roman"/>
        </w:rPr>
        <w:t>non-attorney staff</w:t>
      </w:r>
    </w:p>
    <w:p w:rsidR="000F34C1" w:rsidRPr="000F34C1" w:rsidP="000F34C1" w14:paraId="41F94661" w14:textId="780D8F98">
      <w:pPr>
        <w:pStyle w:val="ListParagraph"/>
        <w:widowControl/>
        <w:numPr>
          <w:ilvl w:val="1"/>
          <w:numId w:val="23"/>
        </w:numPr>
        <w:autoSpaceDE/>
        <w:autoSpaceDN/>
        <w:adjustRightInd/>
        <w:ind w:left="720"/>
        <w:contextualSpacing/>
        <w:rPr>
          <w:rFonts w:ascii="Times New Roman" w:hAnsi="Times New Roman"/>
        </w:rPr>
      </w:pPr>
      <w:r>
        <w:rPr>
          <w:rFonts w:ascii="Times New Roman" w:hAnsi="Times New Roman"/>
        </w:rPr>
        <w:t xml:space="preserve">The average </w:t>
      </w:r>
      <w:r w:rsidR="00E94779">
        <w:rPr>
          <w:rFonts w:ascii="Times New Roman" w:hAnsi="Times New Roman"/>
        </w:rPr>
        <w:t xml:space="preserve">office </w:t>
      </w:r>
      <w:r>
        <w:rPr>
          <w:rFonts w:ascii="Times New Roman" w:hAnsi="Times New Roman"/>
        </w:rPr>
        <w:t xml:space="preserve">expenditure </w:t>
      </w:r>
    </w:p>
    <w:p w:rsidR="000F34C1" w:rsidRPr="000F34C1" w:rsidP="000F34C1" w14:paraId="130DCA90" w14:textId="752D28DA">
      <w:pPr>
        <w:pStyle w:val="ListParagraph"/>
        <w:widowControl/>
        <w:numPr>
          <w:ilvl w:val="1"/>
          <w:numId w:val="23"/>
        </w:numPr>
        <w:autoSpaceDE/>
        <w:autoSpaceDN/>
        <w:adjustRightInd/>
        <w:ind w:left="720"/>
        <w:contextualSpacing/>
        <w:rPr>
          <w:rFonts w:ascii="Times New Roman" w:hAnsi="Times New Roman"/>
        </w:rPr>
      </w:pPr>
      <w:r>
        <w:rPr>
          <w:rFonts w:ascii="Times New Roman" w:hAnsi="Times New Roman"/>
        </w:rPr>
        <w:t>The number of cases reviewed, filed, and declined for prosecution</w:t>
      </w:r>
    </w:p>
    <w:p w:rsidR="000F34C1" w:rsidRPr="000F34C1" w:rsidP="000F34C1" w14:paraId="1320C032" w14:textId="17B27FEA">
      <w:pPr>
        <w:pStyle w:val="ListParagraph"/>
        <w:widowControl/>
        <w:numPr>
          <w:ilvl w:val="1"/>
          <w:numId w:val="23"/>
        </w:numPr>
        <w:autoSpaceDE/>
        <w:autoSpaceDN/>
        <w:adjustRightInd/>
        <w:ind w:left="720"/>
        <w:contextualSpacing/>
        <w:rPr>
          <w:rFonts w:ascii="Times New Roman" w:hAnsi="Times New Roman"/>
        </w:rPr>
      </w:pPr>
      <w:r>
        <w:rPr>
          <w:rFonts w:ascii="Times New Roman" w:hAnsi="Times New Roman"/>
        </w:rPr>
        <w:t xml:space="preserve">Outcome of cases that were filed in court. </w:t>
      </w:r>
    </w:p>
    <w:p w:rsidR="000F34C1" w:rsidRPr="000F34C1" w:rsidP="000F34C1" w14:paraId="6A79F562" w14:textId="77777777">
      <w:pPr>
        <w:ind w:firstLine="360"/>
        <w:rPr>
          <w:rFonts w:ascii="Times New Roman" w:hAnsi="Times New Roman"/>
          <w:highlight w:val="yellow"/>
        </w:rPr>
      </w:pPr>
    </w:p>
    <w:p w:rsidR="00087DA2" w:rsidRPr="00681990" w:rsidP="00087DA2" w14:paraId="344E3438" w14:textId="5F22399D">
      <w:pPr>
        <w:rPr>
          <w:rFonts w:ascii="Times New Roman" w:hAnsi="Times New Roman"/>
        </w:rPr>
      </w:pPr>
      <w:r w:rsidRPr="00E66F7B">
        <w:rPr>
          <w:rFonts w:ascii="Times New Roman" w:hAnsi="Times New Roman"/>
        </w:rPr>
        <w:t xml:space="preserve">The </w:t>
      </w:r>
      <w:r w:rsidR="00A35CD3">
        <w:rPr>
          <w:rFonts w:ascii="Times New Roman" w:hAnsi="Times New Roman"/>
        </w:rPr>
        <w:t>2025 CPO</w:t>
      </w:r>
      <w:r w:rsidRPr="00E66F7B">
        <w:rPr>
          <w:rFonts w:ascii="Times New Roman" w:hAnsi="Times New Roman"/>
        </w:rPr>
        <w:t xml:space="preserve"> data will be archived in a public use file at the National Archive for Criminal Justice Data (NACJD)</w:t>
      </w:r>
      <w:r>
        <w:rPr>
          <w:rFonts w:ascii="Times New Roman" w:hAnsi="Times New Roman"/>
        </w:rPr>
        <w:t xml:space="preserve"> </w:t>
      </w:r>
      <w:r w:rsidRPr="0005205D">
        <w:rPr>
          <w:rFonts w:ascii="Times New Roman" w:hAnsi="Times New Roman"/>
        </w:rPr>
        <w:t xml:space="preserve">at the Inter-University Consortium for Political and Social Research </w:t>
      </w:r>
      <w:r w:rsidRPr="0005205D">
        <w:rPr>
          <w:rFonts w:ascii="Times New Roman" w:hAnsi="Times New Roman"/>
        </w:rPr>
        <w:t>(ICPSR)</w:t>
      </w:r>
      <w:r w:rsidR="00B7700F">
        <w:rPr>
          <w:rFonts w:ascii="Times New Roman" w:hAnsi="Times New Roman"/>
        </w:rPr>
        <w:t xml:space="preserve">. </w:t>
      </w:r>
      <w:r w:rsidRPr="004F27AA" w:rsidR="00B7700F">
        <w:rPr>
          <w:rFonts w:ascii="Times New Roman" w:hAnsi="Times New Roman"/>
        </w:rPr>
        <w:t xml:space="preserve">These </w:t>
      </w:r>
      <w:r w:rsidR="00B7700F">
        <w:rPr>
          <w:rFonts w:ascii="Times New Roman" w:hAnsi="Times New Roman"/>
        </w:rPr>
        <w:t xml:space="preserve">public use </w:t>
      </w:r>
      <w:r w:rsidRPr="004F27AA" w:rsidR="00B7700F">
        <w:rPr>
          <w:rFonts w:ascii="Times New Roman" w:hAnsi="Times New Roman"/>
        </w:rPr>
        <w:t>data</w:t>
      </w:r>
      <w:r w:rsidR="00B7700F">
        <w:rPr>
          <w:rFonts w:ascii="Times New Roman" w:hAnsi="Times New Roman"/>
        </w:rPr>
        <w:t xml:space="preserve"> files</w:t>
      </w:r>
      <w:r w:rsidRPr="004F27AA" w:rsidR="00B7700F">
        <w:rPr>
          <w:rFonts w:ascii="Times New Roman" w:hAnsi="Times New Roman"/>
        </w:rPr>
        <w:t xml:space="preserve"> </w:t>
      </w:r>
      <w:r>
        <w:rPr>
          <w:rFonts w:ascii="Times New Roman" w:hAnsi="Times New Roman"/>
        </w:rPr>
        <w:t xml:space="preserve">and supporting documentation </w:t>
      </w:r>
      <w:r w:rsidRPr="004F27AA" w:rsidR="00B7700F">
        <w:rPr>
          <w:rFonts w:ascii="Times New Roman" w:hAnsi="Times New Roman"/>
        </w:rPr>
        <w:t xml:space="preserve">will be fully available </w:t>
      </w:r>
      <w:r>
        <w:rPr>
          <w:rFonts w:ascii="Times New Roman" w:hAnsi="Times New Roman"/>
        </w:rPr>
        <w:t xml:space="preserve">for download </w:t>
      </w:r>
      <w:r w:rsidR="00B7700F">
        <w:rPr>
          <w:rFonts w:ascii="Times New Roman" w:hAnsi="Times New Roman"/>
        </w:rPr>
        <w:t xml:space="preserve">at no charge </w:t>
      </w:r>
      <w:r w:rsidRPr="004F27AA" w:rsidR="00B7700F">
        <w:rPr>
          <w:rFonts w:ascii="Times New Roman" w:hAnsi="Times New Roman"/>
        </w:rPr>
        <w:t>once the BJS report is published and the data are processed by NACJD.</w:t>
      </w:r>
      <w:r w:rsidR="00B7700F">
        <w:rPr>
          <w:rFonts w:ascii="Times New Roman" w:hAnsi="Times New Roman"/>
        </w:rPr>
        <w:t xml:space="preserve"> </w:t>
      </w:r>
      <w:r>
        <w:rPr>
          <w:rFonts w:ascii="Times New Roman" w:hAnsi="Times New Roman"/>
        </w:rPr>
        <w:t xml:space="preserve">To </w:t>
      </w:r>
      <w:r w:rsidRPr="0005205D">
        <w:rPr>
          <w:rFonts w:ascii="Times New Roman" w:hAnsi="Times New Roman"/>
        </w:rPr>
        <w:t>make it possible for other researchers, practitioners, policymakers, and citizens to access and analyze the information</w:t>
      </w:r>
      <w:r>
        <w:rPr>
          <w:rFonts w:ascii="Times New Roman" w:hAnsi="Times New Roman"/>
        </w:rPr>
        <w:t xml:space="preserve">, the data will be available in multiple formats such as Excel, SPSS, and/or SAS. </w:t>
      </w:r>
      <w:r w:rsidRPr="0058006B" w:rsidR="00B7700F">
        <w:rPr>
          <w:rFonts w:ascii="Times New Roman" w:hAnsi="Times New Roman"/>
        </w:rPr>
        <w:t>Access to these data permits analysts to identify the specific responses of individual facilities and to conduct their own statistical analyses.</w:t>
      </w:r>
      <w:r w:rsidRPr="00E66F7B">
        <w:rPr>
          <w:rFonts w:ascii="Times New Roman" w:hAnsi="Times New Roman"/>
        </w:rPr>
        <w:t xml:space="preserve"> For example, </w:t>
      </w:r>
      <w:r w:rsidRPr="00E66F7B" w:rsidR="001118B4">
        <w:rPr>
          <w:rFonts w:ascii="Times New Roman" w:hAnsi="Times New Roman"/>
        </w:rPr>
        <w:t xml:space="preserve">office total operating </w:t>
      </w:r>
      <w:r w:rsidRPr="00E66F7B" w:rsidR="00B31F0B">
        <w:rPr>
          <w:rFonts w:ascii="Times New Roman" w:hAnsi="Times New Roman"/>
        </w:rPr>
        <w:t>expenditure</w:t>
      </w:r>
      <w:r w:rsidRPr="00E66F7B" w:rsidR="001118B4">
        <w:rPr>
          <w:rFonts w:ascii="Times New Roman" w:hAnsi="Times New Roman"/>
        </w:rPr>
        <w:t xml:space="preserve"> </w:t>
      </w:r>
      <w:r w:rsidRPr="00E66F7B">
        <w:rPr>
          <w:rFonts w:ascii="Times New Roman" w:hAnsi="Times New Roman"/>
        </w:rPr>
        <w:t xml:space="preserve">can be analyzed </w:t>
      </w:r>
      <w:r w:rsidRPr="00E66F7B" w:rsidR="001118B4">
        <w:rPr>
          <w:rFonts w:ascii="Times New Roman" w:hAnsi="Times New Roman"/>
        </w:rPr>
        <w:t>in the context of staffing numbers</w:t>
      </w:r>
      <w:r w:rsidRPr="00E66F7B" w:rsidR="001623D8">
        <w:rPr>
          <w:rFonts w:ascii="Times New Roman" w:hAnsi="Times New Roman"/>
        </w:rPr>
        <w:t xml:space="preserve">, </w:t>
      </w:r>
      <w:r w:rsidRPr="00E66F7B" w:rsidR="003857AC">
        <w:rPr>
          <w:rFonts w:ascii="Times New Roman" w:hAnsi="Times New Roman"/>
        </w:rPr>
        <w:t>caseloads, and</w:t>
      </w:r>
      <w:r w:rsidRPr="00E66F7B" w:rsidR="001623D8">
        <w:rPr>
          <w:rFonts w:ascii="Times New Roman" w:hAnsi="Times New Roman"/>
        </w:rPr>
        <w:t xml:space="preserve"> </w:t>
      </w:r>
      <w:r w:rsidR="00BD5611">
        <w:rPr>
          <w:rFonts w:ascii="Times New Roman" w:hAnsi="Times New Roman"/>
        </w:rPr>
        <w:t xml:space="preserve">availability of </w:t>
      </w:r>
      <w:r w:rsidRPr="00E66F7B" w:rsidR="001623D8">
        <w:rPr>
          <w:rFonts w:ascii="Times New Roman" w:hAnsi="Times New Roman"/>
        </w:rPr>
        <w:t>adequate case management systems that meet office needs</w:t>
      </w:r>
      <w:r w:rsidR="003D209F">
        <w:rPr>
          <w:rFonts w:ascii="Times New Roman" w:hAnsi="Times New Roman"/>
        </w:rPr>
        <w:t>.</w:t>
      </w:r>
      <w:r w:rsidR="00681990">
        <w:rPr>
          <w:rFonts w:ascii="Times New Roman" w:hAnsi="Times New Roman"/>
        </w:rPr>
        <w:t xml:space="preserve"> </w:t>
      </w:r>
      <w:r w:rsidRPr="0005205D">
        <w:rPr>
          <w:rFonts w:ascii="Times New Roman" w:hAnsi="Times New Roman"/>
        </w:rPr>
        <w:t>All BJS publications and products will be available on the BJS website.</w:t>
      </w:r>
    </w:p>
    <w:p w:rsidR="000F34C1" w:rsidRPr="000F34C1" w:rsidP="000F34C1" w14:paraId="7608C432" w14:textId="77777777">
      <w:pPr>
        <w:rPr>
          <w:rFonts w:ascii="Times New Roman" w:hAnsi="Times New Roman"/>
          <w:highlight w:val="yellow"/>
        </w:rPr>
      </w:pPr>
    </w:p>
    <w:p w:rsidR="000F34C1" w:rsidP="000F34C1" w14:paraId="495B9FC9" w14:textId="5EF171FF">
      <w:pPr>
        <w:rPr>
          <w:rFonts w:ascii="Times New Roman" w:hAnsi="Times New Roman"/>
        </w:rPr>
      </w:pPr>
      <w:r w:rsidRPr="00934FBD">
        <w:rPr>
          <w:rFonts w:ascii="Times New Roman" w:hAnsi="Times New Roman"/>
        </w:rPr>
        <w:t xml:space="preserve">Pending OMB approval, the </w:t>
      </w:r>
      <w:r w:rsidR="00A35CD3">
        <w:rPr>
          <w:rFonts w:ascii="Times New Roman" w:hAnsi="Times New Roman"/>
        </w:rPr>
        <w:t>2025 CPO</w:t>
      </w:r>
      <w:r w:rsidRPr="00934FBD">
        <w:rPr>
          <w:rFonts w:ascii="Times New Roman" w:hAnsi="Times New Roman"/>
        </w:rPr>
        <w:t xml:space="preserve"> data collection is scheduled to begin on</w:t>
      </w:r>
      <w:r w:rsidR="00087DA2">
        <w:rPr>
          <w:rFonts w:ascii="Times New Roman" w:hAnsi="Times New Roman"/>
        </w:rPr>
        <w:t xml:space="preserve"> </w:t>
      </w:r>
      <w:r w:rsidRPr="00823187" w:rsidR="006335D6">
        <w:rPr>
          <w:rFonts w:ascii="Times New Roman" w:hAnsi="Times New Roman"/>
        </w:rPr>
        <w:t>August</w:t>
      </w:r>
      <w:r w:rsidRPr="00823187" w:rsidR="00087DA2">
        <w:rPr>
          <w:rFonts w:ascii="Times New Roman" w:hAnsi="Times New Roman"/>
        </w:rPr>
        <w:t xml:space="preserve"> 1, 202</w:t>
      </w:r>
      <w:r w:rsidRPr="00823187" w:rsidR="003F29BF">
        <w:rPr>
          <w:rFonts w:ascii="Times New Roman" w:hAnsi="Times New Roman"/>
        </w:rPr>
        <w:t>6</w:t>
      </w:r>
      <w:r w:rsidRPr="00DB42BB">
        <w:rPr>
          <w:rFonts w:ascii="Times New Roman" w:hAnsi="Times New Roman"/>
        </w:rPr>
        <w:t>,</w:t>
      </w:r>
      <w:r w:rsidRPr="00934FBD">
        <w:rPr>
          <w:rFonts w:ascii="Times New Roman" w:hAnsi="Times New Roman"/>
        </w:rPr>
        <w:t xml:space="preserve"> and be in the field throu</w:t>
      </w:r>
      <w:r w:rsidRPr="00DB42BB">
        <w:rPr>
          <w:rFonts w:ascii="Times New Roman" w:hAnsi="Times New Roman"/>
        </w:rPr>
        <w:t xml:space="preserve">gh </w:t>
      </w:r>
      <w:r w:rsidRPr="00823187" w:rsidR="006335D6">
        <w:rPr>
          <w:rFonts w:ascii="Times New Roman" w:hAnsi="Times New Roman"/>
        </w:rPr>
        <w:t>May</w:t>
      </w:r>
      <w:r w:rsidRPr="00823187" w:rsidR="00934FBD">
        <w:rPr>
          <w:rFonts w:ascii="Times New Roman" w:hAnsi="Times New Roman"/>
        </w:rPr>
        <w:t xml:space="preserve"> </w:t>
      </w:r>
      <w:r w:rsidRPr="00823187">
        <w:rPr>
          <w:rFonts w:ascii="Times New Roman" w:hAnsi="Times New Roman"/>
        </w:rPr>
        <w:t>1, 202</w:t>
      </w:r>
      <w:r w:rsidRPr="00823187" w:rsidR="003F29BF">
        <w:rPr>
          <w:rFonts w:ascii="Times New Roman" w:hAnsi="Times New Roman"/>
        </w:rPr>
        <w:t>7</w:t>
      </w:r>
      <w:r w:rsidRPr="00DB42BB">
        <w:rPr>
          <w:rFonts w:ascii="Times New Roman" w:hAnsi="Times New Roman"/>
        </w:rPr>
        <w:t xml:space="preserve"> (</w:t>
      </w:r>
      <w:r w:rsidRPr="00DB42BB" w:rsidR="00BB5322">
        <w:rPr>
          <w:rFonts w:ascii="Times New Roman" w:hAnsi="Times New Roman"/>
        </w:rPr>
        <w:t>10</w:t>
      </w:r>
      <w:r w:rsidRPr="00DB42BB">
        <w:rPr>
          <w:rFonts w:ascii="Times New Roman" w:hAnsi="Times New Roman"/>
        </w:rPr>
        <w:t xml:space="preserve"> months</w:t>
      </w:r>
      <w:r w:rsidRPr="00934FBD">
        <w:rPr>
          <w:rFonts w:ascii="Times New Roman" w:hAnsi="Times New Roman"/>
        </w:rPr>
        <w:t xml:space="preserve">). </w:t>
      </w:r>
      <w:r w:rsidR="003F29BF">
        <w:rPr>
          <w:rFonts w:ascii="Times New Roman" w:hAnsi="Times New Roman"/>
        </w:rPr>
        <w:t>Urban</w:t>
      </w:r>
      <w:r w:rsidRPr="00934FBD">
        <w:rPr>
          <w:rFonts w:ascii="Times New Roman" w:hAnsi="Times New Roman"/>
        </w:rPr>
        <w:t xml:space="preserve"> will clean and verify data on a continual basis over the course of data collection, and final data cleaning will take place in </w:t>
      </w:r>
      <w:r w:rsidR="003F29BF">
        <w:rPr>
          <w:rFonts w:ascii="Times New Roman" w:hAnsi="Times New Roman"/>
        </w:rPr>
        <w:t>the summer</w:t>
      </w:r>
      <w:r w:rsidRPr="00934FBD">
        <w:rPr>
          <w:rFonts w:ascii="Times New Roman" w:hAnsi="Times New Roman"/>
        </w:rPr>
        <w:t xml:space="preserve"> of 202</w:t>
      </w:r>
      <w:r w:rsidR="003F29BF">
        <w:rPr>
          <w:rFonts w:ascii="Times New Roman" w:hAnsi="Times New Roman"/>
        </w:rPr>
        <w:t>7</w:t>
      </w:r>
      <w:r w:rsidRPr="00934FBD">
        <w:rPr>
          <w:rFonts w:ascii="Times New Roman" w:hAnsi="Times New Roman"/>
        </w:rPr>
        <w:t xml:space="preserve">. The data will be delivered to BJS by the </w:t>
      </w:r>
      <w:r w:rsidR="003F29BF">
        <w:rPr>
          <w:rFonts w:ascii="Times New Roman" w:hAnsi="Times New Roman"/>
        </w:rPr>
        <w:t xml:space="preserve">fall </w:t>
      </w:r>
      <w:r w:rsidRPr="00934FBD">
        <w:rPr>
          <w:rFonts w:ascii="Times New Roman" w:hAnsi="Times New Roman"/>
        </w:rPr>
        <w:t>of 202</w:t>
      </w:r>
      <w:r w:rsidR="003F29BF">
        <w:rPr>
          <w:rFonts w:ascii="Times New Roman" w:hAnsi="Times New Roman"/>
        </w:rPr>
        <w:t>7</w:t>
      </w:r>
      <w:r w:rsidRPr="00934FBD">
        <w:rPr>
          <w:rFonts w:ascii="Times New Roman" w:hAnsi="Times New Roman"/>
        </w:rPr>
        <w:t xml:space="preserve">. </w:t>
      </w:r>
    </w:p>
    <w:p w:rsidR="00EC2CFD" w:rsidRPr="00934FBD" w:rsidP="000F34C1" w14:paraId="7CB7AC61" w14:textId="77777777">
      <w:pPr>
        <w:rPr>
          <w:rFonts w:ascii="Times New Roman" w:hAnsi="Times New Roman"/>
        </w:rPr>
      </w:pPr>
    </w:p>
    <w:p w:rsidR="000F34C1" w:rsidRPr="00934FBD" w:rsidP="000F34C1" w14:paraId="5B0DB1F7" w14:textId="77777777">
      <w:pPr>
        <w:rPr>
          <w:rFonts w:ascii="Times New Roman" w:hAnsi="Times New Roman"/>
        </w:rPr>
      </w:pPr>
      <w:r w:rsidRPr="00934FBD">
        <w:rPr>
          <w:rFonts w:ascii="Times New Roman" w:hAnsi="Times New Roman"/>
        </w:rPr>
        <w:t xml:space="preserve">The schedule is as follows: </w:t>
      </w:r>
    </w:p>
    <w:p w:rsidR="000F34C1" w:rsidRPr="000F34C1" w:rsidP="000F34C1" w14:paraId="377149AA" w14:textId="77777777">
      <w:pPr>
        <w:rPr>
          <w:rFonts w:ascii="Times New Roman" w:hAnsi="Times New Roman"/>
          <w:highlight w:val="yellow"/>
        </w:rPr>
      </w:pPr>
    </w:p>
    <w:p w:rsidR="000F34C1" w:rsidRPr="0005205D" w:rsidP="000F34C1" w14:paraId="4B306C22" w14:textId="5E94F665">
      <w:pPr>
        <w:rPr>
          <w:rFonts w:ascii="Times New Roman" w:hAnsi="Times New Roman"/>
        </w:rPr>
      </w:pPr>
      <w:r>
        <w:rPr>
          <w:rFonts w:ascii="Times New Roman" w:hAnsi="Times New Roman"/>
        </w:rPr>
        <w:t>August</w:t>
      </w:r>
      <w:r w:rsidR="003F29BF">
        <w:rPr>
          <w:rFonts w:ascii="Times New Roman" w:hAnsi="Times New Roman"/>
        </w:rPr>
        <w:t xml:space="preserve"> 1</w:t>
      </w:r>
      <w:r w:rsidRPr="0005205D">
        <w:rPr>
          <w:rFonts w:ascii="Times New Roman" w:hAnsi="Times New Roman"/>
        </w:rPr>
        <w:t xml:space="preserve">, </w:t>
      </w:r>
      <w:r w:rsidRPr="0005205D">
        <w:rPr>
          <w:rFonts w:ascii="Times New Roman" w:hAnsi="Times New Roman"/>
        </w:rPr>
        <w:t>202</w:t>
      </w:r>
      <w:r w:rsidR="003F29BF">
        <w:rPr>
          <w:rFonts w:ascii="Times New Roman" w:hAnsi="Times New Roman"/>
        </w:rPr>
        <w:t>6</w:t>
      </w:r>
      <w:r w:rsidRPr="0005205D">
        <w:rPr>
          <w:rFonts w:ascii="Times New Roman" w:hAnsi="Times New Roman"/>
        </w:rPr>
        <w:tab/>
      </w:r>
      <w:r w:rsidR="00087DA2">
        <w:rPr>
          <w:rFonts w:ascii="Times New Roman" w:hAnsi="Times New Roman"/>
        </w:rPr>
        <w:tab/>
      </w:r>
      <w:r w:rsidRPr="0005205D">
        <w:rPr>
          <w:rFonts w:ascii="Times New Roman" w:hAnsi="Times New Roman"/>
        </w:rPr>
        <w:t>Data collection begins</w:t>
      </w:r>
    </w:p>
    <w:p w:rsidR="000F34C1" w:rsidRPr="0005205D" w:rsidP="000F34C1" w14:paraId="1BB1249A" w14:textId="1A366E82">
      <w:pPr>
        <w:rPr>
          <w:rFonts w:ascii="Times New Roman" w:hAnsi="Times New Roman"/>
        </w:rPr>
      </w:pPr>
      <w:r>
        <w:rPr>
          <w:rFonts w:ascii="Times New Roman" w:hAnsi="Times New Roman"/>
        </w:rPr>
        <w:t>May</w:t>
      </w:r>
      <w:r w:rsidRPr="0005205D">
        <w:rPr>
          <w:rFonts w:ascii="Times New Roman" w:hAnsi="Times New Roman"/>
        </w:rPr>
        <w:t xml:space="preserve"> 1, </w:t>
      </w:r>
      <w:r w:rsidRPr="0005205D">
        <w:rPr>
          <w:rFonts w:ascii="Times New Roman" w:hAnsi="Times New Roman"/>
        </w:rPr>
        <w:t>202</w:t>
      </w:r>
      <w:r w:rsidR="003F29BF">
        <w:rPr>
          <w:rFonts w:ascii="Times New Roman" w:hAnsi="Times New Roman"/>
        </w:rPr>
        <w:t>7</w:t>
      </w:r>
      <w:r w:rsidRPr="0005205D">
        <w:rPr>
          <w:rFonts w:ascii="Times New Roman" w:hAnsi="Times New Roman"/>
        </w:rPr>
        <w:tab/>
      </w:r>
      <w:r w:rsidRPr="0005205D">
        <w:rPr>
          <w:rFonts w:ascii="Times New Roman" w:hAnsi="Times New Roman"/>
        </w:rPr>
        <w:tab/>
      </w:r>
      <w:r w:rsidR="003F29BF">
        <w:rPr>
          <w:rFonts w:ascii="Times New Roman" w:hAnsi="Times New Roman"/>
        </w:rPr>
        <w:tab/>
      </w:r>
      <w:r w:rsidRPr="0005205D">
        <w:rPr>
          <w:rFonts w:ascii="Times New Roman" w:hAnsi="Times New Roman"/>
        </w:rPr>
        <w:t>Data collection ends</w:t>
      </w:r>
    </w:p>
    <w:p w:rsidR="000F34C1" w:rsidP="000F34C1" w14:paraId="75D5F006" w14:textId="03C07F81">
      <w:pPr>
        <w:rPr>
          <w:rFonts w:ascii="Times New Roman" w:hAnsi="Times New Roman"/>
        </w:rPr>
      </w:pPr>
      <w:r>
        <w:rPr>
          <w:rFonts w:ascii="Times New Roman" w:hAnsi="Times New Roman"/>
        </w:rPr>
        <w:t>August</w:t>
      </w:r>
      <w:r w:rsidR="003F29BF">
        <w:rPr>
          <w:rFonts w:ascii="Times New Roman" w:hAnsi="Times New Roman"/>
        </w:rPr>
        <w:t xml:space="preserve"> 1,</w:t>
      </w:r>
      <w:r w:rsidRPr="0005205D">
        <w:rPr>
          <w:rFonts w:ascii="Times New Roman" w:hAnsi="Times New Roman"/>
        </w:rPr>
        <w:t xml:space="preserve"> </w:t>
      </w:r>
      <w:r w:rsidRPr="0005205D">
        <w:rPr>
          <w:rFonts w:ascii="Times New Roman" w:hAnsi="Times New Roman"/>
        </w:rPr>
        <w:t>202</w:t>
      </w:r>
      <w:r w:rsidR="003F29BF">
        <w:rPr>
          <w:rFonts w:ascii="Times New Roman" w:hAnsi="Times New Roman"/>
        </w:rPr>
        <w:t>7</w:t>
      </w:r>
      <w:r w:rsidRPr="0005205D">
        <w:rPr>
          <w:rFonts w:ascii="Times New Roman" w:hAnsi="Times New Roman"/>
        </w:rPr>
        <w:tab/>
      </w:r>
      <w:r w:rsidRPr="0005205D">
        <w:rPr>
          <w:rFonts w:ascii="Times New Roman" w:hAnsi="Times New Roman"/>
        </w:rPr>
        <w:tab/>
        <w:t>Data delivery to BJS</w:t>
      </w:r>
    </w:p>
    <w:p w:rsidR="00234139" w:rsidRPr="0005205D" w:rsidP="000F34C1" w14:paraId="21BDBD41" w14:textId="2E8ACABC">
      <w:pPr>
        <w:rPr>
          <w:rFonts w:ascii="Times New Roman" w:hAnsi="Times New Roman"/>
        </w:rPr>
      </w:pPr>
      <w:r>
        <w:rPr>
          <w:rFonts w:ascii="Times New Roman" w:hAnsi="Times New Roman"/>
        </w:rPr>
        <w:t>May</w:t>
      </w:r>
      <w:r>
        <w:rPr>
          <w:rFonts w:ascii="Times New Roman" w:hAnsi="Times New Roman"/>
        </w:rPr>
        <w:t xml:space="preserve"> – </w:t>
      </w:r>
      <w:r w:rsidR="003F29BF">
        <w:rPr>
          <w:rFonts w:ascii="Times New Roman" w:hAnsi="Times New Roman"/>
        </w:rPr>
        <w:t>September</w:t>
      </w:r>
      <w:r>
        <w:rPr>
          <w:rFonts w:ascii="Times New Roman" w:hAnsi="Times New Roman"/>
        </w:rPr>
        <w:t xml:space="preserve"> 202</w:t>
      </w:r>
      <w:r w:rsidR="003F29BF">
        <w:rPr>
          <w:rFonts w:ascii="Times New Roman" w:hAnsi="Times New Roman"/>
        </w:rPr>
        <w:t>7</w:t>
      </w:r>
      <w:r>
        <w:rPr>
          <w:rFonts w:ascii="Times New Roman" w:hAnsi="Times New Roman"/>
        </w:rPr>
        <w:tab/>
        <w:t>Data analysis</w:t>
      </w:r>
    </w:p>
    <w:p w:rsidR="000F34C1" w:rsidRPr="00347630" w:rsidP="000F34C1" w14:paraId="2B660C58" w14:textId="44960421">
      <w:pPr>
        <w:rPr>
          <w:rFonts w:ascii="Times New Roman" w:hAnsi="Times New Roman"/>
        </w:rPr>
      </w:pPr>
      <w:r>
        <w:rPr>
          <w:rFonts w:ascii="Times New Roman" w:hAnsi="Times New Roman"/>
        </w:rPr>
        <w:t>October</w:t>
      </w:r>
      <w:r w:rsidRPr="0005205D">
        <w:rPr>
          <w:rFonts w:ascii="Times New Roman" w:hAnsi="Times New Roman"/>
        </w:rPr>
        <w:t xml:space="preserve"> 202</w:t>
      </w:r>
      <w:r>
        <w:rPr>
          <w:rFonts w:ascii="Times New Roman" w:hAnsi="Times New Roman"/>
        </w:rPr>
        <w:t>7</w:t>
      </w:r>
      <w:r w:rsidRPr="0005205D">
        <w:rPr>
          <w:rFonts w:ascii="Times New Roman" w:hAnsi="Times New Roman"/>
        </w:rPr>
        <w:tab/>
      </w:r>
      <w:r w:rsidRPr="0005205D">
        <w:rPr>
          <w:rFonts w:ascii="Times New Roman" w:hAnsi="Times New Roman"/>
        </w:rPr>
        <w:tab/>
      </w:r>
      <w:r w:rsidRPr="0005205D" w:rsidR="0005205D">
        <w:rPr>
          <w:rFonts w:ascii="Times New Roman" w:hAnsi="Times New Roman"/>
        </w:rPr>
        <w:tab/>
      </w:r>
      <w:r w:rsidRPr="0005205D">
        <w:rPr>
          <w:rFonts w:ascii="Times New Roman" w:hAnsi="Times New Roman"/>
        </w:rPr>
        <w:t>First BJS report release/data file and documentation published</w:t>
      </w:r>
    </w:p>
    <w:p w:rsidR="00690F56" w:rsidRPr="0012107F"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1CF2B7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17</w:t>
      </w:r>
      <w:r w:rsidRPr="0012107F" w:rsidR="004D1C76">
        <w:rPr>
          <w:rFonts w:ascii="Times New Roman" w:hAnsi="Times New Roman"/>
          <w:b/>
          <w:bCs/>
        </w:rPr>
        <w:t>. If</w:t>
      </w:r>
      <w:r w:rsidRPr="0012107F">
        <w:rPr>
          <w:rFonts w:ascii="Times New Roman" w:hAnsi="Times New Roman"/>
          <w:b/>
          <w:bCs/>
        </w:rPr>
        <w:t xml:space="preserve"> seeking approval to not display the expiration date for OMB approval of the information collection, explain the reasons that display would be inappropriate.</w:t>
      </w:r>
    </w:p>
    <w:p w:rsidR="009815B8" w:rsidRPr="0012107F" w:rsidP="00690F56" w14:paraId="441A4E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815B8" w:rsidRPr="0078165A" w:rsidP="009815B8" w14:paraId="35221555" w14:textId="77777777">
      <w:pPr>
        <w:rPr>
          <w:rFonts w:ascii="Times New Roman" w:hAnsi="Times New Roman"/>
        </w:rPr>
      </w:pPr>
      <w:r>
        <w:rPr>
          <w:rFonts w:ascii="Times New Roman" w:hAnsi="Times New Roman"/>
        </w:rPr>
        <w:t xml:space="preserve">BJS is not requesting an exemption. </w:t>
      </w:r>
      <w:r w:rsidRPr="0078165A">
        <w:rPr>
          <w:rFonts w:ascii="Times New Roman" w:hAnsi="Times New Roman"/>
        </w:rPr>
        <w:t>The expiration date will be displayed on the survey form.</w:t>
      </w:r>
    </w:p>
    <w:p w:rsidR="009B6955" w:rsidRPr="0012107F"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2107F" w:rsidP="00690F56" w14:paraId="41EAB492" w14:textId="2FD5EA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18</w:t>
      </w:r>
      <w:r w:rsidRPr="0012107F" w:rsidR="004D1C76">
        <w:rPr>
          <w:rFonts w:ascii="Times New Roman" w:hAnsi="Times New Roman"/>
          <w:b/>
        </w:rPr>
        <w:t>. Explain</w:t>
      </w:r>
      <w:r w:rsidRPr="0012107F">
        <w:rPr>
          <w:rFonts w:ascii="Times New Roman" w:hAnsi="Times New Roman"/>
          <w:b/>
        </w:rPr>
        <w:t xml:space="preserve"> each exception to the certification statement.</w:t>
      </w:r>
    </w:p>
    <w:p w:rsidR="000C3A92" w:rsidRPr="0012107F"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15B8" w:rsidP="009815B8" w14:paraId="319D8724" w14:textId="2E6EE772">
      <w:pPr>
        <w:rPr>
          <w:rFonts w:ascii="Times New Roman" w:hAnsi="Times New Roman"/>
        </w:rPr>
      </w:pPr>
      <w:r>
        <w:rPr>
          <w:rFonts w:ascii="Times New Roman" w:hAnsi="Times New Roman"/>
        </w:rPr>
        <w:t xml:space="preserve">The </w:t>
      </w:r>
      <w:r w:rsidR="00A35CD3">
        <w:rPr>
          <w:rFonts w:ascii="Times New Roman" w:hAnsi="Times New Roman"/>
        </w:rPr>
        <w:t>2025 CPO</w:t>
      </w:r>
      <w:r>
        <w:rPr>
          <w:rFonts w:ascii="Times New Roman" w:hAnsi="Times New Roman"/>
        </w:rPr>
        <w:t xml:space="preserve"> collection does not include any exceptions to the certification statement.</w:t>
      </w:r>
    </w:p>
    <w:p w:rsidR="00690F56" w:rsidRPr="0012107F"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12107F" w:rsidP="007A7F79" w14:paraId="077F6D32" w14:textId="23E750B5">
      <w:pPr>
        <w:widowControl/>
        <w:autoSpaceDE/>
        <w:autoSpaceDN/>
        <w:adjustRightInd/>
        <w:spacing w:after="200" w:line="276" w:lineRule="auto"/>
        <w:rPr>
          <w:rFonts w:ascii="Times New Roman" w:hAnsi="Times New Roman"/>
        </w:rPr>
      </w:pPr>
      <w:r w:rsidRPr="0012107F">
        <w:rPr>
          <w:rFonts w:ascii="Times New Roman" w:hAnsi="Times New Roman"/>
          <w:b/>
          <w:bCs/>
        </w:rPr>
        <w:t>B. COLLECTIONS OF INFORMATON EMPLOYING STATISTICAL METHODS.</w:t>
      </w:r>
    </w:p>
    <w:p w:rsidR="00332F98" w14:paraId="3E8CBCDA" w14:textId="672BE103">
      <w:pPr>
        <w:rPr>
          <w:rFonts w:ascii="Times New Roman" w:hAnsi="Times New Roman"/>
        </w:rPr>
      </w:pPr>
      <w:r w:rsidRPr="0012107F">
        <w:rPr>
          <w:rFonts w:ascii="Times New Roman" w:hAnsi="Times New Roman"/>
        </w:rPr>
        <w:t>This collection contain</w:t>
      </w:r>
      <w:r w:rsidRPr="0012107F" w:rsidR="00802605">
        <w:rPr>
          <w:rFonts w:ascii="Times New Roman" w:hAnsi="Times New Roman"/>
        </w:rPr>
        <w:t>s</w:t>
      </w:r>
      <w:r w:rsidRPr="0012107F">
        <w:rPr>
          <w:rFonts w:ascii="Times New Roman" w:hAnsi="Times New Roman"/>
        </w:rPr>
        <w:t xml:space="preserve"> statistical data.</w:t>
      </w:r>
    </w:p>
    <w:p w:rsidR="00941F98" w14:paraId="4CF7A6A5" w14:textId="77777777">
      <w:pPr>
        <w:rPr>
          <w:rFonts w:ascii="Times New Roman" w:hAnsi="Times New Roman"/>
          <w:b/>
          <w:bCs/>
        </w:rPr>
      </w:pPr>
    </w:p>
    <w:p w:rsidR="008422E6" w:rsidP="00941F98" w14:paraId="1F069AB6" w14:textId="77777777">
      <w:pPr>
        <w:rPr>
          <w:rFonts w:ascii="Times New Roman" w:hAnsi="Times New Roman"/>
          <w:b/>
          <w:bCs/>
        </w:rPr>
      </w:pPr>
    </w:p>
    <w:p w:rsidR="008422E6" w:rsidP="00941F98" w14:paraId="5AC9DF69" w14:textId="77777777">
      <w:pPr>
        <w:rPr>
          <w:rFonts w:ascii="Times New Roman" w:hAnsi="Times New Roman"/>
          <w:b/>
          <w:bCs/>
        </w:rPr>
      </w:pPr>
    </w:p>
    <w:p w:rsidR="008422E6" w:rsidP="00941F98" w14:paraId="0AB61816" w14:textId="77777777">
      <w:pPr>
        <w:rPr>
          <w:rFonts w:ascii="Times New Roman" w:hAnsi="Times New Roman"/>
          <w:b/>
          <w:bCs/>
        </w:rPr>
      </w:pPr>
    </w:p>
    <w:p w:rsidR="008422E6" w:rsidP="00941F98" w14:paraId="4EE14E28" w14:textId="77777777">
      <w:pPr>
        <w:rPr>
          <w:rFonts w:ascii="Times New Roman" w:hAnsi="Times New Roman"/>
          <w:b/>
          <w:bCs/>
        </w:rPr>
      </w:pPr>
    </w:p>
    <w:p w:rsidR="008422E6" w:rsidP="00941F98" w14:paraId="74C9F2F6" w14:textId="77777777">
      <w:pPr>
        <w:rPr>
          <w:rFonts w:ascii="Times New Roman" w:hAnsi="Times New Roman"/>
          <w:b/>
          <w:bCs/>
        </w:rPr>
      </w:pPr>
    </w:p>
    <w:p w:rsidR="008422E6" w:rsidP="00941F98" w14:paraId="7D91577C" w14:textId="77777777">
      <w:pPr>
        <w:rPr>
          <w:rFonts w:ascii="Times New Roman" w:hAnsi="Times New Roman"/>
          <w:b/>
          <w:bCs/>
        </w:rPr>
      </w:pPr>
    </w:p>
    <w:p w:rsidR="008422E6" w:rsidP="00941F98" w14:paraId="6883B5DA" w14:textId="77777777">
      <w:pPr>
        <w:rPr>
          <w:rFonts w:ascii="Times New Roman" w:hAnsi="Times New Roman"/>
          <w:b/>
          <w:bCs/>
        </w:rPr>
      </w:pPr>
    </w:p>
    <w:p w:rsidR="00823187" w:rsidP="00941F98" w14:paraId="4C86F8E0" w14:textId="77777777">
      <w:pPr>
        <w:rPr>
          <w:rFonts w:ascii="Times New Roman" w:hAnsi="Times New Roman"/>
          <w:b/>
          <w:bCs/>
        </w:rPr>
      </w:pPr>
    </w:p>
    <w:p w:rsidR="008422E6" w:rsidP="00941F98" w14:paraId="523B1DD5" w14:textId="77777777">
      <w:pPr>
        <w:rPr>
          <w:rFonts w:ascii="Times New Roman" w:hAnsi="Times New Roman"/>
          <w:b/>
          <w:bCs/>
        </w:rPr>
      </w:pPr>
    </w:p>
    <w:p w:rsidR="000E345F" w:rsidP="00941F98" w14:paraId="215B40C3" w14:textId="0D355644">
      <w:pPr>
        <w:rPr>
          <w:rFonts w:ascii="Times New Roman" w:hAnsi="Times New Roman"/>
          <w:b/>
          <w:bCs/>
        </w:rPr>
      </w:pPr>
      <w:r w:rsidRPr="000E345F">
        <w:rPr>
          <w:rFonts w:ascii="Times New Roman" w:hAnsi="Times New Roman"/>
          <w:b/>
          <w:bCs/>
        </w:rPr>
        <w:t>Attachments:</w:t>
      </w:r>
    </w:p>
    <w:p w:rsidR="00DE3F7A" w:rsidP="00941F98" w14:paraId="0665F1A0" w14:textId="77777777">
      <w:pPr>
        <w:rPr>
          <w:rFonts w:ascii="Times New Roman" w:hAnsi="Times New Roman"/>
          <w:b/>
          <w:bCs/>
        </w:rPr>
      </w:pPr>
    </w:p>
    <w:p w:rsidR="00A6365F" w:rsidP="00941F98" w14:paraId="77AA98C0" w14:textId="342A1908">
      <w:pPr>
        <w:contextualSpacing/>
        <w:rPr>
          <w:rFonts w:ascii="Times New Roman" w:hAnsi="Times New Roman"/>
        </w:rPr>
      </w:pPr>
      <w:r w:rsidRPr="009B6137">
        <w:rPr>
          <w:rFonts w:ascii="Times New Roman" w:hAnsi="Times New Roman"/>
        </w:rPr>
        <w:t xml:space="preserve">Attachment 1: </w:t>
      </w:r>
      <w:r w:rsidR="006335D6">
        <w:rPr>
          <w:rFonts w:ascii="Times New Roman" w:hAnsi="Times New Roman"/>
          <w:iCs/>
        </w:rPr>
        <w:t>S</w:t>
      </w:r>
      <w:r w:rsidRPr="009B6137" w:rsidR="00384043">
        <w:rPr>
          <w:rFonts w:ascii="Times New Roman" w:hAnsi="Times New Roman"/>
          <w:iCs/>
        </w:rPr>
        <w:t>urvey instrument</w:t>
      </w:r>
    </w:p>
    <w:p w:rsidR="00887F39" w:rsidRPr="009B6137" w:rsidP="00941F98" w14:paraId="66544323" w14:textId="54335998">
      <w:pPr>
        <w:contextualSpacing/>
        <w:rPr>
          <w:rFonts w:ascii="Times New Roman" w:hAnsi="Times New Roman"/>
          <w:iCs/>
        </w:rPr>
      </w:pPr>
      <w:r>
        <w:rPr>
          <w:rFonts w:ascii="Times New Roman" w:hAnsi="Times New Roman"/>
          <w:iCs/>
        </w:rPr>
        <w:t xml:space="preserve">Attachment 2: </w:t>
      </w:r>
      <w:r w:rsidR="006335D6">
        <w:rPr>
          <w:rFonts w:ascii="Times New Roman" w:hAnsi="Times New Roman"/>
          <w:iCs/>
        </w:rPr>
        <w:t xml:space="preserve">Study </w:t>
      </w:r>
      <w:r w:rsidR="003964B5">
        <w:rPr>
          <w:rFonts w:ascii="Times New Roman" w:hAnsi="Times New Roman"/>
          <w:iCs/>
        </w:rPr>
        <w:t>overview</w:t>
      </w:r>
    </w:p>
    <w:p w:rsidR="00A6365F" w:rsidRPr="009B6137" w:rsidP="00941F98" w14:paraId="6383A905" w14:textId="15AFBA0C">
      <w:pPr>
        <w:contextualSpacing/>
        <w:rPr>
          <w:rFonts w:ascii="Times New Roman" w:hAnsi="Times New Roman"/>
          <w:iCs/>
        </w:rPr>
      </w:pPr>
      <w:r w:rsidRPr="009B6137">
        <w:rPr>
          <w:rFonts w:ascii="Times New Roman" w:hAnsi="Times New Roman"/>
          <w:iCs/>
        </w:rPr>
        <w:t xml:space="preserve">Attachment </w:t>
      </w:r>
      <w:r w:rsidR="00887F39">
        <w:rPr>
          <w:rFonts w:ascii="Times New Roman" w:hAnsi="Times New Roman"/>
          <w:iCs/>
        </w:rPr>
        <w:t>3</w:t>
      </w:r>
      <w:r w:rsidRPr="009B6137">
        <w:rPr>
          <w:rFonts w:ascii="Times New Roman" w:hAnsi="Times New Roman"/>
          <w:iCs/>
        </w:rPr>
        <w:t xml:space="preserve">: </w:t>
      </w:r>
      <w:r w:rsidR="00384043">
        <w:rPr>
          <w:rFonts w:ascii="Times New Roman" w:hAnsi="Times New Roman"/>
          <w:iCs/>
        </w:rPr>
        <w:t xml:space="preserve">Generic OMB approval for </w:t>
      </w:r>
      <w:r w:rsidR="00A35CD3">
        <w:rPr>
          <w:rFonts w:ascii="Times New Roman" w:hAnsi="Times New Roman"/>
          <w:iCs/>
        </w:rPr>
        <w:t>2025 CPO</w:t>
      </w:r>
      <w:r w:rsidR="00384043">
        <w:rPr>
          <w:rFonts w:ascii="Times New Roman" w:hAnsi="Times New Roman"/>
          <w:iCs/>
        </w:rPr>
        <w:t xml:space="preserve"> frame construction</w:t>
      </w:r>
    </w:p>
    <w:p w:rsidR="00A6365F" w:rsidP="00941F98" w14:paraId="655F41A5" w14:textId="595BE0E9">
      <w:pPr>
        <w:contextualSpacing/>
        <w:rPr>
          <w:rFonts w:ascii="Times New Roman" w:hAnsi="Times New Roman"/>
        </w:rPr>
      </w:pPr>
      <w:r w:rsidRPr="009B6137">
        <w:rPr>
          <w:rFonts w:ascii="Times New Roman" w:hAnsi="Times New Roman"/>
          <w:iCs/>
        </w:rPr>
        <w:t xml:space="preserve">Attachment </w:t>
      </w:r>
      <w:r w:rsidR="00887F39">
        <w:rPr>
          <w:rFonts w:ascii="Times New Roman" w:hAnsi="Times New Roman"/>
          <w:iCs/>
        </w:rPr>
        <w:t>4</w:t>
      </w:r>
      <w:r w:rsidRPr="009B6137">
        <w:rPr>
          <w:rFonts w:ascii="Times New Roman" w:hAnsi="Times New Roman"/>
          <w:iCs/>
        </w:rPr>
        <w:t xml:space="preserve">: </w:t>
      </w:r>
      <w:r w:rsidRPr="009B6137" w:rsidR="00384043">
        <w:rPr>
          <w:rFonts w:ascii="Times New Roman" w:hAnsi="Times New Roman"/>
        </w:rPr>
        <w:t>Title 34, United States Code, Section 10132 of the Justice Systems Improvement Act of 1979</w:t>
      </w:r>
    </w:p>
    <w:p w:rsidR="003F63F0" w:rsidRPr="009B6137" w:rsidP="00941F98" w14:paraId="13AC07A4" w14:textId="118110F0">
      <w:pPr>
        <w:contextualSpacing/>
        <w:rPr>
          <w:rFonts w:ascii="Times New Roman" w:hAnsi="Times New Roman"/>
          <w:iCs/>
        </w:rPr>
      </w:pPr>
      <w:r w:rsidRPr="009B6137">
        <w:rPr>
          <w:rFonts w:ascii="Times New Roman" w:hAnsi="Times New Roman"/>
          <w:iCs/>
        </w:rPr>
        <w:t xml:space="preserve">Attachment </w:t>
      </w:r>
      <w:r>
        <w:rPr>
          <w:rFonts w:ascii="Times New Roman" w:hAnsi="Times New Roman"/>
          <w:iCs/>
        </w:rPr>
        <w:t>5</w:t>
      </w:r>
      <w:r w:rsidRPr="009B6137">
        <w:rPr>
          <w:rFonts w:ascii="Times New Roman" w:hAnsi="Times New Roman"/>
          <w:iCs/>
        </w:rPr>
        <w:t>: Welcome screen for online instrument</w:t>
      </w:r>
    </w:p>
    <w:p w:rsidR="00384043" w:rsidRPr="009B6137" w:rsidP="00941F98" w14:paraId="0B88B3BD" w14:textId="2FFD2BD1">
      <w:pPr>
        <w:contextualSpacing/>
        <w:rPr>
          <w:rFonts w:ascii="Times New Roman" w:hAnsi="Times New Roman"/>
          <w:iCs/>
        </w:rPr>
      </w:pPr>
      <w:r w:rsidRPr="009B6137">
        <w:rPr>
          <w:rFonts w:ascii="Times New Roman" w:hAnsi="Times New Roman"/>
          <w:iCs/>
        </w:rPr>
        <w:t xml:space="preserve">Attachment </w:t>
      </w:r>
      <w:r w:rsidR="003F63F0">
        <w:rPr>
          <w:rFonts w:ascii="Times New Roman" w:hAnsi="Times New Roman"/>
          <w:iCs/>
        </w:rPr>
        <w:t>6</w:t>
      </w:r>
      <w:r w:rsidRPr="009B6137">
        <w:rPr>
          <w:rFonts w:ascii="Times New Roman" w:hAnsi="Times New Roman"/>
          <w:iCs/>
        </w:rPr>
        <w:t xml:space="preserve">: </w:t>
      </w:r>
      <w:r w:rsidRPr="009B6137">
        <w:rPr>
          <w:rFonts w:ascii="Times New Roman" w:hAnsi="Times New Roman"/>
          <w:iCs/>
        </w:rPr>
        <w:t xml:space="preserve">Cognitive </w:t>
      </w:r>
      <w:r w:rsidR="003964B5">
        <w:rPr>
          <w:rFonts w:ascii="Times New Roman" w:hAnsi="Times New Roman"/>
          <w:iCs/>
        </w:rPr>
        <w:t>t</w:t>
      </w:r>
      <w:r w:rsidRPr="009B6137" w:rsidR="003964B5">
        <w:rPr>
          <w:rFonts w:ascii="Times New Roman" w:hAnsi="Times New Roman"/>
          <w:iCs/>
        </w:rPr>
        <w:t xml:space="preserve">esting </w:t>
      </w:r>
      <w:r w:rsidR="003964B5">
        <w:rPr>
          <w:rFonts w:ascii="Times New Roman" w:hAnsi="Times New Roman"/>
          <w:iCs/>
        </w:rPr>
        <w:t>r</w:t>
      </w:r>
      <w:r w:rsidRPr="009B6137" w:rsidR="003964B5">
        <w:rPr>
          <w:rFonts w:ascii="Times New Roman" w:hAnsi="Times New Roman"/>
          <w:iCs/>
        </w:rPr>
        <w:t>eport</w:t>
      </w:r>
    </w:p>
    <w:p w:rsidR="00A6365F" w:rsidP="00941F98" w14:paraId="0A41ED2B" w14:textId="1E86BDCE">
      <w:pPr>
        <w:contextualSpacing/>
        <w:rPr>
          <w:rFonts w:ascii="Times New Roman" w:hAnsi="Times New Roman"/>
          <w:iCs/>
        </w:rPr>
      </w:pPr>
      <w:r>
        <w:rPr>
          <w:rFonts w:ascii="Times New Roman" w:hAnsi="Times New Roman"/>
          <w:iCs/>
        </w:rPr>
        <w:t xml:space="preserve">Attachment </w:t>
      </w:r>
      <w:r w:rsidR="003F63F0">
        <w:rPr>
          <w:rFonts w:ascii="Times New Roman" w:hAnsi="Times New Roman"/>
          <w:iCs/>
        </w:rPr>
        <w:t>7</w:t>
      </w:r>
      <w:r>
        <w:rPr>
          <w:rFonts w:ascii="Times New Roman" w:hAnsi="Times New Roman"/>
          <w:iCs/>
        </w:rPr>
        <w:t xml:space="preserve">: </w:t>
      </w:r>
      <w:r w:rsidR="004A221C">
        <w:rPr>
          <w:rFonts w:ascii="Times New Roman" w:hAnsi="Times New Roman"/>
          <w:iCs/>
        </w:rPr>
        <w:t xml:space="preserve">BJS </w:t>
      </w:r>
      <w:r w:rsidR="003964B5">
        <w:rPr>
          <w:rFonts w:ascii="Times New Roman" w:hAnsi="Times New Roman"/>
          <w:iCs/>
        </w:rPr>
        <w:t>pre</w:t>
      </w:r>
      <w:r w:rsidR="006953AE">
        <w:rPr>
          <w:rFonts w:ascii="Times New Roman" w:hAnsi="Times New Roman"/>
          <w:iCs/>
        </w:rPr>
        <w:t>-notification</w:t>
      </w:r>
      <w:r w:rsidR="004A221C">
        <w:rPr>
          <w:rFonts w:ascii="Times New Roman" w:hAnsi="Times New Roman"/>
          <w:iCs/>
        </w:rPr>
        <w:t xml:space="preserve"> </w:t>
      </w:r>
      <w:r w:rsidR="009A2235">
        <w:rPr>
          <w:rFonts w:ascii="Times New Roman" w:hAnsi="Times New Roman"/>
          <w:iCs/>
        </w:rPr>
        <w:t>l</w:t>
      </w:r>
      <w:r w:rsidR="00776D91">
        <w:rPr>
          <w:rFonts w:ascii="Times New Roman" w:hAnsi="Times New Roman"/>
          <w:iCs/>
        </w:rPr>
        <w:t>etter</w:t>
      </w:r>
    </w:p>
    <w:p w:rsidR="00A6365F" w:rsidRPr="009B6137" w:rsidP="00941F98" w14:paraId="564A6ABA" w14:textId="17700259">
      <w:pPr>
        <w:contextualSpacing/>
        <w:rPr>
          <w:rFonts w:ascii="Times New Roman" w:hAnsi="Times New Roman"/>
          <w:iCs/>
        </w:rPr>
      </w:pPr>
      <w:r w:rsidRPr="009B6137">
        <w:rPr>
          <w:rFonts w:ascii="Times New Roman" w:hAnsi="Times New Roman"/>
          <w:iCs/>
        </w:rPr>
        <w:t xml:space="preserve">Attachment </w:t>
      </w:r>
      <w:r w:rsidR="003F63F0">
        <w:rPr>
          <w:rFonts w:ascii="Times New Roman" w:hAnsi="Times New Roman"/>
          <w:iCs/>
        </w:rPr>
        <w:t>8</w:t>
      </w:r>
      <w:r w:rsidRPr="009B6137">
        <w:rPr>
          <w:rFonts w:ascii="Times New Roman" w:hAnsi="Times New Roman"/>
          <w:iCs/>
        </w:rPr>
        <w:t>: Invitation email</w:t>
      </w:r>
    </w:p>
    <w:p w:rsidR="0044050F" w:rsidP="00941F98" w14:paraId="0A1B685C" w14:textId="322C4940">
      <w:pPr>
        <w:contextualSpacing/>
        <w:rPr>
          <w:rFonts w:ascii="Times New Roman" w:hAnsi="Times New Roman"/>
          <w:iCs/>
        </w:rPr>
      </w:pPr>
      <w:bookmarkStart w:id="11" w:name="_Hlk224049818"/>
      <w:r w:rsidRPr="009B6137">
        <w:rPr>
          <w:rFonts w:ascii="Times New Roman" w:hAnsi="Times New Roman"/>
          <w:iCs/>
        </w:rPr>
        <w:t xml:space="preserve">Attachment </w:t>
      </w:r>
      <w:r w:rsidR="003F63F0">
        <w:rPr>
          <w:rFonts w:ascii="Times New Roman" w:hAnsi="Times New Roman"/>
          <w:iCs/>
        </w:rPr>
        <w:t>9</w:t>
      </w:r>
      <w:r w:rsidRPr="009B6137">
        <w:rPr>
          <w:rFonts w:ascii="Times New Roman" w:hAnsi="Times New Roman"/>
          <w:iCs/>
        </w:rPr>
        <w:t xml:space="preserve">: </w:t>
      </w:r>
      <w:r w:rsidR="003964B5">
        <w:rPr>
          <w:rFonts w:ascii="Times New Roman" w:hAnsi="Times New Roman"/>
          <w:iCs/>
        </w:rPr>
        <w:t xml:space="preserve">APA endorsement </w:t>
      </w:r>
      <w:r>
        <w:rPr>
          <w:rFonts w:ascii="Times New Roman" w:hAnsi="Times New Roman"/>
          <w:iCs/>
        </w:rPr>
        <w:t>letter</w:t>
      </w:r>
    </w:p>
    <w:p w:rsidR="002F4DB2" w:rsidP="00941F98" w14:paraId="06F7D456" w14:textId="48C2E1B6">
      <w:pPr>
        <w:contextualSpacing/>
        <w:rPr>
          <w:rFonts w:ascii="Times New Roman" w:hAnsi="Times New Roman"/>
          <w:iCs/>
        </w:rPr>
      </w:pPr>
      <w:r>
        <w:rPr>
          <w:rFonts w:ascii="Times New Roman" w:hAnsi="Times New Roman"/>
          <w:iCs/>
        </w:rPr>
        <w:t>Attachment 10: Webinar outline</w:t>
      </w:r>
    </w:p>
    <w:p w:rsidR="002F4DB2" w:rsidRPr="009B6137" w:rsidP="00941F98" w14:paraId="360CAEF8" w14:textId="0756C820">
      <w:pPr>
        <w:contextualSpacing/>
        <w:rPr>
          <w:rFonts w:ascii="Times New Roman" w:hAnsi="Times New Roman"/>
          <w:iCs/>
        </w:rPr>
      </w:pPr>
      <w:r>
        <w:rPr>
          <w:rFonts w:ascii="Times New Roman" w:hAnsi="Times New Roman"/>
          <w:iCs/>
        </w:rPr>
        <w:t>Attachment 11: Webinar invitation email</w:t>
      </w:r>
    </w:p>
    <w:bookmarkEnd w:id="11"/>
    <w:p w:rsidR="00A6365F" w:rsidRPr="009B6137" w:rsidP="00941F98" w14:paraId="0C7AFC53" w14:textId="6802E5AD">
      <w:pPr>
        <w:contextualSpacing/>
        <w:rPr>
          <w:rFonts w:ascii="Times New Roman" w:hAnsi="Times New Roman"/>
          <w:iCs/>
        </w:rPr>
      </w:pPr>
      <w:r w:rsidRPr="009B6137">
        <w:rPr>
          <w:rFonts w:ascii="Times New Roman" w:hAnsi="Times New Roman"/>
          <w:iCs/>
        </w:rPr>
        <w:t xml:space="preserve">Attachment </w:t>
      </w:r>
      <w:r w:rsidR="002F4DB2">
        <w:rPr>
          <w:rFonts w:ascii="Times New Roman" w:hAnsi="Times New Roman"/>
          <w:iCs/>
        </w:rPr>
        <w:t>12</w:t>
      </w:r>
      <w:r w:rsidRPr="009B6137">
        <w:rPr>
          <w:rFonts w:ascii="Times New Roman" w:hAnsi="Times New Roman"/>
          <w:iCs/>
        </w:rPr>
        <w:t xml:space="preserve">: </w:t>
      </w:r>
      <w:r>
        <w:rPr>
          <w:rFonts w:ascii="Times New Roman" w:hAnsi="Times New Roman"/>
          <w:iCs/>
        </w:rPr>
        <w:t>Reminder email</w:t>
      </w:r>
      <w:r w:rsidR="00787D33">
        <w:rPr>
          <w:rFonts w:ascii="Times New Roman" w:hAnsi="Times New Roman"/>
          <w:iCs/>
        </w:rPr>
        <w:t>s</w:t>
      </w:r>
      <w:r>
        <w:rPr>
          <w:rFonts w:ascii="Times New Roman" w:hAnsi="Times New Roman"/>
          <w:iCs/>
        </w:rPr>
        <w:t xml:space="preserve"> </w:t>
      </w:r>
    </w:p>
    <w:p w:rsidR="003964B5" w:rsidP="00941F98" w14:paraId="04441AD0" w14:textId="4A41FDAC">
      <w:pPr>
        <w:contextualSpacing/>
        <w:rPr>
          <w:rFonts w:ascii="Times New Roman" w:hAnsi="Times New Roman"/>
          <w:iCs/>
        </w:rPr>
      </w:pPr>
      <w:r>
        <w:rPr>
          <w:rFonts w:ascii="Times New Roman" w:hAnsi="Times New Roman"/>
          <w:iCs/>
        </w:rPr>
        <w:t xml:space="preserve">Attachment 13: State </w:t>
      </w:r>
      <w:r w:rsidR="00A64699">
        <w:rPr>
          <w:rFonts w:ascii="Times New Roman" w:hAnsi="Times New Roman"/>
          <w:iCs/>
        </w:rPr>
        <w:t>p</w:t>
      </w:r>
      <w:r>
        <w:rPr>
          <w:rFonts w:ascii="Times New Roman" w:hAnsi="Times New Roman"/>
          <w:iCs/>
        </w:rPr>
        <w:t>rosecut</w:t>
      </w:r>
      <w:r w:rsidR="00A9369D">
        <w:rPr>
          <w:rFonts w:ascii="Times New Roman" w:hAnsi="Times New Roman"/>
          <w:iCs/>
        </w:rPr>
        <w:t>or</w:t>
      </w:r>
      <w:r>
        <w:rPr>
          <w:rFonts w:ascii="Times New Roman" w:hAnsi="Times New Roman"/>
          <w:iCs/>
        </w:rPr>
        <w:t xml:space="preserve"> </w:t>
      </w:r>
      <w:r w:rsidR="00A64699">
        <w:rPr>
          <w:rFonts w:ascii="Times New Roman" w:hAnsi="Times New Roman"/>
          <w:iCs/>
        </w:rPr>
        <w:t>a</w:t>
      </w:r>
      <w:r>
        <w:rPr>
          <w:rFonts w:ascii="Times New Roman" w:hAnsi="Times New Roman"/>
          <w:iCs/>
        </w:rPr>
        <w:t>ssociations</w:t>
      </w:r>
      <w:r w:rsidR="00A9369D">
        <w:rPr>
          <w:rFonts w:ascii="Times New Roman" w:hAnsi="Times New Roman"/>
          <w:iCs/>
        </w:rPr>
        <w:t>’</w:t>
      </w:r>
      <w:r>
        <w:rPr>
          <w:rFonts w:ascii="Times New Roman" w:hAnsi="Times New Roman"/>
          <w:iCs/>
        </w:rPr>
        <w:t xml:space="preserve"> endorsement letter</w:t>
      </w:r>
    </w:p>
    <w:p w:rsidR="00A6365F" w:rsidP="00941F98" w14:paraId="48E11E82" w14:textId="52321E59">
      <w:pPr>
        <w:contextualSpacing/>
        <w:rPr>
          <w:rFonts w:ascii="Times New Roman" w:hAnsi="Times New Roman"/>
          <w:iCs/>
        </w:rPr>
      </w:pPr>
      <w:r w:rsidRPr="009B6137">
        <w:rPr>
          <w:rFonts w:ascii="Times New Roman" w:hAnsi="Times New Roman"/>
          <w:iCs/>
        </w:rPr>
        <w:t xml:space="preserve">Attachment </w:t>
      </w:r>
      <w:r w:rsidR="002F4DB2">
        <w:rPr>
          <w:rFonts w:ascii="Times New Roman" w:hAnsi="Times New Roman"/>
          <w:iCs/>
        </w:rPr>
        <w:t>1</w:t>
      </w:r>
      <w:r w:rsidR="00A12CA1">
        <w:rPr>
          <w:rFonts w:ascii="Times New Roman" w:hAnsi="Times New Roman"/>
          <w:iCs/>
        </w:rPr>
        <w:t>4</w:t>
      </w:r>
      <w:r w:rsidRPr="009B6137">
        <w:rPr>
          <w:rFonts w:ascii="Times New Roman" w:hAnsi="Times New Roman"/>
          <w:iCs/>
        </w:rPr>
        <w:t>:</w:t>
      </w:r>
      <w:r w:rsidR="006335D6">
        <w:rPr>
          <w:rFonts w:ascii="Times New Roman" w:hAnsi="Times New Roman"/>
          <w:iCs/>
        </w:rPr>
        <w:t xml:space="preserve"> </w:t>
      </w:r>
      <w:r w:rsidR="006953AE">
        <w:rPr>
          <w:rFonts w:ascii="Times New Roman" w:hAnsi="Times New Roman"/>
          <w:iCs/>
        </w:rPr>
        <w:t xml:space="preserve">Reminder letter and hardcopy survey mailing </w:t>
      </w:r>
    </w:p>
    <w:p w:rsidR="00112148" w:rsidP="00941F98" w14:paraId="4CF1FB07" w14:textId="6812FE09">
      <w:pPr>
        <w:contextualSpacing/>
        <w:rPr>
          <w:rFonts w:ascii="Times New Roman" w:hAnsi="Times New Roman"/>
          <w:iCs/>
        </w:rPr>
      </w:pPr>
      <w:r w:rsidRPr="009B6137">
        <w:rPr>
          <w:rFonts w:ascii="Times New Roman" w:hAnsi="Times New Roman"/>
          <w:iCs/>
        </w:rPr>
        <w:t>Attachment 1</w:t>
      </w:r>
      <w:r>
        <w:rPr>
          <w:rFonts w:ascii="Times New Roman" w:hAnsi="Times New Roman"/>
          <w:iCs/>
        </w:rPr>
        <w:t>5</w:t>
      </w:r>
      <w:r w:rsidRPr="009B6137">
        <w:rPr>
          <w:rFonts w:ascii="Times New Roman" w:hAnsi="Times New Roman"/>
          <w:iCs/>
        </w:rPr>
        <w:t xml:space="preserve">: </w:t>
      </w:r>
      <w:r>
        <w:rPr>
          <w:rFonts w:ascii="Times New Roman" w:hAnsi="Times New Roman"/>
          <w:iCs/>
        </w:rPr>
        <w:t>Reminder script – telephone</w:t>
      </w:r>
    </w:p>
    <w:p w:rsidR="008422E6" w:rsidP="00941F98" w14:paraId="2C918E42" w14:textId="77777777">
      <w:pPr>
        <w:rPr>
          <w:rFonts w:ascii="Times New Roman" w:hAnsi="Times New Roman"/>
          <w:iCs/>
        </w:rPr>
      </w:pPr>
      <w:r>
        <w:rPr>
          <w:rFonts w:ascii="Times New Roman" w:hAnsi="Times New Roman"/>
          <w:iCs/>
        </w:rPr>
        <w:t>Attachment 1</w:t>
      </w:r>
      <w:r w:rsidR="00112148">
        <w:rPr>
          <w:rFonts w:ascii="Times New Roman" w:hAnsi="Times New Roman"/>
          <w:iCs/>
        </w:rPr>
        <w:t>6</w:t>
      </w:r>
      <w:r>
        <w:rPr>
          <w:rFonts w:ascii="Times New Roman" w:hAnsi="Times New Roman"/>
          <w:iCs/>
        </w:rPr>
        <w:t>: Reminder letter</w:t>
      </w:r>
      <w:r w:rsidR="00DD6657">
        <w:rPr>
          <w:rFonts w:ascii="Times New Roman" w:hAnsi="Times New Roman"/>
          <w:iCs/>
        </w:rPr>
        <w:t xml:space="preserve"> </w:t>
      </w:r>
    </w:p>
    <w:p w:rsidR="00CA3B17" w:rsidP="00941F98" w14:paraId="20894B1E" w14:textId="16FABF82">
      <w:pPr>
        <w:rPr>
          <w:rFonts w:ascii="Times New Roman" w:hAnsi="Times New Roman"/>
          <w:iCs/>
        </w:rPr>
      </w:pPr>
      <w:r>
        <w:rPr>
          <w:rFonts w:ascii="Times New Roman" w:hAnsi="Times New Roman"/>
          <w:iCs/>
        </w:rPr>
        <w:t>Attachment 17: Reminder letter</w:t>
      </w:r>
    </w:p>
    <w:p w:rsidR="007171C8" w:rsidP="00941F98" w14:paraId="00A4B2A9" w14:textId="6572ADC5">
      <w:pPr>
        <w:rPr>
          <w:rFonts w:ascii="Times New Roman" w:hAnsi="Times New Roman"/>
          <w:iCs/>
        </w:rPr>
      </w:pPr>
      <w:r>
        <w:rPr>
          <w:rFonts w:ascii="Times New Roman" w:hAnsi="Times New Roman"/>
          <w:iCs/>
        </w:rPr>
        <w:t xml:space="preserve">Attachment </w:t>
      </w:r>
      <w:r w:rsidR="002F4DB2">
        <w:rPr>
          <w:rFonts w:ascii="Times New Roman" w:hAnsi="Times New Roman"/>
          <w:iCs/>
        </w:rPr>
        <w:t>1</w:t>
      </w:r>
      <w:r w:rsidR="00A12CA1">
        <w:rPr>
          <w:rFonts w:ascii="Times New Roman" w:hAnsi="Times New Roman"/>
          <w:iCs/>
        </w:rPr>
        <w:t>8</w:t>
      </w:r>
      <w:r>
        <w:rPr>
          <w:rFonts w:ascii="Times New Roman" w:hAnsi="Times New Roman"/>
          <w:iCs/>
        </w:rPr>
        <w:t>: Reminder script – telephone</w:t>
      </w:r>
    </w:p>
    <w:p w:rsidR="007171C8" w:rsidP="00941F98" w14:paraId="4673935E" w14:textId="7B814584">
      <w:pPr>
        <w:rPr>
          <w:rFonts w:ascii="Times New Roman" w:hAnsi="Times New Roman"/>
          <w:iCs/>
        </w:rPr>
      </w:pPr>
      <w:r>
        <w:rPr>
          <w:rFonts w:ascii="Times New Roman" w:hAnsi="Times New Roman"/>
          <w:iCs/>
        </w:rPr>
        <w:t xml:space="preserve">Attachment </w:t>
      </w:r>
      <w:r w:rsidR="002F4DB2">
        <w:rPr>
          <w:rFonts w:ascii="Times New Roman" w:hAnsi="Times New Roman"/>
          <w:iCs/>
        </w:rPr>
        <w:t>1</w:t>
      </w:r>
      <w:r w:rsidR="00A12CA1">
        <w:rPr>
          <w:rFonts w:ascii="Times New Roman" w:hAnsi="Times New Roman"/>
          <w:iCs/>
        </w:rPr>
        <w:t>9</w:t>
      </w:r>
      <w:r>
        <w:rPr>
          <w:rFonts w:ascii="Times New Roman" w:hAnsi="Times New Roman"/>
          <w:iCs/>
        </w:rPr>
        <w:t>: Last chance postcard</w:t>
      </w:r>
    </w:p>
    <w:p w:rsidR="007171C8" w:rsidP="00941F98" w14:paraId="630E9823" w14:textId="2954C8D3">
      <w:pPr>
        <w:rPr>
          <w:rFonts w:ascii="Times New Roman" w:hAnsi="Times New Roman"/>
          <w:iCs/>
        </w:rPr>
      </w:pPr>
      <w:r>
        <w:rPr>
          <w:rFonts w:ascii="Times New Roman" w:hAnsi="Times New Roman"/>
          <w:iCs/>
        </w:rPr>
        <w:t xml:space="preserve">Attachment </w:t>
      </w:r>
      <w:r w:rsidR="00A12CA1">
        <w:rPr>
          <w:rFonts w:ascii="Times New Roman" w:hAnsi="Times New Roman"/>
          <w:iCs/>
        </w:rPr>
        <w:t>20</w:t>
      </w:r>
      <w:r>
        <w:rPr>
          <w:rFonts w:ascii="Times New Roman" w:hAnsi="Times New Roman"/>
          <w:iCs/>
        </w:rPr>
        <w:t xml:space="preserve">: Thank you </w:t>
      </w:r>
      <w:r w:rsidR="001B6494">
        <w:rPr>
          <w:rFonts w:ascii="Times New Roman" w:hAnsi="Times New Roman"/>
          <w:iCs/>
        </w:rPr>
        <w:t>email</w:t>
      </w:r>
    </w:p>
    <w:p w:rsidR="00D2573E" w:rsidRPr="00087DA2" w:rsidP="00941F98" w14:paraId="20F46650" w14:textId="2479151F">
      <w:pPr>
        <w:rPr>
          <w:rFonts w:ascii="Times New Roman" w:hAnsi="Times New Roman"/>
          <w:iCs/>
        </w:rPr>
      </w:pP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700" w14:paraId="331886F5" w14:textId="77777777">
      <w:r>
        <w:separator/>
      </w:r>
    </w:p>
  </w:footnote>
  <w:footnote w:type="continuationSeparator" w:id="1">
    <w:p w:rsidR="00150700" w14:paraId="0A227D21" w14:textId="77777777">
      <w:r>
        <w:continuationSeparator/>
      </w:r>
    </w:p>
  </w:footnote>
  <w:footnote w:id="2">
    <w:p w:rsidR="00AF3B2E" w:rsidRPr="00077605" w:rsidP="00AF3B2E" w14:paraId="38DEBB15" w14:textId="7FCC93E4">
      <w:pPr>
        <w:pStyle w:val="FootnoteText"/>
        <w:rPr>
          <w:rFonts w:ascii="Times New Roman" w:hAnsi="Times New Roman"/>
        </w:rPr>
      </w:pPr>
      <w:r w:rsidRPr="00077605">
        <w:rPr>
          <w:rStyle w:val="FootnoteReference"/>
          <w:rFonts w:ascii="Times New Roman" w:hAnsi="Times New Roman"/>
        </w:rPr>
        <w:footnoteRef/>
      </w:r>
      <w:r w:rsidRPr="00077605">
        <w:rPr>
          <w:rFonts w:ascii="Times New Roman" w:hAnsi="Times New Roman"/>
        </w:rPr>
        <w:t xml:space="preserve"> State courts of general jurisdiction are tr</w:t>
      </w:r>
      <w:r w:rsidR="00615E5B">
        <w:rPr>
          <w:rFonts w:ascii="Times New Roman" w:hAnsi="Times New Roman"/>
        </w:rPr>
        <w:t>i</w:t>
      </w:r>
      <w:r w:rsidRPr="00077605">
        <w:rPr>
          <w:rFonts w:ascii="Times New Roman" w:hAnsi="Times New Roman"/>
        </w:rPr>
        <w:t xml:space="preserve">al courts that hear serious criminal, juvenile, and civil cases. </w:t>
      </w:r>
    </w:p>
  </w:footnote>
  <w:footnote w:id="3">
    <w:p w:rsidR="0016080F" w:rsidRPr="000501BF" w14:paraId="38C18D64" w14:textId="3B5D41C8">
      <w:pPr>
        <w:pStyle w:val="FootnoteText"/>
        <w:rPr>
          <w:rFonts w:ascii="Times New Roman" w:hAnsi="Times New Roman"/>
        </w:rPr>
      </w:pPr>
      <w:r w:rsidRPr="000501BF">
        <w:rPr>
          <w:rStyle w:val="FootnoteReference"/>
          <w:rFonts w:ascii="Times New Roman" w:hAnsi="Times New Roman"/>
        </w:rPr>
        <w:footnoteRef/>
      </w:r>
      <w:r w:rsidRPr="000501BF">
        <w:rPr>
          <w:rFonts w:ascii="Times New Roman" w:hAnsi="Times New Roman"/>
        </w:rPr>
        <w:t xml:space="preserve"> Byers, Bryan D., Kiesha Warren-Gordon, and James A. Jones. "Predictors of hate crime prosecutions: An analysis of data from the national prosecutors survey and state-level bias crime laws." </w:t>
      </w:r>
      <w:r w:rsidRPr="000501BF">
        <w:rPr>
          <w:rFonts w:ascii="Times New Roman" w:hAnsi="Times New Roman"/>
          <w:i/>
          <w:iCs/>
        </w:rPr>
        <w:t>Race and Justice</w:t>
      </w:r>
      <w:r w:rsidRPr="000501BF">
        <w:rPr>
          <w:rFonts w:ascii="Times New Roman" w:hAnsi="Times New Roman"/>
        </w:rPr>
        <w:t> 2, no. 3 (2012): 203-219.</w:t>
      </w:r>
    </w:p>
  </w:footnote>
  <w:footnote w:id="4">
    <w:p w:rsidR="00B13A72" w:rsidP="00B13A72" w14:paraId="736A95B1" w14:textId="00B7BC0F">
      <w:pPr>
        <w:pStyle w:val="FootnoteText"/>
      </w:pPr>
      <w:r w:rsidRPr="009E5781">
        <w:rPr>
          <w:rStyle w:val="FootnoteReference"/>
          <w:rFonts w:ascii="Times New Roman" w:hAnsi="Times New Roman"/>
        </w:rPr>
        <w:footnoteRef/>
      </w:r>
      <w:r w:rsidRPr="009E5781">
        <w:rPr>
          <w:rFonts w:ascii="Times New Roman" w:hAnsi="Times New Roman"/>
        </w:rPr>
        <w:t xml:space="preserve"> Gershowitz, Adam M., and Laura R. Killinger. "The state (never) rests: How excessive prosecutorial caseloads harm criminal defendants." </w:t>
      </w:r>
      <w:r w:rsidRPr="009E5781">
        <w:rPr>
          <w:rFonts w:ascii="Times New Roman" w:hAnsi="Times New Roman"/>
          <w:i/>
          <w:iCs/>
        </w:rPr>
        <w:t>Nw. UL Rev.</w:t>
      </w:r>
      <w:r w:rsidRPr="009E5781">
        <w:rPr>
          <w:rFonts w:ascii="Times New Roman" w:hAnsi="Times New Roman"/>
        </w:rPr>
        <w:t> 105 (2011): 261</w:t>
      </w:r>
      <w:r w:rsidR="0050164E">
        <w:rPr>
          <w:rFonts w:ascii="Times New Roman" w:hAnsi="Times New Roman"/>
        </w:rPr>
        <w:t>-302</w:t>
      </w:r>
      <w:r w:rsidRPr="009E5781">
        <w:rPr>
          <w:rFonts w:ascii="Times New Roman" w:hAnsi="Times New Roman"/>
        </w:rPr>
        <w:t>.</w:t>
      </w:r>
    </w:p>
  </w:footnote>
  <w:footnote w:id="5">
    <w:p w:rsidR="00C25FD4" w:rsidRPr="00077605" w:rsidP="00C25FD4" w14:paraId="6557B93A" w14:textId="77777777">
      <w:pPr>
        <w:pStyle w:val="FootnoteText"/>
        <w:rPr>
          <w:rFonts w:ascii="Times New Roman" w:hAnsi="Times New Roman"/>
        </w:rPr>
      </w:pPr>
      <w:r w:rsidRPr="00077605">
        <w:rPr>
          <w:rStyle w:val="FootnoteReference"/>
          <w:rFonts w:ascii="Times New Roman" w:hAnsi="Times New Roman"/>
        </w:rPr>
        <w:footnoteRef/>
      </w:r>
      <w:r w:rsidRPr="00077605">
        <w:rPr>
          <w:rFonts w:ascii="Times New Roman" w:hAnsi="Times New Roman"/>
        </w:rPr>
        <w:t xml:space="preserve"> NIJ </w:t>
      </w:r>
      <w:r w:rsidRPr="00077605" w:rsidR="00E750FB">
        <w:rPr>
          <w:rFonts w:ascii="Times New Roman" w:hAnsi="Times New Roman"/>
          <w:i/>
          <w:iCs/>
        </w:rPr>
        <w:t xml:space="preserve">Prosecution Practice, Justice, Case Tracking, and </w:t>
      </w:r>
      <w:r w:rsidRPr="00077605">
        <w:rPr>
          <w:rFonts w:ascii="Times New Roman" w:hAnsi="Times New Roman"/>
          <w:i/>
          <w:iCs/>
        </w:rPr>
        <w:t>Workforce</w:t>
      </w:r>
      <w:r w:rsidRPr="00077605">
        <w:rPr>
          <w:rFonts w:ascii="Times New Roman" w:hAnsi="Times New Roman"/>
        </w:rPr>
        <w:t xml:space="preserve">.  </w:t>
      </w:r>
      <w:hyperlink r:id="rId1" w:history="1">
        <w:r w:rsidRPr="00077605">
          <w:rPr>
            <w:rStyle w:val="Hyperlink"/>
            <w:rFonts w:ascii="Times New Roman" w:hAnsi="Times New Roman"/>
          </w:rPr>
          <w:t>https://nij.ojp.gov/funding/O-NIJ-2024-171995.pdf</w:t>
        </w:r>
      </w:hyperlink>
    </w:p>
  </w:footnote>
  <w:footnote w:id="6">
    <w:p w:rsidR="00C25FD4" w:rsidRPr="00077605" w:rsidP="00C25FD4" w14:paraId="7169E333" w14:textId="77777777">
      <w:pPr>
        <w:pStyle w:val="FootnoteText"/>
        <w:rPr>
          <w:rFonts w:ascii="Times New Roman" w:hAnsi="Times New Roman"/>
        </w:rPr>
      </w:pPr>
      <w:r w:rsidRPr="00077605">
        <w:rPr>
          <w:rStyle w:val="FootnoteReference"/>
          <w:rFonts w:ascii="Times New Roman" w:hAnsi="Times New Roman"/>
        </w:rPr>
        <w:footnoteRef/>
      </w:r>
      <w:r w:rsidRPr="00077605">
        <w:rPr>
          <w:rFonts w:ascii="Times New Roman" w:hAnsi="Times New Roman"/>
        </w:rPr>
        <w:t xml:space="preserve"> BJA FY24 Smart Prosecution – Innovative Prosecution Solutions. </w:t>
      </w:r>
      <w:hyperlink r:id="rId2" w:history="1">
        <w:r w:rsidRPr="00077605">
          <w:rPr>
            <w:rStyle w:val="Hyperlink"/>
            <w:rFonts w:ascii="Times New Roman" w:hAnsi="Times New Roman"/>
          </w:rPr>
          <w:t>https://bja.ojp.gov/funding/O-BJA-2024-172010.pdf</w:t>
        </w:r>
      </w:hyperlink>
      <w:r w:rsidRPr="00077605">
        <w:rPr>
          <w:rFonts w:ascii="Times New Roman" w:hAnsi="Times New Roman"/>
        </w:rPr>
        <w:t xml:space="preserve"> </w:t>
      </w:r>
    </w:p>
  </w:footnote>
  <w:footnote w:id="7">
    <w:p w:rsidR="00C25FD4" w:rsidP="00C25FD4" w14:paraId="063E0268" w14:textId="77777777">
      <w:pPr>
        <w:pStyle w:val="FootnoteText"/>
      </w:pPr>
      <w:r w:rsidRPr="00077605">
        <w:rPr>
          <w:rStyle w:val="FootnoteReference"/>
          <w:rFonts w:ascii="Times New Roman" w:hAnsi="Times New Roman"/>
        </w:rPr>
        <w:footnoteRef/>
      </w:r>
      <w:r w:rsidRPr="00077605">
        <w:rPr>
          <w:rFonts w:ascii="Times New Roman" w:hAnsi="Times New Roman"/>
        </w:rPr>
        <w:t xml:space="preserve"> BJA FY25 Prosecuting Cold Cases Using DNA. </w:t>
      </w:r>
      <w:hyperlink r:id="rId3" w:history="1">
        <w:r w:rsidRPr="00077605">
          <w:rPr>
            <w:rStyle w:val="Hyperlink"/>
            <w:rFonts w:ascii="Times New Roman" w:hAnsi="Times New Roman"/>
          </w:rPr>
          <w:t>https://www.ojp.gov/funding/docs/bja-2025-172467.pdf</w:t>
        </w:r>
      </w:hyperlink>
      <w:r>
        <w:t xml:space="preserve"> </w:t>
      </w:r>
    </w:p>
  </w:footnote>
  <w:footnote w:id="8">
    <w:p w:rsidR="00087DE9" w:rsidRPr="00077605" w:rsidP="00087DE9" w14:paraId="3C47AF61" w14:textId="77777777">
      <w:pPr>
        <w:pStyle w:val="FootnoteText"/>
        <w:rPr>
          <w:rFonts w:ascii="Times New Roman" w:hAnsi="Times New Roman"/>
        </w:rPr>
      </w:pPr>
      <w:r w:rsidRPr="00077605">
        <w:rPr>
          <w:rStyle w:val="FootnoteReference"/>
          <w:rFonts w:ascii="Times New Roman" w:hAnsi="Times New Roman"/>
        </w:rPr>
        <w:footnoteRef/>
      </w:r>
      <w:r w:rsidRPr="00077605">
        <w:rPr>
          <w:rFonts w:ascii="Times New Roman" w:hAnsi="Times New Roman"/>
        </w:rPr>
        <w:t xml:space="preserve"> </w:t>
      </w:r>
      <w:r w:rsidRPr="00077605">
        <w:rPr>
          <w:rFonts w:ascii="Times New Roman" w:hAnsi="Times New Roman"/>
          <w:color w:val="222222"/>
        </w:rPr>
        <w:t xml:space="preserve">National Academies of Sciences, Engineering, and Medicine. </w:t>
      </w:r>
      <w:r w:rsidRPr="00077605">
        <w:rPr>
          <w:rFonts w:ascii="Times New Roman" w:hAnsi="Times New Roman"/>
          <w:i/>
          <w:iCs/>
          <w:color w:val="222222"/>
        </w:rPr>
        <w:t>Modernizing crime statistics: Report 2: New systems for measuring crime</w:t>
      </w:r>
      <w:r w:rsidRPr="00077605">
        <w:rPr>
          <w:rFonts w:ascii="Times New Roman" w:hAnsi="Times New Roman"/>
          <w:color w:val="222222"/>
        </w:rPr>
        <w:t>. National Academies Press, 2018.</w:t>
      </w:r>
    </w:p>
  </w:footnote>
  <w:footnote w:id="9">
    <w:p w:rsidR="00077605" w:rsidRPr="00EF7223" w:rsidP="00077605" w14:paraId="0D823A9E" w14:textId="77777777">
      <w:pPr>
        <w:pStyle w:val="FootnoteText"/>
        <w:rPr>
          <w:rFonts w:ascii="Times New Roman" w:hAnsi="Times New Roman"/>
        </w:rPr>
      </w:pPr>
      <w:r w:rsidRPr="00EF7223">
        <w:rPr>
          <w:rStyle w:val="FootnoteReference"/>
          <w:rFonts w:ascii="Times New Roman" w:hAnsi="Times New Roman"/>
        </w:rPr>
        <w:footnoteRef/>
      </w:r>
      <w:r w:rsidRPr="00EF7223">
        <w:rPr>
          <w:rFonts w:ascii="Times New Roman" w:hAnsi="Times New Roman"/>
        </w:rPr>
        <w:t xml:space="preserve"> Bureau of Labor Statistics, U.S. Department of Labor, </w:t>
      </w:r>
      <w:r w:rsidRPr="00EF7223">
        <w:rPr>
          <w:rFonts w:ascii="Times New Roman" w:hAnsi="Times New Roman"/>
          <w:iCs/>
        </w:rPr>
        <w:t>Occupational Outlook Handbook</w:t>
      </w:r>
      <w:r w:rsidRPr="00EF7223">
        <w:rPr>
          <w:rFonts w:ascii="Times New Roman" w:hAnsi="Times New Roman"/>
        </w:rPr>
        <w:t xml:space="preserve">, Lawyers. </w:t>
      </w:r>
      <w:hyperlink r:id="rId4" w:anchor="tab-5" w:history="1">
        <w:r w:rsidRPr="00EF7223">
          <w:rPr>
            <w:rStyle w:val="Hyperlink"/>
            <w:rFonts w:ascii="Times New Roman" w:hAnsi="Times New Roman"/>
          </w:rPr>
          <w:t>https://www.bls.gov/ooh/legal/lawyers.htm#tab-5</w:t>
        </w:r>
      </w:hyperlink>
    </w:p>
  </w:footnote>
  <w:footnote w:id="10">
    <w:p w:rsidR="00077605" w:rsidRPr="00EF7223" w:rsidP="00077605" w14:paraId="580F8408" w14:textId="77777777">
      <w:pPr>
        <w:pStyle w:val="FootnoteText"/>
        <w:rPr>
          <w:rFonts w:ascii="Times New Roman" w:hAnsi="Times New Roman"/>
        </w:rPr>
      </w:pPr>
      <w:r w:rsidRPr="00EF7223">
        <w:rPr>
          <w:rStyle w:val="FootnoteReference"/>
          <w:rFonts w:ascii="Times New Roman" w:hAnsi="Times New Roman"/>
        </w:rPr>
        <w:footnoteRef/>
      </w:r>
      <w:r w:rsidRPr="00EF7223">
        <w:rPr>
          <w:rFonts w:ascii="Times New Roman" w:hAnsi="Times New Roman"/>
        </w:rPr>
        <w:t xml:space="preserve"> The United States Census Bureau, </w:t>
      </w:r>
      <w:r w:rsidRPr="00EF7223">
        <w:rPr>
          <w:rFonts w:ascii="Times New Roman" w:hAnsi="Times New Roman"/>
          <w:iCs/>
        </w:rPr>
        <w:t>Annual Survey of Public Employment and Payroll</w:t>
      </w:r>
      <w:r w:rsidRPr="00EF7223">
        <w:rPr>
          <w:rFonts w:ascii="Times New Roman" w:hAnsi="Times New Roman"/>
        </w:rPr>
        <w:t xml:space="preserve">. </w:t>
      </w:r>
      <w:hyperlink r:id="rId5" w:history="1">
        <w:r w:rsidRPr="00EF7223">
          <w:rPr>
            <w:rStyle w:val="Hyperlink"/>
            <w:rFonts w:ascii="Times New Roman" w:hAnsi="Times New Roman"/>
          </w:rPr>
          <w:t>https://www.census.gov/content/dam/Census/library/publications/2020/econ/2019_summary.pdf</w:t>
        </w:r>
      </w:hyperlink>
    </w:p>
  </w:footnote>
  <w:footnote w:id="11">
    <w:p w:rsidR="00530562" w14:paraId="6147D066" w14:textId="6314BA97">
      <w:pPr>
        <w:pStyle w:val="FootnoteText"/>
      </w:pPr>
      <w:r w:rsidRPr="00EF7223">
        <w:rPr>
          <w:rStyle w:val="FootnoteReference"/>
          <w:rFonts w:ascii="Times New Roman" w:hAnsi="Times New Roman"/>
        </w:rPr>
        <w:footnoteRef/>
      </w:r>
      <w:r w:rsidRPr="00EF7223">
        <w:rPr>
          <w:rFonts w:ascii="Times New Roman" w:hAnsi="Times New Roman"/>
        </w:rPr>
        <w:t xml:space="preserve"> Mitchell, </w:t>
      </w:r>
      <w:r w:rsidRPr="00EF7223">
        <w:rPr>
          <w:rFonts w:ascii="Times New Roman" w:hAnsi="Times New Roman"/>
        </w:rPr>
        <w:t>Ojmarrh</w:t>
      </w:r>
      <w:r w:rsidRPr="00EF7223">
        <w:rPr>
          <w:rFonts w:ascii="Times New Roman" w:hAnsi="Times New Roman"/>
        </w:rPr>
        <w:t>, Daniela Oramas Mora, Tracey L. Sticco, and Lyndsay N. Boggess. "Are progressive chief prosecutors effective in reducing prison use and cumulative racial/ethnic disadvantage? Evidence from Florida." Criminology &amp; Public Policy 21, no. 3 (2022): 535-565.</w:t>
      </w:r>
    </w:p>
  </w:footnote>
  <w:footnote w:id="12">
    <w:p w:rsidR="00D574D7" w:rsidRPr="00EF7223" w14:paraId="3C516C2F" w14:textId="5A6FAFC7">
      <w:pPr>
        <w:pStyle w:val="FootnoteText"/>
        <w:rPr>
          <w:rFonts w:ascii="Times New Roman" w:hAnsi="Times New Roman"/>
        </w:rPr>
      </w:pPr>
      <w:r w:rsidRPr="00EF7223">
        <w:rPr>
          <w:rStyle w:val="FootnoteReference"/>
          <w:rFonts w:ascii="Times New Roman" w:hAnsi="Times New Roman"/>
        </w:rPr>
        <w:footnoteRef/>
      </w:r>
      <w:r w:rsidRPr="00EF7223">
        <w:rPr>
          <w:rFonts w:ascii="Times New Roman" w:hAnsi="Times New Roman"/>
        </w:rPr>
        <w:t xml:space="preserve"> Kutateladze, </w:t>
      </w:r>
      <w:r w:rsidRPr="00EF7223">
        <w:rPr>
          <w:rFonts w:ascii="Times New Roman" w:hAnsi="Times New Roman"/>
        </w:rPr>
        <w:t>Besiki</w:t>
      </w:r>
      <w:r w:rsidRPr="00EF7223">
        <w:rPr>
          <w:rFonts w:ascii="Times New Roman" w:hAnsi="Times New Roman"/>
        </w:rPr>
        <w:t xml:space="preserve"> L., Nancy R. </w:t>
      </w:r>
      <w:r w:rsidRPr="00EF7223">
        <w:rPr>
          <w:rFonts w:ascii="Times New Roman" w:hAnsi="Times New Roman"/>
        </w:rPr>
        <w:t>Andiloro</w:t>
      </w:r>
      <w:r w:rsidRPr="00EF7223">
        <w:rPr>
          <w:rFonts w:ascii="Times New Roman" w:hAnsi="Times New Roman"/>
        </w:rPr>
        <w:t>, Brian D. Johnson, and Cassia C. Spohn. "Cumulative disadvantage: Examining racial and ethnic disparity in prosecution and sentencing." Criminology 52, no. 3 (2014): 514-551.</w:t>
      </w:r>
    </w:p>
  </w:footnote>
  <w:footnote w:id="13">
    <w:p w:rsidR="00F46FE1" w:rsidRPr="00F46FE1" w14:paraId="3F154A27" w14:textId="5C5CED78">
      <w:pPr>
        <w:pStyle w:val="FootnoteText"/>
        <w:rPr>
          <w:rFonts w:ascii="Times New Roman" w:hAnsi="Times New Roman"/>
        </w:rPr>
      </w:pPr>
      <w:r w:rsidRPr="00F46FE1">
        <w:rPr>
          <w:rStyle w:val="FootnoteReference"/>
          <w:rFonts w:ascii="Times New Roman" w:hAnsi="Times New Roman"/>
        </w:rPr>
        <w:footnoteRef/>
      </w:r>
      <w:r w:rsidRPr="00F46FE1">
        <w:rPr>
          <w:rFonts w:ascii="Times New Roman" w:hAnsi="Times New Roman"/>
        </w:rPr>
        <w:t xml:space="preserve"> </w:t>
      </w:r>
      <w:r w:rsidRPr="00F46FE1">
        <w:rPr>
          <w:rFonts w:ascii="Times New Roman" w:hAnsi="Times New Roman"/>
          <w:color w:val="222222"/>
          <w:shd w:val="clear" w:color="auto" w:fill="FFFFFF"/>
        </w:rPr>
        <w:t>Henry, Tri Keah S., Tyeisha Fordham, and Julius Mitchell. "Progressive politics and policy setting: Examining criminal justice reform efforts by Black prosecutors." </w:t>
      </w:r>
      <w:r w:rsidRPr="00F46FE1">
        <w:rPr>
          <w:rFonts w:ascii="Times New Roman" w:hAnsi="Times New Roman"/>
          <w:i/>
          <w:iCs/>
          <w:color w:val="222222"/>
          <w:shd w:val="clear" w:color="auto" w:fill="FFFFFF"/>
        </w:rPr>
        <w:t>Crime &amp; Delinquency</w:t>
      </w:r>
      <w:r w:rsidRPr="00F46FE1">
        <w:rPr>
          <w:rFonts w:ascii="Times New Roman" w:hAnsi="Times New Roman"/>
          <w:color w:val="222222"/>
          <w:shd w:val="clear" w:color="auto" w:fill="FFFFFF"/>
        </w:rPr>
        <w:t> 71, no. 1 (2025): 3-34.</w:t>
      </w:r>
    </w:p>
  </w:footnote>
  <w:footnote w:id="14">
    <w:p w:rsidR="00347EF6" w14:paraId="566A41F2" w14:textId="6500CD80">
      <w:pPr>
        <w:pStyle w:val="FootnoteText"/>
      </w:pPr>
      <w:r w:rsidRPr="00B41F0E">
        <w:rPr>
          <w:rStyle w:val="FootnoteReference"/>
          <w:rFonts w:ascii="Times New Roman" w:hAnsi="Times New Roman"/>
        </w:rPr>
        <w:footnoteRef/>
      </w:r>
      <w:r w:rsidRPr="00B41F0E">
        <w:rPr>
          <w:rFonts w:ascii="Times New Roman" w:hAnsi="Times New Roman"/>
        </w:rPr>
        <w:t xml:space="preserve"> The 2018 survey was part of the National Prosecutor Consortium project that was supported by Award No. 2015-DP-BX-KOO4 awarded to Justice &amp; Security Strategies, Inc. by the Bureau of Justice Assistance, Office of Justice Programs, U.S. Department of Justice</w:t>
      </w:r>
      <w:r w:rsidRPr="00347E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17CCB8F">
    <w:pPr>
      <w:pStyle w:val="Header"/>
      <w:rPr>
        <w:rFonts w:ascii="Times New Roman" w:hAnsi="Times New Roman"/>
        <w:bCs/>
        <w:sz w:val="20"/>
        <w:szCs w:val="20"/>
      </w:rPr>
    </w:pPr>
    <w:r>
      <w:rPr>
        <w:rFonts w:ascii="Times New Roman" w:hAnsi="Times New Roman"/>
        <w:bCs/>
        <w:sz w:val="20"/>
        <w:szCs w:val="20"/>
      </w:rPr>
      <w:t xml:space="preserve">Census of </w:t>
    </w:r>
    <w:r w:rsidR="00D11385">
      <w:rPr>
        <w:rFonts w:ascii="Times New Roman" w:hAnsi="Times New Roman"/>
        <w:bCs/>
        <w:sz w:val="20"/>
        <w:szCs w:val="20"/>
      </w:rPr>
      <w:t>Prosecutor</w:t>
    </w:r>
    <w:r>
      <w:rPr>
        <w:rFonts w:ascii="Times New Roman" w:hAnsi="Times New Roman"/>
        <w:bCs/>
        <w:sz w:val="20"/>
        <w:szCs w:val="20"/>
      </w:rPr>
      <w:t xml:space="preserve"> Offices</w:t>
    </w:r>
  </w:p>
  <w:p w:rsidR="00EC0B43" w14:paraId="52F50703" w14:textId="3DEC251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6250C9">
      <w:rPr>
        <w:rFonts w:ascii="Times New Roman" w:hAnsi="Times New Roman"/>
        <w:sz w:val="20"/>
        <w:szCs w:val="20"/>
      </w:rPr>
      <w:t>1121</w:t>
    </w:r>
    <w:r w:rsidR="008B7465">
      <w:rPr>
        <w:rFonts w:ascii="Times New Roman" w:hAnsi="Times New Roman"/>
        <w:sz w:val="20"/>
        <w:szCs w:val="20"/>
      </w:rPr>
      <w:t>-</w:t>
    </w:r>
    <w:r w:rsidR="006250C9">
      <w:rPr>
        <w:rFonts w:ascii="Times New Roman" w:hAnsi="Times New Roman"/>
        <w:sz w:val="20"/>
        <w:szCs w:val="20"/>
      </w:rPr>
      <w:t>0149</w:t>
    </w:r>
  </w:p>
  <w:p w:rsidR="00E60FB0" w:rsidRPr="00F8164B" w14:paraId="1D1AD862" w14:textId="1D5CC0CE">
    <w:pPr>
      <w:pStyle w:val="Header"/>
      <w:rPr>
        <w:rFonts w:ascii="Times New Roman" w:hAnsi="Times New Roman"/>
        <w:sz w:val="20"/>
        <w:szCs w:val="20"/>
      </w:rPr>
    </w:pPr>
    <w:r>
      <w:rPr>
        <w:rFonts w:ascii="Times New Roman" w:hAnsi="Times New Roman"/>
        <w:sz w:val="20"/>
        <w:szCs w:val="20"/>
      </w:rPr>
      <w:t xml:space="preserve">OMB Expiration Date: </w:t>
    </w:r>
    <w:r w:rsidR="008B7465">
      <w:rPr>
        <w:rFonts w:ascii="Times New Roman" w:hAnsi="Times New Roman"/>
        <w:sz w:val="20"/>
        <w:szCs w:val="20"/>
      </w:rPr>
      <w:t>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6208C"/>
    <w:multiLevelType w:val="hybridMultilevel"/>
    <w:tmpl w:val="A9989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FC450F"/>
    <w:multiLevelType w:val="hybridMultilevel"/>
    <w:tmpl w:val="35B6E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256B10"/>
    <w:multiLevelType w:val="multilevel"/>
    <w:tmpl w:val="015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0E4299"/>
    <w:multiLevelType w:val="hybridMultilevel"/>
    <w:tmpl w:val="3A24C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5C3CEA"/>
    <w:multiLevelType w:val="hybridMultilevel"/>
    <w:tmpl w:val="386015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9E46606"/>
    <w:multiLevelType w:val="hybridMultilevel"/>
    <w:tmpl w:val="933A9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3349F0"/>
    <w:multiLevelType w:val="hybridMultilevel"/>
    <w:tmpl w:val="1E9ED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6019D"/>
    <w:multiLevelType w:val="hybridMultilevel"/>
    <w:tmpl w:val="17B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175101"/>
    <w:multiLevelType w:val="hybridMultilevel"/>
    <w:tmpl w:val="808CEA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6">
    <w:nsid w:val="36F10B10"/>
    <w:multiLevelType w:val="hybridMultilevel"/>
    <w:tmpl w:val="4A3C4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F27BD4"/>
    <w:multiLevelType w:val="hybridMultilevel"/>
    <w:tmpl w:val="A7BC7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85473C"/>
    <w:multiLevelType w:val="hybridMultilevel"/>
    <w:tmpl w:val="95E26E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7132AB"/>
    <w:multiLevelType w:val="hybridMultilevel"/>
    <w:tmpl w:val="F1DAD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C63E45"/>
    <w:multiLevelType w:val="hybridMultilevel"/>
    <w:tmpl w:val="14B6C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3AC3568"/>
    <w:multiLevelType w:val="hybridMultilevel"/>
    <w:tmpl w:val="4EB8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FD36CD2"/>
    <w:multiLevelType w:val="hybridMultilevel"/>
    <w:tmpl w:val="1AE64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7">
    <w:nsid w:val="68C06133"/>
    <w:multiLevelType w:val="hybridMultilevel"/>
    <w:tmpl w:val="EC7A845A"/>
    <w:lvl w:ilvl="0">
      <w:start w:val="1"/>
      <w:numFmt w:val="bullet"/>
      <w:lvlText w:val=""/>
      <w:lvlJc w:val="left"/>
      <w:pPr>
        <w:ind w:left="1080"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2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5B7BE3"/>
    <w:multiLevelType w:val="hybridMultilevel"/>
    <w:tmpl w:val="8D86B4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3F4B34"/>
    <w:multiLevelType w:val="hybridMultilevel"/>
    <w:tmpl w:val="5A54A7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2144687"/>
    <w:multiLevelType w:val="hybridMultilevel"/>
    <w:tmpl w:val="49E088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523021"/>
    <w:multiLevelType w:val="hybridMultilevel"/>
    <w:tmpl w:val="F2D2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7"/>
  </w:num>
  <w:num w:numId="4" w16cid:durableId="188491091">
    <w:abstractNumId w:val="24"/>
  </w:num>
  <w:num w:numId="5" w16cid:durableId="2103139837">
    <w:abstractNumId w:val="6"/>
  </w:num>
  <w:num w:numId="6" w16cid:durableId="1756973642">
    <w:abstractNumId w:val="8"/>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28"/>
  </w:num>
  <w:num w:numId="9" w16cid:durableId="312102842">
    <w:abstractNumId w:val="1"/>
  </w:num>
  <w:num w:numId="10" w16cid:durableId="1376466984">
    <w:abstractNumId w:val="26"/>
  </w:num>
  <w:num w:numId="11" w16cid:durableId="1904831391">
    <w:abstractNumId w:val="15"/>
  </w:num>
  <w:num w:numId="12" w16cid:durableId="1478107046">
    <w:abstractNumId w:val="22"/>
  </w:num>
  <w:num w:numId="13" w16cid:durableId="1542084800">
    <w:abstractNumId w:val="14"/>
  </w:num>
  <w:num w:numId="14" w16cid:durableId="136800702">
    <w:abstractNumId w:val="30"/>
  </w:num>
  <w:num w:numId="15" w16cid:durableId="1217090383">
    <w:abstractNumId w:val="17"/>
  </w:num>
  <w:num w:numId="16" w16cid:durableId="1681393275">
    <w:abstractNumId w:val="27"/>
  </w:num>
  <w:num w:numId="17" w16cid:durableId="1220701864">
    <w:abstractNumId w:val="33"/>
  </w:num>
  <w:num w:numId="18" w16cid:durableId="682129153">
    <w:abstractNumId w:val="13"/>
  </w:num>
  <w:num w:numId="19" w16cid:durableId="1467309146">
    <w:abstractNumId w:val="11"/>
  </w:num>
  <w:num w:numId="20" w16cid:durableId="1895463336">
    <w:abstractNumId w:val="5"/>
  </w:num>
  <w:num w:numId="21" w16cid:durableId="1752656887">
    <w:abstractNumId w:val="9"/>
  </w:num>
  <w:num w:numId="22" w16cid:durableId="2135319927">
    <w:abstractNumId w:val="12"/>
  </w:num>
  <w:num w:numId="23" w16cid:durableId="456803762">
    <w:abstractNumId w:val="29"/>
  </w:num>
  <w:num w:numId="24" w16cid:durableId="1224946851">
    <w:abstractNumId w:val="4"/>
  </w:num>
  <w:num w:numId="25" w16cid:durableId="795685472">
    <w:abstractNumId w:val="18"/>
  </w:num>
  <w:num w:numId="26" w16cid:durableId="1583030272">
    <w:abstractNumId w:val="23"/>
  </w:num>
  <w:num w:numId="27" w16cid:durableId="687413754">
    <w:abstractNumId w:val="21"/>
  </w:num>
  <w:num w:numId="28" w16cid:durableId="221791286">
    <w:abstractNumId w:val="3"/>
  </w:num>
  <w:num w:numId="29" w16cid:durableId="309868248">
    <w:abstractNumId w:val="16"/>
  </w:num>
  <w:num w:numId="30" w16cid:durableId="238564572">
    <w:abstractNumId w:val="32"/>
  </w:num>
  <w:num w:numId="31" w16cid:durableId="95684706">
    <w:abstractNumId w:val="20"/>
  </w:num>
  <w:num w:numId="32" w16cid:durableId="795950789">
    <w:abstractNumId w:val="19"/>
  </w:num>
  <w:num w:numId="33" w16cid:durableId="1146556212">
    <w:abstractNumId w:val="25"/>
  </w:num>
  <w:num w:numId="34" w16cid:durableId="136453979">
    <w:abstractNumId w:val="10"/>
  </w:num>
  <w:num w:numId="35" w16cid:durableId="1973174642">
    <w:abstractNumId w:val="2"/>
  </w:num>
  <w:num w:numId="36" w16cid:durableId="3482218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0893"/>
    <w:rsid w:val="0000482B"/>
    <w:rsid w:val="00005DE2"/>
    <w:rsid w:val="000076F7"/>
    <w:rsid w:val="00007F1C"/>
    <w:rsid w:val="00010AFD"/>
    <w:rsid w:val="000114C0"/>
    <w:rsid w:val="000133FD"/>
    <w:rsid w:val="00014158"/>
    <w:rsid w:val="000205D3"/>
    <w:rsid w:val="00020F69"/>
    <w:rsid w:val="00022303"/>
    <w:rsid w:val="00022462"/>
    <w:rsid w:val="00025E2B"/>
    <w:rsid w:val="00026AB4"/>
    <w:rsid w:val="0003073D"/>
    <w:rsid w:val="0003168E"/>
    <w:rsid w:val="0003404E"/>
    <w:rsid w:val="00034C81"/>
    <w:rsid w:val="000372F5"/>
    <w:rsid w:val="0004107F"/>
    <w:rsid w:val="00042CBD"/>
    <w:rsid w:val="00046044"/>
    <w:rsid w:val="000501BF"/>
    <w:rsid w:val="0005205D"/>
    <w:rsid w:val="00052174"/>
    <w:rsid w:val="000523F9"/>
    <w:rsid w:val="000535EF"/>
    <w:rsid w:val="000561F3"/>
    <w:rsid w:val="0005665C"/>
    <w:rsid w:val="00056AA5"/>
    <w:rsid w:val="000608C4"/>
    <w:rsid w:val="00061EC4"/>
    <w:rsid w:val="00061F6C"/>
    <w:rsid w:val="00063468"/>
    <w:rsid w:val="00064E28"/>
    <w:rsid w:val="000655CC"/>
    <w:rsid w:val="00066D48"/>
    <w:rsid w:val="00067935"/>
    <w:rsid w:val="0007383F"/>
    <w:rsid w:val="000755D9"/>
    <w:rsid w:val="000775A8"/>
    <w:rsid w:val="00077605"/>
    <w:rsid w:val="00087B95"/>
    <w:rsid w:val="00087DA2"/>
    <w:rsid w:val="00087DE9"/>
    <w:rsid w:val="00091255"/>
    <w:rsid w:val="0009187E"/>
    <w:rsid w:val="00091F48"/>
    <w:rsid w:val="00092E7C"/>
    <w:rsid w:val="00094A5E"/>
    <w:rsid w:val="00095C30"/>
    <w:rsid w:val="00096455"/>
    <w:rsid w:val="00096F6D"/>
    <w:rsid w:val="00097C15"/>
    <w:rsid w:val="000A0339"/>
    <w:rsid w:val="000A099C"/>
    <w:rsid w:val="000A0E5A"/>
    <w:rsid w:val="000A10E9"/>
    <w:rsid w:val="000A214D"/>
    <w:rsid w:val="000A7853"/>
    <w:rsid w:val="000B0391"/>
    <w:rsid w:val="000B37AE"/>
    <w:rsid w:val="000B4875"/>
    <w:rsid w:val="000B52F7"/>
    <w:rsid w:val="000B5A74"/>
    <w:rsid w:val="000B6A76"/>
    <w:rsid w:val="000B6FB6"/>
    <w:rsid w:val="000C257C"/>
    <w:rsid w:val="000C3543"/>
    <w:rsid w:val="000C3A92"/>
    <w:rsid w:val="000C5140"/>
    <w:rsid w:val="000C58EE"/>
    <w:rsid w:val="000C5ECB"/>
    <w:rsid w:val="000C67BA"/>
    <w:rsid w:val="000C74FB"/>
    <w:rsid w:val="000D087F"/>
    <w:rsid w:val="000D0B86"/>
    <w:rsid w:val="000D0F9A"/>
    <w:rsid w:val="000D72F1"/>
    <w:rsid w:val="000D7F95"/>
    <w:rsid w:val="000E0142"/>
    <w:rsid w:val="000E0841"/>
    <w:rsid w:val="000E1C64"/>
    <w:rsid w:val="000E1E98"/>
    <w:rsid w:val="000E22B6"/>
    <w:rsid w:val="000E2520"/>
    <w:rsid w:val="000E345F"/>
    <w:rsid w:val="000E4BDE"/>
    <w:rsid w:val="000E4CD8"/>
    <w:rsid w:val="000E7376"/>
    <w:rsid w:val="000F19D3"/>
    <w:rsid w:val="000F34C1"/>
    <w:rsid w:val="000F3E39"/>
    <w:rsid w:val="000F3E7D"/>
    <w:rsid w:val="000F6836"/>
    <w:rsid w:val="001000B6"/>
    <w:rsid w:val="00100150"/>
    <w:rsid w:val="001032CD"/>
    <w:rsid w:val="001040D4"/>
    <w:rsid w:val="00106B1E"/>
    <w:rsid w:val="001078BB"/>
    <w:rsid w:val="00107937"/>
    <w:rsid w:val="00110EC7"/>
    <w:rsid w:val="001118B4"/>
    <w:rsid w:val="00112148"/>
    <w:rsid w:val="00116CD5"/>
    <w:rsid w:val="00117D33"/>
    <w:rsid w:val="00120B75"/>
    <w:rsid w:val="0012107F"/>
    <w:rsid w:val="001236AF"/>
    <w:rsid w:val="001238BA"/>
    <w:rsid w:val="00123A61"/>
    <w:rsid w:val="00125F2C"/>
    <w:rsid w:val="00127B5E"/>
    <w:rsid w:val="001311B0"/>
    <w:rsid w:val="00131394"/>
    <w:rsid w:val="00131488"/>
    <w:rsid w:val="0013243C"/>
    <w:rsid w:val="00133C47"/>
    <w:rsid w:val="00133E3D"/>
    <w:rsid w:val="001363D2"/>
    <w:rsid w:val="001401E3"/>
    <w:rsid w:val="00140522"/>
    <w:rsid w:val="0014244D"/>
    <w:rsid w:val="00142E3D"/>
    <w:rsid w:val="0014556E"/>
    <w:rsid w:val="0014601E"/>
    <w:rsid w:val="00147BFF"/>
    <w:rsid w:val="00150700"/>
    <w:rsid w:val="0015322B"/>
    <w:rsid w:val="0015365E"/>
    <w:rsid w:val="00157A90"/>
    <w:rsid w:val="0016080F"/>
    <w:rsid w:val="00160E7F"/>
    <w:rsid w:val="001623D8"/>
    <w:rsid w:val="00163A2C"/>
    <w:rsid w:val="001659B6"/>
    <w:rsid w:val="00166F4B"/>
    <w:rsid w:val="00166FA4"/>
    <w:rsid w:val="00167AD4"/>
    <w:rsid w:val="00170129"/>
    <w:rsid w:val="00176385"/>
    <w:rsid w:val="00180BE0"/>
    <w:rsid w:val="00180E5A"/>
    <w:rsid w:val="00182EAA"/>
    <w:rsid w:val="00191C75"/>
    <w:rsid w:val="00192028"/>
    <w:rsid w:val="00192711"/>
    <w:rsid w:val="001A0F49"/>
    <w:rsid w:val="001A47D9"/>
    <w:rsid w:val="001A61F1"/>
    <w:rsid w:val="001B0500"/>
    <w:rsid w:val="001B4A98"/>
    <w:rsid w:val="001B4B7E"/>
    <w:rsid w:val="001B4BB9"/>
    <w:rsid w:val="001B552E"/>
    <w:rsid w:val="001B6494"/>
    <w:rsid w:val="001B6892"/>
    <w:rsid w:val="001C39F6"/>
    <w:rsid w:val="001D072A"/>
    <w:rsid w:val="001D10ED"/>
    <w:rsid w:val="001D21D2"/>
    <w:rsid w:val="001D22D2"/>
    <w:rsid w:val="001D2D09"/>
    <w:rsid w:val="001D30B6"/>
    <w:rsid w:val="001D34DE"/>
    <w:rsid w:val="001D5FD4"/>
    <w:rsid w:val="001D67BB"/>
    <w:rsid w:val="001D6A9D"/>
    <w:rsid w:val="001E0E7F"/>
    <w:rsid w:val="001E1204"/>
    <w:rsid w:val="001E2932"/>
    <w:rsid w:val="001E3596"/>
    <w:rsid w:val="001E3D7C"/>
    <w:rsid w:val="001E5213"/>
    <w:rsid w:val="001E662D"/>
    <w:rsid w:val="001F274A"/>
    <w:rsid w:val="001F2E8E"/>
    <w:rsid w:val="001F4638"/>
    <w:rsid w:val="001F5511"/>
    <w:rsid w:val="001F552E"/>
    <w:rsid w:val="001F78DC"/>
    <w:rsid w:val="002036A1"/>
    <w:rsid w:val="00205853"/>
    <w:rsid w:val="002076C6"/>
    <w:rsid w:val="00207712"/>
    <w:rsid w:val="00210A61"/>
    <w:rsid w:val="002134B4"/>
    <w:rsid w:val="002136AD"/>
    <w:rsid w:val="00213CDC"/>
    <w:rsid w:val="002203C9"/>
    <w:rsid w:val="00224D3E"/>
    <w:rsid w:val="00225B2E"/>
    <w:rsid w:val="0023086D"/>
    <w:rsid w:val="00230B91"/>
    <w:rsid w:val="00230DB2"/>
    <w:rsid w:val="00231A31"/>
    <w:rsid w:val="00234139"/>
    <w:rsid w:val="00234341"/>
    <w:rsid w:val="00234FBB"/>
    <w:rsid w:val="00237691"/>
    <w:rsid w:val="00237E79"/>
    <w:rsid w:val="00242CA0"/>
    <w:rsid w:val="00243432"/>
    <w:rsid w:val="0024437E"/>
    <w:rsid w:val="0024438F"/>
    <w:rsid w:val="002456BA"/>
    <w:rsid w:val="00246302"/>
    <w:rsid w:val="00247146"/>
    <w:rsid w:val="002471BD"/>
    <w:rsid w:val="002517E4"/>
    <w:rsid w:val="0025632C"/>
    <w:rsid w:val="00257CF9"/>
    <w:rsid w:val="00262716"/>
    <w:rsid w:val="00262F96"/>
    <w:rsid w:val="002642D3"/>
    <w:rsid w:val="00267100"/>
    <w:rsid w:val="002676B8"/>
    <w:rsid w:val="00267EB4"/>
    <w:rsid w:val="00273581"/>
    <w:rsid w:val="00273D58"/>
    <w:rsid w:val="00274DD7"/>
    <w:rsid w:val="00276548"/>
    <w:rsid w:val="0027777D"/>
    <w:rsid w:val="00277C1F"/>
    <w:rsid w:val="00280530"/>
    <w:rsid w:val="00281D9A"/>
    <w:rsid w:val="00285159"/>
    <w:rsid w:val="00285F72"/>
    <w:rsid w:val="002866AD"/>
    <w:rsid w:val="00286BE3"/>
    <w:rsid w:val="00287ACB"/>
    <w:rsid w:val="0029135D"/>
    <w:rsid w:val="00292951"/>
    <w:rsid w:val="00293CD1"/>
    <w:rsid w:val="002950AE"/>
    <w:rsid w:val="002A3146"/>
    <w:rsid w:val="002A3962"/>
    <w:rsid w:val="002A439E"/>
    <w:rsid w:val="002A5972"/>
    <w:rsid w:val="002A6FB5"/>
    <w:rsid w:val="002A7062"/>
    <w:rsid w:val="002B2C60"/>
    <w:rsid w:val="002B4E1F"/>
    <w:rsid w:val="002B64A1"/>
    <w:rsid w:val="002B7176"/>
    <w:rsid w:val="002B719E"/>
    <w:rsid w:val="002C0EEF"/>
    <w:rsid w:val="002C5AE9"/>
    <w:rsid w:val="002D014F"/>
    <w:rsid w:val="002D1868"/>
    <w:rsid w:val="002D2002"/>
    <w:rsid w:val="002D68C4"/>
    <w:rsid w:val="002D68C6"/>
    <w:rsid w:val="002D712A"/>
    <w:rsid w:val="002E238B"/>
    <w:rsid w:val="002E4200"/>
    <w:rsid w:val="002E6DF9"/>
    <w:rsid w:val="002E7D1A"/>
    <w:rsid w:val="002F4ADD"/>
    <w:rsid w:val="002F4DB2"/>
    <w:rsid w:val="002F60A6"/>
    <w:rsid w:val="00304132"/>
    <w:rsid w:val="00304D6F"/>
    <w:rsid w:val="00304EAD"/>
    <w:rsid w:val="00311F5C"/>
    <w:rsid w:val="00312124"/>
    <w:rsid w:val="00313820"/>
    <w:rsid w:val="00313AC0"/>
    <w:rsid w:val="003170A3"/>
    <w:rsid w:val="00317AFA"/>
    <w:rsid w:val="00320140"/>
    <w:rsid w:val="003204E9"/>
    <w:rsid w:val="003214B2"/>
    <w:rsid w:val="00322122"/>
    <w:rsid w:val="00322C1B"/>
    <w:rsid w:val="00323BF7"/>
    <w:rsid w:val="003243BB"/>
    <w:rsid w:val="0032649A"/>
    <w:rsid w:val="00331261"/>
    <w:rsid w:val="00332F98"/>
    <w:rsid w:val="00334040"/>
    <w:rsid w:val="003352BF"/>
    <w:rsid w:val="0033578D"/>
    <w:rsid w:val="003363E4"/>
    <w:rsid w:val="00337B58"/>
    <w:rsid w:val="00341B88"/>
    <w:rsid w:val="003430A6"/>
    <w:rsid w:val="00343A60"/>
    <w:rsid w:val="003448FC"/>
    <w:rsid w:val="00346068"/>
    <w:rsid w:val="00346123"/>
    <w:rsid w:val="00347630"/>
    <w:rsid w:val="00347EF6"/>
    <w:rsid w:val="003548D8"/>
    <w:rsid w:val="00360285"/>
    <w:rsid w:val="00362FA9"/>
    <w:rsid w:val="00363B8B"/>
    <w:rsid w:val="00363CC2"/>
    <w:rsid w:val="003665B1"/>
    <w:rsid w:val="00370BA7"/>
    <w:rsid w:val="00371313"/>
    <w:rsid w:val="003714FB"/>
    <w:rsid w:val="00371B7E"/>
    <w:rsid w:val="00371EEC"/>
    <w:rsid w:val="00381382"/>
    <w:rsid w:val="003818C9"/>
    <w:rsid w:val="00382042"/>
    <w:rsid w:val="00383BBD"/>
    <w:rsid w:val="00383E18"/>
    <w:rsid w:val="00384043"/>
    <w:rsid w:val="00384562"/>
    <w:rsid w:val="003857AC"/>
    <w:rsid w:val="00385E74"/>
    <w:rsid w:val="003869A7"/>
    <w:rsid w:val="003876F3"/>
    <w:rsid w:val="00390426"/>
    <w:rsid w:val="003908B9"/>
    <w:rsid w:val="00392D52"/>
    <w:rsid w:val="003938B0"/>
    <w:rsid w:val="00394AEB"/>
    <w:rsid w:val="0039538A"/>
    <w:rsid w:val="003956E0"/>
    <w:rsid w:val="003964B5"/>
    <w:rsid w:val="003A2EE2"/>
    <w:rsid w:val="003A4461"/>
    <w:rsid w:val="003A4476"/>
    <w:rsid w:val="003A61BC"/>
    <w:rsid w:val="003A6353"/>
    <w:rsid w:val="003A6D8F"/>
    <w:rsid w:val="003B0BC7"/>
    <w:rsid w:val="003B2911"/>
    <w:rsid w:val="003B2954"/>
    <w:rsid w:val="003B2F28"/>
    <w:rsid w:val="003B3796"/>
    <w:rsid w:val="003B4707"/>
    <w:rsid w:val="003B6BE7"/>
    <w:rsid w:val="003C13C6"/>
    <w:rsid w:val="003C3BF0"/>
    <w:rsid w:val="003C3E6C"/>
    <w:rsid w:val="003C4E92"/>
    <w:rsid w:val="003C6A9B"/>
    <w:rsid w:val="003D209F"/>
    <w:rsid w:val="003D214C"/>
    <w:rsid w:val="003D241C"/>
    <w:rsid w:val="003D3B18"/>
    <w:rsid w:val="003D3F0A"/>
    <w:rsid w:val="003D5958"/>
    <w:rsid w:val="003D6534"/>
    <w:rsid w:val="003D6AC7"/>
    <w:rsid w:val="003D7C89"/>
    <w:rsid w:val="003E1124"/>
    <w:rsid w:val="003E15A0"/>
    <w:rsid w:val="003E49A6"/>
    <w:rsid w:val="003E5E34"/>
    <w:rsid w:val="003E6021"/>
    <w:rsid w:val="003E7642"/>
    <w:rsid w:val="003F29BF"/>
    <w:rsid w:val="003F53FB"/>
    <w:rsid w:val="003F63F0"/>
    <w:rsid w:val="004004F0"/>
    <w:rsid w:val="00400B4D"/>
    <w:rsid w:val="00401F00"/>
    <w:rsid w:val="00401F18"/>
    <w:rsid w:val="004056B7"/>
    <w:rsid w:val="00406F04"/>
    <w:rsid w:val="00410AC8"/>
    <w:rsid w:val="00410D3A"/>
    <w:rsid w:val="00414664"/>
    <w:rsid w:val="00415099"/>
    <w:rsid w:val="00415556"/>
    <w:rsid w:val="004172C1"/>
    <w:rsid w:val="0042154F"/>
    <w:rsid w:val="004227E3"/>
    <w:rsid w:val="00423E3A"/>
    <w:rsid w:val="00424698"/>
    <w:rsid w:val="00431860"/>
    <w:rsid w:val="00432119"/>
    <w:rsid w:val="004328D9"/>
    <w:rsid w:val="00434C30"/>
    <w:rsid w:val="00434FF9"/>
    <w:rsid w:val="00435E05"/>
    <w:rsid w:val="0043771F"/>
    <w:rsid w:val="00440211"/>
    <w:rsid w:val="0044050F"/>
    <w:rsid w:val="00440ADA"/>
    <w:rsid w:val="00442410"/>
    <w:rsid w:val="004433D6"/>
    <w:rsid w:val="00443460"/>
    <w:rsid w:val="00445FA1"/>
    <w:rsid w:val="0044773C"/>
    <w:rsid w:val="0045171D"/>
    <w:rsid w:val="00454736"/>
    <w:rsid w:val="00455DAF"/>
    <w:rsid w:val="00456B04"/>
    <w:rsid w:val="004579EA"/>
    <w:rsid w:val="00461B8A"/>
    <w:rsid w:val="00462164"/>
    <w:rsid w:val="0046326E"/>
    <w:rsid w:val="004672B5"/>
    <w:rsid w:val="00480CC7"/>
    <w:rsid w:val="004828D1"/>
    <w:rsid w:val="004844D1"/>
    <w:rsid w:val="0048559D"/>
    <w:rsid w:val="004862A8"/>
    <w:rsid w:val="00487586"/>
    <w:rsid w:val="0049001D"/>
    <w:rsid w:val="00492CFD"/>
    <w:rsid w:val="00492FD2"/>
    <w:rsid w:val="0049443D"/>
    <w:rsid w:val="0049452E"/>
    <w:rsid w:val="00494A93"/>
    <w:rsid w:val="00494D75"/>
    <w:rsid w:val="00495B7E"/>
    <w:rsid w:val="004A1763"/>
    <w:rsid w:val="004A2169"/>
    <w:rsid w:val="004A221C"/>
    <w:rsid w:val="004A6E99"/>
    <w:rsid w:val="004A6F87"/>
    <w:rsid w:val="004B0B72"/>
    <w:rsid w:val="004B106A"/>
    <w:rsid w:val="004B1E83"/>
    <w:rsid w:val="004B2057"/>
    <w:rsid w:val="004B5A61"/>
    <w:rsid w:val="004B5E6B"/>
    <w:rsid w:val="004D1815"/>
    <w:rsid w:val="004D1C76"/>
    <w:rsid w:val="004D1C78"/>
    <w:rsid w:val="004D4032"/>
    <w:rsid w:val="004D441E"/>
    <w:rsid w:val="004D46D1"/>
    <w:rsid w:val="004D4F45"/>
    <w:rsid w:val="004E054D"/>
    <w:rsid w:val="004E1D9E"/>
    <w:rsid w:val="004E5B39"/>
    <w:rsid w:val="004E7791"/>
    <w:rsid w:val="004E79B3"/>
    <w:rsid w:val="004F17B8"/>
    <w:rsid w:val="004F27AA"/>
    <w:rsid w:val="004F300F"/>
    <w:rsid w:val="004F7A4B"/>
    <w:rsid w:val="0050164E"/>
    <w:rsid w:val="00501A15"/>
    <w:rsid w:val="0050264F"/>
    <w:rsid w:val="00511475"/>
    <w:rsid w:val="00511D65"/>
    <w:rsid w:val="00513128"/>
    <w:rsid w:val="005159BC"/>
    <w:rsid w:val="005164DC"/>
    <w:rsid w:val="00521722"/>
    <w:rsid w:val="00522B8D"/>
    <w:rsid w:val="00524D83"/>
    <w:rsid w:val="0052585C"/>
    <w:rsid w:val="005267FD"/>
    <w:rsid w:val="00527066"/>
    <w:rsid w:val="00527C7D"/>
    <w:rsid w:val="00530562"/>
    <w:rsid w:val="00530EBD"/>
    <w:rsid w:val="00532E6D"/>
    <w:rsid w:val="00534E8F"/>
    <w:rsid w:val="00536BD0"/>
    <w:rsid w:val="00540CD8"/>
    <w:rsid w:val="005415A1"/>
    <w:rsid w:val="0054217A"/>
    <w:rsid w:val="00546044"/>
    <w:rsid w:val="005474D0"/>
    <w:rsid w:val="00551494"/>
    <w:rsid w:val="005530DF"/>
    <w:rsid w:val="005541B6"/>
    <w:rsid w:val="005554E0"/>
    <w:rsid w:val="0055565C"/>
    <w:rsid w:val="005557AF"/>
    <w:rsid w:val="005559E4"/>
    <w:rsid w:val="005622FE"/>
    <w:rsid w:val="005654A9"/>
    <w:rsid w:val="00565AA5"/>
    <w:rsid w:val="00567912"/>
    <w:rsid w:val="00570098"/>
    <w:rsid w:val="00571CBD"/>
    <w:rsid w:val="005730FF"/>
    <w:rsid w:val="0057500D"/>
    <w:rsid w:val="0058006B"/>
    <w:rsid w:val="005805E7"/>
    <w:rsid w:val="00580DBF"/>
    <w:rsid w:val="00583478"/>
    <w:rsid w:val="00583F5D"/>
    <w:rsid w:val="00584191"/>
    <w:rsid w:val="0058424C"/>
    <w:rsid w:val="00584F8D"/>
    <w:rsid w:val="00586FD0"/>
    <w:rsid w:val="0059113F"/>
    <w:rsid w:val="00592304"/>
    <w:rsid w:val="00595491"/>
    <w:rsid w:val="005959F1"/>
    <w:rsid w:val="00597693"/>
    <w:rsid w:val="00597DC4"/>
    <w:rsid w:val="005A021E"/>
    <w:rsid w:val="005A0350"/>
    <w:rsid w:val="005A12A9"/>
    <w:rsid w:val="005A14C9"/>
    <w:rsid w:val="005A1C00"/>
    <w:rsid w:val="005A1FA6"/>
    <w:rsid w:val="005A7D9E"/>
    <w:rsid w:val="005B128E"/>
    <w:rsid w:val="005B2697"/>
    <w:rsid w:val="005B495A"/>
    <w:rsid w:val="005B5990"/>
    <w:rsid w:val="005B68BC"/>
    <w:rsid w:val="005C313C"/>
    <w:rsid w:val="005C318A"/>
    <w:rsid w:val="005C4DE0"/>
    <w:rsid w:val="005C6147"/>
    <w:rsid w:val="005D5F8C"/>
    <w:rsid w:val="005D617A"/>
    <w:rsid w:val="005D721A"/>
    <w:rsid w:val="005D7926"/>
    <w:rsid w:val="005D7BE3"/>
    <w:rsid w:val="005E2281"/>
    <w:rsid w:val="005E5148"/>
    <w:rsid w:val="005E5A09"/>
    <w:rsid w:val="005E6641"/>
    <w:rsid w:val="00600C67"/>
    <w:rsid w:val="0060114B"/>
    <w:rsid w:val="00603D4A"/>
    <w:rsid w:val="00611DE2"/>
    <w:rsid w:val="00613EAD"/>
    <w:rsid w:val="00614A1C"/>
    <w:rsid w:val="006150E7"/>
    <w:rsid w:val="00615E5B"/>
    <w:rsid w:val="00615EB1"/>
    <w:rsid w:val="00620BD4"/>
    <w:rsid w:val="006227B3"/>
    <w:rsid w:val="006250C9"/>
    <w:rsid w:val="00626664"/>
    <w:rsid w:val="00627B1F"/>
    <w:rsid w:val="0063052B"/>
    <w:rsid w:val="006315D0"/>
    <w:rsid w:val="006335D6"/>
    <w:rsid w:val="00636293"/>
    <w:rsid w:val="0064062E"/>
    <w:rsid w:val="00642220"/>
    <w:rsid w:val="00646724"/>
    <w:rsid w:val="00646857"/>
    <w:rsid w:val="00646CF1"/>
    <w:rsid w:val="00647260"/>
    <w:rsid w:val="00647A01"/>
    <w:rsid w:val="00647A37"/>
    <w:rsid w:val="00647F17"/>
    <w:rsid w:val="0065148D"/>
    <w:rsid w:val="00652ED1"/>
    <w:rsid w:val="006558D4"/>
    <w:rsid w:val="00657056"/>
    <w:rsid w:val="00660E0E"/>
    <w:rsid w:val="0066148E"/>
    <w:rsid w:val="006626FF"/>
    <w:rsid w:val="006638C4"/>
    <w:rsid w:val="006650A8"/>
    <w:rsid w:val="006722BE"/>
    <w:rsid w:val="006724B1"/>
    <w:rsid w:val="0067772C"/>
    <w:rsid w:val="00681990"/>
    <w:rsid w:val="00683A96"/>
    <w:rsid w:val="00685435"/>
    <w:rsid w:val="006862BD"/>
    <w:rsid w:val="00687746"/>
    <w:rsid w:val="00690D2A"/>
    <w:rsid w:val="00690F56"/>
    <w:rsid w:val="00693644"/>
    <w:rsid w:val="0069523C"/>
    <w:rsid w:val="006953AE"/>
    <w:rsid w:val="006A04EB"/>
    <w:rsid w:val="006A4637"/>
    <w:rsid w:val="006A4B76"/>
    <w:rsid w:val="006A4B8E"/>
    <w:rsid w:val="006A5BEC"/>
    <w:rsid w:val="006A6237"/>
    <w:rsid w:val="006A67A3"/>
    <w:rsid w:val="006A6E8F"/>
    <w:rsid w:val="006A7FA8"/>
    <w:rsid w:val="006B7A41"/>
    <w:rsid w:val="006C26BE"/>
    <w:rsid w:val="006C39F8"/>
    <w:rsid w:val="006C4C40"/>
    <w:rsid w:val="006C64EE"/>
    <w:rsid w:val="006C72F0"/>
    <w:rsid w:val="006C7568"/>
    <w:rsid w:val="006D09C9"/>
    <w:rsid w:val="006D17B5"/>
    <w:rsid w:val="006E0C42"/>
    <w:rsid w:val="006E1A08"/>
    <w:rsid w:val="006E26CD"/>
    <w:rsid w:val="006E4433"/>
    <w:rsid w:val="006E525B"/>
    <w:rsid w:val="006E54FE"/>
    <w:rsid w:val="006E604F"/>
    <w:rsid w:val="006E63C6"/>
    <w:rsid w:val="006F11ED"/>
    <w:rsid w:val="006F261E"/>
    <w:rsid w:val="006F40B6"/>
    <w:rsid w:val="006F4C9E"/>
    <w:rsid w:val="006F66F9"/>
    <w:rsid w:val="006F6A59"/>
    <w:rsid w:val="006F6AEE"/>
    <w:rsid w:val="006F6E13"/>
    <w:rsid w:val="006F7DCF"/>
    <w:rsid w:val="00700829"/>
    <w:rsid w:val="007010C5"/>
    <w:rsid w:val="007011F1"/>
    <w:rsid w:val="00702BE4"/>
    <w:rsid w:val="00703D54"/>
    <w:rsid w:val="00705CF8"/>
    <w:rsid w:val="007127A1"/>
    <w:rsid w:val="007133E0"/>
    <w:rsid w:val="00713ACE"/>
    <w:rsid w:val="00715F82"/>
    <w:rsid w:val="00717003"/>
    <w:rsid w:val="007171C8"/>
    <w:rsid w:val="0071749C"/>
    <w:rsid w:val="00720E65"/>
    <w:rsid w:val="00721E05"/>
    <w:rsid w:val="00723AE9"/>
    <w:rsid w:val="007271AD"/>
    <w:rsid w:val="00727CB9"/>
    <w:rsid w:val="00727D82"/>
    <w:rsid w:val="00727F6B"/>
    <w:rsid w:val="00730704"/>
    <w:rsid w:val="007325EF"/>
    <w:rsid w:val="00736F15"/>
    <w:rsid w:val="007412B6"/>
    <w:rsid w:val="00742801"/>
    <w:rsid w:val="00745C3E"/>
    <w:rsid w:val="00747A3F"/>
    <w:rsid w:val="0075274B"/>
    <w:rsid w:val="00753389"/>
    <w:rsid w:val="007551C4"/>
    <w:rsid w:val="00755761"/>
    <w:rsid w:val="0076222F"/>
    <w:rsid w:val="0076250F"/>
    <w:rsid w:val="007636EC"/>
    <w:rsid w:val="007650A3"/>
    <w:rsid w:val="00765E24"/>
    <w:rsid w:val="00767D37"/>
    <w:rsid w:val="00767F00"/>
    <w:rsid w:val="0077042F"/>
    <w:rsid w:val="00770C94"/>
    <w:rsid w:val="00771C75"/>
    <w:rsid w:val="00772D6C"/>
    <w:rsid w:val="00773D52"/>
    <w:rsid w:val="00773E54"/>
    <w:rsid w:val="00774503"/>
    <w:rsid w:val="00775D9A"/>
    <w:rsid w:val="00776608"/>
    <w:rsid w:val="00776D91"/>
    <w:rsid w:val="00777CD2"/>
    <w:rsid w:val="00780272"/>
    <w:rsid w:val="0078038F"/>
    <w:rsid w:val="007805E1"/>
    <w:rsid w:val="00781299"/>
    <w:rsid w:val="0078165A"/>
    <w:rsid w:val="00782603"/>
    <w:rsid w:val="00784522"/>
    <w:rsid w:val="00785FE9"/>
    <w:rsid w:val="00786D8D"/>
    <w:rsid w:val="00786E04"/>
    <w:rsid w:val="00787D33"/>
    <w:rsid w:val="007908A9"/>
    <w:rsid w:val="00791114"/>
    <w:rsid w:val="00793F23"/>
    <w:rsid w:val="007947FB"/>
    <w:rsid w:val="00795871"/>
    <w:rsid w:val="0079689A"/>
    <w:rsid w:val="007A380E"/>
    <w:rsid w:val="007A6B57"/>
    <w:rsid w:val="007A6F0E"/>
    <w:rsid w:val="007A7F79"/>
    <w:rsid w:val="007B2668"/>
    <w:rsid w:val="007C124D"/>
    <w:rsid w:val="007C2862"/>
    <w:rsid w:val="007C67A3"/>
    <w:rsid w:val="007D058A"/>
    <w:rsid w:val="007D23CB"/>
    <w:rsid w:val="007D46C2"/>
    <w:rsid w:val="007D7566"/>
    <w:rsid w:val="007E4AA3"/>
    <w:rsid w:val="007F2F02"/>
    <w:rsid w:val="007F33F4"/>
    <w:rsid w:val="007F3B38"/>
    <w:rsid w:val="007F3C02"/>
    <w:rsid w:val="007F6A9D"/>
    <w:rsid w:val="00802605"/>
    <w:rsid w:val="00802A30"/>
    <w:rsid w:val="008043E5"/>
    <w:rsid w:val="00804A1A"/>
    <w:rsid w:val="0081040A"/>
    <w:rsid w:val="0081073D"/>
    <w:rsid w:val="00810939"/>
    <w:rsid w:val="00810FBB"/>
    <w:rsid w:val="00811418"/>
    <w:rsid w:val="008121DC"/>
    <w:rsid w:val="008132B2"/>
    <w:rsid w:val="008138B5"/>
    <w:rsid w:val="00813CC0"/>
    <w:rsid w:val="00820336"/>
    <w:rsid w:val="00820526"/>
    <w:rsid w:val="00823187"/>
    <w:rsid w:val="008242B5"/>
    <w:rsid w:val="00825251"/>
    <w:rsid w:val="00825361"/>
    <w:rsid w:val="008271AF"/>
    <w:rsid w:val="00827EB1"/>
    <w:rsid w:val="00830673"/>
    <w:rsid w:val="00832177"/>
    <w:rsid w:val="008323ED"/>
    <w:rsid w:val="00835955"/>
    <w:rsid w:val="00836091"/>
    <w:rsid w:val="008411EA"/>
    <w:rsid w:val="008422E6"/>
    <w:rsid w:val="00844374"/>
    <w:rsid w:val="00845ADB"/>
    <w:rsid w:val="00846701"/>
    <w:rsid w:val="00847474"/>
    <w:rsid w:val="00851114"/>
    <w:rsid w:val="0085307A"/>
    <w:rsid w:val="0085513B"/>
    <w:rsid w:val="00857675"/>
    <w:rsid w:val="008624D5"/>
    <w:rsid w:val="00864C6F"/>
    <w:rsid w:val="00867027"/>
    <w:rsid w:val="00871CA6"/>
    <w:rsid w:val="0087246B"/>
    <w:rsid w:val="0087295F"/>
    <w:rsid w:val="00875443"/>
    <w:rsid w:val="00876021"/>
    <w:rsid w:val="008800D4"/>
    <w:rsid w:val="00880642"/>
    <w:rsid w:val="00882AB5"/>
    <w:rsid w:val="00882B1D"/>
    <w:rsid w:val="00882D06"/>
    <w:rsid w:val="008830AA"/>
    <w:rsid w:val="008834FB"/>
    <w:rsid w:val="0088672C"/>
    <w:rsid w:val="00887F39"/>
    <w:rsid w:val="00890E0B"/>
    <w:rsid w:val="00892ECD"/>
    <w:rsid w:val="00893F2D"/>
    <w:rsid w:val="008950F7"/>
    <w:rsid w:val="00897471"/>
    <w:rsid w:val="008A1F0C"/>
    <w:rsid w:val="008A2DB7"/>
    <w:rsid w:val="008A40D1"/>
    <w:rsid w:val="008A4655"/>
    <w:rsid w:val="008B2796"/>
    <w:rsid w:val="008B40F5"/>
    <w:rsid w:val="008B517D"/>
    <w:rsid w:val="008B541B"/>
    <w:rsid w:val="008B7465"/>
    <w:rsid w:val="008C0B02"/>
    <w:rsid w:val="008C0B31"/>
    <w:rsid w:val="008C142E"/>
    <w:rsid w:val="008C3167"/>
    <w:rsid w:val="008C3C66"/>
    <w:rsid w:val="008C672E"/>
    <w:rsid w:val="008D1472"/>
    <w:rsid w:val="008D202E"/>
    <w:rsid w:val="008D506D"/>
    <w:rsid w:val="008E2832"/>
    <w:rsid w:val="008E2D24"/>
    <w:rsid w:val="008E550D"/>
    <w:rsid w:val="008F21EC"/>
    <w:rsid w:val="008F290E"/>
    <w:rsid w:val="008F6E74"/>
    <w:rsid w:val="00901003"/>
    <w:rsid w:val="0090158E"/>
    <w:rsid w:val="00901EF6"/>
    <w:rsid w:val="0090413E"/>
    <w:rsid w:val="00904539"/>
    <w:rsid w:val="009047D1"/>
    <w:rsid w:val="00905B7A"/>
    <w:rsid w:val="00911E1F"/>
    <w:rsid w:val="00923B37"/>
    <w:rsid w:val="00924126"/>
    <w:rsid w:val="0092628E"/>
    <w:rsid w:val="009264BC"/>
    <w:rsid w:val="00926AD4"/>
    <w:rsid w:val="009271B1"/>
    <w:rsid w:val="00927782"/>
    <w:rsid w:val="00932EF9"/>
    <w:rsid w:val="0093485F"/>
    <w:rsid w:val="00934FBD"/>
    <w:rsid w:val="00936E28"/>
    <w:rsid w:val="009407FC"/>
    <w:rsid w:val="00941F98"/>
    <w:rsid w:val="009441E2"/>
    <w:rsid w:val="00950552"/>
    <w:rsid w:val="009510BE"/>
    <w:rsid w:val="00951F38"/>
    <w:rsid w:val="00954927"/>
    <w:rsid w:val="009574F2"/>
    <w:rsid w:val="00957C78"/>
    <w:rsid w:val="00963680"/>
    <w:rsid w:val="00964B09"/>
    <w:rsid w:val="00964D3F"/>
    <w:rsid w:val="009655B4"/>
    <w:rsid w:val="009677EC"/>
    <w:rsid w:val="00967874"/>
    <w:rsid w:val="00967AD4"/>
    <w:rsid w:val="009700D9"/>
    <w:rsid w:val="009815B8"/>
    <w:rsid w:val="009838B1"/>
    <w:rsid w:val="00983CA7"/>
    <w:rsid w:val="00984145"/>
    <w:rsid w:val="00985345"/>
    <w:rsid w:val="00985369"/>
    <w:rsid w:val="00985C15"/>
    <w:rsid w:val="0098733A"/>
    <w:rsid w:val="009907FB"/>
    <w:rsid w:val="00991E6B"/>
    <w:rsid w:val="009921E2"/>
    <w:rsid w:val="00993CA0"/>
    <w:rsid w:val="00996C29"/>
    <w:rsid w:val="009A2235"/>
    <w:rsid w:val="009A2D1A"/>
    <w:rsid w:val="009A4A93"/>
    <w:rsid w:val="009A6DCA"/>
    <w:rsid w:val="009B00FD"/>
    <w:rsid w:val="009B38D1"/>
    <w:rsid w:val="009B4116"/>
    <w:rsid w:val="009B4AB2"/>
    <w:rsid w:val="009B4CCE"/>
    <w:rsid w:val="009B58F3"/>
    <w:rsid w:val="009B5AFA"/>
    <w:rsid w:val="009B6137"/>
    <w:rsid w:val="009B62FD"/>
    <w:rsid w:val="009B689F"/>
    <w:rsid w:val="009B6955"/>
    <w:rsid w:val="009B72DC"/>
    <w:rsid w:val="009C2A10"/>
    <w:rsid w:val="009C39DD"/>
    <w:rsid w:val="009C4365"/>
    <w:rsid w:val="009C490B"/>
    <w:rsid w:val="009C49D7"/>
    <w:rsid w:val="009C64E2"/>
    <w:rsid w:val="009D0000"/>
    <w:rsid w:val="009D05F0"/>
    <w:rsid w:val="009D08D1"/>
    <w:rsid w:val="009D0BBA"/>
    <w:rsid w:val="009D1EA2"/>
    <w:rsid w:val="009D3A23"/>
    <w:rsid w:val="009D77D1"/>
    <w:rsid w:val="009E0141"/>
    <w:rsid w:val="009E234B"/>
    <w:rsid w:val="009E5781"/>
    <w:rsid w:val="009F064A"/>
    <w:rsid w:val="009F160A"/>
    <w:rsid w:val="009F241B"/>
    <w:rsid w:val="009F52F3"/>
    <w:rsid w:val="009F6275"/>
    <w:rsid w:val="009F73A3"/>
    <w:rsid w:val="009F7B0B"/>
    <w:rsid w:val="009F7BD5"/>
    <w:rsid w:val="00A070AE"/>
    <w:rsid w:val="00A10441"/>
    <w:rsid w:val="00A1242D"/>
    <w:rsid w:val="00A12CA1"/>
    <w:rsid w:val="00A15094"/>
    <w:rsid w:val="00A16F9A"/>
    <w:rsid w:val="00A17973"/>
    <w:rsid w:val="00A217C3"/>
    <w:rsid w:val="00A21F98"/>
    <w:rsid w:val="00A2291E"/>
    <w:rsid w:val="00A2391E"/>
    <w:rsid w:val="00A31DE7"/>
    <w:rsid w:val="00A35CD3"/>
    <w:rsid w:val="00A40C42"/>
    <w:rsid w:val="00A41C21"/>
    <w:rsid w:val="00A47DA7"/>
    <w:rsid w:val="00A47FA0"/>
    <w:rsid w:val="00A52DE7"/>
    <w:rsid w:val="00A5495D"/>
    <w:rsid w:val="00A55023"/>
    <w:rsid w:val="00A56B86"/>
    <w:rsid w:val="00A579DF"/>
    <w:rsid w:val="00A60071"/>
    <w:rsid w:val="00A60898"/>
    <w:rsid w:val="00A61EDE"/>
    <w:rsid w:val="00A632EF"/>
    <w:rsid w:val="00A6365F"/>
    <w:rsid w:val="00A64699"/>
    <w:rsid w:val="00A659A5"/>
    <w:rsid w:val="00A677E9"/>
    <w:rsid w:val="00A67949"/>
    <w:rsid w:val="00A71EB9"/>
    <w:rsid w:val="00A7234F"/>
    <w:rsid w:val="00A73793"/>
    <w:rsid w:val="00A73BFD"/>
    <w:rsid w:val="00A740AB"/>
    <w:rsid w:val="00A755FE"/>
    <w:rsid w:val="00A76F72"/>
    <w:rsid w:val="00A81E36"/>
    <w:rsid w:val="00A82EBB"/>
    <w:rsid w:val="00A83430"/>
    <w:rsid w:val="00A834BF"/>
    <w:rsid w:val="00A866B3"/>
    <w:rsid w:val="00A87A8C"/>
    <w:rsid w:val="00A87FD9"/>
    <w:rsid w:val="00A9016F"/>
    <w:rsid w:val="00A90769"/>
    <w:rsid w:val="00A90D66"/>
    <w:rsid w:val="00A93416"/>
    <w:rsid w:val="00A9369D"/>
    <w:rsid w:val="00A94A89"/>
    <w:rsid w:val="00A9594D"/>
    <w:rsid w:val="00A9676E"/>
    <w:rsid w:val="00A973AA"/>
    <w:rsid w:val="00AA177A"/>
    <w:rsid w:val="00AA359D"/>
    <w:rsid w:val="00AA3A59"/>
    <w:rsid w:val="00AA43AA"/>
    <w:rsid w:val="00AA4A70"/>
    <w:rsid w:val="00AA7AD8"/>
    <w:rsid w:val="00AB0FC8"/>
    <w:rsid w:val="00AB165C"/>
    <w:rsid w:val="00AB380E"/>
    <w:rsid w:val="00AB4DC3"/>
    <w:rsid w:val="00AB6743"/>
    <w:rsid w:val="00AB6AEC"/>
    <w:rsid w:val="00AB7BC6"/>
    <w:rsid w:val="00AC3E1E"/>
    <w:rsid w:val="00AC5567"/>
    <w:rsid w:val="00AC5D31"/>
    <w:rsid w:val="00AC5D82"/>
    <w:rsid w:val="00AC775D"/>
    <w:rsid w:val="00AC7AC6"/>
    <w:rsid w:val="00AD022F"/>
    <w:rsid w:val="00AD113F"/>
    <w:rsid w:val="00AD2DA3"/>
    <w:rsid w:val="00AD3FDB"/>
    <w:rsid w:val="00AD3FF4"/>
    <w:rsid w:val="00AD45F7"/>
    <w:rsid w:val="00AD51AB"/>
    <w:rsid w:val="00AD75AC"/>
    <w:rsid w:val="00AE0338"/>
    <w:rsid w:val="00AE2C40"/>
    <w:rsid w:val="00AF2577"/>
    <w:rsid w:val="00AF2C11"/>
    <w:rsid w:val="00AF33F6"/>
    <w:rsid w:val="00AF3788"/>
    <w:rsid w:val="00AF3B2E"/>
    <w:rsid w:val="00AF5262"/>
    <w:rsid w:val="00AF60D6"/>
    <w:rsid w:val="00AF64BA"/>
    <w:rsid w:val="00AF6FEA"/>
    <w:rsid w:val="00AF7928"/>
    <w:rsid w:val="00B00CB0"/>
    <w:rsid w:val="00B049A6"/>
    <w:rsid w:val="00B04D72"/>
    <w:rsid w:val="00B05C59"/>
    <w:rsid w:val="00B060E7"/>
    <w:rsid w:val="00B13099"/>
    <w:rsid w:val="00B13844"/>
    <w:rsid w:val="00B13A72"/>
    <w:rsid w:val="00B14634"/>
    <w:rsid w:val="00B1750D"/>
    <w:rsid w:val="00B22DFF"/>
    <w:rsid w:val="00B22E35"/>
    <w:rsid w:val="00B2363B"/>
    <w:rsid w:val="00B238A6"/>
    <w:rsid w:val="00B26C9D"/>
    <w:rsid w:val="00B26E3E"/>
    <w:rsid w:val="00B30687"/>
    <w:rsid w:val="00B31F0B"/>
    <w:rsid w:val="00B3204C"/>
    <w:rsid w:val="00B327B5"/>
    <w:rsid w:val="00B333BE"/>
    <w:rsid w:val="00B35D1A"/>
    <w:rsid w:val="00B35DAD"/>
    <w:rsid w:val="00B35EE0"/>
    <w:rsid w:val="00B36922"/>
    <w:rsid w:val="00B412CC"/>
    <w:rsid w:val="00B417B3"/>
    <w:rsid w:val="00B41F0E"/>
    <w:rsid w:val="00B43038"/>
    <w:rsid w:val="00B4481B"/>
    <w:rsid w:val="00B47443"/>
    <w:rsid w:val="00B5043F"/>
    <w:rsid w:val="00B52338"/>
    <w:rsid w:val="00B5377A"/>
    <w:rsid w:val="00B573C5"/>
    <w:rsid w:val="00B5783C"/>
    <w:rsid w:val="00B611C3"/>
    <w:rsid w:val="00B6181C"/>
    <w:rsid w:val="00B63DEB"/>
    <w:rsid w:val="00B64496"/>
    <w:rsid w:val="00B66231"/>
    <w:rsid w:val="00B66FAB"/>
    <w:rsid w:val="00B674DE"/>
    <w:rsid w:val="00B67A3F"/>
    <w:rsid w:val="00B702FA"/>
    <w:rsid w:val="00B71CCF"/>
    <w:rsid w:val="00B72111"/>
    <w:rsid w:val="00B7214E"/>
    <w:rsid w:val="00B76786"/>
    <w:rsid w:val="00B7700F"/>
    <w:rsid w:val="00B83D08"/>
    <w:rsid w:val="00B879FA"/>
    <w:rsid w:val="00B87C16"/>
    <w:rsid w:val="00B91617"/>
    <w:rsid w:val="00B93AF8"/>
    <w:rsid w:val="00B9439C"/>
    <w:rsid w:val="00B94CCF"/>
    <w:rsid w:val="00B95E3D"/>
    <w:rsid w:val="00B96E43"/>
    <w:rsid w:val="00BA4193"/>
    <w:rsid w:val="00BA5720"/>
    <w:rsid w:val="00BA58FE"/>
    <w:rsid w:val="00BA5A71"/>
    <w:rsid w:val="00BA6A42"/>
    <w:rsid w:val="00BA6C9C"/>
    <w:rsid w:val="00BB07AF"/>
    <w:rsid w:val="00BB0D0A"/>
    <w:rsid w:val="00BB2AA1"/>
    <w:rsid w:val="00BB3BEF"/>
    <w:rsid w:val="00BB5322"/>
    <w:rsid w:val="00BB5EDE"/>
    <w:rsid w:val="00BB6885"/>
    <w:rsid w:val="00BC0E35"/>
    <w:rsid w:val="00BC29C5"/>
    <w:rsid w:val="00BC3801"/>
    <w:rsid w:val="00BC4C16"/>
    <w:rsid w:val="00BC5F16"/>
    <w:rsid w:val="00BC5F22"/>
    <w:rsid w:val="00BC68DE"/>
    <w:rsid w:val="00BC73C7"/>
    <w:rsid w:val="00BD21CA"/>
    <w:rsid w:val="00BD34F2"/>
    <w:rsid w:val="00BD36D2"/>
    <w:rsid w:val="00BD5611"/>
    <w:rsid w:val="00BD73E5"/>
    <w:rsid w:val="00BE0A0B"/>
    <w:rsid w:val="00BE15EC"/>
    <w:rsid w:val="00BE74F1"/>
    <w:rsid w:val="00BF0730"/>
    <w:rsid w:val="00BF0759"/>
    <w:rsid w:val="00BF0E96"/>
    <w:rsid w:val="00BF19E7"/>
    <w:rsid w:val="00C0103A"/>
    <w:rsid w:val="00C01ED2"/>
    <w:rsid w:val="00C02385"/>
    <w:rsid w:val="00C02E4A"/>
    <w:rsid w:val="00C05119"/>
    <w:rsid w:val="00C059A8"/>
    <w:rsid w:val="00C05B4B"/>
    <w:rsid w:val="00C05B88"/>
    <w:rsid w:val="00C07C74"/>
    <w:rsid w:val="00C07F7F"/>
    <w:rsid w:val="00C12530"/>
    <w:rsid w:val="00C13AC7"/>
    <w:rsid w:val="00C13BEA"/>
    <w:rsid w:val="00C14429"/>
    <w:rsid w:val="00C16AEA"/>
    <w:rsid w:val="00C17EA5"/>
    <w:rsid w:val="00C2090B"/>
    <w:rsid w:val="00C227EF"/>
    <w:rsid w:val="00C247D8"/>
    <w:rsid w:val="00C25486"/>
    <w:rsid w:val="00C25E66"/>
    <w:rsid w:val="00C25FD4"/>
    <w:rsid w:val="00C31302"/>
    <w:rsid w:val="00C33E85"/>
    <w:rsid w:val="00C34009"/>
    <w:rsid w:val="00C3786D"/>
    <w:rsid w:val="00C46DDE"/>
    <w:rsid w:val="00C4763A"/>
    <w:rsid w:val="00C51D9E"/>
    <w:rsid w:val="00C52AD2"/>
    <w:rsid w:val="00C52C62"/>
    <w:rsid w:val="00C545C9"/>
    <w:rsid w:val="00C5519D"/>
    <w:rsid w:val="00C56871"/>
    <w:rsid w:val="00C56E11"/>
    <w:rsid w:val="00C56FE2"/>
    <w:rsid w:val="00C63D1E"/>
    <w:rsid w:val="00C667F3"/>
    <w:rsid w:val="00C669CF"/>
    <w:rsid w:val="00C6729B"/>
    <w:rsid w:val="00C712D2"/>
    <w:rsid w:val="00C72585"/>
    <w:rsid w:val="00C76CBA"/>
    <w:rsid w:val="00C77B5C"/>
    <w:rsid w:val="00C81DDD"/>
    <w:rsid w:val="00C82206"/>
    <w:rsid w:val="00C824C6"/>
    <w:rsid w:val="00C8275F"/>
    <w:rsid w:val="00C8439D"/>
    <w:rsid w:val="00C87068"/>
    <w:rsid w:val="00C9162F"/>
    <w:rsid w:val="00C9574E"/>
    <w:rsid w:val="00C97798"/>
    <w:rsid w:val="00CA04FC"/>
    <w:rsid w:val="00CA29D5"/>
    <w:rsid w:val="00CA2F0A"/>
    <w:rsid w:val="00CA3B17"/>
    <w:rsid w:val="00CA4C98"/>
    <w:rsid w:val="00CA5420"/>
    <w:rsid w:val="00CB0106"/>
    <w:rsid w:val="00CB11EA"/>
    <w:rsid w:val="00CB164E"/>
    <w:rsid w:val="00CB1ECE"/>
    <w:rsid w:val="00CB21AA"/>
    <w:rsid w:val="00CB2765"/>
    <w:rsid w:val="00CB3579"/>
    <w:rsid w:val="00CB5C31"/>
    <w:rsid w:val="00CC0731"/>
    <w:rsid w:val="00CC568B"/>
    <w:rsid w:val="00CC770C"/>
    <w:rsid w:val="00CD0228"/>
    <w:rsid w:val="00CD215D"/>
    <w:rsid w:val="00CD4F92"/>
    <w:rsid w:val="00CD6628"/>
    <w:rsid w:val="00CE0BBA"/>
    <w:rsid w:val="00CE3A20"/>
    <w:rsid w:val="00CF005A"/>
    <w:rsid w:val="00CF2C42"/>
    <w:rsid w:val="00CF386A"/>
    <w:rsid w:val="00CF5958"/>
    <w:rsid w:val="00D00B48"/>
    <w:rsid w:val="00D00D2B"/>
    <w:rsid w:val="00D01377"/>
    <w:rsid w:val="00D028D2"/>
    <w:rsid w:val="00D03679"/>
    <w:rsid w:val="00D05DC4"/>
    <w:rsid w:val="00D060CA"/>
    <w:rsid w:val="00D06C8E"/>
    <w:rsid w:val="00D101E9"/>
    <w:rsid w:val="00D11385"/>
    <w:rsid w:val="00D11930"/>
    <w:rsid w:val="00D11DDC"/>
    <w:rsid w:val="00D16216"/>
    <w:rsid w:val="00D2331B"/>
    <w:rsid w:val="00D2457B"/>
    <w:rsid w:val="00D2573E"/>
    <w:rsid w:val="00D25DC0"/>
    <w:rsid w:val="00D35112"/>
    <w:rsid w:val="00D36BB6"/>
    <w:rsid w:val="00D446F2"/>
    <w:rsid w:val="00D4540E"/>
    <w:rsid w:val="00D472BE"/>
    <w:rsid w:val="00D50316"/>
    <w:rsid w:val="00D52832"/>
    <w:rsid w:val="00D53DEB"/>
    <w:rsid w:val="00D574D7"/>
    <w:rsid w:val="00D57DE8"/>
    <w:rsid w:val="00D60768"/>
    <w:rsid w:val="00D60B56"/>
    <w:rsid w:val="00D61962"/>
    <w:rsid w:val="00D67891"/>
    <w:rsid w:val="00D735B0"/>
    <w:rsid w:val="00D73A3D"/>
    <w:rsid w:val="00D73AAD"/>
    <w:rsid w:val="00D75842"/>
    <w:rsid w:val="00D75BB2"/>
    <w:rsid w:val="00D7631B"/>
    <w:rsid w:val="00D802D6"/>
    <w:rsid w:val="00D80FE9"/>
    <w:rsid w:val="00D8240D"/>
    <w:rsid w:val="00D82B57"/>
    <w:rsid w:val="00D833AA"/>
    <w:rsid w:val="00D84030"/>
    <w:rsid w:val="00D857AF"/>
    <w:rsid w:val="00D86FF7"/>
    <w:rsid w:val="00D9036D"/>
    <w:rsid w:val="00D903CB"/>
    <w:rsid w:val="00D9379A"/>
    <w:rsid w:val="00D938BF"/>
    <w:rsid w:val="00D95B84"/>
    <w:rsid w:val="00D96E3C"/>
    <w:rsid w:val="00D96F8C"/>
    <w:rsid w:val="00DA0078"/>
    <w:rsid w:val="00DA4D46"/>
    <w:rsid w:val="00DA7BB3"/>
    <w:rsid w:val="00DA7BE2"/>
    <w:rsid w:val="00DA7DC9"/>
    <w:rsid w:val="00DB02DE"/>
    <w:rsid w:val="00DB03B6"/>
    <w:rsid w:val="00DB13BE"/>
    <w:rsid w:val="00DB1ACA"/>
    <w:rsid w:val="00DB1BA1"/>
    <w:rsid w:val="00DB3631"/>
    <w:rsid w:val="00DB3F46"/>
    <w:rsid w:val="00DB42BB"/>
    <w:rsid w:val="00DB47A7"/>
    <w:rsid w:val="00DB4F82"/>
    <w:rsid w:val="00DB518C"/>
    <w:rsid w:val="00DB7B7C"/>
    <w:rsid w:val="00DC0313"/>
    <w:rsid w:val="00DC1CB7"/>
    <w:rsid w:val="00DC2233"/>
    <w:rsid w:val="00DC2A6E"/>
    <w:rsid w:val="00DC62B4"/>
    <w:rsid w:val="00DC6340"/>
    <w:rsid w:val="00DD0D7E"/>
    <w:rsid w:val="00DD31C4"/>
    <w:rsid w:val="00DD352B"/>
    <w:rsid w:val="00DD48A4"/>
    <w:rsid w:val="00DD555C"/>
    <w:rsid w:val="00DD5A91"/>
    <w:rsid w:val="00DD5BE7"/>
    <w:rsid w:val="00DD6657"/>
    <w:rsid w:val="00DD6BED"/>
    <w:rsid w:val="00DD6C96"/>
    <w:rsid w:val="00DD6DF0"/>
    <w:rsid w:val="00DD783B"/>
    <w:rsid w:val="00DE0208"/>
    <w:rsid w:val="00DE1914"/>
    <w:rsid w:val="00DE29C0"/>
    <w:rsid w:val="00DE3F7A"/>
    <w:rsid w:val="00DE4CD4"/>
    <w:rsid w:val="00DE530A"/>
    <w:rsid w:val="00DE7E66"/>
    <w:rsid w:val="00DF1842"/>
    <w:rsid w:val="00DF1F48"/>
    <w:rsid w:val="00DF3EB8"/>
    <w:rsid w:val="00DF3F60"/>
    <w:rsid w:val="00DF4BB3"/>
    <w:rsid w:val="00DF51AF"/>
    <w:rsid w:val="00DF56A0"/>
    <w:rsid w:val="00DF6443"/>
    <w:rsid w:val="00E0031C"/>
    <w:rsid w:val="00E0138A"/>
    <w:rsid w:val="00E06430"/>
    <w:rsid w:val="00E11126"/>
    <w:rsid w:val="00E13DE5"/>
    <w:rsid w:val="00E152A3"/>
    <w:rsid w:val="00E163CF"/>
    <w:rsid w:val="00E17F2E"/>
    <w:rsid w:val="00E20D5B"/>
    <w:rsid w:val="00E22463"/>
    <w:rsid w:val="00E2360D"/>
    <w:rsid w:val="00E23709"/>
    <w:rsid w:val="00E23871"/>
    <w:rsid w:val="00E322E9"/>
    <w:rsid w:val="00E348A2"/>
    <w:rsid w:val="00E359D5"/>
    <w:rsid w:val="00E400EA"/>
    <w:rsid w:val="00E40824"/>
    <w:rsid w:val="00E457C3"/>
    <w:rsid w:val="00E46EE5"/>
    <w:rsid w:val="00E50FED"/>
    <w:rsid w:val="00E51373"/>
    <w:rsid w:val="00E53982"/>
    <w:rsid w:val="00E5466E"/>
    <w:rsid w:val="00E57F5E"/>
    <w:rsid w:val="00E6009C"/>
    <w:rsid w:val="00E60FB0"/>
    <w:rsid w:val="00E614A1"/>
    <w:rsid w:val="00E628D8"/>
    <w:rsid w:val="00E63F3A"/>
    <w:rsid w:val="00E64957"/>
    <w:rsid w:val="00E660C3"/>
    <w:rsid w:val="00E66F7B"/>
    <w:rsid w:val="00E674A9"/>
    <w:rsid w:val="00E700AD"/>
    <w:rsid w:val="00E71B24"/>
    <w:rsid w:val="00E73576"/>
    <w:rsid w:val="00E74ABD"/>
    <w:rsid w:val="00E750FB"/>
    <w:rsid w:val="00E76C86"/>
    <w:rsid w:val="00E829F2"/>
    <w:rsid w:val="00E83023"/>
    <w:rsid w:val="00E83271"/>
    <w:rsid w:val="00E833E4"/>
    <w:rsid w:val="00E860DA"/>
    <w:rsid w:val="00E90419"/>
    <w:rsid w:val="00E909D5"/>
    <w:rsid w:val="00E92E09"/>
    <w:rsid w:val="00E92EED"/>
    <w:rsid w:val="00E93A0F"/>
    <w:rsid w:val="00E94779"/>
    <w:rsid w:val="00E9515A"/>
    <w:rsid w:val="00E9671D"/>
    <w:rsid w:val="00E973F6"/>
    <w:rsid w:val="00EA17A2"/>
    <w:rsid w:val="00EA25DA"/>
    <w:rsid w:val="00EA3E66"/>
    <w:rsid w:val="00EA794E"/>
    <w:rsid w:val="00EB0B9A"/>
    <w:rsid w:val="00EB12CF"/>
    <w:rsid w:val="00EB22CF"/>
    <w:rsid w:val="00EB336E"/>
    <w:rsid w:val="00EB39DF"/>
    <w:rsid w:val="00EB4A80"/>
    <w:rsid w:val="00EB4ABB"/>
    <w:rsid w:val="00EC0B43"/>
    <w:rsid w:val="00EC0EB1"/>
    <w:rsid w:val="00EC15E1"/>
    <w:rsid w:val="00EC2CFD"/>
    <w:rsid w:val="00EC4383"/>
    <w:rsid w:val="00EC477C"/>
    <w:rsid w:val="00EC5D7E"/>
    <w:rsid w:val="00ED49C1"/>
    <w:rsid w:val="00ED55B7"/>
    <w:rsid w:val="00EE1491"/>
    <w:rsid w:val="00EE36FA"/>
    <w:rsid w:val="00EF024F"/>
    <w:rsid w:val="00EF19CE"/>
    <w:rsid w:val="00EF1A8E"/>
    <w:rsid w:val="00EF6C99"/>
    <w:rsid w:val="00EF7223"/>
    <w:rsid w:val="00F0083C"/>
    <w:rsid w:val="00F10CCB"/>
    <w:rsid w:val="00F110E4"/>
    <w:rsid w:val="00F11AA8"/>
    <w:rsid w:val="00F12F81"/>
    <w:rsid w:val="00F1484A"/>
    <w:rsid w:val="00F15939"/>
    <w:rsid w:val="00F15CEB"/>
    <w:rsid w:val="00F1664C"/>
    <w:rsid w:val="00F17C5F"/>
    <w:rsid w:val="00F24159"/>
    <w:rsid w:val="00F2464E"/>
    <w:rsid w:val="00F24787"/>
    <w:rsid w:val="00F26B0B"/>
    <w:rsid w:val="00F27223"/>
    <w:rsid w:val="00F318BD"/>
    <w:rsid w:val="00F3623C"/>
    <w:rsid w:val="00F40EB6"/>
    <w:rsid w:val="00F41116"/>
    <w:rsid w:val="00F43C4E"/>
    <w:rsid w:val="00F44AC3"/>
    <w:rsid w:val="00F44B38"/>
    <w:rsid w:val="00F44CA5"/>
    <w:rsid w:val="00F44D20"/>
    <w:rsid w:val="00F4518C"/>
    <w:rsid w:val="00F4529D"/>
    <w:rsid w:val="00F46FE1"/>
    <w:rsid w:val="00F4717A"/>
    <w:rsid w:val="00F47943"/>
    <w:rsid w:val="00F52826"/>
    <w:rsid w:val="00F53DCA"/>
    <w:rsid w:val="00F53F09"/>
    <w:rsid w:val="00F56B20"/>
    <w:rsid w:val="00F56E56"/>
    <w:rsid w:val="00F60153"/>
    <w:rsid w:val="00F61669"/>
    <w:rsid w:val="00F6219B"/>
    <w:rsid w:val="00F64E0B"/>
    <w:rsid w:val="00F66383"/>
    <w:rsid w:val="00F66444"/>
    <w:rsid w:val="00F671E4"/>
    <w:rsid w:val="00F67BF2"/>
    <w:rsid w:val="00F70B03"/>
    <w:rsid w:val="00F72595"/>
    <w:rsid w:val="00F729F0"/>
    <w:rsid w:val="00F72D66"/>
    <w:rsid w:val="00F73D8A"/>
    <w:rsid w:val="00F747DC"/>
    <w:rsid w:val="00F75254"/>
    <w:rsid w:val="00F7537B"/>
    <w:rsid w:val="00F8164B"/>
    <w:rsid w:val="00F81988"/>
    <w:rsid w:val="00F84B56"/>
    <w:rsid w:val="00F85051"/>
    <w:rsid w:val="00F87410"/>
    <w:rsid w:val="00F935EE"/>
    <w:rsid w:val="00F949E3"/>
    <w:rsid w:val="00F9597A"/>
    <w:rsid w:val="00F96885"/>
    <w:rsid w:val="00F9711B"/>
    <w:rsid w:val="00FA1F42"/>
    <w:rsid w:val="00FA307A"/>
    <w:rsid w:val="00FA3467"/>
    <w:rsid w:val="00FA3D8C"/>
    <w:rsid w:val="00FA73C7"/>
    <w:rsid w:val="00FB026D"/>
    <w:rsid w:val="00FB587F"/>
    <w:rsid w:val="00FD35DD"/>
    <w:rsid w:val="00FD4076"/>
    <w:rsid w:val="00FD5326"/>
    <w:rsid w:val="00FD6711"/>
    <w:rsid w:val="00FD7D1F"/>
    <w:rsid w:val="00FE028D"/>
    <w:rsid w:val="00FE1BF9"/>
    <w:rsid w:val="00FE31C8"/>
    <w:rsid w:val="00FE375A"/>
    <w:rsid w:val="00FE4ACF"/>
    <w:rsid w:val="00FE4DEE"/>
    <w:rsid w:val="00FF253F"/>
    <w:rsid w:val="00FF42E2"/>
    <w:rsid w:val="00FF4C58"/>
    <w:rsid w:val="00FF61D3"/>
    <w:rsid w:val="00FF6C7B"/>
    <w:rsid w:val="00FF6F8F"/>
    <w:rsid w:val="50C75FC8"/>
    <w:rsid w:val="6CDA27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A95C4CA1-CC34-464C-B0A4-6FDD4671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3813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aliases w:val="F1"/>
    <w:basedOn w:val="Normal"/>
    <w:link w:val="FootnoteTextChar"/>
    <w:uiPriority w:val="99"/>
    <w:rsid w:val="00BC5F22"/>
    <w:rPr>
      <w:sz w:val="20"/>
      <w:szCs w:val="20"/>
    </w:rPr>
  </w:style>
  <w:style w:type="character" w:customStyle="1" w:styleId="FootnoteTextChar">
    <w:name w:val="Footnote Text Char"/>
    <w:aliases w:val="F1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NoSpacing">
    <w:name w:val="No Spacing"/>
    <w:qFormat/>
    <w:rsid w:val="0054217A"/>
    <w:rPr>
      <w:rFonts w:ascii="Calibri" w:eastAsia="Calibri" w:hAnsi="Calibri"/>
      <w:sz w:val="22"/>
      <w:szCs w:val="22"/>
    </w:rPr>
  </w:style>
  <w:style w:type="paragraph" w:styleId="HTMLPreformatted">
    <w:name w:val="HTML Preformatted"/>
    <w:basedOn w:val="Normal"/>
    <w:link w:val="HTMLPreformattedChar"/>
    <w:uiPriority w:val="99"/>
    <w:unhideWhenUsed/>
    <w:rsid w:val="00100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0B6"/>
    <w:rPr>
      <w:rFonts w:ascii="Courier New" w:hAnsi="Courier New" w:cs="Courier New"/>
    </w:rPr>
  </w:style>
  <w:style w:type="character" w:customStyle="1" w:styleId="jsgrdq">
    <w:name w:val="jsgrdq"/>
    <w:basedOn w:val="DefaultParagraphFont"/>
    <w:rsid w:val="00AC5D31"/>
  </w:style>
  <w:style w:type="character" w:customStyle="1" w:styleId="Heading1Char">
    <w:name w:val="Heading 1 Char"/>
    <w:basedOn w:val="DefaultParagraphFont"/>
    <w:link w:val="Heading1"/>
    <w:rsid w:val="003813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nij.ojp.gov/funding/O-NIJ-2024-171995.pdf" TargetMode="External" /><Relationship Id="rId2" Type="http://schemas.openxmlformats.org/officeDocument/2006/relationships/hyperlink" Target="https://bja.ojp.gov/funding/O-BJA-2024-172010.pdf" TargetMode="External" /><Relationship Id="rId3" Type="http://schemas.openxmlformats.org/officeDocument/2006/relationships/hyperlink" Target="https://www.ojp.gov/funding/docs/bja-2025-172467.pdf" TargetMode="External" /><Relationship Id="rId4" Type="http://schemas.openxmlformats.org/officeDocument/2006/relationships/hyperlink" Target="https://www.bls.gov/ooh/legal/lawyers.htm" TargetMode="External" /><Relationship Id="rId5" Type="http://schemas.openxmlformats.org/officeDocument/2006/relationships/hyperlink" Target="https://www.census.gov/content/dam/Census/library/publications/2020/econ/2019_summar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6328</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Adams, Devon</cp:lastModifiedBy>
  <cp:revision>2</cp:revision>
  <cp:lastPrinted>2020-02-19T15:46:00Z</cp:lastPrinted>
  <dcterms:created xsi:type="dcterms:W3CDTF">2026-06-10T14:47:00Z</dcterms:created>
  <dcterms:modified xsi:type="dcterms:W3CDTF">2026-06-10T14:47:00Z</dcterms:modified>
</cp:coreProperties>
</file>