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53020B" w:rsidRPr="00932E74" w:rsidP="008F570D" w14:paraId="626F3CBA" w14:textId="14BE7AD9">
      <w:pPr>
        <w:pStyle w:val="ReportCover-Title"/>
        <w:jc w:val="center"/>
        <w:rPr>
          <w:rFonts w:ascii="Arial" w:hAnsi="Arial" w:cs="Arial"/>
          <w:color w:val="auto"/>
        </w:rPr>
      </w:pPr>
      <w:r w:rsidRPr="00932E74">
        <w:rPr>
          <w:rFonts w:ascii="Arial" w:eastAsia="Arial Unicode MS" w:hAnsi="Arial" w:cs="Arial"/>
          <w:noProof/>
          <w:color w:val="auto"/>
        </w:rPr>
        <w:t xml:space="preserve">Tribal Home Visiting </w:t>
      </w:r>
      <w:r w:rsidRPr="00932E74">
        <w:rPr>
          <w:rFonts w:ascii="Arial" w:eastAsia="Arial Unicode MS" w:hAnsi="Arial" w:cs="Arial"/>
          <w:noProof/>
          <w:color w:val="auto"/>
        </w:rPr>
        <w:t xml:space="preserve">Peer Learning </w:t>
      </w:r>
      <w:r w:rsidR="00710F84">
        <w:rPr>
          <w:rFonts w:ascii="Arial" w:eastAsia="Arial Unicode MS" w:hAnsi="Arial" w:cs="Arial"/>
          <w:noProof/>
          <w:color w:val="auto"/>
        </w:rPr>
        <w:t xml:space="preserve">and Leasership </w:t>
      </w:r>
      <w:r w:rsidRPr="00932E74">
        <w:rPr>
          <w:rFonts w:ascii="Arial" w:eastAsia="Arial Unicode MS" w:hAnsi="Arial" w:cs="Arial"/>
          <w:noProof/>
          <w:color w:val="auto"/>
        </w:rPr>
        <w:t>Netwo</w:t>
      </w:r>
      <w:r w:rsidRPr="00932E74" w:rsidR="004007EA">
        <w:rPr>
          <w:rFonts w:ascii="Arial" w:eastAsia="Arial Unicode MS" w:hAnsi="Arial" w:cs="Arial"/>
          <w:noProof/>
          <w:color w:val="auto"/>
        </w:rPr>
        <w:t>rk</w:t>
      </w:r>
      <w:r w:rsidRPr="00932E74" w:rsidR="00CD7AE9">
        <w:rPr>
          <w:rFonts w:ascii="Arial" w:eastAsia="Arial Unicode MS" w:hAnsi="Arial" w:cs="Arial"/>
          <w:noProof/>
          <w:color w:val="auto"/>
        </w:rPr>
        <w:t xml:space="preserve"> </w:t>
      </w:r>
      <w:r w:rsidRPr="00932E74" w:rsidR="00D20B56">
        <w:rPr>
          <w:rFonts w:ascii="Arial" w:eastAsia="Arial Unicode MS" w:hAnsi="Arial" w:cs="Arial"/>
          <w:noProof/>
          <w:color w:val="auto"/>
        </w:rPr>
        <w:t>Statement of Interest</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CD7AE9" w:rsidRPr="00932E74" w:rsidP="008F570D" w14:paraId="41D2874B" w14:textId="14BA0957">
      <w:pPr>
        <w:pStyle w:val="ReportCover-Date"/>
        <w:jc w:val="center"/>
        <w:rPr>
          <w:rFonts w:ascii="Arial" w:hAnsi="Arial" w:cs="Arial"/>
          <w:color w:val="auto"/>
        </w:rPr>
      </w:pPr>
      <w:r>
        <w:rPr>
          <w:rFonts w:ascii="Arial" w:hAnsi="Arial" w:cs="Arial"/>
          <w:color w:val="auto"/>
        </w:rPr>
        <w:t>A</w:t>
      </w:r>
      <w:r w:rsidRPr="00932E74">
        <w:rPr>
          <w:rFonts w:ascii="Arial" w:hAnsi="Arial" w:cs="Arial"/>
          <w:color w:val="auto"/>
        </w:rPr>
        <w:t>pril 2026</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9C7FB3" w:rsidRPr="00932E74" w:rsidP="008F570D" w14:paraId="36591D94" w14:textId="4B9BEC07">
      <w:pPr>
        <w:jc w:val="center"/>
        <w:rPr>
          <w:rFonts w:ascii="Arial" w:hAnsi="Arial" w:cs="Arial"/>
        </w:rPr>
      </w:pPr>
      <w:r w:rsidRPr="00932E74">
        <w:rPr>
          <w:rFonts w:ascii="Arial" w:hAnsi="Arial" w:cs="Arial"/>
        </w:rPr>
        <w:t>T</w:t>
      </w:r>
      <w:r w:rsidRPr="00932E74" w:rsidR="009F3153">
        <w:rPr>
          <w:rFonts w:ascii="Arial" w:hAnsi="Arial" w:cs="Arial"/>
        </w:rPr>
        <w:t>ribal Home Visiting, Office of Early Childhood Development</w:t>
      </w:r>
    </w:p>
    <w:p w:rsidR="002C4F75" w:rsidRPr="002C4F75" w:rsidP="008F570D" w14:paraId="27FF6F63" w14:textId="40E1ED4B">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4497812F" w14:textId="77777777">
      <w:pPr>
        <w:spacing w:after="120"/>
        <w:rPr>
          <w:b/>
        </w:rPr>
      </w:pPr>
    </w:p>
    <w:p w:rsidR="00583EF0" w:rsidP="008F570D" w14:paraId="2700949B" w14:textId="77777777">
      <w:pPr>
        <w:spacing w:after="120"/>
        <w:rPr>
          <w:b/>
        </w:rPr>
      </w:pPr>
    </w:p>
    <w:p w:rsidR="00583EF0" w:rsidP="008F570D" w14:paraId="6CA02DEB" w14:textId="77777777">
      <w:pPr>
        <w:spacing w:after="120"/>
        <w:rPr>
          <w:b/>
        </w:rPr>
      </w:pPr>
    </w:p>
    <w:p w:rsidR="00945CD6" w:rsidRPr="000D53DF" w:rsidP="4AE5982E" w14:paraId="63932BF7" w14:textId="3B3CEA54">
      <w:pPr>
        <w:spacing w:after="120"/>
        <w:rPr>
          <w:b/>
          <w:bCs/>
        </w:rPr>
      </w:pPr>
      <w:r w:rsidRPr="4AE5982E">
        <w:rPr>
          <w:b/>
          <w:bCs/>
        </w:rPr>
        <w:t xml:space="preserve">A1. </w:t>
      </w:r>
      <w:r w:rsidRPr="4AE5982E">
        <w:rPr>
          <w:b/>
          <w:bCs/>
        </w:rPr>
        <w:t xml:space="preserve">Necessity for </w:t>
      </w:r>
      <w:r w:rsidRPr="4AE5982E">
        <w:rPr>
          <w:b/>
          <w:bCs/>
        </w:rPr>
        <w:t>the Data</w:t>
      </w:r>
      <w:r w:rsidRPr="4AE5982E">
        <w:rPr>
          <w:b/>
          <w:bCs/>
        </w:rPr>
        <w:t xml:space="preserve"> Collection</w:t>
      </w:r>
    </w:p>
    <w:p w:rsidR="00984CA2" w:rsidRPr="008F570D" w:rsidP="4AE5982E" w14:paraId="516D2FC4" w14:textId="5FEBDB8F">
      <w:r w:rsidRPr="4AE5982E">
        <w:t xml:space="preserve">The Administration for Children and Families (ACF) at the U.S. Department of Health and Human Services (HHS) seeks approval </w:t>
      </w:r>
      <w:r w:rsidRPr="00932E74">
        <w:t>for</w:t>
      </w:r>
      <w:r w:rsidRPr="00932E74" w:rsidR="00DB3E48">
        <w:t xml:space="preserve"> </w:t>
      </w:r>
      <w:r w:rsidRPr="00932E74" w:rsidR="002D5669">
        <w:t>a Statement of Interest (SOI) for the Tribal Home Visiting Peer Learning</w:t>
      </w:r>
      <w:r w:rsidR="00710F84">
        <w:t xml:space="preserve"> and Leadership</w:t>
      </w:r>
      <w:r w:rsidRPr="00932E74" w:rsidR="002D5669">
        <w:t xml:space="preserve"> Network (PLLN), which will be used to identify and select participants who are leaders of Tribal Home Visiting grant programs</w:t>
      </w:r>
      <w:r w:rsidRPr="00932E74" w:rsidR="006D477A">
        <w:t>.</w:t>
      </w:r>
      <w:r w:rsidRPr="00932E74">
        <w:t xml:space="preserve"> </w:t>
      </w:r>
    </w:p>
    <w:p w:rsidR="00984BBF" w:rsidRPr="00984BBF" w:rsidP="4AE5982E" w14:paraId="32F118BE" w14:textId="77777777">
      <w:pPr>
        <w:rPr>
          <w:highlight w:val="yellow"/>
        </w:rPr>
      </w:pPr>
    </w:p>
    <w:p w:rsidR="00984CA2" w:rsidRPr="00177982" w:rsidP="4AE5982E" w14:paraId="34493FD2" w14:textId="12B76B19">
      <w:pPr>
        <w:pStyle w:val="Heading4"/>
        <w:tabs>
          <w:tab w:val="num" w:pos="180"/>
        </w:tabs>
        <w:spacing w:before="60" w:line="264" w:lineRule="auto"/>
        <w:rPr>
          <w:rFonts w:ascii="Times New Roman" w:hAnsi="Times New Roman"/>
          <w:i/>
          <w:iCs/>
          <w:sz w:val="24"/>
          <w:szCs w:val="24"/>
        </w:rPr>
      </w:pPr>
      <w:r w:rsidRPr="4AE5982E">
        <w:rPr>
          <w:rFonts w:ascii="Times New Roman" w:hAnsi="Times New Roman"/>
          <w:i/>
          <w:iCs/>
          <w:sz w:val="24"/>
          <w:szCs w:val="24"/>
        </w:rPr>
        <w:t xml:space="preserve">Background </w:t>
      </w:r>
    </w:p>
    <w:p w:rsidR="008F570D" w:rsidRPr="00932E74" w:rsidP="00A61D0E" w14:paraId="10A288D7" w14:textId="3FDC9A42">
      <w:pPr>
        <w:tabs>
          <w:tab w:val="num" w:pos="180"/>
        </w:tabs>
        <w:spacing w:before="60"/>
        <w:rPr>
          <w:rFonts w:ascii="Museo Sans 500" w:hAnsi="Museo Sans 500"/>
          <w:shd w:val="clear" w:color="auto" w:fill="FFFFFF"/>
        </w:rPr>
      </w:pPr>
      <w:r w:rsidRPr="00932E74">
        <w:rPr>
          <w:rStyle w:val="normaltextrun"/>
          <w:shd w:val="clear" w:color="auto" w:fill="FFFFFF"/>
        </w:rPr>
        <w:t>The PLLN</w:t>
      </w:r>
      <w:r w:rsidRPr="00932E74">
        <w:rPr>
          <w:rStyle w:val="normaltextrun"/>
          <w:shd w:val="clear" w:color="auto" w:fill="FFFFFF"/>
        </w:rPr>
        <w:t xml:space="preserve"> is a 15-month, practice-based peer learning network designed to support Tribal Home Visiting grant program leaders. Participants focus on a current leadership or program goal</w:t>
      </w:r>
      <w:r w:rsidRPr="00932E74" w:rsidR="002F34BC">
        <w:rPr>
          <w:rStyle w:val="normaltextrun"/>
          <w:shd w:val="clear" w:color="auto" w:fill="FFFFFF"/>
        </w:rPr>
        <w:t xml:space="preserve"> to </w:t>
      </w:r>
      <w:r w:rsidRPr="00932E74">
        <w:rPr>
          <w:rStyle w:val="normaltextrun"/>
          <w:shd w:val="clear" w:color="auto" w:fill="FFFFFF"/>
        </w:rPr>
        <w:t>strengthe</w:t>
      </w:r>
      <w:r w:rsidRPr="00932E74" w:rsidR="002F34BC">
        <w:rPr>
          <w:rStyle w:val="normaltextrun"/>
          <w:shd w:val="clear" w:color="auto" w:fill="FFFFFF"/>
        </w:rPr>
        <w:t>n</w:t>
      </w:r>
      <w:r w:rsidRPr="00932E74">
        <w:rPr>
          <w:rStyle w:val="normaltextrun"/>
          <w:shd w:val="clear" w:color="auto" w:fill="FFFFFF"/>
        </w:rPr>
        <w:t xml:space="preserve"> their leadership skills through structured peer consultation and reflection</w:t>
      </w:r>
      <w:r w:rsidRPr="00932E74" w:rsidR="00D87E85">
        <w:rPr>
          <w:rStyle w:val="normaltextrun"/>
          <w:shd w:val="clear" w:color="auto" w:fill="FFFFFF"/>
        </w:rPr>
        <w:t xml:space="preserve">, </w:t>
      </w:r>
      <w:r w:rsidRPr="00932E74">
        <w:rPr>
          <w:rStyle w:val="normaltextrun"/>
          <w:shd w:val="clear" w:color="auto" w:fill="FFFFFF"/>
        </w:rPr>
        <w:t xml:space="preserve">without adding new responsibilities. The process emphasizes applying shared insights to real-time decisions and actions within their programs. </w:t>
      </w:r>
      <w:r w:rsidRPr="00932E74" w:rsidR="46B3AAA4">
        <w:t xml:space="preserve">This generic clearance application seeks approval for the </w:t>
      </w:r>
      <w:r w:rsidRPr="00932E74" w:rsidR="00B64D44">
        <w:t xml:space="preserve">PLLN </w:t>
      </w:r>
      <w:r w:rsidRPr="00932E74" w:rsidR="46B3AAA4">
        <w:t>SOI, which will be used to identify and select participants who are committed to engaging in this practice-based, collaborative learning process.</w:t>
      </w:r>
    </w:p>
    <w:p w:rsidR="004D3C86" w:rsidRPr="004D3C86" w:rsidP="004D3C86" w14:paraId="514C57EB" w14:textId="77777777"/>
    <w:p w:rsidR="00984CA2" w:rsidRPr="00177982"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932E74" w:rsidP="4AE5982E" w14:paraId="3BDF35B0" w14:textId="77777777">
      <w:r w:rsidRPr="00932E74">
        <w:t>There are no legal or administrative requirements that necessitate the collection. ACF is undertaking the collection at the discretion of the agency.</w:t>
      </w:r>
    </w:p>
    <w:p w:rsidR="00D90EF6" w:rsidP="4AE5982E" w14:paraId="210B83EF" w14:textId="77777777"/>
    <w:p w:rsidR="00945CD6" w:rsidRPr="0072204D" w:rsidP="4AE5982E" w14:paraId="617B0354" w14:textId="77777777">
      <w:pPr>
        <w:spacing w:after="120"/>
        <w:rPr>
          <w:b/>
          <w:bCs/>
        </w:rPr>
      </w:pPr>
      <w:r w:rsidRPr="4AE5982E">
        <w:rPr>
          <w:b/>
          <w:bCs/>
        </w:rPr>
        <w:t xml:space="preserve">A2. </w:t>
      </w:r>
      <w:r w:rsidRPr="4AE5982E">
        <w:rPr>
          <w:b/>
          <w:bCs/>
        </w:rPr>
        <w:t>Purpose of Survey and Data Collection Procedures</w:t>
      </w:r>
    </w:p>
    <w:p w:rsidR="008F570D" w:rsidP="4AE5982E" w14:paraId="24636DF8" w14:textId="77777777">
      <w:pPr>
        <w:spacing w:after="60"/>
        <w:rPr>
          <w:b/>
          <w:bCs/>
          <w:i/>
          <w:iCs/>
        </w:rPr>
      </w:pPr>
      <w:r w:rsidRPr="4AE5982E">
        <w:rPr>
          <w:b/>
          <w:bCs/>
          <w:i/>
          <w:iCs/>
        </w:rPr>
        <w:t xml:space="preserve">Overview of Purpose and </w:t>
      </w:r>
      <w:r w:rsidRPr="4AE5982E">
        <w:rPr>
          <w:b/>
          <w:bCs/>
          <w:i/>
          <w:iCs/>
        </w:rPr>
        <w:t>Use</w:t>
      </w:r>
    </w:p>
    <w:p w:rsidR="00C943ED" w:rsidRPr="00932E74" w:rsidP="00932E74" w14:paraId="43C32A7C" w14:textId="17C6C5E9">
      <w:r>
        <w:t>The</w:t>
      </w:r>
      <w:r w:rsidRPr="00932E74" w:rsidR="00933A87">
        <w:t xml:space="preserve"> proposed information collect</w:t>
      </w:r>
      <w:r w:rsidRPr="00932E74" w:rsidR="17BA1948">
        <w:t>ed</w:t>
      </w:r>
      <w:r w:rsidRPr="00932E74" w:rsidR="009D2530">
        <w:t xml:space="preserve"> through the </w:t>
      </w:r>
      <w:r w:rsidRPr="00932E74" w:rsidR="0049365C">
        <w:t>SOI template</w:t>
      </w:r>
      <w:r w:rsidRPr="00932E74" w:rsidR="009D2530">
        <w:t xml:space="preserve"> will be used to identify and select Tribal Home Visiting grant program leaders who are well-positioned to participate in the PLLN. Responses will help ensure a strong alignment between applicants’ current roles and the purpose of the PLLN.</w:t>
      </w:r>
      <w:r w:rsidRPr="00932E74" w:rsidR="00284E39">
        <w:t xml:space="preserve"> </w:t>
      </w:r>
      <w:r w:rsidRPr="00932E74">
        <w:t xml:space="preserve">Responses will also inform PLLN content to align with participants’ goals and facilitate effective engagement. </w:t>
      </w:r>
    </w:p>
    <w:p w:rsidR="00C943ED" w:rsidP="00932E74" w14:paraId="0244B749" w14:textId="77777777">
      <w:pPr>
        <w:rPr>
          <w:color w:val="ED7D31" w:themeColor="accent2"/>
        </w:rPr>
      </w:pPr>
    </w:p>
    <w:p w:rsidR="00284E39" w:rsidRPr="00932E74" w:rsidP="00284E39" w14:paraId="6C4E393A" w14:textId="5863A884">
      <w:pPr>
        <w:spacing w:after="60"/>
      </w:pPr>
      <w:r w:rsidRPr="00932E74">
        <w:t>Specifically, the information will be used to:</w:t>
      </w:r>
    </w:p>
    <w:p w:rsidR="009F5CD2" w:rsidRPr="00932E74" w:rsidP="009F5CD2" w14:paraId="662414F3" w14:textId="02662698">
      <w:pPr>
        <w:pStyle w:val="ListParagraph"/>
        <w:numPr>
          <w:ilvl w:val="0"/>
          <w:numId w:val="22"/>
        </w:numPr>
        <w:rPr>
          <w:sz w:val="24"/>
          <w:szCs w:val="24"/>
        </w:rPr>
      </w:pPr>
      <w:r w:rsidRPr="00932E74">
        <w:rPr>
          <w:sz w:val="24"/>
          <w:szCs w:val="24"/>
        </w:rPr>
        <w:t>Understand participants’ reasons for seeking to join the PLLN</w:t>
      </w:r>
      <w:r w:rsidR="009B2675">
        <w:rPr>
          <w:sz w:val="24"/>
          <w:szCs w:val="24"/>
        </w:rPr>
        <w:t>.</w:t>
      </w:r>
    </w:p>
    <w:p w:rsidR="00284E39" w:rsidRPr="00932E74" w:rsidP="00A4505C" w14:paraId="77434544" w14:textId="23E33C69">
      <w:pPr>
        <w:pStyle w:val="ListParagraph"/>
        <w:numPr>
          <w:ilvl w:val="0"/>
          <w:numId w:val="22"/>
        </w:numPr>
        <w:spacing w:after="60"/>
        <w:rPr>
          <w:sz w:val="24"/>
          <w:szCs w:val="24"/>
        </w:rPr>
      </w:pPr>
      <w:r w:rsidRPr="00932E74">
        <w:rPr>
          <w:sz w:val="24"/>
          <w:szCs w:val="24"/>
        </w:rPr>
        <w:t>Assess participants’ readiness and commitment to engage in the full 15-month learning process</w:t>
      </w:r>
      <w:r w:rsidR="009B2675">
        <w:rPr>
          <w:sz w:val="24"/>
          <w:szCs w:val="24"/>
        </w:rPr>
        <w:t>.</w:t>
      </w:r>
    </w:p>
    <w:p w:rsidR="00284E39" w:rsidRPr="00932E74" w:rsidP="00A4505C" w14:paraId="6AC52D99" w14:textId="5F913B8C">
      <w:pPr>
        <w:pStyle w:val="ListParagraph"/>
        <w:numPr>
          <w:ilvl w:val="0"/>
          <w:numId w:val="22"/>
        </w:numPr>
        <w:spacing w:after="60"/>
        <w:rPr>
          <w:sz w:val="24"/>
          <w:szCs w:val="24"/>
        </w:rPr>
      </w:pPr>
      <w:r w:rsidRPr="00932E74">
        <w:rPr>
          <w:sz w:val="24"/>
          <w:szCs w:val="24"/>
        </w:rPr>
        <w:t>Understand applicants’ leadership goals to support meaningful participation and peer learning</w:t>
      </w:r>
      <w:r w:rsidR="009B2675">
        <w:rPr>
          <w:sz w:val="24"/>
          <w:szCs w:val="24"/>
        </w:rPr>
        <w:t>.</w:t>
      </w:r>
    </w:p>
    <w:p w:rsidR="00284E39" w:rsidRPr="00932E74" w:rsidP="00A4505C" w14:paraId="29733601" w14:textId="096286E7">
      <w:pPr>
        <w:pStyle w:val="ListParagraph"/>
        <w:numPr>
          <w:ilvl w:val="0"/>
          <w:numId w:val="22"/>
        </w:numPr>
        <w:spacing w:after="60"/>
        <w:rPr>
          <w:sz w:val="24"/>
          <w:szCs w:val="24"/>
        </w:rPr>
      </w:pPr>
      <w:r w:rsidRPr="00932E74">
        <w:rPr>
          <w:sz w:val="24"/>
          <w:szCs w:val="24"/>
        </w:rPr>
        <w:t>Confirm supervisor awareness and support to help ensure participants have the necessary time and capacity to engage</w:t>
      </w:r>
      <w:r w:rsidR="009B2675">
        <w:rPr>
          <w:sz w:val="24"/>
          <w:szCs w:val="24"/>
        </w:rPr>
        <w:t>.</w:t>
      </w:r>
    </w:p>
    <w:p w:rsidR="00982893" w:rsidP="00A4505C" w14:paraId="7816C08A" w14:textId="23DDF92D">
      <w:pPr>
        <w:pStyle w:val="ListParagraph"/>
        <w:numPr>
          <w:ilvl w:val="0"/>
          <w:numId w:val="22"/>
        </w:numPr>
        <w:spacing w:after="60"/>
        <w:rPr>
          <w:sz w:val="24"/>
          <w:szCs w:val="24"/>
        </w:rPr>
      </w:pPr>
      <w:r w:rsidRPr="00932E74">
        <w:rPr>
          <w:sz w:val="24"/>
          <w:szCs w:val="24"/>
        </w:rPr>
        <w:t>Facilitate communication and coordination of PLLN activities</w:t>
      </w:r>
      <w:r w:rsidR="009B2675">
        <w:rPr>
          <w:sz w:val="24"/>
          <w:szCs w:val="24"/>
        </w:rPr>
        <w:t>.</w:t>
      </w:r>
    </w:p>
    <w:p w:rsidR="00932E74" w:rsidRPr="00932E74" w:rsidP="00A4505C" w14:paraId="7C8398DD" w14:textId="15AD021A">
      <w:pPr>
        <w:pStyle w:val="ListParagraph"/>
        <w:numPr>
          <w:ilvl w:val="0"/>
          <w:numId w:val="22"/>
        </w:numPr>
        <w:spacing w:after="60"/>
        <w:rPr>
          <w:sz w:val="24"/>
          <w:szCs w:val="24"/>
        </w:rPr>
      </w:pPr>
      <w:r w:rsidRPr="00932E74">
        <w:rPr>
          <w:sz w:val="24"/>
          <w:szCs w:val="24"/>
        </w:rPr>
        <w:t>Develop and tailor content to align with participants’ needs and ensure relevance to their roles and contexts</w:t>
      </w:r>
      <w:r w:rsidR="009B2675">
        <w:rPr>
          <w:sz w:val="24"/>
          <w:szCs w:val="24"/>
        </w:rPr>
        <w:t>.</w:t>
      </w:r>
    </w:p>
    <w:p w:rsidR="00982893" w:rsidRPr="00982893" w:rsidP="00982893" w14:paraId="36D43D28" w14:textId="77777777">
      <w:pPr>
        <w:spacing w:after="60"/>
        <w:rPr>
          <w:color w:val="ED7D31" w:themeColor="accent2"/>
        </w:rPr>
      </w:pPr>
    </w:p>
    <w:p w:rsidR="000B6036" w:rsidP="00A07D36" w14:paraId="6B89DEA9" w14:textId="5024056E">
      <w:pPr>
        <w:pStyle w:val="Heading4"/>
        <w:tabs>
          <w:tab w:val="num" w:pos="180"/>
        </w:tabs>
        <w:spacing w:before="0" w:after="0" w:line="264" w:lineRule="auto"/>
        <w:rPr>
          <w:rFonts w:ascii="Times New Roman" w:hAnsi="Times New Roman"/>
          <w:b w:val="0"/>
          <w:bCs w:val="0"/>
          <w:color w:val="ED7D31" w:themeColor="accent2"/>
          <w:sz w:val="24"/>
          <w:szCs w:val="24"/>
        </w:rPr>
      </w:pPr>
      <w:r w:rsidRPr="00932E74">
        <w:rPr>
          <w:rFonts w:ascii="Times New Roman" w:hAnsi="Times New Roman"/>
          <w:b w:val="0"/>
          <w:bCs w:val="0"/>
          <w:sz w:val="24"/>
          <w:szCs w:val="24"/>
        </w:rPr>
        <w:t xml:space="preserve">The </w:t>
      </w:r>
      <w:r w:rsidR="00932E74">
        <w:rPr>
          <w:rFonts w:ascii="Times New Roman" w:hAnsi="Times New Roman"/>
          <w:b w:val="0"/>
          <w:bCs w:val="0"/>
          <w:sz w:val="24"/>
          <w:szCs w:val="24"/>
        </w:rPr>
        <w:t xml:space="preserve">open-ended responses </w:t>
      </w:r>
      <w:r w:rsidRPr="00932E74">
        <w:rPr>
          <w:rFonts w:ascii="Times New Roman" w:hAnsi="Times New Roman"/>
          <w:b w:val="0"/>
          <w:bCs w:val="0"/>
          <w:sz w:val="24"/>
          <w:szCs w:val="24"/>
        </w:rPr>
        <w:t xml:space="preserve">collected will not be </w:t>
      </w:r>
      <w:r w:rsidR="00932E74">
        <w:rPr>
          <w:rFonts w:ascii="Times New Roman" w:hAnsi="Times New Roman"/>
          <w:b w:val="0"/>
          <w:bCs w:val="0"/>
          <w:sz w:val="24"/>
          <w:szCs w:val="24"/>
        </w:rPr>
        <w:t xml:space="preserve">published or </w:t>
      </w:r>
      <w:r w:rsidRPr="00932E74">
        <w:rPr>
          <w:rFonts w:ascii="Times New Roman" w:hAnsi="Times New Roman"/>
          <w:b w:val="0"/>
          <w:bCs w:val="0"/>
          <w:sz w:val="24"/>
          <w:szCs w:val="24"/>
        </w:rPr>
        <w:t>used for evaluation or performance assessment</w:t>
      </w:r>
      <w:r w:rsidR="00932E74">
        <w:rPr>
          <w:rFonts w:ascii="Times New Roman" w:hAnsi="Times New Roman"/>
          <w:b w:val="0"/>
          <w:bCs w:val="0"/>
          <w:sz w:val="24"/>
          <w:szCs w:val="24"/>
        </w:rPr>
        <w:t>.</w:t>
      </w:r>
      <w:r w:rsidRPr="00932E74">
        <w:rPr>
          <w:rFonts w:ascii="Times New Roman" w:hAnsi="Times New Roman"/>
          <w:b w:val="0"/>
          <w:bCs w:val="0"/>
          <w:sz w:val="24"/>
          <w:szCs w:val="24"/>
        </w:rPr>
        <w:t xml:space="preserve"> </w:t>
      </w:r>
      <w:r w:rsidRPr="00932E74" w:rsidR="00932E74">
        <w:rPr>
          <w:rFonts w:ascii="Times New Roman" w:hAnsi="Times New Roman"/>
          <w:b w:val="0"/>
          <w:bCs w:val="0"/>
          <w:sz w:val="24"/>
          <w:szCs w:val="24"/>
        </w:rPr>
        <w:t xml:space="preserve">The information will be shared with a </w:t>
      </w:r>
      <w:r w:rsidR="00932E74">
        <w:rPr>
          <w:rFonts w:ascii="Times New Roman" w:hAnsi="Times New Roman"/>
          <w:b w:val="0"/>
          <w:bCs w:val="0"/>
          <w:sz w:val="24"/>
          <w:szCs w:val="24"/>
        </w:rPr>
        <w:t xml:space="preserve">technical assistance (TA) </w:t>
      </w:r>
      <w:r w:rsidRPr="00932E74" w:rsidR="00932E74">
        <w:rPr>
          <w:rFonts w:ascii="Times New Roman" w:hAnsi="Times New Roman"/>
          <w:b w:val="0"/>
          <w:bCs w:val="0"/>
          <w:sz w:val="24"/>
          <w:szCs w:val="24"/>
        </w:rPr>
        <w:t>contractor responsible for collecting and consolidating responses to support ACF in making informed participant selection</w:t>
      </w:r>
      <w:r w:rsidR="00932E74">
        <w:rPr>
          <w:rFonts w:ascii="Times New Roman" w:hAnsi="Times New Roman"/>
          <w:b w:val="0"/>
          <w:bCs w:val="0"/>
          <w:sz w:val="24"/>
          <w:szCs w:val="24"/>
        </w:rPr>
        <w:t xml:space="preserve">. </w:t>
      </w:r>
      <w:r w:rsidRPr="00932E74" w:rsidR="00932E74">
        <w:rPr>
          <w:rFonts w:ascii="Times New Roman" w:hAnsi="Times New Roman"/>
          <w:b w:val="0"/>
          <w:bCs w:val="0"/>
          <w:sz w:val="24"/>
          <w:szCs w:val="24"/>
        </w:rPr>
        <w:t>The TA contractor will also use the information to notify participants of their acceptance into the PLLN</w:t>
      </w:r>
      <w:r w:rsidR="00932E74">
        <w:rPr>
          <w:rFonts w:ascii="Times New Roman" w:hAnsi="Times New Roman"/>
          <w:b w:val="0"/>
          <w:bCs w:val="0"/>
          <w:sz w:val="24"/>
          <w:szCs w:val="24"/>
        </w:rPr>
        <w:t>.</w:t>
      </w:r>
    </w:p>
    <w:p w:rsidR="00FC20FC" w:rsidRPr="00FC20FC" w:rsidP="00A07D36" w14:paraId="1BCF40D9" w14:textId="77777777"/>
    <w:p w:rsidR="00710F84" w:rsidP="008026DD" w14:paraId="479E0E9B" w14:textId="77777777">
      <w:pPr>
        <w:pStyle w:val="Heading4"/>
        <w:tabs>
          <w:tab w:val="num" w:pos="180"/>
        </w:tabs>
        <w:spacing w:before="0" w:line="264" w:lineRule="auto"/>
        <w:rPr>
          <w:rFonts w:ascii="Times New Roman" w:hAnsi="Times New Roman"/>
          <w:b w:val="0"/>
          <w:bCs w:val="0"/>
          <w:sz w:val="24"/>
          <w:szCs w:val="24"/>
        </w:rPr>
      </w:pPr>
      <w:r w:rsidRPr="4AE5982E">
        <w:rPr>
          <w:rFonts w:ascii="Times New Roman" w:hAnsi="Times New Roman"/>
          <w:b w:val="0"/>
          <w:bCs w:val="0"/>
          <w:sz w:val="24"/>
          <w:szCs w:val="24"/>
        </w:rPr>
        <w:t>This proposed information collection meets the following goals of ACF’s generic clearance for formative data collections for program support (0970-0531)</w:t>
      </w:r>
      <w:r>
        <w:rPr>
          <w:rFonts w:ascii="Times New Roman" w:hAnsi="Times New Roman"/>
          <w:b w:val="0"/>
          <w:bCs w:val="0"/>
          <w:sz w:val="24"/>
          <w:szCs w:val="24"/>
        </w:rPr>
        <w:t>:</w:t>
      </w:r>
    </w:p>
    <w:p w:rsidR="00710F84" w:rsidP="008026DD" w14:paraId="60138C58" w14:textId="79EE19E9">
      <w:pPr>
        <w:pStyle w:val="ListParagraph"/>
        <w:numPr>
          <w:ilvl w:val="0"/>
          <w:numId w:val="2"/>
        </w:numPr>
        <w:ind w:left="720"/>
        <w:rPr>
          <w:color w:val="000000" w:themeColor="text1"/>
          <w:sz w:val="24"/>
          <w:szCs w:val="24"/>
        </w:rPr>
      </w:pPr>
      <w:r w:rsidRPr="4AE5982E">
        <w:rPr>
          <w:color w:val="000000" w:themeColor="text1"/>
          <w:sz w:val="24"/>
          <w:szCs w:val="24"/>
        </w:rPr>
        <w:t xml:space="preserve">Delivery of TA related to </w:t>
      </w:r>
      <w:r w:rsidR="00E82FBE">
        <w:rPr>
          <w:color w:val="000000" w:themeColor="text1"/>
          <w:sz w:val="24"/>
          <w:szCs w:val="24"/>
        </w:rPr>
        <w:t xml:space="preserve">PLLN participants’ professional leadership goals that are tied to improving their </w:t>
      </w:r>
      <w:r w:rsidRPr="4AE5982E">
        <w:rPr>
          <w:color w:val="000000" w:themeColor="text1"/>
          <w:sz w:val="24"/>
          <w:szCs w:val="24"/>
        </w:rPr>
        <w:t xml:space="preserve">program implementation. </w:t>
      </w:r>
    </w:p>
    <w:p w:rsidR="00D964BC" w:rsidP="008026DD" w14:paraId="6F5CF4FF" w14:textId="2C014A08">
      <w:pPr>
        <w:pStyle w:val="Heading4"/>
        <w:numPr>
          <w:ilvl w:val="0"/>
          <w:numId w:val="2"/>
        </w:numPr>
        <w:spacing w:before="0" w:after="0" w:line="264" w:lineRule="auto"/>
        <w:ind w:left="720"/>
        <w:rPr>
          <w:rFonts w:ascii="Times New Roman" w:hAnsi="Times New Roman"/>
          <w:b w:val="0"/>
          <w:bCs w:val="0"/>
          <w:sz w:val="24"/>
          <w:szCs w:val="24"/>
        </w:rPr>
      </w:pPr>
      <w:r w:rsidRPr="4AE5982E">
        <w:rPr>
          <w:rFonts w:ascii="Times New Roman" w:hAnsi="Times New Roman"/>
          <w:b w:val="0"/>
          <w:bCs w:val="0"/>
          <w:color w:val="000000" w:themeColor="text1"/>
          <w:sz w:val="24"/>
          <w:szCs w:val="24"/>
        </w:rPr>
        <w:t>Planning for provision of programmatic T/TA</w:t>
      </w:r>
      <w:r w:rsidR="00E82FBE">
        <w:rPr>
          <w:rFonts w:ascii="Times New Roman" w:hAnsi="Times New Roman"/>
          <w:b w:val="0"/>
          <w:bCs w:val="0"/>
          <w:color w:val="000000" w:themeColor="text1"/>
          <w:sz w:val="24"/>
          <w:szCs w:val="24"/>
        </w:rPr>
        <w:t xml:space="preserve"> based on the goals identified by PLL</w:t>
      </w:r>
      <w:r w:rsidR="00244094">
        <w:rPr>
          <w:rFonts w:ascii="Times New Roman" w:hAnsi="Times New Roman"/>
          <w:b w:val="0"/>
          <w:bCs w:val="0"/>
          <w:color w:val="000000" w:themeColor="text1"/>
          <w:sz w:val="24"/>
          <w:szCs w:val="24"/>
        </w:rPr>
        <w:t>N</w:t>
      </w:r>
      <w:r w:rsidR="00E82FBE">
        <w:rPr>
          <w:rFonts w:ascii="Times New Roman" w:hAnsi="Times New Roman"/>
          <w:b w:val="0"/>
          <w:bCs w:val="0"/>
          <w:color w:val="000000" w:themeColor="text1"/>
          <w:sz w:val="24"/>
          <w:szCs w:val="24"/>
        </w:rPr>
        <w:t xml:space="preserve"> participants</w:t>
      </w:r>
      <w:r>
        <w:rPr>
          <w:rFonts w:ascii="Times New Roman" w:hAnsi="Times New Roman"/>
          <w:b w:val="0"/>
          <w:bCs w:val="0"/>
          <w:color w:val="000000" w:themeColor="text1"/>
          <w:sz w:val="24"/>
          <w:szCs w:val="24"/>
        </w:rPr>
        <w:t>.</w:t>
      </w:r>
      <w:r w:rsidRPr="4AE5982E">
        <w:rPr>
          <w:rFonts w:ascii="Times New Roman" w:hAnsi="Times New Roman"/>
          <w:b w:val="0"/>
          <w:bCs w:val="0"/>
          <w:sz w:val="24"/>
          <w:szCs w:val="24"/>
        </w:rPr>
        <w:t xml:space="preserve"> </w:t>
      </w:r>
    </w:p>
    <w:p w:rsidR="00710F84" w:rsidP="008026DD" w14:paraId="3DF5F880" w14:textId="5F89E782">
      <w:pPr>
        <w:pStyle w:val="ListParagraph"/>
        <w:numPr>
          <w:ilvl w:val="0"/>
          <w:numId w:val="2"/>
        </w:numPr>
        <w:ind w:left="720"/>
        <w:rPr>
          <w:color w:val="000000" w:themeColor="text1"/>
          <w:sz w:val="24"/>
          <w:szCs w:val="24"/>
        </w:rPr>
      </w:pPr>
      <w:r w:rsidRPr="4AE5982E">
        <w:rPr>
          <w:color w:val="000000" w:themeColor="text1"/>
          <w:sz w:val="24"/>
          <w:szCs w:val="24"/>
        </w:rPr>
        <w:t>Obtaining feedback about processes and/or practices to inform ACF program development or support</w:t>
      </w:r>
      <w:r>
        <w:rPr>
          <w:color w:val="000000" w:themeColor="text1"/>
          <w:sz w:val="24"/>
          <w:szCs w:val="24"/>
        </w:rPr>
        <w:t xml:space="preserve"> for those who will participate in the PLLN</w:t>
      </w:r>
      <w:r w:rsidRPr="4AE5982E">
        <w:rPr>
          <w:color w:val="000000" w:themeColor="text1"/>
          <w:sz w:val="24"/>
          <w:szCs w:val="24"/>
        </w:rPr>
        <w:t>.</w:t>
      </w:r>
    </w:p>
    <w:p w:rsidR="00710F84" w:rsidRPr="00710F84" w:rsidP="00710F84" w14:paraId="457894EC" w14:textId="77777777"/>
    <w:p w:rsidR="002338AC" w:rsidRPr="00D41BC5" w:rsidP="00D41BC5" w14:paraId="40C43AD9" w14:textId="72E8AC1C">
      <w:pPr>
        <w:spacing w:after="60"/>
        <w:rPr>
          <w:b/>
          <w:bCs/>
          <w:i/>
          <w:iCs/>
        </w:rPr>
      </w:pPr>
      <w:r w:rsidRPr="4AE5982E">
        <w:rPr>
          <w:b/>
          <w:bCs/>
          <w:i/>
          <w:iCs/>
        </w:rPr>
        <w:t>Process</w:t>
      </w:r>
      <w:r w:rsidRPr="4AE5982E" w:rsidR="003277CF">
        <w:rPr>
          <w:b/>
          <w:bCs/>
          <w:i/>
          <w:iCs/>
        </w:rPr>
        <w:t>es</w:t>
      </w:r>
      <w:r w:rsidRPr="4AE5982E">
        <w:rPr>
          <w:b/>
          <w:bCs/>
          <w:i/>
          <w:iCs/>
        </w:rPr>
        <w:t xml:space="preserve"> for Information Collection </w:t>
      </w:r>
    </w:p>
    <w:p w:rsidR="00432CED" w:rsidRPr="00932E74" w:rsidP="00932E74" w14:paraId="1049A17B" w14:textId="587AB64D">
      <w:r w:rsidRPr="00932E74">
        <w:t xml:space="preserve">All </w:t>
      </w:r>
      <w:r w:rsidRPr="00932E74" w:rsidR="00EB5287">
        <w:t xml:space="preserve">current </w:t>
      </w:r>
      <w:r w:rsidRPr="00932E74">
        <w:t xml:space="preserve">Tribal Home Visiting grant recipient program leaders interested in participating will be invited to submit </w:t>
      </w:r>
      <w:r w:rsidRPr="00932E74" w:rsidR="00D2473E">
        <w:t>an</w:t>
      </w:r>
      <w:r w:rsidRPr="00932E74">
        <w:t xml:space="preserve"> SOI via a centralized email address. The opportunity will be shared through direct email outreach and announced during a regularly scheduled monthly </w:t>
      </w:r>
      <w:r w:rsidRPr="00932E74" w:rsidR="00D2473E">
        <w:t xml:space="preserve">grant recipient </w:t>
      </w:r>
      <w:r w:rsidRPr="00932E74">
        <w:t>call. Clear instructions, including submission timelines and requirements, will be provided to ensure all interested leaders have an opportunity to respond.</w:t>
      </w:r>
    </w:p>
    <w:p w:rsidR="00432CED" w:rsidRPr="00932E74" w:rsidP="00432CED" w14:paraId="73C4A0BB" w14:textId="77777777">
      <w:pPr>
        <w:ind w:left="180"/>
      </w:pPr>
    </w:p>
    <w:p w:rsidR="00432CED" w:rsidRPr="00932E74" w:rsidP="00932E74" w14:paraId="66D492DD" w14:textId="48057FA4">
      <w:r w:rsidRPr="00932E74">
        <w:t xml:space="preserve">The SOI will consist of </w:t>
      </w:r>
      <w:r w:rsidRPr="00932E74">
        <w:rPr>
          <w:b/>
          <w:bCs/>
        </w:rPr>
        <w:t>open-ended responses</w:t>
      </w:r>
      <w:r w:rsidRPr="00932E74">
        <w:t xml:space="preserve"> that request specific information without requiring a standardized format. Applicants will respond to one primary question with five supporting sub-questions designed to gather information about their </w:t>
      </w:r>
      <w:r w:rsidRPr="00932E74" w:rsidR="00DD1E7E">
        <w:t>interest</w:t>
      </w:r>
      <w:r w:rsidRPr="00932E74">
        <w:t xml:space="preserve"> </w:t>
      </w:r>
      <w:r w:rsidRPr="00932E74" w:rsidR="00DD1E7E">
        <w:t>in participating</w:t>
      </w:r>
      <w:r w:rsidRPr="00932E74">
        <w:t xml:space="preserve"> in the PLLN.</w:t>
      </w:r>
    </w:p>
    <w:p w:rsidR="008D658B" w:rsidP="4AE5982E" w14:paraId="40F359A5" w14:textId="77777777">
      <w:pPr>
        <w:ind w:left="180"/>
        <w:rPr>
          <w:b/>
          <w:bCs/>
          <w:i/>
          <w:iCs/>
        </w:rPr>
      </w:pPr>
    </w:p>
    <w:p w:rsidR="00945CD6" w:rsidRPr="0072204D" w:rsidP="4AE5982E" w14:paraId="49EEF137" w14:textId="77777777">
      <w:pPr>
        <w:spacing w:after="120"/>
        <w:rPr>
          <w:b/>
          <w:bCs/>
        </w:rPr>
      </w:pPr>
      <w:r w:rsidRPr="4AE5982E">
        <w:rPr>
          <w:b/>
          <w:bCs/>
        </w:rPr>
        <w:t xml:space="preserve">A3. </w:t>
      </w:r>
      <w:r w:rsidRPr="4AE5982E">
        <w:rPr>
          <w:b/>
          <w:bCs/>
        </w:rPr>
        <w:t>Improved Information Technology to Reduce Burden</w:t>
      </w:r>
    </w:p>
    <w:p w:rsidR="00D90EF6" w:rsidRPr="00932E74" w:rsidP="4AE5982E" w14:paraId="6EA8B500" w14:textId="095EC67D">
      <w:r w:rsidRPr="00932E74">
        <w:t xml:space="preserve">Email will serve as the primary technology used for distributing </w:t>
      </w:r>
      <w:r w:rsidRPr="00932E74" w:rsidR="00B66D4F">
        <w:t>SOI</w:t>
      </w:r>
      <w:r w:rsidRPr="00932E74">
        <w:t xml:space="preserve"> materials, providing submission instructions, collecting responses</w:t>
      </w:r>
      <w:r w:rsidRPr="00932E74" w:rsidR="0585CF58">
        <w:t>,</w:t>
      </w:r>
      <w:r w:rsidRPr="00932E74" w:rsidR="000420C0">
        <w:t xml:space="preserve"> and notif</w:t>
      </w:r>
      <w:r w:rsidRPr="00932E74" w:rsidR="09F8778A">
        <w:t>ying individuals</w:t>
      </w:r>
      <w:r w:rsidRPr="00932E74" w:rsidR="000420C0">
        <w:t xml:space="preserve"> of acceptance</w:t>
      </w:r>
      <w:r w:rsidRPr="00932E74">
        <w:t xml:space="preserve">. This approach leverages existing, widely accessible communication systems to ensure ease of submission and minimize </w:t>
      </w:r>
      <w:r w:rsidRPr="00932E74" w:rsidR="008D3343">
        <w:t xml:space="preserve">the </w:t>
      </w:r>
      <w:r w:rsidRPr="00932E74">
        <w:t xml:space="preserve">burden on </w:t>
      </w:r>
      <w:r w:rsidRPr="00932E74" w:rsidR="008D3343">
        <w:t>grant recipients</w:t>
      </w:r>
      <w:r w:rsidRPr="00932E74">
        <w:t>. No specialized platforms or additional technology will be required beyond standard email access.</w:t>
      </w:r>
    </w:p>
    <w:p w:rsidR="005046F0" w:rsidP="4AE5982E" w14:paraId="5804584A" w14:textId="77777777">
      <w:pPr>
        <w:ind w:left="360"/>
      </w:pPr>
    </w:p>
    <w:p w:rsidR="00945CD6" w:rsidP="4AE5982E" w14:paraId="39BBEF3E" w14:textId="77777777">
      <w:pPr>
        <w:spacing w:after="120"/>
        <w:rPr>
          <w:b/>
          <w:bCs/>
        </w:rPr>
      </w:pPr>
      <w:r w:rsidRPr="4AE5982E">
        <w:rPr>
          <w:b/>
          <w:bCs/>
        </w:rPr>
        <w:t xml:space="preserve">A4. </w:t>
      </w:r>
      <w:r w:rsidRPr="4AE5982E">
        <w:rPr>
          <w:b/>
          <w:bCs/>
        </w:rPr>
        <w:t>Efforts to Identify Duplication</w:t>
      </w:r>
    </w:p>
    <w:p w:rsidR="00D90EF6" w:rsidRPr="00932E74" w:rsidP="4AE5982E" w14:paraId="1E23D79E" w14:textId="3E483502">
      <w:r w:rsidRPr="00932E74">
        <w:t>This effort does not duplicate any other work conducted by ACF</w:t>
      </w:r>
      <w:r w:rsidRPr="00932E74" w:rsidR="000E1EEC">
        <w:t>, and no existing data sources capture this information for this purpose.</w:t>
      </w:r>
      <w:r w:rsidRPr="00932E74">
        <w:t xml:space="preserve"> The SOI information is specific to Tribal Home Visiting grant recipient program leaders who wish to participate in the PLLN. It reflects each applicant’s unique role, goals, and readiness to engage in the learning network and </w:t>
      </w:r>
      <w:r w:rsidRPr="00932E74" w:rsidR="00050CE3">
        <w:t>will</w:t>
      </w:r>
      <w:r w:rsidRPr="00932E74">
        <w:t xml:space="preserve"> therefore be collected directly from interested individuals. </w:t>
      </w:r>
    </w:p>
    <w:p w:rsidR="0036189A" w:rsidP="4AE5982E" w14:paraId="15540B79" w14:textId="77777777"/>
    <w:p w:rsidR="00945CD6" w:rsidRPr="0072204D" w:rsidP="4AE5982E" w14:paraId="10B90123" w14:textId="77777777">
      <w:pPr>
        <w:spacing w:after="120"/>
        <w:rPr>
          <w:b/>
          <w:bCs/>
        </w:rPr>
      </w:pPr>
      <w:r w:rsidRPr="4AE5982E">
        <w:rPr>
          <w:b/>
          <w:bCs/>
        </w:rPr>
        <w:t xml:space="preserve">A5. </w:t>
      </w:r>
      <w:r w:rsidRPr="4AE5982E">
        <w:rPr>
          <w:b/>
          <w:bCs/>
        </w:rPr>
        <w:t>Involvement of Small Organizations</w:t>
      </w:r>
    </w:p>
    <w:p w:rsidR="00D90EF6" w:rsidRPr="00932E74" w:rsidP="4AE5982E" w14:paraId="12FF1FE5" w14:textId="536AA343">
      <w:r>
        <w:t xml:space="preserve">Efforts have been made to minimize the burden on small </w:t>
      </w:r>
      <w:r w:rsidR="532D0C94">
        <w:t>organizations</w:t>
      </w:r>
      <w:r>
        <w:t xml:space="preserve">. The </w:t>
      </w:r>
      <w:r w:rsidR="0891FC8A">
        <w:t>SOI</w:t>
      </w:r>
      <w:r>
        <w:t xml:space="preserve"> requests only the minimal information necessary to support participant selection and decision-making. Adequate time will be provided for completion, and the submission process is simple and accessible through email. Additionally, the process is convenient, as potential applicants may complete and submit the </w:t>
      </w:r>
      <w:r w:rsidR="00862B32">
        <w:t>s</w:t>
      </w:r>
      <w:r>
        <w:t xml:space="preserve">tatement of </w:t>
      </w:r>
      <w:r w:rsidR="00862B32">
        <w:t>i</w:t>
      </w:r>
      <w:r>
        <w:t>nterest at a time that works best for their schedules</w:t>
      </w:r>
      <w:r w:rsidR="00862B32">
        <w:t xml:space="preserve"> within the specified timeframe</w:t>
      </w:r>
      <w:r>
        <w:t>.</w:t>
      </w:r>
    </w:p>
    <w:p w:rsidR="008C78B4" w:rsidP="4AE5982E" w14:paraId="6077512E" w14:textId="77777777">
      <w:pPr>
        <w:rPr>
          <w:b/>
          <w:bCs/>
        </w:rPr>
      </w:pPr>
    </w:p>
    <w:p w:rsidR="00945CD6" w:rsidRPr="0072204D" w:rsidP="4AE5982E" w14:paraId="5C724C5E" w14:textId="77777777">
      <w:pPr>
        <w:spacing w:after="120"/>
        <w:rPr>
          <w:b/>
          <w:bCs/>
        </w:rPr>
      </w:pPr>
      <w:r w:rsidRPr="4AE5982E">
        <w:rPr>
          <w:b/>
          <w:bCs/>
        </w:rPr>
        <w:t xml:space="preserve">A6. </w:t>
      </w:r>
      <w:r w:rsidRPr="4AE5982E">
        <w:rPr>
          <w:b/>
          <w:bCs/>
        </w:rPr>
        <w:t>Consequences of Less Frequent Data Collection</w:t>
      </w:r>
    </w:p>
    <w:p w:rsidR="00D90EF6" w:rsidRPr="00932E74" w:rsidP="4AE5982E" w14:paraId="27E89940" w14:textId="595BD50D">
      <w:r w:rsidRPr="00932E74">
        <w:t xml:space="preserve">This is a one-time data collection. </w:t>
      </w:r>
    </w:p>
    <w:p w:rsidR="00D90EF6" w:rsidP="4AE5982E" w14:paraId="214C03B2" w14:textId="77777777"/>
    <w:p w:rsidR="00945CD6" w:rsidRPr="0072204D" w:rsidP="4AE5982E" w14:paraId="5060136E" w14:textId="77777777">
      <w:pPr>
        <w:spacing w:after="120"/>
        <w:rPr>
          <w:b/>
          <w:bCs/>
        </w:rPr>
      </w:pPr>
      <w:r w:rsidRPr="4AE5982E">
        <w:rPr>
          <w:b/>
          <w:bCs/>
        </w:rPr>
        <w:t xml:space="preserve">A7. </w:t>
      </w:r>
      <w:r w:rsidRPr="4AE5982E">
        <w:rPr>
          <w:b/>
          <w:bCs/>
        </w:rPr>
        <w:t>Special Circumstances</w:t>
      </w:r>
    </w:p>
    <w:p w:rsidR="0020382F" w:rsidRPr="00932E74" w:rsidP="4AE5982E" w14:paraId="10D64BA4" w14:textId="77777777">
      <w:r w:rsidRPr="00932E74">
        <w:t>There are no special circumstances for the proposed data collection efforts.</w:t>
      </w:r>
    </w:p>
    <w:p w:rsidR="00D90EF6" w:rsidP="4AE5982E" w14:paraId="6156892E" w14:textId="77777777">
      <w:pPr>
        <w:rPr>
          <w:b/>
          <w:bCs/>
        </w:rPr>
      </w:pPr>
    </w:p>
    <w:p w:rsidR="00D90EF6" w:rsidP="4AE5982E" w14:paraId="4FD99BC0" w14:textId="77777777">
      <w:pPr>
        <w:spacing w:after="120"/>
        <w:rPr>
          <w:b/>
          <w:bCs/>
        </w:rPr>
      </w:pPr>
      <w:r w:rsidRPr="4AE5982E">
        <w:rPr>
          <w:b/>
          <w:bCs/>
        </w:rPr>
        <w:t xml:space="preserve">A8. </w:t>
      </w:r>
      <w:r w:rsidRPr="4AE5982E" w:rsidR="00945CD6">
        <w:rPr>
          <w:b/>
          <w:bCs/>
        </w:rPr>
        <w:t>Federal Register Notice and Consultation</w:t>
      </w:r>
    </w:p>
    <w:p w:rsidR="00B91D97" w:rsidRPr="00B91D97" w:rsidP="4AE5982E" w14:paraId="6A39001F" w14:textId="77777777">
      <w:pPr>
        <w:spacing w:after="60"/>
        <w:rPr>
          <w:b/>
          <w:bCs/>
          <w:i/>
          <w:iCs/>
        </w:rPr>
      </w:pPr>
      <w:r w:rsidRPr="4AE5982E">
        <w:rPr>
          <w:b/>
          <w:bCs/>
          <w:i/>
          <w:iCs/>
        </w:rPr>
        <w:t>Federal Register Notice and Comments</w:t>
      </w:r>
    </w:p>
    <w:p w:rsidR="008F10A2" w:rsidP="00105B6B" w14:paraId="06B326DA" w14:textId="571AF90D">
      <w:pPr>
        <w:spacing w:line="259" w:lineRule="auto"/>
      </w:pPr>
      <w:r w:rsidRPr="4CD88284">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w:t>
      </w:r>
      <w:r w:rsidRPr="4CD88284">
        <w:t>information collection</w:t>
      </w:r>
      <w:r w:rsidRPr="4CD88284">
        <w:t xml:space="preserve"> request to extend approval of the umbrella generic with minor changes. The notice was published on </w:t>
      </w:r>
      <w:r w:rsidRPr="4CD88284" w:rsidR="7EC2CCC6">
        <w:t>April 28, 2025</w:t>
      </w:r>
      <w:r w:rsidRPr="4CD88284">
        <w:t>, (</w:t>
      </w:r>
      <w:r w:rsidRPr="4CD88284" w:rsidR="4ECB43AA">
        <w:t>90</w:t>
      </w:r>
      <w:r w:rsidRPr="4CD88284">
        <w:t xml:space="preserve"> FR </w:t>
      </w:r>
      <w:r w:rsidRPr="4CD88284" w:rsidR="27D9EF1C">
        <w:t>17603</w:t>
      </w:r>
      <w:r w:rsidRPr="4CD88284">
        <w:t>), and provided a sixty-day period for public comment. ACF did not receive any comments on the first notice. A second notice was published, allowing a thirty-day period for public comment</w:t>
      </w:r>
      <w:r w:rsidRPr="4CD88284" w:rsidR="788048E4">
        <w:t xml:space="preserve"> (90 FR 42248</w:t>
      </w:r>
      <w:r w:rsidRPr="4CD88284">
        <w:t>, in conjunction with submission of the request to OMB. ACF did not receive any comments on the second notice.</w:t>
      </w:r>
    </w:p>
    <w:p w:rsidR="00B91D97" w:rsidRPr="00B91D97" w:rsidP="4AE5982E" w14:paraId="21E62C00" w14:textId="72CBF5B8">
      <w:pPr>
        <w:pStyle w:val="Heading4"/>
        <w:rPr>
          <w:rFonts w:ascii="Times New Roman" w:hAnsi="Times New Roman"/>
          <w:i/>
          <w:iCs/>
          <w:sz w:val="24"/>
          <w:szCs w:val="24"/>
        </w:rPr>
      </w:pPr>
      <w:r w:rsidRPr="4AE5982E">
        <w:rPr>
          <w:rFonts w:ascii="Times New Roman" w:hAnsi="Times New Roman"/>
          <w:i/>
          <w:iCs/>
          <w:sz w:val="24"/>
          <w:szCs w:val="24"/>
        </w:rPr>
        <w:t xml:space="preserve">Consultation with </w:t>
      </w:r>
      <w:r w:rsidRPr="4AE5982E" w:rsidR="008F570D">
        <w:rPr>
          <w:rFonts w:ascii="Times New Roman" w:hAnsi="Times New Roman"/>
          <w:i/>
          <w:iCs/>
          <w:sz w:val="24"/>
          <w:szCs w:val="24"/>
        </w:rPr>
        <w:t xml:space="preserve">Outside </w:t>
      </w:r>
      <w:r w:rsidRPr="4AE5982E">
        <w:rPr>
          <w:rFonts w:ascii="Times New Roman" w:hAnsi="Times New Roman"/>
          <w:i/>
          <w:iCs/>
          <w:sz w:val="24"/>
          <w:szCs w:val="24"/>
        </w:rPr>
        <w:t>Experts</w:t>
      </w:r>
    </w:p>
    <w:p w:rsidR="009B2675" w:rsidP="4AE5982E" w14:paraId="75400618" w14:textId="07527B24">
      <w:r w:rsidRPr="009B2675">
        <w:t xml:space="preserve">ACF </w:t>
      </w:r>
      <w:r w:rsidRPr="009B2675">
        <w:t>consulted with</w:t>
      </w:r>
      <w:r w:rsidRPr="009B2675">
        <w:t xml:space="preserve"> contracted TA provider</w:t>
      </w:r>
      <w:r>
        <w:t>s</w:t>
      </w:r>
      <w:r w:rsidRPr="009B2675">
        <w:t>, including James Bell Associates and ZERO TO THREE, in the development of the SOI and data collection methodology. These consultations helped ensure that the information collection approach is appropriate, feasible, and aligned with the cultural and community contexts of Tribal MIECHV grant recipients.</w:t>
      </w:r>
    </w:p>
    <w:p w:rsidR="009B2675" w:rsidP="4AE5982E" w14:paraId="6BC888CE" w14:textId="77777777">
      <w:pPr>
        <w:rPr>
          <w:b/>
          <w:bCs/>
        </w:rPr>
      </w:pPr>
    </w:p>
    <w:p w:rsidR="00D15DF6" w:rsidRPr="0072204D" w:rsidP="4AE5982E" w14:paraId="7FE69E0D" w14:textId="47399BA0">
      <w:pPr>
        <w:spacing w:after="120"/>
        <w:rPr>
          <w:b/>
          <w:bCs/>
        </w:rPr>
      </w:pPr>
      <w:r w:rsidRPr="4AE5982E">
        <w:rPr>
          <w:b/>
          <w:bCs/>
        </w:rPr>
        <w:t xml:space="preserve">A9. </w:t>
      </w:r>
      <w:r w:rsidRPr="4AE5982E" w:rsidR="00542413">
        <w:rPr>
          <w:b/>
          <w:bCs/>
        </w:rPr>
        <w:t xml:space="preserve">Tokens of Appreciation </w:t>
      </w:r>
      <w:r w:rsidRPr="4AE5982E" w:rsidR="00B66874">
        <w:rPr>
          <w:b/>
          <w:bCs/>
        </w:rPr>
        <w:t>for</w:t>
      </w:r>
      <w:r w:rsidRPr="4AE5982E" w:rsidR="00945CD6">
        <w:rPr>
          <w:b/>
          <w:bCs/>
        </w:rPr>
        <w:t xml:space="preserve"> Respondents</w:t>
      </w:r>
    </w:p>
    <w:p w:rsidR="00D90EF6" w:rsidRPr="00932E74" w:rsidP="4AE5982E" w14:paraId="45914615" w14:textId="4321F089">
      <w:pPr>
        <w:rPr>
          <w:b/>
          <w:bCs/>
        </w:rPr>
      </w:pPr>
      <w:r w:rsidRPr="00E82FBE">
        <w:t xml:space="preserve">No </w:t>
      </w:r>
      <w:r w:rsidRPr="00E82FBE" w:rsidR="00542413">
        <w:t>tokens of appreciation</w:t>
      </w:r>
      <w:r w:rsidRPr="00E82FBE">
        <w:t xml:space="preserve"> for</w:t>
      </w:r>
      <w:r w:rsidRPr="00E82FBE" w:rsidR="00BE7952">
        <w:t xml:space="preserve"> respondents are proposed for this information collection.</w:t>
      </w:r>
    </w:p>
    <w:p w:rsidR="004222F8" w:rsidP="00932E74" w14:paraId="7605E87D" w14:textId="77777777">
      <w:pPr>
        <w:rPr>
          <w:b/>
          <w:bCs/>
        </w:rPr>
      </w:pPr>
    </w:p>
    <w:p w:rsidR="004222F8" w:rsidRPr="0072204D" w:rsidP="4AE5982E" w14:paraId="5BB4F440" w14:textId="77777777">
      <w:pPr>
        <w:spacing w:after="120"/>
        <w:rPr>
          <w:b/>
          <w:bCs/>
        </w:rPr>
      </w:pPr>
      <w:r w:rsidRPr="4AE5982E">
        <w:rPr>
          <w:b/>
          <w:bCs/>
        </w:rPr>
        <w:t>A10. Privacy of Respondents</w:t>
      </w:r>
    </w:p>
    <w:p w:rsidR="004222F8" w:rsidRPr="00436F5E" w:rsidP="4AE5982E" w14:paraId="480B2A5E" w14:textId="754B441C">
      <w:pPr>
        <w:widowControl w:val="0"/>
        <w:autoSpaceDE w:val="0"/>
        <w:autoSpaceDN w:val="0"/>
        <w:adjustRightInd w:val="0"/>
      </w:pPr>
      <w:r w:rsidRPr="4AE5982E">
        <w:t>Information collected will be kept private</w:t>
      </w:r>
      <w:r w:rsidRPr="4AE5982E" w:rsidR="171CA292">
        <w:t xml:space="preserve"> to the extent permitted by law</w:t>
      </w:r>
      <w:r w:rsidRPr="4AE5982E">
        <w:t xml:space="preserve">. Respondents will be informed of all planned uses of </w:t>
      </w:r>
      <w:r w:rsidRPr="00752F67">
        <w:t xml:space="preserve">data, that their participation is voluntary, and that their information will be kept private. </w:t>
      </w:r>
    </w:p>
    <w:p w:rsidR="004222F8" w:rsidRPr="00436F5E" w:rsidP="4AE5982E" w14:paraId="6F65404C" w14:textId="77777777">
      <w:pPr>
        <w:widowControl w:val="0"/>
        <w:autoSpaceDE w:val="0"/>
        <w:autoSpaceDN w:val="0"/>
        <w:adjustRightInd w:val="0"/>
        <w:ind w:left="360"/>
      </w:pPr>
    </w:p>
    <w:p w:rsidR="00436F5E" w:rsidRPr="00932E74" w:rsidP="4AE5982E" w14:paraId="0D4F4390" w14:textId="51DCBC4F">
      <w:pPr>
        <w:widowControl w:val="0"/>
        <w:autoSpaceDE w:val="0"/>
        <w:autoSpaceDN w:val="0"/>
        <w:adjustRightInd w:val="0"/>
      </w:pPr>
      <w:r w:rsidRPr="00932E74">
        <w:t xml:space="preserve">Information will not be maintained in a paper or electronic system from which data are actually or directly retrieved by an </w:t>
      </w:r>
      <w:r w:rsidRPr="00932E74" w:rsidR="00D13363">
        <w:t>individual’s</w:t>
      </w:r>
      <w:r w:rsidRPr="00932E74">
        <w:t xml:space="preserve"> personal identifier.</w:t>
      </w:r>
    </w:p>
    <w:p w:rsidR="00436F5E" w:rsidP="4AE5982E" w14:paraId="34DFAED3" w14:textId="77777777">
      <w:pPr>
        <w:widowControl w:val="0"/>
        <w:autoSpaceDE w:val="0"/>
        <w:autoSpaceDN w:val="0"/>
        <w:adjustRightInd w:val="0"/>
      </w:pPr>
    </w:p>
    <w:p w:rsidR="00025562" w:rsidRPr="00932E74" w:rsidP="4AE5982E" w14:paraId="6A51551E" w14:textId="04E93FFD">
      <w:pPr>
        <w:widowControl w:val="0"/>
        <w:autoSpaceDE w:val="0"/>
        <w:autoSpaceDN w:val="0"/>
        <w:adjustRightInd w:val="0"/>
      </w:pPr>
      <w:r>
        <w:t>The SOI</w:t>
      </w:r>
      <w:r>
        <w:t xml:space="preserve"> requests personally identifiable information (PII). This PII</w:t>
      </w:r>
      <w:r w:rsidRPr="00932E74" w:rsidR="00932E74">
        <w:t xml:space="preserve"> will </w:t>
      </w:r>
      <w:r w:rsidR="009B2675">
        <w:t xml:space="preserve">only </w:t>
      </w:r>
      <w:r w:rsidRPr="00932E74" w:rsidR="00932E74">
        <w:t>be used for notification</w:t>
      </w:r>
      <w:r w:rsidR="00932E74">
        <w:t xml:space="preserve">, </w:t>
      </w:r>
      <w:r w:rsidRPr="00932E74" w:rsidR="00932E74">
        <w:t>follow-up</w:t>
      </w:r>
      <w:r w:rsidR="00932E74">
        <w:t xml:space="preserve">, communication and coordination </w:t>
      </w:r>
      <w:r w:rsidRPr="00932E74" w:rsidR="00932E74">
        <w:t>purposes related to participation</w:t>
      </w:r>
      <w:r w:rsidRPr="00932E74" w:rsidR="00D13363">
        <w:t xml:space="preserve">. </w:t>
      </w:r>
    </w:p>
    <w:p w:rsidR="00436F5E" w:rsidP="4AE5982E" w14:paraId="0442A162" w14:textId="77777777"/>
    <w:p w:rsidR="00945CD6" w:rsidRPr="0072204D" w:rsidP="4AE5982E" w14:paraId="0B35E015" w14:textId="77777777">
      <w:pPr>
        <w:spacing w:after="120"/>
        <w:rPr>
          <w:b/>
          <w:bCs/>
        </w:rPr>
      </w:pPr>
      <w:r w:rsidRPr="4AE5982E">
        <w:rPr>
          <w:b/>
          <w:bCs/>
        </w:rPr>
        <w:t xml:space="preserve">A11. </w:t>
      </w:r>
      <w:r w:rsidRPr="4AE5982E">
        <w:rPr>
          <w:b/>
          <w:bCs/>
        </w:rPr>
        <w:t>Sensitive Questions</w:t>
      </w:r>
    </w:p>
    <w:p w:rsidR="00D90EF6" w:rsidRPr="00932E74" w:rsidP="4AE5982E" w14:paraId="2CE230F0" w14:textId="77777777">
      <w:r w:rsidRPr="00932E74">
        <w:t>There are no sensitive questions in this data collection.</w:t>
      </w:r>
    </w:p>
    <w:p w:rsidR="005046F0" w:rsidP="4AE5982E" w14:paraId="45C63BFE" w14:textId="77777777">
      <w:pPr>
        <w:ind w:left="360"/>
      </w:pPr>
    </w:p>
    <w:p w:rsidR="00542413" w:rsidRPr="00542413" w:rsidP="4AE5982E" w14:paraId="3ABF848D" w14:textId="604CE552">
      <w:pPr>
        <w:spacing w:after="120"/>
        <w:rPr>
          <w:b/>
          <w:bCs/>
        </w:rPr>
      </w:pPr>
      <w:r w:rsidRPr="4AE5982E">
        <w:rPr>
          <w:b/>
          <w:bCs/>
        </w:rPr>
        <w:t xml:space="preserve">A12. </w:t>
      </w:r>
      <w:r w:rsidRPr="4AE5982E" w:rsidR="00945CD6">
        <w:rPr>
          <w:b/>
          <w:bCs/>
        </w:rPr>
        <w:t>Estimation of Information Collection Burden</w:t>
      </w:r>
    </w:p>
    <w:p w:rsidR="00542413" w:rsidP="4AE5982E" w14:paraId="3786490C" w14:textId="2AA637D8">
      <w:pPr>
        <w:spacing w:after="60"/>
        <w:rPr>
          <w:b/>
          <w:bCs/>
          <w:i/>
          <w:iCs/>
        </w:rPr>
      </w:pPr>
      <w:r w:rsidRPr="2C35AA9A">
        <w:rPr>
          <w:b/>
          <w:bCs/>
          <w:i/>
          <w:iCs/>
        </w:rPr>
        <w:t>Burden Estimates</w:t>
      </w:r>
    </w:p>
    <w:p w:rsidR="00F248BD" w:rsidRPr="00932E74" w:rsidP="008026DD" w14:paraId="588B4903" w14:textId="6B5E4165">
      <w:r>
        <w:t xml:space="preserve">The SOI is designed to take approximately </w:t>
      </w:r>
      <w:r w:rsidR="004B29FE">
        <w:t>30</w:t>
      </w:r>
      <w:r>
        <w:t xml:space="preserve"> minutes to complete, with an additional 15 minutes to review the email and instructions. The primary requirement is a one-page </w:t>
      </w:r>
      <w:r w:rsidR="007E51C5">
        <w:t xml:space="preserve">open-ended </w:t>
      </w:r>
      <w:r>
        <w:t>reflective narrative aligned with participants’ existing leadership responsibilities, minimizing administrative burden while supporting thoughtful decision-making about PLLN participation.</w:t>
      </w:r>
    </w:p>
    <w:p w:rsidR="07B05A62" w:rsidP="008026DD" w14:paraId="79EB4683" w14:textId="3C15A093"/>
    <w:p w:rsidR="139362A0" w:rsidP="008026DD" w14:paraId="515895FD" w14:textId="7A5C687A">
      <w:pPr>
        <w:spacing w:line="259" w:lineRule="auto"/>
      </w:pPr>
      <w:r w:rsidRPr="07B05A62">
        <w:t>The estimated</w:t>
      </w:r>
      <w:r w:rsidRPr="07B05A62" w:rsidR="04A70306">
        <w:t xml:space="preserve"> burden reflect</w:t>
      </w:r>
      <w:r w:rsidRPr="07B05A62" w:rsidR="0D600830">
        <w:t>s</w:t>
      </w:r>
      <w:r w:rsidRPr="07B05A62" w:rsidR="04A70306">
        <w:t xml:space="preserve"> the expected level of effort required for each potential participant to complete the on</w:t>
      </w:r>
      <w:r w:rsidRPr="07B05A62" w:rsidR="60A98A7B">
        <w:t>-</w:t>
      </w:r>
      <w:r w:rsidRPr="07B05A62" w:rsidR="04A70306">
        <w:t xml:space="preserve"> pag</w:t>
      </w:r>
      <w:r w:rsidRPr="07B05A62" w:rsidR="0842A931">
        <w:t>e</w:t>
      </w:r>
      <w:r w:rsidRPr="07B05A62" w:rsidR="04A70306">
        <w:t xml:space="preserve"> open</w:t>
      </w:r>
      <w:r w:rsidRPr="07B05A62" w:rsidR="57E306DD">
        <w:t>-</w:t>
      </w:r>
      <w:r w:rsidRPr="07B05A62" w:rsidR="04A70306">
        <w:t>ended instrument</w:t>
      </w:r>
      <w:r w:rsidRPr="07B05A62" w:rsidR="3DE7F4F4">
        <w:t>.</w:t>
      </w:r>
    </w:p>
    <w:p w:rsidR="00A07D36" w:rsidP="008026DD" w14:paraId="650D884D" w14:textId="77777777">
      <w:pPr>
        <w:spacing w:line="259" w:lineRule="auto"/>
      </w:pPr>
    </w:p>
    <w:p w:rsidR="5313054E" w:rsidP="07B05A62" w14:paraId="40C2D64C" w14:textId="03322EA4">
      <w:pPr>
        <w:spacing w:after="60" w:line="259" w:lineRule="auto"/>
      </w:pPr>
      <w:r w:rsidRPr="07B05A62">
        <w:rPr>
          <w:b/>
          <w:bCs/>
          <w:i/>
          <w:iCs/>
        </w:rPr>
        <w:t>Cost Estimates</w:t>
      </w:r>
    </w:p>
    <w:p w:rsidR="0033072C" w:rsidRPr="00A07D36" w:rsidP="4AE5982E" w14:paraId="59A18AED" w14:textId="0B7DEFB0">
      <w:r w:rsidRPr="00A07D36">
        <w:t xml:space="preserve">The cost to respondents was calculated using the Bureau of Labor Statistics (BLS) job code for </w:t>
      </w:r>
      <w:r w:rsidRPr="00A07D36" w:rsidR="05A27E00">
        <w:t xml:space="preserve">Community and Social Service </w:t>
      </w:r>
      <w:r w:rsidRPr="00A07D36" w:rsidR="1B1EA981">
        <w:t xml:space="preserve">Occupations – </w:t>
      </w:r>
      <w:r w:rsidRPr="00A07D36" w:rsidR="00C150C4">
        <w:t>Community and Social Service Specialists, All Other</w:t>
      </w:r>
      <w:r w:rsidRPr="00A07D36" w:rsidR="0058238C">
        <w:t xml:space="preserve"> </w:t>
      </w:r>
      <w:r w:rsidRPr="00A07D36">
        <w:t>[</w:t>
      </w:r>
      <w:r w:rsidRPr="00A07D36" w:rsidR="6E5B8838">
        <w:t>21-10</w:t>
      </w:r>
      <w:r w:rsidRPr="00A07D36" w:rsidR="00C150C4">
        <w:t>99</w:t>
      </w:r>
      <w:r w:rsidRPr="00A07D36">
        <w:t>] and wage data from May 202</w:t>
      </w:r>
      <w:r w:rsidRPr="00A07D36" w:rsidR="55E4A8DF">
        <w:t>4</w:t>
      </w:r>
      <w:r w:rsidRPr="00A07D36">
        <w:t xml:space="preserve">, which is </w:t>
      </w:r>
      <w:r w:rsidRPr="00CB19B2">
        <w:rPr>
          <w:rFonts w:eastAsia="Tahoma"/>
          <w:color w:val="333333"/>
        </w:rPr>
        <w:t>$</w:t>
      </w:r>
      <w:r w:rsidRPr="00CB19B2" w:rsidR="0058238C">
        <w:rPr>
          <w:rFonts w:eastAsia="Tahoma"/>
          <w:color w:val="333333"/>
        </w:rPr>
        <w:t>28.06</w:t>
      </w:r>
      <w:r w:rsidRPr="00A07D36">
        <w:t xml:space="preserve"> per hour. To account for fringe benefits and overhead the rate was multiplied by </w:t>
      </w:r>
      <w:r w:rsidRPr="00A07D36">
        <w:t>two</w:t>
      </w:r>
      <w:r w:rsidRPr="00A07D36">
        <w:t xml:space="preserve"> which is $ </w:t>
      </w:r>
      <w:r w:rsidRPr="00A07D36" w:rsidR="00E85E1B">
        <w:t>56.12</w:t>
      </w:r>
      <w:r w:rsidRPr="00A07D36">
        <w:t xml:space="preserve">.  </w:t>
      </w:r>
    </w:p>
    <w:p w:rsidR="0033072C" w:rsidRPr="00EC26A5" w:rsidP="4AE5982E" w14:paraId="255B87E2" w14:textId="77777777">
      <w:pPr>
        <w:ind w:left="360"/>
      </w:pPr>
      <w:hyperlink r:id="rId7">
        <w:r w:rsidRPr="00597626">
          <w:rPr>
            <w:rStyle w:val="Hyperlink"/>
          </w:rPr>
          <w:t>https://www.bls.gov/oes/current/oes_stru.htm</w:t>
        </w:r>
      </w:hyperlink>
      <w:r w:rsidRPr="4AE5982E">
        <w:t xml:space="preserve"> </w:t>
      </w:r>
    </w:p>
    <w:p w:rsidR="00542413" w:rsidRPr="00542413" w:rsidP="008F570D" w14:paraId="26232607" w14:textId="77777777">
      <w:pPr>
        <w:rPr>
          <w:i/>
          <w:iCs/>
        </w:rPr>
      </w:pPr>
    </w:p>
    <w:tbl>
      <w:tblPr>
        <w:tblW w:w="87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2155"/>
        <w:gridCol w:w="1260"/>
        <w:gridCol w:w="1350"/>
        <w:gridCol w:w="1080"/>
        <w:gridCol w:w="990"/>
        <w:gridCol w:w="900"/>
        <w:gridCol w:w="1024"/>
      </w:tblGrid>
      <w:tr w14:paraId="3DDE53E5" w14:textId="77777777" w:rsidTr="008156AB">
        <w:tblPrEx>
          <w:tblW w:w="87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jc w:val="center"/>
        </w:trPr>
        <w:tc>
          <w:tcPr>
            <w:tcW w:w="2155" w:type="dxa"/>
            <w:shd w:val="clear" w:color="auto" w:fill="BFBFBF" w:themeFill="background1" w:themeFillShade="BF"/>
            <w:vAlign w:val="center"/>
          </w:tcPr>
          <w:p w:rsidR="00542413" w:rsidRPr="008156AB" w:rsidP="008F570D" w14:paraId="2381BB0C" w14:textId="77777777">
            <w:pPr>
              <w:jc w:val="center"/>
              <w:rPr>
                <w:sz w:val="20"/>
                <w:szCs w:val="20"/>
              </w:rPr>
            </w:pPr>
            <w:r w:rsidRPr="008156AB">
              <w:rPr>
                <w:sz w:val="20"/>
                <w:szCs w:val="20"/>
              </w:rPr>
              <w:t>Instrument</w:t>
            </w:r>
          </w:p>
        </w:tc>
        <w:tc>
          <w:tcPr>
            <w:tcW w:w="1260" w:type="dxa"/>
            <w:shd w:val="clear" w:color="auto" w:fill="BFBFBF" w:themeFill="background1" w:themeFillShade="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350" w:type="dxa"/>
            <w:shd w:val="clear" w:color="auto" w:fill="BFBFBF" w:themeFill="background1" w:themeFillShade="BF"/>
            <w:vAlign w:val="center"/>
          </w:tcPr>
          <w:p w:rsidR="00542413" w:rsidRPr="00BD4CFB" w:rsidP="008F570D" w14:paraId="714F2F09" w14:textId="02E9514E">
            <w:pPr>
              <w:jc w:val="center"/>
              <w:rPr>
                <w:sz w:val="20"/>
                <w:szCs w:val="20"/>
              </w:rPr>
            </w:pPr>
            <w:r w:rsidRPr="4AE5982E">
              <w:rPr>
                <w:sz w:val="20"/>
                <w:szCs w:val="20"/>
              </w:rPr>
              <w:t>Total Number of Responses Per Responden</w:t>
            </w:r>
            <w:r w:rsidRPr="4AE5982E" w:rsidR="509576EC">
              <w:rPr>
                <w:sz w:val="20"/>
                <w:szCs w:val="20"/>
              </w:rPr>
              <w:t>t</w:t>
            </w:r>
          </w:p>
        </w:tc>
        <w:tc>
          <w:tcPr>
            <w:tcW w:w="1080" w:type="dxa"/>
            <w:shd w:val="clear" w:color="auto" w:fill="BFBFBF" w:themeFill="background1" w:themeFillShade="BF"/>
            <w:vAlign w:val="center"/>
          </w:tcPr>
          <w:p w:rsidR="00542413" w:rsidRPr="00BD4CFB" w:rsidP="008F570D" w14:paraId="05CC723F" w14:textId="77777777">
            <w:pPr>
              <w:jc w:val="center"/>
              <w:rPr>
                <w:sz w:val="20"/>
                <w:szCs w:val="20"/>
              </w:rPr>
            </w:pPr>
            <w:r w:rsidRPr="00BD4CFB">
              <w:rPr>
                <w:sz w:val="20"/>
                <w:szCs w:val="20"/>
              </w:rPr>
              <w:t xml:space="preserve">Average </w:t>
            </w:r>
            <w:r w:rsidRPr="00BD4CFB">
              <w:rPr>
                <w:sz w:val="20"/>
                <w:szCs w:val="20"/>
              </w:rPr>
              <w:t>Burden</w:t>
            </w:r>
            <w:r w:rsidRPr="00BD4CFB">
              <w:rPr>
                <w:sz w:val="20"/>
                <w:szCs w:val="20"/>
              </w:rPr>
              <w:t xml:space="preserve"> Hours Per Response</w:t>
            </w:r>
          </w:p>
        </w:tc>
        <w:tc>
          <w:tcPr>
            <w:tcW w:w="990" w:type="dxa"/>
            <w:shd w:val="clear" w:color="auto" w:fill="BFBFBF" w:themeFill="background1" w:themeFillShade="BF"/>
            <w:vAlign w:val="center"/>
          </w:tcPr>
          <w:p w:rsidR="00542413" w:rsidP="0039235E" w14:paraId="110C4AE5" w14:textId="77777777">
            <w:pPr>
              <w:jc w:val="center"/>
              <w:rPr>
                <w:bCs/>
                <w:sz w:val="20"/>
                <w:szCs w:val="20"/>
              </w:rPr>
            </w:pPr>
            <w:r>
              <w:rPr>
                <w:bCs/>
                <w:sz w:val="20"/>
                <w:szCs w:val="20"/>
              </w:rPr>
              <w:t>Total</w:t>
            </w:r>
          </w:p>
          <w:p w:rsidR="00542413" w:rsidP="0039235E" w14:paraId="1F591B58" w14:textId="47332B2D">
            <w:pPr>
              <w:jc w:val="center"/>
              <w:rPr>
                <w:bCs/>
                <w:sz w:val="20"/>
                <w:szCs w:val="20"/>
              </w:rPr>
            </w:pPr>
            <w:r>
              <w:rPr>
                <w:bCs/>
                <w:sz w:val="20"/>
                <w:szCs w:val="20"/>
              </w:rPr>
              <w:t>Burden Hours</w:t>
            </w:r>
          </w:p>
        </w:tc>
        <w:tc>
          <w:tcPr>
            <w:tcW w:w="900" w:type="dxa"/>
            <w:shd w:val="clear" w:color="auto" w:fill="BFBFBF" w:themeFill="background1" w:themeFillShade="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024" w:type="dxa"/>
            <w:shd w:val="clear" w:color="auto" w:fill="BFBFBF" w:themeFill="background1" w:themeFillShade="BF"/>
            <w:vAlign w:val="center"/>
          </w:tcPr>
          <w:p w:rsidR="00542413" w:rsidRPr="00BD4CFB" w:rsidP="008F570D" w14:paraId="39990194" w14:textId="77777777">
            <w:pPr>
              <w:jc w:val="center"/>
              <w:rPr>
                <w:sz w:val="20"/>
                <w:szCs w:val="20"/>
              </w:rPr>
            </w:pPr>
            <w:r w:rsidRPr="00BD4CFB">
              <w:rPr>
                <w:bCs/>
                <w:sz w:val="20"/>
                <w:szCs w:val="20"/>
              </w:rPr>
              <w:t>Total Annual Cost</w:t>
            </w:r>
          </w:p>
        </w:tc>
      </w:tr>
      <w:tr w14:paraId="7CE63E36" w14:textId="77777777" w:rsidTr="00932E74">
        <w:tblPrEx>
          <w:tblW w:w="8759" w:type="dxa"/>
          <w:jc w:val="center"/>
          <w:tblLayout w:type="fixed"/>
          <w:tblLook w:val="00A0"/>
        </w:tblPrEx>
        <w:trPr>
          <w:trHeight w:val="432"/>
          <w:jc w:val="center"/>
        </w:trPr>
        <w:tc>
          <w:tcPr>
            <w:tcW w:w="2155" w:type="dxa"/>
            <w:vAlign w:val="center"/>
          </w:tcPr>
          <w:p w:rsidR="00542413" w:rsidRPr="00932E74" w:rsidP="00932E74" w14:paraId="15455CD3" w14:textId="665ECF0F">
            <w:pPr>
              <w:tabs>
                <w:tab w:val="center" w:pos="4320"/>
                <w:tab w:val="right" w:pos="8640"/>
              </w:tabs>
              <w:rPr>
                <w:sz w:val="20"/>
                <w:szCs w:val="20"/>
              </w:rPr>
            </w:pPr>
            <w:r w:rsidRPr="00932E74">
              <w:rPr>
                <w:sz w:val="20"/>
                <w:szCs w:val="20"/>
              </w:rPr>
              <w:t xml:space="preserve">Tribal Home Visiting </w:t>
            </w:r>
            <w:r w:rsidRPr="00932E74" w:rsidR="00932E74">
              <w:rPr>
                <w:sz w:val="20"/>
                <w:szCs w:val="20"/>
              </w:rPr>
              <w:t>PLLN SOI</w:t>
            </w:r>
          </w:p>
        </w:tc>
        <w:tc>
          <w:tcPr>
            <w:tcW w:w="1260" w:type="dxa"/>
            <w:vAlign w:val="center"/>
          </w:tcPr>
          <w:p w:rsidR="00542413" w:rsidRPr="00932E74" w:rsidP="006462B6" w14:paraId="2106BBF5" w14:textId="5999C630">
            <w:pPr>
              <w:tabs>
                <w:tab w:val="center" w:pos="4320"/>
                <w:tab w:val="right" w:pos="8640"/>
              </w:tabs>
              <w:jc w:val="center"/>
              <w:rPr>
                <w:sz w:val="20"/>
                <w:szCs w:val="20"/>
              </w:rPr>
            </w:pPr>
            <w:r w:rsidRPr="00932E74">
              <w:rPr>
                <w:sz w:val="20"/>
                <w:szCs w:val="20"/>
              </w:rPr>
              <w:t>30</w:t>
            </w:r>
          </w:p>
        </w:tc>
        <w:tc>
          <w:tcPr>
            <w:tcW w:w="1350" w:type="dxa"/>
            <w:vAlign w:val="center"/>
          </w:tcPr>
          <w:p w:rsidR="00542413" w:rsidRPr="003E531B" w:rsidP="006462B6" w14:paraId="402332F4" w14:textId="570729C4">
            <w:pPr>
              <w:tabs>
                <w:tab w:val="center" w:pos="4320"/>
                <w:tab w:val="right" w:pos="8640"/>
              </w:tabs>
              <w:jc w:val="center"/>
              <w:rPr>
                <w:sz w:val="20"/>
                <w:szCs w:val="20"/>
              </w:rPr>
            </w:pPr>
            <w:r>
              <w:rPr>
                <w:sz w:val="20"/>
                <w:szCs w:val="20"/>
              </w:rPr>
              <w:t>1</w:t>
            </w:r>
          </w:p>
        </w:tc>
        <w:tc>
          <w:tcPr>
            <w:tcW w:w="1080" w:type="dxa"/>
            <w:vAlign w:val="center"/>
          </w:tcPr>
          <w:p w:rsidR="00542413" w:rsidRPr="003E531B" w:rsidP="006462B6" w14:paraId="2166A45E" w14:textId="4E85E728">
            <w:pPr>
              <w:tabs>
                <w:tab w:val="center" w:pos="4320"/>
                <w:tab w:val="right" w:pos="8640"/>
              </w:tabs>
              <w:spacing w:line="259" w:lineRule="auto"/>
              <w:jc w:val="center"/>
              <w:rPr>
                <w:sz w:val="20"/>
                <w:szCs w:val="20"/>
              </w:rPr>
            </w:pPr>
            <w:r w:rsidRPr="003E531B">
              <w:rPr>
                <w:sz w:val="20"/>
                <w:szCs w:val="20"/>
              </w:rPr>
              <w:t>.75</w:t>
            </w:r>
          </w:p>
        </w:tc>
        <w:tc>
          <w:tcPr>
            <w:tcW w:w="990" w:type="dxa"/>
            <w:vAlign w:val="center"/>
          </w:tcPr>
          <w:p w:rsidR="00542413" w:rsidRPr="003E531B" w:rsidP="008156AB" w14:paraId="5A6C5F6C" w14:textId="5A2360BF">
            <w:pPr>
              <w:tabs>
                <w:tab w:val="center" w:pos="4320"/>
                <w:tab w:val="right" w:pos="8640"/>
              </w:tabs>
              <w:spacing w:line="259" w:lineRule="auto"/>
              <w:jc w:val="center"/>
              <w:rPr>
                <w:sz w:val="20"/>
                <w:szCs w:val="20"/>
              </w:rPr>
            </w:pPr>
            <w:r w:rsidRPr="003E531B">
              <w:rPr>
                <w:sz w:val="20"/>
                <w:szCs w:val="20"/>
              </w:rPr>
              <w:t>22.5</w:t>
            </w:r>
          </w:p>
        </w:tc>
        <w:tc>
          <w:tcPr>
            <w:tcW w:w="900" w:type="dxa"/>
            <w:vAlign w:val="center"/>
          </w:tcPr>
          <w:p w:rsidR="00542413" w:rsidRPr="003E531B" w:rsidP="006462B6" w14:paraId="4C12A145" w14:textId="5B08CFF3">
            <w:pPr>
              <w:tabs>
                <w:tab w:val="center" w:pos="4320"/>
                <w:tab w:val="right" w:pos="8640"/>
              </w:tabs>
              <w:jc w:val="center"/>
              <w:rPr>
                <w:sz w:val="20"/>
                <w:szCs w:val="20"/>
              </w:rPr>
            </w:pPr>
            <w:r w:rsidRPr="003E531B">
              <w:rPr>
                <w:rFonts w:eastAsia="Tahoma"/>
                <w:color w:val="333333"/>
                <w:sz w:val="20"/>
                <w:szCs w:val="20"/>
              </w:rPr>
              <w:t>$</w:t>
            </w:r>
            <w:r w:rsidR="00E85E1B">
              <w:rPr>
                <w:rFonts w:eastAsia="Tahoma"/>
                <w:color w:val="333333"/>
                <w:sz w:val="20"/>
                <w:szCs w:val="20"/>
              </w:rPr>
              <w:t>56.12</w:t>
            </w:r>
          </w:p>
        </w:tc>
        <w:tc>
          <w:tcPr>
            <w:tcW w:w="1024" w:type="dxa"/>
            <w:vAlign w:val="center"/>
          </w:tcPr>
          <w:p w:rsidR="00542413" w:rsidRPr="003E531B" w:rsidP="006462B6" w14:paraId="01C1A511" w14:textId="7260089B">
            <w:pPr>
              <w:tabs>
                <w:tab w:val="center" w:pos="4320"/>
                <w:tab w:val="right" w:pos="8640"/>
              </w:tabs>
              <w:spacing w:line="259" w:lineRule="auto"/>
              <w:jc w:val="center"/>
              <w:rPr>
                <w:sz w:val="20"/>
                <w:szCs w:val="20"/>
              </w:rPr>
            </w:pPr>
            <w:r w:rsidRPr="003E531B">
              <w:rPr>
                <w:sz w:val="20"/>
                <w:szCs w:val="20"/>
              </w:rPr>
              <w:t>$</w:t>
            </w:r>
            <w:r w:rsidR="00DF01AC">
              <w:rPr>
                <w:sz w:val="20"/>
                <w:szCs w:val="20"/>
              </w:rPr>
              <w:t>1,262.70</w:t>
            </w:r>
          </w:p>
        </w:tc>
      </w:tr>
    </w:tbl>
    <w:p w:rsidR="00436F5E" w:rsidP="4AE5982E" w14:paraId="4FC5BEDE" w14:textId="77777777"/>
    <w:p w:rsidR="002338AC" w:rsidP="4AE5982E" w14:paraId="3C895703" w14:textId="77777777">
      <w:pPr>
        <w:ind w:left="360"/>
      </w:pPr>
    </w:p>
    <w:p w:rsidR="00945CD6" w:rsidRPr="0072204D" w:rsidP="4AE5982E" w14:paraId="7BDBE261" w14:textId="77777777">
      <w:pPr>
        <w:spacing w:after="120"/>
        <w:rPr>
          <w:b/>
          <w:bCs/>
        </w:rPr>
      </w:pPr>
      <w:r w:rsidRPr="4AE5982E">
        <w:rPr>
          <w:b/>
          <w:bCs/>
        </w:rPr>
        <w:t xml:space="preserve">A13. </w:t>
      </w:r>
      <w:r w:rsidRPr="4AE5982E">
        <w:rPr>
          <w:b/>
          <w:bCs/>
        </w:rPr>
        <w:t>Cost Burden to Respondents or Record Keepers</w:t>
      </w:r>
    </w:p>
    <w:p w:rsidR="00D90EF6" w:rsidRPr="00932E74" w:rsidP="4AE5982E" w14:paraId="3D88B0B4" w14:textId="77777777">
      <w:r w:rsidRPr="00932E74">
        <w:t>There are no additional costs to respondents.</w:t>
      </w:r>
    </w:p>
    <w:p w:rsidR="002338AC" w:rsidP="4AE5982E" w14:paraId="136F28B3" w14:textId="77777777"/>
    <w:p w:rsidR="00945CD6" w:rsidRPr="0072204D" w:rsidP="4AE5982E" w14:paraId="2A791D57" w14:textId="77777777">
      <w:pPr>
        <w:spacing w:after="60"/>
        <w:rPr>
          <w:b/>
          <w:bCs/>
        </w:rPr>
      </w:pPr>
      <w:r w:rsidRPr="4AE5982E">
        <w:rPr>
          <w:b/>
          <w:bCs/>
        </w:rPr>
        <w:t xml:space="preserve">A14. </w:t>
      </w:r>
      <w:r w:rsidRPr="4AE5982E">
        <w:rPr>
          <w:b/>
          <w:bCs/>
        </w:rPr>
        <w:t>Estimate of Cost to the Federal Government</w:t>
      </w:r>
    </w:p>
    <w:p w:rsidR="00436F5E" w:rsidP="4AE5982E" w14:paraId="304B1383" w14:textId="22007C30">
      <w:r w:rsidRPr="00932E74">
        <w:t xml:space="preserve">The total cost </w:t>
      </w:r>
      <w:r w:rsidR="009B2675">
        <w:t xml:space="preserve">to the federal Government </w:t>
      </w:r>
      <w:r w:rsidRPr="00932E74">
        <w:t>for the data collection activities under this request will be $</w:t>
      </w:r>
      <w:r w:rsidR="009B2675">
        <w:t>3,300</w:t>
      </w:r>
      <w:r w:rsidRPr="00932E74">
        <w:t>. These costs include contractor support for</w:t>
      </w:r>
      <w:r w:rsidR="009B2675">
        <w:t xml:space="preserve"> development,</w:t>
      </w:r>
      <w:r w:rsidRPr="00932E74">
        <w:t xml:space="preserve"> </w:t>
      </w:r>
      <w:r>
        <w:t>collecting open-ended responses, consolidating the information and making recommendations on participation</w:t>
      </w:r>
      <w:r w:rsidRPr="00932E74">
        <w:t>.</w:t>
      </w:r>
    </w:p>
    <w:p w:rsidR="0033072C" w:rsidP="4AE5982E" w14:paraId="10E2AD7E" w14:textId="6BFE52C9"/>
    <w:p w:rsidR="00945CD6" w:rsidP="4AE5982E" w14:paraId="4B385444" w14:textId="77777777">
      <w:pPr>
        <w:spacing w:after="120"/>
        <w:rPr>
          <w:b/>
          <w:bCs/>
        </w:rPr>
      </w:pPr>
      <w:r w:rsidRPr="4AE5982E">
        <w:rPr>
          <w:b/>
          <w:bCs/>
        </w:rPr>
        <w:t xml:space="preserve">A15. </w:t>
      </w:r>
      <w:r w:rsidRPr="4AE5982E">
        <w:rPr>
          <w:b/>
          <w:bCs/>
        </w:rPr>
        <w:t>Change in Burden</w:t>
      </w:r>
    </w:p>
    <w:p w:rsidR="00CB2ED6" w:rsidRPr="00CB2ED6" w:rsidP="4AE5982E" w14:paraId="4B05A013" w14:textId="02FAB3E5">
      <w:r w:rsidRPr="4AE5982E">
        <w:t xml:space="preserve">This is for an individual information collection under the umbrella </w:t>
      </w:r>
      <w:r w:rsidRPr="4AE5982E" w:rsidR="001140AB">
        <w:t>formative generic clearance for program support (0970-0531</w:t>
      </w:r>
      <w:r w:rsidRPr="4AE5982E" w:rsidR="00542413">
        <w:t>).</w:t>
      </w:r>
    </w:p>
    <w:p w:rsidR="0033072C" w:rsidP="4AE5982E" w14:paraId="580F3480" w14:textId="77777777">
      <w:pPr>
        <w:ind w:left="360"/>
      </w:pPr>
    </w:p>
    <w:p w:rsidR="00945CD6" w:rsidRPr="005A64C5" w:rsidP="00932E74" w14:paraId="347FE16D" w14:textId="77777777">
      <w:pPr>
        <w:spacing w:after="120"/>
        <w:rPr>
          <w:b/>
          <w:bCs/>
        </w:rPr>
      </w:pPr>
      <w:r w:rsidRPr="4AE5982E">
        <w:rPr>
          <w:b/>
          <w:bCs/>
        </w:rPr>
        <w:t xml:space="preserve">A16. </w:t>
      </w:r>
      <w:r w:rsidRPr="4AE5982E">
        <w:rPr>
          <w:b/>
          <w:bCs/>
        </w:rPr>
        <w:t>Plan and Time Schedule for Information Collection, Tabulation and Publication</w:t>
      </w:r>
    </w:p>
    <w:p w:rsidR="00932E74" w:rsidP="00932E74" w14:paraId="05D1A4D2" w14:textId="28149A9E">
      <w:r w:rsidRPr="00932E74">
        <w:t>Under this umbrella</w:t>
      </w:r>
      <w:r>
        <w:t xml:space="preserve">, generic information collection, the following steps describe the </w:t>
      </w:r>
      <w:r w:rsidRPr="00932E74">
        <w:t>structured approach for collecting, managing, and reviewing SOIs to support ACF in selecting participants for the PLLN. This process is designed to ensure a fair, consistent, and efficient review of applicant information while supporting timely decision-making and communication with participants</w:t>
      </w:r>
      <w:r>
        <w:t xml:space="preserve">. </w:t>
      </w:r>
      <w:r w:rsidRPr="00932E74">
        <w:t xml:space="preserve">The </w:t>
      </w:r>
      <w:r>
        <w:t xml:space="preserve">collected </w:t>
      </w:r>
      <w:r w:rsidRPr="00932E74">
        <w:t xml:space="preserve">information will </w:t>
      </w:r>
      <w:r>
        <w:t xml:space="preserve">not be published; however, it will </w:t>
      </w:r>
      <w:r w:rsidRPr="00932E74">
        <w:t xml:space="preserve">be shared with </w:t>
      </w:r>
      <w:r>
        <w:t>the</w:t>
      </w:r>
      <w:r w:rsidRPr="00932E74">
        <w:t xml:space="preserve"> TA contractor responsible for collecting and consolidating responses to support ACF in making informed participant selection</w:t>
      </w:r>
      <w:r w:rsidR="008026DD">
        <w:t>.</w:t>
      </w:r>
    </w:p>
    <w:p w:rsidR="00932E74" w:rsidP="00932E74" w14:paraId="2ABA6A2A" w14:textId="77777777"/>
    <w:p w:rsidR="00932E74" w:rsidRPr="00932E74" w:rsidP="00932E74" w14:paraId="24C5765F" w14:textId="77777777">
      <w:pPr>
        <w:pStyle w:val="ListParagraph"/>
        <w:numPr>
          <w:ilvl w:val="0"/>
          <w:numId w:val="6"/>
        </w:numPr>
        <w:rPr>
          <w:sz w:val="24"/>
          <w:szCs w:val="24"/>
        </w:rPr>
      </w:pPr>
      <w:r w:rsidRPr="00932E74">
        <w:rPr>
          <w:sz w:val="24"/>
          <w:szCs w:val="24"/>
        </w:rPr>
        <w:t>The data collection period will span five weeks to allow for responses.</w:t>
      </w:r>
    </w:p>
    <w:p w:rsidR="00932E74" w:rsidRPr="00932E74" w:rsidP="00932E74" w14:paraId="465AD4BB" w14:textId="68DD3AF7">
      <w:pPr>
        <w:pStyle w:val="ListParagraph"/>
        <w:numPr>
          <w:ilvl w:val="0"/>
          <w:numId w:val="6"/>
        </w:numPr>
        <w:rPr>
          <w:sz w:val="24"/>
          <w:szCs w:val="24"/>
        </w:rPr>
      </w:pPr>
      <w:r w:rsidRPr="00932E74">
        <w:rPr>
          <w:sz w:val="24"/>
          <w:szCs w:val="24"/>
        </w:rPr>
        <w:t>During this time, potential participants will complete the SOI and submit responses via the designated email. Each participant will complete this process only once.</w:t>
      </w:r>
    </w:p>
    <w:p w:rsidR="00932E74" w:rsidRPr="00932E74" w:rsidP="00932E74" w14:paraId="259FE8F2" w14:textId="48ADD4C7">
      <w:pPr>
        <w:pStyle w:val="ListParagraph"/>
        <w:numPr>
          <w:ilvl w:val="0"/>
          <w:numId w:val="6"/>
        </w:numPr>
        <w:rPr>
          <w:sz w:val="24"/>
          <w:szCs w:val="24"/>
        </w:rPr>
      </w:pPr>
      <w:r w:rsidRPr="00932E74">
        <w:rPr>
          <w:sz w:val="24"/>
          <w:szCs w:val="24"/>
        </w:rPr>
        <w:t>A TA contractor will consolidate all responses.</w:t>
      </w:r>
    </w:p>
    <w:p w:rsidR="00932E74" w:rsidRPr="00932E74" w:rsidP="00932E74" w14:paraId="02B84BAF" w14:textId="77777777">
      <w:pPr>
        <w:pStyle w:val="ListParagraph"/>
        <w:numPr>
          <w:ilvl w:val="0"/>
          <w:numId w:val="6"/>
        </w:numPr>
        <w:rPr>
          <w:sz w:val="24"/>
          <w:szCs w:val="24"/>
        </w:rPr>
      </w:pPr>
      <w:r w:rsidRPr="00932E74">
        <w:rPr>
          <w:sz w:val="24"/>
          <w:szCs w:val="24"/>
        </w:rPr>
        <w:t>Following the collection period, one week will be dedicated to analyzing the data and developing recommendations for participation.</w:t>
      </w:r>
    </w:p>
    <w:p w:rsidR="00932E74" w:rsidRPr="00932E74" w:rsidP="00932E74" w14:paraId="733C1BCA" w14:textId="77777777">
      <w:pPr>
        <w:pStyle w:val="ListParagraph"/>
        <w:numPr>
          <w:ilvl w:val="0"/>
          <w:numId w:val="6"/>
        </w:numPr>
        <w:rPr>
          <w:sz w:val="24"/>
          <w:szCs w:val="24"/>
        </w:rPr>
      </w:pPr>
      <w:r w:rsidRPr="00932E74">
        <w:rPr>
          <w:sz w:val="24"/>
          <w:szCs w:val="24"/>
        </w:rPr>
        <w:t>The TA contractor will prepare and submit recommendations to ACF to support informed participant selection decisions.</w:t>
      </w:r>
    </w:p>
    <w:p w:rsidR="00932E74" w:rsidRPr="00932E74" w:rsidP="00932E74" w14:paraId="7425D01C" w14:textId="45B75BD7">
      <w:pPr>
        <w:pStyle w:val="ListParagraph"/>
        <w:numPr>
          <w:ilvl w:val="0"/>
          <w:numId w:val="6"/>
        </w:numPr>
        <w:rPr>
          <w:sz w:val="24"/>
          <w:szCs w:val="24"/>
        </w:rPr>
      </w:pPr>
      <w:r w:rsidRPr="00932E74">
        <w:rPr>
          <w:sz w:val="24"/>
          <w:szCs w:val="24"/>
        </w:rPr>
        <w:t>After selection, the TA contractor will notify participants of their acceptance into the PLLN.</w:t>
      </w:r>
    </w:p>
    <w:p w:rsidR="00932E74" w:rsidRPr="00932E74" w:rsidP="00932E74" w14:paraId="4209BBC9" w14:textId="184FC813">
      <w:pPr>
        <w:pStyle w:val="ListParagraph"/>
        <w:numPr>
          <w:ilvl w:val="0"/>
          <w:numId w:val="6"/>
        </w:numPr>
        <w:rPr>
          <w:sz w:val="24"/>
          <w:szCs w:val="24"/>
        </w:rPr>
      </w:pPr>
      <w:r w:rsidRPr="00932E74">
        <w:rPr>
          <w:sz w:val="24"/>
          <w:szCs w:val="24"/>
        </w:rPr>
        <w:t>Responses will also inform ACF activities that support the PLLN, for example, presentations or discussion topics.</w:t>
      </w:r>
    </w:p>
    <w:p w:rsidR="00907978" w:rsidRPr="00932E74" w:rsidP="00932E74" w14:paraId="786E116F" w14:textId="73B5A054">
      <w:r>
        <w:t>.</w:t>
      </w:r>
    </w:p>
    <w:p w:rsidR="00945CD6" w:rsidRPr="0072204D" w:rsidP="4AE5982E" w14:paraId="750BBE88" w14:textId="77777777">
      <w:pPr>
        <w:spacing w:after="120"/>
        <w:rPr>
          <w:b/>
          <w:bCs/>
        </w:rPr>
      </w:pPr>
      <w:r w:rsidRPr="4AE5982E">
        <w:rPr>
          <w:b/>
          <w:bCs/>
        </w:rPr>
        <w:t xml:space="preserve">A17. </w:t>
      </w:r>
      <w:r w:rsidRPr="4AE5982E">
        <w:rPr>
          <w:b/>
          <w:bCs/>
        </w:rPr>
        <w:t>Reasons Not to Display OMB Expiration Date</w:t>
      </w:r>
    </w:p>
    <w:p w:rsidR="00D90EF6" w:rsidRPr="00932E74" w:rsidP="4AE5982E" w14:paraId="5E995DCB" w14:textId="77777777">
      <w:r w:rsidRPr="00932E74">
        <w:t>All instruments will display the expiration date for OMB approval.</w:t>
      </w:r>
    </w:p>
    <w:p w:rsidR="002338AC" w:rsidP="4AE5982E" w14:paraId="4920E2AE" w14:textId="77777777">
      <w:pPr>
        <w:ind w:left="360"/>
      </w:pPr>
    </w:p>
    <w:p w:rsidR="00945CD6" w:rsidRPr="000B5EA8" w:rsidP="4AE5982E" w14:paraId="0DA51717" w14:textId="77777777">
      <w:pPr>
        <w:spacing w:after="120"/>
        <w:rPr>
          <w:b/>
          <w:bCs/>
        </w:rPr>
      </w:pPr>
      <w:r w:rsidRPr="4AE5982E">
        <w:rPr>
          <w:b/>
          <w:bCs/>
        </w:rPr>
        <w:t>A18.</w:t>
      </w:r>
      <w:r w:rsidRPr="4AE5982E" w:rsidR="000B5EA8">
        <w:rPr>
          <w:b/>
          <w:bCs/>
        </w:rPr>
        <w:t xml:space="preserve"> Exceptions to Certification for Paperwork Reduction Act Submissions</w:t>
      </w:r>
    </w:p>
    <w:p w:rsidR="00D90EF6" w:rsidRPr="00932E74" w:rsidP="4AE5982E" w14:paraId="117373B9" w14:textId="77777777">
      <w:r w:rsidRPr="00932E74">
        <w:t>No exceptions are necessary for this information collection.</w:t>
      </w:r>
      <w:r w:rsidRPr="00932E74">
        <w:tab/>
      </w:r>
    </w:p>
    <w:p w:rsidR="00D06D5F" w:rsidP="4AE5982E" w14:paraId="54795446" w14:textId="77777777">
      <w:pPr>
        <w:tabs>
          <w:tab w:val="left" w:pos="360"/>
        </w:tabs>
      </w:pPr>
    </w:p>
    <w:p w:rsidR="00A07D36" w:rsidP="4AE5982E" w14:paraId="5000CE88" w14:textId="77777777">
      <w:pPr>
        <w:spacing w:after="120"/>
        <w:rPr>
          <w:b/>
          <w:bCs/>
        </w:rPr>
      </w:pPr>
    </w:p>
    <w:p w:rsidR="00201F72" w:rsidRPr="00BB2925" w:rsidP="4AE5982E" w14:paraId="12DE8FF2" w14:textId="009ADC44">
      <w:pPr>
        <w:spacing w:after="120"/>
        <w:rPr>
          <w:b/>
          <w:bCs/>
        </w:rPr>
      </w:pPr>
      <w:r w:rsidRPr="4AE5982E">
        <w:rPr>
          <w:b/>
          <w:bCs/>
        </w:rPr>
        <w:t>Attachments</w:t>
      </w:r>
      <w:r w:rsidR="002D463D">
        <w:rPr>
          <w:b/>
          <w:bCs/>
        </w:rPr>
        <w:t xml:space="preserve"> </w:t>
      </w:r>
    </w:p>
    <w:p w:rsidR="00FF17AC" w:rsidRPr="00A07D36" w:rsidP="00CB19B2" w14:paraId="383C21F8" w14:textId="55291AA5">
      <w:pPr>
        <w:pStyle w:val="ListParagraph"/>
        <w:numPr>
          <w:ilvl w:val="0"/>
          <w:numId w:val="31"/>
        </w:numPr>
      </w:pPr>
      <w:r w:rsidRPr="00A07D36">
        <w:rPr>
          <w:sz w:val="24"/>
          <w:szCs w:val="24"/>
        </w:rPr>
        <w:t>Tribal Home Visiting PLLN SOI</w:t>
      </w:r>
      <w:r w:rsidRPr="00A07D36">
        <w:rPr>
          <w:sz w:val="24"/>
          <w:szCs w:val="24"/>
        </w:rPr>
        <w:t xml:space="preserve"> </w:t>
      </w:r>
    </w:p>
    <w:sectPr w:rsidSect="00327B2E">
      <w:headerReference w:type="default" r:id="rId8"/>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useo Sans 500">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1151F"/>
    <w:multiLevelType w:val="hybridMultilevel"/>
    <w:tmpl w:val="E8884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3E2667"/>
    <w:multiLevelType w:val="hybridMultilevel"/>
    <w:tmpl w:val="D58E3DF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EF3113E"/>
    <w:multiLevelType w:val="hybridMultilevel"/>
    <w:tmpl w:val="DF44E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3838BF"/>
    <w:multiLevelType w:val="hybridMultilevel"/>
    <w:tmpl w:val="71A66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E424F0"/>
    <w:multiLevelType w:val="hybridMultilevel"/>
    <w:tmpl w:val="93C8D5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8CB8D4"/>
    <w:multiLevelType w:val="hybridMultilevel"/>
    <w:tmpl w:val="9B92C0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F6528C"/>
    <w:multiLevelType w:val="hybridMultilevel"/>
    <w:tmpl w:val="F1C84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8">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416904">
    <w:abstractNumId w:val="21"/>
  </w:num>
  <w:num w:numId="2" w16cid:durableId="1091194324">
    <w:abstractNumId w:val="19"/>
  </w:num>
  <w:num w:numId="3" w16cid:durableId="1239906538">
    <w:abstractNumId w:val="2"/>
  </w:num>
  <w:num w:numId="4" w16cid:durableId="1402093027">
    <w:abstractNumId w:val="28"/>
  </w:num>
  <w:num w:numId="5" w16cid:durableId="1406997443">
    <w:abstractNumId w:val="20"/>
  </w:num>
  <w:num w:numId="6" w16cid:durableId="1495949484">
    <w:abstractNumId w:val="0"/>
  </w:num>
  <w:num w:numId="7" w16cid:durableId="1504051309">
    <w:abstractNumId w:val="27"/>
  </w:num>
  <w:num w:numId="8" w16cid:durableId="1581020628">
    <w:abstractNumId w:val="13"/>
  </w:num>
  <w:num w:numId="9" w16cid:durableId="1920098002">
    <w:abstractNumId w:val="14"/>
  </w:num>
  <w:num w:numId="10" w16cid:durableId="1931113082">
    <w:abstractNumId w:val="22"/>
  </w:num>
  <w:num w:numId="11" w16cid:durableId="1971747043">
    <w:abstractNumId w:val="23"/>
  </w:num>
  <w:num w:numId="12" w16cid:durableId="1975671195">
    <w:abstractNumId w:val="30"/>
  </w:num>
  <w:num w:numId="13" w16cid:durableId="199709068">
    <w:abstractNumId w:val="4"/>
  </w:num>
  <w:num w:numId="14" w16cid:durableId="2079595350">
    <w:abstractNumId w:val="10"/>
  </w:num>
  <w:num w:numId="15" w16cid:durableId="2097241106">
    <w:abstractNumId w:val="1"/>
  </w:num>
  <w:num w:numId="16" w16cid:durableId="2124494883">
    <w:abstractNumId w:val="29"/>
  </w:num>
  <w:num w:numId="17" w16cid:durableId="2132167374">
    <w:abstractNumId w:val="6"/>
  </w:num>
  <w:num w:numId="18" w16cid:durableId="247035035">
    <w:abstractNumId w:val="12"/>
  </w:num>
  <w:num w:numId="19" w16cid:durableId="269552629">
    <w:abstractNumId w:val="26"/>
  </w:num>
  <w:num w:numId="20" w16cid:durableId="291249781">
    <w:abstractNumId w:val="5"/>
  </w:num>
  <w:num w:numId="21" w16cid:durableId="373388953">
    <w:abstractNumId w:val="15"/>
  </w:num>
  <w:num w:numId="22" w16cid:durableId="449857838">
    <w:abstractNumId w:val="7"/>
  </w:num>
  <w:num w:numId="23" w16cid:durableId="549852733">
    <w:abstractNumId w:val="24"/>
  </w:num>
  <w:num w:numId="24" w16cid:durableId="620956753">
    <w:abstractNumId w:val="11"/>
  </w:num>
  <w:num w:numId="25" w16cid:durableId="622424226">
    <w:abstractNumId w:val="9"/>
  </w:num>
  <w:num w:numId="26" w16cid:durableId="668408962">
    <w:abstractNumId w:val="25"/>
  </w:num>
  <w:num w:numId="27" w16cid:durableId="778330608">
    <w:abstractNumId w:val="3"/>
  </w:num>
  <w:num w:numId="28" w16cid:durableId="921646948">
    <w:abstractNumId w:val="16"/>
  </w:num>
  <w:num w:numId="29" w16cid:durableId="950748648">
    <w:abstractNumId w:val="8"/>
  </w:num>
  <w:num w:numId="30" w16cid:durableId="955402450">
    <w:abstractNumId w:val="18"/>
  </w:num>
  <w:num w:numId="31" w16cid:durableId="1156723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60C"/>
    <w:rsid w:val="0002076A"/>
    <w:rsid w:val="00023214"/>
    <w:rsid w:val="00025562"/>
    <w:rsid w:val="000420C0"/>
    <w:rsid w:val="000431B8"/>
    <w:rsid w:val="00046DF4"/>
    <w:rsid w:val="00047DD1"/>
    <w:rsid w:val="00050CE3"/>
    <w:rsid w:val="00066A63"/>
    <w:rsid w:val="0008643E"/>
    <w:rsid w:val="00090658"/>
    <w:rsid w:val="00091C59"/>
    <w:rsid w:val="000931A8"/>
    <w:rsid w:val="000964A6"/>
    <w:rsid w:val="000B5EA8"/>
    <w:rsid w:val="000B6036"/>
    <w:rsid w:val="000C2D6A"/>
    <w:rsid w:val="000D237C"/>
    <w:rsid w:val="000D43A7"/>
    <w:rsid w:val="000D53DF"/>
    <w:rsid w:val="000D7F68"/>
    <w:rsid w:val="000E1EEC"/>
    <w:rsid w:val="000E605C"/>
    <w:rsid w:val="00105B6B"/>
    <w:rsid w:val="001140AB"/>
    <w:rsid w:val="001176A6"/>
    <w:rsid w:val="00124EBF"/>
    <w:rsid w:val="00130457"/>
    <w:rsid w:val="00144415"/>
    <w:rsid w:val="00153B7A"/>
    <w:rsid w:val="00155078"/>
    <w:rsid w:val="0016012E"/>
    <w:rsid w:val="00177982"/>
    <w:rsid w:val="00181AA0"/>
    <w:rsid w:val="0018317B"/>
    <w:rsid w:val="00183C0F"/>
    <w:rsid w:val="001A5AF9"/>
    <w:rsid w:val="001A70E6"/>
    <w:rsid w:val="001B118F"/>
    <w:rsid w:val="001B1BD0"/>
    <w:rsid w:val="001B45E1"/>
    <w:rsid w:val="001B60AC"/>
    <w:rsid w:val="001C4D60"/>
    <w:rsid w:val="001D5145"/>
    <w:rsid w:val="0020198C"/>
    <w:rsid w:val="00201F72"/>
    <w:rsid w:val="0020382F"/>
    <w:rsid w:val="00204A6A"/>
    <w:rsid w:val="00215499"/>
    <w:rsid w:val="00221E4F"/>
    <w:rsid w:val="00222AFE"/>
    <w:rsid w:val="002231FA"/>
    <w:rsid w:val="002316B5"/>
    <w:rsid w:val="00233486"/>
    <w:rsid w:val="002338AC"/>
    <w:rsid w:val="00234E8D"/>
    <w:rsid w:val="00235A6D"/>
    <w:rsid w:val="002408DE"/>
    <w:rsid w:val="00244094"/>
    <w:rsid w:val="0025173C"/>
    <w:rsid w:val="00253148"/>
    <w:rsid w:val="002579A6"/>
    <w:rsid w:val="00265EF9"/>
    <w:rsid w:val="00281A85"/>
    <w:rsid w:val="00284E39"/>
    <w:rsid w:val="00292B70"/>
    <w:rsid w:val="002A1F68"/>
    <w:rsid w:val="002A319B"/>
    <w:rsid w:val="002A4A92"/>
    <w:rsid w:val="002B4DBE"/>
    <w:rsid w:val="002B5EA9"/>
    <w:rsid w:val="002B7131"/>
    <w:rsid w:val="002C05F2"/>
    <w:rsid w:val="002C330F"/>
    <w:rsid w:val="002C4F75"/>
    <w:rsid w:val="002C61CE"/>
    <w:rsid w:val="002D463D"/>
    <w:rsid w:val="002D4B0A"/>
    <w:rsid w:val="002D5669"/>
    <w:rsid w:val="002E11F1"/>
    <w:rsid w:val="002F1176"/>
    <w:rsid w:val="002F34BC"/>
    <w:rsid w:val="00303E19"/>
    <w:rsid w:val="00307D49"/>
    <w:rsid w:val="0031540B"/>
    <w:rsid w:val="003243EB"/>
    <w:rsid w:val="003277CF"/>
    <w:rsid w:val="00327B2E"/>
    <w:rsid w:val="0033072C"/>
    <w:rsid w:val="00333049"/>
    <w:rsid w:val="003471AD"/>
    <w:rsid w:val="00353B48"/>
    <w:rsid w:val="00356FD7"/>
    <w:rsid w:val="0036189A"/>
    <w:rsid w:val="0036230E"/>
    <w:rsid w:val="00374DAB"/>
    <w:rsid w:val="0038291A"/>
    <w:rsid w:val="0039235E"/>
    <w:rsid w:val="003A1566"/>
    <w:rsid w:val="003A3CB2"/>
    <w:rsid w:val="003D14AD"/>
    <w:rsid w:val="003D5231"/>
    <w:rsid w:val="003E2123"/>
    <w:rsid w:val="003E531B"/>
    <w:rsid w:val="004007EA"/>
    <w:rsid w:val="00411367"/>
    <w:rsid w:val="0041565A"/>
    <w:rsid w:val="00422121"/>
    <w:rsid w:val="004222F8"/>
    <w:rsid w:val="00422C1B"/>
    <w:rsid w:val="00427337"/>
    <w:rsid w:val="00431EDA"/>
    <w:rsid w:val="00432CED"/>
    <w:rsid w:val="00432D4D"/>
    <w:rsid w:val="00436F5E"/>
    <w:rsid w:val="00446003"/>
    <w:rsid w:val="004522FF"/>
    <w:rsid w:val="004553A6"/>
    <w:rsid w:val="004554B1"/>
    <w:rsid w:val="00456589"/>
    <w:rsid w:val="00456E2F"/>
    <w:rsid w:val="00482DDE"/>
    <w:rsid w:val="004916A6"/>
    <w:rsid w:val="0049365C"/>
    <w:rsid w:val="004A44DD"/>
    <w:rsid w:val="004B0D2E"/>
    <w:rsid w:val="004B29FE"/>
    <w:rsid w:val="004B587E"/>
    <w:rsid w:val="004C2ADD"/>
    <w:rsid w:val="004C6F4C"/>
    <w:rsid w:val="004D3C86"/>
    <w:rsid w:val="004D5A83"/>
    <w:rsid w:val="004D6CA9"/>
    <w:rsid w:val="004E6F7A"/>
    <w:rsid w:val="004E7B1F"/>
    <w:rsid w:val="004F257A"/>
    <w:rsid w:val="004F4E1D"/>
    <w:rsid w:val="004F6D72"/>
    <w:rsid w:val="005046F0"/>
    <w:rsid w:val="00520737"/>
    <w:rsid w:val="0053020B"/>
    <w:rsid w:val="005353B7"/>
    <w:rsid w:val="00540DBF"/>
    <w:rsid w:val="00541024"/>
    <w:rsid w:val="00542413"/>
    <w:rsid w:val="0054439F"/>
    <w:rsid w:val="00546C01"/>
    <w:rsid w:val="0056264C"/>
    <w:rsid w:val="005748B3"/>
    <w:rsid w:val="005764CE"/>
    <w:rsid w:val="0058238C"/>
    <w:rsid w:val="00583EF0"/>
    <w:rsid w:val="00597626"/>
    <w:rsid w:val="005A015D"/>
    <w:rsid w:val="005A1166"/>
    <w:rsid w:val="005A64C5"/>
    <w:rsid w:val="005A7DEE"/>
    <w:rsid w:val="005D68FE"/>
    <w:rsid w:val="005E18DF"/>
    <w:rsid w:val="005E3C9B"/>
    <w:rsid w:val="005E498C"/>
    <w:rsid w:val="005F2061"/>
    <w:rsid w:val="00600690"/>
    <w:rsid w:val="006010CA"/>
    <w:rsid w:val="006021FE"/>
    <w:rsid w:val="00605B20"/>
    <w:rsid w:val="00607351"/>
    <w:rsid w:val="006106CE"/>
    <w:rsid w:val="00617286"/>
    <w:rsid w:val="00620040"/>
    <w:rsid w:val="006228E1"/>
    <w:rsid w:val="00623C71"/>
    <w:rsid w:val="00624CBA"/>
    <w:rsid w:val="006462B6"/>
    <w:rsid w:val="0064643C"/>
    <w:rsid w:val="00651DBA"/>
    <w:rsid w:val="00657424"/>
    <w:rsid w:val="00667E9A"/>
    <w:rsid w:val="00671CD5"/>
    <w:rsid w:val="00680FFE"/>
    <w:rsid w:val="006A091D"/>
    <w:rsid w:val="006A2F5D"/>
    <w:rsid w:val="006A45A7"/>
    <w:rsid w:val="006A7EFA"/>
    <w:rsid w:val="006B0691"/>
    <w:rsid w:val="006B6845"/>
    <w:rsid w:val="006C0DE9"/>
    <w:rsid w:val="006D2637"/>
    <w:rsid w:val="006D477A"/>
    <w:rsid w:val="006E784A"/>
    <w:rsid w:val="00701045"/>
    <w:rsid w:val="00705254"/>
    <w:rsid w:val="00710F84"/>
    <w:rsid w:val="00711BC5"/>
    <w:rsid w:val="0072204D"/>
    <w:rsid w:val="00723C12"/>
    <w:rsid w:val="007250A3"/>
    <w:rsid w:val="00733EFF"/>
    <w:rsid w:val="00735252"/>
    <w:rsid w:val="00736F1D"/>
    <w:rsid w:val="007436AA"/>
    <w:rsid w:val="00752F67"/>
    <w:rsid w:val="00772457"/>
    <w:rsid w:val="0077465C"/>
    <w:rsid w:val="00774AE6"/>
    <w:rsid w:val="00784137"/>
    <w:rsid w:val="00787E36"/>
    <w:rsid w:val="00795677"/>
    <w:rsid w:val="007A06E2"/>
    <w:rsid w:val="007A075B"/>
    <w:rsid w:val="007B4E23"/>
    <w:rsid w:val="007C5E03"/>
    <w:rsid w:val="007D01A5"/>
    <w:rsid w:val="007D0A5D"/>
    <w:rsid w:val="007D22E2"/>
    <w:rsid w:val="007D295D"/>
    <w:rsid w:val="007E2831"/>
    <w:rsid w:val="007E42F1"/>
    <w:rsid w:val="007E51C5"/>
    <w:rsid w:val="008026DD"/>
    <w:rsid w:val="008062A6"/>
    <w:rsid w:val="00806712"/>
    <w:rsid w:val="00810A4B"/>
    <w:rsid w:val="008156AB"/>
    <w:rsid w:val="00831FA1"/>
    <w:rsid w:val="00832027"/>
    <w:rsid w:val="0084617A"/>
    <w:rsid w:val="00857935"/>
    <w:rsid w:val="008608E7"/>
    <w:rsid w:val="00862B32"/>
    <w:rsid w:val="00866138"/>
    <w:rsid w:val="0087234E"/>
    <w:rsid w:val="00877346"/>
    <w:rsid w:val="0089278D"/>
    <w:rsid w:val="0089783B"/>
    <w:rsid w:val="008A1C6D"/>
    <w:rsid w:val="008B7F2C"/>
    <w:rsid w:val="008C6A6B"/>
    <w:rsid w:val="008C78B4"/>
    <w:rsid w:val="008D3343"/>
    <w:rsid w:val="008D658B"/>
    <w:rsid w:val="008E1FF8"/>
    <w:rsid w:val="008E341C"/>
    <w:rsid w:val="008E3593"/>
    <w:rsid w:val="008F10A2"/>
    <w:rsid w:val="008F373F"/>
    <w:rsid w:val="008F570D"/>
    <w:rsid w:val="00907978"/>
    <w:rsid w:val="00932D71"/>
    <w:rsid w:val="00932E74"/>
    <w:rsid w:val="00933A87"/>
    <w:rsid w:val="00945CD6"/>
    <w:rsid w:val="009520E1"/>
    <w:rsid w:val="0095383D"/>
    <w:rsid w:val="009567EC"/>
    <w:rsid w:val="00957AE3"/>
    <w:rsid w:val="009648CE"/>
    <w:rsid w:val="009669B0"/>
    <w:rsid w:val="00971809"/>
    <w:rsid w:val="00973E8F"/>
    <w:rsid w:val="009756B3"/>
    <w:rsid w:val="00982893"/>
    <w:rsid w:val="00984BBF"/>
    <w:rsid w:val="00984CA2"/>
    <w:rsid w:val="0099258B"/>
    <w:rsid w:val="009A40B6"/>
    <w:rsid w:val="009A4A42"/>
    <w:rsid w:val="009B09B2"/>
    <w:rsid w:val="009B1638"/>
    <w:rsid w:val="009B19E3"/>
    <w:rsid w:val="009B2675"/>
    <w:rsid w:val="009C2224"/>
    <w:rsid w:val="009C25BC"/>
    <w:rsid w:val="009C7FB3"/>
    <w:rsid w:val="009D2530"/>
    <w:rsid w:val="009D47D2"/>
    <w:rsid w:val="009D52CE"/>
    <w:rsid w:val="009E28C8"/>
    <w:rsid w:val="009E6797"/>
    <w:rsid w:val="009F3153"/>
    <w:rsid w:val="009F3F8E"/>
    <w:rsid w:val="009F5CD2"/>
    <w:rsid w:val="009F629F"/>
    <w:rsid w:val="00A020E8"/>
    <w:rsid w:val="00A02203"/>
    <w:rsid w:val="00A0241D"/>
    <w:rsid w:val="00A02FE4"/>
    <w:rsid w:val="00A07D36"/>
    <w:rsid w:val="00A179E3"/>
    <w:rsid w:val="00A24AF9"/>
    <w:rsid w:val="00A30C6D"/>
    <w:rsid w:val="00A32A25"/>
    <w:rsid w:val="00A3382C"/>
    <w:rsid w:val="00A35B0D"/>
    <w:rsid w:val="00A35E23"/>
    <w:rsid w:val="00A412C5"/>
    <w:rsid w:val="00A44209"/>
    <w:rsid w:val="00A4505C"/>
    <w:rsid w:val="00A61D0E"/>
    <w:rsid w:val="00A730AB"/>
    <w:rsid w:val="00A763C2"/>
    <w:rsid w:val="00A8133F"/>
    <w:rsid w:val="00A82072"/>
    <w:rsid w:val="00A93659"/>
    <w:rsid w:val="00AA22A3"/>
    <w:rsid w:val="00AA29C0"/>
    <w:rsid w:val="00AA7D4C"/>
    <w:rsid w:val="00AB4DE2"/>
    <w:rsid w:val="00AC0B7E"/>
    <w:rsid w:val="00AC6170"/>
    <w:rsid w:val="00AC7CE1"/>
    <w:rsid w:val="00AE22BC"/>
    <w:rsid w:val="00AE508A"/>
    <w:rsid w:val="00AE7869"/>
    <w:rsid w:val="00AF09EF"/>
    <w:rsid w:val="00AF2A65"/>
    <w:rsid w:val="00AF62FC"/>
    <w:rsid w:val="00B14396"/>
    <w:rsid w:val="00B15D50"/>
    <w:rsid w:val="00B60B01"/>
    <w:rsid w:val="00B620B0"/>
    <w:rsid w:val="00B63196"/>
    <w:rsid w:val="00B637D9"/>
    <w:rsid w:val="00B64D44"/>
    <w:rsid w:val="00B66874"/>
    <w:rsid w:val="00B66D4F"/>
    <w:rsid w:val="00B674CE"/>
    <w:rsid w:val="00B73ACF"/>
    <w:rsid w:val="00B84547"/>
    <w:rsid w:val="00B91D97"/>
    <w:rsid w:val="00BB13A6"/>
    <w:rsid w:val="00BB2925"/>
    <w:rsid w:val="00BD1E38"/>
    <w:rsid w:val="00BD4B8C"/>
    <w:rsid w:val="00BD4CFB"/>
    <w:rsid w:val="00BD5D2E"/>
    <w:rsid w:val="00BE6C7E"/>
    <w:rsid w:val="00BE7952"/>
    <w:rsid w:val="00BF4164"/>
    <w:rsid w:val="00BF567C"/>
    <w:rsid w:val="00C12B95"/>
    <w:rsid w:val="00C150C4"/>
    <w:rsid w:val="00C1674B"/>
    <w:rsid w:val="00C22FE6"/>
    <w:rsid w:val="00C316F5"/>
    <w:rsid w:val="00C33CEE"/>
    <w:rsid w:val="00C44426"/>
    <w:rsid w:val="00C44B1F"/>
    <w:rsid w:val="00C4742C"/>
    <w:rsid w:val="00C56EA9"/>
    <w:rsid w:val="00C662EE"/>
    <w:rsid w:val="00C75157"/>
    <w:rsid w:val="00C7622E"/>
    <w:rsid w:val="00C943ED"/>
    <w:rsid w:val="00C973E1"/>
    <w:rsid w:val="00CA27C2"/>
    <w:rsid w:val="00CA426C"/>
    <w:rsid w:val="00CB19B2"/>
    <w:rsid w:val="00CB2ED6"/>
    <w:rsid w:val="00CC2CD1"/>
    <w:rsid w:val="00CD7AE9"/>
    <w:rsid w:val="00CE6A69"/>
    <w:rsid w:val="00CE6EFF"/>
    <w:rsid w:val="00D012A6"/>
    <w:rsid w:val="00D022DE"/>
    <w:rsid w:val="00D06D5F"/>
    <w:rsid w:val="00D10769"/>
    <w:rsid w:val="00D13363"/>
    <w:rsid w:val="00D13CAA"/>
    <w:rsid w:val="00D15DF6"/>
    <w:rsid w:val="00D20413"/>
    <w:rsid w:val="00D20B56"/>
    <w:rsid w:val="00D22D5B"/>
    <w:rsid w:val="00D2473E"/>
    <w:rsid w:val="00D26C41"/>
    <w:rsid w:val="00D277B1"/>
    <w:rsid w:val="00D36F7F"/>
    <w:rsid w:val="00D41BC5"/>
    <w:rsid w:val="00D43B62"/>
    <w:rsid w:val="00D44EA5"/>
    <w:rsid w:val="00D45455"/>
    <w:rsid w:val="00D519D9"/>
    <w:rsid w:val="00D6081D"/>
    <w:rsid w:val="00D87E85"/>
    <w:rsid w:val="00D90EF6"/>
    <w:rsid w:val="00D964BC"/>
    <w:rsid w:val="00D974A5"/>
    <w:rsid w:val="00DA3A73"/>
    <w:rsid w:val="00DA4CD5"/>
    <w:rsid w:val="00DB0DB8"/>
    <w:rsid w:val="00DB0DEE"/>
    <w:rsid w:val="00DB16A0"/>
    <w:rsid w:val="00DB19C4"/>
    <w:rsid w:val="00DB3E48"/>
    <w:rsid w:val="00DC7F86"/>
    <w:rsid w:val="00DD16A3"/>
    <w:rsid w:val="00DD1E7E"/>
    <w:rsid w:val="00DE13BC"/>
    <w:rsid w:val="00DE78F9"/>
    <w:rsid w:val="00DF01AC"/>
    <w:rsid w:val="00DF5679"/>
    <w:rsid w:val="00E00860"/>
    <w:rsid w:val="00E022D3"/>
    <w:rsid w:val="00E05A0A"/>
    <w:rsid w:val="00E07B14"/>
    <w:rsid w:val="00E14521"/>
    <w:rsid w:val="00E154BD"/>
    <w:rsid w:val="00E26355"/>
    <w:rsid w:val="00E31EDA"/>
    <w:rsid w:val="00E41D46"/>
    <w:rsid w:val="00E543D8"/>
    <w:rsid w:val="00E72E9A"/>
    <w:rsid w:val="00E74EA8"/>
    <w:rsid w:val="00E82FBE"/>
    <w:rsid w:val="00E85E1B"/>
    <w:rsid w:val="00E86DB9"/>
    <w:rsid w:val="00E86DF3"/>
    <w:rsid w:val="00E87C12"/>
    <w:rsid w:val="00E9510D"/>
    <w:rsid w:val="00EA12DE"/>
    <w:rsid w:val="00EB296B"/>
    <w:rsid w:val="00EB2CEC"/>
    <w:rsid w:val="00EB5287"/>
    <w:rsid w:val="00EB5B54"/>
    <w:rsid w:val="00EC26A5"/>
    <w:rsid w:val="00EC329F"/>
    <w:rsid w:val="00EF1BC3"/>
    <w:rsid w:val="00F00A31"/>
    <w:rsid w:val="00F0769D"/>
    <w:rsid w:val="00F20EA4"/>
    <w:rsid w:val="00F248BD"/>
    <w:rsid w:val="00F31136"/>
    <w:rsid w:val="00F351D1"/>
    <w:rsid w:val="00F36974"/>
    <w:rsid w:val="00F514D1"/>
    <w:rsid w:val="00F53652"/>
    <w:rsid w:val="00F57739"/>
    <w:rsid w:val="00F73374"/>
    <w:rsid w:val="00F84E4A"/>
    <w:rsid w:val="00FA05FE"/>
    <w:rsid w:val="00FA0AD2"/>
    <w:rsid w:val="00FC04C5"/>
    <w:rsid w:val="00FC196A"/>
    <w:rsid w:val="00FC20FC"/>
    <w:rsid w:val="00FD1B70"/>
    <w:rsid w:val="00FD7600"/>
    <w:rsid w:val="00FE68AA"/>
    <w:rsid w:val="00FF17AC"/>
    <w:rsid w:val="00FF3048"/>
    <w:rsid w:val="01CD3119"/>
    <w:rsid w:val="02B37170"/>
    <w:rsid w:val="0414BAA9"/>
    <w:rsid w:val="04A70306"/>
    <w:rsid w:val="0585CF58"/>
    <w:rsid w:val="05A27E00"/>
    <w:rsid w:val="05FB28B1"/>
    <w:rsid w:val="060062BC"/>
    <w:rsid w:val="07B05A62"/>
    <w:rsid w:val="081C9B5F"/>
    <w:rsid w:val="0842A931"/>
    <w:rsid w:val="0891FC8A"/>
    <w:rsid w:val="09F8778A"/>
    <w:rsid w:val="0D600830"/>
    <w:rsid w:val="0F996560"/>
    <w:rsid w:val="12674028"/>
    <w:rsid w:val="139362A0"/>
    <w:rsid w:val="15FDC920"/>
    <w:rsid w:val="171CA292"/>
    <w:rsid w:val="17BA1948"/>
    <w:rsid w:val="1B1EA981"/>
    <w:rsid w:val="1B6E111D"/>
    <w:rsid w:val="1FD7D29A"/>
    <w:rsid w:val="253A809C"/>
    <w:rsid w:val="25BE15E5"/>
    <w:rsid w:val="27D9EF1C"/>
    <w:rsid w:val="28605650"/>
    <w:rsid w:val="29626DC3"/>
    <w:rsid w:val="2B687588"/>
    <w:rsid w:val="2C35AA9A"/>
    <w:rsid w:val="2DFAF7AB"/>
    <w:rsid w:val="2EB49E55"/>
    <w:rsid w:val="30162284"/>
    <w:rsid w:val="31583D18"/>
    <w:rsid w:val="33B65553"/>
    <w:rsid w:val="33DE2EAF"/>
    <w:rsid w:val="35A1C3AB"/>
    <w:rsid w:val="36D0DA09"/>
    <w:rsid w:val="3747FB3E"/>
    <w:rsid w:val="3CE1219F"/>
    <w:rsid w:val="3DE7F4F4"/>
    <w:rsid w:val="3EE0A53B"/>
    <w:rsid w:val="42F26F1E"/>
    <w:rsid w:val="46B3AAA4"/>
    <w:rsid w:val="4AE5982E"/>
    <w:rsid w:val="4CD88284"/>
    <w:rsid w:val="4ECB43AA"/>
    <w:rsid w:val="4FAEB623"/>
    <w:rsid w:val="503AAC73"/>
    <w:rsid w:val="509576EC"/>
    <w:rsid w:val="515B2239"/>
    <w:rsid w:val="5283AC86"/>
    <w:rsid w:val="5313054E"/>
    <w:rsid w:val="532D0C94"/>
    <w:rsid w:val="55429B8A"/>
    <w:rsid w:val="55E4A8DF"/>
    <w:rsid w:val="57E306DD"/>
    <w:rsid w:val="58C18F5F"/>
    <w:rsid w:val="5D07473D"/>
    <w:rsid w:val="5F34E063"/>
    <w:rsid w:val="60A98A7B"/>
    <w:rsid w:val="60C40219"/>
    <w:rsid w:val="62096F1D"/>
    <w:rsid w:val="623AE2F7"/>
    <w:rsid w:val="62BCD7E1"/>
    <w:rsid w:val="641143C1"/>
    <w:rsid w:val="67B000CC"/>
    <w:rsid w:val="6858FD15"/>
    <w:rsid w:val="68A43904"/>
    <w:rsid w:val="6C54484E"/>
    <w:rsid w:val="6E023E69"/>
    <w:rsid w:val="6E5B8838"/>
    <w:rsid w:val="701F7280"/>
    <w:rsid w:val="71415DCE"/>
    <w:rsid w:val="757C7B5B"/>
    <w:rsid w:val="7649E698"/>
    <w:rsid w:val="784636E1"/>
    <w:rsid w:val="788048E4"/>
    <w:rsid w:val="7D57CDCB"/>
    <w:rsid w:val="7EC2CCC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F347340E-1D40-4C2D-BEA5-11298429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7978"/>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normaltextrun">
    <w:name w:val="normaltextrun"/>
    <w:basedOn w:val="DefaultParagraphFont"/>
    <w:rsid w:val="00A30C6D"/>
  </w:style>
  <w:style w:type="character" w:customStyle="1" w:styleId="eop">
    <w:name w:val="eop"/>
    <w:basedOn w:val="DefaultParagraphFont"/>
    <w:rsid w:val="00A30C6D"/>
  </w:style>
  <w:style w:type="paragraph" w:styleId="Revision">
    <w:name w:val="Revision"/>
    <w:hidden/>
    <w:uiPriority w:val="99"/>
    <w:semiHidden/>
    <w:rsid w:val="00C44B1F"/>
    <w:rPr>
      <w:sz w:val="24"/>
      <w:szCs w:val="24"/>
    </w:rPr>
  </w:style>
  <w:style w:type="character" w:styleId="FollowedHyperlink">
    <w:name w:val="FollowedHyperlink"/>
    <w:basedOn w:val="DefaultParagraphFont"/>
    <w:rsid w:val="00F248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stru.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A743583759248A800474D0A990969" ma:contentTypeVersion="13" ma:contentTypeDescription="Create a new document." ma:contentTypeScope="" ma:versionID="bf12a21f937ea50c5fb98987d4c4f5cf">
  <xsd:schema xmlns:xsd="http://www.w3.org/2001/XMLSchema" xmlns:xs="http://www.w3.org/2001/XMLSchema" xmlns:p="http://schemas.microsoft.com/office/2006/metadata/properties" xmlns:ns2="16524166-1784-4c66-bd48-ec621df706b9" xmlns:ns3="a3ad1c15-c44d-4ae3-8220-0701f9f95e66" targetNamespace="http://schemas.microsoft.com/office/2006/metadata/properties" ma:root="true" ma:fieldsID="e80a628d3ff916d8f68dc30310fc93dd" ns2:_="" ns3:_="">
    <xsd:import namespace="16524166-1784-4c66-bd48-ec621df706b9"/>
    <xsd:import namespace="a3ad1c15-c44d-4ae3-8220-0701f9f95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24166-1784-4c66-bd48-ec621df7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d1c15-c44d-4ae3-8220-0701f9f95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b27140-9647-473f-8da5-27fb3b7108fa}" ma:internalName="TaxCatchAll" ma:showField="CatchAllData" ma:web="a3ad1c15-c44d-4ae3-8220-0701f9f95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ad1c15-c44d-4ae3-8220-0701f9f95e66" xsi:nil="true"/>
    <lcf76f155ced4ddcb4097134ff3c332f xmlns="16524166-1784-4c66-bd48-ec621df706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462C75-F13A-4BB7-9EF0-A4E5B1B9E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24166-1784-4c66-bd48-ec621df706b9"/>
    <ds:schemaRef ds:uri="a3ad1c15-c44d-4ae3-8220-0701f9f95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a3ad1c15-c44d-4ae3-8220-0701f9f95e66"/>
    <ds:schemaRef ds:uri="16524166-1784-4c66-bd48-ec621df706b9"/>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1665</Words>
  <Characters>10086</Characters>
  <Application>Microsoft Office Word</Application>
  <DocSecurity>0</DocSecurity>
  <Lines>252</Lines>
  <Paragraphs>122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4</cp:revision>
  <cp:lastPrinted>2009-01-26T16:35:00Z</cp:lastPrinted>
  <dcterms:created xsi:type="dcterms:W3CDTF">2026-04-07T16:34:00Z</dcterms:created>
  <dcterms:modified xsi:type="dcterms:W3CDTF">2026-04-07T17:10:00Z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0x01010046AA743583759248A800474D0A990969</vt:lpwstr>
  </property>
  <property fmtid="{D5CDD505-2E9C-101B-9397-08002B2CF9AE}" pid="3" name="docLang">
    <vt:lpwstr>en</vt:lpwstr>
  </property>
  <property fmtid="{D5CDD505-2E9C-101B-9397-08002B2CF9AE}" pid="4" name="GrammarlyDocumentId">
    <vt:lpwstr>d6c4e91f-b38f-47a0-b54f-406a68c83abf</vt:lpwstr>
  </property>
  <property fmtid="{D5CDD505-2E9C-101B-9397-08002B2CF9AE}" pid="5" name="MediaServiceImageTags">
    <vt:lpwstr/>
  </property>
</Properties>
</file>