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874710" w:rsidP="008F570D" w14:paraId="2D2824CA" w14:textId="3A09F31D">
      <w:pPr>
        <w:pStyle w:val="ReportCover-Title"/>
        <w:jc w:val="center"/>
        <w:rPr>
          <w:rFonts w:ascii="Arial" w:hAnsi="Arial" w:cs="Arial"/>
          <w:color w:val="auto"/>
        </w:rPr>
      </w:pPr>
      <w:r w:rsidRPr="00874710">
        <w:rPr>
          <w:rFonts w:ascii="Arial" w:eastAsia="Arial Unicode MS" w:hAnsi="Arial" w:cs="Arial"/>
          <w:noProof/>
          <w:color w:val="auto"/>
        </w:rPr>
        <w:t>National Center on Substance Abuse and Ch</w:t>
      </w:r>
      <w:r>
        <w:rPr>
          <w:rFonts w:ascii="Arial" w:eastAsia="Arial Unicode MS" w:hAnsi="Arial" w:cs="Arial"/>
          <w:noProof/>
          <w:color w:val="auto"/>
        </w:rPr>
        <w:t xml:space="preserve">ild Welfare (NCSACW) Regional Partnership Grant (RPG) Policy Academy Discussions </w:t>
      </w:r>
    </w:p>
    <w:p w:rsidR="002C4F75" w:rsidRPr="00874710" w:rsidP="008F570D" w14:paraId="781830F9" w14:textId="77777777">
      <w:pPr>
        <w:pStyle w:val="ReportCover-Title"/>
        <w:rPr>
          <w:rFonts w:ascii="Arial" w:hAnsi="Arial" w:cs="Arial"/>
          <w:color w:val="auto"/>
        </w:rPr>
      </w:pPr>
    </w:p>
    <w:p w:rsidR="002C4F75" w:rsidRPr="00874710"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66E4D2A8">
      <w:pPr>
        <w:pStyle w:val="ReportCover-Date"/>
        <w:jc w:val="center"/>
        <w:rPr>
          <w:rFonts w:ascii="Arial" w:hAnsi="Arial" w:cs="Arial"/>
          <w:color w:val="auto"/>
        </w:rPr>
      </w:pPr>
      <w:r>
        <w:rPr>
          <w:rFonts w:ascii="Arial" w:hAnsi="Arial" w:cs="Arial"/>
          <w:color w:val="auto"/>
        </w:rPr>
        <w:t>FEBRUARY 2026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CEA8427">
      <w:pPr>
        <w:jc w:val="center"/>
        <w:rPr>
          <w:rFonts w:ascii="Arial" w:hAnsi="Arial" w:cs="Arial"/>
        </w:rPr>
      </w:pPr>
      <w:r>
        <w:rPr>
          <w:rFonts w:ascii="Arial" w:hAnsi="Arial" w:cs="Arial"/>
        </w:rPr>
        <w:t>Children’s Bureau, Office of Child Abuse and Neglect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7C406D" w:rsidP="008F570D" w14:paraId="61FDC8F9" w14:textId="77777777">
      <w:pPr>
        <w:spacing w:after="120"/>
        <w:rPr>
          <w:b/>
        </w:rPr>
      </w:pPr>
    </w:p>
    <w:p w:rsidR="008F570D" w:rsidP="008F570D" w14:paraId="1E1C42E7" w14:textId="77777777">
      <w:pPr>
        <w:spacing w:after="120"/>
        <w:rPr>
          <w:b/>
        </w:rPr>
      </w:pPr>
    </w:p>
    <w:p w:rsidR="00945CD6" w:rsidRPr="000D53DF" w:rsidP="4AE5982E" w14:paraId="63932BF7" w14:textId="10C77B2E">
      <w:pPr>
        <w:spacing w:after="120"/>
        <w:rPr>
          <w:b/>
          <w:bCs/>
        </w:rPr>
      </w:pPr>
      <w:r w:rsidRPr="4AE5982E">
        <w:rPr>
          <w:b/>
          <w:bCs/>
        </w:rPr>
        <w:t xml:space="preserve">A1. </w:t>
      </w:r>
      <w:r w:rsidRPr="4AE5982E">
        <w:rPr>
          <w:b/>
          <w:bCs/>
        </w:rPr>
        <w:t xml:space="preserve">Necessity for </w:t>
      </w:r>
      <w:r w:rsidRPr="4AE5982E">
        <w:rPr>
          <w:b/>
          <w:bCs/>
        </w:rPr>
        <w:t>the Data</w:t>
      </w:r>
      <w:r w:rsidRPr="4AE5982E">
        <w:rPr>
          <w:b/>
          <w:bCs/>
        </w:rPr>
        <w:t xml:space="preserve"> Collection</w:t>
      </w:r>
    </w:p>
    <w:p w:rsidR="00984CA2" w:rsidRPr="008F570D" w:rsidP="4AE5982E" w14:paraId="516D2FC4" w14:textId="6CABB35F">
      <w:r w:rsidRPr="4AE5982E">
        <w:t>The Administration for Children and Families (ACF) at the U.S. Department of Health and Human Services (HHS) seeks approval for</w:t>
      </w:r>
      <w:r w:rsidR="00AC6E7F">
        <w:t xml:space="preserve"> </w:t>
      </w:r>
      <w:r w:rsidR="00854261">
        <w:t xml:space="preserve">the National Center on Substance Abuse and Child Welfare (NCSACW) to conduct discussions with respondents </w:t>
      </w:r>
      <w:r w:rsidR="005114E6">
        <w:t xml:space="preserve">as part of the Regional Partnership Grant (RPG) Policy Academy. </w:t>
      </w:r>
      <w:r w:rsidR="00A91D11">
        <w:t>The effort to elicit feedback</w:t>
      </w:r>
      <w:r w:rsidR="00BF7FE7">
        <w:t xml:space="preserve"> from RPG representatives </w:t>
      </w:r>
      <w:r w:rsidR="00EC3EC1">
        <w:t>as part of the</w:t>
      </w:r>
      <w:r w:rsidR="00BF7FE7">
        <w:t xml:space="preserve"> Policy Academy </w:t>
      </w:r>
      <w:r w:rsidR="00EC3EC1">
        <w:t>is needed</w:t>
      </w:r>
      <w:r w:rsidR="00BF7FE7">
        <w:t xml:space="preserve"> to inform ACF planning.</w:t>
      </w:r>
    </w:p>
    <w:p w:rsidR="00984BBF" w:rsidRPr="00984BBF" w:rsidP="4AE5982E" w14:paraId="32F118BE" w14:textId="77777777">
      <w:pPr>
        <w:rPr>
          <w:highlight w:val="yellow"/>
        </w:rPr>
      </w:pPr>
    </w:p>
    <w:p w:rsidR="00984CA2" w:rsidRPr="00177982" w:rsidP="4AE5982E" w14:paraId="34493FD2" w14:textId="12B76B19">
      <w:pPr>
        <w:pStyle w:val="Heading4"/>
        <w:tabs>
          <w:tab w:val="num" w:pos="180"/>
        </w:tabs>
        <w:spacing w:before="60" w:line="264" w:lineRule="auto"/>
        <w:rPr>
          <w:rFonts w:ascii="Times New Roman" w:hAnsi="Times New Roman"/>
          <w:i/>
          <w:iCs/>
          <w:sz w:val="24"/>
          <w:szCs w:val="24"/>
        </w:rPr>
      </w:pPr>
      <w:r w:rsidRPr="4AE5982E">
        <w:rPr>
          <w:rFonts w:ascii="Times New Roman" w:hAnsi="Times New Roman"/>
          <w:i/>
          <w:iCs/>
          <w:sz w:val="24"/>
          <w:szCs w:val="24"/>
        </w:rPr>
        <w:t xml:space="preserve">Background </w:t>
      </w:r>
    </w:p>
    <w:p w:rsidR="008F570D" w:rsidRPr="00CB141C" w:rsidP="4AE5982E" w14:paraId="0CBB58A8" w14:textId="5D3F54B0">
      <w:pPr>
        <w:pStyle w:val="Heading4"/>
        <w:tabs>
          <w:tab w:val="num" w:pos="180"/>
        </w:tabs>
        <w:spacing w:before="60" w:line="264" w:lineRule="auto"/>
        <w:rPr>
          <w:rFonts w:ascii="Times New Roman" w:hAnsi="Times New Roman"/>
          <w:b w:val="0"/>
          <w:bCs w:val="0"/>
          <w:sz w:val="24"/>
          <w:szCs w:val="24"/>
        </w:rPr>
      </w:pPr>
      <w:r w:rsidRPr="00A22D17">
        <w:rPr>
          <w:rFonts w:ascii="Times New Roman" w:hAnsi="Times New Roman"/>
          <w:b w:val="0"/>
          <w:bCs w:val="0"/>
          <w:sz w:val="24"/>
          <w:szCs w:val="24"/>
        </w:rPr>
        <w:t>The Supporting America’s Children and Families Act, Pub. L. 118-258, was signed into law on January 4, 2025. This law reauthorizes and amends title IV-B programs.</w:t>
      </w:r>
      <w:r>
        <w:rPr>
          <w:rFonts w:ascii="Times New Roman" w:hAnsi="Times New Roman"/>
          <w:b w:val="0"/>
          <w:bCs w:val="0"/>
          <w:sz w:val="24"/>
          <w:szCs w:val="24"/>
        </w:rPr>
        <w:t xml:space="preserve"> Included in the reauthorization language is </w:t>
      </w:r>
      <w:r w:rsidR="00C853F7">
        <w:rPr>
          <w:rFonts w:ascii="Times New Roman" w:hAnsi="Times New Roman"/>
          <w:b w:val="0"/>
          <w:bCs w:val="0"/>
          <w:sz w:val="24"/>
          <w:szCs w:val="24"/>
        </w:rPr>
        <w:t>a description of changes to</w:t>
      </w:r>
      <w:r w:rsidR="00CC554C">
        <w:rPr>
          <w:rFonts w:ascii="Times New Roman" w:hAnsi="Times New Roman"/>
          <w:b w:val="0"/>
          <w:bCs w:val="0"/>
          <w:sz w:val="24"/>
          <w:szCs w:val="24"/>
        </w:rPr>
        <w:t xml:space="preserve"> RPG </w:t>
      </w:r>
      <w:r w:rsidR="00AF5AEC">
        <w:rPr>
          <w:rFonts w:ascii="Times New Roman" w:hAnsi="Times New Roman"/>
          <w:b w:val="0"/>
          <w:bCs w:val="0"/>
          <w:sz w:val="24"/>
          <w:szCs w:val="24"/>
        </w:rPr>
        <w:t xml:space="preserve">which have implications for future </w:t>
      </w:r>
      <w:r w:rsidRPr="00CB141C" w:rsidR="00AF5AEC">
        <w:rPr>
          <w:rFonts w:ascii="Times New Roman" w:hAnsi="Times New Roman"/>
          <w:b w:val="0"/>
          <w:bCs w:val="0"/>
          <w:sz w:val="24"/>
          <w:szCs w:val="24"/>
        </w:rPr>
        <w:t>ACF/Children’s Bureau programming</w:t>
      </w:r>
      <w:r w:rsidRPr="00CB141C" w:rsidR="00E17833">
        <w:rPr>
          <w:rFonts w:ascii="Times New Roman" w:hAnsi="Times New Roman"/>
          <w:b w:val="0"/>
          <w:bCs w:val="0"/>
          <w:sz w:val="24"/>
          <w:szCs w:val="24"/>
        </w:rPr>
        <w:t>. These changes includ</w:t>
      </w:r>
      <w:r w:rsidR="00CB141C">
        <w:rPr>
          <w:rFonts w:ascii="Times New Roman" w:hAnsi="Times New Roman"/>
          <w:b w:val="0"/>
          <w:bCs w:val="0"/>
          <w:sz w:val="24"/>
          <w:szCs w:val="24"/>
        </w:rPr>
        <w:t>e</w:t>
      </w:r>
      <w:r w:rsidRPr="00CB141C" w:rsidR="008C004A">
        <w:rPr>
          <w:rFonts w:ascii="Times New Roman" w:hAnsi="Times New Roman"/>
          <w:b w:val="0"/>
          <w:bCs w:val="0"/>
          <w:sz w:val="24"/>
          <w:szCs w:val="24"/>
        </w:rPr>
        <w:t>:</w:t>
      </w:r>
    </w:p>
    <w:p w:rsidR="008C004A" w:rsidRPr="00CB141C" w:rsidP="00CB141C" w14:paraId="6F7AA301" w14:textId="742746BC">
      <w:pPr>
        <w:pStyle w:val="ListParagraph"/>
        <w:numPr>
          <w:ilvl w:val="0"/>
          <w:numId w:val="26"/>
        </w:numPr>
        <w:rPr>
          <w:sz w:val="24"/>
          <w:szCs w:val="24"/>
        </w:rPr>
      </w:pPr>
      <w:r>
        <w:rPr>
          <w:sz w:val="24"/>
          <w:szCs w:val="24"/>
        </w:rPr>
        <w:t>Increase</w:t>
      </w:r>
      <w:r w:rsidRPr="00CB141C">
        <w:rPr>
          <w:sz w:val="24"/>
          <w:szCs w:val="24"/>
        </w:rPr>
        <w:t xml:space="preserve"> in RPG funds</w:t>
      </w:r>
    </w:p>
    <w:p w:rsidR="00CB141C" w:rsidRPr="00CB141C" w:rsidP="008C004A" w14:paraId="64B4ACF3" w14:textId="58F3EAC7">
      <w:pPr>
        <w:pStyle w:val="ListParagraph"/>
        <w:numPr>
          <w:ilvl w:val="0"/>
          <w:numId w:val="26"/>
        </w:numPr>
        <w:rPr>
          <w:sz w:val="24"/>
          <w:szCs w:val="24"/>
        </w:rPr>
      </w:pPr>
      <w:r>
        <w:rPr>
          <w:sz w:val="24"/>
          <w:szCs w:val="24"/>
        </w:rPr>
        <w:t>Update</w:t>
      </w:r>
      <w:r w:rsidRPr="00CB141C" w:rsidR="008C004A">
        <w:rPr>
          <w:sz w:val="24"/>
          <w:szCs w:val="24"/>
        </w:rPr>
        <w:t xml:space="preserve"> to RPG planning phase requirements</w:t>
      </w:r>
    </w:p>
    <w:p w:rsidR="008C004A" w:rsidRPr="00CB141C" w:rsidP="008C004A" w14:paraId="08940121" w14:textId="2E8213BE">
      <w:pPr>
        <w:pStyle w:val="ListParagraph"/>
        <w:numPr>
          <w:ilvl w:val="0"/>
          <w:numId w:val="26"/>
        </w:numPr>
        <w:rPr>
          <w:sz w:val="24"/>
          <w:szCs w:val="24"/>
        </w:rPr>
      </w:pPr>
      <w:r>
        <w:rPr>
          <w:sz w:val="24"/>
          <w:szCs w:val="24"/>
        </w:rPr>
        <w:t>Expanded</w:t>
      </w:r>
      <w:r w:rsidRPr="00CB141C">
        <w:rPr>
          <w:sz w:val="24"/>
          <w:szCs w:val="24"/>
        </w:rPr>
        <w:t xml:space="preserve"> scope of evidence-based services</w:t>
      </w:r>
    </w:p>
    <w:p w:rsidR="00CB141C" w:rsidP="008C004A" w14:paraId="18C2E416" w14:textId="24999890">
      <w:pPr>
        <w:pStyle w:val="ListParagraph"/>
        <w:numPr>
          <w:ilvl w:val="0"/>
          <w:numId w:val="26"/>
        </w:numPr>
        <w:rPr>
          <w:sz w:val="24"/>
          <w:szCs w:val="24"/>
        </w:rPr>
      </w:pPr>
      <w:r>
        <w:rPr>
          <w:sz w:val="24"/>
          <w:szCs w:val="24"/>
        </w:rPr>
        <w:t>Update to performance indicators</w:t>
      </w:r>
    </w:p>
    <w:p w:rsidR="00ED2D69" w:rsidP="008C004A" w14:paraId="1B714696" w14:textId="0DC114AD">
      <w:pPr>
        <w:pStyle w:val="ListParagraph"/>
        <w:numPr>
          <w:ilvl w:val="0"/>
          <w:numId w:val="26"/>
        </w:numPr>
        <w:rPr>
          <w:sz w:val="24"/>
          <w:szCs w:val="24"/>
        </w:rPr>
      </w:pPr>
      <w:r>
        <w:rPr>
          <w:sz w:val="24"/>
          <w:szCs w:val="24"/>
        </w:rPr>
        <w:t>Availability of services funded by the grant statewide</w:t>
      </w:r>
    </w:p>
    <w:p w:rsidR="00ED2D69" w:rsidRPr="00CB141C" w:rsidP="008C004A" w14:paraId="7ADEB78F" w14:textId="4FB4B8F0">
      <w:pPr>
        <w:pStyle w:val="ListParagraph"/>
        <w:numPr>
          <w:ilvl w:val="0"/>
          <w:numId w:val="26"/>
        </w:numPr>
        <w:rPr>
          <w:sz w:val="24"/>
          <w:szCs w:val="24"/>
        </w:rPr>
      </w:pPr>
      <w:r>
        <w:rPr>
          <w:sz w:val="24"/>
          <w:szCs w:val="24"/>
        </w:rPr>
        <w:t xml:space="preserve">Addition of required partners </w:t>
      </w:r>
    </w:p>
    <w:p w:rsidR="00CB141C" w:rsidP="008C004A" w14:paraId="6C41460F" w14:textId="77777777"/>
    <w:p w:rsidR="005C07FD" w:rsidP="008C004A" w14:paraId="0DF396E1" w14:textId="03068BDA">
      <w:r>
        <w:t xml:space="preserve">More information about this can be found in </w:t>
      </w:r>
      <w:r w:rsidR="00CF1E3E">
        <w:t>the Children’s Bureau</w:t>
      </w:r>
      <w:r w:rsidR="003972AA">
        <w:t>, ACF Information Memorandum</w:t>
      </w:r>
      <w:r w:rsidR="00316A99">
        <w:t xml:space="preserve">, </w:t>
      </w:r>
      <w:hyperlink r:id="rId8" w:history="1">
        <w:r w:rsidRPr="00CF1E3E" w:rsidR="00CF1E3E">
          <w:rPr>
            <w:rStyle w:val="Hyperlink"/>
          </w:rPr>
          <w:t>ACYF-CB-IM-11-04</w:t>
        </w:r>
      </w:hyperlink>
      <w:r w:rsidR="00316A99">
        <w:t xml:space="preserve">. </w:t>
      </w:r>
    </w:p>
    <w:p w:rsidR="00316A99" w:rsidP="008C004A" w14:paraId="16CEE2A3" w14:textId="77777777"/>
    <w:p w:rsidR="00316A99" w:rsidRPr="008C004A" w:rsidP="00BF7FE7" w14:paraId="22CA949C" w14:textId="2B337D95">
      <w:r>
        <w:t xml:space="preserve">The </w:t>
      </w:r>
      <w:r w:rsidR="00625383">
        <w:t xml:space="preserve">reauthorization of the program and the additions to the </w:t>
      </w:r>
      <w:r w:rsidR="007E181C">
        <w:t xml:space="preserve">legislation </w:t>
      </w:r>
      <w:r w:rsidR="003C7BEB">
        <w:t xml:space="preserve">present an ideal opportunity for ACF to elicit feedback from representatives from past and current RPG </w:t>
      </w:r>
      <w:r w:rsidR="00A97610">
        <w:t>r</w:t>
      </w:r>
      <w:r w:rsidR="00A54CF4">
        <w:t>ounds</w:t>
      </w:r>
      <w:r w:rsidR="00B85A10">
        <w:t xml:space="preserve"> and subject matter experts</w:t>
      </w:r>
      <w:r w:rsidR="00A54CF4">
        <w:t xml:space="preserve"> to inform future programming. </w:t>
      </w:r>
    </w:p>
    <w:p w:rsidR="008F570D" w:rsidP="00650434" w14:paraId="10A288D7" w14:textId="77777777">
      <w:pPr>
        <w:pStyle w:val="Heading4"/>
        <w:tabs>
          <w:tab w:val="num" w:pos="180"/>
        </w:tabs>
        <w:spacing w:before="0" w:after="0" w:line="264" w:lineRule="auto"/>
        <w:rPr>
          <w:rFonts w:ascii="Times New Roman" w:hAnsi="Times New Roman"/>
          <w:i/>
          <w:iCs/>
          <w:sz w:val="24"/>
          <w:szCs w:val="24"/>
        </w:rPr>
      </w:pPr>
    </w:p>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473D5D" w:rsidP="4AE5982E" w14:paraId="3BDF35B0" w14:textId="77777777">
      <w:r w:rsidRPr="00473D5D">
        <w:t>There are no legal or administrative requirements that necessitate the collection. ACF is undertaking the collection at the discretion of the agency.</w:t>
      </w:r>
    </w:p>
    <w:p w:rsidR="00D90EF6" w:rsidP="4AE5982E" w14:paraId="210B83EF" w14:textId="77777777"/>
    <w:p w:rsidR="00945CD6" w:rsidRPr="0072204D" w:rsidP="4AE5982E" w14:paraId="617B0354" w14:textId="77777777">
      <w:pPr>
        <w:spacing w:after="120"/>
        <w:rPr>
          <w:b/>
          <w:bCs/>
        </w:rPr>
      </w:pPr>
      <w:r w:rsidRPr="4AE5982E">
        <w:rPr>
          <w:b/>
          <w:bCs/>
        </w:rPr>
        <w:t xml:space="preserve">A2. </w:t>
      </w:r>
      <w:r w:rsidRPr="4AE5982E">
        <w:rPr>
          <w:b/>
          <w:bCs/>
        </w:rPr>
        <w:t>Purpose of Survey and Data Collection Procedures</w:t>
      </w:r>
    </w:p>
    <w:p w:rsidR="008F570D" w:rsidP="4AE5982E" w14:paraId="24636DF8" w14:textId="77777777">
      <w:pPr>
        <w:spacing w:after="60"/>
        <w:rPr>
          <w:b/>
          <w:bCs/>
          <w:i/>
          <w:iCs/>
        </w:rPr>
      </w:pPr>
      <w:r w:rsidRPr="4AE5982E">
        <w:rPr>
          <w:b/>
          <w:bCs/>
          <w:i/>
          <w:iCs/>
        </w:rPr>
        <w:t xml:space="preserve">Overview of Purpose and </w:t>
      </w:r>
      <w:r w:rsidRPr="4AE5982E">
        <w:rPr>
          <w:b/>
          <w:bCs/>
          <w:i/>
          <w:iCs/>
        </w:rPr>
        <w:t>Use</w:t>
      </w:r>
    </w:p>
    <w:p w:rsidR="00B17A6A" w:rsidRPr="00293911" w:rsidP="002C42FB" w14:paraId="654EAA84" w14:textId="26A49439">
      <w:pPr>
        <w:spacing w:after="60"/>
      </w:pPr>
      <w:r>
        <w:t>The Policy Academy will</w:t>
      </w:r>
      <w:r>
        <w:t xml:space="preserve"> </w:t>
      </w:r>
      <w:r w:rsidR="00275784">
        <w:t xml:space="preserve">bring together </w:t>
      </w:r>
      <w:r>
        <w:t>representatives from all seven rounds of RPG</w:t>
      </w:r>
      <w:r w:rsidR="00321782">
        <w:t xml:space="preserve"> to share lessons learned</w:t>
      </w:r>
      <w:r>
        <w:t xml:space="preserve">. </w:t>
      </w:r>
      <w:r w:rsidR="00321782">
        <w:t xml:space="preserve">This information gathering effort aims to collect feedback and insights from </w:t>
      </w:r>
      <w:r w:rsidR="00B72566">
        <w:t>RPG representatives</w:t>
      </w:r>
      <w:r w:rsidR="006B4CB8">
        <w:t xml:space="preserve"> on their experiences with RPG</w:t>
      </w:r>
      <w:r w:rsidR="00321782">
        <w:t xml:space="preserve"> to provide ACF with finding</w:t>
      </w:r>
      <w:r w:rsidR="00E66322">
        <w:t>s</w:t>
      </w:r>
      <w:r w:rsidR="00321782">
        <w:t xml:space="preserve"> that can inform future RPG activities, </w:t>
      </w:r>
      <w:r w:rsidR="00EC6A29">
        <w:t xml:space="preserve">and </w:t>
      </w:r>
      <w:r w:rsidR="00321782">
        <w:t>technical assistance (TA) offerings</w:t>
      </w:r>
      <w:r w:rsidR="00EC6A29">
        <w:t xml:space="preserve">. This information will also be used with other information to inform aspects of future programs. </w:t>
      </w:r>
      <w:r w:rsidR="001B13F2">
        <w:t xml:space="preserve">Each discussion will focus on a specific topic: </w:t>
      </w:r>
    </w:p>
    <w:p w:rsidR="000D0B33" w:rsidRPr="00823ED1" w:rsidP="000D0B33" w14:paraId="139BCEF7" w14:textId="77777777">
      <w:pPr>
        <w:numPr>
          <w:ilvl w:val="0"/>
          <w:numId w:val="30"/>
        </w:numPr>
        <w:rPr>
          <w:bCs/>
        </w:rPr>
      </w:pPr>
      <w:r w:rsidRPr="00823ED1">
        <w:rPr>
          <w:bCs/>
        </w:rPr>
        <w:t>RPG planning lessons (Instrument 1)</w:t>
      </w:r>
    </w:p>
    <w:p w:rsidR="000D0B33" w:rsidRPr="00823ED1" w:rsidP="000D0B33" w14:paraId="5B5F9F7D" w14:textId="77777777">
      <w:pPr>
        <w:numPr>
          <w:ilvl w:val="0"/>
          <w:numId w:val="30"/>
        </w:numPr>
        <w:rPr>
          <w:bCs/>
        </w:rPr>
      </w:pPr>
      <w:r w:rsidRPr="00823ED1">
        <w:rPr>
          <w:bCs/>
        </w:rPr>
        <w:t>Programs and service selection (Instrument 2)</w:t>
      </w:r>
    </w:p>
    <w:p w:rsidR="000D0B33" w:rsidRPr="00823ED1" w:rsidP="000D0B33" w14:paraId="7E765C5E" w14:textId="77777777">
      <w:pPr>
        <w:numPr>
          <w:ilvl w:val="0"/>
          <w:numId w:val="30"/>
        </w:numPr>
        <w:rPr>
          <w:bCs/>
        </w:rPr>
      </w:pPr>
      <w:r w:rsidRPr="00823ED1">
        <w:rPr>
          <w:bCs/>
        </w:rPr>
        <w:t xml:space="preserve">Performance indicators and evaluation (Instrument 3) </w:t>
      </w:r>
    </w:p>
    <w:p w:rsidR="000D0B33" w:rsidRPr="00823ED1" w:rsidP="000D0B33" w14:paraId="1DC279D0" w14:textId="77777777">
      <w:pPr>
        <w:numPr>
          <w:ilvl w:val="0"/>
          <w:numId w:val="30"/>
        </w:numPr>
        <w:rPr>
          <w:bCs/>
        </w:rPr>
      </w:pPr>
      <w:r w:rsidRPr="00823ED1">
        <w:rPr>
          <w:bCs/>
        </w:rPr>
        <w:t>Sustainability and going to scale (Instrument 4)</w:t>
      </w:r>
    </w:p>
    <w:p w:rsidR="000D0B33" w:rsidP="000D0B33" w14:paraId="48C7D72F" w14:textId="77777777">
      <w:pPr>
        <w:numPr>
          <w:ilvl w:val="0"/>
          <w:numId w:val="30"/>
        </w:numPr>
        <w:rPr>
          <w:bCs/>
        </w:rPr>
      </w:pPr>
      <w:r w:rsidRPr="00823ED1">
        <w:rPr>
          <w:bCs/>
        </w:rPr>
        <w:t xml:space="preserve">Partners in practice (Instrument 5) </w:t>
      </w:r>
    </w:p>
    <w:p w:rsidR="009F4C4F" w:rsidP="00EB2E5E" w14:paraId="14A249D6" w14:textId="77777777"/>
    <w:p w:rsidR="00D964BC" w:rsidRPr="008F570D" w:rsidP="002C42FB" w14:paraId="6F5CF4FF" w14:textId="77777777">
      <w:pPr>
        <w:spacing w:after="60"/>
        <w:rPr>
          <w:b/>
        </w:rPr>
      </w:pPr>
      <w:r w:rsidRPr="4AE5982E">
        <w:t xml:space="preserve">This proposed information collection meets the following goals of ACF’s generic clearance for formative data collections for program support (0970-0531): </w:t>
      </w:r>
    </w:p>
    <w:p w:rsidR="58C18F5F" w:rsidP="00650434" w14:paraId="719AA043" w14:textId="1E65A851">
      <w:pPr>
        <w:pStyle w:val="ListParagraph"/>
        <w:numPr>
          <w:ilvl w:val="0"/>
          <w:numId w:val="1"/>
        </w:numPr>
        <w:ind w:left="720"/>
        <w:rPr>
          <w:color w:val="000000" w:themeColor="text1"/>
          <w:sz w:val="24"/>
          <w:szCs w:val="24"/>
        </w:rPr>
      </w:pPr>
      <w:r w:rsidRPr="4AE5982E">
        <w:rPr>
          <w:color w:val="000000" w:themeColor="text1"/>
          <w:sz w:val="24"/>
          <w:szCs w:val="24"/>
        </w:rPr>
        <w:t>Delivery of TA and/or workflows related to program implementation or the development or refinement of program and grant recipient processes.</w:t>
      </w:r>
    </w:p>
    <w:p w:rsidR="58C18F5F" w:rsidP="00650434" w14:paraId="5583A203" w14:textId="5EA9D89E">
      <w:pPr>
        <w:pStyle w:val="ListParagraph"/>
        <w:numPr>
          <w:ilvl w:val="0"/>
          <w:numId w:val="1"/>
        </w:numPr>
        <w:ind w:left="720"/>
        <w:rPr>
          <w:color w:val="000000" w:themeColor="text1"/>
          <w:sz w:val="24"/>
          <w:szCs w:val="24"/>
        </w:rPr>
      </w:pPr>
      <w:r w:rsidRPr="4AE5982E">
        <w:rPr>
          <w:color w:val="000000" w:themeColor="text1"/>
          <w:sz w:val="24"/>
          <w:szCs w:val="24"/>
        </w:rPr>
        <w:t>Planning for provision of programmatic or evaluation-related T/TA.</w:t>
      </w:r>
    </w:p>
    <w:p w:rsidR="58C18F5F" w:rsidP="00650434" w14:paraId="0B9246CC" w14:textId="3EACE6B8">
      <w:pPr>
        <w:pStyle w:val="ListParagraph"/>
        <w:numPr>
          <w:ilvl w:val="0"/>
          <w:numId w:val="1"/>
        </w:numPr>
        <w:ind w:left="720"/>
        <w:rPr>
          <w:color w:val="000000" w:themeColor="text1"/>
          <w:sz w:val="24"/>
          <w:szCs w:val="24"/>
        </w:rPr>
      </w:pPr>
      <w:r w:rsidRPr="4AE5982E">
        <w:rPr>
          <w:color w:val="000000" w:themeColor="text1"/>
          <w:sz w:val="24"/>
          <w:szCs w:val="24"/>
        </w:rPr>
        <w:t>Obtaining input on the development of program performance measures (PM) from grant recipients or experts in a relevant field</w:t>
      </w:r>
      <w:r w:rsidR="00F575EF">
        <w:rPr>
          <w:color w:val="000000" w:themeColor="text1"/>
          <w:sz w:val="24"/>
          <w:szCs w:val="24"/>
        </w:rPr>
        <w:t xml:space="preserve">, </w:t>
      </w:r>
      <w:r w:rsidRPr="4AE5982E">
        <w:rPr>
          <w:color w:val="000000" w:themeColor="text1"/>
          <w:sz w:val="24"/>
          <w:szCs w:val="24"/>
        </w:rPr>
        <w:t>such as development of PMs for programs focused on a specific population served by ACF.</w:t>
      </w:r>
    </w:p>
    <w:p w:rsidR="58C18F5F" w:rsidRPr="003D08B8" w:rsidP="00650434" w14:paraId="492183A3" w14:textId="3865A11B">
      <w:pPr>
        <w:pStyle w:val="ListParagraph"/>
        <w:numPr>
          <w:ilvl w:val="0"/>
          <w:numId w:val="1"/>
        </w:numPr>
        <w:ind w:left="720"/>
        <w:rPr>
          <w:color w:val="000000" w:themeColor="text1"/>
          <w:sz w:val="24"/>
          <w:szCs w:val="24"/>
        </w:rPr>
      </w:pPr>
      <w:r w:rsidRPr="4AE5982E">
        <w:rPr>
          <w:color w:val="000000" w:themeColor="text1"/>
          <w:sz w:val="24"/>
          <w:szCs w:val="24"/>
        </w:rPr>
        <w:t>Obtaining feedback about processes and/or practices to inform ACF program development or support.</w:t>
      </w:r>
    </w:p>
    <w:p w:rsidR="008F570D" w:rsidP="002C42FB" w14:paraId="75C799A6" w14:textId="77777777">
      <w:pPr>
        <w:rPr>
          <w:b/>
          <w:bCs/>
          <w:i/>
          <w:iCs/>
        </w:rPr>
      </w:pPr>
    </w:p>
    <w:p w:rsidR="00984CA2" w:rsidRPr="00177982" w:rsidP="4AE5982E" w14:paraId="473B9418" w14:textId="38A9E22B">
      <w:pPr>
        <w:spacing w:after="60"/>
        <w:rPr>
          <w:b/>
          <w:bCs/>
          <w:i/>
          <w:iCs/>
        </w:rPr>
      </w:pPr>
      <w:r w:rsidRPr="4AE5982E">
        <w:rPr>
          <w:b/>
          <w:bCs/>
          <w:i/>
          <w:iCs/>
        </w:rPr>
        <w:t>Process</w:t>
      </w:r>
      <w:r w:rsidRPr="4AE5982E" w:rsidR="003277CF">
        <w:rPr>
          <w:b/>
          <w:bCs/>
          <w:i/>
          <w:iCs/>
        </w:rPr>
        <w:t>es</w:t>
      </w:r>
      <w:r w:rsidRPr="4AE5982E">
        <w:rPr>
          <w:b/>
          <w:bCs/>
          <w:i/>
          <w:iCs/>
        </w:rPr>
        <w:t xml:space="preserve"> for Information Collection </w:t>
      </w:r>
    </w:p>
    <w:p w:rsidR="000024AF" w:rsidRPr="000024AF" w:rsidP="000024AF" w14:paraId="5425E649" w14:textId="77777777">
      <w:pPr>
        <w:rPr>
          <w:bCs/>
        </w:rPr>
      </w:pPr>
      <w:r w:rsidRPr="000024AF">
        <w:rPr>
          <w:bCs/>
        </w:rPr>
        <w:t xml:space="preserve">To collect this feedback, NCSACW proposes to ask pre-approved discussion questions that </w:t>
      </w:r>
    </w:p>
    <w:p w:rsidR="00B93040" w:rsidP="00FC34CB" w14:paraId="5C39F325" w14:textId="77777777">
      <w:pPr>
        <w:rPr>
          <w:bCs/>
        </w:rPr>
      </w:pPr>
      <w:r w:rsidRPr="000024AF">
        <w:rPr>
          <w:bCs/>
        </w:rPr>
        <w:t xml:space="preserve">are topic related. </w:t>
      </w:r>
      <w:r w:rsidR="003277D8">
        <w:rPr>
          <w:bCs/>
        </w:rPr>
        <w:t xml:space="preserve">Each of the five instruments includes a set of potential questions. </w:t>
      </w:r>
      <w:r w:rsidRPr="000024AF">
        <w:rPr>
          <w:bCs/>
        </w:rPr>
        <w:t xml:space="preserve">It is not the intention to ask </w:t>
      </w:r>
      <w:r w:rsidR="006915E4">
        <w:rPr>
          <w:bCs/>
        </w:rPr>
        <w:t>respondents</w:t>
      </w:r>
      <w:r w:rsidRPr="000024AF">
        <w:rPr>
          <w:bCs/>
        </w:rPr>
        <w:t xml:space="preserve"> all of the pre-approved questions, but to have the flexibility to use questions from the pre-approved bank</w:t>
      </w:r>
      <w:r w:rsidR="00FE5244">
        <w:rPr>
          <w:bCs/>
        </w:rPr>
        <w:t>s (e.g., instruments specific to planned topic)</w:t>
      </w:r>
      <w:r w:rsidRPr="000024AF">
        <w:rPr>
          <w:bCs/>
        </w:rPr>
        <w:t xml:space="preserve"> depending on the number of participants who attend each discussion and the participants’ roles in RPG (e.g., evaluators). </w:t>
      </w:r>
    </w:p>
    <w:p w:rsidR="00B93040" w:rsidP="00FC34CB" w14:paraId="100BE1CC" w14:textId="77777777">
      <w:pPr>
        <w:rPr>
          <w:bCs/>
        </w:rPr>
      </w:pPr>
    </w:p>
    <w:p w:rsidR="00AD323B" w:rsidRPr="00823ED1" w:rsidP="00AD323B" w14:paraId="68FFB870" w14:textId="387B5818">
      <w:pPr>
        <w:rPr>
          <w:bCs/>
        </w:rPr>
      </w:pPr>
      <w:r>
        <w:rPr>
          <w:bCs/>
        </w:rPr>
        <w:t xml:space="preserve">The topic-specific instruments include open-ended questions to elicit discussion among respondents. </w:t>
      </w:r>
      <w:r w:rsidRPr="00823ED1">
        <w:rPr>
          <w:bCs/>
        </w:rPr>
        <w:t xml:space="preserve">The discussion questions will be used during a series of virtual meetings to understand </w:t>
      </w:r>
      <w:r>
        <w:rPr>
          <w:bCs/>
        </w:rPr>
        <w:t>respondent</w:t>
      </w:r>
      <w:r w:rsidRPr="00823ED1">
        <w:rPr>
          <w:bCs/>
        </w:rPr>
        <w:t xml:space="preserve"> experiences and gain insights in</w:t>
      </w:r>
      <w:r>
        <w:rPr>
          <w:bCs/>
        </w:rPr>
        <w:t xml:space="preserve"> the</w:t>
      </w:r>
      <w:r w:rsidRPr="00823ED1">
        <w:rPr>
          <w:bCs/>
        </w:rPr>
        <w:t xml:space="preserve"> five identified topic areas</w:t>
      </w:r>
      <w:r>
        <w:rPr>
          <w:bCs/>
        </w:rPr>
        <w:t>.</w:t>
      </w:r>
    </w:p>
    <w:p w:rsidR="00AD323B" w:rsidP="00FC34CB" w14:paraId="75381C80" w14:textId="77777777">
      <w:pPr>
        <w:rPr>
          <w:bCs/>
        </w:rPr>
      </w:pPr>
    </w:p>
    <w:p w:rsidR="008C5D2E" w:rsidRPr="00657CC9" w:rsidP="002C42FB" w14:paraId="0357E214" w14:textId="0C4D0894">
      <w:pPr>
        <w:spacing w:after="60"/>
        <w:rPr>
          <w:bCs/>
        </w:rPr>
      </w:pPr>
      <w:r>
        <w:rPr>
          <w:bCs/>
        </w:rPr>
        <w:t xml:space="preserve">Each virtual meeting </w:t>
      </w:r>
      <w:r w:rsidR="00FC34CB">
        <w:rPr>
          <w:bCs/>
        </w:rPr>
        <w:t xml:space="preserve">will include multiple breakout rooms (participation dependent), where respondents will be asked questions based on their particular role. </w:t>
      </w:r>
      <w:r w:rsidRPr="00444C43">
        <w:rPr>
          <w:bCs/>
        </w:rPr>
        <w:t xml:space="preserve">Target respondents were selected based on a developed list of contacts for current and previous RPG grants, as well as subject matter experts. NCSACW developed this list in collaboration with </w:t>
      </w:r>
      <w:r w:rsidRPr="00657CC9">
        <w:rPr>
          <w:bCs/>
        </w:rPr>
        <w:t>ACF staff who have experience and familiarity with RPG</w:t>
      </w:r>
      <w:r>
        <w:rPr>
          <w:bCs/>
        </w:rPr>
        <w:t xml:space="preserve"> rounds one to seven</w:t>
      </w:r>
      <w:r w:rsidRPr="00657CC9">
        <w:rPr>
          <w:bCs/>
        </w:rPr>
        <w:t>. Individuals who will be invited to participate include:</w:t>
      </w:r>
    </w:p>
    <w:p w:rsidR="008C5D2E" w:rsidP="008C5D2E" w14:paraId="5D88CCF7" w14:textId="77777777">
      <w:pPr>
        <w:pStyle w:val="ListParagraph"/>
        <w:numPr>
          <w:ilvl w:val="0"/>
          <w:numId w:val="29"/>
        </w:numPr>
        <w:rPr>
          <w:bCs/>
          <w:sz w:val="24"/>
          <w:szCs w:val="24"/>
        </w:rPr>
      </w:pPr>
      <w:r w:rsidRPr="00657CC9">
        <w:rPr>
          <w:bCs/>
          <w:sz w:val="24"/>
          <w:szCs w:val="24"/>
        </w:rPr>
        <w:t xml:space="preserve">Current </w:t>
      </w:r>
      <w:r>
        <w:rPr>
          <w:bCs/>
          <w:sz w:val="24"/>
          <w:szCs w:val="24"/>
        </w:rPr>
        <w:t>RPG Project Directors, evaluators, project staff, community partners</w:t>
      </w:r>
    </w:p>
    <w:p w:rsidR="008C5D2E" w:rsidP="008C5D2E" w14:paraId="642C064E" w14:textId="77777777">
      <w:pPr>
        <w:pStyle w:val="ListParagraph"/>
        <w:numPr>
          <w:ilvl w:val="0"/>
          <w:numId w:val="29"/>
        </w:numPr>
        <w:rPr>
          <w:bCs/>
          <w:sz w:val="24"/>
          <w:szCs w:val="24"/>
        </w:rPr>
      </w:pPr>
      <w:r>
        <w:rPr>
          <w:bCs/>
          <w:sz w:val="24"/>
          <w:szCs w:val="24"/>
        </w:rPr>
        <w:t>Former RPG Project Directors, evaluators, project staff, community partners</w:t>
      </w:r>
    </w:p>
    <w:p w:rsidR="008C5D2E" w:rsidP="008C5D2E" w14:paraId="07FAD1BB" w14:textId="77777777">
      <w:pPr>
        <w:pStyle w:val="ListParagraph"/>
        <w:numPr>
          <w:ilvl w:val="0"/>
          <w:numId w:val="29"/>
        </w:numPr>
        <w:rPr>
          <w:bCs/>
          <w:sz w:val="24"/>
          <w:szCs w:val="24"/>
        </w:rPr>
      </w:pPr>
      <w:r>
        <w:rPr>
          <w:bCs/>
          <w:sz w:val="24"/>
          <w:szCs w:val="24"/>
        </w:rPr>
        <w:t>Current and former NCSACW staff who have experience providing TA to RPG</w:t>
      </w:r>
    </w:p>
    <w:p w:rsidR="008C5D2E" w:rsidRPr="00657CC9" w:rsidP="008C5D2E" w14:paraId="3C4C9BEC" w14:textId="77777777">
      <w:pPr>
        <w:pStyle w:val="ListParagraph"/>
        <w:numPr>
          <w:ilvl w:val="0"/>
          <w:numId w:val="29"/>
        </w:numPr>
        <w:rPr>
          <w:bCs/>
          <w:sz w:val="24"/>
          <w:szCs w:val="24"/>
        </w:rPr>
      </w:pPr>
      <w:r>
        <w:rPr>
          <w:bCs/>
          <w:sz w:val="24"/>
          <w:szCs w:val="24"/>
        </w:rPr>
        <w:t xml:space="preserve">Subject matter experts </w:t>
      </w:r>
    </w:p>
    <w:p w:rsidR="00C72181" w:rsidRPr="00823ED1" w:rsidP="00C72181" w14:paraId="56E79715" w14:textId="77777777">
      <w:pPr>
        <w:ind w:left="1440"/>
        <w:rPr>
          <w:bCs/>
        </w:rPr>
      </w:pPr>
    </w:p>
    <w:p w:rsidR="00877B6D" w:rsidRPr="00444C43" w:rsidP="00877B6D" w14:paraId="1D33CCB2" w14:textId="6C5724D9">
      <w:r w:rsidRPr="00444C43">
        <w:rPr>
          <w:bCs/>
        </w:rPr>
        <w:t>Target respondents w</w:t>
      </w:r>
      <w:r>
        <w:rPr>
          <w:bCs/>
        </w:rPr>
        <w:t>ill be</w:t>
      </w:r>
      <w:r w:rsidRPr="00444C43">
        <w:rPr>
          <w:bCs/>
        </w:rPr>
        <w:t xml:space="preserve"> invited </w:t>
      </w:r>
      <w:r w:rsidR="00566347">
        <w:rPr>
          <w:bCs/>
        </w:rPr>
        <w:t xml:space="preserve">by email </w:t>
      </w:r>
      <w:r w:rsidRPr="00444C43">
        <w:rPr>
          <w:bCs/>
        </w:rPr>
        <w:t xml:space="preserve">to participate in </w:t>
      </w:r>
      <w:r>
        <w:rPr>
          <w:bCs/>
        </w:rPr>
        <w:t>one</w:t>
      </w:r>
      <w:r w:rsidRPr="00444C43">
        <w:rPr>
          <w:bCs/>
        </w:rPr>
        <w:t xml:space="preserve"> of the planned discussion sessions</w:t>
      </w:r>
      <w:r>
        <w:rPr>
          <w:bCs/>
        </w:rPr>
        <w:t xml:space="preserve"> once </w:t>
      </w:r>
      <w:r w:rsidR="00566347">
        <w:rPr>
          <w:bCs/>
        </w:rPr>
        <w:t>following approval of this request</w:t>
      </w:r>
      <w:r w:rsidRPr="00444C43">
        <w:rPr>
          <w:bCs/>
        </w:rPr>
        <w:t>.</w:t>
      </w:r>
      <w:r w:rsidR="00566347">
        <w:rPr>
          <w:bCs/>
        </w:rPr>
        <w:t xml:space="preserve"> Scheduling will take place through email as will any individualized follow up.</w:t>
      </w:r>
      <w:r w:rsidRPr="00444C43">
        <w:rPr>
          <w:bCs/>
        </w:rPr>
        <w:t xml:space="preserve"> </w:t>
      </w:r>
      <w:r>
        <w:t xml:space="preserve">Target respondents will be asked to respond in real-time during the discussions. </w:t>
      </w:r>
      <w:r w:rsidR="00566347">
        <w:t xml:space="preserve">With respondent permission, discussion will be recorded. NCSACW staff may also communicate with discussion group participants via Microsoft Teams. </w:t>
      </w:r>
      <w:r>
        <w:t xml:space="preserve">Discussions will be co-facilitated by two NCSACW staff members. </w:t>
      </w:r>
      <w:r w:rsidR="00B635EE">
        <w:t xml:space="preserve">The discussion group transcripts will be </w:t>
      </w:r>
      <w:r w:rsidR="00B635EE">
        <w:t>reviewed</w:t>
      </w:r>
      <w:r w:rsidR="00F80A9D">
        <w:t>, along with notes</w:t>
      </w:r>
      <w:r w:rsidR="00A65467">
        <w:t>, and themes will be pulled</w:t>
      </w:r>
      <w:r w:rsidR="00345566">
        <w:t xml:space="preserve"> and aggregated from all topic discussions</w:t>
      </w:r>
      <w:r w:rsidR="00A65467">
        <w:t xml:space="preserve"> </w:t>
      </w:r>
      <w:r w:rsidR="00345566">
        <w:t>for the final</w:t>
      </w:r>
      <w:r w:rsidR="00650434">
        <w:t xml:space="preserve"> internal</w:t>
      </w:r>
      <w:r w:rsidR="00345566">
        <w:t xml:space="preserve"> report</w:t>
      </w:r>
      <w:r w:rsidR="00650434">
        <w:t xml:space="preserve"> for ACF</w:t>
      </w:r>
      <w:r w:rsidR="00345566">
        <w:t xml:space="preserve">. </w:t>
      </w:r>
    </w:p>
    <w:p w:rsidR="002338AC" w:rsidP="0080476A" w14:paraId="40C43AD9" w14:textId="77777777">
      <w:pPr>
        <w:rPr>
          <w:b/>
          <w:bCs/>
          <w:i/>
          <w:iCs/>
        </w:rPr>
      </w:pPr>
    </w:p>
    <w:p w:rsidR="00945CD6" w:rsidRPr="0072204D" w:rsidP="4AE5982E" w14:paraId="49EEF137" w14:textId="25D3A764">
      <w:pPr>
        <w:spacing w:after="120"/>
        <w:rPr>
          <w:b/>
          <w:bCs/>
        </w:rPr>
      </w:pPr>
      <w:r w:rsidRPr="0080476A">
        <w:rPr>
          <w:b/>
          <w:bCs/>
        </w:rPr>
        <w:t xml:space="preserve">A3. </w:t>
      </w:r>
      <w:r w:rsidRPr="0080476A">
        <w:rPr>
          <w:b/>
          <w:bCs/>
        </w:rPr>
        <w:t>Improved Information Technology to Reduce Burden</w:t>
      </w:r>
    </w:p>
    <w:p w:rsidR="008C522E" w:rsidP="4AE5982E" w14:paraId="74502EAE" w14:textId="49951010">
      <w:r>
        <w:t xml:space="preserve">The discussion group sessions will be conducted utilizing the Zoom platform. This platform will allow NCSACW </w:t>
      </w:r>
      <w:r w:rsidR="008E0EF5">
        <w:t xml:space="preserve">staff </w:t>
      </w:r>
      <w:r w:rsidR="000F67B9">
        <w:t xml:space="preserve">to record the discussions </w:t>
      </w:r>
      <w:r w:rsidR="00267DF7">
        <w:t>for transcription and analysis</w:t>
      </w:r>
      <w:r w:rsidR="00860604">
        <w:t xml:space="preserve"> </w:t>
      </w:r>
      <w:r w:rsidR="00BA5DEB">
        <w:t xml:space="preserve">for reporting purposes. </w:t>
      </w:r>
      <w:r w:rsidR="00DB6A9D">
        <w:t xml:space="preserve">This reduces the burden </w:t>
      </w:r>
      <w:r w:rsidR="00A30202">
        <w:t>on participants</w:t>
      </w:r>
      <w:r w:rsidR="00EF5074">
        <w:t xml:space="preserve"> </w:t>
      </w:r>
      <w:r w:rsidR="00A33F1B">
        <w:t>as</w:t>
      </w:r>
      <w:r w:rsidR="00E43FE6">
        <w:t xml:space="preserve"> they can talk freely and do not need to reply to a survey and/or written questions</w:t>
      </w:r>
      <w:r w:rsidR="007A724E">
        <w:t>, which would take</w:t>
      </w:r>
      <w:r w:rsidR="005A7257">
        <w:t xml:space="preserve"> </w:t>
      </w:r>
      <w:r w:rsidR="004145F4">
        <w:t xml:space="preserve">more time to complete. </w:t>
      </w:r>
      <w:r w:rsidR="00566347">
        <w:t xml:space="preserve">Planning will be communicated through email.  </w:t>
      </w:r>
      <w:r>
        <w:t>The NCSACW staff may also communicate with discussion group participants via Microsoft Teams</w:t>
      </w:r>
      <w:r w:rsidR="005609CB">
        <w:t>.</w:t>
      </w:r>
      <w:r w:rsidR="009A4596">
        <w:t xml:space="preserve"> </w:t>
      </w:r>
    </w:p>
    <w:p w:rsidR="008C522E" w:rsidP="4AE5982E" w14:paraId="70F190CA" w14:textId="77777777"/>
    <w:p w:rsidR="00D90EF6" w:rsidP="4AE5982E" w14:paraId="6EA8B500" w14:textId="48618483">
      <w:r>
        <w:t xml:space="preserve">NCSACW staff may use CoPilot to identify themes for </w:t>
      </w:r>
      <w:r w:rsidR="0083445F">
        <w:t xml:space="preserve">creating the report </w:t>
      </w:r>
      <w:r w:rsidR="007D582E">
        <w:t>for ACF.</w:t>
      </w:r>
    </w:p>
    <w:p w:rsidR="005046F0" w:rsidP="00B73E8C" w14:paraId="5804584A" w14:textId="77777777"/>
    <w:p w:rsidR="00945CD6" w:rsidRPr="0072204D" w:rsidP="4AE5982E" w14:paraId="39BBEF3E" w14:textId="77777777">
      <w:pPr>
        <w:spacing w:after="120"/>
        <w:rPr>
          <w:b/>
          <w:bCs/>
        </w:rPr>
      </w:pPr>
      <w:r w:rsidRPr="4AE5982E">
        <w:rPr>
          <w:b/>
          <w:bCs/>
        </w:rPr>
        <w:t xml:space="preserve">A4. </w:t>
      </w:r>
      <w:r w:rsidRPr="4AE5982E">
        <w:rPr>
          <w:b/>
          <w:bCs/>
        </w:rPr>
        <w:t>Efforts to Identify Duplication</w:t>
      </w:r>
    </w:p>
    <w:p w:rsidR="00A63C98" w:rsidP="00A63C98" w14:paraId="4D7BE593" w14:textId="77777777">
      <w:r>
        <w:t xml:space="preserve">NCSACW conducted a comprehensive environmental scan to identify, analyze, and synthesize information relevant to 5 topics generated by changes to the RPG program in the 2024 Title IV-B reauthorization. The topics were: programs and service selection; performance and evaluation: evaluation strategy and performance indicators; sustainability and going to scale; and partnerships and structuring collaboration. NCSACW developed research questions for each of the topics, totaling 31 research questions. </w:t>
      </w:r>
    </w:p>
    <w:p w:rsidR="00031FE7" w:rsidP="00A63C98" w14:paraId="6A842A27" w14:textId="77777777"/>
    <w:p w:rsidR="00A63C98" w:rsidP="00A63C98" w14:paraId="2523268D" w14:textId="251FD21E">
      <w:r>
        <w:t xml:space="preserve">NCSACW reviewed and analyzed a </w:t>
      </w:r>
      <w:r w:rsidR="001C508F">
        <w:t>wide range</w:t>
      </w:r>
      <w:r>
        <w:t xml:space="preserve"> of resource documents to assess what information exists and is known about each of the research questions: RPG publications in the scientific literature, RPG site-level reports, assessments of evaluation plans, Reports to Congress, pertinent legislation, Notice of Funding Opportunities, and the Title IV-E Prevention Services Clearinghouse website and resources. </w:t>
      </w:r>
    </w:p>
    <w:p w:rsidR="00031FE7" w:rsidP="00A63C98" w14:paraId="46ED2A24" w14:textId="77777777"/>
    <w:p w:rsidR="00F066A6" w:rsidP="4AE5982E" w14:paraId="61E3E7C8" w14:textId="77777777">
      <w:r>
        <w:t xml:space="preserve">The results of the environmental scan in part informed the development of the RPG Policy </w:t>
      </w:r>
      <w:r w:rsidR="00B55568">
        <w:t>A</w:t>
      </w:r>
      <w:r>
        <w:t>cademy discussion questions, particularly in content areas in which the scan identified gaps. For example, while the scan identified that some RPG sites’ evaluation design shifted over time, it did not identify the full scope of sites in which this change occurred nor the various factors contributing to the shift. Other examples include: the scan did not identify how RPG sites shape their evaluation design nor did it uncover RPG evaluation data that is available for submission to the Title IV-E Prevention Services Clearinghouse.</w:t>
      </w:r>
      <w:r w:rsidR="00CD4006">
        <w:t xml:space="preserve"> </w:t>
      </w:r>
    </w:p>
    <w:p w:rsidR="00F066A6" w:rsidP="4AE5982E" w14:paraId="4FFB8D44" w14:textId="77777777"/>
    <w:p w:rsidR="004F3CF9" w:rsidP="009D0CB8" w14:paraId="40EA1DF2" w14:textId="3B63D2E9">
      <w:r>
        <w:t xml:space="preserve">To fill the gap in knowledge, the </w:t>
      </w:r>
      <w:r w:rsidR="00FE0057">
        <w:t>Policy Academy discussions are required</w:t>
      </w:r>
      <w:r w:rsidR="00566347">
        <w:t>; t</w:t>
      </w:r>
      <w:r>
        <w:t xml:space="preserve">he information </w:t>
      </w:r>
      <w:r w:rsidR="009D0CB8">
        <w:t xml:space="preserve">is not available elsewhere. </w:t>
      </w:r>
    </w:p>
    <w:p w:rsidR="00B73E8C" w:rsidRPr="009D0CB8" w:rsidP="009D0CB8" w14:paraId="0CA4A220" w14:textId="77777777"/>
    <w:p w:rsidR="00945CD6" w:rsidRPr="0072204D" w:rsidP="4AE5982E" w14:paraId="10B90123" w14:textId="42869AB6">
      <w:pPr>
        <w:spacing w:after="120"/>
        <w:rPr>
          <w:b/>
          <w:bCs/>
        </w:rPr>
      </w:pPr>
      <w:r w:rsidRPr="4AE5982E">
        <w:rPr>
          <w:b/>
          <w:bCs/>
        </w:rPr>
        <w:t xml:space="preserve">A5. </w:t>
      </w:r>
      <w:r w:rsidRPr="4AE5982E">
        <w:rPr>
          <w:b/>
          <w:bCs/>
        </w:rPr>
        <w:t>Involvement of Small Organizations</w:t>
      </w:r>
    </w:p>
    <w:p w:rsidR="00D90EF6" w:rsidP="4AE5982E" w14:paraId="12FF1FE5" w14:textId="2089707D">
      <w:r>
        <w:t xml:space="preserve">No small business will be involved with this information </w:t>
      </w:r>
      <w:r w:rsidR="00251A4E">
        <w:t>collection;</w:t>
      </w:r>
      <w:r w:rsidR="008F69D0">
        <w:t xml:space="preserve"> however, efforts will</w:t>
      </w:r>
      <w:r w:rsidR="00672A8F">
        <w:t xml:space="preserve"> still</w:t>
      </w:r>
      <w:r w:rsidR="008F69D0">
        <w:t xml:space="preserve"> be made to </w:t>
      </w:r>
      <w:r w:rsidR="00672A8F">
        <w:t xml:space="preserve">schedule data collection at times that are convenient for respondents. </w:t>
      </w:r>
    </w:p>
    <w:p w:rsidR="008C78B4" w:rsidP="4AE5982E" w14:paraId="6077512E" w14:textId="77777777">
      <w:pPr>
        <w:rPr>
          <w:b/>
          <w:bCs/>
        </w:rPr>
      </w:pPr>
    </w:p>
    <w:p w:rsidR="00155164" w:rsidP="4AE5982E" w14:paraId="0810EEF1" w14:textId="77777777">
      <w:pPr>
        <w:spacing w:after="120"/>
        <w:rPr>
          <w:b/>
          <w:bCs/>
        </w:rPr>
      </w:pPr>
    </w:p>
    <w:p w:rsidR="00945CD6" w:rsidRPr="0072204D" w:rsidP="4AE5982E" w14:paraId="5C724C5E" w14:textId="390B7840">
      <w:pPr>
        <w:spacing w:after="120"/>
        <w:rPr>
          <w:b/>
          <w:bCs/>
        </w:rPr>
      </w:pPr>
      <w:r w:rsidRPr="4AE5982E">
        <w:rPr>
          <w:b/>
          <w:bCs/>
        </w:rPr>
        <w:t xml:space="preserve">A6. </w:t>
      </w:r>
      <w:r w:rsidRPr="4AE5982E">
        <w:rPr>
          <w:b/>
          <w:bCs/>
        </w:rPr>
        <w:t>Consequences of Less Frequent Data Collection</w:t>
      </w:r>
    </w:p>
    <w:p w:rsidR="00D90EF6" w:rsidP="4AE5982E" w14:paraId="27E89940" w14:textId="19C27693">
      <w:r>
        <w:t xml:space="preserve">This is a one-time data collection. </w:t>
      </w:r>
    </w:p>
    <w:p w:rsidR="005046F0" w:rsidP="00E474FE" w14:paraId="7C36762A" w14:textId="77777777"/>
    <w:p w:rsidR="00945CD6" w:rsidRPr="0072204D" w:rsidP="4AE5982E" w14:paraId="5060136E" w14:textId="77777777">
      <w:pPr>
        <w:spacing w:after="120"/>
        <w:rPr>
          <w:b/>
          <w:bCs/>
        </w:rPr>
      </w:pPr>
      <w:r w:rsidRPr="4AE5982E">
        <w:rPr>
          <w:b/>
          <w:bCs/>
        </w:rPr>
        <w:t xml:space="preserve">A7. </w:t>
      </w:r>
      <w:r w:rsidRPr="4AE5982E">
        <w:rPr>
          <w:b/>
          <w:bCs/>
        </w:rPr>
        <w:t>Special Circumstances</w:t>
      </w:r>
    </w:p>
    <w:p w:rsidR="00D90EF6" w:rsidP="4AE5982E" w14:paraId="6156892E" w14:textId="313A8D98">
      <w:r w:rsidRPr="00B11B72">
        <w:t>There are no special circumstances for the proposed data collection efforts.</w:t>
      </w:r>
    </w:p>
    <w:p w:rsidR="007922D3" w:rsidRPr="00E474FE" w:rsidP="4AE5982E" w14:paraId="5D910A91" w14:textId="77777777"/>
    <w:p w:rsidR="00D90EF6" w:rsidP="4AE5982E" w14:paraId="4FD99BC0" w14:textId="77777777">
      <w:pPr>
        <w:spacing w:after="120"/>
        <w:rPr>
          <w:b/>
          <w:bCs/>
        </w:rPr>
      </w:pPr>
      <w:r w:rsidRPr="4AE5982E">
        <w:rPr>
          <w:b/>
          <w:bCs/>
        </w:rPr>
        <w:t xml:space="preserve">A8. </w:t>
      </w:r>
      <w:r w:rsidRPr="4AE5982E" w:rsidR="00945CD6">
        <w:rPr>
          <w:b/>
          <w:bCs/>
        </w:rPr>
        <w:t>Federal Register Notice and Consultation</w:t>
      </w:r>
    </w:p>
    <w:p w:rsidR="00B91D97" w:rsidRPr="00B91D97" w:rsidP="4AE5982E" w14:paraId="6A39001F" w14:textId="77777777">
      <w:pPr>
        <w:spacing w:after="60"/>
        <w:rPr>
          <w:b/>
          <w:bCs/>
          <w:i/>
          <w:iCs/>
        </w:rPr>
      </w:pPr>
      <w:r w:rsidRPr="4AE5982E">
        <w:rPr>
          <w:b/>
          <w:bCs/>
          <w:i/>
          <w:iCs/>
        </w:rPr>
        <w:t>Federal Register Notice and Comments</w:t>
      </w:r>
    </w:p>
    <w:p w:rsidR="008F10A2" w:rsidP="00B2571F" w14:paraId="06B326DA" w14:textId="0F8242B3">
      <w:pPr>
        <w:spacing w:line="259" w:lineRule="auto"/>
      </w:pPr>
      <w:r w:rsidRPr="4CD88284">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4CD88284" w:rsidR="7EC2CCC6">
        <w:t>April 28, 2025</w:t>
      </w:r>
      <w:r w:rsidRPr="4CD88284">
        <w:t>, (</w:t>
      </w:r>
      <w:r w:rsidRPr="4CD88284" w:rsidR="4ECB43AA">
        <w:t>90</w:t>
      </w:r>
      <w:r w:rsidRPr="4CD88284">
        <w:t xml:space="preserve"> FR </w:t>
      </w:r>
      <w:r w:rsidRPr="4CD88284" w:rsidR="27D9EF1C">
        <w:t>17603</w:t>
      </w:r>
      <w:r w:rsidRPr="4CD88284">
        <w:t>), and provided a sixty-day period for public comment. ACF did not receive any comments on the first notice. A second notice was published, allowing a thirty-day period for public comment</w:t>
      </w:r>
      <w:r w:rsidRPr="4CD88284" w:rsidR="788048E4">
        <w:t xml:space="preserve"> (90 FR 42248</w:t>
      </w:r>
      <w:r w:rsidRPr="4CD88284">
        <w:t>, in conjunction with submission of the request to OMB. ACF did not receive any comments on the second notice.</w:t>
      </w:r>
    </w:p>
    <w:p w:rsidR="00B91D97" w:rsidRPr="00B91D97" w:rsidP="4AE5982E" w14:paraId="21E62C00" w14:textId="72CBF5B8">
      <w:pPr>
        <w:pStyle w:val="Heading4"/>
        <w:rPr>
          <w:rFonts w:ascii="Times New Roman" w:hAnsi="Times New Roman"/>
          <w:i/>
          <w:iCs/>
          <w:sz w:val="24"/>
          <w:szCs w:val="24"/>
        </w:rPr>
      </w:pPr>
      <w:r w:rsidRPr="4AE5982E">
        <w:rPr>
          <w:rFonts w:ascii="Times New Roman" w:hAnsi="Times New Roman"/>
          <w:i/>
          <w:iCs/>
          <w:sz w:val="24"/>
          <w:szCs w:val="24"/>
        </w:rPr>
        <w:t xml:space="preserve">Consultation with </w:t>
      </w:r>
      <w:r w:rsidRPr="4AE5982E" w:rsidR="008F570D">
        <w:rPr>
          <w:rFonts w:ascii="Times New Roman" w:hAnsi="Times New Roman"/>
          <w:i/>
          <w:iCs/>
          <w:sz w:val="24"/>
          <w:szCs w:val="24"/>
        </w:rPr>
        <w:t xml:space="preserve">Outside </w:t>
      </w:r>
      <w:r w:rsidRPr="4AE5982E">
        <w:rPr>
          <w:rFonts w:ascii="Times New Roman" w:hAnsi="Times New Roman"/>
          <w:i/>
          <w:iCs/>
          <w:sz w:val="24"/>
          <w:szCs w:val="24"/>
        </w:rPr>
        <w:t>Experts</w:t>
      </w:r>
    </w:p>
    <w:p w:rsidR="008F10A2" w:rsidP="4AE5982E" w14:paraId="1632B553" w14:textId="5C03744D">
      <w:pPr>
        <w:rPr>
          <w:highlight w:val="yellow"/>
        </w:rPr>
      </w:pPr>
      <w:r w:rsidRPr="00000653">
        <w:t xml:space="preserve">No consultations have taken place with experts outside of the project team. </w:t>
      </w:r>
    </w:p>
    <w:p w:rsidR="00D90EF6" w:rsidP="4AE5982E" w14:paraId="16A7A923" w14:textId="77777777">
      <w:pPr>
        <w:rPr>
          <w:b/>
          <w:bCs/>
        </w:rPr>
      </w:pPr>
    </w:p>
    <w:p w:rsidR="00945CD6" w:rsidRPr="0072204D" w:rsidP="4AE5982E" w14:paraId="391068CD" w14:textId="6ECE22DD">
      <w:pPr>
        <w:spacing w:after="120"/>
        <w:rPr>
          <w:b/>
          <w:bCs/>
        </w:rPr>
      </w:pPr>
      <w:r w:rsidRPr="4AE5982E">
        <w:rPr>
          <w:b/>
          <w:bCs/>
        </w:rPr>
        <w:t xml:space="preserve">A9. </w:t>
      </w:r>
      <w:r w:rsidRPr="4AE5982E" w:rsidR="00542413">
        <w:rPr>
          <w:b/>
          <w:bCs/>
        </w:rPr>
        <w:t xml:space="preserve">Tokens of Appreciation </w:t>
      </w:r>
      <w:r w:rsidRPr="4AE5982E" w:rsidR="00B66874">
        <w:rPr>
          <w:b/>
          <w:bCs/>
        </w:rPr>
        <w:t>for</w:t>
      </w:r>
      <w:r w:rsidRPr="4AE5982E">
        <w:rPr>
          <w:b/>
          <w:bCs/>
        </w:rPr>
        <w:t xml:space="preserve"> Respondents</w:t>
      </w:r>
    </w:p>
    <w:p w:rsidR="00DE2729" w:rsidRPr="00DE2729" w:rsidP="00DE2729" w14:paraId="7C0F5DB7" w14:textId="77777777">
      <w:r w:rsidRPr="00DE2729">
        <w:t xml:space="preserve">No tokens of appreciation are proposed for this information collection but Honoria will be provided to participants when appropriate. See section A13 for additional information. </w:t>
      </w:r>
    </w:p>
    <w:p w:rsidR="004222F8" w:rsidP="4AE5982E" w14:paraId="7605E87D" w14:textId="77777777">
      <w:pPr>
        <w:spacing w:after="120"/>
        <w:rPr>
          <w:b/>
          <w:bCs/>
        </w:rPr>
      </w:pPr>
    </w:p>
    <w:p w:rsidR="004222F8" w:rsidRPr="0072204D" w:rsidP="4AE5982E" w14:paraId="5BB4F440" w14:textId="611785F9">
      <w:pPr>
        <w:spacing w:after="120"/>
        <w:rPr>
          <w:b/>
          <w:bCs/>
        </w:rPr>
      </w:pPr>
      <w:r w:rsidRPr="4AE5982E">
        <w:rPr>
          <w:b/>
          <w:bCs/>
        </w:rPr>
        <w:t>A10. Privacy of Respondents</w:t>
      </w:r>
    </w:p>
    <w:p w:rsidR="004222F8" w:rsidP="4AE5982E" w14:paraId="480B2A5E" w14:textId="754B441C">
      <w:pPr>
        <w:widowControl w:val="0"/>
        <w:autoSpaceDE w:val="0"/>
        <w:autoSpaceDN w:val="0"/>
        <w:adjustRightInd w:val="0"/>
      </w:pPr>
      <w:r w:rsidRPr="4AE5982E">
        <w:t>Information collected will be kept private</w:t>
      </w:r>
      <w:r w:rsidRPr="4AE5982E" w:rsidR="171CA292">
        <w:t xml:space="preserve"> to the extent permitted by law</w:t>
      </w:r>
      <w:r w:rsidRPr="4AE5982E">
        <w:t xml:space="preserve">. Respondents will be informed of all planned uses of data, that their participation is voluntary, and that their information will be kept private. </w:t>
      </w:r>
    </w:p>
    <w:p w:rsidR="009652D2" w:rsidRPr="00436F5E" w:rsidP="4AE5982E" w14:paraId="3E230C13" w14:textId="27C6F411">
      <w:pPr>
        <w:widowControl w:val="0"/>
        <w:autoSpaceDE w:val="0"/>
        <w:autoSpaceDN w:val="0"/>
        <w:adjustRightInd w:val="0"/>
      </w:pPr>
    </w:p>
    <w:p w:rsidR="00436F5E" w:rsidRPr="00436F5E" w:rsidP="4AE5982E" w14:paraId="34DFAED3" w14:textId="003EE5A0">
      <w:pPr>
        <w:widowControl w:val="0"/>
        <w:autoSpaceDE w:val="0"/>
        <w:autoSpaceDN w:val="0"/>
        <w:adjustRightInd w:val="0"/>
      </w:pPr>
      <w:r>
        <w:t xml:space="preserve">Discussion group participants will not </w:t>
      </w:r>
      <w:r w:rsidR="007463AB">
        <w:t>provide</w:t>
      </w:r>
      <w:r>
        <w:t xml:space="preserve"> </w:t>
      </w:r>
      <w:r w:rsidR="002B5846">
        <w:t>a signed</w:t>
      </w:r>
      <w:r w:rsidR="00F959D0">
        <w:t xml:space="preserve"> consent</w:t>
      </w:r>
      <w:r w:rsidR="002B5846">
        <w:t xml:space="preserve"> form</w:t>
      </w:r>
      <w:r w:rsidR="00230E68">
        <w:t>;</w:t>
      </w:r>
      <w:r w:rsidR="00F959D0">
        <w:t xml:space="preserve"> the </w:t>
      </w:r>
      <w:r w:rsidR="00155AA6">
        <w:t xml:space="preserve">nature of their participation will be </w:t>
      </w:r>
      <w:r w:rsidR="009B5778">
        <w:t>described at the initiation of the discussion group</w:t>
      </w:r>
      <w:r w:rsidR="007C07BD">
        <w:t>.</w:t>
      </w:r>
      <w:r w:rsidR="009B5778">
        <w:t xml:space="preserve"> </w:t>
      </w:r>
      <w:r w:rsidR="00230E68">
        <w:t>T</w:t>
      </w:r>
      <w:r w:rsidR="00D24F9A">
        <w:t xml:space="preserve">hose unwilling to participate </w:t>
      </w:r>
      <w:r w:rsidR="0045272F">
        <w:t xml:space="preserve">can leave the discussion group at any time. </w:t>
      </w:r>
      <w:r w:rsidR="0017615C">
        <w:t>By remaining in the discussion group</w:t>
      </w:r>
      <w:r w:rsidR="00997D6F">
        <w:t>, consent to participate i</w:t>
      </w:r>
      <w:r w:rsidR="00A2245A">
        <w:t>s</w:t>
      </w:r>
      <w:r w:rsidR="00997D6F">
        <w:t xml:space="preserve"> implied. </w:t>
      </w:r>
      <w:r w:rsidRPr="00555436" w:rsidR="00BE6742">
        <w:t xml:space="preserve">Although </w:t>
      </w:r>
      <w:r w:rsidR="0067260D">
        <w:t xml:space="preserve">consent form will not </w:t>
      </w:r>
      <w:r w:rsidRPr="00555436" w:rsidR="00BE6742">
        <w:t xml:space="preserve">be </w:t>
      </w:r>
      <w:r w:rsidR="0067260D">
        <w:t>signed</w:t>
      </w:r>
      <w:r w:rsidRPr="00555436" w:rsidR="00BE6742">
        <w:t>, several steps will be taken to ensure the privacy of participants</w:t>
      </w:r>
      <w:r w:rsidRPr="006D3362" w:rsidR="00BE6742">
        <w:t xml:space="preserve">. </w:t>
      </w:r>
      <w:r w:rsidRPr="00952549" w:rsidR="00BE6742">
        <w:rPr>
          <w:i/>
          <w:iCs/>
        </w:rPr>
        <w:t>First</w:t>
      </w:r>
      <w:r w:rsidRPr="006D3362" w:rsidR="00BE6742">
        <w:t>,</w:t>
      </w:r>
      <w:r w:rsidRPr="00555436" w:rsidR="00BE6742">
        <w:t xml:space="preserve"> </w:t>
      </w:r>
      <w:r w:rsidR="00BE6742">
        <w:t xml:space="preserve">the </w:t>
      </w:r>
      <w:r w:rsidR="006D3362">
        <w:t>NCSACW staff</w:t>
      </w:r>
      <w:r w:rsidR="00BE6742">
        <w:t xml:space="preserve"> will not record personally identifiable information (PII) during the </w:t>
      </w:r>
      <w:r w:rsidR="00755560">
        <w:t>discussion</w:t>
      </w:r>
      <w:r w:rsidR="00BE6742">
        <w:t xml:space="preserve"> groups. </w:t>
      </w:r>
      <w:r w:rsidRPr="00952549" w:rsidR="00BE6742">
        <w:rPr>
          <w:i/>
        </w:rPr>
        <w:t>Second</w:t>
      </w:r>
      <w:r w:rsidRPr="006D3362" w:rsidR="00BE6742">
        <w:rPr>
          <w:iCs/>
        </w:rPr>
        <w:t>, when presented and reported, all data will be in aggregate form, for the overall group of participants rather than individuals. Any quotes will be de-identified to ensure they cannot be identified</w:t>
      </w:r>
      <w:r w:rsidR="00BE6742">
        <w:t xml:space="preserve"> (e.g., “a </w:t>
      </w:r>
      <w:r w:rsidR="000F2C5A">
        <w:t>participant</w:t>
      </w:r>
      <w:r w:rsidR="00BE6742">
        <w:t xml:space="preserve"> in </w:t>
      </w:r>
      <w:r w:rsidR="000F2C5A">
        <w:t>th</w:t>
      </w:r>
      <w:r w:rsidR="00A265FF">
        <w:t>e</w:t>
      </w:r>
      <w:r w:rsidR="000F2C5A">
        <w:t xml:space="preserve"> discussion group</w:t>
      </w:r>
      <w:r w:rsidR="00BE6742">
        <w:t>”).</w:t>
      </w:r>
      <w:r w:rsidRPr="00555436" w:rsidR="00BE6742">
        <w:t xml:space="preserve"> </w:t>
      </w:r>
      <w:r w:rsidRPr="00952549" w:rsidR="00BE6742">
        <w:rPr>
          <w:i/>
        </w:rPr>
        <w:t>Third</w:t>
      </w:r>
      <w:r w:rsidRPr="006D3362" w:rsidR="00BE6742">
        <w:rPr>
          <w:iCs/>
        </w:rPr>
        <w:t xml:space="preserve">, recordings </w:t>
      </w:r>
      <w:r w:rsidR="006D3362">
        <w:rPr>
          <w:iCs/>
        </w:rPr>
        <w:t xml:space="preserve">and transcripts </w:t>
      </w:r>
      <w:r w:rsidRPr="006D3362" w:rsidR="00BE6742">
        <w:rPr>
          <w:iCs/>
        </w:rPr>
        <w:t xml:space="preserve">of the </w:t>
      </w:r>
      <w:r w:rsidRPr="006D3362" w:rsidR="000F2C5A">
        <w:rPr>
          <w:iCs/>
        </w:rPr>
        <w:t>discussion</w:t>
      </w:r>
      <w:r w:rsidRPr="006D3362" w:rsidR="00BE6742">
        <w:rPr>
          <w:iCs/>
        </w:rPr>
        <w:t xml:space="preserve"> groups will be destroyed after reports are finalized. </w:t>
      </w:r>
      <w:r w:rsidRPr="00952549" w:rsidR="00BE6742">
        <w:rPr>
          <w:i/>
        </w:rPr>
        <w:t>Fourth</w:t>
      </w:r>
      <w:r w:rsidRPr="006D3362" w:rsidR="00BE6742">
        <w:rPr>
          <w:iCs/>
        </w:rPr>
        <w:t xml:space="preserve">, data will be viewed only by those on the </w:t>
      </w:r>
      <w:r w:rsidRPr="006D3362" w:rsidR="00BE6742">
        <w:rPr>
          <w:iCs/>
        </w:rPr>
        <w:t>project who will be collecting the data and analyzing it. When these tasks are not active, data will be stored on password</w:t>
      </w:r>
      <w:r w:rsidR="00BE6742">
        <w:t xml:space="preserve"> protected </w:t>
      </w:r>
      <w:r w:rsidRPr="00555436" w:rsidR="00BE6742">
        <w:t>computers</w:t>
      </w:r>
      <w:r w:rsidR="00EA25E5">
        <w:t xml:space="preserve"> and digital storage folders</w:t>
      </w:r>
      <w:r w:rsidRPr="00555436" w:rsidR="00BE6742">
        <w:t xml:space="preserve"> accessible only </w:t>
      </w:r>
      <w:r w:rsidR="00BE6742">
        <w:t>to identified</w:t>
      </w:r>
      <w:r w:rsidRPr="00555436" w:rsidR="00BE6742">
        <w:t xml:space="preserve"> key project staff</w:t>
      </w:r>
      <w:r w:rsidR="00BE6742">
        <w:t>.</w:t>
      </w:r>
    </w:p>
    <w:p w:rsidR="00436F5E" w:rsidP="4AE5982E" w14:paraId="0442A162" w14:textId="77777777"/>
    <w:p w:rsidR="00945CD6" w:rsidRPr="0072204D" w:rsidP="4AE5982E" w14:paraId="0B35E015" w14:textId="77777777">
      <w:pPr>
        <w:spacing w:after="120"/>
        <w:rPr>
          <w:b/>
          <w:bCs/>
        </w:rPr>
      </w:pPr>
      <w:r w:rsidRPr="4AE5982E">
        <w:rPr>
          <w:b/>
          <w:bCs/>
        </w:rPr>
        <w:t xml:space="preserve">A11. </w:t>
      </w:r>
      <w:r w:rsidRPr="4AE5982E">
        <w:rPr>
          <w:b/>
          <w:bCs/>
        </w:rPr>
        <w:t>Sensitive Questions</w:t>
      </w:r>
    </w:p>
    <w:p w:rsidR="005046F0" w:rsidP="00733650" w14:paraId="45C63BFE" w14:textId="54E3D4E0">
      <w:r w:rsidRPr="00544458">
        <w:t>There are no sensitive questions in this data collection.</w:t>
      </w:r>
    </w:p>
    <w:p w:rsidR="003769D8" w:rsidP="4AE5982E" w14:paraId="20B6A32B" w14:textId="77777777">
      <w:pPr>
        <w:spacing w:after="120"/>
        <w:rPr>
          <w:b/>
          <w:bCs/>
        </w:rPr>
      </w:pPr>
    </w:p>
    <w:p w:rsidR="00542413" w:rsidRPr="00542413" w:rsidP="4AE5982E" w14:paraId="3ABF848D" w14:textId="61193FEF">
      <w:pPr>
        <w:spacing w:after="120"/>
        <w:rPr>
          <w:b/>
          <w:bCs/>
        </w:rPr>
      </w:pPr>
      <w:r w:rsidRPr="4AE5982E">
        <w:rPr>
          <w:b/>
          <w:bCs/>
        </w:rPr>
        <w:t xml:space="preserve">A12. </w:t>
      </w:r>
      <w:r w:rsidRPr="4AE5982E" w:rsidR="00945CD6">
        <w:rPr>
          <w:b/>
          <w:bCs/>
        </w:rPr>
        <w:t>Estimation of Information Collection Burden</w:t>
      </w:r>
    </w:p>
    <w:p w:rsidR="00542413" w:rsidP="00FF7531" w14:paraId="45B923F3" w14:textId="57392385">
      <w:pPr>
        <w:spacing w:after="60"/>
      </w:pPr>
      <w:r w:rsidRPr="4AE5982E">
        <w:rPr>
          <w:b/>
          <w:bCs/>
          <w:i/>
          <w:iCs/>
        </w:rPr>
        <w:t>Burden Estimates</w:t>
      </w:r>
    </w:p>
    <w:p w:rsidR="007F3B71" w:rsidP="00566347" w14:paraId="263C343A" w14:textId="77777777">
      <w:r>
        <w:t xml:space="preserve">Burden was estimated by </w:t>
      </w:r>
      <w:r w:rsidR="00F1214F">
        <w:t xml:space="preserve">calculating the total time needed for respondent prep and participation in the </w:t>
      </w:r>
      <w:r w:rsidR="00FD1066">
        <w:t xml:space="preserve">discussion group. </w:t>
      </w:r>
      <w:r w:rsidR="00566347">
        <w:t xml:space="preserve">We estimate the average burden per discussion to be 1.5 hours. </w:t>
      </w:r>
      <w:r>
        <w:t xml:space="preserve">We </w:t>
      </w:r>
      <w:r>
        <w:t>estimate</w:t>
      </w:r>
      <w:r>
        <w:t xml:space="preserve"> 30 respondents per topic </w:t>
      </w:r>
      <w:r>
        <w:t>area and respondents</w:t>
      </w:r>
      <w:r>
        <w:t xml:space="preserve"> will participate in one discussion each. </w:t>
      </w:r>
    </w:p>
    <w:p w:rsidR="007F3B71" w:rsidP="00566347" w14:paraId="0942E655" w14:textId="77777777"/>
    <w:p w:rsidR="00FF7531" w:rsidP="00650434" w14:paraId="1D9DD957" w14:textId="7BAFC3EA">
      <w:r>
        <w:t xml:space="preserve">Data collection is expected to be completed within one year. </w:t>
      </w:r>
    </w:p>
    <w:p w:rsidR="00542413" w:rsidRPr="00542413" w:rsidP="00566347" w14:paraId="53AD5D50" w14:textId="77777777">
      <w:pPr>
        <w:rPr>
          <w:b/>
          <w:bCs/>
          <w:i/>
          <w:iCs/>
        </w:rPr>
      </w:pPr>
    </w:p>
    <w:p w:rsidR="00542413" w:rsidRPr="002F3EDE" w:rsidP="4AE5982E" w14:paraId="6CBE253C" w14:textId="16147A58">
      <w:pPr>
        <w:spacing w:after="60"/>
        <w:rPr>
          <w:b/>
          <w:bCs/>
          <w:i/>
          <w:iCs/>
        </w:rPr>
      </w:pPr>
      <w:r w:rsidRPr="4AE5982E">
        <w:rPr>
          <w:b/>
          <w:bCs/>
          <w:i/>
          <w:iCs/>
        </w:rPr>
        <w:t>Cost Estimates</w:t>
      </w:r>
    </w:p>
    <w:p w:rsidR="00E6497E" w:rsidP="4AE5982E" w14:paraId="7BE87D44" w14:textId="21055B4D">
      <w:r w:rsidRPr="4AE5982E">
        <w:t>The cost to respondents was calculated using the Bureau of Labor Statistics (BLS) job code</w:t>
      </w:r>
      <w:r w:rsidR="007F3B71">
        <w:t xml:space="preserve"> data from May 2024 (</w:t>
      </w:r>
      <w:hyperlink r:id="rId9" w:history="1">
        <w:r w:rsidRPr="001560CF" w:rsidR="007F3B71">
          <w:rPr>
            <w:rStyle w:val="Hyperlink"/>
          </w:rPr>
          <w:t>Occupational Employment and Wage Statistics Profiles</w:t>
        </w:r>
      </w:hyperlink>
      <w:r w:rsidR="007F3B71">
        <w:t xml:space="preserve">) </w:t>
      </w:r>
      <w:r w:rsidRPr="4AE5982E">
        <w:t>for</w:t>
      </w:r>
      <w:r w:rsidR="008811BC">
        <w:t xml:space="preserve"> the different jo</w:t>
      </w:r>
      <w:r>
        <w:t>bs that potential respondents perform</w:t>
      </w:r>
      <w:r w:rsidR="003563AC">
        <w:t xml:space="preserve">. </w:t>
      </w:r>
      <w:r w:rsidR="004A6A64">
        <w:t>Costs per hour were estimated based on the average</w:t>
      </w:r>
      <w:r w:rsidR="002C0586">
        <w:t xml:space="preserve"> costs to</w:t>
      </w:r>
      <w:r w:rsidR="003563AC">
        <w:t xml:space="preserve"> respondents who perform the following job</w:t>
      </w:r>
      <w:r w:rsidR="007F3B71">
        <w:t>s</w:t>
      </w:r>
      <w:r w:rsidR="003563AC">
        <w:t xml:space="preserve">: </w:t>
      </w:r>
    </w:p>
    <w:p w:rsidR="00E6497E" w:rsidP="4AE5982E" w14:paraId="12F13DA7" w14:textId="77777777"/>
    <w:p w:rsidR="00AD17F0" w:rsidRPr="007F3B71" w:rsidP="00650434" w14:paraId="5C43F055" w14:textId="19615D5E">
      <w:pPr>
        <w:pStyle w:val="ListParagraph"/>
        <w:numPr>
          <w:ilvl w:val="0"/>
          <w:numId w:val="31"/>
        </w:numPr>
      </w:pPr>
      <w:r w:rsidRPr="007F3B71">
        <w:rPr>
          <w:sz w:val="24"/>
          <w:szCs w:val="24"/>
        </w:rPr>
        <w:t>Administrative</w:t>
      </w:r>
      <w:r w:rsidRPr="007F3B71">
        <w:rPr>
          <w:sz w:val="24"/>
          <w:szCs w:val="24"/>
        </w:rPr>
        <w:t xml:space="preserve"> </w:t>
      </w:r>
      <w:r w:rsidRPr="007F3B71" w:rsidR="00DE0574">
        <w:rPr>
          <w:sz w:val="24"/>
          <w:szCs w:val="24"/>
        </w:rPr>
        <w:t>S</w:t>
      </w:r>
      <w:r w:rsidRPr="007F3B71">
        <w:rPr>
          <w:sz w:val="24"/>
          <w:szCs w:val="24"/>
        </w:rPr>
        <w:t xml:space="preserve">ervices </w:t>
      </w:r>
      <w:r w:rsidRPr="007F3B71" w:rsidR="00DE0574">
        <w:rPr>
          <w:sz w:val="24"/>
          <w:szCs w:val="24"/>
        </w:rPr>
        <w:t>M</w:t>
      </w:r>
      <w:r w:rsidRPr="007F3B71">
        <w:rPr>
          <w:sz w:val="24"/>
          <w:szCs w:val="24"/>
        </w:rPr>
        <w:t>anagers [11-3012]</w:t>
      </w:r>
      <w:r w:rsidRPr="007F3B71" w:rsidR="007B5A05">
        <w:rPr>
          <w:sz w:val="24"/>
          <w:szCs w:val="24"/>
        </w:rPr>
        <w:t xml:space="preserve">, which is $52.11 per hour. To account for fringe benefits and overhead the rate was </w:t>
      </w:r>
      <w:r w:rsidRPr="007F3B71" w:rsidR="005A2CDC">
        <w:rPr>
          <w:sz w:val="24"/>
          <w:szCs w:val="24"/>
        </w:rPr>
        <w:t xml:space="preserve">multiplied by </w:t>
      </w:r>
      <w:r w:rsidRPr="007F3B71" w:rsidR="005A2CDC">
        <w:rPr>
          <w:sz w:val="24"/>
          <w:szCs w:val="24"/>
        </w:rPr>
        <w:t>two</w:t>
      </w:r>
      <w:r w:rsidRPr="007F3B71" w:rsidR="005A2CDC">
        <w:rPr>
          <w:sz w:val="24"/>
          <w:szCs w:val="24"/>
        </w:rPr>
        <w:t xml:space="preserve"> which is $</w:t>
      </w:r>
      <w:r w:rsidRPr="007F3B71" w:rsidR="003F42B0">
        <w:rPr>
          <w:sz w:val="24"/>
          <w:szCs w:val="24"/>
        </w:rPr>
        <w:t xml:space="preserve">104.22 per hour. </w:t>
      </w:r>
    </w:p>
    <w:p w:rsidR="003563AC" w:rsidRPr="007F3B71" w:rsidP="00650434" w14:paraId="3A351A59" w14:textId="5A63B6C5">
      <w:pPr>
        <w:pStyle w:val="ListParagraph"/>
        <w:numPr>
          <w:ilvl w:val="0"/>
          <w:numId w:val="31"/>
        </w:numPr>
      </w:pPr>
      <w:r w:rsidRPr="007F3B71">
        <w:rPr>
          <w:sz w:val="24"/>
          <w:szCs w:val="24"/>
        </w:rPr>
        <w:t>Social and Community Service Managers [11-9151]</w:t>
      </w:r>
      <w:r w:rsidRPr="007F3B71" w:rsidR="005140C5">
        <w:rPr>
          <w:sz w:val="24"/>
          <w:szCs w:val="24"/>
        </w:rPr>
        <w:t xml:space="preserve">, which is $37.61 per hour. </w:t>
      </w:r>
      <w:r w:rsidRPr="007F3B71">
        <w:rPr>
          <w:sz w:val="24"/>
          <w:szCs w:val="24"/>
        </w:rPr>
        <w:t>To account for fringe benefits and overhead the rate was multiplied by two which is $</w:t>
      </w:r>
      <w:r w:rsidRPr="007F3B71" w:rsidR="00446BD0">
        <w:rPr>
          <w:sz w:val="24"/>
          <w:szCs w:val="24"/>
        </w:rPr>
        <w:t xml:space="preserve">75.22 per hour. </w:t>
      </w:r>
    </w:p>
    <w:p w:rsidR="00446BD0" w:rsidRPr="007F3B71" w:rsidP="00650434" w14:paraId="65AF8F8B" w14:textId="7EE2644F">
      <w:pPr>
        <w:pStyle w:val="ListParagraph"/>
        <w:numPr>
          <w:ilvl w:val="0"/>
          <w:numId w:val="31"/>
        </w:numPr>
      </w:pPr>
      <w:r w:rsidRPr="007F3B71">
        <w:rPr>
          <w:sz w:val="24"/>
          <w:szCs w:val="24"/>
        </w:rPr>
        <w:t xml:space="preserve">Substance </w:t>
      </w:r>
      <w:r w:rsidRPr="007F3B71" w:rsidR="00E93B2A">
        <w:rPr>
          <w:sz w:val="24"/>
          <w:szCs w:val="24"/>
        </w:rPr>
        <w:t>abuse, behavioral disorder, and mental health counselors</w:t>
      </w:r>
      <w:r w:rsidRPr="007F3B71" w:rsidR="0033072C">
        <w:rPr>
          <w:sz w:val="24"/>
          <w:szCs w:val="24"/>
        </w:rPr>
        <w:t xml:space="preserve"> [</w:t>
      </w:r>
      <w:r w:rsidRPr="007F3B71" w:rsidR="00E93B2A">
        <w:rPr>
          <w:sz w:val="24"/>
          <w:szCs w:val="24"/>
        </w:rPr>
        <w:t>21-1018</w:t>
      </w:r>
      <w:r w:rsidRPr="007F3B71" w:rsidR="0033072C">
        <w:rPr>
          <w:sz w:val="24"/>
          <w:szCs w:val="24"/>
        </w:rPr>
        <w:t>]</w:t>
      </w:r>
      <w:r w:rsidRPr="007F3B71" w:rsidR="00E93B2A">
        <w:rPr>
          <w:sz w:val="24"/>
          <w:szCs w:val="24"/>
        </w:rPr>
        <w:t xml:space="preserve">, </w:t>
      </w:r>
      <w:r w:rsidR="007F3B71">
        <w:rPr>
          <w:sz w:val="24"/>
          <w:szCs w:val="24"/>
        </w:rPr>
        <w:t xml:space="preserve">which </w:t>
      </w:r>
      <w:r w:rsidRPr="007F3B71" w:rsidR="0033072C">
        <w:rPr>
          <w:sz w:val="24"/>
          <w:szCs w:val="24"/>
        </w:rPr>
        <w:t>is $</w:t>
      </w:r>
      <w:r w:rsidRPr="007F3B71" w:rsidR="00E6497E">
        <w:rPr>
          <w:sz w:val="24"/>
          <w:szCs w:val="24"/>
        </w:rPr>
        <w:t>36.65</w:t>
      </w:r>
      <w:r w:rsidRPr="007F3B71" w:rsidR="0033072C">
        <w:rPr>
          <w:sz w:val="24"/>
          <w:szCs w:val="24"/>
        </w:rPr>
        <w:t xml:space="preserve"> per hour. To account for fringe benefits and overhead the rate was multiplied by </w:t>
      </w:r>
      <w:r w:rsidRPr="007F3B71" w:rsidR="0033072C">
        <w:rPr>
          <w:sz w:val="24"/>
          <w:szCs w:val="24"/>
        </w:rPr>
        <w:t>two</w:t>
      </w:r>
      <w:r w:rsidRPr="007F3B71" w:rsidR="0033072C">
        <w:rPr>
          <w:sz w:val="24"/>
          <w:szCs w:val="24"/>
        </w:rPr>
        <w:t xml:space="preserve"> which is </w:t>
      </w:r>
      <w:r w:rsidRPr="007F3B71" w:rsidR="003F42B0">
        <w:rPr>
          <w:sz w:val="24"/>
          <w:szCs w:val="24"/>
        </w:rPr>
        <w:t>$</w:t>
      </w:r>
      <w:r w:rsidRPr="007F3B71">
        <w:rPr>
          <w:sz w:val="24"/>
          <w:szCs w:val="24"/>
        </w:rPr>
        <w:t xml:space="preserve">73.30 per hour. </w:t>
      </w:r>
      <w:r w:rsidRPr="007F3B71" w:rsidR="0033072C">
        <w:rPr>
          <w:sz w:val="24"/>
          <w:szCs w:val="24"/>
        </w:rPr>
        <w:t xml:space="preserve">  </w:t>
      </w:r>
    </w:p>
    <w:p w:rsidR="007F3B71" w:rsidP="008F570D" w14:paraId="78968251" w14:textId="5B85DD4E"/>
    <w:p w:rsidR="007F3B71" w:rsidP="008F570D" w14:paraId="1CEB40E9" w14:textId="6AD30774">
      <w:r>
        <w:t>The average wage rate based on this data is $84.24 per hour.</w:t>
      </w:r>
    </w:p>
    <w:p w:rsidR="00542413" w:rsidRPr="00542413" w:rsidP="008F570D" w14:paraId="26232607" w14:textId="789FD709">
      <w:pPr>
        <w:rPr>
          <w:i/>
          <w:iCs/>
        </w:rPr>
      </w:pPr>
      <w:r>
        <w:rPr>
          <w:b/>
          <w:bCs/>
        </w:rPr>
        <w:t xml:space="preserve"> </w:t>
      </w:r>
    </w:p>
    <w:tbl>
      <w:tblPr>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982"/>
        <w:gridCol w:w="1254"/>
        <w:gridCol w:w="1174"/>
        <w:gridCol w:w="986"/>
        <w:gridCol w:w="1283"/>
        <w:gridCol w:w="915"/>
        <w:gridCol w:w="1165"/>
      </w:tblGrid>
      <w:tr w14:paraId="3DDE53E5" w14:textId="77777777" w:rsidTr="00650434">
        <w:tblPrEx>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316" w:type="dxa"/>
            <w:shd w:val="clear" w:color="auto" w:fill="BFBFBF" w:themeFill="background1" w:themeFillShade="BF"/>
            <w:vAlign w:val="center"/>
          </w:tcPr>
          <w:p w:rsidR="00D972BF" w:rsidRPr="00BD4CFB" w:rsidP="007F3B71" w14:paraId="2381BB0C" w14:textId="77777777">
            <w:pPr>
              <w:jc w:val="center"/>
              <w:rPr>
                <w:sz w:val="20"/>
                <w:szCs w:val="20"/>
              </w:rPr>
            </w:pPr>
            <w:r w:rsidRPr="00BD4CFB">
              <w:rPr>
                <w:sz w:val="20"/>
                <w:szCs w:val="20"/>
              </w:rPr>
              <w:t>Instrument</w:t>
            </w:r>
          </w:p>
        </w:tc>
        <w:tc>
          <w:tcPr>
            <w:tcW w:w="1262" w:type="dxa"/>
            <w:shd w:val="clear" w:color="auto" w:fill="BFBFBF" w:themeFill="background1" w:themeFillShade="BF"/>
            <w:vAlign w:val="center"/>
          </w:tcPr>
          <w:p w:rsidR="00D972BF" w:rsidRPr="00BD4CFB" w:rsidP="007F3B71" w14:paraId="42F19101" w14:textId="77777777">
            <w:pPr>
              <w:jc w:val="center"/>
              <w:rPr>
                <w:sz w:val="20"/>
                <w:szCs w:val="20"/>
              </w:rPr>
            </w:pPr>
            <w:r>
              <w:rPr>
                <w:sz w:val="20"/>
                <w:szCs w:val="20"/>
              </w:rPr>
              <w:t xml:space="preserve">Total </w:t>
            </w:r>
            <w:r w:rsidRPr="00BD4CFB">
              <w:rPr>
                <w:sz w:val="20"/>
                <w:szCs w:val="20"/>
              </w:rPr>
              <w:t>Number of Respondents</w:t>
            </w:r>
          </w:p>
        </w:tc>
        <w:tc>
          <w:tcPr>
            <w:tcW w:w="1180" w:type="dxa"/>
            <w:shd w:val="clear" w:color="auto" w:fill="BFBFBF" w:themeFill="background1" w:themeFillShade="BF"/>
            <w:vAlign w:val="center"/>
          </w:tcPr>
          <w:p w:rsidR="00D972BF" w:rsidRPr="00BD4CFB" w:rsidP="007F3B71" w14:paraId="714F2F09" w14:textId="02E9514E">
            <w:pPr>
              <w:jc w:val="center"/>
              <w:rPr>
                <w:sz w:val="20"/>
                <w:szCs w:val="20"/>
              </w:rPr>
            </w:pPr>
            <w:r w:rsidRPr="4AE5982E">
              <w:rPr>
                <w:sz w:val="20"/>
                <w:szCs w:val="20"/>
              </w:rPr>
              <w:t>Total Number of Responses Per Respondent</w:t>
            </w:r>
          </w:p>
        </w:tc>
        <w:tc>
          <w:tcPr>
            <w:tcW w:w="988" w:type="dxa"/>
            <w:shd w:val="clear" w:color="auto" w:fill="BFBFBF" w:themeFill="background1" w:themeFillShade="BF"/>
            <w:vAlign w:val="center"/>
          </w:tcPr>
          <w:p w:rsidR="00D972BF" w:rsidRPr="00BD4CFB" w:rsidP="007F3B71" w14:paraId="05CC723F" w14:textId="77777777">
            <w:pPr>
              <w:jc w:val="center"/>
              <w:rPr>
                <w:sz w:val="20"/>
                <w:szCs w:val="20"/>
              </w:rPr>
            </w:pPr>
            <w:r w:rsidRPr="00BD4CFB">
              <w:rPr>
                <w:sz w:val="20"/>
                <w:szCs w:val="20"/>
              </w:rPr>
              <w:t>Average Burden Hours Per Response</w:t>
            </w:r>
          </w:p>
        </w:tc>
        <w:tc>
          <w:tcPr>
            <w:tcW w:w="849" w:type="dxa"/>
            <w:shd w:val="clear" w:color="auto" w:fill="BFBFBF" w:themeFill="background1" w:themeFillShade="BF"/>
            <w:vAlign w:val="center"/>
          </w:tcPr>
          <w:p w:rsidR="00D972BF" w:rsidP="007F3B71" w14:paraId="1F591B58" w14:textId="2F333B8C">
            <w:pPr>
              <w:jc w:val="center"/>
              <w:rPr>
                <w:bCs/>
                <w:sz w:val="20"/>
                <w:szCs w:val="20"/>
              </w:rPr>
            </w:pPr>
            <w:r>
              <w:rPr>
                <w:sz w:val="20"/>
                <w:szCs w:val="20"/>
              </w:rPr>
              <w:t>Annual/</w:t>
            </w:r>
            <w:r>
              <w:rPr>
                <w:sz w:val="20"/>
                <w:szCs w:val="20"/>
              </w:rPr>
              <w:t>Total Burden Hours</w:t>
            </w:r>
          </w:p>
        </w:tc>
        <w:tc>
          <w:tcPr>
            <w:tcW w:w="925" w:type="dxa"/>
            <w:shd w:val="clear" w:color="auto" w:fill="BFBFBF" w:themeFill="background1" w:themeFillShade="BF"/>
            <w:vAlign w:val="center"/>
          </w:tcPr>
          <w:p w:rsidR="00D972BF" w:rsidRPr="00BD4CFB" w:rsidP="007F3B71" w14:paraId="45DFE675" w14:textId="77777777">
            <w:pPr>
              <w:jc w:val="center"/>
              <w:rPr>
                <w:sz w:val="20"/>
                <w:szCs w:val="20"/>
              </w:rPr>
            </w:pPr>
            <w:r w:rsidRPr="00BD4CFB">
              <w:rPr>
                <w:bCs/>
                <w:sz w:val="20"/>
                <w:szCs w:val="20"/>
              </w:rPr>
              <w:t>Average Hourly Wage</w:t>
            </w:r>
          </w:p>
        </w:tc>
        <w:tc>
          <w:tcPr>
            <w:tcW w:w="1239" w:type="dxa"/>
            <w:shd w:val="clear" w:color="auto" w:fill="BFBFBF" w:themeFill="background1" w:themeFillShade="BF"/>
            <w:vAlign w:val="center"/>
          </w:tcPr>
          <w:p w:rsidR="00D972BF" w:rsidRPr="00BD4CFB" w:rsidP="007F3B71" w14:paraId="39990194" w14:textId="77777777">
            <w:pPr>
              <w:jc w:val="center"/>
              <w:rPr>
                <w:sz w:val="20"/>
                <w:szCs w:val="20"/>
              </w:rPr>
            </w:pPr>
            <w:r w:rsidRPr="00BD4CFB">
              <w:rPr>
                <w:bCs/>
                <w:sz w:val="20"/>
                <w:szCs w:val="20"/>
              </w:rPr>
              <w:t>Total Annual Cost</w:t>
            </w:r>
          </w:p>
        </w:tc>
      </w:tr>
      <w:tr w14:paraId="7CE63E36" w14:textId="77777777" w:rsidTr="00650434">
        <w:tblPrEx>
          <w:tblW w:w="8759" w:type="dxa"/>
          <w:jc w:val="center"/>
          <w:tblLook w:val="00A0"/>
        </w:tblPrEx>
        <w:trPr>
          <w:trHeight w:val="432"/>
          <w:jc w:val="center"/>
        </w:trPr>
        <w:tc>
          <w:tcPr>
            <w:tcW w:w="2316" w:type="dxa"/>
            <w:vAlign w:val="center"/>
          </w:tcPr>
          <w:p w:rsidR="00D972BF" w:rsidRPr="00BD4CFB" w:rsidP="00D972BF" w14:paraId="15455CD3" w14:textId="07E1D6EA">
            <w:pPr>
              <w:tabs>
                <w:tab w:val="center" w:pos="4320"/>
                <w:tab w:val="right" w:pos="8640"/>
              </w:tabs>
              <w:rPr>
                <w:sz w:val="20"/>
                <w:szCs w:val="20"/>
              </w:rPr>
            </w:pPr>
            <w:r>
              <w:rPr>
                <w:sz w:val="20"/>
                <w:szCs w:val="20"/>
              </w:rPr>
              <w:t xml:space="preserve">NCSACW RPG Policy Academy- </w:t>
            </w:r>
            <w:r w:rsidR="00650434">
              <w:rPr>
                <w:sz w:val="20"/>
                <w:szCs w:val="20"/>
              </w:rPr>
              <w:t xml:space="preserve">RPG </w:t>
            </w:r>
            <w:r>
              <w:rPr>
                <w:sz w:val="20"/>
                <w:szCs w:val="20"/>
              </w:rPr>
              <w:t>P</w:t>
            </w:r>
            <w:r w:rsidR="00650434">
              <w:rPr>
                <w:sz w:val="20"/>
                <w:szCs w:val="20"/>
              </w:rPr>
              <w:t xml:space="preserve">lanning </w:t>
            </w:r>
            <w:r>
              <w:rPr>
                <w:sz w:val="20"/>
                <w:szCs w:val="20"/>
              </w:rPr>
              <w:t>L</w:t>
            </w:r>
            <w:r w:rsidR="00650434">
              <w:rPr>
                <w:sz w:val="20"/>
                <w:szCs w:val="20"/>
              </w:rPr>
              <w:t>essons (Instrument 1)</w:t>
            </w:r>
          </w:p>
        </w:tc>
        <w:tc>
          <w:tcPr>
            <w:tcW w:w="1262" w:type="dxa"/>
            <w:vAlign w:val="center"/>
          </w:tcPr>
          <w:p w:rsidR="00D972BF" w:rsidRPr="00D972BF" w:rsidP="00D972BF" w14:paraId="2106BBF5" w14:textId="037D0395">
            <w:pPr>
              <w:tabs>
                <w:tab w:val="center" w:pos="4320"/>
                <w:tab w:val="right" w:pos="8640"/>
              </w:tabs>
              <w:jc w:val="center"/>
              <w:rPr>
                <w:sz w:val="20"/>
                <w:szCs w:val="20"/>
              </w:rPr>
            </w:pPr>
            <w:r w:rsidRPr="00D972BF">
              <w:rPr>
                <w:sz w:val="20"/>
                <w:szCs w:val="20"/>
              </w:rPr>
              <w:t>30</w:t>
            </w:r>
          </w:p>
        </w:tc>
        <w:tc>
          <w:tcPr>
            <w:tcW w:w="1180" w:type="dxa"/>
            <w:vAlign w:val="center"/>
          </w:tcPr>
          <w:p w:rsidR="00D972BF" w:rsidRPr="00BD4CFB" w:rsidP="00D972BF" w14:paraId="402332F4" w14:textId="51B76D5F">
            <w:pPr>
              <w:tabs>
                <w:tab w:val="center" w:pos="4320"/>
                <w:tab w:val="right" w:pos="8640"/>
              </w:tabs>
              <w:jc w:val="center"/>
              <w:rPr>
                <w:sz w:val="20"/>
                <w:szCs w:val="20"/>
              </w:rPr>
            </w:pPr>
            <w:r>
              <w:rPr>
                <w:sz w:val="20"/>
                <w:szCs w:val="20"/>
              </w:rPr>
              <w:t>1</w:t>
            </w:r>
          </w:p>
        </w:tc>
        <w:tc>
          <w:tcPr>
            <w:tcW w:w="988" w:type="dxa"/>
            <w:vAlign w:val="center"/>
          </w:tcPr>
          <w:p w:rsidR="00D972BF" w:rsidRPr="00BD4CFB" w:rsidP="00D972BF" w14:paraId="2166A45E" w14:textId="1F2AF2A4">
            <w:pPr>
              <w:tabs>
                <w:tab w:val="center" w:pos="4320"/>
                <w:tab w:val="right" w:pos="8640"/>
              </w:tabs>
              <w:jc w:val="center"/>
              <w:rPr>
                <w:sz w:val="20"/>
                <w:szCs w:val="20"/>
              </w:rPr>
            </w:pPr>
            <w:r>
              <w:rPr>
                <w:sz w:val="20"/>
                <w:szCs w:val="20"/>
              </w:rPr>
              <w:t>1.5</w:t>
            </w:r>
          </w:p>
        </w:tc>
        <w:tc>
          <w:tcPr>
            <w:tcW w:w="849" w:type="dxa"/>
            <w:vAlign w:val="center"/>
          </w:tcPr>
          <w:p w:rsidR="00D972BF" w:rsidRPr="00BD4CFB" w:rsidP="00D972BF" w14:paraId="5A6C5F6C" w14:textId="6940A8F0">
            <w:pPr>
              <w:tabs>
                <w:tab w:val="center" w:pos="4320"/>
                <w:tab w:val="right" w:pos="8640"/>
              </w:tabs>
              <w:jc w:val="center"/>
              <w:rPr>
                <w:sz w:val="20"/>
                <w:szCs w:val="20"/>
              </w:rPr>
            </w:pPr>
            <w:r>
              <w:rPr>
                <w:sz w:val="20"/>
                <w:szCs w:val="20"/>
              </w:rPr>
              <w:t>45</w:t>
            </w:r>
          </w:p>
        </w:tc>
        <w:tc>
          <w:tcPr>
            <w:tcW w:w="925" w:type="dxa"/>
            <w:vAlign w:val="center"/>
          </w:tcPr>
          <w:p w:rsidR="00D972BF" w:rsidRPr="00BD4CFB" w:rsidP="00D972BF" w14:paraId="4C12A145" w14:textId="4BADA28B">
            <w:pPr>
              <w:tabs>
                <w:tab w:val="center" w:pos="4320"/>
                <w:tab w:val="right" w:pos="8640"/>
              </w:tabs>
              <w:jc w:val="center"/>
              <w:rPr>
                <w:sz w:val="20"/>
                <w:szCs w:val="20"/>
              </w:rPr>
            </w:pPr>
            <w:r>
              <w:rPr>
                <w:sz w:val="20"/>
                <w:szCs w:val="20"/>
              </w:rPr>
              <w:t>$84.24</w:t>
            </w:r>
          </w:p>
        </w:tc>
        <w:tc>
          <w:tcPr>
            <w:tcW w:w="1239" w:type="dxa"/>
            <w:vAlign w:val="center"/>
          </w:tcPr>
          <w:p w:rsidR="00D972BF" w:rsidRPr="00BD4CFB" w:rsidP="00D972BF" w14:paraId="01C1A511" w14:textId="30D8E0E5">
            <w:pPr>
              <w:tabs>
                <w:tab w:val="center" w:pos="4320"/>
                <w:tab w:val="right" w:pos="8640"/>
              </w:tabs>
              <w:jc w:val="center"/>
              <w:rPr>
                <w:sz w:val="20"/>
                <w:szCs w:val="20"/>
              </w:rPr>
            </w:pPr>
            <w:r>
              <w:rPr>
                <w:sz w:val="20"/>
                <w:szCs w:val="20"/>
              </w:rPr>
              <w:t>$3,790</w:t>
            </w:r>
            <w:r w:rsidR="007F3B71">
              <w:rPr>
                <w:sz w:val="20"/>
                <w:szCs w:val="20"/>
              </w:rPr>
              <w:t>.80</w:t>
            </w:r>
          </w:p>
        </w:tc>
      </w:tr>
      <w:tr w14:paraId="79082FA8" w14:textId="77777777" w:rsidTr="00650434">
        <w:tblPrEx>
          <w:tblW w:w="8759" w:type="dxa"/>
          <w:jc w:val="center"/>
          <w:tblLook w:val="00A0"/>
        </w:tblPrEx>
        <w:trPr>
          <w:trHeight w:val="432"/>
          <w:jc w:val="center"/>
        </w:trPr>
        <w:tc>
          <w:tcPr>
            <w:tcW w:w="2316" w:type="dxa"/>
            <w:vAlign w:val="center"/>
          </w:tcPr>
          <w:p w:rsidR="00E022B9" w:rsidRPr="00BD4CFB" w:rsidP="00E022B9" w14:paraId="27ED90F0" w14:textId="3EF437E6">
            <w:pPr>
              <w:tabs>
                <w:tab w:val="center" w:pos="4320"/>
                <w:tab w:val="right" w:pos="8640"/>
              </w:tabs>
              <w:rPr>
                <w:sz w:val="20"/>
                <w:szCs w:val="20"/>
              </w:rPr>
            </w:pPr>
            <w:r>
              <w:rPr>
                <w:sz w:val="20"/>
                <w:szCs w:val="20"/>
              </w:rPr>
              <w:t xml:space="preserve">NCSACW Policy Academy- </w:t>
            </w:r>
            <w:r w:rsidR="00650434">
              <w:rPr>
                <w:sz w:val="20"/>
                <w:szCs w:val="20"/>
              </w:rPr>
              <w:t xml:space="preserve">Programs </w:t>
            </w:r>
            <w:r w:rsidR="00650434">
              <w:rPr>
                <w:sz w:val="20"/>
                <w:szCs w:val="20"/>
              </w:rPr>
              <w:t xml:space="preserve">and </w:t>
            </w:r>
            <w:r>
              <w:rPr>
                <w:sz w:val="20"/>
                <w:szCs w:val="20"/>
              </w:rPr>
              <w:t>S</w:t>
            </w:r>
            <w:r w:rsidR="00650434">
              <w:rPr>
                <w:sz w:val="20"/>
                <w:szCs w:val="20"/>
              </w:rPr>
              <w:t xml:space="preserve">ervice </w:t>
            </w:r>
            <w:r>
              <w:rPr>
                <w:sz w:val="20"/>
                <w:szCs w:val="20"/>
              </w:rPr>
              <w:t>S</w:t>
            </w:r>
            <w:r w:rsidR="00650434">
              <w:rPr>
                <w:sz w:val="20"/>
                <w:szCs w:val="20"/>
              </w:rPr>
              <w:t>election (Instrument 2)</w:t>
            </w:r>
          </w:p>
        </w:tc>
        <w:tc>
          <w:tcPr>
            <w:tcW w:w="1262" w:type="dxa"/>
            <w:vAlign w:val="center"/>
          </w:tcPr>
          <w:p w:rsidR="00E022B9" w:rsidRPr="00D972BF" w:rsidP="00E022B9" w14:paraId="5FDE0035" w14:textId="6FE40ADD">
            <w:pPr>
              <w:tabs>
                <w:tab w:val="center" w:pos="4320"/>
                <w:tab w:val="right" w:pos="8640"/>
              </w:tabs>
              <w:jc w:val="center"/>
              <w:rPr>
                <w:sz w:val="20"/>
                <w:szCs w:val="20"/>
              </w:rPr>
            </w:pPr>
            <w:r w:rsidRPr="00D972BF">
              <w:rPr>
                <w:sz w:val="20"/>
                <w:szCs w:val="20"/>
              </w:rPr>
              <w:t>30</w:t>
            </w:r>
          </w:p>
        </w:tc>
        <w:tc>
          <w:tcPr>
            <w:tcW w:w="1180" w:type="dxa"/>
            <w:vAlign w:val="center"/>
          </w:tcPr>
          <w:p w:rsidR="00E022B9" w:rsidRPr="00BD4CFB" w:rsidP="00E022B9" w14:paraId="345E7A43" w14:textId="04EBB44D">
            <w:pPr>
              <w:tabs>
                <w:tab w:val="center" w:pos="4320"/>
                <w:tab w:val="right" w:pos="8640"/>
              </w:tabs>
              <w:jc w:val="center"/>
              <w:rPr>
                <w:sz w:val="20"/>
                <w:szCs w:val="20"/>
              </w:rPr>
            </w:pPr>
            <w:r>
              <w:rPr>
                <w:sz w:val="20"/>
                <w:szCs w:val="20"/>
              </w:rPr>
              <w:t>1</w:t>
            </w:r>
          </w:p>
        </w:tc>
        <w:tc>
          <w:tcPr>
            <w:tcW w:w="988" w:type="dxa"/>
            <w:vAlign w:val="center"/>
          </w:tcPr>
          <w:p w:rsidR="00E022B9" w:rsidRPr="00BD4CFB" w:rsidP="00E022B9" w14:paraId="27851FED" w14:textId="6BCCA6C5">
            <w:pPr>
              <w:tabs>
                <w:tab w:val="center" w:pos="4320"/>
                <w:tab w:val="right" w:pos="8640"/>
              </w:tabs>
              <w:jc w:val="center"/>
              <w:rPr>
                <w:sz w:val="20"/>
                <w:szCs w:val="20"/>
              </w:rPr>
            </w:pPr>
            <w:r>
              <w:rPr>
                <w:sz w:val="20"/>
                <w:szCs w:val="20"/>
              </w:rPr>
              <w:t>1.5</w:t>
            </w:r>
          </w:p>
        </w:tc>
        <w:tc>
          <w:tcPr>
            <w:tcW w:w="849" w:type="dxa"/>
            <w:vAlign w:val="center"/>
          </w:tcPr>
          <w:p w:rsidR="00E022B9" w:rsidRPr="00BD4CFB" w:rsidP="00E022B9" w14:paraId="2A6A15B1" w14:textId="738C44CF">
            <w:pPr>
              <w:tabs>
                <w:tab w:val="center" w:pos="4320"/>
                <w:tab w:val="right" w:pos="8640"/>
              </w:tabs>
              <w:jc w:val="center"/>
              <w:rPr>
                <w:sz w:val="20"/>
                <w:szCs w:val="20"/>
              </w:rPr>
            </w:pPr>
            <w:r>
              <w:rPr>
                <w:sz w:val="20"/>
                <w:szCs w:val="20"/>
              </w:rPr>
              <w:t>45</w:t>
            </w:r>
          </w:p>
        </w:tc>
        <w:tc>
          <w:tcPr>
            <w:tcW w:w="925" w:type="dxa"/>
            <w:vAlign w:val="center"/>
          </w:tcPr>
          <w:p w:rsidR="00E022B9" w:rsidRPr="00BD4CFB" w:rsidP="00E022B9" w14:paraId="190D3377" w14:textId="70181CE9">
            <w:pPr>
              <w:tabs>
                <w:tab w:val="center" w:pos="4320"/>
                <w:tab w:val="right" w:pos="8640"/>
              </w:tabs>
              <w:jc w:val="center"/>
              <w:rPr>
                <w:sz w:val="20"/>
                <w:szCs w:val="20"/>
              </w:rPr>
            </w:pPr>
            <w:r>
              <w:rPr>
                <w:sz w:val="20"/>
                <w:szCs w:val="20"/>
              </w:rPr>
              <w:t>$84.24</w:t>
            </w:r>
          </w:p>
        </w:tc>
        <w:tc>
          <w:tcPr>
            <w:tcW w:w="1239" w:type="dxa"/>
          </w:tcPr>
          <w:p w:rsidR="00E022B9" w:rsidP="00E022B9" w14:paraId="020E7D9B" w14:textId="77777777">
            <w:pPr>
              <w:tabs>
                <w:tab w:val="center" w:pos="4320"/>
                <w:tab w:val="right" w:pos="8640"/>
              </w:tabs>
              <w:jc w:val="center"/>
              <w:rPr>
                <w:sz w:val="20"/>
                <w:szCs w:val="20"/>
              </w:rPr>
            </w:pPr>
          </w:p>
          <w:p w:rsidR="00E022B9" w:rsidRPr="00BD4CFB" w:rsidP="00E022B9" w14:paraId="2A7C2E47" w14:textId="02DF4DE5">
            <w:pPr>
              <w:tabs>
                <w:tab w:val="center" w:pos="4320"/>
                <w:tab w:val="right" w:pos="8640"/>
              </w:tabs>
              <w:jc w:val="center"/>
              <w:rPr>
                <w:sz w:val="20"/>
                <w:szCs w:val="20"/>
              </w:rPr>
            </w:pPr>
            <w:r w:rsidRPr="009B2BFC">
              <w:rPr>
                <w:sz w:val="20"/>
                <w:szCs w:val="20"/>
              </w:rPr>
              <w:t>$3,790</w:t>
            </w:r>
            <w:r w:rsidR="007F3B71">
              <w:rPr>
                <w:sz w:val="20"/>
                <w:szCs w:val="20"/>
              </w:rPr>
              <w:t>.80</w:t>
            </w:r>
          </w:p>
        </w:tc>
      </w:tr>
      <w:tr w14:paraId="07CC1282" w14:textId="77777777" w:rsidTr="00650434">
        <w:tblPrEx>
          <w:tblW w:w="8759" w:type="dxa"/>
          <w:jc w:val="center"/>
          <w:tblLook w:val="00A0"/>
        </w:tblPrEx>
        <w:trPr>
          <w:trHeight w:val="432"/>
          <w:jc w:val="center"/>
        </w:trPr>
        <w:tc>
          <w:tcPr>
            <w:tcW w:w="2316" w:type="dxa"/>
            <w:vAlign w:val="center"/>
          </w:tcPr>
          <w:p w:rsidR="00E022B9" w:rsidRPr="00BD4CFB" w:rsidP="00E022B9" w14:paraId="4A194661" w14:textId="7D7E5B00">
            <w:pPr>
              <w:tabs>
                <w:tab w:val="center" w:pos="4320"/>
                <w:tab w:val="right" w:pos="8640"/>
              </w:tabs>
              <w:rPr>
                <w:sz w:val="20"/>
                <w:szCs w:val="20"/>
              </w:rPr>
            </w:pPr>
            <w:r>
              <w:rPr>
                <w:sz w:val="20"/>
                <w:szCs w:val="20"/>
              </w:rPr>
              <w:t xml:space="preserve">NCSACW RPG Policy Academy- </w:t>
            </w:r>
            <w:r w:rsidR="00650434">
              <w:rPr>
                <w:sz w:val="20"/>
                <w:szCs w:val="20"/>
              </w:rPr>
              <w:t xml:space="preserve">Performance </w:t>
            </w:r>
            <w:r>
              <w:rPr>
                <w:sz w:val="20"/>
                <w:szCs w:val="20"/>
              </w:rPr>
              <w:t>I</w:t>
            </w:r>
            <w:r w:rsidR="00650434">
              <w:rPr>
                <w:sz w:val="20"/>
                <w:szCs w:val="20"/>
              </w:rPr>
              <w:t xml:space="preserve">ndicators and </w:t>
            </w:r>
            <w:r>
              <w:rPr>
                <w:sz w:val="20"/>
                <w:szCs w:val="20"/>
              </w:rPr>
              <w:t>E</w:t>
            </w:r>
            <w:r w:rsidR="00650434">
              <w:rPr>
                <w:sz w:val="20"/>
                <w:szCs w:val="20"/>
              </w:rPr>
              <w:t>valuation (Instrument 3)</w:t>
            </w:r>
          </w:p>
        </w:tc>
        <w:tc>
          <w:tcPr>
            <w:tcW w:w="1262" w:type="dxa"/>
            <w:vAlign w:val="center"/>
          </w:tcPr>
          <w:p w:rsidR="00E022B9" w:rsidRPr="00D972BF" w:rsidP="00E022B9" w14:paraId="46ADC4F0" w14:textId="7F3B07B9">
            <w:pPr>
              <w:tabs>
                <w:tab w:val="center" w:pos="4320"/>
                <w:tab w:val="right" w:pos="8640"/>
              </w:tabs>
              <w:jc w:val="center"/>
              <w:rPr>
                <w:sz w:val="20"/>
                <w:szCs w:val="20"/>
              </w:rPr>
            </w:pPr>
            <w:r w:rsidRPr="00D972BF">
              <w:rPr>
                <w:sz w:val="20"/>
                <w:szCs w:val="20"/>
              </w:rPr>
              <w:t>30</w:t>
            </w:r>
          </w:p>
        </w:tc>
        <w:tc>
          <w:tcPr>
            <w:tcW w:w="1180" w:type="dxa"/>
            <w:vAlign w:val="center"/>
          </w:tcPr>
          <w:p w:rsidR="00E022B9" w:rsidRPr="00BD4CFB" w:rsidP="00E022B9" w14:paraId="4106774A" w14:textId="617098D4">
            <w:pPr>
              <w:tabs>
                <w:tab w:val="center" w:pos="4320"/>
                <w:tab w:val="right" w:pos="8640"/>
              </w:tabs>
              <w:jc w:val="center"/>
              <w:rPr>
                <w:sz w:val="20"/>
                <w:szCs w:val="20"/>
              </w:rPr>
            </w:pPr>
            <w:r>
              <w:rPr>
                <w:sz w:val="20"/>
                <w:szCs w:val="20"/>
              </w:rPr>
              <w:t>1</w:t>
            </w:r>
          </w:p>
        </w:tc>
        <w:tc>
          <w:tcPr>
            <w:tcW w:w="988" w:type="dxa"/>
            <w:vAlign w:val="center"/>
          </w:tcPr>
          <w:p w:rsidR="00E022B9" w:rsidRPr="00BD4CFB" w:rsidP="00E022B9" w14:paraId="301B3025" w14:textId="443025D1">
            <w:pPr>
              <w:tabs>
                <w:tab w:val="center" w:pos="4320"/>
                <w:tab w:val="right" w:pos="8640"/>
              </w:tabs>
              <w:jc w:val="center"/>
              <w:rPr>
                <w:sz w:val="20"/>
                <w:szCs w:val="20"/>
              </w:rPr>
            </w:pPr>
            <w:r>
              <w:rPr>
                <w:sz w:val="20"/>
                <w:szCs w:val="20"/>
              </w:rPr>
              <w:t>1.5</w:t>
            </w:r>
          </w:p>
        </w:tc>
        <w:tc>
          <w:tcPr>
            <w:tcW w:w="849" w:type="dxa"/>
            <w:vAlign w:val="center"/>
          </w:tcPr>
          <w:p w:rsidR="00E022B9" w:rsidRPr="00BD4CFB" w:rsidP="00E022B9" w14:paraId="16DF3C9F" w14:textId="3755FE12">
            <w:pPr>
              <w:tabs>
                <w:tab w:val="center" w:pos="4320"/>
                <w:tab w:val="right" w:pos="8640"/>
              </w:tabs>
              <w:jc w:val="center"/>
              <w:rPr>
                <w:sz w:val="20"/>
                <w:szCs w:val="20"/>
              </w:rPr>
            </w:pPr>
            <w:r>
              <w:rPr>
                <w:sz w:val="20"/>
                <w:szCs w:val="20"/>
              </w:rPr>
              <w:t>45</w:t>
            </w:r>
          </w:p>
        </w:tc>
        <w:tc>
          <w:tcPr>
            <w:tcW w:w="925" w:type="dxa"/>
            <w:vAlign w:val="center"/>
          </w:tcPr>
          <w:p w:rsidR="00E022B9" w:rsidRPr="00BD4CFB" w:rsidP="00E022B9" w14:paraId="50B2DDAD" w14:textId="681A1665">
            <w:pPr>
              <w:tabs>
                <w:tab w:val="center" w:pos="4320"/>
                <w:tab w:val="right" w:pos="8640"/>
              </w:tabs>
              <w:jc w:val="center"/>
              <w:rPr>
                <w:sz w:val="20"/>
                <w:szCs w:val="20"/>
              </w:rPr>
            </w:pPr>
            <w:r>
              <w:rPr>
                <w:sz w:val="20"/>
                <w:szCs w:val="20"/>
              </w:rPr>
              <w:t>$84.24</w:t>
            </w:r>
          </w:p>
        </w:tc>
        <w:tc>
          <w:tcPr>
            <w:tcW w:w="1239" w:type="dxa"/>
          </w:tcPr>
          <w:p w:rsidR="00E022B9" w:rsidP="00E022B9" w14:paraId="5C886BCA" w14:textId="77777777">
            <w:pPr>
              <w:tabs>
                <w:tab w:val="center" w:pos="4320"/>
                <w:tab w:val="right" w:pos="8640"/>
              </w:tabs>
              <w:jc w:val="center"/>
              <w:rPr>
                <w:sz w:val="20"/>
                <w:szCs w:val="20"/>
              </w:rPr>
            </w:pPr>
          </w:p>
          <w:p w:rsidR="00E022B9" w:rsidRPr="00BD4CFB" w:rsidP="00E022B9" w14:paraId="78EF1A2C" w14:textId="5C69A467">
            <w:pPr>
              <w:tabs>
                <w:tab w:val="center" w:pos="4320"/>
                <w:tab w:val="right" w:pos="8640"/>
              </w:tabs>
              <w:jc w:val="center"/>
              <w:rPr>
                <w:sz w:val="20"/>
                <w:szCs w:val="20"/>
              </w:rPr>
            </w:pPr>
            <w:r w:rsidRPr="009B2BFC">
              <w:rPr>
                <w:sz w:val="20"/>
                <w:szCs w:val="20"/>
              </w:rPr>
              <w:t>$3,790</w:t>
            </w:r>
            <w:r w:rsidR="007F3B71">
              <w:rPr>
                <w:sz w:val="20"/>
                <w:szCs w:val="20"/>
              </w:rPr>
              <w:t>.80</w:t>
            </w:r>
          </w:p>
        </w:tc>
      </w:tr>
      <w:tr w14:paraId="7C6DEF58" w14:textId="77777777" w:rsidTr="00650434">
        <w:tblPrEx>
          <w:tblW w:w="8759" w:type="dxa"/>
          <w:jc w:val="center"/>
          <w:tblLook w:val="00A0"/>
        </w:tblPrEx>
        <w:trPr>
          <w:trHeight w:val="432"/>
          <w:jc w:val="center"/>
        </w:trPr>
        <w:tc>
          <w:tcPr>
            <w:tcW w:w="2316" w:type="dxa"/>
            <w:vAlign w:val="center"/>
          </w:tcPr>
          <w:p w:rsidR="00E022B9" w:rsidRPr="007340FB" w:rsidP="00E022B9" w14:paraId="30737D62" w14:textId="2F7C0484">
            <w:pPr>
              <w:tabs>
                <w:tab w:val="center" w:pos="4320"/>
                <w:tab w:val="right" w:pos="8640"/>
              </w:tabs>
              <w:rPr>
                <w:sz w:val="20"/>
                <w:szCs w:val="20"/>
              </w:rPr>
            </w:pPr>
            <w:r>
              <w:rPr>
                <w:sz w:val="20"/>
                <w:szCs w:val="20"/>
              </w:rPr>
              <w:t xml:space="preserve">NCSACW RPG Policy Academy- </w:t>
            </w:r>
            <w:r w:rsidR="00650434">
              <w:rPr>
                <w:sz w:val="20"/>
                <w:szCs w:val="20"/>
              </w:rPr>
              <w:t xml:space="preserve">Sustainability and </w:t>
            </w:r>
            <w:r>
              <w:rPr>
                <w:sz w:val="20"/>
                <w:szCs w:val="20"/>
              </w:rPr>
              <w:t>G</w:t>
            </w:r>
            <w:r w:rsidR="00650434">
              <w:rPr>
                <w:sz w:val="20"/>
                <w:szCs w:val="20"/>
              </w:rPr>
              <w:t xml:space="preserve">oing to </w:t>
            </w:r>
            <w:r>
              <w:rPr>
                <w:sz w:val="20"/>
                <w:szCs w:val="20"/>
              </w:rPr>
              <w:t>S</w:t>
            </w:r>
            <w:r w:rsidR="00650434">
              <w:rPr>
                <w:sz w:val="20"/>
                <w:szCs w:val="20"/>
              </w:rPr>
              <w:t>cale (Instrument 4)</w:t>
            </w:r>
          </w:p>
        </w:tc>
        <w:tc>
          <w:tcPr>
            <w:tcW w:w="1262" w:type="dxa"/>
            <w:vAlign w:val="center"/>
          </w:tcPr>
          <w:p w:rsidR="00E022B9" w:rsidRPr="00D972BF" w:rsidP="00E022B9" w14:paraId="599DE7CD" w14:textId="34EA3873">
            <w:pPr>
              <w:tabs>
                <w:tab w:val="center" w:pos="4320"/>
                <w:tab w:val="right" w:pos="8640"/>
              </w:tabs>
              <w:jc w:val="center"/>
              <w:rPr>
                <w:sz w:val="20"/>
                <w:szCs w:val="20"/>
              </w:rPr>
            </w:pPr>
            <w:r w:rsidRPr="00D972BF">
              <w:rPr>
                <w:sz w:val="20"/>
                <w:szCs w:val="20"/>
              </w:rPr>
              <w:t>30</w:t>
            </w:r>
          </w:p>
        </w:tc>
        <w:tc>
          <w:tcPr>
            <w:tcW w:w="1180" w:type="dxa"/>
            <w:vAlign w:val="center"/>
          </w:tcPr>
          <w:p w:rsidR="00E022B9" w:rsidRPr="00BD4CFB" w:rsidP="00E022B9" w14:paraId="19D27D17" w14:textId="37A3F953">
            <w:pPr>
              <w:tabs>
                <w:tab w:val="center" w:pos="4320"/>
                <w:tab w:val="right" w:pos="8640"/>
              </w:tabs>
              <w:jc w:val="center"/>
              <w:rPr>
                <w:sz w:val="20"/>
                <w:szCs w:val="20"/>
              </w:rPr>
            </w:pPr>
            <w:r>
              <w:rPr>
                <w:sz w:val="20"/>
                <w:szCs w:val="20"/>
              </w:rPr>
              <w:t>1</w:t>
            </w:r>
          </w:p>
        </w:tc>
        <w:tc>
          <w:tcPr>
            <w:tcW w:w="988" w:type="dxa"/>
            <w:vAlign w:val="center"/>
          </w:tcPr>
          <w:p w:rsidR="00E022B9" w:rsidRPr="00BD4CFB" w:rsidP="00E022B9" w14:paraId="3B15981F" w14:textId="224CDDC4">
            <w:pPr>
              <w:tabs>
                <w:tab w:val="center" w:pos="4320"/>
                <w:tab w:val="right" w:pos="8640"/>
              </w:tabs>
              <w:jc w:val="center"/>
              <w:rPr>
                <w:sz w:val="20"/>
                <w:szCs w:val="20"/>
              </w:rPr>
            </w:pPr>
            <w:r>
              <w:rPr>
                <w:sz w:val="20"/>
                <w:szCs w:val="20"/>
              </w:rPr>
              <w:t>1.5</w:t>
            </w:r>
          </w:p>
        </w:tc>
        <w:tc>
          <w:tcPr>
            <w:tcW w:w="849" w:type="dxa"/>
            <w:vAlign w:val="center"/>
          </w:tcPr>
          <w:p w:rsidR="00E022B9" w:rsidRPr="00BD4CFB" w:rsidP="00E022B9" w14:paraId="4679C304" w14:textId="2F713D77">
            <w:pPr>
              <w:tabs>
                <w:tab w:val="center" w:pos="4320"/>
                <w:tab w:val="right" w:pos="8640"/>
              </w:tabs>
              <w:jc w:val="center"/>
              <w:rPr>
                <w:sz w:val="20"/>
                <w:szCs w:val="20"/>
              </w:rPr>
            </w:pPr>
            <w:r>
              <w:rPr>
                <w:sz w:val="20"/>
                <w:szCs w:val="20"/>
              </w:rPr>
              <w:t>45</w:t>
            </w:r>
          </w:p>
        </w:tc>
        <w:tc>
          <w:tcPr>
            <w:tcW w:w="925" w:type="dxa"/>
            <w:vAlign w:val="center"/>
          </w:tcPr>
          <w:p w:rsidR="00E022B9" w:rsidRPr="00BD4CFB" w:rsidP="007F3B71" w14:paraId="483B3D8E" w14:textId="4BDA155B">
            <w:pPr>
              <w:tabs>
                <w:tab w:val="center" w:pos="4320"/>
                <w:tab w:val="right" w:pos="8640"/>
              </w:tabs>
              <w:jc w:val="center"/>
              <w:rPr>
                <w:sz w:val="20"/>
                <w:szCs w:val="20"/>
              </w:rPr>
            </w:pPr>
            <w:r>
              <w:rPr>
                <w:sz w:val="20"/>
                <w:szCs w:val="20"/>
              </w:rPr>
              <w:t>$84.24</w:t>
            </w:r>
          </w:p>
        </w:tc>
        <w:tc>
          <w:tcPr>
            <w:tcW w:w="1239" w:type="dxa"/>
            <w:vAlign w:val="center"/>
          </w:tcPr>
          <w:p w:rsidR="00E022B9" w:rsidRPr="00BD4CFB" w:rsidP="007F3B71" w14:paraId="23B546E8" w14:textId="23A3A9E6">
            <w:pPr>
              <w:tabs>
                <w:tab w:val="center" w:pos="4320"/>
                <w:tab w:val="right" w:pos="8640"/>
              </w:tabs>
              <w:jc w:val="center"/>
              <w:rPr>
                <w:sz w:val="20"/>
                <w:szCs w:val="20"/>
              </w:rPr>
            </w:pPr>
            <w:r w:rsidRPr="009B2BFC">
              <w:rPr>
                <w:sz w:val="20"/>
                <w:szCs w:val="20"/>
              </w:rPr>
              <w:t>$3,790</w:t>
            </w:r>
            <w:r w:rsidR="007F3B71">
              <w:rPr>
                <w:sz w:val="20"/>
                <w:szCs w:val="20"/>
              </w:rPr>
              <w:t>.80</w:t>
            </w:r>
          </w:p>
        </w:tc>
      </w:tr>
      <w:tr w14:paraId="21524C34" w14:textId="77777777" w:rsidTr="00650434">
        <w:tblPrEx>
          <w:tblW w:w="8759" w:type="dxa"/>
          <w:jc w:val="center"/>
          <w:tblLook w:val="00A0"/>
        </w:tblPrEx>
        <w:trPr>
          <w:trHeight w:val="432"/>
          <w:jc w:val="center"/>
        </w:trPr>
        <w:tc>
          <w:tcPr>
            <w:tcW w:w="2316" w:type="dxa"/>
            <w:vAlign w:val="center"/>
          </w:tcPr>
          <w:p w:rsidR="00650434" w:rsidRPr="007340FB" w:rsidP="00E022B9" w14:paraId="6C1259DC" w14:textId="38F99874">
            <w:pPr>
              <w:tabs>
                <w:tab w:val="center" w:pos="4320"/>
                <w:tab w:val="right" w:pos="8640"/>
              </w:tabs>
              <w:rPr>
                <w:sz w:val="20"/>
                <w:szCs w:val="20"/>
              </w:rPr>
            </w:pPr>
            <w:r>
              <w:rPr>
                <w:sz w:val="20"/>
                <w:szCs w:val="20"/>
              </w:rPr>
              <w:t xml:space="preserve">NCSACW RPG Policy Academy- </w:t>
            </w:r>
            <w:r>
              <w:rPr>
                <w:sz w:val="20"/>
                <w:szCs w:val="20"/>
              </w:rPr>
              <w:t xml:space="preserve">Partners in </w:t>
            </w:r>
            <w:r>
              <w:rPr>
                <w:sz w:val="20"/>
                <w:szCs w:val="20"/>
              </w:rPr>
              <w:t>P</w:t>
            </w:r>
            <w:r>
              <w:rPr>
                <w:sz w:val="20"/>
                <w:szCs w:val="20"/>
              </w:rPr>
              <w:t>ractice (Instrument 5)</w:t>
            </w:r>
          </w:p>
        </w:tc>
        <w:tc>
          <w:tcPr>
            <w:tcW w:w="1262" w:type="dxa"/>
            <w:vAlign w:val="center"/>
          </w:tcPr>
          <w:p w:rsidR="00E022B9" w:rsidRPr="00D972BF" w:rsidP="00E022B9" w14:paraId="170E4B1B" w14:textId="2A34C62B">
            <w:pPr>
              <w:tabs>
                <w:tab w:val="center" w:pos="4320"/>
                <w:tab w:val="right" w:pos="8640"/>
              </w:tabs>
              <w:jc w:val="center"/>
              <w:rPr>
                <w:sz w:val="20"/>
                <w:szCs w:val="20"/>
              </w:rPr>
            </w:pPr>
            <w:r w:rsidRPr="00D972BF">
              <w:rPr>
                <w:sz w:val="20"/>
                <w:szCs w:val="20"/>
              </w:rPr>
              <w:t>30</w:t>
            </w:r>
          </w:p>
        </w:tc>
        <w:tc>
          <w:tcPr>
            <w:tcW w:w="1180" w:type="dxa"/>
            <w:vAlign w:val="center"/>
          </w:tcPr>
          <w:p w:rsidR="00E022B9" w:rsidRPr="00BD4CFB" w:rsidP="00E022B9" w14:paraId="1A63F9CB" w14:textId="28A0A5BE">
            <w:pPr>
              <w:tabs>
                <w:tab w:val="center" w:pos="4320"/>
                <w:tab w:val="right" w:pos="8640"/>
              </w:tabs>
              <w:jc w:val="center"/>
              <w:rPr>
                <w:sz w:val="20"/>
                <w:szCs w:val="20"/>
              </w:rPr>
            </w:pPr>
            <w:r>
              <w:rPr>
                <w:sz w:val="20"/>
                <w:szCs w:val="20"/>
              </w:rPr>
              <w:t>1</w:t>
            </w:r>
          </w:p>
        </w:tc>
        <w:tc>
          <w:tcPr>
            <w:tcW w:w="988" w:type="dxa"/>
            <w:vAlign w:val="center"/>
          </w:tcPr>
          <w:p w:rsidR="00E022B9" w:rsidRPr="00BD4CFB" w:rsidP="00E022B9" w14:paraId="08728FF4" w14:textId="5ECF4C85">
            <w:pPr>
              <w:tabs>
                <w:tab w:val="center" w:pos="4320"/>
                <w:tab w:val="right" w:pos="8640"/>
              </w:tabs>
              <w:jc w:val="center"/>
              <w:rPr>
                <w:sz w:val="20"/>
                <w:szCs w:val="20"/>
              </w:rPr>
            </w:pPr>
            <w:r>
              <w:rPr>
                <w:sz w:val="20"/>
                <w:szCs w:val="20"/>
              </w:rPr>
              <w:t>1.5</w:t>
            </w:r>
          </w:p>
        </w:tc>
        <w:tc>
          <w:tcPr>
            <w:tcW w:w="849" w:type="dxa"/>
            <w:vAlign w:val="center"/>
          </w:tcPr>
          <w:p w:rsidR="00E022B9" w:rsidRPr="00BD4CFB" w:rsidP="00E022B9" w14:paraId="2E0947C0" w14:textId="66859699">
            <w:pPr>
              <w:tabs>
                <w:tab w:val="center" w:pos="4320"/>
                <w:tab w:val="right" w:pos="8640"/>
              </w:tabs>
              <w:jc w:val="center"/>
              <w:rPr>
                <w:sz w:val="20"/>
                <w:szCs w:val="20"/>
              </w:rPr>
            </w:pPr>
            <w:r>
              <w:rPr>
                <w:sz w:val="20"/>
                <w:szCs w:val="20"/>
              </w:rPr>
              <w:t>45</w:t>
            </w:r>
          </w:p>
        </w:tc>
        <w:tc>
          <w:tcPr>
            <w:tcW w:w="925" w:type="dxa"/>
            <w:vAlign w:val="center"/>
          </w:tcPr>
          <w:p w:rsidR="00E022B9" w:rsidRPr="00BD4CFB" w:rsidP="00E022B9" w14:paraId="35126EDC" w14:textId="087216C8">
            <w:pPr>
              <w:tabs>
                <w:tab w:val="center" w:pos="4320"/>
                <w:tab w:val="right" w:pos="8640"/>
              </w:tabs>
              <w:jc w:val="center"/>
              <w:rPr>
                <w:sz w:val="20"/>
                <w:szCs w:val="20"/>
              </w:rPr>
            </w:pPr>
            <w:r>
              <w:rPr>
                <w:sz w:val="20"/>
                <w:szCs w:val="20"/>
              </w:rPr>
              <w:t>$84.24</w:t>
            </w:r>
          </w:p>
        </w:tc>
        <w:tc>
          <w:tcPr>
            <w:tcW w:w="1239" w:type="dxa"/>
          </w:tcPr>
          <w:p w:rsidR="00E022B9" w:rsidP="00E022B9" w14:paraId="6D648F68" w14:textId="77777777">
            <w:pPr>
              <w:tabs>
                <w:tab w:val="center" w:pos="4320"/>
                <w:tab w:val="right" w:pos="8640"/>
              </w:tabs>
              <w:jc w:val="center"/>
              <w:rPr>
                <w:sz w:val="20"/>
                <w:szCs w:val="20"/>
              </w:rPr>
            </w:pPr>
          </w:p>
          <w:p w:rsidR="00E022B9" w:rsidRPr="00BD4CFB" w:rsidP="00E022B9" w14:paraId="1F33CD28" w14:textId="39688983">
            <w:pPr>
              <w:tabs>
                <w:tab w:val="center" w:pos="4320"/>
                <w:tab w:val="right" w:pos="8640"/>
              </w:tabs>
              <w:jc w:val="center"/>
              <w:rPr>
                <w:sz w:val="20"/>
                <w:szCs w:val="20"/>
              </w:rPr>
            </w:pPr>
            <w:r w:rsidRPr="009B2BFC">
              <w:rPr>
                <w:sz w:val="20"/>
                <w:szCs w:val="20"/>
              </w:rPr>
              <w:t>$3,790</w:t>
            </w:r>
            <w:r w:rsidR="007F3B71">
              <w:rPr>
                <w:sz w:val="20"/>
                <w:szCs w:val="20"/>
              </w:rPr>
              <w:t>.80</w:t>
            </w:r>
          </w:p>
        </w:tc>
      </w:tr>
      <w:tr w14:paraId="54F6D469" w14:textId="77777777" w:rsidTr="00650434">
        <w:tblPrEx>
          <w:tblW w:w="8759" w:type="dxa"/>
          <w:jc w:val="center"/>
          <w:tblLook w:val="00A0"/>
        </w:tblPrEx>
        <w:trPr>
          <w:trHeight w:val="432"/>
          <w:jc w:val="center"/>
        </w:trPr>
        <w:tc>
          <w:tcPr>
            <w:tcW w:w="2316" w:type="dxa"/>
            <w:vAlign w:val="center"/>
          </w:tcPr>
          <w:p w:rsidR="007F3B71" w:rsidRPr="00650434" w:rsidP="00650434" w14:paraId="57762BDB" w14:textId="41425CE3">
            <w:pPr>
              <w:tabs>
                <w:tab w:val="center" w:pos="4320"/>
                <w:tab w:val="right" w:pos="8640"/>
              </w:tabs>
              <w:jc w:val="right"/>
              <w:rPr>
                <w:b/>
                <w:bCs/>
                <w:sz w:val="20"/>
                <w:szCs w:val="20"/>
              </w:rPr>
            </w:pPr>
            <w:r w:rsidRPr="00650434">
              <w:rPr>
                <w:b/>
                <w:bCs/>
                <w:sz w:val="20"/>
                <w:szCs w:val="20"/>
              </w:rPr>
              <w:t xml:space="preserve">Totals: </w:t>
            </w:r>
          </w:p>
        </w:tc>
        <w:tc>
          <w:tcPr>
            <w:tcW w:w="1262" w:type="dxa"/>
            <w:vAlign w:val="center"/>
          </w:tcPr>
          <w:p w:rsidR="007F3B71" w:rsidRPr="00D972BF" w:rsidP="007F3B71" w14:paraId="6B7D5290" w14:textId="783208AA">
            <w:pPr>
              <w:tabs>
                <w:tab w:val="center" w:pos="4320"/>
                <w:tab w:val="right" w:pos="8640"/>
              </w:tabs>
              <w:jc w:val="center"/>
              <w:rPr>
                <w:sz w:val="20"/>
                <w:szCs w:val="20"/>
              </w:rPr>
            </w:pPr>
            <w:r>
              <w:rPr>
                <w:sz w:val="20"/>
                <w:szCs w:val="20"/>
              </w:rPr>
              <w:t>150</w:t>
            </w:r>
          </w:p>
        </w:tc>
        <w:tc>
          <w:tcPr>
            <w:tcW w:w="1180" w:type="dxa"/>
            <w:vAlign w:val="center"/>
          </w:tcPr>
          <w:p w:rsidR="007F3B71" w:rsidP="007F3B71" w14:paraId="41D54EA1" w14:textId="39F28F0A">
            <w:pPr>
              <w:tabs>
                <w:tab w:val="center" w:pos="4320"/>
                <w:tab w:val="right" w:pos="8640"/>
              </w:tabs>
              <w:jc w:val="center"/>
              <w:rPr>
                <w:sz w:val="20"/>
                <w:szCs w:val="20"/>
              </w:rPr>
            </w:pPr>
            <w:r>
              <w:rPr>
                <w:sz w:val="20"/>
                <w:szCs w:val="20"/>
              </w:rPr>
              <w:t>1</w:t>
            </w:r>
          </w:p>
        </w:tc>
        <w:tc>
          <w:tcPr>
            <w:tcW w:w="988" w:type="dxa"/>
            <w:vAlign w:val="center"/>
          </w:tcPr>
          <w:p w:rsidR="007F3B71" w:rsidP="007F3B71" w14:paraId="2F365B1E" w14:textId="24CCF0EB">
            <w:pPr>
              <w:tabs>
                <w:tab w:val="center" w:pos="4320"/>
                <w:tab w:val="right" w:pos="8640"/>
              </w:tabs>
              <w:jc w:val="center"/>
              <w:rPr>
                <w:sz w:val="20"/>
                <w:szCs w:val="20"/>
              </w:rPr>
            </w:pPr>
            <w:r>
              <w:rPr>
                <w:sz w:val="20"/>
                <w:szCs w:val="20"/>
              </w:rPr>
              <w:t>1.5</w:t>
            </w:r>
          </w:p>
        </w:tc>
        <w:tc>
          <w:tcPr>
            <w:tcW w:w="849" w:type="dxa"/>
            <w:vAlign w:val="center"/>
          </w:tcPr>
          <w:p w:rsidR="007F3B71" w:rsidP="007F3B71" w14:paraId="53526590" w14:textId="08DCBA11">
            <w:pPr>
              <w:tabs>
                <w:tab w:val="center" w:pos="4320"/>
                <w:tab w:val="right" w:pos="8640"/>
              </w:tabs>
              <w:jc w:val="center"/>
              <w:rPr>
                <w:sz w:val="20"/>
                <w:szCs w:val="20"/>
              </w:rPr>
            </w:pPr>
            <w:r>
              <w:rPr>
                <w:sz w:val="20"/>
                <w:szCs w:val="20"/>
              </w:rPr>
              <w:t>225</w:t>
            </w:r>
          </w:p>
        </w:tc>
        <w:tc>
          <w:tcPr>
            <w:tcW w:w="925" w:type="dxa"/>
            <w:vAlign w:val="center"/>
          </w:tcPr>
          <w:p w:rsidR="007F3B71" w:rsidP="007F3B71" w14:paraId="1B0F3316" w14:textId="21CBAE4F">
            <w:pPr>
              <w:tabs>
                <w:tab w:val="center" w:pos="4320"/>
                <w:tab w:val="right" w:pos="8640"/>
              </w:tabs>
              <w:jc w:val="center"/>
              <w:rPr>
                <w:sz w:val="20"/>
                <w:szCs w:val="20"/>
              </w:rPr>
            </w:pPr>
            <w:r>
              <w:rPr>
                <w:sz w:val="20"/>
                <w:szCs w:val="20"/>
              </w:rPr>
              <w:t>$84.24</w:t>
            </w:r>
          </w:p>
        </w:tc>
        <w:tc>
          <w:tcPr>
            <w:tcW w:w="1239" w:type="dxa"/>
            <w:vAlign w:val="center"/>
          </w:tcPr>
          <w:p w:rsidR="007F3B71" w:rsidP="007F3B71" w14:paraId="31278A71" w14:textId="3F713CB4">
            <w:pPr>
              <w:tabs>
                <w:tab w:val="center" w:pos="4320"/>
                <w:tab w:val="right" w:pos="8640"/>
              </w:tabs>
              <w:jc w:val="center"/>
              <w:rPr>
                <w:sz w:val="20"/>
                <w:szCs w:val="20"/>
              </w:rPr>
            </w:pPr>
            <w:r>
              <w:rPr>
                <w:b/>
                <w:bCs/>
                <w:sz w:val="20"/>
                <w:szCs w:val="20"/>
              </w:rPr>
              <w:t>$18,954</w:t>
            </w:r>
          </w:p>
        </w:tc>
      </w:tr>
    </w:tbl>
    <w:p w:rsidR="002338AC" w:rsidP="00650434" w14:paraId="3C895703" w14:textId="299216C1"/>
    <w:p w:rsidR="00650434" w:rsidP="00650434" w14:paraId="5028ECFE" w14:textId="7D56875A"/>
    <w:p w:rsidR="00945CD6" w:rsidRPr="0072204D" w:rsidP="4AE5982E" w14:paraId="7BDBE261" w14:textId="77777777">
      <w:pPr>
        <w:spacing w:after="120"/>
        <w:rPr>
          <w:b/>
          <w:bCs/>
        </w:rPr>
      </w:pPr>
      <w:r w:rsidRPr="4AE5982E">
        <w:rPr>
          <w:b/>
          <w:bCs/>
        </w:rPr>
        <w:t xml:space="preserve">A13. </w:t>
      </w:r>
      <w:r w:rsidRPr="4AE5982E">
        <w:rPr>
          <w:b/>
          <w:bCs/>
        </w:rPr>
        <w:t>Cost Burden to Respondents or Record Keepers</w:t>
      </w:r>
    </w:p>
    <w:p w:rsidR="002338AC" w:rsidP="4AE5982E" w14:paraId="136F28B3" w14:textId="542BD7AB">
      <w:r>
        <w:t>An honoraria of $62.50 per hour is proposed for professionals to provide feedback on RPG from their professional background. It will only be offered to those who are not affiliated with an RPG</w:t>
      </w:r>
      <w:r w:rsidR="00FF2E94">
        <w:t xml:space="preserve"> (e.g., retired person with expertise)</w:t>
      </w:r>
      <w:r w:rsidR="00500D6E">
        <w:t xml:space="preserve">, </w:t>
      </w:r>
      <w:r w:rsidR="00056CD8">
        <w:t>so as</w:t>
      </w:r>
      <w:r w:rsidR="00500D6E">
        <w:t xml:space="preserve"> to avoid any conflict of interes</w:t>
      </w:r>
      <w:r w:rsidR="00056CD8">
        <w:t>t</w:t>
      </w:r>
      <w:r w:rsidR="00D30503">
        <w:t>.</w:t>
      </w:r>
      <w:r>
        <w:t xml:space="preserve"> </w:t>
      </w:r>
      <w:r w:rsidRPr="005957C5" w:rsidR="005957C5">
        <w:t xml:space="preserve">The hourly rate of $62.50 was determined based on the Federal daily consulting rate.  </w:t>
      </w:r>
    </w:p>
    <w:p w:rsidR="00333F8E" w:rsidP="4AE5982E" w14:paraId="5CD4F382" w14:textId="77777777"/>
    <w:p w:rsidR="00945CD6" w:rsidRPr="0072204D" w:rsidP="4AE5982E" w14:paraId="2A791D57" w14:textId="77777777">
      <w:pPr>
        <w:spacing w:after="60"/>
        <w:rPr>
          <w:b/>
          <w:bCs/>
        </w:rPr>
      </w:pPr>
      <w:r w:rsidRPr="4AE5982E">
        <w:rPr>
          <w:b/>
          <w:bCs/>
        </w:rPr>
        <w:t xml:space="preserve">A14. </w:t>
      </w:r>
      <w:r w:rsidRPr="4AE5982E">
        <w:rPr>
          <w:b/>
          <w:bCs/>
        </w:rPr>
        <w:t>Estimate of Cost to the Federal Government</w:t>
      </w:r>
    </w:p>
    <w:p w:rsidR="00436F5E" w:rsidP="4AE5982E" w14:paraId="304B1383" w14:textId="0CB7BFF1">
      <w:r w:rsidRPr="4AE5982E">
        <w:t>The total cost for the data collection activities under this current request will be $</w:t>
      </w:r>
      <w:r w:rsidR="00D33B69">
        <w:t>23,973</w:t>
      </w:r>
      <w:r w:rsidRPr="4AE5982E">
        <w:t xml:space="preserve">. </w:t>
      </w:r>
    </w:p>
    <w:p w:rsidR="0033072C" w:rsidP="4AE5982E" w14:paraId="10E2AD7E" w14:textId="77777777"/>
    <w:p w:rsidR="00945CD6" w:rsidP="4AE5982E" w14:paraId="4B385444" w14:textId="77777777">
      <w:pPr>
        <w:spacing w:after="120"/>
        <w:rPr>
          <w:b/>
          <w:bCs/>
        </w:rPr>
      </w:pPr>
      <w:r w:rsidRPr="4AE5982E">
        <w:rPr>
          <w:b/>
          <w:bCs/>
        </w:rPr>
        <w:t xml:space="preserve">A15. </w:t>
      </w:r>
      <w:r w:rsidRPr="4AE5982E">
        <w:rPr>
          <w:b/>
          <w:bCs/>
        </w:rPr>
        <w:t>Change in Burden</w:t>
      </w:r>
    </w:p>
    <w:p w:rsidR="00446BD0" w:rsidRPr="00CB2ED6" w:rsidP="4AE5982E" w14:paraId="14541B35" w14:textId="53F20054">
      <w:r w:rsidRPr="4AE5982E">
        <w:t xml:space="preserve">This is for an individual information collection under the umbrella </w:t>
      </w:r>
      <w:r w:rsidRPr="4AE5982E" w:rsidR="001140AB">
        <w:t>formative generic clearance for program support (0970-0531</w:t>
      </w:r>
      <w:r w:rsidRPr="4AE5982E" w:rsidR="00542413">
        <w:t>).</w:t>
      </w:r>
    </w:p>
    <w:p w:rsidR="0033072C" w:rsidP="4AE5982E" w14:paraId="580F3480" w14:textId="77777777">
      <w:pPr>
        <w:ind w:left="360"/>
      </w:pPr>
    </w:p>
    <w:p w:rsidR="00945CD6" w:rsidRPr="005A64C5" w:rsidP="4AE5982E" w14:paraId="347FE16D" w14:textId="77777777">
      <w:pPr>
        <w:spacing w:after="60"/>
        <w:rPr>
          <w:b/>
          <w:bCs/>
        </w:rPr>
      </w:pPr>
      <w:r w:rsidRPr="4AE5982E">
        <w:rPr>
          <w:b/>
          <w:bCs/>
        </w:rPr>
        <w:t xml:space="preserve">A16. </w:t>
      </w:r>
      <w:r w:rsidRPr="4AE5982E">
        <w:rPr>
          <w:b/>
          <w:bCs/>
        </w:rPr>
        <w:t>Plan and Time Schedule for Information Collection, Tabulation and Publication</w:t>
      </w:r>
    </w:p>
    <w:p w:rsidR="00247395" w:rsidP="4AE5982E" w14:paraId="74863C4E" w14:textId="08ED58AF">
      <w:r>
        <w:t xml:space="preserve">Upon approval of the information collection, NCSACW intends to hold all topic area discussions </w:t>
      </w:r>
      <w:r>
        <w:t>immediately, over about a one-month timeframe</w:t>
      </w:r>
      <w:r>
        <w:t xml:space="preserve">. </w:t>
      </w:r>
    </w:p>
    <w:p w:rsidR="00247395" w:rsidP="4AE5982E" w14:paraId="079BD110" w14:textId="77777777"/>
    <w:p w:rsidR="002338AC" w:rsidP="4AE5982E" w14:paraId="412227CC" w14:textId="139260C8">
      <w:r>
        <w:t>The analysis of information collected</w:t>
      </w:r>
      <w:r w:rsidR="00247395">
        <w:t xml:space="preserve"> and development of an internal report</w:t>
      </w:r>
      <w:r>
        <w:t xml:space="preserve"> </w:t>
      </w:r>
      <w:r w:rsidR="00247395">
        <w:t>is expected to take place over the following year and the</w:t>
      </w:r>
      <w:r w:rsidR="005F7295">
        <w:t xml:space="preserve"> report will be submitted to ACF </w:t>
      </w:r>
      <w:r w:rsidR="00247395">
        <w:t>by March 2027</w:t>
      </w:r>
      <w:r w:rsidR="005F7295">
        <w:t xml:space="preserve">. </w:t>
      </w:r>
    </w:p>
    <w:p w:rsidR="00AC558A" w:rsidP="4AE5982E" w14:paraId="43A2DC82" w14:textId="77777777"/>
    <w:p w:rsidR="005F7295" w:rsidP="005F7295" w14:paraId="153E4A77" w14:textId="3010CACF">
      <w:r>
        <w:t>Currently, there are no plans for publication of materials but t</w:t>
      </w:r>
      <w:r>
        <w:t xml:space="preserve">he findings are intended to inform ACF activities and may be incorporated into materials beyond the Policy Academy report. </w:t>
      </w:r>
      <w:r>
        <w:t>Additionally, f</w:t>
      </w:r>
      <w:r>
        <w:t>indings from the Policy Academy may be used to develop internal TA plans or TA materials that can be shared with future TA recipients.</w:t>
      </w:r>
    </w:p>
    <w:p w:rsidR="002338AC" w:rsidP="4AE5982E" w14:paraId="5D35D3D0" w14:textId="77777777">
      <w:pPr>
        <w:rPr>
          <w:b/>
          <w:bCs/>
        </w:rPr>
      </w:pPr>
    </w:p>
    <w:p w:rsidR="00945CD6" w:rsidRPr="0072204D" w:rsidP="4AE5982E" w14:paraId="750BBE88" w14:textId="77777777">
      <w:pPr>
        <w:spacing w:after="120"/>
        <w:rPr>
          <w:b/>
          <w:bCs/>
        </w:rPr>
      </w:pPr>
      <w:r w:rsidRPr="4AE5982E">
        <w:rPr>
          <w:b/>
          <w:bCs/>
        </w:rPr>
        <w:t xml:space="preserve">A17. </w:t>
      </w:r>
      <w:r w:rsidRPr="4AE5982E">
        <w:rPr>
          <w:b/>
          <w:bCs/>
        </w:rPr>
        <w:t>Reasons Not to Display OMB Expiration Date</w:t>
      </w:r>
    </w:p>
    <w:p w:rsidR="002338AC" w:rsidP="003C6FF4" w14:paraId="4920E2AE" w14:textId="30AA904D">
      <w:r w:rsidRPr="00CD63A0">
        <w:t>All instruments will display the expiration date for OMB approval.</w:t>
      </w:r>
    </w:p>
    <w:p w:rsidR="003769D8" w:rsidRPr="003C6FF4" w:rsidP="003C6FF4" w14:paraId="25F91EA4" w14:textId="77777777">
      <w:pPr>
        <w:rPr>
          <w:highlight w:val="yellow"/>
        </w:rPr>
      </w:pPr>
    </w:p>
    <w:p w:rsidR="00945CD6" w:rsidRPr="000B5EA8" w:rsidP="4AE5982E" w14:paraId="0DA51717" w14:textId="77777777">
      <w:pPr>
        <w:spacing w:after="120"/>
        <w:rPr>
          <w:b/>
          <w:bCs/>
        </w:rPr>
      </w:pPr>
      <w:r w:rsidRPr="4AE5982E">
        <w:rPr>
          <w:b/>
          <w:bCs/>
        </w:rPr>
        <w:t>A18.</w:t>
      </w:r>
      <w:r w:rsidRPr="4AE5982E" w:rsidR="000B5EA8">
        <w:rPr>
          <w:b/>
          <w:bCs/>
        </w:rPr>
        <w:t xml:space="preserve"> Exceptions to Certification for Paperwork Reduction Act Submissions</w:t>
      </w:r>
    </w:p>
    <w:p w:rsidR="00D90EF6" w:rsidP="4AE5982E" w14:paraId="117373B9" w14:textId="77777777">
      <w:r w:rsidRPr="00CD63A0">
        <w:t>No exceptions are necessary for this information collection.</w:t>
      </w:r>
      <w:r>
        <w:tab/>
      </w:r>
    </w:p>
    <w:p w:rsidR="007922D3" w:rsidP="4AE5982E" w14:paraId="5D9BED36" w14:textId="77777777">
      <w:pPr>
        <w:tabs>
          <w:tab w:val="left" w:pos="360"/>
        </w:tabs>
      </w:pPr>
    </w:p>
    <w:p w:rsidR="00201F72" w:rsidRPr="00BB2925" w:rsidP="4AE5982E" w14:paraId="12DE8FF2" w14:textId="77777777">
      <w:pPr>
        <w:spacing w:after="120"/>
        <w:rPr>
          <w:b/>
          <w:bCs/>
        </w:rPr>
      </w:pPr>
      <w:r w:rsidRPr="4AE5982E">
        <w:rPr>
          <w:b/>
          <w:bCs/>
        </w:rPr>
        <w:t>Attachments</w:t>
      </w:r>
    </w:p>
    <w:p w:rsidR="0072204D" w:rsidRPr="003B3E7E" w:rsidP="4AE5982E" w14:paraId="4DA2F605" w14:textId="200EDC75">
      <w:r w:rsidRPr="003B3E7E">
        <w:t xml:space="preserve">Attachment 1. </w:t>
      </w:r>
      <w:r w:rsidRPr="003B3E7E" w:rsidR="003B3E7E">
        <w:t>NCSACW RPG Policy Academy</w:t>
      </w:r>
      <w:r w:rsidR="00CD56A5">
        <w:t xml:space="preserve">- </w:t>
      </w:r>
      <w:r w:rsidR="00D3757D">
        <w:t>RPG Planning Lessons (Instrument 1)</w:t>
      </w:r>
      <w:r w:rsidRPr="003B3E7E" w:rsidR="003B3E7E">
        <w:t xml:space="preserve"> </w:t>
      </w:r>
    </w:p>
    <w:p w:rsidR="00BD6C10" w:rsidRPr="003B3E7E" w:rsidP="4AE5982E" w14:paraId="1F7012B6" w14:textId="164098A3">
      <w:r w:rsidRPr="003B3E7E">
        <w:t xml:space="preserve">Attachment 2. </w:t>
      </w:r>
      <w:r w:rsidRPr="003B3E7E" w:rsidR="003B3E7E">
        <w:t>NCSACW RPG Policy Academy</w:t>
      </w:r>
      <w:r w:rsidR="00D3757D">
        <w:t>- Programs and Service Selection (Instrument 2)</w:t>
      </w:r>
    </w:p>
    <w:p w:rsidR="00BD6C10" w:rsidRPr="003B3E7E" w:rsidP="4AE5982E" w14:paraId="26D66DC7" w14:textId="472C61FB">
      <w:r w:rsidRPr="003B3E7E">
        <w:t xml:space="preserve">Attachment 3. </w:t>
      </w:r>
      <w:r w:rsidRPr="003B3E7E" w:rsidR="003B3E7E">
        <w:t>NCSACW RPG Policy Academy</w:t>
      </w:r>
      <w:r w:rsidR="00D3757D">
        <w:t xml:space="preserve">- Performance Indicators and Evaluation (Instrument 3) </w:t>
      </w:r>
    </w:p>
    <w:p w:rsidR="00BD6C10" w:rsidRPr="003B3E7E" w:rsidP="4AE5982E" w14:paraId="20C68A35" w14:textId="33464D20">
      <w:r w:rsidRPr="003B3E7E">
        <w:t xml:space="preserve">Attachment 4. </w:t>
      </w:r>
      <w:r w:rsidRPr="003B3E7E" w:rsidR="003B3E7E">
        <w:t>NCSACW RPG Policy Academy</w:t>
      </w:r>
      <w:r w:rsidR="00D3757D">
        <w:t>- Sustainability and Going to Scale (Instrument 4)</w:t>
      </w:r>
      <w:r w:rsidRPr="003B3E7E" w:rsidR="003B3E7E">
        <w:t xml:space="preserve"> </w:t>
      </w:r>
    </w:p>
    <w:p w:rsidR="00BD6C10" w:rsidRPr="003B3E7E" w:rsidP="4AE5982E" w14:paraId="7749D328" w14:textId="77C8008B">
      <w:r w:rsidRPr="003B3E7E">
        <w:t xml:space="preserve">Attachment 5. </w:t>
      </w:r>
      <w:r w:rsidRPr="003B3E7E" w:rsidR="003B3E7E">
        <w:t>NCSACW RPG Policy Academy</w:t>
      </w:r>
      <w:r w:rsidR="00D3757D">
        <w:t xml:space="preserve">- Partners in Practice (Instrument 5) </w:t>
      </w:r>
      <w:r w:rsidRPr="003B3E7E" w:rsidR="003B3E7E">
        <w:t xml:space="preserve"> </w:t>
      </w:r>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D442D"/>
    <w:multiLevelType w:val="hybridMultilevel"/>
    <w:tmpl w:val="1186AB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21523B"/>
    <w:multiLevelType w:val="hybridMultilevel"/>
    <w:tmpl w:val="C0644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8CB8D4"/>
    <w:multiLevelType w:val="hybridMultilevel"/>
    <w:tmpl w:val="3A7623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F6577F"/>
    <w:multiLevelType w:val="hybridMultilevel"/>
    <w:tmpl w:val="CA662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486865"/>
    <w:multiLevelType w:val="hybridMultilevel"/>
    <w:tmpl w:val="88EC4C0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39158E"/>
    <w:multiLevelType w:val="hybridMultilevel"/>
    <w:tmpl w:val="39D27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7303804">
    <w:abstractNumId w:val="16"/>
  </w:num>
  <w:num w:numId="2" w16cid:durableId="406268476">
    <w:abstractNumId w:val="5"/>
  </w:num>
  <w:num w:numId="3" w16cid:durableId="1577938711">
    <w:abstractNumId w:val="1"/>
  </w:num>
  <w:num w:numId="4" w16cid:durableId="1009872190">
    <w:abstractNumId w:val="18"/>
  </w:num>
  <w:num w:numId="5" w16cid:durableId="132915961">
    <w:abstractNumId w:val="10"/>
  </w:num>
  <w:num w:numId="6" w16cid:durableId="1684169140">
    <w:abstractNumId w:val="11"/>
  </w:num>
  <w:num w:numId="7" w16cid:durableId="1367293255">
    <w:abstractNumId w:val="20"/>
  </w:num>
  <w:num w:numId="8" w16cid:durableId="1259873124">
    <w:abstractNumId w:val="19"/>
  </w:num>
  <w:num w:numId="9" w16cid:durableId="912668464">
    <w:abstractNumId w:val="13"/>
  </w:num>
  <w:num w:numId="10" w16cid:durableId="377969612">
    <w:abstractNumId w:val="15"/>
  </w:num>
  <w:num w:numId="11" w16cid:durableId="712190265">
    <w:abstractNumId w:val="2"/>
  </w:num>
  <w:num w:numId="12" w16cid:durableId="984047151">
    <w:abstractNumId w:val="0"/>
  </w:num>
  <w:num w:numId="13" w16cid:durableId="1965889844">
    <w:abstractNumId w:val="4"/>
  </w:num>
  <w:num w:numId="14" w16cid:durableId="1250652901">
    <w:abstractNumId w:val="21"/>
  </w:num>
  <w:num w:numId="15" w16cid:durableId="1697191689">
    <w:abstractNumId w:val="7"/>
  </w:num>
  <w:num w:numId="16" w16cid:durableId="187987854">
    <w:abstractNumId w:val="8"/>
  </w:num>
  <w:num w:numId="17" w16cid:durableId="63648466">
    <w:abstractNumId w:val="27"/>
  </w:num>
  <w:num w:numId="18" w16cid:durableId="1661543574">
    <w:abstractNumId w:val="28"/>
  </w:num>
  <w:num w:numId="19" w16cid:durableId="539786708">
    <w:abstractNumId w:val="25"/>
  </w:num>
  <w:num w:numId="20" w16cid:durableId="645471640">
    <w:abstractNumId w:val="22"/>
  </w:num>
  <w:num w:numId="21" w16cid:durableId="247274653">
    <w:abstractNumId w:val="17"/>
  </w:num>
  <w:num w:numId="22" w16cid:durableId="2134713239">
    <w:abstractNumId w:val="26"/>
  </w:num>
  <w:num w:numId="23" w16cid:durableId="82528565">
    <w:abstractNumId w:val="14"/>
  </w:num>
  <w:num w:numId="24" w16cid:durableId="232735900">
    <w:abstractNumId w:val="12"/>
  </w:num>
  <w:num w:numId="25" w16cid:durableId="1625581330">
    <w:abstractNumId w:val="6"/>
  </w:num>
  <w:num w:numId="26" w16cid:durableId="1178038118">
    <w:abstractNumId w:val="23"/>
  </w:num>
  <w:num w:numId="27" w16cid:durableId="1303004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3899935">
    <w:abstractNumId w:val="3"/>
  </w:num>
  <w:num w:numId="29" w16cid:durableId="445202682">
    <w:abstractNumId w:val="24"/>
  </w:num>
  <w:num w:numId="30" w16cid:durableId="2104064532">
    <w:abstractNumId w:val="9"/>
  </w:num>
  <w:num w:numId="31" w16cid:durableId="6386101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653"/>
    <w:rsid w:val="000008B3"/>
    <w:rsid w:val="000024AF"/>
    <w:rsid w:val="000122EB"/>
    <w:rsid w:val="0001339E"/>
    <w:rsid w:val="000151FE"/>
    <w:rsid w:val="000164BD"/>
    <w:rsid w:val="00020101"/>
    <w:rsid w:val="00031574"/>
    <w:rsid w:val="00031FE7"/>
    <w:rsid w:val="00033E2A"/>
    <w:rsid w:val="000431B8"/>
    <w:rsid w:val="00051E0B"/>
    <w:rsid w:val="00056CD8"/>
    <w:rsid w:val="00061E79"/>
    <w:rsid w:val="0006205C"/>
    <w:rsid w:val="000638B8"/>
    <w:rsid w:val="00064270"/>
    <w:rsid w:val="00066502"/>
    <w:rsid w:val="00076E69"/>
    <w:rsid w:val="00081FD5"/>
    <w:rsid w:val="0008643E"/>
    <w:rsid w:val="00086987"/>
    <w:rsid w:val="0008726D"/>
    <w:rsid w:val="00090C69"/>
    <w:rsid w:val="00091C59"/>
    <w:rsid w:val="00093200"/>
    <w:rsid w:val="000964A6"/>
    <w:rsid w:val="000A1098"/>
    <w:rsid w:val="000A28AA"/>
    <w:rsid w:val="000A6655"/>
    <w:rsid w:val="000B0F6C"/>
    <w:rsid w:val="000B2602"/>
    <w:rsid w:val="000B3572"/>
    <w:rsid w:val="000B5EA8"/>
    <w:rsid w:val="000C3B28"/>
    <w:rsid w:val="000D0B33"/>
    <w:rsid w:val="000D3815"/>
    <w:rsid w:val="000D53DF"/>
    <w:rsid w:val="000E4959"/>
    <w:rsid w:val="000E6C35"/>
    <w:rsid w:val="000E727E"/>
    <w:rsid w:val="000F1CC2"/>
    <w:rsid w:val="000F2C5A"/>
    <w:rsid w:val="000F67B9"/>
    <w:rsid w:val="00101E63"/>
    <w:rsid w:val="001038D8"/>
    <w:rsid w:val="00103B1B"/>
    <w:rsid w:val="00105592"/>
    <w:rsid w:val="001140AB"/>
    <w:rsid w:val="001176A6"/>
    <w:rsid w:val="00120484"/>
    <w:rsid w:val="00122598"/>
    <w:rsid w:val="0012498C"/>
    <w:rsid w:val="00124EBF"/>
    <w:rsid w:val="00126E64"/>
    <w:rsid w:val="00130447"/>
    <w:rsid w:val="00130457"/>
    <w:rsid w:val="00131495"/>
    <w:rsid w:val="0014243C"/>
    <w:rsid w:val="00142EDA"/>
    <w:rsid w:val="001444D8"/>
    <w:rsid w:val="0014451B"/>
    <w:rsid w:val="001450D7"/>
    <w:rsid w:val="001475FB"/>
    <w:rsid w:val="00147F83"/>
    <w:rsid w:val="0015082C"/>
    <w:rsid w:val="00151D0D"/>
    <w:rsid w:val="00154DD4"/>
    <w:rsid w:val="00155164"/>
    <w:rsid w:val="00155AA6"/>
    <w:rsid w:val="001560CF"/>
    <w:rsid w:val="001575EE"/>
    <w:rsid w:val="0016012E"/>
    <w:rsid w:val="0016757E"/>
    <w:rsid w:val="0017615C"/>
    <w:rsid w:val="00177982"/>
    <w:rsid w:val="00183C0F"/>
    <w:rsid w:val="001843CD"/>
    <w:rsid w:val="00190CBA"/>
    <w:rsid w:val="001A27D4"/>
    <w:rsid w:val="001A5A7F"/>
    <w:rsid w:val="001A5AF9"/>
    <w:rsid w:val="001A614B"/>
    <w:rsid w:val="001A6A3D"/>
    <w:rsid w:val="001B0C13"/>
    <w:rsid w:val="001B1332"/>
    <w:rsid w:val="001B13F2"/>
    <w:rsid w:val="001B1E31"/>
    <w:rsid w:val="001B4842"/>
    <w:rsid w:val="001B7712"/>
    <w:rsid w:val="001C13A5"/>
    <w:rsid w:val="001C4D60"/>
    <w:rsid w:val="001C508F"/>
    <w:rsid w:val="001C6CD0"/>
    <w:rsid w:val="001D0B67"/>
    <w:rsid w:val="001D38E4"/>
    <w:rsid w:val="001D5E0D"/>
    <w:rsid w:val="001F3E6A"/>
    <w:rsid w:val="002000D1"/>
    <w:rsid w:val="00201F72"/>
    <w:rsid w:val="0020382F"/>
    <w:rsid w:val="00204A6A"/>
    <w:rsid w:val="00205AF5"/>
    <w:rsid w:val="0020696D"/>
    <w:rsid w:val="0021217A"/>
    <w:rsid w:val="002204F6"/>
    <w:rsid w:val="0022076E"/>
    <w:rsid w:val="002231FA"/>
    <w:rsid w:val="00230A5B"/>
    <w:rsid w:val="00230E68"/>
    <w:rsid w:val="002338AC"/>
    <w:rsid w:val="002343D0"/>
    <w:rsid w:val="00234E8D"/>
    <w:rsid w:val="00235A6D"/>
    <w:rsid w:val="002408DE"/>
    <w:rsid w:val="0024201D"/>
    <w:rsid w:val="00242208"/>
    <w:rsid w:val="0024246C"/>
    <w:rsid w:val="00244E50"/>
    <w:rsid w:val="00247395"/>
    <w:rsid w:val="002477FE"/>
    <w:rsid w:val="00247C02"/>
    <w:rsid w:val="0025173C"/>
    <w:rsid w:val="002519B0"/>
    <w:rsid w:val="00251A4E"/>
    <w:rsid w:val="00253148"/>
    <w:rsid w:val="00255D93"/>
    <w:rsid w:val="00257E7E"/>
    <w:rsid w:val="00263611"/>
    <w:rsid w:val="00267DF7"/>
    <w:rsid w:val="00275270"/>
    <w:rsid w:val="00275784"/>
    <w:rsid w:val="00276B19"/>
    <w:rsid w:val="002814AF"/>
    <w:rsid w:val="00283661"/>
    <w:rsid w:val="00292922"/>
    <w:rsid w:val="00292B70"/>
    <w:rsid w:val="00293911"/>
    <w:rsid w:val="00294F94"/>
    <w:rsid w:val="002A0D90"/>
    <w:rsid w:val="002A1F68"/>
    <w:rsid w:val="002A319B"/>
    <w:rsid w:val="002B3DF0"/>
    <w:rsid w:val="002B4DBE"/>
    <w:rsid w:val="002B5846"/>
    <w:rsid w:val="002C0586"/>
    <w:rsid w:val="002C1CD6"/>
    <w:rsid w:val="002C26F1"/>
    <w:rsid w:val="002C42FB"/>
    <w:rsid w:val="002C4F75"/>
    <w:rsid w:val="002C5691"/>
    <w:rsid w:val="002C7BE5"/>
    <w:rsid w:val="002D01C6"/>
    <w:rsid w:val="002D2206"/>
    <w:rsid w:val="002D3687"/>
    <w:rsid w:val="002D4B0A"/>
    <w:rsid w:val="002D4CC2"/>
    <w:rsid w:val="002D7861"/>
    <w:rsid w:val="002E76C8"/>
    <w:rsid w:val="002F3EDE"/>
    <w:rsid w:val="002F7BAD"/>
    <w:rsid w:val="00300C61"/>
    <w:rsid w:val="0030215E"/>
    <w:rsid w:val="00302F9A"/>
    <w:rsid w:val="00306CC1"/>
    <w:rsid w:val="00310EA8"/>
    <w:rsid w:val="0031135B"/>
    <w:rsid w:val="00311E5F"/>
    <w:rsid w:val="00314148"/>
    <w:rsid w:val="00316A99"/>
    <w:rsid w:val="0032015A"/>
    <w:rsid w:val="00321782"/>
    <w:rsid w:val="00323617"/>
    <w:rsid w:val="003277CF"/>
    <w:rsid w:val="003277D8"/>
    <w:rsid w:val="00327B2E"/>
    <w:rsid w:val="0033072C"/>
    <w:rsid w:val="00333F8E"/>
    <w:rsid w:val="00345566"/>
    <w:rsid w:val="00347F4E"/>
    <w:rsid w:val="00352148"/>
    <w:rsid w:val="003563AC"/>
    <w:rsid w:val="00357916"/>
    <w:rsid w:val="00357C59"/>
    <w:rsid w:val="0036028C"/>
    <w:rsid w:val="00361621"/>
    <w:rsid w:val="00363D57"/>
    <w:rsid w:val="00364297"/>
    <w:rsid w:val="00367326"/>
    <w:rsid w:val="00367BC3"/>
    <w:rsid w:val="00367F47"/>
    <w:rsid w:val="00374293"/>
    <w:rsid w:val="00374DAB"/>
    <w:rsid w:val="003769D8"/>
    <w:rsid w:val="00376C16"/>
    <w:rsid w:val="003817AF"/>
    <w:rsid w:val="0038291A"/>
    <w:rsid w:val="00383D57"/>
    <w:rsid w:val="00384D2B"/>
    <w:rsid w:val="00384DE5"/>
    <w:rsid w:val="00394FC8"/>
    <w:rsid w:val="00395E5D"/>
    <w:rsid w:val="003972AA"/>
    <w:rsid w:val="003A0519"/>
    <w:rsid w:val="003A50FF"/>
    <w:rsid w:val="003B2518"/>
    <w:rsid w:val="003B3E7E"/>
    <w:rsid w:val="003B7480"/>
    <w:rsid w:val="003B7CD8"/>
    <w:rsid w:val="003C1B59"/>
    <w:rsid w:val="003C2271"/>
    <w:rsid w:val="003C48DA"/>
    <w:rsid w:val="003C6FF4"/>
    <w:rsid w:val="003C7B7D"/>
    <w:rsid w:val="003C7BEB"/>
    <w:rsid w:val="003D08B8"/>
    <w:rsid w:val="003D2218"/>
    <w:rsid w:val="003D2F71"/>
    <w:rsid w:val="003D5231"/>
    <w:rsid w:val="003D5F2A"/>
    <w:rsid w:val="003D6A5E"/>
    <w:rsid w:val="003E0E7B"/>
    <w:rsid w:val="003E3D6D"/>
    <w:rsid w:val="003E4534"/>
    <w:rsid w:val="003E7EF8"/>
    <w:rsid w:val="003F19BA"/>
    <w:rsid w:val="003F3E43"/>
    <w:rsid w:val="003F42B0"/>
    <w:rsid w:val="003F6610"/>
    <w:rsid w:val="003F6C2C"/>
    <w:rsid w:val="003F73E8"/>
    <w:rsid w:val="003F76D3"/>
    <w:rsid w:val="004058DB"/>
    <w:rsid w:val="00406F7F"/>
    <w:rsid w:val="004107F5"/>
    <w:rsid w:val="004145F4"/>
    <w:rsid w:val="00417D05"/>
    <w:rsid w:val="00420421"/>
    <w:rsid w:val="00421CDB"/>
    <w:rsid w:val="004222F8"/>
    <w:rsid w:val="00422C1B"/>
    <w:rsid w:val="00422CA9"/>
    <w:rsid w:val="00436F5E"/>
    <w:rsid w:val="00444C43"/>
    <w:rsid w:val="00446031"/>
    <w:rsid w:val="004463A4"/>
    <w:rsid w:val="00446BD0"/>
    <w:rsid w:val="004522FF"/>
    <w:rsid w:val="0045272F"/>
    <w:rsid w:val="00452A44"/>
    <w:rsid w:val="004554B1"/>
    <w:rsid w:val="00456242"/>
    <w:rsid w:val="00456E2F"/>
    <w:rsid w:val="004604B0"/>
    <w:rsid w:val="004611CB"/>
    <w:rsid w:val="004624F7"/>
    <w:rsid w:val="00463A99"/>
    <w:rsid w:val="0047131D"/>
    <w:rsid w:val="00473D5D"/>
    <w:rsid w:val="00476556"/>
    <w:rsid w:val="00477445"/>
    <w:rsid w:val="00482DDE"/>
    <w:rsid w:val="004A44DD"/>
    <w:rsid w:val="004A5498"/>
    <w:rsid w:val="004A6A64"/>
    <w:rsid w:val="004B12BD"/>
    <w:rsid w:val="004B3A30"/>
    <w:rsid w:val="004B587E"/>
    <w:rsid w:val="004C00AF"/>
    <w:rsid w:val="004C033D"/>
    <w:rsid w:val="004C2ADD"/>
    <w:rsid w:val="004C3337"/>
    <w:rsid w:val="004D6CA9"/>
    <w:rsid w:val="004E2502"/>
    <w:rsid w:val="004E2AFF"/>
    <w:rsid w:val="004F325F"/>
    <w:rsid w:val="004F3CF9"/>
    <w:rsid w:val="004F4E1D"/>
    <w:rsid w:val="004F517F"/>
    <w:rsid w:val="00500D6E"/>
    <w:rsid w:val="005046F0"/>
    <w:rsid w:val="005114E6"/>
    <w:rsid w:val="00512352"/>
    <w:rsid w:val="005140C5"/>
    <w:rsid w:val="00514444"/>
    <w:rsid w:val="005205B7"/>
    <w:rsid w:val="00520737"/>
    <w:rsid w:val="0052379C"/>
    <w:rsid w:val="005269B6"/>
    <w:rsid w:val="005317D9"/>
    <w:rsid w:val="005353B7"/>
    <w:rsid w:val="00541024"/>
    <w:rsid w:val="00542413"/>
    <w:rsid w:val="00542529"/>
    <w:rsid w:val="00544458"/>
    <w:rsid w:val="00544BF2"/>
    <w:rsid w:val="00555436"/>
    <w:rsid w:val="00557C94"/>
    <w:rsid w:val="00560594"/>
    <w:rsid w:val="005609CB"/>
    <w:rsid w:val="00562AE2"/>
    <w:rsid w:val="00566347"/>
    <w:rsid w:val="00572242"/>
    <w:rsid w:val="005733DB"/>
    <w:rsid w:val="00573A60"/>
    <w:rsid w:val="00581F6B"/>
    <w:rsid w:val="005864E8"/>
    <w:rsid w:val="00586FD9"/>
    <w:rsid w:val="00594795"/>
    <w:rsid w:val="005957C5"/>
    <w:rsid w:val="00596CCB"/>
    <w:rsid w:val="005977A8"/>
    <w:rsid w:val="005A1C22"/>
    <w:rsid w:val="005A2CDC"/>
    <w:rsid w:val="005A3919"/>
    <w:rsid w:val="005A3A13"/>
    <w:rsid w:val="005A4DC7"/>
    <w:rsid w:val="005A64C5"/>
    <w:rsid w:val="005A7257"/>
    <w:rsid w:val="005B147A"/>
    <w:rsid w:val="005B328D"/>
    <w:rsid w:val="005B4941"/>
    <w:rsid w:val="005B567F"/>
    <w:rsid w:val="005C07FD"/>
    <w:rsid w:val="005C093A"/>
    <w:rsid w:val="005C4E64"/>
    <w:rsid w:val="005D0748"/>
    <w:rsid w:val="005D0D33"/>
    <w:rsid w:val="005D2E89"/>
    <w:rsid w:val="005D3677"/>
    <w:rsid w:val="005D3923"/>
    <w:rsid w:val="005D3932"/>
    <w:rsid w:val="005D4FFB"/>
    <w:rsid w:val="005D7144"/>
    <w:rsid w:val="005E4DB8"/>
    <w:rsid w:val="005E6449"/>
    <w:rsid w:val="005E7BF7"/>
    <w:rsid w:val="005F085A"/>
    <w:rsid w:val="005F2061"/>
    <w:rsid w:val="005F3AFE"/>
    <w:rsid w:val="005F7295"/>
    <w:rsid w:val="006010CA"/>
    <w:rsid w:val="00605923"/>
    <w:rsid w:val="006063EC"/>
    <w:rsid w:val="00607351"/>
    <w:rsid w:val="00607D22"/>
    <w:rsid w:val="0061080F"/>
    <w:rsid w:val="00610CBA"/>
    <w:rsid w:val="006156F6"/>
    <w:rsid w:val="00617A08"/>
    <w:rsid w:val="00620ABB"/>
    <w:rsid w:val="006228E1"/>
    <w:rsid w:val="00622B59"/>
    <w:rsid w:val="006242E3"/>
    <w:rsid w:val="0062438F"/>
    <w:rsid w:val="00625383"/>
    <w:rsid w:val="0062707F"/>
    <w:rsid w:val="0062734F"/>
    <w:rsid w:val="0063465B"/>
    <w:rsid w:val="00636959"/>
    <w:rsid w:val="0064373C"/>
    <w:rsid w:val="00644986"/>
    <w:rsid w:val="00647C69"/>
    <w:rsid w:val="00650434"/>
    <w:rsid w:val="00651C48"/>
    <w:rsid w:val="00651DBA"/>
    <w:rsid w:val="006540BA"/>
    <w:rsid w:val="006571B5"/>
    <w:rsid w:val="00657424"/>
    <w:rsid w:val="0065779E"/>
    <w:rsid w:val="00657CC9"/>
    <w:rsid w:val="006621DA"/>
    <w:rsid w:val="00666342"/>
    <w:rsid w:val="0067260D"/>
    <w:rsid w:val="00672A8F"/>
    <w:rsid w:val="00673AD5"/>
    <w:rsid w:val="006759FE"/>
    <w:rsid w:val="00680961"/>
    <w:rsid w:val="00680FFE"/>
    <w:rsid w:val="00681EAB"/>
    <w:rsid w:val="0068538E"/>
    <w:rsid w:val="006915E4"/>
    <w:rsid w:val="0069178D"/>
    <w:rsid w:val="006A052B"/>
    <w:rsid w:val="006A7EFA"/>
    <w:rsid w:val="006B1ACE"/>
    <w:rsid w:val="006B4CB8"/>
    <w:rsid w:val="006B580F"/>
    <w:rsid w:val="006B6845"/>
    <w:rsid w:val="006B6993"/>
    <w:rsid w:val="006C0DE9"/>
    <w:rsid w:val="006D190E"/>
    <w:rsid w:val="006D2637"/>
    <w:rsid w:val="006D3362"/>
    <w:rsid w:val="006D56B3"/>
    <w:rsid w:val="006E0797"/>
    <w:rsid w:val="006E0AED"/>
    <w:rsid w:val="006E2F9E"/>
    <w:rsid w:val="006E5270"/>
    <w:rsid w:val="006E5353"/>
    <w:rsid w:val="006F281E"/>
    <w:rsid w:val="006F4917"/>
    <w:rsid w:val="006F50DC"/>
    <w:rsid w:val="006F589E"/>
    <w:rsid w:val="006F6953"/>
    <w:rsid w:val="006F70E1"/>
    <w:rsid w:val="00701045"/>
    <w:rsid w:val="00703511"/>
    <w:rsid w:val="00705258"/>
    <w:rsid w:val="0070798C"/>
    <w:rsid w:val="007111DF"/>
    <w:rsid w:val="00711BC5"/>
    <w:rsid w:val="0071277F"/>
    <w:rsid w:val="00721DB9"/>
    <w:rsid w:val="0072204D"/>
    <w:rsid w:val="00722995"/>
    <w:rsid w:val="00723013"/>
    <w:rsid w:val="00723365"/>
    <w:rsid w:val="007250A3"/>
    <w:rsid w:val="0072667E"/>
    <w:rsid w:val="00727CE1"/>
    <w:rsid w:val="00731508"/>
    <w:rsid w:val="00733650"/>
    <w:rsid w:val="007340FB"/>
    <w:rsid w:val="00734A2F"/>
    <w:rsid w:val="00735C01"/>
    <w:rsid w:val="00736F1D"/>
    <w:rsid w:val="007436AA"/>
    <w:rsid w:val="007463AB"/>
    <w:rsid w:val="00755560"/>
    <w:rsid w:val="00757CED"/>
    <w:rsid w:val="00760D66"/>
    <w:rsid w:val="00761FA3"/>
    <w:rsid w:val="00766D7C"/>
    <w:rsid w:val="00772457"/>
    <w:rsid w:val="0077465C"/>
    <w:rsid w:val="0077775E"/>
    <w:rsid w:val="00782E3B"/>
    <w:rsid w:val="00784137"/>
    <w:rsid w:val="007922D3"/>
    <w:rsid w:val="0079452F"/>
    <w:rsid w:val="007A02DC"/>
    <w:rsid w:val="007A054E"/>
    <w:rsid w:val="007A075B"/>
    <w:rsid w:val="007A1999"/>
    <w:rsid w:val="007A724E"/>
    <w:rsid w:val="007A740C"/>
    <w:rsid w:val="007B0047"/>
    <w:rsid w:val="007B1ABF"/>
    <w:rsid w:val="007B2624"/>
    <w:rsid w:val="007B5A05"/>
    <w:rsid w:val="007B7D93"/>
    <w:rsid w:val="007C07BD"/>
    <w:rsid w:val="007C1812"/>
    <w:rsid w:val="007C1E8D"/>
    <w:rsid w:val="007C406D"/>
    <w:rsid w:val="007C500B"/>
    <w:rsid w:val="007D2581"/>
    <w:rsid w:val="007D295D"/>
    <w:rsid w:val="007D582E"/>
    <w:rsid w:val="007D7641"/>
    <w:rsid w:val="007E02C6"/>
    <w:rsid w:val="007E181C"/>
    <w:rsid w:val="007E63AE"/>
    <w:rsid w:val="007E728B"/>
    <w:rsid w:val="007F3B71"/>
    <w:rsid w:val="007F441D"/>
    <w:rsid w:val="0080476A"/>
    <w:rsid w:val="00805807"/>
    <w:rsid w:val="008065BD"/>
    <w:rsid w:val="00806712"/>
    <w:rsid w:val="00812854"/>
    <w:rsid w:val="00815DFF"/>
    <w:rsid w:val="00821F7A"/>
    <w:rsid w:val="00823ED1"/>
    <w:rsid w:val="008342B4"/>
    <w:rsid w:val="0083445F"/>
    <w:rsid w:val="008376AE"/>
    <w:rsid w:val="008401F9"/>
    <w:rsid w:val="00846C90"/>
    <w:rsid w:val="008473D9"/>
    <w:rsid w:val="00854261"/>
    <w:rsid w:val="00856468"/>
    <w:rsid w:val="00857081"/>
    <w:rsid w:val="00860604"/>
    <w:rsid w:val="008641A7"/>
    <w:rsid w:val="00870D7D"/>
    <w:rsid w:val="0087234E"/>
    <w:rsid w:val="00874710"/>
    <w:rsid w:val="008754D8"/>
    <w:rsid w:val="00877346"/>
    <w:rsid w:val="00877B6D"/>
    <w:rsid w:val="008808A6"/>
    <w:rsid w:val="0088103F"/>
    <w:rsid w:val="008811BC"/>
    <w:rsid w:val="008813C1"/>
    <w:rsid w:val="00887719"/>
    <w:rsid w:val="008878A9"/>
    <w:rsid w:val="00892FAD"/>
    <w:rsid w:val="008A1747"/>
    <w:rsid w:val="008A2731"/>
    <w:rsid w:val="008A7494"/>
    <w:rsid w:val="008B12AE"/>
    <w:rsid w:val="008B1D0D"/>
    <w:rsid w:val="008B4375"/>
    <w:rsid w:val="008B5B52"/>
    <w:rsid w:val="008B6498"/>
    <w:rsid w:val="008B7F2C"/>
    <w:rsid w:val="008C004A"/>
    <w:rsid w:val="008C522E"/>
    <w:rsid w:val="008C5D2E"/>
    <w:rsid w:val="008C6A6B"/>
    <w:rsid w:val="008C78B4"/>
    <w:rsid w:val="008E0A70"/>
    <w:rsid w:val="008E0EF5"/>
    <w:rsid w:val="008E25E2"/>
    <w:rsid w:val="008E43C3"/>
    <w:rsid w:val="008F0835"/>
    <w:rsid w:val="008F10A2"/>
    <w:rsid w:val="008F2F94"/>
    <w:rsid w:val="008F570D"/>
    <w:rsid w:val="008F6010"/>
    <w:rsid w:val="008F69D0"/>
    <w:rsid w:val="008F79E8"/>
    <w:rsid w:val="00913945"/>
    <w:rsid w:val="00915357"/>
    <w:rsid w:val="009157E0"/>
    <w:rsid w:val="00915FA1"/>
    <w:rsid w:val="009163CC"/>
    <w:rsid w:val="00927A34"/>
    <w:rsid w:val="0093112B"/>
    <w:rsid w:val="00932B25"/>
    <w:rsid w:val="00932CB8"/>
    <w:rsid w:val="00932D71"/>
    <w:rsid w:val="00937FE2"/>
    <w:rsid w:val="00945CD6"/>
    <w:rsid w:val="00952549"/>
    <w:rsid w:val="00956329"/>
    <w:rsid w:val="00957307"/>
    <w:rsid w:val="00957AE3"/>
    <w:rsid w:val="00960F68"/>
    <w:rsid w:val="009648CE"/>
    <w:rsid w:val="0096521B"/>
    <w:rsid w:val="009652D2"/>
    <w:rsid w:val="0096731C"/>
    <w:rsid w:val="009703C4"/>
    <w:rsid w:val="00973DF8"/>
    <w:rsid w:val="009818BB"/>
    <w:rsid w:val="00984BBF"/>
    <w:rsid w:val="00984CA2"/>
    <w:rsid w:val="0099080C"/>
    <w:rsid w:val="00995D62"/>
    <w:rsid w:val="00995E73"/>
    <w:rsid w:val="00996A0D"/>
    <w:rsid w:val="00997D6F"/>
    <w:rsid w:val="009A41BD"/>
    <w:rsid w:val="009A4596"/>
    <w:rsid w:val="009B082E"/>
    <w:rsid w:val="009B1638"/>
    <w:rsid w:val="009B2BFC"/>
    <w:rsid w:val="009B5778"/>
    <w:rsid w:val="009C1266"/>
    <w:rsid w:val="009C145B"/>
    <w:rsid w:val="009C466A"/>
    <w:rsid w:val="009C6F4E"/>
    <w:rsid w:val="009D0CB8"/>
    <w:rsid w:val="009D47D2"/>
    <w:rsid w:val="009D577E"/>
    <w:rsid w:val="009D734E"/>
    <w:rsid w:val="009D749A"/>
    <w:rsid w:val="009E17F7"/>
    <w:rsid w:val="009E28C8"/>
    <w:rsid w:val="009E5FDB"/>
    <w:rsid w:val="009E6A02"/>
    <w:rsid w:val="009F0B8B"/>
    <w:rsid w:val="009F4C4F"/>
    <w:rsid w:val="009F725B"/>
    <w:rsid w:val="009F785E"/>
    <w:rsid w:val="00A020E8"/>
    <w:rsid w:val="00A10921"/>
    <w:rsid w:val="00A133AD"/>
    <w:rsid w:val="00A13BA2"/>
    <w:rsid w:val="00A14533"/>
    <w:rsid w:val="00A15483"/>
    <w:rsid w:val="00A15A34"/>
    <w:rsid w:val="00A2245A"/>
    <w:rsid w:val="00A22D17"/>
    <w:rsid w:val="00A265FF"/>
    <w:rsid w:val="00A30202"/>
    <w:rsid w:val="00A33252"/>
    <w:rsid w:val="00A33F1B"/>
    <w:rsid w:val="00A34393"/>
    <w:rsid w:val="00A35B0D"/>
    <w:rsid w:val="00A35E23"/>
    <w:rsid w:val="00A365EF"/>
    <w:rsid w:val="00A3775E"/>
    <w:rsid w:val="00A37FB7"/>
    <w:rsid w:val="00A412C5"/>
    <w:rsid w:val="00A41D89"/>
    <w:rsid w:val="00A44209"/>
    <w:rsid w:val="00A44C25"/>
    <w:rsid w:val="00A50D93"/>
    <w:rsid w:val="00A510AF"/>
    <w:rsid w:val="00A54CF4"/>
    <w:rsid w:val="00A63C98"/>
    <w:rsid w:val="00A65467"/>
    <w:rsid w:val="00A66F36"/>
    <w:rsid w:val="00A6725D"/>
    <w:rsid w:val="00A6739D"/>
    <w:rsid w:val="00A7232B"/>
    <w:rsid w:val="00A72681"/>
    <w:rsid w:val="00A72D59"/>
    <w:rsid w:val="00A8046A"/>
    <w:rsid w:val="00A81AE4"/>
    <w:rsid w:val="00A84A8B"/>
    <w:rsid w:val="00A876D0"/>
    <w:rsid w:val="00A9008E"/>
    <w:rsid w:val="00A91D11"/>
    <w:rsid w:val="00A9492E"/>
    <w:rsid w:val="00A97610"/>
    <w:rsid w:val="00AA1B9A"/>
    <w:rsid w:val="00AA29C0"/>
    <w:rsid w:val="00AA573F"/>
    <w:rsid w:val="00AB1A9E"/>
    <w:rsid w:val="00AB325C"/>
    <w:rsid w:val="00AB4C33"/>
    <w:rsid w:val="00AB69AC"/>
    <w:rsid w:val="00AB7FB3"/>
    <w:rsid w:val="00AC3175"/>
    <w:rsid w:val="00AC558A"/>
    <w:rsid w:val="00AC6E7F"/>
    <w:rsid w:val="00AD17F0"/>
    <w:rsid w:val="00AD323B"/>
    <w:rsid w:val="00AE2137"/>
    <w:rsid w:val="00AE57DC"/>
    <w:rsid w:val="00AE6C48"/>
    <w:rsid w:val="00AF1414"/>
    <w:rsid w:val="00AF173D"/>
    <w:rsid w:val="00AF199A"/>
    <w:rsid w:val="00AF27AA"/>
    <w:rsid w:val="00AF3A65"/>
    <w:rsid w:val="00AF3B9B"/>
    <w:rsid w:val="00AF5AEC"/>
    <w:rsid w:val="00B009C2"/>
    <w:rsid w:val="00B025D1"/>
    <w:rsid w:val="00B106E0"/>
    <w:rsid w:val="00B11B72"/>
    <w:rsid w:val="00B14396"/>
    <w:rsid w:val="00B16CBE"/>
    <w:rsid w:val="00B17A6A"/>
    <w:rsid w:val="00B2571F"/>
    <w:rsid w:val="00B27B03"/>
    <w:rsid w:val="00B33D91"/>
    <w:rsid w:val="00B55568"/>
    <w:rsid w:val="00B635EE"/>
    <w:rsid w:val="00B66874"/>
    <w:rsid w:val="00B67A3D"/>
    <w:rsid w:val="00B67CAA"/>
    <w:rsid w:val="00B72566"/>
    <w:rsid w:val="00B72589"/>
    <w:rsid w:val="00B73ACF"/>
    <w:rsid w:val="00B73D42"/>
    <w:rsid w:val="00B73E8C"/>
    <w:rsid w:val="00B770B5"/>
    <w:rsid w:val="00B7731E"/>
    <w:rsid w:val="00B77A7E"/>
    <w:rsid w:val="00B833CE"/>
    <w:rsid w:val="00B83BA2"/>
    <w:rsid w:val="00B84547"/>
    <w:rsid w:val="00B85A10"/>
    <w:rsid w:val="00B85F47"/>
    <w:rsid w:val="00B90448"/>
    <w:rsid w:val="00B91D97"/>
    <w:rsid w:val="00B93040"/>
    <w:rsid w:val="00B94849"/>
    <w:rsid w:val="00B95115"/>
    <w:rsid w:val="00B95A6D"/>
    <w:rsid w:val="00B96BB9"/>
    <w:rsid w:val="00BA2248"/>
    <w:rsid w:val="00BA5DEB"/>
    <w:rsid w:val="00BA7F89"/>
    <w:rsid w:val="00BB13A6"/>
    <w:rsid w:val="00BB181C"/>
    <w:rsid w:val="00BB2925"/>
    <w:rsid w:val="00BB7B55"/>
    <w:rsid w:val="00BC3753"/>
    <w:rsid w:val="00BD06B9"/>
    <w:rsid w:val="00BD4CFB"/>
    <w:rsid w:val="00BD6C10"/>
    <w:rsid w:val="00BE6742"/>
    <w:rsid w:val="00BE68C6"/>
    <w:rsid w:val="00BE70A4"/>
    <w:rsid w:val="00BE7952"/>
    <w:rsid w:val="00BF1495"/>
    <w:rsid w:val="00BF22CE"/>
    <w:rsid w:val="00BF25E9"/>
    <w:rsid w:val="00BF567C"/>
    <w:rsid w:val="00BF696E"/>
    <w:rsid w:val="00BF7FE7"/>
    <w:rsid w:val="00C0554D"/>
    <w:rsid w:val="00C07379"/>
    <w:rsid w:val="00C12B95"/>
    <w:rsid w:val="00C14FF7"/>
    <w:rsid w:val="00C150EE"/>
    <w:rsid w:val="00C1674B"/>
    <w:rsid w:val="00C31EC5"/>
    <w:rsid w:val="00C34F21"/>
    <w:rsid w:val="00C37646"/>
    <w:rsid w:val="00C40B2F"/>
    <w:rsid w:val="00C44E82"/>
    <w:rsid w:val="00C50A96"/>
    <w:rsid w:val="00C5194A"/>
    <w:rsid w:val="00C5241C"/>
    <w:rsid w:val="00C5263C"/>
    <w:rsid w:val="00C539B5"/>
    <w:rsid w:val="00C55B97"/>
    <w:rsid w:val="00C56EA9"/>
    <w:rsid w:val="00C663B0"/>
    <w:rsid w:val="00C72181"/>
    <w:rsid w:val="00C7341C"/>
    <w:rsid w:val="00C81BF8"/>
    <w:rsid w:val="00C82E8C"/>
    <w:rsid w:val="00C83EB9"/>
    <w:rsid w:val="00C853F7"/>
    <w:rsid w:val="00C871E9"/>
    <w:rsid w:val="00C93272"/>
    <w:rsid w:val="00C94EB3"/>
    <w:rsid w:val="00C96066"/>
    <w:rsid w:val="00CB0C54"/>
    <w:rsid w:val="00CB141C"/>
    <w:rsid w:val="00CB1F69"/>
    <w:rsid w:val="00CB2ED6"/>
    <w:rsid w:val="00CB53E2"/>
    <w:rsid w:val="00CB6838"/>
    <w:rsid w:val="00CC0198"/>
    <w:rsid w:val="00CC2CD1"/>
    <w:rsid w:val="00CC3941"/>
    <w:rsid w:val="00CC554C"/>
    <w:rsid w:val="00CD4006"/>
    <w:rsid w:val="00CD4CA5"/>
    <w:rsid w:val="00CD56A5"/>
    <w:rsid w:val="00CD63A0"/>
    <w:rsid w:val="00CD6CA7"/>
    <w:rsid w:val="00CE6EFF"/>
    <w:rsid w:val="00CF1C2F"/>
    <w:rsid w:val="00CF1E3E"/>
    <w:rsid w:val="00CF4272"/>
    <w:rsid w:val="00CF4F22"/>
    <w:rsid w:val="00CF4F52"/>
    <w:rsid w:val="00CF68AA"/>
    <w:rsid w:val="00D00275"/>
    <w:rsid w:val="00D012A6"/>
    <w:rsid w:val="00D02AB3"/>
    <w:rsid w:val="00D04904"/>
    <w:rsid w:val="00D06D5F"/>
    <w:rsid w:val="00D11E25"/>
    <w:rsid w:val="00D1617C"/>
    <w:rsid w:val="00D21216"/>
    <w:rsid w:val="00D22899"/>
    <w:rsid w:val="00D24F9A"/>
    <w:rsid w:val="00D277B1"/>
    <w:rsid w:val="00D30503"/>
    <w:rsid w:val="00D33B69"/>
    <w:rsid w:val="00D3757D"/>
    <w:rsid w:val="00D42CDD"/>
    <w:rsid w:val="00D44EA5"/>
    <w:rsid w:val="00D519D9"/>
    <w:rsid w:val="00D55DB0"/>
    <w:rsid w:val="00D70D59"/>
    <w:rsid w:val="00D80DAA"/>
    <w:rsid w:val="00D819E4"/>
    <w:rsid w:val="00D87587"/>
    <w:rsid w:val="00D87602"/>
    <w:rsid w:val="00D87A88"/>
    <w:rsid w:val="00D90651"/>
    <w:rsid w:val="00D90EF6"/>
    <w:rsid w:val="00D95F06"/>
    <w:rsid w:val="00D964BC"/>
    <w:rsid w:val="00D972BF"/>
    <w:rsid w:val="00DA204C"/>
    <w:rsid w:val="00DA4BC9"/>
    <w:rsid w:val="00DA509C"/>
    <w:rsid w:val="00DB16A0"/>
    <w:rsid w:val="00DB4CBD"/>
    <w:rsid w:val="00DB6A9D"/>
    <w:rsid w:val="00DB7795"/>
    <w:rsid w:val="00DD1090"/>
    <w:rsid w:val="00DD2D5A"/>
    <w:rsid w:val="00DD44DB"/>
    <w:rsid w:val="00DD4EFA"/>
    <w:rsid w:val="00DE0574"/>
    <w:rsid w:val="00DE2729"/>
    <w:rsid w:val="00DE2963"/>
    <w:rsid w:val="00DE7A64"/>
    <w:rsid w:val="00DF7EE7"/>
    <w:rsid w:val="00E00860"/>
    <w:rsid w:val="00E022B9"/>
    <w:rsid w:val="00E0332A"/>
    <w:rsid w:val="00E05A0A"/>
    <w:rsid w:val="00E127AB"/>
    <w:rsid w:val="00E17833"/>
    <w:rsid w:val="00E21873"/>
    <w:rsid w:val="00E21E4A"/>
    <w:rsid w:val="00E223B6"/>
    <w:rsid w:val="00E24B31"/>
    <w:rsid w:val="00E25A1C"/>
    <w:rsid w:val="00E25F00"/>
    <w:rsid w:val="00E2625C"/>
    <w:rsid w:val="00E338D5"/>
    <w:rsid w:val="00E34065"/>
    <w:rsid w:val="00E41D46"/>
    <w:rsid w:val="00E41F4D"/>
    <w:rsid w:val="00E42C7D"/>
    <w:rsid w:val="00E43FE6"/>
    <w:rsid w:val="00E44696"/>
    <w:rsid w:val="00E46998"/>
    <w:rsid w:val="00E474FE"/>
    <w:rsid w:val="00E54529"/>
    <w:rsid w:val="00E55935"/>
    <w:rsid w:val="00E60F62"/>
    <w:rsid w:val="00E62E03"/>
    <w:rsid w:val="00E6497E"/>
    <w:rsid w:val="00E65D86"/>
    <w:rsid w:val="00E66322"/>
    <w:rsid w:val="00E7280B"/>
    <w:rsid w:val="00E72E9A"/>
    <w:rsid w:val="00E75D68"/>
    <w:rsid w:val="00E804C5"/>
    <w:rsid w:val="00E83BD5"/>
    <w:rsid w:val="00E83D17"/>
    <w:rsid w:val="00E84D6E"/>
    <w:rsid w:val="00E86DB9"/>
    <w:rsid w:val="00E921C2"/>
    <w:rsid w:val="00E9310B"/>
    <w:rsid w:val="00E93B2A"/>
    <w:rsid w:val="00EA12DE"/>
    <w:rsid w:val="00EA1419"/>
    <w:rsid w:val="00EA25E5"/>
    <w:rsid w:val="00EA6876"/>
    <w:rsid w:val="00EB08D8"/>
    <w:rsid w:val="00EB10AF"/>
    <w:rsid w:val="00EB2A6B"/>
    <w:rsid w:val="00EB2E5E"/>
    <w:rsid w:val="00EB5B54"/>
    <w:rsid w:val="00EC329F"/>
    <w:rsid w:val="00EC3EC1"/>
    <w:rsid w:val="00EC6A29"/>
    <w:rsid w:val="00ED1714"/>
    <w:rsid w:val="00ED2D69"/>
    <w:rsid w:val="00ED4BB1"/>
    <w:rsid w:val="00ED5729"/>
    <w:rsid w:val="00ED585F"/>
    <w:rsid w:val="00EE09A8"/>
    <w:rsid w:val="00EE2F12"/>
    <w:rsid w:val="00EE787A"/>
    <w:rsid w:val="00EF21C4"/>
    <w:rsid w:val="00EF3F1E"/>
    <w:rsid w:val="00EF5074"/>
    <w:rsid w:val="00EF74D1"/>
    <w:rsid w:val="00F00040"/>
    <w:rsid w:val="00F06311"/>
    <w:rsid w:val="00F066A6"/>
    <w:rsid w:val="00F112CA"/>
    <w:rsid w:val="00F1214F"/>
    <w:rsid w:val="00F13B9B"/>
    <w:rsid w:val="00F1403A"/>
    <w:rsid w:val="00F14545"/>
    <w:rsid w:val="00F16461"/>
    <w:rsid w:val="00F22D33"/>
    <w:rsid w:val="00F23984"/>
    <w:rsid w:val="00F27AAE"/>
    <w:rsid w:val="00F320C8"/>
    <w:rsid w:val="00F336D5"/>
    <w:rsid w:val="00F359D8"/>
    <w:rsid w:val="00F35D7F"/>
    <w:rsid w:val="00F3697F"/>
    <w:rsid w:val="00F36A05"/>
    <w:rsid w:val="00F37927"/>
    <w:rsid w:val="00F40455"/>
    <w:rsid w:val="00F40A1D"/>
    <w:rsid w:val="00F466AE"/>
    <w:rsid w:val="00F514D1"/>
    <w:rsid w:val="00F54186"/>
    <w:rsid w:val="00F575EF"/>
    <w:rsid w:val="00F578FB"/>
    <w:rsid w:val="00F73374"/>
    <w:rsid w:val="00F752A7"/>
    <w:rsid w:val="00F80A9D"/>
    <w:rsid w:val="00F84212"/>
    <w:rsid w:val="00F84967"/>
    <w:rsid w:val="00F84D22"/>
    <w:rsid w:val="00F8564B"/>
    <w:rsid w:val="00F8615C"/>
    <w:rsid w:val="00F959D0"/>
    <w:rsid w:val="00FA05FE"/>
    <w:rsid w:val="00FC04C5"/>
    <w:rsid w:val="00FC196A"/>
    <w:rsid w:val="00FC23D7"/>
    <w:rsid w:val="00FC34CB"/>
    <w:rsid w:val="00FC580B"/>
    <w:rsid w:val="00FD1066"/>
    <w:rsid w:val="00FD1B70"/>
    <w:rsid w:val="00FD316E"/>
    <w:rsid w:val="00FD7600"/>
    <w:rsid w:val="00FE0057"/>
    <w:rsid w:val="00FE1995"/>
    <w:rsid w:val="00FE2BBA"/>
    <w:rsid w:val="00FE42A9"/>
    <w:rsid w:val="00FE5244"/>
    <w:rsid w:val="00FE6176"/>
    <w:rsid w:val="00FF0EE0"/>
    <w:rsid w:val="00FF2E94"/>
    <w:rsid w:val="00FF3048"/>
    <w:rsid w:val="00FF57E5"/>
    <w:rsid w:val="00FF7531"/>
    <w:rsid w:val="02B37170"/>
    <w:rsid w:val="15FDC920"/>
    <w:rsid w:val="171CA292"/>
    <w:rsid w:val="27D9EF1C"/>
    <w:rsid w:val="28605650"/>
    <w:rsid w:val="2DFAF7AB"/>
    <w:rsid w:val="33DE2EAF"/>
    <w:rsid w:val="4AE5982E"/>
    <w:rsid w:val="4CD88284"/>
    <w:rsid w:val="4ECB43AA"/>
    <w:rsid w:val="509576EC"/>
    <w:rsid w:val="55429B8A"/>
    <w:rsid w:val="55E4A8DF"/>
    <w:rsid w:val="58C18F5F"/>
    <w:rsid w:val="701F7280"/>
    <w:rsid w:val="7649E698"/>
    <w:rsid w:val="784636E1"/>
    <w:rsid w:val="788048E4"/>
    <w:rsid w:val="7EC2C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544458"/>
    <w:rPr>
      <w:sz w:val="24"/>
      <w:szCs w:val="24"/>
    </w:rPr>
  </w:style>
  <w:style w:type="character" w:styleId="UnresolvedMention">
    <w:name w:val="Unresolved Mention"/>
    <w:basedOn w:val="DefaultParagraphFont"/>
    <w:uiPriority w:val="99"/>
    <w:semiHidden/>
    <w:unhideWhenUsed/>
    <w:rsid w:val="00CF1E3E"/>
    <w:rPr>
      <w:color w:val="605E5C"/>
      <w:shd w:val="clear" w:color="auto" w:fill="E1DFDD"/>
    </w:rPr>
  </w:style>
  <w:style w:type="character" w:styleId="Mention">
    <w:name w:val="Mention"/>
    <w:basedOn w:val="DefaultParagraphFont"/>
    <w:uiPriority w:val="99"/>
    <w:unhideWhenUsed/>
    <w:rsid w:val="00560594"/>
    <w:rPr>
      <w:color w:val="2B579A"/>
      <w:shd w:val="clear" w:color="auto" w:fill="E1DFDD"/>
    </w:rPr>
  </w:style>
  <w:style w:type="character" w:styleId="FollowedHyperlink">
    <w:name w:val="FollowedHyperlink"/>
    <w:basedOn w:val="DefaultParagraphFont"/>
    <w:rsid w:val="00EB2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sites/default/files/documents/cb/im-25-04.pdf" TargetMode="External" /><Relationship Id="rId9" Type="http://schemas.openxmlformats.org/officeDocument/2006/relationships/hyperlink" Target="https://data.bls.gov/oes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9342FE796E74496450A0FE73C6C30" ma:contentTypeVersion="7" ma:contentTypeDescription="Create a new document." ma:contentTypeScope="" ma:versionID="9fd129f46a5fcd545a0139b077ce0a9a">
  <xsd:schema xmlns:xsd="http://www.w3.org/2001/XMLSchema" xmlns:xs="http://www.w3.org/2001/XMLSchema" xmlns:p="http://schemas.microsoft.com/office/2006/metadata/properties" xmlns:ns2="45d55a8d-20fb-4e90-b0d8-b6b2af7d8467" targetNamespace="http://schemas.microsoft.com/office/2006/metadata/properties" ma:root="true" ma:fieldsID="794c09836bf9c5b1cd2f618551254c04" ns2:_="">
    <xsd:import namespace="45d55a8d-20fb-4e90-b0d8-b6b2af7d8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55a8d-20fb-4e90-b0d8-b6b2af7d8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001661B-E6BE-4AF6-A4AE-880584D1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55a8d-20fb-4e90-b0d8-b6b2af7d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2307</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5</cp:revision>
  <cp:lastPrinted>2009-01-26T16:35:00Z</cp:lastPrinted>
  <dcterms:created xsi:type="dcterms:W3CDTF">2026-02-05T12:58:00Z</dcterms:created>
  <dcterms:modified xsi:type="dcterms:W3CDTF">2026-02-05T15:00:00Z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0x010100CEA9342FE796E74496450A0FE73C6C30</vt:lpwstr>
  </property>
  <property fmtid="{D5CDD505-2E9C-101B-9397-08002B2CF9AE}" pid="3" name="docLang">
    <vt:lpwstr>en</vt:lpwstr>
  </property>
</Properties>
</file>