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8670F5" w:rsidP="008F570D" w14:paraId="12EE9856" w14:textId="77777777">
      <w:pPr>
        <w:jc w:val="center"/>
        <w:rPr>
          <w:b/>
        </w:rPr>
      </w:pPr>
    </w:p>
    <w:p w:rsidR="002C4F75" w:rsidRPr="008670F5" w:rsidP="008F570D" w14:paraId="6656DB4E" w14:textId="77777777">
      <w:pPr>
        <w:pStyle w:val="ReportCover-Title"/>
        <w:rPr>
          <w:rFonts w:ascii="Times New Roman" w:hAnsi="Times New Roman"/>
          <w:color w:val="auto"/>
        </w:rPr>
      </w:pPr>
    </w:p>
    <w:p w:rsidR="002C4F75" w:rsidRPr="008670F5" w:rsidP="008F570D" w14:paraId="2D2824CA" w14:textId="7A927DA6">
      <w:pPr>
        <w:pStyle w:val="ReportCover-Title"/>
        <w:jc w:val="center"/>
        <w:rPr>
          <w:rFonts w:ascii="Times New Roman" w:hAnsi="Times New Roman"/>
          <w:color w:val="auto"/>
        </w:rPr>
      </w:pPr>
      <w:r>
        <w:rPr>
          <w:rFonts w:ascii="Times New Roman" w:eastAsia="Arial Unicode MS" w:hAnsi="Times New Roman"/>
          <w:noProof/>
          <w:color w:val="auto"/>
        </w:rPr>
        <w:t xml:space="preserve">Feedback on the </w:t>
      </w:r>
      <w:r w:rsidR="00ED7370">
        <w:rPr>
          <w:rFonts w:ascii="Times New Roman" w:eastAsia="Arial Unicode MS" w:hAnsi="Times New Roman"/>
          <w:noProof/>
          <w:color w:val="auto"/>
        </w:rPr>
        <w:t>HomVEE</w:t>
      </w:r>
      <w:r w:rsidRPr="008670F5" w:rsidR="00CE78ED">
        <w:rPr>
          <w:rFonts w:ascii="Times New Roman" w:eastAsia="Arial Unicode MS" w:hAnsi="Times New Roman"/>
          <w:noProof/>
          <w:color w:val="auto"/>
        </w:rPr>
        <w:t xml:space="preserve"> Criteria for Evidence-Based Early Childhood Home Visiting </w:t>
      </w:r>
      <w:r w:rsidRPr="008670F5" w:rsidR="000405D2">
        <w:rPr>
          <w:rFonts w:ascii="Times New Roman" w:eastAsia="Arial Unicode MS" w:hAnsi="Times New Roman"/>
          <w:noProof/>
          <w:color w:val="auto"/>
        </w:rPr>
        <w:t xml:space="preserve">Models </w:t>
      </w:r>
    </w:p>
    <w:p w:rsidR="002C4F75" w:rsidRPr="008670F5" w:rsidP="008F570D" w14:paraId="781830F9" w14:textId="77777777">
      <w:pPr>
        <w:pStyle w:val="ReportCover-Title"/>
        <w:rPr>
          <w:rFonts w:ascii="Times New Roman" w:hAnsi="Times New Roman"/>
          <w:color w:val="auto"/>
        </w:rPr>
      </w:pPr>
    </w:p>
    <w:p w:rsidR="002C4F75" w:rsidRPr="008670F5" w:rsidP="008F570D" w14:paraId="531BA742" w14:textId="77777777">
      <w:pPr>
        <w:pStyle w:val="ReportCover-Title"/>
        <w:rPr>
          <w:rFonts w:ascii="Times New Roman" w:hAnsi="Times New Roman"/>
          <w:color w:val="auto"/>
        </w:rPr>
      </w:pPr>
    </w:p>
    <w:p w:rsidR="00984BBF" w:rsidRPr="008670F5" w:rsidP="008F570D" w14:paraId="66EC70E8" w14:textId="77777777">
      <w:pPr>
        <w:pStyle w:val="ReportCover-Title"/>
        <w:jc w:val="center"/>
        <w:rPr>
          <w:rFonts w:ascii="Times New Roman" w:hAnsi="Times New Roman"/>
          <w:color w:val="auto"/>
          <w:sz w:val="32"/>
          <w:szCs w:val="32"/>
        </w:rPr>
      </w:pPr>
      <w:r w:rsidRPr="008670F5">
        <w:rPr>
          <w:rFonts w:ascii="Times New Roman" w:hAnsi="Times New Roman"/>
          <w:color w:val="auto"/>
          <w:sz w:val="32"/>
          <w:szCs w:val="32"/>
        </w:rPr>
        <w:t>Formative Data Collections for Program Support</w:t>
      </w:r>
    </w:p>
    <w:p w:rsidR="006D2637" w:rsidRPr="008670F5" w:rsidP="008F570D" w14:paraId="1F236595" w14:textId="77777777">
      <w:pPr>
        <w:pStyle w:val="ReportCover-Title"/>
        <w:jc w:val="center"/>
        <w:rPr>
          <w:rFonts w:ascii="Times New Roman" w:hAnsi="Times New Roman"/>
          <w:color w:val="auto"/>
          <w:sz w:val="32"/>
          <w:szCs w:val="32"/>
        </w:rPr>
      </w:pPr>
    </w:p>
    <w:p w:rsidR="002C4F75" w:rsidRPr="008670F5" w:rsidP="008F570D" w14:paraId="2BFCD42E" w14:textId="735C9743">
      <w:pPr>
        <w:pStyle w:val="ReportCover-Title"/>
        <w:jc w:val="center"/>
        <w:rPr>
          <w:rFonts w:ascii="Times New Roman" w:hAnsi="Times New Roman"/>
          <w:color w:val="auto"/>
          <w:sz w:val="32"/>
          <w:szCs w:val="32"/>
        </w:rPr>
      </w:pPr>
      <w:r w:rsidRPr="008670F5">
        <w:rPr>
          <w:rFonts w:ascii="Times New Roman" w:hAnsi="Times New Roman"/>
          <w:color w:val="auto"/>
          <w:sz w:val="32"/>
          <w:szCs w:val="32"/>
        </w:rPr>
        <w:t xml:space="preserve">0970 </w:t>
      </w:r>
      <w:r w:rsidRPr="008670F5" w:rsidR="00877346">
        <w:rPr>
          <w:rFonts w:ascii="Times New Roman" w:hAnsi="Times New Roman"/>
          <w:color w:val="auto"/>
          <w:sz w:val="32"/>
          <w:szCs w:val="32"/>
        </w:rPr>
        <w:t>–</w:t>
      </w:r>
      <w:r w:rsidRPr="008670F5">
        <w:rPr>
          <w:rFonts w:ascii="Times New Roman" w:hAnsi="Times New Roman"/>
          <w:color w:val="auto"/>
          <w:sz w:val="32"/>
          <w:szCs w:val="32"/>
        </w:rPr>
        <w:t xml:space="preserve"> </w:t>
      </w:r>
      <w:r w:rsidRPr="008670F5" w:rsidR="006D2637">
        <w:rPr>
          <w:rFonts w:ascii="Times New Roman" w:hAnsi="Times New Roman"/>
          <w:color w:val="auto"/>
          <w:sz w:val="32"/>
          <w:szCs w:val="32"/>
        </w:rPr>
        <w:t>0</w:t>
      </w:r>
      <w:r w:rsidRPr="008670F5" w:rsidR="008F570D">
        <w:rPr>
          <w:rFonts w:ascii="Times New Roman" w:hAnsi="Times New Roman"/>
          <w:color w:val="auto"/>
          <w:sz w:val="32"/>
          <w:szCs w:val="32"/>
        </w:rPr>
        <w:t>531</w:t>
      </w:r>
    </w:p>
    <w:p w:rsidR="002C4F75" w:rsidRPr="008670F5" w:rsidP="008F570D" w14:paraId="1D64B464" w14:textId="77777777">
      <w:pPr>
        <w:rPr>
          <w:szCs w:val="22"/>
        </w:rPr>
      </w:pPr>
    </w:p>
    <w:p w:rsidR="002C4F75" w:rsidRPr="008670F5" w:rsidP="008F570D" w14:paraId="3B692556" w14:textId="77777777">
      <w:pPr>
        <w:pStyle w:val="ReportCover-Date"/>
        <w:jc w:val="center"/>
        <w:rPr>
          <w:rFonts w:ascii="Times New Roman" w:hAnsi="Times New Roman"/>
          <w:color w:val="auto"/>
        </w:rPr>
      </w:pPr>
    </w:p>
    <w:p w:rsidR="002C4F75" w:rsidRPr="008670F5" w:rsidP="008F570D" w14:paraId="4BCA393F" w14:textId="77777777">
      <w:pPr>
        <w:pStyle w:val="ReportCover-Date"/>
        <w:spacing w:after="360" w:line="240" w:lineRule="auto"/>
        <w:jc w:val="center"/>
        <w:rPr>
          <w:rFonts w:ascii="Times New Roman" w:hAnsi="Times New Roman"/>
          <w:color w:val="auto"/>
          <w:sz w:val="48"/>
          <w:szCs w:val="48"/>
        </w:rPr>
      </w:pPr>
      <w:r w:rsidRPr="008670F5">
        <w:rPr>
          <w:rFonts w:ascii="Times New Roman" w:hAnsi="Times New Roman"/>
          <w:color w:val="auto"/>
          <w:sz w:val="48"/>
          <w:szCs w:val="48"/>
        </w:rPr>
        <w:t>Supporting Statement</w:t>
      </w:r>
    </w:p>
    <w:p w:rsidR="002C4F75" w:rsidRPr="008670F5" w:rsidP="008F570D" w14:paraId="2802FA08" w14:textId="77777777">
      <w:pPr>
        <w:pStyle w:val="ReportCover-Date"/>
        <w:spacing w:after="360" w:line="240" w:lineRule="auto"/>
        <w:jc w:val="center"/>
        <w:rPr>
          <w:rFonts w:ascii="Times New Roman" w:hAnsi="Times New Roman"/>
          <w:color w:val="auto"/>
          <w:sz w:val="48"/>
          <w:szCs w:val="48"/>
        </w:rPr>
      </w:pPr>
      <w:r w:rsidRPr="008670F5">
        <w:rPr>
          <w:rFonts w:ascii="Times New Roman" w:hAnsi="Times New Roman"/>
          <w:color w:val="auto"/>
          <w:sz w:val="48"/>
          <w:szCs w:val="48"/>
        </w:rPr>
        <w:t>Part A</w:t>
      </w:r>
      <w:r w:rsidRPr="008670F5" w:rsidR="00A020E8">
        <w:rPr>
          <w:rFonts w:ascii="Times New Roman" w:hAnsi="Times New Roman"/>
          <w:color w:val="auto"/>
          <w:sz w:val="48"/>
          <w:szCs w:val="48"/>
        </w:rPr>
        <w:t xml:space="preserve"> - Justification</w:t>
      </w:r>
    </w:p>
    <w:p w:rsidR="002C4F75" w:rsidRPr="008670F5" w:rsidP="008F570D" w14:paraId="153EDE13" w14:textId="3A5F155B">
      <w:pPr>
        <w:pStyle w:val="ReportCover-Date"/>
        <w:jc w:val="center"/>
        <w:rPr>
          <w:rFonts w:ascii="Times New Roman" w:hAnsi="Times New Roman"/>
          <w:color w:val="auto"/>
        </w:rPr>
      </w:pPr>
      <w:r>
        <w:rPr>
          <w:rFonts w:ascii="Times New Roman" w:hAnsi="Times New Roman"/>
          <w:color w:val="auto"/>
        </w:rPr>
        <w:t>October</w:t>
      </w:r>
      <w:r w:rsidRPr="008670F5">
        <w:rPr>
          <w:rFonts w:ascii="Times New Roman" w:hAnsi="Times New Roman"/>
          <w:color w:val="auto"/>
        </w:rPr>
        <w:t xml:space="preserve"> </w:t>
      </w:r>
      <w:r w:rsidRPr="008670F5" w:rsidR="00A43C78">
        <w:rPr>
          <w:rFonts w:ascii="Times New Roman" w:hAnsi="Times New Roman"/>
          <w:color w:val="auto"/>
        </w:rPr>
        <w:t>202</w:t>
      </w:r>
      <w:r w:rsidRPr="008670F5" w:rsidR="00752D87">
        <w:rPr>
          <w:rFonts w:ascii="Times New Roman" w:hAnsi="Times New Roman"/>
          <w:color w:val="auto"/>
        </w:rPr>
        <w:t>4</w:t>
      </w:r>
    </w:p>
    <w:p w:rsidR="002C4F75" w:rsidRPr="008670F5" w:rsidP="008F570D" w14:paraId="27DA3839" w14:textId="77777777">
      <w:pPr>
        <w:jc w:val="center"/>
      </w:pPr>
    </w:p>
    <w:p w:rsidR="002C4F75" w:rsidRPr="008670F5" w:rsidP="008F570D" w14:paraId="79ABBAD2" w14:textId="77777777">
      <w:pPr>
        <w:jc w:val="center"/>
      </w:pPr>
      <w:r w:rsidRPr="008670F5">
        <w:t>Submitted By:</w:t>
      </w:r>
    </w:p>
    <w:p w:rsidR="002C4F75" w:rsidRPr="008670F5" w:rsidP="00B5762B" w14:paraId="4C2AFB81" w14:textId="4B9E6790">
      <w:pPr>
        <w:jc w:val="center"/>
      </w:pPr>
      <w:r w:rsidRPr="008670F5">
        <w:t>Office of Planning, Research, and Evaluation</w:t>
      </w:r>
    </w:p>
    <w:p w:rsidR="002C4F75" w:rsidRPr="008670F5" w:rsidP="008F570D" w14:paraId="27FF6F63" w14:textId="77777777">
      <w:pPr>
        <w:jc w:val="center"/>
      </w:pPr>
      <w:r w:rsidRPr="008670F5">
        <w:t xml:space="preserve">Administration for Children and Families </w:t>
      </w:r>
    </w:p>
    <w:p w:rsidR="002C4F75" w:rsidRPr="008670F5" w:rsidP="008F570D" w14:paraId="0D60F58C" w14:textId="77777777">
      <w:pPr>
        <w:jc w:val="center"/>
      </w:pPr>
      <w:r w:rsidRPr="008670F5">
        <w:t>U.S. Department of Health and Human Services</w:t>
      </w:r>
    </w:p>
    <w:p w:rsidR="002C4F75" w:rsidRPr="008670F5" w:rsidP="008F570D" w14:paraId="5BB8A166" w14:textId="77777777">
      <w:pPr>
        <w:jc w:val="center"/>
      </w:pPr>
    </w:p>
    <w:p w:rsidR="002C4F75" w:rsidRPr="008670F5" w:rsidP="008F570D" w14:paraId="55149FF8" w14:textId="77777777">
      <w:pPr>
        <w:jc w:val="center"/>
      </w:pPr>
      <w:r w:rsidRPr="008670F5">
        <w:t>4</w:t>
      </w:r>
      <w:r w:rsidRPr="008670F5">
        <w:rPr>
          <w:vertAlign w:val="superscript"/>
        </w:rPr>
        <w:t>th</w:t>
      </w:r>
      <w:r w:rsidRPr="008670F5">
        <w:t xml:space="preserve"> Floor, </w:t>
      </w:r>
      <w:r w:rsidRPr="008670F5">
        <w:t>Mary E. Switzer Building</w:t>
      </w:r>
    </w:p>
    <w:p w:rsidR="002C4F75" w:rsidRPr="008670F5" w:rsidP="008F570D" w14:paraId="1349C5BD" w14:textId="77777777">
      <w:pPr>
        <w:jc w:val="center"/>
      </w:pPr>
      <w:r w:rsidRPr="008670F5">
        <w:t>3</w:t>
      </w:r>
      <w:r w:rsidRPr="008670F5" w:rsidR="00436F5E">
        <w:t>3</w:t>
      </w:r>
      <w:r w:rsidRPr="008670F5">
        <w:t xml:space="preserve">0 </w:t>
      </w:r>
      <w:r w:rsidRPr="008670F5" w:rsidR="00436F5E">
        <w:t xml:space="preserve">C Street, </w:t>
      </w:r>
      <w:r w:rsidRPr="008670F5">
        <w:t>SW</w:t>
      </w:r>
    </w:p>
    <w:p w:rsidR="002C4F75" w:rsidRPr="008670F5" w:rsidP="008F570D" w14:paraId="10339292" w14:textId="77777777">
      <w:pPr>
        <w:jc w:val="center"/>
      </w:pPr>
      <w:r w:rsidRPr="008670F5">
        <w:t>Washington, D.C. 20</w:t>
      </w:r>
      <w:r w:rsidRPr="008670F5" w:rsidR="00436F5E">
        <w:t>201</w:t>
      </w:r>
    </w:p>
    <w:p w:rsidR="002C4F75" w:rsidRPr="008670F5" w:rsidP="008F570D" w14:paraId="258A9347" w14:textId="77777777">
      <w:pPr>
        <w:jc w:val="center"/>
      </w:pPr>
    </w:p>
    <w:p w:rsidR="008F570D" w:rsidRPr="008670F5" w:rsidP="008F570D" w14:paraId="27779EA1" w14:textId="77777777">
      <w:pPr>
        <w:spacing w:after="120"/>
        <w:rPr>
          <w:b/>
        </w:rPr>
      </w:pPr>
    </w:p>
    <w:p w:rsidR="00DC7603" w:rsidP="008670F5" w14:paraId="06B7A049" w14:textId="77777777">
      <w:pPr>
        <w:jc w:val="center"/>
        <w:rPr>
          <w:b/>
          <w:sz w:val="32"/>
          <w:szCs w:val="32"/>
        </w:rPr>
      </w:pPr>
      <w:r>
        <w:rPr>
          <w:b/>
          <w:sz w:val="32"/>
          <w:szCs w:val="32"/>
        </w:rPr>
        <w:br w:type="page"/>
      </w:r>
    </w:p>
    <w:p w:rsidR="008670F5" w:rsidRPr="008670F5" w:rsidP="008670F5" w14:paraId="6A51CB8B" w14:textId="3EE8DEC9">
      <w:pPr>
        <w:jc w:val="center"/>
        <w:rPr>
          <w:b/>
          <w:sz w:val="32"/>
          <w:szCs w:val="32"/>
        </w:rPr>
      </w:pPr>
      <w:r w:rsidRPr="008670F5">
        <w:rPr>
          <w:b/>
          <w:sz w:val="32"/>
          <w:szCs w:val="32"/>
        </w:rPr>
        <w:t>Part A</w:t>
      </w:r>
    </w:p>
    <w:p w:rsidR="008670F5" w:rsidRPr="008670F5" w:rsidP="000405D2" w14:paraId="04F7BA31" w14:textId="77777777">
      <w:pPr>
        <w:rPr>
          <w:b/>
          <w:sz w:val="28"/>
          <w:u w:val="single"/>
        </w:rPr>
      </w:pPr>
    </w:p>
    <w:p w:rsidR="000405D2" w:rsidRPr="008670F5" w:rsidP="000405D2" w14:paraId="7B6D1918" w14:textId="6B0A4B4D">
      <w:pPr>
        <w:rPr>
          <w:b/>
          <w:sz w:val="28"/>
        </w:rPr>
      </w:pPr>
      <w:r w:rsidRPr="008670F5">
        <w:rPr>
          <w:b/>
          <w:sz w:val="28"/>
          <w:u w:val="single"/>
        </w:rPr>
        <w:t>Executive Summary</w:t>
      </w:r>
    </w:p>
    <w:p w:rsidR="007719B1" w:rsidRPr="008670F5" w:rsidP="007719B1" w14:paraId="170BD5F4" w14:textId="77777777">
      <w:pPr>
        <w:rPr>
          <w:b/>
        </w:rPr>
      </w:pPr>
    </w:p>
    <w:p w:rsidR="007719B1" w:rsidRPr="008670F5" w:rsidP="007719B1" w14:paraId="3C1BA471" w14:textId="77777777">
      <w:pPr>
        <w:pStyle w:val="ListParagraph"/>
        <w:numPr>
          <w:ilvl w:val="0"/>
          <w:numId w:val="33"/>
        </w:numPr>
        <w:contextualSpacing/>
        <w:rPr>
          <w:sz w:val="24"/>
          <w:szCs w:val="24"/>
        </w:rPr>
      </w:pPr>
      <w:r w:rsidRPr="008670F5">
        <w:rPr>
          <w:b/>
          <w:sz w:val="24"/>
          <w:szCs w:val="24"/>
        </w:rPr>
        <w:t xml:space="preserve">Type of Request: </w:t>
      </w:r>
    </w:p>
    <w:p w:rsidR="007719B1" w:rsidRPr="008670F5" w:rsidP="007719B1" w14:paraId="0B8062BD" w14:textId="77777777">
      <w:pPr>
        <w:pStyle w:val="ListParagraph"/>
        <w:rPr>
          <w:sz w:val="24"/>
          <w:szCs w:val="24"/>
        </w:rPr>
      </w:pPr>
      <w:r w:rsidRPr="008670F5">
        <w:rPr>
          <w:sz w:val="24"/>
          <w:szCs w:val="24"/>
        </w:rPr>
        <w:t>This Information Collection Request is for a generic information collection under the umbrella generic, Formative Data Collections for Program Support (0970-0531).</w:t>
      </w:r>
    </w:p>
    <w:p w:rsidR="007719B1" w:rsidRPr="008670F5" w:rsidP="007719B1" w14:paraId="57589E69" w14:textId="77777777"/>
    <w:p w:rsidR="007719B1" w:rsidRPr="008670F5" w:rsidP="007719B1" w14:paraId="7DC2135C" w14:textId="77777777">
      <w:pPr>
        <w:pStyle w:val="ListParagraph"/>
        <w:numPr>
          <w:ilvl w:val="0"/>
          <w:numId w:val="33"/>
        </w:numPr>
        <w:contextualSpacing/>
        <w:rPr>
          <w:sz w:val="24"/>
          <w:szCs w:val="24"/>
        </w:rPr>
      </w:pPr>
      <w:r w:rsidRPr="008670F5">
        <w:rPr>
          <w:b/>
          <w:sz w:val="24"/>
          <w:szCs w:val="24"/>
        </w:rPr>
        <w:t xml:space="preserve">Description of Request: </w:t>
      </w:r>
    </w:p>
    <w:p w:rsidR="007719B1" w:rsidRPr="008670F5" w:rsidP="007719B1" w14:paraId="196D9BDF" w14:textId="57A40DB3">
      <w:pPr>
        <w:pStyle w:val="paragraph"/>
        <w:spacing w:before="0" w:beforeAutospacing="0" w:after="0" w:afterAutospacing="0"/>
        <w:ind w:left="720"/>
        <w:textAlignment w:val="baseline"/>
      </w:pPr>
      <w:r w:rsidRPr="008670F5">
        <w:rPr>
          <w:rStyle w:val="normaltextrun"/>
        </w:rPr>
        <w:t xml:space="preserve">The Administration for Children and Families (ACF) </w:t>
      </w:r>
      <w:r w:rsidR="00082623">
        <w:rPr>
          <w:rStyle w:val="normaltextrun"/>
        </w:rPr>
        <w:t xml:space="preserve">and </w:t>
      </w:r>
      <w:r w:rsidRPr="008670F5" w:rsidR="00082623">
        <w:rPr>
          <w:rStyle w:val="normaltextrun"/>
        </w:rPr>
        <w:t xml:space="preserve">Health Resources and Services Administration (HRSA) </w:t>
      </w:r>
      <w:r w:rsidRPr="008670F5">
        <w:rPr>
          <w:rStyle w:val="normaltextrun"/>
        </w:rPr>
        <w:t xml:space="preserve">at the U.S. Department of Health and Human Services (HHS) </w:t>
      </w:r>
      <w:r w:rsidR="00C358F9">
        <w:rPr>
          <w:rStyle w:val="normaltextrun"/>
        </w:rPr>
        <w:t xml:space="preserve">collaborate to administer the </w:t>
      </w:r>
      <w:r w:rsidRPr="008670F5" w:rsidR="00C358F9">
        <w:rPr>
          <w:rStyle w:val="normaltextrun"/>
        </w:rPr>
        <w:t>Maternal, Infant, and Early Childhood Home Visiting (MIECHV) program</w:t>
      </w:r>
      <w:r w:rsidR="00C358F9">
        <w:rPr>
          <w:rStyle w:val="normaltextrun"/>
        </w:rPr>
        <w:t xml:space="preserve">. </w:t>
      </w:r>
      <w:r w:rsidR="00ED7370">
        <w:rPr>
          <w:rStyle w:val="normaltextrun"/>
        </w:rPr>
        <w:t xml:space="preserve">As part of this collaboration, ACF’s Office of Planning, Research, and Evaluation (OPRE) oversees the Home Visiting Evidence of Effectiveness (HomVEE) review. </w:t>
      </w:r>
      <w:r w:rsidR="00C358F9">
        <w:rPr>
          <w:rStyle w:val="normaltextrun"/>
        </w:rPr>
        <w:t xml:space="preserve">ACF and HRSA are engaged in on a </w:t>
      </w:r>
      <w:r w:rsidRPr="008670F5" w:rsidR="00C358F9">
        <w:rPr>
          <w:rStyle w:val="normaltextrun"/>
        </w:rPr>
        <w:t xml:space="preserve">broad effort to improve the </w:t>
      </w:r>
      <w:r w:rsidR="00ED7370">
        <w:rPr>
          <w:rStyle w:val="normaltextrun"/>
        </w:rPr>
        <w:t xml:space="preserve">HomVEE’s </w:t>
      </w:r>
      <w:r w:rsidRPr="008670F5" w:rsidR="00C358F9">
        <w:rPr>
          <w:rStyle w:val="normaltextrun"/>
        </w:rPr>
        <w:t>HHS Criteria for Evidence-based Early Childhood Home Visiting Models (“HHS Criteria”)</w:t>
      </w:r>
      <w:r w:rsidR="00C358F9">
        <w:rPr>
          <w:rStyle w:val="normaltextrun"/>
        </w:rPr>
        <w:t>. To inform these efforts, ACF</w:t>
      </w:r>
      <w:r w:rsidRPr="008670F5" w:rsidR="00C358F9">
        <w:rPr>
          <w:rStyle w:val="normaltextrun"/>
        </w:rPr>
        <w:t xml:space="preserve"> </w:t>
      </w:r>
      <w:r w:rsidRPr="008670F5">
        <w:rPr>
          <w:rStyle w:val="normaltextrun"/>
        </w:rPr>
        <w:t xml:space="preserve">seeks approval to conduct focus groups and a listening session with constituencies with direct interest in and engagement with the MIECHV program. The purpose of these focus groups and listening session is to learn about the strengths and challenges with the current </w:t>
      </w:r>
      <w:r w:rsidR="00C358F9">
        <w:rPr>
          <w:rStyle w:val="normaltextrun"/>
        </w:rPr>
        <w:t>H</w:t>
      </w:r>
      <w:r w:rsidRPr="008670F5">
        <w:rPr>
          <w:rStyle w:val="normaltextrun"/>
        </w:rPr>
        <w:t>HS Criteria. The proposed information collection includes semi-structured focus groups (held on a virtual platform) with evidence-based policy experts, home visiting model developers, home visiting administrators, home visiting advocates, and tribal home visiting experts.  It also includes a virtual listening session with home visiting researchers. </w:t>
      </w:r>
      <w:r w:rsidRPr="008670F5">
        <w:rPr>
          <w:rStyle w:val="eop"/>
        </w:rPr>
        <w:t> </w:t>
      </w:r>
      <w:r w:rsidRPr="008670F5">
        <w:t>We do not intend for this information to be used as the principal basis for public policy decisions.</w:t>
      </w:r>
    </w:p>
    <w:p w:rsidR="007719B1" w:rsidRPr="008670F5" w:rsidP="007719B1" w14:paraId="1D017FC6" w14:textId="77777777">
      <w:pPr>
        <w:pStyle w:val="ListParagraph"/>
        <w:rPr>
          <w:sz w:val="24"/>
          <w:szCs w:val="24"/>
        </w:rPr>
      </w:pPr>
    </w:p>
    <w:p w:rsidR="000405D2" w:rsidRPr="008670F5" w:rsidP="007719B1" w14:paraId="183CC6F2" w14:textId="5D8F8686">
      <w:pPr>
        <w:pStyle w:val="ListParagraph"/>
        <w:numPr>
          <w:ilvl w:val="0"/>
          <w:numId w:val="33"/>
        </w:numPr>
        <w:contextualSpacing/>
        <w:rPr>
          <w:b/>
          <w:sz w:val="24"/>
          <w:szCs w:val="24"/>
        </w:rPr>
      </w:pPr>
      <w:r w:rsidRPr="008670F5">
        <w:rPr>
          <w:b/>
          <w:sz w:val="24"/>
          <w:szCs w:val="24"/>
        </w:rPr>
        <w:t xml:space="preserve">Time Sensitivity: </w:t>
      </w:r>
    </w:p>
    <w:p w:rsidR="007719B1" w:rsidRPr="008670F5" w:rsidP="00706A66" w14:paraId="462E465C" w14:textId="311D376A">
      <w:pPr>
        <w:pStyle w:val="ListParagraph"/>
        <w:contextualSpacing/>
        <w:rPr>
          <w:bCs/>
          <w:sz w:val="24"/>
          <w:szCs w:val="24"/>
        </w:rPr>
      </w:pPr>
      <w:r w:rsidRPr="008670F5">
        <w:rPr>
          <w:bCs/>
          <w:sz w:val="24"/>
          <w:szCs w:val="24"/>
        </w:rPr>
        <w:t>Funding is available to support this effort through June 2025.</w:t>
      </w:r>
    </w:p>
    <w:p w:rsidR="000405D2" w:rsidRPr="008670F5" w:rsidP="000405D2" w14:paraId="6EA8E2C4" w14:textId="77777777">
      <w:pPr>
        <w:rPr>
          <w:b/>
        </w:rPr>
      </w:pPr>
    </w:p>
    <w:p w:rsidR="000405D2" w:rsidRPr="008670F5" w:rsidP="00706A66" w14:paraId="61243503" w14:textId="61BD685D">
      <w:pPr>
        <w:spacing w:after="120"/>
        <w:jc w:val="both"/>
        <w:rPr>
          <w:b/>
        </w:rPr>
      </w:pPr>
    </w:p>
    <w:p w:rsidR="007719B1" w:rsidRPr="008670F5" w:rsidP="00C4267A" w14:paraId="62BFEC49" w14:textId="77777777">
      <w:pPr>
        <w:rPr>
          <w:b/>
        </w:rPr>
      </w:pPr>
      <w:r w:rsidRPr="008670F5">
        <w:rPr>
          <w:b/>
        </w:rPr>
        <w:br w:type="page"/>
      </w:r>
    </w:p>
    <w:p w:rsidR="00945CD6" w:rsidRPr="008670F5" w:rsidP="00B97054" w14:paraId="63932BF7" w14:textId="25D47602">
      <w:pPr>
        <w:spacing w:after="120"/>
        <w:rPr>
          <w:b/>
        </w:rPr>
      </w:pPr>
      <w:r w:rsidRPr="008670F5">
        <w:rPr>
          <w:b/>
        </w:rPr>
        <w:t xml:space="preserve">A1. </w:t>
      </w:r>
      <w:r w:rsidRPr="008670F5">
        <w:rPr>
          <w:b/>
        </w:rPr>
        <w:t>Necessity for the Data Collection</w:t>
      </w:r>
    </w:p>
    <w:p w:rsidR="00FC77DF" w:rsidRPr="008670F5" w:rsidP="006D189C" w14:paraId="0D477874" w14:textId="77777777">
      <w:pPr>
        <w:pStyle w:val="paragraph"/>
        <w:spacing w:before="0" w:beforeAutospacing="0" w:after="0" w:afterAutospacing="0"/>
        <w:textAlignment w:val="baseline"/>
      </w:pPr>
      <w:r w:rsidRPr="008670F5">
        <w:rPr>
          <w:rStyle w:val="normaltextrun"/>
        </w:rPr>
        <w:t xml:space="preserve">The Administration for Children and Families (ACF) </w:t>
      </w:r>
      <w:r>
        <w:rPr>
          <w:rStyle w:val="normaltextrun"/>
        </w:rPr>
        <w:t xml:space="preserve">and </w:t>
      </w:r>
      <w:r w:rsidRPr="008670F5">
        <w:rPr>
          <w:rStyle w:val="normaltextrun"/>
        </w:rPr>
        <w:t xml:space="preserve">Health Resources and Services Administration (HRSA) at the U.S. Department of Health and Human Services (HHS) </w:t>
      </w:r>
      <w:r>
        <w:rPr>
          <w:rStyle w:val="normaltextrun"/>
        </w:rPr>
        <w:t xml:space="preserve">collaborate to administer the </w:t>
      </w:r>
      <w:r w:rsidRPr="008670F5">
        <w:rPr>
          <w:rStyle w:val="normaltextrun"/>
        </w:rPr>
        <w:t>Maternal, Infant, and Early Childhood Home Visiting (MIECHV) program</w:t>
      </w:r>
      <w:r>
        <w:rPr>
          <w:rStyle w:val="normaltextrun"/>
        </w:rPr>
        <w:t xml:space="preserve">. As part of this collaboration, ACF’s Office of Planning, Research, and Evaluation (OPRE) oversees the Home Visiting Evidence of Effectiveness (HomVEE) review. ACF and HRSA are engaged in on a </w:t>
      </w:r>
      <w:r w:rsidRPr="008670F5">
        <w:rPr>
          <w:rStyle w:val="normaltextrun"/>
        </w:rPr>
        <w:t xml:space="preserve">broad effort to improve the </w:t>
      </w:r>
      <w:r>
        <w:rPr>
          <w:rStyle w:val="normaltextrun"/>
        </w:rPr>
        <w:t xml:space="preserve">HomVEE’s </w:t>
      </w:r>
      <w:r w:rsidRPr="008670F5">
        <w:rPr>
          <w:rStyle w:val="normaltextrun"/>
        </w:rPr>
        <w:t>HHS Criteria for Evidence-based Early Childhood Home Visiting Models (“HHS Criteria”)</w:t>
      </w:r>
      <w:r>
        <w:rPr>
          <w:rStyle w:val="normaltextrun"/>
        </w:rPr>
        <w:t>. To inform these efforts, ACF</w:t>
      </w:r>
      <w:r w:rsidRPr="008670F5">
        <w:rPr>
          <w:rStyle w:val="normaltextrun"/>
        </w:rPr>
        <w:t xml:space="preserve"> seeks approval to conduct focus groups and a listening session with constituencies with direct interest in and engagement with the MIECHV program. The purpose of these focus groups and listening session is to learn about the strengths and challenges with the current </w:t>
      </w:r>
      <w:r>
        <w:rPr>
          <w:rStyle w:val="normaltextrun"/>
        </w:rPr>
        <w:t>H</w:t>
      </w:r>
      <w:r w:rsidRPr="008670F5">
        <w:rPr>
          <w:rStyle w:val="normaltextrun"/>
        </w:rPr>
        <w:t>HS Criteria. The proposed information collection includes semi-structured focus groups (held on a virtual platform) with evidence-based policy experts, home visiting model developers, home visiting administrators, home visiting advocates, and tribal home visiting experts.  It also includes a virtual listening session with home visiting researchers. </w:t>
      </w:r>
      <w:r w:rsidRPr="008670F5">
        <w:rPr>
          <w:rStyle w:val="eop"/>
        </w:rPr>
        <w:t> </w:t>
      </w:r>
      <w:r w:rsidRPr="008670F5">
        <w:t>We do not intend for this information to be used as the principal basis for public policy decisions.</w:t>
      </w:r>
    </w:p>
    <w:p w:rsidR="00984BBF" w:rsidRPr="008670F5" w:rsidP="00603AFB" w14:paraId="32F118BE" w14:textId="77777777"/>
    <w:p w:rsidR="00984CA2" w:rsidRPr="008670F5" w:rsidP="006D189C"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8670F5">
        <w:rPr>
          <w:rFonts w:ascii="Times New Roman" w:hAnsi="Times New Roman"/>
          <w:i/>
          <w:sz w:val="24"/>
          <w:szCs w:val="24"/>
        </w:rPr>
        <w:t xml:space="preserve">Background </w:t>
      </w:r>
    </w:p>
    <w:p w:rsidR="00603AFB" w:rsidRPr="008670F5" w:rsidP="00603AFB" w14:paraId="2542215A" w14:textId="79FFF89F">
      <w:r w:rsidRPr="008670F5">
        <w:t>The HHS Criteria are established by the U.S. Department of Health and Human Services to determine which home visiting models are considered evidence-based for the purposes of the MIECHV Program.</w:t>
      </w:r>
      <w:r w:rsidRPr="008670F5" w:rsidR="001D3F28">
        <w:t xml:space="preserve"> </w:t>
      </w:r>
      <w:r w:rsidRPr="008670F5">
        <w:t>By law, state and jurisdiction awardees must spend the majority of their MIECHV Program</w:t>
      </w:r>
      <w:r w:rsidRPr="008670F5" w:rsidR="001D3F28">
        <w:t xml:space="preserve"> </w:t>
      </w:r>
      <w:r w:rsidRPr="008670F5">
        <w:t>grants to implement evidence-based home visiting models, with up to 25 percent of funding available to implement promising approaches that will undergo rigorous evaluation. To be eligible for implementation as an evidence-based model with MIECHV funding, a model must meet statutory requirements for model eligibility, including the evidence requirements</w:t>
      </w:r>
      <w:r w:rsidRPr="008670F5" w:rsidR="00F86D3D">
        <w:t xml:space="preserve"> in the HHS Criteria</w:t>
      </w:r>
      <w:r w:rsidRPr="008670F5" w:rsidR="00127DAA">
        <w:t>.</w:t>
      </w:r>
    </w:p>
    <w:p w:rsidR="001D3F28" w:rsidRPr="008670F5" w:rsidP="00603AFB" w14:paraId="706BC981" w14:textId="77777777"/>
    <w:p w:rsidR="00603AFB" w:rsidRPr="008670F5" w:rsidP="00603AFB" w14:paraId="75065153" w14:textId="73070C32">
      <w:r w:rsidRPr="008670F5">
        <w:t>The current HHS Criteria are:</w:t>
      </w:r>
    </w:p>
    <w:p w:rsidR="00127DAA" w:rsidRPr="008670F5" w:rsidP="00603AFB" w14:paraId="18D42E3A" w14:textId="77777777"/>
    <w:p w:rsidR="00603AFB" w:rsidRPr="008670F5" w:rsidP="00603AFB" w14:paraId="0E6ACB43" w14:textId="462F1F65">
      <w:r w:rsidRPr="008670F5">
        <w:t>“To qualify as an evidence-based early childhood home visiting service delivery model, a</w:t>
      </w:r>
    </w:p>
    <w:p w:rsidR="00127DAA" w:rsidRPr="008670F5" w:rsidP="00127DAA" w14:paraId="1A21DBB4" w14:textId="1FF63B45">
      <w:pPr>
        <w:jc w:val="both"/>
      </w:pPr>
      <w:bookmarkStart w:id="0" w:name="_bookmark0"/>
      <w:bookmarkEnd w:id="0"/>
      <w:r w:rsidRPr="008670F5">
        <w:t>model must meet at least one of the following criteria:</w:t>
      </w:r>
    </w:p>
    <w:p w:rsidR="00127DAA" w:rsidRPr="008670F5" w:rsidP="00127DAA" w14:paraId="46CB250E" w14:textId="77777777">
      <w:pPr>
        <w:jc w:val="both"/>
      </w:pPr>
    </w:p>
    <w:p w:rsidR="00127DAA" w:rsidRPr="008670F5" w:rsidP="00127DAA" w14:paraId="2AE718C2" w14:textId="77777777">
      <w:pPr>
        <w:pStyle w:val="ListParagraph"/>
        <w:numPr>
          <w:ilvl w:val="0"/>
          <w:numId w:val="32"/>
        </w:numPr>
        <w:jc w:val="both"/>
        <w:rPr>
          <w:sz w:val="24"/>
          <w:szCs w:val="24"/>
        </w:rPr>
      </w:pPr>
      <w:r w:rsidRPr="008670F5">
        <w:rPr>
          <w:sz w:val="24"/>
          <w:szCs w:val="24"/>
        </w:rPr>
        <w:t>At least one high- or moderate-quality impact study of the model finds favorable, statistically significant impacts in two or more of the eight outcome domains.</w:t>
      </w:r>
    </w:p>
    <w:p w:rsidR="00603AFB" w:rsidRPr="008670F5" w:rsidP="00127DAA" w14:paraId="24E52D25" w14:textId="6BF180CD">
      <w:pPr>
        <w:pStyle w:val="ListParagraph"/>
        <w:numPr>
          <w:ilvl w:val="0"/>
          <w:numId w:val="32"/>
        </w:numPr>
        <w:jc w:val="both"/>
        <w:rPr>
          <w:sz w:val="24"/>
          <w:szCs w:val="24"/>
        </w:rPr>
      </w:pPr>
      <w:r w:rsidRPr="008670F5">
        <w:rPr>
          <w:sz w:val="24"/>
          <w:szCs w:val="24"/>
        </w:rPr>
        <w:t>At least two high- or moderate-quality impact studies of the model using non- overlapping analytic study samples find one or more favorable, statistically significant impacts in the same domain.</w:t>
      </w:r>
    </w:p>
    <w:p w:rsidR="001D3F28" w:rsidRPr="008670F5" w:rsidP="00603AFB" w14:paraId="118FBCB0" w14:textId="77777777">
      <w:pPr>
        <w:jc w:val="both"/>
      </w:pPr>
    </w:p>
    <w:p w:rsidR="00603AFB" w:rsidRPr="008670F5" w:rsidP="00603AFB" w14:paraId="0701B585" w14:textId="229036B7">
      <w:pPr>
        <w:jc w:val="both"/>
      </w:pPr>
      <w:r w:rsidRPr="008670F5">
        <w:t xml:space="preserve">In both cases, the impacts must either (1) be found in the full sample or (2) if found for subgroups but not for the full sample, be replicated in the same domain in two or more studies using non- overlapping analytic study samples. Additionally, following the MIECHV-authorizing statute, if the model meets the above criteria based on findings from randomized controlled trial(s) only, then two additional requirements apply. First, one or more favorable, statistically significant impacts </w:t>
      </w:r>
      <w:r w:rsidRPr="008670F5">
        <w:t>must be sustained for at least one year after program enrollment. Second, one or more favorable, statistically significant impacts must be reported in a peer-reviewed journal. These criteria are consistent with the MIECHV statutory requirements: Section 511 (d)(3)(A)(i)(I).”</w:t>
      </w:r>
    </w:p>
    <w:p w:rsidR="001013C9" w:rsidRPr="008670F5" w:rsidP="00603AFB" w14:paraId="425ABC01" w14:textId="77777777">
      <w:pPr>
        <w:jc w:val="both"/>
      </w:pPr>
    </w:p>
    <w:p w:rsidR="003A3ED0" w:rsidRPr="008670F5" w:rsidP="006D189C" w14:paraId="0E0C82E3" w14:textId="1D34310E">
      <w:pPr>
        <w:pStyle w:val="Heading4"/>
        <w:numPr>
          <w:ilvl w:val="3"/>
          <w:numId w:val="0"/>
        </w:numPr>
        <w:tabs>
          <w:tab w:val="num" w:pos="180"/>
        </w:tabs>
        <w:spacing w:before="0" w:after="0" w:line="264" w:lineRule="auto"/>
        <w:jc w:val="both"/>
        <w:rPr>
          <w:rFonts w:ascii="Times New Roman" w:hAnsi="Times New Roman"/>
          <w:b w:val="0"/>
          <w:bCs w:val="0"/>
          <w:iCs/>
          <w:sz w:val="24"/>
          <w:szCs w:val="24"/>
        </w:rPr>
      </w:pPr>
      <w:r w:rsidRPr="008670F5">
        <w:rPr>
          <w:rFonts w:ascii="Times New Roman" w:hAnsi="Times New Roman"/>
          <w:b w:val="0"/>
          <w:bCs w:val="0"/>
          <w:iCs/>
          <w:sz w:val="24"/>
          <w:szCs w:val="24"/>
        </w:rPr>
        <w:t xml:space="preserve">The HHS Criteria have not been updated </w:t>
      </w:r>
      <w:r w:rsidRPr="008670F5" w:rsidR="00F86D3D">
        <w:rPr>
          <w:rFonts w:ascii="Times New Roman" w:hAnsi="Times New Roman"/>
          <w:b w:val="0"/>
          <w:bCs w:val="0"/>
          <w:iCs/>
          <w:sz w:val="24"/>
          <w:szCs w:val="24"/>
        </w:rPr>
        <w:t>since their creation</w:t>
      </w:r>
      <w:r w:rsidRPr="008670F5" w:rsidR="008670F5">
        <w:rPr>
          <w:rFonts w:ascii="Times New Roman" w:hAnsi="Times New Roman"/>
          <w:b w:val="0"/>
          <w:bCs w:val="0"/>
          <w:iCs/>
          <w:sz w:val="24"/>
          <w:szCs w:val="24"/>
        </w:rPr>
        <w:t xml:space="preserve"> in 2010</w:t>
      </w:r>
      <w:r w:rsidRPr="008670F5">
        <w:rPr>
          <w:rFonts w:ascii="Times New Roman" w:hAnsi="Times New Roman"/>
          <w:b w:val="0"/>
          <w:bCs w:val="0"/>
          <w:iCs/>
          <w:sz w:val="24"/>
          <w:szCs w:val="24"/>
        </w:rPr>
        <w:t xml:space="preserve">. Meanwhile, </w:t>
      </w:r>
      <w:r w:rsidRPr="008670F5" w:rsidR="00C4267A">
        <w:rPr>
          <w:rFonts w:ascii="Times New Roman" w:hAnsi="Times New Roman"/>
          <w:b w:val="0"/>
          <w:bCs w:val="0"/>
          <w:iCs/>
          <w:sz w:val="24"/>
          <w:szCs w:val="24"/>
        </w:rPr>
        <w:t>knowledge about evidence-based policy</w:t>
      </w:r>
      <w:r w:rsidRPr="008670F5" w:rsidR="00E03EB3">
        <w:rPr>
          <w:rFonts w:ascii="Times New Roman" w:hAnsi="Times New Roman"/>
          <w:b w:val="0"/>
          <w:bCs w:val="0"/>
          <w:iCs/>
          <w:sz w:val="24"/>
          <w:szCs w:val="24"/>
        </w:rPr>
        <w:t>, research methods,</w:t>
      </w:r>
      <w:r w:rsidRPr="008670F5" w:rsidR="00C4267A">
        <w:rPr>
          <w:rFonts w:ascii="Times New Roman" w:hAnsi="Times New Roman"/>
          <w:b w:val="0"/>
          <w:bCs w:val="0"/>
          <w:iCs/>
          <w:sz w:val="24"/>
          <w:szCs w:val="24"/>
        </w:rPr>
        <w:t xml:space="preserve"> and home visiting have expanded. OPRE, in partnership with HRSA and ECD, seeks to review the criteria and consider updates to ensure that they are consistent with best practices. To do this effectively, it is important to gather input from key MIECHV constituencies. </w:t>
      </w:r>
      <w:r w:rsidRPr="008670F5" w:rsidR="00884574">
        <w:rPr>
          <w:rFonts w:ascii="Times New Roman" w:hAnsi="Times New Roman"/>
          <w:b w:val="0"/>
          <w:bCs w:val="0"/>
          <w:sz w:val="24"/>
          <w:szCs w:val="24"/>
        </w:rPr>
        <w:t>The purpose of the proposed focus groups and listening session is to gather this input.</w:t>
      </w:r>
    </w:p>
    <w:p w:rsidR="003A3ED0" w:rsidRPr="008670F5" w:rsidP="006D189C" w14:paraId="2EFC7B3F" w14:textId="77777777">
      <w:pPr>
        <w:pStyle w:val="Heading4"/>
        <w:numPr>
          <w:ilvl w:val="3"/>
          <w:numId w:val="0"/>
        </w:numPr>
        <w:tabs>
          <w:tab w:val="num" w:pos="180"/>
        </w:tabs>
        <w:spacing w:before="0" w:after="0" w:line="264" w:lineRule="auto"/>
        <w:jc w:val="both"/>
        <w:rPr>
          <w:rFonts w:ascii="Times New Roman" w:hAnsi="Times New Roman"/>
          <w:i/>
          <w:sz w:val="24"/>
          <w:szCs w:val="24"/>
        </w:rPr>
      </w:pPr>
    </w:p>
    <w:p w:rsidR="00984CA2" w:rsidRPr="008670F5" w:rsidP="00603AFB" w14:paraId="742B4ABD" w14:textId="1106050D">
      <w:pPr>
        <w:pStyle w:val="Heading4"/>
        <w:numPr>
          <w:ilvl w:val="3"/>
          <w:numId w:val="0"/>
        </w:numPr>
        <w:tabs>
          <w:tab w:val="num" w:pos="180"/>
        </w:tabs>
        <w:spacing w:before="60" w:line="264" w:lineRule="auto"/>
        <w:jc w:val="both"/>
        <w:rPr>
          <w:rFonts w:ascii="Times New Roman" w:hAnsi="Times New Roman"/>
          <w:i/>
          <w:sz w:val="24"/>
          <w:szCs w:val="24"/>
        </w:rPr>
      </w:pPr>
      <w:r w:rsidRPr="008670F5">
        <w:rPr>
          <w:rFonts w:ascii="Times New Roman" w:hAnsi="Times New Roman"/>
          <w:i/>
          <w:sz w:val="24"/>
          <w:szCs w:val="24"/>
        </w:rPr>
        <w:t xml:space="preserve">Legal or Administrative Requirements that Necessitate the Collection </w:t>
      </w:r>
    </w:p>
    <w:p w:rsidR="0020382F" w:rsidRPr="008670F5" w:rsidP="00603AFB" w14:paraId="7D1B72AE" w14:textId="1FEED087">
      <w:pPr>
        <w:jc w:val="both"/>
        <w:rPr>
          <w:sz w:val="28"/>
          <w:szCs w:val="28"/>
        </w:rPr>
      </w:pPr>
      <w:r w:rsidRPr="008670F5">
        <w:t>There are no legal or administrative requirements that necessitate the collection. ACF is undertaking the collection at the discretion of the agency.</w:t>
      </w:r>
    </w:p>
    <w:p w:rsidR="00D90EF6" w:rsidRPr="008670F5" w:rsidP="00603AFB" w14:paraId="210B83EF" w14:textId="77777777">
      <w:pPr>
        <w:jc w:val="both"/>
      </w:pPr>
    </w:p>
    <w:p w:rsidR="00945CD6" w:rsidRPr="008670F5" w:rsidP="00603AFB" w14:paraId="617B0354" w14:textId="77777777">
      <w:pPr>
        <w:spacing w:after="120"/>
        <w:jc w:val="both"/>
        <w:rPr>
          <w:b/>
        </w:rPr>
      </w:pPr>
      <w:r w:rsidRPr="008670F5">
        <w:rPr>
          <w:b/>
        </w:rPr>
        <w:t xml:space="preserve">A2. </w:t>
      </w:r>
      <w:r w:rsidRPr="008670F5">
        <w:rPr>
          <w:b/>
        </w:rPr>
        <w:t>Purpose of Survey and Data Collection Procedures</w:t>
      </w:r>
    </w:p>
    <w:p w:rsidR="008F570D" w:rsidRPr="008670F5" w:rsidP="00603AFB" w14:paraId="320194E8" w14:textId="195C2CEF">
      <w:pPr>
        <w:spacing w:after="60"/>
        <w:jc w:val="both"/>
        <w:rPr>
          <w:b/>
          <w:i/>
        </w:rPr>
      </w:pPr>
      <w:r w:rsidRPr="008670F5">
        <w:rPr>
          <w:b/>
          <w:i/>
        </w:rPr>
        <w:t xml:space="preserve">Overview of Purpose and </w:t>
      </w:r>
      <w:r w:rsidRPr="008670F5">
        <w:rPr>
          <w:b/>
          <w:i/>
        </w:rPr>
        <w:t>Use</w:t>
      </w:r>
    </w:p>
    <w:p w:rsidR="00B937E2" w:rsidRPr="008670F5" w:rsidP="00603AFB" w14:paraId="29179BF3" w14:textId="4311007D">
      <w:pPr>
        <w:spacing w:after="60"/>
        <w:jc w:val="both"/>
        <w:rPr>
          <w:bCs/>
          <w:iCs/>
        </w:rPr>
      </w:pPr>
      <w:r w:rsidRPr="008670F5">
        <w:rPr>
          <w:bCs/>
          <w:iCs/>
        </w:rPr>
        <w:t xml:space="preserve">The proposed focus groups and information session are designed to engage the voices of different constituencies that have interest in MIECHV. </w:t>
      </w:r>
      <w:r w:rsidRPr="008670F5">
        <w:rPr>
          <w:bCs/>
          <w:iCs/>
        </w:rPr>
        <w:t>Specifically,</w:t>
      </w:r>
      <w:r w:rsidRPr="008670F5" w:rsidR="001F1640">
        <w:rPr>
          <w:bCs/>
          <w:iCs/>
        </w:rPr>
        <w:t xml:space="preserve"> the focus groups and </w:t>
      </w:r>
      <w:r w:rsidRPr="008670F5" w:rsidR="00AC19B8">
        <w:rPr>
          <w:bCs/>
          <w:iCs/>
        </w:rPr>
        <w:t xml:space="preserve">listening </w:t>
      </w:r>
      <w:r w:rsidRPr="008670F5" w:rsidR="001F1640">
        <w:rPr>
          <w:bCs/>
          <w:iCs/>
        </w:rPr>
        <w:t xml:space="preserve">session will explore </w:t>
      </w:r>
      <w:r w:rsidRPr="008670F5">
        <w:rPr>
          <w:bCs/>
          <w:iCs/>
        </w:rPr>
        <w:t xml:space="preserve">the perspectives of </w:t>
      </w:r>
      <w:r w:rsidRPr="008670F5" w:rsidR="001F1640">
        <w:rPr>
          <w:bCs/>
          <w:iCs/>
        </w:rPr>
        <w:t xml:space="preserve">researchers, evidence-based policy experts, </w:t>
      </w:r>
      <w:r w:rsidRPr="008670F5">
        <w:rPr>
          <w:bCs/>
          <w:iCs/>
        </w:rPr>
        <w:t xml:space="preserve">home visiting administrators, and home visiting advocates regarding the current </w:t>
      </w:r>
      <w:r w:rsidRPr="008670F5" w:rsidR="00F80C24">
        <w:rPr>
          <w:bCs/>
          <w:iCs/>
        </w:rPr>
        <w:t>HHS Criteria</w:t>
      </w:r>
      <w:r w:rsidRPr="008670F5">
        <w:rPr>
          <w:bCs/>
          <w:iCs/>
        </w:rPr>
        <w:t>. Th</w:t>
      </w:r>
      <w:r w:rsidR="00C358F9">
        <w:rPr>
          <w:bCs/>
          <w:iCs/>
        </w:rPr>
        <w:t>e feedback</w:t>
      </w:r>
      <w:r w:rsidRPr="008670F5">
        <w:rPr>
          <w:bCs/>
          <w:iCs/>
        </w:rPr>
        <w:t xml:space="preserve"> will be used by ACF and HRSA to </w:t>
      </w:r>
      <w:r w:rsidRPr="008670F5" w:rsidR="00DA68BE">
        <w:rPr>
          <w:bCs/>
          <w:iCs/>
        </w:rPr>
        <w:t xml:space="preserve">inform </w:t>
      </w:r>
      <w:r w:rsidRPr="008670F5">
        <w:rPr>
          <w:bCs/>
          <w:iCs/>
        </w:rPr>
        <w:t>revis</w:t>
      </w:r>
      <w:r w:rsidRPr="008670F5" w:rsidR="00DA68BE">
        <w:rPr>
          <w:bCs/>
          <w:iCs/>
        </w:rPr>
        <w:t>ions to</w:t>
      </w:r>
      <w:r w:rsidRPr="008670F5">
        <w:rPr>
          <w:bCs/>
          <w:iCs/>
        </w:rPr>
        <w:t xml:space="preserve"> the </w:t>
      </w:r>
      <w:r w:rsidRPr="008670F5" w:rsidR="00F80C24">
        <w:rPr>
          <w:bCs/>
          <w:iCs/>
        </w:rPr>
        <w:t>HHS Criteria</w:t>
      </w:r>
      <w:r w:rsidRPr="008670F5">
        <w:rPr>
          <w:bCs/>
          <w:iCs/>
        </w:rPr>
        <w:t xml:space="preserve"> to better reflect the current state of the </w:t>
      </w:r>
      <w:r w:rsidRPr="008670F5" w:rsidR="00A37C46">
        <w:rPr>
          <w:bCs/>
          <w:iCs/>
        </w:rPr>
        <w:t xml:space="preserve">field </w:t>
      </w:r>
      <w:r w:rsidRPr="008670F5">
        <w:rPr>
          <w:bCs/>
          <w:iCs/>
        </w:rPr>
        <w:t xml:space="preserve">and better support the use of evidence-based home visiting programs in the MIECHV program. </w:t>
      </w:r>
    </w:p>
    <w:p w:rsidR="00B937E2" w:rsidRPr="008670F5" w:rsidP="006D189C" w14:paraId="20E74481" w14:textId="77777777">
      <w:pPr>
        <w:jc w:val="both"/>
        <w:rPr>
          <w:bCs/>
          <w:iCs/>
        </w:rPr>
      </w:pPr>
    </w:p>
    <w:p w:rsidR="00083441" w:rsidRPr="00C358F9" w:rsidP="006D189C" w14:paraId="2E3B9586" w14:textId="5D98CC4E">
      <w:pPr>
        <w:spacing w:after="60"/>
        <w:jc w:val="both"/>
        <w:rPr>
          <w:bCs/>
          <w:iCs/>
        </w:rPr>
      </w:pPr>
      <w:r w:rsidRPr="008670F5">
        <w:rPr>
          <w:bCs/>
          <w:iCs/>
        </w:rPr>
        <w:t xml:space="preserve">Both the focus group and listening session </w:t>
      </w:r>
      <w:r w:rsidRPr="008670F5" w:rsidR="00425705">
        <w:rPr>
          <w:bCs/>
          <w:iCs/>
        </w:rPr>
        <w:t>findings</w:t>
      </w:r>
      <w:r w:rsidRPr="008670F5" w:rsidR="004E6C78">
        <w:rPr>
          <w:bCs/>
          <w:iCs/>
        </w:rPr>
        <w:t xml:space="preserve"> will </w:t>
      </w:r>
      <w:r w:rsidRPr="008670F5" w:rsidR="005276B8">
        <w:rPr>
          <w:bCs/>
          <w:iCs/>
        </w:rPr>
        <w:t>in</w:t>
      </w:r>
      <w:r w:rsidRPr="008670F5" w:rsidR="00D32F89">
        <w:rPr>
          <w:bCs/>
          <w:iCs/>
        </w:rPr>
        <w:t>form the</w:t>
      </w:r>
      <w:r w:rsidRPr="008670F5">
        <w:rPr>
          <w:bCs/>
          <w:iCs/>
        </w:rPr>
        <w:t xml:space="preserve"> drafting </w:t>
      </w:r>
      <w:r w:rsidRPr="008670F5" w:rsidR="00E03EB3">
        <w:rPr>
          <w:bCs/>
          <w:iCs/>
        </w:rPr>
        <w:t xml:space="preserve">of updated </w:t>
      </w:r>
      <w:r w:rsidRPr="008670F5" w:rsidR="00F80C24">
        <w:rPr>
          <w:bCs/>
          <w:iCs/>
        </w:rPr>
        <w:t>HHS Criteria</w:t>
      </w:r>
      <w:r w:rsidRPr="008670F5">
        <w:rPr>
          <w:bCs/>
          <w:iCs/>
        </w:rPr>
        <w:t xml:space="preserve">, which will be released to the public for comment through a Federal Register Notice in 2025. </w:t>
      </w:r>
      <w:r w:rsidRPr="008670F5" w:rsidR="00CC45C1">
        <w:rPr>
          <w:bCs/>
          <w:iCs/>
        </w:rPr>
        <w:t xml:space="preserve">By </w:t>
      </w:r>
      <w:r w:rsidRPr="008670F5" w:rsidR="00150573">
        <w:rPr>
          <w:bCs/>
          <w:iCs/>
        </w:rPr>
        <w:t xml:space="preserve">undertaking this data collection </w:t>
      </w:r>
      <w:r w:rsidRPr="008670F5" w:rsidR="004657CD">
        <w:rPr>
          <w:bCs/>
          <w:iCs/>
        </w:rPr>
        <w:t>activity</w:t>
      </w:r>
      <w:r w:rsidRPr="008670F5" w:rsidR="00150573">
        <w:rPr>
          <w:bCs/>
          <w:iCs/>
        </w:rPr>
        <w:t xml:space="preserve">, it is intended that </w:t>
      </w:r>
      <w:r w:rsidRPr="008670F5" w:rsidR="00FC762D">
        <w:rPr>
          <w:bCs/>
          <w:iCs/>
        </w:rPr>
        <w:t xml:space="preserve">HHS </w:t>
      </w:r>
      <w:r w:rsidRPr="008670F5" w:rsidR="00150573">
        <w:rPr>
          <w:bCs/>
          <w:iCs/>
        </w:rPr>
        <w:t>can (among other possibilities)</w:t>
      </w:r>
      <w:r w:rsidR="00C358F9">
        <w:rPr>
          <w:bCs/>
          <w:iCs/>
        </w:rPr>
        <w:t>:</w:t>
      </w:r>
    </w:p>
    <w:p w:rsidR="002E7B9A" w:rsidRPr="008670F5" w:rsidP="00603AFB" w14:paraId="1E872C71" w14:textId="50AD950B">
      <w:pPr>
        <w:pStyle w:val="ListParagraph"/>
        <w:numPr>
          <w:ilvl w:val="0"/>
          <w:numId w:val="28"/>
        </w:numPr>
        <w:spacing w:after="60"/>
        <w:jc w:val="both"/>
        <w:rPr>
          <w:bCs/>
          <w:iCs/>
          <w:sz w:val="24"/>
          <w:szCs w:val="24"/>
        </w:rPr>
      </w:pPr>
      <w:r w:rsidRPr="008670F5">
        <w:rPr>
          <w:bCs/>
          <w:iCs/>
          <w:sz w:val="24"/>
          <w:szCs w:val="24"/>
        </w:rPr>
        <w:t xml:space="preserve">Improve </w:t>
      </w:r>
      <w:r w:rsidRPr="008670F5" w:rsidR="00DC704D">
        <w:rPr>
          <w:bCs/>
          <w:iCs/>
          <w:sz w:val="24"/>
          <w:szCs w:val="24"/>
        </w:rPr>
        <w:t xml:space="preserve">the </w:t>
      </w:r>
      <w:r w:rsidRPr="008670F5" w:rsidR="00F80C24">
        <w:rPr>
          <w:bCs/>
          <w:iCs/>
          <w:sz w:val="24"/>
          <w:szCs w:val="24"/>
        </w:rPr>
        <w:t>HHS Criteria</w:t>
      </w:r>
      <w:r w:rsidRPr="008670F5" w:rsidR="00DC704D">
        <w:rPr>
          <w:bCs/>
          <w:iCs/>
          <w:sz w:val="24"/>
          <w:szCs w:val="24"/>
        </w:rPr>
        <w:t xml:space="preserve"> to better meet best practices in evidence-based policymaking</w:t>
      </w:r>
      <w:r w:rsidRPr="008670F5" w:rsidR="001B61CC">
        <w:rPr>
          <w:bCs/>
          <w:iCs/>
          <w:sz w:val="24"/>
          <w:szCs w:val="24"/>
        </w:rPr>
        <w:t>.</w:t>
      </w:r>
    </w:p>
    <w:p w:rsidR="00C63E26" w:rsidRPr="008670F5" w:rsidP="00603AFB" w14:paraId="75B56834" w14:textId="7689F458">
      <w:pPr>
        <w:pStyle w:val="ListParagraph"/>
        <w:numPr>
          <w:ilvl w:val="0"/>
          <w:numId w:val="28"/>
        </w:numPr>
        <w:spacing w:after="60"/>
        <w:jc w:val="both"/>
        <w:rPr>
          <w:bCs/>
          <w:iCs/>
          <w:sz w:val="24"/>
          <w:szCs w:val="24"/>
        </w:rPr>
      </w:pPr>
      <w:r w:rsidRPr="008670F5">
        <w:rPr>
          <w:bCs/>
          <w:iCs/>
          <w:sz w:val="24"/>
          <w:szCs w:val="24"/>
        </w:rPr>
        <w:t xml:space="preserve">Improve </w:t>
      </w:r>
      <w:r w:rsidRPr="008670F5" w:rsidR="001B61CC">
        <w:rPr>
          <w:bCs/>
          <w:iCs/>
          <w:sz w:val="24"/>
          <w:szCs w:val="24"/>
        </w:rPr>
        <w:t xml:space="preserve">the effectiveness of the </w:t>
      </w:r>
      <w:r w:rsidRPr="008670F5" w:rsidR="00F80C24">
        <w:rPr>
          <w:bCs/>
          <w:iCs/>
          <w:sz w:val="24"/>
          <w:szCs w:val="24"/>
        </w:rPr>
        <w:t>HHS Criteria</w:t>
      </w:r>
      <w:r w:rsidRPr="008670F5" w:rsidR="001B61CC">
        <w:rPr>
          <w:bCs/>
          <w:iCs/>
          <w:sz w:val="24"/>
          <w:szCs w:val="24"/>
        </w:rPr>
        <w:t xml:space="preserve"> in identifying evidence-based early childhood home</w:t>
      </w:r>
      <w:r w:rsidRPr="008670F5" w:rsidR="00D47349">
        <w:rPr>
          <w:bCs/>
          <w:iCs/>
          <w:sz w:val="24"/>
          <w:szCs w:val="24"/>
        </w:rPr>
        <w:t xml:space="preserve"> </w:t>
      </w:r>
      <w:r w:rsidRPr="008670F5" w:rsidR="001B61CC">
        <w:rPr>
          <w:bCs/>
          <w:iCs/>
          <w:sz w:val="24"/>
          <w:szCs w:val="24"/>
        </w:rPr>
        <w:t xml:space="preserve">visiting </w:t>
      </w:r>
      <w:r w:rsidRPr="008670F5" w:rsidR="00D47349">
        <w:rPr>
          <w:bCs/>
          <w:iCs/>
          <w:sz w:val="24"/>
          <w:szCs w:val="24"/>
        </w:rPr>
        <w:t xml:space="preserve">program </w:t>
      </w:r>
      <w:r w:rsidRPr="008670F5" w:rsidR="001B61CC">
        <w:rPr>
          <w:bCs/>
          <w:iCs/>
          <w:sz w:val="24"/>
          <w:szCs w:val="24"/>
        </w:rPr>
        <w:t>models.</w:t>
      </w:r>
    </w:p>
    <w:p w:rsidR="001B61CC" w:rsidRPr="008670F5" w:rsidP="002E7B9A" w14:paraId="0275ACF2" w14:textId="60EBF96E">
      <w:pPr>
        <w:pStyle w:val="ListParagraph"/>
        <w:numPr>
          <w:ilvl w:val="0"/>
          <w:numId w:val="28"/>
        </w:numPr>
        <w:spacing w:after="60"/>
        <w:rPr>
          <w:bCs/>
          <w:iCs/>
          <w:sz w:val="24"/>
          <w:szCs w:val="24"/>
        </w:rPr>
      </w:pPr>
      <w:r w:rsidRPr="008670F5">
        <w:rPr>
          <w:bCs/>
          <w:iCs/>
          <w:sz w:val="24"/>
          <w:szCs w:val="24"/>
        </w:rPr>
        <w:t xml:space="preserve">Reduce any real or perceived barriers to reviewing and evaluating </w:t>
      </w:r>
      <w:r w:rsidRPr="008670F5" w:rsidR="00D47349">
        <w:rPr>
          <w:bCs/>
          <w:iCs/>
          <w:sz w:val="24"/>
          <w:szCs w:val="24"/>
        </w:rPr>
        <w:t xml:space="preserve">the effectiveness of early childhood home visiting program models. </w:t>
      </w:r>
    </w:p>
    <w:p w:rsidR="004C3A18" w:rsidRPr="008670F5" w:rsidP="00D32F89" w14:paraId="31EE9434" w14:textId="4E4DEC2E">
      <w:pPr>
        <w:pStyle w:val="ListParagraph"/>
        <w:numPr>
          <w:ilvl w:val="0"/>
          <w:numId w:val="28"/>
        </w:numPr>
        <w:rPr>
          <w:bCs/>
          <w:iCs/>
          <w:sz w:val="24"/>
          <w:szCs w:val="24"/>
        </w:rPr>
      </w:pPr>
      <w:r w:rsidRPr="008670F5">
        <w:rPr>
          <w:bCs/>
          <w:iCs/>
          <w:sz w:val="24"/>
          <w:szCs w:val="24"/>
        </w:rPr>
        <w:t xml:space="preserve">Increase awareness of the home visiting and evidence communities regarding the updates to the </w:t>
      </w:r>
      <w:r w:rsidRPr="008670F5" w:rsidR="00F80C24">
        <w:rPr>
          <w:bCs/>
          <w:iCs/>
          <w:sz w:val="24"/>
          <w:szCs w:val="24"/>
        </w:rPr>
        <w:t>HHS Criteria</w:t>
      </w:r>
      <w:r w:rsidRPr="008670F5">
        <w:rPr>
          <w:bCs/>
          <w:iCs/>
          <w:sz w:val="24"/>
          <w:szCs w:val="24"/>
        </w:rPr>
        <w:t>.</w:t>
      </w:r>
    </w:p>
    <w:p w:rsidR="00A570C7" w:rsidRPr="008670F5" w:rsidP="00D32F89" w14:paraId="08E9300B" w14:textId="77777777">
      <w:pPr>
        <w:rPr>
          <w:b/>
          <w:i/>
        </w:rPr>
      </w:pPr>
    </w:p>
    <w:p w:rsidR="00D964BC" w:rsidRPr="008670F5" w:rsidP="40BF0867" w14:paraId="6F5CF4FF" w14:textId="77777777">
      <w:pPr>
        <w:pStyle w:val="Heading4"/>
        <w:tabs>
          <w:tab w:val="num" w:pos="180"/>
        </w:tabs>
        <w:spacing w:before="60" w:line="264" w:lineRule="auto"/>
        <w:rPr>
          <w:rFonts w:ascii="Times New Roman" w:hAnsi="Times New Roman"/>
          <w:b w:val="0"/>
          <w:sz w:val="24"/>
        </w:rPr>
      </w:pPr>
      <w:r w:rsidRPr="008670F5">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008F570D" w:rsidRPr="006D189C" w:rsidP="008670F5" w14:paraId="75C799A6" w14:textId="70F92ACE">
      <w:pPr>
        <w:pStyle w:val="ListParagraph"/>
        <w:numPr>
          <w:ilvl w:val="0"/>
          <w:numId w:val="20"/>
        </w:numPr>
        <w:ind w:left="720"/>
        <w:rPr>
          <w:b/>
          <w:i/>
        </w:rPr>
      </w:pPr>
      <w:r w:rsidRPr="008670F5">
        <w:rPr>
          <w:sz w:val="24"/>
          <w:szCs w:val="24"/>
        </w:rPr>
        <w:t>Obtaining feedback about processes and/or practices to inform ACF program development or support.</w:t>
      </w:r>
    </w:p>
    <w:p w:rsidR="00C358F9" w:rsidRPr="006D189C" w:rsidP="006D189C" w14:paraId="7E607EBB" w14:textId="77777777">
      <w:pPr>
        <w:pStyle w:val="ListParagraph"/>
        <w:rPr>
          <w:b/>
          <w:i/>
          <w:sz w:val="24"/>
          <w:szCs w:val="24"/>
        </w:rPr>
      </w:pPr>
    </w:p>
    <w:p w:rsidR="00984CA2" w:rsidRPr="008670F5" w:rsidP="008F570D" w14:paraId="473B9418" w14:textId="38A9E22B">
      <w:pPr>
        <w:spacing w:after="60"/>
        <w:rPr>
          <w:b/>
          <w:i/>
        </w:rPr>
      </w:pPr>
      <w:r w:rsidRPr="008670F5">
        <w:rPr>
          <w:b/>
          <w:i/>
        </w:rPr>
        <w:t>Process</w:t>
      </w:r>
      <w:r w:rsidRPr="008670F5" w:rsidR="003277CF">
        <w:rPr>
          <w:b/>
          <w:i/>
        </w:rPr>
        <w:t>es</w:t>
      </w:r>
      <w:r w:rsidRPr="008670F5">
        <w:rPr>
          <w:b/>
          <w:i/>
        </w:rPr>
        <w:t xml:space="preserve"> for Information Collection </w:t>
      </w:r>
    </w:p>
    <w:p w:rsidR="338D7B0B" w:rsidRPr="008670F5" w:rsidP="338D7B0B" w14:paraId="75293E29" w14:textId="4159C27E">
      <w:r w:rsidRPr="008670F5">
        <w:t xml:space="preserve">ACF will collect information through a series of semi-structured focus groups, with the following groups: </w:t>
      </w:r>
    </w:p>
    <w:p w:rsidR="338D7B0B" w:rsidRPr="008670F5" w:rsidP="338D7B0B" w14:paraId="6D72BD7B" w14:textId="6A912F7B">
      <w:pPr>
        <w:pStyle w:val="ListParagraph"/>
        <w:numPr>
          <w:ilvl w:val="0"/>
          <w:numId w:val="2"/>
        </w:numPr>
        <w:spacing w:line="259" w:lineRule="auto"/>
        <w:rPr>
          <w:sz w:val="24"/>
          <w:szCs w:val="24"/>
        </w:rPr>
      </w:pPr>
      <w:bookmarkStart w:id="1" w:name="_Hlk173499322"/>
      <w:r w:rsidRPr="008670F5">
        <w:rPr>
          <w:sz w:val="24"/>
          <w:szCs w:val="24"/>
        </w:rPr>
        <w:t>Evidence-based policy experts (1 focus group)</w:t>
      </w:r>
    </w:p>
    <w:p w:rsidR="338D7B0B" w:rsidRPr="008670F5" w:rsidP="338D7B0B" w14:paraId="37A82236" w14:textId="6ADCFF73">
      <w:pPr>
        <w:pStyle w:val="ListParagraph"/>
        <w:numPr>
          <w:ilvl w:val="0"/>
          <w:numId w:val="2"/>
        </w:numPr>
        <w:spacing w:line="259" w:lineRule="auto"/>
        <w:rPr>
          <w:sz w:val="24"/>
          <w:szCs w:val="24"/>
        </w:rPr>
      </w:pPr>
      <w:r w:rsidRPr="008670F5">
        <w:rPr>
          <w:sz w:val="24"/>
          <w:szCs w:val="24"/>
        </w:rPr>
        <w:t>Home visiting model developers (2 focus groups)</w:t>
      </w:r>
    </w:p>
    <w:p w:rsidR="338D7B0B" w:rsidRPr="008670F5" w:rsidP="338D7B0B" w14:paraId="205D3611" w14:textId="67300F2D">
      <w:pPr>
        <w:pStyle w:val="ListParagraph"/>
        <w:numPr>
          <w:ilvl w:val="0"/>
          <w:numId w:val="2"/>
        </w:numPr>
        <w:spacing w:line="259" w:lineRule="auto"/>
        <w:rPr>
          <w:sz w:val="24"/>
          <w:szCs w:val="24"/>
        </w:rPr>
      </w:pPr>
      <w:r w:rsidRPr="008670F5">
        <w:rPr>
          <w:sz w:val="24"/>
          <w:szCs w:val="24"/>
        </w:rPr>
        <w:t>Home visiting administrators (1 focus group)</w:t>
      </w:r>
    </w:p>
    <w:p w:rsidR="338D7B0B" w:rsidRPr="008670F5" w:rsidP="338D7B0B" w14:paraId="52B9EF04" w14:textId="5AE54D77">
      <w:pPr>
        <w:pStyle w:val="ListParagraph"/>
        <w:numPr>
          <w:ilvl w:val="0"/>
          <w:numId w:val="2"/>
        </w:numPr>
        <w:spacing w:line="259" w:lineRule="auto"/>
        <w:rPr>
          <w:sz w:val="24"/>
          <w:szCs w:val="24"/>
        </w:rPr>
      </w:pPr>
      <w:r w:rsidRPr="008670F5">
        <w:rPr>
          <w:sz w:val="24"/>
          <w:szCs w:val="24"/>
        </w:rPr>
        <w:t>Home visiting advocates (1 focus group)</w:t>
      </w:r>
    </w:p>
    <w:p w:rsidR="238EA1CE" w:rsidRPr="008670F5" w:rsidP="238EA1CE" w14:paraId="429C3108" w14:textId="53166700">
      <w:pPr>
        <w:pStyle w:val="ListParagraph"/>
        <w:numPr>
          <w:ilvl w:val="0"/>
          <w:numId w:val="2"/>
        </w:numPr>
        <w:spacing w:line="259" w:lineRule="auto"/>
      </w:pPr>
      <w:r w:rsidRPr="008670F5">
        <w:rPr>
          <w:sz w:val="24"/>
          <w:szCs w:val="24"/>
        </w:rPr>
        <w:t>Tribal home visiting experts (1 focus group)</w:t>
      </w:r>
    </w:p>
    <w:p w:rsidR="338D7B0B" w:rsidRPr="008670F5" w:rsidP="338D7B0B" w14:paraId="10AA63B6" w14:textId="3B98B518">
      <w:pPr>
        <w:spacing w:line="259" w:lineRule="auto"/>
      </w:pPr>
    </w:p>
    <w:p w:rsidR="338D7B0B" w:rsidRPr="008670F5" w:rsidP="338D7B0B" w14:paraId="63A9A1FA" w14:textId="0777A3F1">
      <w:pPr>
        <w:spacing w:line="259" w:lineRule="auto"/>
      </w:pPr>
      <w:r w:rsidRPr="008670F5">
        <w:t>Focus groups will be held via</w:t>
      </w:r>
      <w:r w:rsidR="00DC7603">
        <w:t xml:space="preserve"> an online platform such as</w:t>
      </w:r>
      <w:r w:rsidRPr="008670F5">
        <w:t xml:space="preserve"> Zoom. A facilitator will use a semi-</w:t>
      </w:r>
      <w:r w:rsidRPr="008670F5" w:rsidR="00D76449">
        <w:t>structured</w:t>
      </w:r>
      <w:r w:rsidRPr="008670F5">
        <w:t xml:space="preserve"> interview protocol that includes a scripted introduction and consent, an overview of the </w:t>
      </w:r>
      <w:r w:rsidRPr="008670F5" w:rsidR="00F80C24">
        <w:t>HHS Criteria</w:t>
      </w:r>
      <w:r w:rsidRPr="008670F5">
        <w:t xml:space="preserve"> and the process for updating them, and a combination of high-level questions and detailed probes to gather input into specific topics. </w:t>
      </w:r>
      <w:r w:rsidR="00EC2950">
        <w:t xml:space="preserve">See </w:t>
      </w:r>
      <w:r w:rsidRPr="006D189C" w:rsidR="00EC2950">
        <w:rPr>
          <w:b/>
          <w:bCs/>
        </w:rPr>
        <w:t>Instruments 1-5</w:t>
      </w:r>
      <w:r w:rsidR="00EC2950">
        <w:t xml:space="preserve"> for focus group materials. </w:t>
      </w:r>
    </w:p>
    <w:p w:rsidR="338D7B0B" w:rsidRPr="008670F5" w:rsidP="338D7B0B" w14:paraId="45BC9E00" w14:textId="6186319F">
      <w:pPr>
        <w:spacing w:line="259" w:lineRule="auto"/>
      </w:pPr>
    </w:p>
    <w:p w:rsidR="338D7B0B" w:rsidRPr="008670F5" w:rsidP="00537B6A" w14:paraId="3460C790" w14:textId="2960D073">
      <w:pPr>
        <w:spacing w:line="259" w:lineRule="auto"/>
      </w:pPr>
      <w:r w:rsidRPr="008670F5">
        <w:t xml:space="preserve">ACF will also collect information through </w:t>
      </w:r>
      <w:r w:rsidRPr="008670F5" w:rsidR="00537B6A">
        <w:t xml:space="preserve">a </w:t>
      </w:r>
      <w:r w:rsidRPr="008670F5">
        <w:t xml:space="preserve">listening session with </w:t>
      </w:r>
      <w:r w:rsidRPr="008670F5" w:rsidR="00537B6A">
        <w:t>h</w:t>
      </w:r>
      <w:r w:rsidRPr="008670F5" w:rsidR="238EA1CE">
        <w:t>ome visiting researchers</w:t>
      </w:r>
      <w:r w:rsidRPr="008670F5" w:rsidR="00537B6A">
        <w:t>.</w:t>
      </w:r>
    </w:p>
    <w:bookmarkEnd w:id="1"/>
    <w:p w:rsidR="338D7B0B" w:rsidRPr="008670F5" w:rsidP="00E75C95" w14:paraId="2951B96A" w14:textId="2D5D9AF5">
      <w:pPr>
        <w:rPr>
          <w:b/>
          <w:bCs/>
        </w:rPr>
      </w:pPr>
    </w:p>
    <w:p w:rsidR="00A26F58" w:rsidP="00E75C95" w14:paraId="7B4B0EB4" w14:textId="6502563C">
      <w:r w:rsidRPr="008670F5">
        <w:t xml:space="preserve">The listening session will be held </w:t>
      </w:r>
      <w:r w:rsidR="00DC7603">
        <w:t>virtually</w:t>
      </w:r>
      <w:r w:rsidRPr="008670F5">
        <w:t xml:space="preserve"> and facilitated using a semi-structured protocol that includes a scripted introduction and consent, an overview of the </w:t>
      </w:r>
      <w:r w:rsidRPr="008670F5" w:rsidR="00F80C24">
        <w:t>HHS Criteria</w:t>
      </w:r>
      <w:r w:rsidRPr="008670F5">
        <w:t xml:space="preserve"> and the process for updating them, and a series of activities using technological applications such as GroupMap, JamBoard, or PollEverywhere to gather </w:t>
      </w:r>
      <w:r w:rsidRPr="008670F5" w:rsidR="00A15412">
        <w:t xml:space="preserve">and discuss </w:t>
      </w:r>
      <w:r w:rsidRPr="008670F5">
        <w:t>response</w:t>
      </w:r>
      <w:r w:rsidRPr="008670F5" w:rsidR="00A15412">
        <w:t>s</w:t>
      </w:r>
      <w:r w:rsidRPr="008670F5">
        <w:t xml:space="preserve"> to a set of questions posed to participants. </w:t>
      </w:r>
      <w:r w:rsidR="00EC2950">
        <w:t xml:space="preserve">See </w:t>
      </w:r>
      <w:r w:rsidRPr="00FD2A3D" w:rsidR="00EC2950">
        <w:rPr>
          <w:b/>
          <w:bCs/>
        </w:rPr>
        <w:t>Instrument</w:t>
      </w:r>
      <w:r w:rsidR="00EC2950">
        <w:rPr>
          <w:b/>
          <w:bCs/>
        </w:rPr>
        <w:t xml:space="preserve"> 6 </w:t>
      </w:r>
      <w:r w:rsidR="00EC2950">
        <w:t xml:space="preserve">for listening session materials. </w:t>
      </w:r>
    </w:p>
    <w:p w:rsidR="00EC2950" w:rsidRPr="008670F5" w:rsidP="00E75C95" w14:paraId="0D05B8B9" w14:textId="77777777"/>
    <w:p w:rsidR="00945CD6" w:rsidRPr="008670F5" w:rsidP="008F570D" w14:paraId="49EEF137" w14:textId="77777777">
      <w:pPr>
        <w:spacing w:after="120"/>
        <w:rPr>
          <w:b/>
        </w:rPr>
      </w:pPr>
      <w:r w:rsidRPr="008670F5">
        <w:rPr>
          <w:b/>
        </w:rPr>
        <w:t xml:space="preserve">A3. </w:t>
      </w:r>
      <w:r w:rsidRPr="008670F5">
        <w:rPr>
          <w:b/>
        </w:rPr>
        <w:t>Improved Information Technology to Reduce Burden</w:t>
      </w:r>
    </w:p>
    <w:p w:rsidR="00F72880" w:rsidP="006D189C" w14:paraId="7D54F2F5" w14:textId="3EF9A388">
      <w:r w:rsidRPr="008670F5">
        <w:t xml:space="preserve">All information will be gathered electronically. The focus groups will be scheduled and held virtually, and, pending participant consent, will be recorded. The recordings will be transcribed to ensure accuracy and completeness. Similarly, the </w:t>
      </w:r>
      <w:r w:rsidRPr="008670F5" w:rsidR="00537B6A">
        <w:t>listening session</w:t>
      </w:r>
      <w:r w:rsidRPr="008670F5">
        <w:t xml:space="preserve"> will be held virtually as well. Virtual technology will be utilized to gather input from the larger group within the listening session through polling, virtual sticky note exercises, or other approaches. </w:t>
      </w:r>
    </w:p>
    <w:p w:rsidR="00F72880" w:rsidRPr="008670F5" w:rsidP="006D189C" w14:paraId="63068C0E" w14:textId="77777777">
      <w:pPr>
        <w:rPr>
          <w:b/>
          <w:bCs/>
        </w:rPr>
      </w:pPr>
    </w:p>
    <w:p w:rsidR="00945CD6" w:rsidRPr="008670F5" w:rsidP="338D7B0B" w14:paraId="39BBEF3E" w14:textId="08127A79">
      <w:pPr>
        <w:spacing w:after="120"/>
        <w:rPr>
          <w:b/>
          <w:bCs/>
        </w:rPr>
      </w:pPr>
      <w:r w:rsidRPr="008670F5">
        <w:rPr>
          <w:b/>
          <w:bCs/>
        </w:rPr>
        <w:t>A4. Efforts to Identify Duplication</w:t>
      </w:r>
    </w:p>
    <w:p w:rsidR="00A26F58" w:rsidRPr="008670F5" w:rsidP="338D7B0B" w14:paraId="1057271B" w14:textId="6315E6CF">
      <w:pPr>
        <w:spacing w:line="259" w:lineRule="auto"/>
      </w:pPr>
      <w:r w:rsidRPr="008670F5">
        <w:t>Feedback</w:t>
      </w:r>
      <w:r w:rsidRPr="008670F5">
        <w:t xml:space="preserve"> from these constituent groups on </w:t>
      </w:r>
      <w:r w:rsidRPr="008670F5" w:rsidR="00B92851">
        <w:t xml:space="preserve">the HHS Criteria update </w:t>
      </w:r>
      <w:r w:rsidRPr="008670F5">
        <w:t xml:space="preserve">is not available through any other sources. </w:t>
      </w:r>
    </w:p>
    <w:p w:rsidR="00A26F58" w:rsidRPr="008670F5" w:rsidP="338D7B0B" w14:paraId="335D044C" w14:textId="77777777">
      <w:pPr>
        <w:spacing w:line="259" w:lineRule="auto"/>
      </w:pPr>
    </w:p>
    <w:p w:rsidR="00EC2950" w:rsidRPr="008670F5" w:rsidP="338D7B0B" w14:paraId="5284A9DB" w14:textId="25B31DF5">
      <w:pPr>
        <w:spacing w:line="259" w:lineRule="auto"/>
      </w:pPr>
      <w:r w:rsidRPr="008670F5">
        <w:t xml:space="preserve">We will not engage participants in more than one activity. </w:t>
      </w:r>
    </w:p>
    <w:p w:rsidR="00945CD6" w:rsidRPr="008670F5" w:rsidP="008F570D" w14:paraId="10B90123" w14:textId="77777777">
      <w:pPr>
        <w:spacing w:after="120"/>
        <w:rPr>
          <w:b/>
        </w:rPr>
      </w:pPr>
      <w:r w:rsidRPr="008670F5">
        <w:rPr>
          <w:b/>
        </w:rPr>
        <w:t xml:space="preserve">A5. </w:t>
      </w:r>
      <w:r w:rsidRPr="008670F5">
        <w:rPr>
          <w:b/>
        </w:rPr>
        <w:t>Involvement of Small Organizations</w:t>
      </w:r>
    </w:p>
    <w:p w:rsidR="00D90EF6" w:rsidRPr="008670F5" w:rsidP="008F570D" w14:paraId="12FF1FE5" w14:textId="584905B0">
      <w:r w:rsidRPr="008670F5">
        <w:t>To reduce potential burden on all focus group participants, which may include small organizations or businesses, the focus groups will be held at a time during business hours during which the participant indicates they are available. Participants will be informed on multiple occasions that their participation in focus group is voluntary.</w:t>
      </w:r>
      <w:r w:rsidR="00DC7603">
        <w:t xml:space="preserve"> Similarly, to reduce burden on listening session participants, scheduling will consider the needs of participants located in different time zones. </w:t>
      </w:r>
    </w:p>
    <w:p w:rsidR="00EC2950" w:rsidRPr="008670F5" w:rsidP="338D7B0B" w14:paraId="71DB5EAA" w14:textId="77777777">
      <w:pPr>
        <w:rPr>
          <w:b/>
          <w:bCs/>
        </w:rPr>
      </w:pPr>
    </w:p>
    <w:p w:rsidR="00945CD6" w:rsidRPr="008670F5" w:rsidP="008F570D" w14:paraId="5C724C5E" w14:textId="77777777">
      <w:pPr>
        <w:spacing w:after="120"/>
        <w:rPr>
          <w:b/>
        </w:rPr>
      </w:pPr>
      <w:r w:rsidRPr="008670F5">
        <w:rPr>
          <w:b/>
        </w:rPr>
        <w:t xml:space="preserve">A6. </w:t>
      </w:r>
      <w:r w:rsidRPr="008670F5">
        <w:rPr>
          <w:b/>
        </w:rPr>
        <w:t>Consequences of Less Frequent Data Collection</w:t>
      </w:r>
    </w:p>
    <w:p w:rsidR="00D90EF6" w:rsidRPr="008670F5" w:rsidP="008F570D" w14:paraId="214C03B2" w14:textId="5800C01E">
      <w:r w:rsidRPr="008670F5">
        <w:t>This is a one-time data collection.</w:t>
      </w:r>
    </w:p>
    <w:p w:rsidR="005046F0" w:rsidRPr="008670F5" w:rsidP="008F570D" w14:paraId="7C36762A" w14:textId="77777777">
      <w:pPr>
        <w:ind w:left="360"/>
      </w:pPr>
    </w:p>
    <w:p w:rsidR="00945CD6" w:rsidRPr="008670F5" w:rsidP="008F570D" w14:paraId="5060136E" w14:textId="77777777">
      <w:pPr>
        <w:spacing w:after="120"/>
        <w:rPr>
          <w:b/>
        </w:rPr>
      </w:pPr>
      <w:r w:rsidRPr="008670F5">
        <w:rPr>
          <w:b/>
        </w:rPr>
        <w:t xml:space="preserve">A7. </w:t>
      </w:r>
      <w:r w:rsidRPr="008670F5">
        <w:rPr>
          <w:b/>
        </w:rPr>
        <w:t>Special Circumstances</w:t>
      </w:r>
    </w:p>
    <w:p w:rsidR="00BE7952" w:rsidRPr="008670F5" w:rsidP="008F570D" w14:paraId="08207C8B" w14:textId="292CA299">
      <w:pPr>
        <w:rPr>
          <w:sz w:val="28"/>
          <w:szCs w:val="28"/>
        </w:rPr>
      </w:pPr>
      <w:r w:rsidRPr="008670F5">
        <w:t>There are no special circumstances for the proposed data collection efforts.</w:t>
      </w:r>
    </w:p>
    <w:p w:rsidR="00D90EF6" w:rsidRPr="008670F5" w:rsidP="008F570D" w14:paraId="6156892E" w14:textId="77777777">
      <w:pPr>
        <w:rPr>
          <w:b/>
        </w:rPr>
      </w:pPr>
    </w:p>
    <w:p w:rsidR="00D90EF6" w:rsidRPr="008670F5" w:rsidP="008F570D" w14:paraId="4FD99BC0" w14:textId="77777777">
      <w:pPr>
        <w:spacing w:after="120"/>
        <w:rPr>
          <w:b/>
        </w:rPr>
      </w:pPr>
      <w:r w:rsidRPr="008670F5">
        <w:rPr>
          <w:b/>
        </w:rPr>
        <w:t xml:space="preserve">A8. </w:t>
      </w:r>
      <w:r w:rsidRPr="008670F5" w:rsidR="00945CD6">
        <w:rPr>
          <w:b/>
        </w:rPr>
        <w:t>Federal Register Notice and Consultation</w:t>
      </w:r>
    </w:p>
    <w:p w:rsidR="00B91D97" w:rsidRPr="008670F5" w:rsidP="008F570D" w14:paraId="6A39001F" w14:textId="77777777">
      <w:pPr>
        <w:spacing w:after="60"/>
        <w:rPr>
          <w:b/>
          <w:i/>
        </w:rPr>
      </w:pPr>
      <w:r w:rsidRPr="008670F5">
        <w:rPr>
          <w:b/>
          <w:i/>
        </w:rPr>
        <w:t>Federal Register Notice and Comments</w:t>
      </w:r>
    </w:p>
    <w:p w:rsidR="008F10A2" w:rsidRPr="008670F5" w:rsidP="338D7B0B" w14:paraId="06B326DA" w14:textId="5CF07987">
      <w:r w:rsidRPr="008670F5">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RPr="008670F5" w:rsidP="008F570D" w14:paraId="21E62C00" w14:textId="72CBF5B8">
      <w:pPr>
        <w:pStyle w:val="Heading4"/>
        <w:rPr>
          <w:rFonts w:ascii="Times New Roman" w:hAnsi="Times New Roman"/>
          <w:i/>
          <w:sz w:val="24"/>
          <w:szCs w:val="24"/>
        </w:rPr>
      </w:pPr>
      <w:r w:rsidRPr="008670F5">
        <w:rPr>
          <w:rFonts w:ascii="Times New Roman" w:hAnsi="Times New Roman"/>
          <w:i/>
          <w:iCs/>
          <w:sz w:val="24"/>
          <w:szCs w:val="24"/>
        </w:rPr>
        <w:t>Consultation with Outside Experts</w:t>
      </w:r>
    </w:p>
    <w:p w:rsidR="2B9E891D" w:rsidRPr="008670F5" w:rsidP="2B9E891D" w14:paraId="321CACEF" w14:textId="02102385">
      <w:pPr>
        <w:rPr>
          <w:color w:val="000000" w:themeColor="text1"/>
        </w:rPr>
      </w:pPr>
      <w:r w:rsidRPr="008670F5">
        <w:rPr>
          <w:color w:val="000000" w:themeColor="text1"/>
        </w:rPr>
        <w:t>The team has consulted with a few groups to discuss the active engagement plan. These include the contractor for the Home Visiting Evidence of Effectiveness systematic review, the leadership team for the Home Visiting Applied Research Collaborative, and a few federal agencies that manage tiered evidence programs. These groups were always fewer than nine individuals, and the conversations focused on getting input on how best to engage in this information</w:t>
      </w:r>
      <w:r w:rsidRPr="008670F5" w:rsidR="00B92851">
        <w:rPr>
          <w:color w:val="000000" w:themeColor="text1"/>
        </w:rPr>
        <w:t>-</w:t>
      </w:r>
      <w:r w:rsidRPr="008670F5">
        <w:rPr>
          <w:color w:val="000000" w:themeColor="text1"/>
        </w:rPr>
        <w:t xml:space="preserve">gathering process. </w:t>
      </w:r>
    </w:p>
    <w:p w:rsidR="00A26F58" w:rsidRPr="008670F5" w:rsidP="2B9E891D" w14:paraId="0300642C" w14:textId="77777777">
      <w:pPr>
        <w:rPr>
          <w:color w:val="000000" w:themeColor="text1"/>
        </w:rPr>
      </w:pPr>
    </w:p>
    <w:p w:rsidR="00945CD6" w:rsidRPr="008670F5" w:rsidP="008F570D" w14:paraId="391068CD" w14:textId="6ECE22DD">
      <w:pPr>
        <w:spacing w:after="120"/>
        <w:rPr>
          <w:b/>
        </w:rPr>
      </w:pPr>
      <w:r w:rsidRPr="008670F5">
        <w:rPr>
          <w:b/>
        </w:rPr>
        <w:t xml:space="preserve">A9. </w:t>
      </w:r>
      <w:r w:rsidRPr="008670F5" w:rsidR="00542413">
        <w:rPr>
          <w:b/>
        </w:rPr>
        <w:t xml:space="preserve">Tokens of Appreciation </w:t>
      </w:r>
      <w:r w:rsidRPr="008670F5" w:rsidR="00B66874">
        <w:rPr>
          <w:b/>
        </w:rPr>
        <w:t>for</w:t>
      </w:r>
      <w:r w:rsidRPr="008670F5">
        <w:rPr>
          <w:b/>
        </w:rPr>
        <w:t xml:space="preserve"> Respondents</w:t>
      </w:r>
    </w:p>
    <w:p w:rsidR="004222F8" w:rsidRPr="008670F5" w:rsidP="00F179A2" w14:paraId="7605E87D" w14:textId="402F5CD7">
      <w:pPr>
        <w:rPr>
          <w:b/>
        </w:rPr>
      </w:pPr>
      <w:r w:rsidRPr="008670F5">
        <w:t xml:space="preserve">No </w:t>
      </w:r>
      <w:r w:rsidRPr="008670F5" w:rsidR="00542413">
        <w:t>tokens of appreciation</w:t>
      </w:r>
      <w:r w:rsidRPr="008670F5">
        <w:t xml:space="preserve"> for</w:t>
      </w:r>
      <w:r w:rsidRPr="008670F5" w:rsidR="00BE7952">
        <w:t xml:space="preserve"> respondents are proposed for this information collection.</w:t>
      </w:r>
    </w:p>
    <w:p w:rsidR="00A26F58" w:rsidRPr="008670F5" w:rsidP="00F179A2" w14:paraId="1E65871C" w14:textId="77777777">
      <w:pPr>
        <w:rPr>
          <w:b/>
        </w:rPr>
      </w:pPr>
    </w:p>
    <w:p w:rsidR="00CE5B4C" w:rsidRPr="008670F5" w:rsidP="00BA60B2" w14:paraId="13FF8FCD" w14:textId="7F3C8BA6">
      <w:pPr>
        <w:spacing w:after="120"/>
        <w:rPr>
          <w:b/>
        </w:rPr>
      </w:pPr>
      <w:r w:rsidRPr="008670F5">
        <w:rPr>
          <w:b/>
        </w:rPr>
        <w:t>A10. Privacy of Respondents</w:t>
      </w:r>
    </w:p>
    <w:p w:rsidR="00B523CE" w:rsidRPr="008670F5" w:rsidP="00B523CE" w14:paraId="600BB972" w14:textId="011F41EC">
      <w:pPr>
        <w:widowControl w:val="0"/>
        <w:autoSpaceDE w:val="0"/>
        <w:autoSpaceDN w:val="0"/>
        <w:adjustRightInd w:val="0"/>
      </w:pPr>
      <w:r w:rsidRPr="008670F5">
        <w:t xml:space="preserve">This request includes the collection of basic personally identifiable information (name, job title, organizational/institutional affiliation) for the purpose of 1) contacting participants for recruitment in focus groups, 2) following up with participants if clarification is required for their </w:t>
      </w:r>
      <w:r w:rsidRPr="008670F5">
        <w:t>comments, such as verifying the accuracy of transcripts. Information will not be maintained in a paper or electronic system from which data are actually or directly retrieved by an individuals’ personal identifier.</w:t>
      </w:r>
    </w:p>
    <w:p w:rsidR="007C712A" w:rsidRPr="008670F5" w:rsidP="008F570D" w14:paraId="1CFE2654" w14:textId="77777777">
      <w:pPr>
        <w:widowControl w:val="0"/>
        <w:autoSpaceDE w:val="0"/>
        <w:autoSpaceDN w:val="0"/>
        <w:adjustRightInd w:val="0"/>
      </w:pPr>
    </w:p>
    <w:p w:rsidR="00CE5B4C" w:rsidRPr="008670F5" w:rsidP="00CE5B4C" w14:paraId="1B8EF7B0" w14:textId="13962BB5">
      <w:pPr>
        <w:widowControl w:val="0"/>
        <w:autoSpaceDE w:val="0"/>
        <w:autoSpaceDN w:val="0"/>
        <w:adjustRightInd w:val="0"/>
      </w:pPr>
      <w:r w:rsidRPr="008670F5">
        <w:t xml:space="preserve">Focus group participants will be asked if they agree to being recorded. Once recorded, focus groups will be transcribed. Transcripts will be reviewed for accuracy, and once verified, recordings will be securely destroyed. Names will be removed from the transcript and replaced with unique identifiers. Transcripts will be maintained until conclusion of the project; at which time they will be securely destroyed. At no point will any reporting of findings identify individuals and their responses or provide information in which respondents could be identified such as through identification of a title or role that few hold. </w:t>
      </w:r>
    </w:p>
    <w:p w:rsidR="00CE5B4C" w:rsidRPr="008670F5" w:rsidP="00CE5B4C" w14:paraId="56C0D4B5" w14:textId="77777777">
      <w:pPr>
        <w:widowControl w:val="0"/>
        <w:autoSpaceDE w:val="0"/>
        <w:autoSpaceDN w:val="0"/>
        <w:adjustRightInd w:val="0"/>
      </w:pPr>
    </w:p>
    <w:p w:rsidR="00436F5E" w:rsidRPr="008670F5" w:rsidP="00F72880" w14:paraId="0442A162" w14:textId="0D37E748">
      <w:pPr>
        <w:widowControl w:val="0"/>
        <w:autoSpaceDE w:val="0"/>
        <w:autoSpaceDN w:val="0"/>
        <w:adjustRightInd w:val="0"/>
      </w:pPr>
      <w:r w:rsidRPr="008670F5">
        <w:t>Information collected will be kept private to the extent permitted by law. Respondents will be informed of all planned uses of data, that their participation is voluntary, and that their information will be kept private to the extent permitted by law. ACF 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w:t>
      </w:r>
    </w:p>
    <w:p w:rsidR="00A26F58" w:rsidRPr="008670F5" w:rsidP="008F570D" w14:paraId="1BBAF640" w14:textId="77777777"/>
    <w:p w:rsidR="00945CD6" w:rsidRPr="008670F5" w:rsidP="008F570D" w14:paraId="0B35E015" w14:textId="77777777">
      <w:pPr>
        <w:spacing w:after="120"/>
        <w:rPr>
          <w:b/>
        </w:rPr>
      </w:pPr>
      <w:r w:rsidRPr="008670F5">
        <w:rPr>
          <w:b/>
        </w:rPr>
        <w:t xml:space="preserve">A11. </w:t>
      </w:r>
      <w:r w:rsidRPr="008670F5">
        <w:rPr>
          <w:b/>
        </w:rPr>
        <w:t>Sensitive Questions</w:t>
      </w:r>
    </w:p>
    <w:p w:rsidR="005046F0" w:rsidRPr="008670F5" w:rsidP="00F72880" w14:paraId="45C63BFE" w14:textId="34B061BD">
      <w:r w:rsidRPr="008670F5">
        <w:t>There are no sensitive questions in this data collection.</w:t>
      </w:r>
    </w:p>
    <w:p w:rsidR="00A26F58" w:rsidRPr="008670F5" w:rsidP="008F570D" w14:paraId="32595A19" w14:textId="77777777">
      <w:pPr>
        <w:ind w:left="360"/>
      </w:pPr>
    </w:p>
    <w:p w:rsidR="00542413" w:rsidRPr="008670F5" w:rsidP="00542413" w14:paraId="3ABF848D" w14:textId="604CE552">
      <w:pPr>
        <w:spacing w:after="120"/>
        <w:rPr>
          <w:b/>
        </w:rPr>
      </w:pPr>
      <w:r w:rsidRPr="008670F5">
        <w:rPr>
          <w:b/>
        </w:rPr>
        <w:t xml:space="preserve">A12. </w:t>
      </w:r>
      <w:r w:rsidRPr="008670F5" w:rsidR="00945CD6">
        <w:rPr>
          <w:b/>
        </w:rPr>
        <w:t>Estimation of Information Collection Burden</w:t>
      </w:r>
    </w:p>
    <w:p w:rsidR="00542413" w:rsidRPr="008670F5" w:rsidP="00542413" w14:paraId="3786490C" w14:textId="2AA637D8">
      <w:pPr>
        <w:spacing w:after="60"/>
        <w:rPr>
          <w:b/>
          <w:bCs/>
          <w:i/>
          <w:iCs/>
        </w:rPr>
      </w:pPr>
      <w:r w:rsidRPr="008670F5">
        <w:rPr>
          <w:b/>
          <w:bCs/>
          <w:i/>
          <w:iCs/>
        </w:rPr>
        <w:t>Burden Estimates</w:t>
      </w:r>
    </w:p>
    <w:p w:rsidR="00B2655B" w:rsidRPr="008670F5" w:rsidP="008F570D" w14:paraId="396D13F3" w14:textId="6B7625AE">
      <w:r w:rsidRPr="008670F5">
        <w:t xml:space="preserve">Selection of </w:t>
      </w:r>
      <w:r w:rsidRPr="008670F5" w:rsidR="00F87A16">
        <w:t xml:space="preserve">potential focus group participants will be made with input from </w:t>
      </w:r>
      <w:r w:rsidRPr="008670F5" w:rsidR="00D24F94">
        <w:t xml:space="preserve">HRSA </w:t>
      </w:r>
      <w:r w:rsidR="00EC2950">
        <w:t xml:space="preserve">and </w:t>
      </w:r>
      <w:r w:rsidRPr="008670F5" w:rsidR="0071615E">
        <w:t xml:space="preserve">ACF </w:t>
      </w:r>
      <w:r w:rsidRPr="008670F5" w:rsidR="00F87A16">
        <w:t xml:space="preserve">staff who have knowledge of the availability and experience of potential participants. Invitations will be made to a </w:t>
      </w:r>
      <w:r w:rsidRPr="008670F5" w:rsidR="004E42DD">
        <w:t>selec</w:t>
      </w:r>
      <w:r w:rsidRPr="008670F5" w:rsidR="002265A6">
        <w:t xml:space="preserve">t number of </w:t>
      </w:r>
      <w:r w:rsidRPr="008670F5" w:rsidR="006B5306">
        <w:t xml:space="preserve">Program Administrators, Evidence-Based Policy Experts, and Advocates. The Listening Session will be advertised through </w:t>
      </w:r>
      <w:r w:rsidRPr="008670F5" w:rsidR="00757C20">
        <w:t xml:space="preserve">the Home Visiting Applied Research Center, with registration capped at 25. </w:t>
      </w:r>
    </w:p>
    <w:p w:rsidR="00757C20" w:rsidRPr="008670F5" w:rsidP="008F570D" w14:paraId="6253E51C" w14:textId="77777777"/>
    <w:p w:rsidR="00542413" w:rsidRPr="008670F5" w:rsidP="008F570D" w14:paraId="45B923F3" w14:textId="521688B6">
      <w:r w:rsidRPr="008670F5">
        <w:t xml:space="preserve">We estimated burden for </w:t>
      </w:r>
      <w:r w:rsidRPr="008670F5" w:rsidR="00773BB9">
        <w:t xml:space="preserve">all activities </w:t>
      </w:r>
      <w:r w:rsidRPr="008670F5">
        <w:t xml:space="preserve">based on commonly accepted practices, including considering the number and types of questions asked, time allocated for effective discussion, and size of group that allows for effective discussion. Each focus group will be capped at 8 participants and focus groups will be 60 minutes in length with 4-5 substantive discussion topics. </w:t>
      </w:r>
      <w:r w:rsidRPr="008670F5" w:rsidR="00704A03">
        <w:t xml:space="preserve">We estimate the listening session will be 60 minutes in length and include 25 participants. </w:t>
      </w:r>
      <w:r w:rsidRPr="008670F5">
        <w:t xml:space="preserve">There will be no burden to participants outside their participation in </w:t>
      </w:r>
      <w:r w:rsidRPr="008670F5" w:rsidR="00704A03">
        <w:t xml:space="preserve">the </w:t>
      </w:r>
      <w:r w:rsidRPr="008670F5">
        <w:t>focus groups</w:t>
      </w:r>
      <w:r w:rsidRPr="008670F5" w:rsidR="00704A03">
        <w:t xml:space="preserve"> or </w:t>
      </w:r>
      <w:r w:rsidRPr="008670F5" w:rsidR="00537B6A">
        <w:t>listening session</w:t>
      </w:r>
      <w:r w:rsidRPr="008670F5">
        <w:t>. Estimated burden for participants is reported in Table A12.</w:t>
      </w:r>
    </w:p>
    <w:p w:rsidR="00FD6871" w:rsidRPr="008670F5" w:rsidP="008F570D" w14:paraId="7B2D5A2F" w14:textId="77777777"/>
    <w:p w:rsidR="00DC7603" w:rsidP="00542413" w14:paraId="53918708" w14:textId="77777777">
      <w:pPr>
        <w:spacing w:after="60"/>
        <w:rPr>
          <w:b/>
          <w:i/>
        </w:rPr>
      </w:pPr>
    </w:p>
    <w:p w:rsidR="00DC7603" w:rsidP="00542413" w14:paraId="5CE1D6B3" w14:textId="77777777">
      <w:pPr>
        <w:spacing w:after="60"/>
        <w:rPr>
          <w:b/>
          <w:i/>
        </w:rPr>
      </w:pPr>
    </w:p>
    <w:p w:rsidR="00DC7603" w:rsidP="00542413" w14:paraId="3E20EFC3" w14:textId="77777777">
      <w:pPr>
        <w:spacing w:after="60"/>
        <w:rPr>
          <w:b/>
          <w:i/>
        </w:rPr>
      </w:pPr>
    </w:p>
    <w:p w:rsidR="00DC7603" w:rsidP="00542413" w14:paraId="50BAE956" w14:textId="77777777">
      <w:pPr>
        <w:spacing w:after="60"/>
        <w:rPr>
          <w:b/>
          <w:i/>
        </w:rPr>
      </w:pPr>
    </w:p>
    <w:p w:rsidR="00542413" w:rsidRPr="008670F5" w:rsidP="00542413" w14:paraId="6CBE253C" w14:textId="58124A58">
      <w:pPr>
        <w:spacing w:after="60"/>
        <w:rPr>
          <w:b/>
          <w:i/>
        </w:rPr>
      </w:pPr>
      <w:r w:rsidRPr="008670F5">
        <w:rPr>
          <w:b/>
          <w:i/>
        </w:rPr>
        <w:t>Cost Estimates</w:t>
      </w:r>
    </w:p>
    <w:p w:rsidR="002510A0" w:rsidRPr="008670F5" w:rsidP="0033072C" w14:paraId="70A5D98A" w14:textId="180507BA">
      <w:r w:rsidRPr="008670F5">
        <w:t>The cost to respondents was calculated using the Bureau of Labor Statistics (BLS) job codes as follows</w:t>
      </w:r>
      <w:r>
        <w:rPr>
          <w:rStyle w:val="FootnoteReference"/>
        </w:rPr>
        <w:footnoteReference w:id="3"/>
      </w:r>
      <w:r w:rsidRPr="008670F5">
        <w:t>:</w:t>
      </w:r>
    </w:p>
    <w:p w:rsidR="002510A0" w:rsidRPr="008670F5" w:rsidP="002510A0" w14:paraId="41820162" w14:textId="558F0105">
      <w:pPr>
        <w:pStyle w:val="ListParagraph"/>
        <w:numPr>
          <w:ilvl w:val="0"/>
          <w:numId w:val="27"/>
        </w:numPr>
        <w:rPr>
          <w:sz w:val="24"/>
          <w:szCs w:val="24"/>
        </w:rPr>
      </w:pPr>
      <w:r w:rsidRPr="008670F5">
        <w:rPr>
          <w:b/>
          <w:bCs/>
          <w:sz w:val="24"/>
          <w:szCs w:val="24"/>
        </w:rPr>
        <w:t>Focus Group Protocol for Evidence-Based Policy Experts</w:t>
      </w:r>
      <w:r w:rsidRPr="008670F5">
        <w:rPr>
          <w:sz w:val="24"/>
          <w:szCs w:val="24"/>
        </w:rPr>
        <w:t>: Social Scientists and Related Workers, All Other [19-3099]</w:t>
      </w:r>
    </w:p>
    <w:p w:rsidR="004C6E08" w:rsidRPr="008670F5" w:rsidP="00A46CFD" w14:paraId="0A90ECCE" w14:textId="3393988E">
      <w:pPr>
        <w:pStyle w:val="ListParagraph"/>
        <w:numPr>
          <w:ilvl w:val="1"/>
          <w:numId w:val="27"/>
        </w:numPr>
        <w:rPr>
          <w:sz w:val="24"/>
          <w:szCs w:val="24"/>
        </w:rPr>
      </w:pPr>
      <w:r w:rsidRPr="008670F5">
        <w:rPr>
          <w:sz w:val="24"/>
          <w:szCs w:val="24"/>
        </w:rPr>
        <w:t xml:space="preserve">Wage data from May </w:t>
      </w:r>
      <w:r w:rsidRPr="008670F5" w:rsidR="004913D9">
        <w:rPr>
          <w:sz w:val="24"/>
          <w:szCs w:val="24"/>
        </w:rPr>
        <w:t>2023</w:t>
      </w:r>
      <w:r w:rsidRPr="008670F5" w:rsidR="001F5199">
        <w:rPr>
          <w:sz w:val="24"/>
          <w:szCs w:val="24"/>
        </w:rPr>
        <w:t xml:space="preserve"> </w:t>
      </w:r>
      <w:r w:rsidRPr="008670F5">
        <w:rPr>
          <w:sz w:val="24"/>
          <w:szCs w:val="24"/>
        </w:rPr>
        <w:t xml:space="preserve">is $49.14 per hour. To account for fringe benefits and overhead the rate was multiplied by two which is $98.28.  </w:t>
      </w:r>
    </w:p>
    <w:p w:rsidR="66655DCD" w:rsidRPr="008670F5" w:rsidP="66655DCD" w14:paraId="7D86A1AE" w14:textId="3B8CB6AC">
      <w:pPr>
        <w:pStyle w:val="ListParagraph"/>
        <w:numPr>
          <w:ilvl w:val="0"/>
          <w:numId w:val="27"/>
        </w:numPr>
        <w:rPr>
          <w:sz w:val="24"/>
          <w:szCs w:val="24"/>
        </w:rPr>
      </w:pPr>
      <w:r w:rsidRPr="008670F5">
        <w:rPr>
          <w:b/>
          <w:bCs/>
          <w:sz w:val="24"/>
          <w:szCs w:val="24"/>
        </w:rPr>
        <w:t xml:space="preserve">Focus Group Protocol for Home Visiting Model Developers:  </w:t>
      </w:r>
      <w:r w:rsidRPr="008670F5">
        <w:rPr>
          <w:sz w:val="24"/>
          <w:szCs w:val="24"/>
        </w:rPr>
        <w:t>Social Scientists and Related Workers, All Other [19-3099]</w:t>
      </w:r>
    </w:p>
    <w:p w:rsidR="66655DCD" w:rsidRPr="008670F5" w:rsidP="66655DCD" w14:paraId="249A6E2D" w14:textId="4187883F">
      <w:pPr>
        <w:pStyle w:val="ListParagraph"/>
        <w:numPr>
          <w:ilvl w:val="1"/>
          <w:numId w:val="27"/>
        </w:numPr>
      </w:pPr>
      <w:r w:rsidRPr="008670F5">
        <w:rPr>
          <w:sz w:val="24"/>
          <w:szCs w:val="24"/>
        </w:rPr>
        <w:t>Wage data from May 202</w:t>
      </w:r>
      <w:r w:rsidRPr="008670F5" w:rsidR="004913D9">
        <w:rPr>
          <w:sz w:val="24"/>
          <w:szCs w:val="24"/>
        </w:rPr>
        <w:t>3</w:t>
      </w:r>
      <w:r w:rsidRPr="008670F5">
        <w:rPr>
          <w:sz w:val="24"/>
          <w:szCs w:val="24"/>
        </w:rPr>
        <w:t xml:space="preserve"> is $49.14 per hour. To account for fringe benefits and overhead the rate was multiplied by two which is $98.28.  </w:t>
      </w:r>
    </w:p>
    <w:p w:rsidR="00BE53F6" w:rsidRPr="008670F5" w:rsidP="002510A0" w14:paraId="69E0925E" w14:textId="67048474">
      <w:pPr>
        <w:pStyle w:val="ListParagraph"/>
        <w:numPr>
          <w:ilvl w:val="0"/>
          <w:numId w:val="27"/>
        </w:numPr>
        <w:rPr>
          <w:sz w:val="24"/>
          <w:szCs w:val="24"/>
        </w:rPr>
      </w:pPr>
      <w:r w:rsidRPr="008670F5">
        <w:rPr>
          <w:b/>
          <w:bCs/>
          <w:sz w:val="24"/>
          <w:szCs w:val="24"/>
        </w:rPr>
        <w:t>Focus Group Protocol for Home Visiting Administrators</w:t>
      </w:r>
      <w:r w:rsidRPr="008670F5">
        <w:rPr>
          <w:sz w:val="24"/>
          <w:szCs w:val="24"/>
        </w:rPr>
        <w:t>: Social and Community Service Managers [11-9151]</w:t>
      </w:r>
    </w:p>
    <w:p w:rsidR="00D707BD" w:rsidRPr="008670F5" w:rsidP="00D707BD" w14:paraId="5BDF35C1" w14:textId="0782A70A">
      <w:pPr>
        <w:pStyle w:val="ListParagraph"/>
        <w:numPr>
          <w:ilvl w:val="1"/>
          <w:numId w:val="27"/>
        </w:numPr>
        <w:rPr>
          <w:sz w:val="24"/>
          <w:szCs w:val="24"/>
        </w:rPr>
      </w:pPr>
      <w:r w:rsidRPr="008670F5">
        <w:rPr>
          <w:sz w:val="24"/>
          <w:szCs w:val="24"/>
        </w:rPr>
        <w:t>Wage data from May 202</w:t>
      </w:r>
      <w:r w:rsidRPr="008670F5" w:rsidR="004913D9">
        <w:rPr>
          <w:sz w:val="24"/>
          <w:szCs w:val="24"/>
        </w:rPr>
        <w:t>3</w:t>
      </w:r>
      <w:r w:rsidRPr="008670F5">
        <w:rPr>
          <w:sz w:val="24"/>
          <w:szCs w:val="24"/>
        </w:rPr>
        <w:t xml:space="preserve"> is $38.13 per hour. To account for fringe benefits and overhead the rate was multiplied by two which is $76.26.  </w:t>
      </w:r>
    </w:p>
    <w:p w:rsidR="055BFA12" w:rsidRPr="008670F5" w:rsidP="055BFA12" w14:paraId="6BAE5930" w14:textId="08BC1834">
      <w:pPr>
        <w:pStyle w:val="ListParagraph"/>
        <w:numPr>
          <w:ilvl w:val="0"/>
          <w:numId w:val="27"/>
        </w:numPr>
        <w:rPr>
          <w:sz w:val="24"/>
          <w:szCs w:val="24"/>
        </w:rPr>
      </w:pPr>
      <w:r w:rsidRPr="008670F5">
        <w:rPr>
          <w:b/>
          <w:bCs/>
          <w:sz w:val="24"/>
          <w:szCs w:val="24"/>
        </w:rPr>
        <w:t xml:space="preserve">Focus Group Protocol for Home Visiting Advocates: </w:t>
      </w:r>
      <w:r w:rsidRPr="008670F5">
        <w:rPr>
          <w:sz w:val="24"/>
          <w:szCs w:val="24"/>
        </w:rPr>
        <w:t>Social Scientists and Related Workers, All Other [19-3099]</w:t>
      </w:r>
    </w:p>
    <w:p w:rsidR="055BFA12" w:rsidRPr="008670F5" w:rsidP="055BFA12" w14:paraId="719CBA9B" w14:textId="3A4EEF6B">
      <w:pPr>
        <w:pStyle w:val="ListParagraph"/>
        <w:numPr>
          <w:ilvl w:val="1"/>
          <w:numId w:val="27"/>
        </w:numPr>
      </w:pPr>
      <w:r w:rsidRPr="008670F5">
        <w:rPr>
          <w:sz w:val="24"/>
          <w:szCs w:val="24"/>
        </w:rPr>
        <w:t>Wage data from May 202</w:t>
      </w:r>
      <w:r w:rsidRPr="008670F5" w:rsidR="004913D9">
        <w:rPr>
          <w:sz w:val="24"/>
          <w:szCs w:val="24"/>
        </w:rPr>
        <w:t>3</w:t>
      </w:r>
      <w:r w:rsidRPr="008670F5">
        <w:rPr>
          <w:sz w:val="24"/>
          <w:szCs w:val="24"/>
        </w:rPr>
        <w:t xml:space="preserve"> is $49.14 per hour. To account for fringe benefits and overhead the rate was multiplied by two which is $98.28.  </w:t>
      </w:r>
    </w:p>
    <w:p w:rsidR="238EA1CE" w:rsidRPr="008670F5" w:rsidP="055BFA12" w14:paraId="462AC608" w14:textId="1C79C3B3">
      <w:pPr>
        <w:pStyle w:val="ListParagraph"/>
        <w:numPr>
          <w:ilvl w:val="0"/>
          <w:numId w:val="27"/>
        </w:numPr>
        <w:rPr>
          <w:sz w:val="24"/>
          <w:szCs w:val="24"/>
        </w:rPr>
      </w:pPr>
      <w:r w:rsidRPr="008670F5">
        <w:rPr>
          <w:b/>
          <w:bCs/>
          <w:sz w:val="24"/>
          <w:szCs w:val="24"/>
        </w:rPr>
        <w:t xml:space="preserve">Focus Group Protocol for Tribal Home Visiting Experts: </w:t>
      </w:r>
      <w:r w:rsidRPr="008670F5">
        <w:rPr>
          <w:sz w:val="24"/>
          <w:szCs w:val="24"/>
        </w:rPr>
        <w:t xml:space="preserve">This group will include a combination of researchers, model developers, administrators, and advocates. Therefore, we’ve taking an average wage from the groups described in 2 through 4 above, </w:t>
      </w:r>
    </w:p>
    <w:p w:rsidR="238EA1CE" w:rsidRPr="008670F5" w:rsidP="055BFA12" w14:paraId="6F76F439" w14:textId="272C4F87">
      <w:pPr>
        <w:pStyle w:val="ListParagraph"/>
        <w:numPr>
          <w:ilvl w:val="1"/>
          <w:numId w:val="27"/>
        </w:numPr>
        <w:rPr>
          <w:sz w:val="24"/>
          <w:szCs w:val="24"/>
        </w:rPr>
      </w:pPr>
      <w:r w:rsidRPr="008670F5">
        <w:rPr>
          <w:sz w:val="24"/>
          <w:szCs w:val="24"/>
        </w:rPr>
        <w:t xml:space="preserve">The average of $45.47 per hour. To account for fringe benefits and overhead the rate was multiplied by two which is $90.94.  </w:t>
      </w:r>
    </w:p>
    <w:p w:rsidR="2B9E891D" w:rsidRPr="008670F5" w:rsidP="2B9E891D" w14:paraId="4032B7F9" w14:textId="45707D69">
      <w:pPr>
        <w:pStyle w:val="ListParagraph"/>
        <w:numPr>
          <w:ilvl w:val="0"/>
          <w:numId w:val="27"/>
        </w:numPr>
        <w:rPr>
          <w:sz w:val="24"/>
          <w:szCs w:val="24"/>
        </w:rPr>
      </w:pPr>
      <w:r w:rsidRPr="008670F5">
        <w:rPr>
          <w:b/>
          <w:bCs/>
          <w:sz w:val="24"/>
          <w:szCs w:val="24"/>
        </w:rPr>
        <w:t xml:space="preserve">Listening Session Protocol for Home Visiting Researchers: </w:t>
      </w:r>
      <w:r w:rsidRPr="008670F5">
        <w:rPr>
          <w:sz w:val="24"/>
          <w:szCs w:val="24"/>
        </w:rPr>
        <w:t>Social Scientists and Related Workers, All Other [19-3099]</w:t>
      </w:r>
    </w:p>
    <w:p w:rsidR="2B9E891D" w:rsidRPr="008670F5" w:rsidP="2B9E891D" w14:paraId="148A54FA" w14:textId="0143ABF9">
      <w:pPr>
        <w:pStyle w:val="ListParagraph"/>
        <w:numPr>
          <w:ilvl w:val="1"/>
          <w:numId w:val="27"/>
        </w:numPr>
      </w:pPr>
      <w:r w:rsidRPr="008670F5">
        <w:rPr>
          <w:sz w:val="24"/>
          <w:szCs w:val="24"/>
        </w:rPr>
        <w:t>Wage data from May 202</w:t>
      </w:r>
      <w:r w:rsidRPr="008670F5" w:rsidR="00EE5EFD">
        <w:rPr>
          <w:sz w:val="24"/>
          <w:szCs w:val="24"/>
        </w:rPr>
        <w:t>3</w:t>
      </w:r>
      <w:r w:rsidRPr="008670F5">
        <w:rPr>
          <w:sz w:val="24"/>
          <w:szCs w:val="24"/>
        </w:rPr>
        <w:t xml:space="preserve"> is $49.14 per hour. To account for fringe benefits and overhead the rate was multiplied by two which is $98.28.  </w:t>
      </w:r>
    </w:p>
    <w:p w:rsidR="00EA284B" w:rsidP="2B9E891D" w14:paraId="1EEAA374" w14:textId="1AC5114C">
      <w:pPr>
        <w:ind w:left="360"/>
      </w:pPr>
    </w:p>
    <w:p w:rsidR="00DC7603" w:rsidP="2B9E891D" w14:paraId="288C57DE" w14:textId="77777777">
      <w:pPr>
        <w:ind w:left="360"/>
        <w:rPr>
          <w:b/>
          <w:bCs/>
        </w:rPr>
      </w:pPr>
      <w:r>
        <w:rPr>
          <w:b/>
          <w:bCs/>
        </w:rPr>
        <w:br w:type="page"/>
      </w:r>
    </w:p>
    <w:p w:rsidR="00D772BA" w:rsidRPr="006D189C" w:rsidP="2B9E891D" w14:paraId="25DE2BF6" w14:textId="6ABE7B48">
      <w:pPr>
        <w:ind w:left="360"/>
        <w:rPr>
          <w:b/>
          <w:bCs/>
          <w:sz w:val="32"/>
          <w:szCs w:val="32"/>
        </w:rPr>
      </w:pPr>
      <w:r w:rsidRPr="006D189C">
        <w:rPr>
          <w:b/>
          <w:bCs/>
        </w:rPr>
        <w:t>Table A12. Estimated annual and total burden and cost</w:t>
      </w:r>
    </w:p>
    <w:p w:rsidR="00542413" w:rsidRPr="008670F5" w:rsidP="008F570D" w14:paraId="26232607" w14:textId="77777777">
      <w:pPr>
        <w:rPr>
          <w:i/>
          <w:iCs/>
        </w:rPr>
      </w:pPr>
    </w:p>
    <w:tbl>
      <w:tblPr>
        <w:tblW w:w="91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846"/>
        <w:gridCol w:w="1239"/>
        <w:gridCol w:w="1161"/>
        <w:gridCol w:w="983"/>
        <w:gridCol w:w="805"/>
        <w:gridCol w:w="990"/>
        <w:gridCol w:w="1080"/>
      </w:tblGrid>
      <w:tr w14:paraId="3DDE53E5" w14:textId="77777777" w:rsidTr="00B97054">
        <w:tblPrEx>
          <w:tblW w:w="91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846" w:type="dxa"/>
            <w:shd w:val="clear" w:color="auto" w:fill="BFBFBF" w:themeFill="background1" w:themeFillShade="BF"/>
            <w:vAlign w:val="center"/>
          </w:tcPr>
          <w:p w:rsidR="00542413" w:rsidRPr="008670F5" w:rsidP="008F570D" w14:paraId="2381BB0C" w14:textId="77777777">
            <w:pPr>
              <w:jc w:val="center"/>
              <w:rPr>
                <w:sz w:val="20"/>
                <w:szCs w:val="20"/>
              </w:rPr>
            </w:pPr>
            <w:r w:rsidRPr="008670F5">
              <w:rPr>
                <w:sz w:val="20"/>
                <w:szCs w:val="20"/>
              </w:rPr>
              <w:t>Instrument</w:t>
            </w:r>
          </w:p>
        </w:tc>
        <w:tc>
          <w:tcPr>
            <w:tcW w:w="1239" w:type="dxa"/>
            <w:shd w:val="clear" w:color="auto" w:fill="BFBFBF" w:themeFill="background1" w:themeFillShade="BF"/>
            <w:vAlign w:val="center"/>
          </w:tcPr>
          <w:p w:rsidR="00542413" w:rsidRPr="008670F5" w:rsidP="008F570D" w14:paraId="42F19101" w14:textId="77777777">
            <w:pPr>
              <w:jc w:val="center"/>
              <w:rPr>
                <w:sz w:val="20"/>
                <w:szCs w:val="20"/>
              </w:rPr>
            </w:pPr>
            <w:r w:rsidRPr="008670F5">
              <w:rPr>
                <w:sz w:val="20"/>
                <w:szCs w:val="20"/>
              </w:rPr>
              <w:t>Total Number of Respondents</w:t>
            </w:r>
          </w:p>
        </w:tc>
        <w:tc>
          <w:tcPr>
            <w:tcW w:w="1161" w:type="dxa"/>
            <w:shd w:val="clear" w:color="auto" w:fill="BFBFBF" w:themeFill="background1" w:themeFillShade="BF"/>
            <w:vAlign w:val="center"/>
          </w:tcPr>
          <w:p w:rsidR="00542413" w:rsidRPr="008670F5" w:rsidP="008F570D" w14:paraId="714F2F09" w14:textId="4691739D">
            <w:pPr>
              <w:jc w:val="center"/>
              <w:rPr>
                <w:sz w:val="20"/>
                <w:szCs w:val="20"/>
              </w:rPr>
            </w:pPr>
            <w:r w:rsidRPr="008670F5">
              <w:rPr>
                <w:sz w:val="20"/>
                <w:szCs w:val="20"/>
              </w:rPr>
              <w:t>Total Number of Responses Per Respondent</w:t>
            </w:r>
          </w:p>
        </w:tc>
        <w:tc>
          <w:tcPr>
            <w:tcW w:w="983" w:type="dxa"/>
            <w:shd w:val="clear" w:color="auto" w:fill="BFBFBF" w:themeFill="background1" w:themeFillShade="BF"/>
            <w:vAlign w:val="center"/>
          </w:tcPr>
          <w:p w:rsidR="00542413" w:rsidRPr="008670F5" w:rsidP="008F570D" w14:paraId="05CC723F" w14:textId="77777777">
            <w:pPr>
              <w:jc w:val="center"/>
              <w:rPr>
                <w:sz w:val="20"/>
                <w:szCs w:val="20"/>
              </w:rPr>
            </w:pPr>
            <w:r w:rsidRPr="008670F5">
              <w:rPr>
                <w:sz w:val="20"/>
                <w:szCs w:val="20"/>
              </w:rPr>
              <w:t>Average Burden Hours Per Response</w:t>
            </w:r>
          </w:p>
        </w:tc>
        <w:tc>
          <w:tcPr>
            <w:tcW w:w="805" w:type="dxa"/>
            <w:shd w:val="clear" w:color="auto" w:fill="BFBFBF" w:themeFill="background1" w:themeFillShade="BF"/>
            <w:vAlign w:val="center"/>
          </w:tcPr>
          <w:p w:rsidR="00542413" w:rsidRPr="008670F5" w:rsidP="469F0704" w14:paraId="110C4AE5" w14:textId="6198BC29">
            <w:pPr>
              <w:jc w:val="center"/>
              <w:rPr>
                <w:bCs/>
                <w:sz w:val="20"/>
                <w:szCs w:val="20"/>
              </w:rPr>
            </w:pPr>
            <w:r w:rsidRPr="008670F5">
              <w:rPr>
                <w:bCs/>
                <w:sz w:val="20"/>
                <w:szCs w:val="20"/>
              </w:rPr>
              <w:t>Total</w:t>
            </w:r>
          </w:p>
          <w:p w:rsidR="00542413" w:rsidRPr="008670F5" w:rsidP="00542413" w14:paraId="1F591B58" w14:textId="47332B2D">
            <w:pPr>
              <w:jc w:val="center"/>
              <w:rPr>
                <w:bCs/>
                <w:sz w:val="20"/>
                <w:szCs w:val="20"/>
              </w:rPr>
            </w:pPr>
            <w:r w:rsidRPr="008670F5">
              <w:rPr>
                <w:bCs/>
                <w:sz w:val="20"/>
                <w:szCs w:val="20"/>
              </w:rPr>
              <w:t>Burden Hours</w:t>
            </w:r>
          </w:p>
        </w:tc>
        <w:tc>
          <w:tcPr>
            <w:tcW w:w="990" w:type="dxa"/>
            <w:shd w:val="clear" w:color="auto" w:fill="BFBFBF" w:themeFill="background1" w:themeFillShade="BF"/>
            <w:vAlign w:val="center"/>
          </w:tcPr>
          <w:p w:rsidR="00542413" w:rsidRPr="008670F5" w:rsidP="008F570D" w14:paraId="45DFE675" w14:textId="77777777">
            <w:pPr>
              <w:jc w:val="center"/>
              <w:rPr>
                <w:sz w:val="20"/>
                <w:szCs w:val="20"/>
              </w:rPr>
            </w:pPr>
            <w:r w:rsidRPr="008670F5">
              <w:rPr>
                <w:bCs/>
                <w:sz w:val="20"/>
                <w:szCs w:val="20"/>
              </w:rPr>
              <w:t>Average Hourly Wage</w:t>
            </w:r>
          </w:p>
        </w:tc>
        <w:tc>
          <w:tcPr>
            <w:tcW w:w="1080" w:type="dxa"/>
            <w:shd w:val="clear" w:color="auto" w:fill="BFBFBF" w:themeFill="background1" w:themeFillShade="BF"/>
            <w:vAlign w:val="center"/>
          </w:tcPr>
          <w:p w:rsidR="00542413" w:rsidRPr="008670F5" w:rsidP="008F570D" w14:paraId="39990194" w14:textId="38083961">
            <w:pPr>
              <w:jc w:val="center"/>
              <w:rPr>
                <w:sz w:val="20"/>
                <w:szCs w:val="20"/>
              </w:rPr>
            </w:pPr>
            <w:r w:rsidRPr="008670F5">
              <w:rPr>
                <w:bCs/>
                <w:sz w:val="20"/>
                <w:szCs w:val="20"/>
              </w:rPr>
              <w:t>Total Annual Cost</w:t>
            </w:r>
          </w:p>
        </w:tc>
      </w:tr>
      <w:tr w14:paraId="7CE63E36" w14:textId="77777777" w:rsidTr="00B97054">
        <w:tblPrEx>
          <w:tblW w:w="9104" w:type="dxa"/>
          <w:jc w:val="center"/>
          <w:tblLook w:val="00A0"/>
        </w:tblPrEx>
        <w:trPr>
          <w:trHeight w:val="432"/>
          <w:jc w:val="center"/>
        </w:trPr>
        <w:tc>
          <w:tcPr>
            <w:tcW w:w="2846" w:type="dxa"/>
            <w:vAlign w:val="center"/>
          </w:tcPr>
          <w:p w:rsidR="00542413" w:rsidRPr="008670F5" w:rsidP="2B9E891D" w14:paraId="15455CD3" w14:textId="09ADFD17">
            <w:pPr>
              <w:tabs>
                <w:tab w:val="center" w:pos="4320"/>
                <w:tab w:val="right" w:pos="8640"/>
              </w:tabs>
              <w:rPr>
                <w:sz w:val="20"/>
                <w:szCs w:val="20"/>
              </w:rPr>
            </w:pPr>
            <w:r w:rsidRPr="008670F5">
              <w:rPr>
                <w:sz w:val="20"/>
                <w:szCs w:val="20"/>
              </w:rPr>
              <w:t>Focus Group Protocol for Evidence-Based Policy Experts</w:t>
            </w:r>
          </w:p>
        </w:tc>
        <w:tc>
          <w:tcPr>
            <w:tcW w:w="1239" w:type="dxa"/>
            <w:vAlign w:val="center"/>
          </w:tcPr>
          <w:p w:rsidR="00542413" w:rsidRPr="008670F5" w:rsidP="008F570D" w14:paraId="2106BBF5" w14:textId="1DB76855">
            <w:pPr>
              <w:tabs>
                <w:tab w:val="center" w:pos="4320"/>
                <w:tab w:val="right" w:pos="8640"/>
              </w:tabs>
              <w:jc w:val="center"/>
              <w:rPr>
                <w:sz w:val="20"/>
                <w:szCs w:val="20"/>
              </w:rPr>
            </w:pPr>
            <w:r w:rsidRPr="008670F5">
              <w:rPr>
                <w:sz w:val="20"/>
                <w:szCs w:val="20"/>
              </w:rPr>
              <w:t>8</w:t>
            </w:r>
          </w:p>
        </w:tc>
        <w:tc>
          <w:tcPr>
            <w:tcW w:w="1161" w:type="dxa"/>
            <w:vAlign w:val="center"/>
          </w:tcPr>
          <w:p w:rsidR="00542413" w:rsidRPr="008670F5" w:rsidP="008F570D" w14:paraId="402332F4" w14:textId="27FC474E">
            <w:pPr>
              <w:tabs>
                <w:tab w:val="center" w:pos="4320"/>
                <w:tab w:val="right" w:pos="8640"/>
              </w:tabs>
              <w:jc w:val="center"/>
              <w:rPr>
                <w:sz w:val="20"/>
                <w:szCs w:val="20"/>
              </w:rPr>
            </w:pPr>
            <w:r w:rsidRPr="008670F5">
              <w:rPr>
                <w:sz w:val="20"/>
                <w:szCs w:val="20"/>
              </w:rPr>
              <w:t>1</w:t>
            </w:r>
          </w:p>
        </w:tc>
        <w:tc>
          <w:tcPr>
            <w:tcW w:w="983" w:type="dxa"/>
            <w:vAlign w:val="center"/>
          </w:tcPr>
          <w:p w:rsidR="00542413" w:rsidRPr="008670F5" w:rsidP="008F570D" w14:paraId="2166A45E" w14:textId="19A6DD1D">
            <w:pPr>
              <w:tabs>
                <w:tab w:val="center" w:pos="4320"/>
                <w:tab w:val="right" w:pos="8640"/>
              </w:tabs>
              <w:jc w:val="center"/>
              <w:rPr>
                <w:sz w:val="20"/>
                <w:szCs w:val="20"/>
              </w:rPr>
            </w:pPr>
            <w:r w:rsidRPr="008670F5">
              <w:rPr>
                <w:sz w:val="20"/>
                <w:szCs w:val="20"/>
              </w:rPr>
              <w:t>1</w:t>
            </w:r>
          </w:p>
        </w:tc>
        <w:tc>
          <w:tcPr>
            <w:tcW w:w="805" w:type="dxa"/>
            <w:vAlign w:val="center"/>
          </w:tcPr>
          <w:p w:rsidR="00542413" w:rsidRPr="008670F5" w:rsidP="055BFA12" w14:paraId="5A6C5F6C" w14:textId="543FEA13">
            <w:pPr>
              <w:tabs>
                <w:tab w:val="center" w:pos="4320"/>
                <w:tab w:val="right" w:pos="8640"/>
              </w:tabs>
              <w:spacing w:line="259" w:lineRule="auto"/>
              <w:jc w:val="center"/>
              <w:rPr>
                <w:sz w:val="20"/>
                <w:szCs w:val="20"/>
              </w:rPr>
            </w:pPr>
            <w:r w:rsidRPr="008670F5">
              <w:rPr>
                <w:sz w:val="20"/>
                <w:szCs w:val="20"/>
              </w:rPr>
              <w:t>8</w:t>
            </w:r>
          </w:p>
        </w:tc>
        <w:tc>
          <w:tcPr>
            <w:tcW w:w="990" w:type="dxa"/>
            <w:vAlign w:val="center"/>
          </w:tcPr>
          <w:p w:rsidR="00542413" w:rsidRPr="008670F5" w:rsidP="00235924" w14:paraId="4C12A145" w14:textId="309DC0AE">
            <w:pPr>
              <w:tabs>
                <w:tab w:val="center" w:pos="4320"/>
                <w:tab w:val="right" w:pos="8640"/>
              </w:tabs>
              <w:jc w:val="center"/>
              <w:rPr>
                <w:sz w:val="20"/>
                <w:szCs w:val="20"/>
              </w:rPr>
            </w:pPr>
            <w:r w:rsidRPr="008670F5">
              <w:rPr>
                <w:sz w:val="20"/>
                <w:szCs w:val="20"/>
              </w:rPr>
              <w:t>$98.28</w:t>
            </w:r>
          </w:p>
        </w:tc>
        <w:tc>
          <w:tcPr>
            <w:tcW w:w="1080" w:type="dxa"/>
            <w:vAlign w:val="center"/>
          </w:tcPr>
          <w:p w:rsidR="00542413" w:rsidRPr="008670F5" w:rsidP="00235924" w14:paraId="01C1A511" w14:textId="27B952CC">
            <w:pPr>
              <w:tabs>
                <w:tab w:val="center" w:pos="4320"/>
                <w:tab w:val="right" w:pos="8640"/>
              </w:tabs>
              <w:jc w:val="center"/>
              <w:rPr>
                <w:sz w:val="20"/>
                <w:szCs w:val="20"/>
              </w:rPr>
            </w:pPr>
            <w:r w:rsidRPr="008670F5">
              <w:rPr>
                <w:sz w:val="20"/>
                <w:szCs w:val="20"/>
              </w:rPr>
              <w:t>$</w:t>
            </w:r>
            <w:r w:rsidRPr="008670F5" w:rsidR="00CC40B6">
              <w:rPr>
                <w:sz w:val="20"/>
                <w:szCs w:val="20"/>
              </w:rPr>
              <w:t>786.24</w:t>
            </w:r>
          </w:p>
        </w:tc>
      </w:tr>
      <w:tr w14:paraId="79082FA8" w14:textId="77777777" w:rsidTr="00B97054">
        <w:tblPrEx>
          <w:tblW w:w="9104" w:type="dxa"/>
          <w:jc w:val="center"/>
          <w:tblLook w:val="00A0"/>
        </w:tblPrEx>
        <w:trPr>
          <w:trHeight w:val="432"/>
          <w:jc w:val="center"/>
        </w:trPr>
        <w:tc>
          <w:tcPr>
            <w:tcW w:w="2846" w:type="dxa"/>
            <w:vAlign w:val="center"/>
          </w:tcPr>
          <w:p w:rsidR="00542413" w:rsidRPr="008670F5" w:rsidP="008F570D" w14:paraId="27ED90F0" w14:textId="1451FD3D">
            <w:pPr>
              <w:tabs>
                <w:tab w:val="center" w:pos="4320"/>
                <w:tab w:val="right" w:pos="8640"/>
              </w:tabs>
              <w:rPr>
                <w:sz w:val="20"/>
                <w:szCs w:val="20"/>
              </w:rPr>
            </w:pPr>
            <w:r w:rsidRPr="008670F5">
              <w:rPr>
                <w:sz w:val="20"/>
                <w:szCs w:val="20"/>
              </w:rPr>
              <w:t xml:space="preserve">Focus Group Protocol for Home Visiting Model Developers </w:t>
            </w:r>
          </w:p>
        </w:tc>
        <w:tc>
          <w:tcPr>
            <w:tcW w:w="1239" w:type="dxa"/>
            <w:vAlign w:val="center"/>
          </w:tcPr>
          <w:p w:rsidR="00542413" w:rsidRPr="008670F5" w:rsidP="2B9E891D" w14:paraId="5FDE0035" w14:textId="2296C5D6">
            <w:pPr>
              <w:tabs>
                <w:tab w:val="center" w:pos="4320"/>
                <w:tab w:val="right" w:pos="8640"/>
              </w:tabs>
              <w:spacing w:line="259" w:lineRule="auto"/>
              <w:jc w:val="center"/>
            </w:pPr>
            <w:r w:rsidRPr="008670F5">
              <w:rPr>
                <w:sz w:val="20"/>
                <w:szCs w:val="20"/>
              </w:rPr>
              <w:t>16</w:t>
            </w:r>
          </w:p>
        </w:tc>
        <w:tc>
          <w:tcPr>
            <w:tcW w:w="1161" w:type="dxa"/>
            <w:vAlign w:val="center"/>
          </w:tcPr>
          <w:p w:rsidR="00542413" w:rsidRPr="008670F5" w:rsidP="008F570D" w14:paraId="345E7A43" w14:textId="14484E0F">
            <w:pPr>
              <w:tabs>
                <w:tab w:val="center" w:pos="4320"/>
                <w:tab w:val="right" w:pos="8640"/>
              </w:tabs>
              <w:jc w:val="center"/>
              <w:rPr>
                <w:sz w:val="20"/>
                <w:szCs w:val="20"/>
              </w:rPr>
            </w:pPr>
            <w:r w:rsidRPr="008670F5">
              <w:rPr>
                <w:sz w:val="20"/>
                <w:szCs w:val="20"/>
              </w:rPr>
              <w:t>1</w:t>
            </w:r>
          </w:p>
        </w:tc>
        <w:tc>
          <w:tcPr>
            <w:tcW w:w="983" w:type="dxa"/>
            <w:vAlign w:val="center"/>
          </w:tcPr>
          <w:p w:rsidR="00542413" w:rsidRPr="008670F5" w:rsidP="2B9E891D" w14:paraId="27851FED" w14:textId="6F2D0D23">
            <w:pPr>
              <w:tabs>
                <w:tab w:val="center" w:pos="4320"/>
                <w:tab w:val="right" w:pos="8640"/>
              </w:tabs>
              <w:spacing w:line="259" w:lineRule="auto"/>
              <w:jc w:val="center"/>
              <w:rPr>
                <w:sz w:val="20"/>
                <w:szCs w:val="20"/>
              </w:rPr>
            </w:pPr>
            <w:r w:rsidRPr="008670F5">
              <w:rPr>
                <w:sz w:val="20"/>
                <w:szCs w:val="20"/>
              </w:rPr>
              <w:t>1</w:t>
            </w:r>
          </w:p>
        </w:tc>
        <w:tc>
          <w:tcPr>
            <w:tcW w:w="805" w:type="dxa"/>
            <w:vAlign w:val="center"/>
          </w:tcPr>
          <w:p w:rsidR="00542413" w:rsidRPr="008670F5" w:rsidP="055BFA12" w14:paraId="2A6A15B1" w14:textId="14852C8F">
            <w:pPr>
              <w:tabs>
                <w:tab w:val="center" w:pos="4320"/>
                <w:tab w:val="right" w:pos="8640"/>
              </w:tabs>
              <w:spacing w:line="259" w:lineRule="auto"/>
              <w:jc w:val="center"/>
              <w:rPr>
                <w:sz w:val="20"/>
                <w:szCs w:val="20"/>
              </w:rPr>
            </w:pPr>
            <w:r w:rsidRPr="008670F5">
              <w:rPr>
                <w:sz w:val="20"/>
                <w:szCs w:val="20"/>
              </w:rPr>
              <w:t>16</w:t>
            </w:r>
          </w:p>
        </w:tc>
        <w:tc>
          <w:tcPr>
            <w:tcW w:w="990" w:type="dxa"/>
            <w:vAlign w:val="center"/>
          </w:tcPr>
          <w:p w:rsidR="00542413" w:rsidRPr="008670F5" w:rsidP="055BFA12" w14:paraId="190D3377" w14:textId="299F51EA">
            <w:pPr>
              <w:tabs>
                <w:tab w:val="center" w:pos="4320"/>
                <w:tab w:val="right" w:pos="8640"/>
              </w:tabs>
              <w:jc w:val="center"/>
              <w:rPr>
                <w:sz w:val="20"/>
                <w:szCs w:val="20"/>
              </w:rPr>
            </w:pPr>
            <w:r w:rsidRPr="008670F5">
              <w:rPr>
                <w:sz w:val="20"/>
                <w:szCs w:val="20"/>
              </w:rPr>
              <w:t>$</w:t>
            </w:r>
            <w:r w:rsidRPr="008670F5" w:rsidR="055BFA12">
              <w:rPr>
                <w:sz w:val="20"/>
                <w:szCs w:val="20"/>
              </w:rPr>
              <w:t>98.28</w:t>
            </w:r>
          </w:p>
        </w:tc>
        <w:tc>
          <w:tcPr>
            <w:tcW w:w="1080" w:type="dxa"/>
            <w:vAlign w:val="center"/>
          </w:tcPr>
          <w:p w:rsidR="00542413" w:rsidRPr="008670F5" w:rsidP="055BFA12" w14:paraId="2A7C2E47" w14:textId="1977A3C2">
            <w:pPr>
              <w:tabs>
                <w:tab w:val="center" w:pos="4320"/>
                <w:tab w:val="right" w:pos="8640"/>
              </w:tabs>
              <w:jc w:val="center"/>
              <w:rPr>
                <w:sz w:val="20"/>
                <w:szCs w:val="20"/>
              </w:rPr>
            </w:pPr>
            <w:r w:rsidRPr="008670F5">
              <w:rPr>
                <w:sz w:val="20"/>
                <w:szCs w:val="20"/>
              </w:rPr>
              <w:t>$</w:t>
            </w:r>
            <w:r w:rsidRPr="008670F5" w:rsidR="00660953">
              <w:rPr>
                <w:sz w:val="20"/>
                <w:szCs w:val="20"/>
              </w:rPr>
              <w:t>1,572.48</w:t>
            </w:r>
          </w:p>
        </w:tc>
      </w:tr>
      <w:tr w14:paraId="07CC1282" w14:textId="77777777" w:rsidTr="00B97054">
        <w:tblPrEx>
          <w:tblW w:w="9104" w:type="dxa"/>
          <w:jc w:val="center"/>
          <w:tblLook w:val="00A0"/>
        </w:tblPrEx>
        <w:trPr>
          <w:trHeight w:val="432"/>
          <w:jc w:val="center"/>
        </w:trPr>
        <w:tc>
          <w:tcPr>
            <w:tcW w:w="2846" w:type="dxa"/>
            <w:vAlign w:val="center"/>
          </w:tcPr>
          <w:p w:rsidR="00542413" w:rsidRPr="008670F5" w:rsidP="008F570D" w14:paraId="4A194661" w14:textId="2AE20B54">
            <w:pPr>
              <w:tabs>
                <w:tab w:val="center" w:pos="4320"/>
                <w:tab w:val="right" w:pos="8640"/>
              </w:tabs>
              <w:rPr>
                <w:sz w:val="20"/>
                <w:szCs w:val="20"/>
              </w:rPr>
            </w:pPr>
            <w:r w:rsidRPr="008670F5">
              <w:rPr>
                <w:sz w:val="20"/>
                <w:szCs w:val="20"/>
              </w:rPr>
              <w:t>Focus Group Protocol for Home Visiting Administrators</w:t>
            </w:r>
          </w:p>
        </w:tc>
        <w:tc>
          <w:tcPr>
            <w:tcW w:w="1239" w:type="dxa"/>
            <w:vAlign w:val="center"/>
          </w:tcPr>
          <w:p w:rsidR="00542413" w:rsidRPr="008670F5" w:rsidP="2B9E891D" w14:paraId="46ADC4F0" w14:textId="09C6E464">
            <w:pPr>
              <w:tabs>
                <w:tab w:val="center" w:pos="4320"/>
                <w:tab w:val="right" w:pos="8640"/>
              </w:tabs>
              <w:spacing w:line="259" w:lineRule="auto"/>
              <w:jc w:val="center"/>
            </w:pPr>
            <w:r w:rsidRPr="008670F5">
              <w:rPr>
                <w:sz w:val="20"/>
                <w:szCs w:val="20"/>
              </w:rPr>
              <w:t>8</w:t>
            </w:r>
          </w:p>
        </w:tc>
        <w:tc>
          <w:tcPr>
            <w:tcW w:w="1161" w:type="dxa"/>
            <w:vAlign w:val="center"/>
          </w:tcPr>
          <w:p w:rsidR="00542413" w:rsidRPr="008670F5" w:rsidP="008F570D" w14:paraId="4106774A" w14:textId="34E75D4E">
            <w:pPr>
              <w:tabs>
                <w:tab w:val="center" w:pos="4320"/>
                <w:tab w:val="right" w:pos="8640"/>
              </w:tabs>
              <w:jc w:val="center"/>
              <w:rPr>
                <w:sz w:val="20"/>
                <w:szCs w:val="20"/>
              </w:rPr>
            </w:pPr>
            <w:r w:rsidRPr="008670F5">
              <w:rPr>
                <w:sz w:val="20"/>
                <w:szCs w:val="20"/>
              </w:rPr>
              <w:t>1</w:t>
            </w:r>
          </w:p>
        </w:tc>
        <w:tc>
          <w:tcPr>
            <w:tcW w:w="983" w:type="dxa"/>
            <w:vAlign w:val="center"/>
          </w:tcPr>
          <w:p w:rsidR="00542413" w:rsidRPr="008670F5" w:rsidP="008F570D" w14:paraId="301B3025" w14:textId="15662A69">
            <w:pPr>
              <w:tabs>
                <w:tab w:val="center" w:pos="4320"/>
                <w:tab w:val="right" w:pos="8640"/>
              </w:tabs>
              <w:jc w:val="center"/>
              <w:rPr>
                <w:sz w:val="20"/>
                <w:szCs w:val="20"/>
              </w:rPr>
            </w:pPr>
            <w:r w:rsidRPr="008670F5">
              <w:rPr>
                <w:sz w:val="20"/>
                <w:szCs w:val="20"/>
              </w:rPr>
              <w:t>1</w:t>
            </w:r>
          </w:p>
        </w:tc>
        <w:tc>
          <w:tcPr>
            <w:tcW w:w="805" w:type="dxa"/>
            <w:vAlign w:val="center"/>
          </w:tcPr>
          <w:p w:rsidR="00542413" w:rsidRPr="008670F5" w:rsidP="055BFA12" w14:paraId="16DF3C9F" w14:textId="54D5AC7C">
            <w:pPr>
              <w:tabs>
                <w:tab w:val="center" w:pos="4320"/>
                <w:tab w:val="right" w:pos="8640"/>
              </w:tabs>
              <w:spacing w:line="259" w:lineRule="auto"/>
              <w:jc w:val="center"/>
              <w:rPr>
                <w:sz w:val="20"/>
                <w:szCs w:val="20"/>
              </w:rPr>
            </w:pPr>
            <w:r w:rsidRPr="008670F5">
              <w:rPr>
                <w:sz w:val="20"/>
                <w:szCs w:val="20"/>
              </w:rPr>
              <w:t>8</w:t>
            </w:r>
          </w:p>
        </w:tc>
        <w:tc>
          <w:tcPr>
            <w:tcW w:w="990" w:type="dxa"/>
            <w:vAlign w:val="center"/>
          </w:tcPr>
          <w:p w:rsidR="00542413" w:rsidRPr="008670F5" w:rsidP="055BFA12" w14:paraId="50B2DDAD" w14:textId="481AE3FF">
            <w:pPr>
              <w:tabs>
                <w:tab w:val="center" w:pos="4320"/>
                <w:tab w:val="right" w:pos="8640"/>
              </w:tabs>
              <w:jc w:val="center"/>
              <w:rPr>
                <w:sz w:val="20"/>
                <w:szCs w:val="20"/>
              </w:rPr>
            </w:pPr>
            <w:r w:rsidRPr="008670F5">
              <w:rPr>
                <w:sz w:val="20"/>
                <w:szCs w:val="20"/>
              </w:rPr>
              <w:t>$</w:t>
            </w:r>
            <w:r w:rsidRPr="008670F5" w:rsidR="055BFA12">
              <w:rPr>
                <w:sz w:val="20"/>
                <w:szCs w:val="20"/>
              </w:rPr>
              <w:t>76.26</w:t>
            </w:r>
          </w:p>
        </w:tc>
        <w:tc>
          <w:tcPr>
            <w:tcW w:w="1080" w:type="dxa"/>
            <w:vAlign w:val="center"/>
          </w:tcPr>
          <w:p w:rsidR="00542413" w:rsidRPr="008670F5" w:rsidP="055BFA12" w14:paraId="78EF1A2C" w14:textId="1C4FA97F">
            <w:pPr>
              <w:tabs>
                <w:tab w:val="center" w:pos="4320"/>
                <w:tab w:val="right" w:pos="8640"/>
              </w:tabs>
              <w:jc w:val="center"/>
              <w:rPr>
                <w:sz w:val="20"/>
                <w:szCs w:val="20"/>
              </w:rPr>
            </w:pPr>
            <w:r w:rsidRPr="008670F5">
              <w:rPr>
                <w:sz w:val="20"/>
                <w:szCs w:val="20"/>
              </w:rPr>
              <w:t>$</w:t>
            </w:r>
            <w:r w:rsidRPr="008670F5" w:rsidR="00DC1113">
              <w:rPr>
                <w:sz w:val="20"/>
                <w:szCs w:val="20"/>
              </w:rPr>
              <w:t>610.08</w:t>
            </w:r>
          </w:p>
        </w:tc>
      </w:tr>
      <w:tr w14:paraId="19A31576" w14:textId="77777777" w:rsidTr="00B97054">
        <w:tblPrEx>
          <w:tblW w:w="9104" w:type="dxa"/>
          <w:jc w:val="center"/>
          <w:tblLook w:val="00A0"/>
        </w:tblPrEx>
        <w:trPr>
          <w:trHeight w:val="432"/>
          <w:jc w:val="center"/>
        </w:trPr>
        <w:tc>
          <w:tcPr>
            <w:tcW w:w="2846" w:type="dxa"/>
            <w:vAlign w:val="center"/>
          </w:tcPr>
          <w:p w:rsidR="2B9E891D" w:rsidRPr="008670F5" w:rsidP="2B9E891D" w14:paraId="4829D626" w14:textId="3AFA6F77">
            <w:pPr>
              <w:rPr>
                <w:sz w:val="20"/>
                <w:szCs w:val="20"/>
              </w:rPr>
            </w:pPr>
            <w:r w:rsidRPr="008670F5">
              <w:rPr>
                <w:sz w:val="20"/>
                <w:szCs w:val="20"/>
              </w:rPr>
              <w:t xml:space="preserve">Focus Group Protocol for Home Visiting Advocates </w:t>
            </w:r>
          </w:p>
        </w:tc>
        <w:tc>
          <w:tcPr>
            <w:tcW w:w="1239" w:type="dxa"/>
            <w:vAlign w:val="center"/>
          </w:tcPr>
          <w:p w:rsidR="2B9E891D" w:rsidRPr="008670F5" w:rsidP="2B9E891D" w14:paraId="32DEE2CC" w14:textId="689536E8">
            <w:pPr>
              <w:spacing w:line="259" w:lineRule="auto"/>
              <w:jc w:val="center"/>
              <w:rPr>
                <w:sz w:val="20"/>
                <w:szCs w:val="20"/>
              </w:rPr>
            </w:pPr>
            <w:r w:rsidRPr="008670F5">
              <w:rPr>
                <w:sz w:val="20"/>
                <w:szCs w:val="20"/>
              </w:rPr>
              <w:t>8</w:t>
            </w:r>
          </w:p>
        </w:tc>
        <w:tc>
          <w:tcPr>
            <w:tcW w:w="1161" w:type="dxa"/>
            <w:vAlign w:val="center"/>
          </w:tcPr>
          <w:p w:rsidR="2B9E891D" w:rsidRPr="008670F5" w:rsidP="2B9E891D" w14:paraId="1D877AE4" w14:textId="6DCD2F17">
            <w:pPr>
              <w:jc w:val="center"/>
              <w:rPr>
                <w:sz w:val="20"/>
                <w:szCs w:val="20"/>
              </w:rPr>
            </w:pPr>
            <w:r w:rsidRPr="008670F5">
              <w:rPr>
                <w:sz w:val="20"/>
                <w:szCs w:val="20"/>
              </w:rPr>
              <w:t>1</w:t>
            </w:r>
          </w:p>
        </w:tc>
        <w:tc>
          <w:tcPr>
            <w:tcW w:w="983" w:type="dxa"/>
            <w:vAlign w:val="center"/>
          </w:tcPr>
          <w:p w:rsidR="2B9E891D" w:rsidRPr="008670F5" w:rsidP="2B9E891D" w14:paraId="0065CAE2" w14:textId="2D5E501B">
            <w:pPr>
              <w:jc w:val="center"/>
              <w:rPr>
                <w:sz w:val="20"/>
                <w:szCs w:val="20"/>
              </w:rPr>
            </w:pPr>
            <w:r w:rsidRPr="008670F5">
              <w:rPr>
                <w:sz w:val="20"/>
                <w:szCs w:val="20"/>
              </w:rPr>
              <w:t>1</w:t>
            </w:r>
          </w:p>
        </w:tc>
        <w:tc>
          <w:tcPr>
            <w:tcW w:w="805" w:type="dxa"/>
            <w:vAlign w:val="center"/>
          </w:tcPr>
          <w:p w:rsidR="2B9E891D" w:rsidRPr="008670F5" w:rsidP="2B9E891D" w14:paraId="633642C9" w14:textId="44384951">
            <w:pPr>
              <w:spacing w:line="259" w:lineRule="auto"/>
              <w:jc w:val="center"/>
              <w:rPr>
                <w:sz w:val="20"/>
                <w:szCs w:val="20"/>
              </w:rPr>
            </w:pPr>
            <w:r w:rsidRPr="008670F5">
              <w:rPr>
                <w:sz w:val="20"/>
                <w:szCs w:val="20"/>
              </w:rPr>
              <w:t>8</w:t>
            </w:r>
          </w:p>
        </w:tc>
        <w:tc>
          <w:tcPr>
            <w:tcW w:w="990" w:type="dxa"/>
            <w:vAlign w:val="center"/>
          </w:tcPr>
          <w:p w:rsidR="2B9E891D" w:rsidRPr="008670F5" w:rsidP="055BFA12" w14:paraId="17AA4CA8" w14:textId="14094CEB">
            <w:pPr>
              <w:jc w:val="center"/>
              <w:rPr>
                <w:sz w:val="20"/>
                <w:szCs w:val="20"/>
              </w:rPr>
            </w:pPr>
            <w:r w:rsidRPr="008670F5">
              <w:rPr>
                <w:sz w:val="20"/>
                <w:szCs w:val="20"/>
              </w:rPr>
              <w:t>$</w:t>
            </w:r>
            <w:r w:rsidRPr="008670F5" w:rsidR="055BFA12">
              <w:rPr>
                <w:sz w:val="20"/>
                <w:szCs w:val="20"/>
              </w:rPr>
              <w:t>98.28</w:t>
            </w:r>
          </w:p>
        </w:tc>
        <w:tc>
          <w:tcPr>
            <w:tcW w:w="1080" w:type="dxa"/>
            <w:vAlign w:val="center"/>
          </w:tcPr>
          <w:p w:rsidR="2B9E891D" w:rsidRPr="008670F5" w:rsidP="055BFA12" w14:paraId="177F70C2" w14:textId="6C7E146D">
            <w:pPr>
              <w:jc w:val="center"/>
              <w:rPr>
                <w:sz w:val="20"/>
                <w:szCs w:val="20"/>
              </w:rPr>
            </w:pPr>
            <w:r w:rsidRPr="008670F5">
              <w:rPr>
                <w:sz w:val="20"/>
                <w:szCs w:val="20"/>
              </w:rPr>
              <w:t>$</w:t>
            </w:r>
            <w:r w:rsidRPr="008670F5" w:rsidR="00DC1113">
              <w:rPr>
                <w:sz w:val="20"/>
                <w:szCs w:val="20"/>
              </w:rPr>
              <w:t>786.24</w:t>
            </w:r>
          </w:p>
        </w:tc>
      </w:tr>
      <w:tr w14:paraId="64ABBFF7" w14:textId="77777777" w:rsidTr="00B97054">
        <w:tblPrEx>
          <w:tblW w:w="9104" w:type="dxa"/>
          <w:jc w:val="center"/>
          <w:tblLook w:val="00A0"/>
        </w:tblPrEx>
        <w:trPr>
          <w:trHeight w:val="432"/>
          <w:jc w:val="center"/>
        </w:trPr>
        <w:tc>
          <w:tcPr>
            <w:tcW w:w="2846" w:type="dxa"/>
            <w:vAlign w:val="center"/>
          </w:tcPr>
          <w:p w:rsidR="238EA1CE" w:rsidRPr="008670F5" w:rsidP="238EA1CE" w14:paraId="3F897EED" w14:textId="51F4AF58">
            <w:pPr>
              <w:rPr>
                <w:sz w:val="20"/>
                <w:szCs w:val="20"/>
              </w:rPr>
            </w:pPr>
            <w:r w:rsidRPr="008670F5">
              <w:rPr>
                <w:sz w:val="20"/>
                <w:szCs w:val="20"/>
              </w:rPr>
              <w:t>Focus Group Protocol for Tribal Home Visiting Experts</w:t>
            </w:r>
          </w:p>
        </w:tc>
        <w:tc>
          <w:tcPr>
            <w:tcW w:w="1239" w:type="dxa"/>
            <w:vAlign w:val="center"/>
          </w:tcPr>
          <w:p w:rsidR="238EA1CE" w:rsidRPr="008670F5" w:rsidP="238EA1CE" w14:paraId="750B5B2E" w14:textId="50CBBE0C">
            <w:pPr>
              <w:spacing w:line="259" w:lineRule="auto"/>
              <w:jc w:val="center"/>
              <w:rPr>
                <w:sz w:val="20"/>
                <w:szCs w:val="20"/>
              </w:rPr>
            </w:pPr>
            <w:r w:rsidRPr="008670F5">
              <w:rPr>
                <w:sz w:val="20"/>
                <w:szCs w:val="20"/>
              </w:rPr>
              <w:t>8</w:t>
            </w:r>
          </w:p>
        </w:tc>
        <w:tc>
          <w:tcPr>
            <w:tcW w:w="1161" w:type="dxa"/>
            <w:vAlign w:val="center"/>
          </w:tcPr>
          <w:p w:rsidR="238EA1CE" w:rsidRPr="008670F5" w:rsidP="238EA1CE" w14:paraId="22AEEF95" w14:textId="647B546B">
            <w:pPr>
              <w:jc w:val="center"/>
              <w:rPr>
                <w:sz w:val="20"/>
                <w:szCs w:val="20"/>
              </w:rPr>
            </w:pPr>
            <w:r w:rsidRPr="008670F5">
              <w:rPr>
                <w:sz w:val="20"/>
                <w:szCs w:val="20"/>
              </w:rPr>
              <w:t>1</w:t>
            </w:r>
          </w:p>
        </w:tc>
        <w:tc>
          <w:tcPr>
            <w:tcW w:w="983" w:type="dxa"/>
            <w:vAlign w:val="center"/>
          </w:tcPr>
          <w:p w:rsidR="238EA1CE" w:rsidRPr="008670F5" w:rsidP="238EA1CE" w14:paraId="506F9ACE" w14:textId="04A7431E">
            <w:pPr>
              <w:jc w:val="center"/>
              <w:rPr>
                <w:sz w:val="20"/>
                <w:szCs w:val="20"/>
              </w:rPr>
            </w:pPr>
            <w:r w:rsidRPr="008670F5">
              <w:rPr>
                <w:sz w:val="20"/>
                <w:szCs w:val="20"/>
              </w:rPr>
              <w:t>1</w:t>
            </w:r>
          </w:p>
        </w:tc>
        <w:tc>
          <w:tcPr>
            <w:tcW w:w="805" w:type="dxa"/>
            <w:vAlign w:val="center"/>
          </w:tcPr>
          <w:p w:rsidR="238EA1CE" w:rsidRPr="008670F5" w:rsidP="238EA1CE" w14:paraId="785C18BF" w14:textId="08B92AD2">
            <w:pPr>
              <w:spacing w:line="259" w:lineRule="auto"/>
              <w:jc w:val="center"/>
              <w:rPr>
                <w:sz w:val="20"/>
                <w:szCs w:val="20"/>
              </w:rPr>
            </w:pPr>
            <w:r w:rsidRPr="008670F5">
              <w:rPr>
                <w:sz w:val="20"/>
                <w:szCs w:val="20"/>
              </w:rPr>
              <w:t>8</w:t>
            </w:r>
          </w:p>
        </w:tc>
        <w:tc>
          <w:tcPr>
            <w:tcW w:w="990" w:type="dxa"/>
            <w:vAlign w:val="center"/>
          </w:tcPr>
          <w:p w:rsidR="238EA1CE" w:rsidRPr="008670F5" w:rsidP="055BFA12" w14:paraId="6F2E96C7" w14:textId="79FF2166">
            <w:pPr>
              <w:jc w:val="center"/>
              <w:rPr>
                <w:sz w:val="20"/>
                <w:szCs w:val="20"/>
              </w:rPr>
            </w:pPr>
            <w:r w:rsidRPr="008670F5">
              <w:rPr>
                <w:sz w:val="20"/>
                <w:szCs w:val="20"/>
              </w:rPr>
              <w:t>$</w:t>
            </w:r>
            <w:r w:rsidRPr="008670F5" w:rsidR="055BFA12">
              <w:rPr>
                <w:sz w:val="20"/>
                <w:szCs w:val="20"/>
              </w:rPr>
              <w:t>90.94</w:t>
            </w:r>
          </w:p>
        </w:tc>
        <w:tc>
          <w:tcPr>
            <w:tcW w:w="1080" w:type="dxa"/>
            <w:vAlign w:val="center"/>
          </w:tcPr>
          <w:p w:rsidR="238EA1CE" w:rsidRPr="008670F5" w:rsidP="055BFA12" w14:paraId="697A0BC1" w14:textId="251883E6">
            <w:pPr>
              <w:jc w:val="center"/>
              <w:rPr>
                <w:sz w:val="20"/>
                <w:szCs w:val="20"/>
              </w:rPr>
            </w:pPr>
            <w:r w:rsidRPr="008670F5">
              <w:rPr>
                <w:sz w:val="20"/>
                <w:szCs w:val="20"/>
              </w:rPr>
              <w:t>$</w:t>
            </w:r>
            <w:r w:rsidRPr="008670F5" w:rsidR="0010311C">
              <w:rPr>
                <w:sz w:val="20"/>
                <w:szCs w:val="20"/>
              </w:rPr>
              <w:t>727.52</w:t>
            </w:r>
          </w:p>
        </w:tc>
      </w:tr>
      <w:tr w14:paraId="7746C018" w14:textId="77777777" w:rsidTr="00B97054">
        <w:tblPrEx>
          <w:tblW w:w="9104" w:type="dxa"/>
          <w:jc w:val="center"/>
          <w:tblLook w:val="00A0"/>
        </w:tblPrEx>
        <w:trPr>
          <w:trHeight w:val="630"/>
          <w:jc w:val="center"/>
        </w:trPr>
        <w:tc>
          <w:tcPr>
            <w:tcW w:w="2846" w:type="dxa"/>
            <w:vAlign w:val="center"/>
          </w:tcPr>
          <w:p w:rsidR="2B9E891D" w:rsidRPr="008670F5" w:rsidP="2B9E891D" w14:paraId="10137931" w14:textId="242A244B">
            <w:pPr>
              <w:rPr>
                <w:sz w:val="20"/>
                <w:szCs w:val="20"/>
              </w:rPr>
            </w:pPr>
            <w:r w:rsidRPr="008670F5">
              <w:rPr>
                <w:sz w:val="20"/>
                <w:szCs w:val="20"/>
              </w:rPr>
              <w:t>Listening Session Protocol for Home Visiting Researchers</w:t>
            </w:r>
          </w:p>
        </w:tc>
        <w:tc>
          <w:tcPr>
            <w:tcW w:w="1239" w:type="dxa"/>
            <w:vAlign w:val="center"/>
          </w:tcPr>
          <w:p w:rsidR="2B9E891D" w:rsidRPr="008670F5" w:rsidP="2B9E891D" w14:paraId="321EE7CC" w14:textId="6C313D9D">
            <w:pPr>
              <w:spacing w:line="259" w:lineRule="auto"/>
              <w:jc w:val="center"/>
              <w:rPr>
                <w:sz w:val="20"/>
                <w:szCs w:val="20"/>
              </w:rPr>
            </w:pPr>
            <w:r w:rsidRPr="008670F5">
              <w:rPr>
                <w:sz w:val="20"/>
                <w:szCs w:val="20"/>
              </w:rPr>
              <w:t>25</w:t>
            </w:r>
          </w:p>
        </w:tc>
        <w:tc>
          <w:tcPr>
            <w:tcW w:w="1161" w:type="dxa"/>
            <w:vAlign w:val="center"/>
          </w:tcPr>
          <w:p w:rsidR="2B9E891D" w:rsidRPr="008670F5" w:rsidP="2B9E891D" w14:paraId="080D0966" w14:textId="244FE378">
            <w:pPr>
              <w:jc w:val="center"/>
              <w:rPr>
                <w:sz w:val="20"/>
                <w:szCs w:val="20"/>
              </w:rPr>
            </w:pPr>
            <w:r w:rsidRPr="008670F5">
              <w:rPr>
                <w:sz w:val="20"/>
                <w:szCs w:val="20"/>
              </w:rPr>
              <w:t>1</w:t>
            </w:r>
          </w:p>
        </w:tc>
        <w:tc>
          <w:tcPr>
            <w:tcW w:w="983" w:type="dxa"/>
            <w:vAlign w:val="center"/>
          </w:tcPr>
          <w:p w:rsidR="2B9E891D" w:rsidRPr="008670F5" w:rsidP="2B9E891D" w14:paraId="4612C049" w14:textId="646FFF4B">
            <w:pPr>
              <w:jc w:val="center"/>
              <w:rPr>
                <w:sz w:val="20"/>
                <w:szCs w:val="20"/>
              </w:rPr>
            </w:pPr>
            <w:r w:rsidRPr="008670F5">
              <w:rPr>
                <w:sz w:val="20"/>
                <w:szCs w:val="20"/>
              </w:rPr>
              <w:t>1</w:t>
            </w:r>
          </w:p>
        </w:tc>
        <w:tc>
          <w:tcPr>
            <w:tcW w:w="805" w:type="dxa"/>
            <w:vAlign w:val="center"/>
          </w:tcPr>
          <w:p w:rsidR="2B9E891D" w:rsidRPr="008670F5" w:rsidP="2B9E891D" w14:paraId="7B57E0FD" w14:textId="4589376C">
            <w:pPr>
              <w:spacing w:line="259" w:lineRule="auto"/>
              <w:jc w:val="center"/>
              <w:rPr>
                <w:sz w:val="20"/>
                <w:szCs w:val="20"/>
              </w:rPr>
            </w:pPr>
            <w:r w:rsidRPr="008670F5">
              <w:rPr>
                <w:sz w:val="20"/>
                <w:szCs w:val="20"/>
              </w:rPr>
              <w:t>25</w:t>
            </w:r>
          </w:p>
        </w:tc>
        <w:tc>
          <w:tcPr>
            <w:tcW w:w="990" w:type="dxa"/>
            <w:vAlign w:val="center"/>
          </w:tcPr>
          <w:p w:rsidR="2B9E891D" w:rsidRPr="008670F5" w:rsidP="055BFA12" w14:paraId="79A78421" w14:textId="0BC53C38">
            <w:pPr>
              <w:jc w:val="center"/>
              <w:rPr>
                <w:sz w:val="20"/>
                <w:szCs w:val="20"/>
              </w:rPr>
            </w:pPr>
            <w:r w:rsidRPr="008670F5">
              <w:rPr>
                <w:sz w:val="20"/>
                <w:szCs w:val="20"/>
              </w:rPr>
              <w:t>$</w:t>
            </w:r>
            <w:r w:rsidRPr="008670F5" w:rsidR="055BFA12">
              <w:rPr>
                <w:sz w:val="20"/>
                <w:szCs w:val="20"/>
              </w:rPr>
              <w:t>98.28</w:t>
            </w:r>
          </w:p>
        </w:tc>
        <w:tc>
          <w:tcPr>
            <w:tcW w:w="1080" w:type="dxa"/>
            <w:vAlign w:val="center"/>
          </w:tcPr>
          <w:p w:rsidR="2B9E891D" w:rsidRPr="008670F5" w:rsidP="055BFA12" w14:paraId="7A23FF4B" w14:textId="07C6C7A0">
            <w:pPr>
              <w:jc w:val="center"/>
              <w:rPr>
                <w:sz w:val="20"/>
                <w:szCs w:val="20"/>
              </w:rPr>
            </w:pPr>
            <w:r w:rsidRPr="008670F5">
              <w:rPr>
                <w:sz w:val="20"/>
                <w:szCs w:val="20"/>
              </w:rPr>
              <w:t>$2</w:t>
            </w:r>
            <w:r w:rsidR="00EC2950">
              <w:rPr>
                <w:sz w:val="20"/>
                <w:szCs w:val="20"/>
              </w:rPr>
              <w:t>,</w:t>
            </w:r>
            <w:r w:rsidRPr="008670F5">
              <w:rPr>
                <w:sz w:val="20"/>
                <w:szCs w:val="20"/>
              </w:rPr>
              <w:t>457.00</w:t>
            </w:r>
          </w:p>
        </w:tc>
      </w:tr>
      <w:tr w14:paraId="49976FD1" w14:textId="77777777" w:rsidTr="00B97054">
        <w:tblPrEx>
          <w:tblW w:w="9104" w:type="dxa"/>
          <w:jc w:val="center"/>
          <w:tblLook w:val="00A0"/>
        </w:tblPrEx>
        <w:trPr>
          <w:trHeight w:val="630"/>
          <w:jc w:val="center"/>
        </w:trPr>
        <w:tc>
          <w:tcPr>
            <w:tcW w:w="2846" w:type="dxa"/>
            <w:vAlign w:val="center"/>
          </w:tcPr>
          <w:p w:rsidR="00EC2950" w:rsidRPr="006D189C" w:rsidP="006D189C" w14:paraId="1ACC90B9" w14:textId="6A9BB447">
            <w:pPr>
              <w:jc w:val="right"/>
              <w:rPr>
                <w:b/>
                <w:bCs/>
                <w:sz w:val="20"/>
                <w:szCs w:val="20"/>
              </w:rPr>
            </w:pPr>
            <w:r w:rsidRPr="006D189C">
              <w:rPr>
                <w:b/>
                <w:bCs/>
                <w:sz w:val="20"/>
                <w:szCs w:val="20"/>
              </w:rPr>
              <w:t xml:space="preserve">Totals: </w:t>
            </w:r>
          </w:p>
        </w:tc>
        <w:tc>
          <w:tcPr>
            <w:tcW w:w="1239" w:type="dxa"/>
            <w:vAlign w:val="center"/>
          </w:tcPr>
          <w:p w:rsidR="00EC2950" w:rsidRPr="008670F5" w:rsidP="2B9E891D" w14:paraId="34D8CC7E" w14:textId="6C300168">
            <w:pPr>
              <w:spacing w:line="259" w:lineRule="auto"/>
              <w:jc w:val="center"/>
              <w:rPr>
                <w:sz w:val="20"/>
                <w:szCs w:val="20"/>
              </w:rPr>
            </w:pPr>
            <w:r>
              <w:rPr>
                <w:sz w:val="20"/>
                <w:szCs w:val="20"/>
              </w:rPr>
              <w:t>73</w:t>
            </w:r>
          </w:p>
        </w:tc>
        <w:tc>
          <w:tcPr>
            <w:tcW w:w="1161" w:type="dxa"/>
            <w:vAlign w:val="center"/>
          </w:tcPr>
          <w:p w:rsidR="00EC2950" w:rsidRPr="008670F5" w:rsidP="2B9E891D" w14:paraId="7C29DBF4" w14:textId="525CBC23">
            <w:pPr>
              <w:jc w:val="center"/>
              <w:rPr>
                <w:sz w:val="20"/>
                <w:szCs w:val="20"/>
              </w:rPr>
            </w:pPr>
            <w:r>
              <w:rPr>
                <w:sz w:val="20"/>
                <w:szCs w:val="20"/>
              </w:rPr>
              <w:t>1</w:t>
            </w:r>
          </w:p>
        </w:tc>
        <w:tc>
          <w:tcPr>
            <w:tcW w:w="983" w:type="dxa"/>
            <w:vAlign w:val="center"/>
          </w:tcPr>
          <w:p w:rsidR="00EC2950" w:rsidRPr="008670F5" w:rsidP="2B9E891D" w14:paraId="6CE82C34" w14:textId="6A6ACB2F">
            <w:pPr>
              <w:jc w:val="center"/>
              <w:rPr>
                <w:sz w:val="20"/>
                <w:szCs w:val="20"/>
              </w:rPr>
            </w:pPr>
            <w:r>
              <w:rPr>
                <w:sz w:val="20"/>
                <w:szCs w:val="20"/>
              </w:rPr>
              <w:t>1</w:t>
            </w:r>
          </w:p>
        </w:tc>
        <w:tc>
          <w:tcPr>
            <w:tcW w:w="805" w:type="dxa"/>
            <w:vAlign w:val="center"/>
          </w:tcPr>
          <w:p w:rsidR="00EC2950" w:rsidRPr="008670F5" w:rsidP="2B9E891D" w14:paraId="21F4BDCE" w14:textId="1117BB92">
            <w:pPr>
              <w:spacing w:line="259" w:lineRule="auto"/>
              <w:jc w:val="center"/>
              <w:rPr>
                <w:sz w:val="20"/>
                <w:szCs w:val="20"/>
              </w:rPr>
            </w:pPr>
            <w:r>
              <w:rPr>
                <w:sz w:val="20"/>
                <w:szCs w:val="20"/>
              </w:rPr>
              <w:t>73</w:t>
            </w:r>
          </w:p>
        </w:tc>
        <w:tc>
          <w:tcPr>
            <w:tcW w:w="990" w:type="dxa"/>
            <w:vAlign w:val="center"/>
          </w:tcPr>
          <w:p w:rsidR="00EC2950" w:rsidRPr="008670F5" w:rsidP="055BFA12" w14:paraId="45224580" w14:textId="77777777">
            <w:pPr>
              <w:jc w:val="center"/>
              <w:rPr>
                <w:sz w:val="20"/>
                <w:szCs w:val="20"/>
              </w:rPr>
            </w:pPr>
          </w:p>
        </w:tc>
        <w:tc>
          <w:tcPr>
            <w:tcW w:w="1080" w:type="dxa"/>
            <w:vAlign w:val="center"/>
          </w:tcPr>
          <w:p w:rsidR="00EC2950" w:rsidRPr="008670F5" w:rsidP="055BFA12" w14:paraId="4ED12C25" w14:textId="6EAF41D2">
            <w:pPr>
              <w:jc w:val="center"/>
              <w:rPr>
                <w:sz w:val="20"/>
                <w:szCs w:val="20"/>
              </w:rPr>
            </w:pPr>
            <w:r w:rsidRPr="008670F5">
              <w:rPr>
                <w:b/>
                <w:bCs/>
                <w:sz w:val="20"/>
                <w:szCs w:val="20"/>
              </w:rPr>
              <w:t>$6,939.56</w:t>
            </w:r>
          </w:p>
        </w:tc>
      </w:tr>
    </w:tbl>
    <w:p w:rsidR="00436F5E" w:rsidRPr="008670F5" w:rsidP="008F570D" w14:paraId="4FC5BEDE" w14:textId="77777777"/>
    <w:p w:rsidR="0088469D" w:rsidRPr="008670F5" w:rsidP="008F570D" w14:paraId="4CF80DEE" w14:textId="77777777"/>
    <w:p w:rsidR="00945CD6" w:rsidRPr="008670F5" w:rsidP="00542413" w14:paraId="7BDBE261" w14:textId="77777777">
      <w:pPr>
        <w:spacing w:after="120"/>
        <w:rPr>
          <w:b/>
        </w:rPr>
      </w:pPr>
      <w:r w:rsidRPr="008670F5">
        <w:rPr>
          <w:b/>
        </w:rPr>
        <w:t xml:space="preserve">A13. </w:t>
      </w:r>
      <w:r w:rsidRPr="008670F5">
        <w:rPr>
          <w:b/>
        </w:rPr>
        <w:t>Cost Burden to Respondents or Record Keepers</w:t>
      </w:r>
    </w:p>
    <w:p w:rsidR="00BE7952" w:rsidRPr="00F72880" w:rsidP="008F570D" w14:paraId="6BC5843E" w14:textId="6DA26C6B">
      <w:pPr>
        <w:rPr>
          <w:sz w:val="28"/>
          <w:szCs w:val="28"/>
        </w:rPr>
      </w:pPr>
      <w:r w:rsidRPr="008670F5">
        <w:t>There are no additional costs to respondents.</w:t>
      </w:r>
    </w:p>
    <w:p w:rsidR="0088469D" w:rsidRPr="008670F5" w:rsidP="008F570D" w14:paraId="3D20CFE2" w14:textId="77777777"/>
    <w:p w:rsidR="007E31B1" w:rsidRPr="008670F5" w:rsidP="00870196" w14:paraId="09EF301D" w14:textId="6AEF654D">
      <w:pPr>
        <w:spacing w:after="60"/>
        <w:rPr>
          <w:b/>
        </w:rPr>
      </w:pPr>
      <w:r w:rsidRPr="008670F5">
        <w:rPr>
          <w:b/>
        </w:rPr>
        <w:t xml:space="preserve">A14. </w:t>
      </w:r>
      <w:r w:rsidRPr="008670F5" w:rsidR="00945CD6">
        <w:rPr>
          <w:b/>
        </w:rPr>
        <w:t>Estimate of Cost to the Federal Government</w:t>
      </w:r>
    </w:p>
    <w:p w:rsidR="007E31B1" w:rsidRPr="008670F5" w:rsidP="008F570D" w14:paraId="2B4630A2" w14:textId="283380DE">
      <w:r w:rsidRPr="008670F5">
        <w:t>I</w:t>
      </w:r>
      <w:r w:rsidRPr="008670F5" w:rsidR="004F0298">
        <w:t xml:space="preserve">t is anticipated that contract staff will spend </w:t>
      </w:r>
      <w:r w:rsidRPr="008670F5" w:rsidR="004A2D02">
        <w:t>51</w:t>
      </w:r>
      <w:r w:rsidRPr="008670F5" w:rsidR="004F0298">
        <w:t xml:space="preserve"> hours</w:t>
      </w:r>
      <w:r w:rsidRPr="008670F5" w:rsidR="009D010C">
        <w:t xml:space="preserve"> on this project</w:t>
      </w:r>
      <w:r w:rsidRPr="008670F5" w:rsidR="00DE7810">
        <w:t xml:space="preserve"> at a</w:t>
      </w:r>
      <w:r w:rsidRPr="008670F5" w:rsidR="00332A95">
        <w:t>n estimated</w:t>
      </w:r>
      <w:r w:rsidRPr="008670F5" w:rsidR="00DE7810">
        <w:t xml:space="preserve"> cost of </w:t>
      </w:r>
      <w:r w:rsidRPr="008670F5" w:rsidR="000A183A">
        <w:t>$</w:t>
      </w:r>
      <w:r w:rsidRPr="008670F5" w:rsidR="00AE7444">
        <w:t>4</w:t>
      </w:r>
      <w:r w:rsidRPr="008670F5" w:rsidR="004F58D4">
        <w:t>,</w:t>
      </w:r>
      <w:r w:rsidRPr="008670F5" w:rsidR="00AE7444">
        <w:t>636.92</w:t>
      </w:r>
      <w:r w:rsidRPr="008670F5" w:rsidR="00DE7810">
        <w:t>.</w:t>
      </w:r>
      <w:r w:rsidRPr="008670F5" w:rsidR="009D010C">
        <w:t xml:space="preserve"> </w:t>
      </w:r>
      <w:r w:rsidRPr="008670F5" w:rsidR="00DE7810">
        <w:t>T</w:t>
      </w:r>
      <w:r w:rsidRPr="008670F5" w:rsidR="009D010C">
        <w:t xml:space="preserve">his </w:t>
      </w:r>
      <w:r w:rsidRPr="008670F5" w:rsidR="00DE7810">
        <w:t xml:space="preserve">estimate </w:t>
      </w:r>
      <w:r w:rsidRPr="008670F5" w:rsidR="009D010C">
        <w:t xml:space="preserve">includes time required to </w:t>
      </w:r>
      <w:r w:rsidRPr="008670F5" w:rsidR="00AE7444">
        <w:t xml:space="preserve">analyze program data </w:t>
      </w:r>
      <w:r w:rsidRPr="008670F5" w:rsidR="00A40725">
        <w:t>for recruitment</w:t>
      </w:r>
      <w:r w:rsidRPr="008670F5" w:rsidR="002D50F6">
        <w:t>,</w:t>
      </w:r>
      <w:r w:rsidRPr="008670F5" w:rsidR="00A40725">
        <w:t xml:space="preserve"> recruit and schedule individual programs for participation, </w:t>
      </w:r>
      <w:r w:rsidRPr="008670F5" w:rsidR="009D010C">
        <w:t>administer focus groups</w:t>
      </w:r>
      <w:r w:rsidRPr="008670F5" w:rsidR="008A70C8">
        <w:t xml:space="preserve"> with two co-facilitators,</w:t>
      </w:r>
      <w:r w:rsidRPr="008670F5" w:rsidR="009D010C">
        <w:t xml:space="preserve"> </w:t>
      </w:r>
      <w:r w:rsidRPr="008670F5" w:rsidR="00DD0D38">
        <w:t xml:space="preserve">and </w:t>
      </w:r>
      <w:r w:rsidRPr="008670F5" w:rsidR="00CF570C">
        <w:t>code and analyze transcripts.</w:t>
      </w:r>
      <w:r w:rsidRPr="008670F5" w:rsidR="004F0298">
        <w:t xml:space="preserve"> </w:t>
      </w:r>
      <w:r w:rsidRPr="008670F5" w:rsidR="00C67BC9">
        <w:t xml:space="preserve">The cost for contract staff was calculated using the Bureau of Labor Statistics (BLS) job codes for </w:t>
      </w:r>
      <w:r w:rsidRPr="008670F5" w:rsidR="0033417D">
        <w:t>Social Scientists and Related Workers, All Other [19-3099]</w:t>
      </w:r>
      <w:r w:rsidRPr="008670F5" w:rsidR="00C67BC9">
        <w:t>. Wage data from May 202</w:t>
      </w:r>
      <w:r w:rsidRPr="008670F5" w:rsidR="00A21335">
        <w:t>3</w:t>
      </w:r>
      <w:r w:rsidRPr="008670F5" w:rsidR="00C67BC9">
        <w:t xml:space="preserve"> is $45.46 per hour. To account for fringe benefits and overhead the rate was multiplied by two which is $90.92. </w:t>
      </w:r>
    </w:p>
    <w:p w:rsidR="00CD2ED5" w:rsidRPr="008670F5" w:rsidP="008F570D" w14:paraId="54D8AF70" w14:textId="77777777"/>
    <w:p w:rsidR="00945CD6" w:rsidRPr="008670F5" w:rsidP="008F570D" w14:paraId="4B385444" w14:textId="77777777">
      <w:pPr>
        <w:spacing w:after="120"/>
        <w:rPr>
          <w:b/>
        </w:rPr>
      </w:pPr>
      <w:r w:rsidRPr="008670F5">
        <w:rPr>
          <w:b/>
        </w:rPr>
        <w:t xml:space="preserve">A15. </w:t>
      </w:r>
      <w:r w:rsidRPr="008670F5">
        <w:rPr>
          <w:b/>
        </w:rPr>
        <w:t>Change in Burden</w:t>
      </w:r>
    </w:p>
    <w:p w:rsidR="0033072C" w:rsidRPr="008670F5" w:rsidP="00B415F8" w14:paraId="580F3480" w14:textId="0B264022">
      <w:r w:rsidRPr="008670F5">
        <w:t xml:space="preserve">This is for an individual information collection under the umbrella </w:t>
      </w:r>
      <w:r w:rsidRPr="008670F5" w:rsidR="001140AB">
        <w:t>formative generic clearance for program support (0970-0531</w:t>
      </w:r>
      <w:r w:rsidRPr="008670F5" w:rsidR="00542413">
        <w:t>).</w:t>
      </w:r>
    </w:p>
    <w:p w:rsidR="00DC7603" w:rsidP="00B415F8" w14:paraId="23E12DB7" w14:textId="77777777"/>
    <w:p w:rsidR="00945CD6" w:rsidRPr="008670F5" w:rsidP="00F179A2" w14:paraId="347FE16D" w14:textId="77777777">
      <w:pPr>
        <w:spacing w:after="120"/>
        <w:rPr>
          <w:b/>
        </w:rPr>
      </w:pPr>
      <w:r w:rsidRPr="008670F5">
        <w:rPr>
          <w:b/>
        </w:rPr>
        <w:t xml:space="preserve">A16. </w:t>
      </w:r>
      <w:r w:rsidRPr="008670F5">
        <w:rPr>
          <w:b/>
        </w:rPr>
        <w:t>Plan and Time Schedule for Information Collection, Tabulation and Publication</w:t>
      </w:r>
    </w:p>
    <w:p w:rsidR="002338AC" w:rsidRPr="00F72880" w:rsidP="008F570D" w14:paraId="5D35D3D0" w14:textId="5577042F">
      <w:r w:rsidRPr="008670F5">
        <w:rPr>
          <w:bCs/>
        </w:rPr>
        <w:t xml:space="preserve">Data collection will begin after OMB approval </w:t>
      </w:r>
      <w:r w:rsidRPr="008670F5" w:rsidR="00F35E73">
        <w:rPr>
          <w:bCs/>
        </w:rPr>
        <w:t xml:space="preserve">and is expected to </w:t>
      </w:r>
      <w:r w:rsidRPr="008670F5" w:rsidR="00111E3B">
        <w:rPr>
          <w:bCs/>
        </w:rPr>
        <w:t xml:space="preserve">take place over 3 months. </w:t>
      </w:r>
      <w:r w:rsidRPr="008670F5" w:rsidR="00790BC7">
        <w:rPr>
          <w:bCs/>
        </w:rPr>
        <w:t xml:space="preserve">Information collected </w:t>
      </w:r>
      <w:r w:rsidRPr="008670F5" w:rsidR="001D51D9">
        <w:rPr>
          <w:bCs/>
        </w:rPr>
        <w:t>during the focus groups will be used to inform</w:t>
      </w:r>
      <w:r w:rsidRPr="008670F5" w:rsidR="00AA4ABE">
        <w:rPr>
          <w:bCs/>
        </w:rPr>
        <w:t xml:space="preserve"> ACF</w:t>
      </w:r>
      <w:r w:rsidRPr="008670F5" w:rsidR="00704A03">
        <w:rPr>
          <w:bCs/>
        </w:rPr>
        <w:t xml:space="preserve"> and HRSA’s</w:t>
      </w:r>
      <w:r w:rsidRPr="008670F5" w:rsidR="001D51D9">
        <w:rPr>
          <w:bCs/>
        </w:rPr>
        <w:t xml:space="preserve"> activities</w:t>
      </w:r>
      <w:r w:rsidRPr="008670F5" w:rsidR="00704A03">
        <w:rPr>
          <w:bCs/>
        </w:rPr>
        <w:t xml:space="preserve"> related to the HHS Criteria for Early Childhood Home Visiting Models</w:t>
      </w:r>
      <w:r w:rsidRPr="008670F5" w:rsidR="00D602B6">
        <w:rPr>
          <w:bCs/>
        </w:rPr>
        <w:t xml:space="preserve">. </w:t>
      </w:r>
      <w:r w:rsidRPr="008670F5" w:rsidR="00AA4ABE">
        <w:t xml:space="preserve"> </w:t>
      </w:r>
    </w:p>
    <w:p w:rsidR="0088469D" w:rsidRPr="008670F5" w:rsidP="008F570D" w14:paraId="51D984FC" w14:textId="77777777">
      <w:pPr>
        <w:rPr>
          <w:b/>
        </w:rPr>
      </w:pPr>
    </w:p>
    <w:p w:rsidR="00945CD6" w:rsidRPr="008670F5" w:rsidP="008F570D" w14:paraId="750BBE88" w14:textId="77777777">
      <w:pPr>
        <w:spacing w:after="120"/>
        <w:rPr>
          <w:b/>
        </w:rPr>
      </w:pPr>
      <w:r w:rsidRPr="008670F5">
        <w:rPr>
          <w:b/>
        </w:rPr>
        <w:t xml:space="preserve">A17. </w:t>
      </w:r>
      <w:r w:rsidRPr="008670F5">
        <w:rPr>
          <w:b/>
        </w:rPr>
        <w:t>Reasons Not to Display OMB Expiration Date</w:t>
      </w:r>
    </w:p>
    <w:p w:rsidR="005046F0" w:rsidRPr="008670F5" w:rsidP="00A507A7" w14:paraId="3CB00E49" w14:textId="2514D23D">
      <w:r w:rsidRPr="008670F5">
        <w:t>All instruments will display the expiration date for OMB approval.</w:t>
      </w:r>
    </w:p>
    <w:p w:rsidR="0088469D" w:rsidRPr="008670F5" w:rsidP="00F72880" w14:paraId="06B4013B" w14:textId="77777777"/>
    <w:p w:rsidR="00945CD6" w:rsidRPr="008670F5" w:rsidP="008F570D" w14:paraId="0DA51717" w14:textId="77777777">
      <w:pPr>
        <w:spacing w:after="120"/>
        <w:rPr>
          <w:b/>
        </w:rPr>
      </w:pPr>
      <w:r w:rsidRPr="008670F5">
        <w:rPr>
          <w:b/>
        </w:rPr>
        <w:t>A18.</w:t>
      </w:r>
      <w:r w:rsidRPr="008670F5" w:rsidR="000B5EA8">
        <w:rPr>
          <w:b/>
        </w:rPr>
        <w:t xml:space="preserve"> Exceptions to Certification for Paperwork Reduction Act Submissions</w:t>
      </w:r>
    </w:p>
    <w:p w:rsidR="00D90EF6" w:rsidRPr="008670F5" w:rsidP="008F570D" w14:paraId="117373B9" w14:textId="77777777">
      <w:r w:rsidRPr="008670F5">
        <w:rPr>
          <w:szCs w:val="22"/>
        </w:rPr>
        <w:t>No exceptions are necessary for this information collection.</w:t>
      </w:r>
      <w:r w:rsidRPr="008670F5" w:rsidR="000B5EA8">
        <w:tab/>
      </w:r>
    </w:p>
    <w:p w:rsidR="00D06D5F" w:rsidRPr="008670F5" w:rsidP="008F570D" w14:paraId="54795446" w14:textId="77777777">
      <w:pPr>
        <w:tabs>
          <w:tab w:val="left" w:pos="360"/>
        </w:tabs>
      </w:pPr>
    </w:p>
    <w:p w:rsidR="00201F72" w:rsidRPr="008670F5" w:rsidP="00201F72" w14:paraId="12DE8FF2" w14:textId="77777777">
      <w:pPr>
        <w:spacing w:after="120"/>
        <w:rPr>
          <w:b/>
        </w:rPr>
      </w:pPr>
      <w:r w:rsidRPr="008670F5">
        <w:rPr>
          <w:b/>
          <w:bCs/>
        </w:rPr>
        <w:t>Attachments</w:t>
      </w:r>
    </w:p>
    <w:p w:rsidR="11B4B977" w:rsidRPr="008670F5" w:rsidP="11B4B977" w14:paraId="7C515469" w14:textId="32B6A0D9">
      <w:r>
        <w:t xml:space="preserve">Instrument 1: </w:t>
      </w:r>
      <w:r w:rsidRPr="008670F5">
        <w:t>Focus Group Protocol for Evidence-Based Policy Experts</w:t>
      </w:r>
    </w:p>
    <w:p w:rsidR="11B4B977" w:rsidRPr="008670F5" w:rsidP="11B4B977" w14:paraId="624FB893" w14:textId="0BBBBE15">
      <w:r>
        <w:t xml:space="preserve">Instrument 2: </w:t>
      </w:r>
      <w:r w:rsidRPr="008670F5">
        <w:t>Focus Group Protocol for Home Visiting Model Developers</w:t>
      </w:r>
    </w:p>
    <w:p w:rsidR="11B4B977" w:rsidRPr="008670F5" w:rsidP="11B4B977" w14:paraId="11244FE7" w14:textId="45C283FA">
      <w:pPr>
        <w:rPr>
          <w:b/>
          <w:bCs/>
        </w:rPr>
      </w:pPr>
      <w:r>
        <w:t xml:space="preserve">Instrument 3: </w:t>
      </w:r>
      <w:r w:rsidRPr="008670F5">
        <w:t>Focus Group Protocol for Home Visiting Administrator</w:t>
      </w:r>
    </w:p>
    <w:p w:rsidR="11B4B977" w:rsidRPr="008670F5" w:rsidP="11B4B977" w14:paraId="3054E0F8" w14:textId="42D8815E">
      <w:pPr>
        <w:rPr>
          <w:b/>
          <w:bCs/>
        </w:rPr>
      </w:pPr>
      <w:r>
        <w:t xml:space="preserve">Instrument 4: </w:t>
      </w:r>
      <w:r w:rsidRPr="008670F5" w:rsidR="238EA1CE">
        <w:t>Focus Group Protocol for Home Visiting Advocates</w:t>
      </w:r>
    </w:p>
    <w:p w:rsidR="238EA1CE" w:rsidRPr="008670F5" w:rsidP="238EA1CE" w14:paraId="4596C6CE" w14:textId="3E2A85AD">
      <w:r>
        <w:t xml:space="preserve">Instrument 5: </w:t>
      </w:r>
      <w:r w:rsidRPr="008670F5">
        <w:t xml:space="preserve">Focus Group Protocol for Tribal MIECHV Experts </w:t>
      </w:r>
    </w:p>
    <w:p w:rsidR="11B4B977" w:rsidRPr="008670F5" w:rsidP="11B4B977" w14:paraId="0FA14214" w14:textId="26F64869">
      <w:r>
        <w:t xml:space="preserve">Instrument 6: </w:t>
      </w:r>
      <w:r w:rsidRPr="008670F5" w:rsidR="238EA1CE">
        <w:t>Listening Session Protocol for Home Visiting Researchers</w:t>
      </w:r>
    </w:p>
    <w:p w:rsidR="11B4B977" w:rsidRPr="008670F5" w:rsidP="11B4B977" w14:paraId="40BAE21B" w14:textId="673A09A7"/>
    <w:sectPr w:rsidSect="00DE6702">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p w:rsidR="00C4267A" w14:paraId="331A6D0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311E" w14:paraId="18ED849E" w14:textId="77777777">
      <w:r>
        <w:separator/>
      </w:r>
    </w:p>
  </w:footnote>
  <w:footnote w:type="continuationSeparator" w:id="1">
    <w:p w:rsidR="00C4311E" w14:paraId="46B585A0" w14:textId="77777777">
      <w:r>
        <w:continuationSeparator/>
      </w:r>
    </w:p>
  </w:footnote>
  <w:footnote w:type="continuationNotice" w:id="2">
    <w:p w:rsidR="00C4311E" w14:paraId="30813614" w14:textId="77777777"/>
  </w:footnote>
  <w:footnote w:id="3">
    <w:p w:rsidR="2B9E891D" w:rsidP="2B9E891D" w14:paraId="2AB1627D" w14:textId="5802CD54">
      <w:r w:rsidRPr="2B9E891D">
        <w:rPr>
          <w:rStyle w:val="FootnoteReference"/>
        </w:rPr>
        <w:footnoteRef/>
      </w:r>
      <w:r>
        <w:t xml:space="preserve"> </w:t>
      </w:r>
      <w:hyperlink r:id="rId1">
        <w:r w:rsidRPr="2B9E891D">
          <w:rPr>
            <w:rStyle w:val="Hyperlink"/>
          </w:rPr>
          <w:t>https://www.bls.gov/oes/current/oes_stru.htm</w:t>
        </w:r>
      </w:hyperlink>
      <w:r>
        <w:t xml:space="preserve"> </w:t>
      </w:r>
    </w:p>
    <w:p w:rsidR="2B9E891D" w:rsidP="2B9E891D" w14:paraId="085375C7" w14:textId="3A0E92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0F5" w:rsidRPr="000D7D44" w:rsidP="008670F5" w14:paraId="13C634C0" w14:textId="77777777">
    <w:pPr>
      <w:jc w:val="center"/>
      <w:rPr>
        <w:b/>
      </w:rPr>
    </w:pPr>
    <w:r>
      <w:rPr>
        <w:b/>
      </w:rPr>
      <w:t xml:space="preserve">Alternative </w:t>
    </w:r>
    <w:r w:rsidRPr="000D7D44">
      <w:rPr>
        <w:b/>
      </w:rPr>
      <w:t xml:space="preserve">Supporting Statement for Information Collections Designed for </w:t>
    </w:r>
  </w:p>
  <w:p w:rsidR="008670F5" w:rsidP="008670F5" w14:paraId="35E25B47" w14:textId="77777777">
    <w:pPr>
      <w:pStyle w:val="Header"/>
      <w:jc w:val="center"/>
    </w:pPr>
    <w:r w:rsidRPr="000D7D44">
      <w:rPr>
        <w:b/>
      </w:rPr>
      <w:t xml:space="preserve">Research, </w:t>
    </w:r>
    <w:r>
      <w:rPr>
        <w:b/>
      </w:rPr>
      <w:t xml:space="preserve">Public Health </w:t>
    </w:r>
    <w:r w:rsidRPr="000D7D44">
      <w:rPr>
        <w:b/>
      </w:rPr>
      <w:t>Surveillance, and Program Evaluation Purposes</w:t>
    </w:r>
  </w:p>
  <w:p w:rsidR="008670F5" w14:paraId="7174DD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B070A"/>
    <w:multiLevelType w:val="hybridMultilevel"/>
    <w:tmpl w:val="D52CA1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704C1"/>
    <w:multiLevelType w:val="hybridMultilevel"/>
    <w:tmpl w:val="816819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1C35A5"/>
    <w:multiLevelType w:val="hybridMultilevel"/>
    <w:tmpl w:val="81180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A799E"/>
    <w:multiLevelType w:val="hybridMultilevel"/>
    <w:tmpl w:val="C60C4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1A4663"/>
    <w:multiLevelType w:val="hybridMultilevel"/>
    <w:tmpl w:val="F0E0710A"/>
    <w:lvl w:ilvl="0">
      <w:start w:val="0"/>
      <w:numFmt w:val="bullet"/>
      <w:lvlText w:val=""/>
      <w:lvlJc w:val="left"/>
      <w:pPr>
        <w:ind w:left="2373"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366" w:hanging="361"/>
      </w:pPr>
      <w:rPr>
        <w:lang w:val="en-US" w:eastAsia="en-US" w:bidi="ar-SA"/>
      </w:rPr>
    </w:lvl>
    <w:lvl w:ilvl="2">
      <w:start w:val="0"/>
      <w:numFmt w:val="bullet"/>
      <w:lvlText w:val="•"/>
      <w:lvlJc w:val="left"/>
      <w:pPr>
        <w:ind w:left="4352" w:hanging="361"/>
      </w:pPr>
      <w:rPr>
        <w:lang w:val="en-US" w:eastAsia="en-US" w:bidi="ar-SA"/>
      </w:rPr>
    </w:lvl>
    <w:lvl w:ilvl="3">
      <w:start w:val="0"/>
      <w:numFmt w:val="bullet"/>
      <w:lvlText w:val="•"/>
      <w:lvlJc w:val="left"/>
      <w:pPr>
        <w:ind w:left="5338" w:hanging="361"/>
      </w:pPr>
      <w:rPr>
        <w:lang w:val="en-US" w:eastAsia="en-US" w:bidi="ar-SA"/>
      </w:rPr>
    </w:lvl>
    <w:lvl w:ilvl="4">
      <w:start w:val="0"/>
      <w:numFmt w:val="bullet"/>
      <w:lvlText w:val="•"/>
      <w:lvlJc w:val="left"/>
      <w:pPr>
        <w:ind w:left="6324" w:hanging="361"/>
      </w:pPr>
      <w:rPr>
        <w:lang w:val="en-US" w:eastAsia="en-US" w:bidi="ar-SA"/>
      </w:rPr>
    </w:lvl>
    <w:lvl w:ilvl="5">
      <w:start w:val="0"/>
      <w:numFmt w:val="bullet"/>
      <w:lvlText w:val="•"/>
      <w:lvlJc w:val="left"/>
      <w:pPr>
        <w:ind w:left="7310" w:hanging="361"/>
      </w:pPr>
      <w:rPr>
        <w:lang w:val="en-US" w:eastAsia="en-US" w:bidi="ar-SA"/>
      </w:rPr>
    </w:lvl>
    <w:lvl w:ilvl="6">
      <w:start w:val="0"/>
      <w:numFmt w:val="bullet"/>
      <w:lvlText w:val="•"/>
      <w:lvlJc w:val="left"/>
      <w:pPr>
        <w:ind w:left="8296" w:hanging="361"/>
      </w:pPr>
      <w:rPr>
        <w:lang w:val="en-US" w:eastAsia="en-US" w:bidi="ar-SA"/>
      </w:rPr>
    </w:lvl>
    <w:lvl w:ilvl="7">
      <w:start w:val="0"/>
      <w:numFmt w:val="bullet"/>
      <w:lvlText w:val="•"/>
      <w:lvlJc w:val="left"/>
      <w:pPr>
        <w:ind w:left="9282" w:hanging="361"/>
      </w:pPr>
      <w:rPr>
        <w:lang w:val="en-US" w:eastAsia="en-US" w:bidi="ar-SA"/>
      </w:rPr>
    </w:lvl>
    <w:lvl w:ilvl="8">
      <w:start w:val="0"/>
      <w:numFmt w:val="bullet"/>
      <w:lvlText w:val="•"/>
      <w:lvlJc w:val="left"/>
      <w:pPr>
        <w:ind w:left="10268" w:hanging="361"/>
      </w:pPr>
      <w:rPr>
        <w:lang w:val="en-US" w:eastAsia="en-US" w:bidi="ar-SA"/>
      </w:rPr>
    </w:lvl>
  </w:abstractNum>
  <w:abstractNum w:abstractNumId="13">
    <w:nsid w:val="2B31260E"/>
    <w:multiLevelType w:val="hybridMultilevel"/>
    <w:tmpl w:val="4E800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F03DEE"/>
    <w:multiLevelType w:val="hybridMultilevel"/>
    <w:tmpl w:val="F796D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2B29304"/>
    <w:multiLevelType w:val="hybridMultilevel"/>
    <w:tmpl w:val="00C84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8E6713"/>
    <w:multiLevelType w:val="hybridMultilevel"/>
    <w:tmpl w:val="45B83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2345660">
    <w:abstractNumId w:val="25"/>
  </w:num>
  <w:num w:numId="2" w16cid:durableId="353851772">
    <w:abstractNumId w:val="21"/>
  </w:num>
  <w:num w:numId="3" w16cid:durableId="1896743402">
    <w:abstractNumId w:val="7"/>
  </w:num>
  <w:num w:numId="4" w16cid:durableId="981739242">
    <w:abstractNumId w:val="2"/>
  </w:num>
  <w:num w:numId="5" w16cid:durableId="2035113608">
    <w:abstractNumId w:val="22"/>
  </w:num>
  <w:num w:numId="6" w16cid:durableId="575289155">
    <w:abstractNumId w:val="14"/>
  </w:num>
  <w:num w:numId="7" w16cid:durableId="469249718">
    <w:abstractNumId w:val="15"/>
  </w:num>
  <w:num w:numId="8" w16cid:durableId="2108690301">
    <w:abstractNumId w:val="24"/>
  </w:num>
  <w:num w:numId="9" w16cid:durableId="429199133">
    <w:abstractNumId w:val="23"/>
  </w:num>
  <w:num w:numId="10" w16cid:durableId="710301820">
    <w:abstractNumId w:val="17"/>
  </w:num>
  <w:num w:numId="11" w16cid:durableId="9072191">
    <w:abstractNumId w:val="19"/>
  </w:num>
  <w:num w:numId="12" w16cid:durableId="1915700260">
    <w:abstractNumId w:val="3"/>
  </w:num>
  <w:num w:numId="13" w16cid:durableId="522944014">
    <w:abstractNumId w:val="1"/>
  </w:num>
  <w:num w:numId="14" w16cid:durableId="1553425670">
    <w:abstractNumId w:val="6"/>
  </w:num>
  <w:num w:numId="15" w16cid:durableId="354965836">
    <w:abstractNumId w:val="26"/>
  </w:num>
  <w:num w:numId="16" w16cid:durableId="385614546">
    <w:abstractNumId w:val="9"/>
  </w:num>
  <w:num w:numId="17" w16cid:durableId="937446806">
    <w:abstractNumId w:val="10"/>
  </w:num>
  <w:num w:numId="18" w16cid:durableId="145587693">
    <w:abstractNumId w:val="32"/>
  </w:num>
  <w:num w:numId="19" w16cid:durableId="17629951">
    <w:abstractNumId w:val="33"/>
  </w:num>
  <w:num w:numId="20" w16cid:durableId="523132178">
    <w:abstractNumId w:val="30"/>
  </w:num>
  <w:num w:numId="21" w16cid:durableId="1272972878">
    <w:abstractNumId w:val="27"/>
  </w:num>
  <w:num w:numId="22" w16cid:durableId="1825582044">
    <w:abstractNumId w:val="20"/>
  </w:num>
  <w:num w:numId="23" w16cid:durableId="1559779467">
    <w:abstractNumId w:val="31"/>
  </w:num>
  <w:num w:numId="24" w16cid:durableId="2005552411">
    <w:abstractNumId w:val="18"/>
  </w:num>
  <w:num w:numId="25" w16cid:durableId="1419018182">
    <w:abstractNumId w:val="16"/>
  </w:num>
  <w:num w:numId="26" w16cid:durableId="2021196611">
    <w:abstractNumId w:val="8"/>
  </w:num>
  <w:num w:numId="27" w16cid:durableId="383678458">
    <w:abstractNumId w:val="0"/>
  </w:num>
  <w:num w:numId="28" w16cid:durableId="195503248">
    <w:abstractNumId w:val="29"/>
  </w:num>
  <w:num w:numId="29" w16cid:durableId="420566065">
    <w:abstractNumId w:val="13"/>
  </w:num>
  <w:num w:numId="30" w16cid:durableId="421682310">
    <w:abstractNumId w:val="4"/>
  </w:num>
  <w:num w:numId="31" w16cid:durableId="459230002">
    <w:abstractNumId w:val="12"/>
  </w:num>
  <w:num w:numId="32" w16cid:durableId="1925525777">
    <w:abstractNumId w:val="5"/>
  </w:num>
  <w:num w:numId="33" w16cid:durableId="803547982">
    <w:abstractNumId w:val="11"/>
  </w:num>
  <w:num w:numId="34" w16cid:durableId="669867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273E"/>
    <w:rsid w:val="000071A4"/>
    <w:rsid w:val="00011BF3"/>
    <w:rsid w:val="00024600"/>
    <w:rsid w:val="000405D2"/>
    <w:rsid w:val="000431B8"/>
    <w:rsid w:val="00055777"/>
    <w:rsid w:val="00061D68"/>
    <w:rsid w:val="00076CEC"/>
    <w:rsid w:val="000816DA"/>
    <w:rsid w:val="00082623"/>
    <w:rsid w:val="00083441"/>
    <w:rsid w:val="0008643E"/>
    <w:rsid w:val="00086BAF"/>
    <w:rsid w:val="0009101A"/>
    <w:rsid w:val="00091C59"/>
    <w:rsid w:val="0009599D"/>
    <w:rsid w:val="000964A6"/>
    <w:rsid w:val="000A183A"/>
    <w:rsid w:val="000A7919"/>
    <w:rsid w:val="000B0B8B"/>
    <w:rsid w:val="000B529A"/>
    <w:rsid w:val="000B5EA8"/>
    <w:rsid w:val="000C1D7F"/>
    <w:rsid w:val="000C43FD"/>
    <w:rsid w:val="000C559D"/>
    <w:rsid w:val="000D4252"/>
    <w:rsid w:val="000D53DF"/>
    <w:rsid w:val="000D5719"/>
    <w:rsid w:val="000D7D44"/>
    <w:rsid w:val="000E0920"/>
    <w:rsid w:val="000E2AA3"/>
    <w:rsid w:val="000F7D7C"/>
    <w:rsid w:val="001013C9"/>
    <w:rsid w:val="0010311C"/>
    <w:rsid w:val="00110C65"/>
    <w:rsid w:val="00111CDD"/>
    <w:rsid w:val="00111E3B"/>
    <w:rsid w:val="001140AB"/>
    <w:rsid w:val="001176A6"/>
    <w:rsid w:val="00122C9C"/>
    <w:rsid w:val="00124420"/>
    <w:rsid w:val="00124EBF"/>
    <w:rsid w:val="00127DAA"/>
    <w:rsid w:val="00130457"/>
    <w:rsid w:val="00136331"/>
    <w:rsid w:val="00140A15"/>
    <w:rsid w:val="001430C6"/>
    <w:rsid w:val="00147B5E"/>
    <w:rsid w:val="00150573"/>
    <w:rsid w:val="0016012E"/>
    <w:rsid w:val="00163981"/>
    <w:rsid w:val="00171E04"/>
    <w:rsid w:val="00173E6F"/>
    <w:rsid w:val="00182947"/>
    <w:rsid w:val="00183C0F"/>
    <w:rsid w:val="00184CBF"/>
    <w:rsid w:val="001A0D84"/>
    <w:rsid w:val="001A5684"/>
    <w:rsid w:val="001A5AF9"/>
    <w:rsid w:val="001B61CC"/>
    <w:rsid w:val="001C4D60"/>
    <w:rsid w:val="001D3F28"/>
    <w:rsid w:val="001D51D9"/>
    <w:rsid w:val="001D6FCE"/>
    <w:rsid w:val="001E6694"/>
    <w:rsid w:val="001F1640"/>
    <w:rsid w:val="001F5199"/>
    <w:rsid w:val="001F61A6"/>
    <w:rsid w:val="00201F72"/>
    <w:rsid w:val="002034CF"/>
    <w:rsid w:val="0020382F"/>
    <w:rsid w:val="00204750"/>
    <w:rsid w:val="00204A6A"/>
    <w:rsid w:val="002064A8"/>
    <w:rsid w:val="002078E9"/>
    <w:rsid w:val="00212629"/>
    <w:rsid w:val="002231FA"/>
    <w:rsid w:val="002265A6"/>
    <w:rsid w:val="002338AC"/>
    <w:rsid w:val="00234545"/>
    <w:rsid w:val="00234E8D"/>
    <w:rsid w:val="00235924"/>
    <w:rsid w:val="00235A6D"/>
    <w:rsid w:val="002408DE"/>
    <w:rsid w:val="002510A0"/>
    <w:rsid w:val="0025173C"/>
    <w:rsid w:val="00253148"/>
    <w:rsid w:val="00261073"/>
    <w:rsid w:val="00261A9D"/>
    <w:rsid w:val="002657D6"/>
    <w:rsid w:val="00272F85"/>
    <w:rsid w:val="002825DA"/>
    <w:rsid w:val="00292B70"/>
    <w:rsid w:val="002950B1"/>
    <w:rsid w:val="002A1F68"/>
    <w:rsid w:val="002A319B"/>
    <w:rsid w:val="002A335F"/>
    <w:rsid w:val="002A34E3"/>
    <w:rsid w:val="002B4DBE"/>
    <w:rsid w:val="002B59A5"/>
    <w:rsid w:val="002B7872"/>
    <w:rsid w:val="002C2AC1"/>
    <w:rsid w:val="002C4F75"/>
    <w:rsid w:val="002C58F9"/>
    <w:rsid w:val="002D4B0A"/>
    <w:rsid w:val="002D50F6"/>
    <w:rsid w:val="002E29A7"/>
    <w:rsid w:val="002E7B9A"/>
    <w:rsid w:val="002F1609"/>
    <w:rsid w:val="002F2D4A"/>
    <w:rsid w:val="00311EA4"/>
    <w:rsid w:val="003244CB"/>
    <w:rsid w:val="00325F6A"/>
    <w:rsid w:val="00326398"/>
    <w:rsid w:val="003277CF"/>
    <w:rsid w:val="00327B2E"/>
    <w:rsid w:val="0033072C"/>
    <w:rsid w:val="00332A95"/>
    <w:rsid w:val="00333DC5"/>
    <w:rsid w:val="0033417D"/>
    <w:rsid w:val="0033467E"/>
    <w:rsid w:val="00340423"/>
    <w:rsid w:val="003457CB"/>
    <w:rsid w:val="00347FC0"/>
    <w:rsid w:val="00360057"/>
    <w:rsid w:val="00360E62"/>
    <w:rsid w:val="00361E47"/>
    <w:rsid w:val="0036761E"/>
    <w:rsid w:val="00374DAB"/>
    <w:rsid w:val="003773A7"/>
    <w:rsid w:val="0038291A"/>
    <w:rsid w:val="00385661"/>
    <w:rsid w:val="003866DB"/>
    <w:rsid w:val="003869CD"/>
    <w:rsid w:val="003A3ED0"/>
    <w:rsid w:val="003B5D4C"/>
    <w:rsid w:val="003C5025"/>
    <w:rsid w:val="003D0E3D"/>
    <w:rsid w:val="003D1C5B"/>
    <w:rsid w:val="003D5231"/>
    <w:rsid w:val="003E3DF8"/>
    <w:rsid w:val="003E4DEE"/>
    <w:rsid w:val="003F627F"/>
    <w:rsid w:val="004028D4"/>
    <w:rsid w:val="00403EDE"/>
    <w:rsid w:val="004222F8"/>
    <w:rsid w:val="00422C1B"/>
    <w:rsid w:val="00425705"/>
    <w:rsid w:val="00432ADB"/>
    <w:rsid w:val="004354AA"/>
    <w:rsid w:val="00436F5E"/>
    <w:rsid w:val="00440F8F"/>
    <w:rsid w:val="004463A7"/>
    <w:rsid w:val="0044797A"/>
    <w:rsid w:val="00451EE0"/>
    <w:rsid w:val="004522FF"/>
    <w:rsid w:val="00454BF9"/>
    <w:rsid w:val="004554B1"/>
    <w:rsid w:val="00456E2F"/>
    <w:rsid w:val="00461C19"/>
    <w:rsid w:val="0046476C"/>
    <w:rsid w:val="004657CD"/>
    <w:rsid w:val="00470992"/>
    <w:rsid w:val="004726F2"/>
    <w:rsid w:val="004765E6"/>
    <w:rsid w:val="00481BE8"/>
    <w:rsid w:val="00482DDE"/>
    <w:rsid w:val="0048330A"/>
    <w:rsid w:val="004850EF"/>
    <w:rsid w:val="00487A3E"/>
    <w:rsid w:val="004913D9"/>
    <w:rsid w:val="004A2D02"/>
    <w:rsid w:val="004A4061"/>
    <w:rsid w:val="004A44DD"/>
    <w:rsid w:val="004A619B"/>
    <w:rsid w:val="004B00CB"/>
    <w:rsid w:val="004B587E"/>
    <w:rsid w:val="004C206B"/>
    <w:rsid w:val="004C2ADD"/>
    <w:rsid w:val="004C3684"/>
    <w:rsid w:val="004C3A18"/>
    <w:rsid w:val="004C6E08"/>
    <w:rsid w:val="004C78DF"/>
    <w:rsid w:val="004D44D0"/>
    <w:rsid w:val="004D4AB3"/>
    <w:rsid w:val="004D6CA9"/>
    <w:rsid w:val="004D750D"/>
    <w:rsid w:val="004E2A01"/>
    <w:rsid w:val="004E42DD"/>
    <w:rsid w:val="004E6C78"/>
    <w:rsid w:val="004E7DCC"/>
    <w:rsid w:val="004F0298"/>
    <w:rsid w:val="004F4E1D"/>
    <w:rsid w:val="004F58D4"/>
    <w:rsid w:val="005005E4"/>
    <w:rsid w:val="005046F0"/>
    <w:rsid w:val="00520737"/>
    <w:rsid w:val="00521EA3"/>
    <w:rsid w:val="0052579B"/>
    <w:rsid w:val="0052625E"/>
    <w:rsid w:val="005276B8"/>
    <w:rsid w:val="005353B7"/>
    <w:rsid w:val="00537B6A"/>
    <w:rsid w:val="00541024"/>
    <w:rsid w:val="00542413"/>
    <w:rsid w:val="005631D2"/>
    <w:rsid w:val="00564807"/>
    <w:rsid w:val="00582789"/>
    <w:rsid w:val="005A31AB"/>
    <w:rsid w:val="005A3607"/>
    <w:rsid w:val="005A6169"/>
    <w:rsid w:val="005A64C5"/>
    <w:rsid w:val="005B1B82"/>
    <w:rsid w:val="005C4ACF"/>
    <w:rsid w:val="005C6A48"/>
    <w:rsid w:val="005D2737"/>
    <w:rsid w:val="005D67FA"/>
    <w:rsid w:val="005E7DE9"/>
    <w:rsid w:val="005F2061"/>
    <w:rsid w:val="005F2D32"/>
    <w:rsid w:val="005F675F"/>
    <w:rsid w:val="006010CA"/>
    <w:rsid w:val="00603AFB"/>
    <w:rsid w:val="006042FA"/>
    <w:rsid w:val="00604E9A"/>
    <w:rsid w:val="00606554"/>
    <w:rsid w:val="0060734A"/>
    <w:rsid w:val="00607351"/>
    <w:rsid w:val="006130B3"/>
    <w:rsid w:val="00616B8F"/>
    <w:rsid w:val="006228E1"/>
    <w:rsid w:val="00624638"/>
    <w:rsid w:val="00637BF7"/>
    <w:rsid w:val="00637D96"/>
    <w:rsid w:val="0064573C"/>
    <w:rsid w:val="0065078A"/>
    <w:rsid w:val="00651DBA"/>
    <w:rsid w:val="00656CD4"/>
    <w:rsid w:val="00657424"/>
    <w:rsid w:val="00660953"/>
    <w:rsid w:val="0066307F"/>
    <w:rsid w:val="00673F6A"/>
    <w:rsid w:val="006755F0"/>
    <w:rsid w:val="006765C2"/>
    <w:rsid w:val="00680FFE"/>
    <w:rsid w:val="00687E0C"/>
    <w:rsid w:val="00696B1B"/>
    <w:rsid w:val="006A7EFA"/>
    <w:rsid w:val="006B4842"/>
    <w:rsid w:val="006B5306"/>
    <w:rsid w:val="006B64B0"/>
    <w:rsid w:val="006B6845"/>
    <w:rsid w:val="006C0DE9"/>
    <w:rsid w:val="006C7F9A"/>
    <w:rsid w:val="006D166E"/>
    <w:rsid w:val="006D189C"/>
    <w:rsid w:val="006D2637"/>
    <w:rsid w:val="006E70E1"/>
    <w:rsid w:val="006E754B"/>
    <w:rsid w:val="006F2FE2"/>
    <w:rsid w:val="007001EB"/>
    <w:rsid w:val="00701045"/>
    <w:rsid w:val="00701B3B"/>
    <w:rsid w:val="00701C4B"/>
    <w:rsid w:val="00704A03"/>
    <w:rsid w:val="00706A66"/>
    <w:rsid w:val="00711BC5"/>
    <w:rsid w:val="00713D20"/>
    <w:rsid w:val="00714D98"/>
    <w:rsid w:val="0071615E"/>
    <w:rsid w:val="007178B1"/>
    <w:rsid w:val="0072204D"/>
    <w:rsid w:val="00723267"/>
    <w:rsid w:val="007250A3"/>
    <w:rsid w:val="007267FA"/>
    <w:rsid w:val="007344BD"/>
    <w:rsid w:val="007362CA"/>
    <w:rsid w:val="00736F1D"/>
    <w:rsid w:val="007371A7"/>
    <w:rsid w:val="007436AA"/>
    <w:rsid w:val="0074566A"/>
    <w:rsid w:val="00750842"/>
    <w:rsid w:val="00752911"/>
    <w:rsid w:val="00752D87"/>
    <w:rsid w:val="00757C20"/>
    <w:rsid w:val="0076020A"/>
    <w:rsid w:val="0076245E"/>
    <w:rsid w:val="007631CB"/>
    <w:rsid w:val="0077009E"/>
    <w:rsid w:val="007719B1"/>
    <w:rsid w:val="00772457"/>
    <w:rsid w:val="00773BB9"/>
    <w:rsid w:val="0077465C"/>
    <w:rsid w:val="00782390"/>
    <w:rsid w:val="00784137"/>
    <w:rsid w:val="00787810"/>
    <w:rsid w:val="00790BC7"/>
    <w:rsid w:val="00794995"/>
    <w:rsid w:val="00796A30"/>
    <w:rsid w:val="007A075B"/>
    <w:rsid w:val="007B2C02"/>
    <w:rsid w:val="007B429A"/>
    <w:rsid w:val="007C2FB2"/>
    <w:rsid w:val="007C3798"/>
    <w:rsid w:val="007C712A"/>
    <w:rsid w:val="007D295D"/>
    <w:rsid w:val="007D4E27"/>
    <w:rsid w:val="007D6C04"/>
    <w:rsid w:val="007E2DC6"/>
    <w:rsid w:val="007E31B1"/>
    <w:rsid w:val="007F03B9"/>
    <w:rsid w:val="00801F14"/>
    <w:rsid w:val="00806597"/>
    <w:rsid w:val="00806712"/>
    <w:rsid w:val="008279B1"/>
    <w:rsid w:val="0083155C"/>
    <w:rsid w:val="00837EAC"/>
    <w:rsid w:val="00850F51"/>
    <w:rsid w:val="00852E4C"/>
    <w:rsid w:val="00853A3D"/>
    <w:rsid w:val="008557F3"/>
    <w:rsid w:val="008670F5"/>
    <w:rsid w:val="00870196"/>
    <w:rsid w:val="0087234E"/>
    <w:rsid w:val="00877346"/>
    <w:rsid w:val="00884574"/>
    <w:rsid w:val="0088469D"/>
    <w:rsid w:val="008904C0"/>
    <w:rsid w:val="008937E0"/>
    <w:rsid w:val="008A0EFE"/>
    <w:rsid w:val="008A15B5"/>
    <w:rsid w:val="008A2651"/>
    <w:rsid w:val="008A2830"/>
    <w:rsid w:val="008A57BD"/>
    <w:rsid w:val="008A70C8"/>
    <w:rsid w:val="008B01C0"/>
    <w:rsid w:val="008B21F7"/>
    <w:rsid w:val="008B6BF8"/>
    <w:rsid w:val="008B7F2C"/>
    <w:rsid w:val="008C6A6B"/>
    <w:rsid w:val="008C78B4"/>
    <w:rsid w:val="008D7E7B"/>
    <w:rsid w:val="008F10A2"/>
    <w:rsid w:val="008F570D"/>
    <w:rsid w:val="008F64ED"/>
    <w:rsid w:val="009155EE"/>
    <w:rsid w:val="00915959"/>
    <w:rsid w:val="009160E9"/>
    <w:rsid w:val="0092693B"/>
    <w:rsid w:val="00932D71"/>
    <w:rsid w:val="00940623"/>
    <w:rsid w:val="0094116A"/>
    <w:rsid w:val="00944B8E"/>
    <w:rsid w:val="00945CD6"/>
    <w:rsid w:val="00951826"/>
    <w:rsid w:val="00957AE3"/>
    <w:rsid w:val="0096210C"/>
    <w:rsid w:val="009648CE"/>
    <w:rsid w:val="00966A8A"/>
    <w:rsid w:val="009676AA"/>
    <w:rsid w:val="00977D54"/>
    <w:rsid w:val="00984BBF"/>
    <w:rsid w:val="00984CA2"/>
    <w:rsid w:val="0098649F"/>
    <w:rsid w:val="00993AFC"/>
    <w:rsid w:val="009B0108"/>
    <w:rsid w:val="009B15F6"/>
    <w:rsid w:val="009B1638"/>
    <w:rsid w:val="009C17AA"/>
    <w:rsid w:val="009C1ECB"/>
    <w:rsid w:val="009C7766"/>
    <w:rsid w:val="009D010C"/>
    <w:rsid w:val="009D47D2"/>
    <w:rsid w:val="009D5019"/>
    <w:rsid w:val="009D69A9"/>
    <w:rsid w:val="009E28C8"/>
    <w:rsid w:val="00A020E8"/>
    <w:rsid w:val="00A0429B"/>
    <w:rsid w:val="00A14853"/>
    <w:rsid w:val="00A14C74"/>
    <w:rsid w:val="00A15412"/>
    <w:rsid w:val="00A17AA6"/>
    <w:rsid w:val="00A17F36"/>
    <w:rsid w:val="00A21335"/>
    <w:rsid w:val="00A26F58"/>
    <w:rsid w:val="00A27B33"/>
    <w:rsid w:val="00A31B92"/>
    <w:rsid w:val="00A322CD"/>
    <w:rsid w:val="00A35B0D"/>
    <w:rsid w:val="00A35E23"/>
    <w:rsid w:val="00A37C46"/>
    <w:rsid w:val="00A40725"/>
    <w:rsid w:val="00A41129"/>
    <w:rsid w:val="00A412C5"/>
    <w:rsid w:val="00A43C78"/>
    <w:rsid w:val="00A44209"/>
    <w:rsid w:val="00A46CFD"/>
    <w:rsid w:val="00A507A7"/>
    <w:rsid w:val="00A570C7"/>
    <w:rsid w:val="00A57840"/>
    <w:rsid w:val="00A62987"/>
    <w:rsid w:val="00A62A56"/>
    <w:rsid w:val="00A867BA"/>
    <w:rsid w:val="00A93717"/>
    <w:rsid w:val="00AA29C0"/>
    <w:rsid w:val="00AA4ABE"/>
    <w:rsid w:val="00AB02FD"/>
    <w:rsid w:val="00AB2BAC"/>
    <w:rsid w:val="00AB2E83"/>
    <w:rsid w:val="00AB4A35"/>
    <w:rsid w:val="00AB5490"/>
    <w:rsid w:val="00AC19B8"/>
    <w:rsid w:val="00AD21DC"/>
    <w:rsid w:val="00AE041F"/>
    <w:rsid w:val="00AE0648"/>
    <w:rsid w:val="00AE15D8"/>
    <w:rsid w:val="00AE2057"/>
    <w:rsid w:val="00AE7444"/>
    <w:rsid w:val="00AF5DFA"/>
    <w:rsid w:val="00B00E88"/>
    <w:rsid w:val="00B14396"/>
    <w:rsid w:val="00B20EA5"/>
    <w:rsid w:val="00B2655B"/>
    <w:rsid w:val="00B339B8"/>
    <w:rsid w:val="00B415F8"/>
    <w:rsid w:val="00B425FA"/>
    <w:rsid w:val="00B523CE"/>
    <w:rsid w:val="00B5762B"/>
    <w:rsid w:val="00B65A98"/>
    <w:rsid w:val="00B66874"/>
    <w:rsid w:val="00B73ACF"/>
    <w:rsid w:val="00B81574"/>
    <w:rsid w:val="00B84547"/>
    <w:rsid w:val="00B91D97"/>
    <w:rsid w:val="00B92851"/>
    <w:rsid w:val="00B9375C"/>
    <w:rsid w:val="00B937E2"/>
    <w:rsid w:val="00B97054"/>
    <w:rsid w:val="00BA60B2"/>
    <w:rsid w:val="00BB13A6"/>
    <w:rsid w:val="00BB353E"/>
    <w:rsid w:val="00BC0DDB"/>
    <w:rsid w:val="00BD0521"/>
    <w:rsid w:val="00BD4011"/>
    <w:rsid w:val="00BD4CFB"/>
    <w:rsid w:val="00BD65B6"/>
    <w:rsid w:val="00BE53F6"/>
    <w:rsid w:val="00BE7952"/>
    <w:rsid w:val="00BF2BB9"/>
    <w:rsid w:val="00C12B95"/>
    <w:rsid w:val="00C1674B"/>
    <w:rsid w:val="00C23FAD"/>
    <w:rsid w:val="00C358F9"/>
    <w:rsid w:val="00C4255A"/>
    <w:rsid w:val="00C4267A"/>
    <w:rsid w:val="00C4311E"/>
    <w:rsid w:val="00C43997"/>
    <w:rsid w:val="00C56EA9"/>
    <w:rsid w:val="00C63113"/>
    <w:rsid w:val="00C63E26"/>
    <w:rsid w:val="00C67BC9"/>
    <w:rsid w:val="00C70F76"/>
    <w:rsid w:val="00C73A49"/>
    <w:rsid w:val="00C81DD4"/>
    <w:rsid w:val="00C932CC"/>
    <w:rsid w:val="00C936A8"/>
    <w:rsid w:val="00C95010"/>
    <w:rsid w:val="00CA2FD9"/>
    <w:rsid w:val="00CA5957"/>
    <w:rsid w:val="00CB2ED6"/>
    <w:rsid w:val="00CB2FD3"/>
    <w:rsid w:val="00CC2CD1"/>
    <w:rsid w:val="00CC40B6"/>
    <w:rsid w:val="00CC45C1"/>
    <w:rsid w:val="00CD2ED5"/>
    <w:rsid w:val="00CE29A3"/>
    <w:rsid w:val="00CE5B4C"/>
    <w:rsid w:val="00CE6EFF"/>
    <w:rsid w:val="00CE78ED"/>
    <w:rsid w:val="00CE7D66"/>
    <w:rsid w:val="00CF570C"/>
    <w:rsid w:val="00D012A6"/>
    <w:rsid w:val="00D06244"/>
    <w:rsid w:val="00D06D5F"/>
    <w:rsid w:val="00D20BE5"/>
    <w:rsid w:val="00D24F94"/>
    <w:rsid w:val="00D2569E"/>
    <w:rsid w:val="00D277B1"/>
    <w:rsid w:val="00D307AF"/>
    <w:rsid w:val="00D32F89"/>
    <w:rsid w:val="00D33DD7"/>
    <w:rsid w:val="00D34E6C"/>
    <w:rsid w:val="00D41109"/>
    <w:rsid w:val="00D4142B"/>
    <w:rsid w:val="00D4403E"/>
    <w:rsid w:val="00D44EA5"/>
    <w:rsid w:val="00D44EFB"/>
    <w:rsid w:val="00D47349"/>
    <w:rsid w:val="00D519D9"/>
    <w:rsid w:val="00D579A9"/>
    <w:rsid w:val="00D602B6"/>
    <w:rsid w:val="00D707BD"/>
    <w:rsid w:val="00D714CD"/>
    <w:rsid w:val="00D76449"/>
    <w:rsid w:val="00D772BA"/>
    <w:rsid w:val="00D806AE"/>
    <w:rsid w:val="00D90EF6"/>
    <w:rsid w:val="00D926DE"/>
    <w:rsid w:val="00D964BC"/>
    <w:rsid w:val="00DA305D"/>
    <w:rsid w:val="00DA4FB3"/>
    <w:rsid w:val="00DA68BE"/>
    <w:rsid w:val="00DB16A0"/>
    <w:rsid w:val="00DB5C12"/>
    <w:rsid w:val="00DC1113"/>
    <w:rsid w:val="00DC3A63"/>
    <w:rsid w:val="00DC429F"/>
    <w:rsid w:val="00DC704D"/>
    <w:rsid w:val="00DC7603"/>
    <w:rsid w:val="00DC7A1C"/>
    <w:rsid w:val="00DD0D38"/>
    <w:rsid w:val="00DD7080"/>
    <w:rsid w:val="00DE1AE8"/>
    <w:rsid w:val="00DE3AAE"/>
    <w:rsid w:val="00DE6702"/>
    <w:rsid w:val="00DE7810"/>
    <w:rsid w:val="00E00860"/>
    <w:rsid w:val="00E03EB3"/>
    <w:rsid w:val="00E053E9"/>
    <w:rsid w:val="00E05A0A"/>
    <w:rsid w:val="00E10AAA"/>
    <w:rsid w:val="00E15176"/>
    <w:rsid w:val="00E31695"/>
    <w:rsid w:val="00E41D46"/>
    <w:rsid w:val="00E52A95"/>
    <w:rsid w:val="00E57FBE"/>
    <w:rsid w:val="00E6323F"/>
    <w:rsid w:val="00E71923"/>
    <w:rsid w:val="00E71D8F"/>
    <w:rsid w:val="00E72E9A"/>
    <w:rsid w:val="00E75C95"/>
    <w:rsid w:val="00E81E7D"/>
    <w:rsid w:val="00E86DB9"/>
    <w:rsid w:val="00E949FE"/>
    <w:rsid w:val="00E961A7"/>
    <w:rsid w:val="00EA12DE"/>
    <w:rsid w:val="00EA268D"/>
    <w:rsid w:val="00EA284B"/>
    <w:rsid w:val="00EA53FD"/>
    <w:rsid w:val="00EB59AD"/>
    <w:rsid w:val="00EB5B54"/>
    <w:rsid w:val="00EC2950"/>
    <w:rsid w:val="00EC329F"/>
    <w:rsid w:val="00ED7370"/>
    <w:rsid w:val="00EE5EFD"/>
    <w:rsid w:val="00EE7F6D"/>
    <w:rsid w:val="00EF089A"/>
    <w:rsid w:val="00F01CC1"/>
    <w:rsid w:val="00F0754F"/>
    <w:rsid w:val="00F179A2"/>
    <w:rsid w:val="00F35E73"/>
    <w:rsid w:val="00F41BD3"/>
    <w:rsid w:val="00F445AE"/>
    <w:rsid w:val="00F514D1"/>
    <w:rsid w:val="00F51556"/>
    <w:rsid w:val="00F54261"/>
    <w:rsid w:val="00F567D8"/>
    <w:rsid w:val="00F66AE9"/>
    <w:rsid w:val="00F72880"/>
    <w:rsid w:val="00F72B0D"/>
    <w:rsid w:val="00F73374"/>
    <w:rsid w:val="00F80C24"/>
    <w:rsid w:val="00F851F1"/>
    <w:rsid w:val="00F86D3D"/>
    <w:rsid w:val="00F87A16"/>
    <w:rsid w:val="00FA05FE"/>
    <w:rsid w:val="00FA290E"/>
    <w:rsid w:val="00FB2837"/>
    <w:rsid w:val="00FB53C8"/>
    <w:rsid w:val="00FC04C5"/>
    <w:rsid w:val="00FC0D27"/>
    <w:rsid w:val="00FC196A"/>
    <w:rsid w:val="00FC762D"/>
    <w:rsid w:val="00FC77DF"/>
    <w:rsid w:val="00FD1B70"/>
    <w:rsid w:val="00FD2A3D"/>
    <w:rsid w:val="00FD6871"/>
    <w:rsid w:val="00FD7600"/>
    <w:rsid w:val="00FE18F7"/>
    <w:rsid w:val="00FE244C"/>
    <w:rsid w:val="00FE700B"/>
    <w:rsid w:val="00FF3048"/>
    <w:rsid w:val="00FF6ACC"/>
    <w:rsid w:val="00FF7D62"/>
    <w:rsid w:val="055BFA12"/>
    <w:rsid w:val="11B4B977"/>
    <w:rsid w:val="238EA1CE"/>
    <w:rsid w:val="2B9E891D"/>
    <w:rsid w:val="338D7B0B"/>
    <w:rsid w:val="40BF0867"/>
    <w:rsid w:val="469F0704"/>
    <w:rsid w:val="66655D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1FD7C50A-11B8-42DD-8F20-C7BE67C0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8557F3"/>
    <w:rPr>
      <w:sz w:val="24"/>
      <w:szCs w:val="24"/>
    </w:rPr>
  </w:style>
  <w:style w:type="character" w:styleId="FollowedHyperlink">
    <w:name w:val="FollowedHyperlink"/>
    <w:basedOn w:val="DefaultParagraphFont"/>
    <w:rsid w:val="005F675F"/>
    <w:rPr>
      <w:color w:val="954F72" w:themeColor="followedHyperlink"/>
      <w:u w:val="single"/>
    </w:rPr>
  </w:style>
  <w:style w:type="character" w:styleId="Mention">
    <w:name w:val="Mention"/>
    <w:basedOn w:val="DefaultParagraphFont"/>
    <w:uiPriority w:val="99"/>
    <w:unhideWhenUsed/>
    <w:rsid w:val="00C73A49"/>
    <w:rPr>
      <w:color w:val="2B579A"/>
      <w:shd w:val="clear" w:color="auto" w:fill="E1DFDD"/>
    </w:rPr>
  </w:style>
  <w:style w:type="character" w:styleId="UnresolvedMention">
    <w:name w:val="Unresolved Mention"/>
    <w:basedOn w:val="DefaultParagraphFont"/>
    <w:uiPriority w:val="99"/>
    <w:semiHidden/>
    <w:unhideWhenUsed/>
    <w:rsid w:val="00603AFB"/>
    <w:rPr>
      <w:color w:val="605E5C"/>
      <w:shd w:val="clear" w:color="auto" w:fill="E1DFDD"/>
    </w:rPr>
  </w:style>
  <w:style w:type="paragraph" w:customStyle="1" w:styleId="paragraph">
    <w:name w:val="paragraph"/>
    <w:basedOn w:val="Normal"/>
    <w:rsid w:val="007719B1"/>
    <w:pPr>
      <w:spacing w:before="100" w:beforeAutospacing="1" w:after="100" w:afterAutospacing="1"/>
    </w:pPr>
  </w:style>
  <w:style w:type="character" w:customStyle="1" w:styleId="normaltextrun">
    <w:name w:val="normaltextrun"/>
    <w:basedOn w:val="DefaultParagraphFont"/>
    <w:rsid w:val="007719B1"/>
  </w:style>
  <w:style w:type="character" w:customStyle="1" w:styleId="eop">
    <w:name w:val="eop"/>
    <w:basedOn w:val="DefaultParagraphFont"/>
    <w:rsid w:val="0077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9f71bca-6bbc-4f80-bff3-58f6213e96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14" ma:contentTypeDescription="Create a new document." ma:contentTypeScope="" ma:versionID="dd75053288920c1cdb301f34418abe3f">
  <xsd:schema xmlns:xsd="http://www.w3.org/2001/XMLSchema" xmlns:xs="http://www.w3.org/2001/XMLSchema" xmlns:p="http://schemas.microsoft.com/office/2006/metadata/properties" xmlns:ns1="http://schemas.microsoft.com/sharepoint/v3" xmlns:ns3="49f71bca-6bbc-4f80-bff3-58f6213e9614" targetNamespace="http://schemas.microsoft.com/office/2006/metadata/properties" ma:root="true" ma:fieldsID="8257fe1dc158e23a40e9225fab706782" ns1:_="" ns3:_="">
    <xsd:import namespace="http://schemas.microsoft.com/sharepoint/v3"/>
    <xsd:import namespace="49f71bca-6bbc-4f80-bff3-58f6213e961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http://schemas.microsoft.com/sharepoint/v3"/>
    <ds:schemaRef ds:uri="49f71bca-6bbc-4f80-bff3-58f6213e9614"/>
  </ds:schemaRefs>
</ds:datastoreItem>
</file>

<file path=customXml/itemProps4.xml><?xml version="1.0" encoding="utf-8"?>
<ds:datastoreItem xmlns:ds="http://schemas.openxmlformats.org/officeDocument/2006/customXml" ds:itemID="{13447E0B-C971-4DBA-A2B2-8FBB3C2D4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2894</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2009-01-26T18:35:00Z</cp:lastPrinted>
  <dcterms:created xsi:type="dcterms:W3CDTF">2024-10-15T14:40:00Z</dcterms:created>
  <dcterms:modified xsi:type="dcterms:W3CDTF">2024-10-15T14:41:00Z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y fmtid="{D5CDD505-2E9C-101B-9397-08002B2CF9AE}" pid="3" name="GrammarlyDocumentId">
    <vt:lpwstr>0e6e2d5bc13c1ab17e9ad31cedd808571305c62da67f99e1ea653b6bf5c44e62</vt:lpwstr>
  </property>
  <property fmtid="{D5CDD505-2E9C-101B-9397-08002B2CF9AE}" pid="4" name="MediaServiceImageTags">
    <vt:lpwstr/>
  </property>
</Properties>
</file>