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cstheme="minorHAnsi"/>
        </w:rPr>
        <w:id w:val="1141393971"/>
        <w:docPartObj>
          <w:docPartGallery w:val="Cover Pages"/>
          <w:docPartUnique/>
        </w:docPartObj>
      </w:sdtPr>
      <w:sdtContent>
        <w:p w:rsidR="00FE6EA5" w:rsidRPr="003D32DF" w14:paraId="13B77232" w14:textId="77777777">
          <w:pPr>
            <w:rPr>
              <w:rFonts w:cstheme="minorHAnsi"/>
            </w:rPr>
          </w:pPr>
        </w:p>
        <w:p w:rsidR="00195414" w:rsidRPr="003D32DF" w:rsidP="00195414" w14:paraId="7FA49A23" w14:textId="77777777">
          <w:pPr>
            <w:rPr>
              <w:rFonts w:cstheme="minorHAnsi"/>
            </w:rPr>
          </w:pPr>
        </w:p>
      </w:sdtContent>
    </w:sdt>
    <w:p w:rsidR="00E35DD1" w:rsidRPr="003D32DF" w:rsidP="00195414" w14:paraId="68BA36D6" w14:textId="77777777">
      <w:pPr>
        <w:ind w:left="2880" w:firstLine="720"/>
        <w:rPr>
          <w:rFonts w:eastAsia="Times New Roman" w:cstheme="minorHAnsi"/>
        </w:rPr>
      </w:pPr>
      <w:r w:rsidRPr="003D32DF">
        <w:rPr>
          <w:rFonts w:cstheme="minorHAnsi"/>
        </w:rPr>
        <w:t>Supporting Statement A for</w:t>
      </w:r>
    </w:p>
    <w:p w:rsidR="00E35DD1" w:rsidRPr="003D32DF" w:rsidP="00E35DD1" w14:paraId="4AD68EFA" w14:textId="77777777">
      <w:pPr>
        <w:pStyle w:val="P1-StandPara"/>
        <w:tabs>
          <w:tab w:val="left" w:pos="720"/>
          <w:tab w:val="right" w:leader="dot" w:pos="9504"/>
        </w:tabs>
        <w:spacing w:before="120" w:after="120"/>
        <w:ind w:firstLine="0"/>
        <w:rPr>
          <w:rFonts w:asciiTheme="minorHAnsi" w:hAnsiTheme="minorHAnsi" w:cstheme="minorHAnsi"/>
          <w:szCs w:val="22"/>
        </w:rPr>
      </w:pPr>
      <w:r w:rsidRPr="003D32DF">
        <w:rPr>
          <w:rFonts w:asciiTheme="minorHAnsi" w:hAnsiTheme="minorHAnsi" w:cstheme="minorHAnsi"/>
          <w:szCs w:val="22"/>
        </w:rPr>
        <w:t xml:space="preserve">                    </w:t>
      </w:r>
    </w:p>
    <w:p w:rsidR="00E35DD1" w:rsidRPr="003D32DF" w:rsidP="00767C53" w14:paraId="2437E17E" w14:textId="00A82218">
      <w:pPr>
        <w:pStyle w:val="P1-StandPara"/>
        <w:tabs>
          <w:tab w:val="left" w:pos="720"/>
          <w:tab w:val="right" w:leader="dot" w:pos="9504"/>
        </w:tabs>
        <w:spacing w:before="120" w:after="120"/>
        <w:ind w:firstLine="0"/>
        <w:jc w:val="center"/>
        <w:rPr>
          <w:rFonts w:asciiTheme="minorHAnsi" w:hAnsiTheme="minorHAnsi" w:cstheme="minorHAnsi"/>
          <w:szCs w:val="22"/>
        </w:rPr>
      </w:pPr>
      <w:r w:rsidRPr="003D32DF">
        <w:rPr>
          <w:rFonts w:asciiTheme="minorHAnsi" w:hAnsiTheme="minorHAnsi" w:cstheme="minorHAnsi"/>
          <w:szCs w:val="22"/>
        </w:rPr>
        <w:t>The National Institute of Mental Health Data Archive (NDA), NIMH</w:t>
      </w:r>
    </w:p>
    <w:p w:rsidR="00976490" w:rsidRPr="003D32DF" w:rsidP="00767C53" w14:paraId="0ED25BFE" w14:textId="6E143661">
      <w:pPr>
        <w:pStyle w:val="P1-StandPara"/>
        <w:tabs>
          <w:tab w:val="left" w:pos="720"/>
          <w:tab w:val="right" w:leader="dot" w:pos="9504"/>
        </w:tabs>
        <w:spacing w:before="120" w:after="120"/>
        <w:ind w:firstLine="0"/>
        <w:jc w:val="center"/>
        <w:rPr>
          <w:rFonts w:asciiTheme="minorHAnsi" w:hAnsiTheme="minorHAnsi" w:cstheme="minorHAnsi"/>
          <w:szCs w:val="22"/>
        </w:rPr>
      </w:pPr>
      <w:r w:rsidRPr="003D32DF">
        <w:rPr>
          <w:rFonts w:asciiTheme="minorHAnsi" w:hAnsiTheme="minorHAnsi" w:cstheme="minorHAnsi"/>
          <w:szCs w:val="22"/>
        </w:rPr>
        <w:t>OMB Control No. 0925-0667;</w:t>
      </w:r>
      <w:r w:rsidRPr="003D32DF" w:rsidR="00151AF8">
        <w:rPr>
          <w:rFonts w:asciiTheme="minorHAnsi" w:hAnsiTheme="minorHAnsi" w:cstheme="minorHAnsi"/>
          <w:szCs w:val="22"/>
        </w:rPr>
        <w:t xml:space="preserve"> </w:t>
      </w:r>
      <w:r w:rsidRPr="003D32DF" w:rsidR="00370981">
        <w:rPr>
          <w:rFonts w:asciiTheme="minorHAnsi" w:hAnsiTheme="minorHAnsi" w:cstheme="minorHAnsi"/>
          <w:szCs w:val="22"/>
        </w:rPr>
        <w:t xml:space="preserve">expiration date </w:t>
      </w:r>
      <w:r w:rsidR="002E07A3">
        <w:rPr>
          <w:rFonts w:asciiTheme="minorHAnsi" w:hAnsiTheme="minorHAnsi" w:cstheme="minorHAnsi"/>
          <w:szCs w:val="22"/>
        </w:rPr>
        <w:t>6</w:t>
      </w:r>
      <w:r w:rsidRPr="003D32DF" w:rsidR="00D274BF">
        <w:rPr>
          <w:rFonts w:asciiTheme="minorHAnsi" w:hAnsiTheme="minorHAnsi" w:cstheme="minorHAnsi"/>
          <w:szCs w:val="22"/>
        </w:rPr>
        <w:t>/</w:t>
      </w:r>
      <w:r w:rsidR="002E07A3">
        <w:rPr>
          <w:rFonts w:asciiTheme="minorHAnsi" w:hAnsiTheme="minorHAnsi" w:cstheme="minorHAnsi"/>
          <w:szCs w:val="22"/>
        </w:rPr>
        <w:t>30</w:t>
      </w:r>
      <w:r w:rsidRPr="003D32DF" w:rsidR="00D274BF">
        <w:rPr>
          <w:rFonts w:asciiTheme="minorHAnsi" w:hAnsiTheme="minorHAnsi" w:cstheme="minorHAnsi"/>
          <w:szCs w:val="22"/>
        </w:rPr>
        <w:t>/202</w:t>
      </w:r>
      <w:r w:rsidR="002E07A3">
        <w:rPr>
          <w:rFonts w:asciiTheme="minorHAnsi" w:hAnsiTheme="minorHAnsi" w:cstheme="minorHAnsi"/>
          <w:szCs w:val="22"/>
        </w:rPr>
        <w:t>6</w:t>
      </w:r>
    </w:p>
    <w:p w:rsidR="00E35DD1" w:rsidRPr="003D32DF" w:rsidP="00E35DD1" w14:paraId="371FE21C" w14:textId="7692907C">
      <w:pPr>
        <w:pStyle w:val="P1-StandPara"/>
        <w:tabs>
          <w:tab w:val="left" w:pos="720"/>
          <w:tab w:val="right" w:leader="dot" w:pos="9504"/>
        </w:tabs>
        <w:spacing w:before="120" w:after="120"/>
        <w:ind w:firstLine="0"/>
        <w:rPr>
          <w:rFonts w:asciiTheme="minorHAnsi" w:hAnsiTheme="minorHAnsi" w:cstheme="minorHAnsi"/>
          <w:szCs w:val="22"/>
        </w:rPr>
      </w:pPr>
    </w:p>
    <w:p w:rsidR="00DC22FA" w:rsidRPr="003D32DF" w:rsidP="00E35DD1" w14:paraId="6FBDE339" w14:textId="77777777">
      <w:pPr>
        <w:pStyle w:val="P1-StandPara"/>
        <w:tabs>
          <w:tab w:val="left" w:pos="720"/>
          <w:tab w:val="right" w:leader="dot" w:pos="9504"/>
        </w:tabs>
        <w:spacing w:before="120" w:after="120"/>
        <w:ind w:firstLine="0"/>
        <w:rPr>
          <w:rFonts w:asciiTheme="minorHAnsi" w:hAnsiTheme="minorHAnsi" w:cstheme="minorHAnsi"/>
          <w:szCs w:val="22"/>
        </w:rPr>
      </w:pPr>
    </w:p>
    <w:p w:rsidR="00E35DD1" w:rsidRPr="003D32DF" w:rsidP="00E35DD1" w14:paraId="1ECE92EB" w14:textId="09ABC8E7">
      <w:pPr>
        <w:pStyle w:val="P1-StandPara"/>
        <w:tabs>
          <w:tab w:val="left" w:pos="720"/>
          <w:tab w:val="right" w:leader="dot" w:pos="9504"/>
        </w:tabs>
        <w:spacing w:before="120" w:after="120"/>
        <w:ind w:firstLine="0"/>
        <w:rPr>
          <w:rFonts w:asciiTheme="minorHAnsi" w:hAnsiTheme="minorHAnsi" w:cstheme="minorHAnsi"/>
          <w:szCs w:val="22"/>
        </w:rPr>
      </w:pPr>
      <w:r w:rsidRPr="003D32DF">
        <w:rPr>
          <w:rFonts w:asciiTheme="minorHAnsi" w:hAnsiTheme="minorHAnsi" w:cstheme="minorHAnsi"/>
          <w:szCs w:val="22"/>
        </w:rPr>
        <w:t>Date</w:t>
      </w:r>
      <w:r w:rsidRPr="003D32DF" w:rsidR="00BE76A7">
        <w:rPr>
          <w:rFonts w:asciiTheme="minorHAnsi" w:hAnsiTheme="minorHAnsi" w:cstheme="minorHAnsi"/>
          <w:szCs w:val="22"/>
        </w:rPr>
        <w:t xml:space="preserve">: </w:t>
      </w:r>
      <w:r w:rsidR="00AB5876">
        <w:rPr>
          <w:rFonts w:asciiTheme="minorHAnsi" w:hAnsiTheme="minorHAnsi" w:cstheme="minorHAnsi"/>
          <w:szCs w:val="22"/>
        </w:rPr>
        <w:t xml:space="preserve">April </w:t>
      </w:r>
      <w:r w:rsidR="00713A82">
        <w:rPr>
          <w:rFonts w:asciiTheme="minorHAnsi" w:hAnsiTheme="minorHAnsi" w:cstheme="minorHAnsi"/>
          <w:szCs w:val="22"/>
        </w:rPr>
        <w:t>29</w:t>
      </w:r>
      <w:r w:rsidR="00F350AC">
        <w:rPr>
          <w:rFonts w:asciiTheme="minorHAnsi" w:hAnsiTheme="minorHAnsi" w:cstheme="minorHAnsi"/>
          <w:szCs w:val="22"/>
        </w:rPr>
        <w:t>, 2026</w:t>
      </w:r>
    </w:p>
    <w:p w:rsidR="005E1A34" w:rsidRPr="003D32DF" w:rsidP="00FF30CE" w14:paraId="399AC4F0" w14:textId="62C2FD69">
      <w:pPr>
        <w:pStyle w:val="P1-StandPara"/>
        <w:tabs>
          <w:tab w:val="left" w:pos="720"/>
          <w:tab w:val="right" w:leader="dot" w:pos="9504"/>
        </w:tabs>
        <w:spacing w:before="120" w:line="240" w:lineRule="auto"/>
        <w:ind w:firstLine="0"/>
        <w:rPr>
          <w:rFonts w:asciiTheme="minorHAnsi" w:hAnsiTheme="minorHAnsi" w:cstheme="minorHAnsi"/>
          <w:szCs w:val="22"/>
        </w:rPr>
      </w:pPr>
    </w:p>
    <w:p w:rsidR="00DC22FA" w:rsidRPr="003D32DF" w:rsidP="00FF30CE" w14:paraId="6D80A126"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FF30CE" w:rsidRPr="003D32DF" w:rsidP="00FF30CE" w14:paraId="72879FE9" w14:textId="5799929F">
      <w:pPr>
        <w:pStyle w:val="P1-StandPara"/>
        <w:tabs>
          <w:tab w:val="left" w:pos="720"/>
          <w:tab w:val="right" w:leader="dot" w:pos="9504"/>
        </w:tabs>
        <w:spacing w:before="120" w:line="240" w:lineRule="auto"/>
        <w:ind w:firstLine="0"/>
        <w:rPr>
          <w:rFonts w:asciiTheme="minorHAnsi" w:hAnsiTheme="minorHAnsi" w:cstheme="minorHAnsi"/>
          <w:szCs w:val="22"/>
        </w:rPr>
      </w:pPr>
      <w:r w:rsidRPr="003D32DF">
        <w:rPr>
          <w:rFonts w:asciiTheme="minorHAnsi" w:hAnsiTheme="minorHAnsi" w:cstheme="minorHAnsi"/>
          <w:szCs w:val="22"/>
        </w:rPr>
        <w:t>Check off which applies:</w:t>
      </w:r>
    </w:p>
    <w:p w:rsidR="00BD37FA" w:rsidRPr="00E9498D" w:rsidP="00BD37FA" w14:paraId="1CED26C4" w14:textId="77777777">
      <w:pPr>
        <w:pStyle w:val="ListParagraph"/>
        <w:numPr>
          <w:ilvl w:val="0"/>
          <w:numId w:val="11"/>
        </w:numPr>
        <w:spacing w:after="0" w:line="360" w:lineRule="auto"/>
        <w:rPr>
          <w:rFonts w:cstheme="minorHAnsi"/>
          <w:sz w:val="24"/>
          <w:szCs w:val="24"/>
        </w:rPr>
      </w:pPr>
      <w:r w:rsidRPr="00E9498D">
        <w:rPr>
          <w:rFonts w:cstheme="minorHAnsi"/>
          <w:sz w:val="24"/>
          <w:szCs w:val="24"/>
        </w:rPr>
        <w:t xml:space="preserve">New </w:t>
      </w:r>
    </w:p>
    <w:p w:rsidR="00BD37FA" w:rsidRPr="00E9498D" w:rsidP="00713A82" w14:paraId="50F4E121" w14:textId="27734E3A">
      <w:pPr>
        <w:spacing w:after="0" w:line="360" w:lineRule="auto"/>
        <w:ind w:left="360"/>
        <w:rPr>
          <w:rFonts w:cstheme="minorHAnsi"/>
          <w:sz w:val="24"/>
          <w:szCs w:val="24"/>
        </w:rPr>
      </w:pPr>
      <w:r w:rsidRPr="00713A82">
        <w:rPr>
          <w:rFonts w:cstheme="minorHAnsi"/>
          <w:sz w:val="24"/>
          <w:szCs w:val="24"/>
        </w:rPr>
        <w:t xml:space="preserve">X    </w:t>
      </w:r>
      <w:r w:rsidRPr="00713A82">
        <w:rPr>
          <w:rFonts w:cstheme="minorHAnsi"/>
          <w:sz w:val="24"/>
          <w:szCs w:val="24"/>
        </w:rPr>
        <w:t>Revision</w:t>
      </w:r>
      <w:r w:rsidRPr="00E9498D">
        <w:rPr>
          <w:rFonts w:cstheme="minorHAnsi"/>
          <w:sz w:val="24"/>
          <w:szCs w:val="24"/>
        </w:rPr>
        <w:tab/>
      </w:r>
      <w:r w:rsidRPr="00E9498D">
        <w:rPr>
          <w:rFonts w:cstheme="minorHAnsi"/>
          <w:sz w:val="24"/>
          <w:szCs w:val="24"/>
        </w:rPr>
        <w:tab/>
      </w:r>
      <w:r w:rsidRPr="00E9498D">
        <w:rPr>
          <w:rFonts w:cstheme="minorHAnsi"/>
          <w:sz w:val="24"/>
          <w:szCs w:val="24"/>
        </w:rPr>
        <w:tab/>
      </w:r>
    </w:p>
    <w:p w:rsidR="00BD37FA" w:rsidRPr="00E9498D" w:rsidP="00BD37FA" w14:paraId="5D6D841B" w14:textId="77777777">
      <w:pPr>
        <w:numPr>
          <w:ilvl w:val="0"/>
          <w:numId w:val="11"/>
        </w:numPr>
        <w:spacing w:after="0" w:line="360" w:lineRule="auto"/>
        <w:rPr>
          <w:rFonts w:cstheme="minorHAnsi"/>
          <w:sz w:val="24"/>
          <w:szCs w:val="24"/>
        </w:rPr>
      </w:pPr>
      <w:r w:rsidRPr="00E9498D">
        <w:rPr>
          <w:rFonts w:cstheme="minorHAnsi"/>
          <w:sz w:val="24"/>
          <w:szCs w:val="24"/>
        </w:rPr>
        <w:t>Reinstatement with Change</w:t>
      </w:r>
    </w:p>
    <w:p w:rsidR="00BD37FA" w:rsidP="00BD37FA" w14:paraId="4D71E6D6" w14:textId="77777777">
      <w:pPr>
        <w:numPr>
          <w:ilvl w:val="0"/>
          <w:numId w:val="11"/>
        </w:numPr>
        <w:spacing w:after="0" w:line="360" w:lineRule="auto"/>
        <w:rPr>
          <w:rFonts w:cstheme="minorHAnsi"/>
          <w:sz w:val="24"/>
          <w:szCs w:val="24"/>
        </w:rPr>
      </w:pPr>
      <w:r w:rsidRPr="00E9498D">
        <w:rPr>
          <w:rFonts w:cstheme="minorHAnsi"/>
          <w:sz w:val="24"/>
          <w:szCs w:val="24"/>
        </w:rPr>
        <w:t>Reinstatement without Change</w:t>
      </w:r>
    </w:p>
    <w:p w:rsidR="00713A82" w:rsidRPr="00E9498D" w:rsidP="00BD37FA" w14:paraId="5335BC55" w14:textId="34939587">
      <w:pPr>
        <w:numPr>
          <w:ilvl w:val="0"/>
          <w:numId w:val="11"/>
        </w:numPr>
        <w:spacing w:after="0" w:line="360" w:lineRule="auto"/>
        <w:rPr>
          <w:rFonts w:cstheme="minorHAnsi"/>
          <w:sz w:val="24"/>
          <w:szCs w:val="24"/>
        </w:rPr>
      </w:pPr>
      <w:r>
        <w:rPr>
          <w:rFonts w:cstheme="minorHAnsi"/>
          <w:sz w:val="24"/>
          <w:szCs w:val="24"/>
        </w:rPr>
        <w:t>Extension</w:t>
      </w:r>
    </w:p>
    <w:p w:rsidR="00BD37FA" w:rsidRPr="00E9498D" w:rsidP="00BD37FA" w14:paraId="232ACAF8" w14:textId="77777777">
      <w:pPr>
        <w:numPr>
          <w:ilvl w:val="0"/>
          <w:numId w:val="11"/>
        </w:numPr>
        <w:spacing w:after="0" w:line="360" w:lineRule="auto"/>
        <w:rPr>
          <w:rFonts w:cstheme="minorHAnsi"/>
          <w:sz w:val="24"/>
          <w:szCs w:val="24"/>
        </w:rPr>
      </w:pPr>
      <w:r w:rsidRPr="00E9498D">
        <w:rPr>
          <w:rFonts w:cstheme="minorHAnsi"/>
          <w:sz w:val="24"/>
          <w:szCs w:val="24"/>
        </w:rPr>
        <w:t>Emergency</w:t>
      </w:r>
    </w:p>
    <w:p w:rsidR="00BD37FA" w:rsidRPr="00E9498D" w:rsidP="00BD37FA" w14:paraId="3BB94F88" w14:textId="77777777">
      <w:pPr>
        <w:numPr>
          <w:ilvl w:val="0"/>
          <w:numId w:val="11"/>
        </w:numPr>
        <w:spacing w:after="0" w:line="360" w:lineRule="auto"/>
        <w:rPr>
          <w:rFonts w:cstheme="minorHAnsi"/>
          <w:sz w:val="24"/>
          <w:szCs w:val="24"/>
        </w:rPr>
      </w:pPr>
      <w:r w:rsidRPr="00E9498D">
        <w:rPr>
          <w:rFonts w:cstheme="minorHAnsi"/>
          <w:sz w:val="24"/>
          <w:szCs w:val="24"/>
        </w:rPr>
        <w:t>Existing w/o OMB approval</w:t>
      </w:r>
    </w:p>
    <w:p w:rsidR="005E1A34" w:rsidRPr="003D32DF" w:rsidP="00021826" w14:paraId="7A8F9124" w14:textId="642D925B">
      <w:pPr>
        <w:pStyle w:val="P1-StandPara"/>
        <w:tabs>
          <w:tab w:val="left" w:pos="720"/>
          <w:tab w:val="right" w:leader="dot" w:pos="9504"/>
        </w:tabs>
        <w:spacing w:before="120" w:after="120"/>
        <w:rPr>
          <w:rFonts w:asciiTheme="minorHAnsi" w:hAnsiTheme="minorHAnsi" w:cstheme="minorHAnsi"/>
          <w:szCs w:val="22"/>
        </w:rPr>
      </w:pPr>
      <w:r w:rsidRPr="003D32DF">
        <w:rPr>
          <w:rFonts w:asciiTheme="minorHAnsi" w:hAnsiTheme="minorHAnsi" w:cstheme="minorHAnsi"/>
          <w:szCs w:val="22"/>
        </w:rPr>
        <w:t xml:space="preserve">                       </w:t>
      </w:r>
    </w:p>
    <w:p w:rsidR="00E35DD1" w:rsidRPr="003D32DF" w:rsidP="00BE76A7" w14:paraId="6D261043"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Fed</w:t>
      </w:r>
      <w:r w:rsidRPr="003D32DF" w:rsidR="00B96691">
        <w:rPr>
          <w:rFonts w:asciiTheme="minorHAnsi" w:hAnsiTheme="minorHAnsi" w:cstheme="minorHAnsi"/>
          <w:szCs w:val="22"/>
        </w:rPr>
        <w:t>eral Government Employee Information</w:t>
      </w:r>
      <w:r w:rsidRPr="003D32DF">
        <w:rPr>
          <w:rFonts w:asciiTheme="minorHAnsi" w:hAnsiTheme="minorHAnsi" w:cstheme="minorHAnsi"/>
          <w:szCs w:val="22"/>
        </w:rPr>
        <w:t>:</w:t>
      </w:r>
    </w:p>
    <w:p w:rsidR="00507EA4" w:rsidRPr="00507EA4" w:rsidP="00507EA4" w14:paraId="389490F4" w14:textId="77777777">
      <w:pPr>
        <w:pStyle w:val="P1-StandPara"/>
        <w:tabs>
          <w:tab w:val="left" w:pos="720"/>
          <w:tab w:val="right" w:leader="dot" w:pos="9504"/>
        </w:tabs>
        <w:spacing w:before="120" w:line="240" w:lineRule="auto"/>
        <w:ind w:firstLine="0"/>
        <w:rPr>
          <w:rFonts w:asciiTheme="minorHAnsi" w:hAnsiTheme="minorHAnsi" w:cstheme="minorHAnsi"/>
          <w:szCs w:val="22"/>
          <w:highlight w:val="yellow"/>
        </w:rPr>
      </w:pPr>
      <w:r w:rsidRPr="00507EA4">
        <w:rPr>
          <w:rFonts w:asciiTheme="minorHAnsi" w:hAnsiTheme="minorHAnsi" w:cstheme="minorHAnsi"/>
          <w:szCs w:val="22"/>
          <w:highlight w:val="yellow"/>
        </w:rPr>
        <w:t>Name:</w:t>
      </w:r>
      <w:r w:rsidRPr="00507EA4">
        <w:rPr>
          <w:rFonts w:asciiTheme="minorHAnsi" w:hAnsiTheme="minorHAnsi" w:cstheme="minorHAnsi"/>
          <w:highlight w:val="yellow"/>
        </w:rPr>
        <w:t xml:space="preserve"> </w:t>
      </w:r>
      <w:r w:rsidRPr="00507EA4">
        <w:rPr>
          <w:rFonts w:asciiTheme="minorHAnsi" w:hAnsiTheme="minorHAnsi" w:cstheme="minorHAnsi"/>
          <w:szCs w:val="22"/>
          <w:highlight w:val="yellow"/>
        </w:rPr>
        <w:t xml:space="preserve">Ruben </w:t>
      </w:r>
      <w:r w:rsidRPr="00507EA4">
        <w:rPr>
          <w:rFonts w:asciiTheme="minorHAnsi" w:hAnsiTheme="minorHAnsi" w:cstheme="minorHAnsi"/>
          <w:szCs w:val="22"/>
          <w:highlight w:val="yellow"/>
        </w:rPr>
        <w:t>Alvarez ,</w:t>
      </w:r>
      <w:r w:rsidRPr="00507EA4">
        <w:rPr>
          <w:rFonts w:asciiTheme="minorHAnsi" w:hAnsiTheme="minorHAnsi" w:cstheme="minorHAnsi"/>
          <w:szCs w:val="22"/>
          <w:highlight w:val="yellow"/>
        </w:rPr>
        <w:t xml:space="preserve"> Ed.D.</w:t>
      </w:r>
    </w:p>
    <w:p w:rsidR="00507EA4" w:rsidRPr="00507EA4" w:rsidP="00507EA4" w14:paraId="3689AF77" w14:textId="77777777">
      <w:pPr>
        <w:pStyle w:val="P1-StandPara"/>
        <w:tabs>
          <w:tab w:val="left" w:pos="720"/>
          <w:tab w:val="right" w:leader="dot" w:pos="9504"/>
        </w:tabs>
        <w:spacing w:before="120" w:line="240" w:lineRule="auto"/>
        <w:ind w:firstLine="0"/>
        <w:rPr>
          <w:rFonts w:asciiTheme="minorHAnsi" w:hAnsiTheme="minorHAnsi" w:cstheme="minorHAnsi"/>
          <w:szCs w:val="22"/>
          <w:highlight w:val="yellow"/>
        </w:rPr>
      </w:pPr>
      <w:r w:rsidRPr="00507EA4">
        <w:rPr>
          <w:rFonts w:asciiTheme="minorHAnsi" w:hAnsiTheme="minorHAnsi" w:cstheme="minorHAnsi"/>
          <w:szCs w:val="22"/>
          <w:highlight w:val="yellow"/>
        </w:rPr>
        <w:t>Address:</w:t>
      </w:r>
      <w:r w:rsidRPr="00507EA4">
        <w:rPr>
          <w:rFonts w:asciiTheme="minorHAnsi" w:hAnsiTheme="minorHAnsi" w:cstheme="minorHAnsi"/>
          <w:highlight w:val="yellow"/>
        </w:rPr>
        <w:t xml:space="preserve"> </w:t>
      </w:r>
      <w:r w:rsidRPr="00507EA4">
        <w:rPr>
          <w:rFonts w:asciiTheme="minorHAnsi" w:hAnsiTheme="minorHAnsi" w:cstheme="minorHAnsi"/>
          <w:szCs w:val="22"/>
          <w:highlight w:val="yellow"/>
        </w:rPr>
        <w:t>6001 Executive Blvd., NSC 6133 Rockville, MD 20892-9640</w:t>
      </w:r>
    </w:p>
    <w:p w:rsidR="00507EA4" w:rsidRPr="00507EA4" w:rsidP="00507EA4" w14:paraId="5B1D455D" w14:textId="77777777">
      <w:pPr>
        <w:pStyle w:val="P1-StandPara"/>
        <w:tabs>
          <w:tab w:val="left" w:pos="720"/>
          <w:tab w:val="right" w:leader="dot" w:pos="9504"/>
        </w:tabs>
        <w:spacing w:before="120" w:line="240" w:lineRule="auto"/>
        <w:ind w:firstLine="0"/>
        <w:rPr>
          <w:rFonts w:asciiTheme="minorHAnsi" w:hAnsiTheme="minorHAnsi" w:cstheme="minorHAnsi"/>
          <w:szCs w:val="22"/>
          <w:highlight w:val="yellow"/>
        </w:rPr>
      </w:pPr>
      <w:r w:rsidRPr="00507EA4">
        <w:rPr>
          <w:rFonts w:asciiTheme="minorHAnsi" w:hAnsiTheme="minorHAnsi" w:cstheme="minorHAnsi"/>
          <w:szCs w:val="22"/>
          <w:highlight w:val="yellow"/>
        </w:rPr>
        <w:t>Telephone:</w:t>
      </w:r>
      <w:r w:rsidRPr="00507EA4">
        <w:rPr>
          <w:rFonts w:asciiTheme="minorHAnsi" w:hAnsiTheme="minorHAnsi" w:cstheme="minorHAnsi"/>
          <w:highlight w:val="yellow"/>
        </w:rPr>
        <w:t xml:space="preserve"> </w:t>
      </w:r>
      <w:r w:rsidRPr="00507EA4">
        <w:rPr>
          <w:rFonts w:asciiTheme="minorHAnsi" w:hAnsiTheme="minorHAnsi" w:cstheme="minorHAnsi"/>
          <w:szCs w:val="22"/>
          <w:highlight w:val="yellow"/>
        </w:rPr>
        <w:t>301-443-4058</w:t>
      </w:r>
    </w:p>
    <w:p w:rsidR="00507EA4" w:rsidRPr="00507EA4" w:rsidP="00507EA4" w14:paraId="0CFAF886" w14:textId="77777777">
      <w:pPr>
        <w:pStyle w:val="P1-StandPara"/>
        <w:tabs>
          <w:tab w:val="left" w:pos="720"/>
          <w:tab w:val="right" w:leader="dot" w:pos="9504"/>
        </w:tabs>
        <w:spacing w:before="120" w:line="240" w:lineRule="auto"/>
        <w:ind w:firstLine="0"/>
        <w:rPr>
          <w:rFonts w:asciiTheme="minorHAnsi" w:hAnsiTheme="minorHAnsi" w:cstheme="minorHAnsi"/>
          <w:szCs w:val="22"/>
          <w:highlight w:val="yellow"/>
        </w:rPr>
      </w:pPr>
      <w:r w:rsidRPr="00507EA4">
        <w:rPr>
          <w:rFonts w:asciiTheme="minorHAnsi" w:hAnsiTheme="minorHAnsi" w:cstheme="minorHAnsi"/>
          <w:szCs w:val="22"/>
          <w:highlight w:val="yellow"/>
        </w:rPr>
        <w:t>Fax:</w:t>
      </w:r>
    </w:p>
    <w:p w:rsidR="004C58A0" w:rsidRPr="003D32DF" w:rsidP="00BE76A7" w14:paraId="4FA9FC64" w14:textId="5FB25366">
      <w:pPr>
        <w:pStyle w:val="P1-StandPara"/>
        <w:tabs>
          <w:tab w:val="left" w:pos="720"/>
          <w:tab w:val="right" w:leader="dot" w:pos="9504"/>
        </w:tabs>
        <w:spacing w:before="120" w:line="240" w:lineRule="auto"/>
        <w:ind w:firstLine="0"/>
        <w:rPr>
          <w:rFonts w:asciiTheme="minorHAnsi" w:hAnsiTheme="minorHAnsi" w:cstheme="minorHAnsi"/>
          <w:szCs w:val="22"/>
        </w:rPr>
      </w:pPr>
      <w:r w:rsidRPr="00507EA4">
        <w:rPr>
          <w:rFonts w:asciiTheme="minorHAnsi" w:hAnsiTheme="minorHAnsi" w:cstheme="minorHAnsi"/>
          <w:szCs w:val="22"/>
          <w:highlight w:val="yellow"/>
        </w:rPr>
        <w:t>Email:</w:t>
      </w:r>
      <w:r w:rsidRPr="00507EA4">
        <w:rPr>
          <w:rFonts w:asciiTheme="minorHAnsi" w:hAnsiTheme="minorHAnsi" w:cstheme="minorHAnsi"/>
          <w:highlight w:val="yellow"/>
        </w:rPr>
        <w:t xml:space="preserve"> </w:t>
      </w:r>
      <w:r w:rsidRPr="00507EA4">
        <w:rPr>
          <w:rFonts w:asciiTheme="minorHAnsi" w:hAnsiTheme="minorHAnsi" w:cstheme="minorHAnsi"/>
          <w:szCs w:val="22"/>
          <w:highlight w:val="yellow"/>
        </w:rPr>
        <w:t>ruben.alvarez</w:t>
      </w:r>
      <w:r w:rsidRPr="00507EA4">
        <w:rPr>
          <w:rFonts w:asciiTheme="minorHAnsi" w:hAnsiTheme="minorHAnsi" w:cstheme="minorHAnsi"/>
          <w:szCs w:val="22"/>
          <w:highlight w:val="yellow"/>
        </w:rPr>
        <w:t>@.nih.gov</w:t>
      </w:r>
    </w:p>
    <w:p w:rsidR="000247EE" w:rsidRPr="003D32DF" w:rsidP="00BE76A7" w14:paraId="641EA3F5" w14:textId="77777777">
      <w:pPr>
        <w:pStyle w:val="P1-StandPara"/>
        <w:tabs>
          <w:tab w:val="left" w:pos="720"/>
          <w:tab w:val="right" w:leader="dot" w:pos="9504"/>
        </w:tabs>
        <w:spacing w:before="120" w:line="240" w:lineRule="auto"/>
        <w:ind w:firstLine="0"/>
        <w:rPr>
          <w:rFonts w:asciiTheme="minorHAnsi" w:hAnsiTheme="minorHAnsi" w:cstheme="minorHAnsi"/>
          <w:szCs w:val="22"/>
        </w:rPr>
      </w:pPr>
    </w:p>
    <w:p w:rsidR="00E35DD1" w:rsidRPr="003D32DF" w:rsidP="00E35DD1" w14:paraId="245B699E" w14:textId="77777777">
      <w:pPr>
        <w:pStyle w:val="P1-StandPara"/>
        <w:tabs>
          <w:tab w:val="left" w:pos="720"/>
          <w:tab w:val="right" w:leader="dot" w:pos="9504"/>
        </w:tabs>
        <w:spacing w:before="120" w:after="120"/>
        <w:rPr>
          <w:rFonts w:asciiTheme="minorHAnsi" w:hAnsiTheme="minorHAnsi" w:cstheme="minorHAnsi"/>
          <w:b/>
          <w:szCs w:val="22"/>
          <w:u w:val="single"/>
        </w:rPr>
      </w:pPr>
      <w:r w:rsidRPr="003D32DF">
        <w:rPr>
          <w:rFonts w:asciiTheme="minorHAnsi" w:hAnsiTheme="minorHAnsi" w:cstheme="minorHAnsi"/>
          <w:b/>
          <w:szCs w:val="22"/>
          <w:u w:val="single"/>
        </w:rPr>
        <w:t>Table of contents</w:t>
      </w:r>
    </w:p>
    <w:p w:rsidR="00E35DD1" w:rsidRPr="003D32DF" w:rsidP="00E35DD1" w14:paraId="61EF9CBA" w14:textId="18795893">
      <w:pPr>
        <w:pStyle w:val="P1-StandPara"/>
        <w:tabs>
          <w:tab w:val="left" w:pos="720"/>
        </w:tabs>
        <w:ind w:firstLine="0"/>
        <w:rPr>
          <w:rFonts w:asciiTheme="minorHAnsi" w:hAnsiTheme="minorHAnsi" w:cstheme="minorHAnsi"/>
          <w:szCs w:val="22"/>
        </w:rPr>
      </w:pPr>
      <w:r w:rsidRPr="003D32DF">
        <w:rPr>
          <w:rFonts w:asciiTheme="minorHAnsi" w:hAnsiTheme="minorHAnsi" w:cstheme="minorHAnsi"/>
          <w:szCs w:val="22"/>
        </w:rPr>
        <w:fldChar w:fldCharType="begin"/>
      </w:r>
      <w:r w:rsidRPr="003D32DF">
        <w:rPr>
          <w:rFonts w:asciiTheme="minorHAnsi" w:hAnsiTheme="minorHAnsi" w:cstheme="minorHAnsi"/>
          <w:szCs w:val="22"/>
        </w:rPr>
        <w:instrText xml:space="preserve"> TOC \o "1-2" \u </w:instrText>
      </w:r>
      <w:r w:rsidRPr="003D32DF">
        <w:rPr>
          <w:rFonts w:asciiTheme="minorHAnsi" w:hAnsiTheme="minorHAnsi" w:cstheme="minorHAnsi"/>
          <w:szCs w:val="22"/>
        </w:rPr>
        <w:fldChar w:fldCharType="separate"/>
      </w:r>
      <w:r w:rsidRPr="003D32DF">
        <w:rPr>
          <w:rFonts w:asciiTheme="minorHAnsi" w:hAnsiTheme="minorHAnsi" w:cstheme="minorHAnsi"/>
          <w:szCs w:val="22"/>
        </w:rPr>
        <w:t>A.</w:t>
      </w:r>
      <w:r w:rsidRPr="003D32DF">
        <w:rPr>
          <w:rFonts w:asciiTheme="minorHAnsi" w:hAnsiTheme="minorHAnsi" w:cstheme="minorHAnsi"/>
          <w:szCs w:val="22"/>
        </w:rPr>
        <w:tab/>
      </w:r>
      <w:r w:rsidRPr="003D32DF" w:rsidR="00641209">
        <w:rPr>
          <w:rFonts w:asciiTheme="minorHAnsi" w:hAnsiTheme="minorHAnsi" w:cstheme="minorHAnsi"/>
          <w:szCs w:val="22"/>
        </w:rPr>
        <w:t>ABSTRACT</w:t>
      </w:r>
      <w:r w:rsidRPr="003D32DF">
        <w:rPr>
          <w:rFonts w:asciiTheme="minorHAnsi" w:hAnsiTheme="minorHAnsi" w:cstheme="minorHAnsi"/>
          <w:szCs w:val="22"/>
        </w:rPr>
        <w:tab/>
      </w:r>
    </w:p>
    <w:p w:rsidR="00E35DD1" w:rsidRPr="003D32DF" w:rsidP="00E35DD1" w14:paraId="405C6C9A"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w:t>
      </w:r>
      <w:r w:rsidRPr="003D32DF">
        <w:rPr>
          <w:rFonts w:asciiTheme="minorHAnsi" w:hAnsiTheme="minorHAnsi" w:cstheme="minorHAnsi"/>
          <w:szCs w:val="22"/>
        </w:rPr>
        <w:tab/>
        <w:t>Circumstances Making the Collection of Information Necessary</w:t>
      </w:r>
      <w:r w:rsidRPr="003D32DF">
        <w:rPr>
          <w:rFonts w:asciiTheme="minorHAnsi" w:hAnsiTheme="minorHAnsi" w:cstheme="minorHAnsi"/>
          <w:szCs w:val="22"/>
        </w:rPr>
        <w:tab/>
      </w:r>
    </w:p>
    <w:p w:rsidR="00E35DD1" w:rsidRPr="003D32DF" w:rsidP="00E35DD1" w14:paraId="34BF3267"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A.2.</w:t>
      </w:r>
      <w:r w:rsidRPr="003D32DF">
        <w:rPr>
          <w:rFonts w:asciiTheme="minorHAnsi" w:hAnsiTheme="minorHAnsi" w:cstheme="minorHAnsi"/>
          <w:szCs w:val="22"/>
        </w:rPr>
        <w:tab/>
        <w:t>Purpose and Use of the Information COLLECTION</w:t>
      </w:r>
      <w:r w:rsidRPr="003D32DF">
        <w:rPr>
          <w:rFonts w:asciiTheme="minorHAnsi" w:hAnsiTheme="minorHAnsi" w:cstheme="minorHAnsi"/>
          <w:szCs w:val="22"/>
        </w:rPr>
        <w:tab/>
      </w:r>
    </w:p>
    <w:p w:rsidR="00E35DD1" w:rsidRPr="003D32DF" w:rsidP="00E35DD1" w14:paraId="25FD66D2"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A.3</w:t>
      </w:r>
      <w:r w:rsidRPr="003D32DF">
        <w:rPr>
          <w:rFonts w:asciiTheme="minorHAnsi" w:hAnsiTheme="minorHAnsi" w:cstheme="minorHAnsi"/>
          <w:szCs w:val="22"/>
        </w:rPr>
        <w:tab/>
        <w:t>Use of Information Technology and Burden Reduction</w:t>
      </w:r>
      <w:r w:rsidRPr="003D32DF">
        <w:rPr>
          <w:rFonts w:asciiTheme="minorHAnsi" w:hAnsiTheme="minorHAnsi" w:cstheme="minorHAnsi"/>
          <w:szCs w:val="22"/>
        </w:rPr>
        <w:tab/>
      </w:r>
    </w:p>
    <w:p w:rsidR="00E35DD1" w:rsidRPr="003D32DF" w:rsidP="00E35DD1" w14:paraId="055E521F"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A.4</w:t>
      </w:r>
      <w:r w:rsidRPr="003D32DF">
        <w:rPr>
          <w:rFonts w:asciiTheme="minorHAnsi" w:hAnsiTheme="minorHAnsi" w:cstheme="minorHAnsi"/>
          <w:szCs w:val="22"/>
        </w:rPr>
        <w:tab/>
        <w:t>Efforts to Identify Duplication and Use of Similar Information</w:t>
      </w:r>
      <w:r w:rsidRPr="003D32DF">
        <w:rPr>
          <w:rFonts w:asciiTheme="minorHAnsi" w:hAnsiTheme="minorHAnsi" w:cstheme="minorHAnsi"/>
          <w:szCs w:val="22"/>
        </w:rPr>
        <w:tab/>
      </w:r>
    </w:p>
    <w:p w:rsidR="00E35DD1" w:rsidRPr="003D32DF" w:rsidP="00E35DD1" w14:paraId="0E811BD9"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A.5</w:t>
      </w:r>
      <w:r w:rsidRPr="003D32DF">
        <w:rPr>
          <w:rFonts w:asciiTheme="minorHAnsi" w:hAnsiTheme="minorHAnsi" w:cstheme="minorHAnsi"/>
          <w:szCs w:val="22"/>
        </w:rPr>
        <w:tab/>
        <w:t>Impact on Small Businesses or Other Small Entities</w:t>
      </w:r>
      <w:r w:rsidRPr="003D32DF">
        <w:rPr>
          <w:rFonts w:asciiTheme="minorHAnsi" w:hAnsiTheme="minorHAnsi" w:cstheme="minorHAnsi"/>
          <w:szCs w:val="22"/>
        </w:rPr>
        <w:tab/>
      </w:r>
    </w:p>
    <w:p w:rsidR="00E35DD1" w:rsidRPr="003D32DF" w:rsidP="00E35DD1" w14:paraId="0A160A3C"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A.6</w:t>
      </w:r>
      <w:r w:rsidRPr="003D32DF">
        <w:rPr>
          <w:rFonts w:asciiTheme="minorHAnsi" w:hAnsiTheme="minorHAnsi" w:cstheme="minorHAnsi"/>
          <w:szCs w:val="22"/>
        </w:rPr>
        <w:tab/>
        <w:t>Consequences of Collecting the Information Less Frequently</w:t>
      </w:r>
      <w:r w:rsidRPr="003D32DF">
        <w:rPr>
          <w:rFonts w:asciiTheme="minorHAnsi" w:hAnsiTheme="minorHAnsi" w:cstheme="minorHAnsi"/>
          <w:szCs w:val="22"/>
        </w:rPr>
        <w:tab/>
      </w:r>
    </w:p>
    <w:p w:rsidR="00E35DD1" w:rsidRPr="003D32DF" w:rsidP="00E35DD1" w14:paraId="0A934E55"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A.7</w:t>
      </w:r>
      <w:r w:rsidRPr="003D32DF">
        <w:rPr>
          <w:rFonts w:asciiTheme="minorHAnsi" w:hAnsiTheme="minorHAnsi" w:cstheme="minorHAnsi"/>
          <w:szCs w:val="22"/>
        </w:rPr>
        <w:tab/>
        <w:t>Special Circumstances Relating to the Guidelines of 5 CFR 1320.5</w:t>
      </w:r>
      <w:r w:rsidRPr="003D32DF">
        <w:rPr>
          <w:rFonts w:asciiTheme="minorHAnsi" w:hAnsiTheme="minorHAnsi" w:cstheme="minorHAnsi"/>
          <w:szCs w:val="22"/>
        </w:rPr>
        <w:tab/>
      </w:r>
    </w:p>
    <w:p w:rsidR="00E35DD1" w:rsidRPr="003D32DF" w:rsidP="00E35DD1" w14:paraId="5030BEA3"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A.8</w:t>
      </w:r>
      <w:r w:rsidRPr="003D32DF">
        <w:rPr>
          <w:rFonts w:asciiTheme="minorHAnsi" w:hAnsiTheme="minorHAnsi" w:cstheme="minorHAnsi"/>
          <w:szCs w:val="22"/>
        </w:rPr>
        <w:tab/>
        <w:t>Comments in Response to the Federal Register Notice and Efforts to Consult Outside Agency</w:t>
      </w:r>
      <w:r w:rsidRPr="003D32DF">
        <w:rPr>
          <w:rFonts w:asciiTheme="minorHAnsi" w:hAnsiTheme="minorHAnsi" w:cstheme="minorHAnsi"/>
          <w:szCs w:val="22"/>
        </w:rPr>
        <w:tab/>
      </w:r>
    </w:p>
    <w:p w:rsidR="00E35DD1" w:rsidRPr="003D32DF" w:rsidP="00E35DD1" w14:paraId="790E500C"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A.9</w:t>
      </w:r>
      <w:r w:rsidRPr="003D32DF">
        <w:rPr>
          <w:rFonts w:asciiTheme="minorHAnsi" w:hAnsiTheme="minorHAnsi" w:cstheme="minorHAnsi"/>
          <w:szCs w:val="22"/>
        </w:rPr>
        <w:tab/>
        <w:t>Explanation of Any Payment of Gift to Respondents</w:t>
      </w:r>
      <w:r w:rsidRPr="003D32DF">
        <w:rPr>
          <w:rFonts w:asciiTheme="minorHAnsi" w:hAnsiTheme="minorHAnsi" w:cstheme="minorHAnsi"/>
          <w:szCs w:val="22"/>
        </w:rPr>
        <w:tab/>
      </w:r>
    </w:p>
    <w:p w:rsidR="00E35DD1" w:rsidRPr="003D32DF" w:rsidP="00E35DD1" w14:paraId="3521DE96"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A.10</w:t>
      </w:r>
      <w:r w:rsidRPr="003D32DF">
        <w:rPr>
          <w:rFonts w:asciiTheme="minorHAnsi" w:hAnsiTheme="minorHAnsi" w:cstheme="minorHAnsi"/>
          <w:szCs w:val="22"/>
        </w:rPr>
        <w:tab/>
        <w:t>Assurance of Confidentiality Provided to Respondents</w:t>
      </w:r>
      <w:r w:rsidRPr="003D32DF">
        <w:rPr>
          <w:rFonts w:asciiTheme="minorHAnsi" w:hAnsiTheme="minorHAnsi" w:cstheme="minorHAnsi"/>
          <w:szCs w:val="22"/>
        </w:rPr>
        <w:tab/>
      </w:r>
    </w:p>
    <w:p w:rsidR="00E35DD1" w:rsidRPr="003D32DF" w:rsidP="00E35DD1" w14:paraId="6F64EEA4"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A.11</w:t>
      </w:r>
      <w:r w:rsidRPr="003D32DF">
        <w:rPr>
          <w:rFonts w:asciiTheme="minorHAnsi" w:hAnsiTheme="minorHAnsi" w:cstheme="minorHAnsi"/>
          <w:szCs w:val="22"/>
        </w:rPr>
        <w:tab/>
        <w:t>Justification for Sensitive Questions</w:t>
      </w:r>
      <w:r w:rsidRPr="003D32DF">
        <w:rPr>
          <w:rFonts w:asciiTheme="minorHAnsi" w:hAnsiTheme="minorHAnsi" w:cstheme="minorHAnsi"/>
          <w:szCs w:val="22"/>
        </w:rPr>
        <w:tab/>
      </w:r>
    </w:p>
    <w:p w:rsidR="00E35DD1" w:rsidRPr="003D32DF" w:rsidP="00E35DD1" w14:paraId="0E23F4BB"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A.12</w:t>
      </w:r>
      <w:r w:rsidRPr="003D32DF">
        <w:rPr>
          <w:rFonts w:asciiTheme="minorHAnsi" w:hAnsiTheme="minorHAnsi" w:cstheme="minorHAnsi"/>
          <w:szCs w:val="22"/>
        </w:rPr>
        <w:tab/>
        <w:t>Estimates of Hour Burden Including Annualized Hourly Costs</w:t>
      </w:r>
      <w:r w:rsidRPr="003D32DF">
        <w:rPr>
          <w:rFonts w:asciiTheme="minorHAnsi" w:hAnsiTheme="minorHAnsi" w:cstheme="minorHAnsi"/>
          <w:szCs w:val="22"/>
        </w:rPr>
        <w:tab/>
      </w:r>
    </w:p>
    <w:p w:rsidR="00E35DD1" w:rsidRPr="003D32DF" w:rsidP="00E35DD1" w14:paraId="147053D2"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A.13</w:t>
      </w:r>
      <w:r w:rsidRPr="003D32DF">
        <w:rPr>
          <w:rFonts w:asciiTheme="minorHAnsi" w:hAnsiTheme="minorHAnsi" w:cstheme="minorHAnsi"/>
          <w:szCs w:val="22"/>
        </w:rPr>
        <w:tab/>
        <w:t>Estimate of Other Total Annual Cost Burden to Respondents or Record  keepers</w:t>
      </w:r>
      <w:r w:rsidRPr="003D32DF">
        <w:rPr>
          <w:rFonts w:asciiTheme="minorHAnsi" w:hAnsiTheme="minorHAnsi" w:cstheme="minorHAnsi"/>
          <w:szCs w:val="22"/>
        </w:rPr>
        <w:tab/>
      </w:r>
    </w:p>
    <w:p w:rsidR="00E35DD1" w:rsidRPr="003D32DF" w:rsidP="00E35DD1" w14:paraId="344C675F"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A.14</w:t>
      </w:r>
      <w:r w:rsidRPr="003D32DF">
        <w:rPr>
          <w:rFonts w:asciiTheme="minorHAnsi" w:hAnsiTheme="minorHAnsi" w:cstheme="minorHAnsi"/>
          <w:szCs w:val="22"/>
        </w:rPr>
        <w:tab/>
        <w:t>Annualized Cost to the Federal Government</w:t>
      </w:r>
      <w:r w:rsidRPr="003D32DF">
        <w:rPr>
          <w:rFonts w:asciiTheme="minorHAnsi" w:hAnsiTheme="minorHAnsi" w:cstheme="minorHAnsi"/>
          <w:szCs w:val="22"/>
        </w:rPr>
        <w:tab/>
      </w:r>
    </w:p>
    <w:p w:rsidR="00E35DD1" w:rsidRPr="003D32DF" w:rsidP="00E35DD1" w14:paraId="7226774F"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A.15</w:t>
      </w:r>
      <w:r w:rsidRPr="003D32DF">
        <w:rPr>
          <w:rFonts w:asciiTheme="minorHAnsi" w:hAnsiTheme="minorHAnsi" w:cstheme="minorHAnsi"/>
          <w:szCs w:val="22"/>
        </w:rPr>
        <w:tab/>
        <w:t>Explanation for Program Changes or Adjustments</w:t>
      </w:r>
      <w:r w:rsidRPr="003D32DF">
        <w:rPr>
          <w:rFonts w:asciiTheme="minorHAnsi" w:hAnsiTheme="minorHAnsi" w:cstheme="minorHAnsi"/>
          <w:szCs w:val="22"/>
        </w:rPr>
        <w:tab/>
      </w:r>
    </w:p>
    <w:p w:rsidR="00E35DD1" w:rsidRPr="003D32DF" w:rsidP="00E35DD1" w14:paraId="48BBFCB2"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A.16</w:t>
      </w:r>
      <w:r w:rsidRPr="003D32DF">
        <w:rPr>
          <w:rFonts w:asciiTheme="minorHAnsi" w:hAnsiTheme="minorHAnsi" w:cstheme="minorHAnsi"/>
          <w:szCs w:val="22"/>
        </w:rPr>
        <w:tab/>
        <w:t>Plans for Tabulation and Publication and Project Time Schedule</w:t>
      </w:r>
      <w:r w:rsidRPr="003D32DF">
        <w:rPr>
          <w:rFonts w:asciiTheme="minorHAnsi" w:hAnsiTheme="minorHAnsi" w:cstheme="minorHAnsi"/>
          <w:szCs w:val="22"/>
        </w:rPr>
        <w:tab/>
      </w:r>
    </w:p>
    <w:p w:rsidR="00E35DD1" w:rsidRPr="003D32DF" w:rsidP="00E35DD1" w14:paraId="6EDA2130"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A.17</w:t>
      </w:r>
      <w:r w:rsidRPr="003D32DF">
        <w:rPr>
          <w:rFonts w:asciiTheme="minorHAnsi" w:hAnsiTheme="minorHAnsi" w:cstheme="minorHAnsi"/>
          <w:szCs w:val="22"/>
        </w:rPr>
        <w:tab/>
        <w:t>Reason(s) Display of OMB Expiration Date is Inappropriate</w:t>
      </w:r>
      <w:r w:rsidRPr="003D32DF">
        <w:rPr>
          <w:rFonts w:asciiTheme="minorHAnsi" w:hAnsiTheme="minorHAnsi" w:cstheme="minorHAnsi"/>
          <w:szCs w:val="22"/>
        </w:rPr>
        <w:tab/>
      </w:r>
    </w:p>
    <w:p w:rsidR="00E35DD1" w:rsidRPr="003D32DF" w:rsidP="00E35DD1" w14:paraId="41381730" w14:textId="77777777">
      <w:pPr>
        <w:pStyle w:val="P1-StandPara"/>
        <w:ind w:firstLine="0"/>
        <w:rPr>
          <w:rFonts w:asciiTheme="minorHAnsi" w:hAnsiTheme="minorHAnsi" w:cstheme="minorHAnsi"/>
          <w:szCs w:val="22"/>
        </w:rPr>
      </w:pPr>
      <w:r w:rsidRPr="003D32DF">
        <w:rPr>
          <w:rFonts w:asciiTheme="minorHAnsi" w:hAnsiTheme="minorHAnsi" w:cstheme="minorHAnsi"/>
          <w:szCs w:val="22"/>
        </w:rPr>
        <w:t>A.18</w:t>
      </w:r>
      <w:r w:rsidRPr="003D32DF">
        <w:rPr>
          <w:rFonts w:asciiTheme="minorHAnsi" w:hAnsiTheme="minorHAnsi" w:cstheme="minorHAnsi"/>
          <w:szCs w:val="22"/>
        </w:rPr>
        <w:tab/>
        <w:t>Exceptions to Certification for Paperwork Reduction Act Submissions</w:t>
      </w:r>
      <w:r w:rsidRPr="003D32DF">
        <w:rPr>
          <w:rFonts w:asciiTheme="minorHAnsi" w:hAnsiTheme="minorHAnsi" w:cstheme="minorHAnsi"/>
          <w:szCs w:val="22"/>
        </w:rPr>
        <w:tab/>
      </w:r>
    </w:p>
    <w:p w:rsidR="006A45F9" w:rsidRPr="003D32DF" w:rsidP="00E35DD1" w14:paraId="1FDE63E2" w14:textId="63F1F8D4">
      <w:pPr>
        <w:pStyle w:val="P1-StandPara"/>
        <w:ind w:firstLine="0"/>
        <w:rPr>
          <w:rFonts w:asciiTheme="minorHAnsi" w:hAnsiTheme="minorHAnsi" w:cstheme="minorHAnsi"/>
          <w:b/>
          <w:i/>
          <w:szCs w:val="22"/>
        </w:rPr>
      </w:pPr>
    </w:p>
    <w:p w:rsidR="00376FBD" w:rsidP="00F76DA1" w14:paraId="20796840" w14:textId="7CE8A80E">
      <w:pPr>
        <w:pStyle w:val="P1-StandPara"/>
        <w:tabs>
          <w:tab w:val="left" w:pos="720"/>
          <w:tab w:val="right" w:leader="dot" w:pos="9504"/>
        </w:tabs>
        <w:spacing w:before="120" w:after="120"/>
        <w:rPr>
          <w:rFonts w:asciiTheme="minorHAnsi" w:hAnsiTheme="minorHAnsi" w:cstheme="minorHAnsi"/>
          <w:szCs w:val="22"/>
        </w:rPr>
      </w:pPr>
      <w:r w:rsidRPr="003D32DF">
        <w:rPr>
          <w:rFonts w:asciiTheme="minorHAnsi" w:hAnsiTheme="minorHAnsi" w:cstheme="minorHAnsi"/>
          <w:szCs w:val="22"/>
        </w:rPr>
        <w:fldChar w:fldCharType="end"/>
      </w:r>
    </w:p>
    <w:p w:rsidR="00021826" w:rsidRPr="00F76DA1" w:rsidP="00F76DA1" w14:paraId="07D33DC9" w14:textId="77777777">
      <w:pPr>
        <w:pStyle w:val="P1-StandPara"/>
        <w:tabs>
          <w:tab w:val="left" w:pos="720"/>
          <w:tab w:val="right" w:leader="dot" w:pos="9504"/>
        </w:tabs>
        <w:spacing w:before="120" w:after="120"/>
        <w:rPr>
          <w:rFonts w:asciiTheme="minorHAnsi" w:hAnsiTheme="minorHAnsi" w:cstheme="minorHAnsi"/>
          <w:szCs w:val="22"/>
        </w:rPr>
      </w:pPr>
    </w:p>
    <w:p w:rsidR="00376FBD" w:rsidRPr="003D32DF" w14:paraId="1D0778C2" w14:textId="77777777">
      <w:pPr>
        <w:rPr>
          <w:rFonts w:cstheme="minorHAnsi"/>
        </w:rPr>
      </w:pPr>
      <w:r w:rsidRPr="003D32DF">
        <w:rPr>
          <w:rFonts w:cstheme="minorHAnsi"/>
        </w:rPr>
        <w:t>Attachments</w:t>
      </w:r>
    </w:p>
    <w:p w:rsidR="00116794" w:rsidRPr="003D32DF" w:rsidP="00116794" w14:paraId="56EA9F9E" w14:textId="791B7AF3">
      <w:pPr>
        <w:rPr>
          <w:rFonts w:cstheme="minorHAnsi"/>
        </w:rPr>
      </w:pPr>
      <w:r w:rsidRPr="003D32DF">
        <w:rPr>
          <w:rFonts w:cstheme="minorHAnsi"/>
        </w:rPr>
        <w:t>A</w:t>
      </w:r>
      <w:r w:rsidRPr="003D32DF" w:rsidR="00376FBD">
        <w:rPr>
          <w:rFonts w:cstheme="minorHAnsi"/>
        </w:rPr>
        <w:t>.</w:t>
      </w:r>
      <w:r w:rsidRPr="003D32DF">
        <w:rPr>
          <w:rFonts w:cstheme="minorHAnsi"/>
        </w:rPr>
        <w:t xml:space="preserve"> Privacy Impact Assessment (PIA)</w:t>
      </w:r>
    </w:p>
    <w:p w:rsidR="00443CE0" w:rsidRPr="003D32DF" w:rsidP="00116794" w14:paraId="3713ED17" w14:textId="4238AB48">
      <w:pPr>
        <w:rPr>
          <w:rFonts w:cstheme="minorHAnsi"/>
        </w:rPr>
      </w:pPr>
      <w:r w:rsidRPr="003D32DF">
        <w:rPr>
          <w:rFonts w:cstheme="minorHAnsi"/>
        </w:rPr>
        <w:t>B</w:t>
      </w:r>
      <w:r w:rsidRPr="003D32DF" w:rsidR="00116794">
        <w:rPr>
          <w:rFonts w:cstheme="minorHAnsi"/>
        </w:rPr>
        <w:t>. NDA Data Submission Agreement (DSA)</w:t>
      </w:r>
    </w:p>
    <w:p w:rsidR="00116794" w:rsidRPr="003D32DF" w:rsidP="00116794" w14:paraId="7913226F" w14:textId="401BAB68">
      <w:pPr>
        <w:rPr>
          <w:rFonts w:cstheme="minorHAnsi"/>
        </w:rPr>
      </w:pPr>
      <w:r w:rsidRPr="003D32DF">
        <w:rPr>
          <w:rFonts w:cstheme="minorHAnsi"/>
        </w:rPr>
        <w:t>C. NDA Data Use Certification (DUC)</w:t>
      </w:r>
    </w:p>
    <w:p w:rsidR="00D34048" w:rsidRPr="003D32DF" w:rsidP="00116794" w14:paraId="1374ED0E" w14:textId="18D8C578">
      <w:pPr>
        <w:rPr>
          <w:rFonts w:cstheme="minorHAnsi"/>
        </w:rPr>
      </w:pPr>
      <w:r w:rsidRPr="003D32DF">
        <w:rPr>
          <w:rFonts w:cstheme="minorHAnsi"/>
        </w:rPr>
        <w:t>D. NDA Consult List</w:t>
      </w:r>
    </w:p>
    <w:p w:rsidR="00376FBD" w:rsidRPr="003D32DF" w14:paraId="6CA03FF7" w14:textId="4ABCC20A">
      <w:pPr>
        <w:rPr>
          <w:rFonts w:cstheme="minorHAnsi"/>
        </w:rPr>
      </w:pPr>
      <w:r w:rsidRPr="003D32DF">
        <w:rPr>
          <w:rFonts w:cstheme="minorHAnsi"/>
        </w:rPr>
        <w:t>Tutorials that include screen shots and/or videos of the entire process related to the DSA and DUC are available at</w:t>
      </w:r>
      <w:r w:rsidRPr="002745C9" w:rsidR="002745C9">
        <w:t xml:space="preserve"> </w:t>
      </w:r>
      <w:r w:rsidRPr="002745C9" w:rsidR="002745C9">
        <w:rPr>
          <w:rFonts w:cstheme="minorHAnsi"/>
          <w:highlight w:val="yellow"/>
        </w:rPr>
        <w:t>https://nda.nih.gov/nda/webinars-and-tutorials#webinars.</w:t>
      </w:r>
    </w:p>
    <w:p w:rsidR="00376FBD" w:rsidRPr="003D32DF" w14:paraId="2002A3AB" w14:textId="636D4571">
      <w:pPr>
        <w:rPr>
          <w:rFonts w:cstheme="minorHAnsi"/>
        </w:rPr>
      </w:pPr>
      <w:r w:rsidRPr="003D32DF">
        <w:rPr>
          <w:rFonts w:cstheme="minorHAnsi"/>
        </w:rPr>
        <w:br w:type="page"/>
      </w:r>
    </w:p>
    <w:p w:rsidR="006A45F9" w:rsidRPr="003D32DF" w:rsidP="00005DD9" w14:paraId="605173DA"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3D32DF">
        <w:rPr>
          <w:rFonts w:asciiTheme="minorHAnsi" w:hAnsiTheme="minorHAnsi" w:cstheme="minorHAnsi"/>
          <w:b/>
          <w:szCs w:val="22"/>
        </w:rPr>
        <w:t xml:space="preserve">A. </w:t>
      </w:r>
      <w:r w:rsidRPr="003D32DF" w:rsidR="00BE76A7">
        <w:rPr>
          <w:rFonts w:asciiTheme="minorHAnsi" w:hAnsiTheme="minorHAnsi" w:cstheme="minorHAnsi"/>
          <w:b/>
          <w:szCs w:val="22"/>
        </w:rPr>
        <w:t>Justification</w:t>
      </w:r>
    </w:p>
    <w:p w:rsidR="00BE76A7" w:rsidRPr="003D32DF" w:rsidP="00005DD9" w14:paraId="2FD66BCE" w14:textId="05A5E35D">
      <w:pPr>
        <w:pStyle w:val="P1-StandPara"/>
        <w:tabs>
          <w:tab w:val="left" w:pos="720"/>
          <w:tab w:val="right" w:leader="dot" w:pos="9504"/>
        </w:tabs>
        <w:spacing w:before="120" w:after="120" w:line="240" w:lineRule="auto"/>
        <w:ind w:firstLine="0"/>
        <w:rPr>
          <w:rFonts w:asciiTheme="minorHAnsi" w:hAnsiTheme="minorHAnsi" w:cstheme="minorHAnsi"/>
          <w:szCs w:val="22"/>
        </w:rPr>
      </w:pPr>
      <w:r w:rsidRPr="00B94497">
        <w:rPr>
          <w:rFonts w:asciiTheme="minorHAnsi" w:hAnsiTheme="minorHAnsi" w:cstheme="minorHAnsi"/>
          <w:szCs w:val="22"/>
          <w:highlight w:val="yellow"/>
        </w:rPr>
        <w:t>The National Institute of Mental Health (NIMH) is requesting approval of</w:t>
      </w:r>
      <w:r w:rsidRPr="00B94497" w:rsidR="001368E3">
        <w:rPr>
          <w:rFonts w:asciiTheme="minorHAnsi" w:hAnsiTheme="minorHAnsi" w:cstheme="minorHAnsi"/>
          <w:szCs w:val="22"/>
          <w:highlight w:val="yellow"/>
        </w:rPr>
        <w:t xml:space="preserve"> this </w:t>
      </w:r>
      <w:r w:rsidRPr="00B94497" w:rsidR="00713A82">
        <w:rPr>
          <w:rFonts w:asciiTheme="minorHAnsi" w:hAnsiTheme="minorHAnsi" w:cstheme="minorHAnsi"/>
          <w:szCs w:val="22"/>
          <w:highlight w:val="yellow"/>
        </w:rPr>
        <w:t>revision</w:t>
      </w:r>
      <w:r w:rsidRPr="00B94497" w:rsidR="001368E3">
        <w:rPr>
          <w:rFonts w:asciiTheme="minorHAnsi" w:hAnsiTheme="minorHAnsi" w:cstheme="minorHAnsi"/>
          <w:szCs w:val="22"/>
          <w:highlight w:val="yellow"/>
        </w:rPr>
        <w:t xml:space="preserve"> application for three years</w:t>
      </w:r>
      <w:r w:rsidRPr="00B94497" w:rsidR="00454BEA">
        <w:rPr>
          <w:rFonts w:asciiTheme="minorHAnsi" w:hAnsiTheme="minorHAnsi" w:cstheme="minorHAnsi"/>
          <w:szCs w:val="22"/>
          <w:highlight w:val="yellow"/>
        </w:rPr>
        <w:t xml:space="preserve"> (36 months)</w:t>
      </w:r>
      <w:r w:rsidRPr="00B94497" w:rsidR="001368E3">
        <w:rPr>
          <w:rFonts w:asciiTheme="minorHAnsi" w:hAnsiTheme="minorHAnsi" w:cstheme="minorHAnsi"/>
          <w:szCs w:val="22"/>
          <w:highlight w:val="yellow"/>
        </w:rPr>
        <w:t>.</w:t>
      </w:r>
      <w:r w:rsidRPr="003D32DF">
        <w:rPr>
          <w:rFonts w:asciiTheme="minorHAnsi" w:hAnsiTheme="minorHAnsi" w:cstheme="minorHAnsi"/>
          <w:szCs w:val="22"/>
        </w:rPr>
        <w:t xml:space="preserve"> </w:t>
      </w:r>
      <w:r w:rsidRPr="003D32DF" w:rsidR="001368E3">
        <w:rPr>
          <w:rFonts w:asciiTheme="minorHAnsi" w:hAnsiTheme="minorHAnsi" w:cstheme="minorHAnsi"/>
          <w:szCs w:val="22"/>
        </w:rPr>
        <w:t xml:space="preserve">This application aims to obtain approvals for </w:t>
      </w:r>
      <w:r w:rsidRPr="003D32DF">
        <w:rPr>
          <w:rFonts w:asciiTheme="minorHAnsi" w:hAnsiTheme="minorHAnsi" w:cstheme="minorHAnsi"/>
          <w:szCs w:val="22"/>
        </w:rPr>
        <w:t xml:space="preserve">the Data Submission Agreement (DSA) and Data Use Certification (DUC) information collection documents, </w:t>
      </w:r>
      <w:r w:rsidRPr="003D32DF" w:rsidR="00204B78">
        <w:rPr>
          <w:rFonts w:asciiTheme="minorHAnsi" w:hAnsiTheme="minorHAnsi" w:cstheme="minorHAnsi"/>
          <w:szCs w:val="22"/>
        </w:rPr>
        <w:t>which collect information about researchers submitting data and requesting access to shared data in the NIMH Data Archive (NDA).</w:t>
      </w:r>
      <w:r w:rsidRPr="003D32DF">
        <w:rPr>
          <w:rFonts w:asciiTheme="minorHAnsi" w:hAnsiTheme="minorHAnsi" w:cstheme="minorHAnsi"/>
          <w:szCs w:val="22"/>
        </w:rPr>
        <w:t xml:space="preserve"> The NDA is an infrastructure for sharing human subjects research data and tools to further collaboration and scientific discovery. While the NDA is a single system, it is comprised of several research domains each with their own associated permission group. The information collected in the DSA and DUC is needed to provide appropriate permissions to either submit or access data, monitor the expiration of these permissions, track and report on permissions and requests, ensure that the terms of submission/access are followed, and provide appropriate attribution for data contributions, and communicate important information about the NDA.</w:t>
      </w:r>
    </w:p>
    <w:p w:rsidR="00D643C7" w:rsidRPr="003D32DF" w:rsidP="00005DD9" w14:paraId="62638256" w14:textId="77777777">
      <w:pPr>
        <w:pStyle w:val="P1-StandPara"/>
        <w:tabs>
          <w:tab w:val="left" w:pos="720"/>
          <w:tab w:val="right" w:leader="dot" w:pos="9504"/>
        </w:tabs>
        <w:spacing w:before="120" w:after="120" w:line="240" w:lineRule="auto"/>
        <w:ind w:firstLine="0"/>
        <w:rPr>
          <w:rFonts w:asciiTheme="minorHAnsi" w:hAnsiTheme="minorHAnsi" w:cstheme="minorHAnsi"/>
          <w:szCs w:val="22"/>
        </w:rPr>
      </w:pPr>
    </w:p>
    <w:p w:rsidR="000F3043" w:rsidRPr="003D32DF" w:rsidP="00005DD9" w14:paraId="278F4695" w14:textId="77777777">
      <w:pPr>
        <w:pStyle w:val="P1-StandPara"/>
        <w:tabs>
          <w:tab w:val="left" w:pos="720"/>
          <w:tab w:val="right" w:leader="dot" w:pos="9504"/>
        </w:tabs>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A.1</w:t>
      </w:r>
      <w:r w:rsidRPr="003D32DF">
        <w:rPr>
          <w:rFonts w:asciiTheme="minorHAnsi" w:hAnsiTheme="minorHAnsi" w:cstheme="minorHAnsi"/>
          <w:b/>
          <w:szCs w:val="22"/>
        </w:rPr>
        <w:tab/>
        <w:t>Circumstances Making the Collection of Information Necessary</w:t>
      </w:r>
    </w:p>
    <w:p w:rsidR="005608D9" w:rsidRPr="003D32DF" w:rsidP="00005DD9" w14:paraId="5F276878" w14:textId="378F3A16">
      <w:pPr>
        <w:spacing w:before="120" w:after="120" w:line="240" w:lineRule="auto"/>
        <w:rPr>
          <w:rFonts w:cstheme="minorHAnsi"/>
        </w:rPr>
      </w:pPr>
      <w:r w:rsidRPr="003D32DF">
        <w:rPr>
          <w:rFonts w:cstheme="minorHAnsi"/>
        </w:rPr>
        <w:t xml:space="preserve">The NDA is a group of Federal data repositories based on an informatics platform for human-subjects research domains related to several scientific domains. Initially established as the National Database for Autism Research (NDAR) to support autism-related research, other research areas recognized the utility and benefit of the system prompting the expansion into other areas of mental health research prompting the NIMH to make data sharing an expectation for all clinical research it funds (see </w:t>
      </w:r>
      <w:hyperlink r:id="rId6" w:history="1">
        <w:r w:rsidRPr="003D32DF">
          <w:rPr>
            <w:rStyle w:val="Hyperlink"/>
            <w:rFonts w:cstheme="minorHAnsi"/>
          </w:rPr>
          <w:t>NOT-MH-14-015</w:t>
        </w:r>
      </w:hyperlink>
      <w:r w:rsidRPr="003D32DF">
        <w:rPr>
          <w:rFonts w:cstheme="minorHAnsi"/>
        </w:rPr>
        <w:t xml:space="preserve"> and </w:t>
      </w:r>
      <w:hyperlink r:id="rId7" w:history="1">
        <w:r w:rsidRPr="003D32DF">
          <w:rPr>
            <w:rStyle w:val="Hyperlink"/>
            <w:rFonts w:cstheme="minorHAnsi"/>
          </w:rPr>
          <w:t>NOT-MH-15-012</w:t>
        </w:r>
      </w:hyperlink>
      <w:r w:rsidRPr="003D32DF">
        <w:rPr>
          <w:rFonts w:cstheme="minorHAnsi"/>
        </w:rPr>
        <w:t xml:space="preserve">). Although the NDA is, in fact, a single system, the data for each logically delineated scientific domain is separated into permission groups. </w:t>
      </w:r>
      <w:r w:rsidRPr="002A4B54">
        <w:rPr>
          <w:rFonts w:cstheme="minorHAnsi"/>
          <w:highlight w:val="yellow"/>
        </w:rPr>
        <w:t xml:space="preserve">As of </w:t>
      </w:r>
      <w:r w:rsidRPr="002A4B54" w:rsidR="00333873">
        <w:rPr>
          <w:rFonts w:cstheme="minorHAnsi"/>
          <w:highlight w:val="yellow"/>
        </w:rPr>
        <w:t xml:space="preserve">February </w:t>
      </w:r>
      <w:r w:rsidRPr="002A4B54" w:rsidR="00632404">
        <w:rPr>
          <w:rFonts w:cstheme="minorHAnsi"/>
          <w:highlight w:val="yellow"/>
        </w:rPr>
        <w:t>202</w:t>
      </w:r>
      <w:r w:rsidRPr="002A4B54" w:rsidR="002745C9">
        <w:rPr>
          <w:rFonts w:cstheme="minorHAnsi"/>
          <w:highlight w:val="yellow"/>
        </w:rPr>
        <w:t>6</w:t>
      </w:r>
      <w:r w:rsidRPr="002A4B54">
        <w:rPr>
          <w:rFonts w:cstheme="minorHAnsi"/>
          <w:highlight w:val="yellow"/>
        </w:rPr>
        <w:t>, the system include</w:t>
      </w:r>
      <w:r w:rsidRPr="002A4B54" w:rsidR="002745C9">
        <w:rPr>
          <w:rFonts w:cstheme="minorHAnsi"/>
          <w:highlight w:val="yellow"/>
        </w:rPr>
        <w:t xml:space="preserve">s </w:t>
      </w:r>
      <w:r w:rsidRPr="002A4B54">
        <w:rPr>
          <w:rFonts w:cstheme="minorHAnsi"/>
          <w:highlight w:val="yellow"/>
        </w:rPr>
        <w:t>the following research domains/permission groups</w:t>
      </w:r>
      <w:r w:rsidRPr="002A4B54" w:rsidR="002745C9">
        <w:rPr>
          <w:rFonts w:cstheme="minorHAnsi"/>
          <w:highlight w:val="yellow"/>
        </w:rPr>
        <w:t>:</w:t>
      </w:r>
    </w:p>
    <w:p w:rsidR="00CA2DA6" w:rsidRPr="003D32DF" w:rsidP="00005DD9" w14:paraId="4A629971" w14:textId="149CC8A3">
      <w:pPr>
        <w:pStyle w:val="ListParagraph"/>
        <w:numPr>
          <w:ilvl w:val="0"/>
          <w:numId w:val="13"/>
        </w:numPr>
        <w:spacing w:before="120" w:after="120" w:line="240" w:lineRule="auto"/>
        <w:rPr>
          <w:rFonts w:cstheme="minorHAnsi"/>
        </w:rPr>
      </w:pPr>
      <w:r w:rsidRPr="003D32DF">
        <w:rPr>
          <w:rFonts w:cstheme="minorHAnsi"/>
        </w:rPr>
        <w:t xml:space="preserve">NIMH Data </w:t>
      </w:r>
      <w:r w:rsidRPr="003D32DF" w:rsidR="00174C9C">
        <w:rPr>
          <w:rFonts w:cstheme="minorHAnsi"/>
        </w:rPr>
        <w:t>Archive</w:t>
      </w:r>
      <w:r w:rsidRPr="003D32DF" w:rsidR="005608D9">
        <w:rPr>
          <w:rFonts w:cstheme="minorHAnsi"/>
        </w:rPr>
        <w:t xml:space="preserve"> (NDA)—data submission and access</w:t>
      </w:r>
    </w:p>
    <w:p w:rsidR="00CA2DA6" w:rsidRPr="003D32DF" w:rsidP="00005DD9" w14:paraId="710973E6" w14:textId="77777777">
      <w:pPr>
        <w:pStyle w:val="ListParagraph"/>
        <w:numPr>
          <w:ilvl w:val="0"/>
          <w:numId w:val="13"/>
        </w:numPr>
        <w:spacing w:before="120" w:after="120" w:line="240" w:lineRule="auto"/>
        <w:rPr>
          <w:rFonts w:cstheme="minorHAnsi"/>
        </w:rPr>
      </w:pPr>
      <w:r w:rsidRPr="003D32DF">
        <w:rPr>
          <w:rFonts w:cstheme="minorHAnsi"/>
        </w:rPr>
        <w:t>National Database for Clinical Trials Related to Mental Illness (NDCT)—data submission and access</w:t>
      </w:r>
    </w:p>
    <w:p w:rsidR="00CA2DA6" w:rsidRPr="003D32DF" w:rsidP="00005DD9" w14:paraId="02BE92CC" w14:textId="6FB560BB">
      <w:pPr>
        <w:pStyle w:val="ListParagraph"/>
        <w:numPr>
          <w:ilvl w:val="0"/>
          <w:numId w:val="13"/>
        </w:numPr>
        <w:spacing w:before="120" w:after="120" w:line="240" w:lineRule="auto"/>
        <w:rPr>
          <w:rFonts w:cstheme="minorHAnsi"/>
        </w:rPr>
      </w:pPr>
      <w:r w:rsidRPr="003D32DF">
        <w:rPr>
          <w:rFonts w:cstheme="minorHAnsi"/>
        </w:rPr>
        <w:t>NIH Pediatric MRI Data</w:t>
      </w:r>
      <w:r w:rsidRPr="003D32DF" w:rsidR="002C464F">
        <w:rPr>
          <w:rFonts w:cstheme="minorHAnsi"/>
        </w:rPr>
        <w:t xml:space="preserve"> Repository</w:t>
      </w:r>
      <w:r w:rsidRPr="003D32DF">
        <w:rPr>
          <w:rFonts w:cstheme="minorHAnsi"/>
        </w:rPr>
        <w:t xml:space="preserve"> (</w:t>
      </w:r>
      <w:r w:rsidRPr="003D32DF">
        <w:rPr>
          <w:rFonts w:cstheme="minorHAnsi"/>
        </w:rPr>
        <w:t>PedsMRI</w:t>
      </w:r>
      <w:r w:rsidRPr="003D32DF">
        <w:rPr>
          <w:rFonts w:cstheme="minorHAnsi"/>
        </w:rPr>
        <w:t>)—data access only</w:t>
      </w:r>
    </w:p>
    <w:p w:rsidR="00CA2DA6" w:rsidRPr="003D32DF" w:rsidP="00005DD9" w14:paraId="0E4C9BF8" w14:textId="77777777">
      <w:pPr>
        <w:pStyle w:val="ListParagraph"/>
        <w:numPr>
          <w:ilvl w:val="0"/>
          <w:numId w:val="13"/>
        </w:numPr>
        <w:spacing w:before="120" w:after="120" w:line="240" w:lineRule="auto"/>
        <w:rPr>
          <w:rFonts w:cstheme="minorHAnsi"/>
        </w:rPr>
      </w:pPr>
      <w:r w:rsidRPr="003D32DF">
        <w:rPr>
          <w:rFonts w:cstheme="minorHAnsi"/>
        </w:rPr>
        <w:t>Research Domain Criteria Database (</w:t>
      </w:r>
      <w:r w:rsidRPr="003D32DF">
        <w:rPr>
          <w:rFonts w:cstheme="minorHAnsi"/>
        </w:rPr>
        <w:t>RDoCdb</w:t>
      </w:r>
      <w:r w:rsidRPr="003D32DF">
        <w:rPr>
          <w:rFonts w:cstheme="minorHAnsi"/>
        </w:rPr>
        <w:t>)—data submission and access</w:t>
      </w:r>
    </w:p>
    <w:p w:rsidR="00CA2DA6" w:rsidRPr="003D32DF" w:rsidP="00005DD9" w14:paraId="70A5AD32" w14:textId="77777777">
      <w:pPr>
        <w:pStyle w:val="ListParagraph"/>
        <w:numPr>
          <w:ilvl w:val="0"/>
          <w:numId w:val="13"/>
        </w:numPr>
        <w:spacing w:before="120" w:after="120" w:line="240" w:lineRule="auto"/>
        <w:rPr>
          <w:rFonts w:cstheme="minorHAnsi"/>
        </w:rPr>
      </w:pPr>
      <w:r w:rsidRPr="003D32DF">
        <w:rPr>
          <w:rFonts w:cstheme="minorHAnsi"/>
        </w:rPr>
        <w:t>Adolescent Brain Cognitive Development Study (ABCD) – data access only</w:t>
      </w:r>
    </w:p>
    <w:p w:rsidR="000F3043" w:rsidRPr="003D32DF" w:rsidP="00005DD9" w14:paraId="3EE4B580" w14:textId="7435987F">
      <w:pPr>
        <w:pStyle w:val="ListParagraph"/>
        <w:numPr>
          <w:ilvl w:val="0"/>
          <w:numId w:val="13"/>
        </w:numPr>
        <w:spacing w:before="120" w:after="120" w:line="240" w:lineRule="auto"/>
        <w:rPr>
          <w:rFonts w:cstheme="minorHAnsi"/>
        </w:rPr>
      </w:pPr>
      <w:r w:rsidRPr="003D32DF">
        <w:rPr>
          <w:rFonts w:cstheme="minorHAnsi"/>
        </w:rPr>
        <w:t>Osteoarthritis Initiative (OAI) – data access only</w:t>
      </w:r>
    </w:p>
    <w:p w:rsidR="002A1201" w:rsidRPr="003D32DF" w:rsidP="00005DD9" w14:paraId="47284403" w14:textId="45DE96AB">
      <w:pPr>
        <w:pStyle w:val="ListParagraph"/>
        <w:numPr>
          <w:ilvl w:val="0"/>
          <w:numId w:val="13"/>
        </w:numPr>
        <w:spacing w:before="120" w:after="120" w:line="240" w:lineRule="auto"/>
        <w:rPr>
          <w:rFonts w:cstheme="minorHAnsi"/>
        </w:rPr>
      </w:pPr>
      <w:r w:rsidRPr="003D32DF">
        <w:rPr>
          <w:rFonts w:cstheme="minorHAnsi"/>
        </w:rPr>
        <w:t>Connectome Coordination Facility (CCF)</w:t>
      </w:r>
      <w:r w:rsidRPr="003D32DF" w:rsidR="00C03E91">
        <w:rPr>
          <w:rFonts w:cstheme="minorHAnsi"/>
        </w:rPr>
        <w:t xml:space="preserve"> – data access only</w:t>
      </w:r>
    </w:p>
    <w:p w:rsidR="00641821" w:rsidRPr="003D32DF" w:rsidP="00005DD9" w14:paraId="69F2EAB8" w14:textId="26FCE414">
      <w:pPr>
        <w:pStyle w:val="ListParagraph"/>
        <w:numPr>
          <w:ilvl w:val="0"/>
          <w:numId w:val="13"/>
        </w:numPr>
        <w:spacing w:before="120" w:after="120" w:line="240" w:lineRule="auto"/>
        <w:rPr>
          <w:rFonts w:cstheme="minorHAnsi"/>
        </w:rPr>
      </w:pPr>
      <w:r w:rsidRPr="003D32DF">
        <w:rPr>
          <w:rFonts w:cstheme="minorHAnsi"/>
        </w:rPr>
        <w:t>National Institute on Alcohol Abuse and Alcoholism Data Archive (NIAAA</w:t>
      </w:r>
      <w:r w:rsidRPr="003D32DF">
        <w:rPr>
          <w:rFonts w:cstheme="minorHAnsi"/>
          <w:vertAlign w:val="subscript"/>
        </w:rPr>
        <w:t>DA</w:t>
      </w:r>
      <w:r w:rsidRPr="003D32DF">
        <w:rPr>
          <w:rFonts w:cstheme="minorHAnsi"/>
        </w:rPr>
        <w:t>)</w:t>
      </w:r>
      <w:r w:rsidRPr="003D32DF" w:rsidR="00C03E91">
        <w:rPr>
          <w:rFonts w:cstheme="minorHAnsi"/>
        </w:rPr>
        <w:t xml:space="preserve"> – data access only</w:t>
      </w:r>
    </w:p>
    <w:p w:rsidR="003659B7" w:rsidRPr="003D32DF" w:rsidP="00005DD9" w14:paraId="4EC68CBC" w14:textId="1977F08F">
      <w:pPr>
        <w:pStyle w:val="ListParagraph"/>
        <w:numPr>
          <w:ilvl w:val="0"/>
          <w:numId w:val="13"/>
        </w:numPr>
        <w:spacing w:before="120" w:after="120" w:line="240" w:lineRule="auto"/>
        <w:rPr>
          <w:rFonts w:cstheme="minorHAnsi"/>
        </w:rPr>
      </w:pPr>
      <w:r w:rsidRPr="003D32DF">
        <w:rPr>
          <w:rFonts w:cstheme="minorHAnsi"/>
        </w:rPr>
        <w:t xml:space="preserve">The Helping to End Addiction Long-Term (HEAL) </w:t>
      </w:r>
      <w:r w:rsidRPr="003D32DF" w:rsidR="00A872EB">
        <w:rPr>
          <w:rFonts w:cstheme="minorHAnsi"/>
        </w:rPr>
        <w:t xml:space="preserve">– </w:t>
      </w:r>
      <w:r w:rsidRPr="003D32DF" w:rsidR="00174C9C">
        <w:rPr>
          <w:rFonts w:cstheme="minorHAnsi"/>
        </w:rPr>
        <w:t>data submission and access</w:t>
      </w:r>
    </w:p>
    <w:p w:rsidR="00DB087E" w:rsidP="000E33A8" w14:paraId="1834B1E1" w14:textId="056D0405">
      <w:pPr>
        <w:pStyle w:val="ListParagraph"/>
        <w:numPr>
          <w:ilvl w:val="0"/>
          <w:numId w:val="13"/>
        </w:numPr>
        <w:spacing w:before="120" w:after="120" w:line="240" w:lineRule="auto"/>
        <w:rPr>
          <w:rFonts w:cstheme="minorHAnsi"/>
        </w:rPr>
      </w:pPr>
      <w:r w:rsidRPr="003D32DF">
        <w:rPr>
          <w:rFonts w:cstheme="minorHAnsi"/>
        </w:rPr>
        <w:t xml:space="preserve">Accelerating Medicines Partnership – Schizophrenia (AMP SCZ) Data Repository </w:t>
      </w:r>
    </w:p>
    <w:p w:rsidR="000E33A8" w:rsidRPr="002745C9" w:rsidP="000E33A8" w14:paraId="4E403328" w14:textId="499CB832">
      <w:pPr>
        <w:pStyle w:val="ListParagraph"/>
        <w:numPr>
          <w:ilvl w:val="0"/>
          <w:numId w:val="13"/>
        </w:numPr>
        <w:spacing w:before="120" w:after="120" w:line="240" w:lineRule="auto"/>
        <w:rPr>
          <w:rFonts w:cstheme="minorHAnsi"/>
          <w:highlight w:val="yellow"/>
        </w:rPr>
      </w:pPr>
      <w:r w:rsidRPr="002745C9">
        <w:rPr>
          <w:rFonts w:cstheme="minorHAnsi"/>
          <w:highlight w:val="yellow"/>
        </w:rPr>
        <w:t xml:space="preserve">The </w:t>
      </w:r>
      <w:r w:rsidRPr="002745C9">
        <w:rPr>
          <w:rFonts w:cstheme="minorHAnsi"/>
          <w:highlight w:val="yellow"/>
        </w:rPr>
        <w:t>NeuroBioBank</w:t>
      </w:r>
      <w:r w:rsidRPr="002745C9">
        <w:rPr>
          <w:rFonts w:cstheme="minorHAnsi"/>
          <w:highlight w:val="yellow"/>
        </w:rPr>
        <w:t xml:space="preserve"> (NBB) Data Repository</w:t>
      </w:r>
      <w:r w:rsidRPr="002745C9" w:rsidR="00C16E3E">
        <w:rPr>
          <w:rFonts w:cstheme="minorHAnsi"/>
          <w:highlight w:val="yellow"/>
        </w:rPr>
        <w:t xml:space="preserve">—data </w:t>
      </w:r>
      <w:r w:rsidRPr="002745C9" w:rsidR="00D1465E">
        <w:rPr>
          <w:rFonts w:cstheme="minorHAnsi"/>
          <w:highlight w:val="yellow"/>
        </w:rPr>
        <w:t xml:space="preserve">submission and </w:t>
      </w:r>
      <w:r w:rsidRPr="002745C9" w:rsidR="00C16E3E">
        <w:rPr>
          <w:rFonts w:cstheme="minorHAnsi"/>
          <w:highlight w:val="yellow"/>
        </w:rPr>
        <w:t>access</w:t>
      </w:r>
    </w:p>
    <w:p w:rsidR="00C16E3E" w:rsidRPr="002745C9" w:rsidP="000E33A8" w14:paraId="3DEE8A70" w14:textId="3EFD8988">
      <w:pPr>
        <w:pStyle w:val="ListParagraph"/>
        <w:numPr>
          <w:ilvl w:val="0"/>
          <w:numId w:val="13"/>
        </w:numPr>
        <w:spacing w:before="120" w:after="120" w:line="240" w:lineRule="auto"/>
        <w:rPr>
          <w:rFonts w:cstheme="minorHAnsi"/>
          <w:highlight w:val="yellow"/>
        </w:rPr>
      </w:pPr>
      <w:r w:rsidRPr="002745C9">
        <w:rPr>
          <w:rFonts w:cstheme="minorHAnsi"/>
          <w:highlight w:val="yellow"/>
        </w:rPr>
        <w:t xml:space="preserve">The </w:t>
      </w:r>
      <w:r w:rsidRPr="002745C9">
        <w:rPr>
          <w:rFonts w:cstheme="minorHAnsi"/>
          <w:highlight w:val="yellow"/>
        </w:rPr>
        <w:t>PsychENCODE</w:t>
      </w:r>
      <w:r w:rsidRPr="002745C9" w:rsidR="00714067">
        <w:rPr>
          <w:rFonts w:cstheme="minorHAnsi"/>
          <w:highlight w:val="yellow"/>
        </w:rPr>
        <w:t xml:space="preserve"> (PEC)</w:t>
      </w:r>
      <w:r w:rsidRPr="002745C9">
        <w:rPr>
          <w:rFonts w:cstheme="minorHAnsi"/>
          <w:highlight w:val="yellow"/>
        </w:rPr>
        <w:t xml:space="preserve"> Consortium—</w:t>
      </w:r>
      <w:r w:rsidRPr="002745C9" w:rsidR="00714067">
        <w:rPr>
          <w:rFonts w:cstheme="minorHAnsi"/>
          <w:highlight w:val="yellow"/>
        </w:rPr>
        <w:t>data access only</w:t>
      </w:r>
    </w:p>
    <w:p w:rsidR="002378A7" w:rsidRPr="003D32DF" w:rsidP="00005DD9" w14:paraId="03B34DFB" w14:textId="54C73C7D">
      <w:pPr>
        <w:spacing w:before="120" w:after="120" w:line="240" w:lineRule="auto"/>
        <w:rPr>
          <w:rFonts w:cstheme="minorHAnsi"/>
        </w:rPr>
      </w:pPr>
      <w:r w:rsidRPr="003D32DF">
        <w:rPr>
          <w:rFonts w:cstheme="minorHAnsi"/>
          <w:b/>
          <w:bCs/>
        </w:rPr>
        <w:t>NDA</w:t>
      </w:r>
      <w:r w:rsidRPr="003D32DF">
        <w:rPr>
          <w:rFonts w:cstheme="minorHAnsi"/>
        </w:rPr>
        <w:t xml:space="preserve">: </w:t>
      </w:r>
      <w:r w:rsidRPr="003D32DF" w:rsidR="00174C9C">
        <w:rPr>
          <w:rFonts w:cstheme="minorHAnsi"/>
        </w:rPr>
        <w:t xml:space="preserve">The National Institute of Mental Health Data Archive (NDA) makes available human subjects data collected from hundreds of research projects across many scientific domains. NDA provides infrastructure for sharing research data, tools, methods, and analyses enabling collaborative science and discovery. De-identified human </w:t>
      </w:r>
      <w:r w:rsidRPr="003D32DF" w:rsidR="00174C9C">
        <w:rPr>
          <w:rFonts w:cstheme="minorHAnsi"/>
        </w:rPr>
        <w:t>subjects</w:t>
      </w:r>
      <w:r w:rsidRPr="003D32DF" w:rsidR="00174C9C">
        <w:rPr>
          <w:rFonts w:cstheme="minorHAnsi"/>
        </w:rPr>
        <w:t xml:space="preserve"> data, harmonized to a common standard, are available to qualified researchers. Summary data are available to all.</w:t>
      </w:r>
      <w:r w:rsidRPr="003D32DF" w:rsidR="008726F1">
        <w:rPr>
          <w:rFonts w:cstheme="minorHAnsi"/>
        </w:rPr>
        <w:t xml:space="preserve"> Please note, this </w:t>
      </w:r>
      <w:r w:rsidRPr="003D32DF" w:rsidR="00684184">
        <w:rPr>
          <w:rFonts w:cstheme="minorHAnsi"/>
        </w:rPr>
        <w:t xml:space="preserve">permission group </w:t>
      </w:r>
      <w:r w:rsidRPr="003D32DF" w:rsidR="008726F1">
        <w:rPr>
          <w:rFonts w:cstheme="minorHAnsi"/>
        </w:rPr>
        <w:t xml:space="preserve">was previously called the National Database for Autism </w:t>
      </w:r>
      <w:r w:rsidRPr="003D32DF" w:rsidR="008726F1">
        <w:rPr>
          <w:rFonts w:cstheme="minorHAnsi"/>
        </w:rPr>
        <w:t xml:space="preserve">Research [NDAR], </w:t>
      </w:r>
      <w:r w:rsidRPr="003D32DF" w:rsidR="00E83859">
        <w:rPr>
          <w:rFonts w:cstheme="minorHAnsi"/>
        </w:rPr>
        <w:t>and</w:t>
      </w:r>
      <w:r w:rsidRPr="003D32DF" w:rsidR="00E83859">
        <w:rPr>
          <w:rFonts w:cstheme="minorHAnsi"/>
        </w:rPr>
        <w:t xml:space="preserve"> is now called the NDA</w:t>
      </w:r>
      <w:r w:rsidRPr="003D32DF" w:rsidR="008726F1">
        <w:rPr>
          <w:rFonts w:cstheme="minorHAnsi"/>
        </w:rPr>
        <w:t xml:space="preserve">. </w:t>
      </w:r>
    </w:p>
    <w:p w:rsidR="00A766A4" w:rsidRPr="003D32DF" w:rsidP="00005DD9" w14:paraId="2B68D833" w14:textId="27430666">
      <w:pPr>
        <w:spacing w:before="120" w:after="120" w:line="240" w:lineRule="auto"/>
        <w:rPr>
          <w:rFonts w:cstheme="minorHAnsi"/>
        </w:rPr>
      </w:pPr>
      <w:r w:rsidRPr="003D32DF">
        <w:rPr>
          <w:rFonts w:cstheme="minorHAnsi"/>
          <w:b/>
          <w:bCs/>
        </w:rPr>
        <w:t>NDCT</w:t>
      </w:r>
      <w:r w:rsidRPr="003D32DF">
        <w:rPr>
          <w:rFonts w:cstheme="minorHAnsi"/>
        </w:rPr>
        <w:t xml:space="preserve">: NIMH has made data sharing an expectation for all future clinical trials funded by NIMH (see </w:t>
      </w:r>
      <w:hyperlink r:id="rId6" w:history="1">
        <w:r w:rsidRPr="003D32DF">
          <w:rPr>
            <w:rStyle w:val="Hyperlink"/>
            <w:rFonts w:cstheme="minorHAnsi"/>
          </w:rPr>
          <w:t>NOT-MH-14-015</w:t>
        </w:r>
      </w:hyperlink>
      <w:r w:rsidRPr="003D32DF">
        <w:rPr>
          <w:rFonts w:cstheme="minorHAnsi"/>
        </w:rPr>
        <w:t>). Researchers are expected to submit both positive and negative data and results from NIMH-funded clinical trials to the NDCT (</w:t>
      </w:r>
      <w:hyperlink r:id="rId8" w:history="1">
        <w:r w:rsidRPr="003D32DF" w:rsidR="00DE15D4">
          <w:rPr>
            <w:rStyle w:val="Hyperlink"/>
            <w:rFonts w:cstheme="minorHAnsi"/>
          </w:rPr>
          <w:t>https://data-archive.nimh.nih.gov/ndct</w:t>
        </w:r>
      </w:hyperlink>
      <w:r w:rsidRPr="003D32DF">
        <w:rPr>
          <w:rFonts w:cstheme="minorHAnsi"/>
        </w:rPr>
        <w:t xml:space="preserve">), which will use the NDAR model. NDCT provides a system to support the submission, sharing and access of relevant data at all levels of </w:t>
      </w:r>
      <w:r w:rsidRPr="003D32DF">
        <w:rPr>
          <w:rFonts w:cstheme="minorHAnsi"/>
        </w:rPr>
        <w:t>biological and behavioral organization and for all data types. At present, data submitted to NDCT will be the result of grants funded through a series of NIMH funding opportunity announcements (FOAs).</w:t>
      </w:r>
    </w:p>
    <w:p w:rsidR="002378A7" w:rsidRPr="003D32DF" w:rsidP="00005DD9" w14:paraId="10C33EB9" w14:textId="260395E6">
      <w:pPr>
        <w:spacing w:before="120" w:after="120" w:line="240" w:lineRule="auto"/>
        <w:rPr>
          <w:rFonts w:cstheme="minorHAnsi"/>
        </w:rPr>
      </w:pPr>
      <w:r w:rsidRPr="003D32DF">
        <w:rPr>
          <w:rFonts w:cstheme="minorHAnsi"/>
          <w:b/>
          <w:bCs/>
        </w:rPr>
        <w:t>PedsMRI</w:t>
      </w:r>
      <w:r w:rsidRPr="003D32DF">
        <w:rPr>
          <w:rFonts w:cstheme="minorHAnsi"/>
        </w:rPr>
        <w:t xml:space="preserve">: The </w:t>
      </w:r>
      <w:r w:rsidRPr="003D32DF">
        <w:rPr>
          <w:rFonts w:cstheme="minorHAnsi"/>
        </w:rPr>
        <w:t>PedsMRI</w:t>
      </w:r>
      <w:r w:rsidRPr="003D32DF">
        <w:rPr>
          <w:rFonts w:cstheme="minorHAnsi"/>
        </w:rPr>
        <w:t xml:space="preserve"> (</w:t>
      </w:r>
      <w:hyperlink r:id="rId9" w:history="1">
        <w:r w:rsidRPr="003D32DF" w:rsidR="00DE2E2D">
          <w:rPr>
            <w:rStyle w:val="Hyperlink"/>
            <w:rFonts w:cstheme="minorHAnsi"/>
          </w:rPr>
          <w:t>www.pediatricmri.nih.gov</w:t>
        </w:r>
      </w:hyperlink>
      <w:r w:rsidRPr="003D32DF">
        <w:rPr>
          <w:rFonts w:cstheme="minorHAnsi"/>
        </w:rPr>
        <w:t xml:space="preserve">) was created by four NIH institutes (NICHD, NIMH, NIDA and NINDS) using a contract mechanism to collect brain magnetic-resonance imaging data (anatomic MRI, supplemented by proton spectroscopy and diffusion tensor imaging) and correlated clinical/behavioral data from over 500 healthy, psychiatrically normal children, ages newborn to late adolescent/young adult. The goal of </w:t>
      </w:r>
      <w:r w:rsidRPr="003D32DF">
        <w:rPr>
          <w:rFonts w:cstheme="minorHAnsi"/>
        </w:rPr>
        <w:t>PedsMRI</w:t>
      </w:r>
      <w:r w:rsidRPr="003D32DF">
        <w:rPr>
          <w:rFonts w:cstheme="minorHAnsi"/>
        </w:rPr>
        <w:t xml:space="preserve"> is to provide a normative reference that might be used to study healthy brain development as a basis for studying child and adolescent brain disorders and diseases, and for developing tools (e.g., image processing tools, atlases, etc.) that might be used to study brain development. </w:t>
      </w:r>
      <w:r w:rsidRPr="003D32DF">
        <w:rPr>
          <w:rFonts w:cstheme="minorHAnsi"/>
        </w:rPr>
        <w:t>PedsMRI</w:t>
      </w:r>
      <w:r w:rsidRPr="003D32DF">
        <w:rPr>
          <w:rFonts w:cstheme="minorHAnsi"/>
        </w:rPr>
        <w:t xml:space="preserve"> has been moved to the NIH (housed at the NIH Data Center) and into the infrastructure provided by NDAR.</w:t>
      </w:r>
    </w:p>
    <w:p w:rsidR="002378A7" w:rsidRPr="003D32DF" w:rsidP="00005DD9" w14:paraId="7C4EF64B" w14:textId="27C3C560">
      <w:pPr>
        <w:spacing w:before="120" w:after="120" w:line="240" w:lineRule="auto"/>
        <w:rPr>
          <w:rFonts w:cstheme="minorHAnsi"/>
        </w:rPr>
      </w:pPr>
      <w:r w:rsidRPr="003D32DF">
        <w:rPr>
          <w:rFonts w:cstheme="minorHAnsi"/>
          <w:b/>
          <w:bCs/>
        </w:rPr>
        <w:t>RDoCdb</w:t>
      </w:r>
      <w:r w:rsidRPr="003D32DF">
        <w:rPr>
          <w:rFonts w:cstheme="minorHAnsi"/>
        </w:rPr>
        <w:t>: The Research Domain Criteria (</w:t>
      </w:r>
      <w:r w:rsidRPr="003D32DF">
        <w:rPr>
          <w:rFonts w:cstheme="minorHAnsi"/>
        </w:rPr>
        <w:t>RDoC</w:t>
      </w:r>
      <w:r w:rsidRPr="003D32DF">
        <w:rPr>
          <w:rFonts w:cstheme="minorHAnsi"/>
        </w:rPr>
        <w:t xml:space="preserve">) project aligns research in genetics, neuroscience, and behavioral science to develop a precision-medicine approach for classifying mental illnesses. In contrast to current symptom-based diagnostic systems for mental illnesses, precision medicine integrates many levels of information for each patient to define a precise diagnosis. Data submitted to the </w:t>
      </w:r>
      <w:r w:rsidRPr="003D32DF">
        <w:rPr>
          <w:rFonts w:cstheme="minorHAnsi"/>
        </w:rPr>
        <w:t>RDoC</w:t>
      </w:r>
      <w:r w:rsidRPr="003D32DF">
        <w:rPr>
          <w:rFonts w:cstheme="minorHAnsi"/>
        </w:rPr>
        <w:t xml:space="preserve"> Database (</w:t>
      </w:r>
      <w:r w:rsidRPr="003D32DF">
        <w:rPr>
          <w:rFonts w:cstheme="minorHAnsi"/>
        </w:rPr>
        <w:t>RDoCdb</w:t>
      </w:r>
      <w:r w:rsidRPr="003D32DF">
        <w:rPr>
          <w:rFonts w:cstheme="minorHAnsi"/>
        </w:rPr>
        <w:t xml:space="preserve">) will include the results of grants funded through a series of NIMH FOAs in support of the </w:t>
      </w:r>
      <w:r w:rsidRPr="003D32DF">
        <w:rPr>
          <w:rFonts w:cstheme="minorHAnsi"/>
        </w:rPr>
        <w:t>RDoC</w:t>
      </w:r>
      <w:r w:rsidRPr="003D32DF">
        <w:rPr>
          <w:rFonts w:cstheme="minorHAnsi"/>
        </w:rPr>
        <w:t xml:space="preserve"> project, as well as relevant mental health data submitted by other interested investigators, regardless of funding source. More information on the </w:t>
      </w:r>
      <w:r w:rsidRPr="003D32DF">
        <w:rPr>
          <w:rFonts w:cstheme="minorHAnsi"/>
        </w:rPr>
        <w:t>RDoC</w:t>
      </w:r>
      <w:r w:rsidRPr="003D32DF">
        <w:rPr>
          <w:rFonts w:cstheme="minorHAnsi"/>
        </w:rPr>
        <w:t xml:space="preserve"> project and related FOAs can be found at </w:t>
      </w:r>
      <w:hyperlink r:id="rId10" w:history="1">
        <w:r w:rsidRPr="003D32DF" w:rsidR="002F6D47">
          <w:rPr>
            <w:rStyle w:val="Hyperlink"/>
            <w:rFonts w:cstheme="minorHAnsi"/>
          </w:rPr>
          <w:t>http://www.nimh.nih.gov/research-priorities/rdoc/index.shtml</w:t>
        </w:r>
      </w:hyperlink>
      <w:r w:rsidRPr="003D32DF">
        <w:rPr>
          <w:rFonts w:cstheme="minorHAnsi"/>
        </w:rPr>
        <w:t>.</w:t>
      </w:r>
    </w:p>
    <w:p w:rsidR="002378A7" w:rsidRPr="003D32DF" w:rsidP="00005DD9" w14:paraId="7C4B9CCB" w14:textId="1EF69FCC">
      <w:pPr>
        <w:spacing w:before="120" w:after="120" w:line="240" w:lineRule="auto"/>
        <w:rPr>
          <w:rFonts w:cstheme="minorHAnsi"/>
        </w:rPr>
      </w:pPr>
      <w:r w:rsidRPr="003D32DF">
        <w:rPr>
          <w:rFonts w:cstheme="minorHAnsi"/>
          <w:b/>
          <w:bCs/>
        </w:rPr>
        <w:t>ABCD:</w:t>
      </w:r>
      <w:r w:rsidRPr="003D32DF">
        <w:rPr>
          <w:rFonts w:cstheme="minorHAnsi"/>
        </w:rPr>
        <w:t xml:space="preserve"> The ABCD Study is a long-term study of brain development and child health in the United States. Multiple NIH Institutes and Centers and additional federal partners are supporting this ambitious project. The ABCD Consortium consists of a Coordinating Center, a Data Analysis and Informatics Center, and 21 research sites across the country where investigators will perform regular, comprehensive biological and behavioral assessments on more than 10,000 children beginning when they are ages 9 or 10, continuing throughout adolescence into early adulthood. A more complete description of the study is available at </w:t>
      </w:r>
      <w:hyperlink r:id="rId11" w:history="1">
        <w:r w:rsidRPr="003D32DF" w:rsidR="002549CD">
          <w:rPr>
            <w:rStyle w:val="Hyperlink"/>
            <w:rFonts w:cstheme="minorHAnsi"/>
          </w:rPr>
          <w:t>https://abcdstudy.org</w:t>
        </w:r>
      </w:hyperlink>
      <w:r w:rsidRPr="003D32DF">
        <w:rPr>
          <w:rFonts w:cstheme="minorHAnsi"/>
        </w:rPr>
        <w:t>.</w:t>
      </w:r>
    </w:p>
    <w:p w:rsidR="002378A7" w:rsidRPr="003D32DF" w:rsidP="00005DD9" w14:paraId="7BCB1A31" w14:textId="3B54B076">
      <w:pPr>
        <w:spacing w:before="120" w:after="120" w:line="240" w:lineRule="auto"/>
        <w:rPr>
          <w:rFonts w:cstheme="minorHAnsi"/>
        </w:rPr>
      </w:pPr>
      <w:r w:rsidRPr="003D32DF">
        <w:rPr>
          <w:rFonts w:cstheme="minorHAnsi"/>
          <w:b/>
          <w:bCs/>
        </w:rPr>
        <w:t>OAI:</w:t>
      </w:r>
      <w:r w:rsidRPr="003D32DF">
        <w:rPr>
          <w:rFonts w:cstheme="minorHAnsi"/>
        </w:rPr>
        <w:t xml:space="preserve"> The Osteoarthritis Initiative (OAI) is a multi-center, longitudinal, prospective observational study of knee osteoarthritis (OA). The overall aim of the OAI is to develop a public domain research resource to facilitate the scientific evaluation of biomarkers for osteoarthritis as potential surrogate endpoints for disease onset and progression. The OAI will establish and maintain a natural history database for osteoarthritis that will include clinical evaluation data, radiological (x-ray and magnetic resonance) images, and a biospecimen repository from 4796 men and women ages 45-79 enrolled between February 2004 and May 2006. Four 3.0 Tesla MRI scanners, one at each clinical center, are dedicated to imaging the knees of OAI participants annually over four years. The seven-year project will recruit participants who have, and those who are at high risk for developing, symptomatic knee osteoarthritis. Access to biospecimens will be by application to the National Institute of Arthritis, Musculoskeletal and Skin Diseases (NIAMS).</w:t>
      </w:r>
    </w:p>
    <w:p w:rsidR="00E10288" w:rsidRPr="003D32DF" w:rsidP="00005DD9" w14:paraId="3B027B68" w14:textId="73E142B2">
      <w:pPr>
        <w:spacing w:before="120" w:after="120" w:line="240" w:lineRule="auto"/>
        <w:rPr>
          <w:rFonts w:cstheme="minorHAnsi"/>
        </w:rPr>
      </w:pPr>
      <w:r w:rsidRPr="003D32DF">
        <w:rPr>
          <w:rFonts w:cstheme="minorHAnsi"/>
          <w:b/>
          <w:bCs/>
        </w:rPr>
        <w:t>CCF:</w:t>
      </w:r>
      <w:r w:rsidRPr="003D32DF">
        <w:rPr>
          <w:rFonts w:cstheme="minorHAnsi"/>
        </w:rPr>
        <w:t xml:space="preserve"> </w:t>
      </w:r>
      <w:r w:rsidRPr="003D32DF" w:rsidR="00C03E91">
        <w:rPr>
          <w:rFonts w:cstheme="minorHAnsi"/>
        </w:rPr>
        <w:t xml:space="preserve">The </w:t>
      </w:r>
      <w:r w:rsidRPr="003D32DF" w:rsidR="00926073">
        <w:rPr>
          <w:rFonts w:cstheme="minorHAnsi"/>
        </w:rPr>
        <w:t>CCF (</w:t>
      </w:r>
      <w:hyperlink r:id="rId12" w:history="1">
        <w:r w:rsidRPr="003D32DF" w:rsidR="00926073">
          <w:rPr>
            <w:rStyle w:val="Hyperlink"/>
            <w:rFonts w:cstheme="minorHAnsi"/>
          </w:rPr>
          <w:t>https://www.humanconnectome.org</w:t>
        </w:r>
      </w:hyperlink>
      <w:r w:rsidRPr="003D32DF" w:rsidR="00C03E91">
        <w:rPr>
          <w:rFonts w:cstheme="minorHAnsi"/>
        </w:rPr>
        <w:t>) processes and distributes public research data for a series of neuroimaging studies that focus on connections within the human brain. These are known as Human Connectome Projects (HCP). The CCF currently supports 19 NIH-funded human connectome studies (see menus above). All data releases from CCF HCP studies are being made available on the NIMH Data Archive.</w:t>
      </w:r>
    </w:p>
    <w:p w:rsidR="00E10288" w:rsidRPr="003D32DF" w:rsidP="00005DD9" w14:paraId="73FAAFE7" w14:textId="1130F863">
      <w:pPr>
        <w:spacing w:before="120" w:after="120" w:line="240" w:lineRule="auto"/>
        <w:rPr>
          <w:rFonts w:cstheme="minorHAnsi"/>
        </w:rPr>
      </w:pPr>
      <w:r w:rsidRPr="003D32DF">
        <w:rPr>
          <w:rFonts w:cstheme="minorHAnsi"/>
          <w:b/>
          <w:bCs/>
        </w:rPr>
        <w:t>NIAAA</w:t>
      </w:r>
      <w:r w:rsidRPr="003D32DF">
        <w:rPr>
          <w:rFonts w:cstheme="minorHAnsi"/>
          <w:b/>
          <w:bCs/>
          <w:vertAlign w:val="subscript"/>
        </w:rPr>
        <w:t>DA</w:t>
      </w:r>
      <w:r w:rsidRPr="003D32DF">
        <w:rPr>
          <w:rFonts w:cstheme="minorHAnsi"/>
          <w:b/>
          <w:bCs/>
        </w:rPr>
        <w:t>:</w:t>
      </w:r>
      <w:r w:rsidRPr="003D32DF">
        <w:rPr>
          <w:rFonts w:cstheme="minorHAnsi"/>
        </w:rPr>
        <w:t xml:space="preserve"> </w:t>
      </w:r>
      <w:r w:rsidRPr="003D32DF" w:rsidR="0081336E">
        <w:rPr>
          <w:rFonts w:cstheme="minorHAnsi"/>
        </w:rPr>
        <w:t>The National Institute on Alcohol Abuse and Alcoholism Data Archive (NIAAA</w:t>
      </w:r>
      <w:r w:rsidRPr="003D32DF" w:rsidR="0081336E">
        <w:rPr>
          <w:rFonts w:cstheme="minorHAnsi"/>
          <w:vertAlign w:val="subscript"/>
        </w:rPr>
        <w:t>DA</w:t>
      </w:r>
      <w:r w:rsidRPr="003D32DF" w:rsidR="0081336E">
        <w:rPr>
          <w:rFonts w:cstheme="minorHAnsi"/>
        </w:rPr>
        <w:t xml:space="preserve">) is a data repository that houses and shares human </w:t>
      </w:r>
      <w:r w:rsidRPr="003D32DF" w:rsidR="009432CD">
        <w:rPr>
          <w:rFonts w:cstheme="minorHAnsi"/>
        </w:rPr>
        <w:t>s</w:t>
      </w:r>
      <w:r w:rsidRPr="003D32DF" w:rsidR="0081336E">
        <w:rPr>
          <w:rFonts w:cstheme="minorHAnsi"/>
        </w:rPr>
        <w:t>ubjects</w:t>
      </w:r>
      <w:r w:rsidRPr="003D32DF" w:rsidR="0081336E">
        <w:rPr>
          <w:rFonts w:cstheme="minorHAnsi"/>
        </w:rPr>
        <w:t xml:space="preserve"> data generated by NIAAA-funded research.</w:t>
      </w:r>
      <w:r w:rsidRPr="003D32DF" w:rsidR="003C3586">
        <w:rPr>
          <w:rFonts w:cstheme="minorHAnsi"/>
        </w:rPr>
        <w:t xml:space="preserve"> This website</w:t>
      </w:r>
      <w:r w:rsidRPr="003D32DF" w:rsidR="009432CD">
        <w:rPr>
          <w:rFonts w:cstheme="minorHAnsi"/>
        </w:rPr>
        <w:t xml:space="preserve"> (</w:t>
      </w:r>
      <w:hyperlink r:id="rId13" w:history="1">
        <w:r w:rsidRPr="003D32DF" w:rsidR="009432CD">
          <w:rPr>
            <w:rStyle w:val="Hyperlink"/>
            <w:rFonts w:cstheme="minorHAnsi"/>
          </w:rPr>
          <w:t>https://www.niaaa.nih.gov/research/niaaa-data-archive</w:t>
        </w:r>
      </w:hyperlink>
      <w:r w:rsidRPr="003D32DF" w:rsidR="009432CD">
        <w:rPr>
          <w:rFonts w:cstheme="minorHAnsi"/>
        </w:rPr>
        <w:t>)</w:t>
      </w:r>
      <w:r w:rsidRPr="003D32DF" w:rsidR="003C3586">
        <w:rPr>
          <w:rFonts w:cstheme="minorHAnsi"/>
        </w:rPr>
        <w:t xml:space="preserve"> serves as a resource for investigators on NIAAA-funded projects preparing to share their data through NIAAADA. It also provides useful information for those who are thinking of applying for a grant that will have associated data sharing expectations. Anyone preparing to share data can visit this site and learn about the initial steps and pre-requisites prior to and </w:t>
      </w:r>
      <w:r w:rsidRPr="003D32DF" w:rsidR="003C3586">
        <w:rPr>
          <w:rFonts w:cstheme="minorHAnsi"/>
        </w:rPr>
        <w:t xml:space="preserve">immediately after award, understand the process to harmonize your data to a common definition and deposit it in the </w:t>
      </w:r>
      <w:r w:rsidRPr="003D32DF" w:rsidR="003C3586">
        <w:rPr>
          <w:rFonts w:cstheme="minorHAnsi"/>
        </w:rPr>
        <w:t>NIAAADA ,</w:t>
      </w:r>
      <w:r w:rsidRPr="003D32DF" w:rsidR="003C3586">
        <w:rPr>
          <w:rFonts w:cstheme="minorHAnsi"/>
        </w:rPr>
        <w:t xml:space="preserve"> and learn how to get help if you have a problem. Data submitted to NIAAADA will eventually be accessible by the general research community via NIAAADA.</w:t>
      </w:r>
    </w:p>
    <w:p w:rsidR="009C03F4" w:rsidRPr="003D32DF" w:rsidP="006E2310" w14:paraId="08D063C9" w14:textId="3591EE87">
      <w:pPr>
        <w:spacing w:before="120" w:after="120" w:line="240" w:lineRule="auto"/>
        <w:rPr>
          <w:rFonts w:cstheme="minorHAnsi"/>
          <w:b/>
          <w:bCs/>
        </w:rPr>
      </w:pPr>
      <w:r w:rsidRPr="003D32DF">
        <w:rPr>
          <w:rFonts w:cstheme="minorHAnsi"/>
          <w:b/>
          <w:bCs/>
        </w:rPr>
        <w:t xml:space="preserve">HEAL: </w:t>
      </w:r>
      <w:r w:rsidRPr="003D32DF">
        <w:rPr>
          <w:rStyle w:val="ui-provider"/>
          <w:rFonts w:cstheme="minorHAnsi"/>
        </w:rPr>
        <w:t>The </w:t>
      </w:r>
      <w:hyperlink r:id="rId14" w:tgtFrame="_blank" w:tooltip="https://heal.nih.gov/" w:history="1">
        <w:r w:rsidRPr="003D32DF">
          <w:rPr>
            <w:rStyle w:val="Hyperlink"/>
            <w:rFonts w:cstheme="minorHAnsi"/>
          </w:rPr>
          <w:t>Helping to End Addiction Long-term® Initiative</w:t>
        </w:r>
      </w:hyperlink>
      <w:r w:rsidRPr="003D32DF">
        <w:rPr>
          <w:rStyle w:val="ui-provider"/>
          <w:rFonts w:cstheme="minorHAnsi"/>
        </w:rPr>
        <w:t>, or NIH HEAL Initiative®, is an aggressive, trans-agency effort to speed scientific solutions to stem the national opioid public health crisis. Almost every NIH Institute and Center is accelerating research to address this public health emergency from all angles.</w:t>
      </w:r>
    </w:p>
    <w:p w:rsidR="003E69BE" w:rsidRPr="003D32DF" w:rsidP="00005DD9" w14:paraId="1573B513" w14:textId="39F5F8C1">
      <w:pPr>
        <w:spacing w:before="120" w:after="120" w:line="240" w:lineRule="auto"/>
        <w:rPr>
          <w:rFonts w:cstheme="minorHAnsi"/>
        </w:rPr>
      </w:pPr>
      <w:r w:rsidRPr="003D32DF">
        <w:rPr>
          <w:rFonts w:cstheme="minorHAnsi"/>
          <w:b/>
          <w:bCs/>
        </w:rPr>
        <w:t>AMP SCZ:</w:t>
      </w:r>
      <w:r w:rsidRPr="003D32DF">
        <w:rPr>
          <w:rFonts w:cstheme="minorHAnsi"/>
        </w:rPr>
        <w:t xml:space="preserve"> The Accelerating Medicines Partnership aims to promote development of effective, targeted treatments for schizophrenia</w:t>
      </w:r>
      <w:r w:rsidRPr="003D32DF" w:rsidR="00A872EB">
        <w:rPr>
          <w:rFonts w:cstheme="minorHAnsi"/>
        </w:rPr>
        <w:t xml:space="preserve">. </w:t>
      </w:r>
      <w:r w:rsidRPr="003D32DF">
        <w:rPr>
          <w:rFonts w:cstheme="minorHAnsi"/>
        </w:rPr>
        <w:t xml:space="preserve">The National Institutes of Health (NIH) is launching a new public-private partnership to accelerate the development of promising therapies for those at risk of developing schizophrenia (SCZ). Part of the Accelerating Medicines Partnership (AMP), AMP SCZ brings together NIH, the U.S. Food and Drug Administration (FDA), and multiple </w:t>
      </w:r>
      <w:r w:rsidRPr="003D32DF">
        <w:rPr>
          <w:rFonts w:cstheme="minorHAnsi"/>
        </w:rPr>
        <w:t>biopharmaceutical</w:t>
      </w:r>
      <w:r w:rsidRPr="003D32DF">
        <w:rPr>
          <w:rFonts w:cstheme="minorHAnsi"/>
        </w:rPr>
        <w:t>, life science, academic, and not-for-profit organizations with the shared goal of discovering better ways of identifying and treating those at clinical high risk for psychosis. The National Institute of Mental Health (NIMH) joins fellow NIH Institutes supporting AMP programs. AMP SCZ adds to ongoing NIMH efforts focused on early detection and intervention in SCZ.</w:t>
      </w:r>
    </w:p>
    <w:p w:rsidR="002378A7" w:rsidP="00005DD9" w14:paraId="205410F7" w14:textId="33F349D6">
      <w:pPr>
        <w:spacing w:before="120" w:after="120" w:line="240" w:lineRule="auto"/>
        <w:rPr>
          <w:rFonts w:cstheme="minorHAnsi"/>
        </w:rPr>
      </w:pPr>
      <w:r w:rsidRPr="003D32DF">
        <w:rPr>
          <w:rFonts w:cstheme="minorHAnsi"/>
        </w:rPr>
        <w:t xml:space="preserve">The potential for public benefit to be achieved through sharing autism, pediatric MRI, and clinical research data continues to be significant. The National Institutes of Health (NIH) and NIMH have expanded the NDA to store the collection of data from participants in research studies related to mental health, regardless of the source of funding. The extensive information collected by these studies, and subsequently made available via NDAR, </w:t>
      </w:r>
      <w:r w:rsidRPr="003D32DF">
        <w:rPr>
          <w:rFonts w:cstheme="minorHAnsi"/>
        </w:rPr>
        <w:t>PedsMRI</w:t>
      </w:r>
      <w:r w:rsidRPr="003D32DF">
        <w:rPr>
          <w:rFonts w:cstheme="minorHAnsi"/>
        </w:rPr>
        <w:t xml:space="preserve">, NDCT, </w:t>
      </w:r>
      <w:r w:rsidRPr="003D32DF">
        <w:rPr>
          <w:rFonts w:cstheme="minorHAnsi"/>
        </w:rPr>
        <w:t>RDoCdb</w:t>
      </w:r>
      <w:r w:rsidRPr="003D32DF">
        <w:rPr>
          <w:rFonts w:cstheme="minorHAnsi"/>
        </w:rPr>
        <w:t>, ABCD, OAI, and other future permission groups provides a rare and valuable scientific resource.</w:t>
      </w:r>
      <w:r w:rsidRPr="003D32DF" w:rsidR="00FA2E1F">
        <w:rPr>
          <w:rFonts w:cstheme="minorHAnsi"/>
        </w:rPr>
        <w:t xml:space="preserve"> Authority for the collection of the information requested from the submitting investigators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00714067" w:rsidRPr="002A4B54" w:rsidP="00C724B2" w14:paraId="7E85F003" w14:textId="0E93FA9E">
      <w:pPr>
        <w:spacing w:before="120" w:after="120" w:line="240" w:lineRule="auto"/>
        <w:rPr>
          <w:rFonts w:cstheme="minorHAnsi"/>
          <w:highlight w:val="yellow"/>
        </w:rPr>
      </w:pPr>
      <w:r w:rsidRPr="002A4B54">
        <w:rPr>
          <w:rFonts w:cstheme="minorHAnsi"/>
          <w:b/>
          <w:bCs/>
          <w:highlight w:val="yellow"/>
        </w:rPr>
        <w:t>NBB:</w:t>
      </w:r>
      <w:r w:rsidRPr="002A4B54">
        <w:rPr>
          <w:rFonts w:cstheme="minorHAnsi"/>
          <w:highlight w:val="yellow"/>
        </w:rPr>
        <w:t xml:space="preserve"> </w:t>
      </w:r>
      <w:r w:rsidRPr="002A4B54" w:rsidR="00C724B2">
        <w:rPr>
          <w:rFonts w:cstheme="minorHAnsi"/>
          <w:highlight w:val="yellow"/>
        </w:rPr>
        <w:t xml:space="preserve">The NIH </w:t>
      </w:r>
      <w:r w:rsidRPr="002A4B54" w:rsidR="00C724B2">
        <w:rPr>
          <w:rFonts w:cstheme="minorHAnsi"/>
          <w:highlight w:val="yellow"/>
        </w:rPr>
        <w:t>NeuroBioBank</w:t>
      </w:r>
      <w:r w:rsidRPr="002A4B54" w:rsidR="00C724B2">
        <w:rPr>
          <w:rFonts w:cstheme="minorHAnsi"/>
          <w:highlight w:val="yellow"/>
        </w:rPr>
        <w:t xml:space="preserve"> (NBB) provides high-quality, well-characterized post-mortem human brain samples and biospecimens for investigators conducting research to better understand the conditions of the central nervous system. NBB, within the NIMH Data Archive (NDA), currently houses genome wide array genotypes and whole genome short-read sequencing datasets obtained from specimens in the </w:t>
      </w:r>
      <w:r w:rsidRPr="002A4B54" w:rsidR="008C6730">
        <w:rPr>
          <w:rFonts w:cstheme="minorHAnsi"/>
          <w:highlight w:val="yellow"/>
        </w:rPr>
        <w:t>NBB</w:t>
      </w:r>
      <w:r w:rsidRPr="002A4B54" w:rsidR="00C724B2">
        <w:rPr>
          <w:rFonts w:cstheme="minorHAnsi"/>
          <w:highlight w:val="yellow"/>
        </w:rPr>
        <w:t xml:space="preserve"> inventory. Furthermore, additional genomic and transcriptomic data generated by investigators using N</w:t>
      </w:r>
      <w:r w:rsidRPr="002A4B54" w:rsidR="008C6730">
        <w:rPr>
          <w:rFonts w:cstheme="minorHAnsi"/>
          <w:highlight w:val="yellow"/>
        </w:rPr>
        <w:t>BB</w:t>
      </w:r>
      <w:r w:rsidRPr="002A4B54" w:rsidR="00C724B2">
        <w:rPr>
          <w:rFonts w:cstheme="minorHAnsi"/>
          <w:highlight w:val="yellow"/>
        </w:rPr>
        <w:t xml:space="preserve"> specimens are housed in NDA as associated collections. </w:t>
      </w:r>
    </w:p>
    <w:p w:rsidR="00005DD9" w:rsidP="00005DD9" w14:paraId="1764596E" w14:textId="119B9192">
      <w:pPr>
        <w:spacing w:before="120" w:after="120" w:line="240" w:lineRule="auto"/>
        <w:rPr>
          <w:rFonts w:cstheme="minorHAnsi"/>
        </w:rPr>
      </w:pPr>
      <w:r w:rsidRPr="002A4B54">
        <w:rPr>
          <w:rFonts w:cstheme="minorHAnsi"/>
          <w:b/>
          <w:bCs/>
          <w:highlight w:val="yellow"/>
        </w:rPr>
        <w:t>PEC:</w:t>
      </w:r>
      <w:r w:rsidRPr="002A4B54">
        <w:rPr>
          <w:rFonts w:cstheme="minorHAnsi"/>
          <w:highlight w:val="yellow"/>
        </w:rPr>
        <w:t xml:space="preserve"> </w:t>
      </w:r>
      <w:r w:rsidRPr="002A4B54" w:rsidR="00186B78">
        <w:rPr>
          <w:rFonts w:cstheme="minorHAnsi"/>
          <w:highlight w:val="yellow"/>
        </w:rPr>
        <w:t xml:space="preserve">the </w:t>
      </w:r>
      <w:r w:rsidRPr="002A4B54" w:rsidR="00186B78">
        <w:rPr>
          <w:rFonts w:cstheme="minorHAnsi"/>
          <w:highlight w:val="yellow"/>
        </w:rPr>
        <w:t>PsychENCODE</w:t>
      </w:r>
      <w:r w:rsidRPr="002A4B54" w:rsidR="00186B78">
        <w:rPr>
          <w:rFonts w:cstheme="minorHAnsi"/>
          <w:highlight w:val="yellow"/>
        </w:rPr>
        <w:t xml:space="preserve"> (PEC) Consortium brings together multidisciplinary teams to study the molecular basis of neuropsychiatric diseases. Genetic influences on brain function are remarkably complex, characterized by a highly polygenic risk architecture and often located in the non-coding regions of the genome. PEC members generate</w:t>
      </w:r>
      <w:r w:rsidRPr="002A4B54" w:rsidR="0044734A">
        <w:rPr>
          <w:rFonts w:cstheme="minorHAnsi"/>
          <w:highlight w:val="yellow"/>
        </w:rPr>
        <w:t>d</w:t>
      </w:r>
      <w:r w:rsidRPr="002A4B54" w:rsidR="00186B78">
        <w:rPr>
          <w:rFonts w:cstheme="minorHAnsi"/>
          <w:highlight w:val="yellow"/>
        </w:rPr>
        <w:t xml:space="preserve"> large-scale gene expression and regulatory data from human postmortem brain tissues in major psychiatric disorders across multiple developmental stages. The goal is to map and functionally validate disease‐associated genetic variants, regulatory elements, genes, and cell types. Phase II of the project focused on single-cell and spatial data</w:t>
      </w:r>
      <w:r w:rsidRPr="002A4B54" w:rsidR="00D323D3">
        <w:rPr>
          <w:rFonts w:cstheme="minorHAnsi"/>
          <w:highlight w:val="yellow"/>
        </w:rPr>
        <w:t>.</w:t>
      </w:r>
    </w:p>
    <w:p w:rsidR="002A4B54" w:rsidRPr="003D32DF" w:rsidP="00005DD9" w14:paraId="260F48D2" w14:textId="77777777">
      <w:pPr>
        <w:spacing w:before="120" w:after="120" w:line="240" w:lineRule="auto"/>
        <w:rPr>
          <w:rFonts w:cstheme="minorHAnsi"/>
        </w:rPr>
      </w:pPr>
    </w:p>
    <w:p w:rsidR="000F3043" w:rsidRPr="003D32DF" w:rsidP="00005DD9" w14:paraId="6713C5AA" w14:textId="23E019EB">
      <w:pPr>
        <w:pStyle w:val="Heading2"/>
        <w:spacing w:before="120" w:after="120"/>
        <w:rPr>
          <w:rFonts w:asciiTheme="minorHAnsi" w:hAnsiTheme="minorHAnsi" w:cstheme="minorHAnsi"/>
          <w:b/>
          <w:color w:val="auto"/>
          <w:sz w:val="22"/>
          <w:szCs w:val="22"/>
        </w:rPr>
      </w:pPr>
      <w:bookmarkStart w:id="0" w:name="_Toc443881743"/>
      <w:bookmarkStart w:id="1" w:name="_Toc451592232"/>
      <w:bookmarkStart w:id="2" w:name="_Toc5610273"/>
      <w:bookmarkStart w:id="3" w:name="_Toc99178779"/>
      <w:r w:rsidRPr="003D32DF">
        <w:rPr>
          <w:rFonts w:asciiTheme="minorHAnsi" w:hAnsiTheme="minorHAnsi" w:cstheme="minorHAnsi"/>
          <w:b/>
          <w:color w:val="auto"/>
          <w:sz w:val="22"/>
          <w:szCs w:val="22"/>
        </w:rPr>
        <w:t>A.2    Purpose and Use of the Information</w:t>
      </w:r>
      <w:bookmarkEnd w:id="0"/>
      <w:bookmarkEnd w:id="1"/>
      <w:bookmarkEnd w:id="2"/>
      <w:bookmarkEnd w:id="3"/>
      <w:r w:rsidRPr="003D32DF">
        <w:rPr>
          <w:rFonts w:asciiTheme="minorHAnsi" w:hAnsiTheme="minorHAnsi" w:cstheme="minorHAnsi"/>
          <w:b/>
          <w:color w:val="auto"/>
          <w:sz w:val="22"/>
          <w:szCs w:val="22"/>
        </w:rPr>
        <w:t xml:space="preserve"> Collection</w:t>
      </w:r>
    </w:p>
    <w:p w:rsidR="00D34BE5" w:rsidRPr="003D32DF" w:rsidP="00005DD9" w14:paraId="33F5C85D" w14:textId="60E07039">
      <w:pPr>
        <w:spacing w:before="120" w:after="120" w:line="240" w:lineRule="auto"/>
        <w:rPr>
          <w:rFonts w:cstheme="minorHAnsi"/>
        </w:rPr>
      </w:pPr>
      <w:r w:rsidRPr="003D32DF">
        <w:rPr>
          <w:rFonts w:cstheme="minorHAnsi"/>
        </w:rPr>
        <w:t xml:space="preserve">The primary uses of the information requested on the DSA and DUC forms are to a) help ensure that data submitted to the NDA are appropriate; and, b) help NDA staff to document, track, monitor, and evaluate the use of NDA, as well as to notify interested submitters and recipients of updates, corrections, or other changes to NDA. The type of information requested in the DUC and DSA satisfies the terms and conditions of the data sharing policies for NDA. When submitting data, the DSA reminds investigators that the NDA </w:t>
      </w:r>
      <w:r w:rsidRPr="003D32DF">
        <w:rPr>
          <w:rFonts w:cstheme="minorHAnsi"/>
        </w:rPr>
        <w:t xml:space="preserve">only accepts data from human subjects who have been appropriately consented for data sharing. The DSA also defines the requirement for data to be de-identified and describes to the researcher that certain expectations are in place in addition to simply submitting data. Further, researchers submitting data are provided an option to determine how others can access data through either an institutional sponsorship or individual sponsorship. Gathering information on the researcher and research project from which data will be submitted is important so that submitting researchers can be assisted throughout the multi-year process of data submission and to notify them of certain expectations for task completion based on data sharing terms often associated with grant awards. Similarly, the DUC defines the conditions under which users can access and use data from the NDA. Information on the proposed research question or scientific research development is needed by the Data Access Committee (DAC) to review and adjudicate data access requests. In addition, requestors must specify the permission group (NDAR, NDCT, </w:t>
      </w:r>
      <w:r w:rsidRPr="003D32DF">
        <w:rPr>
          <w:rFonts w:cstheme="minorHAnsi"/>
        </w:rPr>
        <w:t>RDoCdb</w:t>
      </w:r>
      <w:r w:rsidRPr="003D32DF">
        <w:rPr>
          <w:rFonts w:cstheme="minorHAnsi"/>
        </w:rPr>
        <w:t xml:space="preserve">, </w:t>
      </w:r>
      <w:r w:rsidRPr="003D32DF">
        <w:rPr>
          <w:rFonts w:cstheme="minorHAnsi"/>
        </w:rPr>
        <w:t>PedsMRI</w:t>
      </w:r>
      <w:r w:rsidRPr="003D32DF">
        <w:rPr>
          <w:rFonts w:cstheme="minorHAnsi"/>
        </w:rPr>
        <w:t>, ABCD, OAI</w:t>
      </w:r>
      <w:r w:rsidRPr="003D32DF" w:rsidR="00951E7E">
        <w:rPr>
          <w:rFonts w:cstheme="minorHAnsi"/>
        </w:rPr>
        <w:t>, CCF, or NIAAA</w:t>
      </w:r>
      <w:r w:rsidRPr="003D32DF" w:rsidR="00951E7E">
        <w:rPr>
          <w:rFonts w:cstheme="minorHAnsi"/>
          <w:vertAlign w:val="subscript"/>
        </w:rPr>
        <w:t>DA</w:t>
      </w:r>
      <w:r w:rsidRPr="003D32DF">
        <w:rPr>
          <w:rFonts w:cstheme="minorHAnsi"/>
        </w:rPr>
        <w:t>) from which they are requesting data access so that NDA staff may provide appropriate access if approved by the DAC.</w:t>
      </w:r>
      <w:r w:rsidRPr="003D32DF" w:rsidR="006A0296">
        <w:rPr>
          <w:rFonts w:cstheme="minorHAnsi"/>
        </w:rPr>
        <w:t xml:space="preserve"> </w:t>
      </w:r>
      <w:r w:rsidRPr="003D32DF">
        <w:rPr>
          <w:rFonts w:cstheme="minorHAnsi"/>
        </w:rPr>
        <w:t>Practically speaking, the information requested on these forms helps to identify the users of the NDA system. The relationship with investigators submitting data to the NDA averages approximately 5 years while the relationship with users accessing data is about 1.5 years at a minimum. System enhancements and changes as well as new data will become available during these timeframes. Communication of these is paramount to the success of the NDA. Additionally, the valuable information requested on the DSA and DUC will help the NIH understand and evaluate the use of NDA in the research community.</w:t>
      </w:r>
      <w:r w:rsidRPr="003D32DF" w:rsidR="0075280C">
        <w:rPr>
          <w:rFonts w:cstheme="minorHAnsi"/>
        </w:rPr>
        <w:t xml:space="preserve"> </w:t>
      </w:r>
      <w:r w:rsidRPr="00EB1764" w:rsidR="0024799F">
        <w:rPr>
          <w:rFonts w:cstheme="minorHAnsi"/>
          <w:highlight w:val="yellow"/>
        </w:rPr>
        <w:t>Since the last submission, for the DUC, NDA has updated the wording of the user attestations, updated data use terms and conditions, and updated formatting and hyperlinks. For the DSA, NDA has updated the attestations regarding sensitive information and data considerations and updated formatting and hyperlinks.</w:t>
      </w:r>
      <w:r w:rsidRPr="00EB1764" w:rsidR="00921963">
        <w:rPr>
          <w:rFonts w:cstheme="minorHAnsi"/>
          <w:highlight w:val="yellow"/>
        </w:rPr>
        <w:t xml:space="preserve"> Additional checkboxes </w:t>
      </w:r>
      <w:r w:rsidRPr="00EB1764" w:rsidR="00FA79C9">
        <w:rPr>
          <w:rFonts w:cstheme="minorHAnsi"/>
          <w:highlight w:val="yellow"/>
        </w:rPr>
        <w:t xml:space="preserve">have been added below the signing official’s signature, </w:t>
      </w:r>
      <w:r w:rsidRPr="00EB1764" w:rsidR="00F32660">
        <w:rPr>
          <w:rFonts w:cstheme="minorHAnsi"/>
          <w:highlight w:val="yellow"/>
        </w:rPr>
        <w:t>to allow for attestations to new security standards.</w:t>
      </w:r>
      <w:r w:rsidR="00F32660">
        <w:rPr>
          <w:rFonts w:cstheme="minorHAnsi"/>
        </w:rPr>
        <w:t xml:space="preserve"> </w:t>
      </w:r>
    </w:p>
    <w:p w:rsidR="00084F69" w:rsidRPr="003D32DF" w:rsidP="00005DD9" w14:paraId="4F158447" w14:textId="0E831313">
      <w:pPr>
        <w:spacing w:before="120" w:after="120" w:line="240" w:lineRule="auto"/>
        <w:rPr>
          <w:rFonts w:cstheme="minorHAnsi"/>
        </w:rPr>
      </w:pPr>
      <w:r w:rsidRPr="003D32DF">
        <w:rPr>
          <w:rFonts w:cstheme="minorHAnsi"/>
        </w:rPr>
        <w:t xml:space="preserve">In </w:t>
      </w:r>
      <w:r w:rsidRPr="008F52B1" w:rsidR="00E94351">
        <w:rPr>
          <w:rFonts w:cstheme="minorHAnsi"/>
          <w:highlight w:val="yellow"/>
        </w:rPr>
        <w:t>J</w:t>
      </w:r>
      <w:r w:rsidRPr="008F52B1" w:rsidR="008F52B1">
        <w:rPr>
          <w:rFonts w:cstheme="minorHAnsi"/>
          <w:highlight w:val="yellow"/>
        </w:rPr>
        <w:t>une 2023</w:t>
      </w:r>
      <w:r w:rsidRPr="003D32DF">
        <w:rPr>
          <w:rFonts w:cstheme="minorHAnsi"/>
        </w:rPr>
        <w:t xml:space="preserve">, the National Institute of Mental Health (NIMH) received OMB approval of updates to the NIMH Data Repository DUC Form and the NIMH Data Repository DSA Form under OMB# 0925-0667 (expiration date </w:t>
      </w:r>
      <w:r w:rsidRPr="008F52B1" w:rsidR="008F52B1">
        <w:rPr>
          <w:rFonts w:cstheme="minorHAnsi"/>
          <w:highlight w:val="yellow"/>
        </w:rPr>
        <w:t>6/</w:t>
      </w:r>
      <w:r w:rsidRPr="008F52B1" w:rsidR="00287DE3">
        <w:rPr>
          <w:rFonts w:cstheme="minorHAnsi"/>
          <w:highlight w:val="yellow"/>
        </w:rPr>
        <w:t>3</w:t>
      </w:r>
      <w:r w:rsidRPr="008F52B1" w:rsidR="008F52B1">
        <w:rPr>
          <w:rFonts w:cstheme="minorHAnsi"/>
          <w:highlight w:val="yellow"/>
        </w:rPr>
        <w:t>0/</w:t>
      </w:r>
      <w:r w:rsidRPr="008F52B1" w:rsidR="00287DE3">
        <w:rPr>
          <w:rFonts w:cstheme="minorHAnsi"/>
          <w:highlight w:val="yellow"/>
        </w:rPr>
        <w:t>202</w:t>
      </w:r>
      <w:r w:rsidRPr="008F52B1" w:rsidR="008F52B1">
        <w:rPr>
          <w:rFonts w:cstheme="minorHAnsi"/>
          <w:highlight w:val="yellow"/>
        </w:rPr>
        <w:t>6</w:t>
      </w:r>
      <w:r w:rsidRPr="003D32DF">
        <w:rPr>
          <w:rFonts w:cstheme="minorHAnsi"/>
        </w:rPr>
        <w:t xml:space="preserve">). In </w:t>
      </w:r>
      <w:r w:rsidRPr="00BD1E1F" w:rsidR="00BD1E1F">
        <w:rPr>
          <w:rFonts w:cstheme="minorHAnsi"/>
          <w:highlight w:val="yellow"/>
        </w:rPr>
        <w:t>July 2025</w:t>
      </w:r>
      <w:r w:rsidRPr="003D32DF">
        <w:rPr>
          <w:rFonts w:cstheme="minorHAnsi"/>
        </w:rPr>
        <w:t xml:space="preserve">, NIMH received OMB approval of non-substantive changes to the </w:t>
      </w:r>
      <w:r w:rsidRPr="00BD1E1F" w:rsidR="00BD1E1F">
        <w:rPr>
          <w:rFonts w:cstheme="minorHAnsi"/>
          <w:highlight w:val="yellow"/>
        </w:rPr>
        <w:t xml:space="preserve">DSA and </w:t>
      </w:r>
      <w:r w:rsidRPr="00BD1E1F">
        <w:rPr>
          <w:rFonts w:cstheme="minorHAnsi"/>
          <w:highlight w:val="yellow"/>
        </w:rPr>
        <w:t>DUC form</w:t>
      </w:r>
      <w:r w:rsidRPr="00BD1E1F" w:rsidR="00BD1E1F">
        <w:rPr>
          <w:rFonts w:cstheme="minorHAnsi"/>
          <w:highlight w:val="yellow"/>
        </w:rPr>
        <w:t>s</w:t>
      </w:r>
      <w:r w:rsidRPr="003D32DF">
        <w:rPr>
          <w:rFonts w:cstheme="minorHAnsi"/>
        </w:rPr>
        <w:t>.</w:t>
      </w:r>
    </w:p>
    <w:p w:rsidR="00005DD9" w:rsidRPr="003D32DF" w:rsidP="00005DD9" w14:paraId="27FC22A6" w14:textId="77777777">
      <w:pPr>
        <w:spacing w:before="120" w:after="120" w:line="240" w:lineRule="auto"/>
        <w:rPr>
          <w:rFonts w:cstheme="minorHAnsi"/>
        </w:rPr>
      </w:pPr>
    </w:p>
    <w:p w:rsidR="00A00CF8" w:rsidRPr="003D32DF" w:rsidP="00005DD9" w14:paraId="771476A4" w14:textId="77777777">
      <w:pPr>
        <w:spacing w:before="120" w:after="120" w:line="240" w:lineRule="auto"/>
        <w:rPr>
          <w:rFonts w:cstheme="minorHAnsi"/>
          <w:b/>
          <w:color w:val="000000" w:themeColor="text1"/>
        </w:rPr>
      </w:pPr>
      <w:r w:rsidRPr="003D32DF">
        <w:rPr>
          <w:rFonts w:cstheme="minorHAnsi"/>
          <w:b/>
          <w:color w:val="000000" w:themeColor="text1"/>
        </w:rPr>
        <w:t>A.3     Use of Information Technology and Burden Reduction</w:t>
      </w:r>
    </w:p>
    <w:p w:rsidR="00DB7400" w:rsidRPr="003D32DF" w:rsidP="00005DD9" w14:paraId="114AE03B" w14:textId="77777777">
      <w:pPr>
        <w:spacing w:before="120" w:after="120" w:line="240" w:lineRule="auto"/>
        <w:rPr>
          <w:rFonts w:cstheme="minorHAnsi"/>
          <w:color w:val="000000" w:themeColor="text1"/>
        </w:rPr>
      </w:pPr>
      <w:r w:rsidRPr="003D32DF">
        <w:rPr>
          <w:rFonts w:cstheme="minorHAnsi"/>
          <w:color w:val="000000" w:themeColor="text1"/>
        </w:rPr>
        <w:t xml:space="preserve">To </w:t>
      </w:r>
      <w:r w:rsidRPr="003D32DF">
        <w:rPr>
          <w:rFonts w:cstheme="minorHAnsi"/>
          <w:b/>
          <w:bCs/>
          <w:color w:val="000000" w:themeColor="text1"/>
        </w:rPr>
        <w:t>submit</w:t>
      </w:r>
      <w:r w:rsidRPr="003D32DF">
        <w:rPr>
          <w:rFonts w:cstheme="minorHAnsi"/>
          <w:color w:val="000000" w:themeColor="text1"/>
        </w:rPr>
        <w:t xml:space="preserve"> data, an investigator must obtain data submission privileges. To obtain these privileges, an investigator must complete, sign and submit the DSA to NDA staff. The process for submitting the DSA is designed to be digital or paper based. Information may be typed or </w:t>
      </w:r>
      <w:r w:rsidRPr="003D32DF">
        <w:rPr>
          <w:rFonts w:cstheme="minorHAnsi"/>
          <w:color w:val="000000" w:themeColor="text1"/>
        </w:rPr>
        <w:t>hand written</w:t>
      </w:r>
      <w:r w:rsidRPr="003D32DF">
        <w:rPr>
          <w:rFonts w:cstheme="minorHAnsi"/>
          <w:color w:val="000000" w:themeColor="text1"/>
        </w:rPr>
        <w:t xml:space="preserve"> into the form and the form can be uploaded via a web portal, emailed, or sent by US Mail or Courier.</w:t>
      </w:r>
    </w:p>
    <w:p w:rsidR="0015302E" w:rsidRPr="003D32DF" w:rsidP="00005DD9" w14:paraId="03F3DCC7" w14:textId="77777777">
      <w:pPr>
        <w:spacing w:before="120" w:after="120" w:line="240" w:lineRule="auto"/>
        <w:rPr>
          <w:rFonts w:cstheme="minorHAnsi"/>
          <w:color w:val="000000" w:themeColor="text1"/>
        </w:rPr>
      </w:pPr>
      <w:r w:rsidRPr="003D32DF">
        <w:rPr>
          <w:rFonts w:cstheme="minorHAnsi"/>
          <w:color w:val="000000" w:themeColor="text1"/>
        </w:rPr>
        <w:t>The DSA requests the following information:</w:t>
      </w:r>
    </w:p>
    <w:p w:rsidR="0015302E" w:rsidRPr="003D32DF" w:rsidP="00005DD9" w14:paraId="23E0A287" w14:textId="77777777">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Contact information for the investigator seeking to submit (the Submitter).</w:t>
      </w:r>
    </w:p>
    <w:p w:rsidR="0015302E" w:rsidRPr="003D32DF" w:rsidP="00005DD9" w14:paraId="0C5FE34E" w14:textId="77777777">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Information on the research project from which data will be submitted including the title, description, funding source, grant/contract number, funding amount, project dates and Clinical Trial ID (if applicable).</w:t>
      </w:r>
    </w:p>
    <w:p w:rsidR="0015302E" w:rsidRPr="003D32DF" w:rsidP="00005DD9" w14:paraId="658E302C" w14:textId="671A17FC">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Information on whether the project has or will collect tissue/biomedical samples, genomic data, or other data and, if so, the</w:t>
      </w:r>
      <w:r w:rsidRPr="003D32DF" w:rsidR="008458A0">
        <w:rPr>
          <w:rFonts w:cstheme="minorHAnsi"/>
          <w:color w:val="000000" w:themeColor="text1"/>
        </w:rPr>
        <w:t xml:space="preserve"> </w:t>
      </w:r>
      <w:r w:rsidRPr="003D32DF" w:rsidR="00484EF7">
        <w:rPr>
          <w:rFonts w:cstheme="minorHAnsi"/>
          <w:color w:val="000000" w:themeColor="text1"/>
        </w:rPr>
        <w:t>serial number and</w:t>
      </w:r>
      <w:r w:rsidRPr="003D32DF">
        <w:rPr>
          <w:rFonts w:cstheme="minorHAnsi"/>
          <w:color w:val="000000" w:themeColor="text1"/>
        </w:rPr>
        <w:t xml:space="preserve"> location into which these samples/data will be submitted</w:t>
      </w:r>
      <w:r w:rsidRPr="003D32DF" w:rsidR="00A872EB">
        <w:rPr>
          <w:rFonts w:cstheme="minorHAnsi"/>
          <w:color w:val="000000" w:themeColor="text1"/>
        </w:rPr>
        <w:t xml:space="preserve"> (</w:t>
      </w:r>
      <w:r w:rsidRPr="003D32DF" w:rsidR="0041126A">
        <w:rPr>
          <w:rFonts w:cstheme="minorHAnsi"/>
          <w:color w:val="000000" w:themeColor="text1"/>
        </w:rPr>
        <w:t>“R</w:t>
      </w:r>
      <w:r w:rsidRPr="003D32DF" w:rsidR="00A872EB">
        <w:rPr>
          <w:rFonts w:cstheme="minorHAnsi"/>
          <w:color w:val="000000" w:themeColor="text1"/>
        </w:rPr>
        <w:t xml:space="preserve">epository </w:t>
      </w:r>
      <w:r w:rsidRPr="003D32DF" w:rsidR="0041126A">
        <w:rPr>
          <w:rFonts w:cstheme="minorHAnsi"/>
          <w:color w:val="000000" w:themeColor="text1"/>
        </w:rPr>
        <w:t>N</w:t>
      </w:r>
      <w:r w:rsidRPr="003D32DF" w:rsidR="00A872EB">
        <w:rPr>
          <w:rFonts w:cstheme="minorHAnsi"/>
          <w:color w:val="000000" w:themeColor="text1"/>
        </w:rPr>
        <w:t>ame</w:t>
      </w:r>
      <w:r w:rsidRPr="003D32DF" w:rsidR="0041126A">
        <w:rPr>
          <w:rFonts w:cstheme="minorHAnsi"/>
          <w:color w:val="000000" w:themeColor="text1"/>
        </w:rPr>
        <w:t>”</w:t>
      </w:r>
      <w:r w:rsidRPr="003D32DF" w:rsidR="00A872EB">
        <w:rPr>
          <w:rFonts w:cstheme="minorHAnsi"/>
          <w:color w:val="000000" w:themeColor="text1"/>
        </w:rPr>
        <w:t>)</w:t>
      </w:r>
      <w:r w:rsidRPr="003D32DF">
        <w:rPr>
          <w:rFonts w:cstheme="minorHAnsi"/>
          <w:color w:val="000000" w:themeColor="text1"/>
        </w:rPr>
        <w:t>.</w:t>
      </w:r>
    </w:p>
    <w:p w:rsidR="0015302E" w:rsidRPr="003D32DF" w:rsidP="00005DD9" w14:paraId="64195582" w14:textId="77777777">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Selection of the type of sponsorship (Individual or Institutional) required for users to access data from the project.</w:t>
      </w:r>
    </w:p>
    <w:p w:rsidR="0015302E" w:rsidRPr="003D32DF" w:rsidP="00005DD9" w14:paraId="186CB399" w14:textId="77777777">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The name and email address for an authorized institutional official (if Institutional Sponsorship data access type is selected).</w:t>
      </w:r>
    </w:p>
    <w:p w:rsidR="00DB7400" w:rsidRPr="003D32DF" w:rsidP="00005DD9" w14:paraId="2DB699B1" w14:textId="3F45CC81">
      <w:pPr>
        <w:pStyle w:val="ListParagraph"/>
        <w:numPr>
          <w:ilvl w:val="0"/>
          <w:numId w:val="14"/>
        </w:numPr>
        <w:spacing w:before="120" w:after="120" w:line="240" w:lineRule="auto"/>
        <w:rPr>
          <w:rFonts w:cstheme="minorHAnsi"/>
          <w:color w:val="000000" w:themeColor="text1"/>
        </w:rPr>
      </w:pPr>
      <w:r w:rsidRPr="003D32DF">
        <w:rPr>
          <w:rFonts w:cstheme="minorHAnsi"/>
          <w:color w:val="000000" w:themeColor="text1"/>
        </w:rPr>
        <w:t>Co-signatures from the Submitting Investigator and the Investigator’s Institutional Official certifying that they will abide by the DSA and the NIH principles, policies and procedures for the use of NDA. Investigators also acknowledge that they have shared the DSA document and the NIH policies and procedures with any research staff who will participate in the submission of data to the NDA. The Institutional Business Official(s) also acknowledges that they have shared this document and the relevant NIH policies and procedures with appropriate institutional organizations.</w:t>
      </w:r>
    </w:p>
    <w:p w:rsidR="00DB7400" w:rsidRPr="003D32DF" w:rsidP="00005DD9" w14:paraId="0F75D6C1" w14:textId="0D5A0905">
      <w:pPr>
        <w:spacing w:before="120" w:after="120" w:line="240" w:lineRule="auto"/>
        <w:rPr>
          <w:rFonts w:cstheme="minorHAnsi"/>
          <w:color w:val="000000" w:themeColor="text1"/>
        </w:rPr>
      </w:pPr>
      <w:r w:rsidRPr="003D32DF">
        <w:rPr>
          <w:rFonts w:cstheme="minorHAnsi"/>
          <w:color w:val="000000" w:themeColor="text1"/>
        </w:rPr>
        <w:t xml:space="preserve">To gain </w:t>
      </w:r>
      <w:r w:rsidRPr="003D32DF">
        <w:rPr>
          <w:rFonts w:cstheme="minorHAnsi"/>
          <w:b/>
          <w:bCs/>
          <w:color w:val="000000" w:themeColor="text1"/>
        </w:rPr>
        <w:t>access</w:t>
      </w:r>
      <w:r w:rsidRPr="003D32DF">
        <w:rPr>
          <w:rFonts w:cstheme="minorHAnsi"/>
          <w:color w:val="000000" w:themeColor="text1"/>
        </w:rPr>
        <w:t xml:space="preserve"> to data, an individual must obtain data access privileges. To obtain these privileges, an individual must complete, sign and submit the DUC to NDA Staff. The process for submitting the DUC to NDA is designed to be digital or paper based. Information may be typed or </w:t>
      </w:r>
      <w:r w:rsidRPr="003D32DF">
        <w:rPr>
          <w:rFonts w:cstheme="minorHAnsi"/>
          <w:color w:val="000000" w:themeColor="text1"/>
        </w:rPr>
        <w:t>hand written</w:t>
      </w:r>
      <w:r w:rsidRPr="003D32DF">
        <w:rPr>
          <w:rFonts w:cstheme="minorHAnsi"/>
          <w:color w:val="000000" w:themeColor="text1"/>
        </w:rPr>
        <w:t xml:space="preserve"> into the form and the form can be uploaded via a web portal, emailed, or sent by US Mail or Private Courier. The NDA is in the process of implementing a fully online version of the data access request process with associated workflows allowing an individual to complete the DUC online and have it electronically sent to an Institutional Signing Official (if a permission group requiring Institutional Sponsorship is requested) for electronic signature after which the request will be electronically sent to NDA staff. Electronic review and adjudication of requests for access will also be implemented for the Data Access Committee portion of the workflow.</w:t>
      </w:r>
    </w:p>
    <w:p w:rsidR="00305394" w:rsidRPr="003D32DF" w:rsidP="00005DD9" w14:paraId="32BB67D7" w14:textId="77777777">
      <w:pPr>
        <w:spacing w:before="120" w:after="120" w:line="240" w:lineRule="auto"/>
        <w:rPr>
          <w:rFonts w:cstheme="minorHAnsi"/>
          <w:color w:val="000000" w:themeColor="text1"/>
        </w:rPr>
      </w:pPr>
      <w:r w:rsidRPr="003D32DF">
        <w:rPr>
          <w:rFonts w:cstheme="minorHAnsi"/>
          <w:color w:val="000000" w:themeColor="text1"/>
        </w:rPr>
        <w:t>The DUC requests the following information:</w:t>
      </w:r>
    </w:p>
    <w:p w:rsidR="00305394" w:rsidRPr="003D32DF" w:rsidP="00005DD9" w14:paraId="11680E8D" w14:textId="032E55A8">
      <w:pPr>
        <w:pStyle w:val="ListParagraph"/>
        <w:numPr>
          <w:ilvl w:val="0"/>
          <w:numId w:val="15"/>
        </w:numPr>
        <w:spacing w:before="120" w:after="120" w:line="240" w:lineRule="auto"/>
        <w:rPr>
          <w:rFonts w:cstheme="minorHAnsi"/>
          <w:color w:val="000000" w:themeColor="text1"/>
        </w:rPr>
      </w:pPr>
      <w:r w:rsidRPr="003D32DF">
        <w:rPr>
          <w:rFonts w:cstheme="minorHAnsi"/>
          <w:color w:val="000000" w:themeColor="text1"/>
        </w:rPr>
        <w:t>The selection of the data requested by permission group. Users may request a single or multiple permission groups with one request thereby limiting the duplication of information needed.</w:t>
      </w:r>
      <w:r w:rsidRPr="003D32DF" w:rsidR="00834BB5">
        <w:rPr>
          <w:rFonts w:cstheme="minorHAnsi"/>
          <w:color w:val="000000" w:themeColor="text1"/>
        </w:rPr>
        <w:t xml:space="preserve"> Users are</w:t>
      </w:r>
      <w:r w:rsidRPr="003D32DF" w:rsidR="00252F86">
        <w:rPr>
          <w:rFonts w:cstheme="minorHAnsi"/>
          <w:color w:val="000000" w:themeColor="text1"/>
        </w:rPr>
        <w:t xml:space="preserve"> also</w:t>
      </w:r>
      <w:r w:rsidRPr="003D32DF" w:rsidR="00834BB5">
        <w:rPr>
          <w:rFonts w:cstheme="minorHAnsi"/>
          <w:color w:val="000000" w:themeColor="text1"/>
        </w:rPr>
        <w:t xml:space="preserve"> requested to specify if they are requesting access to sensitive data</w:t>
      </w:r>
      <w:r w:rsidRPr="003D32DF" w:rsidR="00252F86">
        <w:rPr>
          <w:rFonts w:cstheme="minorHAnsi"/>
          <w:color w:val="000000" w:themeColor="text1"/>
        </w:rPr>
        <w:t>.</w:t>
      </w:r>
    </w:p>
    <w:p w:rsidR="00305394" w:rsidRPr="003D32DF" w:rsidP="00005DD9" w14:paraId="183840C6" w14:textId="77777777">
      <w:pPr>
        <w:pStyle w:val="ListParagraph"/>
        <w:numPr>
          <w:ilvl w:val="0"/>
          <w:numId w:val="15"/>
        </w:numPr>
        <w:spacing w:before="120" w:after="120" w:line="240" w:lineRule="auto"/>
        <w:rPr>
          <w:rFonts w:cstheme="minorHAnsi"/>
          <w:color w:val="000000" w:themeColor="text1"/>
        </w:rPr>
      </w:pPr>
      <w:r w:rsidRPr="003D32DF">
        <w:rPr>
          <w:rFonts w:cstheme="minorHAnsi"/>
          <w:color w:val="000000" w:themeColor="text1"/>
        </w:rPr>
        <w:t>Contact information for the investigator seeking access (the Data Recipient), as well as for key/senior personnel in the Recipient’s laboratory who will also require access as part of the Research Project.</w:t>
      </w:r>
    </w:p>
    <w:p w:rsidR="00305394" w:rsidRPr="003D32DF" w:rsidP="00005DD9" w14:paraId="6D8DD0D2" w14:textId="77777777">
      <w:pPr>
        <w:pStyle w:val="ListParagraph"/>
        <w:numPr>
          <w:ilvl w:val="0"/>
          <w:numId w:val="15"/>
        </w:numPr>
        <w:spacing w:before="120" w:after="120" w:line="240" w:lineRule="auto"/>
        <w:rPr>
          <w:rFonts w:cstheme="minorHAnsi"/>
          <w:color w:val="000000" w:themeColor="text1"/>
        </w:rPr>
      </w:pPr>
      <w:r w:rsidRPr="003D32DF">
        <w:rPr>
          <w:rFonts w:cstheme="minorHAnsi"/>
          <w:color w:val="000000" w:themeColor="text1"/>
        </w:rPr>
        <w:t xml:space="preserve">The title and </w:t>
      </w:r>
      <w:r w:rsidRPr="003D32DF">
        <w:rPr>
          <w:rFonts w:cstheme="minorHAnsi"/>
          <w:color w:val="000000" w:themeColor="text1"/>
        </w:rPr>
        <w:t>a brief summary</w:t>
      </w:r>
      <w:r w:rsidRPr="003D32DF">
        <w:rPr>
          <w:rFonts w:cstheme="minorHAnsi"/>
          <w:color w:val="000000" w:themeColor="text1"/>
        </w:rPr>
        <w:t>/abstract of the Research Project for which repository data are sought. A single paragraph is sufficient.</w:t>
      </w:r>
    </w:p>
    <w:p w:rsidR="00D034BC" w:rsidRPr="003D32DF" w:rsidP="00005DD9" w14:paraId="71EB3130" w14:textId="3CDA43D8">
      <w:pPr>
        <w:pStyle w:val="ListParagraph"/>
        <w:numPr>
          <w:ilvl w:val="0"/>
          <w:numId w:val="15"/>
        </w:numPr>
        <w:spacing w:before="120" w:after="120" w:line="240" w:lineRule="auto"/>
        <w:rPr>
          <w:rFonts w:cstheme="minorHAnsi"/>
          <w:color w:val="000000" w:themeColor="text1"/>
        </w:rPr>
      </w:pPr>
      <w:r w:rsidRPr="003D32DF">
        <w:rPr>
          <w:rFonts w:cstheme="minorHAnsi"/>
          <w:color w:val="000000" w:themeColor="text1"/>
        </w:rPr>
        <w:t>Co-signatures from the Recipient Investigator and the Investigator’s Institutional Official certifying that they will abide by the DUC and the NIH principles, policies and procedures for the use of the repository/dataset. Investigators also acknowledge that they have shared the DUC and the NIH policies and procedures with any research staff who will participate in the use of NDA. The Institutional Business Official(s) also acknowledges that they have shared this document and the relevant NIH policies and procedures with appropriate institutional organizations.</w:t>
      </w:r>
    </w:p>
    <w:p w:rsidR="00DB7400" w:rsidRPr="003D32DF" w:rsidP="00005DD9" w14:paraId="1BEFE656" w14:textId="1ABD7982">
      <w:pPr>
        <w:pStyle w:val="ListParagraph"/>
        <w:numPr>
          <w:ilvl w:val="0"/>
          <w:numId w:val="15"/>
        </w:numPr>
        <w:spacing w:before="120" w:after="120" w:line="240" w:lineRule="auto"/>
        <w:rPr>
          <w:rFonts w:cstheme="minorHAnsi"/>
          <w:color w:val="000000" w:themeColor="text1"/>
        </w:rPr>
      </w:pPr>
      <w:r w:rsidRPr="003D32DF">
        <w:rPr>
          <w:rFonts w:cstheme="minorHAnsi"/>
          <w:color w:val="000000" w:themeColor="text1"/>
        </w:rPr>
        <w:t>The institution’s Federal Wide Assurance (FWA) number.</w:t>
      </w:r>
    </w:p>
    <w:p w:rsidR="000F3043" w:rsidRPr="003D32DF" w:rsidP="00005DD9" w14:paraId="2F929A40" w14:textId="35459C63">
      <w:pPr>
        <w:spacing w:before="120" w:after="120" w:line="240" w:lineRule="auto"/>
        <w:rPr>
          <w:rFonts w:cstheme="minorHAnsi"/>
          <w:color w:val="000000" w:themeColor="text1"/>
        </w:rPr>
      </w:pPr>
      <w:r w:rsidRPr="003D32DF">
        <w:rPr>
          <w:rFonts w:cstheme="minorHAnsi"/>
          <w:color w:val="000000" w:themeColor="text1"/>
        </w:rPr>
        <w:t>Once completed, the DUC is then sent for adjudication to the NDA Data Access Committee (DAC). The DAC is responsible for approving submission and access privileges to NDA. A Privacy Impact Assessment (PIA</w:t>
      </w:r>
      <w:r w:rsidRPr="003D32DF" w:rsidR="009E40F8">
        <w:rPr>
          <w:rFonts w:cstheme="minorHAnsi"/>
          <w:color w:val="000000" w:themeColor="text1"/>
        </w:rPr>
        <w:t xml:space="preserve">; </w:t>
      </w:r>
      <w:r w:rsidRPr="003D32DF" w:rsidR="006935A6">
        <w:rPr>
          <w:rFonts w:cstheme="minorHAnsi"/>
          <w:color w:val="000000" w:themeColor="text1"/>
        </w:rPr>
        <w:t xml:space="preserve">see </w:t>
      </w:r>
      <w:r w:rsidRPr="003D32DF" w:rsidR="009E40F8">
        <w:rPr>
          <w:rFonts w:cstheme="minorHAnsi"/>
          <w:color w:val="000000" w:themeColor="text1"/>
        </w:rPr>
        <w:t xml:space="preserve">Attachment </w:t>
      </w:r>
      <w:r w:rsidRPr="003D32DF" w:rsidR="007A15E3">
        <w:rPr>
          <w:rFonts w:cstheme="minorHAnsi"/>
          <w:color w:val="000000" w:themeColor="text1"/>
        </w:rPr>
        <w:t>A</w:t>
      </w:r>
      <w:r w:rsidRPr="003D32DF">
        <w:rPr>
          <w:rFonts w:cstheme="minorHAnsi"/>
          <w:color w:val="000000" w:themeColor="text1"/>
        </w:rPr>
        <w:t>) for the DUC was approved on</w:t>
      </w:r>
      <w:r w:rsidRPr="003D32DF" w:rsidR="00D34048">
        <w:rPr>
          <w:rFonts w:cstheme="minorHAnsi"/>
          <w:color w:val="000000" w:themeColor="text1"/>
        </w:rPr>
        <w:t xml:space="preserve"> </w:t>
      </w:r>
      <w:r w:rsidRPr="002544B8" w:rsidR="002544B8">
        <w:rPr>
          <w:rFonts w:cstheme="minorHAnsi"/>
          <w:color w:val="000000" w:themeColor="text1"/>
          <w:highlight w:val="yellow"/>
        </w:rPr>
        <w:t>November 30, 2023.</w:t>
      </w:r>
    </w:p>
    <w:p w:rsidR="00005DD9" w:rsidRPr="003D32DF" w:rsidP="00005DD9" w14:paraId="39782725" w14:textId="77777777">
      <w:pPr>
        <w:spacing w:before="120" w:after="120" w:line="240" w:lineRule="auto"/>
        <w:rPr>
          <w:rFonts w:cstheme="minorHAnsi"/>
          <w:color w:val="000000" w:themeColor="text1"/>
        </w:rPr>
      </w:pPr>
    </w:p>
    <w:p w:rsidR="00685B30" w:rsidRPr="003D32DF" w:rsidP="00005DD9" w14:paraId="2634512F" w14:textId="77777777">
      <w:pPr>
        <w:pStyle w:val="Heading2"/>
        <w:spacing w:before="120" w:after="120"/>
        <w:ind w:left="720" w:hanging="720"/>
        <w:rPr>
          <w:rFonts w:asciiTheme="minorHAnsi" w:hAnsiTheme="minorHAnsi" w:cstheme="minorHAnsi"/>
          <w:b/>
          <w:color w:val="auto"/>
          <w:sz w:val="22"/>
          <w:szCs w:val="22"/>
        </w:rPr>
      </w:pPr>
      <w:bookmarkStart w:id="4" w:name="_Toc443881745"/>
      <w:bookmarkStart w:id="5" w:name="_Toc451592234"/>
      <w:bookmarkStart w:id="6" w:name="_Toc5610275"/>
      <w:bookmarkStart w:id="7" w:name="_Toc99178781"/>
      <w:r w:rsidRPr="003D32DF">
        <w:rPr>
          <w:rFonts w:asciiTheme="minorHAnsi" w:hAnsiTheme="minorHAnsi" w:cstheme="minorHAnsi"/>
          <w:b/>
          <w:color w:val="auto"/>
          <w:sz w:val="22"/>
          <w:szCs w:val="22"/>
        </w:rPr>
        <w:t>A.4</w:t>
      </w:r>
      <w:r w:rsidRPr="003D32DF">
        <w:rPr>
          <w:rFonts w:asciiTheme="minorHAnsi" w:hAnsiTheme="minorHAnsi" w:cstheme="minorHAnsi"/>
          <w:b/>
          <w:color w:val="auto"/>
          <w:sz w:val="22"/>
          <w:szCs w:val="22"/>
        </w:rPr>
        <w:tab/>
        <w:t>Efforts to Identify Duplication and Use of Similar Information</w:t>
      </w:r>
      <w:bookmarkEnd w:id="4"/>
      <w:bookmarkEnd w:id="5"/>
      <w:bookmarkEnd w:id="6"/>
      <w:bookmarkEnd w:id="7"/>
    </w:p>
    <w:p w:rsidR="00685B30" w:rsidRPr="003D32DF" w:rsidP="00005DD9" w14:paraId="6F8A7910" w14:textId="11E1C854">
      <w:pPr>
        <w:spacing w:before="120" w:after="120" w:line="240" w:lineRule="auto"/>
        <w:rPr>
          <w:rFonts w:cstheme="minorHAnsi"/>
        </w:rPr>
      </w:pPr>
      <w:r w:rsidRPr="003D32DF">
        <w:rPr>
          <w:rFonts w:cstheme="minorHAnsi"/>
        </w:rPr>
        <w:t xml:space="preserve">Data access requestors using the DUC and users requesting permission to submit data via the DSA have the option of either completing a fillable pdf form by typing information, completing the form by handwriting the information or by utilizing the newly released and planned online process. This online process reduces the information that must be provided by the individual completing the form. For example, if the individual already has an </w:t>
      </w:r>
      <w:r w:rsidRPr="003D32DF">
        <w:rPr>
          <w:rFonts w:cstheme="minorHAnsi"/>
        </w:rPr>
        <w:t>eRA</w:t>
      </w:r>
      <w:r w:rsidRPr="003D32DF">
        <w:rPr>
          <w:rFonts w:cstheme="minorHAnsi"/>
        </w:rPr>
        <w:t xml:space="preserve"> Commons </w:t>
      </w:r>
      <w:r w:rsidRPr="003D32DF">
        <w:rPr>
          <w:rFonts w:cstheme="minorHAnsi"/>
        </w:rPr>
        <w:t>ID</w:t>
      </w:r>
      <w:r w:rsidRPr="003D32DF">
        <w:rPr>
          <w:rFonts w:cstheme="minorHAnsi"/>
        </w:rPr>
        <w:t xml:space="preserve"> then they may use this to begin to complete the DSA or DUC. Information on institutional business officials with signing authority (as defined with an SO designation in the </w:t>
      </w:r>
      <w:r w:rsidRPr="003D32DF">
        <w:rPr>
          <w:rFonts w:cstheme="minorHAnsi"/>
        </w:rPr>
        <w:t>eRA</w:t>
      </w:r>
      <w:r w:rsidRPr="003D32DF">
        <w:rPr>
          <w:rFonts w:cstheme="minorHAnsi"/>
        </w:rPr>
        <w:t xml:space="preserve"> Commons) will automatically be imported for selection by the data access requestor. This process can simplify the process and reduce the information requested from individuals. Similarly, when the institutional business official completes their section of either the DSA or the DUC document, their contact </w:t>
      </w:r>
      <w:r w:rsidRPr="003D32DF">
        <w:rPr>
          <w:rFonts w:cstheme="minorHAnsi"/>
        </w:rPr>
        <w:t>information can be imported. A digital signature is accepted for users and institutional business officials using either the fillable pdf form or the online workflow. For data access renewals, users can simply update information relevant to the new aspects of the project without updating basic information such as contact information thereby reducing the burden on the user. Due to the sensitive nature of the data contained in the NDA, and in accordance with existing NIH policies, such as genome-wide association studies (GWAS</w:t>
      </w:r>
      <w:r w:rsidRPr="003D32DF" w:rsidR="00B64AAC">
        <w:rPr>
          <w:rFonts w:cstheme="minorHAnsi"/>
        </w:rPr>
        <w:t>;</w:t>
      </w:r>
      <w:r w:rsidRPr="003D32DF">
        <w:rPr>
          <w:rFonts w:cstheme="minorHAnsi"/>
        </w:rPr>
        <w:t xml:space="preserve"> see </w:t>
      </w:r>
      <w:hyperlink r:id="rId15" w:history="1">
        <w:r w:rsidRPr="003D32DF" w:rsidR="00BB7BD3">
          <w:rPr>
            <w:rStyle w:val="Hyperlink"/>
            <w:rFonts w:cstheme="minorHAnsi"/>
          </w:rPr>
          <w:t>http://grants.nih.gov/grants/gwas/index.htm</w:t>
        </w:r>
      </w:hyperlink>
      <w:r w:rsidRPr="003D32DF">
        <w:rPr>
          <w:rFonts w:cstheme="minorHAnsi"/>
        </w:rPr>
        <w:t>), data submission and access approvals are granted for one year and may be renewed thereupon.</w:t>
      </w:r>
    </w:p>
    <w:p w:rsidR="00005DD9" w:rsidRPr="003D32DF" w:rsidP="00005DD9" w14:paraId="1825547F" w14:textId="77777777">
      <w:pPr>
        <w:spacing w:before="120" w:after="120" w:line="240" w:lineRule="auto"/>
        <w:rPr>
          <w:rFonts w:cstheme="minorHAnsi"/>
        </w:rPr>
      </w:pPr>
    </w:p>
    <w:p w:rsidR="00685B30" w:rsidRPr="003D32DF" w:rsidP="00005DD9" w14:paraId="2E534297" w14:textId="77777777">
      <w:pPr>
        <w:pStyle w:val="Heading2"/>
        <w:spacing w:before="120" w:after="120"/>
        <w:ind w:left="720" w:hanging="720"/>
        <w:rPr>
          <w:rFonts w:asciiTheme="minorHAnsi" w:hAnsiTheme="minorHAnsi" w:cstheme="minorHAnsi"/>
          <w:b/>
          <w:color w:val="auto"/>
          <w:sz w:val="22"/>
          <w:szCs w:val="22"/>
        </w:rPr>
      </w:pPr>
      <w:bookmarkStart w:id="8" w:name="_Toc443881746"/>
      <w:bookmarkStart w:id="9" w:name="_Toc451592235"/>
      <w:bookmarkStart w:id="10" w:name="_Toc5610276"/>
      <w:bookmarkStart w:id="11" w:name="_Toc99178782"/>
      <w:r w:rsidRPr="003D32DF">
        <w:rPr>
          <w:rFonts w:asciiTheme="minorHAnsi" w:hAnsiTheme="minorHAnsi" w:cstheme="minorHAnsi"/>
          <w:b/>
          <w:color w:val="auto"/>
          <w:sz w:val="22"/>
          <w:szCs w:val="22"/>
        </w:rPr>
        <w:t>A.5</w:t>
      </w:r>
      <w:r w:rsidRPr="003D32DF">
        <w:rPr>
          <w:rFonts w:asciiTheme="minorHAnsi" w:hAnsiTheme="minorHAnsi" w:cstheme="minorHAnsi"/>
          <w:b/>
          <w:color w:val="auto"/>
          <w:sz w:val="22"/>
          <w:szCs w:val="22"/>
        </w:rPr>
        <w:tab/>
        <w:t>Impact on Small Businesses or Other Small Entities</w:t>
      </w:r>
      <w:bookmarkEnd w:id="8"/>
      <w:bookmarkEnd w:id="9"/>
      <w:bookmarkEnd w:id="10"/>
      <w:bookmarkEnd w:id="11"/>
    </w:p>
    <w:p w:rsidR="004716CF" w:rsidRPr="003D32DF" w:rsidP="00005DD9" w14:paraId="4B2E645C" w14:textId="64E0B3D4">
      <w:pPr>
        <w:pStyle w:val="P1-StandPara"/>
        <w:spacing w:before="120" w:after="120" w:line="240" w:lineRule="auto"/>
        <w:ind w:firstLine="0"/>
        <w:rPr>
          <w:rFonts w:asciiTheme="minorHAnsi" w:hAnsiTheme="minorHAnsi" w:cstheme="minorHAnsi"/>
        </w:rPr>
      </w:pPr>
      <w:r w:rsidRPr="003D32DF">
        <w:rPr>
          <w:rFonts w:asciiTheme="minorHAnsi" w:hAnsiTheme="minorHAnsi" w:cstheme="minorHAnsi"/>
        </w:rPr>
        <w:t>No small businesses will be involved in this project.</w:t>
      </w:r>
    </w:p>
    <w:p w:rsidR="00005DD9" w:rsidRPr="003D32DF" w:rsidP="00005DD9" w14:paraId="1B5FC4CD" w14:textId="77777777">
      <w:pPr>
        <w:pStyle w:val="P1-StandPara"/>
        <w:spacing w:before="120" w:after="120" w:line="240" w:lineRule="auto"/>
        <w:ind w:firstLine="0"/>
        <w:rPr>
          <w:rFonts w:asciiTheme="minorHAnsi" w:hAnsiTheme="minorHAnsi" w:cstheme="minorHAnsi"/>
        </w:rPr>
      </w:pPr>
    </w:p>
    <w:p w:rsidR="00685B30" w:rsidRPr="003D32DF" w:rsidP="00005DD9" w14:paraId="4DCCFE87" w14:textId="77777777">
      <w:pPr>
        <w:pStyle w:val="Heading2"/>
        <w:spacing w:before="120" w:after="120"/>
        <w:ind w:left="720" w:hanging="720"/>
        <w:rPr>
          <w:rFonts w:asciiTheme="minorHAnsi" w:hAnsiTheme="minorHAnsi" w:cstheme="minorHAnsi"/>
          <w:b/>
          <w:color w:val="auto"/>
          <w:sz w:val="22"/>
          <w:szCs w:val="22"/>
        </w:rPr>
      </w:pPr>
      <w:bookmarkStart w:id="12" w:name="_Toc443881747"/>
      <w:bookmarkStart w:id="13" w:name="_Toc451592236"/>
      <w:bookmarkStart w:id="14" w:name="_Toc5610277"/>
      <w:bookmarkStart w:id="15" w:name="_Toc99178783"/>
      <w:r w:rsidRPr="003D32DF">
        <w:rPr>
          <w:rFonts w:asciiTheme="minorHAnsi" w:hAnsiTheme="minorHAnsi" w:cstheme="minorHAnsi"/>
          <w:b/>
          <w:color w:val="auto"/>
          <w:sz w:val="22"/>
          <w:szCs w:val="22"/>
        </w:rPr>
        <w:t>A.6</w:t>
      </w:r>
      <w:r w:rsidRPr="003D32DF">
        <w:rPr>
          <w:rFonts w:asciiTheme="minorHAnsi" w:hAnsiTheme="minorHAnsi" w:cstheme="minorHAnsi"/>
          <w:b/>
          <w:color w:val="auto"/>
          <w:sz w:val="22"/>
          <w:szCs w:val="22"/>
        </w:rPr>
        <w:tab/>
        <w:t>Consequences of Collecting the Information Less Frequently</w:t>
      </w:r>
      <w:bookmarkEnd w:id="12"/>
      <w:bookmarkEnd w:id="13"/>
      <w:bookmarkEnd w:id="14"/>
      <w:bookmarkEnd w:id="15"/>
    </w:p>
    <w:p w:rsidR="00685B30" w:rsidRPr="003D32DF" w:rsidP="00005DD9" w14:paraId="4C4D6A77" w14:textId="623CF49E">
      <w:pPr>
        <w:spacing w:before="120" w:after="120" w:line="240" w:lineRule="auto"/>
        <w:rPr>
          <w:rFonts w:cstheme="minorHAnsi"/>
        </w:rPr>
      </w:pPr>
      <w:r w:rsidRPr="003D32DF">
        <w:rPr>
          <w:rFonts w:cstheme="minorHAnsi"/>
        </w:rPr>
        <w:t xml:space="preserve">The information requested in the NDA forms does not ask investigators to generate any new information, because the type of information being requested is fundamental to conducting any research study. The data are collected as needed with the primary purpose of ensuring that the users are aware of and follow the terms and conditions related to data submission and/or data access. The DSA needs to only be completed once per competitive grant. The DUC is required to be completed no more than once a year per lead researcher/investigator request. Additionally, the DUC states that data recipients may be asked to provide an annual summary of research accomplishments from using data accessed from the NDA. This is </w:t>
      </w:r>
      <w:r w:rsidRPr="003D32DF">
        <w:rPr>
          <w:rFonts w:cstheme="minorHAnsi"/>
        </w:rPr>
        <w:t>similar to</w:t>
      </w:r>
      <w:r w:rsidRPr="003D32DF">
        <w:rPr>
          <w:rFonts w:cstheme="minorHAnsi"/>
        </w:rPr>
        <w:t xml:space="preserve"> updating a biographical sketch or CV, which is typically updated on a regular basis. Therefore, this is unlikely to be an undue burden when requested. Protecting the privacy of the research participants and the confidentiality of their data is critically important. Essential aspects of that protection are careful screening of who may submit or obtain access to NDA, and ongoing monitoring of the use of the NDA.</w:t>
      </w:r>
    </w:p>
    <w:p w:rsidR="00005DD9" w:rsidRPr="003D32DF" w:rsidP="00005DD9" w14:paraId="578146E3" w14:textId="77777777">
      <w:pPr>
        <w:spacing w:before="120" w:after="120" w:line="240" w:lineRule="auto"/>
        <w:rPr>
          <w:rFonts w:cstheme="minorHAnsi"/>
        </w:rPr>
      </w:pPr>
    </w:p>
    <w:p w:rsidR="00685B30" w:rsidRPr="003D32DF" w:rsidP="00005DD9" w14:paraId="50FA46DF" w14:textId="77777777">
      <w:pPr>
        <w:pStyle w:val="Heading2"/>
        <w:spacing w:before="120" w:after="120"/>
        <w:rPr>
          <w:rFonts w:asciiTheme="minorHAnsi" w:hAnsiTheme="minorHAnsi" w:cstheme="minorHAnsi"/>
          <w:b/>
          <w:color w:val="auto"/>
          <w:sz w:val="22"/>
          <w:szCs w:val="22"/>
        </w:rPr>
      </w:pPr>
      <w:bookmarkStart w:id="16" w:name="_Toc443881748"/>
      <w:bookmarkStart w:id="17" w:name="_Toc451592237"/>
      <w:bookmarkStart w:id="18" w:name="_Toc5610278"/>
      <w:bookmarkStart w:id="19" w:name="_Toc99178784"/>
      <w:r w:rsidRPr="003D32DF">
        <w:rPr>
          <w:rFonts w:asciiTheme="minorHAnsi" w:hAnsiTheme="minorHAnsi" w:cstheme="minorHAnsi"/>
          <w:b/>
          <w:color w:val="auto"/>
          <w:sz w:val="22"/>
          <w:szCs w:val="22"/>
        </w:rPr>
        <w:t>A.7</w:t>
      </w:r>
      <w:r w:rsidRPr="003D32DF">
        <w:rPr>
          <w:rFonts w:asciiTheme="minorHAnsi" w:hAnsiTheme="minorHAnsi" w:cstheme="minorHAnsi"/>
          <w:b/>
          <w:color w:val="auto"/>
          <w:sz w:val="22"/>
          <w:szCs w:val="22"/>
        </w:rPr>
        <w:tab/>
        <w:t>Special Circumstances Relating to the Guidelines of 5 CFR 1320.5</w:t>
      </w:r>
      <w:bookmarkEnd w:id="16"/>
      <w:bookmarkEnd w:id="17"/>
      <w:bookmarkEnd w:id="18"/>
      <w:bookmarkEnd w:id="19"/>
    </w:p>
    <w:p w:rsidR="00685B30" w:rsidRPr="003D32DF" w:rsidP="00005DD9" w14:paraId="42918316" w14:textId="311D43A6">
      <w:pPr>
        <w:pStyle w:val="a"/>
        <w:tabs>
          <w:tab w:val="left" w:pos="720"/>
        </w:tabs>
        <w:spacing w:before="120" w:after="120"/>
        <w:ind w:left="0"/>
        <w:rPr>
          <w:rFonts w:asciiTheme="minorHAnsi" w:hAnsiTheme="minorHAnsi" w:cstheme="minorHAnsi"/>
          <w:sz w:val="22"/>
          <w:szCs w:val="22"/>
        </w:rPr>
      </w:pPr>
      <w:r w:rsidRPr="003D32DF">
        <w:rPr>
          <w:rFonts w:asciiTheme="minorHAnsi" w:hAnsiTheme="minorHAnsi" w:cstheme="minorHAnsi"/>
          <w:sz w:val="22"/>
          <w:szCs w:val="22"/>
        </w:rPr>
        <w:t>Guidel</w:t>
      </w:r>
      <w:r w:rsidRPr="003D32DF" w:rsidR="00B85B1A">
        <w:rPr>
          <w:rFonts w:asciiTheme="minorHAnsi" w:hAnsiTheme="minorHAnsi" w:cstheme="minorHAnsi"/>
          <w:sz w:val="22"/>
          <w:szCs w:val="22"/>
        </w:rPr>
        <w:t>ine</w:t>
      </w:r>
      <w:r w:rsidRPr="003D32DF">
        <w:rPr>
          <w:rFonts w:asciiTheme="minorHAnsi" w:hAnsiTheme="minorHAnsi" w:cstheme="minorHAnsi"/>
          <w:sz w:val="22"/>
          <w:szCs w:val="22"/>
        </w:rPr>
        <w:t>s of 5 CFR 1320.5 are not applicable to this project.</w:t>
      </w:r>
    </w:p>
    <w:p w:rsidR="00685B30" w:rsidRPr="003D32DF" w:rsidP="00005DD9" w14:paraId="635EB124" w14:textId="77777777">
      <w:pPr>
        <w:pStyle w:val="P1-StandPara"/>
        <w:spacing w:before="120" w:after="120" w:line="240" w:lineRule="auto"/>
        <w:ind w:firstLine="0"/>
        <w:rPr>
          <w:rFonts w:asciiTheme="minorHAnsi" w:hAnsiTheme="minorHAnsi" w:cstheme="minorHAnsi"/>
          <w:szCs w:val="22"/>
        </w:rPr>
      </w:pPr>
    </w:p>
    <w:p w:rsidR="0036208F" w:rsidRPr="003D32DF" w:rsidP="00005DD9" w14:paraId="42BE9D3A" w14:textId="77777777">
      <w:pPr>
        <w:pStyle w:val="Heading2"/>
        <w:spacing w:before="120" w:after="120"/>
        <w:ind w:left="720" w:hanging="720"/>
        <w:rPr>
          <w:rFonts w:asciiTheme="minorHAnsi" w:hAnsiTheme="minorHAnsi" w:cstheme="minorHAnsi"/>
          <w:b/>
          <w:color w:val="auto"/>
          <w:sz w:val="22"/>
          <w:szCs w:val="22"/>
        </w:rPr>
      </w:pPr>
      <w:bookmarkStart w:id="20" w:name="_Toc443881749"/>
      <w:bookmarkStart w:id="21" w:name="_Toc451592238"/>
      <w:bookmarkStart w:id="22" w:name="_Toc5610279"/>
      <w:bookmarkStart w:id="23" w:name="_Toc99178785"/>
      <w:r w:rsidRPr="003D32DF">
        <w:rPr>
          <w:rFonts w:asciiTheme="minorHAnsi" w:hAnsiTheme="minorHAnsi" w:cstheme="minorHAnsi"/>
          <w:b/>
          <w:color w:val="auto"/>
          <w:sz w:val="22"/>
          <w:szCs w:val="22"/>
        </w:rPr>
        <w:t>A.8.1</w:t>
      </w:r>
      <w:r w:rsidRPr="003D32DF">
        <w:rPr>
          <w:rFonts w:asciiTheme="minorHAnsi" w:hAnsiTheme="minorHAnsi" w:cstheme="minorHAnsi"/>
          <w:b/>
          <w:color w:val="auto"/>
          <w:sz w:val="22"/>
          <w:szCs w:val="22"/>
        </w:rPr>
        <w:tab/>
        <w:t xml:space="preserve">Comments in Response to the Federal Register Notice </w:t>
      </w:r>
    </w:p>
    <w:bookmarkEnd w:id="20"/>
    <w:bookmarkEnd w:id="21"/>
    <w:bookmarkEnd w:id="22"/>
    <w:bookmarkEnd w:id="23"/>
    <w:p w:rsidR="00685B30" w:rsidRPr="003D32DF" w:rsidP="00005DD9" w14:paraId="679B7420" w14:textId="196483DA">
      <w:pPr>
        <w:spacing w:before="120" w:after="120" w:line="240" w:lineRule="auto"/>
        <w:rPr>
          <w:rFonts w:cstheme="minorHAnsi"/>
        </w:rPr>
      </w:pPr>
      <w:r w:rsidRPr="0007429E">
        <w:rPr>
          <w:rFonts w:cstheme="minorHAnsi"/>
          <w:highlight w:val="yellow"/>
        </w:rPr>
        <w:t xml:space="preserve">A Federal Register Notice for this revision request was published on </w:t>
      </w:r>
      <w:r w:rsidRPr="0007429E" w:rsidR="0015126D">
        <w:rPr>
          <w:rFonts w:cstheme="minorHAnsi"/>
          <w:highlight w:val="yellow"/>
        </w:rPr>
        <w:t xml:space="preserve">March </w:t>
      </w:r>
      <w:r w:rsidRPr="0007429E" w:rsidR="008A6919">
        <w:rPr>
          <w:rFonts w:cstheme="minorHAnsi"/>
          <w:highlight w:val="yellow"/>
        </w:rPr>
        <w:t>4</w:t>
      </w:r>
      <w:r w:rsidRPr="0007429E" w:rsidR="0015126D">
        <w:rPr>
          <w:rFonts w:cstheme="minorHAnsi"/>
          <w:highlight w:val="yellow"/>
        </w:rPr>
        <w:t>, 202</w:t>
      </w:r>
      <w:r w:rsidRPr="0007429E" w:rsidR="008A6919">
        <w:rPr>
          <w:rFonts w:cstheme="minorHAnsi"/>
          <w:highlight w:val="yellow"/>
        </w:rPr>
        <w:t>6</w:t>
      </w:r>
      <w:r w:rsidRPr="0007429E">
        <w:rPr>
          <w:rFonts w:cstheme="minorHAnsi"/>
          <w:highlight w:val="yellow"/>
        </w:rPr>
        <w:t>, Vol</w:t>
      </w:r>
      <w:r w:rsidRPr="0007429E" w:rsidR="0015126D">
        <w:rPr>
          <w:rFonts w:cstheme="minorHAnsi"/>
          <w:highlight w:val="yellow"/>
        </w:rPr>
        <w:t xml:space="preserve">. </w:t>
      </w:r>
      <w:r w:rsidRPr="0007429E" w:rsidR="009654C5">
        <w:rPr>
          <w:rFonts w:cstheme="minorHAnsi"/>
          <w:highlight w:val="yellow"/>
        </w:rPr>
        <w:t>91</w:t>
      </w:r>
      <w:r w:rsidRPr="0007429E" w:rsidR="0015126D">
        <w:rPr>
          <w:rFonts w:cstheme="minorHAnsi"/>
          <w:highlight w:val="yellow"/>
        </w:rPr>
        <w:t>, No. 4</w:t>
      </w:r>
      <w:r w:rsidRPr="0007429E" w:rsidR="009654C5">
        <w:rPr>
          <w:rFonts w:cstheme="minorHAnsi"/>
          <w:highlight w:val="yellow"/>
        </w:rPr>
        <w:t>2</w:t>
      </w:r>
      <w:r w:rsidRPr="0007429E" w:rsidR="00E04607">
        <w:rPr>
          <w:rFonts w:cstheme="minorHAnsi"/>
          <w:highlight w:val="yellow"/>
        </w:rPr>
        <w:t xml:space="preserve"> </w:t>
      </w:r>
      <w:r w:rsidRPr="0007429E">
        <w:rPr>
          <w:rFonts w:cstheme="minorHAnsi"/>
          <w:highlight w:val="yellow"/>
        </w:rPr>
        <w:t>(</w:t>
      </w:r>
      <w:r>
        <w:fldChar w:fldCharType="begin"/>
      </w:r>
      <w:r w:rsidRPr="0007429E" w:rsidR="007E2D5B">
        <w:rPr>
          <w:rStyle w:val="Hyperlink"/>
          <w:rFonts w:cstheme="minorHAnsi"/>
          <w:highlight w:val="yellow"/>
        </w:rPr>
        <w:instrText xml:space="preserve"> HYPERLINK "https://www.govinfo.gov/content/pkg/FR-2026-03-04/pdf/2026-04238.pdf" </w:instrText>
      </w:r>
      <w:r>
        <w:fldChar w:fldCharType="separate"/>
      </w:r>
      <w:r w:rsidRPr="0007429E" w:rsidR="007E2D5B">
        <w:rPr>
          <w:rStyle w:val="Hyperlink"/>
          <w:rFonts w:cstheme="minorHAnsi"/>
          <w:highlight w:val="yellow"/>
        </w:rPr>
        <w:t>https://www.govinfo.gov/content/pkg/FR-2023-03-06/pdf/2023-04553.pdf</w:t>
      </w:r>
      <w:r>
        <w:fldChar w:fldCharType="end"/>
      </w:r>
      <w:r w:rsidRPr="0007429E">
        <w:rPr>
          <w:rFonts w:cstheme="minorHAnsi"/>
          <w:highlight w:val="yellow"/>
        </w:rPr>
        <w:t>)</w:t>
      </w:r>
      <w:r w:rsidR="000C5B4D">
        <w:rPr>
          <w:rFonts w:cstheme="minorHAnsi"/>
          <w:highlight w:val="yellow"/>
        </w:rPr>
        <w:t>, and allowed 60 days for public comment</w:t>
      </w:r>
      <w:r w:rsidRPr="0007429E">
        <w:rPr>
          <w:rFonts w:cstheme="minorHAnsi"/>
          <w:highlight w:val="yellow"/>
        </w:rPr>
        <w:t xml:space="preserve">. </w:t>
      </w:r>
      <w:bookmarkStart w:id="24" w:name="OLE_LINK4"/>
      <w:r w:rsidR="00270531">
        <w:rPr>
          <w:rFonts w:cstheme="minorHAnsi"/>
        </w:rPr>
        <w:t>No public comments were received.</w:t>
      </w:r>
    </w:p>
    <w:bookmarkEnd w:id="24"/>
    <w:p w:rsidR="00005DD9" w:rsidRPr="003D32DF" w:rsidP="00005DD9" w14:paraId="20165F70" w14:textId="77777777">
      <w:pPr>
        <w:spacing w:before="120" w:after="120" w:line="240" w:lineRule="auto"/>
        <w:rPr>
          <w:rFonts w:cstheme="minorHAnsi"/>
        </w:rPr>
      </w:pPr>
    </w:p>
    <w:p w:rsidR="0036208F" w:rsidRPr="003D32DF" w:rsidP="00005DD9" w14:paraId="51C2EE07" w14:textId="77777777">
      <w:pPr>
        <w:pStyle w:val="Heading2"/>
        <w:spacing w:before="120" w:after="120"/>
        <w:ind w:left="720" w:hanging="720"/>
        <w:rPr>
          <w:rFonts w:asciiTheme="minorHAnsi" w:hAnsiTheme="minorHAnsi" w:cstheme="minorHAnsi"/>
          <w:b/>
          <w:color w:val="auto"/>
          <w:sz w:val="22"/>
          <w:szCs w:val="22"/>
        </w:rPr>
      </w:pPr>
      <w:r w:rsidRPr="003D32DF">
        <w:rPr>
          <w:rFonts w:asciiTheme="minorHAnsi" w:hAnsiTheme="minorHAnsi" w:cstheme="minorHAnsi"/>
          <w:b/>
          <w:color w:val="auto"/>
          <w:sz w:val="22"/>
          <w:szCs w:val="22"/>
        </w:rPr>
        <w:t>A.8.2</w:t>
      </w:r>
      <w:r w:rsidRPr="003D32DF">
        <w:rPr>
          <w:rFonts w:asciiTheme="minorHAnsi" w:hAnsiTheme="minorHAnsi" w:cstheme="minorHAnsi"/>
          <w:b/>
          <w:color w:val="auto"/>
          <w:sz w:val="22"/>
          <w:szCs w:val="22"/>
        </w:rPr>
        <w:tab/>
        <w:t>Efforts to Consult Outside Agency</w:t>
      </w:r>
    </w:p>
    <w:p w:rsidR="00717158" w:rsidRPr="003D32DF" w:rsidP="00005DD9" w14:paraId="2F8470F4" w14:textId="3FCCEEA4">
      <w:pPr>
        <w:spacing w:before="120" w:after="120" w:line="240" w:lineRule="auto"/>
        <w:rPr>
          <w:rFonts w:cstheme="minorHAnsi"/>
        </w:rPr>
      </w:pPr>
      <w:r w:rsidRPr="003D32DF">
        <w:rPr>
          <w:rFonts w:cstheme="minorHAnsi"/>
        </w:rPr>
        <w:t xml:space="preserve">Investigators and institutional business officials are consulted on a regular basis during the performance of other activities related to NDA data submission and/or data access. While proactive conversations are not elicited, investigators and institutional business officials have provided feedback on the type of information requested on the DSA and the DUC. Additionally, feedback is provided on the terms and conditions included in these NDA forms as well as instructions for completion of the forms. </w:t>
      </w:r>
      <w:r w:rsidRPr="003D32DF" w:rsidR="00A03689">
        <w:rPr>
          <w:rFonts w:cstheme="minorHAnsi"/>
        </w:rPr>
        <w:t>A</w:t>
      </w:r>
      <w:r w:rsidRPr="003D32DF" w:rsidR="0019493B">
        <w:rPr>
          <w:rFonts w:cstheme="minorHAnsi"/>
        </w:rPr>
        <w:t xml:space="preserve"> list of</w:t>
      </w:r>
      <w:r w:rsidRPr="003D32DF" w:rsidR="0098141C">
        <w:rPr>
          <w:rFonts w:cstheme="minorHAnsi"/>
        </w:rPr>
        <w:t xml:space="preserve"> individuals/</w:t>
      </w:r>
      <w:r w:rsidRPr="003D32DF" w:rsidR="00751822">
        <w:rPr>
          <w:rFonts w:cstheme="minorHAnsi"/>
        </w:rPr>
        <w:t>agencies consulted on the DSA and DUC</w:t>
      </w:r>
      <w:r w:rsidRPr="003D32DF" w:rsidR="00A03689">
        <w:rPr>
          <w:rFonts w:cstheme="minorHAnsi"/>
        </w:rPr>
        <w:t xml:space="preserve"> accompanies this application (</w:t>
      </w:r>
      <w:r w:rsidRPr="003D32DF" w:rsidR="0019493B">
        <w:rPr>
          <w:rFonts w:cstheme="minorHAnsi"/>
        </w:rPr>
        <w:t>see Attachment D</w:t>
      </w:r>
      <w:r w:rsidRPr="003D32DF" w:rsidR="00A03689">
        <w:rPr>
          <w:rFonts w:cstheme="minorHAnsi"/>
        </w:rPr>
        <w:t>)</w:t>
      </w:r>
      <w:r w:rsidRPr="003D32DF">
        <w:rPr>
          <w:rFonts w:cstheme="minorHAnsi"/>
        </w:rPr>
        <w:t>.</w:t>
      </w:r>
    </w:p>
    <w:p w:rsidR="001E7FD5" w:rsidRPr="003D32DF" w:rsidP="00005DD9" w14:paraId="2CAC3D0C" w14:textId="77777777">
      <w:pPr>
        <w:spacing w:before="120" w:after="120" w:line="240" w:lineRule="auto"/>
        <w:rPr>
          <w:rFonts w:cstheme="minorHAnsi"/>
        </w:rPr>
      </w:pPr>
    </w:p>
    <w:p w:rsidR="00685B30" w:rsidRPr="003D32DF" w:rsidP="00005DD9" w14:paraId="06EE05E1" w14:textId="77777777">
      <w:pPr>
        <w:pStyle w:val="P1-StandPara"/>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A.9</w:t>
      </w:r>
      <w:r w:rsidRPr="003D32DF">
        <w:rPr>
          <w:rFonts w:asciiTheme="minorHAnsi" w:hAnsiTheme="minorHAnsi" w:cstheme="minorHAnsi"/>
          <w:b/>
          <w:szCs w:val="22"/>
        </w:rPr>
        <w:tab/>
        <w:t>Explanation of Any Payment of Gift to Respondents</w:t>
      </w:r>
    </w:p>
    <w:p w:rsidR="00685B30" w:rsidRPr="003D32DF" w:rsidP="00005DD9" w14:paraId="746435EB" w14:textId="7FD6A911">
      <w:pPr>
        <w:spacing w:before="120" w:after="120" w:line="240" w:lineRule="auto"/>
        <w:rPr>
          <w:rFonts w:cstheme="minorHAnsi"/>
        </w:rPr>
      </w:pPr>
      <w:r w:rsidRPr="003D32DF">
        <w:rPr>
          <w:rFonts w:cstheme="minorHAnsi"/>
        </w:rPr>
        <w:t>No payment or gift will be provided to respondents.</w:t>
      </w:r>
    </w:p>
    <w:p w:rsidR="00005DD9" w:rsidRPr="003D32DF" w:rsidP="00005DD9" w14:paraId="6920F02D" w14:textId="77777777">
      <w:pPr>
        <w:spacing w:before="120" w:after="120" w:line="240" w:lineRule="auto"/>
        <w:rPr>
          <w:rFonts w:cstheme="minorHAnsi"/>
        </w:rPr>
      </w:pPr>
    </w:p>
    <w:p w:rsidR="00685B30" w:rsidRPr="003D32DF" w:rsidP="00005DD9" w14:paraId="43756684" w14:textId="77777777">
      <w:pPr>
        <w:pStyle w:val="P1-StandPara"/>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A.10</w:t>
      </w:r>
      <w:r w:rsidRPr="003D32DF">
        <w:rPr>
          <w:rFonts w:asciiTheme="minorHAnsi" w:hAnsiTheme="minorHAnsi" w:cstheme="minorHAnsi"/>
          <w:b/>
          <w:szCs w:val="22"/>
        </w:rPr>
        <w:tab/>
        <w:t>Assurance of Confidentiality Provided to Respondents</w:t>
      </w:r>
    </w:p>
    <w:p w:rsidR="00472E9F" w:rsidRPr="003D32DF" w:rsidP="00005DD9" w14:paraId="2195296D" w14:textId="77777777">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 xml:space="preserve">The Federal Privacy Act ensures that no sensitive or personally identifiable information, located in federal systems of records (e.g., Recipient NIH records), is being shared. A system of records is any group of records under the control of a federal agency from which information is retrieved by the name of the individual or by some identifying number, symbol, or other identifying </w:t>
      </w:r>
      <w:r w:rsidRPr="003D32DF">
        <w:rPr>
          <w:rFonts w:asciiTheme="minorHAnsi" w:hAnsiTheme="minorHAnsi" w:cstheme="minorHAnsi"/>
          <w:szCs w:val="22"/>
        </w:rPr>
        <w:t>particular assigned</w:t>
      </w:r>
      <w:r w:rsidRPr="003D32DF">
        <w:rPr>
          <w:rFonts w:asciiTheme="minorHAnsi" w:hAnsiTheme="minorHAnsi" w:cstheme="minorHAnsi"/>
          <w:szCs w:val="22"/>
        </w:rPr>
        <w:t xml:space="preserve"> to the individual.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w:t>
      </w:r>
    </w:p>
    <w:p w:rsidR="00472E9F" w:rsidRPr="003D32DF" w:rsidP="009378C1" w14:paraId="1B61F3C8" w14:textId="33123C11">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The information requested from the investigator seeking to submit data, as part of the DSA, may be made public in part or in whole for tracking and reporting purposes. Each Data Access Request provides a Privacy Act Notification pursuant to Public Law 93-579, Privacy Act of 1974, 5 U.S.C. Section 552a. These records will be maintained in accordance with the Privacy Act System of Record Notice 09-25-0200</w:t>
      </w:r>
      <w:r w:rsidRPr="003D32DF" w:rsidR="00233519">
        <w:rPr>
          <w:rFonts w:asciiTheme="minorHAnsi" w:hAnsiTheme="minorHAnsi" w:cstheme="minorHAnsi"/>
          <w:szCs w:val="22"/>
        </w:rPr>
        <w:t xml:space="preserve"> </w:t>
      </w:r>
      <w:r w:rsidRPr="003D32DF">
        <w:rPr>
          <w:rFonts w:asciiTheme="minorHAnsi" w:hAnsiTheme="minorHAnsi" w:cstheme="minorHAnsi"/>
          <w:szCs w:val="22"/>
        </w:rPr>
        <w:t>(</w:t>
      </w:r>
      <w:hyperlink r:id="rId16" w:history="1">
        <w:r w:rsidRPr="003D32DF" w:rsidR="00B65BAA">
          <w:rPr>
            <w:rStyle w:val="Hyperlink"/>
            <w:rFonts w:asciiTheme="minorHAnsi" w:hAnsiTheme="minorHAnsi" w:cstheme="minorHAnsi"/>
            <w:szCs w:val="22"/>
          </w:rPr>
          <w:t>https://oma.od.nih.gov/forms/Privacy%20Documents/PAfiles/0200.htm</w:t>
        </w:r>
      </w:hyperlink>
      <w:r w:rsidRPr="003D32DF">
        <w:rPr>
          <w:rFonts w:asciiTheme="minorHAnsi" w:hAnsiTheme="minorHAnsi" w:cstheme="minorHAnsi"/>
          <w:szCs w:val="22"/>
        </w:rPr>
        <w:t>)</w:t>
      </w:r>
      <w:r w:rsidRPr="003D32DF" w:rsidR="00A70BB8">
        <w:rPr>
          <w:rFonts w:asciiTheme="minorHAnsi" w:hAnsiTheme="minorHAnsi" w:cstheme="minorHAnsi"/>
          <w:szCs w:val="22"/>
        </w:rPr>
        <w:t xml:space="preserve"> </w:t>
      </w:r>
      <w:r w:rsidRPr="003D32DF">
        <w:rPr>
          <w:rFonts w:asciiTheme="minorHAnsi" w:hAnsiTheme="minorHAnsi" w:cstheme="minorHAnsi"/>
          <w:szCs w:val="22"/>
        </w:rPr>
        <w:t>covering “Clinical, Basic and Population-based Research Studies of the National Institutes of Health (NIH), HHS/NIH/OD.”</w:t>
      </w:r>
    </w:p>
    <w:p w:rsidR="00BA32E9" w:rsidRPr="003D32DF" w:rsidP="009378C1" w14:paraId="2DFBC298" w14:textId="2E05371C">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The information requested from the investigator seeking access to NDA data, as part of the DUC, may be made public in part or in whole for tracking and reporting purposes. The DUC Form provides a Privacy Act Notification pursuant to Public Law 93-579, Privacy Act of 1974, 5 U.S.C. Section 552a. These records will be maintained in accordance with the Privacy Act System of Record Notice 09-25-0156, September 26, 2002, 67 FR 60742-60794 (</w:t>
      </w:r>
      <w:hyperlink r:id="rId17" w:history="1">
        <w:r w:rsidRPr="003D32DF" w:rsidR="00CC7BDC">
          <w:rPr>
            <w:rStyle w:val="Hyperlink"/>
            <w:rFonts w:asciiTheme="minorHAnsi" w:hAnsiTheme="minorHAnsi" w:cstheme="minorHAnsi"/>
            <w:szCs w:val="22"/>
          </w:rPr>
          <w:t>https://oma.od.nih.gov/forms/Privacy%20Documents/PAfiles/0156.htm</w:t>
        </w:r>
      </w:hyperlink>
      <w:r w:rsidRPr="003D32DF">
        <w:rPr>
          <w:rFonts w:asciiTheme="minorHAnsi" w:hAnsiTheme="minorHAnsi" w:cstheme="minorHAnsi"/>
          <w:szCs w:val="22"/>
        </w:rPr>
        <w:t>) covering “Records of Participants in Programs and Respondents in Surveys Used to Evaluate Programs of the Public Health Service, HHS/PHS/NIH/OD.”</w:t>
      </w:r>
    </w:p>
    <w:p w:rsidR="0036208F" w:rsidRPr="003D32DF" w:rsidP="009378C1" w14:paraId="7489C162" w14:textId="0501B7FB">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Although the repository data will be coded (or de-identified) and NIMH will not hold direct identifiers to individuals within NDA, the agency recognizes the personal and potentially sensitive nature of the genotype-phenotype data. Investigators and institutions seeking access to data or images from the repository are expected to meet data security measures and to submit a DUC, co-signed by the investigator and the designated Institutional Official, as applicable.</w:t>
      </w:r>
    </w:p>
    <w:p w:rsidR="00E35DD1" w:rsidRPr="003D32DF" w:rsidP="00005DD9" w14:paraId="63CCC42F" w14:textId="77777777">
      <w:pPr>
        <w:pStyle w:val="P1-StandPara"/>
        <w:spacing w:before="120" w:after="120" w:line="240" w:lineRule="auto"/>
        <w:ind w:firstLine="0"/>
        <w:rPr>
          <w:rFonts w:asciiTheme="minorHAnsi" w:hAnsiTheme="minorHAnsi" w:cstheme="minorHAnsi"/>
          <w:szCs w:val="22"/>
        </w:rPr>
      </w:pPr>
    </w:p>
    <w:p w:rsidR="00685B30" w:rsidRPr="003D32DF" w:rsidP="00005DD9" w14:paraId="418F3B61" w14:textId="77777777">
      <w:pPr>
        <w:pStyle w:val="P1-StandPara"/>
        <w:spacing w:before="120" w:after="120" w:line="240" w:lineRule="auto"/>
        <w:ind w:firstLine="0"/>
        <w:rPr>
          <w:rFonts w:asciiTheme="minorHAnsi" w:hAnsiTheme="minorHAnsi" w:cstheme="minorHAnsi"/>
          <w:b/>
          <w:szCs w:val="22"/>
        </w:rPr>
      </w:pPr>
      <w:r w:rsidRPr="003D32DF">
        <w:rPr>
          <w:rFonts w:asciiTheme="minorHAnsi" w:hAnsiTheme="minorHAnsi" w:cstheme="minorHAnsi"/>
          <w:b/>
          <w:szCs w:val="22"/>
        </w:rPr>
        <w:t>A.11</w:t>
      </w:r>
      <w:r w:rsidRPr="003D32DF">
        <w:rPr>
          <w:rFonts w:asciiTheme="minorHAnsi" w:hAnsiTheme="minorHAnsi" w:cstheme="minorHAnsi"/>
          <w:b/>
          <w:szCs w:val="22"/>
        </w:rPr>
        <w:tab/>
        <w:t>Justification for Sensitive Questions</w:t>
      </w:r>
    </w:p>
    <w:p w:rsidR="00685B30" w:rsidRPr="003D32DF" w:rsidP="00005DD9" w14:paraId="2EE5DF31" w14:textId="40F4FB06">
      <w:pPr>
        <w:pStyle w:val="P1-StandPara"/>
        <w:spacing w:before="120" w:after="120" w:line="240" w:lineRule="auto"/>
        <w:ind w:firstLine="0"/>
        <w:rPr>
          <w:rFonts w:asciiTheme="minorHAnsi" w:hAnsiTheme="minorHAnsi" w:cstheme="minorHAnsi"/>
          <w:szCs w:val="22"/>
        </w:rPr>
      </w:pPr>
      <w:r w:rsidRPr="003D32DF">
        <w:rPr>
          <w:rFonts w:asciiTheme="minorHAnsi" w:hAnsiTheme="minorHAnsi" w:cstheme="minorHAnsi"/>
          <w:szCs w:val="22"/>
        </w:rPr>
        <w:t xml:space="preserve">The NDA does not ask any questions of a sensitive nature, such as sexual behavior and attitudes, religious beliefs, and other matters that are commonly considered private; and therefore, there is no need to provide a justification for this type of information. The NDA will not distribute sensitive data. Upon submission of data, NDA staff performs a quality control review to ensure that no personally identifiable information (PII) is contained in the dataset or supporting documentation. Only data that have undergone a quality control review are approved for sharing with the research community. </w:t>
      </w:r>
    </w:p>
    <w:p w:rsidR="00685B30" w:rsidP="00005DD9" w14:paraId="576DA571" w14:textId="77777777">
      <w:pPr>
        <w:pStyle w:val="P1-StandPara"/>
        <w:spacing w:before="120" w:after="120" w:line="240" w:lineRule="auto"/>
        <w:ind w:firstLine="0"/>
        <w:rPr>
          <w:rFonts w:asciiTheme="minorHAnsi" w:hAnsiTheme="minorHAnsi" w:cstheme="minorHAnsi"/>
          <w:szCs w:val="22"/>
        </w:rPr>
      </w:pPr>
    </w:p>
    <w:p w:rsidR="006742F7" w:rsidP="00005DD9" w14:paraId="2F335CCA" w14:textId="77777777">
      <w:pPr>
        <w:pStyle w:val="P1-StandPara"/>
        <w:spacing w:before="120" w:after="120" w:line="240" w:lineRule="auto"/>
        <w:ind w:firstLine="0"/>
        <w:rPr>
          <w:rFonts w:asciiTheme="minorHAnsi" w:hAnsiTheme="minorHAnsi" w:cstheme="minorHAnsi"/>
          <w:szCs w:val="22"/>
        </w:rPr>
      </w:pPr>
    </w:p>
    <w:p w:rsidR="006742F7" w:rsidP="00005DD9" w14:paraId="7EC11991" w14:textId="77777777">
      <w:pPr>
        <w:pStyle w:val="P1-StandPara"/>
        <w:spacing w:before="120" w:after="120" w:line="240" w:lineRule="auto"/>
        <w:ind w:firstLine="0"/>
        <w:rPr>
          <w:rFonts w:asciiTheme="minorHAnsi" w:hAnsiTheme="minorHAnsi" w:cstheme="minorHAnsi"/>
          <w:szCs w:val="22"/>
        </w:rPr>
      </w:pPr>
    </w:p>
    <w:p w:rsidR="006742F7" w:rsidRPr="003D32DF" w:rsidP="00005DD9" w14:paraId="6795C75A" w14:textId="77777777">
      <w:pPr>
        <w:pStyle w:val="P1-StandPara"/>
        <w:spacing w:before="120" w:after="120" w:line="240" w:lineRule="auto"/>
        <w:ind w:firstLine="0"/>
        <w:rPr>
          <w:rFonts w:asciiTheme="minorHAnsi" w:hAnsiTheme="minorHAnsi" w:cstheme="minorHAnsi"/>
          <w:szCs w:val="22"/>
        </w:rPr>
      </w:pPr>
    </w:p>
    <w:p w:rsidR="00685B30" w:rsidRPr="003D32DF" w:rsidP="00005DD9" w14:paraId="2470C97A" w14:textId="77777777">
      <w:pPr>
        <w:spacing w:before="120" w:after="120" w:line="240" w:lineRule="auto"/>
        <w:rPr>
          <w:rFonts w:cstheme="minorHAnsi"/>
          <w:b/>
        </w:rPr>
      </w:pPr>
      <w:r w:rsidRPr="003D32DF">
        <w:rPr>
          <w:rFonts w:cstheme="minorHAnsi"/>
          <w:b/>
        </w:rPr>
        <w:t>A.12</w:t>
      </w:r>
      <w:r w:rsidRPr="003D32DF" w:rsidR="00BF491C">
        <w:rPr>
          <w:rFonts w:cstheme="minorHAnsi"/>
          <w:b/>
        </w:rPr>
        <w:t>.1</w:t>
      </w:r>
      <w:r w:rsidRPr="003D32DF">
        <w:rPr>
          <w:rFonts w:cstheme="minorHAnsi"/>
          <w:b/>
        </w:rPr>
        <w:tab/>
        <w:t>Estimates of Hour Burden Including Annualized Hourly Costs</w:t>
      </w:r>
    </w:p>
    <w:p w:rsidR="00C24877" w:rsidRPr="003D32DF" w:rsidP="00005DD9" w14:paraId="69E5DE25" w14:textId="0F109F3D">
      <w:pPr>
        <w:spacing w:before="120" w:after="120" w:line="240" w:lineRule="auto"/>
        <w:jc w:val="center"/>
        <w:rPr>
          <w:rFonts w:cstheme="minorHAnsi"/>
        </w:rPr>
      </w:pPr>
      <w:r w:rsidRPr="003D32DF">
        <w:rPr>
          <w:rFonts w:cstheme="minorHAnsi"/>
        </w:rPr>
        <w:t>Table 12-1 Estimated Annualized Burden Hours</w:t>
      </w:r>
    </w:p>
    <w:tbl>
      <w:tblPr>
        <w:tblW w:w="3911" w:type="pct"/>
        <w:jc w:val="center"/>
        <w:tblCellMar>
          <w:left w:w="120" w:type="dxa"/>
          <w:right w:w="120" w:type="dxa"/>
        </w:tblCellMar>
        <w:tblLook w:val="0000"/>
      </w:tblPr>
      <w:tblGrid>
        <w:gridCol w:w="1252"/>
        <w:gridCol w:w="1330"/>
        <w:gridCol w:w="1330"/>
        <w:gridCol w:w="1251"/>
        <w:gridCol w:w="1132"/>
        <w:gridCol w:w="1244"/>
      </w:tblGrid>
      <w:tr w14:paraId="35FEB88B" w14:textId="77777777" w:rsidTr="002449B6">
        <w:tblPrEx>
          <w:tblW w:w="3911" w:type="pct"/>
          <w:jc w:val="center"/>
          <w:tblCellMar>
            <w:left w:w="120" w:type="dxa"/>
            <w:right w:w="120" w:type="dxa"/>
          </w:tblCellMar>
          <w:tblLook w:val="0000"/>
        </w:tblPrEx>
        <w:trPr>
          <w:cantSplit/>
          <w:trHeight w:val="1146"/>
          <w:jc w:val="center"/>
        </w:trPr>
        <w:tc>
          <w:tcPr>
            <w:tcW w:w="830" w:type="pct"/>
            <w:tcBorders>
              <w:top w:val="single" w:sz="6" w:space="0" w:color="auto"/>
              <w:left w:val="single" w:sz="4" w:space="0" w:color="auto"/>
            </w:tcBorders>
          </w:tcPr>
          <w:p w:rsidR="009A33EB" w:rsidRPr="003D32DF" w:rsidP="002449B6" w14:paraId="69713C44" w14:textId="77777777">
            <w:pPr>
              <w:spacing w:after="0" w:line="240" w:lineRule="auto"/>
              <w:jc w:val="center"/>
              <w:rPr>
                <w:rFonts w:cstheme="minorHAnsi"/>
                <w:b/>
                <w:bCs/>
                <w:sz w:val="20"/>
                <w:szCs w:val="20"/>
              </w:rPr>
            </w:pPr>
            <w:r w:rsidRPr="003D32DF">
              <w:rPr>
                <w:rFonts w:cstheme="minorHAnsi"/>
                <w:b/>
                <w:bCs/>
                <w:sz w:val="20"/>
                <w:szCs w:val="20"/>
              </w:rPr>
              <w:t>Form Name</w:t>
            </w:r>
          </w:p>
        </w:tc>
        <w:tc>
          <w:tcPr>
            <w:tcW w:w="882" w:type="pct"/>
            <w:tcBorders>
              <w:top w:val="single" w:sz="6" w:space="0" w:color="auto"/>
              <w:left w:val="single" w:sz="6" w:space="0" w:color="auto"/>
              <w:right w:val="single" w:sz="6" w:space="0" w:color="auto"/>
            </w:tcBorders>
          </w:tcPr>
          <w:p w:rsidR="009A33EB" w:rsidRPr="003D32DF" w:rsidP="002449B6" w14:paraId="3821E77A" w14:textId="77777777">
            <w:pPr>
              <w:spacing w:after="0" w:line="240" w:lineRule="auto"/>
              <w:jc w:val="center"/>
              <w:rPr>
                <w:rFonts w:cstheme="minorHAnsi"/>
                <w:b/>
                <w:bCs/>
                <w:sz w:val="20"/>
                <w:szCs w:val="20"/>
              </w:rPr>
            </w:pPr>
            <w:r w:rsidRPr="003D32DF">
              <w:rPr>
                <w:rFonts w:cstheme="minorHAnsi"/>
                <w:b/>
                <w:bCs/>
                <w:sz w:val="20"/>
                <w:szCs w:val="20"/>
              </w:rPr>
              <w:t>Type of Respondents</w:t>
            </w:r>
          </w:p>
        </w:tc>
        <w:tc>
          <w:tcPr>
            <w:tcW w:w="882" w:type="pct"/>
            <w:tcBorders>
              <w:top w:val="single" w:sz="6" w:space="0" w:color="auto"/>
              <w:left w:val="single" w:sz="6" w:space="0" w:color="auto"/>
            </w:tcBorders>
          </w:tcPr>
          <w:p w:rsidR="009A33EB" w:rsidRPr="003D32DF" w:rsidP="002449B6" w14:paraId="07BA06F2" w14:textId="77777777">
            <w:pPr>
              <w:spacing w:after="0" w:line="240" w:lineRule="auto"/>
              <w:jc w:val="center"/>
              <w:rPr>
                <w:rFonts w:cstheme="minorHAnsi"/>
                <w:b/>
                <w:bCs/>
                <w:sz w:val="20"/>
                <w:szCs w:val="20"/>
              </w:rPr>
            </w:pPr>
            <w:r w:rsidRPr="003D32DF">
              <w:rPr>
                <w:rFonts w:cstheme="minorHAnsi"/>
                <w:b/>
                <w:bCs/>
                <w:sz w:val="20"/>
                <w:szCs w:val="20"/>
              </w:rPr>
              <w:t>Number of Respondents</w:t>
            </w:r>
          </w:p>
        </w:tc>
        <w:tc>
          <w:tcPr>
            <w:tcW w:w="830" w:type="pct"/>
            <w:tcBorders>
              <w:top w:val="single" w:sz="6" w:space="0" w:color="auto"/>
              <w:left w:val="single" w:sz="6" w:space="0" w:color="auto"/>
            </w:tcBorders>
          </w:tcPr>
          <w:p w:rsidR="009A33EB" w:rsidRPr="003D32DF" w:rsidP="002449B6" w14:paraId="06A91A4E" w14:textId="77777777">
            <w:pPr>
              <w:spacing w:after="0" w:line="240" w:lineRule="auto"/>
              <w:jc w:val="center"/>
              <w:rPr>
                <w:rFonts w:cstheme="minorHAnsi"/>
                <w:b/>
                <w:bCs/>
                <w:sz w:val="20"/>
                <w:szCs w:val="20"/>
              </w:rPr>
            </w:pPr>
            <w:r w:rsidRPr="003D32DF">
              <w:rPr>
                <w:rFonts w:cstheme="minorHAnsi"/>
                <w:b/>
                <w:bCs/>
                <w:sz w:val="20"/>
                <w:szCs w:val="20"/>
              </w:rPr>
              <w:t>Number of Responses per Respondent</w:t>
            </w:r>
          </w:p>
        </w:tc>
        <w:tc>
          <w:tcPr>
            <w:tcW w:w="751" w:type="pct"/>
            <w:tcBorders>
              <w:top w:val="single" w:sz="6" w:space="0" w:color="auto"/>
              <w:left w:val="single" w:sz="6" w:space="0" w:color="auto"/>
            </w:tcBorders>
          </w:tcPr>
          <w:p w:rsidR="009A33EB" w:rsidRPr="003D32DF" w:rsidP="002449B6" w14:paraId="2062D224" w14:textId="77777777">
            <w:pPr>
              <w:tabs>
                <w:tab w:val="right" w:pos="2361"/>
              </w:tabs>
              <w:spacing w:after="0" w:line="240" w:lineRule="auto"/>
              <w:jc w:val="center"/>
              <w:rPr>
                <w:rFonts w:cstheme="minorHAnsi"/>
                <w:b/>
                <w:bCs/>
                <w:sz w:val="20"/>
                <w:szCs w:val="20"/>
              </w:rPr>
            </w:pPr>
            <w:r w:rsidRPr="003D32DF">
              <w:rPr>
                <w:rFonts w:cstheme="minorHAnsi"/>
                <w:b/>
                <w:bCs/>
                <w:sz w:val="20"/>
                <w:szCs w:val="20"/>
              </w:rPr>
              <w:t>Average Burden Per Response (in hours)</w:t>
            </w:r>
          </w:p>
        </w:tc>
        <w:tc>
          <w:tcPr>
            <w:tcW w:w="825" w:type="pct"/>
            <w:tcBorders>
              <w:top w:val="single" w:sz="6" w:space="0" w:color="auto"/>
              <w:left w:val="single" w:sz="6" w:space="0" w:color="auto"/>
              <w:right w:val="single" w:sz="4" w:space="0" w:color="auto"/>
            </w:tcBorders>
          </w:tcPr>
          <w:p w:rsidR="009A33EB" w:rsidRPr="003D32DF" w:rsidP="002449B6" w14:paraId="0A248493" w14:textId="77777777">
            <w:pPr>
              <w:spacing w:after="0" w:line="240" w:lineRule="auto"/>
              <w:jc w:val="center"/>
              <w:rPr>
                <w:rFonts w:cstheme="minorHAnsi"/>
                <w:b/>
                <w:bCs/>
                <w:sz w:val="20"/>
                <w:szCs w:val="20"/>
              </w:rPr>
            </w:pPr>
            <w:r w:rsidRPr="003D32DF">
              <w:rPr>
                <w:rFonts w:cstheme="minorHAnsi"/>
                <w:b/>
                <w:bCs/>
                <w:sz w:val="20"/>
                <w:szCs w:val="20"/>
              </w:rPr>
              <w:t>Total Annual Burden Hours</w:t>
            </w:r>
          </w:p>
        </w:tc>
      </w:tr>
      <w:tr w14:paraId="2C3217F2" w14:textId="77777777" w:rsidTr="002449B6">
        <w:tblPrEx>
          <w:tblW w:w="3911" w:type="pct"/>
          <w:jc w:val="center"/>
          <w:tblCellMar>
            <w:left w:w="120" w:type="dxa"/>
            <w:right w:w="120" w:type="dxa"/>
          </w:tblCellMar>
          <w:tblLook w:val="0000"/>
        </w:tblPrEx>
        <w:trPr>
          <w:cantSplit/>
          <w:trHeight w:val="49"/>
          <w:jc w:val="center"/>
        </w:trPr>
        <w:tc>
          <w:tcPr>
            <w:tcW w:w="830" w:type="pct"/>
            <w:tcBorders>
              <w:top w:val="single" w:sz="6" w:space="0" w:color="auto"/>
              <w:left w:val="single" w:sz="4" w:space="0" w:color="auto"/>
            </w:tcBorders>
          </w:tcPr>
          <w:p w:rsidR="009A33EB" w:rsidRPr="003D32DF" w:rsidP="002449B6" w14:paraId="07FA8EBB" w14:textId="77777777">
            <w:pPr>
              <w:spacing w:after="0" w:line="240" w:lineRule="auto"/>
              <w:jc w:val="center"/>
              <w:rPr>
                <w:rFonts w:cstheme="minorHAnsi"/>
                <w:sz w:val="20"/>
                <w:szCs w:val="20"/>
              </w:rPr>
            </w:pPr>
            <w:r w:rsidRPr="003D32DF">
              <w:rPr>
                <w:rFonts w:cstheme="minorHAnsi"/>
                <w:sz w:val="20"/>
                <w:szCs w:val="20"/>
              </w:rPr>
              <w:t>NDA Data Submission Agreement (DSA)</w:t>
            </w:r>
          </w:p>
        </w:tc>
        <w:tc>
          <w:tcPr>
            <w:tcW w:w="882" w:type="pct"/>
            <w:tcBorders>
              <w:top w:val="single" w:sz="6" w:space="0" w:color="auto"/>
              <w:left w:val="single" w:sz="6" w:space="0" w:color="auto"/>
              <w:right w:val="single" w:sz="6" w:space="0" w:color="auto"/>
            </w:tcBorders>
          </w:tcPr>
          <w:p w:rsidR="009A33EB" w:rsidRPr="003D32DF" w:rsidP="002449B6" w14:paraId="3242546E" w14:textId="77777777">
            <w:pPr>
              <w:spacing w:after="0" w:line="240" w:lineRule="auto"/>
              <w:jc w:val="center"/>
              <w:rPr>
                <w:rFonts w:cstheme="minorHAnsi"/>
                <w:sz w:val="20"/>
                <w:szCs w:val="20"/>
              </w:rPr>
            </w:pPr>
            <w:r w:rsidRPr="003D32DF">
              <w:rPr>
                <w:rFonts w:cstheme="minorHAnsi"/>
                <w:sz w:val="20"/>
                <w:szCs w:val="20"/>
              </w:rPr>
              <w:t>Private Sector</w:t>
            </w:r>
          </w:p>
        </w:tc>
        <w:tc>
          <w:tcPr>
            <w:tcW w:w="882" w:type="pct"/>
            <w:tcBorders>
              <w:top w:val="single" w:sz="6" w:space="0" w:color="auto"/>
              <w:left w:val="single" w:sz="6" w:space="0" w:color="auto"/>
            </w:tcBorders>
          </w:tcPr>
          <w:p w:rsidR="009A33EB" w:rsidRPr="003D32DF" w:rsidP="002449B6" w14:paraId="35ADD827" w14:textId="77777777">
            <w:pPr>
              <w:spacing w:after="0" w:line="240" w:lineRule="auto"/>
              <w:jc w:val="center"/>
              <w:rPr>
                <w:rFonts w:cstheme="minorHAnsi"/>
                <w:sz w:val="20"/>
                <w:szCs w:val="20"/>
              </w:rPr>
            </w:pPr>
            <w:r w:rsidRPr="003D32DF">
              <w:rPr>
                <w:rFonts w:cstheme="minorHAnsi"/>
                <w:sz w:val="20"/>
                <w:szCs w:val="20"/>
              </w:rPr>
              <w:t>300</w:t>
            </w:r>
          </w:p>
        </w:tc>
        <w:tc>
          <w:tcPr>
            <w:tcW w:w="830" w:type="pct"/>
            <w:tcBorders>
              <w:top w:val="single" w:sz="6" w:space="0" w:color="auto"/>
              <w:left w:val="single" w:sz="6" w:space="0" w:color="auto"/>
            </w:tcBorders>
          </w:tcPr>
          <w:p w:rsidR="009A33EB" w:rsidRPr="003D32DF" w:rsidP="002449B6" w14:paraId="694A21FD" w14:textId="77777777">
            <w:pPr>
              <w:spacing w:after="0" w:line="240" w:lineRule="auto"/>
              <w:jc w:val="center"/>
              <w:rPr>
                <w:rFonts w:cstheme="minorHAnsi"/>
                <w:sz w:val="20"/>
                <w:szCs w:val="20"/>
              </w:rPr>
            </w:pPr>
            <w:r w:rsidRPr="003D32DF">
              <w:rPr>
                <w:rFonts w:cstheme="minorHAnsi"/>
                <w:sz w:val="20"/>
                <w:szCs w:val="20"/>
              </w:rPr>
              <w:t>1</w:t>
            </w:r>
          </w:p>
        </w:tc>
        <w:tc>
          <w:tcPr>
            <w:tcW w:w="751" w:type="pct"/>
            <w:tcBorders>
              <w:top w:val="single" w:sz="6" w:space="0" w:color="auto"/>
              <w:left w:val="single" w:sz="6" w:space="0" w:color="auto"/>
            </w:tcBorders>
          </w:tcPr>
          <w:p w:rsidR="009A33EB" w:rsidRPr="003D32DF" w:rsidP="002449B6" w14:paraId="5C06CE3C" w14:textId="77777777">
            <w:pPr>
              <w:spacing w:after="0" w:line="240" w:lineRule="auto"/>
              <w:jc w:val="center"/>
              <w:rPr>
                <w:rFonts w:cstheme="minorHAnsi"/>
                <w:sz w:val="20"/>
                <w:szCs w:val="20"/>
              </w:rPr>
            </w:pPr>
            <w:r w:rsidRPr="003D32DF">
              <w:rPr>
                <w:rFonts w:cstheme="minorHAnsi"/>
                <w:sz w:val="20"/>
                <w:szCs w:val="20"/>
              </w:rPr>
              <w:t>90/60</w:t>
            </w:r>
          </w:p>
        </w:tc>
        <w:tc>
          <w:tcPr>
            <w:tcW w:w="825" w:type="pct"/>
            <w:tcBorders>
              <w:top w:val="single" w:sz="6" w:space="0" w:color="auto"/>
              <w:left w:val="single" w:sz="6" w:space="0" w:color="auto"/>
              <w:right w:val="single" w:sz="4" w:space="0" w:color="auto"/>
            </w:tcBorders>
          </w:tcPr>
          <w:p w:rsidR="009A33EB" w:rsidRPr="003D32DF" w:rsidP="002449B6" w14:paraId="0C22C026" w14:textId="77777777">
            <w:pPr>
              <w:spacing w:after="0" w:line="240" w:lineRule="auto"/>
              <w:jc w:val="center"/>
              <w:rPr>
                <w:rFonts w:cstheme="minorHAnsi"/>
                <w:sz w:val="20"/>
                <w:szCs w:val="20"/>
              </w:rPr>
            </w:pPr>
            <w:r w:rsidRPr="003D32DF">
              <w:rPr>
                <w:rFonts w:cstheme="minorHAnsi"/>
                <w:sz w:val="20"/>
                <w:szCs w:val="20"/>
              </w:rPr>
              <w:t>450</w:t>
            </w:r>
          </w:p>
        </w:tc>
      </w:tr>
      <w:tr w14:paraId="6EA837FF" w14:textId="77777777" w:rsidTr="002449B6">
        <w:tblPrEx>
          <w:tblW w:w="3911" w:type="pct"/>
          <w:jc w:val="center"/>
          <w:tblCellMar>
            <w:left w:w="120" w:type="dxa"/>
            <w:right w:w="120" w:type="dxa"/>
          </w:tblCellMar>
          <w:tblLook w:val="0000"/>
        </w:tblPrEx>
        <w:trPr>
          <w:cantSplit/>
          <w:trHeight w:val="76"/>
          <w:jc w:val="center"/>
        </w:trPr>
        <w:tc>
          <w:tcPr>
            <w:tcW w:w="830" w:type="pct"/>
            <w:tcBorders>
              <w:top w:val="single" w:sz="6" w:space="0" w:color="auto"/>
              <w:left w:val="single" w:sz="4" w:space="0" w:color="auto"/>
            </w:tcBorders>
          </w:tcPr>
          <w:p w:rsidR="009A33EB" w:rsidRPr="003D32DF" w:rsidP="002449B6" w14:paraId="18CD63DA" w14:textId="77777777">
            <w:pPr>
              <w:spacing w:after="0" w:line="240" w:lineRule="auto"/>
              <w:jc w:val="center"/>
              <w:rPr>
                <w:rFonts w:cstheme="minorHAnsi"/>
                <w:sz w:val="20"/>
                <w:szCs w:val="20"/>
              </w:rPr>
            </w:pPr>
            <w:r w:rsidRPr="003D32DF">
              <w:rPr>
                <w:rFonts w:cstheme="minorHAnsi"/>
                <w:sz w:val="20"/>
                <w:szCs w:val="20"/>
              </w:rPr>
              <w:t>NDA Data Use Certification (DUC)</w:t>
            </w:r>
          </w:p>
        </w:tc>
        <w:tc>
          <w:tcPr>
            <w:tcW w:w="882" w:type="pct"/>
            <w:tcBorders>
              <w:top w:val="single" w:sz="6" w:space="0" w:color="auto"/>
              <w:left w:val="single" w:sz="6" w:space="0" w:color="auto"/>
              <w:right w:val="single" w:sz="6" w:space="0" w:color="auto"/>
            </w:tcBorders>
          </w:tcPr>
          <w:p w:rsidR="009A33EB" w:rsidRPr="003D32DF" w:rsidP="002449B6" w14:paraId="1A7C59DF" w14:textId="77777777">
            <w:pPr>
              <w:spacing w:after="0" w:line="240" w:lineRule="auto"/>
              <w:jc w:val="center"/>
              <w:rPr>
                <w:rFonts w:cstheme="minorHAnsi"/>
                <w:sz w:val="20"/>
                <w:szCs w:val="20"/>
              </w:rPr>
            </w:pPr>
            <w:r w:rsidRPr="003D32DF">
              <w:rPr>
                <w:rFonts w:cstheme="minorHAnsi"/>
                <w:sz w:val="20"/>
                <w:szCs w:val="20"/>
              </w:rPr>
              <w:t>Private Sector</w:t>
            </w:r>
          </w:p>
        </w:tc>
        <w:tc>
          <w:tcPr>
            <w:tcW w:w="882" w:type="pct"/>
            <w:tcBorders>
              <w:top w:val="single" w:sz="6" w:space="0" w:color="auto"/>
              <w:left w:val="single" w:sz="6" w:space="0" w:color="auto"/>
            </w:tcBorders>
          </w:tcPr>
          <w:p w:rsidR="009A33EB" w:rsidRPr="003D32DF" w:rsidP="002449B6" w14:paraId="2F9071EA" w14:textId="77777777">
            <w:pPr>
              <w:spacing w:after="0" w:line="240" w:lineRule="auto"/>
              <w:jc w:val="center"/>
              <w:rPr>
                <w:rFonts w:cstheme="minorHAnsi"/>
                <w:sz w:val="20"/>
                <w:szCs w:val="20"/>
              </w:rPr>
            </w:pPr>
            <w:r w:rsidRPr="003D32DF">
              <w:rPr>
                <w:rFonts w:cstheme="minorHAnsi"/>
                <w:sz w:val="20"/>
                <w:szCs w:val="20"/>
              </w:rPr>
              <w:t>950</w:t>
            </w:r>
          </w:p>
        </w:tc>
        <w:tc>
          <w:tcPr>
            <w:tcW w:w="830" w:type="pct"/>
            <w:tcBorders>
              <w:top w:val="single" w:sz="6" w:space="0" w:color="auto"/>
              <w:left w:val="single" w:sz="6" w:space="0" w:color="auto"/>
            </w:tcBorders>
          </w:tcPr>
          <w:p w:rsidR="009A33EB" w:rsidRPr="003D32DF" w:rsidP="002449B6" w14:paraId="536EF6CC" w14:textId="77777777">
            <w:pPr>
              <w:spacing w:after="0" w:line="240" w:lineRule="auto"/>
              <w:jc w:val="center"/>
              <w:rPr>
                <w:rFonts w:cstheme="minorHAnsi"/>
                <w:sz w:val="20"/>
                <w:szCs w:val="20"/>
              </w:rPr>
            </w:pPr>
            <w:r w:rsidRPr="003D32DF">
              <w:rPr>
                <w:rFonts w:cstheme="minorHAnsi"/>
                <w:sz w:val="20"/>
                <w:szCs w:val="20"/>
              </w:rPr>
              <w:t>1</w:t>
            </w:r>
          </w:p>
        </w:tc>
        <w:tc>
          <w:tcPr>
            <w:tcW w:w="751" w:type="pct"/>
            <w:tcBorders>
              <w:top w:val="single" w:sz="6" w:space="0" w:color="auto"/>
              <w:left w:val="single" w:sz="6" w:space="0" w:color="auto"/>
            </w:tcBorders>
          </w:tcPr>
          <w:p w:rsidR="009A33EB" w:rsidRPr="003D32DF" w:rsidP="002449B6" w14:paraId="62FED350" w14:textId="77777777">
            <w:pPr>
              <w:spacing w:after="0" w:line="240" w:lineRule="auto"/>
              <w:jc w:val="center"/>
              <w:rPr>
                <w:rFonts w:cstheme="minorHAnsi"/>
                <w:sz w:val="20"/>
                <w:szCs w:val="20"/>
              </w:rPr>
            </w:pPr>
            <w:r w:rsidRPr="003D32DF">
              <w:rPr>
                <w:rFonts w:cstheme="minorHAnsi"/>
                <w:sz w:val="20"/>
                <w:szCs w:val="20"/>
              </w:rPr>
              <w:t>90/60</w:t>
            </w:r>
          </w:p>
        </w:tc>
        <w:tc>
          <w:tcPr>
            <w:tcW w:w="825" w:type="pct"/>
            <w:tcBorders>
              <w:top w:val="single" w:sz="6" w:space="0" w:color="auto"/>
              <w:left w:val="single" w:sz="6" w:space="0" w:color="auto"/>
              <w:right w:val="single" w:sz="4" w:space="0" w:color="auto"/>
            </w:tcBorders>
          </w:tcPr>
          <w:p w:rsidR="009A33EB" w:rsidRPr="003D32DF" w:rsidP="002449B6" w14:paraId="64FD90C8" w14:textId="77777777">
            <w:pPr>
              <w:spacing w:after="0" w:line="240" w:lineRule="auto"/>
              <w:jc w:val="center"/>
              <w:rPr>
                <w:rFonts w:cstheme="minorHAnsi"/>
                <w:sz w:val="20"/>
                <w:szCs w:val="20"/>
              </w:rPr>
            </w:pPr>
            <w:r w:rsidRPr="003D32DF">
              <w:rPr>
                <w:rFonts w:cstheme="minorHAnsi"/>
                <w:sz w:val="20"/>
                <w:szCs w:val="20"/>
              </w:rPr>
              <w:t>1,425</w:t>
            </w:r>
          </w:p>
        </w:tc>
      </w:tr>
      <w:tr w14:paraId="44229C6C" w14:textId="77777777" w:rsidTr="002449B6">
        <w:tblPrEx>
          <w:tblW w:w="3911" w:type="pct"/>
          <w:jc w:val="center"/>
          <w:tblCellMar>
            <w:left w:w="120" w:type="dxa"/>
            <w:right w:w="120" w:type="dxa"/>
          </w:tblCellMar>
          <w:tblLook w:val="0000"/>
        </w:tblPrEx>
        <w:trPr>
          <w:cantSplit/>
          <w:trHeight w:val="76"/>
          <w:jc w:val="center"/>
        </w:trPr>
        <w:tc>
          <w:tcPr>
            <w:tcW w:w="830" w:type="pct"/>
            <w:tcBorders>
              <w:top w:val="single" w:sz="6" w:space="0" w:color="auto"/>
              <w:left w:val="single" w:sz="4" w:space="0" w:color="auto"/>
              <w:bottom w:val="single" w:sz="4" w:space="0" w:color="auto"/>
            </w:tcBorders>
          </w:tcPr>
          <w:p w:rsidR="009A33EB" w:rsidRPr="003D32DF" w:rsidP="002449B6" w14:paraId="46792EB1" w14:textId="77777777">
            <w:pPr>
              <w:spacing w:after="0" w:line="240" w:lineRule="auto"/>
              <w:jc w:val="center"/>
              <w:rPr>
                <w:rFonts w:cstheme="minorHAnsi"/>
                <w:b/>
                <w:bCs/>
                <w:sz w:val="20"/>
                <w:szCs w:val="20"/>
              </w:rPr>
            </w:pPr>
            <w:r w:rsidRPr="003D32DF">
              <w:rPr>
                <w:rFonts w:cstheme="minorHAnsi"/>
                <w:b/>
                <w:bCs/>
                <w:sz w:val="20"/>
                <w:szCs w:val="20"/>
              </w:rPr>
              <w:t>TOTAL</w:t>
            </w:r>
          </w:p>
        </w:tc>
        <w:tc>
          <w:tcPr>
            <w:tcW w:w="882" w:type="pct"/>
            <w:tcBorders>
              <w:top w:val="single" w:sz="6" w:space="0" w:color="auto"/>
              <w:left w:val="single" w:sz="6" w:space="0" w:color="auto"/>
              <w:bottom w:val="single" w:sz="4" w:space="0" w:color="auto"/>
              <w:right w:val="single" w:sz="6" w:space="0" w:color="auto"/>
            </w:tcBorders>
          </w:tcPr>
          <w:p w:rsidR="009A33EB" w:rsidRPr="003D32DF" w:rsidP="002449B6" w14:paraId="32011C49" w14:textId="77777777">
            <w:pPr>
              <w:spacing w:after="0" w:line="240" w:lineRule="auto"/>
              <w:jc w:val="center"/>
              <w:rPr>
                <w:rFonts w:cstheme="minorHAnsi"/>
                <w:sz w:val="20"/>
                <w:szCs w:val="20"/>
              </w:rPr>
            </w:pPr>
          </w:p>
        </w:tc>
        <w:tc>
          <w:tcPr>
            <w:tcW w:w="882" w:type="pct"/>
            <w:tcBorders>
              <w:top w:val="single" w:sz="6" w:space="0" w:color="auto"/>
              <w:left w:val="single" w:sz="6" w:space="0" w:color="auto"/>
              <w:bottom w:val="single" w:sz="4" w:space="0" w:color="auto"/>
            </w:tcBorders>
          </w:tcPr>
          <w:p w:rsidR="009A33EB" w:rsidRPr="003D32DF" w:rsidP="002449B6" w14:paraId="6FA6EA25" w14:textId="77777777">
            <w:pPr>
              <w:spacing w:after="0" w:line="240" w:lineRule="auto"/>
              <w:jc w:val="center"/>
              <w:rPr>
                <w:rFonts w:cstheme="minorHAnsi"/>
                <w:sz w:val="20"/>
                <w:szCs w:val="20"/>
              </w:rPr>
            </w:pPr>
          </w:p>
        </w:tc>
        <w:tc>
          <w:tcPr>
            <w:tcW w:w="830" w:type="pct"/>
            <w:tcBorders>
              <w:top w:val="single" w:sz="6" w:space="0" w:color="auto"/>
              <w:left w:val="single" w:sz="6" w:space="0" w:color="auto"/>
              <w:bottom w:val="single" w:sz="4" w:space="0" w:color="auto"/>
            </w:tcBorders>
          </w:tcPr>
          <w:p w:rsidR="009A33EB" w:rsidRPr="003D32DF" w:rsidP="002449B6" w14:paraId="71716E2C" w14:textId="77777777">
            <w:pPr>
              <w:spacing w:after="0" w:line="240" w:lineRule="auto"/>
              <w:jc w:val="center"/>
              <w:rPr>
                <w:rFonts w:cstheme="minorHAnsi"/>
                <w:sz w:val="20"/>
                <w:szCs w:val="20"/>
              </w:rPr>
            </w:pPr>
            <w:r w:rsidRPr="003D32DF">
              <w:rPr>
                <w:rFonts w:cstheme="minorHAnsi"/>
                <w:sz w:val="20"/>
                <w:szCs w:val="20"/>
              </w:rPr>
              <w:t>1,250</w:t>
            </w:r>
          </w:p>
        </w:tc>
        <w:tc>
          <w:tcPr>
            <w:tcW w:w="751" w:type="pct"/>
            <w:tcBorders>
              <w:top w:val="single" w:sz="6" w:space="0" w:color="auto"/>
              <w:left w:val="single" w:sz="6" w:space="0" w:color="auto"/>
              <w:bottom w:val="single" w:sz="4" w:space="0" w:color="auto"/>
            </w:tcBorders>
            <w:shd w:val="pct25" w:color="auto" w:fill="auto"/>
          </w:tcPr>
          <w:p w:rsidR="009A33EB" w:rsidRPr="003D32DF" w:rsidP="002449B6" w14:paraId="279C7B02" w14:textId="77777777">
            <w:pPr>
              <w:spacing w:after="0" w:line="240" w:lineRule="auto"/>
              <w:jc w:val="center"/>
              <w:rPr>
                <w:rFonts w:cstheme="minorHAnsi"/>
                <w:sz w:val="20"/>
                <w:szCs w:val="20"/>
              </w:rPr>
            </w:pPr>
          </w:p>
        </w:tc>
        <w:tc>
          <w:tcPr>
            <w:tcW w:w="825" w:type="pct"/>
            <w:tcBorders>
              <w:top w:val="single" w:sz="6" w:space="0" w:color="auto"/>
              <w:left w:val="single" w:sz="6" w:space="0" w:color="auto"/>
              <w:bottom w:val="single" w:sz="4" w:space="0" w:color="auto"/>
              <w:right w:val="single" w:sz="4" w:space="0" w:color="auto"/>
            </w:tcBorders>
          </w:tcPr>
          <w:p w:rsidR="009A33EB" w:rsidRPr="003D32DF" w:rsidP="002449B6" w14:paraId="3927BA4B" w14:textId="77777777">
            <w:pPr>
              <w:spacing w:after="0" w:line="240" w:lineRule="auto"/>
              <w:jc w:val="center"/>
              <w:rPr>
                <w:rFonts w:cstheme="minorHAnsi"/>
                <w:sz w:val="20"/>
                <w:szCs w:val="20"/>
              </w:rPr>
            </w:pPr>
            <w:r w:rsidRPr="003D32DF">
              <w:rPr>
                <w:rFonts w:cstheme="minorHAnsi"/>
                <w:sz w:val="20"/>
                <w:szCs w:val="20"/>
              </w:rPr>
              <w:t>1,875</w:t>
            </w:r>
          </w:p>
        </w:tc>
      </w:tr>
    </w:tbl>
    <w:p w:rsidR="005C4013" w:rsidRPr="003D32DF" w:rsidP="00005DD9" w14:paraId="60DF5284" w14:textId="77777777">
      <w:pPr>
        <w:spacing w:before="120" w:after="120" w:line="240" w:lineRule="auto"/>
        <w:rPr>
          <w:rFonts w:eastAsia="Times New Roman" w:cstheme="minorHAnsi"/>
          <w:b/>
          <w:smallCaps/>
          <w:color w:val="000000" w:themeColor="text1"/>
        </w:rPr>
      </w:pPr>
    </w:p>
    <w:p w:rsidR="00646C29" w:rsidRPr="003D32DF" w:rsidP="00646C29" w14:paraId="2F3237C9" w14:textId="5FE054EE">
      <w:pPr>
        <w:spacing w:before="120" w:after="120" w:line="240" w:lineRule="auto"/>
        <w:rPr>
          <w:rFonts w:cstheme="minorHAnsi"/>
          <w:b/>
          <w:bCs/>
        </w:rPr>
      </w:pPr>
      <w:r w:rsidRPr="003D32DF">
        <w:rPr>
          <w:rFonts w:cstheme="minorHAnsi"/>
          <w:b/>
          <w:bCs/>
        </w:rPr>
        <w:t>A.12.2</w:t>
      </w:r>
      <w:r w:rsidRPr="003D32DF" w:rsidR="006935D4">
        <w:rPr>
          <w:rFonts w:cstheme="minorHAnsi"/>
          <w:b/>
          <w:bCs/>
        </w:rPr>
        <w:tab/>
      </w:r>
      <w:r w:rsidRPr="003D32DF" w:rsidR="00AF5FA4">
        <w:rPr>
          <w:rFonts w:cstheme="minorHAnsi"/>
          <w:b/>
          <w:bCs/>
        </w:rPr>
        <w:t>Annual Cost to Respondents</w:t>
      </w:r>
    </w:p>
    <w:p w:rsidR="00CF36BD" w:rsidRPr="003D32DF" w:rsidP="00005DD9" w14:paraId="69B52A05" w14:textId="22A4E841">
      <w:pPr>
        <w:spacing w:before="120" w:after="120" w:line="240" w:lineRule="auto"/>
        <w:jc w:val="center"/>
        <w:rPr>
          <w:rFonts w:cstheme="minorHAnsi"/>
        </w:rPr>
      </w:pPr>
      <w:r w:rsidRPr="003D32DF">
        <w:rPr>
          <w:rFonts w:cstheme="minorHAnsi"/>
        </w:rPr>
        <w:t>Table 12-2 Annualized Cost to Respondents</w:t>
      </w:r>
    </w:p>
    <w:tbl>
      <w:tblPr>
        <w:tblpPr w:leftFromText="180" w:rightFromText="180" w:vertAnchor="text" w:horzAnchor="margin" w:tblpXSpec="center" w:tblpY="27"/>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01FBF986" w14:textId="77777777" w:rsidTr="00CD5BAA">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6935D4" w:rsidRPr="003D32DF" w:rsidP="00CD5BAA" w14:paraId="3CA64C0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D32DF">
              <w:rPr>
                <w:rFonts w:eastAsia="Times New Roman" w:cstheme="minorHAnsi"/>
                <w:b/>
                <w:bCs/>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6935D4" w:rsidRPr="003D32DF" w:rsidP="00CD5BAA" w14:paraId="52BE790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D32DF">
              <w:rPr>
                <w:rFonts w:eastAsia="Times New Roman" w:cstheme="minorHAnsi"/>
                <w:b/>
                <w:bCs/>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6935D4" w:rsidRPr="003D32DF" w:rsidP="00CD5BAA" w14:paraId="703725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D32DF">
              <w:rPr>
                <w:rFonts w:eastAsia="Times New Roman" w:cstheme="minorHAnsi"/>
                <w:b/>
                <w:bCs/>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6935D4" w:rsidRPr="003D32DF" w:rsidP="00CD5BAA" w14:paraId="0E9B96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b/>
                <w:bCs/>
              </w:rPr>
            </w:pPr>
            <w:r w:rsidRPr="003D32DF">
              <w:rPr>
                <w:rFonts w:eastAsia="Times New Roman" w:cstheme="minorHAnsi"/>
                <w:b/>
                <w:bCs/>
              </w:rPr>
              <w:t>Respondent Cost</w:t>
            </w:r>
          </w:p>
        </w:tc>
      </w:tr>
      <w:tr w14:paraId="020ADE62" w14:textId="77777777" w:rsidTr="00CD5BAA">
        <w:tblPrEx>
          <w:tblW w:w="8598" w:type="dxa"/>
          <w:tblLayout w:type="fixed"/>
          <w:tblLook w:val="01E0"/>
        </w:tblPrEx>
        <w:trPr>
          <w:trHeight w:val="791"/>
        </w:trPr>
        <w:tc>
          <w:tcPr>
            <w:tcW w:w="2140" w:type="dxa"/>
            <w:tcBorders>
              <w:top w:val="single" w:sz="4" w:space="0" w:color="auto"/>
              <w:left w:val="single" w:sz="4" w:space="0" w:color="auto"/>
              <w:bottom w:val="single" w:sz="4" w:space="0" w:color="auto"/>
              <w:right w:val="single" w:sz="4" w:space="0" w:color="auto"/>
            </w:tcBorders>
          </w:tcPr>
          <w:p w:rsidR="006935D4" w:rsidRPr="003D32DF" w:rsidP="00CD5BAA" w14:paraId="3AA031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D32DF">
              <w:rPr>
                <w:rFonts w:eastAsia="Times New Roman" w:cstheme="minorHAnsi"/>
              </w:rPr>
              <w:t>Researchers submitting data</w:t>
            </w:r>
          </w:p>
        </w:tc>
        <w:tc>
          <w:tcPr>
            <w:tcW w:w="2031" w:type="dxa"/>
            <w:tcBorders>
              <w:top w:val="single" w:sz="4" w:space="0" w:color="auto"/>
              <w:left w:val="single" w:sz="4" w:space="0" w:color="auto"/>
              <w:bottom w:val="single" w:sz="4" w:space="0" w:color="auto"/>
              <w:right w:val="single" w:sz="4" w:space="0" w:color="auto"/>
            </w:tcBorders>
            <w:vAlign w:val="center"/>
            <w:hideMark/>
          </w:tcPr>
          <w:p w:rsidR="006935D4" w:rsidRPr="003D32DF" w:rsidP="00CD5BAA" w14:paraId="2E882E0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D32DF">
              <w:rPr>
                <w:rFonts w:eastAsia="Times New Roman" w:cstheme="minorHAnsi"/>
              </w:rPr>
              <w:t>450</w:t>
            </w:r>
          </w:p>
        </w:tc>
        <w:tc>
          <w:tcPr>
            <w:tcW w:w="2306" w:type="dxa"/>
            <w:tcBorders>
              <w:top w:val="single" w:sz="4" w:space="0" w:color="auto"/>
              <w:left w:val="single" w:sz="4" w:space="0" w:color="auto"/>
              <w:bottom w:val="single" w:sz="4" w:space="0" w:color="auto"/>
              <w:right w:val="single" w:sz="4" w:space="0" w:color="auto"/>
            </w:tcBorders>
            <w:vAlign w:val="center"/>
            <w:hideMark/>
          </w:tcPr>
          <w:p w:rsidR="006935D4" w:rsidRPr="00C52DDD" w:rsidP="00CD5BAA" w14:paraId="395A97E3" w14:textId="3F07CE3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highlight w:val="yellow"/>
              </w:rPr>
            </w:pPr>
            <w:r w:rsidRPr="00C52DDD">
              <w:rPr>
                <w:rFonts w:eastAsia="Times New Roman" w:cstheme="minorHAnsi"/>
                <w:highlight w:val="yellow"/>
              </w:rPr>
              <w:t>$</w:t>
            </w:r>
            <w:r w:rsidRPr="00C52DDD" w:rsidR="00C52DDD">
              <w:rPr>
                <w:rFonts w:eastAsia="Times New Roman" w:cstheme="minorHAnsi"/>
                <w:highlight w:val="yellow"/>
              </w:rPr>
              <w:t>54.18</w:t>
            </w:r>
          </w:p>
        </w:tc>
        <w:tc>
          <w:tcPr>
            <w:tcW w:w="2121" w:type="dxa"/>
            <w:tcBorders>
              <w:top w:val="single" w:sz="4" w:space="0" w:color="auto"/>
              <w:left w:val="single" w:sz="4" w:space="0" w:color="auto"/>
              <w:bottom w:val="single" w:sz="4" w:space="0" w:color="auto"/>
              <w:right w:val="single" w:sz="4" w:space="0" w:color="auto"/>
            </w:tcBorders>
            <w:vAlign w:val="center"/>
            <w:hideMark/>
          </w:tcPr>
          <w:p w:rsidR="006935D4" w:rsidRPr="003D32DF" w:rsidP="00CD5BAA" w14:paraId="6381B508" w14:textId="64932E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EC4EC1">
              <w:rPr>
                <w:rFonts w:eastAsia="Times New Roman" w:cstheme="minorHAnsi"/>
                <w:highlight w:val="yellow"/>
              </w:rPr>
              <w:t>$</w:t>
            </w:r>
            <w:r w:rsidRPr="00EC4EC1" w:rsidR="00933DA8">
              <w:rPr>
                <w:rFonts w:eastAsia="Times New Roman" w:cstheme="minorHAnsi"/>
                <w:highlight w:val="yellow"/>
              </w:rPr>
              <w:t>2</w:t>
            </w:r>
            <w:r w:rsidRPr="00EC4EC1" w:rsidR="00EC4EC1">
              <w:rPr>
                <w:rFonts w:eastAsia="Times New Roman" w:cstheme="minorHAnsi"/>
                <w:highlight w:val="yellow"/>
              </w:rPr>
              <w:t>4,381</w:t>
            </w:r>
          </w:p>
        </w:tc>
      </w:tr>
      <w:tr w14:paraId="0E65B47F" w14:textId="77777777" w:rsidTr="00CD5BAA">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tcPr>
          <w:p w:rsidR="006935D4" w:rsidRPr="003D32DF" w:rsidP="00CD5BAA" w14:paraId="76020D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eastAsia="Times New Roman" w:cstheme="minorHAnsi"/>
              </w:rPr>
            </w:pPr>
            <w:r w:rsidRPr="003D32DF">
              <w:rPr>
                <w:rFonts w:eastAsia="Times New Roman" w:cstheme="minorHAnsi"/>
              </w:rPr>
              <w:t>Researchers requesting access to data</w:t>
            </w:r>
          </w:p>
        </w:tc>
        <w:tc>
          <w:tcPr>
            <w:tcW w:w="2031" w:type="dxa"/>
            <w:tcBorders>
              <w:top w:val="single" w:sz="4" w:space="0" w:color="auto"/>
              <w:left w:val="single" w:sz="4" w:space="0" w:color="auto"/>
              <w:bottom w:val="single" w:sz="4" w:space="0" w:color="auto"/>
              <w:right w:val="single" w:sz="4" w:space="0" w:color="auto"/>
            </w:tcBorders>
            <w:vAlign w:val="center"/>
            <w:hideMark/>
          </w:tcPr>
          <w:p w:rsidR="006935D4" w:rsidRPr="003D32DF" w:rsidP="00CD5BAA" w14:paraId="47C6EE9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D32DF">
              <w:rPr>
                <w:rFonts w:eastAsia="Times New Roman" w:cstheme="minorHAnsi"/>
              </w:rPr>
              <w:t>1,425</w:t>
            </w:r>
          </w:p>
        </w:tc>
        <w:tc>
          <w:tcPr>
            <w:tcW w:w="2306" w:type="dxa"/>
            <w:tcBorders>
              <w:top w:val="single" w:sz="4" w:space="0" w:color="auto"/>
              <w:left w:val="single" w:sz="4" w:space="0" w:color="auto"/>
              <w:bottom w:val="single" w:sz="4" w:space="0" w:color="auto"/>
              <w:right w:val="single" w:sz="4" w:space="0" w:color="auto"/>
            </w:tcBorders>
            <w:vAlign w:val="center"/>
            <w:hideMark/>
          </w:tcPr>
          <w:p w:rsidR="006935D4" w:rsidRPr="00C52DDD" w:rsidP="00CD5BAA" w14:paraId="35BB1C59" w14:textId="3239ACB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highlight w:val="yellow"/>
              </w:rPr>
            </w:pPr>
            <w:r w:rsidRPr="00C52DDD">
              <w:rPr>
                <w:rFonts w:eastAsia="Times New Roman" w:cstheme="minorHAnsi"/>
                <w:highlight w:val="yellow"/>
              </w:rPr>
              <w:t>$54.18</w:t>
            </w:r>
          </w:p>
        </w:tc>
        <w:tc>
          <w:tcPr>
            <w:tcW w:w="2121" w:type="dxa"/>
            <w:tcBorders>
              <w:top w:val="single" w:sz="4" w:space="0" w:color="auto"/>
              <w:left w:val="single" w:sz="4" w:space="0" w:color="auto"/>
              <w:bottom w:val="single" w:sz="4" w:space="0" w:color="auto"/>
              <w:right w:val="single" w:sz="4" w:space="0" w:color="auto"/>
            </w:tcBorders>
            <w:vAlign w:val="center"/>
            <w:hideMark/>
          </w:tcPr>
          <w:p w:rsidR="006935D4" w:rsidRPr="003D32DF" w:rsidP="00CD5BAA" w14:paraId="663B5CD8" w14:textId="1516AB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EC4EC1">
              <w:rPr>
                <w:rFonts w:eastAsia="Times New Roman" w:cstheme="minorHAnsi"/>
                <w:highlight w:val="yellow"/>
              </w:rPr>
              <w:t>$</w:t>
            </w:r>
            <w:r w:rsidRPr="00EC4EC1" w:rsidR="00933DA8">
              <w:rPr>
                <w:rFonts w:eastAsia="Times New Roman" w:cstheme="minorHAnsi"/>
                <w:highlight w:val="yellow"/>
              </w:rPr>
              <w:t>7</w:t>
            </w:r>
            <w:r w:rsidRPr="00EC4EC1" w:rsidR="00EC4EC1">
              <w:rPr>
                <w:rFonts w:eastAsia="Times New Roman" w:cstheme="minorHAnsi"/>
                <w:highlight w:val="yellow"/>
              </w:rPr>
              <w:t>7,207</w:t>
            </w:r>
          </w:p>
        </w:tc>
      </w:tr>
      <w:tr w14:paraId="175FF3D3" w14:textId="77777777" w:rsidTr="00CD5BAA">
        <w:tblPrEx>
          <w:tblW w:w="8598" w:type="dxa"/>
          <w:tblLayout w:type="fixed"/>
          <w:tblLook w:val="01E0"/>
        </w:tblPrEx>
        <w:trPr>
          <w:trHeight w:val="77"/>
        </w:trPr>
        <w:tc>
          <w:tcPr>
            <w:tcW w:w="2140" w:type="dxa"/>
            <w:tcBorders>
              <w:top w:val="single" w:sz="4" w:space="0" w:color="auto"/>
              <w:left w:val="single" w:sz="4" w:space="0" w:color="auto"/>
              <w:bottom w:val="single" w:sz="4" w:space="0" w:color="auto"/>
              <w:right w:val="single" w:sz="4" w:space="0" w:color="auto"/>
            </w:tcBorders>
          </w:tcPr>
          <w:p w:rsidR="006935D4" w:rsidRPr="003D32DF" w:rsidP="00CD5BAA" w14:paraId="6ECA206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D32DF">
              <w:rPr>
                <w:rFonts w:eastAsia="Times New Roman" w:cstheme="minorHAnsi"/>
                <w:b/>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6935D4" w:rsidRPr="003D32DF" w:rsidP="00CD5BAA" w14:paraId="5B4B3A4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3D32DF">
              <w:rPr>
                <w:rFonts w:eastAsia="Times New Roman" w:cstheme="minorHAnsi"/>
              </w:rPr>
              <w:t>1,875</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rsidR="006935D4" w:rsidRPr="003D32DF" w:rsidP="00CD5BAA" w14:paraId="7007D50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rPr>
            </w:pPr>
          </w:p>
        </w:tc>
        <w:tc>
          <w:tcPr>
            <w:tcW w:w="2121" w:type="dxa"/>
            <w:tcBorders>
              <w:top w:val="single" w:sz="4" w:space="0" w:color="auto"/>
              <w:left w:val="single" w:sz="4" w:space="0" w:color="auto"/>
              <w:bottom w:val="single" w:sz="4" w:space="0" w:color="auto"/>
              <w:right w:val="single" w:sz="4" w:space="0" w:color="auto"/>
            </w:tcBorders>
            <w:vAlign w:val="center"/>
          </w:tcPr>
          <w:p w:rsidR="006935D4" w:rsidRPr="003D32DF" w:rsidP="00CD5BAA" w14:paraId="7783D3C4" w14:textId="7AA164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61075D">
              <w:rPr>
                <w:rFonts w:eastAsia="Times New Roman" w:cstheme="minorHAnsi"/>
                <w:highlight w:val="yellow"/>
              </w:rPr>
              <w:t>$</w:t>
            </w:r>
            <w:r w:rsidRPr="0061075D" w:rsidR="0061075D">
              <w:rPr>
                <w:rFonts w:eastAsia="Times New Roman" w:cstheme="minorHAnsi"/>
                <w:highlight w:val="yellow"/>
              </w:rPr>
              <w:t>101,588</w:t>
            </w:r>
          </w:p>
        </w:tc>
      </w:tr>
    </w:tbl>
    <w:p w:rsidR="000C426A" w:rsidRPr="003D32DF" w:rsidP="00D7309A" w14:paraId="3180BC40" w14:textId="40059378">
      <w:pPr>
        <w:spacing w:before="120" w:after="120" w:line="240" w:lineRule="auto"/>
        <w:jc w:val="center"/>
        <w:rPr>
          <w:rFonts w:eastAsia="Times New Roman" w:cstheme="minorHAnsi"/>
          <w:i/>
          <w:iCs/>
          <w:sz w:val="16"/>
          <w:szCs w:val="16"/>
        </w:rPr>
      </w:pPr>
      <w:r w:rsidRPr="003D32DF">
        <w:rPr>
          <w:rFonts w:eastAsia="Times New Roman" w:cstheme="minorHAnsi"/>
          <w:sz w:val="16"/>
          <w:szCs w:val="16"/>
        </w:rPr>
        <w:t>*</w:t>
      </w:r>
      <w:r w:rsidRPr="003D32DF">
        <w:rPr>
          <w:rFonts w:cstheme="minorHAnsi"/>
        </w:rPr>
        <w:t xml:space="preserve"> </w:t>
      </w:r>
      <w:r w:rsidRPr="003D32DF">
        <w:rPr>
          <w:rFonts w:eastAsia="Times New Roman" w:cstheme="minorHAnsi"/>
          <w:i/>
          <w:iCs/>
          <w:sz w:val="16"/>
          <w:szCs w:val="16"/>
        </w:rPr>
        <w:t xml:space="preserve">Bureau of Labor Statistics: May </w:t>
      </w:r>
      <w:r w:rsidRPr="003529BE" w:rsidR="00770FF4">
        <w:rPr>
          <w:rFonts w:eastAsia="Times New Roman" w:cstheme="minorHAnsi"/>
          <w:i/>
          <w:iCs/>
          <w:sz w:val="16"/>
          <w:szCs w:val="16"/>
          <w:highlight w:val="yellow"/>
        </w:rPr>
        <w:t>202</w:t>
      </w:r>
      <w:r w:rsidRPr="003529BE" w:rsidR="003529BE">
        <w:rPr>
          <w:rFonts w:eastAsia="Times New Roman" w:cstheme="minorHAnsi"/>
          <w:i/>
          <w:iCs/>
          <w:sz w:val="16"/>
          <w:szCs w:val="16"/>
          <w:highlight w:val="yellow"/>
        </w:rPr>
        <w:t>4</w:t>
      </w:r>
      <w:r w:rsidRPr="003D32DF" w:rsidR="00770FF4">
        <w:rPr>
          <w:rFonts w:eastAsia="Times New Roman" w:cstheme="minorHAnsi"/>
          <w:i/>
          <w:iCs/>
          <w:sz w:val="16"/>
          <w:szCs w:val="16"/>
        </w:rPr>
        <w:t xml:space="preserve"> </w:t>
      </w:r>
      <w:r w:rsidRPr="003D32DF">
        <w:rPr>
          <w:rFonts w:eastAsia="Times New Roman" w:cstheme="minorHAnsi"/>
          <w:i/>
          <w:iCs/>
          <w:sz w:val="16"/>
          <w:szCs w:val="16"/>
        </w:rPr>
        <w:t xml:space="preserve">National </w:t>
      </w:r>
      <w:r w:rsidRPr="003D32DF" w:rsidR="00496B19">
        <w:rPr>
          <w:rFonts w:eastAsia="Times New Roman" w:cstheme="minorHAnsi"/>
          <w:i/>
          <w:iCs/>
          <w:sz w:val="16"/>
          <w:szCs w:val="16"/>
        </w:rPr>
        <w:t xml:space="preserve">Occupational Employment and Wage Estimates </w:t>
      </w:r>
      <w:hyperlink r:id="rId18" w:history="1">
        <w:r w:rsidRPr="003D32DF">
          <w:rPr>
            <w:rStyle w:val="Hyperlink"/>
            <w:rFonts w:eastAsia="Times New Roman" w:cstheme="minorHAnsi"/>
            <w:i/>
            <w:iCs/>
            <w:sz w:val="16"/>
            <w:szCs w:val="16"/>
          </w:rPr>
          <w:t>https://www.bls.gov/oes/current/oes191042.htm</w:t>
        </w:r>
      </w:hyperlink>
    </w:p>
    <w:p w:rsidR="006935D4" w:rsidRPr="003D32DF" w:rsidP="00005DD9" w14:paraId="1058A785" w14:textId="77777777">
      <w:pPr>
        <w:spacing w:before="120" w:after="120" w:line="240" w:lineRule="auto"/>
        <w:rPr>
          <w:rFonts w:eastAsia="Times New Roman" w:cstheme="minorHAnsi"/>
        </w:rPr>
      </w:pPr>
    </w:p>
    <w:p w:rsidR="00FF72FC" w:rsidRPr="003D32DF" w:rsidP="00005DD9" w14:paraId="72B19A1F" w14:textId="77777777">
      <w:pPr>
        <w:spacing w:before="120" w:after="120" w:line="240" w:lineRule="auto"/>
        <w:rPr>
          <w:rFonts w:cstheme="minorHAnsi"/>
          <w:b/>
        </w:rPr>
      </w:pPr>
      <w:r w:rsidRPr="003D32DF">
        <w:rPr>
          <w:rFonts w:cstheme="minorHAnsi"/>
          <w:b/>
        </w:rPr>
        <w:t>A.13</w:t>
      </w:r>
      <w:r w:rsidRPr="003D32DF">
        <w:rPr>
          <w:rFonts w:cstheme="minorHAnsi"/>
          <w:b/>
        </w:rPr>
        <w:tab/>
        <w:t>Estimate of Other Total Annual Cost Burden to Respondents or Record Keepers</w:t>
      </w:r>
    </w:p>
    <w:p w:rsidR="00FF72FC" w:rsidRPr="003D32DF" w:rsidP="00005DD9" w14:paraId="21F878AB" w14:textId="336373DD">
      <w:pPr>
        <w:spacing w:before="120" w:after="120" w:line="240" w:lineRule="auto"/>
        <w:rPr>
          <w:rFonts w:cstheme="minorHAnsi"/>
        </w:rPr>
      </w:pPr>
      <w:r w:rsidRPr="003D32DF">
        <w:rPr>
          <w:rFonts w:cstheme="minorHAnsi"/>
        </w:rPr>
        <w:t>There are no additional costs other than the respondents’ burden given in A12.</w:t>
      </w:r>
    </w:p>
    <w:p w:rsidR="00BC2149" w:rsidRPr="003D32DF" w:rsidP="00005DD9" w14:paraId="0960B277" w14:textId="77777777">
      <w:pPr>
        <w:spacing w:before="120" w:after="120" w:line="240" w:lineRule="auto"/>
        <w:rPr>
          <w:rFonts w:cstheme="minorHAnsi"/>
        </w:rPr>
      </w:pPr>
    </w:p>
    <w:p w:rsidR="00FF72FC" w:rsidRPr="003D32DF" w:rsidP="00005DD9" w14:paraId="5439FC4E" w14:textId="27A80048">
      <w:pPr>
        <w:pStyle w:val="Heading2"/>
        <w:tabs>
          <w:tab w:val="left" w:pos="720"/>
        </w:tabs>
        <w:spacing w:before="120" w:after="120"/>
        <w:rPr>
          <w:rFonts w:asciiTheme="minorHAnsi" w:hAnsiTheme="minorHAnsi" w:cstheme="minorHAnsi"/>
          <w:b/>
          <w:color w:val="auto"/>
          <w:sz w:val="22"/>
          <w:szCs w:val="22"/>
        </w:rPr>
      </w:pPr>
      <w:r w:rsidRPr="003D32DF">
        <w:rPr>
          <w:rFonts w:asciiTheme="minorHAnsi" w:hAnsiTheme="minorHAnsi" w:cstheme="minorHAnsi"/>
          <w:b/>
          <w:color w:val="auto"/>
          <w:sz w:val="22"/>
          <w:szCs w:val="22"/>
        </w:rPr>
        <w:t>A.14</w:t>
      </w:r>
      <w:r w:rsidRPr="003D32DF" w:rsidR="006935D4">
        <w:rPr>
          <w:rFonts w:asciiTheme="minorHAnsi" w:hAnsiTheme="minorHAnsi" w:cstheme="minorHAnsi"/>
          <w:b/>
          <w:color w:val="auto"/>
          <w:sz w:val="22"/>
          <w:szCs w:val="22"/>
        </w:rPr>
        <w:tab/>
      </w:r>
      <w:r w:rsidRPr="003D32DF">
        <w:rPr>
          <w:rFonts w:asciiTheme="minorHAnsi" w:hAnsiTheme="minorHAnsi" w:cstheme="minorHAnsi"/>
          <w:b/>
          <w:color w:val="auto"/>
          <w:sz w:val="22"/>
          <w:szCs w:val="22"/>
        </w:rPr>
        <w:t xml:space="preserve">Annualized Cost to the Federal Government  </w:t>
      </w:r>
    </w:p>
    <w:p w:rsidR="0037291F" w:rsidRPr="003D32DF" w:rsidP="00005DD9" w14:paraId="4F91216A" w14:textId="515615E1">
      <w:pPr>
        <w:spacing w:before="120" w:after="120" w:line="240" w:lineRule="auto"/>
        <w:rPr>
          <w:rFonts w:cstheme="minorHAnsi"/>
        </w:rPr>
      </w:pPr>
      <w:r w:rsidRPr="003D32DF">
        <w:rPr>
          <w:rFonts w:cstheme="minorHAnsi"/>
        </w:rPr>
        <w:t xml:space="preserve">The total annualized cost to the Federal Government is </w:t>
      </w:r>
      <w:r w:rsidRPr="0038724A">
        <w:rPr>
          <w:rFonts w:cstheme="minorHAnsi"/>
          <w:highlight w:val="yellow"/>
        </w:rPr>
        <w:t>$</w:t>
      </w:r>
      <w:r w:rsidRPr="0038724A" w:rsidR="0038724A">
        <w:rPr>
          <w:rFonts w:cstheme="minorHAnsi"/>
          <w:highlight w:val="yellow"/>
        </w:rPr>
        <w:t>30,</w:t>
      </w:r>
      <w:r w:rsidRPr="006C4A7B" w:rsidR="006C4A7B">
        <w:rPr>
          <w:rFonts w:cstheme="minorHAnsi"/>
          <w:highlight w:val="yellow"/>
        </w:rPr>
        <w:t>741</w:t>
      </w:r>
      <w:r w:rsidRPr="003D32DF">
        <w:rPr>
          <w:rFonts w:cstheme="minorHAnsi"/>
        </w:rPr>
        <w:t xml:space="preserve">.  No additional operational expenses such as equipment, overhead, printing, and support staff will be needed.  The Division Director, who serves as the DAC Director, is involved in the policy aspects of the DAC and DAC membership selection.  They are not involved in the review and adjudication of data access requests </w:t>
      </w:r>
      <w:r w:rsidRPr="003D32DF">
        <w:rPr>
          <w:rFonts w:cstheme="minorHAnsi"/>
        </w:rPr>
        <w:t>as a general rule</w:t>
      </w:r>
      <w:r w:rsidRPr="003D32DF">
        <w:rPr>
          <w:rFonts w:cstheme="minorHAnsi"/>
        </w:rPr>
        <w:t>.  The Administrative Data Analyst will coordinate the daily activities related to the collection of information. The Senior Program Analyst will provide clarification and guidance for cases beyond the expertise of the Administrative Data Analyst.</w:t>
      </w:r>
    </w:p>
    <w:p w:rsidR="0037291F" w:rsidRPr="003D32DF" w:rsidP="00005DD9" w14:paraId="0DBBBAA0" w14:textId="77777777">
      <w:pPr>
        <w:widowControl w:val="0"/>
        <w:adjustRightInd w:val="0"/>
        <w:snapToGrid w:val="0"/>
        <w:spacing w:before="120" w:after="120" w:line="240" w:lineRule="auto"/>
        <w:jc w:val="center"/>
        <w:rPr>
          <w:rFonts w:eastAsia="Times New Roman" w:cstheme="minorHAnsi"/>
          <w:color w:val="0000FF"/>
          <w:sz w:val="24"/>
          <w:szCs w:val="24"/>
        </w:rPr>
      </w:pPr>
    </w:p>
    <w:tbl>
      <w:tblPr>
        <w:tblW w:w="8717" w:type="dxa"/>
        <w:jc w:val="center"/>
        <w:tblCellMar>
          <w:left w:w="0" w:type="dxa"/>
          <w:right w:w="0" w:type="dxa"/>
        </w:tblCellMar>
        <w:tblLook w:val="04A0"/>
      </w:tblPr>
      <w:tblGrid>
        <w:gridCol w:w="2502"/>
        <w:gridCol w:w="1318"/>
        <w:gridCol w:w="1153"/>
        <w:gridCol w:w="1248"/>
        <w:gridCol w:w="1248"/>
        <w:gridCol w:w="1248"/>
      </w:tblGrid>
      <w:tr w14:paraId="50454038" w14:textId="77777777" w:rsidTr="0037291F">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3D32DF" w:rsidP="00CD5BAA" w14:paraId="75F33ACD" w14:textId="0E99692D">
            <w:pPr>
              <w:spacing w:after="0" w:line="240" w:lineRule="auto"/>
              <w:jc w:val="center"/>
              <w:rPr>
                <w:rFonts w:eastAsia="Calibri" w:cstheme="minorHAnsi"/>
                <w:b/>
                <w:bCs/>
                <w:color w:val="000000"/>
                <w:sz w:val="20"/>
                <w:szCs w:val="20"/>
              </w:rPr>
            </w:pPr>
            <w:r w:rsidRPr="003D32DF">
              <w:rPr>
                <w:rFonts w:eastAsia="Times New Roman" w:cstheme="minorHAnsi"/>
                <w:b/>
                <w:bCs/>
                <w:color w:val="000000"/>
                <w:sz w:val="20"/>
                <w:szCs w:val="20"/>
              </w:rPr>
              <w:t>Cost Descriptions</w:t>
            </w:r>
          </w:p>
        </w:tc>
        <w:tc>
          <w:tcPr>
            <w:tcW w:w="1318" w:type="dxa"/>
            <w:tcBorders>
              <w:top w:val="single" w:sz="8" w:space="0" w:color="auto"/>
              <w:left w:val="nil"/>
              <w:bottom w:val="single" w:sz="8" w:space="0" w:color="auto"/>
              <w:right w:val="single" w:sz="8" w:space="0" w:color="auto"/>
            </w:tcBorders>
            <w:vAlign w:val="bottom"/>
          </w:tcPr>
          <w:p w:rsidR="0037291F" w:rsidRPr="003D32DF" w:rsidP="00CD5BAA" w14:paraId="0F23D0E6" w14:textId="77777777">
            <w:pPr>
              <w:spacing w:after="0" w:line="240" w:lineRule="auto"/>
              <w:jc w:val="center"/>
              <w:rPr>
                <w:rFonts w:eastAsia="Calibri" w:cstheme="minorHAnsi"/>
                <w:b/>
                <w:bCs/>
                <w:color w:val="1F497D"/>
                <w:sz w:val="20"/>
                <w:szCs w:val="20"/>
              </w:rPr>
            </w:pPr>
          </w:p>
          <w:p w:rsidR="0037291F" w:rsidRPr="003D32DF" w:rsidP="00CD5BAA" w14:paraId="6C11B5EF" w14:textId="77777777">
            <w:pPr>
              <w:spacing w:after="0" w:line="240" w:lineRule="auto"/>
              <w:jc w:val="center"/>
              <w:rPr>
                <w:rFonts w:eastAsia="Calibri" w:cstheme="minorHAnsi"/>
                <w:b/>
                <w:bCs/>
                <w:color w:val="000000"/>
                <w:sz w:val="20"/>
                <w:szCs w:val="20"/>
              </w:rPr>
            </w:pPr>
            <w:r w:rsidRPr="003D32DF">
              <w:rPr>
                <w:rFonts w:eastAsia="Times New Roman" w:cstheme="minorHAnsi"/>
                <w:b/>
                <w:bCs/>
                <w:color w:val="000000"/>
                <w:sz w:val="20"/>
                <w:szCs w:val="20"/>
              </w:rPr>
              <w:t>Grade/Step</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7291F" w:rsidRPr="003D32DF" w:rsidP="00CD5BAA" w14:paraId="7E7D7C5E" w14:textId="02C02F3A">
            <w:pPr>
              <w:spacing w:after="0" w:line="240" w:lineRule="auto"/>
              <w:jc w:val="center"/>
              <w:rPr>
                <w:rFonts w:eastAsia="Calibri" w:cstheme="minorHAnsi"/>
                <w:b/>
                <w:bCs/>
                <w:sz w:val="20"/>
                <w:szCs w:val="20"/>
              </w:rPr>
            </w:pPr>
            <w:r w:rsidRPr="003D32DF">
              <w:rPr>
                <w:rFonts w:eastAsia="Times New Roman" w:cstheme="minorHAnsi"/>
                <w:b/>
                <w:bCs/>
                <w:sz w:val="20"/>
                <w:szCs w:val="20"/>
              </w:rPr>
              <w:t>Salary</w:t>
            </w:r>
            <w:r w:rsidRPr="003D32DF" w:rsidR="00364334">
              <w:rPr>
                <w:rFonts w:eastAsia="Times New Roman" w:cstheme="minorHAnsi"/>
                <w:b/>
                <w:bCs/>
                <w:sz w:val="20"/>
                <w:szCs w:val="20"/>
              </w:rPr>
              <w:t>*</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7291F" w:rsidRPr="003D32DF" w:rsidP="00CD5BAA" w14:paraId="2F192DBE" w14:textId="77777777">
            <w:pPr>
              <w:spacing w:after="0" w:line="240" w:lineRule="auto"/>
              <w:jc w:val="center"/>
              <w:rPr>
                <w:rFonts w:eastAsia="Calibri" w:cstheme="minorHAnsi"/>
                <w:b/>
                <w:bCs/>
                <w:sz w:val="20"/>
                <w:szCs w:val="20"/>
              </w:rPr>
            </w:pPr>
            <w:r w:rsidRPr="003D32DF">
              <w:rPr>
                <w:rFonts w:eastAsia="Times New Roman" w:cstheme="minorHAnsi"/>
                <w:b/>
                <w:bCs/>
                <w:sz w:val="20"/>
                <w:szCs w:val="20"/>
              </w:rPr>
              <w:t>% of Effort</w:t>
            </w:r>
          </w:p>
        </w:tc>
        <w:tc>
          <w:tcPr>
            <w:tcW w:w="1248" w:type="dxa"/>
            <w:tcBorders>
              <w:top w:val="single" w:sz="8" w:space="0" w:color="auto"/>
              <w:left w:val="nil"/>
              <w:bottom w:val="single" w:sz="8" w:space="0" w:color="auto"/>
              <w:right w:val="single" w:sz="8" w:space="0" w:color="auto"/>
            </w:tcBorders>
          </w:tcPr>
          <w:p w:rsidR="0037291F" w:rsidRPr="003D32DF" w:rsidP="00CD5BAA" w14:paraId="73FC94C8" w14:textId="77777777">
            <w:pPr>
              <w:spacing w:after="0" w:line="240" w:lineRule="auto"/>
              <w:jc w:val="center"/>
              <w:rPr>
                <w:rFonts w:eastAsia="Times New Roman" w:cstheme="minorHAnsi"/>
                <w:b/>
                <w:bCs/>
                <w:sz w:val="20"/>
                <w:szCs w:val="20"/>
              </w:rPr>
            </w:pPr>
            <w:r w:rsidRPr="003D32DF">
              <w:rPr>
                <w:rFonts w:eastAsia="Times New Roman" w:cstheme="minorHAnsi"/>
                <w:b/>
                <w:bCs/>
                <w:sz w:val="20"/>
                <w:szCs w:val="20"/>
              </w:rPr>
              <w:t>Fringe (if applicable)</w:t>
            </w:r>
          </w:p>
        </w:tc>
        <w:tc>
          <w:tcPr>
            <w:tcW w:w="1248" w:type="dxa"/>
            <w:tcBorders>
              <w:top w:val="single" w:sz="8" w:space="0" w:color="auto"/>
              <w:left w:val="nil"/>
              <w:bottom w:val="single" w:sz="8" w:space="0" w:color="auto"/>
              <w:right w:val="single" w:sz="8" w:space="0" w:color="auto"/>
            </w:tcBorders>
          </w:tcPr>
          <w:p w:rsidR="0037291F" w:rsidRPr="003D32DF" w:rsidP="00CD5BAA" w14:paraId="3BE4B6CA" w14:textId="77777777">
            <w:pPr>
              <w:spacing w:after="0" w:line="240" w:lineRule="auto"/>
              <w:jc w:val="center"/>
              <w:rPr>
                <w:rFonts w:eastAsia="Times New Roman" w:cstheme="minorHAnsi"/>
                <w:b/>
                <w:bCs/>
                <w:sz w:val="20"/>
                <w:szCs w:val="20"/>
              </w:rPr>
            </w:pPr>
            <w:r w:rsidRPr="003D32DF">
              <w:rPr>
                <w:rFonts w:eastAsia="Times New Roman" w:cstheme="minorHAnsi"/>
                <w:b/>
                <w:bCs/>
                <w:sz w:val="20"/>
                <w:szCs w:val="20"/>
              </w:rPr>
              <w:t>Total Cost to Gov’t</w:t>
            </w:r>
          </w:p>
        </w:tc>
      </w:tr>
      <w:tr w14:paraId="4575CF1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0BBD8036" w14:textId="77777777">
            <w:pPr>
              <w:spacing w:after="0" w:line="240" w:lineRule="auto"/>
              <w:jc w:val="center"/>
              <w:rPr>
                <w:rFonts w:eastAsia="Calibri" w:cstheme="minorHAnsi"/>
                <w:b/>
                <w:color w:val="000000"/>
                <w:sz w:val="20"/>
                <w:szCs w:val="20"/>
              </w:rPr>
            </w:pPr>
            <w:r w:rsidRPr="003D32DF">
              <w:rPr>
                <w:rFonts w:eastAsia="Calibri" w:cstheme="minorHAnsi"/>
                <w:b/>
                <w:color w:val="000000"/>
                <w:sz w:val="20"/>
                <w:szCs w:val="20"/>
              </w:rPr>
              <w:t>Federal Oversight</w:t>
            </w:r>
          </w:p>
        </w:tc>
        <w:tc>
          <w:tcPr>
            <w:tcW w:w="1318" w:type="dxa"/>
            <w:tcBorders>
              <w:top w:val="nil"/>
              <w:left w:val="nil"/>
              <w:bottom w:val="single" w:sz="8" w:space="0" w:color="auto"/>
              <w:right w:val="single" w:sz="8" w:space="0" w:color="auto"/>
            </w:tcBorders>
          </w:tcPr>
          <w:p w:rsidR="0037291F" w:rsidRPr="003D32DF" w:rsidP="00CD5BAA" w14:paraId="7FEC3F40" w14:textId="77777777">
            <w:pPr>
              <w:spacing w:after="0" w:line="240" w:lineRule="auto"/>
              <w:jc w:val="center"/>
              <w:rPr>
                <w:rFonts w:eastAsia="Calibri" w:cstheme="minorHAnsi"/>
                <w:color w:val="000000"/>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25437DD3"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293EDFFF"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6C23F308"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3A2F58FE" w14:textId="77777777">
            <w:pPr>
              <w:spacing w:after="0" w:line="240" w:lineRule="auto"/>
              <w:jc w:val="center"/>
              <w:rPr>
                <w:rFonts w:eastAsia="Times New Roman" w:cstheme="minorHAnsi"/>
                <w:sz w:val="20"/>
                <w:szCs w:val="20"/>
              </w:rPr>
            </w:pPr>
          </w:p>
        </w:tc>
      </w:tr>
      <w:tr w14:paraId="27551A65"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5396250E" w14:textId="15F88597">
            <w:pPr>
              <w:spacing w:after="0" w:line="240" w:lineRule="auto"/>
              <w:jc w:val="center"/>
              <w:rPr>
                <w:rFonts w:eastAsia="Calibri" w:cstheme="minorHAnsi"/>
                <w:sz w:val="20"/>
                <w:szCs w:val="20"/>
              </w:rPr>
            </w:pPr>
            <w:r w:rsidRPr="003D32DF">
              <w:rPr>
                <w:rFonts w:eastAsia="Calibri" w:cstheme="minorHAnsi"/>
                <w:sz w:val="20"/>
                <w:szCs w:val="20"/>
              </w:rPr>
              <w:t>Data Access Committee (DAC) Members</w:t>
            </w:r>
          </w:p>
        </w:tc>
        <w:tc>
          <w:tcPr>
            <w:tcW w:w="1318" w:type="dxa"/>
            <w:tcBorders>
              <w:top w:val="nil"/>
              <w:left w:val="nil"/>
              <w:bottom w:val="single" w:sz="8" w:space="0" w:color="auto"/>
              <w:right w:val="single" w:sz="8" w:space="0" w:color="auto"/>
            </w:tcBorders>
          </w:tcPr>
          <w:p w:rsidR="0037291F" w:rsidRPr="003D32DF" w:rsidP="00CD5BAA" w14:paraId="42186E6A"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3E50BAAA"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3A15E3A6"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74CB339D"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328805D9" w14:textId="77777777">
            <w:pPr>
              <w:spacing w:after="0" w:line="240" w:lineRule="auto"/>
              <w:jc w:val="center"/>
              <w:rPr>
                <w:rFonts w:eastAsia="Times New Roman" w:cstheme="minorHAnsi"/>
                <w:sz w:val="20"/>
                <w:szCs w:val="20"/>
              </w:rPr>
            </w:pPr>
          </w:p>
        </w:tc>
      </w:tr>
      <w:tr w14:paraId="7A3F545A"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06E24FE3" w14:textId="0539D160">
            <w:pPr>
              <w:spacing w:after="0" w:line="240" w:lineRule="auto"/>
              <w:jc w:val="center"/>
              <w:rPr>
                <w:rFonts w:eastAsia="Calibri" w:cstheme="minorHAnsi"/>
                <w:sz w:val="20"/>
                <w:szCs w:val="20"/>
              </w:rPr>
            </w:pPr>
            <w:r w:rsidRPr="003D32DF">
              <w:rPr>
                <w:rFonts w:eastAsia="Calibri" w:cstheme="minorHAnsi"/>
                <w:sz w:val="20"/>
                <w:szCs w:val="20"/>
              </w:rPr>
              <w:t>Division Director</w:t>
            </w:r>
          </w:p>
        </w:tc>
        <w:tc>
          <w:tcPr>
            <w:tcW w:w="1318" w:type="dxa"/>
            <w:tcBorders>
              <w:top w:val="nil"/>
              <w:left w:val="nil"/>
              <w:bottom w:val="single" w:sz="8" w:space="0" w:color="auto"/>
              <w:right w:val="single" w:sz="8" w:space="0" w:color="auto"/>
            </w:tcBorders>
          </w:tcPr>
          <w:p w:rsidR="0037291F" w:rsidRPr="003D32DF" w:rsidP="00CD5BAA" w14:paraId="331F7DF9" w14:textId="1FFF2F8D">
            <w:pPr>
              <w:spacing w:after="0" w:line="240" w:lineRule="auto"/>
              <w:jc w:val="center"/>
              <w:rPr>
                <w:rFonts w:eastAsia="Calibri" w:cstheme="minorHAnsi"/>
                <w:sz w:val="20"/>
                <w:szCs w:val="20"/>
              </w:rPr>
            </w:pPr>
            <w:r w:rsidRPr="003D32DF">
              <w:rPr>
                <w:rFonts w:eastAsia="Calibri" w:cstheme="minorHAnsi"/>
                <w:sz w:val="20"/>
                <w:szCs w:val="20"/>
              </w:rPr>
              <w:t>GS-15, Step 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C9148E" w:rsidP="00CD5BAA" w14:paraId="5A30905F" w14:textId="14752060">
            <w:pPr>
              <w:spacing w:after="0" w:line="240" w:lineRule="auto"/>
              <w:jc w:val="center"/>
              <w:rPr>
                <w:rFonts w:eastAsia="Calibri" w:cstheme="minorHAnsi"/>
                <w:sz w:val="20"/>
                <w:szCs w:val="20"/>
                <w:highlight w:val="yellow"/>
              </w:rPr>
            </w:pPr>
            <w:r w:rsidRPr="00C9148E">
              <w:rPr>
                <w:rFonts w:eastAsia="Calibri" w:cstheme="minorHAnsi"/>
                <w:sz w:val="20"/>
                <w:szCs w:val="20"/>
                <w:highlight w:val="yellow"/>
              </w:rPr>
              <w:t>$</w:t>
            </w:r>
            <w:r w:rsidRPr="00C9148E" w:rsidR="00C9148E">
              <w:rPr>
                <w:rFonts w:eastAsia="Calibri" w:cstheme="minorHAnsi"/>
                <w:sz w:val="20"/>
                <w:szCs w:val="20"/>
                <w:highlight w:val="yellow"/>
              </w:rPr>
              <w:t>18</w:t>
            </w:r>
            <w:r w:rsidR="00F96140">
              <w:rPr>
                <w:rFonts w:eastAsia="Calibri" w:cstheme="minorHAnsi"/>
                <w:sz w:val="20"/>
                <w:szCs w:val="20"/>
                <w:highlight w:val="yellow"/>
              </w:rPr>
              <w:t>6</w:t>
            </w:r>
            <w:r w:rsidRPr="00C9148E" w:rsidR="00C9148E">
              <w:rPr>
                <w:rFonts w:eastAsia="Calibri" w:cstheme="minorHAnsi"/>
                <w:sz w:val="20"/>
                <w:szCs w:val="20"/>
                <w:highlight w:val="yellow"/>
              </w:rPr>
              <w:t>,</w:t>
            </w:r>
            <w:r w:rsidR="00F96140">
              <w:rPr>
                <w:rFonts w:eastAsia="Calibri" w:cstheme="minorHAnsi"/>
                <w:sz w:val="20"/>
                <w:szCs w:val="20"/>
                <w:highlight w:val="yellow"/>
              </w:rPr>
              <w:t>207</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141F8154" w14:textId="137E820B">
            <w:pPr>
              <w:spacing w:after="0" w:line="240" w:lineRule="auto"/>
              <w:jc w:val="center"/>
              <w:rPr>
                <w:rFonts w:eastAsia="Calibri" w:cstheme="minorHAnsi"/>
                <w:sz w:val="20"/>
                <w:szCs w:val="20"/>
              </w:rPr>
            </w:pPr>
            <w:r w:rsidRPr="003D32DF">
              <w:rPr>
                <w:rFonts w:eastAsia="Calibri" w:cstheme="minorHAnsi"/>
                <w:sz w:val="20"/>
                <w:szCs w:val="20"/>
              </w:rPr>
              <w:t>1% FTE</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17B12DD0"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0337442E" w14:textId="333E776F">
            <w:pPr>
              <w:spacing w:after="0" w:line="240" w:lineRule="auto"/>
              <w:jc w:val="center"/>
              <w:rPr>
                <w:rFonts w:eastAsia="Times New Roman" w:cstheme="minorHAnsi"/>
                <w:sz w:val="20"/>
                <w:szCs w:val="20"/>
              </w:rPr>
            </w:pPr>
            <w:r w:rsidRPr="00E50541">
              <w:rPr>
                <w:rFonts w:eastAsia="Times New Roman" w:cstheme="minorHAnsi"/>
                <w:sz w:val="20"/>
                <w:szCs w:val="20"/>
                <w:highlight w:val="yellow"/>
              </w:rPr>
              <w:t>$</w:t>
            </w:r>
            <w:r w:rsidRPr="00E50541" w:rsidR="0037519E">
              <w:rPr>
                <w:rFonts w:eastAsia="Times New Roman" w:cstheme="minorHAnsi"/>
                <w:sz w:val="20"/>
                <w:szCs w:val="20"/>
                <w:highlight w:val="yellow"/>
              </w:rPr>
              <w:t>1,</w:t>
            </w:r>
            <w:r w:rsidRPr="00E50541" w:rsidR="00400A5C">
              <w:rPr>
                <w:rFonts w:eastAsia="Times New Roman" w:cstheme="minorHAnsi"/>
                <w:sz w:val="20"/>
                <w:szCs w:val="20"/>
                <w:highlight w:val="yellow"/>
              </w:rPr>
              <w:t>8</w:t>
            </w:r>
            <w:r w:rsidRPr="00E50541" w:rsidR="00E50541">
              <w:rPr>
                <w:rFonts w:eastAsia="Times New Roman" w:cstheme="minorHAnsi"/>
                <w:sz w:val="20"/>
                <w:szCs w:val="20"/>
                <w:highlight w:val="yellow"/>
              </w:rPr>
              <w:t>62</w:t>
            </w:r>
          </w:p>
        </w:tc>
      </w:tr>
      <w:tr w14:paraId="79F31A3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6A93F103" w14:textId="5B8FDBFF">
            <w:pPr>
              <w:spacing w:after="0" w:line="240" w:lineRule="auto"/>
              <w:jc w:val="center"/>
              <w:rPr>
                <w:rFonts w:eastAsia="Calibri" w:cstheme="minorHAnsi"/>
                <w:sz w:val="20"/>
                <w:szCs w:val="20"/>
              </w:rPr>
            </w:pPr>
            <w:r w:rsidRPr="003D32DF">
              <w:rPr>
                <w:rFonts w:eastAsia="Calibri" w:cstheme="minorHAnsi"/>
                <w:sz w:val="20"/>
                <w:szCs w:val="20"/>
              </w:rPr>
              <w:t>Program Officer</w:t>
            </w:r>
          </w:p>
        </w:tc>
        <w:tc>
          <w:tcPr>
            <w:tcW w:w="1318" w:type="dxa"/>
            <w:tcBorders>
              <w:top w:val="nil"/>
              <w:left w:val="nil"/>
              <w:bottom w:val="single" w:sz="8" w:space="0" w:color="auto"/>
              <w:right w:val="single" w:sz="8" w:space="0" w:color="auto"/>
            </w:tcBorders>
          </w:tcPr>
          <w:p w:rsidR="0037291F" w:rsidRPr="003D32DF" w:rsidP="00CD5BAA" w14:paraId="4891FBA5" w14:textId="1D98B386">
            <w:pPr>
              <w:spacing w:after="0" w:line="240" w:lineRule="auto"/>
              <w:jc w:val="center"/>
              <w:rPr>
                <w:rFonts w:eastAsia="Calibri" w:cstheme="minorHAnsi"/>
                <w:sz w:val="20"/>
                <w:szCs w:val="20"/>
              </w:rPr>
            </w:pPr>
            <w:r w:rsidRPr="003D32DF">
              <w:rPr>
                <w:rFonts w:eastAsia="Calibri" w:cstheme="minorHAnsi"/>
                <w:sz w:val="20"/>
                <w:szCs w:val="20"/>
              </w:rPr>
              <w:t>GS-14, Step 4</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C9148E" w:rsidP="00CD5BAA" w14:paraId="236FD6F0" w14:textId="27C473FA">
            <w:pPr>
              <w:spacing w:after="0" w:line="240" w:lineRule="auto"/>
              <w:jc w:val="center"/>
              <w:rPr>
                <w:rFonts w:eastAsia="Calibri" w:cstheme="minorHAnsi"/>
                <w:sz w:val="20"/>
                <w:szCs w:val="20"/>
                <w:highlight w:val="yellow"/>
              </w:rPr>
            </w:pPr>
            <w:r w:rsidRPr="00C9148E">
              <w:rPr>
                <w:rFonts w:eastAsia="Calibri" w:cstheme="minorHAnsi"/>
                <w:sz w:val="20"/>
                <w:szCs w:val="20"/>
                <w:highlight w:val="yellow"/>
              </w:rPr>
              <w:t>$</w:t>
            </w:r>
            <w:r w:rsidRPr="00C9148E" w:rsidR="003027B3">
              <w:rPr>
                <w:rFonts w:eastAsia="Calibri" w:cstheme="minorHAnsi"/>
                <w:sz w:val="20"/>
                <w:szCs w:val="20"/>
                <w:highlight w:val="yellow"/>
              </w:rPr>
              <w:t>1</w:t>
            </w:r>
            <w:r w:rsidRPr="00C9148E" w:rsidR="00C9148E">
              <w:rPr>
                <w:rFonts w:eastAsia="Calibri" w:cstheme="minorHAnsi"/>
                <w:sz w:val="20"/>
                <w:szCs w:val="20"/>
                <w:highlight w:val="yellow"/>
              </w:rPr>
              <w:t>5</w:t>
            </w:r>
            <w:r w:rsidR="00E50541">
              <w:rPr>
                <w:rFonts w:eastAsia="Calibri" w:cstheme="minorHAnsi"/>
                <w:sz w:val="20"/>
                <w:szCs w:val="20"/>
                <w:highlight w:val="yellow"/>
              </w:rPr>
              <w:t>8</w:t>
            </w:r>
            <w:r w:rsidRPr="00C9148E" w:rsidR="00C9148E">
              <w:rPr>
                <w:rFonts w:eastAsia="Calibri" w:cstheme="minorHAnsi"/>
                <w:sz w:val="20"/>
                <w:szCs w:val="20"/>
                <w:highlight w:val="yellow"/>
              </w:rPr>
              <w:t>,</w:t>
            </w:r>
            <w:r w:rsidR="00E50541">
              <w:rPr>
                <w:rFonts w:eastAsia="Calibri" w:cstheme="minorHAnsi"/>
                <w:sz w:val="20"/>
                <w:szCs w:val="20"/>
                <w:highlight w:val="yellow"/>
              </w:rPr>
              <w:t>306</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1495818B" w14:textId="759C57AF">
            <w:pPr>
              <w:spacing w:after="0" w:line="240" w:lineRule="auto"/>
              <w:jc w:val="center"/>
              <w:rPr>
                <w:rFonts w:eastAsia="Calibri" w:cstheme="minorHAnsi"/>
                <w:sz w:val="20"/>
                <w:szCs w:val="20"/>
              </w:rPr>
            </w:pPr>
            <w:r w:rsidRPr="003D32DF">
              <w:rPr>
                <w:rFonts w:eastAsia="Calibri" w:cstheme="minorHAnsi"/>
                <w:sz w:val="20"/>
                <w:szCs w:val="20"/>
              </w:rPr>
              <w:t>6% FTE</w:t>
            </w: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4697687E"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3990900D" w14:textId="3750DC5B">
            <w:pPr>
              <w:spacing w:after="0" w:line="240" w:lineRule="auto"/>
              <w:jc w:val="center"/>
              <w:rPr>
                <w:rFonts w:eastAsia="Times New Roman" w:cstheme="minorHAnsi"/>
                <w:sz w:val="20"/>
                <w:szCs w:val="20"/>
              </w:rPr>
            </w:pPr>
            <w:r w:rsidRPr="00400A5C">
              <w:rPr>
                <w:rFonts w:eastAsia="Times New Roman" w:cstheme="minorHAnsi"/>
                <w:sz w:val="20"/>
                <w:szCs w:val="20"/>
                <w:highlight w:val="yellow"/>
              </w:rPr>
              <w:t>$</w:t>
            </w:r>
            <w:r w:rsidRPr="00B94987" w:rsidR="00400A5C">
              <w:rPr>
                <w:rFonts w:eastAsia="Times New Roman" w:cstheme="minorHAnsi"/>
                <w:sz w:val="20"/>
                <w:szCs w:val="20"/>
                <w:highlight w:val="yellow"/>
              </w:rPr>
              <w:t>9,4</w:t>
            </w:r>
            <w:r w:rsidRPr="00B94987" w:rsidR="00B94987">
              <w:rPr>
                <w:rFonts w:eastAsia="Times New Roman" w:cstheme="minorHAnsi"/>
                <w:sz w:val="20"/>
                <w:szCs w:val="20"/>
                <w:highlight w:val="yellow"/>
              </w:rPr>
              <w:t>98</w:t>
            </w:r>
          </w:p>
        </w:tc>
      </w:tr>
      <w:tr w14:paraId="70D5FED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7E4275FD" w14:textId="77777777">
            <w:pPr>
              <w:spacing w:after="0" w:line="240" w:lineRule="auto"/>
              <w:jc w:val="center"/>
              <w:rPr>
                <w:rFonts w:eastAsia="Calibri" w:cstheme="minorHAnsi"/>
                <w:b/>
                <w:sz w:val="20"/>
                <w:szCs w:val="20"/>
              </w:rPr>
            </w:pPr>
            <w:r w:rsidRPr="003D32DF">
              <w:rPr>
                <w:rFonts w:eastAsia="Calibri" w:cstheme="minorHAnsi"/>
                <w:b/>
                <w:sz w:val="20"/>
                <w:szCs w:val="20"/>
              </w:rPr>
              <w:t>Contractor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56B57766"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0AB27413"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7B1BC594"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7377C64F"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54FFB52A" w14:textId="77777777">
            <w:pPr>
              <w:spacing w:after="0" w:line="240" w:lineRule="auto"/>
              <w:jc w:val="center"/>
              <w:rPr>
                <w:rFonts w:eastAsia="Times New Roman" w:cstheme="minorHAnsi"/>
                <w:sz w:val="20"/>
                <w:szCs w:val="20"/>
              </w:rPr>
            </w:pPr>
          </w:p>
        </w:tc>
      </w:tr>
      <w:tr w14:paraId="6D32B8B1"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5C9DB413" w14:textId="1A839532">
            <w:pPr>
              <w:spacing w:after="0" w:line="240" w:lineRule="auto"/>
              <w:jc w:val="center"/>
              <w:rPr>
                <w:rFonts w:eastAsia="Calibri" w:cstheme="minorHAnsi"/>
                <w:sz w:val="20"/>
                <w:szCs w:val="20"/>
              </w:rPr>
            </w:pPr>
            <w:r w:rsidRPr="003D32DF">
              <w:rPr>
                <w:rFonts w:eastAsia="Calibri" w:cstheme="minorHAnsi"/>
                <w:sz w:val="20"/>
                <w:szCs w:val="20"/>
              </w:rPr>
              <w:t>Senior Program Analyst</w:t>
            </w:r>
          </w:p>
        </w:tc>
        <w:tc>
          <w:tcPr>
            <w:tcW w:w="1318" w:type="dxa"/>
            <w:tcBorders>
              <w:top w:val="nil"/>
              <w:left w:val="nil"/>
              <w:bottom w:val="single" w:sz="8" w:space="0" w:color="auto"/>
              <w:right w:val="single" w:sz="8" w:space="0" w:color="auto"/>
            </w:tcBorders>
          </w:tcPr>
          <w:p w:rsidR="0037291F" w:rsidRPr="003D32DF" w:rsidP="00CD5BAA" w14:paraId="29122B6C"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3918A501" w14:textId="2B08C392">
            <w:pPr>
              <w:spacing w:after="0" w:line="240" w:lineRule="auto"/>
              <w:jc w:val="center"/>
              <w:rPr>
                <w:rFonts w:eastAsia="Calibri" w:cstheme="minorHAnsi"/>
                <w:sz w:val="20"/>
                <w:szCs w:val="20"/>
              </w:rPr>
            </w:pPr>
            <w:r w:rsidRPr="003D32DF">
              <w:rPr>
                <w:rFonts w:eastAsia="Calibri" w:cstheme="minorHAnsi"/>
                <w:sz w:val="20"/>
                <w:szCs w:val="20"/>
              </w:rPr>
              <w:t>$100,000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017ED7E1"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7A2C9545" w14:textId="23FF8D54">
            <w:pPr>
              <w:spacing w:after="0" w:line="240" w:lineRule="auto"/>
              <w:jc w:val="center"/>
              <w:rPr>
                <w:rFonts w:eastAsia="Times New Roman" w:cstheme="minorHAnsi"/>
                <w:sz w:val="20"/>
                <w:szCs w:val="20"/>
              </w:rPr>
            </w:pPr>
            <w:r w:rsidRPr="003D32DF">
              <w:rPr>
                <w:rFonts w:eastAsia="Times New Roman" w:cstheme="minorHAnsi"/>
                <w:sz w:val="20"/>
                <w:szCs w:val="20"/>
              </w:rPr>
              <w:t>$20,000</w:t>
            </w:r>
          </w:p>
        </w:tc>
        <w:tc>
          <w:tcPr>
            <w:tcW w:w="1248" w:type="dxa"/>
            <w:tcBorders>
              <w:top w:val="nil"/>
              <w:left w:val="nil"/>
              <w:bottom w:val="single" w:sz="8" w:space="0" w:color="auto"/>
              <w:right w:val="single" w:sz="8" w:space="0" w:color="auto"/>
            </w:tcBorders>
          </w:tcPr>
          <w:p w:rsidR="0037291F" w:rsidRPr="003D32DF" w:rsidP="00CD5BAA" w14:paraId="1B6783A9" w14:textId="29736F66">
            <w:pPr>
              <w:spacing w:after="0" w:line="240" w:lineRule="auto"/>
              <w:jc w:val="center"/>
              <w:rPr>
                <w:rFonts w:eastAsia="Times New Roman" w:cstheme="minorHAnsi"/>
                <w:sz w:val="20"/>
                <w:szCs w:val="20"/>
              </w:rPr>
            </w:pPr>
            <w:r w:rsidRPr="003D32DF">
              <w:rPr>
                <w:rFonts w:eastAsia="Times New Roman" w:cstheme="minorHAnsi"/>
                <w:sz w:val="20"/>
                <w:szCs w:val="20"/>
              </w:rPr>
              <w:t>$1,500</w:t>
            </w:r>
          </w:p>
        </w:tc>
      </w:tr>
      <w:tr w14:paraId="0B1606A0" w14:textId="77777777" w:rsidTr="00CE6281">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21E18" w:rsidRPr="003D32DF" w:rsidP="00CD5BAA" w14:paraId="4EC63CB4" w14:textId="2643F63E">
            <w:pPr>
              <w:spacing w:after="0" w:line="240" w:lineRule="auto"/>
              <w:jc w:val="center"/>
              <w:rPr>
                <w:rFonts w:eastAsia="Calibri" w:cstheme="minorHAnsi"/>
                <w:sz w:val="20"/>
                <w:szCs w:val="20"/>
              </w:rPr>
            </w:pPr>
            <w:r w:rsidRPr="003D32DF">
              <w:rPr>
                <w:rFonts w:eastAsia="Calibri" w:cstheme="minorHAnsi"/>
                <w:sz w:val="20"/>
                <w:szCs w:val="20"/>
              </w:rPr>
              <w:t>Administrative Data Analyst</w:t>
            </w:r>
          </w:p>
        </w:tc>
        <w:tc>
          <w:tcPr>
            <w:tcW w:w="1318" w:type="dxa"/>
            <w:tcBorders>
              <w:top w:val="nil"/>
              <w:left w:val="nil"/>
              <w:bottom w:val="single" w:sz="8" w:space="0" w:color="auto"/>
              <w:right w:val="single" w:sz="8" w:space="0" w:color="auto"/>
            </w:tcBorders>
          </w:tcPr>
          <w:p w:rsidR="00D21E18" w:rsidRPr="003D32DF" w:rsidP="00CD5BAA" w14:paraId="2613A9A6"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21E18" w:rsidRPr="003D32DF" w:rsidP="00CD5BAA" w14:paraId="5B5FFA21" w14:textId="28B5CD16">
            <w:pPr>
              <w:spacing w:after="0" w:line="240" w:lineRule="auto"/>
              <w:jc w:val="center"/>
              <w:rPr>
                <w:rFonts w:eastAsia="Calibri" w:cstheme="minorHAnsi"/>
                <w:sz w:val="20"/>
                <w:szCs w:val="20"/>
              </w:rPr>
            </w:pPr>
            <w:r w:rsidRPr="003D32DF">
              <w:rPr>
                <w:rFonts w:eastAsia="Calibri" w:cstheme="minorHAnsi"/>
                <w:sz w:val="20"/>
                <w:szCs w:val="20"/>
              </w:rPr>
              <w:t>$50,000</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D21E18" w:rsidRPr="003D32DF" w:rsidP="00CD5BAA" w14:paraId="0C0BA001"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vAlign w:val="bottom"/>
          </w:tcPr>
          <w:p w:rsidR="00D21E18" w:rsidRPr="003D32DF" w:rsidP="00CD5BAA" w14:paraId="3505FBF0" w14:textId="1B7C20B7">
            <w:pPr>
              <w:spacing w:after="0" w:line="240" w:lineRule="auto"/>
              <w:jc w:val="center"/>
              <w:rPr>
                <w:rFonts w:eastAsia="Times New Roman" w:cstheme="minorHAnsi"/>
                <w:sz w:val="20"/>
                <w:szCs w:val="20"/>
              </w:rPr>
            </w:pPr>
            <w:r w:rsidRPr="003D32DF">
              <w:rPr>
                <w:rFonts w:eastAsia="Times New Roman" w:cstheme="minorHAnsi"/>
                <w:sz w:val="20"/>
                <w:szCs w:val="20"/>
              </w:rPr>
              <w:t>$35,000</w:t>
            </w:r>
          </w:p>
        </w:tc>
        <w:tc>
          <w:tcPr>
            <w:tcW w:w="1248" w:type="dxa"/>
            <w:tcBorders>
              <w:top w:val="nil"/>
              <w:left w:val="nil"/>
              <w:bottom w:val="single" w:sz="8" w:space="0" w:color="auto"/>
              <w:right w:val="single" w:sz="8" w:space="0" w:color="auto"/>
            </w:tcBorders>
            <w:vAlign w:val="bottom"/>
          </w:tcPr>
          <w:p w:rsidR="00D21E18" w:rsidRPr="003D32DF" w:rsidP="00CD5BAA" w14:paraId="419EFB28" w14:textId="3709D3D2">
            <w:pPr>
              <w:spacing w:after="0" w:line="240" w:lineRule="auto"/>
              <w:jc w:val="center"/>
              <w:rPr>
                <w:rFonts w:eastAsia="Times New Roman" w:cstheme="minorHAnsi"/>
                <w:sz w:val="20"/>
                <w:szCs w:val="20"/>
              </w:rPr>
            </w:pPr>
            <w:r w:rsidRPr="003D32DF">
              <w:rPr>
                <w:rFonts w:eastAsia="Times New Roman" w:cstheme="minorHAnsi"/>
                <w:sz w:val="20"/>
                <w:szCs w:val="20"/>
              </w:rPr>
              <w:t>$17,881</w:t>
            </w:r>
          </w:p>
        </w:tc>
      </w:tr>
      <w:tr w14:paraId="0C3AC42C"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4DE45762" w14:textId="2E649ED8">
            <w:pPr>
              <w:spacing w:after="0" w:line="240" w:lineRule="auto"/>
              <w:jc w:val="center"/>
              <w:rPr>
                <w:rFonts w:eastAsia="Calibri" w:cstheme="minorHAnsi"/>
                <w:sz w:val="20"/>
                <w:szCs w:val="20"/>
              </w:rPr>
            </w:pPr>
            <w:r w:rsidRPr="003D32DF">
              <w:rPr>
                <w:rFonts w:eastAsia="Calibri" w:cstheme="minorHAnsi"/>
                <w:sz w:val="20"/>
                <w:szCs w:val="20"/>
              </w:rPr>
              <w:t>Travel</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4BF938D2"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D32DF" w:rsidP="00CD5BAA" w14:paraId="3305B18C"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D32DF" w:rsidP="00CD5BAA" w14:paraId="7C7918DA"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4CBB70F6"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4DE95A51" w14:textId="72CC990C">
            <w:pPr>
              <w:spacing w:after="0" w:line="240" w:lineRule="auto"/>
              <w:jc w:val="center"/>
              <w:rPr>
                <w:rFonts w:eastAsia="Times New Roman" w:cstheme="minorHAnsi"/>
                <w:sz w:val="20"/>
                <w:szCs w:val="20"/>
              </w:rPr>
            </w:pPr>
            <w:r w:rsidRPr="003D32DF">
              <w:rPr>
                <w:rFonts w:eastAsia="Times New Roman" w:cstheme="minorHAnsi"/>
                <w:sz w:val="20"/>
                <w:szCs w:val="20"/>
              </w:rPr>
              <w:t>$0</w:t>
            </w:r>
          </w:p>
        </w:tc>
      </w:tr>
      <w:tr w14:paraId="4AEBFF88"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37291F" w:rsidRPr="003D32DF" w:rsidP="00CD5BAA" w14:paraId="4584914B" w14:textId="77777777">
            <w:pPr>
              <w:spacing w:after="0" w:line="240" w:lineRule="auto"/>
              <w:jc w:val="center"/>
              <w:rPr>
                <w:rFonts w:eastAsia="Calibri" w:cstheme="minorHAnsi"/>
                <w:color w:val="1F497D"/>
                <w:sz w:val="20"/>
                <w:szCs w:val="20"/>
              </w:rPr>
            </w:pPr>
            <w:r w:rsidRPr="003D32DF">
              <w:rPr>
                <w:rFonts w:eastAsia="Calibri" w:cstheme="minorHAnsi"/>
                <w:color w:val="000000"/>
                <w:sz w:val="20"/>
                <w:szCs w:val="20"/>
              </w:rPr>
              <w:t>Other Cost</w:t>
            </w: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09C6C4C3" w14:textId="77777777">
            <w:pPr>
              <w:spacing w:after="0" w:line="240" w:lineRule="auto"/>
              <w:jc w:val="center"/>
              <w:rPr>
                <w:rFonts w:eastAsia="Calibri" w:cstheme="minorHAnsi"/>
                <w:color w:val="000000"/>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D32DF" w:rsidP="00CD5BAA" w14:paraId="29773080"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D32DF" w:rsidP="00CD5BAA" w14:paraId="5C8C7929"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141111DC" w14:textId="77777777">
            <w:pPr>
              <w:spacing w:after="0" w:line="240" w:lineRule="auto"/>
              <w:jc w:val="center"/>
              <w:rPr>
                <w:rFonts w:eastAsia="Calibri"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6DE6D0FA" w14:textId="746CF0C9">
            <w:pPr>
              <w:spacing w:after="0" w:line="240" w:lineRule="auto"/>
              <w:jc w:val="center"/>
              <w:rPr>
                <w:rFonts w:eastAsia="Calibri" w:cstheme="minorHAnsi"/>
                <w:sz w:val="20"/>
                <w:szCs w:val="20"/>
              </w:rPr>
            </w:pPr>
            <w:r w:rsidRPr="003D32DF">
              <w:rPr>
                <w:rFonts w:eastAsia="Calibri" w:cstheme="minorHAnsi"/>
                <w:sz w:val="20"/>
                <w:szCs w:val="20"/>
              </w:rPr>
              <w:t>$0</w:t>
            </w:r>
          </w:p>
        </w:tc>
      </w:tr>
      <w:tr w14:paraId="776CCEBD"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3D32DF" w:rsidP="00CD5BAA" w14:paraId="5AB6CFDC" w14:textId="77777777">
            <w:pPr>
              <w:spacing w:after="0" w:line="240" w:lineRule="auto"/>
              <w:jc w:val="center"/>
              <w:rPr>
                <w:rFonts w:eastAsia="Calibri" w:cstheme="minorHAnsi"/>
                <w:bCs/>
                <w:color w:val="000000"/>
                <w:sz w:val="20"/>
                <w:szCs w:val="20"/>
              </w:rPr>
            </w:pPr>
          </w:p>
        </w:tc>
        <w:tc>
          <w:tcPr>
            <w:tcW w:w="131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32510164"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37291F" w:rsidRPr="003D32DF" w:rsidP="00CD5BAA" w14:paraId="68AF2454"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37291F" w:rsidRPr="003D32DF" w:rsidP="00CD5BAA" w14:paraId="2211A3E7" w14:textId="77777777">
            <w:pPr>
              <w:spacing w:after="0" w:line="240" w:lineRule="auto"/>
              <w:jc w:val="center"/>
              <w:rPr>
                <w:rFonts w:eastAsia="Calibri" w:cstheme="minorHAnsi"/>
                <w:b/>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37291F" w:rsidRPr="003D32DF" w:rsidP="00CD5BAA" w14:paraId="19C99249" w14:textId="77777777">
            <w:pPr>
              <w:spacing w:after="0" w:line="240" w:lineRule="auto"/>
              <w:jc w:val="center"/>
              <w:rPr>
                <w:rFonts w:eastAsia="Times New Roman" w:cstheme="minorHAnsi"/>
                <w:b/>
                <w:sz w:val="20"/>
                <w:szCs w:val="20"/>
              </w:rPr>
            </w:pPr>
          </w:p>
        </w:tc>
        <w:tc>
          <w:tcPr>
            <w:tcW w:w="1248" w:type="dxa"/>
            <w:tcBorders>
              <w:top w:val="nil"/>
              <w:left w:val="nil"/>
              <w:bottom w:val="single" w:sz="8" w:space="0" w:color="auto"/>
              <w:right w:val="single" w:sz="8" w:space="0" w:color="auto"/>
            </w:tcBorders>
          </w:tcPr>
          <w:p w:rsidR="0037291F" w:rsidRPr="003D32DF" w:rsidP="00CD5BAA" w14:paraId="64FDCB4A" w14:textId="77777777">
            <w:pPr>
              <w:spacing w:after="0" w:line="240" w:lineRule="auto"/>
              <w:jc w:val="center"/>
              <w:rPr>
                <w:rFonts w:eastAsia="Times New Roman" w:cstheme="minorHAnsi"/>
                <w:b/>
                <w:sz w:val="20"/>
                <w:szCs w:val="20"/>
              </w:rPr>
            </w:pPr>
          </w:p>
        </w:tc>
      </w:tr>
      <w:tr w14:paraId="7F34BEA2" w14:textId="77777777" w:rsidTr="0037291F">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7291F" w:rsidRPr="003D32DF" w:rsidP="00CD5BAA" w14:paraId="24442857" w14:textId="0BAD80BF">
            <w:pPr>
              <w:spacing w:after="0" w:line="240" w:lineRule="auto"/>
              <w:jc w:val="center"/>
              <w:rPr>
                <w:rFonts w:eastAsia="Times New Roman" w:cstheme="minorHAnsi"/>
                <w:b/>
                <w:sz w:val="20"/>
                <w:szCs w:val="20"/>
              </w:rPr>
            </w:pPr>
            <w:r w:rsidRPr="003D32DF">
              <w:rPr>
                <w:rFonts w:eastAsia="Times New Roman" w:cstheme="minorHAnsi"/>
                <w:b/>
                <w:sz w:val="20"/>
                <w:szCs w:val="20"/>
              </w:rPr>
              <w:t>T</w:t>
            </w:r>
            <w:r w:rsidRPr="003D32DF" w:rsidR="00C54FFE">
              <w:rPr>
                <w:rFonts w:eastAsia="Times New Roman" w:cstheme="minorHAnsi"/>
                <w:b/>
                <w:sz w:val="20"/>
                <w:szCs w:val="20"/>
              </w:rPr>
              <w:t>OTAL</w:t>
            </w:r>
          </w:p>
        </w:tc>
        <w:tc>
          <w:tcPr>
            <w:tcW w:w="1318" w:type="dxa"/>
            <w:tcBorders>
              <w:top w:val="nil"/>
              <w:left w:val="nil"/>
              <w:bottom w:val="single" w:sz="8" w:space="0" w:color="auto"/>
              <w:right w:val="single" w:sz="8" w:space="0" w:color="auto"/>
            </w:tcBorders>
          </w:tcPr>
          <w:p w:rsidR="0037291F" w:rsidRPr="003D32DF" w:rsidP="00CD5BAA" w14:paraId="65CC58DC" w14:textId="77777777">
            <w:pPr>
              <w:spacing w:after="0" w:line="240" w:lineRule="auto"/>
              <w:jc w:val="center"/>
              <w:rPr>
                <w:rFonts w:eastAsia="Calibri" w:cstheme="minorHAnsi"/>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D32DF" w:rsidP="00CD5BAA" w14:paraId="6B79E628"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7291F" w:rsidRPr="003D32DF" w:rsidP="00CD5BAA" w14:paraId="3E7F7E7F"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3C24B29E" w14:textId="77777777">
            <w:pPr>
              <w:spacing w:after="0" w:line="240" w:lineRule="auto"/>
              <w:jc w:val="center"/>
              <w:rPr>
                <w:rFonts w:eastAsia="Times New Roman" w:cstheme="minorHAnsi"/>
                <w:sz w:val="20"/>
                <w:szCs w:val="20"/>
              </w:rPr>
            </w:pPr>
          </w:p>
        </w:tc>
        <w:tc>
          <w:tcPr>
            <w:tcW w:w="1248" w:type="dxa"/>
            <w:tcBorders>
              <w:top w:val="nil"/>
              <w:left w:val="nil"/>
              <w:bottom w:val="single" w:sz="8" w:space="0" w:color="auto"/>
              <w:right w:val="single" w:sz="8" w:space="0" w:color="auto"/>
            </w:tcBorders>
          </w:tcPr>
          <w:p w:rsidR="0037291F" w:rsidRPr="003D32DF" w:rsidP="00CD5BAA" w14:paraId="66E52120" w14:textId="74547EDA">
            <w:pPr>
              <w:spacing w:after="0" w:line="240" w:lineRule="auto"/>
              <w:jc w:val="center"/>
              <w:rPr>
                <w:rFonts w:eastAsia="Times New Roman" w:cstheme="minorHAnsi"/>
                <w:sz w:val="20"/>
                <w:szCs w:val="20"/>
              </w:rPr>
            </w:pPr>
            <w:r w:rsidRPr="006C4A7B">
              <w:rPr>
                <w:rFonts w:eastAsia="Times New Roman" w:cstheme="minorHAnsi"/>
                <w:sz w:val="20"/>
                <w:szCs w:val="20"/>
                <w:highlight w:val="yellow"/>
              </w:rPr>
              <w:t>$</w:t>
            </w:r>
            <w:r w:rsidRPr="006C4A7B" w:rsidR="006C2FF2">
              <w:rPr>
                <w:rFonts w:eastAsia="Times New Roman" w:cstheme="minorHAnsi"/>
                <w:sz w:val="20"/>
                <w:szCs w:val="20"/>
                <w:highlight w:val="yellow"/>
              </w:rPr>
              <w:t>30,</w:t>
            </w:r>
            <w:r w:rsidRPr="006C4A7B" w:rsidR="006C4A7B">
              <w:rPr>
                <w:rFonts w:eastAsia="Times New Roman" w:cstheme="minorHAnsi"/>
                <w:sz w:val="20"/>
                <w:szCs w:val="20"/>
                <w:highlight w:val="yellow"/>
              </w:rPr>
              <w:t>741</w:t>
            </w:r>
          </w:p>
        </w:tc>
      </w:tr>
    </w:tbl>
    <w:p w:rsidR="006B624F" w:rsidRPr="003D32DF" w:rsidP="00976FAB" w14:paraId="27799FEF" w14:textId="19E8EA50">
      <w:pPr>
        <w:spacing w:before="120" w:after="120" w:line="240" w:lineRule="auto"/>
        <w:jc w:val="center"/>
        <w:rPr>
          <w:rStyle w:val="Hyperlink"/>
          <w:rFonts w:cstheme="minorHAnsi"/>
          <w:i/>
          <w:iCs/>
          <w:sz w:val="18"/>
          <w:szCs w:val="18"/>
        </w:rPr>
      </w:pPr>
      <w:r w:rsidRPr="003D32DF">
        <w:rPr>
          <w:rFonts w:cstheme="minorHAnsi"/>
          <w:i/>
          <w:iCs/>
          <w:sz w:val="18"/>
          <w:szCs w:val="18"/>
        </w:rPr>
        <w:t>*</w:t>
      </w:r>
      <w:r w:rsidRPr="003D32DF" w:rsidR="00EC178C">
        <w:rPr>
          <w:rFonts w:cstheme="minorHAnsi"/>
          <w:i/>
          <w:iCs/>
          <w:sz w:val="18"/>
          <w:szCs w:val="18"/>
        </w:rPr>
        <w:t xml:space="preserve"> </w:t>
      </w:r>
      <w:r w:rsidRPr="003D32DF" w:rsidR="00E61CA8">
        <w:rPr>
          <w:rFonts w:cstheme="minorHAnsi"/>
          <w:i/>
          <w:iCs/>
          <w:sz w:val="18"/>
          <w:szCs w:val="18"/>
        </w:rPr>
        <w:t xml:space="preserve">Salary/Wage Source: Office of Personnel Management </w:t>
      </w:r>
      <w:r w:rsidRPr="001A5B0A" w:rsidR="00260DA6">
        <w:rPr>
          <w:rFonts w:cstheme="minorHAnsi"/>
          <w:i/>
          <w:iCs/>
          <w:sz w:val="18"/>
          <w:szCs w:val="18"/>
          <w:highlight w:val="yellow"/>
        </w:rPr>
        <w:t>202</w:t>
      </w:r>
      <w:r w:rsidRPr="00260DA6" w:rsidR="00260DA6">
        <w:rPr>
          <w:rFonts w:cstheme="minorHAnsi"/>
          <w:i/>
          <w:iCs/>
          <w:sz w:val="18"/>
          <w:szCs w:val="18"/>
          <w:highlight w:val="yellow"/>
        </w:rPr>
        <w:t>6</w:t>
      </w:r>
      <w:r w:rsidRPr="003D32DF" w:rsidR="00260DA6">
        <w:rPr>
          <w:rFonts w:cstheme="minorHAnsi"/>
          <w:i/>
          <w:iCs/>
          <w:sz w:val="18"/>
          <w:szCs w:val="18"/>
        </w:rPr>
        <w:t xml:space="preserve"> </w:t>
      </w:r>
      <w:r w:rsidRPr="003D32DF" w:rsidR="00E61CA8">
        <w:rPr>
          <w:rFonts w:cstheme="minorHAnsi"/>
          <w:i/>
          <w:iCs/>
          <w:sz w:val="18"/>
          <w:szCs w:val="18"/>
        </w:rPr>
        <w:t xml:space="preserve">Salary Table for the Locality Pay Area of Washington-Baltimore-Arlington, DC-MD-VA-WV-PA </w:t>
      </w:r>
      <w:bookmarkStart w:id="25" w:name="OLE_LINK1"/>
      <w:r w:rsidRPr="003D32DF" w:rsidR="00E61CA8">
        <w:rPr>
          <w:rFonts w:cstheme="minorHAnsi"/>
          <w:i/>
          <w:iCs/>
          <w:sz w:val="18"/>
          <w:szCs w:val="18"/>
        </w:rPr>
        <w:t xml:space="preserve">- </w:t>
      </w:r>
      <w:bookmarkStart w:id="26" w:name="OLE_LINK2"/>
      <w:hyperlink r:id="rId19" w:history="1">
        <w:r w:rsidRPr="00260DA6" w:rsidR="00260DA6">
          <w:rPr>
            <w:rStyle w:val="Hyperlink"/>
            <w:rFonts w:cstheme="minorHAnsi"/>
            <w:i/>
            <w:iCs/>
            <w:sz w:val="18"/>
            <w:szCs w:val="18"/>
            <w:highlight w:val="yellow"/>
          </w:rPr>
          <w:t>https://www.opm.gov/policy-data-oversight/pay-leave/salaries-wages/salary-tables/26Tables/html/DCB.aspx</w:t>
        </w:r>
        <w:bookmarkEnd w:id="25"/>
        <w:bookmarkEnd w:id="26"/>
      </w:hyperlink>
    </w:p>
    <w:p w:rsidR="001E2605" w:rsidRPr="003D32DF" w:rsidP="00005DD9" w14:paraId="01A044E7" w14:textId="77777777">
      <w:pPr>
        <w:spacing w:before="120" w:after="120" w:line="240" w:lineRule="auto"/>
        <w:rPr>
          <w:rFonts w:cstheme="minorHAnsi"/>
          <w:color w:val="002060"/>
        </w:rPr>
      </w:pPr>
    </w:p>
    <w:p w:rsidR="00FF72FC" w:rsidRPr="003D32DF" w:rsidP="00005DD9" w14:paraId="4551EBE8" w14:textId="77777777">
      <w:pPr>
        <w:spacing w:before="120" w:after="120" w:line="240" w:lineRule="auto"/>
        <w:rPr>
          <w:rFonts w:cstheme="minorHAnsi"/>
          <w:b/>
        </w:rPr>
      </w:pPr>
      <w:r w:rsidRPr="003D32DF">
        <w:rPr>
          <w:rFonts w:cstheme="minorHAnsi"/>
          <w:b/>
        </w:rPr>
        <w:t>A.15</w:t>
      </w:r>
      <w:r w:rsidRPr="003D32DF">
        <w:rPr>
          <w:rFonts w:cstheme="minorHAnsi"/>
          <w:b/>
        </w:rPr>
        <w:tab/>
        <w:t>Explanation for Program Changes or Adjustments</w:t>
      </w:r>
    </w:p>
    <w:p w:rsidR="00BC2149" w:rsidRPr="00CB6C00" w:rsidP="00CB6C00" w14:paraId="0C49557B" w14:textId="4BD87B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rPr>
      </w:pPr>
      <w:r w:rsidRPr="0038724A">
        <w:rPr>
          <w:rFonts w:cstheme="minorHAnsi"/>
          <w:highlight w:val="yellow"/>
        </w:rPr>
        <w:t>Compared to the previous</w:t>
      </w:r>
      <w:r w:rsidRPr="0038724A" w:rsidR="00DF7E35">
        <w:rPr>
          <w:rFonts w:cstheme="minorHAnsi"/>
          <w:highlight w:val="yellow"/>
        </w:rPr>
        <w:t xml:space="preserve"> application, t</w:t>
      </w:r>
      <w:r w:rsidRPr="0038724A" w:rsidR="00D778AC">
        <w:rPr>
          <w:rFonts w:cstheme="minorHAnsi"/>
          <w:highlight w:val="yellow"/>
        </w:rPr>
        <w:t>he link to webinars and tutorials for the DSA and DUC was updated</w:t>
      </w:r>
      <w:r w:rsidRPr="0038724A" w:rsidR="00496A54">
        <w:rPr>
          <w:rFonts w:cstheme="minorHAnsi"/>
          <w:highlight w:val="yellow"/>
        </w:rPr>
        <w:t>, t</w:t>
      </w:r>
      <w:r w:rsidRPr="0038724A" w:rsidR="00D778AC">
        <w:rPr>
          <w:rFonts w:cstheme="minorHAnsi"/>
          <w:highlight w:val="yellow"/>
        </w:rPr>
        <w:t>wo additional research domains/permission groups were added</w:t>
      </w:r>
      <w:r w:rsidRPr="0038724A" w:rsidR="00DF7E35">
        <w:rPr>
          <w:rFonts w:cstheme="minorHAnsi"/>
          <w:highlight w:val="yellow"/>
        </w:rPr>
        <w:t xml:space="preserve"> to </w:t>
      </w:r>
      <w:r w:rsidRPr="0038724A" w:rsidR="002B1522">
        <w:rPr>
          <w:rFonts w:cstheme="minorHAnsi"/>
          <w:highlight w:val="yellow"/>
        </w:rPr>
        <w:t>those listed in the</w:t>
      </w:r>
      <w:r w:rsidRPr="0038724A" w:rsidR="00DF7E35">
        <w:rPr>
          <w:rFonts w:cstheme="minorHAnsi"/>
          <w:highlight w:val="yellow"/>
        </w:rPr>
        <w:t xml:space="preserve"> NDA system</w:t>
      </w:r>
      <w:r w:rsidRPr="0038724A" w:rsidR="00496A54">
        <w:rPr>
          <w:rFonts w:cstheme="minorHAnsi"/>
          <w:highlight w:val="yellow"/>
        </w:rPr>
        <w:t>, dates were updated, and wages and costs were updated with the most recent data source</w:t>
      </w:r>
      <w:r w:rsidRPr="00CB6C00" w:rsidR="00496A54">
        <w:rPr>
          <w:rFonts w:ascii="Calibri" w:hAnsi="Calibri" w:cs="Calibri"/>
          <w:highlight w:val="yellow"/>
        </w:rPr>
        <w:t>s.</w:t>
      </w:r>
      <w:r w:rsidRPr="00CB6C00" w:rsidR="0038724A">
        <w:rPr>
          <w:rFonts w:ascii="Calibri" w:hAnsi="Calibri" w:cs="Calibri"/>
          <w:highlight w:val="yellow"/>
        </w:rPr>
        <w:t xml:space="preserve"> </w:t>
      </w:r>
      <w:r w:rsidRPr="00CB6C00" w:rsidR="00CB6C00">
        <w:rPr>
          <w:rFonts w:ascii="Calibri" w:hAnsi="Calibri" w:cs="Calibri"/>
          <w:highlight w:val="yellow"/>
        </w:rPr>
        <w:t>F</w:t>
      </w:r>
      <w:r w:rsidRPr="00CB6C00" w:rsidR="00C10877">
        <w:rPr>
          <w:rFonts w:ascii="Calibri" w:hAnsi="Calibri" w:cs="Calibri"/>
          <w:highlight w:val="yellow"/>
        </w:rPr>
        <w:t>or the DUC, NDA has updated the wording of the user attestations, updated data use terms and conditions, and updated formatting and hyperlinks. For the DSA, NDA has updated the attestations regarding sensitive information and data considerations and updated formatting and hyperlinks.</w:t>
      </w:r>
      <w:r w:rsidRPr="00CB6C00" w:rsidR="00CB6C00">
        <w:rPr>
          <w:rFonts w:ascii="Calibri" w:hAnsi="Calibri" w:cs="Calibri"/>
          <w:highlight w:val="yellow"/>
        </w:rPr>
        <w:t xml:space="preserve"> </w:t>
      </w:r>
      <w:r w:rsidR="004D67EF">
        <w:rPr>
          <w:rFonts w:ascii="Calibri" w:hAnsi="Calibri" w:cs="Calibri"/>
          <w:highlight w:val="yellow"/>
        </w:rPr>
        <w:t>New</w:t>
      </w:r>
      <w:r w:rsidR="00E5747F">
        <w:rPr>
          <w:rFonts w:ascii="Calibri" w:hAnsi="Calibri" w:cs="Calibri"/>
          <w:highlight w:val="yellow"/>
        </w:rPr>
        <w:t xml:space="preserve"> checkboxes are included to signal the specific awarenesses of the </w:t>
      </w:r>
      <w:r w:rsidR="006E6BFE">
        <w:rPr>
          <w:rFonts w:ascii="Calibri" w:hAnsi="Calibri" w:cs="Calibri"/>
          <w:highlight w:val="yellow"/>
        </w:rPr>
        <w:t>lead recipient and the signing official to new policies and standards. Also, new</w:t>
      </w:r>
      <w:r w:rsidR="004D67EF">
        <w:rPr>
          <w:rFonts w:ascii="Calibri" w:hAnsi="Calibri" w:cs="Calibri"/>
          <w:highlight w:val="yellow"/>
        </w:rPr>
        <w:t xml:space="preserve"> instructions are included for reporting Data Use Violations. </w:t>
      </w:r>
      <w:r w:rsidRPr="00CB6C00" w:rsidR="0038724A">
        <w:rPr>
          <w:rFonts w:ascii="Calibri" w:hAnsi="Calibri" w:cs="Calibri"/>
          <w:highlight w:val="yellow"/>
        </w:rPr>
        <w:t xml:space="preserve">In July 2025, NIMH received OMB approval </w:t>
      </w:r>
      <w:r w:rsidRPr="00CB6C00" w:rsidR="0038724A">
        <w:rPr>
          <w:rFonts w:cstheme="minorHAnsi"/>
          <w:highlight w:val="yellow"/>
        </w:rPr>
        <w:t>of non-substantive changes to the DSA and DUC forms</w:t>
      </w:r>
      <w:r w:rsidRPr="00CB6C00" w:rsidR="00B66FB7">
        <w:rPr>
          <w:rFonts w:cstheme="minorHAnsi"/>
          <w:highlight w:val="yellow"/>
        </w:rPr>
        <w:t>,</w:t>
      </w:r>
      <w:r w:rsidRPr="00CB6C00" w:rsidR="00B66FB7">
        <w:rPr>
          <w:color w:val="000000"/>
          <w:highlight w:val="yellow"/>
        </w:rPr>
        <w:t xml:space="preserve"> </w:t>
      </w:r>
      <w:r w:rsidRPr="00CB6C00" w:rsidR="00B66FB7">
        <w:rPr>
          <w:color w:val="000000"/>
          <w:highlight w:val="yellow"/>
        </w:rPr>
        <w:t>in order to</w:t>
      </w:r>
      <w:r w:rsidRPr="00CB6C00" w:rsidR="00B66FB7">
        <w:rPr>
          <w:color w:val="000000"/>
          <w:highlight w:val="yellow"/>
        </w:rPr>
        <w:t xml:space="preserve"> update URLs, simplify language, and include new attestations to indicate awareness and compliance with revised standards of data security. These updates did not change the respondent time or cost burden estimates</w:t>
      </w:r>
      <w:r w:rsidRPr="00CB6C00" w:rsidR="0038724A">
        <w:rPr>
          <w:rFonts w:cstheme="minorHAnsi"/>
          <w:highlight w:val="yellow"/>
        </w:rPr>
        <w:t>.</w:t>
      </w:r>
      <w:r w:rsidRPr="00CB6C00" w:rsidR="00786D46">
        <w:rPr>
          <w:rFonts w:cstheme="minorHAnsi"/>
          <w:highlight w:val="yellow"/>
        </w:rPr>
        <w:t xml:space="preserve"> The NDA </w:t>
      </w:r>
      <w:r w:rsidRPr="00BA2D38" w:rsidR="00786D46">
        <w:rPr>
          <w:rFonts w:cstheme="minorHAnsi"/>
          <w:highlight w:val="yellow"/>
        </w:rPr>
        <w:t>Consult List has also been updated</w:t>
      </w:r>
      <w:r w:rsidRPr="00BA2D38" w:rsidR="000478F3">
        <w:rPr>
          <w:rFonts w:cstheme="minorHAnsi"/>
          <w:highlight w:val="yellow"/>
        </w:rPr>
        <w:t>, as some previous</w:t>
      </w:r>
      <w:r w:rsidR="00BA2D38">
        <w:rPr>
          <w:rFonts w:cstheme="minorHAnsi"/>
          <w:highlight w:val="yellow"/>
        </w:rPr>
        <w:t xml:space="preserve"> listed</w:t>
      </w:r>
      <w:r w:rsidRPr="00BA2D38" w:rsidR="000478F3">
        <w:rPr>
          <w:rFonts w:cstheme="minorHAnsi"/>
          <w:highlight w:val="yellow"/>
        </w:rPr>
        <w:t xml:space="preserve"> users are no longer </w:t>
      </w:r>
      <w:r w:rsidRPr="00BA2D38" w:rsidR="00BA2D38">
        <w:rPr>
          <w:rFonts w:cstheme="minorHAnsi"/>
          <w:highlight w:val="yellow"/>
        </w:rPr>
        <w:t>using the NDA.</w:t>
      </w:r>
    </w:p>
    <w:p w:rsidR="006C2FF2" w:rsidRPr="003D32DF" w:rsidP="00005DD9" w14:paraId="42516DD7" w14:textId="77777777">
      <w:pPr>
        <w:spacing w:before="120" w:after="120" w:line="240" w:lineRule="auto"/>
        <w:rPr>
          <w:rFonts w:cstheme="minorHAnsi"/>
        </w:rPr>
      </w:pPr>
    </w:p>
    <w:p w:rsidR="00FF72FC" w:rsidRPr="003D32DF" w:rsidP="00005DD9" w14:paraId="4912A666" w14:textId="513FBA6B">
      <w:pPr>
        <w:pStyle w:val="Heading2"/>
        <w:tabs>
          <w:tab w:val="left" w:pos="720"/>
        </w:tabs>
        <w:spacing w:before="120" w:after="120"/>
        <w:rPr>
          <w:rFonts w:asciiTheme="minorHAnsi" w:hAnsiTheme="minorHAnsi" w:cstheme="minorHAnsi"/>
          <w:b/>
          <w:color w:val="auto"/>
          <w:sz w:val="22"/>
          <w:szCs w:val="22"/>
        </w:rPr>
      </w:pPr>
      <w:bookmarkStart w:id="27" w:name="_Toc443881759"/>
      <w:bookmarkStart w:id="28" w:name="_Toc451592246"/>
      <w:bookmarkStart w:id="29" w:name="_Toc5610287"/>
      <w:bookmarkStart w:id="30" w:name="_Toc99178793"/>
      <w:r w:rsidRPr="003D32DF">
        <w:rPr>
          <w:rFonts w:asciiTheme="minorHAnsi" w:hAnsiTheme="minorHAnsi" w:cstheme="minorHAnsi"/>
          <w:b/>
          <w:color w:val="auto"/>
          <w:sz w:val="22"/>
          <w:szCs w:val="22"/>
        </w:rPr>
        <w:t>A.16</w:t>
      </w:r>
      <w:r w:rsidRPr="003D32DF">
        <w:rPr>
          <w:rFonts w:asciiTheme="minorHAnsi" w:hAnsiTheme="minorHAnsi" w:cstheme="minorHAnsi"/>
          <w:b/>
          <w:color w:val="auto"/>
          <w:sz w:val="22"/>
          <w:szCs w:val="22"/>
        </w:rPr>
        <w:tab/>
        <w:t>Plans for Tabulation and Publication and Project Time Schedule</w:t>
      </w:r>
      <w:bookmarkEnd w:id="27"/>
      <w:bookmarkEnd w:id="28"/>
      <w:bookmarkEnd w:id="29"/>
      <w:bookmarkEnd w:id="30"/>
    </w:p>
    <w:p w:rsidR="00FF72FC" w:rsidRPr="003D32DF" w:rsidP="00005DD9" w14:paraId="6B867EAE" w14:textId="746104F4">
      <w:pPr>
        <w:spacing w:before="120" w:after="120" w:line="240" w:lineRule="auto"/>
        <w:rPr>
          <w:rFonts w:cstheme="minorHAnsi"/>
        </w:rPr>
      </w:pPr>
      <w:r w:rsidRPr="003D32DF">
        <w:rPr>
          <w:rFonts w:cstheme="minorHAnsi"/>
        </w:rPr>
        <w:t>Information collected on the DSA and DUC may be published on the NDA-supported websites and may be used for internal monitoring purposes.  Publication of requested information is done under the authority provided by the document signatories given the specific term included in both documents.</w:t>
      </w:r>
    </w:p>
    <w:p w:rsidR="00BC2149" w:rsidRPr="003D32DF" w:rsidP="00005DD9" w14:paraId="49080A76" w14:textId="77777777">
      <w:pPr>
        <w:spacing w:before="120" w:after="120" w:line="240" w:lineRule="auto"/>
        <w:rPr>
          <w:rFonts w:cstheme="minorHAnsi"/>
        </w:rPr>
      </w:pPr>
    </w:p>
    <w:p w:rsidR="00FF72FC" w:rsidRPr="003D32DF" w:rsidP="00005DD9" w14:paraId="216672D1" w14:textId="77777777">
      <w:pPr>
        <w:spacing w:before="120" w:after="120" w:line="240" w:lineRule="auto"/>
        <w:rPr>
          <w:rFonts w:cstheme="minorHAnsi"/>
          <w:b/>
        </w:rPr>
      </w:pPr>
      <w:r w:rsidRPr="003D32DF">
        <w:rPr>
          <w:rFonts w:cstheme="minorHAnsi"/>
          <w:b/>
        </w:rPr>
        <w:t>A.17</w:t>
      </w:r>
      <w:r w:rsidRPr="003D32DF">
        <w:rPr>
          <w:rFonts w:cstheme="minorHAnsi"/>
          <w:b/>
        </w:rPr>
        <w:tab/>
        <w:t>Reason(s) Display of OMB Expiration Date is Inappropriate</w:t>
      </w:r>
    </w:p>
    <w:p w:rsidR="004716CF" w:rsidRPr="003D32DF" w:rsidP="00005DD9" w14:paraId="724F9191" w14:textId="790E66CE">
      <w:pPr>
        <w:spacing w:before="120" w:after="120" w:line="240" w:lineRule="auto"/>
        <w:rPr>
          <w:rFonts w:cstheme="minorHAnsi"/>
        </w:rPr>
      </w:pPr>
      <w:r w:rsidRPr="003D32DF">
        <w:rPr>
          <w:rFonts w:cstheme="minorHAnsi"/>
        </w:rPr>
        <w:t>The OMB Control Number (0925-0667) and Expiration Date will be displayed appropriately.</w:t>
      </w:r>
    </w:p>
    <w:p w:rsidR="00BC2149" w:rsidRPr="003D32DF" w:rsidP="00005DD9" w14:paraId="388AE41F" w14:textId="77777777">
      <w:pPr>
        <w:spacing w:before="120" w:after="120" w:line="240" w:lineRule="auto"/>
        <w:rPr>
          <w:rFonts w:cstheme="minorHAnsi"/>
        </w:rPr>
      </w:pPr>
    </w:p>
    <w:p w:rsidR="0057480E" w:rsidRPr="003D32DF" w:rsidP="00005DD9" w14:paraId="7190591D" w14:textId="77777777">
      <w:pPr>
        <w:spacing w:before="120" w:after="120" w:line="240" w:lineRule="auto"/>
        <w:rPr>
          <w:rFonts w:cstheme="minorHAnsi"/>
          <w:b/>
        </w:rPr>
      </w:pPr>
      <w:r w:rsidRPr="003D32DF">
        <w:rPr>
          <w:rFonts w:cstheme="minorHAnsi"/>
          <w:b/>
        </w:rPr>
        <w:t>A.18</w:t>
      </w:r>
      <w:r w:rsidRPr="003D32DF">
        <w:rPr>
          <w:rFonts w:cstheme="minorHAnsi"/>
          <w:b/>
        </w:rPr>
        <w:tab/>
        <w:t>Exceptions to Certification for Paperwork Reduction Act Submissions</w:t>
      </w:r>
    </w:p>
    <w:p w:rsidR="00FF72FC" w:rsidRPr="00D4393A" w:rsidP="00005DD9" w14:paraId="49B7AE09" w14:textId="5C92E93B">
      <w:pPr>
        <w:spacing w:before="120" w:after="120" w:line="240" w:lineRule="auto"/>
        <w:rPr>
          <w:rFonts w:cstheme="minorHAnsi"/>
        </w:rPr>
      </w:pPr>
      <w:r w:rsidRPr="003D32DF">
        <w:rPr>
          <w:rFonts w:cstheme="minorHAnsi"/>
        </w:rPr>
        <w:t>None</w:t>
      </w:r>
      <w:r w:rsidRPr="003D32DF" w:rsidR="008C29B2">
        <w:rPr>
          <w:rFonts w:cstheme="minorHAnsi"/>
        </w:rPr>
        <w:t>.</w:t>
      </w:r>
    </w:p>
    <w:sectPr w:rsidSect="00FE6EA5">
      <w:footerReference w:type="even" r:id="rId20"/>
      <w:footerReference w:type="default" r:id="rId21"/>
      <w:pgSz w:w="12240" w:h="15840"/>
      <w:pgMar w:top="1296" w:right="1296" w:bottom="1296"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6B47343B" w14:textId="052D57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E6D">
      <w:rPr>
        <w:rStyle w:val="PageNumber"/>
        <w:noProof/>
      </w:rPr>
      <w:t>2</w:t>
    </w:r>
    <w:r>
      <w:rPr>
        <w:rStyle w:val="PageNumber"/>
      </w:rPr>
      <w:fldChar w:fldCharType="end"/>
    </w:r>
  </w:p>
  <w:p w:rsidR="00D23882" w14:paraId="25AB9D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882" w:rsidP="004A70E1" w14:paraId="01102C7C" w14:textId="5418A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rsidR="00D23882" w:rsidP="004A70E1" w14:paraId="64873CE1"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C029F5"/>
    <w:multiLevelType w:val="hybridMultilevel"/>
    <w:tmpl w:val="AA60C664"/>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
    <w:nsid w:val="1ACE7CB9"/>
    <w:multiLevelType w:val="hybridMultilevel"/>
    <w:tmpl w:val="2272F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E017B4"/>
    <w:multiLevelType w:val="hybridMultilevel"/>
    <w:tmpl w:val="0F00C970"/>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681075"/>
    <w:multiLevelType w:val="hybridMultilevel"/>
    <w:tmpl w:val="F4AC0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825183"/>
    <w:multiLevelType w:val="multilevel"/>
    <w:tmpl w:val="0F00C970"/>
    <w:styleLink w:val="CurrentList1"/>
    <w:lvl w:ilvl="0">
      <w:start w:val="1"/>
      <w:numFmt w:val="bullet"/>
      <w:lvlText w:val=""/>
      <w:lvlJc w:val="left"/>
      <w:pPr>
        <w:tabs>
          <w:tab w:val="num" w:pos="720"/>
        </w:tabs>
        <w:ind w:left="720" w:hanging="360"/>
      </w:pPr>
      <w:rPr>
        <w:rFonts w:ascii="Wingdings" w:hAnsi="Wingdings"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2367D8B"/>
    <w:multiLevelType w:val="hybridMultilevel"/>
    <w:tmpl w:val="21AC0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B795F04"/>
    <w:multiLevelType w:val="hybridMultilevel"/>
    <w:tmpl w:val="F1D656F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8">
    <w:nsid w:val="6D1E5808"/>
    <w:multiLevelType w:val="hybridMultilevel"/>
    <w:tmpl w:val="23F0F344"/>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E97616E"/>
    <w:multiLevelType w:val="hybridMultilevel"/>
    <w:tmpl w:val="E35825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78668637">
    <w:abstractNumId w:val="16"/>
  </w:num>
  <w:num w:numId="2" w16cid:durableId="1212880425">
    <w:abstractNumId w:val="5"/>
  </w:num>
  <w:num w:numId="3" w16cid:durableId="510492097">
    <w:abstractNumId w:val="14"/>
  </w:num>
  <w:num w:numId="4" w16cid:durableId="65761998">
    <w:abstractNumId w:val="1"/>
  </w:num>
  <w:num w:numId="5" w16cid:durableId="229997783">
    <w:abstractNumId w:val="7"/>
  </w:num>
  <w:num w:numId="6" w16cid:durableId="2082098129">
    <w:abstractNumId w:val="6"/>
  </w:num>
  <w:num w:numId="7" w16cid:durableId="2035306407">
    <w:abstractNumId w:val="9"/>
  </w:num>
  <w:num w:numId="8" w16cid:durableId="106895310">
    <w:abstractNumId w:val="12"/>
  </w:num>
  <w:num w:numId="9" w16cid:durableId="241186888">
    <w:abstractNumId w:val="10"/>
  </w:num>
  <w:num w:numId="10" w16cid:durableId="397628599">
    <w:abstractNumId w:val="15"/>
  </w:num>
  <w:num w:numId="11" w16cid:durableId="1599169526">
    <w:abstractNumId w:val="4"/>
  </w:num>
  <w:num w:numId="12" w16cid:durableId="631181634">
    <w:abstractNumId w:val="0"/>
  </w:num>
  <w:num w:numId="13" w16cid:durableId="1459034197">
    <w:abstractNumId w:val="19"/>
  </w:num>
  <w:num w:numId="14" w16cid:durableId="1162740680">
    <w:abstractNumId w:val="8"/>
  </w:num>
  <w:num w:numId="15" w16cid:durableId="493768433">
    <w:abstractNumId w:val="2"/>
  </w:num>
  <w:num w:numId="16" w16cid:durableId="888223223">
    <w:abstractNumId w:val="18"/>
  </w:num>
  <w:num w:numId="17" w16cid:durableId="1158036034">
    <w:abstractNumId w:val="3"/>
  </w:num>
  <w:num w:numId="18" w16cid:durableId="1208295818">
    <w:abstractNumId w:val="13"/>
  </w:num>
  <w:num w:numId="19" w16cid:durableId="1881744768">
    <w:abstractNumId w:val="17"/>
  </w:num>
  <w:num w:numId="20" w16cid:durableId="15846041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1CF0"/>
    <w:rsid w:val="00003C28"/>
    <w:rsid w:val="00005DD9"/>
    <w:rsid w:val="00007B37"/>
    <w:rsid w:val="00014D5B"/>
    <w:rsid w:val="00021409"/>
    <w:rsid w:val="00021826"/>
    <w:rsid w:val="0002194F"/>
    <w:rsid w:val="000247EE"/>
    <w:rsid w:val="00024899"/>
    <w:rsid w:val="000327CF"/>
    <w:rsid w:val="00034DDE"/>
    <w:rsid w:val="000478F3"/>
    <w:rsid w:val="00047A23"/>
    <w:rsid w:val="00050125"/>
    <w:rsid w:val="000620F1"/>
    <w:rsid w:val="0007429E"/>
    <w:rsid w:val="00082C12"/>
    <w:rsid w:val="000841BB"/>
    <w:rsid w:val="00084F69"/>
    <w:rsid w:val="00095C92"/>
    <w:rsid w:val="00096710"/>
    <w:rsid w:val="00096F2A"/>
    <w:rsid w:val="000A139A"/>
    <w:rsid w:val="000B4550"/>
    <w:rsid w:val="000C0227"/>
    <w:rsid w:val="000C092F"/>
    <w:rsid w:val="000C29E0"/>
    <w:rsid w:val="000C426A"/>
    <w:rsid w:val="000C5B4D"/>
    <w:rsid w:val="000C6ABD"/>
    <w:rsid w:val="000D0748"/>
    <w:rsid w:val="000D0EDA"/>
    <w:rsid w:val="000D3DD1"/>
    <w:rsid w:val="000D5F15"/>
    <w:rsid w:val="000D738A"/>
    <w:rsid w:val="000E09AA"/>
    <w:rsid w:val="000E19C3"/>
    <w:rsid w:val="000E276F"/>
    <w:rsid w:val="000E33A8"/>
    <w:rsid w:val="000F1762"/>
    <w:rsid w:val="000F3043"/>
    <w:rsid w:val="000F3CB7"/>
    <w:rsid w:val="000F72C4"/>
    <w:rsid w:val="00100936"/>
    <w:rsid w:val="0010319E"/>
    <w:rsid w:val="001060AE"/>
    <w:rsid w:val="00107CD8"/>
    <w:rsid w:val="001116A3"/>
    <w:rsid w:val="00111F7C"/>
    <w:rsid w:val="00112BF4"/>
    <w:rsid w:val="00114539"/>
    <w:rsid w:val="001153CE"/>
    <w:rsid w:val="00115A32"/>
    <w:rsid w:val="001165F8"/>
    <w:rsid w:val="00116794"/>
    <w:rsid w:val="001266DA"/>
    <w:rsid w:val="00131C56"/>
    <w:rsid w:val="00132EE6"/>
    <w:rsid w:val="001368E3"/>
    <w:rsid w:val="0014181F"/>
    <w:rsid w:val="00142734"/>
    <w:rsid w:val="00143008"/>
    <w:rsid w:val="00147122"/>
    <w:rsid w:val="0015126D"/>
    <w:rsid w:val="00151AF8"/>
    <w:rsid w:val="0015302E"/>
    <w:rsid w:val="00154953"/>
    <w:rsid w:val="00156EDB"/>
    <w:rsid w:val="001658D1"/>
    <w:rsid w:val="0017072E"/>
    <w:rsid w:val="00170EC9"/>
    <w:rsid w:val="001710E1"/>
    <w:rsid w:val="0017174B"/>
    <w:rsid w:val="00172138"/>
    <w:rsid w:val="00173E2E"/>
    <w:rsid w:val="00174990"/>
    <w:rsid w:val="00174C9C"/>
    <w:rsid w:val="00181B10"/>
    <w:rsid w:val="00183442"/>
    <w:rsid w:val="00185793"/>
    <w:rsid w:val="00186B78"/>
    <w:rsid w:val="00190C83"/>
    <w:rsid w:val="0019493B"/>
    <w:rsid w:val="00195414"/>
    <w:rsid w:val="001A56C8"/>
    <w:rsid w:val="001A5B0A"/>
    <w:rsid w:val="001A6257"/>
    <w:rsid w:val="001B095E"/>
    <w:rsid w:val="001B43B4"/>
    <w:rsid w:val="001C7E74"/>
    <w:rsid w:val="001E2605"/>
    <w:rsid w:val="001E4449"/>
    <w:rsid w:val="001E5E6D"/>
    <w:rsid w:val="001E6C67"/>
    <w:rsid w:val="001E7B85"/>
    <w:rsid w:val="001E7FD5"/>
    <w:rsid w:val="001F1BCA"/>
    <w:rsid w:val="001F39B9"/>
    <w:rsid w:val="001F41C1"/>
    <w:rsid w:val="001F62B3"/>
    <w:rsid w:val="00204B78"/>
    <w:rsid w:val="002053E7"/>
    <w:rsid w:val="0021306A"/>
    <w:rsid w:val="00220A7D"/>
    <w:rsid w:val="00233519"/>
    <w:rsid w:val="002378A7"/>
    <w:rsid w:val="002410D9"/>
    <w:rsid w:val="00241389"/>
    <w:rsid w:val="00242748"/>
    <w:rsid w:val="002449B6"/>
    <w:rsid w:val="002470FE"/>
    <w:rsid w:val="0024781D"/>
    <w:rsid w:val="0024799F"/>
    <w:rsid w:val="002512CD"/>
    <w:rsid w:val="00251F61"/>
    <w:rsid w:val="00252F86"/>
    <w:rsid w:val="0025310E"/>
    <w:rsid w:val="002544B8"/>
    <w:rsid w:val="002549CD"/>
    <w:rsid w:val="00255F7C"/>
    <w:rsid w:val="00256D7D"/>
    <w:rsid w:val="00260DA6"/>
    <w:rsid w:val="00263F45"/>
    <w:rsid w:val="002670CD"/>
    <w:rsid w:val="00270531"/>
    <w:rsid w:val="00272AED"/>
    <w:rsid w:val="00274250"/>
    <w:rsid w:val="002745C9"/>
    <w:rsid w:val="002770FA"/>
    <w:rsid w:val="00286F39"/>
    <w:rsid w:val="00287DE3"/>
    <w:rsid w:val="00291B8C"/>
    <w:rsid w:val="002941C2"/>
    <w:rsid w:val="00294790"/>
    <w:rsid w:val="00296761"/>
    <w:rsid w:val="00296BEC"/>
    <w:rsid w:val="00297004"/>
    <w:rsid w:val="002A1201"/>
    <w:rsid w:val="002A4B54"/>
    <w:rsid w:val="002B1522"/>
    <w:rsid w:val="002C1A39"/>
    <w:rsid w:val="002C464F"/>
    <w:rsid w:val="002C5D4F"/>
    <w:rsid w:val="002D1DCF"/>
    <w:rsid w:val="002D4634"/>
    <w:rsid w:val="002E07A3"/>
    <w:rsid w:val="002E4452"/>
    <w:rsid w:val="002E4B9C"/>
    <w:rsid w:val="002E5047"/>
    <w:rsid w:val="002F4317"/>
    <w:rsid w:val="002F5A3E"/>
    <w:rsid w:val="002F6357"/>
    <w:rsid w:val="002F6D47"/>
    <w:rsid w:val="00301C48"/>
    <w:rsid w:val="003023CF"/>
    <w:rsid w:val="003027B3"/>
    <w:rsid w:val="00302EB0"/>
    <w:rsid w:val="003039A6"/>
    <w:rsid w:val="00305394"/>
    <w:rsid w:val="003071D1"/>
    <w:rsid w:val="00310BEC"/>
    <w:rsid w:val="00312856"/>
    <w:rsid w:val="00314262"/>
    <w:rsid w:val="003200B5"/>
    <w:rsid w:val="00322224"/>
    <w:rsid w:val="0032576B"/>
    <w:rsid w:val="003324BB"/>
    <w:rsid w:val="00333873"/>
    <w:rsid w:val="0034374B"/>
    <w:rsid w:val="003464CC"/>
    <w:rsid w:val="003529BE"/>
    <w:rsid w:val="00353C14"/>
    <w:rsid w:val="00356DC3"/>
    <w:rsid w:val="0036208F"/>
    <w:rsid w:val="00364334"/>
    <w:rsid w:val="003659B7"/>
    <w:rsid w:val="00370981"/>
    <w:rsid w:val="00371533"/>
    <w:rsid w:val="00371A41"/>
    <w:rsid w:val="0037291F"/>
    <w:rsid w:val="0037519E"/>
    <w:rsid w:val="00376FBD"/>
    <w:rsid w:val="003801AD"/>
    <w:rsid w:val="0038724A"/>
    <w:rsid w:val="00387A65"/>
    <w:rsid w:val="003A6F82"/>
    <w:rsid w:val="003C3586"/>
    <w:rsid w:val="003C6D7D"/>
    <w:rsid w:val="003D32DF"/>
    <w:rsid w:val="003E69BE"/>
    <w:rsid w:val="003F1964"/>
    <w:rsid w:val="00400A5C"/>
    <w:rsid w:val="004070E6"/>
    <w:rsid w:val="0041126A"/>
    <w:rsid w:val="00422D17"/>
    <w:rsid w:val="004313E3"/>
    <w:rsid w:val="00431F47"/>
    <w:rsid w:val="0043273A"/>
    <w:rsid w:val="00441498"/>
    <w:rsid w:val="00442AB0"/>
    <w:rsid w:val="00442B5B"/>
    <w:rsid w:val="00443CE0"/>
    <w:rsid w:val="00446680"/>
    <w:rsid w:val="00446AEE"/>
    <w:rsid w:val="00446BA7"/>
    <w:rsid w:val="0044712B"/>
    <w:rsid w:val="0044734A"/>
    <w:rsid w:val="0045293A"/>
    <w:rsid w:val="004536EB"/>
    <w:rsid w:val="00454BEA"/>
    <w:rsid w:val="0045633B"/>
    <w:rsid w:val="00457FB4"/>
    <w:rsid w:val="004710D7"/>
    <w:rsid w:val="004716CF"/>
    <w:rsid w:val="0047297C"/>
    <w:rsid w:val="00472E9F"/>
    <w:rsid w:val="00474550"/>
    <w:rsid w:val="00475E6E"/>
    <w:rsid w:val="00475F4C"/>
    <w:rsid w:val="00482762"/>
    <w:rsid w:val="00484EF7"/>
    <w:rsid w:val="0048601D"/>
    <w:rsid w:val="00487BE1"/>
    <w:rsid w:val="00492EBF"/>
    <w:rsid w:val="00494310"/>
    <w:rsid w:val="00496A54"/>
    <w:rsid w:val="00496B19"/>
    <w:rsid w:val="00497B81"/>
    <w:rsid w:val="004A0563"/>
    <w:rsid w:val="004A1D21"/>
    <w:rsid w:val="004A5D63"/>
    <w:rsid w:val="004A70E1"/>
    <w:rsid w:val="004B086A"/>
    <w:rsid w:val="004B21BA"/>
    <w:rsid w:val="004B2AC1"/>
    <w:rsid w:val="004B5092"/>
    <w:rsid w:val="004B51C6"/>
    <w:rsid w:val="004C3583"/>
    <w:rsid w:val="004C4B9F"/>
    <w:rsid w:val="004C58A0"/>
    <w:rsid w:val="004D083E"/>
    <w:rsid w:val="004D3AAE"/>
    <w:rsid w:val="004D67EF"/>
    <w:rsid w:val="004E09DF"/>
    <w:rsid w:val="004E0F5D"/>
    <w:rsid w:val="004E1362"/>
    <w:rsid w:val="004E5D29"/>
    <w:rsid w:val="004F5CB1"/>
    <w:rsid w:val="005001B3"/>
    <w:rsid w:val="005016A9"/>
    <w:rsid w:val="00504DA5"/>
    <w:rsid w:val="00507EA4"/>
    <w:rsid w:val="005127E6"/>
    <w:rsid w:val="00514AB9"/>
    <w:rsid w:val="005150E7"/>
    <w:rsid w:val="00515555"/>
    <w:rsid w:val="00517425"/>
    <w:rsid w:val="005205EC"/>
    <w:rsid w:val="005206FC"/>
    <w:rsid w:val="005236E9"/>
    <w:rsid w:val="00535D3B"/>
    <w:rsid w:val="00536C12"/>
    <w:rsid w:val="00552C3C"/>
    <w:rsid w:val="005568E0"/>
    <w:rsid w:val="005608D9"/>
    <w:rsid w:val="005647AC"/>
    <w:rsid w:val="0057480E"/>
    <w:rsid w:val="00575234"/>
    <w:rsid w:val="0057717B"/>
    <w:rsid w:val="005801D7"/>
    <w:rsid w:val="00580332"/>
    <w:rsid w:val="005A5B09"/>
    <w:rsid w:val="005A6DB3"/>
    <w:rsid w:val="005A70AE"/>
    <w:rsid w:val="005B2C69"/>
    <w:rsid w:val="005B4BEE"/>
    <w:rsid w:val="005B65C8"/>
    <w:rsid w:val="005C4013"/>
    <w:rsid w:val="005D1D1C"/>
    <w:rsid w:val="005D5CEA"/>
    <w:rsid w:val="005D622A"/>
    <w:rsid w:val="005E1292"/>
    <w:rsid w:val="005E1A34"/>
    <w:rsid w:val="005E4820"/>
    <w:rsid w:val="005F4A54"/>
    <w:rsid w:val="005F5460"/>
    <w:rsid w:val="0060262D"/>
    <w:rsid w:val="0061075D"/>
    <w:rsid w:val="00617DD8"/>
    <w:rsid w:val="0062388A"/>
    <w:rsid w:val="0063179A"/>
    <w:rsid w:val="00632404"/>
    <w:rsid w:val="00632529"/>
    <w:rsid w:val="00632B7F"/>
    <w:rsid w:val="006334AD"/>
    <w:rsid w:val="00641209"/>
    <w:rsid w:val="00641821"/>
    <w:rsid w:val="00644341"/>
    <w:rsid w:val="00646C29"/>
    <w:rsid w:val="00647793"/>
    <w:rsid w:val="00652CE2"/>
    <w:rsid w:val="00654028"/>
    <w:rsid w:val="00654588"/>
    <w:rsid w:val="00660113"/>
    <w:rsid w:val="00661B44"/>
    <w:rsid w:val="00670266"/>
    <w:rsid w:val="006742F7"/>
    <w:rsid w:val="006808FB"/>
    <w:rsid w:val="00681F63"/>
    <w:rsid w:val="00684184"/>
    <w:rsid w:val="00685091"/>
    <w:rsid w:val="00685B30"/>
    <w:rsid w:val="006935A6"/>
    <w:rsid w:val="006935D4"/>
    <w:rsid w:val="0069360C"/>
    <w:rsid w:val="00694FE5"/>
    <w:rsid w:val="006A0296"/>
    <w:rsid w:val="006A2E86"/>
    <w:rsid w:val="006A45F9"/>
    <w:rsid w:val="006B11DD"/>
    <w:rsid w:val="006B33AD"/>
    <w:rsid w:val="006B4E33"/>
    <w:rsid w:val="006B624F"/>
    <w:rsid w:val="006C045E"/>
    <w:rsid w:val="006C2FF2"/>
    <w:rsid w:val="006C4A7B"/>
    <w:rsid w:val="006C518E"/>
    <w:rsid w:val="006D45B8"/>
    <w:rsid w:val="006E0C33"/>
    <w:rsid w:val="006E2310"/>
    <w:rsid w:val="006E2EB9"/>
    <w:rsid w:val="006E52F9"/>
    <w:rsid w:val="006E6BFE"/>
    <w:rsid w:val="006F4008"/>
    <w:rsid w:val="006F41B0"/>
    <w:rsid w:val="006F7277"/>
    <w:rsid w:val="00703A8B"/>
    <w:rsid w:val="007063F8"/>
    <w:rsid w:val="00713A82"/>
    <w:rsid w:val="00714067"/>
    <w:rsid w:val="00714BFA"/>
    <w:rsid w:val="00716CEA"/>
    <w:rsid w:val="00717158"/>
    <w:rsid w:val="00717371"/>
    <w:rsid w:val="00720B80"/>
    <w:rsid w:val="00722384"/>
    <w:rsid w:val="00725C7E"/>
    <w:rsid w:val="00725D3D"/>
    <w:rsid w:val="00727217"/>
    <w:rsid w:val="00734C02"/>
    <w:rsid w:val="00740F1E"/>
    <w:rsid w:val="00741175"/>
    <w:rsid w:val="0074142E"/>
    <w:rsid w:val="0074711F"/>
    <w:rsid w:val="00751822"/>
    <w:rsid w:val="0075280C"/>
    <w:rsid w:val="007539AF"/>
    <w:rsid w:val="00756DDA"/>
    <w:rsid w:val="007605F7"/>
    <w:rsid w:val="00764C1A"/>
    <w:rsid w:val="00765344"/>
    <w:rsid w:val="00767C53"/>
    <w:rsid w:val="00770FF4"/>
    <w:rsid w:val="007826F5"/>
    <w:rsid w:val="00786D46"/>
    <w:rsid w:val="0079010E"/>
    <w:rsid w:val="0079624E"/>
    <w:rsid w:val="007A0C70"/>
    <w:rsid w:val="007A0CA3"/>
    <w:rsid w:val="007A15E3"/>
    <w:rsid w:val="007A241C"/>
    <w:rsid w:val="007B1CA0"/>
    <w:rsid w:val="007B5332"/>
    <w:rsid w:val="007B5B79"/>
    <w:rsid w:val="007B5DC0"/>
    <w:rsid w:val="007B7290"/>
    <w:rsid w:val="007B7E1F"/>
    <w:rsid w:val="007C0372"/>
    <w:rsid w:val="007C52F6"/>
    <w:rsid w:val="007C5B9C"/>
    <w:rsid w:val="007C6720"/>
    <w:rsid w:val="007D0DC3"/>
    <w:rsid w:val="007D11BF"/>
    <w:rsid w:val="007D258E"/>
    <w:rsid w:val="007D3586"/>
    <w:rsid w:val="007D402F"/>
    <w:rsid w:val="007D461A"/>
    <w:rsid w:val="007D6109"/>
    <w:rsid w:val="007D7849"/>
    <w:rsid w:val="007E08B0"/>
    <w:rsid w:val="007E1143"/>
    <w:rsid w:val="007E2D5B"/>
    <w:rsid w:val="007E6E83"/>
    <w:rsid w:val="007F5E55"/>
    <w:rsid w:val="007F75B9"/>
    <w:rsid w:val="007F7C5A"/>
    <w:rsid w:val="0080179C"/>
    <w:rsid w:val="00804611"/>
    <w:rsid w:val="0081336E"/>
    <w:rsid w:val="00813896"/>
    <w:rsid w:val="00815083"/>
    <w:rsid w:val="0081573A"/>
    <w:rsid w:val="00815FE2"/>
    <w:rsid w:val="008160C1"/>
    <w:rsid w:val="0082071D"/>
    <w:rsid w:val="0082318F"/>
    <w:rsid w:val="0082453D"/>
    <w:rsid w:val="00834BB5"/>
    <w:rsid w:val="008359FA"/>
    <w:rsid w:val="008370AB"/>
    <w:rsid w:val="00841FC6"/>
    <w:rsid w:val="008458A0"/>
    <w:rsid w:val="00845DEE"/>
    <w:rsid w:val="008529C6"/>
    <w:rsid w:val="00854C4D"/>
    <w:rsid w:val="0086248B"/>
    <w:rsid w:val="008628E9"/>
    <w:rsid w:val="0086566E"/>
    <w:rsid w:val="00870BE3"/>
    <w:rsid w:val="00872460"/>
    <w:rsid w:val="008726F1"/>
    <w:rsid w:val="00875DF8"/>
    <w:rsid w:val="00877F34"/>
    <w:rsid w:val="008820BE"/>
    <w:rsid w:val="008907E2"/>
    <w:rsid w:val="0089457D"/>
    <w:rsid w:val="00894FF4"/>
    <w:rsid w:val="00895365"/>
    <w:rsid w:val="008A6919"/>
    <w:rsid w:val="008B1734"/>
    <w:rsid w:val="008C29B2"/>
    <w:rsid w:val="008C4D03"/>
    <w:rsid w:val="008C6730"/>
    <w:rsid w:val="008C7E11"/>
    <w:rsid w:val="008C7E24"/>
    <w:rsid w:val="008D4535"/>
    <w:rsid w:val="008E5695"/>
    <w:rsid w:val="008E5C57"/>
    <w:rsid w:val="008E6673"/>
    <w:rsid w:val="008E6A58"/>
    <w:rsid w:val="008F3BD3"/>
    <w:rsid w:val="008F4C77"/>
    <w:rsid w:val="008F52B1"/>
    <w:rsid w:val="008F7CAE"/>
    <w:rsid w:val="00901AD2"/>
    <w:rsid w:val="009022CF"/>
    <w:rsid w:val="009025B6"/>
    <w:rsid w:val="00914525"/>
    <w:rsid w:val="009215CA"/>
    <w:rsid w:val="00921963"/>
    <w:rsid w:val="009235FF"/>
    <w:rsid w:val="00926073"/>
    <w:rsid w:val="00933DA8"/>
    <w:rsid w:val="0093464E"/>
    <w:rsid w:val="00935CA5"/>
    <w:rsid w:val="009378C1"/>
    <w:rsid w:val="00941822"/>
    <w:rsid w:val="00943020"/>
    <w:rsid w:val="009432CD"/>
    <w:rsid w:val="00945BCD"/>
    <w:rsid w:val="009513A6"/>
    <w:rsid w:val="00951E7E"/>
    <w:rsid w:val="009535A1"/>
    <w:rsid w:val="009569AA"/>
    <w:rsid w:val="00956C92"/>
    <w:rsid w:val="009641F9"/>
    <w:rsid w:val="009654C5"/>
    <w:rsid w:val="009727E7"/>
    <w:rsid w:val="009747F4"/>
    <w:rsid w:val="00974F68"/>
    <w:rsid w:val="00976490"/>
    <w:rsid w:val="00976FAB"/>
    <w:rsid w:val="0097710B"/>
    <w:rsid w:val="00980D7E"/>
    <w:rsid w:val="0098141C"/>
    <w:rsid w:val="00981488"/>
    <w:rsid w:val="00982332"/>
    <w:rsid w:val="00984B12"/>
    <w:rsid w:val="00985371"/>
    <w:rsid w:val="00986FBC"/>
    <w:rsid w:val="009903C8"/>
    <w:rsid w:val="00994927"/>
    <w:rsid w:val="00995498"/>
    <w:rsid w:val="00997556"/>
    <w:rsid w:val="009A19FC"/>
    <w:rsid w:val="009A33EB"/>
    <w:rsid w:val="009A38E7"/>
    <w:rsid w:val="009C03F4"/>
    <w:rsid w:val="009C3E9D"/>
    <w:rsid w:val="009C6162"/>
    <w:rsid w:val="009D08E8"/>
    <w:rsid w:val="009E1D23"/>
    <w:rsid w:val="009E29D4"/>
    <w:rsid w:val="009E40F8"/>
    <w:rsid w:val="009E62D4"/>
    <w:rsid w:val="009E63DE"/>
    <w:rsid w:val="009E7E94"/>
    <w:rsid w:val="009F0FAA"/>
    <w:rsid w:val="009F3B53"/>
    <w:rsid w:val="009F4094"/>
    <w:rsid w:val="009F76EF"/>
    <w:rsid w:val="00A00CF8"/>
    <w:rsid w:val="00A03689"/>
    <w:rsid w:val="00A05A5B"/>
    <w:rsid w:val="00A078EC"/>
    <w:rsid w:val="00A07B19"/>
    <w:rsid w:val="00A13968"/>
    <w:rsid w:val="00A2536D"/>
    <w:rsid w:val="00A46861"/>
    <w:rsid w:val="00A469B0"/>
    <w:rsid w:val="00A529B5"/>
    <w:rsid w:val="00A5542E"/>
    <w:rsid w:val="00A56B84"/>
    <w:rsid w:val="00A571C6"/>
    <w:rsid w:val="00A57948"/>
    <w:rsid w:val="00A57C78"/>
    <w:rsid w:val="00A6350F"/>
    <w:rsid w:val="00A638F2"/>
    <w:rsid w:val="00A65F58"/>
    <w:rsid w:val="00A70BB8"/>
    <w:rsid w:val="00A73E5D"/>
    <w:rsid w:val="00A74472"/>
    <w:rsid w:val="00A766A4"/>
    <w:rsid w:val="00A814B1"/>
    <w:rsid w:val="00A821D9"/>
    <w:rsid w:val="00A872EB"/>
    <w:rsid w:val="00A93409"/>
    <w:rsid w:val="00A94FEF"/>
    <w:rsid w:val="00A9533A"/>
    <w:rsid w:val="00A95AE8"/>
    <w:rsid w:val="00A96033"/>
    <w:rsid w:val="00A967CE"/>
    <w:rsid w:val="00A96E76"/>
    <w:rsid w:val="00AA23B0"/>
    <w:rsid w:val="00AA36C7"/>
    <w:rsid w:val="00AA6062"/>
    <w:rsid w:val="00AA7272"/>
    <w:rsid w:val="00AB0E84"/>
    <w:rsid w:val="00AB21C1"/>
    <w:rsid w:val="00AB247E"/>
    <w:rsid w:val="00AB3CAB"/>
    <w:rsid w:val="00AB5614"/>
    <w:rsid w:val="00AB5876"/>
    <w:rsid w:val="00AB736C"/>
    <w:rsid w:val="00AB7797"/>
    <w:rsid w:val="00AC6A68"/>
    <w:rsid w:val="00AC74D9"/>
    <w:rsid w:val="00AE2520"/>
    <w:rsid w:val="00AF13C9"/>
    <w:rsid w:val="00AF5FA4"/>
    <w:rsid w:val="00B00EB3"/>
    <w:rsid w:val="00B029A1"/>
    <w:rsid w:val="00B03736"/>
    <w:rsid w:val="00B05FF1"/>
    <w:rsid w:val="00B1756B"/>
    <w:rsid w:val="00B21FCC"/>
    <w:rsid w:val="00B26A7C"/>
    <w:rsid w:val="00B2767E"/>
    <w:rsid w:val="00B31022"/>
    <w:rsid w:val="00B37377"/>
    <w:rsid w:val="00B37E36"/>
    <w:rsid w:val="00B44403"/>
    <w:rsid w:val="00B44752"/>
    <w:rsid w:val="00B467C0"/>
    <w:rsid w:val="00B50D3C"/>
    <w:rsid w:val="00B515FE"/>
    <w:rsid w:val="00B56E0A"/>
    <w:rsid w:val="00B570A2"/>
    <w:rsid w:val="00B579DC"/>
    <w:rsid w:val="00B6149D"/>
    <w:rsid w:val="00B64AAC"/>
    <w:rsid w:val="00B65BAA"/>
    <w:rsid w:val="00B66FB7"/>
    <w:rsid w:val="00B70C76"/>
    <w:rsid w:val="00B75172"/>
    <w:rsid w:val="00B752CA"/>
    <w:rsid w:val="00B8073D"/>
    <w:rsid w:val="00B81B25"/>
    <w:rsid w:val="00B85B1A"/>
    <w:rsid w:val="00B85C7E"/>
    <w:rsid w:val="00B93C77"/>
    <w:rsid w:val="00B94197"/>
    <w:rsid w:val="00B94497"/>
    <w:rsid w:val="00B94987"/>
    <w:rsid w:val="00B94D1B"/>
    <w:rsid w:val="00B96691"/>
    <w:rsid w:val="00BA03A3"/>
    <w:rsid w:val="00BA2D38"/>
    <w:rsid w:val="00BA2E65"/>
    <w:rsid w:val="00BA32E9"/>
    <w:rsid w:val="00BA4898"/>
    <w:rsid w:val="00BA4AE3"/>
    <w:rsid w:val="00BA4E21"/>
    <w:rsid w:val="00BB58A0"/>
    <w:rsid w:val="00BB7BD3"/>
    <w:rsid w:val="00BC0F6B"/>
    <w:rsid w:val="00BC2149"/>
    <w:rsid w:val="00BC3BAA"/>
    <w:rsid w:val="00BC5220"/>
    <w:rsid w:val="00BD10F5"/>
    <w:rsid w:val="00BD1E1F"/>
    <w:rsid w:val="00BD37FA"/>
    <w:rsid w:val="00BD6BBF"/>
    <w:rsid w:val="00BE0091"/>
    <w:rsid w:val="00BE1B2C"/>
    <w:rsid w:val="00BE4154"/>
    <w:rsid w:val="00BE5EFA"/>
    <w:rsid w:val="00BE76A7"/>
    <w:rsid w:val="00BF491C"/>
    <w:rsid w:val="00BF73F6"/>
    <w:rsid w:val="00C0099D"/>
    <w:rsid w:val="00C02C97"/>
    <w:rsid w:val="00C03E91"/>
    <w:rsid w:val="00C043B3"/>
    <w:rsid w:val="00C0514D"/>
    <w:rsid w:val="00C10877"/>
    <w:rsid w:val="00C16E3E"/>
    <w:rsid w:val="00C17E3F"/>
    <w:rsid w:val="00C206C9"/>
    <w:rsid w:val="00C215B1"/>
    <w:rsid w:val="00C21CCC"/>
    <w:rsid w:val="00C22C2B"/>
    <w:rsid w:val="00C24877"/>
    <w:rsid w:val="00C249B1"/>
    <w:rsid w:val="00C24C10"/>
    <w:rsid w:val="00C3105D"/>
    <w:rsid w:val="00C315B4"/>
    <w:rsid w:val="00C320B3"/>
    <w:rsid w:val="00C33104"/>
    <w:rsid w:val="00C33949"/>
    <w:rsid w:val="00C357F5"/>
    <w:rsid w:val="00C40F61"/>
    <w:rsid w:val="00C4161B"/>
    <w:rsid w:val="00C4582D"/>
    <w:rsid w:val="00C463A5"/>
    <w:rsid w:val="00C52615"/>
    <w:rsid w:val="00C52A09"/>
    <w:rsid w:val="00C52DDD"/>
    <w:rsid w:val="00C54FFE"/>
    <w:rsid w:val="00C5612B"/>
    <w:rsid w:val="00C61008"/>
    <w:rsid w:val="00C61EDF"/>
    <w:rsid w:val="00C64885"/>
    <w:rsid w:val="00C64A3B"/>
    <w:rsid w:val="00C65C3F"/>
    <w:rsid w:val="00C724B2"/>
    <w:rsid w:val="00C737BF"/>
    <w:rsid w:val="00C76797"/>
    <w:rsid w:val="00C76FE2"/>
    <w:rsid w:val="00C833D9"/>
    <w:rsid w:val="00C8714B"/>
    <w:rsid w:val="00C9148E"/>
    <w:rsid w:val="00C9411D"/>
    <w:rsid w:val="00C9531D"/>
    <w:rsid w:val="00CA02DA"/>
    <w:rsid w:val="00CA2DA6"/>
    <w:rsid w:val="00CA3BDB"/>
    <w:rsid w:val="00CA55D5"/>
    <w:rsid w:val="00CB34D3"/>
    <w:rsid w:val="00CB6C00"/>
    <w:rsid w:val="00CC7BDC"/>
    <w:rsid w:val="00CD05F9"/>
    <w:rsid w:val="00CD16DE"/>
    <w:rsid w:val="00CD2654"/>
    <w:rsid w:val="00CD4103"/>
    <w:rsid w:val="00CD5BAA"/>
    <w:rsid w:val="00CE6281"/>
    <w:rsid w:val="00CE7831"/>
    <w:rsid w:val="00CF0D39"/>
    <w:rsid w:val="00CF36BD"/>
    <w:rsid w:val="00D034BC"/>
    <w:rsid w:val="00D04385"/>
    <w:rsid w:val="00D06A2E"/>
    <w:rsid w:val="00D12FF6"/>
    <w:rsid w:val="00D1465E"/>
    <w:rsid w:val="00D15056"/>
    <w:rsid w:val="00D1664E"/>
    <w:rsid w:val="00D21E18"/>
    <w:rsid w:val="00D22F9C"/>
    <w:rsid w:val="00D23882"/>
    <w:rsid w:val="00D267C1"/>
    <w:rsid w:val="00D27336"/>
    <w:rsid w:val="00D274BF"/>
    <w:rsid w:val="00D323D3"/>
    <w:rsid w:val="00D32928"/>
    <w:rsid w:val="00D329AF"/>
    <w:rsid w:val="00D32B55"/>
    <w:rsid w:val="00D33780"/>
    <w:rsid w:val="00D34048"/>
    <w:rsid w:val="00D34BE5"/>
    <w:rsid w:val="00D4393A"/>
    <w:rsid w:val="00D4664F"/>
    <w:rsid w:val="00D539E6"/>
    <w:rsid w:val="00D55EB7"/>
    <w:rsid w:val="00D5623B"/>
    <w:rsid w:val="00D57AE5"/>
    <w:rsid w:val="00D61E1B"/>
    <w:rsid w:val="00D63BBE"/>
    <w:rsid w:val="00D643C7"/>
    <w:rsid w:val="00D6733A"/>
    <w:rsid w:val="00D67DC4"/>
    <w:rsid w:val="00D7280E"/>
    <w:rsid w:val="00D7309A"/>
    <w:rsid w:val="00D76520"/>
    <w:rsid w:val="00D778AC"/>
    <w:rsid w:val="00D8209F"/>
    <w:rsid w:val="00D9039F"/>
    <w:rsid w:val="00D91324"/>
    <w:rsid w:val="00DA3D37"/>
    <w:rsid w:val="00DA7648"/>
    <w:rsid w:val="00DB087E"/>
    <w:rsid w:val="00DB1217"/>
    <w:rsid w:val="00DB29A9"/>
    <w:rsid w:val="00DB3676"/>
    <w:rsid w:val="00DB4302"/>
    <w:rsid w:val="00DB66AF"/>
    <w:rsid w:val="00DB7400"/>
    <w:rsid w:val="00DC22FA"/>
    <w:rsid w:val="00DC36B6"/>
    <w:rsid w:val="00DD323A"/>
    <w:rsid w:val="00DD3A00"/>
    <w:rsid w:val="00DD602A"/>
    <w:rsid w:val="00DE15D4"/>
    <w:rsid w:val="00DE170F"/>
    <w:rsid w:val="00DE2E2D"/>
    <w:rsid w:val="00DE5570"/>
    <w:rsid w:val="00DE67BB"/>
    <w:rsid w:val="00DF0156"/>
    <w:rsid w:val="00DF1F8C"/>
    <w:rsid w:val="00DF26C3"/>
    <w:rsid w:val="00DF3269"/>
    <w:rsid w:val="00DF741F"/>
    <w:rsid w:val="00DF7E35"/>
    <w:rsid w:val="00E02B11"/>
    <w:rsid w:val="00E03967"/>
    <w:rsid w:val="00E04607"/>
    <w:rsid w:val="00E10288"/>
    <w:rsid w:val="00E12F1B"/>
    <w:rsid w:val="00E13DBD"/>
    <w:rsid w:val="00E15AAF"/>
    <w:rsid w:val="00E16437"/>
    <w:rsid w:val="00E16AE0"/>
    <w:rsid w:val="00E17046"/>
    <w:rsid w:val="00E26F82"/>
    <w:rsid w:val="00E346CF"/>
    <w:rsid w:val="00E35DD1"/>
    <w:rsid w:val="00E50541"/>
    <w:rsid w:val="00E520AF"/>
    <w:rsid w:val="00E53B7A"/>
    <w:rsid w:val="00E548C9"/>
    <w:rsid w:val="00E54C5C"/>
    <w:rsid w:val="00E55A93"/>
    <w:rsid w:val="00E56374"/>
    <w:rsid w:val="00E5747F"/>
    <w:rsid w:val="00E61573"/>
    <w:rsid w:val="00E61CA8"/>
    <w:rsid w:val="00E662B4"/>
    <w:rsid w:val="00E67B10"/>
    <w:rsid w:val="00E72390"/>
    <w:rsid w:val="00E74372"/>
    <w:rsid w:val="00E754C4"/>
    <w:rsid w:val="00E80301"/>
    <w:rsid w:val="00E83859"/>
    <w:rsid w:val="00E86FBC"/>
    <w:rsid w:val="00E941FD"/>
    <w:rsid w:val="00E94351"/>
    <w:rsid w:val="00E9498D"/>
    <w:rsid w:val="00E95727"/>
    <w:rsid w:val="00EA37D2"/>
    <w:rsid w:val="00EB1764"/>
    <w:rsid w:val="00EB2DC0"/>
    <w:rsid w:val="00EB302B"/>
    <w:rsid w:val="00EB7E3E"/>
    <w:rsid w:val="00EC0166"/>
    <w:rsid w:val="00EC178C"/>
    <w:rsid w:val="00EC2684"/>
    <w:rsid w:val="00EC4EC1"/>
    <w:rsid w:val="00EC7693"/>
    <w:rsid w:val="00ED3FE3"/>
    <w:rsid w:val="00ED506C"/>
    <w:rsid w:val="00ED7469"/>
    <w:rsid w:val="00EE245F"/>
    <w:rsid w:val="00EE5A75"/>
    <w:rsid w:val="00EF1253"/>
    <w:rsid w:val="00EF46ED"/>
    <w:rsid w:val="00EF55AA"/>
    <w:rsid w:val="00F064B6"/>
    <w:rsid w:val="00F13700"/>
    <w:rsid w:val="00F14522"/>
    <w:rsid w:val="00F16036"/>
    <w:rsid w:val="00F17263"/>
    <w:rsid w:val="00F23D63"/>
    <w:rsid w:val="00F24867"/>
    <w:rsid w:val="00F27BC9"/>
    <w:rsid w:val="00F27C30"/>
    <w:rsid w:val="00F27D84"/>
    <w:rsid w:val="00F32660"/>
    <w:rsid w:val="00F33485"/>
    <w:rsid w:val="00F350AC"/>
    <w:rsid w:val="00F50468"/>
    <w:rsid w:val="00F55356"/>
    <w:rsid w:val="00F6592C"/>
    <w:rsid w:val="00F66642"/>
    <w:rsid w:val="00F67622"/>
    <w:rsid w:val="00F73B6F"/>
    <w:rsid w:val="00F75C83"/>
    <w:rsid w:val="00F76DA1"/>
    <w:rsid w:val="00F77880"/>
    <w:rsid w:val="00F84EBE"/>
    <w:rsid w:val="00F91155"/>
    <w:rsid w:val="00F96140"/>
    <w:rsid w:val="00FA0E87"/>
    <w:rsid w:val="00FA2E1F"/>
    <w:rsid w:val="00FA79C9"/>
    <w:rsid w:val="00FA7B7A"/>
    <w:rsid w:val="00FB346E"/>
    <w:rsid w:val="00FB42DA"/>
    <w:rsid w:val="00FB48D2"/>
    <w:rsid w:val="00FB5517"/>
    <w:rsid w:val="00FC4F92"/>
    <w:rsid w:val="00FD3D12"/>
    <w:rsid w:val="00FD4416"/>
    <w:rsid w:val="00FD5235"/>
    <w:rsid w:val="00FD74C9"/>
    <w:rsid w:val="00FE3E6A"/>
    <w:rsid w:val="00FE6EA5"/>
    <w:rsid w:val="00FE741C"/>
    <w:rsid w:val="00FF30CE"/>
    <w:rsid w:val="00FF5A08"/>
    <w:rsid w:val="00FF72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Revision">
    <w:name w:val="Revision"/>
    <w:hidden/>
    <w:uiPriority w:val="99"/>
    <w:semiHidden/>
    <w:rsid w:val="008D4535"/>
    <w:pPr>
      <w:spacing w:after="0" w:line="240" w:lineRule="auto"/>
    </w:pPr>
  </w:style>
  <w:style w:type="character" w:customStyle="1" w:styleId="ui-provider">
    <w:name w:val="ui-provider"/>
    <w:basedOn w:val="DefaultParagraphFont"/>
    <w:rsid w:val="009C03F4"/>
  </w:style>
  <w:style w:type="numbering" w:customStyle="1" w:styleId="CurrentList1">
    <w:name w:val="Current List1"/>
    <w:uiPriority w:val="99"/>
    <w:rsid w:val="00F350A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imh.nih.gov/research-priorities/rdoc/index.shtml" TargetMode="External" /><Relationship Id="rId11" Type="http://schemas.openxmlformats.org/officeDocument/2006/relationships/hyperlink" Target="https://abcdstudy.org" TargetMode="External" /><Relationship Id="rId12" Type="http://schemas.openxmlformats.org/officeDocument/2006/relationships/hyperlink" Target="https://www.humanconnectome.org" TargetMode="External" /><Relationship Id="rId13" Type="http://schemas.openxmlformats.org/officeDocument/2006/relationships/hyperlink" Target="https://www.niaaa.nih.gov/research/niaaa-data-archive" TargetMode="External" /><Relationship Id="rId14" Type="http://schemas.openxmlformats.org/officeDocument/2006/relationships/hyperlink" Target="https://heal.nih.gov/" TargetMode="External" /><Relationship Id="rId15" Type="http://schemas.openxmlformats.org/officeDocument/2006/relationships/hyperlink" Target="http://grants.nih.gov/grants/gwas/index.htm" TargetMode="External" /><Relationship Id="rId16" Type="http://schemas.openxmlformats.org/officeDocument/2006/relationships/hyperlink" Target="https://oma.od.nih.gov/forms/Privacy%20Documents/PAfiles/0200.htm" TargetMode="External" /><Relationship Id="rId17" Type="http://schemas.openxmlformats.org/officeDocument/2006/relationships/hyperlink" Target="https://oma.od.nih.gov/forms/Privacy%20Documents/PAfiles/0156.htm" TargetMode="External" /><Relationship Id="rId18" Type="http://schemas.openxmlformats.org/officeDocument/2006/relationships/hyperlink" Target="https://www.bls.gov/oes/current/oes191042.htm" TargetMode="External" /><Relationship Id="rId19" Type="http://schemas.openxmlformats.org/officeDocument/2006/relationships/hyperlink" Target="https://www.opm.gov/policy-data-oversight/pay-leave/salaries-wages/salary-tables/26Tables/html/DCB.aspx"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grants.nih.gov/grants/guide/notice-files/NOT-MH-14-015.html" TargetMode="External" /><Relationship Id="rId7" Type="http://schemas.openxmlformats.org/officeDocument/2006/relationships/hyperlink" Target="https://grants.nih.gov/grants/guide/notice-files/NOT-MH-15-012.html" TargetMode="External" /><Relationship Id="rId8" Type="http://schemas.openxmlformats.org/officeDocument/2006/relationships/hyperlink" Target="https://data-archive.nimh.nih.gov/ndct" TargetMode="External" /><Relationship Id="rId9" Type="http://schemas.openxmlformats.org/officeDocument/2006/relationships/hyperlink" Target="http://www.pediatricmri.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E4F460-EBB3-49A8-99F0-87B3E0606FE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5144</Words>
  <Characters>29326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2026-06-03T13:31:00Z</dcterms:created>
  <dcterms:modified xsi:type="dcterms:W3CDTF">2026-06-03T13:31:00Z</dcterms:modified>
</cp:coreProperties>
</file>