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744F" w:rsidRPr="000833CE" w:rsidP="008C744F" w14:paraId="1D02EF0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8C744F" w:rsidRPr="000833CE" w:rsidP="008C744F" w14:paraId="1498A0BC"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396FFB" w:rsidP="008C744F" w14:paraId="2039B35B" w14:textId="6EC36705">
      <w:pPr>
        <w:autoSpaceDE w:val="0"/>
        <w:autoSpaceDN w:val="0"/>
        <w:adjustRightInd w:val="0"/>
        <w:spacing w:after="0" w:line="240" w:lineRule="auto"/>
        <w:jc w:val="center"/>
        <w:rPr>
          <w:rFonts w:ascii="Times New Roman" w:eastAsia="Times New Roman" w:hAnsi="Times New Roman" w:cs="Times New Roman"/>
          <w:sz w:val="24"/>
          <w:szCs w:val="24"/>
        </w:rPr>
      </w:pPr>
      <w:r w:rsidRPr="7D29DF02">
        <w:rPr>
          <w:rFonts w:ascii="Times New Roman" w:eastAsia="Times New Roman" w:hAnsi="Times New Roman" w:cs="Times New Roman"/>
          <w:sz w:val="24"/>
          <w:szCs w:val="24"/>
        </w:rPr>
        <w:t>Parts Tariff Offset</w:t>
      </w:r>
      <w:r>
        <w:rPr>
          <w:rFonts w:ascii="Times New Roman" w:eastAsia="Times New Roman" w:hAnsi="Times New Roman" w:cs="Times New Roman"/>
          <w:sz w:val="24"/>
          <w:szCs w:val="24"/>
        </w:rPr>
        <w:t xml:space="preserve"> Program for</w:t>
      </w:r>
      <w:r w:rsidR="00AE6E7D">
        <w:rPr>
          <w:rFonts w:ascii="Times New Roman" w:eastAsia="Times New Roman" w:hAnsi="Times New Roman" w:cs="Times New Roman"/>
          <w:sz w:val="24"/>
          <w:szCs w:val="24"/>
        </w:rPr>
        <w:t xml:space="preserve"> </w:t>
      </w:r>
      <w:r w:rsidR="0078612A">
        <w:rPr>
          <w:rFonts w:ascii="Times New Roman" w:eastAsia="Times New Roman" w:hAnsi="Times New Roman" w:cs="Times New Roman"/>
          <w:sz w:val="24"/>
          <w:szCs w:val="24"/>
        </w:rPr>
        <w:t>Automobiles, MHDVs, and Engines</w:t>
      </w:r>
    </w:p>
    <w:p w:rsidR="008C744F" w:rsidRPr="000833CE" w:rsidP="008C744F" w14:paraId="34B057CE" w14:textId="0FBEA7D8">
      <w:pPr>
        <w:autoSpaceDE w:val="0"/>
        <w:autoSpaceDN w:val="0"/>
        <w:adjustRightInd w:val="0"/>
        <w:spacing w:after="0" w:line="240" w:lineRule="auto"/>
        <w:jc w:val="center"/>
        <w:rPr>
          <w:rFonts w:ascii="Times New Roman" w:eastAsia="Times New Roman" w:hAnsi="Times New Roman" w:cs="Times New Roman"/>
          <w:sz w:val="24"/>
          <w:szCs w:val="24"/>
        </w:rPr>
      </w:pPr>
      <w:r w:rsidRPr="000833CE">
        <w:rPr>
          <w:rFonts w:ascii="Times New Roman" w:eastAsia="Times New Roman" w:hAnsi="Times New Roman" w:cs="Times New Roman"/>
          <w:b/>
          <w:bCs/>
          <w:sz w:val="24"/>
          <w:szCs w:val="24"/>
        </w:rPr>
        <w:t>OMB Control No. 06</w:t>
      </w:r>
      <w:r w:rsidR="00FC1A6E">
        <w:rPr>
          <w:rFonts w:ascii="Times New Roman" w:eastAsia="Times New Roman" w:hAnsi="Times New Roman" w:cs="Times New Roman"/>
          <w:b/>
          <w:bCs/>
          <w:sz w:val="24"/>
          <w:szCs w:val="24"/>
        </w:rPr>
        <w:t>25</w:t>
      </w:r>
      <w:r w:rsidRPr="000833CE">
        <w:rPr>
          <w:rFonts w:ascii="Times New Roman" w:eastAsia="Times New Roman" w:hAnsi="Times New Roman" w:cs="Times New Roman"/>
          <w:b/>
          <w:bCs/>
          <w:sz w:val="24"/>
          <w:szCs w:val="24"/>
        </w:rPr>
        <w:t>-</w:t>
      </w:r>
      <w:r w:rsidR="006A4583">
        <w:rPr>
          <w:rFonts w:ascii="Times New Roman" w:eastAsia="Times New Roman" w:hAnsi="Times New Roman" w:cs="Times New Roman"/>
          <w:b/>
          <w:bCs/>
          <w:sz w:val="24"/>
          <w:szCs w:val="24"/>
        </w:rPr>
        <w:t>0</w:t>
      </w:r>
      <w:r w:rsidR="00064B7E">
        <w:rPr>
          <w:rFonts w:ascii="Times New Roman" w:eastAsia="Times New Roman" w:hAnsi="Times New Roman" w:cs="Times New Roman"/>
          <w:b/>
          <w:bCs/>
          <w:sz w:val="24"/>
          <w:szCs w:val="24"/>
        </w:rPr>
        <w:t>283</w:t>
      </w:r>
      <w:r w:rsidRPr="000833CE">
        <w:rPr>
          <w:rFonts w:ascii="Times New Roman" w:eastAsia="Times New Roman" w:hAnsi="Times New Roman" w:cs="Times New Roman"/>
          <w:b/>
          <w:bCs/>
          <w:sz w:val="24"/>
          <w:szCs w:val="24"/>
        </w:rPr>
        <w:t xml:space="preserve"> </w:t>
      </w:r>
    </w:p>
    <w:p w:rsidR="00FC1A6E" w:rsidP="008C744F" w14:paraId="7CBBDC75" w14:textId="77777777">
      <w:pPr>
        <w:rPr>
          <w:color w:val="4472C4" w:themeColor="accent1"/>
        </w:rPr>
      </w:pPr>
    </w:p>
    <w:p w:rsidR="008C744F" w:rsidRPr="00FA470D" w:rsidP="008C744F" w14:paraId="5B019A09" w14:textId="17FA69DC">
      <w:pPr>
        <w:rPr>
          <w:b/>
          <w:bCs/>
        </w:rPr>
      </w:pPr>
      <w:r w:rsidRPr="00FA470D">
        <w:rPr>
          <w:b/>
          <w:bCs/>
        </w:rPr>
        <w:t>Justification (Questions and Responses)</w:t>
      </w:r>
    </w:p>
    <w:p w:rsidR="008C744F" w:rsidRPr="00FA470D" w:rsidP="008C744F" w14:paraId="677F3D62"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04F9" w:rsidP="000B7771" w14:paraId="1BC959D1" w14:textId="28E6380D">
      <w:pPr>
        <w:pStyle w:val="BodyText"/>
        <w:spacing w:line="259" w:lineRule="auto"/>
        <w:ind w:left="120" w:right="112"/>
        <w:rPr>
          <w:rFonts w:ascii="Times New Roman" w:eastAsia="Times New Roman" w:hAnsi="Times New Roman" w:cs="Times New Roman"/>
        </w:rPr>
      </w:pPr>
      <w:r w:rsidRPr="01DA3CDC">
        <w:rPr>
          <w:rFonts w:ascii="Times New Roman" w:eastAsia="Times New Roman" w:hAnsi="Times New Roman" w:cs="Times New Roman"/>
        </w:rPr>
        <w:t xml:space="preserve">On March 26, 2025, the President issued Proclamation 10908 (90 FR 14705), “Adjusting Imports of Automobiles and Automobile Parts Into the United States,” (Proclamation 10908) finding that imports of </w:t>
      </w:r>
      <w:r w:rsidR="0078612A">
        <w:rPr>
          <w:rFonts w:ascii="Times New Roman" w:eastAsia="Times New Roman" w:hAnsi="Times New Roman" w:cs="Times New Roman"/>
        </w:rPr>
        <w:t xml:space="preserve">automobiles </w:t>
      </w:r>
      <w:r w:rsidRPr="01DA3CDC">
        <w:rPr>
          <w:rFonts w:ascii="Times New Roman" w:eastAsia="Times New Roman" w:hAnsi="Times New Roman" w:cs="Times New Roman"/>
        </w:rPr>
        <w:t xml:space="preserve">and certain </w:t>
      </w:r>
      <w:r w:rsidR="0078612A">
        <w:rPr>
          <w:rFonts w:ascii="Times New Roman" w:eastAsia="Times New Roman" w:hAnsi="Times New Roman" w:cs="Times New Roman"/>
        </w:rPr>
        <w:t xml:space="preserve">automobile </w:t>
      </w:r>
      <w:r w:rsidRPr="01DA3CDC">
        <w:rPr>
          <w:rFonts w:ascii="Times New Roman" w:eastAsia="Times New Roman" w:hAnsi="Times New Roman" w:cs="Times New Roman"/>
        </w:rPr>
        <w:t xml:space="preserve">parts continue to threaten to impair the national security of the United States and imposing specified tariffs to adjust imports of </w:t>
      </w:r>
      <w:r w:rsidR="0078612A">
        <w:rPr>
          <w:rFonts w:ascii="Times New Roman" w:eastAsia="Times New Roman" w:hAnsi="Times New Roman" w:cs="Times New Roman"/>
        </w:rPr>
        <w:t>automobiles</w:t>
      </w:r>
      <w:r w:rsidRPr="01DA3CDC" w:rsidR="00943B7B">
        <w:rPr>
          <w:rFonts w:ascii="Times New Roman" w:eastAsia="Times New Roman" w:hAnsi="Times New Roman" w:cs="Times New Roman"/>
        </w:rPr>
        <w:t xml:space="preserve"> </w:t>
      </w:r>
      <w:r w:rsidRPr="01DA3CDC">
        <w:rPr>
          <w:rFonts w:ascii="Times New Roman" w:eastAsia="Times New Roman" w:hAnsi="Times New Roman" w:cs="Times New Roman"/>
        </w:rPr>
        <w:t xml:space="preserve">and certain </w:t>
      </w:r>
      <w:r w:rsidR="0078612A">
        <w:rPr>
          <w:rFonts w:ascii="Times New Roman" w:eastAsia="Times New Roman" w:hAnsi="Times New Roman" w:cs="Times New Roman"/>
        </w:rPr>
        <w:t xml:space="preserve">automobile </w:t>
      </w:r>
      <w:r w:rsidRPr="01DA3CDC">
        <w:rPr>
          <w:rFonts w:ascii="Times New Roman" w:eastAsia="Times New Roman" w:hAnsi="Times New Roman" w:cs="Times New Roman"/>
        </w:rPr>
        <w:t>parts so that such imports will not threaten to impair national security pursuant to Section 232</w:t>
      </w:r>
      <w:r w:rsidRPr="01DA3CDC" w:rsidR="754A84A8">
        <w:rPr>
          <w:rFonts w:ascii="Times New Roman" w:eastAsia="Times New Roman" w:hAnsi="Times New Roman" w:cs="Times New Roman"/>
        </w:rPr>
        <w:t xml:space="preserve"> of the Trade Expansion Act of 1962 (“Section 232”)</w:t>
      </w:r>
      <w:r w:rsidRPr="01DA3CDC">
        <w:rPr>
          <w:rFonts w:ascii="Times New Roman" w:eastAsia="Times New Roman" w:hAnsi="Times New Roman" w:cs="Times New Roman"/>
        </w:rPr>
        <w:t xml:space="preserve">.  </w:t>
      </w:r>
      <w:r w:rsidRPr="01DA3CDC" w:rsidR="00390F62">
        <w:rPr>
          <w:rFonts w:ascii="Times New Roman" w:eastAsia="Times New Roman" w:hAnsi="Times New Roman" w:cs="Times New Roman"/>
        </w:rPr>
        <w:t xml:space="preserve">Section 232 authorizes the President to adjust the imports of an article and its derivatives that are being imported into the United States in such quantities or under such circumstances as to threaten to impair the national security of the United States so that such imports will not threaten to impair national security. </w:t>
      </w:r>
      <w:r w:rsidRPr="01DA3CDC">
        <w:rPr>
          <w:rFonts w:ascii="Times New Roman" w:eastAsia="Times New Roman" w:hAnsi="Times New Roman" w:cs="Times New Roman"/>
        </w:rPr>
        <w:t xml:space="preserve">Proclamation 10908 imposed a 25 percent tariff on certain imports of </w:t>
      </w:r>
      <w:r w:rsidR="0078612A">
        <w:rPr>
          <w:rFonts w:ascii="Times New Roman" w:eastAsia="Times New Roman" w:hAnsi="Times New Roman" w:cs="Times New Roman"/>
        </w:rPr>
        <w:t>automobiles</w:t>
      </w:r>
      <w:r w:rsidRPr="01DA3CDC">
        <w:rPr>
          <w:rFonts w:ascii="Times New Roman" w:eastAsia="Times New Roman" w:hAnsi="Times New Roman" w:cs="Times New Roman"/>
        </w:rPr>
        <w:t xml:space="preserve">, effective April 3, 2025, and certain imports of </w:t>
      </w:r>
      <w:r w:rsidR="0078612A">
        <w:rPr>
          <w:rFonts w:ascii="Times New Roman" w:eastAsia="Times New Roman" w:hAnsi="Times New Roman" w:cs="Times New Roman"/>
        </w:rPr>
        <w:t xml:space="preserve">automobile </w:t>
      </w:r>
      <w:r w:rsidRPr="01DA3CDC">
        <w:rPr>
          <w:rFonts w:ascii="Times New Roman" w:eastAsia="Times New Roman" w:hAnsi="Times New Roman" w:cs="Times New Roman"/>
        </w:rPr>
        <w:t>parts, effective May 3, 2025.</w:t>
      </w:r>
    </w:p>
    <w:p w:rsidR="00F3661D" w:rsidP="01DA3CDC" w14:paraId="7BBAADC3" w14:textId="29E4C073">
      <w:pPr>
        <w:pStyle w:val="BodyText"/>
        <w:spacing w:line="259" w:lineRule="auto"/>
        <w:ind w:left="120" w:right="112"/>
        <w:rPr>
          <w:rFonts w:ascii="Times New Roman" w:hAnsi="Times New Roman" w:cs="Times New Roman"/>
        </w:rPr>
      </w:pPr>
      <w:r w:rsidRPr="01DA3CDC">
        <w:rPr>
          <w:rFonts w:ascii="Times New Roman" w:hAnsi="Times New Roman" w:cs="Times New Roman"/>
        </w:rPr>
        <w:t>On April 29, 2025, the President issued Proclamation 10925 (90 FR 18899), which</w:t>
      </w:r>
      <w:r w:rsidRPr="01DA3CDC">
        <w:rPr>
          <w:rFonts w:ascii="Times New Roman" w:eastAsia="Times New Roman" w:hAnsi="Times New Roman" w:cs="Times New Roman"/>
          <w:color w:val="111111"/>
        </w:rPr>
        <w:t xml:space="preserve"> allowed for </w:t>
      </w:r>
      <w:r w:rsidR="0078612A">
        <w:rPr>
          <w:rFonts w:ascii="Times New Roman" w:eastAsia="Times New Roman" w:hAnsi="Times New Roman" w:cs="Times New Roman"/>
        </w:rPr>
        <w:t xml:space="preserve">automobile </w:t>
      </w:r>
      <w:r w:rsidRPr="01DA3CDC">
        <w:rPr>
          <w:rFonts w:ascii="Times New Roman" w:eastAsia="Times New Roman" w:hAnsi="Times New Roman" w:cs="Times New Roman"/>
          <w:color w:val="111111"/>
        </w:rPr>
        <w:t xml:space="preserve">manufactures assembling </w:t>
      </w:r>
      <w:r w:rsidR="0078612A">
        <w:rPr>
          <w:rFonts w:ascii="Times New Roman" w:eastAsia="Times New Roman" w:hAnsi="Times New Roman" w:cs="Times New Roman"/>
        </w:rPr>
        <w:t xml:space="preserve">automobiles </w:t>
      </w:r>
      <w:r w:rsidRPr="01DA3CDC">
        <w:rPr>
          <w:rFonts w:ascii="Times New Roman" w:eastAsia="Times New Roman" w:hAnsi="Times New Roman" w:cs="Times New Roman"/>
          <w:color w:val="111111"/>
        </w:rPr>
        <w:t xml:space="preserve">in the United States to apply for an import adjustment offset amount, which would offset certain tariff liability under Proclamation 10908 on imports of </w:t>
      </w:r>
      <w:r w:rsidR="0078612A">
        <w:rPr>
          <w:rFonts w:ascii="Times New Roman" w:eastAsia="Times New Roman" w:hAnsi="Times New Roman" w:cs="Times New Roman"/>
          <w:color w:val="111111"/>
        </w:rPr>
        <w:t>automobiles</w:t>
      </w:r>
      <w:r w:rsidRPr="01DA3CDC" w:rsidR="00943B7B">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parts. Proclamation 10925 required </w:t>
      </w:r>
      <w:r w:rsidRPr="01DA3CDC" w:rsidR="00261CC6">
        <w:rPr>
          <w:rFonts w:ascii="Times New Roman" w:eastAsia="Times New Roman" w:hAnsi="Times New Roman" w:cs="Times New Roman"/>
          <w:color w:val="111111"/>
        </w:rPr>
        <w:t>that within 30 days of the date of the order</w:t>
      </w:r>
      <w:r w:rsidRPr="01DA3CDC" w:rsidR="00CC1071">
        <w:rPr>
          <w:rFonts w:ascii="Times New Roman" w:eastAsia="Times New Roman" w:hAnsi="Times New Roman" w:cs="Times New Roman"/>
          <w:color w:val="111111"/>
        </w:rPr>
        <w:t xml:space="preserve"> </w:t>
      </w:r>
      <w:r w:rsidRPr="01DA3CDC">
        <w:rPr>
          <w:rFonts w:ascii="Times New Roman" w:eastAsia="Times New Roman" w:hAnsi="Times New Roman" w:cs="Times New Roman"/>
          <w:color w:val="111111"/>
        </w:rPr>
        <w:t xml:space="preserve">the Secretary of the Department of Commerce (Commerce) </w:t>
      </w:r>
      <w:r w:rsidRPr="01DA3CDC" w:rsidR="00CC1071">
        <w:rPr>
          <w:rFonts w:ascii="Times New Roman" w:eastAsia="Times New Roman" w:hAnsi="Times New Roman" w:cs="Times New Roman"/>
          <w:color w:val="111111"/>
        </w:rPr>
        <w:t>shall</w:t>
      </w:r>
      <w:r w:rsidRPr="01DA3CDC">
        <w:rPr>
          <w:rFonts w:ascii="Times New Roman" w:eastAsia="Times New Roman" w:hAnsi="Times New Roman" w:cs="Times New Roman"/>
          <w:color w:val="111111"/>
        </w:rPr>
        <w:t xml:space="preserve"> establish a process by which </w:t>
      </w:r>
      <w:r w:rsidR="0078612A">
        <w:rPr>
          <w:rFonts w:ascii="Times New Roman" w:eastAsia="Times New Roman" w:hAnsi="Times New Roman" w:cs="Times New Roman"/>
        </w:rPr>
        <w:t xml:space="preserve">automobile </w:t>
      </w:r>
      <w:r w:rsidRPr="01DA3CDC">
        <w:rPr>
          <w:rFonts w:ascii="Times New Roman" w:eastAsia="Times New Roman" w:hAnsi="Times New Roman" w:cs="Times New Roman"/>
          <w:color w:val="111111"/>
        </w:rPr>
        <w:t xml:space="preserve">manufacturers could submit documentation supporting eligibility </w:t>
      </w:r>
      <w:r w:rsidRPr="01DA3CDC" w:rsidR="23D70BA4">
        <w:rPr>
          <w:rFonts w:ascii="Times New Roman" w:eastAsia="Times New Roman" w:hAnsi="Times New Roman" w:cs="Times New Roman"/>
          <w:color w:val="111111"/>
        </w:rPr>
        <w:t xml:space="preserve">and a claim </w:t>
      </w:r>
      <w:r w:rsidRPr="01DA3CDC">
        <w:rPr>
          <w:rFonts w:ascii="Times New Roman" w:eastAsia="Times New Roman" w:hAnsi="Times New Roman" w:cs="Times New Roman"/>
          <w:color w:val="111111"/>
        </w:rPr>
        <w:t xml:space="preserve">for an import adjustment offset amount.  </w:t>
      </w:r>
      <w:r w:rsidRPr="01DA3CDC" w:rsidR="00845359">
        <w:rPr>
          <w:rFonts w:ascii="Times New Roman" w:eastAsia="Times New Roman" w:hAnsi="Times New Roman" w:cs="Times New Roman"/>
          <w:color w:val="111111"/>
        </w:rPr>
        <w:t>A prepared</w:t>
      </w:r>
      <w:r w:rsidRPr="01DA3CDC">
        <w:rPr>
          <w:rFonts w:ascii="Times New Roman" w:hAnsi="Times New Roman" w:cs="Times New Roman"/>
        </w:rPr>
        <w:t xml:space="preserve"> notice announces procedures for administration of the import adjustment offset amount program, including application, documentation, and certification requirements, eligibility conditions, and coordination with U.S. Customs and Border Protection (CBP).</w:t>
      </w:r>
    </w:p>
    <w:p w:rsidR="00316717" w:rsidRPr="00670113" w:rsidP="00316717" w14:paraId="017BE539" w14:textId="1B18E4F2">
      <w:pPr>
        <w:pStyle w:val="BodyText"/>
        <w:ind w:left="120" w:right="112"/>
        <w:rPr>
          <w:rFonts w:ascii="Times New Roman" w:hAnsi="Times New Roman" w:cs="Times New Roman"/>
        </w:rPr>
      </w:pPr>
      <w:r w:rsidRPr="00670113">
        <w:rPr>
          <w:rFonts w:ascii="Times New Roman" w:hAnsi="Times New Roman" w:cs="Times New Roman"/>
        </w:rPr>
        <w:t xml:space="preserve">On June 13, 2025, the International Trade Administration published a Notice titled “Procedures To Administer Import Adjustment Offset Amounts for Certain Imports of Automobile Parts Under Proclamation 10908, as Amended” (90 FR 25027), which established procedures for </w:t>
      </w:r>
      <w:r w:rsidR="0078612A">
        <w:rPr>
          <w:rFonts w:ascii="Times New Roman" w:eastAsia="Times New Roman" w:hAnsi="Times New Roman" w:cs="Times New Roman"/>
        </w:rPr>
        <w:t xml:space="preserve">automobile </w:t>
      </w:r>
      <w:r w:rsidRPr="00670113">
        <w:rPr>
          <w:rFonts w:ascii="Times New Roman" w:hAnsi="Times New Roman" w:cs="Times New Roman"/>
        </w:rPr>
        <w:t xml:space="preserve">manufacturers to apply for and use the import adjustment offset amount established by Presidential Proclamation 10925 of April 29, 2025 (90 FR 18899), “Amendments to Adjusting Imports of Automobiles and Automobile Parts Into the United States” (Proclamation 10925) to incentivize domestic </w:t>
      </w:r>
      <w:r w:rsidR="0078612A">
        <w:rPr>
          <w:rFonts w:ascii="Times New Roman" w:eastAsia="Times New Roman" w:hAnsi="Times New Roman" w:cs="Times New Roman"/>
        </w:rPr>
        <w:t xml:space="preserve">automobile </w:t>
      </w:r>
      <w:r w:rsidRPr="00670113">
        <w:rPr>
          <w:rFonts w:ascii="Times New Roman" w:hAnsi="Times New Roman" w:cs="Times New Roman"/>
        </w:rPr>
        <w:t xml:space="preserve">production and reduce American reliance on imports of foreign </w:t>
      </w:r>
      <w:r w:rsidR="00447883">
        <w:rPr>
          <w:rFonts w:ascii="Times New Roman" w:eastAsia="Times New Roman" w:hAnsi="Times New Roman" w:cs="Times New Roman"/>
        </w:rPr>
        <w:t xml:space="preserve">automobiles </w:t>
      </w:r>
      <w:r w:rsidRPr="00670113">
        <w:rPr>
          <w:rFonts w:ascii="Times New Roman" w:hAnsi="Times New Roman" w:cs="Times New Roman"/>
        </w:rPr>
        <w:t>and their parts.</w:t>
      </w:r>
    </w:p>
    <w:p w:rsidR="00482EDE" w:rsidP="00316717" w14:paraId="6C1A5ABD" w14:textId="77777777">
      <w:pPr>
        <w:pStyle w:val="BodyText"/>
        <w:ind w:left="120" w:right="112"/>
        <w:rPr>
          <w:rFonts w:ascii="Times New Roman" w:hAnsi="Times New Roman" w:cs="Times New Roman"/>
        </w:rPr>
      </w:pPr>
      <w:r w:rsidRPr="00670113">
        <w:rPr>
          <w:rFonts w:ascii="Times New Roman" w:hAnsi="Times New Roman" w:cs="Times New Roman"/>
        </w:rPr>
        <w:t xml:space="preserve">Proclamation 10984 of October 17, 2025, “Adjusting Imports of Medium- and Heavy-Duty Vehicles, Medium- and Heavy-Duty Vehicle Parts, and Buses Into the United States,” </w:t>
      </w:r>
      <w:r w:rsidRPr="00670113">
        <w:rPr>
          <w:rFonts w:ascii="Times New Roman" w:hAnsi="Times New Roman" w:cs="Times New Roman"/>
        </w:rPr>
        <w:t>(Proclamation 10984) took similar action to address the threat imports of Medium- and Heavy-Duty Vehicles (MHDV) and Medium- and Heavy-Duty Vehicle Parts (MHDVPs) pose to the national security of the United States; that Proclamation also amended the offset rules established by Proclamation 10925.</w:t>
      </w:r>
      <w:r>
        <w:rPr>
          <w:rFonts w:ascii="Times New Roman" w:hAnsi="Times New Roman" w:cs="Times New Roman"/>
        </w:rPr>
        <w:t xml:space="preserve">  </w:t>
      </w:r>
    </w:p>
    <w:p w:rsidR="00316717" w:rsidP="00316717" w14:paraId="09157D93" w14:textId="2EE7C71B">
      <w:pPr>
        <w:pStyle w:val="BodyText"/>
        <w:ind w:left="120" w:right="112"/>
        <w:rPr>
          <w:rFonts w:ascii="Times New Roman" w:hAnsi="Times New Roman" w:cs="Times New Roman"/>
        </w:rPr>
      </w:pPr>
      <w:r w:rsidRPr="377F9948">
        <w:rPr>
          <w:rFonts w:ascii="Times New Roman" w:hAnsi="Times New Roman" w:cs="Times New Roman"/>
        </w:rPr>
        <w:t xml:space="preserve">Proclamation 10984 </w:t>
      </w:r>
      <w:r>
        <w:rPr>
          <w:rFonts w:ascii="Times New Roman" w:hAnsi="Times New Roman" w:cs="Times New Roman"/>
        </w:rPr>
        <w:t xml:space="preserve">also </w:t>
      </w:r>
      <w:r w:rsidRPr="377F9948">
        <w:rPr>
          <w:rFonts w:ascii="Times New Roman" w:eastAsia="Times New Roman" w:hAnsi="Times New Roman" w:cs="Times New Roman"/>
          <w:color w:val="111111"/>
        </w:rPr>
        <w:t xml:space="preserve">allowed </w:t>
      </w:r>
      <w:r>
        <w:rPr>
          <w:rFonts w:ascii="Times New Roman" w:eastAsia="Times New Roman" w:hAnsi="Times New Roman" w:cs="Times New Roman"/>
          <w:color w:val="111111"/>
        </w:rPr>
        <w:t>engine</w:t>
      </w:r>
      <w:r w:rsidRPr="377F9948">
        <w:rPr>
          <w:rFonts w:ascii="Times New Roman" w:eastAsia="Times New Roman" w:hAnsi="Times New Roman" w:cs="Times New Roman"/>
          <w:color w:val="111111"/>
        </w:rPr>
        <w:t xml:space="preserve"> manufacturers assembling </w:t>
      </w:r>
      <w:r>
        <w:rPr>
          <w:rFonts w:ascii="Times New Roman" w:eastAsia="Times New Roman" w:hAnsi="Times New Roman" w:cs="Times New Roman"/>
          <w:color w:val="111111"/>
        </w:rPr>
        <w:t xml:space="preserve">automobile engines and </w:t>
      </w:r>
      <w:r w:rsidRPr="377F9948">
        <w:rPr>
          <w:rFonts w:ascii="Times New Roman" w:eastAsia="Times New Roman" w:hAnsi="Times New Roman" w:cs="Times New Roman"/>
          <w:color w:val="111111"/>
        </w:rPr>
        <w:t>MHDV</w:t>
      </w:r>
      <w:r>
        <w:rPr>
          <w:rFonts w:ascii="Times New Roman" w:eastAsia="Times New Roman" w:hAnsi="Times New Roman" w:cs="Times New Roman"/>
          <w:color w:val="111111"/>
        </w:rPr>
        <w:t xml:space="preserve"> engines</w:t>
      </w:r>
      <w:r w:rsidRPr="377F9948">
        <w:rPr>
          <w:rFonts w:ascii="Times New Roman" w:eastAsia="Times New Roman" w:hAnsi="Times New Roman" w:cs="Times New Roman"/>
          <w:color w:val="111111"/>
        </w:rPr>
        <w:t xml:space="preserve"> in the United States to apply for an import adjustment offset amount, which would offset certain tariff liability under </w:t>
      </w:r>
      <w:r w:rsidRPr="5F267590">
        <w:rPr>
          <w:rFonts w:ascii="Times New Roman" w:eastAsia="Times New Roman" w:hAnsi="Times New Roman" w:cs="Times New Roman"/>
          <w:color w:val="111111"/>
        </w:rPr>
        <w:t xml:space="preserve">Proclamations </w:t>
      </w:r>
      <w:r w:rsidRPr="5E7080DA">
        <w:rPr>
          <w:rFonts w:ascii="Times New Roman" w:eastAsia="Times New Roman" w:hAnsi="Times New Roman" w:cs="Times New Roman"/>
          <w:color w:val="111111"/>
        </w:rPr>
        <w:t>10908</w:t>
      </w:r>
      <w:r w:rsidRPr="5F267590">
        <w:rPr>
          <w:rFonts w:ascii="Times New Roman" w:eastAsia="Times New Roman" w:hAnsi="Times New Roman" w:cs="Times New Roman"/>
          <w:color w:val="111111"/>
        </w:rPr>
        <w:t xml:space="preserve"> and </w:t>
      </w:r>
      <w:r w:rsidRPr="377F9948">
        <w:rPr>
          <w:rFonts w:ascii="Times New Roman" w:eastAsia="Times New Roman" w:hAnsi="Times New Roman" w:cs="Times New Roman"/>
          <w:color w:val="111111"/>
        </w:rPr>
        <w:t xml:space="preserve">10984 on imports of </w:t>
      </w:r>
      <w:r>
        <w:rPr>
          <w:rFonts w:ascii="Times New Roman" w:eastAsia="Times New Roman" w:hAnsi="Times New Roman" w:cs="Times New Roman"/>
          <w:color w:val="111111"/>
        </w:rPr>
        <w:t>engine parts</w:t>
      </w:r>
      <w:r w:rsidRPr="377F9948">
        <w:rPr>
          <w:rFonts w:ascii="Times New Roman" w:eastAsia="Times New Roman" w:hAnsi="Times New Roman" w:cs="Times New Roman"/>
          <w:color w:val="111111"/>
        </w:rPr>
        <w:t xml:space="preserve">. Proclamation 10984 required Commerce to establish </w:t>
      </w:r>
      <w:r>
        <w:rPr>
          <w:rFonts w:ascii="Times New Roman" w:eastAsia="Times New Roman" w:hAnsi="Times New Roman" w:cs="Times New Roman"/>
          <w:color w:val="111111"/>
        </w:rPr>
        <w:t>an import adjustment offset process for automobile engine manufacturers and MHDV engine manufacturers equivalent to that provided for automobile manufacturers and MHDV manufacturers, with offsets accruals based on the aggregate value of automobile engine and MHDV engines assembled in the United States by the engine manufacturer, with the same accrual percentage rate and U.S. assembly restrictions as were provided in the Proclamation for automobile manufacturers and MHDV manufacturers.</w:t>
      </w:r>
    </w:p>
    <w:p w:rsidR="008C70E1" w:rsidRPr="008C70E1" w:rsidP="008C70E1" w14:paraId="0A06D877" w14:textId="77777777">
      <w:pPr>
        <w:pStyle w:val="BodyText"/>
        <w:ind w:left="120" w:right="112"/>
        <w:rPr>
          <w:rFonts w:ascii="Times New Roman" w:hAnsi="Times New Roman" w:cs="Times New Roman"/>
        </w:rPr>
      </w:pPr>
      <w:r w:rsidRPr="008C70E1">
        <w:rPr>
          <w:rFonts w:ascii="Times New Roman" w:hAnsi="Times New Roman" w:cs="Times New Roman"/>
        </w:rPr>
        <w:t xml:space="preserve">On May 15, 2026, the International Trade Administration published a Notice titled “Amending the Procedures To Administer Import Adjustment Offset Amounts for Certain Imports of Automobile Parts Under Proclamation 10908 to Include Medium- and Heavy-Duty Vehicle Parts” (May 15 Notice), which established amended procedures for automobile and medium- and heavy-duty vehicle (MHDV) manufacturers to apply for and use the import adjustment offset amounts established by Presidential Proclamation 10925 of April 29, 2025, “Amendments to Adjusting Imports of Automobiles and Automobile Parts Into the United States”, and Presidential Proclamation 10984 of October 17, 2025, “Adjusting Imports of Medium- and Heavy-Duty Vehicles, Medium- and Heavy-Duty Vehicle Parts, and Buses Into the United States.”  Procedures to allow domestic manufacturers of automobile engines and MHDV engines to claim import adjustment offsets for imports of parts in a manner consistent with those Proclamations have been established. The procedures exclude certain engine assembly operations determined to be limited production operations from being considered in the calculation of offsets. </w:t>
      </w:r>
    </w:p>
    <w:p w:rsidR="009C46CE" w:rsidP="00FA6729" w14:paraId="6928C05A" w14:textId="677749EF">
      <w:pPr>
        <w:pStyle w:val="BodyText"/>
        <w:spacing w:line="259" w:lineRule="auto"/>
        <w:ind w:left="115" w:right="115"/>
        <w:rPr>
          <w:rFonts w:ascii="Times New Roman" w:hAnsi="Times New Roman" w:cs="Times New Roman"/>
        </w:rPr>
      </w:pPr>
      <w:r>
        <w:rPr>
          <w:rFonts w:ascii="Times New Roman" w:hAnsi="Times New Roman" w:cs="Times New Roman"/>
        </w:rPr>
        <w:t xml:space="preserve">Through this Offset Program </w:t>
      </w:r>
      <w:r w:rsidR="00447883">
        <w:rPr>
          <w:rFonts w:ascii="Times New Roman" w:eastAsia="Times New Roman" w:hAnsi="Times New Roman" w:cs="Times New Roman"/>
        </w:rPr>
        <w:t>automobile</w:t>
      </w:r>
      <w:r w:rsidR="008C70E1">
        <w:rPr>
          <w:rFonts w:ascii="Times New Roman" w:eastAsia="Times New Roman" w:hAnsi="Times New Roman" w:cs="Times New Roman"/>
        </w:rPr>
        <w:t>,</w:t>
      </w:r>
      <w:r w:rsidR="00447883">
        <w:rPr>
          <w:rFonts w:ascii="Times New Roman" w:eastAsia="Times New Roman" w:hAnsi="Times New Roman" w:cs="Times New Roman"/>
        </w:rPr>
        <w:t xml:space="preserve"> MHDV</w:t>
      </w:r>
      <w:r w:rsidR="008C70E1">
        <w:rPr>
          <w:rFonts w:ascii="Times New Roman" w:eastAsia="Times New Roman" w:hAnsi="Times New Roman" w:cs="Times New Roman"/>
        </w:rPr>
        <w:t>, and engine</w:t>
      </w:r>
      <w:r w:rsidR="00447883">
        <w:rPr>
          <w:rFonts w:ascii="Times New Roman" w:eastAsia="Times New Roman" w:hAnsi="Times New Roman" w:cs="Times New Roman"/>
        </w:rPr>
        <w:t xml:space="preserve"> </w:t>
      </w:r>
      <w:r w:rsidRPr="001433A4" w:rsidR="00FA5928">
        <w:rPr>
          <w:rFonts w:ascii="Times New Roman" w:hAnsi="Times New Roman" w:cs="Times New Roman"/>
        </w:rPr>
        <w:t>manufacturers with final production in the United States</w:t>
      </w:r>
      <w:r w:rsidR="00EE354F">
        <w:rPr>
          <w:rFonts w:ascii="Times New Roman" w:hAnsi="Times New Roman" w:cs="Times New Roman"/>
        </w:rPr>
        <w:t xml:space="preserve"> have the opportunity</w:t>
      </w:r>
      <w:r w:rsidRPr="001433A4" w:rsidR="00FA5928">
        <w:rPr>
          <w:rFonts w:ascii="Times New Roman" w:hAnsi="Times New Roman" w:cs="Times New Roman"/>
        </w:rPr>
        <w:t xml:space="preserve"> to submit documentation to request an import adjustment offset amount</w:t>
      </w:r>
      <w:r w:rsidR="00F82FF4">
        <w:rPr>
          <w:rFonts w:ascii="Times New Roman" w:hAnsi="Times New Roman" w:cs="Times New Roman"/>
        </w:rPr>
        <w:t xml:space="preserve"> for </w:t>
      </w:r>
      <w:r w:rsidR="00447883">
        <w:rPr>
          <w:rFonts w:ascii="Times New Roman" w:hAnsi="Times New Roman" w:cs="Times New Roman"/>
        </w:rPr>
        <w:t>automobiles, MHDVs,</w:t>
      </w:r>
      <w:r w:rsidR="00F82FF4">
        <w:rPr>
          <w:rFonts w:ascii="Times New Roman" w:hAnsi="Times New Roman" w:cs="Times New Roman"/>
        </w:rPr>
        <w:t xml:space="preserve"> and </w:t>
      </w:r>
      <w:r w:rsidR="008C70E1">
        <w:rPr>
          <w:rFonts w:ascii="Times New Roman" w:hAnsi="Times New Roman" w:cs="Times New Roman"/>
        </w:rPr>
        <w:t>engine</w:t>
      </w:r>
      <w:r w:rsidR="00F82FF4">
        <w:rPr>
          <w:rFonts w:ascii="Times New Roman" w:hAnsi="Times New Roman" w:cs="Times New Roman"/>
        </w:rPr>
        <w:t xml:space="preserve"> parts</w:t>
      </w:r>
      <w:r w:rsidR="0063622F">
        <w:rPr>
          <w:rFonts w:ascii="Times New Roman" w:hAnsi="Times New Roman" w:cs="Times New Roman"/>
        </w:rPr>
        <w:t>.</w:t>
      </w:r>
      <w:r w:rsidRPr="001433A4" w:rsidR="00FA5928">
        <w:rPr>
          <w:rFonts w:ascii="Times New Roman" w:hAnsi="Times New Roman" w:cs="Times New Roman"/>
        </w:rPr>
        <w:t xml:space="preserve"> The import adjustment offset may only be used by importers of record authorized by that manufacturer, and the amount may only be used to offset tariff liability related to that manufacturer's </w:t>
      </w:r>
      <w:r w:rsidR="00713EF0">
        <w:rPr>
          <w:rFonts w:ascii="Times New Roman" w:eastAsia="Times New Roman" w:hAnsi="Times New Roman" w:cs="Times New Roman"/>
        </w:rPr>
        <w:t>automobile, MHDV, and engine</w:t>
      </w:r>
      <w:r w:rsidRPr="001433A4" w:rsidR="00FA5928">
        <w:rPr>
          <w:rFonts w:ascii="Times New Roman" w:hAnsi="Times New Roman" w:cs="Times New Roman"/>
        </w:rPr>
        <w:t xml:space="preserve"> parts tariff liability under Proclamation 10908 or Proclamation 10984</w:t>
      </w:r>
      <w:r w:rsidR="00572DA1">
        <w:rPr>
          <w:rFonts w:ascii="Times New Roman" w:hAnsi="Times New Roman" w:cs="Times New Roman"/>
        </w:rPr>
        <w:t xml:space="preserve"> and any future related Proclamations</w:t>
      </w:r>
      <w:r w:rsidRPr="001433A4" w:rsidR="00FA5928">
        <w:rPr>
          <w:rFonts w:ascii="Times New Roman" w:hAnsi="Times New Roman" w:cs="Times New Roman"/>
        </w:rPr>
        <w:t>.</w:t>
      </w:r>
    </w:p>
    <w:p w:rsidR="008C70E1" w:rsidP="00FA6729" w14:paraId="0FEF0A30" w14:textId="44908F05">
      <w:pPr>
        <w:pStyle w:val="BodyText"/>
        <w:spacing w:line="259" w:lineRule="auto"/>
        <w:ind w:left="115" w:right="115"/>
        <w:rPr>
          <w:rFonts w:ascii="Times New Roman" w:hAnsi="Times New Roman" w:cs="Times New Roman"/>
        </w:rPr>
      </w:pPr>
      <w:r w:rsidRPr="00207E89">
        <w:rPr>
          <w:rFonts w:ascii="Times New Roman" w:hAnsi="Times New Roman" w:cs="Times New Roman"/>
        </w:rPr>
        <w:t>During the normal extension period, ICR 0625-0283 underwent multiple revisions driven by evolving Administration policy priorities and implementation requirements, often with limited lead time. These revisions expanded the existing Offset Program to include medium- and heavy-duty vehicles (MHDVs), MHDV parts, and engines. To avoid the need for multiple future emergency approvals for every collection within the same program scope, this renewal incorporates those revisions and updates the title of the information collection to comprehensively reflect all categories covered under the Offset Program. </w:t>
      </w:r>
    </w:p>
    <w:p w:rsidR="00A34DC8" w:rsidRPr="0008606E" w:rsidP="00A34DC8" w14:paraId="320C7628" w14:textId="77777777">
      <w:pPr>
        <w:pStyle w:val="BodyText"/>
        <w:spacing w:line="259" w:lineRule="auto"/>
        <w:ind w:left="0" w:right="112"/>
        <w:rPr>
          <w:rFonts w:ascii="Times New Roman" w:hAnsi="Times New Roman"/>
        </w:rPr>
      </w:pPr>
    </w:p>
    <w:p w:rsidR="008C744F" w:rsidRPr="00FA470D" w:rsidP="008C744F" w14:paraId="4410606F" w14:textId="77777777">
      <w:r>
        <w:pict>
          <v:rect id="_x0000_i1025" style="width:405pt;height:0.75pt" o:hrpct="0" o:hralign="center" o:hrstd="t" o:hrnoshade="t" o:hr="t" fillcolor="#414141" stroked="f"/>
        </w:pict>
      </w:r>
    </w:p>
    <w:p w:rsidR="008C744F" w:rsidRPr="00FA470D" w:rsidP="008C744F" w14:paraId="435056D8"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E61E4E" w:rsidRPr="00E61E4E" w:rsidP="0008606E" w14:paraId="0DBBB859" w14:textId="415C1A8C">
      <w:pPr>
        <w:rPr>
          <w:rFonts w:ascii="Times New Roman" w:hAnsi="Times New Roman" w:cs="Times New Roman"/>
          <w:sz w:val="24"/>
          <w:szCs w:val="24"/>
        </w:rPr>
      </w:pPr>
      <w:r w:rsidRPr="00E61E4E">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p>
    <w:p w:rsidR="00B90617" w:rsidRPr="009E73DC" w:rsidP="00D8647B" w14:paraId="339E1B77" w14:textId="77777777">
      <w:pPr>
        <w:pStyle w:val="ListParagraph"/>
        <w:numPr>
          <w:ilvl w:val="0"/>
          <w:numId w:val="9"/>
        </w:numPr>
      </w:pPr>
      <w:r w:rsidRPr="5964C294">
        <w:rPr>
          <w:rFonts w:ascii="Times New Roman" w:hAnsi="Times New Roman" w:cs="Times New Roman"/>
          <w:b/>
          <w:bCs/>
          <w:sz w:val="24"/>
          <w:szCs w:val="24"/>
        </w:rPr>
        <w:t>Production Forecast:</w:t>
      </w:r>
      <w:r w:rsidRPr="5964C294">
        <w:rPr>
          <w:rFonts w:ascii="Times New Roman" w:hAnsi="Times New Roman" w:cs="Times New Roman"/>
          <w:sz w:val="24"/>
          <w:szCs w:val="24"/>
        </w:rPr>
        <w:t xml:space="preserve"> </w:t>
      </w:r>
    </w:p>
    <w:p w:rsidR="00B90617" w:rsidRPr="00B95FE5" w:rsidP="00B90617" w14:paraId="48FA8B17" w14:textId="3EB1EAFF">
      <w:pPr>
        <w:pStyle w:val="ListParagraph"/>
      </w:pPr>
      <w:r w:rsidRPr="00B90617">
        <w:rPr>
          <w:rFonts w:ascii="Times New Roman" w:hAnsi="Times New Roman" w:cs="Times New Roman"/>
          <w:sz w:val="24"/>
          <w:szCs w:val="24"/>
        </w:rPr>
        <w:t xml:space="preserve">For </w:t>
      </w:r>
      <w:r w:rsidRPr="009E73DC">
        <w:rPr>
          <w:rFonts w:ascii="Times New Roman" w:hAnsi="Times New Roman" w:cs="Times New Roman"/>
          <w:sz w:val="24"/>
          <w:szCs w:val="24"/>
        </w:rPr>
        <w:t>a</w:t>
      </w:r>
      <w:r w:rsidRPr="00B90617">
        <w:rPr>
          <w:rFonts w:ascii="Times New Roman" w:hAnsi="Times New Roman" w:cs="Times New Roman"/>
          <w:sz w:val="24"/>
          <w:szCs w:val="24"/>
        </w:rPr>
        <w:t>utomobile</w:t>
      </w:r>
      <w:r w:rsidRPr="009E73DC">
        <w:rPr>
          <w:rFonts w:ascii="Times New Roman" w:hAnsi="Times New Roman" w:cs="Times New Roman"/>
          <w:sz w:val="24"/>
          <w:szCs w:val="24"/>
        </w:rPr>
        <w:t xml:space="preserve"> manufacturers</w:t>
      </w:r>
      <w:r w:rsidRPr="00B90617">
        <w:rPr>
          <w:rFonts w:ascii="Times New Roman" w:hAnsi="Times New Roman" w:cs="Times New Roman"/>
          <w:sz w:val="24"/>
          <w:szCs w:val="24"/>
        </w:rPr>
        <w:t>:</w:t>
      </w:r>
      <w:r>
        <w:rPr>
          <w:rFonts w:ascii="Times New Roman" w:hAnsi="Times New Roman" w:cs="Times New Roman"/>
          <w:sz w:val="24"/>
          <w:szCs w:val="24"/>
        </w:rPr>
        <w:t xml:space="preserve"> </w:t>
      </w:r>
      <w:r w:rsidRPr="5964C294" w:rsidR="00D8647B">
        <w:rPr>
          <w:rFonts w:ascii="Times New Roman" w:hAnsi="Times New Roman" w:cs="Times New Roman"/>
          <w:sz w:val="24"/>
          <w:szCs w:val="24"/>
        </w:rPr>
        <w:t xml:space="preserve">The number of </w:t>
      </w:r>
      <w:r w:rsidR="00970A65">
        <w:rPr>
          <w:rFonts w:ascii="Times New Roman" w:hAnsi="Times New Roman" w:cs="Times New Roman"/>
          <w:sz w:val="24"/>
          <w:szCs w:val="24"/>
        </w:rPr>
        <w:t xml:space="preserve">automobiles ((i.e., passenger vehicles (sedans, sport utility vehicles, crossover utility vehicles, minivans, and cargo vans) and light trucks) </w:t>
      </w:r>
      <w:r w:rsidRPr="5964C294" w:rsidR="00D8647B">
        <w:rPr>
          <w:rFonts w:ascii="Times New Roman" w:hAnsi="Times New Roman" w:cs="Times New Roman"/>
          <w:sz w:val="24"/>
          <w:szCs w:val="24"/>
        </w:rPr>
        <w:t xml:space="preserve">projected to be produced in the United States by make and model and the plant locations where the projected </w:t>
      </w:r>
      <w:r>
        <w:rPr>
          <w:rFonts w:ascii="Times New Roman" w:hAnsi="Times New Roman" w:cs="Times New Roman"/>
          <w:sz w:val="24"/>
          <w:szCs w:val="24"/>
        </w:rPr>
        <w:t>automobile and automobile</w:t>
      </w:r>
      <w:r w:rsidRPr="5964C294" w:rsidR="00D8647B">
        <w:rPr>
          <w:rFonts w:ascii="Times New Roman" w:hAnsi="Times New Roman" w:cs="Times New Roman"/>
          <w:sz w:val="24"/>
          <w:szCs w:val="24"/>
        </w:rPr>
        <w:t xml:space="preserve"> parts will undergo final production during each reporting period. </w:t>
      </w:r>
      <w:r>
        <w:rPr>
          <w:rFonts w:ascii="Times New Roman" w:hAnsi="Times New Roman" w:cs="Times New Roman"/>
          <w:sz w:val="24"/>
          <w:szCs w:val="24"/>
        </w:rPr>
        <w:t xml:space="preserve">Manufacturers of automobiles </w:t>
      </w:r>
      <w:r w:rsidRPr="5964C294">
        <w:rPr>
          <w:rFonts w:ascii="Times New Roman" w:eastAsia="Times New Roman" w:hAnsi="Times New Roman" w:cs="Times New Roman"/>
          <w:sz w:val="24"/>
          <w:szCs w:val="24"/>
        </w:rPr>
        <w:t>must report U.S. manufacturing activities for each model at each plant location, including the location where each part identified as super-core and listed in Column 1 of Table A.2 of the Appendix to Chapter 4 of the U.S.-Mexico-Canada Agreement (USMCA) is incorporated into the finished vehicle, and the country of origin for each part.</w:t>
      </w:r>
    </w:p>
    <w:p w:rsidR="00B90617" w:rsidRPr="009E73DC" w:rsidP="009E73DC" w14:paraId="05A01FFA" w14:textId="4EB6C653">
      <w:pPr>
        <w:pStyle w:val="ListParagraph"/>
      </w:pPr>
    </w:p>
    <w:p w:rsidR="00D8647B" w:rsidRPr="00721A82" w:rsidP="009E73DC" w14:paraId="7E91B30D" w14:textId="5A56E455">
      <w:pPr>
        <w:pStyle w:val="ListParagraph"/>
      </w:pPr>
      <w:r w:rsidRPr="009E73DC">
        <w:rPr>
          <w:rFonts w:ascii="Times New Roman" w:hAnsi="Times New Roman" w:cs="Times New Roman"/>
          <w:sz w:val="24"/>
          <w:szCs w:val="24"/>
        </w:rPr>
        <w:t xml:space="preserve">For </w:t>
      </w:r>
      <w:r w:rsidRPr="00B90617">
        <w:rPr>
          <w:rFonts w:ascii="Times New Roman" w:eastAsia="Times New Roman" w:hAnsi="Times New Roman" w:cs="Times New Roman"/>
          <w:sz w:val="24"/>
          <w:szCs w:val="24"/>
        </w:rPr>
        <w:t>MHDV manufacturers</w:t>
      </w:r>
      <w:r>
        <w:rPr>
          <w:rFonts w:ascii="Times New Roman" w:eastAsia="Times New Roman" w:hAnsi="Times New Roman" w:cs="Times New Roman"/>
          <w:sz w:val="24"/>
          <w:szCs w:val="24"/>
        </w:rPr>
        <w:t>:</w:t>
      </w:r>
      <w:r w:rsidRPr="5964C294">
        <w:rPr>
          <w:rFonts w:ascii="Times New Roman" w:eastAsia="Times New Roman" w:hAnsi="Times New Roman" w:cs="Times New Roman"/>
          <w:sz w:val="24"/>
          <w:szCs w:val="24"/>
        </w:rPr>
        <w:t xml:space="preserve"> </w:t>
      </w:r>
      <w:r w:rsidRPr="5964C294">
        <w:rPr>
          <w:rFonts w:ascii="Times New Roman" w:hAnsi="Times New Roman" w:cs="Times New Roman"/>
          <w:sz w:val="24"/>
          <w:szCs w:val="24"/>
        </w:rPr>
        <w:t xml:space="preserve">The number of </w:t>
      </w:r>
      <w:r>
        <w:rPr>
          <w:rFonts w:ascii="Times New Roman" w:hAnsi="Times New Roman" w:cs="Times New Roman"/>
          <w:sz w:val="24"/>
          <w:szCs w:val="24"/>
        </w:rPr>
        <w:t xml:space="preserve">MHDVs </w:t>
      </w:r>
      <w:r w:rsidRPr="5964C294">
        <w:rPr>
          <w:rFonts w:ascii="Times New Roman" w:hAnsi="Times New Roman" w:cs="Times New Roman"/>
          <w:sz w:val="24"/>
          <w:szCs w:val="24"/>
        </w:rPr>
        <w:t xml:space="preserve">projected to be produced in the United States by make and model and the plant locations where the projected </w:t>
      </w:r>
      <w:r>
        <w:rPr>
          <w:rFonts w:ascii="Times New Roman" w:hAnsi="Times New Roman" w:cs="Times New Roman"/>
          <w:sz w:val="24"/>
          <w:szCs w:val="24"/>
        </w:rPr>
        <w:t>MHDVs and MHDVPs</w:t>
      </w:r>
      <w:r w:rsidRPr="5964C294">
        <w:rPr>
          <w:rFonts w:ascii="Times New Roman" w:hAnsi="Times New Roman" w:cs="Times New Roman"/>
          <w:sz w:val="24"/>
          <w:szCs w:val="24"/>
        </w:rPr>
        <w:t xml:space="preserve"> will undergo final production during each reporting period. </w:t>
      </w:r>
      <w:r w:rsidRPr="5964C294">
        <w:rPr>
          <w:rFonts w:ascii="Times New Roman" w:eastAsia="Times New Roman" w:hAnsi="Times New Roman" w:cs="Times New Roman"/>
          <w:sz w:val="24"/>
          <w:szCs w:val="24"/>
        </w:rPr>
        <w:t xml:space="preserve">Manufacturers of </w:t>
      </w:r>
      <w:r>
        <w:rPr>
          <w:rFonts w:ascii="Times New Roman" w:eastAsia="Times New Roman" w:hAnsi="Times New Roman" w:cs="Times New Roman"/>
          <w:sz w:val="24"/>
          <w:szCs w:val="24"/>
        </w:rPr>
        <w:t>MHDVs must provide a description of</w:t>
      </w:r>
      <w:r w:rsidRPr="5964C294">
        <w:rPr>
          <w:rFonts w:ascii="Times New Roman" w:eastAsia="Times New Roman" w:hAnsi="Times New Roman" w:cs="Times New Roman"/>
          <w:sz w:val="24"/>
          <w:szCs w:val="24"/>
        </w:rPr>
        <w:t xml:space="preserve"> the U.S. manufacturing activities for each model at each plant location</w:t>
      </w:r>
      <w:r>
        <w:rPr>
          <w:rFonts w:ascii="Times New Roman" w:eastAsia="Times New Roman" w:hAnsi="Times New Roman" w:cs="Times New Roman"/>
          <w:sz w:val="24"/>
          <w:szCs w:val="24"/>
        </w:rPr>
        <w:t xml:space="preserve">, and </w:t>
      </w:r>
      <w:r w:rsidRPr="5964C294">
        <w:rPr>
          <w:rFonts w:ascii="Times New Roman" w:eastAsia="Times New Roman" w:hAnsi="Times New Roman" w:cs="Times New Roman"/>
          <w:sz w:val="24"/>
          <w:szCs w:val="24"/>
        </w:rPr>
        <w:t>must report U.S. manufacturing activities for each model at each plant location, including the location where each part identified as super-core and listed in Column 1 of Table A.2 of the Appendix to Chapter 4 of the U.S.-Mexico-Canada Agreement (USMCA) is incorporated into the finished vehicle, and the country of origin for each part.</w:t>
      </w:r>
    </w:p>
    <w:p w:rsidR="008D4932" w:rsidP="009E73DC" w14:paraId="1CC3E7E9" w14:textId="77777777">
      <w:pPr>
        <w:pStyle w:val="ListParagraph"/>
        <w:rPr>
          <w:rFonts w:ascii="Times New Roman" w:eastAsia="Times New Roman" w:hAnsi="Times New Roman" w:cs="Times New Roman"/>
          <w:sz w:val="24"/>
          <w:szCs w:val="24"/>
        </w:rPr>
      </w:pPr>
    </w:p>
    <w:p w:rsidR="0067713E" w:rsidP="009E73DC" w14:paraId="3B4E66F2" w14:textId="5D74B8EF">
      <w:pPr>
        <w:pStyle w:val="ListParagraph"/>
        <w:rPr>
          <w:rFonts w:ascii="Times New Roman" w:eastAsia="Times New Roman" w:hAnsi="Times New Roman" w:cs="Times New Roman"/>
          <w:sz w:val="24"/>
          <w:szCs w:val="24"/>
        </w:rPr>
      </w:pPr>
      <w:r w:rsidRPr="00721A82">
        <w:rPr>
          <w:rFonts w:ascii="Times New Roman" w:eastAsia="Times New Roman" w:hAnsi="Times New Roman" w:cs="Times New Roman"/>
          <w:sz w:val="24"/>
          <w:szCs w:val="24"/>
        </w:rPr>
        <w:t xml:space="preserve">For MHDV and automobile engines: The number of completed engines projected to be produced in the United States by model and the plant locations where the projected engines will undergo final production during each reporting period. Engine manufacturers shall also describe the U.S. manufacturing activities for each model at each plant location.  </w:t>
      </w:r>
    </w:p>
    <w:p w:rsidR="00207E89" w:rsidRPr="00721A82" w:rsidP="009E73DC" w14:paraId="2DF646F7" w14:textId="77777777">
      <w:pPr>
        <w:pStyle w:val="ListParagraph"/>
        <w:rPr>
          <w:rFonts w:ascii="Times New Roman" w:eastAsia="Times New Roman" w:hAnsi="Times New Roman" w:cs="Times New Roman"/>
          <w:sz w:val="24"/>
          <w:szCs w:val="24"/>
        </w:rPr>
      </w:pPr>
    </w:p>
    <w:p w:rsidR="00E61E4E" w:rsidP="00650264" w14:paraId="78D38CA0" w14:textId="0FB86700">
      <w:pPr>
        <w:pStyle w:val="ListParagraph"/>
        <w:numPr>
          <w:ilvl w:val="0"/>
          <w:numId w:val="9"/>
        </w:numPr>
        <w:rPr>
          <w:rFonts w:ascii="Times New Roman" w:hAnsi="Times New Roman" w:cs="Times New Roman"/>
          <w:sz w:val="24"/>
          <w:szCs w:val="24"/>
        </w:rPr>
      </w:pPr>
      <w:r w:rsidRPr="00AB0940">
        <w:rPr>
          <w:rFonts w:ascii="Times New Roman" w:hAnsi="Times New Roman" w:cs="Times New Roman"/>
          <w:b/>
          <w:bCs/>
          <w:sz w:val="24"/>
          <w:szCs w:val="24"/>
        </w:rPr>
        <w:t>MSRP</w:t>
      </w:r>
      <w:r w:rsidRPr="00825EFD" w:rsidR="00604D8B">
        <w:rPr>
          <w:rFonts w:ascii="Times New Roman" w:hAnsi="Times New Roman" w:cs="Times New Roman"/>
          <w:b/>
          <w:bCs/>
          <w:sz w:val="24"/>
          <w:szCs w:val="24"/>
        </w:rPr>
        <w:t xml:space="preserve"> </w:t>
      </w:r>
      <w:r w:rsidRPr="00825EFD" w:rsidR="00023E37">
        <w:rPr>
          <w:rFonts w:ascii="Times New Roman" w:hAnsi="Times New Roman" w:cs="Times New Roman"/>
          <w:b/>
          <w:bCs/>
          <w:sz w:val="24"/>
          <w:szCs w:val="24"/>
        </w:rPr>
        <w:t>or Aggregate</w:t>
      </w:r>
      <w:r w:rsidRPr="00825EFD" w:rsidR="00604D8B">
        <w:rPr>
          <w:rFonts w:ascii="Times New Roman" w:hAnsi="Times New Roman" w:cs="Times New Roman"/>
          <w:b/>
          <w:bCs/>
          <w:sz w:val="24"/>
          <w:szCs w:val="24"/>
        </w:rPr>
        <w:t xml:space="preserve"> Value</w:t>
      </w:r>
      <w:r w:rsidRPr="00604D8B">
        <w:rPr>
          <w:rFonts w:ascii="Times New Roman" w:hAnsi="Times New Roman" w:cs="Times New Roman"/>
          <w:b/>
          <w:bCs/>
          <w:sz w:val="24"/>
          <w:szCs w:val="24"/>
        </w:rPr>
        <w:t>:</w:t>
      </w:r>
      <w:r w:rsidRPr="00604D8B">
        <w:rPr>
          <w:rFonts w:ascii="Times New Roman" w:hAnsi="Times New Roman" w:cs="Times New Roman"/>
          <w:sz w:val="24"/>
          <w:szCs w:val="24"/>
        </w:rPr>
        <w:t xml:space="preserve"> </w:t>
      </w:r>
    </w:p>
    <w:p w:rsidR="00452DC9" w:rsidP="00207E89" w14:paraId="53FAB29E" w14:textId="002D7BAB">
      <w:pPr>
        <w:pStyle w:val="ListParagraph"/>
        <w:numPr>
          <w:ilvl w:val="1"/>
          <w:numId w:val="9"/>
        </w:numPr>
        <w:rPr>
          <w:rFonts w:ascii="Times New Roman" w:hAnsi="Times New Roman" w:cs="Times New Roman"/>
          <w:sz w:val="24"/>
          <w:szCs w:val="24"/>
        </w:rPr>
      </w:pPr>
      <w:r w:rsidRPr="00452DC9">
        <w:rPr>
          <w:rFonts w:ascii="Times New Roman" w:hAnsi="Times New Roman" w:cs="Times New Roman"/>
          <w:sz w:val="24"/>
          <w:szCs w:val="24"/>
        </w:rPr>
        <w:t xml:space="preserve">For MHDVs: The aggregate value of all such MHDVs identified in the Production Forecast as eligible for an offset assembled in the United States during each reporting period. The aggregate value shall not include the cost (if purchased from a third party) or value (if manufactured by the MHDV producer) of the engine contained in the MHDV; manufacturers must calculate the aggregate value using whichever of the following three valuation methods they used in the ordinary course of trade prior to November 1, 2025: MSRP, Dealer Net Cost, or </w:t>
      </w:r>
      <w:r w:rsidRPr="00452DC9">
        <w:rPr>
          <w:rFonts w:ascii="Times New Roman" w:hAnsi="Times New Roman" w:cs="Times New Roman"/>
          <w:sz w:val="24"/>
          <w:szCs w:val="24"/>
        </w:rPr>
        <w:t>Factory List Price. In calculating the cost of an engine purchased from a third party, manufacturers should use the price paid on the sale from the engine manufacturer to the MHDV manufacturer. In calculating the value of an engine that was not purchased from a third party, manufacturers should use a methodology consistent with the method for calculating net cost set out in Chapter 4 of the USMCA.</w:t>
      </w:r>
    </w:p>
    <w:p w:rsidR="00452DC9" w:rsidP="00207E89" w14:paraId="36915317" w14:textId="1642D8BA">
      <w:pPr>
        <w:pStyle w:val="ListParagraph"/>
        <w:numPr>
          <w:ilvl w:val="1"/>
          <w:numId w:val="9"/>
        </w:numPr>
        <w:rPr>
          <w:rFonts w:ascii="Times New Roman" w:hAnsi="Times New Roman" w:cs="Times New Roman"/>
          <w:sz w:val="24"/>
          <w:szCs w:val="24"/>
        </w:rPr>
      </w:pPr>
      <w:r w:rsidRPr="00452DC9">
        <w:rPr>
          <w:rFonts w:ascii="Times New Roman" w:hAnsi="Times New Roman" w:cs="Times New Roman"/>
          <w:sz w:val="24"/>
          <w:szCs w:val="24"/>
        </w:rPr>
        <w:t>For Automobiles: The aggregate MSRP value of all such automobiles identified in the Production Forecast as eligible for an offset assembled in the United States during each reporting period. For documentation covering production forecasts for May 1, 2026 and later, manufacturers must deduct the cost (if purchased from a third party) or value (if manufactured by the automobile producer) of the engine contained in the automobile from this MSRP value. In calculating the cost of the engine purchased from a third party, manufacturers should use the price paid on the sale from the engine manufacturer to the automobile manufacturer. In calculating the value of the engine, manufacturers should determine value using the net cost methodology set forth in Chapter 4 of the USMCA. Manufacturers are not required to deduct the cost or value of the automobile engine for documentation covering the April 5, 2025 through April 30, 2026 period.</w:t>
      </w:r>
    </w:p>
    <w:p w:rsidR="0078129E" w:rsidP="00207E89" w14:paraId="3280B5CC" w14:textId="11162262">
      <w:pPr>
        <w:pStyle w:val="ListParagraph"/>
        <w:numPr>
          <w:ilvl w:val="1"/>
          <w:numId w:val="9"/>
        </w:numPr>
        <w:rPr>
          <w:rFonts w:ascii="Times New Roman" w:hAnsi="Times New Roman" w:cs="Times New Roman"/>
          <w:sz w:val="24"/>
          <w:szCs w:val="24"/>
        </w:rPr>
      </w:pPr>
      <w:r w:rsidRPr="000A6017">
        <w:rPr>
          <w:rFonts w:ascii="Times New Roman" w:hAnsi="Times New Roman" w:cs="Times New Roman"/>
          <w:sz w:val="24"/>
          <w:szCs w:val="24"/>
        </w:rPr>
        <w:t xml:space="preserve">For MHDV and automobile engines: The aggregate value of all such engines identified in the Production Forecast as eligible for an offset assembled in the United States during each reporting period. Vehicle manufacturers </w:t>
      </w:r>
      <w:r>
        <w:rPr>
          <w:rFonts w:ascii="Times New Roman" w:hAnsi="Times New Roman" w:cs="Times New Roman"/>
          <w:sz w:val="24"/>
          <w:szCs w:val="24"/>
        </w:rPr>
        <w:t xml:space="preserve">that also produce engines </w:t>
      </w:r>
      <w:r w:rsidRPr="000A6017">
        <w:rPr>
          <w:rFonts w:ascii="Times New Roman" w:hAnsi="Times New Roman" w:cs="Times New Roman"/>
          <w:sz w:val="24"/>
          <w:szCs w:val="24"/>
        </w:rPr>
        <w:t xml:space="preserve">must calculate the aggregate value using a methodology consistent with the method for calculating net cost set out in Chapter 4 of the USMCA. Independent engine manufacturers may calculate the aggregate value based on the fair market value of the engine, using a pricing methodology employed by the manufacturer in the ordinary course of trade prior to November 1, 2025, provided that methodology does not excessively </w:t>
      </w:r>
      <w:r>
        <w:rPr>
          <w:rFonts w:ascii="Times New Roman" w:hAnsi="Times New Roman" w:cs="Times New Roman"/>
          <w:sz w:val="24"/>
          <w:szCs w:val="24"/>
        </w:rPr>
        <w:t>surpass</w:t>
      </w:r>
      <w:r w:rsidRPr="000A6017">
        <w:rPr>
          <w:rFonts w:ascii="Times New Roman" w:hAnsi="Times New Roman" w:cs="Times New Roman"/>
          <w:sz w:val="24"/>
          <w:szCs w:val="24"/>
        </w:rPr>
        <w:t xml:space="preserve"> the net cost of the engine (determined</w:t>
      </w:r>
      <w:r>
        <w:rPr>
          <w:rFonts w:ascii="Times New Roman" w:hAnsi="Times New Roman" w:cs="Times New Roman"/>
          <w:sz w:val="24"/>
          <w:szCs w:val="24"/>
        </w:rPr>
        <w:t xml:space="preserve"> consistent with the method for calculating net cost</w:t>
      </w:r>
      <w:r w:rsidRPr="000A6017">
        <w:rPr>
          <w:rFonts w:ascii="Times New Roman" w:hAnsi="Times New Roman" w:cs="Times New Roman"/>
          <w:sz w:val="24"/>
          <w:szCs w:val="24"/>
        </w:rPr>
        <w:t xml:space="preserve"> set out in Chapter 4 of the USMCA).</w:t>
      </w:r>
    </w:p>
    <w:p w:rsidR="0078129E" w:rsidRPr="00604D8B" w:rsidP="00207E89" w14:paraId="5AF4DE6C" w14:textId="2737302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For MHDV and automobile engines:  Report the value and share of U.S. content contained in the assembled engine as set out in Chapter 4 of the USMCA.</w:t>
      </w:r>
    </w:p>
    <w:p w:rsidR="00B10864" w:rsidRPr="00B10864" w:rsidP="00B10864" w14:paraId="0E4BE59C" w14:textId="33C66838">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Tariff Liability Estimate:</w:t>
      </w:r>
      <w:r w:rsidRPr="00E61E4E">
        <w:rPr>
          <w:rFonts w:ascii="Times New Roman" w:hAnsi="Times New Roman" w:cs="Times New Roman"/>
          <w:sz w:val="24"/>
          <w:szCs w:val="24"/>
        </w:rPr>
        <w:t xml:space="preserve"> Projected </w:t>
      </w:r>
      <w:r w:rsidRPr="00713EF0" w:rsidR="00713EF0">
        <w:rPr>
          <w:rFonts w:ascii="Times New Roman" w:hAnsi="Times New Roman" w:cs="Times New Roman"/>
          <w:sz w:val="24"/>
          <w:szCs w:val="24"/>
        </w:rPr>
        <w:t>automobile</w:t>
      </w:r>
      <w:r w:rsidR="00B33DB6">
        <w:rPr>
          <w:rFonts w:ascii="Times New Roman" w:hAnsi="Times New Roman" w:cs="Times New Roman"/>
          <w:sz w:val="24"/>
          <w:szCs w:val="24"/>
        </w:rPr>
        <w:t xml:space="preserve"> and their </w:t>
      </w:r>
      <w:r w:rsidRPr="00E61E4E">
        <w:rPr>
          <w:rFonts w:ascii="Times New Roman" w:hAnsi="Times New Roman" w:cs="Times New Roman"/>
          <w:sz w:val="24"/>
          <w:szCs w:val="24"/>
        </w:rPr>
        <w:t xml:space="preserve">parts tariff liability under Proclamation </w:t>
      </w:r>
      <w:r w:rsidRPr="00825EFD">
        <w:rPr>
          <w:rFonts w:ascii="Times New Roman" w:hAnsi="Times New Roman" w:cs="Times New Roman"/>
          <w:sz w:val="24"/>
          <w:szCs w:val="24"/>
        </w:rPr>
        <w:t>10908</w:t>
      </w:r>
      <w:r w:rsidRPr="00825EFD" w:rsidR="00604D8B">
        <w:rPr>
          <w:rFonts w:ascii="Times New Roman" w:hAnsi="Times New Roman" w:cs="Times New Roman"/>
          <w:sz w:val="24"/>
          <w:szCs w:val="24"/>
        </w:rPr>
        <w:t xml:space="preserve"> </w:t>
      </w:r>
      <w:r w:rsidRPr="00825EFD">
        <w:rPr>
          <w:rFonts w:ascii="Times New Roman" w:hAnsi="Times New Roman" w:cs="Times New Roman"/>
          <w:sz w:val="24"/>
          <w:szCs w:val="24"/>
        </w:rPr>
        <w:t>or under clause 12 of Proclamation 10984, broken down by Proclamation 10908</w:t>
      </w:r>
      <w:r w:rsidRPr="00825EFD" w:rsidR="00604D8B">
        <w:rPr>
          <w:rFonts w:ascii="Times New Roman" w:hAnsi="Times New Roman" w:cs="Times New Roman"/>
          <w:sz w:val="24"/>
          <w:szCs w:val="24"/>
        </w:rPr>
        <w:t xml:space="preserve"> and 10984</w:t>
      </w:r>
      <w:r w:rsidRPr="00825EFD">
        <w:rPr>
          <w:rFonts w:ascii="Times New Roman" w:hAnsi="Times New Roman" w:cs="Times New Roman"/>
          <w:sz w:val="24"/>
          <w:szCs w:val="24"/>
        </w:rPr>
        <w:t xml:space="preserve"> tariff costs the manufacturer will incur directly and Proclamation 10908 </w:t>
      </w:r>
      <w:r w:rsidRPr="00825EFD" w:rsidR="00604D8B">
        <w:rPr>
          <w:rFonts w:ascii="Times New Roman" w:hAnsi="Times New Roman" w:cs="Times New Roman"/>
          <w:sz w:val="24"/>
          <w:szCs w:val="24"/>
        </w:rPr>
        <w:t xml:space="preserve">and 10984 </w:t>
      </w:r>
      <w:r w:rsidRPr="00825EFD">
        <w:rPr>
          <w:rFonts w:ascii="Times New Roman" w:hAnsi="Times New Roman" w:cs="Times New Roman"/>
          <w:sz w:val="24"/>
          <w:szCs w:val="24"/>
        </w:rPr>
        <w:t>tariff</w:t>
      </w:r>
      <w:r w:rsidRPr="00E61E4E">
        <w:rPr>
          <w:rFonts w:ascii="Times New Roman" w:hAnsi="Times New Roman" w:cs="Times New Roman"/>
          <w:sz w:val="24"/>
          <w:szCs w:val="24"/>
        </w:rPr>
        <w:t xml:space="preserve"> costs the manufacturer’s suppliers will incur.</w:t>
      </w:r>
      <w:r>
        <w:rPr>
          <w:rFonts w:ascii="Times New Roman" w:hAnsi="Times New Roman" w:cs="Times New Roman"/>
          <w:sz w:val="24"/>
          <w:szCs w:val="24"/>
        </w:rPr>
        <w:t xml:space="preserve">  For MHDVs</w:t>
      </w:r>
      <w:r w:rsidR="0041547E">
        <w:rPr>
          <w:rFonts w:ascii="Times New Roman" w:hAnsi="Times New Roman" w:cs="Times New Roman"/>
          <w:sz w:val="24"/>
          <w:szCs w:val="24"/>
        </w:rPr>
        <w:t xml:space="preserve"> and MHDVPs, the</w:t>
      </w:r>
      <w:r>
        <w:rPr>
          <w:rFonts w:ascii="Times New Roman" w:hAnsi="Times New Roman" w:cs="Times New Roman"/>
          <w:sz w:val="24"/>
          <w:szCs w:val="24"/>
        </w:rPr>
        <w:t xml:space="preserve"> </w:t>
      </w:r>
      <w:r w:rsidR="0041547E">
        <w:rPr>
          <w:rFonts w:ascii="Times New Roman" w:hAnsi="Times New Roman" w:cs="Times New Roman"/>
          <w:sz w:val="24"/>
          <w:szCs w:val="24"/>
        </w:rPr>
        <w:t>p</w:t>
      </w:r>
      <w:r w:rsidRPr="00B10864">
        <w:rPr>
          <w:rFonts w:ascii="Times New Roman" w:hAnsi="Times New Roman" w:cs="Times New Roman"/>
          <w:sz w:val="24"/>
          <w:szCs w:val="24"/>
        </w:rPr>
        <w:t>rojected</w:t>
      </w:r>
      <w:r w:rsidR="00CC22F0">
        <w:rPr>
          <w:rFonts w:ascii="Times New Roman" w:hAnsi="Times New Roman" w:cs="Times New Roman"/>
          <w:sz w:val="24"/>
          <w:szCs w:val="24"/>
        </w:rPr>
        <w:t xml:space="preserve"> </w:t>
      </w:r>
      <w:r w:rsidRPr="00B10864">
        <w:rPr>
          <w:rFonts w:ascii="Times New Roman" w:hAnsi="Times New Roman" w:cs="Times New Roman"/>
          <w:sz w:val="24"/>
          <w:szCs w:val="24"/>
        </w:rPr>
        <w:t xml:space="preserve">tariff liability under clauses 1, 7, and 12 of Proclamation 10984, broken down by Proclamation 10984 tariff costs the manufacturer will incur directly and Proclamation 10984 tariff costs the manufacturer’s suppliers will incur. </w:t>
      </w:r>
      <w:r w:rsidRPr="03C94AE2" w:rsidR="00EB2494">
        <w:rPr>
          <w:rFonts w:ascii="Times New Roman" w:hAnsi="Times New Roman" w:cs="Times New Roman"/>
          <w:sz w:val="24"/>
          <w:szCs w:val="24"/>
        </w:rPr>
        <w:t>For MHDV</w:t>
      </w:r>
      <w:r w:rsidR="00EB2494">
        <w:rPr>
          <w:rFonts w:ascii="Times New Roman" w:hAnsi="Times New Roman" w:cs="Times New Roman"/>
          <w:sz w:val="24"/>
          <w:szCs w:val="24"/>
        </w:rPr>
        <w:t xml:space="preserve"> engine</w:t>
      </w:r>
      <w:r w:rsidRPr="03C94AE2" w:rsidR="00EB2494">
        <w:rPr>
          <w:rFonts w:ascii="Times New Roman" w:hAnsi="Times New Roman" w:cs="Times New Roman"/>
          <w:sz w:val="24"/>
          <w:szCs w:val="24"/>
        </w:rPr>
        <w:t>s</w:t>
      </w:r>
      <w:r w:rsidR="00EB2494">
        <w:rPr>
          <w:rFonts w:ascii="Times New Roman" w:hAnsi="Times New Roman" w:cs="Times New Roman"/>
          <w:sz w:val="24"/>
          <w:szCs w:val="24"/>
        </w:rPr>
        <w:t>, the</w:t>
      </w:r>
      <w:r w:rsidR="00662179">
        <w:rPr>
          <w:rFonts w:ascii="Times New Roman" w:hAnsi="Times New Roman" w:cs="Times New Roman"/>
          <w:sz w:val="24"/>
          <w:szCs w:val="24"/>
        </w:rPr>
        <w:t xml:space="preserve"> p</w:t>
      </w:r>
      <w:r w:rsidRPr="03C94AE2" w:rsidR="00EB2494">
        <w:rPr>
          <w:rFonts w:ascii="Times New Roman" w:hAnsi="Times New Roman" w:cs="Times New Roman"/>
          <w:sz w:val="24"/>
          <w:szCs w:val="24"/>
        </w:rPr>
        <w:t>rojected MHDVPs tariff liability under clauses 1, 7, and 12 of Proclamation 10984, broken down by Proclamation 10984 tariff costs the manufacturer will incur directly and Proclamation 10984 tariff costs the manufacturer’s suppliers will incur.</w:t>
      </w:r>
      <w:r w:rsidR="00662179">
        <w:rPr>
          <w:rFonts w:ascii="Times New Roman" w:hAnsi="Times New Roman" w:cs="Times New Roman"/>
          <w:sz w:val="24"/>
          <w:szCs w:val="24"/>
        </w:rPr>
        <w:t xml:space="preserve">  </w:t>
      </w:r>
      <w:r w:rsidRPr="7613F300" w:rsidR="00101527">
        <w:rPr>
          <w:rFonts w:ascii="Times New Roman" w:hAnsi="Times New Roman" w:cs="Times New Roman"/>
          <w:sz w:val="24"/>
          <w:szCs w:val="24"/>
        </w:rPr>
        <w:t xml:space="preserve">For </w:t>
      </w:r>
      <w:r w:rsidR="00B33DB6">
        <w:rPr>
          <w:rFonts w:ascii="Times New Roman" w:hAnsi="Times New Roman" w:cs="Times New Roman"/>
          <w:sz w:val="24"/>
          <w:szCs w:val="24"/>
        </w:rPr>
        <w:t>a</w:t>
      </w:r>
      <w:r w:rsidRPr="7613F300" w:rsidR="00101527">
        <w:rPr>
          <w:rFonts w:ascii="Times New Roman" w:hAnsi="Times New Roman" w:cs="Times New Roman"/>
          <w:sz w:val="24"/>
          <w:szCs w:val="24"/>
        </w:rPr>
        <w:t>utomobile</w:t>
      </w:r>
      <w:r w:rsidR="00101527">
        <w:rPr>
          <w:rFonts w:ascii="Times New Roman" w:hAnsi="Times New Roman" w:cs="Times New Roman"/>
          <w:sz w:val="24"/>
          <w:szCs w:val="24"/>
        </w:rPr>
        <w:t xml:space="preserve"> engines</w:t>
      </w:r>
      <w:r w:rsidR="00077004">
        <w:rPr>
          <w:rFonts w:ascii="Times New Roman" w:hAnsi="Times New Roman" w:cs="Times New Roman"/>
          <w:sz w:val="24"/>
          <w:szCs w:val="24"/>
        </w:rPr>
        <w:t>, the p</w:t>
      </w:r>
      <w:r w:rsidRPr="7613F300" w:rsidR="00101527">
        <w:rPr>
          <w:rFonts w:ascii="Times New Roman" w:eastAsia="Times New Roman" w:hAnsi="Times New Roman" w:cs="Times New Roman"/>
          <w:sz w:val="24"/>
          <w:szCs w:val="24"/>
        </w:rPr>
        <w:t xml:space="preserve">rojected automobile parts tariff liability under Proclamation 10908 or under clause 12 of Proclamation 10984, broken </w:t>
      </w:r>
      <w:r w:rsidRPr="7613F300" w:rsidR="00101527">
        <w:rPr>
          <w:rFonts w:ascii="Times New Roman" w:eastAsia="Times New Roman" w:hAnsi="Times New Roman" w:cs="Times New Roman"/>
          <w:sz w:val="24"/>
          <w:szCs w:val="24"/>
        </w:rPr>
        <w:t>down by tariff costs the manufacturer will incur directly and tariff costs the manufacturer’s suppliers will incur.</w:t>
      </w:r>
    </w:p>
    <w:p w:rsidR="002C7FFA" w:rsidRPr="00B33DB6" w:rsidP="00B33DB6" w14:paraId="49109FBC" w14:textId="0A3FE9F4">
      <w:pPr>
        <w:numPr>
          <w:ilvl w:val="0"/>
          <w:numId w:val="9"/>
        </w:numPr>
        <w:spacing w:line="256" w:lineRule="auto"/>
        <w:rPr>
          <w:rFonts w:ascii="Times New Roman" w:hAnsi="Times New Roman" w:cs="Times New Roman"/>
          <w:sz w:val="24"/>
          <w:szCs w:val="24"/>
        </w:rPr>
      </w:pPr>
      <w:r>
        <w:rPr>
          <w:rFonts w:ascii="Times New Roman" w:hAnsi="Times New Roman" w:cs="Times New Roman"/>
          <w:b/>
          <w:bCs/>
          <w:sz w:val="24"/>
          <w:szCs w:val="24"/>
        </w:rPr>
        <w:t xml:space="preserve">Prior Year Production and Vehicle Value: </w:t>
      </w:r>
      <w:r>
        <w:rPr>
          <w:rFonts w:ascii="Times New Roman" w:hAnsi="Times New Roman" w:cs="Times New Roman"/>
          <w:sz w:val="24"/>
          <w:szCs w:val="24"/>
        </w:rPr>
        <w:t xml:space="preserve">If a manufacturer received an offset in the previous year, the manufacturer must provide the number of completed </w:t>
      </w:r>
      <w:r w:rsidR="00713EF0">
        <w:rPr>
          <w:rFonts w:ascii="Times New Roman" w:hAnsi="Times New Roman" w:cs="Times New Roman"/>
          <w:sz w:val="24"/>
          <w:szCs w:val="24"/>
        </w:rPr>
        <w:t xml:space="preserve">automobiles </w:t>
      </w:r>
      <w:r>
        <w:rPr>
          <w:rFonts w:ascii="Times New Roman" w:hAnsi="Times New Roman" w:cs="Times New Roman"/>
          <w:sz w:val="24"/>
          <w:szCs w:val="24"/>
        </w:rPr>
        <w:t xml:space="preserve">produced in the United States in the previous reporting period, the aggregate value of those </w:t>
      </w:r>
      <w:r w:rsidR="00B33DB6">
        <w:rPr>
          <w:rFonts w:ascii="Times New Roman" w:hAnsi="Times New Roman" w:cs="Times New Roman"/>
          <w:sz w:val="24"/>
          <w:szCs w:val="24"/>
        </w:rPr>
        <w:t>automobiles</w:t>
      </w:r>
      <w:r>
        <w:rPr>
          <w:rFonts w:ascii="Times New Roman" w:hAnsi="Times New Roman" w:cs="Times New Roman"/>
          <w:sz w:val="24"/>
          <w:szCs w:val="24"/>
        </w:rPr>
        <w:t xml:space="preserve">, and for MHDVs, a description of the U.S. manufacturing activities for each model at each plant location.  In providing these figures, manufacturers must use </w:t>
      </w:r>
      <w:r>
        <w:rPr>
          <w:rFonts w:ascii="Times New Roman" w:eastAsia="Times New Roman" w:hAnsi="Times New Roman" w:cs="Times New Roman"/>
          <w:sz w:val="24"/>
          <w:szCs w:val="24"/>
        </w:rPr>
        <w:t xml:space="preserve">the same production calculation and vehicle value methodology used in the prior year’s application (for automobiles) and </w:t>
      </w:r>
      <w:r>
        <w:rPr>
          <w:rFonts w:ascii="Times New Roman" w:hAnsi="Times New Roman" w:cs="Times New Roman"/>
          <w:sz w:val="24"/>
          <w:szCs w:val="24"/>
        </w:rPr>
        <w:t>must use the eligibility considerations and vehicle value methodology used in the prior year’s application (for MHDVs).</w:t>
      </w:r>
      <w:r w:rsidRPr="00DB60D6">
        <w:rPr>
          <w:rFonts w:ascii="Times New Roman" w:hAnsi="Times New Roman" w:cs="Times New Roman"/>
          <w:sz w:val="24"/>
          <w:szCs w:val="24"/>
        </w:rPr>
        <w:t>For MHDV and automobile engines: If a manufacturer received an offset in the previous year, the manufacturer must provide the number of completed engines produced in the United States in the previous reporting period, the aggregate value of those engines, and a description of the U.S. manufacturing activities for each engine model at each plant location. In providing these figures, manufacturers must use the eligibility considerations and value methodology used in the prior year’s application.</w:t>
      </w:r>
    </w:p>
    <w:p w:rsidR="00E61E4E" w:rsidRPr="00E61E4E" w:rsidP="0008606E" w14:paraId="74F6A7D0" w14:textId="5DAFDA0E">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Offset Calculation:</w:t>
      </w:r>
      <w:r w:rsidRPr="00E61E4E">
        <w:rPr>
          <w:rFonts w:ascii="Times New Roman" w:hAnsi="Times New Roman" w:cs="Times New Roman"/>
          <w:sz w:val="24"/>
          <w:szCs w:val="24"/>
        </w:rPr>
        <w:t xml:space="preserve"> Requested total import adjustment offset amount for each reporting period, including details of how such amount was calculated.</w:t>
      </w:r>
    </w:p>
    <w:p w:rsidR="00E61E4E" w:rsidRPr="00E61E4E" w:rsidP="0008606E" w14:paraId="3590C203" w14:textId="6D4B946D">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Importers of Record:</w:t>
      </w:r>
      <w:r w:rsidRPr="00E61E4E">
        <w:rPr>
          <w:rFonts w:ascii="Times New Roman" w:hAnsi="Times New Roman" w:cs="Times New Roman"/>
          <w:sz w:val="24"/>
          <w:szCs w:val="24"/>
        </w:rPr>
        <w:t xml:space="preserve"> A list of authorized importers of record eligible to decrement against the manufacturer’s import adjustment offset amount. This list must include the importer’s Importer of Record </w:t>
      </w:r>
      <w:r w:rsidRPr="00E61E4E" w:rsidR="00CC73C2">
        <w:rPr>
          <w:rFonts w:ascii="Times New Roman" w:hAnsi="Times New Roman" w:cs="Times New Roman"/>
          <w:sz w:val="24"/>
          <w:szCs w:val="24"/>
        </w:rPr>
        <w:t>number,</w:t>
      </w:r>
      <w:r w:rsidRPr="00E61E4E">
        <w:rPr>
          <w:rFonts w:ascii="Times New Roman" w:hAnsi="Times New Roman" w:cs="Times New Roman"/>
          <w:sz w:val="24"/>
          <w:szCs w:val="24"/>
        </w:rPr>
        <w:t xml:space="preserve"> and the amount of the import adjustment offset amount allotted to each importer of record. Updates to this list may be submitted electronically to Commerce at </w:t>
      </w:r>
      <w:hyperlink r:id="rId9" w:history="1">
        <w:r w:rsidRPr="00F01B54" w:rsidR="00C66183">
          <w:rPr>
            <w:rStyle w:val="Hyperlink"/>
            <w:rFonts w:ascii="Times New Roman" w:hAnsi="Times New Roman" w:cs="Times New Roman"/>
            <w:sz w:val="24"/>
            <w:szCs w:val="24"/>
          </w:rPr>
          <w:t>autooffset@trade.gov</w:t>
        </w:r>
      </w:hyperlink>
      <w:r w:rsidR="00AB00EF">
        <w:t>.</w:t>
      </w:r>
      <w:r w:rsidR="00C66183">
        <w:rPr>
          <w:rFonts w:ascii="Times New Roman" w:hAnsi="Times New Roman" w:cs="Times New Roman"/>
          <w:sz w:val="24"/>
          <w:szCs w:val="24"/>
        </w:rPr>
        <w:t xml:space="preserve"> </w:t>
      </w:r>
      <w:r w:rsidRPr="00E61E4E">
        <w:rPr>
          <w:rFonts w:ascii="Times New Roman" w:hAnsi="Times New Roman" w:cs="Times New Roman"/>
          <w:sz w:val="24"/>
          <w:szCs w:val="24"/>
        </w:rPr>
        <w:t>At its discretion, Commerce may update this list at other times during the program period.</w:t>
      </w:r>
    </w:p>
    <w:p w:rsidR="00E61E4E" w:rsidRPr="0008606E" w:rsidP="0008606E" w14:paraId="0D6FB2DA" w14:textId="046DC2E2">
      <w:pPr>
        <w:numPr>
          <w:ilvl w:val="0"/>
          <w:numId w:val="9"/>
        </w:numPr>
        <w:rPr>
          <w:rFonts w:ascii="Times New Roman" w:hAnsi="Times New Roman"/>
          <w:sz w:val="24"/>
        </w:rPr>
      </w:pPr>
      <w:r w:rsidRPr="00E61E4E">
        <w:rPr>
          <w:rFonts w:ascii="Times New Roman" w:hAnsi="Times New Roman" w:cs="Times New Roman"/>
          <w:b/>
          <w:bCs/>
          <w:sz w:val="24"/>
          <w:szCs w:val="24"/>
        </w:rPr>
        <w:t>Certification:</w:t>
      </w:r>
      <w:r w:rsidRPr="00E61E4E">
        <w:rPr>
          <w:rFonts w:ascii="Times New Roman" w:hAnsi="Times New Roman" w:cs="Times New Roman"/>
          <w:sz w:val="24"/>
          <w:szCs w:val="24"/>
        </w:rPr>
        <w:t xml:space="preserve"> A sworn statement from a senior officer of the manufacturer confirming that the submission is true, accurate, and complete to the best of the manufacturer’s knowledge under penalty of </w:t>
      </w:r>
      <w:r w:rsidRPr="00E61E4E" w:rsidR="00211C9D">
        <w:rPr>
          <w:rFonts w:ascii="Times New Roman" w:hAnsi="Times New Roman" w:cs="Times New Roman"/>
          <w:sz w:val="24"/>
          <w:szCs w:val="24"/>
        </w:rPr>
        <w:t>perjury and</w:t>
      </w:r>
      <w:r w:rsidRPr="00E61E4E">
        <w:rPr>
          <w:rFonts w:ascii="Times New Roman" w:hAnsi="Times New Roman" w:cs="Times New Roman"/>
          <w:sz w:val="24"/>
          <w:szCs w:val="24"/>
        </w:rPr>
        <w:t xml:space="preserve"> confirming that the manufacturer has conducted reasonable diligence to verify the accuracy of the assertions and facts contained in its submissions.</w:t>
      </w:r>
    </w:p>
    <w:p w:rsidR="00E61E4E" w:rsidRPr="00E61E4E" w:rsidP="00E61E4E" w14:paraId="112D0CCC" w14:textId="48112B60">
      <w:pPr>
        <w:numPr>
          <w:ilvl w:val="0"/>
          <w:numId w:val="9"/>
        </w:numPr>
        <w:rPr>
          <w:rFonts w:ascii="Times New Roman" w:hAnsi="Times New Roman" w:cs="Times New Roman"/>
          <w:sz w:val="24"/>
          <w:szCs w:val="24"/>
        </w:rPr>
      </w:pPr>
      <w:r w:rsidRPr="00E61E4E">
        <w:rPr>
          <w:rFonts w:ascii="Times New Roman" w:hAnsi="Times New Roman" w:cs="Times New Roman"/>
          <w:b/>
          <w:bCs/>
          <w:sz w:val="24"/>
          <w:szCs w:val="24"/>
        </w:rPr>
        <w:t>Additional Information:</w:t>
      </w:r>
      <w:r w:rsidRPr="00E61E4E">
        <w:rPr>
          <w:rFonts w:ascii="Times New Roman" w:hAnsi="Times New Roman" w:cs="Times New Roman"/>
          <w:sz w:val="24"/>
          <w:szCs w:val="24"/>
        </w:rPr>
        <w:t xml:space="preserve"> Any other information the applicant feels is necessary to facilitate decision making</w:t>
      </w:r>
      <w:r w:rsidR="00B10864">
        <w:rPr>
          <w:rFonts w:ascii="Times New Roman" w:hAnsi="Times New Roman" w:cs="Times New Roman"/>
          <w:sz w:val="24"/>
          <w:szCs w:val="24"/>
        </w:rPr>
        <w:t>.</w:t>
      </w:r>
    </w:p>
    <w:p w:rsidR="00C6370F" w:rsidP="00C6370F" w14:paraId="53E22827" w14:textId="3BEC5B35">
      <w:pPr>
        <w:pStyle w:val="BodyText"/>
        <w:ind w:right="367"/>
        <w:rPr>
          <w:rFonts w:ascii="Times New Roman" w:hAnsi="Times New Roman" w:cs="Times New Roman"/>
        </w:rPr>
      </w:pPr>
      <w:r w:rsidRPr="00C6370F">
        <w:rPr>
          <w:rFonts w:ascii="Times New Roman" w:hAnsi="Times New Roman" w:cs="Times New Roman"/>
        </w:rPr>
        <w:t xml:space="preserve">The </w:t>
      </w:r>
      <w:r w:rsidRPr="00C6370F" w:rsidR="00367625">
        <w:rPr>
          <w:rFonts w:ascii="Times New Roman" w:hAnsi="Times New Roman" w:cs="Times New Roman"/>
        </w:rPr>
        <w:t>information collected</w:t>
      </w:r>
      <w:r w:rsidRPr="00C6370F">
        <w:rPr>
          <w:rFonts w:ascii="Times New Roman" w:hAnsi="Times New Roman" w:cs="Times New Roman"/>
        </w:rPr>
        <w:t xml:space="preserve"> will be used by </w:t>
      </w:r>
      <w:r>
        <w:rPr>
          <w:rFonts w:ascii="Times New Roman" w:hAnsi="Times New Roman" w:cs="Times New Roman"/>
        </w:rPr>
        <w:t>Commerce</w:t>
      </w:r>
      <w:r w:rsidRPr="00C6370F">
        <w:rPr>
          <w:rFonts w:ascii="Times New Roman" w:hAnsi="Times New Roman" w:cs="Times New Roman"/>
        </w:rPr>
        <w:t xml:space="preserve"> staff </w:t>
      </w:r>
      <w:r w:rsidR="00444052">
        <w:rPr>
          <w:rFonts w:ascii="Times New Roman" w:hAnsi="Times New Roman" w:cs="Times New Roman"/>
        </w:rPr>
        <w:t>to</w:t>
      </w:r>
      <w:r w:rsidRPr="00C6370F">
        <w:rPr>
          <w:rFonts w:ascii="Times New Roman" w:hAnsi="Times New Roman" w:cs="Times New Roman"/>
        </w:rPr>
        <w:t xml:space="preserve"> </w:t>
      </w:r>
      <w:r w:rsidR="00163B23">
        <w:rPr>
          <w:rFonts w:ascii="Times New Roman" w:hAnsi="Times New Roman" w:cs="Times New Roman"/>
        </w:rPr>
        <w:t>facilitat</w:t>
      </w:r>
      <w:r w:rsidR="00444052">
        <w:rPr>
          <w:rFonts w:ascii="Times New Roman" w:hAnsi="Times New Roman" w:cs="Times New Roman"/>
        </w:rPr>
        <w:t>e</w:t>
      </w:r>
      <w:r w:rsidR="00163B23">
        <w:rPr>
          <w:rFonts w:ascii="Times New Roman" w:hAnsi="Times New Roman" w:cs="Times New Roman"/>
        </w:rPr>
        <w:t xml:space="preserve"> the Secretary’s review of the applications</w:t>
      </w:r>
      <w:r w:rsidR="00444052">
        <w:rPr>
          <w:rFonts w:ascii="Times New Roman" w:hAnsi="Times New Roman" w:cs="Times New Roman"/>
        </w:rPr>
        <w:t xml:space="preserve"> and to make a determination of eligibility</w:t>
      </w:r>
      <w:r w:rsidR="00EE5DD3">
        <w:rPr>
          <w:rFonts w:ascii="Times New Roman" w:hAnsi="Times New Roman" w:cs="Times New Roman"/>
        </w:rPr>
        <w:t xml:space="preserve"> for the tariff offset on </w:t>
      </w:r>
      <w:r w:rsidR="002B6B9B">
        <w:rPr>
          <w:rFonts w:ascii="Times New Roman" w:hAnsi="Times New Roman" w:cs="Times New Roman"/>
        </w:rPr>
        <w:t>their imported parts</w:t>
      </w:r>
      <w:r w:rsidR="00444052">
        <w:rPr>
          <w:rFonts w:ascii="Times New Roman" w:hAnsi="Times New Roman" w:cs="Times New Roman"/>
        </w:rPr>
        <w:t xml:space="preserve">.  </w:t>
      </w:r>
    </w:p>
    <w:p w:rsidR="00DB3728" w:rsidP="00C6370F" w14:paraId="5F5B6FAC" w14:textId="1DA04890">
      <w:pPr>
        <w:pStyle w:val="BodyText"/>
        <w:ind w:right="367"/>
        <w:rPr>
          <w:rFonts w:ascii="Times New Roman" w:hAnsi="Times New Roman" w:cs="Times New Roman"/>
        </w:rPr>
      </w:pPr>
      <w:r w:rsidRPr="00DB3728">
        <w:rPr>
          <w:rFonts w:ascii="Times New Roman" w:hAnsi="Times New Roman" w:cs="Times New Roman"/>
        </w:rPr>
        <w:t xml:space="preserve">The collection is voluntary, and the frequency will be </w:t>
      </w:r>
      <w:r w:rsidR="00F067F4">
        <w:rPr>
          <w:rFonts w:ascii="Times New Roman" w:hAnsi="Times New Roman" w:cs="Times New Roman"/>
        </w:rPr>
        <w:t xml:space="preserve">ongoing with </w:t>
      </w:r>
      <w:r w:rsidR="00671EF7">
        <w:rPr>
          <w:rFonts w:ascii="Times New Roman" w:hAnsi="Times New Roman" w:cs="Times New Roman"/>
        </w:rPr>
        <w:t xml:space="preserve">manufacturers submitting </w:t>
      </w:r>
      <w:r w:rsidR="00364EAB">
        <w:rPr>
          <w:rFonts w:ascii="Times New Roman" w:hAnsi="Times New Roman" w:cs="Times New Roman"/>
        </w:rPr>
        <w:t xml:space="preserve">an initial request </w:t>
      </w:r>
      <w:r w:rsidR="0089245E">
        <w:rPr>
          <w:rFonts w:ascii="Times New Roman" w:hAnsi="Times New Roman" w:cs="Times New Roman"/>
        </w:rPr>
        <w:t xml:space="preserve">and amendments to their request as needed.  </w:t>
      </w:r>
    </w:p>
    <w:p w:rsidR="008B1746" w:rsidP="00920DFF" w14:paraId="6CECD7D5" w14:textId="77777777">
      <w:pPr>
        <w:spacing w:after="0"/>
        <w:rPr>
          <w:rFonts w:ascii="Times New Roman" w:hAnsi="Times New Roman" w:cs="Times New Roman"/>
          <w:sz w:val="24"/>
          <w:szCs w:val="24"/>
        </w:rPr>
      </w:pPr>
    </w:p>
    <w:p w:rsidR="008C744F" w:rsidRPr="00FA470D" w:rsidP="008C744F" w14:paraId="61D0A1CC" w14:textId="77777777">
      <w:r>
        <w:pict>
          <v:rect id="_x0000_i1026" style="width:405pt;height:0.75pt" o:hrpct="0" o:hralign="center" o:hrstd="t" o:hrnoshade="t" o:hr="t" fillcolor="#414141" stroked="f"/>
        </w:pict>
      </w:r>
    </w:p>
    <w:p w:rsidR="008C744F" w:rsidRPr="00FA470D" w:rsidP="008C744F" w14:paraId="1BDC02CD"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3E8" w:rsidP="00C953E8" w14:paraId="662E5BC9" w14:textId="17D3F35A">
      <w:pPr>
        <w:pStyle w:val="BodyText"/>
        <w:ind w:left="0" w:right="367"/>
        <w:rPr>
          <w:b/>
          <w:bCs/>
        </w:rPr>
      </w:pPr>
      <w:r>
        <w:rPr>
          <w:rFonts w:ascii="Times New Roman" w:hAnsi="Times New Roman" w:cs="Times New Roman"/>
        </w:rPr>
        <w:t>Manufacturers may submit their applications electr</w:t>
      </w:r>
      <w:r w:rsidR="00597490">
        <w:rPr>
          <w:rFonts w:ascii="Times New Roman" w:hAnsi="Times New Roman" w:cs="Times New Roman"/>
        </w:rPr>
        <w:t>on</w:t>
      </w:r>
      <w:r>
        <w:rPr>
          <w:rFonts w:ascii="Times New Roman" w:hAnsi="Times New Roman" w:cs="Times New Roman"/>
        </w:rPr>
        <w:t>ically via e-mail to the address listed in the notice.</w:t>
      </w:r>
    </w:p>
    <w:p w:rsidR="00C953E8" w:rsidP="00920DFF" w14:paraId="3367D202" w14:textId="77777777">
      <w:pPr>
        <w:spacing w:after="0"/>
        <w:rPr>
          <w:b/>
          <w:bCs/>
        </w:rPr>
      </w:pPr>
    </w:p>
    <w:p w:rsidR="008C744F" w:rsidRPr="00FA470D" w:rsidP="008C744F" w14:paraId="28398064" w14:textId="1B84095C">
      <w:r w:rsidRPr="00FA470D">
        <w:rPr>
          <w:b/>
          <w:bCs/>
        </w:rPr>
        <w:t>The response to this question should be consistent with the information provided in field 13(b)(1) of the OMB 83-I form.</w:t>
      </w:r>
    </w:p>
    <w:p w:rsidR="008C744F" w:rsidRPr="00FA470D" w:rsidP="008C744F" w14:paraId="40FF3CB1" w14:textId="77777777">
      <w:r>
        <w:pict>
          <v:rect id="_x0000_i1027" style="width:405pt;height:0.75pt" o:hrpct="0" o:hralign="center" o:hrstd="t" o:hrnoshade="t" o:hr="t" fillcolor="#414141" stroked="f"/>
        </w:pict>
      </w:r>
    </w:p>
    <w:p w:rsidR="008C744F" w:rsidRPr="00FA470D" w:rsidP="008C744F" w14:paraId="1AC82D44" w14:textId="77777777">
      <w:r w:rsidRPr="00FA470D">
        <w:rPr>
          <w:b/>
          <w:bCs/>
        </w:rPr>
        <w:t>4. Describe efforts to identify duplication. Show specifically why any similar information already available cannot be used or modified for use for the purposes described in Item 2 above.</w:t>
      </w:r>
    </w:p>
    <w:p w:rsidR="008C744F" w:rsidRPr="00FA470D" w:rsidP="008C744F" w14:paraId="3E91FD80" w14:textId="3AE5ED3C">
      <w:r w:rsidRPr="00DA7F1A">
        <w:rPr>
          <w:rFonts w:ascii="Times New Roman" w:eastAsia="Arial" w:hAnsi="Times New Roman" w:cs="Times New Roman"/>
          <w:sz w:val="24"/>
          <w:szCs w:val="24"/>
        </w:rPr>
        <w:t xml:space="preserve">There is no duplication of information within </w:t>
      </w:r>
      <w:r w:rsidRPr="00DA7F1A" w:rsidR="6C88FE27">
        <w:rPr>
          <w:rFonts w:ascii="Times New Roman" w:eastAsia="Arial" w:hAnsi="Times New Roman" w:cs="Times New Roman"/>
          <w:sz w:val="24"/>
          <w:szCs w:val="24"/>
        </w:rPr>
        <w:t>Commerce</w:t>
      </w:r>
      <w:r w:rsidR="00BB6349">
        <w:rPr>
          <w:rFonts w:ascii="Times New Roman" w:eastAsia="Arial" w:hAnsi="Times New Roman" w:cs="Times New Roman"/>
          <w:sz w:val="24"/>
          <w:szCs w:val="24"/>
        </w:rPr>
        <w:t xml:space="preserve"> </w:t>
      </w:r>
      <w:r w:rsidRPr="00DA7F1A">
        <w:rPr>
          <w:rFonts w:ascii="Times New Roman" w:eastAsia="Arial" w:hAnsi="Times New Roman" w:cs="Times New Roman"/>
          <w:sz w:val="24"/>
          <w:szCs w:val="24"/>
        </w:rPr>
        <w:t xml:space="preserve">or another government entity. The information collected represents unique client information that is required by </w:t>
      </w:r>
      <w:r>
        <w:rPr>
          <w:rFonts w:ascii="Times New Roman" w:eastAsia="Arial" w:hAnsi="Times New Roman" w:cs="Times New Roman"/>
          <w:sz w:val="24"/>
          <w:szCs w:val="24"/>
        </w:rPr>
        <w:t>Commerce</w:t>
      </w:r>
      <w:r w:rsidRPr="00DA7F1A">
        <w:rPr>
          <w:rFonts w:ascii="Times New Roman" w:eastAsia="Arial" w:hAnsi="Times New Roman" w:cs="Times New Roman"/>
          <w:sz w:val="24"/>
          <w:szCs w:val="24"/>
        </w:rPr>
        <w:t xml:space="preserve"> to efficiently and effectivel</w:t>
      </w:r>
      <w:r w:rsidR="00FB3AC0">
        <w:rPr>
          <w:rFonts w:ascii="Times New Roman" w:eastAsia="Arial" w:hAnsi="Times New Roman" w:cs="Times New Roman"/>
          <w:sz w:val="24"/>
          <w:szCs w:val="24"/>
        </w:rPr>
        <w:t>y perform the duties</w:t>
      </w:r>
      <w:r w:rsidR="00212E8A">
        <w:rPr>
          <w:rFonts w:ascii="Times New Roman" w:eastAsia="Arial" w:hAnsi="Times New Roman" w:cs="Times New Roman"/>
          <w:sz w:val="24"/>
          <w:szCs w:val="24"/>
        </w:rPr>
        <w:t xml:space="preserve"> assigned to the Secretary by the President</w:t>
      </w:r>
      <w:r w:rsidR="0026391C">
        <w:rPr>
          <w:rFonts w:ascii="Times New Roman" w:eastAsia="Arial" w:hAnsi="Times New Roman" w:cs="Times New Roman"/>
          <w:sz w:val="24"/>
          <w:szCs w:val="24"/>
        </w:rPr>
        <w:t>.</w:t>
      </w:r>
      <w:r w:rsidR="00FB3AC0">
        <w:rPr>
          <w:rFonts w:ascii="Times New Roman" w:eastAsia="Arial" w:hAnsi="Times New Roman" w:cs="Times New Roman"/>
          <w:sz w:val="24"/>
          <w:szCs w:val="24"/>
        </w:rPr>
        <w:t xml:space="preserve"> </w:t>
      </w:r>
      <w:r>
        <w:pict>
          <v:rect id="_x0000_i1028" style="width:405pt;height:0.75pt" o:hrpct="0" o:hralign="center" o:hrstd="t" o:hrnoshade="t" o:hr="t" fillcolor="#414141" stroked="f"/>
        </w:pict>
      </w:r>
    </w:p>
    <w:p w:rsidR="008C744F" w:rsidRPr="00FA470D" w:rsidP="008C744F" w14:paraId="11588281" w14:textId="77777777">
      <w:r w:rsidRPr="00FA470D">
        <w:rPr>
          <w:b/>
          <w:bCs/>
        </w:rPr>
        <w:t>5. If the collection of information impacts small businesses or other small entities (Item 5 of OMB Form 83-I), describe any methods used to minimize burden.</w:t>
      </w:r>
    </w:p>
    <w:p w:rsidR="008C744F" w:rsidRPr="00C91B93" w:rsidP="008C744F" w14:paraId="0B935A78" w14:textId="6447C095">
      <w:pPr>
        <w:rPr>
          <w:color w:val="4472C4" w:themeColor="accent1"/>
        </w:rPr>
      </w:pPr>
      <w:r>
        <w:rPr>
          <w:rFonts w:ascii="Times New Roman" w:eastAsia="Arial" w:hAnsi="Times New Roman" w:cs="Times New Roman"/>
          <w:sz w:val="24"/>
          <w:szCs w:val="24"/>
        </w:rPr>
        <w:t>It</w:t>
      </w:r>
      <w:r w:rsidR="008576EB">
        <w:rPr>
          <w:rFonts w:ascii="Times New Roman" w:eastAsia="Arial" w:hAnsi="Times New Roman" w:cs="Times New Roman"/>
          <w:sz w:val="24"/>
          <w:szCs w:val="24"/>
        </w:rPr>
        <w:t xml:space="preserve"> i</w:t>
      </w:r>
      <w:r>
        <w:rPr>
          <w:rFonts w:ascii="Times New Roman" w:eastAsia="Arial" w:hAnsi="Times New Roman" w:cs="Times New Roman"/>
          <w:sz w:val="24"/>
          <w:szCs w:val="24"/>
        </w:rPr>
        <w:t xml:space="preserve">s </w:t>
      </w:r>
      <w:r w:rsidR="00002E82">
        <w:rPr>
          <w:rFonts w:ascii="Times New Roman" w:eastAsia="Arial" w:hAnsi="Times New Roman" w:cs="Times New Roman"/>
          <w:sz w:val="24"/>
          <w:szCs w:val="24"/>
        </w:rPr>
        <w:t>expected</w:t>
      </w:r>
      <w:r w:rsidR="00E62BC7">
        <w:rPr>
          <w:rFonts w:ascii="Times New Roman" w:eastAsia="Arial" w:hAnsi="Times New Roman" w:cs="Times New Roman"/>
          <w:sz w:val="24"/>
          <w:szCs w:val="24"/>
        </w:rPr>
        <w:t xml:space="preserve"> that all respondents </w:t>
      </w:r>
      <w:r w:rsidR="001E13AD">
        <w:rPr>
          <w:rFonts w:ascii="Times New Roman" w:eastAsia="Arial" w:hAnsi="Times New Roman" w:cs="Times New Roman"/>
          <w:sz w:val="24"/>
          <w:szCs w:val="24"/>
        </w:rPr>
        <w:t xml:space="preserve">will be major </w:t>
      </w:r>
      <w:r w:rsidR="0020452F">
        <w:rPr>
          <w:rFonts w:ascii="Times New Roman" w:eastAsia="Arial" w:hAnsi="Times New Roman" w:cs="Times New Roman"/>
          <w:sz w:val="24"/>
          <w:szCs w:val="24"/>
        </w:rPr>
        <w:t>automobile, MHDV, engine and their</w:t>
      </w:r>
      <w:r w:rsidR="001B1CAC">
        <w:rPr>
          <w:rFonts w:ascii="Times New Roman" w:eastAsia="Arial" w:hAnsi="Times New Roman" w:cs="Times New Roman"/>
          <w:sz w:val="24"/>
          <w:szCs w:val="24"/>
        </w:rPr>
        <w:t xml:space="preserve"> part</w:t>
      </w:r>
      <w:r w:rsidR="0020452F">
        <w:rPr>
          <w:rFonts w:ascii="Times New Roman" w:eastAsia="Arial" w:hAnsi="Times New Roman" w:cs="Times New Roman"/>
          <w:sz w:val="24"/>
          <w:szCs w:val="24"/>
        </w:rPr>
        <w:t>s</w:t>
      </w:r>
      <w:r w:rsidR="00B10864">
        <w:rPr>
          <w:rFonts w:ascii="Times New Roman" w:eastAsia="Arial" w:hAnsi="Times New Roman" w:cs="Times New Roman"/>
          <w:sz w:val="24"/>
          <w:szCs w:val="24"/>
        </w:rPr>
        <w:t xml:space="preserve"> </w:t>
      </w:r>
      <w:r w:rsidR="001E13AD">
        <w:rPr>
          <w:rFonts w:ascii="Times New Roman" w:eastAsia="Arial" w:hAnsi="Times New Roman" w:cs="Times New Roman"/>
          <w:sz w:val="24"/>
          <w:szCs w:val="24"/>
        </w:rPr>
        <w:t>manufacturers with operations in the United States</w:t>
      </w:r>
      <w:r w:rsidR="007D1742">
        <w:rPr>
          <w:rFonts w:ascii="Times New Roman" w:eastAsia="Arial" w:hAnsi="Times New Roman" w:cs="Times New Roman"/>
          <w:sz w:val="24"/>
          <w:szCs w:val="24"/>
        </w:rPr>
        <w:t>.  None of these companies are known to be small businesses</w:t>
      </w:r>
      <w:r w:rsidR="008576EB">
        <w:rPr>
          <w:rFonts w:ascii="Times New Roman" w:eastAsia="Arial" w:hAnsi="Times New Roman" w:cs="Times New Roman"/>
          <w:sz w:val="24"/>
          <w:szCs w:val="24"/>
        </w:rPr>
        <w:t>.</w:t>
      </w:r>
    </w:p>
    <w:p w:rsidR="008C744F" w:rsidRPr="00FA470D" w:rsidP="008C744F" w14:paraId="2F026BA3" w14:textId="77777777">
      <w:r>
        <w:pict>
          <v:rect id="_x0000_i1029" style="width:405pt;height:0.75pt" o:hrpct="0" o:hralign="center" o:hrstd="t" o:hrnoshade="t" o:hr="t" fillcolor="#414141" stroked="f"/>
        </w:pict>
      </w:r>
    </w:p>
    <w:p w:rsidR="008C744F" w:rsidRPr="00FA470D" w:rsidP="008C744F" w14:paraId="0AE80EFB" w14:textId="77777777">
      <w:r w:rsidRPr="00FA470D">
        <w:rPr>
          <w:b/>
          <w:bCs/>
        </w:rPr>
        <w:t>6. Describe the consequence to Federal program or policy activities if the collection is not conducted or is conducted less frequently, as well as any technical or legal obstacles to reducing burden.</w:t>
      </w:r>
    </w:p>
    <w:p w:rsidR="00FF5A9A" w:rsidP="00FF5A9A" w14:paraId="60122B4E" w14:textId="462D840F">
      <w:pPr>
        <w:rPr>
          <w:rFonts w:ascii="Times New Roman" w:eastAsia="Arial" w:hAnsi="Times New Roman" w:cs="Times New Roman"/>
          <w:sz w:val="24"/>
          <w:szCs w:val="24"/>
        </w:rPr>
      </w:pPr>
      <w:r w:rsidRPr="5ADDB008">
        <w:rPr>
          <w:rFonts w:ascii="Times New Roman" w:eastAsia="Arial" w:hAnsi="Times New Roman" w:cs="Times New Roman"/>
          <w:sz w:val="24"/>
          <w:szCs w:val="24"/>
        </w:rPr>
        <w:t>If approval is not granted for use of these documents, this will hinder Commerce’s ability to fulfill the directives of the President</w:t>
      </w:r>
      <w:r w:rsidR="00572DA1">
        <w:rPr>
          <w:rFonts w:ascii="Times New Roman" w:eastAsia="Arial" w:hAnsi="Times New Roman" w:cs="Times New Roman"/>
          <w:sz w:val="24"/>
          <w:szCs w:val="24"/>
        </w:rPr>
        <w:t xml:space="preserve"> which has national security concerns</w:t>
      </w:r>
      <w:r w:rsidRPr="5ADDB008">
        <w:rPr>
          <w:rFonts w:ascii="Times New Roman" w:eastAsia="Arial" w:hAnsi="Times New Roman" w:cs="Times New Roman"/>
          <w:sz w:val="24"/>
          <w:szCs w:val="24"/>
        </w:rPr>
        <w:t>. Timely implementation of this process is critical to addressing this threat.</w:t>
      </w:r>
    </w:p>
    <w:p w:rsidR="008C744F" w:rsidRPr="00FA470D" w:rsidP="008C744F" w14:paraId="47ED5D8B" w14:textId="1766E7C5">
      <w:r>
        <w:pict>
          <v:rect id="_x0000_i1030" style="width:405pt;height:0.75pt" o:hrpct="0" o:hralign="center" o:hrstd="t" o:hrnoshade="t" o:hr="t" fillcolor="#414141" stroked="f"/>
        </w:pict>
      </w:r>
    </w:p>
    <w:p w:rsidR="008C744F" w:rsidRPr="00FA470D" w:rsidP="008C744F" w14:paraId="782A6B6B" w14:textId="77777777">
      <w:r w:rsidRPr="00FA470D">
        <w:rPr>
          <w:b/>
          <w:bCs/>
        </w:rPr>
        <w:t>7. Explain any special circumstances that would cause an information collection to be conducted in a manner:</w:t>
      </w:r>
    </w:p>
    <w:p w:rsidR="00BA3AFE" w:rsidRPr="00BA3AFE" w:rsidP="00DE109D" w14:paraId="565ABEC8" w14:textId="77777777">
      <w:pPr>
        <w:pStyle w:val="BodyText"/>
        <w:spacing w:before="80"/>
        <w:ind w:left="0" w:right="179"/>
        <w:rPr>
          <w:rFonts w:ascii="Times New Roman" w:hAnsi="Times New Roman" w:eastAsiaTheme="minorHAnsi" w:cs="Times New Roman"/>
        </w:rPr>
      </w:pPr>
      <w:r w:rsidRPr="00BA3AFE">
        <w:rPr>
          <w:rFonts w:ascii="Times New Roman" w:hAnsi="Times New Roman" w:eastAsiaTheme="minorHAnsi" w:cs="Times New Roman"/>
        </w:rPr>
        <w:t>This collection will be conducted in a manner consistent with OMB guidelines.</w:t>
      </w:r>
    </w:p>
    <w:p w:rsidR="00BA3AFE" w:rsidP="00920DFF" w14:paraId="7255D0A0" w14:textId="77777777">
      <w:pPr>
        <w:pStyle w:val="BodyText"/>
        <w:spacing w:before="0"/>
        <w:ind w:right="179"/>
      </w:pPr>
    </w:p>
    <w:p w:rsidR="008C744F" w:rsidRPr="00FA470D" w:rsidP="008C744F" w14:paraId="09E05CCE" w14:textId="77777777">
      <w:r>
        <w:pict>
          <v:rect id="_x0000_i1031" style="width:405pt;height:0.75pt" o:hrpct="0" o:hralign="center" o:hrstd="t" o:hrnoshade="t" o:hr="t" fillcolor="#414141" stroked="f"/>
        </w:pict>
      </w:r>
    </w:p>
    <w:p w:rsidR="008C744F" w:rsidRPr="00FA470D" w:rsidP="008C744F" w14:paraId="7F5509B2" w14:textId="77777777">
      <w:r w:rsidRPr="00FA470D">
        <w:rPr>
          <w:b/>
          <w:bCs/>
        </w:rPr>
        <w:t xml:space="preserve">8. If applicable, provide a copy and identify the date and page number of </w:t>
      </w:r>
      <w:r>
        <w:rPr>
          <w:b/>
          <w:bCs/>
        </w:rPr>
        <w:t xml:space="preserve">the </w:t>
      </w:r>
      <w:r w:rsidRPr="00FA470D">
        <w:rPr>
          <w:b/>
          <w:bCs/>
        </w:rPr>
        <w:t xml:space="preserve">publication in the Federal Register of the agency's notice, required by 5 CFR 1320.8 (d), soliciting comments on the information collection prior to submission to OMB. Summarize public comments received in response </w:t>
      </w:r>
      <w:r w:rsidRPr="00FA470D">
        <w:rPr>
          <w:b/>
          <w:bCs/>
        </w:rPr>
        <w:t>to that notice and describe actions taken by the agency in response to these comments. Specifically address comments received on cost and hour burden.</w:t>
      </w:r>
    </w:p>
    <w:p w:rsidR="00756293" w:rsidP="3B21C6BA" w14:paraId="40C6A370" w14:textId="3B9AE356">
      <w:pPr>
        <w:rPr>
          <w:rFonts w:ascii="Times New Roman" w:hAnsi="Times New Roman" w:cs="Times New Roman"/>
          <w:sz w:val="24"/>
          <w:szCs w:val="24"/>
        </w:rPr>
      </w:pPr>
      <w:r w:rsidRPr="3B21C6BA">
        <w:rPr>
          <w:rFonts w:ascii="Times New Roman" w:hAnsi="Times New Roman" w:cs="Times New Roman"/>
          <w:sz w:val="24"/>
          <w:szCs w:val="24"/>
        </w:rPr>
        <w:t xml:space="preserve">The Federal Register notice soliciting public comments on the information collection was published on </w:t>
      </w:r>
      <w:r w:rsidRPr="3B21C6BA" w:rsidR="00475636">
        <w:rPr>
          <w:rFonts w:ascii="Times New Roman" w:hAnsi="Times New Roman" w:cs="Times New Roman"/>
          <w:sz w:val="24"/>
          <w:szCs w:val="24"/>
        </w:rPr>
        <w:t>November</w:t>
      </w:r>
      <w:r w:rsidRPr="3B21C6BA">
        <w:rPr>
          <w:rFonts w:ascii="Times New Roman" w:hAnsi="Times New Roman" w:cs="Times New Roman"/>
          <w:sz w:val="24"/>
          <w:szCs w:val="24"/>
        </w:rPr>
        <w:t xml:space="preserve"> </w:t>
      </w:r>
      <w:r w:rsidRPr="3B21C6BA" w:rsidR="00475636">
        <w:rPr>
          <w:rFonts w:ascii="Times New Roman" w:hAnsi="Times New Roman" w:cs="Times New Roman"/>
          <w:sz w:val="24"/>
          <w:szCs w:val="24"/>
        </w:rPr>
        <w:t>26</w:t>
      </w:r>
      <w:r w:rsidRPr="3B21C6BA">
        <w:rPr>
          <w:rFonts w:ascii="Times New Roman" w:hAnsi="Times New Roman" w:cs="Times New Roman"/>
          <w:sz w:val="24"/>
          <w:szCs w:val="24"/>
        </w:rPr>
        <w:t xml:space="preserve">, 2025 (Volume 90, Number </w:t>
      </w:r>
      <w:r w:rsidRPr="3B21C6BA" w:rsidR="00C810C7">
        <w:rPr>
          <w:rFonts w:ascii="Times New Roman" w:hAnsi="Times New Roman" w:cs="Times New Roman"/>
          <w:sz w:val="24"/>
          <w:szCs w:val="24"/>
        </w:rPr>
        <w:t>226</w:t>
      </w:r>
      <w:r w:rsidRPr="3B21C6BA">
        <w:rPr>
          <w:rFonts w:ascii="Times New Roman" w:hAnsi="Times New Roman" w:cs="Times New Roman"/>
          <w:sz w:val="24"/>
          <w:szCs w:val="24"/>
        </w:rPr>
        <w:t xml:space="preserve">, page </w:t>
      </w:r>
      <w:r w:rsidRPr="3B21C6BA" w:rsidR="00C810C7">
        <w:rPr>
          <w:rFonts w:ascii="Times New Roman" w:hAnsi="Times New Roman" w:cs="Times New Roman"/>
          <w:sz w:val="24"/>
          <w:szCs w:val="24"/>
        </w:rPr>
        <w:t>54299</w:t>
      </w:r>
      <w:r w:rsidRPr="3B21C6BA">
        <w:rPr>
          <w:rFonts w:ascii="Times New Roman" w:hAnsi="Times New Roman" w:cs="Times New Roman"/>
          <w:sz w:val="24"/>
          <w:szCs w:val="24"/>
        </w:rPr>
        <w:t xml:space="preserve">). </w:t>
      </w:r>
      <w:r w:rsidRPr="3B21C6BA" w:rsidR="4C60D423">
        <w:rPr>
          <w:rFonts w:ascii="Times New Roman" w:eastAsia="Times New Roman" w:hAnsi="Times New Roman" w:cs="Times New Roman"/>
          <w:color w:val="000000" w:themeColor="text1"/>
          <w:sz w:val="24"/>
          <w:szCs w:val="24"/>
        </w:rPr>
        <w:t>No public comments have been received for the 60-day FRN.</w:t>
      </w:r>
      <w:r w:rsidRPr="3B21C6BA" w:rsidR="4C60D423">
        <w:rPr>
          <w:rFonts w:ascii="Times New Roman" w:eastAsia="Times New Roman" w:hAnsi="Times New Roman" w:cs="Times New Roman"/>
          <w:sz w:val="24"/>
          <w:szCs w:val="24"/>
        </w:rPr>
        <w:t xml:space="preserve"> </w:t>
      </w:r>
    </w:p>
    <w:p w:rsidR="008C744F" w:rsidRPr="00FA470D" w:rsidP="3B21C6BA" w14:paraId="45C4E924" w14:textId="2A2CEAEF">
      <w:r>
        <w:rPr>
          <w:rFonts w:ascii="Times New Roman" w:hAnsi="Times New Roman" w:cs="Times New Roman"/>
          <w:sz w:val="24"/>
          <w:szCs w:val="24"/>
        </w:rPr>
        <w:t>Recently there have been new Proclamations that have influenced th</w:t>
      </w:r>
      <w:r w:rsidR="0005198A">
        <w:rPr>
          <w:rFonts w:ascii="Times New Roman" w:hAnsi="Times New Roman" w:cs="Times New Roman"/>
          <w:sz w:val="24"/>
          <w:szCs w:val="24"/>
        </w:rPr>
        <w:t>e modification of this</w:t>
      </w:r>
      <w:r>
        <w:rPr>
          <w:rFonts w:ascii="Times New Roman" w:hAnsi="Times New Roman" w:cs="Times New Roman"/>
          <w:sz w:val="24"/>
          <w:szCs w:val="24"/>
        </w:rPr>
        <w:t xml:space="preserve"> collection. Therefore, we are</w:t>
      </w:r>
      <w:r w:rsidR="0005198A">
        <w:rPr>
          <w:rFonts w:ascii="Times New Roman" w:hAnsi="Times New Roman" w:cs="Times New Roman"/>
          <w:sz w:val="24"/>
          <w:szCs w:val="24"/>
        </w:rPr>
        <w:t xml:space="preserve"> continuing to </w:t>
      </w:r>
      <w:r>
        <w:rPr>
          <w:rFonts w:ascii="Times New Roman" w:hAnsi="Times New Roman" w:cs="Times New Roman"/>
          <w:sz w:val="24"/>
          <w:szCs w:val="24"/>
        </w:rPr>
        <w:t>determin</w:t>
      </w:r>
      <w:r w:rsidR="0005198A">
        <w:rPr>
          <w:rFonts w:ascii="Times New Roman" w:hAnsi="Times New Roman" w:cs="Times New Roman"/>
          <w:sz w:val="24"/>
          <w:szCs w:val="24"/>
        </w:rPr>
        <w:t>e</w:t>
      </w:r>
      <w:r>
        <w:rPr>
          <w:rFonts w:ascii="Times New Roman" w:hAnsi="Times New Roman" w:cs="Times New Roman"/>
          <w:sz w:val="24"/>
          <w:szCs w:val="24"/>
        </w:rPr>
        <w:t xml:space="preserve"> the best process for the </w:t>
      </w:r>
      <w:r w:rsidR="00C86A42">
        <w:rPr>
          <w:rFonts w:ascii="Times New Roman" w:hAnsi="Times New Roman" w:cs="Times New Roman"/>
          <w:sz w:val="24"/>
          <w:szCs w:val="24"/>
        </w:rPr>
        <w:t>most effective</w:t>
      </w:r>
      <w:r>
        <w:rPr>
          <w:rFonts w:ascii="Times New Roman" w:hAnsi="Times New Roman" w:cs="Times New Roman"/>
          <w:sz w:val="24"/>
          <w:szCs w:val="24"/>
        </w:rPr>
        <w:t xml:space="preserve"> way to consult with industry experts for our next renewal.</w:t>
      </w:r>
      <w:r>
        <w:pict>
          <v:rect id="_x0000_i1032" style="width:405pt;height:0.75pt" o:hrpct="0" o:hralign="center" o:hrstd="t" o:hrnoshade="t" o:hr="t" fillcolor="#414141" stroked="f"/>
        </w:pict>
      </w:r>
    </w:p>
    <w:p w:rsidR="008C744F" w:rsidRPr="00FA470D" w:rsidP="008C744F" w14:paraId="2E30F47A" w14:textId="77777777">
      <w:r w:rsidRPr="00FA470D">
        <w:rPr>
          <w:b/>
          <w:bCs/>
        </w:rPr>
        <w:t>9. Explain any decision to provide any payment or gift to respondents, other than remuneration of contractors or grantees.</w:t>
      </w:r>
    </w:p>
    <w:p w:rsidR="00944114" w:rsidRPr="00944114" w:rsidP="0008606E" w14:paraId="5BA26D38" w14:textId="77777777">
      <w:pPr>
        <w:pStyle w:val="BodyText"/>
        <w:spacing w:before="158"/>
        <w:ind w:left="0" w:right="421"/>
        <w:rPr>
          <w:rFonts w:ascii="Times New Roman" w:hAnsi="Times New Roman" w:eastAsiaTheme="minorHAnsi" w:cs="Times New Roman"/>
        </w:rPr>
      </w:pPr>
      <w:r w:rsidRPr="00944114">
        <w:rPr>
          <w:rFonts w:ascii="Times New Roman" w:hAnsi="Times New Roman" w:eastAsiaTheme="minorHAnsi" w:cs="Times New Roman"/>
        </w:rPr>
        <w:t>Not applicable.  Respondents will not receive payments or gifts.</w:t>
      </w:r>
    </w:p>
    <w:p w:rsidR="008C744F" w:rsidRPr="00FA470D" w:rsidP="008C744F" w14:paraId="089A693A" w14:textId="77777777">
      <w:r>
        <w:pict>
          <v:rect id="_x0000_i1033" style="width:405pt;height:0.75pt" o:hrpct="0" o:hralign="center" o:hrstd="t" o:hrnoshade="t" o:hr="t" fillcolor="#414141" stroked="f"/>
        </w:pict>
      </w:r>
    </w:p>
    <w:p w:rsidR="008C744F" w:rsidRPr="00FA470D" w:rsidP="008C744F" w14:paraId="26C38401" w14:textId="77777777">
      <w:r w:rsidRPr="00FA470D">
        <w:rPr>
          <w:b/>
          <w:bCs/>
        </w:rPr>
        <w:t>10. Describe any assurance of confidentiality provided to respondents and the basis for the assurance in statute, regulation, or agency policy.</w:t>
      </w:r>
    </w:p>
    <w:p w:rsidR="008C744F" w:rsidRPr="00FA470D" w:rsidP="008C744F" w14:paraId="1D014BE4" w14:textId="5F24F3F9">
      <w:r w:rsidRPr="00B035FD">
        <w:rPr>
          <w:rFonts w:ascii="Times New Roman" w:hAnsi="Times New Roman" w:cs="Times New Roman"/>
          <w:sz w:val="24"/>
          <w:szCs w:val="24"/>
        </w:rPr>
        <w:t xml:space="preserve">All responses to this collection of information will be provided </w:t>
      </w:r>
      <w:r w:rsidRPr="00B035FD" w:rsidR="00242750">
        <w:rPr>
          <w:rFonts w:ascii="Times New Roman" w:hAnsi="Times New Roman" w:cs="Times New Roman"/>
          <w:sz w:val="24"/>
          <w:szCs w:val="24"/>
        </w:rPr>
        <w:t>confidentially</w:t>
      </w:r>
      <w:r w:rsidRPr="00B035FD">
        <w:rPr>
          <w:rFonts w:ascii="Times New Roman" w:hAnsi="Times New Roman" w:cs="Times New Roman"/>
          <w:sz w:val="24"/>
          <w:szCs w:val="24"/>
        </w:rPr>
        <w:t xml:space="preserve"> to the extent allowed by law.</w:t>
      </w:r>
      <w:r w:rsidRPr="00D741B7">
        <w:t xml:space="preserve">  </w:t>
      </w:r>
      <w:r>
        <w:pict>
          <v:rect id="_x0000_i1034" style="width:405pt;height:0.75pt" o:hrpct="0" o:hralign="center" o:hrstd="t" o:hrnoshade="t" o:hr="t" fillcolor="#414141" stroked="f"/>
        </w:pict>
      </w:r>
    </w:p>
    <w:p w:rsidR="008C744F" w:rsidRPr="00FA470D" w:rsidP="008C744F" w14:paraId="55C91C54" w14:textId="77777777">
      <w:r w:rsidRPr="00FA470D">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1E3F" w:rsidRPr="00861E3F" w:rsidP="00861E3F" w14:paraId="4548233B" w14:textId="77777777">
      <w:pPr>
        <w:ind w:right="193"/>
        <w:rPr>
          <w:rFonts w:ascii="Times New Roman" w:hAnsi="Times New Roman" w:cs="Times New Roman"/>
          <w:sz w:val="24"/>
          <w:szCs w:val="24"/>
        </w:rPr>
      </w:pPr>
      <w:r w:rsidRPr="00861E3F">
        <w:rPr>
          <w:rFonts w:ascii="Times New Roman" w:hAnsi="Times New Roman" w:cs="Times New Roman"/>
          <w:sz w:val="24"/>
          <w:szCs w:val="24"/>
        </w:rPr>
        <w:t>No questions of a sensitive nature are asked. </w:t>
      </w:r>
    </w:p>
    <w:p w:rsidR="008C744F" w:rsidRPr="00FA470D" w:rsidP="008C744F" w14:paraId="74FDC489" w14:textId="77777777">
      <w:r>
        <w:pict>
          <v:rect id="_x0000_i1035" style="width:405pt;height:0.75pt" o:hrpct="0" o:hralign="center" o:hrstd="t" o:hrnoshade="t" o:hr="t" fillcolor="#414141" stroked="f"/>
        </w:pict>
      </w:r>
    </w:p>
    <w:p w:rsidR="008C744F" w:rsidRPr="00FA470D" w:rsidP="008C744F" w14:paraId="4669AB7D" w14:textId="77777777">
      <w:r w:rsidRPr="00FA470D">
        <w:rPr>
          <w:b/>
          <w:bCs/>
        </w:rPr>
        <w:t>12. Provide estimates of the hour burden of the collection of information. Indicate the number of respondents, frequency of response, annual hour burden, and an explanation of how the burden was estimated.</w:t>
      </w:r>
    </w:p>
    <w:p w:rsidR="008C744F" w:rsidRPr="00FA470D" w:rsidP="008C744F" w14:paraId="05E6D84E" w14:textId="77777777">
      <w:r w:rsidRPr="00FA470D">
        <w:rPr>
          <w:b/>
          <w:bCs/>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C744F" w:rsidRPr="00FA470D" w:rsidP="008C744F" w14:paraId="4970A281" w14:textId="77777777">
      <w:r w:rsidRPr="00FA470D">
        <w:rPr>
          <w:b/>
          <w:bCs/>
        </w:rPr>
        <w:t>B) Provide estimates of annualized cost to respondents for the hour burdens for collections of information, identifying and using appropriate wage rate categories.</w:t>
      </w:r>
    </w:p>
    <w:p w:rsidR="00B824E3" w:rsidRPr="00207E89" w:rsidP="00B36796" w14:paraId="36910C5E" w14:textId="6BABE578">
      <w:pPr>
        <w:rPr>
          <w:sz w:val="28"/>
          <w:szCs w:val="24"/>
        </w:rPr>
      </w:pPr>
      <w:r w:rsidRPr="00207E89">
        <w:rPr>
          <w:rFonts w:ascii="Times New Roman" w:hAnsi="Times New Roman" w:cs="Times New Roman"/>
          <w:sz w:val="24"/>
          <w:szCs w:val="24"/>
        </w:rPr>
        <w:t xml:space="preserve">It is expected </w:t>
      </w:r>
      <w:r w:rsidRPr="00207E89" w:rsidR="00915090">
        <w:rPr>
          <w:rFonts w:ascii="Times New Roman" w:hAnsi="Times New Roman" w:cs="Times New Roman"/>
          <w:sz w:val="24"/>
          <w:szCs w:val="24"/>
        </w:rPr>
        <w:t>that</w:t>
      </w:r>
      <w:r w:rsidRPr="00207E89">
        <w:rPr>
          <w:rFonts w:ascii="Times New Roman" w:hAnsi="Times New Roman" w:cs="Times New Roman"/>
          <w:sz w:val="24"/>
          <w:szCs w:val="24"/>
        </w:rPr>
        <w:t xml:space="preserve"> </w:t>
      </w:r>
      <w:r w:rsidRPr="00207E89" w:rsidR="00EA2298">
        <w:rPr>
          <w:rFonts w:ascii="Times New Roman" w:hAnsi="Times New Roman" w:cs="Times New Roman"/>
          <w:sz w:val="24"/>
          <w:szCs w:val="24"/>
        </w:rPr>
        <w:t xml:space="preserve">50 </w:t>
      </w:r>
      <w:r w:rsidRPr="00207E89">
        <w:rPr>
          <w:rFonts w:ascii="Times New Roman" w:hAnsi="Times New Roman" w:cs="Times New Roman"/>
          <w:sz w:val="24"/>
          <w:szCs w:val="24"/>
        </w:rPr>
        <w:t xml:space="preserve">respondents from the Private Sector </w:t>
      </w:r>
      <w:r w:rsidRPr="00207E89" w:rsidR="00915090">
        <w:rPr>
          <w:rFonts w:ascii="Times New Roman" w:hAnsi="Times New Roman" w:cs="Times New Roman"/>
          <w:sz w:val="24"/>
          <w:szCs w:val="24"/>
        </w:rPr>
        <w:t xml:space="preserve">will </w:t>
      </w:r>
      <w:r w:rsidRPr="00207E89">
        <w:rPr>
          <w:rFonts w:ascii="Times New Roman" w:hAnsi="Times New Roman" w:cs="Times New Roman"/>
          <w:sz w:val="24"/>
          <w:szCs w:val="24"/>
        </w:rPr>
        <w:t xml:space="preserve">complete submissions to be considered for </w:t>
      </w:r>
      <w:r w:rsidR="00713EF0">
        <w:rPr>
          <w:rFonts w:ascii="Times New Roman" w:hAnsi="Times New Roman" w:cs="Times New Roman"/>
          <w:sz w:val="24"/>
          <w:szCs w:val="24"/>
        </w:rPr>
        <w:t xml:space="preserve">automobile, MHDV, </w:t>
      </w:r>
      <w:r w:rsidRPr="00207E89" w:rsidR="0037358E">
        <w:rPr>
          <w:rFonts w:ascii="Times New Roman" w:hAnsi="Times New Roman" w:cs="Times New Roman"/>
          <w:sz w:val="24"/>
          <w:szCs w:val="24"/>
        </w:rPr>
        <w:t xml:space="preserve">and </w:t>
      </w:r>
      <w:r w:rsidR="00713EF0">
        <w:rPr>
          <w:rFonts w:ascii="Times New Roman" w:hAnsi="Times New Roman" w:cs="Times New Roman"/>
          <w:sz w:val="24"/>
          <w:szCs w:val="24"/>
        </w:rPr>
        <w:t>engine</w:t>
      </w:r>
      <w:r w:rsidRPr="00207E89" w:rsidR="0037358E">
        <w:rPr>
          <w:rFonts w:ascii="Times New Roman" w:hAnsi="Times New Roman" w:cs="Times New Roman"/>
          <w:sz w:val="24"/>
          <w:szCs w:val="24"/>
        </w:rPr>
        <w:t xml:space="preserve"> parts </w:t>
      </w:r>
      <w:r w:rsidRPr="00207E89" w:rsidR="00EE1644">
        <w:rPr>
          <w:rFonts w:ascii="Times New Roman" w:hAnsi="Times New Roman" w:cs="Times New Roman"/>
          <w:sz w:val="24"/>
          <w:szCs w:val="24"/>
        </w:rPr>
        <w:t xml:space="preserve">tariff offset </w:t>
      </w:r>
      <w:r w:rsidRPr="00207E89">
        <w:rPr>
          <w:rFonts w:ascii="Times New Roman" w:hAnsi="Times New Roman" w:cs="Times New Roman"/>
          <w:sz w:val="24"/>
          <w:szCs w:val="24"/>
        </w:rPr>
        <w:t>treatment</w:t>
      </w:r>
      <w:r w:rsidRPr="00207E89" w:rsidR="00594C3B">
        <w:rPr>
          <w:rFonts w:ascii="Times New Roman" w:hAnsi="Times New Roman" w:cs="Times New Roman"/>
          <w:sz w:val="24"/>
          <w:szCs w:val="24"/>
        </w:rPr>
        <w:t>.</w:t>
      </w:r>
      <w:r w:rsidRPr="00207E89">
        <w:rPr>
          <w:rFonts w:ascii="Times New Roman" w:hAnsi="Times New Roman" w:cs="Times New Roman"/>
          <w:sz w:val="24"/>
          <w:szCs w:val="24"/>
        </w:rPr>
        <w:t xml:space="preserve"> Those submissions </w:t>
      </w:r>
      <w:r w:rsidRPr="00207E89">
        <w:rPr>
          <w:rFonts w:ascii="Times New Roman" w:hAnsi="Times New Roman" w:cs="Times New Roman"/>
          <w:sz w:val="24"/>
          <w:szCs w:val="24"/>
        </w:rPr>
        <w:t xml:space="preserve">are estimated to take each respondent </w:t>
      </w:r>
      <w:r w:rsidRPr="00207E89" w:rsidR="009F73D4">
        <w:rPr>
          <w:rFonts w:ascii="Times New Roman" w:hAnsi="Times New Roman" w:cs="Times New Roman"/>
          <w:sz w:val="24"/>
          <w:szCs w:val="24"/>
        </w:rPr>
        <w:t>4</w:t>
      </w:r>
      <w:r w:rsidRPr="00207E89">
        <w:rPr>
          <w:rFonts w:ascii="Times New Roman" w:hAnsi="Times New Roman" w:cs="Times New Roman"/>
          <w:sz w:val="24"/>
          <w:szCs w:val="24"/>
        </w:rPr>
        <w:t xml:space="preserve">0 hours to complete, </w:t>
      </w:r>
      <w:r w:rsidRPr="00207E89" w:rsidR="009F73D4">
        <w:rPr>
          <w:rFonts w:ascii="Times New Roman" w:hAnsi="Times New Roman" w:cs="Times New Roman"/>
          <w:sz w:val="24"/>
          <w:szCs w:val="24"/>
        </w:rPr>
        <w:t xml:space="preserve">twice a year, </w:t>
      </w:r>
      <w:r w:rsidRPr="00207E89">
        <w:rPr>
          <w:rFonts w:ascii="Times New Roman" w:hAnsi="Times New Roman" w:cs="Times New Roman"/>
          <w:sz w:val="24"/>
          <w:szCs w:val="24"/>
        </w:rPr>
        <w:t xml:space="preserve">resulting in </w:t>
      </w:r>
      <w:r w:rsidRPr="00207E89" w:rsidR="00744870">
        <w:rPr>
          <w:rFonts w:ascii="Times New Roman" w:hAnsi="Times New Roman" w:cs="Times New Roman"/>
          <w:sz w:val="24"/>
          <w:szCs w:val="24"/>
        </w:rPr>
        <w:t xml:space="preserve">total estimated respondent </w:t>
      </w:r>
      <w:r w:rsidRPr="00207E89">
        <w:rPr>
          <w:rFonts w:ascii="Times New Roman" w:hAnsi="Times New Roman" w:cs="Times New Roman"/>
          <w:sz w:val="24"/>
          <w:szCs w:val="24"/>
        </w:rPr>
        <w:t xml:space="preserve">burden hours of </w:t>
      </w:r>
      <w:r w:rsidRPr="00207E89" w:rsidR="00EA2298">
        <w:rPr>
          <w:rFonts w:ascii="Times New Roman" w:hAnsi="Times New Roman" w:cs="Times New Roman"/>
          <w:sz w:val="24"/>
          <w:szCs w:val="24"/>
        </w:rPr>
        <w:t>4,000</w:t>
      </w:r>
      <w:r w:rsidRPr="00207E89">
        <w:rPr>
          <w:rFonts w:ascii="Times New Roman" w:hAnsi="Times New Roman" w:cs="Times New Roman"/>
          <w:sz w:val="24"/>
          <w:szCs w:val="24"/>
        </w:rPr>
        <w:t>.</w:t>
      </w:r>
    </w:p>
    <w:p w:rsidR="00B36796" w:rsidP="00B36796" w14:paraId="510297C9" w14:textId="39DBEFF3">
      <w:pPr>
        <w:ind w:left="2120" w:right="2119"/>
        <w:jc w:val="center"/>
        <w:rPr>
          <w:b/>
          <w:sz w:val="24"/>
          <w:szCs w:val="24"/>
        </w:rPr>
      </w:pPr>
      <w:r w:rsidRPr="0016613A">
        <w:rPr>
          <w:b/>
          <w:sz w:val="24"/>
          <w:szCs w:val="24"/>
        </w:rPr>
        <w:t>Estimated Respondent Burden Hours</w:t>
      </w:r>
    </w:p>
    <w:tbl>
      <w:tblPr>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1CB31477" w14:textId="77777777" w:rsidTr="00ED520B">
        <w:tblPrEx>
          <w:tblW w:w="10410"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604"/>
        </w:trPr>
        <w:tc>
          <w:tcPr>
            <w:tcW w:w="1500" w:type="dxa"/>
            <w:shd w:val="clear" w:color="auto" w:fill="BDD7EE"/>
          </w:tcPr>
          <w:p w:rsidR="00B36796" w:rsidRPr="00570F90" w:rsidP="00496373" w14:paraId="0A763591"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B36796" w:rsidRPr="00570F90" w:rsidP="00496373" w14:paraId="73F1C3D4"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B36796" w:rsidRPr="00570F90" w:rsidP="00496373" w14:paraId="1CF29926" w14:textId="77777777">
            <w:pPr>
              <w:jc w:val="center"/>
              <w:rPr>
                <w:b/>
                <w:bCs/>
                <w:sz w:val="24"/>
                <w:szCs w:val="24"/>
              </w:rPr>
            </w:pPr>
            <w:r w:rsidRPr="00570F90">
              <w:rPr>
                <w:b/>
                <w:bCs/>
                <w:sz w:val="24"/>
                <w:szCs w:val="24"/>
              </w:rPr>
              <w:t>Number of Respondents (a)</w:t>
            </w:r>
          </w:p>
        </w:tc>
        <w:tc>
          <w:tcPr>
            <w:tcW w:w="1440" w:type="dxa"/>
            <w:shd w:val="clear" w:color="auto" w:fill="BDD7EE"/>
          </w:tcPr>
          <w:p w:rsidR="00B36796" w:rsidRPr="00570F90" w:rsidP="00496373" w14:paraId="21EA0778"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B36796" w:rsidRPr="00570F90" w:rsidP="00496373" w14:paraId="2A2D5712" w14:textId="77777777">
            <w:pPr>
              <w:jc w:val="center"/>
              <w:rPr>
                <w:b/>
                <w:bCs/>
                <w:sz w:val="24"/>
                <w:szCs w:val="24"/>
              </w:rPr>
            </w:pPr>
            <w:r w:rsidRPr="00570F90">
              <w:rPr>
                <w:b/>
                <w:bCs/>
                <w:sz w:val="24"/>
                <w:szCs w:val="24"/>
              </w:rPr>
              <w:t>Total Number of Responses</w:t>
            </w:r>
          </w:p>
          <w:p w:rsidR="00B36796" w:rsidRPr="00570F90" w:rsidP="00496373" w14:paraId="2872042A" w14:textId="77777777">
            <w:pPr>
              <w:jc w:val="center"/>
              <w:rPr>
                <w:b/>
                <w:bCs/>
                <w:sz w:val="24"/>
                <w:szCs w:val="24"/>
              </w:rPr>
            </w:pPr>
            <w:r w:rsidRPr="00570F90">
              <w:rPr>
                <w:b/>
                <w:bCs/>
                <w:sz w:val="24"/>
                <w:szCs w:val="24"/>
              </w:rPr>
              <w:t>(c) = (a) x (b)</w:t>
            </w:r>
          </w:p>
        </w:tc>
        <w:tc>
          <w:tcPr>
            <w:tcW w:w="1350" w:type="dxa"/>
            <w:shd w:val="clear" w:color="auto" w:fill="BDD7EE"/>
          </w:tcPr>
          <w:p w:rsidR="00B36796" w:rsidRPr="00570F90" w:rsidP="00496373" w14:paraId="391682B2" w14:textId="77777777">
            <w:pPr>
              <w:jc w:val="center"/>
              <w:rPr>
                <w:b/>
                <w:bCs/>
                <w:sz w:val="24"/>
                <w:szCs w:val="24"/>
              </w:rPr>
            </w:pPr>
            <w:r w:rsidRPr="00570F90">
              <w:rPr>
                <w:b/>
                <w:bCs/>
                <w:sz w:val="24"/>
                <w:szCs w:val="24"/>
              </w:rPr>
              <w:t>Burden Hours Per Response (d)</w:t>
            </w:r>
          </w:p>
        </w:tc>
        <w:tc>
          <w:tcPr>
            <w:tcW w:w="1350" w:type="dxa"/>
            <w:shd w:val="clear" w:color="auto" w:fill="BDD7EE"/>
          </w:tcPr>
          <w:p w:rsidR="00B36796" w:rsidRPr="00570F90" w:rsidP="00496373" w14:paraId="2FA0AC6C" w14:textId="77777777">
            <w:pPr>
              <w:jc w:val="center"/>
              <w:rPr>
                <w:b/>
                <w:bCs/>
                <w:sz w:val="24"/>
                <w:szCs w:val="24"/>
              </w:rPr>
            </w:pPr>
            <w:r w:rsidRPr="00570F90">
              <w:rPr>
                <w:b/>
                <w:bCs/>
                <w:sz w:val="24"/>
                <w:szCs w:val="24"/>
              </w:rPr>
              <w:t>Total Burden Hours</w:t>
            </w:r>
          </w:p>
          <w:p w:rsidR="00B36796" w:rsidRPr="00570F90" w:rsidP="00496373" w14:paraId="42038932" w14:textId="77777777">
            <w:pPr>
              <w:jc w:val="center"/>
              <w:rPr>
                <w:b/>
                <w:bCs/>
                <w:sz w:val="24"/>
                <w:szCs w:val="24"/>
              </w:rPr>
            </w:pPr>
            <w:r w:rsidRPr="00570F90">
              <w:rPr>
                <w:b/>
                <w:bCs/>
                <w:sz w:val="24"/>
                <w:szCs w:val="24"/>
              </w:rPr>
              <w:t>(e) = (c) x (d)</w:t>
            </w:r>
          </w:p>
        </w:tc>
      </w:tr>
      <w:tr w14:paraId="7A2CCA05" w14:textId="77777777" w:rsidTr="00BA3F28">
        <w:tblPrEx>
          <w:tblW w:w="10410" w:type="dxa"/>
          <w:tblInd w:w="-543" w:type="dxa"/>
          <w:tblLayout w:type="fixed"/>
          <w:tblCellMar>
            <w:left w:w="0" w:type="dxa"/>
            <w:right w:w="0" w:type="dxa"/>
          </w:tblCellMar>
          <w:tblLook w:val="01E0"/>
        </w:tblPrEx>
        <w:trPr>
          <w:trHeight w:hRule="exact" w:val="1964"/>
        </w:trPr>
        <w:tc>
          <w:tcPr>
            <w:tcW w:w="1500" w:type="dxa"/>
            <w:tcBorders>
              <w:right w:val="single" w:sz="4" w:space="0" w:color="000000"/>
            </w:tcBorders>
          </w:tcPr>
          <w:p w:rsidR="00B36796" w:rsidP="00496373" w14:paraId="4BB607F8" w14:textId="787A30E9">
            <w:pPr>
              <w:jc w:val="center"/>
              <w:rPr>
                <w:sz w:val="24"/>
                <w:szCs w:val="24"/>
              </w:rPr>
            </w:pPr>
            <w:r>
              <w:rPr>
                <w:sz w:val="24"/>
                <w:szCs w:val="24"/>
              </w:rPr>
              <w:t>Automobile, MHDV, and Engine</w:t>
            </w:r>
            <w:r w:rsidR="0098379D">
              <w:rPr>
                <w:sz w:val="24"/>
                <w:szCs w:val="24"/>
              </w:rPr>
              <w:t xml:space="preserve"> </w:t>
            </w:r>
            <w:r w:rsidR="00642EC5">
              <w:rPr>
                <w:sz w:val="24"/>
                <w:szCs w:val="24"/>
              </w:rPr>
              <w:t>Parts Tariff Offset Submissions</w:t>
            </w:r>
          </w:p>
        </w:tc>
        <w:tc>
          <w:tcPr>
            <w:tcW w:w="1710" w:type="dxa"/>
            <w:tcBorders>
              <w:left w:val="single" w:sz="4" w:space="0" w:color="000000"/>
              <w:right w:val="single" w:sz="4" w:space="0" w:color="000000"/>
            </w:tcBorders>
          </w:tcPr>
          <w:p w:rsidR="00B36796" w:rsidRPr="00692D20" w:rsidP="00496373" w14:paraId="215C808C" w14:textId="77777777">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B36796" w:rsidP="00496373" w14:paraId="74BC5153" w14:textId="1AA275DA">
            <w:pPr>
              <w:jc w:val="center"/>
              <w:rPr>
                <w:sz w:val="24"/>
                <w:szCs w:val="24"/>
              </w:rPr>
            </w:pPr>
            <w:r>
              <w:rPr>
                <w:sz w:val="24"/>
                <w:szCs w:val="24"/>
              </w:rPr>
              <w:t>50</w:t>
            </w:r>
          </w:p>
        </w:tc>
        <w:tc>
          <w:tcPr>
            <w:tcW w:w="1440" w:type="dxa"/>
            <w:tcBorders>
              <w:left w:val="single" w:sz="4" w:space="0" w:color="000000"/>
              <w:right w:val="single" w:sz="4" w:space="0" w:color="000000"/>
            </w:tcBorders>
          </w:tcPr>
          <w:p w:rsidR="00B36796" w:rsidP="00496373" w14:paraId="7788CE84" w14:textId="77777777">
            <w:pPr>
              <w:jc w:val="center"/>
              <w:rPr>
                <w:sz w:val="24"/>
                <w:szCs w:val="24"/>
              </w:rPr>
            </w:pPr>
            <w:r>
              <w:rPr>
                <w:sz w:val="24"/>
                <w:szCs w:val="24"/>
              </w:rPr>
              <w:t>2</w:t>
            </w:r>
          </w:p>
        </w:tc>
        <w:tc>
          <w:tcPr>
            <w:tcW w:w="1440" w:type="dxa"/>
            <w:tcBorders>
              <w:left w:val="single" w:sz="4" w:space="0" w:color="000000"/>
              <w:right w:val="single" w:sz="4" w:space="0" w:color="000000"/>
            </w:tcBorders>
          </w:tcPr>
          <w:p w:rsidR="00B36796" w:rsidP="00496373" w14:paraId="56679769" w14:textId="0A955063">
            <w:pPr>
              <w:jc w:val="center"/>
              <w:rPr>
                <w:sz w:val="24"/>
                <w:szCs w:val="24"/>
              </w:rPr>
            </w:pPr>
            <w:r>
              <w:rPr>
                <w:sz w:val="24"/>
                <w:szCs w:val="24"/>
              </w:rPr>
              <w:t>100</w:t>
            </w:r>
          </w:p>
        </w:tc>
        <w:tc>
          <w:tcPr>
            <w:tcW w:w="1350" w:type="dxa"/>
            <w:tcBorders>
              <w:left w:val="single" w:sz="4" w:space="0" w:color="000000"/>
              <w:right w:val="single" w:sz="4" w:space="0" w:color="000000"/>
            </w:tcBorders>
          </w:tcPr>
          <w:p w:rsidR="00B36796" w:rsidP="00496373" w14:paraId="5F2881EA" w14:textId="5E2C4DCD">
            <w:pPr>
              <w:jc w:val="center"/>
              <w:rPr>
                <w:sz w:val="24"/>
                <w:szCs w:val="24"/>
              </w:rPr>
            </w:pPr>
            <w:r>
              <w:rPr>
                <w:sz w:val="24"/>
                <w:szCs w:val="24"/>
              </w:rPr>
              <w:t>40</w:t>
            </w:r>
          </w:p>
        </w:tc>
        <w:tc>
          <w:tcPr>
            <w:tcW w:w="1350" w:type="dxa"/>
            <w:tcBorders>
              <w:left w:val="single" w:sz="4" w:space="0" w:color="000000"/>
              <w:right w:val="single" w:sz="4" w:space="0" w:color="000000"/>
            </w:tcBorders>
          </w:tcPr>
          <w:p w:rsidR="00B36796" w:rsidP="00496373" w14:paraId="300CE7FE" w14:textId="3EACDD49">
            <w:pPr>
              <w:jc w:val="center"/>
              <w:rPr>
                <w:sz w:val="24"/>
                <w:szCs w:val="24"/>
              </w:rPr>
            </w:pPr>
            <w:r>
              <w:rPr>
                <w:sz w:val="24"/>
                <w:szCs w:val="24"/>
              </w:rPr>
              <w:t>4,0</w:t>
            </w:r>
            <w:r w:rsidR="00642EC5">
              <w:rPr>
                <w:sz w:val="24"/>
                <w:szCs w:val="24"/>
              </w:rPr>
              <w:t>00</w:t>
            </w:r>
          </w:p>
        </w:tc>
      </w:tr>
      <w:tr w14:paraId="1296E9E5" w14:textId="77777777" w:rsidTr="00B36796">
        <w:tblPrEx>
          <w:tblW w:w="10410" w:type="dxa"/>
          <w:tblInd w:w="-543"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B36796" w:rsidRPr="00AD44CD" w:rsidP="00496373" w14:paraId="234F1E59"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B36796" w:rsidRPr="00570F90" w:rsidP="00496373" w14:paraId="2D4C11FA"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B36796" w:rsidP="00496373" w14:paraId="5A5A6EE6"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P="00496373" w14:paraId="5A5D478B"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B36796" w:rsidRPr="00AF4156" w:rsidP="00496373" w14:paraId="478E7F1B"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B36796" w:rsidP="00496373" w14:paraId="40AEFFF5"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B36796" w:rsidRPr="00AD44CD" w:rsidP="00496373" w14:paraId="149E28FB" w14:textId="14124267">
            <w:pPr>
              <w:jc w:val="center"/>
              <w:rPr>
                <w:b/>
                <w:bCs/>
                <w:sz w:val="24"/>
                <w:szCs w:val="24"/>
              </w:rPr>
            </w:pPr>
            <w:r>
              <w:rPr>
                <w:b/>
                <w:bCs/>
                <w:sz w:val="24"/>
                <w:szCs w:val="24"/>
              </w:rPr>
              <w:t>4,0</w:t>
            </w:r>
            <w:r w:rsidR="00642EC5">
              <w:rPr>
                <w:b/>
                <w:bCs/>
                <w:sz w:val="24"/>
                <w:szCs w:val="24"/>
              </w:rPr>
              <w:t>00</w:t>
            </w:r>
          </w:p>
        </w:tc>
      </w:tr>
    </w:tbl>
    <w:p w:rsidR="001E0486" w:rsidP="00B8504A" w14:paraId="2927C23A" w14:textId="77777777">
      <w:pPr>
        <w:spacing w:after="0"/>
      </w:pPr>
    </w:p>
    <w:p w:rsidR="008C744F" w:rsidRPr="00FA470D" w:rsidP="008C744F" w14:paraId="6BD55D1A" w14:textId="218E8CF8">
      <w:r>
        <w:pict>
          <v:rect id="_x0000_i1036" style="width:405pt;height:0.75pt" o:hrpct="0" o:hralign="center" o:hrstd="t" o:hrnoshade="t" o:hr="t" fillcolor="#414141" stroked="f"/>
        </w:pict>
      </w:r>
    </w:p>
    <w:p w:rsidR="008C744F" w:rsidP="008C744F" w14:paraId="73619F36" w14:textId="77777777">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2B6C" w:rsidRPr="004F6B2F" w:rsidP="008C744F" w14:paraId="2411D482" w14:textId="106157EF">
      <w:pPr>
        <w:rPr>
          <w:rFonts w:ascii="Times New Roman" w:hAnsi="Times New Roman" w:cs="Times New Roman"/>
          <w:sz w:val="24"/>
          <w:szCs w:val="24"/>
        </w:rPr>
      </w:pPr>
      <w:r w:rsidRPr="004F6B2F">
        <w:rPr>
          <w:rFonts w:ascii="Times New Roman" w:hAnsi="Times New Roman" w:cs="Times New Roman"/>
          <w:sz w:val="24"/>
          <w:szCs w:val="24"/>
        </w:rPr>
        <w:t>Based on the following customer makeup of ITA’s client population shown below, and median salary data taken from glassdoor.com, ITA estimates that the total annual to our respondents will be $</w:t>
      </w:r>
      <w:r w:rsidR="00E95CA3">
        <w:rPr>
          <w:rFonts w:ascii="Times New Roman" w:hAnsi="Times New Roman" w:cs="Times New Roman"/>
          <w:sz w:val="24"/>
          <w:szCs w:val="24"/>
        </w:rPr>
        <w:t>120,760</w:t>
      </w:r>
      <w:r w:rsidRPr="004F6B2F">
        <w:rPr>
          <w:rFonts w:ascii="Times New Roman" w:hAnsi="Times New Roman" w:cs="Times New Roman"/>
          <w:sz w:val="24"/>
          <w:szCs w:val="24"/>
        </w:rPr>
        <w:t xml:space="preserve"> (estimated total burden time is </w:t>
      </w:r>
      <w:r w:rsidR="00E95CA3">
        <w:rPr>
          <w:rFonts w:ascii="Times New Roman" w:hAnsi="Times New Roman" w:cs="Times New Roman"/>
          <w:sz w:val="24"/>
          <w:szCs w:val="24"/>
        </w:rPr>
        <w:t>4,0</w:t>
      </w:r>
      <w:r w:rsidRPr="004F6B2F">
        <w:rPr>
          <w:rFonts w:ascii="Times New Roman" w:hAnsi="Times New Roman" w:cs="Times New Roman"/>
          <w:sz w:val="24"/>
          <w:szCs w:val="24"/>
        </w:rPr>
        <w:t>00 hours).</w:t>
      </w:r>
    </w:p>
    <w:tbl>
      <w:tblPr>
        <w:tblW w:w="5099" w:type="pct"/>
        <w:tblLayout w:type="fixed"/>
        <w:tblLook w:val="04A0"/>
      </w:tblPr>
      <w:tblGrid>
        <w:gridCol w:w="2784"/>
        <w:gridCol w:w="1261"/>
        <w:gridCol w:w="1979"/>
        <w:gridCol w:w="1621"/>
        <w:gridCol w:w="1890"/>
      </w:tblGrid>
      <w:tr w14:paraId="5451701A"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7F06CC" w:rsidRPr="007F06CC" w:rsidP="007F06CC" w14:paraId="61907744" w14:textId="77777777">
            <w:pPr>
              <w:widowControl w:val="0"/>
              <w:autoSpaceDE w:val="0"/>
              <w:autoSpaceDN w:val="0"/>
              <w:spacing w:after="0" w:line="240" w:lineRule="auto"/>
              <w:ind w:left="360" w:right="250"/>
              <w:rPr>
                <w:rFonts w:ascii="Calibri" w:eastAsia="Arial" w:hAnsi="Calibri" w:cs="Arial"/>
                <w:b/>
                <w:bCs/>
                <w:color w:val="FFFFFF"/>
              </w:rPr>
            </w:pPr>
            <w:r w:rsidRPr="007F06CC">
              <w:rPr>
                <w:rFonts w:ascii="Calibri" w:eastAsia="Arial" w:hAnsi="Calibri" w:cs="Arial"/>
                <w:b/>
                <w:bCs/>
                <w:color w:val="FFFFFF"/>
              </w:rPr>
              <w:t>Respondent Occupation</w:t>
            </w:r>
          </w:p>
        </w:tc>
        <w:tc>
          <w:tcPr>
            <w:tcW w:w="661"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7E3C4996" w14:textId="5542F2A4">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 of</w:t>
            </w:r>
            <w:r w:rsidR="00AA6754">
              <w:rPr>
                <w:rFonts w:ascii="Calibri" w:eastAsia="Arial" w:hAnsi="Calibri" w:cs="Arial"/>
                <w:b/>
                <w:bCs/>
                <w:color w:val="FFFFFF"/>
              </w:rPr>
              <w:t xml:space="preserve"> C</w:t>
            </w:r>
            <w:r w:rsidRPr="007F06CC">
              <w:rPr>
                <w:rFonts w:ascii="Calibri" w:eastAsia="Arial" w:hAnsi="Calibri" w:cs="Arial"/>
                <w:b/>
                <w:bCs/>
                <w:color w:val="FFFFFF"/>
              </w:rPr>
              <w:t>lie</w:t>
            </w:r>
            <w:r w:rsidR="00AA6754">
              <w:rPr>
                <w:rFonts w:ascii="Calibri" w:eastAsia="Arial" w:hAnsi="Calibri" w:cs="Arial"/>
                <w:b/>
                <w:bCs/>
                <w:color w:val="FFFFFF"/>
              </w:rPr>
              <w:t>n</w:t>
            </w:r>
            <w:r w:rsidRPr="007F06CC">
              <w:rPr>
                <w:rFonts w:ascii="Calibri" w:eastAsia="Arial" w:hAnsi="Calibri" w:cs="Arial"/>
                <w:b/>
                <w:bCs/>
                <w:color w:val="FFFFFF"/>
              </w:rPr>
              <w:t>t Pop.</w:t>
            </w:r>
          </w:p>
        </w:tc>
        <w:tc>
          <w:tcPr>
            <w:tcW w:w="1038"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69DFF02F"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Median Salary</w:t>
            </w:r>
          </w:p>
        </w:tc>
        <w:tc>
          <w:tcPr>
            <w:tcW w:w="850" w:type="pct"/>
            <w:tcBorders>
              <w:top w:val="single" w:sz="4" w:space="0" w:color="8EA9DB"/>
              <w:left w:val="nil"/>
              <w:bottom w:val="single" w:sz="4" w:space="0" w:color="8EA9DB"/>
              <w:right w:val="nil"/>
            </w:tcBorders>
            <w:shd w:val="clear" w:color="4472C4" w:fill="4472C4"/>
            <w:noWrap/>
            <w:vAlign w:val="bottom"/>
            <w:hideMark/>
          </w:tcPr>
          <w:p w:rsidR="007F06CC" w:rsidRPr="007F06CC" w:rsidP="007F06CC" w14:paraId="4F0E1C1B"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Hourly Rate</w:t>
            </w:r>
          </w:p>
        </w:tc>
        <w:tc>
          <w:tcPr>
            <w:tcW w:w="991" w:type="pct"/>
            <w:tcBorders>
              <w:top w:val="single" w:sz="4" w:space="0" w:color="8EA9DB"/>
              <w:left w:val="nil"/>
              <w:bottom w:val="single" w:sz="4" w:space="0" w:color="8EA9DB"/>
              <w:right w:val="single" w:sz="4" w:space="0" w:color="8EA9DB"/>
            </w:tcBorders>
            <w:shd w:val="clear" w:color="4472C4" w:fill="4472C4"/>
            <w:noWrap/>
            <w:vAlign w:val="bottom"/>
            <w:hideMark/>
          </w:tcPr>
          <w:p w:rsidR="007F06CC" w:rsidRPr="007F06CC" w:rsidP="007F06CC" w14:paraId="6B591A43" w14:textId="77777777">
            <w:pPr>
              <w:widowControl w:val="0"/>
              <w:autoSpaceDE w:val="0"/>
              <w:autoSpaceDN w:val="0"/>
              <w:spacing w:after="0" w:line="240" w:lineRule="auto"/>
              <w:ind w:left="360" w:right="250"/>
              <w:jc w:val="right"/>
              <w:rPr>
                <w:rFonts w:ascii="Calibri" w:eastAsia="Arial" w:hAnsi="Calibri" w:cs="Arial"/>
                <w:b/>
                <w:bCs/>
                <w:color w:val="FFFFFF"/>
              </w:rPr>
            </w:pPr>
            <w:r w:rsidRPr="007F06CC">
              <w:rPr>
                <w:rFonts w:ascii="Calibri" w:eastAsia="Arial" w:hAnsi="Calibri" w:cs="Arial"/>
                <w:b/>
                <w:bCs/>
                <w:color w:val="FFFFFF"/>
              </w:rPr>
              <w:t>Weighted  Avg. Rate</w:t>
            </w:r>
          </w:p>
        </w:tc>
      </w:tr>
      <w:tr w14:paraId="0E21CB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534687B6"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Executive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3D12B08"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A6CAA8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$102,690.00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5D7922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$49.37</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4A0DCA9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$13.55</w:t>
            </w:r>
          </w:p>
        </w:tc>
      </w:tr>
      <w:tr w14:paraId="14DFD15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178E8B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International Business Development</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850A5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48E9FB6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$52,649.00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535F664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$25.31</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DE492C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$6.43</w:t>
            </w:r>
          </w:p>
        </w:tc>
      </w:tr>
      <w:tr w14:paraId="37BDE9A2"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696E7913"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Sales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4E27CDE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20%</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81213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$24,809.00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891116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$11.93</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55698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$2.39</w:t>
            </w:r>
          </w:p>
        </w:tc>
      </w:tr>
      <w:tr w14:paraId="6B0869E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BB8CF49"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Customer Service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BF4D86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9%</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0B1F63D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$31,493.00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4E467A0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$15.14</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0C39A7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$1.33</w:t>
            </w:r>
          </w:p>
        </w:tc>
      </w:tr>
      <w:tr w14:paraId="48BD87BD"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3CD33A4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Government Relations</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E7085B3"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0DC5E2D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$79,168.00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7B9B4E0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$38.06</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100C73A7"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$2.60</w:t>
            </w:r>
          </w:p>
        </w:tc>
      </w:tr>
      <w:tr w14:paraId="229DC274"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2A0D2EBC"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Export Logistics</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56C6AA4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1E803B2B"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$50,612.00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386AA96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$24.33</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6EF0B00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w:t>
            </w:r>
          </w:p>
        </w:tc>
      </w:tr>
      <w:tr w14:paraId="292D31A3"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939A1C0"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Policy Director</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2FF12C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E800F7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$78,029.00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31DE4A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$37.51</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7E6B7F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$1.16</w:t>
            </w:r>
          </w:p>
        </w:tc>
      </w:tr>
      <w:tr w14:paraId="6ACACDF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45D6140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External Consultant/Legal Representative</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40CC2EC2"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42AA1DD"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$78,120.00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22908FE0"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$37.56</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1EEC502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$0.52</w:t>
            </w:r>
          </w:p>
        </w:tc>
      </w:tr>
      <w:tr w14:paraId="0E1A04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014C5D9E"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In-house Legal Counsel</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9B024A1"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w:t>
            </w: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57A111A"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$143,307.00</w:t>
            </w: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56EEE4DE"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$68.90</w:t>
            </w: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25CEEAF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$0.78</w:t>
            </w:r>
          </w:p>
        </w:tc>
      </w:tr>
      <w:tr w14:paraId="4224D817"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1718DCF4"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Other</w:t>
            </w:r>
          </w:p>
        </w:tc>
        <w:tc>
          <w:tcPr>
            <w:tcW w:w="661" w:type="pct"/>
            <w:tcBorders>
              <w:top w:val="single" w:sz="4" w:space="0" w:color="8EA9DB"/>
              <w:left w:val="nil"/>
              <w:bottom w:val="single" w:sz="4" w:space="0" w:color="8EA9DB"/>
              <w:right w:val="nil"/>
            </w:tcBorders>
            <w:noWrap/>
            <w:vAlign w:val="bottom"/>
            <w:hideMark/>
          </w:tcPr>
          <w:p w:rsidR="007F06CC" w:rsidRPr="007F06CC" w:rsidP="007F06CC" w14:paraId="2FE14BC4"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8%</w:t>
            </w: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712470D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$59,039.00</w:t>
            </w:r>
          </w:p>
        </w:tc>
        <w:tc>
          <w:tcPr>
            <w:tcW w:w="850" w:type="pct"/>
            <w:tcBorders>
              <w:top w:val="single" w:sz="4" w:space="0" w:color="8EA9DB"/>
              <w:left w:val="nil"/>
              <w:bottom w:val="single" w:sz="4" w:space="0" w:color="8EA9DB"/>
              <w:right w:val="nil"/>
            </w:tcBorders>
            <w:noWrap/>
            <w:vAlign w:val="bottom"/>
            <w:hideMark/>
          </w:tcPr>
          <w:p w:rsidR="007F06CC" w:rsidRPr="007F06CC" w:rsidP="007F06CC" w14:paraId="1E0A1C16"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$28.38</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04E43729"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$2.21</w:t>
            </w:r>
          </w:p>
        </w:tc>
      </w:tr>
      <w:tr w14:paraId="5B9F2641"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7F06CC" w:rsidRPr="007F06CC" w:rsidP="007F06CC" w14:paraId="1A82CD0A" w14:textId="77777777">
            <w:pPr>
              <w:widowControl w:val="0"/>
              <w:autoSpaceDE w:val="0"/>
              <w:autoSpaceDN w:val="0"/>
              <w:spacing w:after="0" w:line="240" w:lineRule="auto"/>
              <w:ind w:left="360" w:right="250"/>
              <w:rPr>
                <w:rFonts w:ascii="Calibri" w:eastAsia="Arial" w:hAnsi="Calibri" w:cs="Arial"/>
                <w:color w:val="000000"/>
              </w:rPr>
            </w:pPr>
            <w:r w:rsidRPr="007F06CC">
              <w:rPr>
                <w:rFonts w:ascii="Calibri" w:eastAsia="Arial" w:hAnsi="Calibri" w:cs="Arial"/>
                <w:color w:val="000000"/>
              </w:rPr>
              <w:t>Weighted Avg. Hourly Rate</w:t>
            </w:r>
          </w:p>
        </w:tc>
        <w:tc>
          <w:tcPr>
            <w:tcW w:w="661"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2700B494" w14:textId="77777777">
            <w:pPr>
              <w:widowControl w:val="0"/>
              <w:autoSpaceDE w:val="0"/>
              <w:autoSpaceDN w:val="0"/>
              <w:spacing w:after="0" w:line="240" w:lineRule="auto"/>
              <w:ind w:left="360" w:right="250"/>
              <w:jc w:val="right"/>
              <w:rPr>
                <w:rFonts w:ascii="Calibri" w:eastAsia="Arial" w:hAnsi="Calibri" w:cs="Arial"/>
                <w:color w:val="000000"/>
              </w:rPr>
            </w:pPr>
          </w:p>
        </w:tc>
        <w:tc>
          <w:tcPr>
            <w:tcW w:w="1038"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611C513A"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shd w:val="clear" w:color="D9E1F2" w:fill="D9E1F2"/>
            <w:noWrap/>
            <w:vAlign w:val="bottom"/>
            <w:hideMark/>
          </w:tcPr>
          <w:p w:rsidR="007F06CC" w:rsidRPr="007F06CC" w:rsidP="007F06CC" w14:paraId="16651882" w14:textId="77777777">
            <w:pPr>
              <w:widowControl w:val="0"/>
              <w:autoSpaceDE w:val="0"/>
              <w:autoSpaceDN w:val="0"/>
              <w:spacing w:after="0" w:line="240" w:lineRule="auto"/>
              <w:ind w:left="360" w:right="250"/>
              <w:jc w:val="right"/>
              <w:rPr>
                <w:rFonts w:ascii="Arial" w:eastAsia="Arial" w:hAnsi="Arial" w:cs="Arial"/>
                <w:sz w:val="20"/>
              </w:rPr>
            </w:pPr>
          </w:p>
        </w:tc>
        <w:tc>
          <w:tcPr>
            <w:tcW w:w="991" w:type="pct"/>
            <w:tcBorders>
              <w:top w:val="single" w:sz="4" w:space="0" w:color="8EA9DB"/>
              <w:left w:val="nil"/>
              <w:bottom w:val="single" w:sz="4" w:space="0" w:color="8EA9DB"/>
              <w:right w:val="single" w:sz="4" w:space="0" w:color="8EA9DB"/>
            </w:tcBorders>
            <w:shd w:val="clear" w:color="D9E1F2" w:fill="D9E1F2"/>
            <w:noWrap/>
            <w:vAlign w:val="bottom"/>
            <w:hideMark/>
          </w:tcPr>
          <w:p w:rsidR="007F06CC" w:rsidRPr="007F06CC" w:rsidP="007F06CC" w14:paraId="3F69DF0F" w14:textId="77777777">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$30.19</w:t>
            </w:r>
          </w:p>
        </w:tc>
      </w:tr>
      <w:tr w14:paraId="0192C005" w14:textId="77777777" w:rsidTr="007F06CC">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noWrap/>
            <w:vAlign w:val="bottom"/>
            <w:hideMark/>
          </w:tcPr>
          <w:p w:rsidR="007F06CC" w:rsidRPr="007F06CC" w:rsidP="007F06CC" w14:paraId="038B635C" w14:textId="77777777">
            <w:pPr>
              <w:widowControl w:val="0"/>
              <w:autoSpaceDE w:val="0"/>
              <w:autoSpaceDN w:val="0"/>
              <w:spacing w:after="0" w:line="240" w:lineRule="auto"/>
              <w:ind w:left="360" w:right="250"/>
              <w:jc w:val="right"/>
              <w:rPr>
                <w:rFonts w:ascii="Calibri" w:eastAsia="Arial" w:hAnsi="Calibri" w:cs="Arial"/>
                <w:color w:val="000000"/>
              </w:rPr>
            </w:pPr>
          </w:p>
        </w:tc>
        <w:tc>
          <w:tcPr>
            <w:tcW w:w="661" w:type="pct"/>
            <w:tcBorders>
              <w:top w:val="single" w:sz="4" w:space="0" w:color="8EA9DB"/>
              <w:left w:val="nil"/>
              <w:bottom w:val="single" w:sz="4" w:space="0" w:color="8EA9DB"/>
              <w:right w:val="nil"/>
            </w:tcBorders>
            <w:noWrap/>
            <w:vAlign w:val="bottom"/>
            <w:hideMark/>
          </w:tcPr>
          <w:p w:rsidR="007F06CC" w:rsidRPr="007F06CC" w:rsidP="007F06CC" w14:paraId="156F6870" w14:textId="77777777">
            <w:pPr>
              <w:widowControl w:val="0"/>
              <w:autoSpaceDE w:val="0"/>
              <w:autoSpaceDN w:val="0"/>
              <w:spacing w:after="0" w:line="240" w:lineRule="auto"/>
              <w:ind w:left="360" w:right="250"/>
              <w:jc w:val="right"/>
              <w:rPr>
                <w:rFonts w:ascii="Arial" w:eastAsia="Arial" w:hAnsi="Arial" w:cs="Arial"/>
                <w:sz w:val="20"/>
              </w:rPr>
            </w:pPr>
          </w:p>
        </w:tc>
        <w:tc>
          <w:tcPr>
            <w:tcW w:w="1038" w:type="pct"/>
            <w:tcBorders>
              <w:top w:val="single" w:sz="4" w:space="0" w:color="8EA9DB"/>
              <w:left w:val="nil"/>
              <w:bottom w:val="single" w:sz="4" w:space="0" w:color="8EA9DB"/>
              <w:right w:val="nil"/>
            </w:tcBorders>
            <w:noWrap/>
            <w:vAlign w:val="bottom"/>
            <w:hideMark/>
          </w:tcPr>
          <w:p w:rsidR="007F06CC" w:rsidRPr="007F06CC" w:rsidP="007F06CC" w14:paraId="6E064403" w14:textId="77777777">
            <w:pPr>
              <w:widowControl w:val="0"/>
              <w:autoSpaceDE w:val="0"/>
              <w:autoSpaceDN w:val="0"/>
              <w:spacing w:after="0" w:line="240" w:lineRule="auto"/>
              <w:ind w:left="360" w:right="250"/>
              <w:jc w:val="right"/>
              <w:rPr>
                <w:rFonts w:ascii="Arial" w:eastAsia="Arial" w:hAnsi="Arial" w:cs="Arial"/>
                <w:sz w:val="20"/>
              </w:rPr>
            </w:pPr>
          </w:p>
        </w:tc>
        <w:tc>
          <w:tcPr>
            <w:tcW w:w="850" w:type="pct"/>
            <w:tcBorders>
              <w:top w:val="single" w:sz="4" w:space="0" w:color="8EA9DB"/>
              <w:left w:val="nil"/>
              <w:bottom w:val="single" w:sz="4" w:space="0" w:color="8EA9DB"/>
              <w:right w:val="nil"/>
            </w:tcBorders>
            <w:noWrap/>
            <w:vAlign w:val="bottom"/>
            <w:hideMark/>
          </w:tcPr>
          <w:p w:rsidR="007F06CC" w:rsidRPr="007F06CC" w:rsidP="007F06CC" w14:paraId="016C1131" w14:textId="6C718AAA">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 xml:space="preserve">x </w:t>
            </w:r>
            <w:r w:rsidR="004D0AF8">
              <w:rPr>
                <w:rFonts w:ascii="Calibri" w:eastAsia="Arial" w:hAnsi="Calibri" w:cs="Arial"/>
                <w:color w:val="000000"/>
              </w:rPr>
              <w:t>4,000</w:t>
            </w:r>
            <w:r w:rsidRPr="007F06CC">
              <w:rPr>
                <w:rFonts w:ascii="Calibri" w:eastAsia="Arial" w:hAnsi="Calibri" w:cs="Arial"/>
                <w:color w:val="000000"/>
              </w:rPr>
              <w:t xml:space="preserve"> hours</w:t>
            </w:r>
          </w:p>
        </w:tc>
        <w:tc>
          <w:tcPr>
            <w:tcW w:w="991" w:type="pct"/>
            <w:tcBorders>
              <w:top w:val="single" w:sz="4" w:space="0" w:color="8EA9DB"/>
              <w:left w:val="nil"/>
              <w:bottom w:val="single" w:sz="4" w:space="0" w:color="8EA9DB"/>
              <w:right w:val="single" w:sz="4" w:space="0" w:color="8EA9DB"/>
            </w:tcBorders>
            <w:noWrap/>
            <w:vAlign w:val="bottom"/>
            <w:hideMark/>
          </w:tcPr>
          <w:p w:rsidR="007F06CC" w:rsidRPr="007F06CC" w:rsidP="007F06CC" w14:paraId="29DC4012" w14:textId="18954DD2">
            <w:pPr>
              <w:widowControl w:val="0"/>
              <w:autoSpaceDE w:val="0"/>
              <w:autoSpaceDN w:val="0"/>
              <w:spacing w:after="0" w:line="240" w:lineRule="auto"/>
              <w:ind w:left="360" w:right="250"/>
              <w:jc w:val="right"/>
              <w:rPr>
                <w:rFonts w:ascii="Calibri" w:eastAsia="Arial" w:hAnsi="Calibri" w:cs="Arial"/>
                <w:color w:val="000000"/>
              </w:rPr>
            </w:pPr>
            <w:r w:rsidRPr="007F06CC">
              <w:rPr>
                <w:rFonts w:ascii="Calibri" w:eastAsia="Arial" w:hAnsi="Calibri" w:cs="Arial"/>
                <w:color w:val="000000"/>
              </w:rPr>
              <w:t>$</w:t>
            </w:r>
            <w:r w:rsidR="005B2C0E">
              <w:rPr>
                <w:rFonts w:ascii="Calibri" w:eastAsia="Arial" w:hAnsi="Calibri" w:cs="Arial"/>
                <w:color w:val="000000"/>
              </w:rPr>
              <w:t>120,760</w:t>
            </w:r>
          </w:p>
        </w:tc>
      </w:tr>
    </w:tbl>
    <w:p w:rsidR="008C744F" w:rsidRPr="00FA470D" w:rsidP="008C744F" w14:paraId="70267087" w14:textId="77777777">
      <w:r>
        <w:pict>
          <v:rect id="_x0000_i1037" style="width:405pt;height:0.75pt" o:hrpct="0" o:hralign="center" o:hrstd="t" o:hrnoshade="t" o:hr="t" fillcolor="#414141" stroked="f"/>
        </w:pict>
      </w:r>
    </w:p>
    <w:p w:rsidR="008C744F" w:rsidRPr="00FA470D" w:rsidP="008C744F" w14:paraId="0DB7E4A8" w14:textId="0918BA2F">
      <w:r w:rsidRPr="43C9104C">
        <w:rPr>
          <w:b/>
          <w:bCs/>
        </w:rPr>
        <w:t xml:space="preserve">14. Provide estimates of annualized cost to the Federal government. </w:t>
      </w:r>
      <w:r w:rsidRPr="43C9104C" w:rsidR="196AB1DC">
        <w:rPr>
          <w:b/>
          <w:bCs/>
        </w:rPr>
        <w:t>Also, p</w:t>
      </w:r>
      <w:r w:rsidRPr="43C9104C">
        <w:rPr>
          <w:b/>
          <w:bCs/>
        </w:rPr>
        <w:t>rovide a description of the method used to estimate cost and any other expense that would not have been incurred without this collection of information.</w:t>
      </w:r>
    </w:p>
    <w:p w:rsidR="007072CF" w:rsidRPr="00795A45" w:rsidP="007072CF" w14:paraId="7DF0C2B3" w14:textId="1C49B1A5">
      <w:pPr>
        <w:widowControl w:val="0"/>
        <w:autoSpaceDE w:val="0"/>
        <w:autoSpaceDN w:val="0"/>
        <w:spacing w:before="160" w:after="0"/>
        <w:ind w:right="513"/>
        <w:rPr>
          <w:rFonts w:ascii="Times New Roman" w:hAnsi="Times New Roman" w:cs="Times New Roman"/>
          <w:sz w:val="24"/>
          <w:szCs w:val="24"/>
        </w:rPr>
      </w:pPr>
      <w:r w:rsidRPr="00795A45">
        <w:rPr>
          <w:rFonts w:ascii="Times New Roman" w:hAnsi="Times New Roman" w:cs="Times New Roman"/>
          <w:sz w:val="24"/>
          <w:szCs w:val="24"/>
        </w:rPr>
        <w:t xml:space="preserve">It will take ITA staff approximately </w:t>
      </w:r>
      <w:r w:rsidRPr="00795A45" w:rsidR="00502212">
        <w:rPr>
          <w:rFonts w:ascii="Times New Roman" w:hAnsi="Times New Roman" w:cs="Times New Roman"/>
          <w:sz w:val="24"/>
          <w:szCs w:val="24"/>
        </w:rPr>
        <w:t>4</w:t>
      </w:r>
      <w:r w:rsidRPr="00795A45">
        <w:rPr>
          <w:rFonts w:ascii="Times New Roman" w:hAnsi="Times New Roman" w:cs="Times New Roman"/>
          <w:sz w:val="24"/>
          <w:szCs w:val="24"/>
        </w:rPr>
        <w:t xml:space="preserve"> hours to review and process each Tariff Preferential Treatment Submission. The total estimated cost would be approximately $</w:t>
      </w:r>
      <w:r w:rsidRPr="00795A45" w:rsidR="00C543DC">
        <w:rPr>
          <w:rFonts w:ascii="Times New Roman" w:hAnsi="Times New Roman" w:cs="Times New Roman"/>
          <w:sz w:val="24"/>
          <w:szCs w:val="24"/>
        </w:rPr>
        <w:t>1</w:t>
      </w:r>
      <w:r w:rsidR="00C543DC">
        <w:rPr>
          <w:rFonts w:ascii="Times New Roman" w:hAnsi="Times New Roman" w:cs="Times New Roman"/>
          <w:sz w:val="24"/>
          <w:szCs w:val="24"/>
        </w:rPr>
        <w:t>86</w:t>
      </w:r>
      <w:r w:rsidRPr="00795A45" w:rsidR="007262C0">
        <w:rPr>
          <w:rFonts w:ascii="Times New Roman" w:hAnsi="Times New Roman" w:cs="Times New Roman"/>
          <w:sz w:val="24"/>
          <w:szCs w:val="24"/>
        </w:rPr>
        <w:t>,</w:t>
      </w:r>
      <w:r w:rsidR="00C543DC">
        <w:rPr>
          <w:rFonts w:ascii="Times New Roman" w:hAnsi="Times New Roman" w:cs="Times New Roman"/>
          <w:sz w:val="24"/>
          <w:szCs w:val="24"/>
        </w:rPr>
        <w:t>0</w:t>
      </w:r>
      <w:r w:rsidRPr="00795A45" w:rsidR="007262C0">
        <w:rPr>
          <w:rFonts w:ascii="Times New Roman" w:hAnsi="Times New Roman" w:cs="Times New Roman"/>
          <w:sz w:val="24"/>
          <w:szCs w:val="24"/>
        </w:rPr>
        <w:t>00</w:t>
      </w:r>
      <w:r w:rsidRPr="00795A45">
        <w:rPr>
          <w:rFonts w:ascii="Times New Roman" w:hAnsi="Times New Roman" w:cs="Times New Roman"/>
          <w:sz w:val="24"/>
          <w:szCs w:val="24"/>
        </w:rPr>
        <w:t xml:space="preserve"> per year (</w:t>
      </w:r>
      <w:r w:rsidR="00C36C00">
        <w:rPr>
          <w:rFonts w:ascii="Times New Roman" w:hAnsi="Times New Roman" w:cs="Times New Roman"/>
          <w:sz w:val="24"/>
          <w:szCs w:val="24"/>
        </w:rPr>
        <w:t>100</w:t>
      </w:r>
      <w:r w:rsidRPr="00795A45" w:rsidR="00C36C00">
        <w:rPr>
          <w:rFonts w:ascii="Times New Roman" w:hAnsi="Times New Roman" w:cs="Times New Roman"/>
          <w:sz w:val="24"/>
          <w:szCs w:val="24"/>
        </w:rPr>
        <w:t xml:space="preserve"> </w:t>
      </w:r>
      <w:r w:rsidRPr="00795A45">
        <w:rPr>
          <w:rFonts w:ascii="Times New Roman" w:hAnsi="Times New Roman" w:cs="Times New Roman"/>
          <w:sz w:val="24"/>
          <w:szCs w:val="24"/>
        </w:rPr>
        <w:t>submissions * 3 staff at an average GS-14 salary ($155/hr)</w:t>
      </w:r>
      <w:r>
        <w:rPr>
          <w:rFonts w:ascii="Times New Roman" w:hAnsi="Times New Roman" w:cs="Times New Roman"/>
          <w:sz w:val="24"/>
          <w:szCs w:val="24"/>
          <w:vertAlign w:val="superscript"/>
        </w:rPr>
        <w:footnoteReference w:id="3"/>
      </w:r>
      <w:r w:rsidRPr="00795A45">
        <w:rPr>
          <w:rFonts w:ascii="Times New Roman" w:hAnsi="Times New Roman" w:cs="Times New Roman"/>
          <w:sz w:val="24"/>
          <w:szCs w:val="24"/>
        </w:rPr>
        <w:t xml:space="preserve"> * </w:t>
      </w:r>
      <w:r w:rsidRPr="00795A45" w:rsidR="007262C0">
        <w:rPr>
          <w:rFonts w:ascii="Times New Roman" w:hAnsi="Times New Roman" w:cs="Times New Roman"/>
          <w:sz w:val="24"/>
          <w:szCs w:val="24"/>
        </w:rPr>
        <w:t>4</w:t>
      </w:r>
      <w:r w:rsidRPr="00795A45">
        <w:rPr>
          <w:rFonts w:ascii="Times New Roman" w:hAnsi="Times New Roman" w:cs="Times New Roman"/>
          <w:sz w:val="24"/>
          <w:szCs w:val="24"/>
        </w:rPr>
        <w:t xml:space="preserve"> hours each to review for each submission).  </w:t>
      </w:r>
    </w:p>
    <w:p w:rsidR="008C744F" w:rsidRPr="00FA470D" w:rsidP="008C744F" w14:paraId="6EA98699" w14:textId="77777777">
      <w:r>
        <w:pict>
          <v:rect id="_x0000_i1038" style="width:405pt;height:0.75pt" o:hrpct="0" o:hralign="center" o:hrstd="t" o:hrnoshade="t" o:hr="t" fillcolor="#414141" stroked="f"/>
        </w:pict>
      </w:r>
    </w:p>
    <w:p w:rsidR="008C744F" w:rsidRPr="00FA470D" w:rsidP="008C744F" w14:paraId="520F4410" w14:textId="77777777">
      <w:r w:rsidRPr="00FA470D">
        <w:rPr>
          <w:b/>
          <w:bCs/>
        </w:rPr>
        <w:t>15. Explain the reasons for any program changes or adjustments reported in Items 13 or 14 of the OMB Form 83-1.</w:t>
      </w:r>
    </w:p>
    <w:p w:rsidR="008C744F" w:rsidRPr="00FA470D" w:rsidP="008C744F" w14:paraId="664CF164" w14:textId="6238867D">
      <w:r w:rsidRPr="00E95CA3">
        <w:rPr>
          <w:rFonts w:ascii="Times New Roman" w:hAnsi="Times New Roman" w:cs="Times New Roman"/>
          <w:sz w:val="24"/>
          <w:szCs w:val="24"/>
        </w:rPr>
        <w:t xml:space="preserve">During the normal extension period, ICR 0625-0283 underwent multiple revisions driven by evolving Administration policy priorities and implementation requirements, often with limited lead time. These revisions expanded the existing Offset Program to include medium- and heavy-duty vehicles (MHDVs), MHDV parts, </w:t>
      </w:r>
      <w:r w:rsidRPr="00713EF0">
        <w:rPr>
          <w:rFonts w:ascii="Times New Roman" w:hAnsi="Times New Roman" w:cs="Times New Roman"/>
          <w:sz w:val="24"/>
          <w:szCs w:val="24"/>
        </w:rPr>
        <w:t>and engines</w:t>
      </w:r>
      <w:r w:rsidRPr="00E95CA3">
        <w:rPr>
          <w:rFonts w:ascii="Times New Roman" w:hAnsi="Times New Roman" w:cs="Times New Roman"/>
          <w:sz w:val="24"/>
          <w:szCs w:val="24"/>
        </w:rPr>
        <w:t xml:space="preserve">. </w:t>
      </w:r>
      <w:r w:rsidR="00713EF0">
        <w:rPr>
          <w:rFonts w:ascii="Times New Roman" w:hAnsi="Times New Roman" w:cs="Times New Roman"/>
          <w:sz w:val="24"/>
          <w:szCs w:val="24"/>
        </w:rPr>
        <w:t>T</w:t>
      </w:r>
      <w:r w:rsidRPr="00E95CA3">
        <w:rPr>
          <w:rFonts w:ascii="Times New Roman" w:hAnsi="Times New Roman" w:cs="Times New Roman"/>
          <w:sz w:val="24"/>
          <w:szCs w:val="24"/>
        </w:rPr>
        <w:t>his renewal incorporates those revisions and updates the title of the information collection to comprehensively reflect all categories covered under the Offset Program. </w:t>
      </w:r>
      <w:r>
        <w:pict>
          <v:rect id="_x0000_i1039" style="width:405pt;height:0.75pt" o:hrpct="0" o:hralign="center" o:hrstd="t" o:hrnoshade="t" o:hr="t" fillcolor="#414141" stroked="f"/>
        </w:pict>
      </w:r>
    </w:p>
    <w:p w:rsidR="008C744F" w:rsidRPr="00FA470D" w:rsidP="008C744F" w14:paraId="30D56A70" w14:textId="77777777">
      <w:r w:rsidRPr="00FA470D">
        <w:rPr>
          <w:b/>
          <w:bCs/>
        </w:rPr>
        <w:t>16. For collections of information whose results are planned to be published, outline plans for tabulation and publication.</w:t>
      </w:r>
    </w:p>
    <w:p w:rsidR="005056F4" w:rsidRPr="005056F4" w:rsidP="005056F4" w14:paraId="765CFBD7" w14:textId="25621E52">
      <w:pPr>
        <w:pStyle w:val="BodyText"/>
        <w:spacing w:before="161"/>
        <w:ind w:left="0" w:right="87"/>
        <w:rPr>
          <w:rFonts w:ascii="Times New Roman" w:hAnsi="Times New Roman" w:cs="Times New Roman"/>
        </w:rPr>
      </w:pPr>
      <w:r w:rsidRPr="005056F4">
        <w:rPr>
          <w:rFonts w:ascii="Times New Roman" w:hAnsi="Times New Roman" w:cs="Times New Roman"/>
        </w:rPr>
        <w:t>Not applicable.</w:t>
      </w:r>
      <w:r w:rsidR="00770E1D">
        <w:rPr>
          <w:rFonts w:ascii="Times New Roman" w:hAnsi="Times New Roman" w:cs="Times New Roman"/>
        </w:rPr>
        <w:t xml:space="preserve"> The data from this collection will be for internal use only.</w:t>
      </w:r>
    </w:p>
    <w:p w:rsidR="008C744F" w:rsidRPr="00FA470D" w:rsidP="008C744F" w14:paraId="54594807" w14:textId="77777777">
      <w:r>
        <w:pict>
          <v:rect id="_x0000_i1040" style="width:405pt;height:0.75pt" o:hrpct="0" o:hralign="center" o:hrstd="t" o:hrnoshade="t" o:hr="t" fillcolor="#414141" stroked="f"/>
        </w:pict>
      </w:r>
    </w:p>
    <w:p w:rsidR="008C744F" w:rsidRPr="00FA470D" w:rsidP="00A41254" w14:paraId="5F422C98" w14:textId="77777777">
      <w:pPr>
        <w:spacing w:after="0"/>
      </w:pPr>
      <w:r w:rsidRPr="00FA470D">
        <w:rPr>
          <w:b/>
          <w:bCs/>
        </w:rPr>
        <w:t>17. If seeking approval to not display the expiration date for OMB approval of the information collection, explain the reasons that display would be inappropriate.</w:t>
      </w:r>
    </w:p>
    <w:p w:rsidR="00A642BC" w:rsidP="00A41254" w14:paraId="5E27FA31" w14:textId="77777777">
      <w:pPr>
        <w:pStyle w:val="BodyText"/>
        <w:spacing w:before="0"/>
        <w:ind w:left="0" w:right="87"/>
        <w:rPr>
          <w:rFonts w:ascii="Times New Roman" w:hAnsi="Times New Roman" w:cs="Times New Roman"/>
        </w:rPr>
      </w:pPr>
    </w:p>
    <w:p w:rsidR="008C744F" w:rsidRPr="00FA470D" w:rsidP="008C744F" w14:paraId="62E908EA" w14:textId="65421853">
      <w:r w:rsidRPr="00227F3C">
        <w:rPr>
          <w:rFonts w:ascii="Times New Roman" w:eastAsia="Arial" w:hAnsi="Times New Roman" w:cs="Times New Roman"/>
          <w:sz w:val="24"/>
          <w:szCs w:val="24"/>
        </w:rPr>
        <w:t>The agency plans to display the expiration date for OMB approval of the information collection on all instruments.</w:t>
      </w:r>
      <w:r w:rsidRPr="00795A45">
        <w:rPr>
          <w:rFonts w:ascii="Times New Roman" w:eastAsia="Arial" w:hAnsi="Times New Roman" w:cs="Times New Roman"/>
          <w:sz w:val="24"/>
          <w:szCs w:val="24"/>
        </w:rPr>
        <w:t> </w:t>
      </w:r>
      <w:r>
        <w:pict>
          <v:rect id="_x0000_i1041" style="width:405pt;height:0.75pt" o:hrpct="0" o:hralign="center" o:hrstd="t" o:hrnoshade="t" o:hr="t" fillcolor="#414141" stroked="f"/>
        </w:pict>
      </w:r>
    </w:p>
    <w:p w:rsidR="008C744F" w:rsidRPr="00FA470D" w:rsidP="008C744F" w14:paraId="2107E787" w14:textId="77777777">
      <w:r w:rsidRPr="00FA470D">
        <w:rPr>
          <w:b/>
          <w:bCs/>
        </w:rPr>
        <w:t>18. Explain each exception to the certification statement identified in Item 19 "Certification for Paperwork Reduction Act."</w:t>
      </w:r>
    </w:p>
    <w:p w:rsidR="008C744F" w:rsidRPr="00FA470D" w:rsidP="008C744F" w14:paraId="4749FCCF" w14:textId="77777777">
      <w:r w:rsidRPr="00FA470D">
        <w:rPr>
          <w:b/>
          <w:bCs/>
        </w:rPr>
        <w:t>A. Certification Statement</w:t>
      </w:r>
    </w:p>
    <w:p w:rsidR="00237358" w:rsidRPr="00642EC5" w14:paraId="064B41BF" w14:textId="1D5FECF1">
      <w:pPr>
        <w:rPr>
          <w:rFonts w:ascii="Times New Roman" w:hAnsi="Times New Roman" w:cs="Times New Roman"/>
          <w:sz w:val="24"/>
          <w:szCs w:val="24"/>
        </w:rPr>
      </w:pPr>
      <w:r w:rsidRPr="00A41254">
        <w:rPr>
          <w:rFonts w:ascii="Times New Roman" w:hAnsi="Times New Roman" w:cs="Times New Roman"/>
          <w:sz w:val="24"/>
          <w:szCs w:val="24"/>
        </w:rPr>
        <w:t xml:space="preserve">The agency </w:t>
      </w:r>
      <w:r w:rsidR="00770E1D">
        <w:rPr>
          <w:rFonts w:ascii="Times New Roman" w:hAnsi="Times New Roman" w:cs="Times New Roman"/>
          <w:sz w:val="24"/>
          <w:szCs w:val="24"/>
        </w:rPr>
        <w:t xml:space="preserve">certifies </w:t>
      </w:r>
      <w:r w:rsidRPr="00A41254">
        <w:rPr>
          <w:rFonts w:ascii="Times New Roman" w:hAnsi="Times New Roman" w:cs="Times New Roman"/>
          <w:sz w:val="24"/>
          <w:szCs w:val="24"/>
        </w:rPr>
        <w:t>compliance with all provisions under Item 19 of OMB Form 83-I.</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4F8B7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08D9" w:rsidP="007072CF" w14:paraId="2E4A483D" w14:textId="77777777">
      <w:pPr>
        <w:spacing w:after="0" w:line="240" w:lineRule="auto"/>
      </w:pPr>
      <w:r>
        <w:separator/>
      </w:r>
    </w:p>
  </w:footnote>
  <w:footnote w:type="continuationSeparator" w:id="1">
    <w:p w:rsidR="00D008D9" w:rsidP="007072CF" w14:paraId="1CE5436D" w14:textId="77777777">
      <w:pPr>
        <w:spacing w:after="0" w:line="240" w:lineRule="auto"/>
      </w:pPr>
      <w:r>
        <w:continuationSeparator/>
      </w:r>
    </w:p>
  </w:footnote>
  <w:footnote w:type="continuationNotice" w:id="2">
    <w:p w:rsidR="00D008D9" w14:paraId="3405C397" w14:textId="77777777">
      <w:pPr>
        <w:spacing w:after="0" w:line="240" w:lineRule="auto"/>
      </w:pPr>
    </w:p>
  </w:footnote>
  <w:footnote w:id="3">
    <w:p w:rsidR="007072CF" w:rsidP="007072CF" w14:paraId="3E923FAB"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0DC" w:rsidP="0008606E" w14:paraId="06013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8B4E76"/>
    <w:multiLevelType w:val="hybridMultilevel"/>
    <w:tmpl w:val="B23AF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15298C"/>
    <w:multiLevelType w:val="multilevel"/>
    <w:tmpl w:val="8A7E93E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2694503">
    <w:abstractNumId w:val="1"/>
  </w:num>
  <w:num w:numId="2" w16cid:durableId="2144424926">
    <w:abstractNumId w:val="7"/>
  </w:num>
  <w:num w:numId="3" w16cid:durableId="95951347">
    <w:abstractNumId w:val="8"/>
  </w:num>
  <w:num w:numId="4" w16cid:durableId="647320525">
    <w:abstractNumId w:val="3"/>
  </w:num>
  <w:num w:numId="5" w16cid:durableId="1419061130">
    <w:abstractNumId w:val="5"/>
  </w:num>
  <w:num w:numId="6" w16cid:durableId="1926526163">
    <w:abstractNumId w:val="0"/>
  </w:num>
  <w:num w:numId="7" w16cid:durableId="248779258">
    <w:abstractNumId w:val="4"/>
  </w:num>
  <w:num w:numId="8" w16cid:durableId="1459225869">
    <w:abstractNumId w:val="6"/>
  </w:num>
  <w:num w:numId="9" w16cid:durableId="1051268826">
    <w:abstractNumId w:val="4"/>
  </w:num>
  <w:num w:numId="10" w16cid:durableId="155531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F"/>
    <w:rsid w:val="000023FF"/>
    <w:rsid w:val="00002E82"/>
    <w:rsid w:val="0001548F"/>
    <w:rsid w:val="00023E37"/>
    <w:rsid w:val="00031520"/>
    <w:rsid w:val="00044BED"/>
    <w:rsid w:val="0005198A"/>
    <w:rsid w:val="000527A1"/>
    <w:rsid w:val="00064B7E"/>
    <w:rsid w:val="00077004"/>
    <w:rsid w:val="000774E4"/>
    <w:rsid w:val="00077720"/>
    <w:rsid w:val="000833CE"/>
    <w:rsid w:val="0008606E"/>
    <w:rsid w:val="00092EAC"/>
    <w:rsid w:val="000A6017"/>
    <w:rsid w:val="000A75C0"/>
    <w:rsid w:val="000B41B5"/>
    <w:rsid w:val="000B7771"/>
    <w:rsid w:val="000C0AFD"/>
    <w:rsid w:val="000C22D8"/>
    <w:rsid w:val="000C2F4F"/>
    <w:rsid w:val="000C7FA2"/>
    <w:rsid w:val="000D3671"/>
    <w:rsid w:val="000F526B"/>
    <w:rsid w:val="00101527"/>
    <w:rsid w:val="001036DB"/>
    <w:rsid w:val="001210D9"/>
    <w:rsid w:val="00126793"/>
    <w:rsid w:val="0013301F"/>
    <w:rsid w:val="00142A7C"/>
    <w:rsid w:val="001433A4"/>
    <w:rsid w:val="0015713C"/>
    <w:rsid w:val="00163B23"/>
    <w:rsid w:val="0016613A"/>
    <w:rsid w:val="00177C2B"/>
    <w:rsid w:val="00182433"/>
    <w:rsid w:val="001829AA"/>
    <w:rsid w:val="001A60B1"/>
    <w:rsid w:val="001B1CAC"/>
    <w:rsid w:val="001B4DEF"/>
    <w:rsid w:val="001D086C"/>
    <w:rsid w:val="001D0EFE"/>
    <w:rsid w:val="001E0486"/>
    <w:rsid w:val="001E13AD"/>
    <w:rsid w:val="001F56BE"/>
    <w:rsid w:val="002016E7"/>
    <w:rsid w:val="0020452F"/>
    <w:rsid w:val="00207E89"/>
    <w:rsid w:val="00211C9D"/>
    <w:rsid w:val="00212E8A"/>
    <w:rsid w:val="00227F3C"/>
    <w:rsid w:val="00237358"/>
    <w:rsid w:val="00242158"/>
    <w:rsid w:val="00242750"/>
    <w:rsid w:val="002543B6"/>
    <w:rsid w:val="00261CC6"/>
    <w:rsid w:val="0026391C"/>
    <w:rsid w:val="00265131"/>
    <w:rsid w:val="00273F18"/>
    <w:rsid w:val="00274815"/>
    <w:rsid w:val="002807DB"/>
    <w:rsid w:val="00287732"/>
    <w:rsid w:val="00297E79"/>
    <w:rsid w:val="002A22A3"/>
    <w:rsid w:val="002A7830"/>
    <w:rsid w:val="002B6B9B"/>
    <w:rsid w:val="002B714E"/>
    <w:rsid w:val="002C086C"/>
    <w:rsid w:val="002C7FFA"/>
    <w:rsid w:val="002D0C4A"/>
    <w:rsid w:val="002D5286"/>
    <w:rsid w:val="002E02EC"/>
    <w:rsid w:val="002F62BD"/>
    <w:rsid w:val="00316717"/>
    <w:rsid w:val="00316FAF"/>
    <w:rsid w:val="00332D81"/>
    <w:rsid w:val="003344B9"/>
    <w:rsid w:val="0035691D"/>
    <w:rsid w:val="00364EAB"/>
    <w:rsid w:val="00367625"/>
    <w:rsid w:val="0037175B"/>
    <w:rsid w:val="0037358E"/>
    <w:rsid w:val="00375488"/>
    <w:rsid w:val="00390962"/>
    <w:rsid w:val="00390F62"/>
    <w:rsid w:val="0039286D"/>
    <w:rsid w:val="0039397E"/>
    <w:rsid w:val="00396FFB"/>
    <w:rsid w:val="003A1E30"/>
    <w:rsid w:val="003C02D1"/>
    <w:rsid w:val="003D71BE"/>
    <w:rsid w:val="003D74A3"/>
    <w:rsid w:val="003E7E11"/>
    <w:rsid w:val="004052FC"/>
    <w:rsid w:val="004066C4"/>
    <w:rsid w:val="004069AF"/>
    <w:rsid w:val="0041547E"/>
    <w:rsid w:val="00416029"/>
    <w:rsid w:val="004160BD"/>
    <w:rsid w:val="004227E6"/>
    <w:rsid w:val="00444052"/>
    <w:rsid w:val="00447883"/>
    <w:rsid w:val="00452DC9"/>
    <w:rsid w:val="00453EAF"/>
    <w:rsid w:val="00455EA3"/>
    <w:rsid w:val="00462C54"/>
    <w:rsid w:val="00465A24"/>
    <w:rsid w:val="00470154"/>
    <w:rsid w:val="00473822"/>
    <w:rsid w:val="00475636"/>
    <w:rsid w:val="00480BF1"/>
    <w:rsid w:val="00482EDE"/>
    <w:rsid w:val="0049057E"/>
    <w:rsid w:val="00496373"/>
    <w:rsid w:val="004C7C44"/>
    <w:rsid w:val="004D0AF8"/>
    <w:rsid w:val="004D4D14"/>
    <w:rsid w:val="004E3FEA"/>
    <w:rsid w:val="004F1378"/>
    <w:rsid w:val="004F6B2F"/>
    <w:rsid w:val="00502212"/>
    <w:rsid w:val="005056F4"/>
    <w:rsid w:val="00522BC6"/>
    <w:rsid w:val="00523B8C"/>
    <w:rsid w:val="00570F90"/>
    <w:rsid w:val="005715FA"/>
    <w:rsid w:val="00572DA1"/>
    <w:rsid w:val="005735DC"/>
    <w:rsid w:val="00575550"/>
    <w:rsid w:val="00585638"/>
    <w:rsid w:val="0059000E"/>
    <w:rsid w:val="00594C3B"/>
    <w:rsid w:val="00597490"/>
    <w:rsid w:val="005A4386"/>
    <w:rsid w:val="005A5CB6"/>
    <w:rsid w:val="005B2C0E"/>
    <w:rsid w:val="00601426"/>
    <w:rsid w:val="00604D8B"/>
    <w:rsid w:val="0062374E"/>
    <w:rsid w:val="0063622F"/>
    <w:rsid w:val="00636940"/>
    <w:rsid w:val="00642EC5"/>
    <w:rsid w:val="00646ADD"/>
    <w:rsid w:val="00650264"/>
    <w:rsid w:val="00651588"/>
    <w:rsid w:val="00651B0E"/>
    <w:rsid w:val="0065208A"/>
    <w:rsid w:val="00662179"/>
    <w:rsid w:val="00670113"/>
    <w:rsid w:val="00671EF7"/>
    <w:rsid w:val="00671F54"/>
    <w:rsid w:val="00675D9D"/>
    <w:rsid w:val="0067713E"/>
    <w:rsid w:val="00692D20"/>
    <w:rsid w:val="006A136B"/>
    <w:rsid w:val="006A4583"/>
    <w:rsid w:val="006A48B6"/>
    <w:rsid w:val="006C5C2F"/>
    <w:rsid w:val="006E0D02"/>
    <w:rsid w:val="006E19E7"/>
    <w:rsid w:val="006E392F"/>
    <w:rsid w:val="007072CF"/>
    <w:rsid w:val="00713EF0"/>
    <w:rsid w:val="0071781A"/>
    <w:rsid w:val="00721A82"/>
    <w:rsid w:val="00721BC9"/>
    <w:rsid w:val="007262C0"/>
    <w:rsid w:val="00740366"/>
    <w:rsid w:val="007436F2"/>
    <w:rsid w:val="00744870"/>
    <w:rsid w:val="00756293"/>
    <w:rsid w:val="00761B20"/>
    <w:rsid w:val="00762A92"/>
    <w:rsid w:val="00770E1D"/>
    <w:rsid w:val="00774344"/>
    <w:rsid w:val="007777B4"/>
    <w:rsid w:val="0078129E"/>
    <w:rsid w:val="0078612A"/>
    <w:rsid w:val="00795A45"/>
    <w:rsid w:val="007C4C71"/>
    <w:rsid w:val="007D0DA3"/>
    <w:rsid w:val="007D1742"/>
    <w:rsid w:val="007D4F41"/>
    <w:rsid w:val="007D761F"/>
    <w:rsid w:val="007E45D5"/>
    <w:rsid w:val="007E777B"/>
    <w:rsid w:val="007F06CC"/>
    <w:rsid w:val="007F2F0C"/>
    <w:rsid w:val="007F4831"/>
    <w:rsid w:val="007F52E8"/>
    <w:rsid w:val="007F66C2"/>
    <w:rsid w:val="00810412"/>
    <w:rsid w:val="0082085E"/>
    <w:rsid w:val="00825EFD"/>
    <w:rsid w:val="00845359"/>
    <w:rsid w:val="00846B64"/>
    <w:rsid w:val="008576EB"/>
    <w:rsid w:val="00861E3F"/>
    <w:rsid w:val="0089245E"/>
    <w:rsid w:val="008A5393"/>
    <w:rsid w:val="008A586D"/>
    <w:rsid w:val="008B1746"/>
    <w:rsid w:val="008B60E1"/>
    <w:rsid w:val="008C3AB4"/>
    <w:rsid w:val="008C70E1"/>
    <w:rsid w:val="008C744F"/>
    <w:rsid w:val="008D329E"/>
    <w:rsid w:val="008D4932"/>
    <w:rsid w:val="008D6133"/>
    <w:rsid w:val="008F3CAB"/>
    <w:rsid w:val="00907C60"/>
    <w:rsid w:val="009106E2"/>
    <w:rsid w:val="00915090"/>
    <w:rsid w:val="00920DFF"/>
    <w:rsid w:val="00923201"/>
    <w:rsid w:val="0092575F"/>
    <w:rsid w:val="00940C31"/>
    <w:rsid w:val="00943B7B"/>
    <w:rsid w:val="00943DD8"/>
    <w:rsid w:val="00944114"/>
    <w:rsid w:val="009442E8"/>
    <w:rsid w:val="00950CB3"/>
    <w:rsid w:val="00963C6D"/>
    <w:rsid w:val="009648C5"/>
    <w:rsid w:val="00970A65"/>
    <w:rsid w:val="00971A26"/>
    <w:rsid w:val="0098379D"/>
    <w:rsid w:val="00994B41"/>
    <w:rsid w:val="009958C4"/>
    <w:rsid w:val="009A3615"/>
    <w:rsid w:val="009A7E84"/>
    <w:rsid w:val="009B34ED"/>
    <w:rsid w:val="009C0ECC"/>
    <w:rsid w:val="009C364D"/>
    <w:rsid w:val="009C46CE"/>
    <w:rsid w:val="009D6F2B"/>
    <w:rsid w:val="009D7CDB"/>
    <w:rsid w:val="009E73DC"/>
    <w:rsid w:val="009F73D4"/>
    <w:rsid w:val="00A12B6C"/>
    <w:rsid w:val="00A203CB"/>
    <w:rsid w:val="00A22E9A"/>
    <w:rsid w:val="00A34DC8"/>
    <w:rsid w:val="00A369A5"/>
    <w:rsid w:val="00A41254"/>
    <w:rsid w:val="00A422F8"/>
    <w:rsid w:val="00A635AE"/>
    <w:rsid w:val="00A642BC"/>
    <w:rsid w:val="00A747A7"/>
    <w:rsid w:val="00AA3914"/>
    <w:rsid w:val="00AA6754"/>
    <w:rsid w:val="00AA6DD1"/>
    <w:rsid w:val="00AB00EF"/>
    <w:rsid w:val="00AB0940"/>
    <w:rsid w:val="00AB4D29"/>
    <w:rsid w:val="00AC766B"/>
    <w:rsid w:val="00AD44CD"/>
    <w:rsid w:val="00AD548B"/>
    <w:rsid w:val="00AE63F0"/>
    <w:rsid w:val="00AE6E7D"/>
    <w:rsid w:val="00AF4156"/>
    <w:rsid w:val="00AF76F1"/>
    <w:rsid w:val="00B035FD"/>
    <w:rsid w:val="00B10864"/>
    <w:rsid w:val="00B173BD"/>
    <w:rsid w:val="00B229AC"/>
    <w:rsid w:val="00B30C18"/>
    <w:rsid w:val="00B33DB6"/>
    <w:rsid w:val="00B36796"/>
    <w:rsid w:val="00B441B9"/>
    <w:rsid w:val="00B44879"/>
    <w:rsid w:val="00B550D0"/>
    <w:rsid w:val="00B824E3"/>
    <w:rsid w:val="00B8504A"/>
    <w:rsid w:val="00B90617"/>
    <w:rsid w:val="00B95FE5"/>
    <w:rsid w:val="00BA3AFE"/>
    <w:rsid w:val="00BA3F28"/>
    <w:rsid w:val="00BB28C2"/>
    <w:rsid w:val="00BB5ED6"/>
    <w:rsid w:val="00BB6349"/>
    <w:rsid w:val="00BE5726"/>
    <w:rsid w:val="00BE7D2D"/>
    <w:rsid w:val="00BF1540"/>
    <w:rsid w:val="00BF57A7"/>
    <w:rsid w:val="00C36C00"/>
    <w:rsid w:val="00C403E7"/>
    <w:rsid w:val="00C543DC"/>
    <w:rsid w:val="00C55293"/>
    <w:rsid w:val="00C56124"/>
    <w:rsid w:val="00C5637E"/>
    <w:rsid w:val="00C6370F"/>
    <w:rsid w:val="00C66183"/>
    <w:rsid w:val="00C72AB2"/>
    <w:rsid w:val="00C76018"/>
    <w:rsid w:val="00C810C7"/>
    <w:rsid w:val="00C86A42"/>
    <w:rsid w:val="00C908A2"/>
    <w:rsid w:val="00C91B93"/>
    <w:rsid w:val="00C953E8"/>
    <w:rsid w:val="00CC1071"/>
    <w:rsid w:val="00CC207B"/>
    <w:rsid w:val="00CC22F0"/>
    <w:rsid w:val="00CC73C2"/>
    <w:rsid w:val="00CD1070"/>
    <w:rsid w:val="00CD2646"/>
    <w:rsid w:val="00CD7D26"/>
    <w:rsid w:val="00CE4633"/>
    <w:rsid w:val="00CF7F49"/>
    <w:rsid w:val="00D008D9"/>
    <w:rsid w:val="00D1434F"/>
    <w:rsid w:val="00D4164B"/>
    <w:rsid w:val="00D41CFA"/>
    <w:rsid w:val="00D44D32"/>
    <w:rsid w:val="00D45854"/>
    <w:rsid w:val="00D54548"/>
    <w:rsid w:val="00D64C76"/>
    <w:rsid w:val="00D72C59"/>
    <w:rsid w:val="00D741B7"/>
    <w:rsid w:val="00D74F42"/>
    <w:rsid w:val="00D763B0"/>
    <w:rsid w:val="00D810DC"/>
    <w:rsid w:val="00D8647B"/>
    <w:rsid w:val="00D86F0F"/>
    <w:rsid w:val="00D9079E"/>
    <w:rsid w:val="00D96A61"/>
    <w:rsid w:val="00D975D4"/>
    <w:rsid w:val="00DA498C"/>
    <w:rsid w:val="00DA7F1A"/>
    <w:rsid w:val="00DB3728"/>
    <w:rsid w:val="00DB60D6"/>
    <w:rsid w:val="00DB6BE8"/>
    <w:rsid w:val="00DC17EF"/>
    <w:rsid w:val="00DD337A"/>
    <w:rsid w:val="00DE109D"/>
    <w:rsid w:val="00DE56AA"/>
    <w:rsid w:val="00DF03F4"/>
    <w:rsid w:val="00DF0BE8"/>
    <w:rsid w:val="00DF441F"/>
    <w:rsid w:val="00E03D0C"/>
    <w:rsid w:val="00E052E7"/>
    <w:rsid w:val="00E34F29"/>
    <w:rsid w:val="00E35EDE"/>
    <w:rsid w:val="00E61E4E"/>
    <w:rsid w:val="00E62BC7"/>
    <w:rsid w:val="00E63068"/>
    <w:rsid w:val="00E95CA3"/>
    <w:rsid w:val="00E96234"/>
    <w:rsid w:val="00EA0726"/>
    <w:rsid w:val="00EA2298"/>
    <w:rsid w:val="00EB2494"/>
    <w:rsid w:val="00EC1BA7"/>
    <w:rsid w:val="00ED43BB"/>
    <w:rsid w:val="00ED520B"/>
    <w:rsid w:val="00ED5E8F"/>
    <w:rsid w:val="00EE0756"/>
    <w:rsid w:val="00EE1644"/>
    <w:rsid w:val="00EE354F"/>
    <w:rsid w:val="00EE5379"/>
    <w:rsid w:val="00EE54FF"/>
    <w:rsid w:val="00EE5DD3"/>
    <w:rsid w:val="00EE5FF1"/>
    <w:rsid w:val="00EE75ED"/>
    <w:rsid w:val="00EF08F4"/>
    <w:rsid w:val="00EF5BF8"/>
    <w:rsid w:val="00EF78F9"/>
    <w:rsid w:val="00F01B54"/>
    <w:rsid w:val="00F03E32"/>
    <w:rsid w:val="00F067F4"/>
    <w:rsid w:val="00F116DB"/>
    <w:rsid w:val="00F204F9"/>
    <w:rsid w:val="00F268C0"/>
    <w:rsid w:val="00F3661D"/>
    <w:rsid w:val="00F429E0"/>
    <w:rsid w:val="00F4661A"/>
    <w:rsid w:val="00F52A9C"/>
    <w:rsid w:val="00F64E8C"/>
    <w:rsid w:val="00F66E56"/>
    <w:rsid w:val="00F71E95"/>
    <w:rsid w:val="00F82FF4"/>
    <w:rsid w:val="00F83D6C"/>
    <w:rsid w:val="00F9602B"/>
    <w:rsid w:val="00F96AA6"/>
    <w:rsid w:val="00FA3D3B"/>
    <w:rsid w:val="00FA470D"/>
    <w:rsid w:val="00FA5928"/>
    <w:rsid w:val="00FA6729"/>
    <w:rsid w:val="00FB05EE"/>
    <w:rsid w:val="00FB3AC0"/>
    <w:rsid w:val="00FC1A6E"/>
    <w:rsid w:val="00FC6D9D"/>
    <w:rsid w:val="00FD314E"/>
    <w:rsid w:val="00FE5A5C"/>
    <w:rsid w:val="00FE5CF6"/>
    <w:rsid w:val="00FF07A3"/>
    <w:rsid w:val="00FF5A9A"/>
    <w:rsid w:val="00FF68B8"/>
    <w:rsid w:val="01DA3CDC"/>
    <w:rsid w:val="03C94AE2"/>
    <w:rsid w:val="03F75E4D"/>
    <w:rsid w:val="08B1CD53"/>
    <w:rsid w:val="0AA5D280"/>
    <w:rsid w:val="17C71778"/>
    <w:rsid w:val="196AB1DC"/>
    <w:rsid w:val="1988B72C"/>
    <w:rsid w:val="1BEA33E8"/>
    <w:rsid w:val="23D70BA4"/>
    <w:rsid w:val="25058302"/>
    <w:rsid w:val="2728AC0D"/>
    <w:rsid w:val="2C2B0295"/>
    <w:rsid w:val="31C5B5B8"/>
    <w:rsid w:val="359041D8"/>
    <w:rsid w:val="377F9948"/>
    <w:rsid w:val="39CBA183"/>
    <w:rsid w:val="3B21C6BA"/>
    <w:rsid w:val="412E83B4"/>
    <w:rsid w:val="43C9104C"/>
    <w:rsid w:val="46CC4F19"/>
    <w:rsid w:val="46EB08AE"/>
    <w:rsid w:val="49A769FD"/>
    <w:rsid w:val="4A769A5B"/>
    <w:rsid w:val="4C60D423"/>
    <w:rsid w:val="4C959AEA"/>
    <w:rsid w:val="4DED768B"/>
    <w:rsid w:val="54C6409A"/>
    <w:rsid w:val="5964C294"/>
    <w:rsid w:val="598E3698"/>
    <w:rsid w:val="5ADDB008"/>
    <w:rsid w:val="5E7080DA"/>
    <w:rsid w:val="5E9709BB"/>
    <w:rsid w:val="5F267590"/>
    <w:rsid w:val="61C62C3F"/>
    <w:rsid w:val="62885F74"/>
    <w:rsid w:val="632D8C55"/>
    <w:rsid w:val="6441AAD4"/>
    <w:rsid w:val="655A9906"/>
    <w:rsid w:val="65AFCD74"/>
    <w:rsid w:val="6C88FE27"/>
    <w:rsid w:val="7000B1F0"/>
    <w:rsid w:val="707D1C72"/>
    <w:rsid w:val="72A6D260"/>
    <w:rsid w:val="754A84A8"/>
    <w:rsid w:val="7613F300"/>
    <w:rsid w:val="76B1C646"/>
    <w:rsid w:val="7B79804E"/>
    <w:rsid w:val="7D29DF02"/>
    <w:rsid w:val="7D4BBA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1C66B6"/>
  <w15:chartTrackingRefBased/>
  <w15:docId w15:val="{B9E65B50-99CA-416C-AF91-BDB60D41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4F"/>
    <w:rPr>
      <w:color w:val="0563C1" w:themeColor="hyperlink"/>
      <w:u w:val="single"/>
    </w:rPr>
  </w:style>
  <w:style w:type="paragraph" w:styleId="BodyText">
    <w:name w:val="Body Text"/>
    <w:basedOn w:val="Normal"/>
    <w:link w:val="BodyTextChar"/>
    <w:uiPriority w:val="1"/>
    <w:qFormat/>
    <w:rsid w:val="000B7771"/>
    <w:pPr>
      <w:widowControl w:val="0"/>
      <w:autoSpaceDE w:val="0"/>
      <w:autoSpaceDN w:val="0"/>
      <w:spacing w:before="160"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0B7771"/>
    <w:rPr>
      <w:rFonts w:ascii="Arial" w:eastAsia="Arial" w:hAnsi="Arial" w:cs="Arial"/>
      <w:sz w:val="24"/>
      <w:szCs w:val="24"/>
    </w:rPr>
  </w:style>
  <w:style w:type="character" w:styleId="CommentReference">
    <w:name w:val="annotation reference"/>
    <w:basedOn w:val="DefaultParagraphFont"/>
    <w:uiPriority w:val="99"/>
    <w:semiHidden/>
    <w:unhideWhenUsed/>
    <w:rsid w:val="00575550"/>
    <w:rPr>
      <w:sz w:val="16"/>
      <w:szCs w:val="16"/>
    </w:rPr>
  </w:style>
  <w:style w:type="paragraph" w:styleId="CommentText">
    <w:name w:val="annotation text"/>
    <w:basedOn w:val="Normal"/>
    <w:link w:val="CommentTextChar"/>
    <w:uiPriority w:val="99"/>
    <w:unhideWhenUsed/>
    <w:rsid w:val="00575550"/>
    <w:pPr>
      <w:spacing w:line="240" w:lineRule="auto"/>
    </w:pPr>
    <w:rPr>
      <w:sz w:val="20"/>
      <w:szCs w:val="20"/>
    </w:rPr>
  </w:style>
  <w:style w:type="character" w:customStyle="1" w:styleId="CommentTextChar">
    <w:name w:val="Comment Text Char"/>
    <w:basedOn w:val="DefaultParagraphFont"/>
    <w:link w:val="CommentText"/>
    <w:uiPriority w:val="99"/>
    <w:rsid w:val="00575550"/>
    <w:rPr>
      <w:sz w:val="20"/>
      <w:szCs w:val="20"/>
    </w:rPr>
  </w:style>
  <w:style w:type="paragraph" w:styleId="ListParagraph">
    <w:name w:val="List Paragraph"/>
    <w:basedOn w:val="Normal"/>
    <w:uiPriority w:val="34"/>
    <w:qFormat/>
    <w:rsid w:val="00287732"/>
    <w:pPr>
      <w:ind w:left="720"/>
      <w:contextualSpacing/>
    </w:pPr>
  </w:style>
  <w:style w:type="paragraph" w:styleId="CommentSubject">
    <w:name w:val="annotation subject"/>
    <w:basedOn w:val="CommentText"/>
    <w:next w:val="CommentText"/>
    <w:link w:val="CommentSubjectChar"/>
    <w:uiPriority w:val="99"/>
    <w:semiHidden/>
    <w:unhideWhenUsed/>
    <w:rsid w:val="004069AF"/>
    <w:rPr>
      <w:b/>
      <w:bCs/>
    </w:rPr>
  </w:style>
  <w:style w:type="character" w:customStyle="1" w:styleId="CommentSubjectChar">
    <w:name w:val="Comment Subject Char"/>
    <w:basedOn w:val="CommentTextChar"/>
    <w:link w:val="CommentSubject"/>
    <w:uiPriority w:val="99"/>
    <w:semiHidden/>
    <w:rsid w:val="004069AF"/>
    <w:rPr>
      <w:b/>
      <w:bCs/>
      <w:sz w:val="20"/>
      <w:szCs w:val="20"/>
    </w:rPr>
  </w:style>
  <w:style w:type="paragraph" w:styleId="FootnoteText">
    <w:name w:val="footnote text"/>
    <w:basedOn w:val="Normal"/>
    <w:link w:val="FootnoteTextChar"/>
    <w:uiPriority w:val="99"/>
    <w:semiHidden/>
    <w:unhideWhenUsed/>
    <w:rsid w:val="007072CF"/>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7072CF"/>
    <w:rPr>
      <w:rFonts w:ascii="Arial" w:eastAsia="Arial" w:hAnsi="Arial" w:cs="Arial"/>
      <w:sz w:val="20"/>
      <w:szCs w:val="20"/>
    </w:rPr>
  </w:style>
  <w:style w:type="character" w:styleId="FootnoteReference">
    <w:name w:val="footnote reference"/>
    <w:basedOn w:val="DefaultParagraphFont"/>
    <w:uiPriority w:val="99"/>
    <w:semiHidden/>
    <w:unhideWhenUsed/>
    <w:rsid w:val="007072CF"/>
    <w:rPr>
      <w:vertAlign w:val="superscript"/>
    </w:rPr>
  </w:style>
  <w:style w:type="table" w:styleId="TableGrid">
    <w:name w:val="Table Grid"/>
    <w:basedOn w:val="TableNormal"/>
    <w:uiPriority w:val="39"/>
    <w:rsid w:val="00D9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E4E"/>
    <w:pPr>
      <w:spacing w:after="0" w:line="240" w:lineRule="auto"/>
    </w:pPr>
  </w:style>
  <w:style w:type="paragraph" w:styleId="Header">
    <w:name w:val="header"/>
    <w:basedOn w:val="Normal"/>
    <w:link w:val="HeaderChar"/>
    <w:uiPriority w:val="99"/>
    <w:unhideWhenUsed/>
    <w:rsid w:val="00D8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DC"/>
  </w:style>
  <w:style w:type="paragraph" w:styleId="Footer">
    <w:name w:val="footer"/>
    <w:basedOn w:val="Normal"/>
    <w:link w:val="FooterChar"/>
    <w:uiPriority w:val="99"/>
    <w:unhideWhenUsed/>
    <w:rsid w:val="00D8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DC"/>
  </w:style>
  <w:style w:type="character" w:styleId="UnresolvedMention">
    <w:name w:val="Unresolved Mention"/>
    <w:basedOn w:val="DefaultParagraphFont"/>
    <w:uiPriority w:val="99"/>
    <w:semiHidden/>
    <w:unhideWhenUsed/>
    <w:rsid w:val="00C6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utooffset@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C38070-D553-49C9-8A5D-D9B56065133D}">
  <ds:schemaRefs>
    <ds:schemaRef ds:uri="http://schemas.openxmlformats.org/officeDocument/2006/bibliography"/>
  </ds:schemaRefs>
</ds:datastoreItem>
</file>

<file path=customXml/itemProps2.xml><?xml version="1.0" encoding="utf-8"?>
<ds:datastoreItem xmlns:ds="http://schemas.openxmlformats.org/officeDocument/2006/customXml" ds:itemID="{40450DA1-E21B-410F-BC46-14238FC8F57D}">
  <ds:schemaRefs>
    <ds:schemaRef ds:uri="http://schemas.microsoft.com/sharepoint/v3/contenttype/forms"/>
  </ds:schemaRefs>
</ds:datastoreItem>
</file>

<file path=customXml/itemProps3.xml><?xml version="1.0" encoding="utf-8"?>
<ds:datastoreItem xmlns:ds="http://schemas.openxmlformats.org/officeDocument/2006/customXml" ds:itemID="{2CB6981D-5C96-462B-95C7-CBB3CFD1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E4EB4-2EDE-466D-B3DF-623CEE1246A2}">
  <ds:schemaRefs>
    <ds:schemaRef ds:uri="http://schemas.microsoft.com/office/2006/metadata/properties"/>
    <ds:schemaRef ds:uri="http://schemas.microsoft.com/office/infopath/2007/PartnerControls"/>
    <ds:schemaRef ds:uri="e9c13bec-3664-4b29-881e-b9ab570beb45"/>
    <ds:schemaRef ds:uri="bad8f381-7b47-4c72-89d0-cf630b727035"/>
    <ds:schemaRef ds:uri="http://schemas.microsoft.com/sharepoint/v3"/>
  </ds:schemaRefs>
</ds:datastoreItem>
</file>

<file path=docMetadata/LabelInfo.xml><?xml version="1.0" encoding="utf-8"?>
<clbl:labelList xmlns:clbl="http://schemas.microsoft.com/office/2020/mipLabelMetadata">
  <clbl:label id="{a1d183f2-6c7b-4d9a-b994-5f2f31b3f780}" enabled="0" method="" siteId="{a1d183f2-6c7b-4d9a-b994-5f2f31b3f780}" removed="1"/>
</clbl:labelList>
</file>

<file path=docProps/app.xml><?xml version="1.0" encoding="utf-8"?>
<Properties xmlns="http://schemas.openxmlformats.org/officeDocument/2006/extended-properties" xmlns:vt="http://schemas.openxmlformats.org/officeDocument/2006/docPropsVTypes">
  <Template>Normal</Template>
  <TotalTime>18</TotalTime>
  <Pages>10</Pages>
  <Words>3503</Words>
  <Characters>20601</Characters>
  <Application>Microsoft Office Word</Application>
  <DocSecurity>0</DocSecurity>
  <Lines>290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Kim (Federal)</dc:creator>
  <cp:lastModifiedBy>Katelynn Byers (Contractor)</cp:lastModifiedBy>
  <cp:revision>4</cp:revision>
  <dcterms:created xsi:type="dcterms:W3CDTF">2026-06-15T14:56:00Z</dcterms:created>
  <dcterms:modified xsi:type="dcterms:W3CDTF">2026-06-16T17:25:00Z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MediaServiceImageTags">
    <vt:lpwstr/>
  </property>
</Properties>
</file>