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063CF" w:rsidRPr="00A55C95" w:rsidP="00A55C95" w14:paraId="39DD6EED" w14:textId="77777777">
      <w:pPr>
        <w:widowControl/>
        <w:tabs>
          <w:tab w:val="center" w:pos="4680"/>
        </w:tabs>
        <w:jc w:val="center"/>
        <w:rPr>
          <w:rFonts w:ascii="Times New Roman" w:hAnsi="Times New Roman"/>
          <w:b/>
          <w:bCs/>
          <w:sz w:val="30"/>
        </w:rPr>
      </w:pPr>
      <w:r w:rsidRPr="00A55C95">
        <w:rPr>
          <w:rFonts w:ascii="Times New Roman" w:hAnsi="Times New Roman"/>
          <w:b/>
          <w:bCs/>
          <w:sz w:val="30"/>
        </w:rPr>
        <w:t>U.S. Office of Government Ethics</w:t>
      </w:r>
    </w:p>
    <w:p w:rsidR="00A404EA" w:rsidP="00A55C95" w14:paraId="7EF540AD" w14:textId="77777777">
      <w:pPr>
        <w:widowControl/>
        <w:tabs>
          <w:tab w:val="center" w:pos="4680"/>
        </w:tabs>
        <w:jc w:val="center"/>
        <w:rPr>
          <w:rFonts w:ascii="Times New Roman" w:hAnsi="Times New Roman"/>
          <w:b/>
          <w:bCs/>
          <w:sz w:val="30"/>
        </w:rPr>
      </w:pPr>
      <w:r>
        <w:rPr>
          <w:rFonts w:ascii="Times New Roman" w:hAnsi="Times New Roman"/>
          <w:b/>
          <w:bCs/>
          <w:sz w:val="30"/>
        </w:rPr>
        <w:t>Supporting Statement</w:t>
      </w:r>
      <w:r w:rsidR="00A55C95">
        <w:rPr>
          <w:rFonts w:ascii="Times New Roman" w:hAnsi="Times New Roman"/>
          <w:b/>
          <w:bCs/>
          <w:sz w:val="30"/>
        </w:rPr>
        <w:t xml:space="preserve"> for the </w:t>
      </w:r>
    </w:p>
    <w:p w:rsidR="009B5B16" w:rsidRPr="00A55C95" w:rsidP="00A55C95" w14:paraId="21BF3119" w14:textId="77777777">
      <w:pPr>
        <w:widowControl/>
        <w:tabs>
          <w:tab w:val="center" w:pos="4680"/>
        </w:tabs>
        <w:jc w:val="center"/>
        <w:rPr>
          <w:rFonts w:ascii="Times New Roman" w:hAnsi="Times New Roman"/>
          <w:b/>
          <w:bCs/>
          <w:sz w:val="30"/>
        </w:rPr>
      </w:pPr>
      <w:r w:rsidRPr="00A404EA">
        <w:rPr>
          <w:rFonts w:ascii="Times New Roman" w:hAnsi="Times New Roman"/>
          <w:b/>
          <w:bCs/>
          <w:sz w:val="30"/>
        </w:rPr>
        <w:t>OGE Legal Expense Fund Information Collection</w:t>
      </w:r>
    </w:p>
    <w:p w:rsidR="00A55C95" w:rsidP="00A55C95" w14:paraId="3ECB567C" w14:textId="4C579E65">
      <w:pPr>
        <w:widowControl/>
        <w:tabs>
          <w:tab w:val="center" w:pos="4680"/>
        </w:tabs>
        <w:jc w:val="center"/>
        <w:rPr>
          <w:rFonts w:ascii="Times New Roman" w:hAnsi="Times New Roman"/>
          <w:b/>
          <w:bCs/>
          <w:sz w:val="30"/>
        </w:rPr>
      </w:pPr>
      <w:r>
        <w:rPr>
          <w:rFonts w:ascii="Times New Roman" w:hAnsi="Times New Roman"/>
          <w:b/>
          <w:bCs/>
          <w:sz w:val="30"/>
        </w:rPr>
        <w:t>May</w:t>
      </w:r>
      <w:r w:rsidR="00492D7F">
        <w:rPr>
          <w:rFonts w:ascii="Times New Roman" w:hAnsi="Times New Roman"/>
          <w:b/>
          <w:bCs/>
          <w:sz w:val="30"/>
        </w:rPr>
        <w:t xml:space="preserve"> </w:t>
      </w:r>
      <w:r>
        <w:rPr>
          <w:rFonts w:ascii="Times New Roman" w:hAnsi="Times New Roman"/>
          <w:b/>
          <w:bCs/>
          <w:sz w:val="30"/>
        </w:rPr>
        <w:t>2026</w:t>
      </w:r>
    </w:p>
    <w:p w:rsidR="00A404EA" w:rsidRPr="00A55C95" w:rsidP="00A55C95" w14:paraId="19C1BB0D" w14:textId="77777777">
      <w:pPr>
        <w:widowControl/>
        <w:tabs>
          <w:tab w:val="center" w:pos="4680"/>
        </w:tabs>
        <w:jc w:val="center"/>
        <w:rPr>
          <w:rFonts w:ascii="Times New Roman" w:hAnsi="Times New Roman"/>
          <w:b/>
          <w:bCs/>
          <w:sz w:val="30"/>
        </w:rPr>
      </w:pPr>
    </w:p>
    <w:p w:rsidR="009B5B16" w:rsidRPr="001063CF" w:rsidP="00A55C95" w14:paraId="383199B2" w14:textId="77777777">
      <w:pPr>
        <w:widowControl/>
        <w:spacing w:after="240" w:line="276" w:lineRule="auto"/>
        <w:rPr>
          <w:rFonts w:ascii="Times New Roman" w:hAnsi="Times New Roman"/>
        </w:rPr>
      </w:pPr>
      <w:r w:rsidRPr="001063CF">
        <w:rPr>
          <w:rFonts w:ascii="Times New Roman" w:hAnsi="Times New Roman"/>
          <w:b/>
          <w:bCs/>
        </w:rPr>
        <w:t>A. Justification</w:t>
      </w:r>
    </w:p>
    <w:p w:rsidR="00A55C95" w:rsidP="00A55C95" w14:paraId="61E20F70" w14:textId="77777777">
      <w:pPr>
        <w:widowControl/>
        <w:spacing w:after="240" w:line="276" w:lineRule="auto"/>
        <w:ind w:firstLine="720"/>
        <w:rPr>
          <w:rFonts w:ascii="Times New Roman" w:hAnsi="Times New Roman"/>
          <w:b/>
          <w:bCs/>
        </w:rPr>
      </w:pPr>
      <w:r w:rsidRPr="00A55C95">
        <w:rPr>
          <w:rFonts w:ascii="Times New Roman" w:hAnsi="Times New Roman"/>
          <w:b/>
          <w:bCs/>
        </w:rPr>
        <w:t>1.-2. Explain the circumstances that make the collection of information necessary. Indicate how, by whom, and for what purpose the information is to be used. Except for a new collection, indicate the actual use the agency has made of the information received from the current collection.</w:t>
      </w:r>
    </w:p>
    <w:p w:rsidR="00E1708E" w:rsidP="00A55C95" w14:paraId="38772A5B" w14:textId="1C826544">
      <w:pPr>
        <w:widowControl/>
        <w:spacing w:after="240" w:line="276" w:lineRule="auto"/>
        <w:ind w:firstLine="720"/>
        <w:rPr>
          <w:rFonts w:ascii="Times New Roman" w:hAnsi="Times New Roman"/>
        </w:rPr>
      </w:pPr>
      <w:r>
        <w:rPr>
          <w:rFonts w:ascii="Times New Roman" w:hAnsi="Times New Roman"/>
        </w:rPr>
        <w:t>The U.S. Office of Government Ethics (</w:t>
      </w:r>
      <w:r w:rsidRPr="00A55C95">
        <w:rPr>
          <w:rFonts w:ascii="Times New Roman" w:hAnsi="Times New Roman"/>
        </w:rPr>
        <w:t>OGE</w:t>
      </w:r>
      <w:r>
        <w:rPr>
          <w:rFonts w:ascii="Times New Roman" w:hAnsi="Times New Roman"/>
        </w:rPr>
        <w:t>)</w:t>
      </w:r>
      <w:r w:rsidRPr="00A55C95">
        <w:rPr>
          <w:rFonts w:ascii="Times New Roman" w:hAnsi="Times New Roman"/>
        </w:rPr>
        <w:t xml:space="preserve"> is the supervising ethics office for the executive branch under the Ethics in Government Act of 1978 (EIGA). </w:t>
      </w:r>
      <w:r w:rsidR="00AB434F">
        <w:rPr>
          <w:rFonts w:ascii="Times New Roman" w:hAnsi="Times New Roman"/>
        </w:rPr>
        <w:t xml:space="preserve">On May 25, 2023, </w:t>
      </w:r>
      <w:r>
        <w:rPr>
          <w:rFonts w:ascii="Times New Roman" w:hAnsi="Times New Roman"/>
        </w:rPr>
        <w:t xml:space="preserve">OGE </w:t>
      </w:r>
      <w:r w:rsidRPr="00AB434F">
        <w:rPr>
          <w:rFonts w:ascii="Times New Roman" w:hAnsi="Times New Roman"/>
        </w:rPr>
        <w:t>published</w:t>
      </w:r>
      <w:r>
        <w:rPr>
          <w:rFonts w:ascii="Times New Roman" w:hAnsi="Times New Roman"/>
        </w:rPr>
        <w:t xml:space="preserve"> a rule </w:t>
      </w:r>
      <w:r w:rsidRPr="00E1708E">
        <w:rPr>
          <w:rFonts w:ascii="Times New Roman" w:hAnsi="Times New Roman"/>
        </w:rPr>
        <w:t xml:space="preserve">to establish a framework to govern an executive branch employee’s acceptance of payments for legal expenses through a Legal Expense Fund (LEF) </w:t>
      </w:r>
      <w:r w:rsidR="00F46450">
        <w:rPr>
          <w:rFonts w:ascii="Times New Roman" w:hAnsi="Times New Roman"/>
        </w:rPr>
        <w:t xml:space="preserve">or the provision of pro bono legal services </w:t>
      </w:r>
      <w:r w:rsidRPr="00E1708E">
        <w:rPr>
          <w:rFonts w:ascii="Times New Roman" w:hAnsi="Times New Roman"/>
        </w:rPr>
        <w:t xml:space="preserve">for matters arising in connection with the employee’s </w:t>
      </w:r>
      <w:r w:rsidRPr="00B27B41" w:rsidR="00F46450">
        <w:rPr>
          <w:rFonts w:ascii="Times New Roman" w:hAnsi="Times New Roman"/>
        </w:rPr>
        <w:t xml:space="preserve">past or current </w:t>
      </w:r>
      <w:r w:rsidRPr="00E1708E">
        <w:rPr>
          <w:rFonts w:ascii="Times New Roman" w:hAnsi="Times New Roman"/>
        </w:rPr>
        <w:t>official position, the employee’s prior position on a campaign of a candidate for President or Vice President, or the employee’s prior position on a Presidential Transition Team</w:t>
      </w:r>
      <w:r w:rsidR="0060126C">
        <w:rPr>
          <w:rFonts w:ascii="Times New Roman" w:hAnsi="Times New Roman"/>
        </w:rPr>
        <w:t xml:space="preserve"> (LEF regulation)</w:t>
      </w:r>
      <w:r w:rsidRPr="00E1708E">
        <w:rPr>
          <w:rFonts w:ascii="Times New Roman" w:hAnsi="Times New Roman"/>
        </w:rPr>
        <w:t xml:space="preserve">. </w:t>
      </w:r>
      <w:r>
        <w:rPr>
          <w:rFonts w:ascii="Times New Roman" w:hAnsi="Times New Roman"/>
        </w:rPr>
        <w:t>The requirements for establishing and maintaining a LEF are found in 5 CFR part 2635, subpart J</w:t>
      </w:r>
      <w:r w:rsidRPr="00E1708E">
        <w:rPr>
          <w:rFonts w:ascii="Times New Roman" w:hAnsi="Times New Roman"/>
        </w:rPr>
        <w:t xml:space="preserve">. </w:t>
      </w:r>
    </w:p>
    <w:p w:rsidR="00E1708E" w:rsidP="00A55C95" w14:paraId="4EA0C9C3" w14:textId="58FAC57D">
      <w:pPr>
        <w:widowControl/>
        <w:spacing w:after="240" w:line="276" w:lineRule="auto"/>
        <w:ind w:firstLine="720"/>
        <w:rPr>
          <w:rFonts w:ascii="Times New Roman" w:hAnsi="Times New Roman"/>
        </w:rPr>
      </w:pPr>
      <w:r w:rsidRPr="00E1708E">
        <w:rPr>
          <w:rFonts w:ascii="Times New Roman" w:hAnsi="Times New Roman"/>
        </w:rPr>
        <w:t xml:space="preserve">In fulfilling the regulatory requirements, employee beneficiaries </w:t>
      </w:r>
      <w:r>
        <w:rPr>
          <w:rFonts w:ascii="Times New Roman" w:hAnsi="Times New Roman"/>
        </w:rPr>
        <w:t xml:space="preserve">of a LEF </w:t>
      </w:r>
      <w:r w:rsidRPr="00E1708E">
        <w:rPr>
          <w:rFonts w:ascii="Times New Roman" w:hAnsi="Times New Roman"/>
        </w:rPr>
        <w:t xml:space="preserve">must first submit a trust document for approval by their employing agency, and in some cases by OGE. </w:t>
      </w:r>
      <w:r w:rsidR="00243E39">
        <w:rPr>
          <w:rFonts w:ascii="Times New Roman" w:hAnsi="Times New Roman"/>
        </w:rPr>
        <w:t xml:space="preserve">The LEF funds must be administered by an independent trustee. </w:t>
      </w:r>
      <w:r w:rsidRPr="00E1708E">
        <w:rPr>
          <w:rFonts w:ascii="Times New Roman" w:hAnsi="Times New Roman"/>
        </w:rPr>
        <w:t xml:space="preserve">Employee beneficiaries </w:t>
      </w:r>
      <w:r w:rsidR="00243E39">
        <w:rPr>
          <w:rFonts w:ascii="Times New Roman" w:hAnsi="Times New Roman"/>
        </w:rPr>
        <w:t>(</w:t>
      </w:r>
      <w:r w:rsidR="00BE5CDB">
        <w:rPr>
          <w:rFonts w:ascii="Times New Roman" w:hAnsi="Times New Roman"/>
        </w:rPr>
        <w:t>or their trustees, acting on their behalf</w:t>
      </w:r>
      <w:r w:rsidR="00243E39">
        <w:rPr>
          <w:rFonts w:ascii="Times New Roman" w:hAnsi="Times New Roman"/>
        </w:rPr>
        <w:t xml:space="preserve">) </w:t>
      </w:r>
      <w:r w:rsidRPr="00E1708E">
        <w:rPr>
          <w:rFonts w:ascii="Times New Roman" w:hAnsi="Times New Roman"/>
        </w:rPr>
        <w:t xml:space="preserve">must also submit quarterly and termination reports regarding the funds collected and disbursed by the legal expense fund. </w:t>
      </w:r>
      <w:r w:rsidR="00243E39">
        <w:rPr>
          <w:rFonts w:ascii="Times New Roman" w:hAnsi="Times New Roman"/>
        </w:rPr>
        <w:t xml:space="preserve">Information for these reports </w:t>
      </w:r>
      <w:r w:rsidRPr="00E1708E">
        <w:rPr>
          <w:rFonts w:ascii="Times New Roman" w:hAnsi="Times New Roman"/>
        </w:rPr>
        <w:t xml:space="preserve">will in turn </w:t>
      </w:r>
      <w:r w:rsidR="00243E39">
        <w:rPr>
          <w:rFonts w:ascii="Times New Roman" w:hAnsi="Times New Roman"/>
        </w:rPr>
        <w:t xml:space="preserve">be collected </w:t>
      </w:r>
      <w:r w:rsidRPr="00E1708E">
        <w:rPr>
          <w:rFonts w:ascii="Times New Roman" w:hAnsi="Times New Roman"/>
        </w:rPr>
        <w:t>from (1) donors who contribute to the legal expense fund for the payment of legal expenses and (2) payees who receive payments distribute</w:t>
      </w:r>
      <w:r w:rsidR="00243E39">
        <w:rPr>
          <w:rFonts w:ascii="Times New Roman" w:hAnsi="Times New Roman"/>
        </w:rPr>
        <w:t>d from the legal expense fund.</w:t>
      </w:r>
      <w:r w:rsidRPr="00E1708E">
        <w:rPr>
          <w:rFonts w:ascii="Times New Roman" w:hAnsi="Times New Roman"/>
        </w:rPr>
        <w:t xml:space="preserve"> Together, this information collection</w:t>
      </w:r>
      <w:r w:rsidR="000D5500">
        <w:rPr>
          <w:rFonts w:ascii="Times New Roman" w:hAnsi="Times New Roman"/>
        </w:rPr>
        <w:t xml:space="preserve"> (IC)</w:t>
      </w:r>
      <w:r w:rsidRPr="00E1708E">
        <w:rPr>
          <w:rFonts w:ascii="Times New Roman" w:hAnsi="Times New Roman"/>
        </w:rPr>
        <w:t xml:space="preserve"> is titled “OGE Legal Expense Fund Information Collection.” The purposes of the OGE Legal Expense Fund Information Collection include, but are not limited to, obtaining information relevant to a conflict-of-interest determination and disclosing on the OGE website information submitted pursuant to 5 CFR part 2635, subpart J.</w:t>
      </w:r>
    </w:p>
    <w:p w:rsidR="009B5B16" w:rsidRPr="001063CF" w:rsidP="00986CB0" w14:paraId="09691C7A" w14:textId="06B27754">
      <w:pPr>
        <w:widowControl/>
        <w:spacing w:after="240" w:line="276" w:lineRule="auto"/>
        <w:ind w:firstLine="720"/>
        <w:rPr>
          <w:rFonts w:ascii="Times New Roman" w:hAnsi="Times New Roman"/>
        </w:rPr>
      </w:pPr>
      <w:r w:rsidRPr="00307BD1">
        <w:rPr>
          <w:rFonts w:ascii="Times New Roman" w:hAnsi="Times New Roman"/>
        </w:rPr>
        <w:t>To</w:t>
      </w:r>
      <w:r w:rsidRPr="007A1B11" w:rsidR="00A50E5F">
        <w:rPr>
          <w:rFonts w:ascii="Times New Roman" w:hAnsi="Times New Roman"/>
        </w:rPr>
        <w:t xml:space="preserve"> ensure that all applicable requirements </w:t>
      </w:r>
      <w:r w:rsidRPr="007A1B11" w:rsidR="00E1708E">
        <w:rPr>
          <w:rFonts w:ascii="Times New Roman" w:hAnsi="Times New Roman"/>
        </w:rPr>
        <w:t xml:space="preserve">regarding the information collection </w:t>
      </w:r>
      <w:r w:rsidRPr="007A1B11" w:rsidR="00A50E5F">
        <w:rPr>
          <w:rFonts w:ascii="Times New Roman" w:hAnsi="Times New Roman"/>
        </w:rPr>
        <w:t xml:space="preserve">are met, OGE </w:t>
      </w:r>
      <w:r w:rsidRPr="007A1B11" w:rsidR="00986CB0">
        <w:rPr>
          <w:rFonts w:ascii="Times New Roman" w:hAnsi="Times New Roman"/>
        </w:rPr>
        <w:t xml:space="preserve">developed three </w:t>
      </w:r>
      <w:r w:rsidRPr="007A1B11" w:rsidR="00E1708E">
        <w:rPr>
          <w:rFonts w:ascii="Times New Roman" w:hAnsi="Times New Roman"/>
        </w:rPr>
        <w:t>instruments.</w:t>
      </w:r>
      <w:r w:rsidR="00E1708E">
        <w:rPr>
          <w:rFonts w:ascii="Times New Roman" w:hAnsi="Times New Roman"/>
        </w:rPr>
        <w:t xml:space="preserve"> </w:t>
      </w:r>
      <w:r w:rsidR="00243E39">
        <w:rPr>
          <w:rFonts w:ascii="Times New Roman" w:hAnsi="Times New Roman"/>
        </w:rPr>
        <w:t xml:space="preserve">First, OGE created </w:t>
      </w:r>
      <w:r w:rsidR="007429A6">
        <w:rPr>
          <w:rFonts w:ascii="Times New Roman" w:hAnsi="Times New Roman"/>
        </w:rPr>
        <w:t>the document entitled, “</w:t>
      </w:r>
      <w:r w:rsidR="00243E39">
        <w:rPr>
          <w:rFonts w:ascii="Times New Roman" w:hAnsi="Times New Roman"/>
        </w:rPr>
        <w:t>Model Legal Expense Fund Trust Provisions</w:t>
      </w:r>
      <w:r w:rsidR="007429A6">
        <w:rPr>
          <w:rFonts w:ascii="Times New Roman" w:hAnsi="Times New Roman"/>
        </w:rPr>
        <w:t>,”</w:t>
      </w:r>
      <w:r w:rsidR="00243E39">
        <w:rPr>
          <w:rFonts w:ascii="Times New Roman" w:hAnsi="Times New Roman"/>
        </w:rPr>
        <w:t xml:space="preserve"> to </w:t>
      </w:r>
      <w:r w:rsidR="00BE5CDB">
        <w:rPr>
          <w:rFonts w:ascii="Times New Roman" w:hAnsi="Times New Roman"/>
        </w:rPr>
        <w:t>assist with</w:t>
      </w:r>
      <w:r w:rsidR="00243E39">
        <w:rPr>
          <w:rFonts w:ascii="Times New Roman" w:hAnsi="Times New Roman"/>
        </w:rPr>
        <w:t xml:space="preserve"> the drafting of the trust document (</w:t>
      </w:r>
      <w:r w:rsidR="00160823">
        <w:rPr>
          <w:rFonts w:ascii="Times New Roman" w:hAnsi="Times New Roman"/>
        </w:rPr>
        <w:t>i</w:t>
      </w:r>
      <w:r w:rsidR="00AF4A33">
        <w:rPr>
          <w:rFonts w:ascii="Times New Roman" w:hAnsi="Times New Roman"/>
        </w:rPr>
        <w:t xml:space="preserve">nstrument </w:t>
      </w:r>
      <w:r w:rsidR="00243E39">
        <w:rPr>
          <w:rFonts w:ascii="Times New Roman" w:hAnsi="Times New Roman"/>
        </w:rPr>
        <w:t>1). Second</w:t>
      </w:r>
      <w:r w:rsidR="00E1708E">
        <w:rPr>
          <w:rFonts w:ascii="Times New Roman" w:hAnsi="Times New Roman"/>
        </w:rPr>
        <w:t xml:space="preserve">, OGE created </w:t>
      </w:r>
      <w:r w:rsidR="007429A6">
        <w:rPr>
          <w:rFonts w:ascii="Times New Roman" w:hAnsi="Times New Roman"/>
        </w:rPr>
        <w:t xml:space="preserve">the Executive Branch Legal Expense Fund Quarterly Report (OGE Form 601) </w:t>
      </w:r>
      <w:r w:rsidR="00E1708E">
        <w:rPr>
          <w:rFonts w:ascii="Times New Roman" w:hAnsi="Times New Roman"/>
        </w:rPr>
        <w:t>to be used for quarterly and termination reports (</w:t>
      </w:r>
      <w:r w:rsidR="00160823">
        <w:rPr>
          <w:rFonts w:ascii="Times New Roman" w:hAnsi="Times New Roman"/>
        </w:rPr>
        <w:t>i</w:t>
      </w:r>
      <w:r w:rsidR="00AF4A33">
        <w:rPr>
          <w:rFonts w:ascii="Times New Roman" w:hAnsi="Times New Roman"/>
        </w:rPr>
        <w:t xml:space="preserve">nstrument </w:t>
      </w:r>
      <w:r w:rsidR="00243E39">
        <w:rPr>
          <w:rFonts w:ascii="Times New Roman" w:hAnsi="Times New Roman"/>
        </w:rPr>
        <w:t>2</w:t>
      </w:r>
      <w:r w:rsidR="00E1708E">
        <w:rPr>
          <w:rFonts w:ascii="Times New Roman" w:hAnsi="Times New Roman"/>
        </w:rPr>
        <w:t xml:space="preserve">). </w:t>
      </w:r>
      <w:r w:rsidR="00243E39">
        <w:rPr>
          <w:rFonts w:ascii="Times New Roman" w:hAnsi="Times New Roman"/>
        </w:rPr>
        <w:t>Third</w:t>
      </w:r>
      <w:r w:rsidR="00E1708E">
        <w:rPr>
          <w:rFonts w:ascii="Times New Roman" w:hAnsi="Times New Roman"/>
        </w:rPr>
        <w:t>,</w:t>
      </w:r>
      <w:r w:rsidR="00243E39">
        <w:rPr>
          <w:rFonts w:ascii="Times New Roman" w:hAnsi="Times New Roman"/>
        </w:rPr>
        <w:t xml:space="preserve"> </w:t>
      </w:r>
      <w:r w:rsidR="00137A52">
        <w:rPr>
          <w:rFonts w:ascii="Times New Roman" w:hAnsi="Times New Roman"/>
        </w:rPr>
        <w:t>OGE created a guidance document entitled “</w:t>
      </w:r>
      <w:r w:rsidRPr="00986CB0" w:rsidR="00137A52">
        <w:rPr>
          <w:rFonts w:ascii="Times New Roman" w:hAnsi="Times New Roman"/>
        </w:rPr>
        <w:t xml:space="preserve">Legal Expense Fund Trustee’s Guide for Information Collection </w:t>
      </w:r>
      <w:r w:rsidRPr="00986CB0" w:rsidR="00137A52">
        <w:rPr>
          <w:rFonts w:ascii="Times New Roman" w:hAnsi="Times New Roman"/>
        </w:rPr>
        <w:t>Compliance</w:t>
      </w:r>
      <w:r w:rsidR="00137A52">
        <w:rPr>
          <w:rFonts w:ascii="Times New Roman" w:hAnsi="Times New Roman"/>
        </w:rPr>
        <w:t xml:space="preserve">,” which sets forth </w:t>
      </w:r>
      <w:r w:rsidR="000D5500">
        <w:rPr>
          <w:rFonts w:ascii="Times New Roman" w:hAnsi="Times New Roman"/>
        </w:rPr>
        <w:t>the requirements for collecting information related to</w:t>
      </w:r>
      <w:r w:rsidR="00434B66">
        <w:rPr>
          <w:rFonts w:ascii="Times New Roman" w:hAnsi="Times New Roman"/>
        </w:rPr>
        <w:t xml:space="preserve"> donors and</w:t>
      </w:r>
      <w:r w:rsidR="000D5500">
        <w:rPr>
          <w:rFonts w:ascii="Times New Roman" w:hAnsi="Times New Roman"/>
        </w:rPr>
        <w:t xml:space="preserve"> payees</w:t>
      </w:r>
      <w:r w:rsidR="00137A52">
        <w:rPr>
          <w:rFonts w:ascii="Times New Roman" w:hAnsi="Times New Roman"/>
        </w:rPr>
        <w:t xml:space="preserve"> </w:t>
      </w:r>
      <w:r w:rsidR="00BF3FAB">
        <w:rPr>
          <w:rFonts w:ascii="Times New Roman" w:hAnsi="Times New Roman"/>
        </w:rPr>
        <w:t>(</w:t>
      </w:r>
      <w:r w:rsidR="00160823">
        <w:rPr>
          <w:rFonts w:ascii="Times New Roman" w:hAnsi="Times New Roman"/>
        </w:rPr>
        <w:t>i</w:t>
      </w:r>
      <w:r w:rsidR="00AF4A33">
        <w:rPr>
          <w:rFonts w:ascii="Times New Roman" w:hAnsi="Times New Roman"/>
        </w:rPr>
        <w:t xml:space="preserve">nstrument </w:t>
      </w:r>
      <w:r w:rsidR="00434B66">
        <w:rPr>
          <w:rFonts w:ascii="Times New Roman" w:hAnsi="Times New Roman"/>
        </w:rPr>
        <w:t>3</w:t>
      </w:r>
      <w:r w:rsidR="000D5500">
        <w:rPr>
          <w:rFonts w:ascii="Times New Roman" w:hAnsi="Times New Roman"/>
        </w:rPr>
        <w:t>).</w:t>
      </w:r>
      <w:r w:rsidR="00A50E5F">
        <w:rPr>
          <w:rFonts w:ascii="Times New Roman" w:hAnsi="Times New Roman"/>
        </w:rPr>
        <w:t xml:space="preserve"> </w:t>
      </w:r>
    </w:p>
    <w:p w:rsidR="00D93D2A" w:rsidP="00986CB0" w14:paraId="2381E254" w14:textId="77777777">
      <w:pPr>
        <w:widowControl/>
        <w:spacing w:after="240" w:line="276" w:lineRule="auto"/>
        <w:ind w:firstLine="720"/>
        <w:rPr>
          <w:rFonts w:ascii="Times New Roman" w:hAnsi="Times New Roman"/>
        </w:rPr>
      </w:pPr>
      <w:r w:rsidRPr="00D93D2A">
        <w:rPr>
          <w:rFonts w:ascii="Times New Roman" w:hAnsi="Times New Roman"/>
        </w:rPr>
        <w:t>This IC</w:t>
      </w:r>
      <w:r>
        <w:rPr>
          <w:rFonts w:ascii="Times New Roman" w:hAnsi="Times New Roman"/>
        </w:rPr>
        <w:t xml:space="preserve"> was approved by OMB on July 21, 2023.</w:t>
      </w:r>
      <w:r w:rsidRPr="00D93D2A">
        <w:rPr>
          <w:rFonts w:ascii="Times New Roman" w:hAnsi="Times New Roman"/>
        </w:rPr>
        <w:t xml:space="preserve"> </w:t>
      </w:r>
      <w:r>
        <w:rPr>
          <w:rFonts w:ascii="Times New Roman" w:hAnsi="Times New Roman"/>
        </w:rPr>
        <w:t xml:space="preserve">It was assigned OMB Control Number 3209-0012. </w:t>
      </w:r>
    </w:p>
    <w:p w:rsidR="00441090" w:rsidRPr="001063CF" w:rsidP="00986CB0" w14:paraId="2076379C" w14:textId="0035E155">
      <w:pPr>
        <w:widowControl/>
        <w:spacing w:after="240" w:line="276" w:lineRule="auto"/>
        <w:ind w:firstLine="720"/>
        <w:rPr>
          <w:rFonts w:ascii="Times New Roman" w:hAnsi="Times New Roman"/>
        </w:rPr>
      </w:pPr>
      <w:r>
        <w:rPr>
          <w:rFonts w:ascii="Times New Roman" w:hAnsi="Times New Roman"/>
        </w:rPr>
        <w:t xml:space="preserve">OGE is submitting </w:t>
      </w:r>
      <w:r w:rsidR="000D5500">
        <w:rPr>
          <w:rFonts w:ascii="Times New Roman" w:hAnsi="Times New Roman"/>
        </w:rPr>
        <w:t xml:space="preserve">the </w:t>
      </w:r>
      <w:r w:rsidR="00434B66">
        <w:rPr>
          <w:rFonts w:ascii="Times New Roman" w:hAnsi="Times New Roman"/>
        </w:rPr>
        <w:t xml:space="preserve">three </w:t>
      </w:r>
      <w:r w:rsidR="000D5500">
        <w:rPr>
          <w:rFonts w:ascii="Times New Roman" w:hAnsi="Times New Roman"/>
        </w:rPr>
        <w:t xml:space="preserve">instruments described </w:t>
      </w:r>
      <w:r w:rsidR="00BC3D11">
        <w:rPr>
          <w:rFonts w:ascii="Times New Roman" w:hAnsi="Times New Roman"/>
        </w:rPr>
        <w:t>above for</w:t>
      </w:r>
      <w:r w:rsidR="000D5500">
        <w:rPr>
          <w:rFonts w:ascii="Times New Roman" w:hAnsi="Times New Roman"/>
        </w:rPr>
        <w:t xml:space="preserve"> </w:t>
      </w:r>
      <w:r w:rsidR="00926770">
        <w:rPr>
          <w:rFonts w:ascii="Times New Roman" w:hAnsi="Times New Roman"/>
        </w:rPr>
        <w:t xml:space="preserve">review and approval of </w:t>
      </w:r>
      <w:r w:rsidRPr="00341A24">
        <w:rPr>
          <w:rFonts w:ascii="Times New Roman" w:hAnsi="Times New Roman"/>
        </w:rPr>
        <w:t xml:space="preserve">a three-year </w:t>
      </w:r>
      <w:r w:rsidR="008561FF">
        <w:rPr>
          <w:rFonts w:ascii="Times New Roman" w:hAnsi="Times New Roman"/>
        </w:rPr>
        <w:t xml:space="preserve">extension </w:t>
      </w:r>
      <w:r w:rsidR="00926770">
        <w:rPr>
          <w:rFonts w:ascii="Times New Roman" w:hAnsi="Times New Roman"/>
        </w:rPr>
        <w:t xml:space="preserve">by the Office of Management and Budget (OMB) </w:t>
      </w:r>
      <w:r w:rsidR="000D5500">
        <w:rPr>
          <w:rFonts w:ascii="Times New Roman" w:hAnsi="Times New Roman"/>
        </w:rPr>
        <w:t>under the Paperwork Reduction Act.</w:t>
      </w:r>
      <w:r>
        <w:rPr>
          <w:rFonts w:ascii="Times New Roman" w:hAnsi="Times New Roman"/>
        </w:rPr>
        <w:t xml:space="preserve"> </w:t>
      </w:r>
      <w:r w:rsidR="00986CB0">
        <w:rPr>
          <w:rFonts w:ascii="Times New Roman" w:hAnsi="Times New Roman"/>
        </w:rPr>
        <w:t xml:space="preserve">Each of these three </w:t>
      </w:r>
      <w:r w:rsidR="004C360E">
        <w:rPr>
          <w:rFonts w:ascii="Times New Roman" w:hAnsi="Times New Roman"/>
        </w:rPr>
        <w:t>instruments</w:t>
      </w:r>
      <w:r w:rsidR="00986CB0">
        <w:rPr>
          <w:rFonts w:ascii="Times New Roman" w:hAnsi="Times New Roman"/>
        </w:rPr>
        <w:t xml:space="preserve"> includes a burden statement. Note that the burden of collecting information from payees and donors is on the trustee, and therefore the burden statement regarding that information has been placed on the </w:t>
      </w:r>
      <w:r w:rsidRPr="00986CB0" w:rsidR="00986CB0">
        <w:rPr>
          <w:rFonts w:ascii="Times New Roman" w:hAnsi="Times New Roman"/>
        </w:rPr>
        <w:t>Legal Expense Fund Trustee’s Guide for Information Collection Compliance</w:t>
      </w:r>
      <w:r w:rsidR="00986CB0">
        <w:rPr>
          <w:rFonts w:ascii="Times New Roman" w:hAnsi="Times New Roman"/>
        </w:rPr>
        <w:t>.</w:t>
      </w:r>
      <w:r w:rsidR="001C551B">
        <w:rPr>
          <w:rFonts w:ascii="Times New Roman" w:hAnsi="Times New Roman"/>
        </w:rPr>
        <w:t xml:space="preserve"> </w:t>
      </w:r>
      <w:r w:rsidR="00605315">
        <w:rPr>
          <w:rFonts w:ascii="Times New Roman" w:hAnsi="Times New Roman"/>
        </w:rPr>
        <w:t>Please also note that f</w:t>
      </w:r>
      <w:r w:rsidR="001C551B">
        <w:rPr>
          <w:rFonts w:ascii="Times New Roman" w:hAnsi="Times New Roman"/>
        </w:rPr>
        <w:t xml:space="preserve">ollowing approval, </w:t>
      </w:r>
      <w:r w:rsidR="00160823">
        <w:rPr>
          <w:rFonts w:ascii="Times New Roman" w:hAnsi="Times New Roman"/>
        </w:rPr>
        <w:t>i</w:t>
      </w:r>
      <w:r w:rsidR="009B2D69">
        <w:rPr>
          <w:rFonts w:ascii="Times New Roman" w:hAnsi="Times New Roman"/>
        </w:rPr>
        <w:t xml:space="preserve">nstrument </w:t>
      </w:r>
      <w:r w:rsidR="00B17283">
        <w:rPr>
          <w:rFonts w:ascii="Times New Roman" w:hAnsi="Times New Roman"/>
        </w:rPr>
        <w:t xml:space="preserve">3 </w:t>
      </w:r>
      <w:r w:rsidR="001C551B">
        <w:rPr>
          <w:rFonts w:ascii="Times New Roman" w:hAnsi="Times New Roman"/>
        </w:rPr>
        <w:t xml:space="preserve">was incorporated into </w:t>
      </w:r>
      <w:r w:rsidR="00605315">
        <w:rPr>
          <w:rFonts w:ascii="Times New Roman" w:hAnsi="Times New Roman"/>
        </w:rPr>
        <w:t xml:space="preserve">the Appendix of the subsequently created </w:t>
      </w:r>
      <w:hyperlink r:id="rId6" w:history="1">
        <w:r w:rsidRPr="00523521" w:rsidR="00605315">
          <w:rPr>
            <w:rStyle w:val="Hyperlink"/>
            <w:rFonts w:ascii="Times New Roman" w:hAnsi="Times New Roman"/>
          </w:rPr>
          <w:t>Handbook for Legal Expense Fund Trustees</w:t>
        </w:r>
      </w:hyperlink>
      <w:r w:rsidR="00605315">
        <w:rPr>
          <w:rFonts w:ascii="Times New Roman" w:hAnsi="Times New Roman"/>
        </w:rPr>
        <w:t xml:space="preserve">, at numbered pages 15-18.  </w:t>
      </w:r>
    </w:p>
    <w:p w:rsidR="00A55C95" w:rsidP="00A55C95" w14:paraId="7240137E" w14:textId="373B8D79">
      <w:pPr>
        <w:widowControl/>
        <w:spacing w:after="240" w:line="276" w:lineRule="auto"/>
        <w:ind w:firstLine="720"/>
        <w:rPr>
          <w:rFonts w:ascii="Times New Roman" w:hAnsi="Times New Roman"/>
        </w:rPr>
      </w:pPr>
      <w:r w:rsidRPr="001063CF">
        <w:rPr>
          <w:rFonts w:ascii="Times New Roman" w:hAnsi="Times New Roman"/>
          <w:b/>
          <w:bCs/>
        </w:rPr>
        <w:t>3</w:t>
      </w:r>
      <w:r w:rsidRPr="001063CF" w:rsidR="00B17283">
        <w:rPr>
          <w:rFonts w:ascii="Times New Roman" w:hAnsi="Times New Roman"/>
          <w:b/>
          <w:bCs/>
        </w:rPr>
        <w:t>.</w:t>
      </w:r>
      <w:r w:rsidRPr="001063CF" w:rsidR="00B17283">
        <w:rPr>
          <w:rFonts w:ascii="Times New Roman" w:hAnsi="Times New Roman"/>
        </w:rPr>
        <w:t xml:space="preserve"> </w:t>
      </w:r>
      <w:r w:rsidRPr="00307BD1" w:rsidR="00B17283">
        <w:rPr>
          <w:rFonts w:ascii="Times New Roman" w:hAnsi="Times New Roman"/>
          <w:b/>
          <w:bCs/>
        </w:rPr>
        <w:t>Describe</w:t>
      </w:r>
      <w:r w:rsidRPr="00B17283">
        <w:rPr>
          <w:rFonts w:ascii="Times New Roman" w:hAnsi="Times New Roman"/>
          <w:b/>
          <w:bCs/>
        </w:rPr>
        <w:t xml:space="preserve"> </w:t>
      </w:r>
      <w:r w:rsidRPr="00A55C95">
        <w:rPr>
          <w:rFonts w:ascii="Times New Roman" w:hAnsi="Times New Roman"/>
          <w:b/>
        </w:rPr>
        <w:t>whether, and to what extent, the collection of information involves the use of automated, electronic, mechanical, or other technological collection techniques or other forms of information technology.</w:t>
      </w:r>
    </w:p>
    <w:p w:rsidR="009B5B16" w:rsidRPr="001063CF" w:rsidP="00A55C95" w14:paraId="1F38AEFA" w14:textId="77777777">
      <w:pPr>
        <w:widowControl/>
        <w:spacing w:after="240" w:line="276" w:lineRule="auto"/>
        <w:ind w:firstLine="720"/>
        <w:rPr>
          <w:rFonts w:ascii="Times New Roman" w:hAnsi="Times New Roman"/>
        </w:rPr>
      </w:pPr>
      <w:r w:rsidRPr="001063CF">
        <w:rPr>
          <w:rFonts w:ascii="Times New Roman" w:hAnsi="Times New Roman"/>
        </w:rPr>
        <w:t>The</w:t>
      </w:r>
      <w:r w:rsidR="000D5500">
        <w:rPr>
          <w:rFonts w:ascii="Times New Roman" w:hAnsi="Times New Roman"/>
        </w:rPr>
        <w:t xml:space="preserve"> IC will be collected through email transmission of </w:t>
      </w:r>
      <w:r w:rsidR="003F30AA">
        <w:rPr>
          <w:rFonts w:ascii="Times New Roman" w:hAnsi="Times New Roman"/>
        </w:rPr>
        <w:t>portable document format (PDF)</w:t>
      </w:r>
      <w:r w:rsidR="000D5500">
        <w:rPr>
          <w:rFonts w:ascii="Times New Roman" w:hAnsi="Times New Roman"/>
        </w:rPr>
        <w:t xml:space="preserve"> documents</w:t>
      </w:r>
      <w:r w:rsidRPr="001063CF">
        <w:rPr>
          <w:rFonts w:ascii="Times New Roman" w:hAnsi="Times New Roman"/>
        </w:rPr>
        <w:t xml:space="preserve">.  </w:t>
      </w:r>
    </w:p>
    <w:p w:rsidR="000F6582" w:rsidP="00A55C95" w14:paraId="5C9D7D5E" w14:textId="0CAD67CA">
      <w:pPr>
        <w:widowControl/>
        <w:spacing w:after="240" w:line="276" w:lineRule="auto"/>
        <w:ind w:firstLine="720"/>
        <w:rPr>
          <w:rFonts w:ascii="Times New Roman" w:hAnsi="Times New Roman"/>
          <w:b/>
          <w:bCs/>
        </w:rPr>
      </w:pPr>
      <w:r w:rsidRPr="000F6582">
        <w:rPr>
          <w:rFonts w:ascii="Times New Roman" w:hAnsi="Times New Roman"/>
          <w:b/>
          <w:bCs/>
        </w:rPr>
        <w:t>4</w:t>
      </w:r>
      <w:r w:rsidRPr="000F6582" w:rsidR="00B17283">
        <w:rPr>
          <w:rFonts w:ascii="Times New Roman" w:hAnsi="Times New Roman"/>
          <w:b/>
          <w:bCs/>
        </w:rPr>
        <w:t>. Describe</w:t>
      </w:r>
      <w:r w:rsidRPr="000F6582">
        <w:rPr>
          <w:rFonts w:ascii="Times New Roman" w:hAnsi="Times New Roman"/>
          <w:b/>
          <w:bCs/>
        </w:rPr>
        <w:t xml:space="preserve"> efforts to identify duplication. Show specifically why any similar information already available cannot be used or modified for use for the purposes described in item 2 above.</w:t>
      </w:r>
    </w:p>
    <w:p w:rsidR="009B5B16" w:rsidRPr="001063CF" w:rsidP="00A55C95" w14:paraId="20DF631B" w14:textId="77777777">
      <w:pPr>
        <w:widowControl/>
        <w:spacing w:after="240" w:line="276" w:lineRule="auto"/>
        <w:ind w:firstLine="720"/>
        <w:rPr>
          <w:rFonts w:ascii="Times New Roman" w:hAnsi="Times New Roman"/>
        </w:rPr>
      </w:pPr>
      <w:r>
        <w:rPr>
          <w:rFonts w:ascii="Times New Roman" w:hAnsi="Times New Roman"/>
          <w:bCs/>
        </w:rPr>
        <w:t xml:space="preserve">As the supervising ethics office for the executive branch, </w:t>
      </w:r>
      <w:r w:rsidR="000D5500">
        <w:rPr>
          <w:rFonts w:ascii="Times New Roman" w:hAnsi="Times New Roman"/>
          <w:bCs/>
        </w:rPr>
        <w:t>only OGE has the authority to regulate the formation of executive branch employee legal expense funds. T</w:t>
      </w:r>
      <w:r w:rsidR="00B133CC">
        <w:rPr>
          <w:rFonts w:ascii="Times New Roman" w:hAnsi="Times New Roman"/>
          <w:bCs/>
        </w:rPr>
        <w:t xml:space="preserve">he information is not collected by any other </w:t>
      </w:r>
      <w:r w:rsidR="004C360E">
        <w:rPr>
          <w:rFonts w:ascii="Times New Roman" w:hAnsi="Times New Roman"/>
          <w:bCs/>
        </w:rPr>
        <w:t>instruments</w:t>
      </w:r>
      <w:r w:rsidR="00B133CC">
        <w:rPr>
          <w:rFonts w:ascii="Times New Roman" w:hAnsi="Times New Roman"/>
          <w:bCs/>
        </w:rPr>
        <w:t>.</w:t>
      </w:r>
    </w:p>
    <w:p w:rsidR="000F6582" w:rsidP="00A55C95" w14:paraId="34E9C220" w14:textId="53F60BF0">
      <w:pPr>
        <w:widowControl/>
        <w:spacing w:after="240" w:line="276" w:lineRule="auto"/>
        <w:ind w:firstLine="720"/>
        <w:rPr>
          <w:rFonts w:ascii="Times New Roman" w:hAnsi="Times New Roman"/>
          <w:b/>
          <w:bCs/>
        </w:rPr>
      </w:pPr>
      <w:r w:rsidRPr="000F6582">
        <w:rPr>
          <w:rFonts w:ascii="Times New Roman" w:hAnsi="Times New Roman"/>
          <w:b/>
          <w:bCs/>
        </w:rPr>
        <w:t>5</w:t>
      </w:r>
      <w:r w:rsidRPr="000F6582" w:rsidR="00B17283">
        <w:rPr>
          <w:rFonts w:ascii="Times New Roman" w:hAnsi="Times New Roman"/>
          <w:b/>
          <w:bCs/>
        </w:rPr>
        <w:t>. If</w:t>
      </w:r>
      <w:r w:rsidRPr="000F6582">
        <w:rPr>
          <w:rFonts w:ascii="Times New Roman" w:hAnsi="Times New Roman"/>
          <w:b/>
          <w:bCs/>
        </w:rPr>
        <w:t xml:space="preserve"> the collection of information impacts small businesses or other small entities, describe any methods used to minimize burden.</w:t>
      </w:r>
    </w:p>
    <w:p w:rsidR="009B5B16" w:rsidRPr="001063CF" w:rsidP="00A55C95" w14:paraId="06C90BC3" w14:textId="77777777">
      <w:pPr>
        <w:widowControl/>
        <w:spacing w:after="240" w:line="276" w:lineRule="auto"/>
        <w:ind w:firstLine="720"/>
        <w:rPr>
          <w:rFonts w:ascii="Times New Roman" w:hAnsi="Times New Roman"/>
        </w:rPr>
      </w:pPr>
      <w:r w:rsidRPr="001063CF">
        <w:rPr>
          <w:rFonts w:ascii="Times New Roman" w:hAnsi="Times New Roman"/>
        </w:rPr>
        <w:t xml:space="preserve">These documents do not have a significant impact </w:t>
      </w:r>
      <w:r w:rsidR="005455C5">
        <w:rPr>
          <w:rFonts w:ascii="Times New Roman" w:hAnsi="Times New Roman"/>
        </w:rPr>
        <w:t xml:space="preserve">upon </w:t>
      </w:r>
      <w:r w:rsidRPr="001063CF">
        <w:rPr>
          <w:rFonts w:ascii="Times New Roman" w:hAnsi="Times New Roman"/>
        </w:rPr>
        <w:t>small businesses or other small entities.</w:t>
      </w:r>
    </w:p>
    <w:p w:rsidR="000F6582" w:rsidP="00A55C95" w14:paraId="69D4EBEA" w14:textId="2B19211B">
      <w:pPr>
        <w:widowControl/>
        <w:spacing w:after="240" w:line="276" w:lineRule="auto"/>
        <w:ind w:firstLine="720"/>
        <w:rPr>
          <w:rFonts w:ascii="Times New Roman" w:hAnsi="Times New Roman"/>
          <w:b/>
          <w:bCs/>
        </w:rPr>
      </w:pPr>
      <w:r w:rsidRPr="000F6582">
        <w:rPr>
          <w:rFonts w:ascii="Times New Roman" w:hAnsi="Times New Roman"/>
          <w:b/>
          <w:bCs/>
        </w:rPr>
        <w:t>6</w:t>
      </w:r>
      <w:r w:rsidRPr="000F6582" w:rsidR="00B17283">
        <w:rPr>
          <w:rFonts w:ascii="Times New Roman" w:hAnsi="Times New Roman"/>
          <w:b/>
          <w:bCs/>
        </w:rPr>
        <w:t>. Describe</w:t>
      </w:r>
      <w:r w:rsidRPr="000F6582">
        <w:rPr>
          <w:rFonts w:ascii="Times New Roman" w:hAnsi="Times New Roman"/>
          <w:b/>
          <w:bCs/>
        </w:rPr>
        <w:t xml:space="preserve"> the consequence to Federal program or policy activities if the collection is not conducted or is conducted less frequently, as well as any technical or legal obstacles to reducing the burden.</w:t>
      </w:r>
    </w:p>
    <w:p w:rsidR="009B5B16" w:rsidRPr="001063CF" w:rsidP="00A55C95" w14:paraId="286B5311" w14:textId="77777777">
      <w:pPr>
        <w:widowControl/>
        <w:spacing w:after="240" w:line="276" w:lineRule="auto"/>
        <w:ind w:firstLine="720"/>
        <w:rPr>
          <w:rFonts w:ascii="Times New Roman" w:hAnsi="Times New Roman"/>
        </w:rPr>
      </w:pPr>
      <w:r>
        <w:rPr>
          <w:rFonts w:ascii="Times New Roman" w:hAnsi="Times New Roman"/>
        </w:rPr>
        <w:t>All of the information</w:t>
      </w:r>
      <w:r w:rsidR="00B133CC">
        <w:rPr>
          <w:rFonts w:ascii="Times New Roman" w:hAnsi="Times New Roman"/>
        </w:rPr>
        <w:t xml:space="preserve"> is mandated</w:t>
      </w:r>
      <w:r w:rsidRPr="001063CF">
        <w:rPr>
          <w:rFonts w:ascii="Times New Roman" w:hAnsi="Times New Roman"/>
        </w:rPr>
        <w:t xml:space="preserve"> </w:t>
      </w:r>
      <w:r>
        <w:rPr>
          <w:rFonts w:ascii="Times New Roman" w:hAnsi="Times New Roman"/>
        </w:rPr>
        <w:t>by</w:t>
      </w:r>
      <w:r w:rsidRPr="001063CF">
        <w:rPr>
          <w:rFonts w:ascii="Times New Roman" w:hAnsi="Times New Roman"/>
        </w:rPr>
        <w:t xml:space="preserve"> OGE regulation and is necessary for proper reporting and review of </w:t>
      </w:r>
      <w:r w:rsidR="00B133CC">
        <w:rPr>
          <w:rFonts w:ascii="Times New Roman" w:hAnsi="Times New Roman"/>
        </w:rPr>
        <w:t>legal expense funds</w:t>
      </w:r>
      <w:r w:rsidRPr="001063CF">
        <w:rPr>
          <w:rFonts w:ascii="Times New Roman" w:hAnsi="Times New Roman"/>
        </w:rPr>
        <w:t>. See also item</w:t>
      </w:r>
      <w:r>
        <w:rPr>
          <w:rFonts w:ascii="Times New Roman" w:hAnsi="Times New Roman"/>
        </w:rPr>
        <w:t>s 1</w:t>
      </w:r>
      <w:r w:rsidRPr="001063CF">
        <w:rPr>
          <w:rFonts w:ascii="Times New Roman" w:hAnsi="Times New Roman"/>
        </w:rPr>
        <w:t>-2</w:t>
      </w:r>
      <w:r>
        <w:rPr>
          <w:rFonts w:ascii="Times New Roman" w:hAnsi="Times New Roman"/>
        </w:rPr>
        <w:t>,</w:t>
      </w:r>
      <w:r w:rsidRPr="001063CF">
        <w:rPr>
          <w:rFonts w:ascii="Times New Roman" w:hAnsi="Times New Roman"/>
        </w:rPr>
        <w:t xml:space="preserve"> above.</w:t>
      </w:r>
    </w:p>
    <w:p w:rsidR="000F6582" w:rsidRPr="000F6582" w:rsidP="000F6582" w14:paraId="385E6B99" w14:textId="560247E6">
      <w:pPr>
        <w:widowControl/>
        <w:spacing w:after="240" w:line="276" w:lineRule="auto"/>
        <w:ind w:firstLine="720"/>
        <w:rPr>
          <w:rFonts w:ascii="Times New Roman" w:hAnsi="Times New Roman"/>
          <w:b/>
          <w:bCs/>
        </w:rPr>
      </w:pPr>
      <w:r w:rsidRPr="000F6582">
        <w:rPr>
          <w:rFonts w:ascii="Times New Roman" w:hAnsi="Times New Roman"/>
          <w:b/>
          <w:bCs/>
        </w:rPr>
        <w:t>7</w:t>
      </w:r>
      <w:r w:rsidRPr="000F6582" w:rsidR="00114418">
        <w:rPr>
          <w:rFonts w:ascii="Times New Roman" w:hAnsi="Times New Roman"/>
          <w:b/>
          <w:bCs/>
        </w:rPr>
        <w:t>. Explain</w:t>
      </w:r>
      <w:r w:rsidRPr="000F6582">
        <w:rPr>
          <w:rFonts w:ascii="Times New Roman" w:hAnsi="Times New Roman"/>
          <w:b/>
          <w:bCs/>
        </w:rPr>
        <w:t xml:space="preserve"> any special circumstances that would cause an information collection to be conducted in a manner:</w:t>
      </w:r>
    </w:p>
    <w:p w:rsidR="000F6582" w:rsidRPr="000F6582" w:rsidP="00441090" w14:paraId="19529DCF" w14:textId="77777777">
      <w:pPr>
        <w:widowControl/>
        <w:spacing w:after="240" w:line="276" w:lineRule="auto"/>
        <w:ind w:left="720" w:firstLine="720"/>
        <w:rPr>
          <w:rFonts w:ascii="Times New Roman" w:hAnsi="Times New Roman"/>
          <w:b/>
          <w:bCs/>
        </w:rPr>
      </w:pPr>
      <w:r w:rsidRPr="000F6582">
        <w:rPr>
          <w:rFonts w:ascii="Times New Roman" w:hAnsi="Times New Roman"/>
          <w:b/>
          <w:bCs/>
        </w:rPr>
        <w:t>•</w:t>
      </w:r>
      <w:r w:rsidRPr="000F6582">
        <w:rPr>
          <w:rFonts w:ascii="Times New Roman" w:hAnsi="Times New Roman"/>
          <w:b/>
          <w:bCs/>
        </w:rPr>
        <w:tab/>
        <w:t>Requiring respondents to report information to the agency more often than quarterly;</w:t>
      </w:r>
    </w:p>
    <w:p w:rsidR="000F6582" w:rsidRPr="000F6582" w:rsidP="00441090" w14:paraId="117CBDC8" w14:textId="77777777">
      <w:pPr>
        <w:widowControl/>
        <w:spacing w:after="240" w:line="276" w:lineRule="auto"/>
        <w:ind w:left="720" w:firstLine="720"/>
        <w:rPr>
          <w:rFonts w:ascii="Times New Roman" w:hAnsi="Times New Roman"/>
          <w:b/>
          <w:bCs/>
        </w:rPr>
      </w:pPr>
      <w:r w:rsidRPr="000F6582">
        <w:rPr>
          <w:rFonts w:ascii="Times New Roman" w:hAnsi="Times New Roman"/>
          <w:b/>
          <w:bCs/>
        </w:rPr>
        <w:t>•</w:t>
      </w:r>
      <w:r w:rsidRPr="000F6582">
        <w:rPr>
          <w:rFonts w:ascii="Times New Roman" w:hAnsi="Times New Roman"/>
          <w:b/>
          <w:bCs/>
        </w:rPr>
        <w:tab/>
        <w:t>Requiring respondents to prepare a written response to a collection of information in fewer than 30 days after receipt of it;</w:t>
      </w:r>
    </w:p>
    <w:p w:rsidR="000F6582" w:rsidRPr="000F6582" w:rsidP="00441090" w14:paraId="7989623E" w14:textId="77777777">
      <w:pPr>
        <w:widowControl/>
        <w:spacing w:after="240" w:line="276" w:lineRule="auto"/>
        <w:ind w:left="720" w:firstLine="720"/>
        <w:rPr>
          <w:rFonts w:ascii="Times New Roman" w:hAnsi="Times New Roman"/>
          <w:b/>
          <w:bCs/>
        </w:rPr>
      </w:pPr>
      <w:r w:rsidRPr="000F6582">
        <w:rPr>
          <w:rFonts w:ascii="Times New Roman" w:hAnsi="Times New Roman"/>
          <w:b/>
          <w:bCs/>
        </w:rPr>
        <w:t>•</w:t>
      </w:r>
      <w:r w:rsidRPr="000F6582">
        <w:rPr>
          <w:rFonts w:ascii="Times New Roman" w:hAnsi="Times New Roman"/>
          <w:b/>
          <w:bCs/>
        </w:rPr>
        <w:tab/>
        <w:t>Requiring respondents to submit more than an original and two copies of any document;</w:t>
      </w:r>
    </w:p>
    <w:p w:rsidR="000F6582" w:rsidRPr="000F6582" w:rsidP="00441090" w14:paraId="268AD465" w14:textId="77777777">
      <w:pPr>
        <w:widowControl/>
        <w:spacing w:after="240" w:line="276" w:lineRule="auto"/>
        <w:ind w:left="720" w:firstLine="720"/>
        <w:rPr>
          <w:rFonts w:ascii="Times New Roman" w:hAnsi="Times New Roman"/>
          <w:b/>
          <w:bCs/>
        </w:rPr>
      </w:pPr>
      <w:r w:rsidRPr="000F6582">
        <w:rPr>
          <w:rFonts w:ascii="Times New Roman" w:hAnsi="Times New Roman"/>
          <w:b/>
          <w:bCs/>
        </w:rPr>
        <w:t>•</w:t>
      </w:r>
      <w:r w:rsidRPr="000F6582">
        <w:rPr>
          <w:rFonts w:ascii="Times New Roman" w:hAnsi="Times New Roman"/>
          <w:b/>
          <w:bCs/>
        </w:rPr>
        <w:tab/>
        <w:t>Requiring respondents to retain records, other than health, medical, government contract, grant-in-aid, or tax records, for more than 3 years;</w:t>
      </w:r>
    </w:p>
    <w:p w:rsidR="000F6582" w:rsidRPr="000F6582" w:rsidP="00441090" w14:paraId="3702E183" w14:textId="77777777">
      <w:pPr>
        <w:widowControl/>
        <w:spacing w:after="240" w:line="276" w:lineRule="auto"/>
        <w:ind w:left="720" w:firstLine="720"/>
        <w:rPr>
          <w:rFonts w:ascii="Times New Roman" w:hAnsi="Times New Roman"/>
          <w:b/>
          <w:bCs/>
        </w:rPr>
      </w:pPr>
      <w:r w:rsidRPr="000F6582">
        <w:rPr>
          <w:rFonts w:ascii="Times New Roman" w:hAnsi="Times New Roman"/>
          <w:b/>
          <w:bCs/>
        </w:rPr>
        <w:t>•</w:t>
      </w:r>
      <w:r w:rsidRPr="000F6582">
        <w:rPr>
          <w:rFonts w:ascii="Times New Roman" w:hAnsi="Times New Roman"/>
          <w:b/>
          <w:bCs/>
        </w:rPr>
        <w:tab/>
        <w:t>In connection with a statistical survey, that is not designed to produce valid and reliable results that can be generalized to the universe of study;</w:t>
      </w:r>
    </w:p>
    <w:p w:rsidR="000F6582" w:rsidRPr="000F6582" w:rsidP="00441090" w14:paraId="0492289F" w14:textId="77777777">
      <w:pPr>
        <w:widowControl/>
        <w:spacing w:after="240" w:line="276" w:lineRule="auto"/>
        <w:ind w:left="720" w:firstLine="720"/>
        <w:rPr>
          <w:rFonts w:ascii="Times New Roman" w:hAnsi="Times New Roman"/>
          <w:b/>
          <w:bCs/>
        </w:rPr>
      </w:pPr>
      <w:r w:rsidRPr="000F6582">
        <w:rPr>
          <w:rFonts w:ascii="Times New Roman" w:hAnsi="Times New Roman"/>
          <w:b/>
          <w:bCs/>
        </w:rPr>
        <w:t>•</w:t>
      </w:r>
      <w:r w:rsidRPr="000F6582">
        <w:rPr>
          <w:rFonts w:ascii="Times New Roman" w:hAnsi="Times New Roman"/>
          <w:b/>
          <w:bCs/>
        </w:rPr>
        <w:tab/>
        <w:t xml:space="preserve">Requiring the use of a statistical data classification that has not been reviewed and approved by OMB; </w:t>
      </w:r>
    </w:p>
    <w:p w:rsidR="000F6582" w:rsidRPr="000F6582" w:rsidP="00441090" w14:paraId="762D20EB" w14:textId="77777777">
      <w:pPr>
        <w:widowControl/>
        <w:spacing w:after="240" w:line="276" w:lineRule="auto"/>
        <w:ind w:left="720" w:firstLine="720"/>
        <w:rPr>
          <w:rFonts w:ascii="Times New Roman" w:hAnsi="Times New Roman"/>
          <w:b/>
          <w:bCs/>
        </w:rPr>
      </w:pPr>
      <w:r w:rsidRPr="000F6582">
        <w:rPr>
          <w:rFonts w:ascii="Times New Roman" w:hAnsi="Times New Roman"/>
          <w:b/>
          <w:bCs/>
        </w:rPr>
        <w:t>•</w:t>
      </w:r>
      <w:r w:rsidRPr="000F6582">
        <w:rPr>
          <w:rFonts w:ascii="Times New Roman" w:hAnsi="Times New Roman"/>
          <w:b/>
          <w:bCs/>
        </w:rPr>
        <w:tab/>
        <w:t xml:space="preserve">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 </w:t>
      </w:r>
    </w:p>
    <w:p w:rsidR="000F6582" w:rsidP="00441090" w14:paraId="3C54CA50" w14:textId="77777777">
      <w:pPr>
        <w:widowControl/>
        <w:spacing w:after="240" w:line="276" w:lineRule="auto"/>
        <w:ind w:left="720" w:firstLine="720"/>
        <w:rPr>
          <w:rFonts w:ascii="Times New Roman" w:hAnsi="Times New Roman"/>
        </w:rPr>
      </w:pPr>
      <w:r w:rsidRPr="000F6582">
        <w:rPr>
          <w:rFonts w:ascii="Times New Roman" w:hAnsi="Times New Roman"/>
          <w:b/>
          <w:bCs/>
        </w:rPr>
        <w:t>•</w:t>
      </w:r>
      <w:r w:rsidRPr="000F6582">
        <w:rPr>
          <w:rFonts w:ascii="Times New Roman" w:hAnsi="Times New Roman"/>
          <w:b/>
          <w:bCs/>
        </w:rPr>
        <w:tab/>
        <w:t>Requiring respondents to submit proprietary trade secrets or other confidential information unless the agency can demonstrate that it has instituted procedures to protect the information's confidentiality to the extent permitted by law.</w:t>
      </w:r>
      <w:r w:rsidRPr="001063CF" w:rsidR="009B5B16">
        <w:rPr>
          <w:rFonts w:ascii="Times New Roman" w:hAnsi="Times New Roman"/>
        </w:rPr>
        <w:t xml:space="preserve"> </w:t>
      </w:r>
    </w:p>
    <w:p w:rsidR="009B5B16" w:rsidRPr="001063CF" w:rsidP="000F6582" w14:paraId="1BE22B1E" w14:textId="77777777">
      <w:pPr>
        <w:widowControl/>
        <w:spacing w:after="240" w:line="276" w:lineRule="auto"/>
        <w:ind w:firstLine="720"/>
        <w:rPr>
          <w:rFonts w:ascii="Times New Roman" w:hAnsi="Times New Roman"/>
        </w:rPr>
      </w:pPr>
      <w:r w:rsidRPr="001063CF">
        <w:rPr>
          <w:rFonts w:ascii="Times New Roman" w:hAnsi="Times New Roman"/>
        </w:rPr>
        <w:t xml:space="preserve">No </w:t>
      </w:r>
      <w:r w:rsidR="00441090">
        <w:rPr>
          <w:rFonts w:ascii="Times New Roman" w:hAnsi="Times New Roman"/>
        </w:rPr>
        <w:t xml:space="preserve">such </w:t>
      </w:r>
      <w:r w:rsidRPr="001063CF">
        <w:rPr>
          <w:rFonts w:ascii="Times New Roman" w:hAnsi="Times New Roman"/>
        </w:rPr>
        <w:t>special circumstances exist.</w:t>
      </w:r>
    </w:p>
    <w:p w:rsidR="00441090" w:rsidP="00A55C95" w14:paraId="4E9CDF63" w14:textId="07F97F72">
      <w:pPr>
        <w:widowControl/>
        <w:spacing w:after="240" w:line="276" w:lineRule="auto"/>
        <w:ind w:firstLine="720"/>
        <w:rPr>
          <w:rFonts w:ascii="Times New Roman" w:hAnsi="Times New Roman"/>
        </w:rPr>
      </w:pPr>
      <w:r w:rsidRPr="00441090">
        <w:rPr>
          <w:rFonts w:ascii="Times New Roman" w:hAnsi="Times New Roman"/>
          <w:b/>
          <w:bCs/>
        </w:rPr>
        <w:t>8</w:t>
      </w:r>
      <w:r w:rsidRPr="00441090" w:rsidR="00CF42AB">
        <w:rPr>
          <w:rFonts w:ascii="Times New Roman" w:hAnsi="Times New Roman"/>
          <w:b/>
          <w:bCs/>
        </w:rPr>
        <w:t>. If</w:t>
      </w:r>
      <w:r w:rsidRPr="00441090">
        <w:rPr>
          <w:rFonts w:ascii="Times New Roman" w:hAnsi="Times New Roman"/>
          <w:b/>
          <w:bCs/>
        </w:rPr>
        <w:t xml:space="preserve"> applicable, provide a copy and identify the date and page number of publication in the </w:t>
      </w:r>
      <w:r w:rsidRPr="00441090">
        <w:rPr>
          <w:rFonts w:ascii="Times New Roman" w:hAnsi="Times New Roman"/>
          <w:b/>
          <w:bCs/>
          <w:i/>
        </w:rPr>
        <w:t>Federal Register</w:t>
      </w:r>
      <w:r w:rsidRPr="00441090">
        <w:rPr>
          <w:rFonts w:ascii="Times New Roman" w:hAnsi="Times New Roman"/>
          <w:b/>
          <w:bCs/>
        </w:rPr>
        <w:t xml:space="preserve"> of the agency's notice, required by 5 CFR 1320.8(d), soliciting comments on the information collection prior to submission to OMB.</w:t>
      </w:r>
      <w:r w:rsidRPr="001063CF" w:rsidR="009B5B16">
        <w:rPr>
          <w:rFonts w:ascii="Times New Roman" w:hAnsi="Times New Roman"/>
        </w:rPr>
        <w:t xml:space="preserve"> </w:t>
      </w:r>
    </w:p>
    <w:p w:rsidR="00FF2A87" w:rsidP="00FF2A87" w14:paraId="3726D401" w14:textId="06FEE4FB">
      <w:pPr>
        <w:widowControl/>
        <w:spacing w:after="240" w:line="276" w:lineRule="auto"/>
        <w:ind w:firstLine="720"/>
        <w:rPr>
          <w:rFonts w:ascii="Times New Roman" w:hAnsi="Times New Roman"/>
        </w:rPr>
      </w:pPr>
      <w:r w:rsidRPr="00FF2A87">
        <w:rPr>
          <w:rFonts w:ascii="Times New Roman" w:hAnsi="Times New Roman"/>
        </w:rPr>
        <w:t xml:space="preserve">A </w:t>
      </w:r>
      <w:r w:rsidRPr="00307BD1">
        <w:rPr>
          <w:rFonts w:ascii="Times New Roman" w:hAnsi="Times New Roman"/>
          <w:i/>
          <w:iCs/>
        </w:rPr>
        <w:t>Federal Register</w:t>
      </w:r>
      <w:r w:rsidRPr="00FF2A87">
        <w:rPr>
          <w:rFonts w:ascii="Times New Roman" w:hAnsi="Times New Roman"/>
        </w:rPr>
        <w:t xml:space="preserve"> </w:t>
      </w:r>
      <w:r w:rsidR="008561FF">
        <w:rPr>
          <w:rFonts w:ascii="Times New Roman" w:hAnsi="Times New Roman"/>
        </w:rPr>
        <w:t>n</w:t>
      </w:r>
      <w:r w:rsidRPr="00FF2A87">
        <w:rPr>
          <w:rFonts w:ascii="Times New Roman" w:hAnsi="Times New Roman"/>
        </w:rPr>
        <w:t>otice with a 60-day comment period soliciting comments on this information collection was published on</w:t>
      </w:r>
      <w:r w:rsidR="00DC7D58">
        <w:rPr>
          <w:rFonts w:ascii="Times New Roman" w:hAnsi="Times New Roman"/>
        </w:rPr>
        <w:t xml:space="preserve"> December 18, 2025. </w:t>
      </w:r>
      <w:r w:rsidR="00DC7D58">
        <w:rPr>
          <w:rFonts w:ascii="Times New Roman" w:hAnsi="Times New Roman"/>
          <w:i/>
          <w:iCs/>
        </w:rPr>
        <w:t xml:space="preserve">See </w:t>
      </w:r>
      <w:r w:rsidRPr="00DC7D58" w:rsidR="00DC7D58">
        <w:rPr>
          <w:rFonts w:ascii="Times New Roman" w:hAnsi="Times New Roman"/>
        </w:rPr>
        <w:t>90 FR 59122</w:t>
      </w:r>
      <w:r w:rsidRPr="00FF2A87">
        <w:rPr>
          <w:rFonts w:ascii="Times New Roman" w:hAnsi="Times New Roman"/>
        </w:rPr>
        <w:t xml:space="preserve">. </w:t>
      </w:r>
      <w:r w:rsidR="00DC7D58">
        <w:rPr>
          <w:rFonts w:ascii="Times New Roman" w:hAnsi="Times New Roman"/>
        </w:rPr>
        <w:t xml:space="preserve">The public comment period closed on February 18, 2026. </w:t>
      </w:r>
      <w:r w:rsidRPr="00FF2A87">
        <w:rPr>
          <w:rFonts w:ascii="Times New Roman" w:hAnsi="Times New Roman"/>
        </w:rPr>
        <w:t xml:space="preserve">OGE </w:t>
      </w:r>
      <w:r w:rsidR="00DC7D58">
        <w:rPr>
          <w:rFonts w:ascii="Times New Roman" w:hAnsi="Times New Roman"/>
        </w:rPr>
        <w:t>received one set of comments from the National Employment Lawyers Association (NELA)</w:t>
      </w:r>
      <w:r w:rsidR="00AF6454">
        <w:rPr>
          <w:rFonts w:ascii="Times New Roman" w:hAnsi="Times New Roman"/>
        </w:rPr>
        <w:t xml:space="preserve"> containing specific recommendations. OGE </w:t>
      </w:r>
      <w:r w:rsidR="00AF6454">
        <w:rPr>
          <w:rFonts w:ascii="Times New Roman" w:hAnsi="Times New Roman"/>
        </w:rPr>
        <w:t>considered each recommendation. Below is a summary of the recommendations and actions taken by OGE in response, where applicable:</w:t>
      </w:r>
    </w:p>
    <w:p w:rsidR="004C2BCA" w:rsidRPr="00A05A06" w:rsidP="00307BD1" w14:paraId="20D9B71D" w14:textId="507E5BB2">
      <w:pPr>
        <w:pStyle w:val="ListParagraph"/>
        <w:widowControl/>
        <w:spacing w:after="240" w:line="276" w:lineRule="auto"/>
        <w:ind w:left="1080"/>
        <w:rPr>
          <w:rFonts w:ascii="Times New Roman" w:hAnsi="Times New Roman"/>
        </w:rPr>
      </w:pPr>
      <w:r w:rsidRPr="00307BD1">
        <w:rPr>
          <w:rFonts w:ascii="Times New Roman" w:hAnsi="Times New Roman"/>
        </w:rPr>
        <w:t>(1)</w:t>
      </w:r>
      <w:r w:rsidR="001D4160">
        <w:rPr>
          <w:rFonts w:ascii="Times New Roman" w:hAnsi="Times New Roman"/>
        </w:rPr>
        <w:t xml:space="preserve"> </w:t>
      </w:r>
      <w:r>
        <w:rPr>
          <w:rFonts w:ascii="Times New Roman" w:hAnsi="Times New Roman"/>
        </w:rPr>
        <w:t xml:space="preserve">The </w:t>
      </w:r>
      <w:r w:rsidR="001D4160">
        <w:rPr>
          <w:rFonts w:ascii="Times New Roman" w:hAnsi="Times New Roman"/>
        </w:rPr>
        <w:t>OGE Form 601</w:t>
      </w:r>
      <w:r w:rsidRPr="004C2BCA">
        <w:rPr>
          <w:rFonts w:ascii="Times New Roman" w:hAnsi="Times New Roman"/>
        </w:rPr>
        <w:t xml:space="preserve"> should include the following phrase in the instructions in bold, black lettering in a font size at least as large as the smallest font size in the instructions: “Do not disclose any privileged or confidential information. Consider consulting with legal counsel before filing this Form.”</w:t>
      </w:r>
    </w:p>
    <w:p w:rsidR="004C2BCA" w:rsidP="004C2BCA" w14:paraId="0D817CD9" w14:textId="77777777">
      <w:pPr>
        <w:pStyle w:val="ListParagraph"/>
        <w:widowControl/>
        <w:spacing w:after="240" w:line="276" w:lineRule="auto"/>
        <w:ind w:left="1080"/>
        <w:rPr>
          <w:rFonts w:ascii="Times New Roman" w:hAnsi="Times New Roman"/>
        </w:rPr>
      </w:pPr>
    </w:p>
    <w:p w:rsidR="004C2BCA" w:rsidP="004C2BCA" w14:paraId="2464173E" w14:textId="6911536A">
      <w:pPr>
        <w:pStyle w:val="ListParagraph"/>
        <w:widowControl/>
        <w:spacing w:after="240" w:line="276" w:lineRule="auto"/>
        <w:ind w:left="1080"/>
        <w:rPr>
          <w:rFonts w:ascii="Times New Roman" w:hAnsi="Times New Roman"/>
        </w:rPr>
      </w:pPr>
      <w:r w:rsidRPr="00307BD1">
        <w:rPr>
          <w:rFonts w:ascii="Times New Roman" w:hAnsi="Times New Roman"/>
        </w:rPr>
        <w:t>OGE believes that adding additional language to the instructions will improve clarity and increase visibility of the fact that no privileged information is required to be disclosed under § 2635.1007. Accordingly, OGE has updated the instructions of the Form to state: “Do not report information protected by attorney client privilege.” OGE declines to adopt the exact wording in the comment and instead is using the wording found at the top of Part 2 of the Form for consistency within the Form and with the discussion in OGE’s final rule preamble, 88 Fed. Reg. 33799, 33805 (May 25, 2023) (“employee beneficiary is in no way compelled to, and in fact should not, report confidential attorney-client information.”). OGE believes the existing wording found in Part 2 of the Form adequately warns a filer not to disclose this type of information.</w:t>
      </w:r>
    </w:p>
    <w:p w:rsidR="004C2BCA" w:rsidP="00307BD1" w14:paraId="5D20FFA2" w14:textId="77777777">
      <w:pPr>
        <w:pStyle w:val="ListParagraph"/>
        <w:widowControl/>
        <w:spacing w:after="240" w:line="276" w:lineRule="auto"/>
        <w:ind w:left="1080"/>
        <w:rPr>
          <w:rFonts w:ascii="Times New Roman" w:hAnsi="Times New Roman"/>
        </w:rPr>
      </w:pPr>
    </w:p>
    <w:p w:rsidR="001D4160" w:rsidP="00307BD1" w14:paraId="65132A07" w14:textId="1A90AD8F">
      <w:pPr>
        <w:pStyle w:val="ListParagraph"/>
        <w:widowControl/>
        <w:spacing w:after="240" w:line="276" w:lineRule="auto"/>
        <w:ind w:left="1080"/>
        <w:rPr>
          <w:rFonts w:ascii="Times New Roman" w:hAnsi="Times New Roman"/>
        </w:rPr>
      </w:pPr>
      <w:r w:rsidRPr="00307BD1">
        <w:rPr>
          <w:rFonts w:ascii="Times New Roman" w:hAnsi="Times New Roman"/>
        </w:rPr>
        <w:t>(2)</w:t>
      </w:r>
      <w:r>
        <w:rPr>
          <w:rFonts w:ascii="Times New Roman" w:hAnsi="Times New Roman"/>
        </w:rPr>
        <w:t xml:space="preserve"> </w:t>
      </w:r>
      <w:r>
        <w:rPr>
          <w:rFonts w:ascii="Times New Roman" w:hAnsi="Times New Roman"/>
        </w:rPr>
        <w:t xml:space="preserve">The </w:t>
      </w:r>
      <w:r>
        <w:rPr>
          <w:rFonts w:ascii="Times New Roman" w:hAnsi="Times New Roman"/>
        </w:rPr>
        <w:t>OGE Form 601</w:t>
      </w:r>
      <w:r w:rsidRPr="004C2BCA">
        <w:rPr>
          <w:rFonts w:ascii="Times New Roman" w:hAnsi="Times New Roman"/>
        </w:rPr>
        <w:t xml:space="preserve"> should include the following phrase on each page in bold, black lettering in a font size at least as large as the smallest font size in the instructions: “Do not disclose any privileged or confidential information. Consider consulting with legal counsel before filing this Form.”</w:t>
      </w:r>
    </w:p>
    <w:p w:rsidR="001D4160" w:rsidP="001D4160" w14:paraId="44C97426" w14:textId="77777777">
      <w:pPr>
        <w:pStyle w:val="ListParagraph"/>
        <w:widowControl/>
        <w:spacing w:after="240" w:line="276" w:lineRule="auto"/>
        <w:ind w:left="1080"/>
        <w:rPr>
          <w:rFonts w:ascii="Times New Roman" w:hAnsi="Times New Roman"/>
        </w:rPr>
      </w:pPr>
    </w:p>
    <w:p w:rsidR="004C2BCA" w:rsidP="001D4160" w14:paraId="6047AF18" w14:textId="22FFDEBA">
      <w:pPr>
        <w:pStyle w:val="ListParagraph"/>
        <w:widowControl/>
        <w:spacing w:after="240" w:line="276" w:lineRule="auto"/>
        <w:ind w:left="1080"/>
        <w:rPr>
          <w:rFonts w:ascii="Times New Roman" w:hAnsi="Times New Roman"/>
        </w:rPr>
      </w:pPr>
      <w:r w:rsidRPr="00307BD1">
        <w:rPr>
          <w:rFonts w:ascii="Times New Roman" w:hAnsi="Times New Roman"/>
        </w:rPr>
        <w:t>OGE believes the current note and format at the top of Part 2 of the Form sufficiently alerts employee beneficiaries not to disclose privileged information as discussed in OGE’s final rule preamble (88 Fed. Reg. 33799, 33805 (May 25, 2023)), such that it declines to change that note. OGE declines to add the disclaimer language to the top of Part 1 (Contributions) of the Form because it is not applicable to that part and may create confusion.</w:t>
      </w:r>
    </w:p>
    <w:p w:rsidR="001D4160" w:rsidRPr="00307BD1" w:rsidP="00307BD1" w14:paraId="382637E5" w14:textId="77777777">
      <w:pPr>
        <w:pStyle w:val="ListParagraph"/>
        <w:widowControl/>
        <w:spacing w:after="240" w:line="276" w:lineRule="auto"/>
        <w:ind w:left="1080"/>
        <w:rPr>
          <w:rFonts w:ascii="Times New Roman" w:hAnsi="Times New Roman"/>
        </w:rPr>
      </w:pPr>
    </w:p>
    <w:p w:rsidR="001D4160" w:rsidP="00307BD1" w14:paraId="37D6DE65" w14:textId="6E8E8FC4">
      <w:pPr>
        <w:pStyle w:val="ListParagraph"/>
        <w:widowControl/>
        <w:spacing w:after="240" w:line="276" w:lineRule="auto"/>
        <w:ind w:left="1080"/>
        <w:rPr>
          <w:rFonts w:ascii="Times New Roman" w:hAnsi="Times New Roman"/>
        </w:rPr>
      </w:pPr>
      <w:r>
        <w:rPr>
          <w:rFonts w:ascii="Times New Roman" w:hAnsi="Times New Roman"/>
        </w:rPr>
        <w:t>(3)</w:t>
      </w:r>
      <w:r>
        <w:rPr>
          <w:rFonts w:ascii="Times New Roman" w:hAnsi="Times New Roman"/>
        </w:rPr>
        <w:t xml:space="preserve"> </w:t>
      </w:r>
      <w:r w:rsidRPr="001D4160">
        <w:rPr>
          <w:rFonts w:ascii="Times New Roman" w:hAnsi="Times New Roman"/>
        </w:rPr>
        <w:t xml:space="preserve">OGE should include information in the instructions consistent with its previous position that “[t]he required purpose can be as broad as ‘legal services’ </w:t>
      </w:r>
      <w:r w:rsidRPr="001D4160">
        <w:rPr>
          <w:rFonts w:ascii="Times New Roman" w:hAnsi="Times New Roman"/>
        </w:rPr>
        <w:t>. . . .</w:t>
      </w:r>
      <w:r w:rsidRPr="001D4160">
        <w:rPr>
          <w:rFonts w:ascii="Times New Roman" w:hAnsi="Times New Roman"/>
        </w:rPr>
        <w:t>” 88 Fed. Reg. 33799, 33805 (May 25, 2023).</w:t>
      </w:r>
    </w:p>
    <w:p w:rsidR="001D4160" w:rsidP="001D4160" w14:paraId="1598763F" w14:textId="77777777">
      <w:pPr>
        <w:pStyle w:val="ListParagraph"/>
        <w:widowControl/>
        <w:spacing w:after="240" w:line="276" w:lineRule="auto"/>
        <w:ind w:left="1080"/>
        <w:rPr>
          <w:rFonts w:ascii="Times New Roman" w:hAnsi="Times New Roman"/>
          <w:u w:val="single"/>
        </w:rPr>
      </w:pPr>
    </w:p>
    <w:p w:rsidR="001D4160" w:rsidRPr="00307BD1" w:rsidP="00307BD1" w14:paraId="5F939DAF" w14:textId="07CC5781">
      <w:pPr>
        <w:pStyle w:val="ListParagraph"/>
        <w:widowControl/>
        <w:spacing w:after="240" w:line="276" w:lineRule="auto"/>
        <w:ind w:left="1080"/>
        <w:rPr>
          <w:rFonts w:ascii="Times New Roman" w:hAnsi="Times New Roman"/>
        </w:rPr>
      </w:pPr>
      <w:r w:rsidRPr="001D4160">
        <w:rPr>
          <w:rFonts w:ascii="Times New Roman" w:hAnsi="Times New Roman"/>
        </w:rPr>
        <w:t>OGE believes this information is already covered in the Form instructions as an example (using “Legal Services” as an example for the “Brief Description of the Purpose” field). Accordingly, OGE declines to adopt this comment further.</w:t>
      </w:r>
    </w:p>
    <w:p w:rsidR="00FF2A87" w:rsidRPr="00FF2A87" w:rsidP="00FF2A87" w14:paraId="67A00746" w14:textId="246CD5F7">
      <w:pPr>
        <w:widowControl/>
        <w:spacing w:after="240" w:line="276" w:lineRule="auto"/>
        <w:ind w:firstLine="720"/>
        <w:rPr>
          <w:rFonts w:ascii="Times New Roman" w:hAnsi="Times New Roman"/>
        </w:rPr>
      </w:pPr>
      <w:r w:rsidRPr="00FF2A87">
        <w:rPr>
          <w:rFonts w:ascii="Times New Roman" w:hAnsi="Times New Roman"/>
        </w:rPr>
        <w:t xml:space="preserve">OGE again sought public comment in the second round </w:t>
      </w:r>
      <w:r w:rsidRPr="00FF2A87">
        <w:rPr>
          <w:rFonts w:ascii="Times New Roman" w:hAnsi="Times New Roman"/>
          <w:i/>
        </w:rPr>
        <w:t>Federal Register</w:t>
      </w:r>
      <w:r w:rsidRPr="00FF2A87">
        <w:rPr>
          <w:rFonts w:ascii="Times New Roman" w:hAnsi="Times New Roman"/>
        </w:rPr>
        <w:t xml:space="preserve"> notice on </w:t>
      </w:r>
      <w:r w:rsidR="00537E5E">
        <w:rPr>
          <w:rFonts w:ascii="Times New Roman" w:hAnsi="Times New Roman"/>
        </w:rPr>
        <w:t>May 29, 2026.</w:t>
      </w:r>
      <w:r w:rsidRPr="00FF2A87">
        <w:rPr>
          <w:rFonts w:ascii="Times New Roman" w:hAnsi="Times New Roman"/>
        </w:rPr>
        <w:t xml:space="preserve"> </w:t>
      </w:r>
      <w:r w:rsidRPr="00307BD1">
        <w:rPr>
          <w:rFonts w:ascii="Times New Roman" w:hAnsi="Times New Roman"/>
          <w:i/>
          <w:iCs/>
        </w:rPr>
        <w:t>See</w:t>
      </w:r>
      <w:r w:rsidRPr="00FF2A87">
        <w:rPr>
          <w:rFonts w:ascii="Times New Roman" w:hAnsi="Times New Roman"/>
        </w:rPr>
        <w:t xml:space="preserve"> </w:t>
      </w:r>
      <w:r w:rsidRPr="00537E5E" w:rsidR="00537E5E">
        <w:rPr>
          <w:rFonts w:ascii="Times New Roman" w:hAnsi="Times New Roman"/>
        </w:rPr>
        <w:t>91 FR 32050</w:t>
      </w:r>
      <w:r w:rsidRPr="00FF2A87">
        <w:rPr>
          <w:rFonts w:ascii="Times New Roman" w:hAnsi="Times New Roman"/>
        </w:rPr>
        <w:t xml:space="preserve">. </w:t>
      </w:r>
      <w:r w:rsidR="00DC7D58">
        <w:rPr>
          <w:rFonts w:ascii="Times New Roman" w:hAnsi="Times New Roman"/>
        </w:rPr>
        <w:t>That notice instructed c</w:t>
      </w:r>
      <w:r w:rsidRPr="00FF2A87">
        <w:rPr>
          <w:rFonts w:ascii="Times New Roman" w:hAnsi="Times New Roman"/>
        </w:rPr>
        <w:t>ommenters to send comments directly to OMB.</w:t>
      </w:r>
    </w:p>
    <w:p w:rsidR="00FF2A87" w:rsidP="00C55418" w14:paraId="748CF443" w14:textId="4643F310">
      <w:pPr>
        <w:widowControl/>
        <w:spacing w:after="240" w:line="276" w:lineRule="auto"/>
        <w:ind w:firstLine="720"/>
        <w:rPr>
          <w:rFonts w:ascii="Times New Roman" w:hAnsi="Times New Roman"/>
        </w:rPr>
      </w:pPr>
      <w:r w:rsidRPr="00DC7D58">
        <w:rPr>
          <w:rFonts w:ascii="Times New Roman" w:hAnsi="Times New Roman"/>
        </w:rPr>
        <w:t xml:space="preserve">OGE continually seeks comments from persons outside the agency concerning the impact of its information collection instruments upon filers and agency ethics programs. OGE routinely alerts professionals in the ethics community to recently published OGE Federal Register notices via its listserv, various social media applications, and </w:t>
      </w:r>
      <w:r w:rsidR="00C93BC9">
        <w:rPr>
          <w:rFonts w:ascii="Times New Roman" w:hAnsi="Times New Roman"/>
        </w:rPr>
        <w:t>meetings</w:t>
      </w:r>
      <w:r w:rsidRPr="00DC7D58">
        <w:rPr>
          <w:rFonts w:ascii="Times New Roman" w:hAnsi="Times New Roman"/>
        </w:rPr>
        <w:t>. Visitors to the OGE website are provided with the opportunity to contact OGE with comments or suggestions. Furthermore, the public can always use OGE’s inbox at contactoge@oge.gov to send concerns, and ethics officials can contact their Desk Officer to accomplish the same.</w:t>
      </w:r>
    </w:p>
    <w:p w:rsidR="00441090" w:rsidP="00A55C95" w14:paraId="79982ACD" w14:textId="55978926">
      <w:pPr>
        <w:widowControl/>
        <w:spacing w:after="240" w:line="276" w:lineRule="auto"/>
        <w:ind w:firstLine="720"/>
        <w:rPr>
          <w:rFonts w:ascii="Times New Roman" w:hAnsi="Times New Roman"/>
        </w:rPr>
      </w:pPr>
      <w:r w:rsidRPr="00441090">
        <w:rPr>
          <w:rFonts w:ascii="Times New Roman" w:hAnsi="Times New Roman"/>
          <w:b/>
          <w:bCs/>
        </w:rPr>
        <w:t>9</w:t>
      </w:r>
      <w:r w:rsidRPr="00441090" w:rsidR="00114418">
        <w:rPr>
          <w:rFonts w:ascii="Times New Roman" w:hAnsi="Times New Roman"/>
          <w:b/>
          <w:bCs/>
        </w:rPr>
        <w:t>. Explain</w:t>
      </w:r>
      <w:r w:rsidRPr="00441090">
        <w:rPr>
          <w:rFonts w:ascii="Times New Roman" w:hAnsi="Times New Roman"/>
          <w:b/>
          <w:bCs/>
        </w:rPr>
        <w:t xml:space="preserve"> any decision to provide any payment or gift to respondents, other than remuneration of contractors or grantees.</w:t>
      </w:r>
      <w:r w:rsidRPr="001063CF" w:rsidR="009B5B16">
        <w:rPr>
          <w:rFonts w:ascii="Times New Roman" w:hAnsi="Times New Roman"/>
        </w:rPr>
        <w:t xml:space="preserve"> </w:t>
      </w:r>
    </w:p>
    <w:p w:rsidR="009B5B16" w:rsidP="00A55C95" w14:paraId="5DAEE864" w14:textId="77777777">
      <w:pPr>
        <w:widowControl/>
        <w:spacing w:after="240" w:line="276" w:lineRule="auto"/>
        <w:ind w:firstLine="720"/>
        <w:rPr>
          <w:rFonts w:ascii="Times New Roman" w:hAnsi="Times New Roman"/>
        </w:rPr>
      </w:pPr>
      <w:r w:rsidRPr="001063CF">
        <w:rPr>
          <w:rFonts w:ascii="Times New Roman" w:hAnsi="Times New Roman"/>
        </w:rPr>
        <w:t>Not applicable.</w:t>
      </w:r>
    </w:p>
    <w:p w:rsidR="00441090" w:rsidP="00A55C95" w14:paraId="1A163027" w14:textId="31AD5558">
      <w:pPr>
        <w:widowControl/>
        <w:spacing w:after="240" w:line="276" w:lineRule="auto"/>
        <w:ind w:firstLine="720"/>
        <w:rPr>
          <w:rFonts w:ascii="Times New Roman" w:hAnsi="Times New Roman"/>
          <w:b/>
          <w:bCs/>
        </w:rPr>
      </w:pPr>
      <w:r w:rsidRPr="00441090">
        <w:rPr>
          <w:rFonts w:ascii="Times New Roman" w:hAnsi="Times New Roman"/>
          <w:b/>
          <w:bCs/>
        </w:rPr>
        <w:t>10</w:t>
      </w:r>
      <w:r w:rsidRPr="00441090" w:rsidR="00CF42AB">
        <w:rPr>
          <w:rFonts w:ascii="Times New Roman" w:hAnsi="Times New Roman"/>
          <w:b/>
          <w:bCs/>
        </w:rPr>
        <w:t>. Describe</w:t>
      </w:r>
      <w:r w:rsidRPr="00441090">
        <w:rPr>
          <w:rFonts w:ascii="Times New Roman" w:hAnsi="Times New Roman"/>
          <w:b/>
          <w:bCs/>
        </w:rPr>
        <w:t xml:space="preserve"> any assurance of confidentiality provided to respondents and the basis for the assurance in statute, regulation, or agency policy.</w:t>
      </w:r>
    </w:p>
    <w:p w:rsidR="009B5B16" w:rsidP="00A55C95" w14:paraId="60420A41" w14:textId="63562DF0">
      <w:pPr>
        <w:widowControl/>
        <w:spacing w:after="240" w:line="276" w:lineRule="auto"/>
        <w:ind w:firstLine="720"/>
        <w:rPr>
          <w:rFonts w:ascii="Times New Roman" w:hAnsi="Times New Roman"/>
        </w:rPr>
      </w:pPr>
      <w:r>
        <w:rPr>
          <w:rFonts w:ascii="Times New Roman" w:hAnsi="Times New Roman"/>
        </w:rPr>
        <w:t>No</w:t>
      </w:r>
      <w:r w:rsidR="00E764CF">
        <w:rPr>
          <w:rFonts w:ascii="Times New Roman" w:hAnsi="Times New Roman"/>
        </w:rPr>
        <w:t xml:space="preserve"> assurances of confidentiality have been provided</w:t>
      </w:r>
      <w:r>
        <w:rPr>
          <w:rFonts w:ascii="Times New Roman" w:hAnsi="Times New Roman"/>
        </w:rPr>
        <w:t xml:space="preserve">. </w:t>
      </w:r>
      <w:r w:rsidR="00C9344E">
        <w:rPr>
          <w:rFonts w:ascii="Times New Roman" w:hAnsi="Times New Roman"/>
        </w:rPr>
        <w:t xml:space="preserve">Note that the information collected from </w:t>
      </w:r>
      <w:r w:rsidR="00E764CF">
        <w:rPr>
          <w:rFonts w:ascii="Times New Roman" w:hAnsi="Times New Roman"/>
        </w:rPr>
        <w:t xml:space="preserve">beneficiaries, trustees and other representatives, donors, and payees is Privacy Act-protected and covered by </w:t>
      </w:r>
      <w:r w:rsidR="00C12001">
        <w:rPr>
          <w:rFonts w:ascii="Times New Roman" w:hAnsi="Times New Roman"/>
        </w:rPr>
        <w:t>a government-wide</w:t>
      </w:r>
      <w:r w:rsidR="00E764CF">
        <w:rPr>
          <w:rFonts w:ascii="Times New Roman" w:hAnsi="Times New Roman"/>
        </w:rPr>
        <w:t xml:space="preserve"> system of records designated OGE/GOVT-3, </w:t>
      </w:r>
      <w:r w:rsidRPr="00E764CF" w:rsidR="00E764CF">
        <w:rPr>
          <w:rFonts w:ascii="Times New Roman" w:hAnsi="Times New Roman"/>
        </w:rPr>
        <w:t>OGE Legal Expense Fund Trust Documents, Reports, and Other Name-Retrieved Records</w:t>
      </w:r>
      <w:r w:rsidR="00E764CF">
        <w:rPr>
          <w:rFonts w:ascii="Times New Roman" w:hAnsi="Times New Roman"/>
        </w:rPr>
        <w:t xml:space="preserve">. Accordingly, OGE has placed Privacy Act statements on </w:t>
      </w:r>
      <w:r w:rsidR="00160823">
        <w:rPr>
          <w:rFonts w:ascii="Times New Roman" w:hAnsi="Times New Roman"/>
        </w:rPr>
        <w:t>i</w:t>
      </w:r>
      <w:r w:rsidR="009B2D69">
        <w:rPr>
          <w:rFonts w:ascii="Times New Roman" w:hAnsi="Times New Roman"/>
        </w:rPr>
        <w:t xml:space="preserve">nstruments </w:t>
      </w:r>
      <w:r w:rsidR="00E764CF">
        <w:rPr>
          <w:rFonts w:ascii="Times New Roman" w:hAnsi="Times New Roman"/>
        </w:rPr>
        <w:t xml:space="preserve">1 and 2 and required in </w:t>
      </w:r>
      <w:r w:rsidR="00160823">
        <w:rPr>
          <w:rFonts w:ascii="Times New Roman" w:hAnsi="Times New Roman"/>
        </w:rPr>
        <w:t>i</w:t>
      </w:r>
      <w:r w:rsidR="009B2D69">
        <w:rPr>
          <w:rFonts w:ascii="Times New Roman" w:hAnsi="Times New Roman"/>
        </w:rPr>
        <w:t xml:space="preserve">nstrument </w:t>
      </w:r>
      <w:r w:rsidR="00E764CF">
        <w:rPr>
          <w:rFonts w:ascii="Times New Roman" w:hAnsi="Times New Roman"/>
        </w:rPr>
        <w:t xml:space="preserve">3 that trustees give donors and payees a separate Privacy Act statement, </w:t>
      </w:r>
      <w:r w:rsidRPr="0017100C" w:rsidR="00E764CF">
        <w:rPr>
          <w:rFonts w:ascii="Times New Roman" w:hAnsi="Times New Roman"/>
        </w:rPr>
        <w:t xml:space="preserve">which is </w:t>
      </w:r>
      <w:r w:rsidR="00F60C42">
        <w:rPr>
          <w:rFonts w:ascii="Times New Roman" w:hAnsi="Times New Roman"/>
        </w:rPr>
        <w:t xml:space="preserve">attached to </w:t>
      </w:r>
      <w:r w:rsidR="00160823">
        <w:rPr>
          <w:rFonts w:ascii="Times New Roman" w:hAnsi="Times New Roman"/>
        </w:rPr>
        <w:t>i</w:t>
      </w:r>
      <w:r w:rsidR="009B2D69">
        <w:rPr>
          <w:rFonts w:ascii="Times New Roman" w:hAnsi="Times New Roman"/>
        </w:rPr>
        <w:t xml:space="preserve">nstrument </w:t>
      </w:r>
      <w:r w:rsidR="00B17283">
        <w:rPr>
          <w:rFonts w:ascii="Times New Roman" w:hAnsi="Times New Roman"/>
        </w:rPr>
        <w:t>3</w:t>
      </w:r>
      <w:r w:rsidR="00AF4A33">
        <w:rPr>
          <w:rFonts w:ascii="Times New Roman" w:hAnsi="Times New Roman"/>
        </w:rPr>
        <w:t xml:space="preserve"> as an appendix</w:t>
      </w:r>
      <w:r w:rsidR="00B17283">
        <w:rPr>
          <w:rFonts w:ascii="Times New Roman" w:hAnsi="Times New Roman"/>
        </w:rPr>
        <w:t>.</w:t>
      </w:r>
      <w:r>
        <w:rPr>
          <w:rStyle w:val="FootnoteReference"/>
          <w:rFonts w:ascii="Times New Roman" w:hAnsi="Times New Roman"/>
        </w:rPr>
        <w:footnoteReference w:id="2"/>
      </w:r>
      <w:r w:rsidR="00E764CF">
        <w:rPr>
          <w:rFonts w:ascii="Times New Roman" w:hAnsi="Times New Roman"/>
        </w:rPr>
        <w:t xml:space="preserve"> </w:t>
      </w:r>
    </w:p>
    <w:p w:rsidR="0070745D" w:rsidP="00A55C95" w14:paraId="60904165" w14:textId="15278592">
      <w:pPr>
        <w:widowControl/>
        <w:spacing w:after="240" w:line="276" w:lineRule="auto"/>
        <w:ind w:firstLine="720"/>
        <w:rPr>
          <w:rFonts w:ascii="Times New Roman" w:hAnsi="Times New Roman"/>
          <w:b/>
          <w:bCs/>
        </w:rPr>
      </w:pPr>
      <w:r w:rsidRPr="0070745D">
        <w:rPr>
          <w:rFonts w:ascii="Times New Roman" w:hAnsi="Times New Roman"/>
          <w:b/>
          <w:bCs/>
        </w:rPr>
        <w:t>11. Provide additional justification for any questions of a sensitive nature, such as sexual behavior and attitudes, religious beliefs, and other matters that are commonly considered private.</w:t>
      </w:r>
    </w:p>
    <w:p w:rsidR="008E2980" w:rsidRPr="001063CF" w:rsidP="00A55C95" w14:paraId="19299B1B" w14:textId="77777777">
      <w:pPr>
        <w:widowControl/>
        <w:spacing w:after="240" w:line="276" w:lineRule="auto"/>
        <w:ind w:firstLine="720"/>
        <w:rPr>
          <w:rFonts w:ascii="Times New Roman" w:hAnsi="Times New Roman"/>
        </w:rPr>
      </w:pPr>
      <w:r w:rsidRPr="001063CF">
        <w:rPr>
          <w:rFonts w:ascii="Times New Roman" w:hAnsi="Times New Roman"/>
        </w:rPr>
        <w:t xml:space="preserve">There are no sensitive questions </w:t>
      </w:r>
      <w:r w:rsidR="00AC50B3">
        <w:rPr>
          <w:rFonts w:ascii="Times New Roman" w:hAnsi="Times New Roman"/>
        </w:rPr>
        <w:t>in this information collection</w:t>
      </w:r>
      <w:r w:rsidRPr="001063CF">
        <w:rPr>
          <w:rFonts w:ascii="Times New Roman" w:hAnsi="Times New Roman"/>
        </w:rPr>
        <w:t xml:space="preserve">. </w:t>
      </w:r>
      <w:r w:rsidR="0070745D">
        <w:rPr>
          <w:rFonts w:ascii="Times New Roman" w:hAnsi="Times New Roman"/>
        </w:rPr>
        <w:t>All of</w:t>
      </w:r>
      <w:r w:rsidR="0070745D">
        <w:rPr>
          <w:rFonts w:ascii="Times New Roman" w:hAnsi="Times New Roman"/>
        </w:rPr>
        <w:t xml:space="preserve"> the information</w:t>
      </w:r>
      <w:r w:rsidRPr="001063CF" w:rsidR="0070745D">
        <w:rPr>
          <w:rFonts w:ascii="Times New Roman" w:hAnsi="Times New Roman"/>
        </w:rPr>
        <w:t xml:space="preserve"> is mandated by OGE regulation and is necessary for proper reporting and review of </w:t>
      </w:r>
      <w:r w:rsidR="00AC50B3">
        <w:rPr>
          <w:rFonts w:ascii="Times New Roman" w:hAnsi="Times New Roman"/>
        </w:rPr>
        <w:t>legal expense funds</w:t>
      </w:r>
      <w:r w:rsidRPr="001063CF" w:rsidR="0070745D">
        <w:rPr>
          <w:rFonts w:ascii="Times New Roman" w:hAnsi="Times New Roman"/>
        </w:rPr>
        <w:t>.</w:t>
      </w:r>
    </w:p>
    <w:p w:rsidR="00713687" w:rsidP="007042E1" w14:paraId="6C30255C" w14:textId="77777777">
      <w:pPr>
        <w:widowControl/>
        <w:spacing w:after="240" w:line="276" w:lineRule="auto"/>
        <w:ind w:firstLine="720"/>
        <w:rPr>
          <w:rFonts w:ascii="Times New Roman" w:hAnsi="Times New Roman"/>
          <w:b/>
          <w:bCs/>
        </w:rPr>
      </w:pPr>
      <w:r w:rsidRPr="00713687">
        <w:rPr>
          <w:rFonts w:ascii="Times New Roman" w:hAnsi="Times New Roman"/>
          <w:b/>
          <w:bCs/>
        </w:rPr>
        <w:t>12.</w:t>
      </w:r>
      <w:r w:rsidR="007042E1">
        <w:rPr>
          <w:rFonts w:ascii="Times New Roman" w:hAnsi="Times New Roman"/>
          <w:b/>
          <w:bCs/>
        </w:rPr>
        <w:t>-13.</w:t>
      </w:r>
      <w:r w:rsidRPr="00713687">
        <w:rPr>
          <w:rFonts w:ascii="Times New Roman" w:hAnsi="Times New Roman"/>
          <w:b/>
          <w:bCs/>
        </w:rPr>
        <w:t xml:space="preserve">  Provide estimates of the hour burden of the collection of information.</w:t>
      </w:r>
      <w:r w:rsidR="007042E1">
        <w:rPr>
          <w:rFonts w:ascii="Times New Roman" w:hAnsi="Times New Roman"/>
          <w:b/>
          <w:bCs/>
        </w:rPr>
        <w:t xml:space="preserve"> </w:t>
      </w:r>
      <w:r w:rsidRPr="007042E1" w:rsidR="007042E1">
        <w:rPr>
          <w:rFonts w:ascii="Times New Roman" w:hAnsi="Times New Roman"/>
          <w:b/>
          <w:bCs/>
        </w:rPr>
        <w:t>Provide an estimate for the total annual cost burden to respondents or record-keepers resulting from the collection of information.</w:t>
      </w:r>
    </w:p>
    <w:p w:rsidR="00094572" w:rsidP="007042E1" w14:paraId="796A8F04" w14:textId="68E087CD">
      <w:pPr>
        <w:widowControl/>
        <w:spacing w:after="240" w:line="276" w:lineRule="auto"/>
        <w:ind w:firstLine="720"/>
        <w:rPr>
          <w:rFonts w:ascii="Times New Roman" w:hAnsi="Times New Roman"/>
          <w:b/>
          <w:bCs/>
        </w:rPr>
      </w:pPr>
      <w:r>
        <w:rPr>
          <w:rFonts w:ascii="Times New Roman" w:hAnsi="Times New Roman"/>
        </w:rPr>
        <w:t xml:space="preserve">The estimated burden for each document is provided </w:t>
      </w:r>
      <w:r>
        <w:rPr>
          <w:rFonts w:ascii="Times New Roman" w:hAnsi="Times New Roman"/>
        </w:rPr>
        <w:t>in</w:t>
      </w:r>
      <w:r>
        <w:rPr>
          <w:rFonts w:ascii="Times New Roman" w:hAnsi="Times New Roman"/>
        </w:rPr>
        <w:t xml:space="preserve"> the table below. </w:t>
      </w:r>
      <w:r w:rsidRPr="00AC50B3">
        <w:rPr>
          <w:rFonts w:ascii="Times New Roman" w:hAnsi="Times New Roman"/>
        </w:rPr>
        <w:t>These estimates are based in part on OGE’s knowledge of several legal expense funds that have been established for Executive branch employees, as well as OGE’s consultation with the U.S. House of Representatives and the U.S. Senate regarding the legal expense funds that they oversee</w:t>
      </w:r>
      <w:r>
        <w:rPr>
          <w:rFonts w:ascii="Times New Roman" w:hAnsi="Times New Roman"/>
        </w:rPr>
        <w:t>.</w:t>
      </w:r>
    </w:p>
    <w:tbl>
      <w:tblPr>
        <w:tblpPr w:leftFromText="180" w:rightFromText="180" w:vertAnchor="text" w:horzAnchor="margin" w:tblpX="-95" w:tblpY="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0"/>
        <w:gridCol w:w="2220"/>
        <w:gridCol w:w="2245"/>
        <w:gridCol w:w="1900"/>
      </w:tblGrid>
      <w:tr w14:paraId="571BFAD3" w14:textId="77777777" w:rsidTr="00307BD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60" w:type="dxa"/>
          </w:tcPr>
          <w:p w:rsidR="00CB516C" w:rsidRPr="00CD49D5" w:rsidP="00AD0C11" w14:paraId="33A597B3" w14:textId="62F5C2A9">
            <w:pPr>
              <w:widowControl/>
              <w:spacing w:after="240" w:line="276" w:lineRule="auto"/>
              <w:rPr>
                <w:rFonts w:ascii="Times New Roman" w:hAnsi="Times New Roman"/>
              </w:rPr>
            </w:pPr>
            <w:r w:rsidRPr="00CD49D5">
              <w:rPr>
                <w:rFonts w:ascii="Times New Roman" w:hAnsi="Times New Roman"/>
              </w:rPr>
              <w:t>Instrument</w:t>
            </w:r>
          </w:p>
        </w:tc>
        <w:tc>
          <w:tcPr>
            <w:tcW w:w="2220" w:type="dxa"/>
          </w:tcPr>
          <w:p w:rsidR="00CB516C" w:rsidRPr="00CD49D5" w:rsidP="00AD0C11" w14:paraId="72B96D44" w14:textId="77777777">
            <w:pPr>
              <w:widowControl/>
              <w:spacing w:after="240" w:line="276" w:lineRule="auto"/>
              <w:rPr>
                <w:rFonts w:ascii="Times New Roman" w:hAnsi="Times New Roman"/>
              </w:rPr>
            </w:pPr>
            <w:r w:rsidRPr="00CD49D5">
              <w:rPr>
                <w:rFonts w:ascii="Times New Roman" w:hAnsi="Times New Roman"/>
              </w:rPr>
              <w:t>Time per Response</w:t>
            </w:r>
          </w:p>
        </w:tc>
        <w:tc>
          <w:tcPr>
            <w:tcW w:w="2245" w:type="dxa"/>
          </w:tcPr>
          <w:p w:rsidR="00CB516C" w:rsidRPr="00CD49D5" w:rsidP="00AD0C11" w14:paraId="4EA1AF3B" w14:textId="77777777">
            <w:pPr>
              <w:widowControl/>
              <w:spacing w:after="240" w:line="276" w:lineRule="auto"/>
              <w:rPr>
                <w:rFonts w:ascii="Times New Roman" w:hAnsi="Times New Roman"/>
              </w:rPr>
            </w:pPr>
            <w:r w:rsidRPr="00CD49D5">
              <w:rPr>
                <w:rFonts w:ascii="Times New Roman" w:hAnsi="Times New Roman"/>
              </w:rPr>
              <w:t>Number of Annual Responses</w:t>
            </w:r>
          </w:p>
        </w:tc>
        <w:tc>
          <w:tcPr>
            <w:tcW w:w="1900" w:type="dxa"/>
          </w:tcPr>
          <w:p w:rsidR="00CB516C" w:rsidRPr="00CD49D5" w:rsidP="00AD0C11" w14:paraId="2BCC4912" w14:textId="77777777">
            <w:pPr>
              <w:widowControl/>
              <w:spacing w:after="240" w:line="276" w:lineRule="auto"/>
              <w:rPr>
                <w:rFonts w:ascii="Times New Roman" w:hAnsi="Times New Roman"/>
              </w:rPr>
            </w:pPr>
            <w:r w:rsidRPr="00CD49D5">
              <w:rPr>
                <w:rFonts w:ascii="Times New Roman" w:hAnsi="Times New Roman"/>
              </w:rPr>
              <w:t>Total Burden</w:t>
            </w:r>
          </w:p>
        </w:tc>
      </w:tr>
      <w:tr w14:paraId="6FCC9D1D" w14:textId="77777777" w:rsidTr="00307BD1">
        <w:tblPrEx>
          <w:tblW w:w="0" w:type="auto"/>
          <w:tblLook w:val="04A0"/>
        </w:tblPrEx>
        <w:tc>
          <w:tcPr>
            <w:tcW w:w="2360" w:type="dxa"/>
          </w:tcPr>
          <w:p w:rsidR="00CB516C" w:rsidRPr="00CD49D5" w:rsidP="00AD0C11" w14:paraId="67724ED6" w14:textId="5D37F4B2">
            <w:pPr>
              <w:widowControl/>
              <w:spacing w:after="240" w:line="276" w:lineRule="auto"/>
              <w:rPr>
                <w:rFonts w:ascii="Times New Roman" w:hAnsi="Times New Roman"/>
              </w:rPr>
            </w:pPr>
            <w:r w:rsidRPr="00CD49D5">
              <w:rPr>
                <w:rFonts w:ascii="Times New Roman" w:hAnsi="Times New Roman"/>
              </w:rPr>
              <w:t>Trust Document (</w:t>
            </w:r>
            <w:r w:rsidR="00160823">
              <w:rPr>
                <w:rFonts w:ascii="Times New Roman" w:hAnsi="Times New Roman"/>
              </w:rPr>
              <w:t>I</w:t>
            </w:r>
            <w:r w:rsidRPr="00CD49D5">
              <w:rPr>
                <w:rFonts w:ascii="Times New Roman" w:hAnsi="Times New Roman"/>
              </w:rPr>
              <w:t>nstrument 1)</w:t>
            </w:r>
          </w:p>
        </w:tc>
        <w:tc>
          <w:tcPr>
            <w:tcW w:w="2220" w:type="dxa"/>
          </w:tcPr>
          <w:p w:rsidR="00CB516C" w:rsidRPr="00CD49D5" w:rsidP="00AD0C11" w14:paraId="27474DF2" w14:textId="77777777">
            <w:pPr>
              <w:widowControl/>
              <w:spacing w:after="240" w:line="276" w:lineRule="auto"/>
              <w:rPr>
                <w:rFonts w:ascii="Times New Roman" w:hAnsi="Times New Roman"/>
              </w:rPr>
            </w:pPr>
            <w:r w:rsidRPr="00CD49D5">
              <w:rPr>
                <w:rFonts w:ascii="Times New Roman" w:hAnsi="Times New Roman"/>
              </w:rPr>
              <w:t>20 hours</w:t>
            </w:r>
          </w:p>
        </w:tc>
        <w:tc>
          <w:tcPr>
            <w:tcW w:w="2245" w:type="dxa"/>
          </w:tcPr>
          <w:p w:rsidR="00CB516C" w:rsidRPr="00CD49D5" w:rsidP="00AD0C11" w14:paraId="75860D76" w14:textId="77777777">
            <w:pPr>
              <w:widowControl/>
              <w:spacing w:after="240" w:line="276" w:lineRule="auto"/>
              <w:rPr>
                <w:rFonts w:ascii="Times New Roman" w:hAnsi="Times New Roman"/>
              </w:rPr>
            </w:pPr>
            <w:r w:rsidRPr="00CD49D5">
              <w:rPr>
                <w:rFonts w:ascii="Times New Roman" w:hAnsi="Times New Roman"/>
              </w:rPr>
              <w:t>3</w:t>
            </w:r>
          </w:p>
        </w:tc>
        <w:tc>
          <w:tcPr>
            <w:tcW w:w="1900" w:type="dxa"/>
          </w:tcPr>
          <w:p w:rsidR="00CB516C" w:rsidRPr="00CD49D5" w:rsidP="00AD0C11" w14:paraId="32BF4BD3" w14:textId="77777777">
            <w:pPr>
              <w:widowControl/>
              <w:spacing w:after="240" w:line="276" w:lineRule="auto"/>
              <w:rPr>
                <w:rFonts w:ascii="Times New Roman" w:hAnsi="Times New Roman"/>
              </w:rPr>
            </w:pPr>
            <w:r w:rsidRPr="00CD49D5">
              <w:rPr>
                <w:rFonts w:ascii="Times New Roman" w:hAnsi="Times New Roman"/>
              </w:rPr>
              <w:t>60 hours</w:t>
            </w:r>
          </w:p>
        </w:tc>
      </w:tr>
      <w:tr w14:paraId="6448BDBB" w14:textId="77777777" w:rsidTr="00307BD1">
        <w:tblPrEx>
          <w:tblW w:w="0" w:type="auto"/>
          <w:tblLook w:val="04A0"/>
        </w:tblPrEx>
        <w:tc>
          <w:tcPr>
            <w:tcW w:w="2360" w:type="dxa"/>
          </w:tcPr>
          <w:p w:rsidR="00CB516C" w:rsidRPr="00CD49D5" w:rsidP="00AD0C11" w14:paraId="17B45BF9" w14:textId="63FF16B0">
            <w:pPr>
              <w:widowControl/>
              <w:spacing w:after="240" w:line="276" w:lineRule="auto"/>
              <w:rPr>
                <w:rFonts w:ascii="Times New Roman" w:hAnsi="Times New Roman"/>
              </w:rPr>
            </w:pPr>
            <w:r w:rsidRPr="00CD49D5">
              <w:rPr>
                <w:rFonts w:ascii="Times New Roman" w:hAnsi="Times New Roman"/>
              </w:rPr>
              <w:t>Quarterly and Termination Reports (</w:t>
            </w:r>
            <w:r w:rsidR="00160823">
              <w:rPr>
                <w:rFonts w:ascii="Times New Roman" w:hAnsi="Times New Roman"/>
              </w:rPr>
              <w:t>I</w:t>
            </w:r>
            <w:r w:rsidRPr="00CD49D5">
              <w:rPr>
                <w:rFonts w:ascii="Times New Roman" w:hAnsi="Times New Roman"/>
              </w:rPr>
              <w:t xml:space="preserve">nstrument 2) </w:t>
            </w:r>
          </w:p>
        </w:tc>
        <w:tc>
          <w:tcPr>
            <w:tcW w:w="2220" w:type="dxa"/>
          </w:tcPr>
          <w:p w:rsidR="00CB516C" w:rsidRPr="00CD49D5" w:rsidP="00AD0C11" w14:paraId="7D390B70" w14:textId="77777777">
            <w:pPr>
              <w:widowControl/>
              <w:spacing w:after="240" w:line="276" w:lineRule="auto"/>
              <w:rPr>
                <w:rFonts w:ascii="Times New Roman" w:hAnsi="Times New Roman"/>
              </w:rPr>
            </w:pPr>
            <w:r w:rsidRPr="00CD49D5">
              <w:rPr>
                <w:rFonts w:ascii="Times New Roman" w:hAnsi="Times New Roman"/>
              </w:rPr>
              <w:t>2 hours</w:t>
            </w:r>
          </w:p>
        </w:tc>
        <w:tc>
          <w:tcPr>
            <w:tcW w:w="2245" w:type="dxa"/>
          </w:tcPr>
          <w:p w:rsidR="00CB516C" w:rsidRPr="00CD49D5" w:rsidP="00AD0C11" w14:paraId="1078B96F" w14:textId="77777777">
            <w:pPr>
              <w:widowControl/>
              <w:spacing w:after="240" w:line="276" w:lineRule="auto"/>
              <w:rPr>
                <w:rFonts w:ascii="Times New Roman" w:hAnsi="Times New Roman"/>
              </w:rPr>
            </w:pPr>
            <w:r w:rsidRPr="00CD49D5">
              <w:rPr>
                <w:rFonts w:ascii="Times New Roman" w:hAnsi="Times New Roman"/>
              </w:rPr>
              <w:t>20</w:t>
            </w:r>
          </w:p>
        </w:tc>
        <w:tc>
          <w:tcPr>
            <w:tcW w:w="1900" w:type="dxa"/>
          </w:tcPr>
          <w:p w:rsidR="00CB516C" w:rsidRPr="00CD49D5" w:rsidP="00AD0C11" w14:paraId="026E809D" w14:textId="77777777">
            <w:pPr>
              <w:widowControl/>
              <w:spacing w:after="240" w:line="276" w:lineRule="auto"/>
              <w:rPr>
                <w:rFonts w:ascii="Times New Roman" w:hAnsi="Times New Roman"/>
              </w:rPr>
            </w:pPr>
            <w:r w:rsidRPr="00CD49D5">
              <w:rPr>
                <w:rFonts w:ascii="Times New Roman" w:hAnsi="Times New Roman"/>
              </w:rPr>
              <w:t>60 hours</w:t>
            </w:r>
          </w:p>
        </w:tc>
      </w:tr>
      <w:tr w14:paraId="43644B03" w14:textId="77777777" w:rsidTr="00307BD1">
        <w:tblPrEx>
          <w:tblW w:w="0" w:type="auto"/>
          <w:tblLook w:val="04A0"/>
        </w:tblPrEx>
        <w:tc>
          <w:tcPr>
            <w:tcW w:w="2360" w:type="dxa"/>
          </w:tcPr>
          <w:p w:rsidR="00CB516C" w:rsidRPr="00CD49D5" w:rsidP="00AD0C11" w14:paraId="55A39FB4" w14:textId="0C58141B">
            <w:pPr>
              <w:widowControl/>
              <w:spacing w:after="240" w:line="276" w:lineRule="auto"/>
              <w:rPr>
                <w:rFonts w:ascii="Times New Roman" w:hAnsi="Times New Roman"/>
              </w:rPr>
            </w:pPr>
            <w:r w:rsidRPr="00CD49D5">
              <w:rPr>
                <w:rFonts w:ascii="Times New Roman" w:hAnsi="Times New Roman"/>
              </w:rPr>
              <w:t>Donor and payee burden (</w:t>
            </w:r>
            <w:r w:rsidR="00160823">
              <w:rPr>
                <w:rFonts w:ascii="Times New Roman" w:hAnsi="Times New Roman"/>
              </w:rPr>
              <w:t>I</w:t>
            </w:r>
            <w:r w:rsidRPr="00CD49D5">
              <w:rPr>
                <w:rFonts w:ascii="Times New Roman" w:hAnsi="Times New Roman"/>
              </w:rPr>
              <w:t>nstrument</w:t>
            </w:r>
            <w:r>
              <w:rPr>
                <w:rFonts w:ascii="Times New Roman" w:hAnsi="Times New Roman"/>
              </w:rPr>
              <w:t xml:space="preserve"> 3</w:t>
            </w:r>
            <w:r w:rsidRPr="00CD49D5">
              <w:rPr>
                <w:rFonts w:ascii="Times New Roman" w:hAnsi="Times New Roman"/>
              </w:rPr>
              <w:t>)</w:t>
            </w:r>
          </w:p>
        </w:tc>
        <w:tc>
          <w:tcPr>
            <w:tcW w:w="2220" w:type="dxa"/>
          </w:tcPr>
          <w:p w:rsidR="00CB516C" w:rsidRPr="00CD49D5" w:rsidP="00AD0C11" w14:paraId="01329509" w14:textId="77777777">
            <w:pPr>
              <w:widowControl/>
              <w:spacing w:after="240" w:line="276" w:lineRule="auto"/>
              <w:rPr>
                <w:rFonts w:ascii="Times New Roman" w:hAnsi="Times New Roman"/>
              </w:rPr>
            </w:pPr>
            <w:r w:rsidRPr="00CD49D5">
              <w:rPr>
                <w:rFonts w:ascii="Times New Roman" w:hAnsi="Times New Roman"/>
              </w:rPr>
              <w:t>5 minutes</w:t>
            </w:r>
          </w:p>
        </w:tc>
        <w:tc>
          <w:tcPr>
            <w:tcW w:w="2245" w:type="dxa"/>
          </w:tcPr>
          <w:p w:rsidR="00CB516C" w:rsidRPr="00CD49D5" w:rsidP="00AD0C11" w14:paraId="0C8C292E" w14:textId="77777777">
            <w:pPr>
              <w:widowControl/>
              <w:spacing w:after="240" w:line="276" w:lineRule="auto"/>
              <w:rPr>
                <w:rFonts w:ascii="Times New Roman" w:hAnsi="Times New Roman"/>
              </w:rPr>
            </w:pPr>
            <w:r w:rsidRPr="00CD49D5">
              <w:rPr>
                <w:rFonts w:ascii="Times New Roman" w:hAnsi="Times New Roman"/>
              </w:rPr>
              <w:t>110</w:t>
            </w:r>
          </w:p>
        </w:tc>
        <w:tc>
          <w:tcPr>
            <w:tcW w:w="1900" w:type="dxa"/>
          </w:tcPr>
          <w:p w:rsidR="00CB516C" w:rsidRPr="00CD49D5" w:rsidP="00AD0C11" w14:paraId="781471F2" w14:textId="77777777">
            <w:pPr>
              <w:widowControl/>
              <w:spacing w:after="240" w:line="276" w:lineRule="auto"/>
              <w:rPr>
                <w:rFonts w:ascii="Times New Roman" w:hAnsi="Times New Roman"/>
              </w:rPr>
            </w:pPr>
            <w:r w:rsidRPr="00CD49D5">
              <w:rPr>
                <w:rFonts w:ascii="Times New Roman" w:hAnsi="Times New Roman"/>
              </w:rPr>
              <w:t>9.2 hours</w:t>
            </w:r>
          </w:p>
        </w:tc>
      </w:tr>
      <w:tr w14:paraId="00800860" w14:textId="77777777" w:rsidTr="00307BD1">
        <w:tblPrEx>
          <w:tblW w:w="0" w:type="auto"/>
          <w:tblLook w:val="04A0"/>
        </w:tblPrEx>
        <w:tc>
          <w:tcPr>
            <w:tcW w:w="2360" w:type="dxa"/>
            <w:vAlign w:val="bottom"/>
          </w:tcPr>
          <w:p w:rsidR="00CB516C" w:rsidRPr="00CD49D5" w:rsidP="00AD0C11" w14:paraId="799E7825" w14:textId="77777777">
            <w:pPr>
              <w:widowControl/>
              <w:spacing w:after="240" w:line="276" w:lineRule="auto"/>
              <w:ind w:firstLine="720"/>
              <w:rPr>
                <w:rFonts w:ascii="Times New Roman" w:hAnsi="Times New Roman"/>
              </w:rPr>
            </w:pPr>
          </w:p>
        </w:tc>
        <w:tc>
          <w:tcPr>
            <w:tcW w:w="2220" w:type="dxa"/>
          </w:tcPr>
          <w:p w:rsidR="00CB516C" w:rsidRPr="00CD49D5" w:rsidP="00AD0C11" w14:paraId="4F741D46" w14:textId="77777777">
            <w:pPr>
              <w:widowControl/>
              <w:spacing w:after="240" w:line="276" w:lineRule="auto"/>
              <w:ind w:firstLine="720"/>
              <w:rPr>
                <w:rFonts w:ascii="Times New Roman" w:hAnsi="Times New Roman"/>
              </w:rPr>
            </w:pPr>
          </w:p>
        </w:tc>
        <w:tc>
          <w:tcPr>
            <w:tcW w:w="2245" w:type="dxa"/>
          </w:tcPr>
          <w:p w:rsidR="00CB516C" w:rsidRPr="00CD49D5" w:rsidP="00AD0C11" w14:paraId="3493EDC2" w14:textId="77777777">
            <w:pPr>
              <w:widowControl/>
              <w:spacing w:after="240" w:line="276" w:lineRule="auto"/>
              <w:rPr>
                <w:rFonts w:ascii="Times New Roman" w:hAnsi="Times New Roman"/>
              </w:rPr>
            </w:pPr>
            <w:r w:rsidRPr="00CD49D5">
              <w:rPr>
                <w:rFonts w:ascii="Times New Roman" w:hAnsi="Times New Roman"/>
              </w:rPr>
              <w:t>Total</w:t>
            </w:r>
          </w:p>
        </w:tc>
        <w:tc>
          <w:tcPr>
            <w:tcW w:w="1900" w:type="dxa"/>
            <w:vAlign w:val="bottom"/>
          </w:tcPr>
          <w:p w:rsidR="00CB516C" w:rsidRPr="00CD49D5" w:rsidP="00AD0C11" w14:paraId="2A14F176" w14:textId="77777777">
            <w:pPr>
              <w:widowControl/>
              <w:spacing w:after="240" w:line="276" w:lineRule="auto"/>
              <w:rPr>
                <w:rFonts w:ascii="Times New Roman" w:hAnsi="Times New Roman"/>
              </w:rPr>
            </w:pPr>
            <w:r w:rsidRPr="00CD49D5">
              <w:rPr>
                <w:rFonts w:ascii="Times New Roman" w:hAnsi="Times New Roman"/>
              </w:rPr>
              <w:t>129 hours</w:t>
            </w:r>
            <w:r>
              <w:rPr>
                <w:rFonts w:ascii="Times New Roman" w:hAnsi="Times New Roman"/>
              </w:rPr>
              <w:t xml:space="preserve"> (rounded)</w:t>
            </w:r>
          </w:p>
        </w:tc>
      </w:tr>
    </w:tbl>
    <w:p w:rsidR="00094572" w:rsidP="00307BD1" w14:paraId="2BB3B14D" w14:textId="77777777">
      <w:pPr>
        <w:widowControl/>
        <w:spacing w:after="240" w:line="276" w:lineRule="auto"/>
        <w:rPr>
          <w:rFonts w:ascii="Times New Roman" w:hAnsi="Times New Roman"/>
        </w:rPr>
      </w:pPr>
    </w:p>
    <w:p w:rsidR="00AD0C11" w:rsidP="007042E1" w14:paraId="0576F8F6" w14:textId="77777777">
      <w:pPr>
        <w:widowControl/>
        <w:spacing w:after="240" w:line="276" w:lineRule="auto"/>
        <w:ind w:firstLine="720"/>
        <w:rPr>
          <w:rFonts w:ascii="Times New Roman" w:hAnsi="Times New Roman"/>
        </w:rPr>
      </w:pPr>
    </w:p>
    <w:p w:rsidR="00AC50B3" w:rsidP="007042E1" w14:paraId="47E40CEC" w14:textId="68B1BB9A">
      <w:pPr>
        <w:widowControl/>
        <w:spacing w:after="240" w:line="276" w:lineRule="auto"/>
        <w:ind w:firstLine="720"/>
        <w:rPr>
          <w:rFonts w:ascii="Times New Roman" w:hAnsi="Times New Roman"/>
        </w:rPr>
      </w:pPr>
      <w:r>
        <w:rPr>
          <w:rFonts w:ascii="Times New Roman" w:hAnsi="Times New Roman"/>
        </w:rPr>
        <w:t xml:space="preserve">The annual cost burden is </w:t>
      </w:r>
      <w:r w:rsidR="005677AA">
        <w:rPr>
          <w:rFonts w:ascii="Times New Roman" w:hAnsi="Times New Roman"/>
        </w:rPr>
        <w:t>$</w:t>
      </w:r>
      <w:r w:rsidR="00986CB0">
        <w:rPr>
          <w:rFonts w:ascii="Times New Roman" w:hAnsi="Times New Roman"/>
        </w:rPr>
        <w:t>43,</w:t>
      </w:r>
      <w:r w:rsidR="00251606">
        <w:rPr>
          <w:rFonts w:ascii="Times New Roman" w:hAnsi="Times New Roman"/>
        </w:rPr>
        <w:t>860.</w:t>
      </w:r>
      <w:r>
        <w:rPr>
          <w:rFonts w:ascii="Times New Roman" w:hAnsi="Times New Roman"/>
        </w:rPr>
        <w:t xml:space="preserve"> This calculation is </w:t>
      </w:r>
      <w:r w:rsidRPr="00341A24">
        <w:rPr>
          <w:rFonts w:ascii="Times New Roman" w:hAnsi="Times New Roman"/>
        </w:rPr>
        <w:t xml:space="preserve">based on the </w:t>
      </w:r>
      <w:r>
        <w:rPr>
          <w:rFonts w:ascii="Times New Roman" w:hAnsi="Times New Roman"/>
        </w:rPr>
        <w:t>fact that</w:t>
      </w:r>
      <w:r>
        <w:rPr>
          <w:rFonts w:ascii="Times New Roman" w:hAnsi="Times New Roman"/>
        </w:rPr>
        <w:t xml:space="preserve"> most of the burden will be </w:t>
      </w:r>
      <w:r w:rsidR="005677AA">
        <w:rPr>
          <w:rFonts w:ascii="Times New Roman" w:hAnsi="Times New Roman"/>
        </w:rPr>
        <w:t>carried by</w:t>
      </w:r>
      <w:r w:rsidRPr="00341A24">
        <w:rPr>
          <w:rFonts w:ascii="Times New Roman" w:hAnsi="Times New Roman"/>
        </w:rPr>
        <w:t xml:space="preserve"> </w:t>
      </w:r>
      <w:r>
        <w:rPr>
          <w:rFonts w:ascii="Times New Roman" w:hAnsi="Times New Roman"/>
        </w:rPr>
        <w:t xml:space="preserve">professional </w:t>
      </w:r>
      <w:r w:rsidRPr="00341A24">
        <w:rPr>
          <w:rFonts w:ascii="Times New Roman" w:hAnsi="Times New Roman"/>
        </w:rPr>
        <w:t>trust</w:t>
      </w:r>
      <w:r>
        <w:rPr>
          <w:rFonts w:ascii="Times New Roman" w:hAnsi="Times New Roman"/>
        </w:rPr>
        <w:t>ees or private representatives</w:t>
      </w:r>
      <w:r w:rsidR="005677AA">
        <w:rPr>
          <w:rFonts w:ascii="Times New Roman" w:hAnsi="Times New Roman"/>
        </w:rPr>
        <w:t xml:space="preserve"> at an estimated cost of approximately $</w:t>
      </w:r>
      <w:r w:rsidRPr="00986CB0" w:rsidR="00986CB0">
        <w:rPr>
          <w:rFonts w:ascii="Times New Roman" w:hAnsi="Times New Roman"/>
        </w:rPr>
        <w:t>340</w:t>
      </w:r>
      <w:r w:rsidR="005677AA">
        <w:rPr>
          <w:rFonts w:ascii="Times New Roman" w:hAnsi="Times New Roman"/>
        </w:rPr>
        <w:t xml:space="preserve"> per hour</w:t>
      </w:r>
      <w:r>
        <w:rPr>
          <w:rFonts w:ascii="Times New Roman" w:hAnsi="Times New Roman"/>
        </w:rPr>
        <w:t>.</w:t>
      </w:r>
    </w:p>
    <w:p w:rsidR="00073024" w:rsidP="00A55C95" w14:paraId="12D08843" w14:textId="77777777">
      <w:pPr>
        <w:widowControl/>
        <w:spacing w:after="240" w:line="276" w:lineRule="auto"/>
        <w:rPr>
          <w:rFonts w:ascii="Times New Roman" w:hAnsi="Times New Roman"/>
        </w:rPr>
      </w:pPr>
      <w:r w:rsidRPr="001063CF">
        <w:rPr>
          <w:rFonts w:ascii="Times New Roman" w:hAnsi="Times New Roman"/>
          <w:b/>
          <w:bCs/>
        </w:rPr>
        <w:tab/>
      </w:r>
      <w:r w:rsidRPr="00073024">
        <w:rPr>
          <w:rFonts w:ascii="Times New Roman" w:hAnsi="Times New Roman"/>
          <w:b/>
        </w:rPr>
        <w:t>14.-15.  Provide estimates of annualized costs to the Federal Government. Explain the reasons for any program changes or adjustments reported on the burden worksheet.</w:t>
      </w:r>
    </w:p>
    <w:p w:rsidR="00616F27" w:rsidP="00073024" w14:paraId="6508339A" w14:textId="4DF18ADD">
      <w:pPr>
        <w:widowControl/>
        <w:spacing w:after="240" w:line="276" w:lineRule="auto"/>
        <w:ind w:firstLine="720"/>
        <w:rPr>
          <w:rFonts w:ascii="Times New Roman" w:hAnsi="Times New Roman"/>
        </w:rPr>
      </w:pPr>
      <w:r>
        <w:rPr>
          <w:rFonts w:ascii="Times New Roman" w:hAnsi="Times New Roman"/>
        </w:rPr>
        <w:t>OGE estimates that this program will cost the Federal Government an average of $</w:t>
      </w:r>
      <w:r w:rsidR="002E5834">
        <w:rPr>
          <w:rFonts w:ascii="Times New Roman" w:hAnsi="Times New Roman"/>
        </w:rPr>
        <w:t>25,107.91</w:t>
      </w:r>
      <w:r>
        <w:rPr>
          <w:rFonts w:ascii="Times New Roman" w:hAnsi="Times New Roman"/>
        </w:rPr>
        <w:t xml:space="preserve"> per year for the next three years. </w:t>
      </w:r>
      <w:r w:rsidR="002E5834">
        <w:rPr>
          <w:rFonts w:ascii="Times New Roman" w:hAnsi="Times New Roman"/>
        </w:rPr>
        <w:t xml:space="preserve">This figure is lower than the $33,677.11 yearly cost over the first three years because that </w:t>
      </w:r>
      <w:r w:rsidR="002E39E9">
        <w:rPr>
          <w:rFonts w:ascii="Times New Roman" w:hAnsi="Times New Roman"/>
        </w:rPr>
        <w:t>estimate</w:t>
      </w:r>
      <w:r w:rsidR="002E5834">
        <w:rPr>
          <w:rFonts w:ascii="Times New Roman" w:hAnsi="Times New Roman"/>
        </w:rPr>
        <w:t xml:space="preserve"> included</w:t>
      </w:r>
      <w:r>
        <w:rPr>
          <w:rFonts w:ascii="Times New Roman" w:hAnsi="Times New Roman"/>
        </w:rPr>
        <w:t xml:space="preserve"> additional costs for starting the </w:t>
      </w:r>
      <w:r>
        <w:rPr>
          <w:rFonts w:ascii="Times New Roman" w:hAnsi="Times New Roman"/>
        </w:rPr>
        <w:t>program</w:t>
      </w:r>
      <w:r>
        <w:rPr>
          <w:rFonts w:ascii="Times New Roman" w:hAnsi="Times New Roman"/>
        </w:rPr>
        <w:t xml:space="preserve"> that </w:t>
      </w:r>
      <w:r w:rsidR="002E5834">
        <w:rPr>
          <w:rFonts w:ascii="Times New Roman" w:hAnsi="Times New Roman"/>
        </w:rPr>
        <w:t>were expected to</w:t>
      </w:r>
      <w:r w:rsidR="00AD0C11">
        <w:rPr>
          <w:rFonts w:ascii="Times New Roman" w:hAnsi="Times New Roman"/>
        </w:rPr>
        <w:t xml:space="preserve"> be incurred</w:t>
      </w:r>
      <w:r w:rsidR="002E5834">
        <w:rPr>
          <w:rFonts w:ascii="Times New Roman" w:hAnsi="Times New Roman"/>
        </w:rPr>
        <w:t xml:space="preserve"> </w:t>
      </w:r>
      <w:r>
        <w:rPr>
          <w:rFonts w:ascii="Times New Roman" w:hAnsi="Times New Roman"/>
        </w:rPr>
        <w:t xml:space="preserve">only in the first year. </w:t>
      </w:r>
    </w:p>
    <w:p w:rsidR="00073024" w:rsidP="00A55C95" w14:paraId="06B07CCE" w14:textId="1EC48556">
      <w:pPr>
        <w:widowControl/>
        <w:spacing w:after="240" w:line="276" w:lineRule="auto"/>
        <w:ind w:firstLine="720"/>
        <w:rPr>
          <w:rFonts w:ascii="Times New Roman" w:hAnsi="Times New Roman"/>
          <w:b/>
          <w:bCs/>
        </w:rPr>
      </w:pPr>
      <w:r w:rsidRPr="00073024">
        <w:rPr>
          <w:rFonts w:ascii="Times New Roman" w:hAnsi="Times New Roman"/>
          <w:b/>
          <w:bCs/>
        </w:rPr>
        <w:t>16</w:t>
      </w:r>
      <w:r w:rsidRPr="00073024" w:rsidR="00114418">
        <w:rPr>
          <w:rFonts w:ascii="Times New Roman" w:hAnsi="Times New Roman"/>
          <w:b/>
          <w:bCs/>
        </w:rPr>
        <w:t>. For</w:t>
      </w:r>
      <w:r w:rsidRPr="00073024">
        <w:rPr>
          <w:rFonts w:ascii="Times New Roman" w:hAnsi="Times New Roman"/>
          <w:b/>
          <w:bCs/>
        </w:rPr>
        <w:t xml:space="preserve"> collections of information whose results will be published, outline plans for tabulation and publication. Address any complex analytical techniques that will be used. </w:t>
      </w:r>
      <w:r w:rsidRPr="00073024">
        <w:rPr>
          <w:rFonts w:ascii="Times New Roman" w:hAnsi="Times New Roman"/>
          <w:b/>
          <w:bCs/>
        </w:rPr>
        <w:t>Provide the time schedule for the entire project, including beginning and ending dates of the collection of information, completion of report, publication dates, and other actions.</w:t>
      </w:r>
    </w:p>
    <w:p w:rsidR="009B5B16" w:rsidRPr="001063CF" w:rsidP="00A55C95" w14:paraId="3BB0A6DB" w14:textId="77777777">
      <w:pPr>
        <w:widowControl/>
        <w:spacing w:after="240" w:line="276" w:lineRule="auto"/>
        <w:ind w:firstLine="720"/>
        <w:rPr>
          <w:rFonts w:ascii="Times New Roman" w:hAnsi="Times New Roman"/>
        </w:rPr>
      </w:pPr>
      <w:r>
        <w:rPr>
          <w:rFonts w:ascii="Times New Roman" w:hAnsi="Times New Roman"/>
        </w:rPr>
        <w:t xml:space="preserve">N/A. </w:t>
      </w:r>
      <w:r w:rsidR="00AC50B3">
        <w:rPr>
          <w:rFonts w:ascii="Times New Roman" w:hAnsi="Times New Roman"/>
        </w:rPr>
        <w:t>While the information will be made public, it will not be analyzed or tabulated</w:t>
      </w:r>
      <w:r w:rsidRPr="001063CF">
        <w:rPr>
          <w:rFonts w:ascii="Times New Roman" w:hAnsi="Times New Roman"/>
        </w:rPr>
        <w:t>.</w:t>
      </w:r>
      <w:r w:rsidR="00AC50B3">
        <w:rPr>
          <w:rFonts w:ascii="Times New Roman" w:hAnsi="Times New Roman"/>
        </w:rPr>
        <w:t xml:space="preserve"> The information collection will be ongoing, as legal expense funds are created, maintained, and eventually terminated.</w:t>
      </w:r>
    </w:p>
    <w:p w:rsidR="00073024" w:rsidP="00A55C95" w14:paraId="02FDE5FF" w14:textId="3C625145">
      <w:pPr>
        <w:widowControl/>
        <w:spacing w:after="240" w:line="276" w:lineRule="auto"/>
        <w:ind w:firstLine="720"/>
        <w:rPr>
          <w:rFonts w:ascii="Times New Roman" w:hAnsi="Times New Roman"/>
          <w:b/>
          <w:bCs/>
        </w:rPr>
      </w:pPr>
      <w:r w:rsidRPr="00073024">
        <w:rPr>
          <w:rFonts w:ascii="Times New Roman" w:hAnsi="Times New Roman"/>
          <w:b/>
          <w:bCs/>
        </w:rPr>
        <w:t>17</w:t>
      </w:r>
      <w:r w:rsidRPr="00073024" w:rsidR="00AD0C11">
        <w:rPr>
          <w:rFonts w:ascii="Times New Roman" w:hAnsi="Times New Roman"/>
          <w:b/>
          <w:bCs/>
        </w:rPr>
        <w:t>. If</w:t>
      </w:r>
      <w:r w:rsidRPr="00073024">
        <w:rPr>
          <w:rFonts w:ascii="Times New Roman" w:hAnsi="Times New Roman"/>
          <w:b/>
          <w:bCs/>
        </w:rPr>
        <w:t xml:space="preserve"> you are seeking approval to not display the expiration date for OMB approval of the information collection, explain the reasons that display would be inappropriate.</w:t>
      </w:r>
    </w:p>
    <w:p w:rsidR="00006358" w:rsidRPr="001063CF" w:rsidP="00A55C95" w14:paraId="616D1138" w14:textId="77777777">
      <w:pPr>
        <w:widowControl/>
        <w:spacing w:after="240" w:line="276" w:lineRule="auto"/>
        <w:ind w:firstLine="720"/>
        <w:rPr>
          <w:rFonts w:ascii="Times New Roman" w:hAnsi="Times New Roman"/>
        </w:rPr>
      </w:pPr>
      <w:r>
        <w:rPr>
          <w:rFonts w:ascii="Times New Roman" w:hAnsi="Times New Roman"/>
        </w:rPr>
        <w:t>Not applicable.</w:t>
      </w:r>
    </w:p>
    <w:p w:rsidR="00073024" w:rsidP="00A55C95" w14:paraId="303A8A48" w14:textId="3C3E544E">
      <w:pPr>
        <w:widowControl/>
        <w:spacing w:after="240" w:line="276" w:lineRule="auto"/>
        <w:ind w:firstLine="720"/>
        <w:rPr>
          <w:rFonts w:ascii="Times New Roman" w:hAnsi="Times New Roman"/>
          <w:b/>
          <w:bCs/>
        </w:rPr>
      </w:pPr>
      <w:r w:rsidRPr="00073024">
        <w:rPr>
          <w:rFonts w:ascii="Times New Roman" w:hAnsi="Times New Roman"/>
          <w:b/>
          <w:bCs/>
        </w:rPr>
        <w:t>18</w:t>
      </w:r>
      <w:r w:rsidRPr="00073024" w:rsidR="00114418">
        <w:rPr>
          <w:rFonts w:ascii="Times New Roman" w:hAnsi="Times New Roman"/>
          <w:b/>
          <w:bCs/>
        </w:rPr>
        <w:t>. Explain</w:t>
      </w:r>
      <w:r w:rsidRPr="00073024">
        <w:rPr>
          <w:rFonts w:ascii="Times New Roman" w:hAnsi="Times New Roman"/>
          <w:b/>
          <w:bCs/>
        </w:rPr>
        <w:t xml:space="preserve"> each exception to the topics of the certification statement identified in Certification for Paperwork Reduction Act Submissions.</w:t>
      </w:r>
    </w:p>
    <w:p w:rsidR="009B5B16" w:rsidRPr="001063CF" w:rsidP="00A55C95" w14:paraId="50D7BD14" w14:textId="77777777">
      <w:pPr>
        <w:widowControl/>
        <w:spacing w:after="240" w:line="276" w:lineRule="auto"/>
        <w:ind w:firstLine="720"/>
        <w:rPr>
          <w:rFonts w:ascii="Times New Roman" w:hAnsi="Times New Roman"/>
        </w:rPr>
      </w:pPr>
      <w:r>
        <w:rPr>
          <w:rFonts w:ascii="Times New Roman" w:hAnsi="Times New Roman"/>
        </w:rPr>
        <w:t>Certification items (c), (f) and (</w:t>
      </w:r>
      <w:r>
        <w:rPr>
          <w:rFonts w:ascii="Times New Roman" w:hAnsi="Times New Roman"/>
        </w:rPr>
        <w:t>i</w:t>
      </w:r>
      <w:r>
        <w:rPr>
          <w:rFonts w:ascii="Times New Roman" w:hAnsi="Times New Roman"/>
        </w:rPr>
        <w:t>) are not applicable to this information collection.</w:t>
      </w:r>
    </w:p>
    <w:p w:rsidR="009B5B16" w:rsidRPr="001063CF" w:rsidP="00A55C95" w14:paraId="7F7D88B2" w14:textId="77777777">
      <w:pPr>
        <w:widowControl/>
        <w:spacing w:after="240" w:line="276" w:lineRule="auto"/>
        <w:rPr>
          <w:rFonts w:ascii="Times New Roman" w:hAnsi="Times New Roman"/>
          <w:b/>
          <w:bCs/>
        </w:rPr>
      </w:pPr>
      <w:r w:rsidRPr="001063CF">
        <w:rPr>
          <w:rFonts w:ascii="Times New Roman" w:hAnsi="Times New Roman"/>
          <w:b/>
          <w:bCs/>
        </w:rPr>
        <w:t>B.  Collection of Information Employing Statistical Methods</w:t>
      </w:r>
    </w:p>
    <w:p w:rsidR="009B5B16" w:rsidRPr="001063CF" w:rsidP="00A55C95" w14:paraId="0DF20C1A" w14:textId="77777777">
      <w:pPr>
        <w:widowControl/>
        <w:spacing w:after="240" w:line="276" w:lineRule="auto"/>
        <w:ind w:firstLine="720"/>
        <w:rPr>
          <w:rFonts w:ascii="Times New Roman" w:hAnsi="Times New Roman"/>
        </w:rPr>
      </w:pPr>
      <w:r w:rsidRPr="001063CF">
        <w:rPr>
          <w:rFonts w:ascii="Times New Roman" w:hAnsi="Times New Roman"/>
          <w:bCs/>
        </w:rPr>
        <w:t>Not applicable. This collection does not employ statistical methods.</w:t>
      </w:r>
    </w:p>
    <w:p w:rsidR="00C82578" w:rsidRPr="001063CF" w:rsidP="00A55C95" w14:paraId="19C7099B" w14:textId="77777777">
      <w:pPr>
        <w:spacing w:after="240" w:line="276" w:lineRule="auto"/>
        <w:rPr>
          <w:rFonts w:ascii="Times New Roman" w:hAnsi="Times New Roman"/>
        </w:rPr>
      </w:pPr>
    </w:p>
    <w:sectPr w:rsidSect="009B5B16">
      <w:headerReference w:type="default" r:id="rId7"/>
      <w:footerReference w:type="even" r:id="rId8"/>
      <w:footerReference w:type="default" r:id="rId9"/>
      <w:footerReference w:type="first" r:id="rId10"/>
      <w:pgSz w:w="12240" w:h="15840"/>
      <w:pgMar w:top="1440" w:right="1440" w:bottom="1152" w:left="1440" w:header="1440" w:footer="1152"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EAF" w:rsidP="009B5B16" w14:paraId="6C000B9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B5EAF" w14:paraId="58CA1E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EAF" w:rsidP="009B5B16" w14:paraId="066D677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4DFE">
      <w:rPr>
        <w:rStyle w:val="PageNumber"/>
        <w:noProof/>
      </w:rPr>
      <w:t>6</w:t>
    </w:r>
    <w:r>
      <w:rPr>
        <w:rStyle w:val="PageNumber"/>
      </w:rPr>
      <w:fldChar w:fldCharType="end"/>
    </w:r>
  </w:p>
  <w:p w:rsidR="003B5EAF" w14:paraId="2E27C6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5C95" w:rsidRPr="00A55C95" w14:paraId="7ED4AB87" w14:textId="77777777">
    <w:pPr>
      <w:pStyle w:val="Footer"/>
      <w:jc w:val="center"/>
      <w:rPr>
        <w:rFonts w:ascii="Times New Roman" w:hAnsi="Times New Roman"/>
      </w:rPr>
    </w:pPr>
    <w:r w:rsidRPr="00A55C95">
      <w:rPr>
        <w:rFonts w:ascii="Times New Roman" w:hAnsi="Times New Roman"/>
      </w:rPr>
      <w:fldChar w:fldCharType="begin"/>
    </w:r>
    <w:r w:rsidRPr="00A55C95">
      <w:rPr>
        <w:rFonts w:ascii="Times New Roman" w:hAnsi="Times New Roman"/>
      </w:rPr>
      <w:instrText xml:space="preserve"> PAGE   \* MERGEFORMAT </w:instrText>
    </w:r>
    <w:r w:rsidRPr="00A55C95">
      <w:rPr>
        <w:rFonts w:ascii="Times New Roman" w:hAnsi="Times New Roman"/>
      </w:rPr>
      <w:fldChar w:fldCharType="separate"/>
    </w:r>
    <w:r w:rsidR="00C84DFE">
      <w:rPr>
        <w:rFonts w:ascii="Times New Roman" w:hAnsi="Times New Roman"/>
        <w:noProof/>
      </w:rPr>
      <w:t>1</w:t>
    </w:r>
    <w:r w:rsidRPr="00A55C95">
      <w:rPr>
        <w:rFonts w:ascii="Times New Roman" w:hAnsi="Times New Roman"/>
        <w:noProof/>
      </w:rPr>
      <w:fldChar w:fldCharType="end"/>
    </w:r>
  </w:p>
  <w:p w:rsidR="00A55C95" w14:paraId="3FC5605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B5B74" w14:paraId="3BAB5367" w14:textId="77777777">
      <w:r>
        <w:separator/>
      </w:r>
    </w:p>
  </w:footnote>
  <w:footnote w:type="continuationSeparator" w:id="1">
    <w:p w:rsidR="004B5B74" w14:paraId="699CAA0B" w14:textId="77777777">
      <w:r>
        <w:continuationSeparator/>
      </w:r>
    </w:p>
  </w:footnote>
  <w:footnote w:id="2">
    <w:p w:rsidR="00C12001" w14:paraId="249B9742" w14:textId="44197F7D">
      <w:pPr>
        <w:pStyle w:val="FootnoteText"/>
      </w:pPr>
      <w:r>
        <w:rPr>
          <w:rStyle w:val="FootnoteReference"/>
        </w:rPr>
        <w:footnoteRef/>
      </w:r>
      <w:r>
        <w:rPr>
          <w:rFonts w:ascii="Times New Roman" w:hAnsi="Times New Roman"/>
        </w:rPr>
        <w:t xml:space="preserve"> To clarify, the reason that </w:t>
      </w:r>
      <w:r w:rsidR="00160823">
        <w:rPr>
          <w:rFonts w:ascii="Times New Roman" w:hAnsi="Times New Roman"/>
        </w:rPr>
        <w:t>i</w:t>
      </w:r>
      <w:r w:rsidR="009B2D69">
        <w:rPr>
          <w:rFonts w:ascii="Times New Roman" w:hAnsi="Times New Roman"/>
        </w:rPr>
        <w:t xml:space="preserve">nstrument </w:t>
      </w:r>
      <w:r>
        <w:rPr>
          <w:rFonts w:ascii="Times New Roman" w:hAnsi="Times New Roman"/>
        </w:rPr>
        <w:t xml:space="preserve">3 has a burden statement directed at trustees and a separate Privacy Act statement to be given to donors and payees is that the burden for collecting this information from donors and payees is on the </w:t>
      </w:r>
      <w:r w:rsidRPr="00C12001">
        <w:rPr>
          <w:rFonts w:ascii="Times New Roman" w:hAnsi="Times New Roman"/>
          <w:i/>
        </w:rPr>
        <w:t>trustees</w:t>
      </w:r>
      <w:r>
        <w:rPr>
          <w:rFonts w:ascii="Times New Roman" w:hAnsi="Times New Roman"/>
        </w:rPr>
        <w:t xml:space="preserve">, but the information collected (which is subject to the Privacy Act) is information about the </w:t>
      </w:r>
      <w:r w:rsidRPr="00C12001">
        <w:rPr>
          <w:rFonts w:ascii="Times New Roman" w:hAnsi="Times New Roman"/>
          <w:i/>
        </w:rPr>
        <w:t>donors and payees</w:t>
      </w:r>
      <w:r>
        <w:rPr>
          <w:rFonts w:ascii="Times New Roman" w:hAnsi="Times New Roman"/>
        </w:rPr>
        <w:t xml:space="preserve">. Therefore, because the donors and payees will not see </w:t>
      </w:r>
      <w:r w:rsidR="00160823">
        <w:rPr>
          <w:rFonts w:ascii="Times New Roman" w:hAnsi="Times New Roman"/>
        </w:rPr>
        <w:t>i</w:t>
      </w:r>
      <w:r w:rsidR="009B2D69">
        <w:rPr>
          <w:rFonts w:ascii="Times New Roman" w:hAnsi="Times New Roman"/>
        </w:rPr>
        <w:t xml:space="preserve">nstrument </w:t>
      </w:r>
      <w:r>
        <w:rPr>
          <w:rFonts w:ascii="Times New Roman" w:hAnsi="Times New Roman"/>
        </w:rPr>
        <w:t xml:space="preserve">3 (which serves as a set of instructions to trustees for collecting the information), they must be given the separate Privacy Act statement attached to </w:t>
      </w:r>
      <w:r w:rsidR="00160823">
        <w:rPr>
          <w:rFonts w:ascii="Times New Roman" w:hAnsi="Times New Roman"/>
        </w:rPr>
        <w:t>i</w:t>
      </w:r>
      <w:r w:rsidR="009B2D69">
        <w:rPr>
          <w:rFonts w:ascii="Times New Roman" w:hAnsi="Times New Roman"/>
        </w:rPr>
        <w:t xml:space="preserve">nstrument </w:t>
      </w:r>
      <w:r>
        <w:rPr>
          <w:rFonts w:ascii="Times New Roman" w:hAnsi="Times New Roman"/>
        </w:rPr>
        <w:t>3 as an appendix</w:t>
      </w:r>
      <w:r w:rsidR="00B17283">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EAF" w:rsidP="009B5B16" w14:paraId="2D35B955" w14:textId="77777777">
    <w:pPr>
      <w:jc w:val="both"/>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132885"/>
    <w:multiLevelType w:val="hybridMultilevel"/>
    <w:tmpl w:val="76169AC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DE75480"/>
    <w:multiLevelType w:val="hybridMultilevel"/>
    <w:tmpl w:val="EDA8D3B2"/>
    <w:lvl w:ilvl="0">
      <w:start w:val="1"/>
      <w:numFmt w:val="upperLetter"/>
      <w:lvlText w:val="%1."/>
      <w:lvlJc w:val="left"/>
      <w:pPr>
        <w:tabs>
          <w:tab w:val="num" w:pos="1890"/>
        </w:tabs>
        <w:ind w:left="1890" w:hanging="45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
    <w:nsid w:val="3CEA1B7A"/>
    <w:multiLevelType w:val="hybridMultilevel"/>
    <w:tmpl w:val="1BDC45D0"/>
    <w:lvl w:ilvl="0">
      <w:start w:val="1"/>
      <w:numFmt w:val="lowerRoman"/>
      <w:lvlText w:val="%1."/>
      <w:lvlJc w:val="left"/>
      <w:pPr>
        <w:tabs>
          <w:tab w:val="num" w:pos="1440"/>
        </w:tabs>
        <w:ind w:left="1440" w:hanging="7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4094212F"/>
    <w:multiLevelType w:val="hybridMultilevel"/>
    <w:tmpl w:val="6E5412D2"/>
    <w:lvl w:ilvl="0">
      <w:start w:val="1"/>
      <w:numFmt w:val="lowerRoman"/>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48286031">
    <w:abstractNumId w:val="1"/>
  </w:num>
  <w:num w:numId="2" w16cid:durableId="1939824275">
    <w:abstractNumId w:val="3"/>
  </w:num>
  <w:num w:numId="3" w16cid:durableId="48000583">
    <w:abstractNumId w:val="2"/>
  </w:num>
  <w:num w:numId="4" w16cid:durableId="484007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519"/>
    <w:rsid w:val="00000BD8"/>
    <w:rsid w:val="00006358"/>
    <w:rsid w:val="00014CF4"/>
    <w:rsid w:val="00015BB9"/>
    <w:rsid w:val="00025B1F"/>
    <w:rsid w:val="000355E9"/>
    <w:rsid w:val="00073024"/>
    <w:rsid w:val="000807DA"/>
    <w:rsid w:val="000808B5"/>
    <w:rsid w:val="00092CC8"/>
    <w:rsid w:val="00094572"/>
    <w:rsid w:val="0009775A"/>
    <w:rsid w:val="000B3481"/>
    <w:rsid w:val="000B402E"/>
    <w:rsid w:val="000D5500"/>
    <w:rsid w:val="000F6582"/>
    <w:rsid w:val="000F66C6"/>
    <w:rsid w:val="001063CF"/>
    <w:rsid w:val="0010691D"/>
    <w:rsid w:val="00112428"/>
    <w:rsid w:val="00114418"/>
    <w:rsid w:val="001166B8"/>
    <w:rsid w:val="00137A52"/>
    <w:rsid w:val="001546DB"/>
    <w:rsid w:val="00157BC7"/>
    <w:rsid w:val="00160823"/>
    <w:rsid w:val="00165CC9"/>
    <w:rsid w:val="0017100C"/>
    <w:rsid w:val="0018632A"/>
    <w:rsid w:val="001A48A4"/>
    <w:rsid w:val="001A541A"/>
    <w:rsid w:val="001B4047"/>
    <w:rsid w:val="001C551B"/>
    <w:rsid w:val="001D1901"/>
    <w:rsid w:val="001D4160"/>
    <w:rsid w:val="001D4ACB"/>
    <w:rsid w:val="001E28A2"/>
    <w:rsid w:val="001F0FA9"/>
    <w:rsid w:val="001F27FA"/>
    <w:rsid w:val="001F29C0"/>
    <w:rsid w:val="002055F4"/>
    <w:rsid w:val="002171D0"/>
    <w:rsid w:val="002409ED"/>
    <w:rsid w:val="00243E39"/>
    <w:rsid w:val="00251606"/>
    <w:rsid w:val="002527A2"/>
    <w:rsid w:val="0025656F"/>
    <w:rsid w:val="002665B8"/>
    <w:rsid w:val="002749CD"/>
    <w:rsid w:val="0027777F"/>
    <w:rsid w:val="00292F8B"/>
    <w:rsid w:val="002B6879"/>
    <w:rsid w:val="002D2D20"/>
    <w:rsid w:val="002D45B4"/>
    <w:rsid w:val="002E39E9"/>
    <w:rsid w:val="002E502B"/>
    <w:rsid w:val="002E5834"/>
    <w:rsid w:val="002F2FA3"/>
    <w:rsid w:val="002F5867"/>
    <w:rsid w:val="00302533"/>
    <w:rsid w:val="00307BD1"/>
    <w:rsid w:val="0031688C"/>
    <w:rsid w:val="003301B3"/>
    <w:rsid w:val="00332F73"/>
    <w:rsid w:val="003346B4"/>
    <w:rsid w:val="00341A24"/>
    <w:rsid w:val="0034574A"/>
    <w:rsid w:val="00351038"/>
    <w:rsid w:val="00355F98"/>
    <w:rsid w:val="00366B0F"/>
    <w:rsid w:val="00367EB2"/>
    <w:rsid w:val="00384821"/>
    <w:rsid w:val="00386216"/>
    <w:rsid w:val="00396430"/>
    <w:rsid w:val="003A229A"/>
    <w:rsid w:val="003A4066"/>
    <w:rsid w:val="003A5CF0"/>
    <w:rsid w:val="003B5EAF"/>
    <w:rsid w:val="003B7375"/>
    <w:rsid w:val="003F30AA"/>
    <w:rsid w:val="004143FB"/>
    <w:rsid w:val="004147FE"/>
    <w:rsid w:val="00417B0E"/>
    <w:rsid w:val="00427935"/>
    <w:rsid w:val="00434B66"/>
    <w:rsid w:val="00441090"/>
    <w:rsid w:val="00465149"/>
    <w:rsid w:val="00481760"/>
    <w:rsid w:val="004856D6"/>
    <w:rsid w:val="00492D7F"/>
    <w:rsid w:val="00496490"/>
    <w:rsid w:val="004B5B74"/>
    <w:rsid w:val="004B5BD3"/>
    <w:rsid w:val="004C2BCA"/>
    <w:rsid w:val="004C360E"/>
    <w:rsid w:val="004C61DB"/>
    <w:rsid w:val="004C77C4"/>
    <w:rsid w:val="004C7BA6"/>
    <w:rsid w:val="004D37E9"/>
    <w:rsid w:val="004E273C"/>
    <w:rsid w:val="004E5625"/>
    <w:rsid w:val="004F1C72"/>
    <w:rsid w:val="004F44EB"/>
    <w:rsid w:val="00517BCC"/>
    <w:rsid w:val="00523521"/>
    <w:rsid w:val="00527599"/>
    <w:rsid w:val="00536401"/>
    <w:rsid w:val="00537E5E"/>
    <w:rsid w:val="00537FB7"/>
    <w:rsid w:val="005416DB"/>
    <w:rsid w:val="005455C5"/>
    <w:rsid w:val="005677AA"/>
    <w:rsid w:val="00574160"/>
    <w:rsid w:val="005C5D77"/>
    <w:rsid w:val="0060126C"/>
    <w:rsid w:val="00605315"/>
    <w:rsid w:val="00616F27"/>
    <w:rsid w:val="006A0270"/>
    <w:rsid w:val="006F1FEF"/>
    <w:rsid w:val="006F3E1D"/>
    <w:rsid w:val="007042E1"/>
    <w:rsid w:val="0070745D"/>
    <w:rsid w:val="00710770"/>
    <w:rsid w:val="00713687"/>
    <w:rsid w:val="00721A3F"/>
    <w:rsid w:val="0072236D"/>
    <w:rsid w:val="00722E41"/>
    <w:rsid w:val="00730539"/>
    <w:rsid w:val="007429A6"/>
    <w:rsid w:val="007613B6"/>
    <w:rsid w:val="007850A1"/>
    <w:rsid w:val="007856D7"/>
    <w:rsid w:val="007A1B11"/>
    <w:rsid w:val="007A79BF"/>
    <w:rsid w:val="007B0720"/>
    <w:rsid w:val="007C367A"/>
    <w:rsid w:val="008108B7"/>
    <w:rsid w:val="00812A02"/>
    <w:rsid w:val="00826B2D"/>
    <w:rsid w:val="00840719"/>
    <w:rsid w:val="008561FF"/>
    <w:rsid w:val="00867FFB"/>
    <w:rsid w:val="0087100A"/>
    <w:rsid w:val="00877485"/>
    <w:rsid w:val="008A44EE"/>
    <w:rsid w:val="008C497D"/>
    <w:rsid w:val="008D5563"/>
    <w:rsid w:val="008D56DC"/>
    <w:rsid w:val="008E2980"/>
    <w:rsid w:val="00915C86"/>
    <w:rsid w:val="009173CA"/>
    <w:rsid w:val="00923519"/>
    <w:rsid w:val="00926770"/>
    <w:rsid w:val="00955907"/>
    <w:rsid w:val="00963EC4"/>
    <w:rsid w:val="00986CB0"/>
    <w:rsid w:val="009912FA"/>
    <w:rsid w:val="00997D19"/>
    <w:rsid w:val="009A2AA8"/>
    <w:rsid w:val="009B2D69"/>
    <w:rsid w:val="009B5B16"/>
    <w:rsid w:val="009D2D17"/>
    <w:rsid w:val="009E7294"/>
    <w:rsid w:val="00A05A06"/>
    <w:rsid w:val="00A15B1B"/>
    <w:rsid w:val="00A3302B"/>
    <w:rsid w:val="00A334F9"/>
    <w:rsid w:val="00A404EA"/>
    <w:rsid w:val="00A50E5F"/>
    <w:rsid w:val="00A55C95"/>
    <w:rsid w:val="00A66515"/>
    <w:rsid w:val="00A70E30"/>
    <w:rsid w:val="00A773B9"/>
    <w:rsid w:val="00AB434F"/>
    <w:rsid w:val="00AC50B3"/>
    <w:rsid w:val="00AD0C11"/>
    <w:rsid w:val="00AD417E"/>
    <w:rsid w:val="00AE24DA"/>
    <w:rsid w:val="00AF26D3"/>
    <w:rsid w:val="00AF4A33"/>
    <w:rsid w:val="00AF63C1"/>
    <w:rsid w:val="00AF6454"/>
    <w:rsid w:val="00B01223"/>
    <w:rsid w:val="00B133CC"/>
    <w:rsid w:val="00B17283"/>
    <w:rsid w:val="00B27B41"/>
    <w:rsid w:val="00BC3D11"/>
    <w:rsid w:val="00BD3D1C"/>
    <w:rsid w:val="00BD7E86"/>
    <w:rsid w:val="00BE1D40"/>
    <w:rsid w:val="00BE427D"/>
    <w:rsid w:val="00BE5CDB"/>
    <w:rsid w:val="00BF3FAB"/>
    <w:rsid w:val="00C12001"/>
    <w:rsid w:val="00C4370E"/>
    <w:rsid w:val="00C55418"/>
    <w:rsid w:val="00C62E73"/>
    <w:rsid w:val="00C82578"/>
    <w:rsid w:val="00C84DFE"/>
    <w:rsid w:val="00C9344E"/>
    <w:rsid w:val="00C93BC9"/>
    <w:rsid w:val="00CA3635"/>
    <w:rsid w:val="00CA5E5B"/>
    <w:rsid w:val="00CB516C"/>
    <w:rsid w:val="00CD49D5"/>
    <w:rsid w:val="00CE78C9"/>
    <w:rsid w:val="00CF42AB"/>
    <w:rsid w:val="00D05A92"/>
    <w:rsid w:val="00D335A5"/>
    <w:rsid w:val="00D43C78"/>
    <w:rsid w:val="00D571C0"/>
    <w:rsid w:val="00D62C8A"/>
    <w:rsid w:val="00D74442"/>
    <w:rsid w:val="00D81265"/>
    <w:rsid w:val="00D91952"/>
    <w:rsid w:val="00D93D2A"/>
    <w:rsid w:val="00DA79F3"/>
    <w:rsid w:val="00DB1ED1"/>
    <w:rsid w:val="00DB7548"/>
    <w:rsid w:val="00DC7D58"/>
    <w:rsid w:val="00DE7474"/>
    <w:rsid w:val="00DF1C4F"/>
    <w:rsid w:val="00E1708E"/>
    <w:rsid w:val="00E25938"/>
    <w:rsid w:val="00E2715D"/>
    <w:rsid w:val="00E43CA9"/>
    <w:rsid w:val="00E524A3"/>
    <w:rsid w:val="00E764CF"/>
    <w:rsid w:val="00E82D1C"/>
    <w:rsid w:val="00EA7C84"/>
    <w:rsid w:val="00ED0514"/>
    <w:rsid w:val="00ED7DB1"/>
    <w:rsid w:val="00EF4D21"/>
    <w:rsid w:val="00F048BC"/>
    <w:rsid w:val="00F05197"/>
    <w:rsid w:val="00F37ADB"/>
    <w:rsid w:val="00F46450"/>
    <w:rsid w:val="00F60C42"/>
    <w:rsid w:val="00F722F7"/>
    <w:rsid w:val="00F74A1C"/>
    <w:rsid w:val="00F86F98"/>
    <w:rsid w:val="00F91845"/>
    <w:rsid w:val="00FA4B72"/>
    <w:rsid w:val="00FB0152"/>
    <w:rsid w:val="00FC2209"/>
    <w:rsid w:val="00FC4DBC"/>
    <w:rsid w:val="00FC5E15"/>
    <w:rsid w:val="00FF2A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B7D4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B16"/>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B5B16"/>
    <w:pPr>
      <w:tabs>
        <w:tab w:val="center" w:pos="4320"/>
        <w:tab w:val="right" w:pos="8640"/>
      </w:tabs>
    </w:pPr>
  </w:style>
  <w:style w:type="character" w:styleId="PageNumber">
    <w:name w:val="page number"/>
    <w:basedOn w:val="DefaultParagraphFont"/>
    <w:rsid w:val="009B5B16"/>
  </w:style>
  <w:style w:type="paragraph" w:styleId="BalloonText">
    <w:name w:val="Balloon Text"/>
    <w:basedOn w:val="Normal"/>
    <w:semiHidden/>
    <w:rsid w:val="00DE7474"/>
    <w:rPr>
      <w:rFonts w:ascii="Tahoma" w:hAnsi="Tahoma" w:cs="Tahoma"/>
      <w:sz w:val="16"/>
      <w:szCs w:val="16"/>
    </w:rPr>
  </w:style>
  <w:style w:type="table" w:styleId="TableGrid">
    <w:name w:val="Table Grid"/>
    <w:basedOn w:val="TableNormal"/>
    <w:uiPriority w:val="59"/>
    <w:rsid w:val="00A55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5C95"/>
    <w:pPr>
      <w:tabs>
        <w:tab w:val="center" w:pos="4680"/>
        <w:tab w:val="right" w:pos="9360"/>
      </w:tabs>
    </w:pPr>
  </w:style>
  <w:style w:type="character" w:customStyle="1" w:styleId="HeaderChar">
    <w:name w:val="Header Char"/>
    <w:link w:val="Header"/>
    <w:uiPriority w:val="99"/>
    <w:rsid w:val="00A55C95"/>
    <w:rPr>
      <w:rFonts w:ascii="Courier" w:hAnsi="Courier"/>
      <w:sz w:val="24"/>
      <w:szCs w:val="24"/>
    </w:rPr>
  </w:style>
  <w:style w:type="character" w:customStyle="1" w:styleId="FooterChar">
    <w:name w:val="Footer Char"/>
    <w:link w:val="Footer"/>
    <w:uiPriority w:val="99"/>
    <w:rsid w:val="00A55C95"/>
    <w:rPr>
      <w:rFonts w:ascii="Courier" w:hAnsi="Courier"/>
      <w:sz w:val="24"/>
      <w:szCs w:val="24"/>
    </w:rPr>
  </w:style>
  <w:style w:type="character" w:styleId="Hyperlink">
    <w:name w:val="Hyperlink"/>
    <w:rsid w:val="003F30AA"/>
    <w:rPr>
      <w:color w:val="0000FF"/>
      <w:u w:val="single"/>
    </w:rPr>
  </w:style>
  <w:style w:type="paragraph" w:styleId="FootnoteText">
    <w:name w:val="footnote text"/>
    <w:basedOn w:val="Normal"/>
    <w:link w:val="FootnoteTextChar"/>
    <w:uiPriority w:val="99"/>
    <w:semiHidden/>
    <w:unhideWhenUsed/>
    <w:rsid w:val="000807DA"/>
    <w:rPr>
      <w:sz w:val="20"/>
      <w:szCs w:val="20"/>
    </w:rPr>
  </w:style>
  <w:style w:type="character" w:customStyle="1" w:styleId="FootnoteTextChar">
    <w:name w:val="Footnote Text Char"/>
    <w:link w:val="FootnoteText"/>
    <w:uiPriority w:val="99"/>
    <w:semiHidden/>
    <w:rsid w:val="000807DA"/>
    <w:rPr>
      <w:rFonts w:ascii="Courier" w:hAnsi="Courier"/>
    </w:rPr>
  </w:style>
  <w:style w:type="character" w:styleId="FootnoteReference">
    <w:name w:val="footnote reference"/>
    <w:uiPriority w:val="99"/>
    <w:semiHidden/>
    <w:unhideWhenUsed/>
    <w:rsid w:val="000807DA"/>
    <w:rPr>
      <w:vertAlign w:val="superscript"/>
    </w:rPr>
  </w:style>
  <w:style w:type="character" w:styleId="CommentReference">
    <w:name w:val="annotation reference"/>
    <w:uiPriority w:val="99"/>
    <w:semiHidden/>
    <w:unhideWhenUsed/>
    <w:rsid w:val="00F86F98"/>
    <w:rPr>
      <w:sz w:val="16"/>
      <w:szCs w:val="16"/>
    </w:rPr>
  </w:style>
  <w:style w:type="paragraph" w:styleId="CommentText">
    <w:name w:val="annotation text"/>
    <w:basedOn w:val="Normal"/>
    <w:link w:val="CommentTextChar"/>
    <w:uiPriority w:val="99"/>
    <w:unhideWhenUsed/>
    <w:rsid w:val="00F86F98"/>
    <w:rPr>
      <w:sz w:val="20"/>
      <w:szCs w:val="20"/>
    </w:rPr>
  </w:style>
  <w:style w:type="character" w:customStyle="1" w:styleId="CommentTextChar">
    <w:name w:val="Comment Text Char"/>
    <w:link w:val="CommentText"/>
    <w:uiPriority w:val="99"/>
    <w:rsid w:val="00F86F98"/>
    <w:rPr>
      <w:rFonts w:ascii="Courier" w:hAnsi="Courier"/>
    </w:rPr>
  </w:style>
  <w:style w:type="paragraph" w:styleId="CommentSubject">
    <w:name w:val="annotation subject"/>
    <w:basedOn w:val="CommentText"/>
    <w:next w:val="CommentText"/>
    <w:link w:val="CommentSubjectChar"/>
    <w:uiPriority w:val="99"/>
    <w:semiHidden/>
    <w:unhideWhenUsed/>
    <w:rsid w:val="00F86F98"/>
    <w:rPr>
      <w:b/>
      <w:bCs/>
    </w:rPr>
  </w:style>
  <w:style w:type="character" w:customStyle="1" w:styleId="CommentSubjectChar">
    <w:name w:val="Comment Subject Char"/>
    <w:link w:val="CommentSubject"/>
    <w:uiPriority w:val="99"/>
    <w:semiHidden/>
    <w:rsid w:val="00F86F98"/>
    <w:rPr>
      <w:rFonts w:ascii="Courier" w:hAnsi="Courier"/>
      <w:b/>
      <w:bCs/>
    </w:rPr>
  </w:style>
  <w:style w:type="paragraph" w:styleId="Revision">
    <w:name w:val="Revision"/>
    <w:hidden/>
    <w:uiPriority w:val="99"/>
    <w:semiHidden/>
    <w:rsid w:val="00A50E5F"/>
    <w:rPr>
      <w:rFonts w:ascii="Courier" w:hAnsi="Courier"/>
      <w:sz w:val="24"/>
      <w:szCs w:val="24"/>
    </w:rPr>
  </w:style>
  <w:style w:type="character" w:styleId="UnresolvedMention">
    <w:name w:val="Unresolved Mention"/>
    <w:basedOn w:val="DefaultParagraphFont"/>
    <w:uiPriority w:val="99"/>
    <w:semiHidden/>
    <w:unhideWhenUsed/>
    <w:rsid w:val="002E5834"/>
    <w:rPr>
      <w:color w:val="605E5C"/>
      <w:shd w:val="clear" w:color="auto" w:fill="E1DFDD"/>
    </w:rPr>
  </w:style>
  <w:style w:type="paragraph" w:styleId="ListParagraph">
    <w:name w:val="List Paragraph"/>
    <w:basedOn w:val="Normal"/>
    <w:uiPriority w:val="34"/>
    <w:qFormat/>
    <w:rsid w:val="004C2BCA"/>
    <w:pPr>
      <w:ind w:left="720"/>
      <w:contextualSpacing/>
    </w:pPr>
  </w:style>
  <w:style w:type="character" w:styleId="FollowedHyperlink">
    <w:name w:val="FollowedHyperlink"/>
    <w:basedOn w:val="DefaultParagraphFont"/>
    <w:uiPriority w:val="99"/>
    <w:semiHidden/>
    <w:unhideWhenUsed/>
    <w:rsid w:val="00307B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oge.gov/web/OGE.nsf/0/FD48C4B7CB5C9A3F85258A160078D0B4/$FILE/Handbook%20for%20Legal%20Expense%20Fund%20Trustees%20(2023).pdf"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6D6BF-2130-4770-BE04-AB6E67E44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2130</Words>
  <Characters>12146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2026-05-28T14:00:00Z</dcterms:created>
  <dcterms:modified xsi:type="dcterms:W3CDTF">2026-05-29T14:30:00Z</dcterms:modified>
</cp:coreProperties>
</file>