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B1630" w:rsidRPr="00C56743" w14:paraId="0EB24113" w14:textId="77777777">
      <w:pPr>
        <w:shd w:val="clear" w:color="auto" w:fill="FFFFFF"/>
        <w:suppressAutoHyphens/>
        <w:jc w:val="center"/>
        <w:rPr>
          <w:rFonts w:ascii="Times New Roman" w:hAnsi="Times New Roman"/>
          <w:b/>
          <w:spacing w:val="-3"/>
          <w:sz w:val="22"/>
          <w:szCs w:val="22"/>
        </w:rPr>
      </w:pPr>
      <w:r w:rsidRPr="00C56743">
        <w:rPr>
          <w:rFonts w:ascii="Times New Roman" w:hAnsi="Times New Roman"/>
          <w:b/>
          <w:spacing w:val="-3"/>
          <w:sz w:val="22"/>
          <w:szCs w:val="22"/>
        </w:rPr>
        <w:t>SUPPORTING STATEMENT</w:t>
      </w:r>
    </w:p>
    <w:p w:rsidR="006B1630" w:rsidRPr="00C56743" w14:paraId="6777410E" w14:textId="77777777">
      <w:pPr>
        <w:shd w:val="clear" w:color="auto" w:fill="FFFFFF"/>
        <w:suppressAutoHyphens/>
        <w:jc w:val="both"/>
        <w:rPr>
          <w:rFonts w:ascii="Times New Roman" w:hAnsi="Times New Roman"/>
          <w:spacing w:val="-3"/>
          <w:sz w:val="22"/>
          <w:szCs w:val="22"/>
        </w:rPr>
      </w:pPr>
    </w:p>
    <w:p w:rsidR="006B1630" w:rsidRPr="00C56743" w14:paraId="6507970B" w14:textId="77777777">
      <w:pPr>
        <w:shd w:val="clear" w:color="auto" w:fill="FFFFFF"/>
        <w:tabs>
          <w:tab w:val="left" w:pos="360"/>
        </w:tabs>
        <w:suppressAutoHyphens/>
        <w:jc w:val="both"/>
        <w:rPr>
          <w:rFonts w:ascii="Times New Roman" w:hAnsi="Times New Roman"/>
          <w:b/>
          <w:spacing w:val="-3"/>
          <w:sz w:val="22"/>
          <w:szCs w:val="22"/>
        </w:rPr>
      </w:pPr>
      <w:r w:rsidRPr="00C56743">
        <w:rPr>
          <w:rFonts w:ascii="Times New Roman" w:hAnsi="Times New Roman"/>
          <w:b/>
          <w:spacing w:val="-3"/>
          <w:sz w:val="22"/>
          <w:szCs w:val="22"/>
        </w:rPr>
        <w:t xml:space="preserve">A. </w:t>
      </w:r>
      <w:r w:rsidRPr="00C56743">
        <w:rPr>
          <w:rFonts w:ascii="Times New Roman" w:hAnsi="Times New Roman"/>
          <w:b/>
          <w:spacing w:val="-3"/>
          <w:sz w:val="22"/>
          <w:szCs w:val="22"/>
        </w:rPr>
        <w:tab/>
        <w:t>Justification:</w:t>
      </w:r>
    </w:p>
    <w:p w:rsidR="006B1630" w:rsidRPr="00C56743" w14:paraId="6F3A5C7B" w14:textId="77777777">
      <w:pPr>
        <w:shd w:val="clear" w:color="auto" w:fill="FFFFFF"/>
        <w:suppressAutoHyphens/>
        <w:jc w:val="both"/>
        <w:rPr>
          <w:rFonts w:ascii="Times New Roman" w:hAnsi="Times New Roman"/>
          <w:spacing w:val="-3"/>
          <w:sz w:val="22"/>
          <w:szCs w:val="22"/>
        </w:rPr>
      </w:pPr>
    </w:p>
    <w:p w:rsidR="00EE38BC" w:rsidP="00EE38BC" w14:paraId="2CFAD292" w14:textId="77777777">
      <w:pPr>
        <w:numPr>
          <w:ilvl w:val="0"/>
          <w:numId w:val="6"/>
        </w:numPr>
        <w:shd w:val="clear" w:color="auto" w:fill="FFFFFF"/>
        <w:suppressAutoHyphens/>
        <w:rPr>
          <w:rFonts w:ascii="Times New Roman" w:hAnsi="Times New Roman"/>
          <w:sz w:val="22"/>
          <w:szCs w:val="22"/>
        </w:rPr>
      </w:pPr>
      <w:r w:rsidRPr="00C56743">
        <w:rPr>
          <w:rFonts w:ascii="Times New Roman" w:hAnsi="Times New Roman"/>
          <w:sz w:val="22"/>
          <w:szCs w:val="22"/>
        </w:rPr>
        <w:t xml:space="preserve">This </w:t>
      </w:r>
      <w:r w:rsidRPr="00C56743" w:rsidR="003E7B2A">
        <w:rPr>
          <w:rFonts w:ascii="Times New Roman" w:hAnsi="Times New Roman"/>
          <w:sz w:val="22"/>
          <w:szCs w:val="22"/>
        </w:rPr>
        <w:t xml:space="preserve">submission is being made to the Office of Management (OMB) for the </w:t>
      </w:r>
      <w:r w:rsidR="005A366E">
        <w:rPr>
          <w:rFonts w:ascii="Times New Roman" w:hAnsi="Times New Roman"/>
          <w:sz w:val="22"/>
          <w:szCs w:val="22"/>
        </w:rPr>
        <w:t xml:space="preserve">continuous </w:t>
      </w:r>
      <w:r w:rsidRPr="00C56743" w:rsidR="003E7B2A">
        <w:rPr>
          <w:rFonts w:ascii="Times New Roman" w:hAnsi="Times New Roman"/>
          <w:sz w:val="22"/>
          <w:szCs w:val="22"/>
        </w:rPr>
        <w:t xml:space="preserve">approval of </w:t>
      </w:r>
      <w:r w:rsidRPr="00C56743">
        <w:rPr>
          <w:rFonts w:ascii="Times New Roman" w:hAnsi="Times New Roman"/>
          <w:sz w:val="22"/>
          <w:szCs w:val="22"/>
        </w:rPr>
        <w:t>inf</w:t>
      </w:r>
      <w:r w:rsidRPr="00C56743" w:rsidR="00F85782">
        <w:rPr>
          <w:rFonts w:ascii="Times New Roman" w:hAnsi="Times New Roman"/>
          <w:sz w:val="22"/>
          <w:szCs w:val="22"/>
        </w:rPr>
        <w:t>ormation collection requirement</w:t>
      </w:r>
      <w:r w:rsidRPr="00C56743" w:rsidR="0068791D">
        <w:rPr>
          <w:rFonts w:ascii="Times New Roman" w:hAnsi="Times New Roman"/>
          <w:sz w:val="22"/>
          <w:szCs w:val="22"/>
        </w:rPr>
        <w:t>s</w:t>
      </w:r>
      <w:r w:rsidRPr="00C56743">
        <w:rPr>
          <w:rFonts w:ascii="Times New Roman" w:hAnsi="Times New Roman"/>
          <w:sz w:val="22"/>
          <w:szCs w:val="22"/>
        </w:rPr>
        <w:t xml:space="preserve"> contained in the Commission’s</w:t>
      </w:r>
      <w:r w:rsidRPr="00C56743" w:rsidR="006A58D3">
        <w:rPr>
          <w:rFonts w:ascii="Times New Roman" w:hAnsi="Times New Roman"/>
          <w:sz w:val="22"/>
          <w:szCs w:val="22"/>
        </w:rPr>
        <w:t xml:space="preserve"> </w:t>
      </w:r>
      <w:r w:rsidRPr="00C56743" w:rsidR="000B14B6">
        <w:rPr>
          <w:rFonts w:ascii="Times New Roman" w:hAnsi="Times New Roman"/>
          <w:i/>
          <w:sz w:val="22"/>
          <w:szCs w:val="22"/>
        </w:rPr>
        <w:t xml:space="preserve">Incentive Auction </w:t>
      </w:r>
      <w:r w:rsidR="008516B9">
        <w:rPr>
          <w:rFonts w:ascii="Times New Roman" w:hAnsi="Times New Roman"/>
          <w:i/>
          <w:sz w:val="22"/>
          <w:szCs w:val="22"/>
        </w:rPr>
        <w:t>R&amp;O</w:t>
      </w:r>
      <w:r w:rsidRPr="00C56743" w:rsidR="00110E1E">
        <w:rPr>
          <w:rFonts w:ascii="Times New Roman" w:hAnsi="Times New Roman"/>
          <w:sz w:val="22"/>
          <w:szCs w:val="22"/>
        </w:rPr>
        <w:t>,</w:t>
      </w:r>
      <w:r>
        <w:rPr>
          <w:rStyle w:val="FootnoteReference"/>
          <w:rFonts w:ascii="Times New Roman" w:hAnsi="Times New Roman"/>
          <w:sz w:val="22"/>
          <w:szCs w:val="22"/>
        </w:rPr>
        <w:footnoteReference w:id="2"/>
      </w:r>
      <w:r w:rsidRPr="00C56743" w:rsidR="002343D7">
        <w:rPr>
          <w:rFonts w:ascii="Times New Roman" w:hAnsi="Times New Roman"/>
          <w:sz w:val="22"/>
          <w:szCs w:val="22"/>
        </w:rPr>
        <w:t xml:space="preserve"> which adopted </w:t>
      </w:r>
      <w:r w:rsidRPr="00C56743" w:rsidR="006A58D3">
        <w:rPr>
          <w:rFonts w:ascii="Times New Roman" w:hAnsi="Times New Roman"/>
          <w:sz w:val="22"/>
          <w:szCs w:val="22"/>
        </w:rPr>
        <w:t xml:space="preserve">rules </w:t>
      </w:r>
      <w:r w:rsidRPr="00C56743" w:rsidR="007E6B05">
        <w:rPr>
          <w:rFonts w:ascii="Times New Roman" w:hAnsi="Times New Roman"/>
          <w:sz w:val="22"/>
          <w:szCs w:val="22"/>
        </w:rPr>
        <w:t xml:space="preserve">for holding an </w:t>
      </w:r>
      <w:r w:rsidRPr="00C56743" w:rsidR="006A58D3">
        <w:rPr>
          <w:rFonts w:ascii="Times New Roman" w:hAnsi="Times New Roman"/>
          <w:sz w:val="22"/>
          <w:szCs w:val="22"/>
        </w:rPr>
        <w:t>Incentive Auction,</w:t>
      </w:r>
      <w:r w:rsidRPr="00C56743">
        <w:rPr>
          <w:rFonts w:ascii="Times New Roman" w:hAnsi="Times New Roman"/>
          <w:sz w:val="22"/>
          <w:szCs w:val="22"/>
        </w:rPr>
        <w:t xml:space="preserve"> as required by the</w:t>
      </w:r>
      <w:r w:rsidRPr="00C56743" w:rsidR="006A58D3">
        <w:rPr>
          <w:rFonts w:ascii="Times New Roman" w:hAnsi="Times New Roman"/>
          <w:sz w:val="22"/>
          <w:szCs w:val="22"/>
        </w:rPr>
        <w:t xml:space="preserve"> Middle Class Tax Relief and Job Creation Act of 2012</w:t>
      </w:r>
      <w:r w:rsidR="008516B9">
        <w:rPr>
          <w:rFonts w:ascii="Times New Roman" w:hAnsi="Times New Roman"/>
          <w:sz w:val="22"/>
          <w:szCs w:val="22"/>
        </w:rPr>
        <w:t xml:space="preserve"> (Spectrum Act)</w:t>
      </w:r>
      <w:r w:rsidRPr="00C56743">
        <w:rPr>
          <w:rFonts w:ascii="Times New Roman" w:hAnsi="Times New Roman"/>
          <w:sz w:val="22"/>
          <w:szCs w:val="22"/>
        </w:rPr>
        <w:t>.</w:t>
      </w:r>
      <w:r>
        <w:rPr>
          <w:rStyle w:val="FootnoteReference"/>
          <w:rFonts w:ascii="Times New Roman" w:hAnsi="Times New Roman"/>
          <w:sz w:val="22"/>
          <w:szCs w:val="22"/>
        </w:rPr>
        <w:footnoteReference w:id="3"/>
      </w:r>
      <w:r w:rsidRPr="00C56743">
        <w:rPr>
          <w:rFonts w:ascii="Times New Roman" w:hAnsi="Times New Roman"/>
          <w:sz w:val="22"/>
          <w:szCs w:val="22"/>
        </w:rPr>
        <w:t xml:space="preserve">  The </w:t>
      </w:r>
      <w:r w:rsidRPr="00C56743" w:rsidR="002343D7">
        <w:rPr>
          <w:rFonts w:ascii="Times New Roman" w:hAnsi="Times New Roman"/>
          <w:sz w:val="22"/>
          <w:szCs w:val="22"/>
        </w:rPr>
        <w:t xml:space="preserve">Spectrum Act </w:t>
      </w:r>
      <w:r w:rsidRPr="00C56743">
        <w:rPr>
          <w:rFonts w:ascii="Times New Roman" w:hAnsi="Times New Roman"/>
          <w:sz w:val="22"/>
          <w:szCs w:val="22"/>
        </w:rPr>
        <w:t>direct</w:t>
      </w:r>
      <w:r w:rsidR="00D84872">
        <w:rPr>
          <w:rFonts w:ascii="Times New Roman" w:hAnsi="Times New Roman"/>
          <w:sz w:val="22"/>
          <w:szCs w:val="22"/>
        </w:rPr>
        <w:t>ed</w:t>
      </w:r>
      <w:r w:rsidRPr="00C56743">
        <w:rPr>
          <w:rFonts w:ascii="Times New Roman" w:hAnsi="Times New Roman"/>
          <w:sz w:val="22"/>
          <w:szCs w:val="22"/>
        </w:rPr>
        <w:t xml:space="preserve"> the Commission</w:t>
      </w:r>
      <w:r w:rsidRPr="00C56743" w:rsidR="002343D7">
        <w:rPr>
          <w:rFonts w:ascii="Times New Roman" w:hAnsi="Times New Roman"/>
          <w:sz w:val="22"/>
          <w:szCs w:val="22"/>
        </w:rPr>
        <w:t xml:space="preserve"> to hold a “reverse auction” in which broadcasters can voluntarily return some or all of their broadcast spectrum usage rights in exchange for incentive payments</w:t>
      </w:r>
      <w:r w:rsidRPr="00C56743">
        <w:rPr>
          <w:rFonts w:ascii="Times New Roman" w:hAnsi="Times New Roman"/>
          <w:sz w:val="22"/>
          <w:szCs w:val="22"/>
        </w:rPr>
        <w:t>.</w:t>
      </w:r>
      <w:r>
        <w:rPr>
          <w:rStyle w:val="FootnoteReference"/>
          <w:rFonts w:ascii="Times New Roman" w:hAnsi="Times New Roman"/>
          <w:sz w:val="22"/>
          <w:szCs w:val="22"/>
        </w:rPr>
        <w:footnoteReference w:id="4"/>
      </w:r>
      <w:r w:rsidRPr="00C56743">
        <w:rPr>
          <w:rFonts w:ascii="Times New Roman" w:hAnsi="Times New Roman"/>
          <w:sz w:val="22"/>
          <w:szCs w:val="22"/>
        </w:rPr>
        <w:t xml:space="preserve">  </w:t>
      </w:r>
      <w:r w:rsidRPr="00C56743" w:rsidR="002343D7">
        <w:rPr>
          <w:rFonts w:ascii="Times New Roman" w:hAnsi="Times New Roman"/>
          <w:sz w:val="22"/>
          <w:szCs w:val="22"/>
        </w:rPr>
        <w:t>The Spectrum Act also require</w:t>
      </w:r>
      <w:r w:rsidR="00D84872">
        <w:rPr>
          <w:rFonts w:ascii="Times New Roman" w:hAnsi="Times New Roman"/>
          <w:sz w:val="22"/>
          <w:szCs w:val="22"/>
        </w:rPr>
        <w:t>d</w:t>
      </w:r>
      <w:r w:rsidRPr="00C56743" w:rsidR="002343D7">
        <w:rPr>
          <w:rFonts w:ascii="Times New Roman" w:hAnsi="Times New Roman"/>
          <w:sz w:val="22"/>
          <w:szCs w:val="22"/>
        </w:rPr>
        <w:t xml:space="preserve"> the Commission to reorganize the broadcast television band, which will be accomplished by repacking stations, or moving broadcast </w:t>
      </w:r>
      <w:r w:rsidRPr="00C56743" w:rsidR="007E6B05">
        <w:rPr>
          <w:rFonts w:ascii="Times New Roman" w:hAnsi="Times New Roman"/>
          <w:sz w:val="22"/>
          <w:szCs w:val="22"/>
        </w:rPr>
        <w:t>stations to</w:t>
      </w:r>
      <w:r w:rsidRPr="00C56743" w:rsidR="00530537">
        <w:rPr>
          <w:rFonts w:ascii="Times New Roman" w:hAnsi="Times New Roman"/>
          <w:sz w:val="22"/>
          <w:szCs w:val="22"/>
        </w:rPr>
        <w:t xml:space="preserve"> different channel</w:t>
      </w:r>
      <w:r w:rsidRPr="00C56743" w:rsidR="00037C54">
        <w:rPr>
          <w:rFonts w:ascii="Times New Roman" w:hAnsi="Times New Roman"/>
          <w:sz w:val="22"/>
          <w:szCs w:val="22"/>
        </w:rPr>
        <w:t>s</w:t>
      </w:r>
      <w:r w:rsidRPr="00C56743" w:rsidR="00530537">
        <w:rPr>
          <w:rFonts w:ascii="Times New Roman" w:hAnsi="Times New Roman"/>
          <w:sz w:val="22"/>
          <w:szCs w:val="22"/>
        </w:rPr>
        <w:t>.</w:t>
      </w:r>
      <w:r>
        <w:rPr>
          <w:rStyle w:val="FootnoteReference"/>
          <w:rFonts w:ascii="Times New Roman" w:hAnsi="Times New Roman"/>
          <w:sz w:val="22"/>
          <w:szCs w:val="22"/>
        </w:rPr>
        <w:footnoteReference w:id="5"/>
      </w:r>
      <w:r w:rsidRPr="00C56743" w:rsidR="00530537">
        <w:rPr>
          <w:rFonts w:ascii="Times New Roman" w:hAnsi="Times New Roman"/>
          <w:sz w:val="22"/>
          <w:szCs w:val="22"/>
        </w:rPr>
        <w:t xml:space="preserve">  The Spectrum Act direct</w:t>
      </w:r>
      <w:r w:rsidR="00D84872">
        <w:rPr>
          <w:rFonts w:ascii="Times New Roman" w:hAnsi="Times New Roman"/>
          <w:sz w:val="22"/>
          <w:szCs w:val="22"/>
        </w:rPr>
        <w:t>ed</w:t>
      </w:r>
      <w:r w:rsidRPr="00C56743" w:rsidR="00530537">
        <w:rPr>
          <w:rFonts w:ascii="Times New Roman" w:hAnsi="Times New Roman"/>
          <w:sz w:val="22"/>
          <w:szCs w:val="22"/>
        </w:rPr>
        <w:t xml:space="preserve"> the Commission to hold a forward auction of the ultra-high frequency (UHF) spectrum obtained as a result of the reverse auction and channel repacking</w:t>
      </w:r>
      <w:r w:rsidR="004D4E2D">
        <w:rPr>
          <w:rFonts w:ascii="Times New Roman" w:hAnsi="Times New Roman"/>
          <w:sz w:val="22"/>
          <w:szCs w:val="22"/>
        </w:rPr>
        <w:t>, to be auction</w:t>
      </w:r>
      <w:r w:rsidR="008516B9">
        <w:rPr>
          <w:rFonts w:ascii="Times New Roman" w:hAnsi="Times New Roman"/>
          <w:sz w:val="22"/>
          <w:szCs w:val="22"/>
        </w:rPr>
        <w:t>ed</w:t>
      </w:r>
      <w:r w:rsidR="004D4E2D">
        <w:rPr>
          <w:rFonts w:ascii="Times New Roman" w:hAnsi="Times New Roman"/>
          <w:sz w:val="22"/>
          <w:szCs w:val="22"/>
        </w:rPr>
        <w:t xml:space="preserve"> as flexible-use licenses suitable for providing mobile broadband service</w:t>
      </w:r>
      <w:r w:rsidRPr="00C56743" w:rsidR="00530537">
        <w:rPr>
          <w:rFonts w:ascii="Times New Roman" w:hAnsi="Times New Roman"/>
          <w:sz w:val="22"/>
          <w:szCs w:val="22"/>
        </w:rPr>
        <w:t>.</w:t>
      </w:r>
      <w:r>
        <w:rPr>
          <w:rStyle w:val="FootnoteReference"/>
          <w:rFonts w:ascii="Times New Roman" w:hAnsi="Times New Roman"/>
          <w:sz w:val="22"/>
          <w:szCs w:val="22"/>
        </w:rPr>
        <w:footnoteReference w:id="6"/>
      </w:r>
      <w:r w:rsidRPr="00C56743" w:rsidR="00530537">
        <w:rPr>
          <w:rFonts w:ascii="Times New Roman" w:hAnsi="Times New Roman"/>
          <w:sz w:val="22"/>
          <w:szCs w:val="22"/>
        </w:rPr>
        <w:t xml:space="preserve">  </w:t>
      </w:r>
    </w:p>
    <w:p w:rsidR="00EE38BC" w:rsidP="00EE38BC" w14:paraId="2D6CF67E" w14:textId="77777777">
      <w:pPr>
        <w:shd w:val="clear" w:color="auto" w:fill="FFFFFF"/>
        <w:suppressAutoHyphens/>
        <w:ind w:left="720"/>
        <w:rPr>
          <w:rFonts w:ascii="Times New Roman" w:hAnsi="Times New Roman"/>
          <w:sz w:val="22"/>
          <w:szCs w:val="22"/>
        </w:rPr>
      </w:pPr>
    </w:p>
    <w:p w:rsidR="006B1630" w:rsidRPr="00E40B45" w:rsidP="004E1C0D" w14:paraId="4839163E" w14:textId="77777777">
      <w:pPr>
        <w:shd w:val="clear" w:color="auto" w:fill="FFFFFF"/>
        <w:suppressAutoHyphens/>
        <w:ind w:left="720"/>
        <w:rPr>
          <w:rFonts w:ascii="Times New Roman" w:hAnsi="Times New Roman"/>
          <w:sz w:val="22"/>
          <w:szCs w:val="22"/>
        </w:rPr>
      </w:pPr>
      <w:r>
        <w:rPr>
          <w:rFonts w:ascii="Times New Roman" w:hAnsi="Times New Roman"/>
          <w:sz w:val="22"/>
          <w:szCs w:val="22"/>
        </w:rPr>
        <w:t>On April 13, 2017, the Commission’s Incentive Auction Task Force and Media and Wireless Telecommunications Bureaus released the Auction 1</w:t>
      </w:r>
      <w:r w:rsidR="00DA14AA">
        <w:rPr>
          <w:rFonts w:ascii="Times New Roman" w:hAnsi="Times New Roman"/>
          <w:sz w:val="22"/>
          <w:szCs w:val="22"/>
        </w:rPr>
        <w:t>,</w:t>
      </w:r>
      <w:r>
        <w:rPr>
          <w:rFonts w:ascii="Times New Roman" w:hAnsi="Times New Roman"/>
          <w:sz w:val="22"/>
          <w:szCs w:val="22"/>
        </w:rPr>
        <w:t xml:space="preserve">000 </w:t>
      </w:r>
      <w:r w:rsidRPr="00E40B45">
        <w:rPr>
          <w:rFonts w:ascii="Times New Roman" w:hAnsi="Times New Roman"/>
          <w:i/>
          <w:sz w:val="22"/>
          <w:szCs w:val="22"/>
        </w:rPr>
        <w:t>Closing and Channel Reassignment Public Notice</w:t>
      </w:r>
      <w:r>
        <w:rPr>
          <w:rFonts w:ascii="Times New Roman" w:hAnsi="Times New Roman"/>
          <w:sz w:val="22"/>
          <w:szCs w:val="22"/>
        </w:rPr>
        <w:t xml:space="preserve"> which, among other things, announced the results of the repacking process and identified the channel reassignments of television stations, and established the beginning of the 39-month post-auction transition period (transition period).</w:t>
      </w:r>
      <w:r>
        <w:rPr>
          <w:rStyle w:val="FootnoteReference"/>
          <w:rFonts w:ascii="Times New Roman" w:hAnsi="Times New Roman"/>
          <w:sz w:val="22"/>
          <w:szCs w:val="22"/>
        </w:rPr>
        <w:footnoteReference w:id="7"/>
      </w:r>
      <w:r w:rsidR="0098351D">
        <w:rPr>
          <w:rFonts w:ascii="Times New Roman" w:hAnsi="Times New Roman"/>
          <w:sz w:val="22"/>
          <w:szCs w:val="22"/>
        </w:rPr>
        <w:t xml:space="preserve"> </w:t>
      </w:r>
      <w:r w:rsidR="00EE38BC">
        <w:rPr>
          <w:rFonts w:ascii="Times New Roman" w:hAnsi="Times New Roman"/>
          <w:sz w:val="22"/>
          <w:szCs w:val="22"/>
        </w:rPr>
        <w:t xml:space="preserve"> </w:t>
      </w:r>
      <w:r w:rsidRPr="00DA5F5F" w:rsidR="0098351D">
        <w:rPr>
          <w:rFonts w:ascii="Times New Roman" w:hAnsi="Times New Roman"/>
          <w:sz w:val="22"/>
          <w:szCs w:val="22"/>
        </w:rPr>
        <w:t>By the end of the transition period, all stations reassigned to new channels as a result of a reverse auction winning bid or the repacking process must complete construction of their post-auction channel facilities, commence operation on their post-auction channel, cease operation on their pre-auction channel, and file a license application.</w:t>
      </w:r>
      <w:r w:rsidRPr="00DA5F5F" w:rsidR="00254177">
        <w:rPr>
          <w:rFonts w:ascii="Times New Roman" w:hAnsi="Times New Roman"/>
          <w:sz w:val="22"/>
          <w:szCs w:val="22"/>
        </w:rPr>
        <w:t xml:space="preserve">  </w:t>
      </w:r>
      <w:r w:rsidRPr="00DA5F5F" w:rsidR="00DA5F5F">
        <w:rPr>
          <w:rFonts w:ascii="Times New Roman" w:hAnsi="Times New Roman"/>
          <w:sz w:val="22"/>
          <w:szCs w:val="22"/>
        </w:rPr>
        <w:t xml:space="preserve">All full power and Class A television stations transitioning to a new channel are assigned to one of 10 transition phases and the deadline for each transition phase represents </w:t>
      </w:r>
      <w:r w:rsidRPr="00DA5F5F" w:rsidR="00DA5F5F">
        <w:rPr>
          <w:rFonts w:ascii="Times New Roman" w:hAnsi="Times New Roman"/>
          <w:sz w:val="22"/>
          <w:szCs w:val="22"/>
        </w:rPr>
        <w:t>the time in which stations in the phase must complete their transition.</w:t>
      </w:r>
      <w:r>
        <w:rPr>
          <w:rStyle w:val="FootnoteReference"/>
          <w:rFonts w:ascii="Times New Roman" w:hAnsi="Times New Roman"/>
          <w:sz w:val="22"/>
          <w:szCs w:val="22"/>
        </w:rPr>
        <w:footnoteReference w:id="8"/>
      </w:r>
      <w:r w:rsidRPr="00DA5F5F" w:rsidR="00DA5F5F">
        <w:rPr>
          <w:rFonts w:ascii="Times New Roman" w:hAnsi="Times New Roman"/>
          <w:sz w:val="22"/>
          <w:szCs w:val="22"/>
        </w:rPr>
        <w:t xml:space="preserve">  This schedule</w:t>
      </w:r>
      <w:r w:rsidR="00DA5F5F">
        <w:rPr>
          <w:rFonts w:ascii="Times New Roman" w:hAnsi="Times New Roman"/>
          <w:sz w:val="22"/>
          <w:szCs w:val="22"/>
        </w:rPr>
        <w:t xml:space="preserve"> accounts for stations with interference relationships which must transition at the same time, minimizes disruption to viewers, and helps manage limited resources as stations complete their transition related tasks.</w:t>
      </w:r>
      <w:r w:rsidR="004E1C0D">
        <w:rPr>
          <w:rFonts w:ascii="Times New Roman" w:hAnsi="Times New Roman"/>
          <w:sz w:val="22"/>
          <w:szCs w:val="22"/>
        </w:rPr>
        <w:t xml:space="preserve">  The phase completion dates range from November 30, 2018 through July 3, 2020.</w:t>
      </w:r>
      <w:r>
        <w:rPr>
          <w:rStyle w:val="FootnoteReference"/>
          <w:rFonts w:ascii="Times New Roman" w:hAnsi="Times New Roman"/>
          <w:sz w:val="22"/>
          <w:szCs w:val="22"/>
        </w:rPr>
        <w:footnoteReference w:id="9"/>
      </w:r>
    </w:p>
    <w:p w:rsidR="006B1630" w:rsidRPr="00C56743" w14:paraId="51171387" w14:textId="77777777">
      <w:pPr>
        <w:shd w:val="clear" w:color="auto" w:fill="FFFFFF"/>
        <w:suppressAutoHyphens/>
        <w:ind w:left="360" w:hanging="360"/>
        <w:rPr>
          <w:rFonts w:ascii="Times New Roman" w:hAnsi="Times New Roman"/>
          <w:spacing w:val="-3"/>
          <w:sz w:val="22"/>
          <w:szCs w:val="22"/>
        </w:rPr>
      </w:pPr>
    </w:p>
    <w:p w:rsidR="000B1AFB" w:rsidP="004E1C0D" w14:paraId="7D54F50F" w14:textId="77777777">
      <w:pPr>
        <w:shd w:val="clear" w:color="auto" w:fill="FFFFFF"/>
        <w:suppressAutoHyphens/>
        <w:ind w:left="720"/>
        <w:rPr>
          <w:rFonts w:ascii="Times New Roman" w:hAnsi="Times New Roman"/>
          <w:sz w:val="22"/>
          <w:szCs w:val="22"/>
        </w:rPr>
      </w:pPr>
      <w:r w:rsidRPr="00C56743">
        <w:rPr>
          <w:rFonts w:ascii="Times New Roman" w:hAnsi="Times New Roman"/>
          <w:sz w:val="22"/>
          <w:szCs w:val="22"/>
        </w:rPr>
        <w:t xml:space="preserve">The Spectrum Act </w:t>
      </w:r>
      <w:r w:rsidR="0098351D">
        <w:rPr>
          <w:rFonts w:ascii="Times New Roman" w:hAnsi="Times New Roman"/>
          <w:sz w:val="22"/>
          <w:szCs w:val="22"/>
        </w:rPr>
        <w:t xml:space="preserve">also </w:t>
      </w:r>
      <w:r w:rsidRPr="00C56743">
        <w:rPr>
          <w:rFonts w:ascii="Times New Roman" w:hAnsi="Times New Roman"/>
          <w:sz w:val="22"/>
          <w:szCs w:val="22"/>
        </w:rPr>
        <w:t>establishe</w:t>
      </w:r>
      <w:r w:rsidR="0098351D">
        <w:rPr>
          <w:rFonts w:ascii="Times New Roman" w:hAnsi="Times New Roman"/>
          <w:sz w:val="22"/>
          <w:szCs w:val="22"/>
        </w:rPr>
        <w:t>d</w:t>
      </w:r>
      <w:r w:rsidRPr="00C56743">
        <w:rPr>
          <w:rFonts w:ascii="Times New Roman" w:hAnsi="Times New Roman"/>
          <w:sz w:val="22"/>
          <w:szCs w:val="22"/>
        </w:rPr>
        <w:t xml:space="preserve"> a TV Broadcaster Relocation Fund (</w:t>
      </w:r>
      <w:r w:rsidR="008516B9">
        <w:rPr>
          <w:rFonts w:ascii="Times New Roman" w:hAnsi="Times New Roman"/>
          <w:sz w:val="22"/>
          <w:szCs w:val="22"/>
        </w:rPr>
        <w:t xml:space="preserve">Reimbursement </w:t>
      </w:r>
      <w:r w:rsidRPr="00C56743">
        <w:rPr>
          <w:rFonts w:ascii="Times New Roman" w:hAnsi="Times New Roman"/>
          <w:sz w:val="22"/>
          <w:szCs w:val="22"/>
        </w:rPr>
        <w:t>Fund) to reimburse re</w:t>
      </w:r>
      <w:r w:rsidR="0098351D">
        <w:rPr>
          <w:rFonts w:ascii="Times New Roman" w:hAnsi="Times New Roman"/>
          <w:sz w:val="22"/>
          <w:szCs w:val="22"/>
        </w:rPr>
        <w:t xml:space="preserve">packed </w:t>
      </w:r>
      <w:r w:rsidRPr="00C56743">
        <w:rPr>
          <w:rFonts w:ascii="Times New Roman" w:hAnsi="Times New Roman"/>
          <w:sz w:val="22"/>
          <w:szCs w:val="22"/>
        </w:rPr>
        <w:t xml:space="preserve">broadcasters that incur expenses </w:t>
      </w:r>
      <w:r w:rsidR="0098351D">
        <w:rPr>
          <w:rFonts w:ascii="Times New Roman" w:hAnsi="Times New Roman"/>
          <w:sz w:val="22"/>
          <w:szCs w:val="22"/>
        </w:rPr>
        <w:t>(Reimbursable Stations)</w:t>
      </w:r>
      <w:r w:rsidRPr="00C56743">
        <w:rPr>
          <w:rFonts w:ascii="Times New Roman" w:hAnsi="Times New Roman"/>
          <w:sz w:val="22"/>
          <w:szCs w:val="22"/>
        </w:rPr>
        <w:t>, for their reasonable expenses resulting from the post-auction channel reassignment.</w:t>
      </w:r>
      <w:r>
        <w:rPr>
          <w:rStyle w:val="FootnoteReference"/>
          <w:rFonts w:ascii="Times New Roman" w:hAnsi="Times New Roman"/>
          <w:sz w:val="22"/>
          <w:szCs w:val="22"/>
        </w:rPr>
        <w:footnoteReference w:id="10"/>
      </w:r>
      <w:r w:rsidRPr="00C56743">
        <w:rPr>
          <w:rFonts w:ascii="Times New Roman" w:hAnsi="Times New Roman"/>
          <w:sz w:val="22"/>
          <w:szCs w:val="22"/>
        </w:rPr>
        <w:t xml:space="preserve">  The rules governing these processes are codified at 47 CFR Parts 0, 1, 27, 73 and 74.</w:t>
      </w:r>
      <w:r w:rsidR="0098351D">
        <w:rPr>
          <w:rFonts w:ascii="Times New Roman" w:hAnsi="Times New Roman"/>
          <w:sz w:val="22"/>
          <w:szCs w:val="22"/>
        </w:rPr>
        <w:t xml:space="preserve">  In the </w:t>
      </w:r>
      <w:r w:rsidRPr="0098351D" w:rsidR="0098351D">
        <w:rPr>
          <w:rFonts w:ascii="Times New Roman" w:hAnsi="Times New Roman"/>
          <w:i/>
          <w:sz w:val="22"/>
          <w:szCs w:val="22"/>
        </w:rPr>
        <w:t xml:space="preserve">Incentive Auction </w:t>
      </w:r>
      <w:r w:rsidR="00EE38BC">
        <w:rPr>
          <w:rFonts w:ascii="Times New Roman" w:hAnsi="Times New Roman"/>
          <w:i/>
          <w:sz w:val="22"/>
          <w:szCs w:val="22"/>
        </w:rPr>
        <w:t>R&amp;O</w:t>
      </w:r>
      <w:r w:rsidR="0098351D">
        <w:rPr>
          <w:rFonts w:ascii="Times New Roman" w:hAnsi="Times New Roman"/>
          <w:sz w:val="22"/>
          <w:szCs w:val="22"/>
        </w:rPr>
        <w:t>, t</w:t>
      </w:r>
      <w:r w:rsidRPr="00C56743" w:rsidR="00DB0EC7">
        <w:rPr>
          <w:rFonts w:ascii="Times New Roman" w:hAnsi="Times New Roman"/>
          <w:sz w:val="22"/>
          <w:szCs w:val="22"/>
        </w:rPr>
        <w:t xml:space="preserve">he Commission </w:t>
      </w:r>
      <w:r w:rsidR="0098351D">
        <w:rPr>
          <w:rFonts w:ascii="Times New Roman" w:hAnsi="Times New Roman"/>
          <w:sz w:val="22"/>
          <w:szCs w:val="22"/>
        </w:rPr>
        <w:t>determined that Reimbursable Stations would be required, on a regular basis, to provide progress reports to the Commission showing how disbursed funds have been spent and what portion of their construction is complete.</w:t>
      </w:r>
      <w:r>
        <w:rPr>
          <w:rStyle w:val="FootnoteReference"/>
          <w:rFonts w:ascii="Times New Roman" w:hAnsi="Times New Roman"/>
          <w:sz w:val="22"/>
          <w:szCs w:val="22"/>
        </w:rPr>
        <w:footnoteReference w:id="11"/>
      </w:r>
      <w:r w:rsidR="002F06B9">
        <w:rPr>
          <w:rFonts w:ascii="Times New Roman" w:hAnsi="Times New Roman"/>
          <w:sz w:val="22"/>
          <w:szCs w:val="22"/>
        </w:rPr>
        <w:t xml:space="preserve">  The Commission directed the Media Bureau to develop a form for such progress reports,</w:t>
      </w:r>
      <w:r>
        <w:rPr>
          <w:rStyle w:val="FootnoteReference"/>
          <w:rFonts w:ascii="Times New Roman" w:hAnsi="Times New Roman"/>
          <w:sz w:val="22"/>
          <w:szCs w:val="22"/>
        </w:rPr>
        <w:footnoteReference w:id="12"/>
      </w:r>
      <w:r w:rsidR="002F06B9">
        <w:rPr>
          <w:rFonts w:ascii="Times New Roman" w:hAnsi="Times New Roman"/>
          <w:sz w:val="22"/>
          <w:szCs w:val="22"/>
        </w:rPr>
        <w:t xml:space="preserve"> and set the filing deadlines for such reports.</w:t>
      </w:r>
      <w:r>
        <w:rPr>
          <w:rStyle w:val="FootnoteReference"/>
          <w:rFonts w:ascii="Times New Roman" w:hAnsi="Times New Roman"/>
          <w:sz w:val="22"/>
          <w:szCs w:val="22"/>
        </w:rPr>
        <w:footnoteReference w:id="13"/>
      </w:r>
      <w:r w:rsidR="003B16C3">
        <w:rPr>
          <w:rFonts w:ascii="Times New Roman" w:hAnsi="Times New Roman"/>
          <w:sz w:val="22"/>
          <w:szCs w:val="22"/>
        </w:rPr>
        <w:t xml:space="preserve"> </w:t>
      </w:r>
      <w:r w:rsidR="00EE38BC">
        <w:rPr>
          <w:rFonts w:ascii="Times New Roman" w:hAnsi="Times New Roman"/>
          <w:sz w:val="22"/>
          <w:szCs w:val="22"/>
        </w:rPr>
        <w:t xml:space="preserve">  </w:t>
      </w:r>
    </w:p>
    <w:p w:rsidR="000B1AFB" w:rsidP="006334FC" w14:paraId="3F4A4A8B" w14:textId="77777777">
      <w:pPr>
        <w:shd w:val="clear" w:color="auto" w:fill="FFFFFF"/>
        <w:suppressAutoHyphens/>
        <w:ind w:left="360"/>
        <w:rPr>
          <w:rFonts w:ascii="Times New Roman" w:hAnsi="Times New Roman"/>
          <w:sz w:val="22"/>
          <w:szCs w:val="22"/>
        </w:rPr>
      </w:pPr>
    </w:p>
    <w:p w:rsidR="005E5DE9" w:rsidP="004E1C0D" w14:paraId="201A8759" w14:textId="77777777">
      <w:pPr>
        <w:shd w:val="clear" w:color="auto" w:fill="FFFFFF"/>
        <w:suppressAutoHyphens/>
        <w:ind w:left="720"/>
        <w:rPr>
          <w:rFonts w:ascii="Times New Roman" w:hAnsi="Times New Roman"/>
          <w:sz w:val="22"/>
          <w:szCs w:val="22"/>
        </w:rPr>
      </w:pPr>
      <w:r w:rsidRPr="000B1AFB">
        <w:rPr>
          <w:rFonts w:ascii="Times New Roman" w:hAnsi="Times New Roman"/>
          <w:sz w:val="22"/>
          <w:szCs w:val="22"/>
        </w:rPr>
        <w:t>By Public Notice released January 10, 2017,</w:t>
      </w:r>
      <w:r>
        <w:rPr>
          <w:rStyle w:val="FootnoteReference"/>
          <w:rFonts w:ascii="Times New Roman" w:hAnsi="Times New Roman"/>
          <w:sz w:val="22"/>
          <w:szCs w:val="22"/>
        </w:rPr>
        <w:footnoteReference w:id="14"/>
      </w:r>
      <w:r w:rsidRPr="000B1AFB">
        <w:rPr>
          <w:rFonts w:ascii="Times New Roman" w:hAnsi="Times New Roman"/>
          <w:sz w:val="22"/>
          <w:szCs w:val="22"/>
        </w:rPr>
        <w:t xml:space="preserve"> the Incentive Auction Task Force and Media Bureau described the information that must be provided in the adopted FCC Form 2100</w:t>
      </w:r>
      <w:r w:rsidR="00A47693">
        <w:rPr>
          <w:rFonts w:ascii="Times New Roman" w:hAnsi="Times New Roman"/>
          <w:sz w:val="22"/>
          <w:szCs w:val="22"/>
        </w:rPr>
        <w:t xml:space="preserve">, </w:t>
      </w:r>
      <w:r w:rsidRPr="000B1AFB">
        <w:rPr>
          <w:rFonts w:ascii="Times New Roman" w:hAnsi="Times New Roman"/>
          <w:sz w:val="22"/>
          <w:szCs w:val="22"/>
        </w:rPr>
        <w:t>Schedule 387 (Transition Progress Report Form) to be filed by Reimbursable Stations</w:t>
      </w:r>
      <w:r w:rsidRPr="000B1AFB" w:rsidR="000B1AFB">
        <w:rPr>
          <w:rFonts w:ascii="Times New Roman" w:hAnsi="Times New Roman"/>
          <w:sz w:val="22"/>
          <w:szCs w:val="22"/>
        </w:rPr>
        <w:t xml:space="preserve"> and</w:t>
      </w:r>
      <w:r w:rsidRPr="000B1AFB">
        <w:rPr>
          <w:rFonts w:ascii="Times New Roman" w:hAnsi="Times New Roman"/>
          <w:sz w:val="22"/>
          <w:szCs w:val="22"/>
        </w:rPr>
        <w:t xml:space="preserve"> when and how the Transition Progress Reports must be filed.   </w:t>
      </w:r>
      <w:r w:rsidRPr="000B1AFB" w:rsidR="000B1AFB">
        <w:rPr>
          <w:rFonts w:ascii="Times New Roman" w:hAnsi="Times New Roman"/>
          <w:sz w:val="22"/>
          <w:szCs w:val="22"/>
        </w:rPr>
        <w:t>W</w:t>
      </w:r>
      <w:r w:rsidRPr="000B1AFB">
        <w:rPr>
          <w:rFonts w:ascii="Times New Roman" w:hAnsi="Times New Roman"/>
          <w:sz w:val="22"/>
          <w:szCs w:val="22"/>
        </w:rPr>
        <w:t xml:space="preserve">e </w:t>
      </w:r>
      <w:r w:rsidRPr="000B1AFB" w:rsidR="000B1AFB">
        <w:rPr>
          <w:rFonts w:ascii="Times New Roman" w:hAnsi="Times New Roman"/>
          <w:sz w:val="22"/>
          <w:szCs w:val="22"/>
        </w:rPr>
        <w:t xml:space="preserve">also </w:t>
      </w:r>
      <w:r w:rsidRPr="000B1AFB">
        <w:rPr>
          <w:rFonts w:ascii="Times New Roman" w:hAnsi="Times New Roman"/>
          <w:sz w:val="22"/>
          <w:szCs w:val="22"/>
        </w:rPr>
        <w:t>proposed to require broadcast television stations that are not eligible to receive reimbursement of associated expenses from the Reimbursement Fund (Non-Reimbursable Stations), but must transition to new channels as part of the Commission’s channel reassignment plan, to file progress reports in the same manner and on the same schedule as Reimbursable Stations, and sought comment on that proposal</w:t>
      </w:r>
      <w:r w:rsidRPr="000B1AFB" w:rsidR="000B1AFB">
        <w:rPr>
          <w:rFonts w:ascii="Times New Roman" w:hAnsi="Times New Roman"/>
          <w:sz w:val="22"/>
          <w:szCs w:val="22"/>
        </w:rPr>
        <w:t>.  By Public Notic</w:t>
      </w:r>
      <w:r w:rsidR="000B1AFB">
        <w:rPr>
          <w:rFonts w:ascii="Times New Roman" w:hAnsi="Times New Roman"/>
          <w:sz w:val="22"/>
          <w:szCs w:val="22"/>
        </w:rPr>
        <w:t xml:space="preserve">e released </w:t>
      </w:r>
      <w:r w:rsidRPr="00273484" w:rsidR="000138C4">
        <w:rPr>
          <w:rFonts w:ascii="Times New Roman" w:hAnsi="Times New Roman"/>
          <w:sz w:val="22"/>
          <w:szCs w:val="22"/>
        </w:rPr>
        <w:t xml:space="preserve">May </w:t>
      </w:r>
      <w:r w:rsidRPr="00273484" w:rsidR="00BF35B0">
        <w:rPr>
          <w:rFonts w:ascii="Times New Roman" w:hAnsi="Times New Roman"/>
          <w:sz w:val="22"/>
          <w:szCs w:val="22"/>
        </w:rPr>
        <w:t>18</w:t>
      </w:r>
      <w:r w:rsidR="000B1AFB">
        <w:rPr>
          <w:rFonts w:ascii="Times New Roman" w:hAnsi="Times New Roman"/>
          <w:sz w:val="22"/>
          <w:szCs w:val="22"/>
        </w:rPr>
        <w:t>, 2017,</w:t>
      </w:r>
      <w:r>
        <w:rPr>
          <w:rStyle w:val="FootnoteReference"/>
          <w:rFonts w:ascii="Times New Roman" w:hAnsi="Times New Roman"/>
          <w:sz w:val="22"/>
          <w:szCs w:val="22"/>
        </w:rPr>
        <w:footnoteReference w:id="15"/>
      </w:r>
      <w:r w:rsidR="000B1AFB">
        <w:rPr>
          <w:rFonts w:ascii="Times New Roman" w:hAnsi="Times New Roman"/>
          <w:sz w:val="22"/>
          <w:szCs w:val="22"/>
        </w:rPr>
        <w:t xml:space="preserve"> we </w:t>
      </w:r>
      <w:r w:rsidRPr="000B1AFB" w:rsidR="000B1AFB">
        <w:rPr>
          <w:rFonts w:ascii="Times New Roman" w:hAnsi="Times New Roman"/>
          <w:sz w:val="22"/>
          <w:szCs w:val="22"/>
        </w:rPr>
        <w:t>conclude</w:t>
      </w:r>
      <w:r w:rsidR="000B1AFB">
        <w:rPr>
          <w:rFonts w:ascii="Times New Roman" w:hAnsi="Times New Roman"/>
          <w:sz w:val="22"/>
          <w:szCs w:val="22"/>
        </w:rPr>
        <w:t>d</w:t>
      </w:r>
      <w:r w:rsidRPr="000B1AFB" w:rsidR="000B1AFB">
        <w:rPr>
          <w:rFonts w:ascii="Times New Roman" w:hAnsi="Times New Roman"/>
          <w:sz w:val="22"/>
          <w:szCs w:val="22"/>
        </w:rPr>
        <w:t xml:space="preserve"> that Non-Reimbursable Stations will be</w:t>
      </w:r>
    </w:p>
    <w:p w:rsidR="003E7B2A" w:rsidRPr="000B1AFB" w:rsidP="005E5DE9" w14:paraId="34C7146F" w14:textId="77777777">
      <w:pPr>
        <w:shd w:val="clear" w:color="auto" w:fill="FFFFFF"/>
        <w:suppressAutoHyphens/>
        <w:ind w:left="360"/>
        <w:rPr>
          <w:rFonts w:ascii="Times New Roman" w:hAnsi="Times New Roman"/>
          <w:sz w:val="22"/>
          <w:szCs w:val="22"/>
        </w:rPr>
      </w:pPr>
      <w:r w:rsidRPr="000B1AFB">
        <w:rPr>
          <w:rFonts w:ascii="Times New Roman" w:hAnsi="Times New Roman"/>
          <w:sz w:val="22"/>
          <w:szCs w:val="22"/>
        </w:rPr>
        <w:t>required to file Transition Progress Reports following the filing procedures adopted for Reimbursable Stations</w:t>
      </w:r>
      <w:r>
        <w:rPr>
          <w:rFonts w:ascii="Times New Roman" w:hAnsi="Times New Roman"/>
          <w:sz w:val="22"/>
          <w:szCs w:val="22"/>
        </w:rPr>
        <w:t>.</w:t>
      </w:r>
    </w:p>
    <w:p w:rsidR="00217E81" w:rsidP="006334FC" w14:paraId="5467BB84" w14:textId="77777777">
      <w:pPr>
        <w:shd w:val="clear" w:color="auto" w:fill="FFFFFF"/>
        <w:suppressAutoHyphens/>
        <w:ind w:left="360"/>
        <w:rPr>
          <w:rFonts w:ascii="Times New Roman" w:hAnsi="Times New Roman"/>
          <w:sz w:val="22"/>
          <w:szCs w:val="22"/>
        </w:rPr>
      </w:pPr>
    </w:p>
    <w:p w:rsidR="008B1778" w:rsidRPr="008B1778" w:rsidP="008B1778" w14:paraId="2A91A4F3" w14:textId="177975D1">
      <w:pPr>
        <w:shd w:val="clear" w:color="auto" w:fill="FFFFFF"/>
        <w:suppressAutoHyphens/>
        <w:ind w:left="360"/>
        <w:rPr>
          <w:rFonts w:ascii="Times New Roman" w:hAnsi="Times New Roman"/>
          <w:sz w:val="22"/>
          <w:szCs w:val="22"/>
        </w:rPr>
      </w:pPr>
      <w:r>
        <w:rPr>
          <w:rFonts w:ascii="Times New Roman" w:hAnsi="Times New Roman"/>
          <w:sz w:val="22"/>
          <w:szCs w:val="22"/>
        </w:rPr>
        <w:t xml:space="preserve">The Commission is seeking from the Office of Management and Budget (OMB) </w:t>
      </w:r>
      <w:r w:rsidR="00C770A6">
        <w:rPr>
          <w:rFonts w:ascii="Times New Roman" w:hAnsi="Times New Roman"/>
          <w:sz w:val="22"/>
          <w:szCs w:val="22"/>
        </w:rPr>
        <w:t xml:space="preserve">to </w:t>
      </w:r>
      <w:r w:rsidR="00597DCA">
        <w:rPr>
          <w:rFonts w:ascii="Times New Roman" w:hAnsi="Times New Roman"/>
          <w:sz w:val="22"/>
          <w:szCs w:val="22"/>
        </w:rPr>
        <w:t xml:space="preserve">extend </w:t>
      </w:r>
      <w:r w:rsidR="00C770A6">
        <w:rPr>
          <w:rFonts w:ascii="Times New Roman" w:hAnsi="Times New Roman"/>
          <w:sz w:val="22"/>
          <w:szCs w:val="22"/>
        </w:rPr>
        <w:t xml:space="preserve"> this collection </w:t>
      </w:r>
      <w:r>
        <w:rPr>
          <w:rFonts w:ascii="Times New Roman" w:hAnsi="Times New Roman"/>
          <w:sz w:val="22"/>
          <w:szCs w:val="22"/>
        </w:rPr>
        <w:t xml:space="preserve"> for</w:t>
      </w:r>
      <w:r w:rsidRPr="008B1778">
        <w:rPr>
          <w:rFonts w:ascii="Times New Roman" w:hAnsi="Times New Roman"/>
          <w:sz w:val="22"/>
          <w:szCs w:val="22"/>
        </w:rPr>
        <w:t xml:space="preserve"> FCC Form 2100, Schedule 387</w:t>
      </w:r>
      <w:r w:rsidR="00A47693">
        <w:rPr>
          <w:rFonts w:ascii="Times New Roman" w:hAnsi="Times New Roman"/>
          <w:sz w:val="22"/>
          <w:szCs w:val="22"/>
        </w:rPr>
        <w:t xml:space="preserve"> (Transition Progress Report)</w:t>
      </w:r>
      <w:r w:rsidR="00597DCA">
        <w:rPr>
          <w:rFonts w:ascii="Times New Roman" w:hAnsi="Times New Roman"/>
          <w:sz w:val="22"/>
          <w:szCs w:val="22"/>
        </w:rPr>
        <w:t xml:space="preserve"> for three years.</w:t>
      </w:r>
      <w:r w:rsidR="00C770A6">
        <w:rPr>
          <w:rFonts w:ascii="Times New Roman" w:hAnsi="Times New Roman"/>
          <w:sz w:val="22"/>
          <w:szCs w:val="22"/>
        </w:rPr>
        <w:t xml:space="preserve"> </w:t>
      </w:r>
    </w:p>
    <w:p w:rsidR="00A500B1" w:rsidRPr="00C56743" w:rsidP="008B1778" w14:paraId="3071CAA1" w14:textId="77777777">
      <w:pPr>
        <w:shd w:val="clear" w:color="auto" w:fill="FFFFFF"/>
        <w:suppressAutoHyphens/>
        <w:ind w:left="360"/>
        <w:rPr>
          <w:rFonts w:ascii="Times New Roman" w:hAnsi="Times New Roman"/>
          <w:sz w:val="22"/>
          <w:szCs w:val="22"/>
        </w:rPr>
      </w:pPr>
      <w:r>
        <w:rPr>
          <w:rFonts w:ascii="Times New Roman" w:hAnsi="Times New Roman"/>
          <w:sz w:val="22"/>
          <w:szCs w:val="22"/>
        </w:rPr>
        <w:t xml:space="preserve"> </w:t>
      </w:r>
    </w:p>
    <w:p w:rsidR="0068791D" w:rsidRPr="00C56743" w:rsidP="0068791D" w14:paraId="18775FDA" w14:textId="77777777">
      <w:pPr>
        <w:ind w:left="360"/>
        <w:rPr>
          <w:rFonts w:ascii="Times New Roman" w:hAnsi="Times New Roman"/>
          <w:sz w:val="22"/>
          <w:szCs w:val="22"/>
        </w:rPr>
      </w:pPr>
      <w:r w:rsidRPr="00C56743">
        <w:rPr>
          <w:rFonts w:ascii="Times New Roman" w:hAnsi="Times New Roman"/>
          <w:sz w:val="22"/>
          <w:szCs w:val="22"/>
        </w:rPr>
        <w:t xml:space="preserve">This information collection does not affect individuals or households; thus, there are no impacts under the Privacy Act. </w:t>
      </w:r>
    </w:p>
    <w:p w:rsidR="0068791D" w:rsidRPr="00C56743" w:rsidP="0068791D" w14:paraId="36A4EE1C" w14:textId="77777777">
      <w:pPr>
        <w:ind w:left="360"/>
        <w:rPr>
          <w:rFonts w:ascii="Times New Roman" w:hAnsi="Times New Roman"/>
          <w:sz w:val="22"/>
          <w:szCs w:val="22"/>
        </w:rPr>
      </w:pPr>
    </w:p>
    <w:p w:rsidR="00E333C5" w:rsidRPr="00C56743" w:rsidP="00520212" w14:paraId="704F7FAF" w14:textId="77777777">
      <w:pPr>
        <w:ind w:left="360"/>
        <w:rPr>
          <w:rFonts w:ascii="Times New Roman" w:hAnsi="Times New Roman"/>
          <w:sz w:val="22"/>
          <w:szCs w:val="22"/>
        </w:rPr>
      </w:pPr>
      <w:r w:rsidRPr="00C56743">
        <w:rPr>
          <w:rFonts w:ascii="Times New Roman" w:hAnsi="Times New Roman"/>
          <w:sz w:val="22"/>
          <w:szCs w:val="22"/>
        </w:rPr>
        <w:t>The statutory authority for this collection is contained in Pub. L. No. 112-96, §§ 6402 (codified at 47 U.S.C. § 309(j)(8)(G)), 6403 (codified at 47 U.S.C. § 1452), 126 Stat. 156 (2012) (Spectrum Act).</w:t>
      </w:r>
    </w:p>
    <w:p w:rsidR="00520212" w:rsidRPr="00C56743" w:rsidP="00520212" w14:paraId="34E262C6" w14:textId="77777777">
      <w:pPr>
        <w:ind w:left="360"/>
        <w:rPr>
          <w:rFonts w:ascii="Times New Roman" w:hAnsi="Times New Roman"/>
          <w:sz w:val="22"/>
          <w:szCs w:val="22"/>
        </w:rPr>
      </w:pPr>
    </w:p>
    <w:p w:rsidR="00217E81" w:rsidRPr="00C56743" w:rsidP="00520212" w14:paraId="6BF405B1" w14:textId="77777777">
      <w:pPr>
        <w:ind w:left="360" w:hanging="270"/>
        <w:rPr>
          <w:rFonts w:ascii="Times New Roman" w:hAnsi="Times New Roman"/>
          <w:sz w:val="22"/>
          <w:szCs w:val="22"/>
        </w:rPr>
      </w:pPr>
      <w:r w:rsidRPr="00C56743">
        <w:rPr>
          <w:rFonts w:ascii="Times New Roman" w:hAnsi="Times New Roman"/>
          <w:sz w:val="22"/>
          <w:szCs w:val="22"/>
        </w:rPr>
        <w:t xml:space="preserve">2. </w:t>
      </w:r>
      <w:r w:rsidRPr="00C56743" w:rsidR="00520212">
        <w:rPr>
          <w:rFonts w:ascii="Times New Roman" w:hAnsi="Times New Roman"/>
          <w:sz w:val="22"/>
          <w:szCs w:val="22"/>
        </w:rPr>
        <w:t xml:space="preserve">  </w:t>
      </w:r>
      <w:r w:rsidRPr="00C56743" w:rsidR="00DD38CF">
        <w:rPr>
          <w:rFonts w:ascii="Times New Roman" w:hAnsi="Times New Roman"/>
          <w:spacing w:val="-3"/>
          <w:sz w:val="22"/>
          <w:szCs w:val="22"/>
        </w:rPr>
        <w:t xml:space="preserve">The Media Bureau </w:t>
      </w:r>
      <w:r w:rsidRPr="00C56743" w:rsidR="006B1630">
        <w:rPr>
          <w:rFonts w:ascii="Times New Roman" w:hAnsi="Times New Roman"/>
          <w:spacing w:val="-3"/>
          <w:sz w:val="22"/>
          <w:szCs w:val="22"/>
        </w:rPr>
        <w:t xml:space="preserve">will use the information provided by </w:t>
      </w:r>
      <w:r w:rsidRPr="00C56743" w:rsidR="00CB0F7F">
        <w:rPr>
          <w:rFonts w:ascii="Times New Roman" w:hAnsi="Times New Roman"/>
          <w:spacing w:val="-3"/>
          <w:sz w:val="22"/>
          <w:szCs w:val="22"/>
        </w:rPr>
        <w:t xml:space="preserve">broadcast licensees </w:t>
      </w:r>
      <w:r w:rsidRPr="00C56743" w:rsidR="007D2AF5">
        <w:rPr>
          <w:rFonts w:ascii="Times New Roman" w:hAnsi="Times New Roman"/>
          <w:spacing w:val="-3"/>
          <w:sz w:val="22"/>
          <w:szCs w:val="22"/>
        </w:rPr>
        <w:t>on FCC Form 2100, Schedule 3</w:t>
      </w:r>
      <w:r w:rsidR="001D0D83">
        <w:rPr>
          <w:rFonts w:ascii="Times New Roman" w:hAnsi="Times New Roman"/>
          <w:spacing w:val="-3"/>
          <w:sz w:val="22"/>
          <w:szCs w:val="22"/>
        </w:rPr>
        <w:t>87</w:t>
      </w:r>
      <w:r w:rsidRPr="00C56743" w:rsidR="007D2AF5">
        <w:rPr>
          <w:rFonts w:ascii="Times New Roman" w:hAnsi="Times New Roman"/>
          <w:spacing w:val="-3"/>
          <w:sz w:val="22"/>
          <w:szCs w:val="22"/>
        </w:rPr>
        <w:t xml:space="preserve"> (the </w:t>
      </w:r>
      <w:r w:rsidR="001D0D83">
        <w:rPr>
          <w:rFonts w:ascii="Times New Roman" w:hAnsi="Times New Roman"/>
          <w:spacing w:val="-3"/>
          <w:sz w:val="22"/>
          <w:szCs w:val="22"/>
        </w:rPr>
        <w:t>Transition Progress Report</w:t>
      </w:r>
      <w:r w:rsidRPr="00C56743" w:rsidR="007D2AF5">
        <w:rPr>
          <w:rFonts w:ascii="Times New Roman" w:hAnsi="Times New Roman"/>
          <w:spacing w:val="-3"/>
          <w:sz w:val="22"/>
          <w:szCs w:val="22"/>
        </w:rPr>
        <w:t xml:space="preserve"> Form)</w:t>
      </w:r>
      <w:r w:rsidR="003305E3">
        <w:rPr>
          <w:rFonts w:ascii="Times New Roman" w:hAnsi="Times New Roman"/>
          <w:spacing w:val="-3"/>
          <w:sz w:val="22"/>
          <w:szCs w:val="22"/>
        </w:rPr>
        <w:t xml:space="preserve"> to assess how disbursed funds have been spent and monitor the construction of stations over the 39-month transition period.  The information provided by broadcast licensees will also be available to broadcasters, tower companies, equipment providers, engineering consultants, other interested parties, and the public to monitor the progress of the transition.</w:t>
      </w:r>
    </w:p>
    <w:p w:rsidR="006B1630" w:rsidRPr="00C56743" w:rsidP="00437B57" w14:paraId="0B8B473F" w14:textId="77777777">
      <w:pPr>
        <w:tabs>
          <w:tab w:val="left" w:pos="360"/>
        </w:tabs>
        <w:rPr>
          <w:rFonts w:ascii="Times New Roman" w:hAnsi="Times New Roman"/>
          <w:sz w:val="22"/>
          <w:szCs w:val="22"/>
          <w:shd w:val="clear" w:color="auto" w:fill="FFFFFF"/>
        </w:rPr>
      </w:pPr>
    </w:p>
    <w:p w:rsidR="00520212" w:rsidRPr="00C56743" w:rsidP="00885B3F" w14:paraId="7938FDBF" w14:textId="77777777">
      <w:pPr>
        <w:shd w:val="clear" w:color="auto" w:fill="FFFFFF"/>
        <w:tabs>
          <w:tab w:val="left" w:pos="360"/>
        </w:tabs>
        <w:suppressAutoHyphens/>
        <w:ind w:left="360" w:hanging="360"/>
        <w:rPr>
          <w:rFonts w:ascii="Times New Roman" w:hAnsi="Times New Roman"/>
          <w:spacing w:val="-3"/>
          <w:sz w:val="22"/>
          <w:szCs w:val="22"/>
        </w:rPr>
      </w:pPr>
      <w:r w:rsidRPr="00C56743">
        <w:rPr>
          <w:rFonts w:ascii="Times New Roman" w:hAnsi="Times New Roman"/>
          <w:spacing w:val="-3"/>
          <w:sz w:val="22"/>
          <w:szCs w:val="22"/>
        </w:rPr>
        <w:t>3.</w:t>
      </w:r>
      <w:r w:rsidRPr="00C56743">
        <w:rPr>
          <w:rFonts w:ascii="Times New Roman" w:hAnsi="Times New Roman"/>
          <w:spacing w:val="-3"/>
          <w:sz w:val="22"/>
          <w:szCs w:val="22"/>
        </w:rPr>
        <w:tab/>
      </w:r>
      <w:r w:rsidRPr="00C56743" w:rsidR="007D2AF5">
        <w:rPr>
          <w:rFonts w:ascii="Times New Roman" w:hAnsi="Times New Roman"/>
          <w:spacing w:val="-3"/>
          <w:sz w:val="22"/>
          <w:szCs w:val="22"/>
        </w:rPr>
        <w:t>Form 2100, Schedule 3</w:t>
      </w:r>
      <w:r w:rsidR="00E95A18">
        <w:rPr>
          <w:rFonts w:ascii="Times New Roman" w:hAnsi="Times New Roman"/>
          <w:spacing w:val="-3"/>
          <w:sz w:val="22"/>
          <w:szCs w:val="22"/>
        </w:rPr>
        <w:t>87</w:t>
      </w:r>
      <w:r w:rsidRPr="00C56743" w:rsidR="00B82CE2">
        <w:rPr>
          <w:rFonts w:ascii="Times New Roman" w:hAnsi="Times New Roman"/>
          <w:spacing w:val="-3"/>
          <w:sz w:val="22"/>
          <w:szCs w:val="22"/>
        </w:rPr>
        <w:t xml:space="preserve"> will be file</w:t>
      </w:r>
      <w:r w:rsidRPr="00C56743" w:rsidR="00DF0415">
        <w:rPr>
          <w:rFonts w:ascii="Times New Roman" w:hAnsi="Times New Roman"/>
          <w:spacing w:val="-3"/>
          <w:sz w:val="22"/>
          <w:szCs w:val="22"/>
        </w:rPr>
        <w:t>d</w:t>
      </w:r>
      <w:r w:rsidRPr="00C56743" w:rsidR="00B82CE2">
        <w:rPr>
          <w:rFonts w:ascii="Times New Roman" w:hAnsi="Times New Roman"/>
          <w:spacing w:val="-3"/>
          <w:sz w:val="22"/>
          <w:szCs w:val="22"/>
        </w:rPr>
        <w:t xml:space="preserve"> electronically in the Media Bureau’s </w:t>
      </w:r>
      <w:r w:rsidRPr="00C56743" w:rsidR="007D2AF5">
        <w:rPr>
          <w:rFonts w:ascii="Times New Roman" w:hAnsi="Times New Roman"/>
          <w:spacing w:val="-3"/>
          <w:sz w:val="22"/>
          <w:szCs w:val="22"/>
        </w:rPr>
        <w:t>Licensing and Management System (LMS).  LMS is the successor system to the Commission’s CDBS system, which was</w:t>
      </w:r>
      <w:r w:rsidRPr="00C56743" w:rsidR="00437B57">
        <w:rPr>
          <w:rFonts w:ascii="Times New Roman" w:hAnsi="Times New Roman"/>
          <w:spacing w:val="-3"/>
          <w:sz w:val="22"/>
          <w:szCs w:val="22"/>
        </w:rPr>
        <w:t xml:space="preserve"> </w:t>
      </w:r>
      <w:r w:rsidRPr="00C56743" w:rsidR="005F5ABD">
        <w:rPr>
          <w:rFonts w:ascii="Times New Roman" w:hAnsi="Times New Roman"/>
          <w:spacing w:val="-3"/>
          <w:sz w:val="22"/>
          <w:szCs w:val="22"/>
        </w:rPr>
        <w:t>the system used for submitting all broadcast-rel</w:t>
      </w:r>
      <w:r w:rsidRPr="00C56743" w:rsidR="004C0CE3">
        <w:rPr>
          <w:rFonts w:ascii="Times New Roman" w:hAnsi="Times New Roman"/>
          <w:spacing w:val="-3"/>
          <w:sz w:val="22"/>
          <w:szCs w:val="22"/>
        </w:rPr>
        <w:t>ated FCC Forms.</w:t>
      </w:r>
    </w:p>
    <w:p w:rsidR="00885B3F" w:rsidRPr="00C56743" w:rsidP="00885B3F" w14:paraId="1A6B7BA1" w14:textId="77777777">
      <w:pPr>
        <w:shd w:val="clear" w:color="auto" w:fill="FFFFFF"/>
        <w:tabs>
          <w:tab w:val="left" w:pos="360"/>
        </w:tabs>
        <w:suppressAutoHyphens/>
        <w:ind w:left="360" w:hanging="360"/>
        <w:rPr>
          <w:rFonts w:ascii="Times New Roman" w:hAnsi="Times New Roman"/>
          <w:sz w:val="22"/>
          <w:szCs w:val="22"/>
          <w:shd w:val="clear" w:color="auto" w:fill="FFFFFF"/>
        </w:rPr>
      </w:pPr>
    </w:p>
    <w:p w:rsidR="006B1630" w:rsidRPr="00C56743" w14:paraId="2872910D" w14:textId="77777777">
      <w:pPr>
        <w:shd w:val="clear" w:color="auto" w:fill="FFFFFF"/>
        <w:tabs>
          <w:tab w:val="left" w:pos="360"/>
        </w:tabs>
        <w:suppressAutoHyphens/>
        <w:ind w:left="360" w:hanging="360"/>
        <w:rPr>
          <w:rFonts w:ascii="Times New Roman" w:hAnsi="Times New Roman"/>
          <w:spacing w:val="-3"/>
          <w:sz w:val="22"/>
          <w:szCs w:val="22"/>
        </w:rPr>
      </w:pPr>
      <w:r w:rsidRPr="00C56743">
        <w:rPr>
          <w:rFonts w:ascii="Times New Roman" w:hAnsi="Times New Roman"/>
          <w:spacing w:val="-3"/>
          <w:sz w:val="22"/>
          <w:szCs w:val="22"/>
        </w:rPr>
        <w:t>4.</w:t>
      </w:r>
      <w:r w:rsidRPr="00C56743">
        <w:rPr>
          <w:rFonts w:ascii="Times New Roman" w:hAnsi="Times New Roman"/>
          <w:spacing w:val="-3"/>
          <w:sz w:val="22"/>
          <w:szCs w:val="22"/>
        </w:rPr>
        <w:tab/>
        <w:t>No other agency imposes similar information collections on the respondents.  The</w:t>
      </w:r>
      <w:r w:rsidRPr="00C56743" w:rsidR="00BA6EC5">
        <w:rPr>
          <w:rFonts w:ascii="Times New Roman" w:hAnsi="Times New Roman"/>
          <w:spacing w:val="-3"/>
          <w:sz w:val="22"/>
          <w:szCs w:val="22"/>
        </w:rPr>
        <w:t xml:space="preserve">re is no similar data available from any other source.  </w:t>
      </w:r>
    </w:p>
    <w:p w:rsidR="006B1630" w:rsidRPr="00C56743" w14:paraId="4E337717" w14:textId="77777777">
      <w:pPr>
        <w:shd w:val="clear" w:color="auto" w:fill="FFFFFF"/>
        <w:tabs>
          <w:tab w:val="left" w:pos="360"/>
        </w:tabs>
        <w:suppressAutoHyphens/>
        <w:ind w:left="360" w:hanging="360"/>
        <w:rPr>
          <w:rFonts w:ascii="Times New Roman" w:hAnsi="Times New Roman"/>
          <w:spacing w:val="-3"/>
          <w:sz w:val="22"/>
          <w:szCs w:val="22"/>
        </w:rPr>
      </w:pPr>
    </w:p>
    <w:p w:rsidR="0001182D" w:rsidRPr="00C56743" w:rsidP="0001182D" w14:paraId="276C7F41" w14:textId="77777777">
      <w:pPr>
        <w:tabs>
          <w:tab w:val="left" w:pos="360"/>
        </w:tabs>
        <w:ind w:left="360" w:hanging="360"/>
        <w:rPr>
          <w:rFonts w:ascii="Times New Roman" w:hAnsi="Times New Roman"/>
          <w:kern w:val="28"/>
          <w:sz w:val="22"/>
          <w:szCs w:val="22"/>
        </w:rPr>
      </w:pPr>
      <w:r w:rsidRPr="00C56743">
        <w:rPr>
          <w:rFonts w:ascii="Times New Roman" w:hAnsi="Times New Roman"/>
          <w:sz w:val="22"/>
          <w:szCs w:val="22"/>
        </w:rPr>
        <w:t>5.</w:t>
      </w:r>
      <w:r w:rsidRPr="00C56743">
        <w:rPr>
          <w:rFonts w:ascii="Times New Roman" w:hAnsi="Times New Roman"/>
          <w:sz w:val="22"/>
          <w:szCs w:val="22"/>
        </w:rPr>
        <w:tab/>
        <w:t>In conformance with the Paperwork Reduction Act of 19</w:t>
      </w:r>
      <w:r w:rsidR="00BF35B0">
        <w:rPr>
          <w:rFonts w:ascii="Times New Roman" w:hAnsi="Times New Roman"/>
          <w:sz w:val="22"/>
          <w:szCs w:val="22"/>
        </w:rPr>
        <w:t xml:space="preserve">95, the Commission is making an </w:t>
      </w:r>
      <w:r w:rsidRPr="00C56743">
        <w:rPr>
          <w:rFonts w:ascii="Times New Roman" w:hAnsi="Times New Roman"/>
          <w:sz w:val="22"/>
          <w:szCs w:val="22"/>
        </w:rPr>
        <w:t xml:space="preserve">effort to minimize the information collection burden </w:t>
      </w:r>
      <w:r w:rsidRPr="00C56743">
        <w:rPr>
          <w:rFonts w:ascii="Times New Roman" w:hAnsi="Times New Roman"/>
          <w:sz w:val="22"/>
          <w:szCs w:val="22"/>
          <w:shd w:val="clear" w:color="auto" w:fill="FFFFFF"/>
        </w:rPr>
        <w:t xml:space="preserve">for </w:t>
      </w:r>
      <w:r w:rsidRPr="00C56743" w:rsidR="00B95137">
        <w:rPr>
          <w:rFonts w:ascii="Times New Roman" w:hAnsi="Times New Roman"/>
          <w:sz w:val="22"/>
          <w:szCs w:val="22"/>
          <w:shd w:val="clear" w:color="auto" w:fill="FFFFFF"/>
        </w:rPr>
        <w:t xml:space="preserve">all respondents, including </w:t>
      </w:r>
      <w:r w:rsidRPr="00C56743">
        <w:rPr>
          <w:rFonts w:ascii="Times New Roman" w:hAnsi="Times New Roman"/>
          <w:sz w:val="22"/>
          <w:szCs w:val="22"/>
          <w:shd w:val="clear" w:color="auto" w:fill="FFFFFF"/>
        </w:rPr>
        <w:t>small business</w:t>
      </w:r>
      <w:r w:rsidRPr="00C56743" w:rsidR="00B95137">
        <w:rPr>
          <w:rFonts w:ascii="Times New Roman" w:hAnsi="Times New Roman"/>
          <w:sz w:val="22"/>
          <w:szCs w:val="22"/>
          <w:shd w:val="clear" w:color="auto" w:fill="FFFFFF"/>
        </w:rPr>
        <w:t>es</w:t>
      </w:r>
      <w:r w:rsidRPr="00C56743">
        <w:rPr>
          <w:rFonts w:ascii="Times New Roman" w:hAnsi="Times New Roman"/>
          <w:sz w:val="22"/>
          <w:szCs w:val="22"/>
          <w:shd w:val="clear" w:color="auto" w:fill="FFFFFF"/>
        </w:rPr>
        <w:t xml:space="preserve">.  </w:t>
      </w:r>
      <w:r w:rsidR="004E1C0D">
        <w:rPr>
          <w:rFonts w:ascii="Times New Roman" w:hAnsi="Times New Roman"/>
          <w:sz w:val="22"/>
          <w:szCs w:val="22"/>
          <w:shd w:val="clear" w:color="auto" w:fill="FFFFFF"/>
        </w:rPr>
        <w:t>The Form consists of 14 questions to be answered Yes, No, or N/A and requires stations to certify that certain steps toward construction of their post-auction facilities either have been completed or are not required</w:t>
      </w:r>
      <w:r w:rsidR="006546E7">
        <w:rPr>
          <w:rFonts w:ascii="Times New Roman" w:hAnsi="Times New Roman"/>
          <w:sz w:val="22"/>
          <w:szCs w:val="22"/>
          <w:shd w:val="clear" w:color="auto" w:fill="FFFFFF"/>
        </w:rPr>
        <w:t xml:space="preserve"> or identify potential problems which may make it difficult for a broadcaster to complete construction</w:t>
      </w:r>
      <w:r w:rsidR="004E1C0D">
        <w:rPr>
          <w:rFonts w:ascii="Times New Roman" w:hAnsi="Times New Roman"/>
          <w:sz w:val="22"/>
          <w:szCs w:val="22"/>
          <w:shd w:val="clear" w:color="auto" w:fill="FFFFFF"/>
        </w:rPr>
        <w:t>.</w:t>
      </w:r>
      <w:r w:rsidR="003305E3">
        <w:rPr>
          <w:rFonts w:ascii="Times New Roman" w:hAnsi="Times New Roman"/>
          <w:sz w:val="22"/>
          <w:szCs w:val="22"/>
          <w:shd w:val="clear" w:color="auto" w:fill="FFFFFF"/>
        </w:rPr>
        <w:t xml:space="preserve">  </w:t>
      </w:r>
      <w:r w:rsidRPr="00C56743" w:rsidR="00D0340F">
        <w:rPr>
          <w:rFonts w:ascii="Times New Roman" w:hAnsi="Times New Roman"/>
          <w:kern w:val="28"/>
          <w:sz w:val="22"/>
          <w:szCs w:val="22"/>
        </w:rPr>
        <w:t>Where possible, Form 2100, Sched</w:t>
      </w:r>
      <w:r w:rsidRPr="00C56743" w:rsidR="007D2AF5">
        <w:rPr>
          <w:rFonts w:ascii="Times New Roman" w:hAnsi="Times New Roman"/>
          <w:kern w:val="28"/>
          <w:sz w:val="22"/>
          <w:szCs w:val="22"/>
        </w:rPr>
        <w:t>ule 3</w:t>
      </w:r>
      <w:r w:rsidR="006546E7">
        <w:rPr>
          <w:rFonts w:ascii="Times New Roman" w:hAnsi="Times New Roman"/>
          <w:kern w:val="28"/>
          <w:sz w:val="22"/>
          <w:szCs w:val="22"/>
        </w:rPr>
        <w:t>87</w:t>
      </w:r>
      <w:r w:rsidRPr="00C56743" w:rsidR="00D0340F">
        <w:rPr>
          <w:rFonts w:ascii="Times New Roman" w:hAnsi="Times New Roman"/>
          <w:kern w:val="28"/>
          <w:sz w:val="22"/>
          <w:szCs w:val="22"/>
        </w:rPr>
        <w:t xml:space="preserve"> provides multiple options from which the filer need only check the appropriate box</w:t>
      </w:r>
      <w:r w:rsidR="006546E7">
        <w:rPr>
          <w:rFonts w:ascii="Times New Roman" w:hAnsi="Times New Roman"/>
          <w:kern w:val="28"/>
          <w:sz w:val="22"/>
          <w:szCs w:val="22"/>
        </w:rPr>
        <w:t>; the majority</w:t>
      </w:r>
      <w:r w:rsidR="003D014B">
        <w:rPr>
          <w:rFonts w:ascii="Times New Roman" w:hAnsi="Times New Roman"/>
          <w:kern w:val="28"/>
          <w:sz w:val="22"/>
          <w:szCs w:val="22"/>
        </w:rPr>
        <w:t xml:space="preserve"> </w:t>
      </w:r>
      <w:r w:rsidR="006546E7">
        <w:rPr>
          <w:rFonts w:ascii="Times New Roman" w:hAnsi="Times New Roman"/>
          <w:kern w:val="28"/>
          <w:sz w:val="22"/>
          <w:szCs w:val="22"/>
        </w:rPr>
        <w:t>of questions do not require a narrative explanation</w:t>
      </w:r>
      <w:r w:rsidRPr="00C56743" w:rsidR="00D0340F">
        <w:rPr>
          <w:rFonts w:ascii="Times New Roman" w:hAnsi="Times New Roman"/>
          <w:kern w:val="28"/>
          <w:sz w:val="22"/>
          <w:szCs w:val="22"/>
        </w:rPr>
        <w:t xml:space="preserve">. </w:t>
      </w:r>
      <w:r w:rsidR="006546E7">
        <w:rPr>
          <w:rFonts w:ascii="Times New Roman" w:hAnsi="Times New Roman"/>
          <w:kern w:val="28"/>
          <w:sz w:val="22"/>
          <w:szCs w:val="22"/>
        </w:rPr>
        <w:t xml:space="preserve"> Once a broadcaster has filed a Transition Progress Report Form certifying that it has completed all work related to construction of its post-auction facilities and ceased operating on its pre-auction channel, it will no longer be required to file the reports.</w:t>
      </w:r>
      <w:r w:rsidRPr="00C56743" w:rsidR="00D0340F">
        <w:rPr>
          <w:rFonts w:ascii="Times New Roman" w:hAnsi="Times New Roman"/>
          <w:kern w:val="28"/>
          <w:sz w:val="22"/>
          <w:szCs w:val="22"/>
        </w:rPr>
        <w:t xml:space="preserve"> </w:t>
      </w:r>
      <w:r w:rsidRPr="00C56743" w:rsidR="007545B3">
        <w:rPr>
          <w:rFonts w:ascii="Times New Roman" w:hAnsi="Times New Roman"/>
          <w:kern w:val="28"/>
          <w:sz w:val="22"/>
          <w:szCs w:val="22"/>
        </w:rPr>
        <w:t xml:space="preserve"> </w:t>
      </w:r>
    </w:p>
    <w:p w:rsidR="006B1630" w:rsidRPr="00C56743" w14:paraId="085AA88C" w14:textId="77777777">
      <w:pPr>
        <w:tabs>
          <w:tab w:val="left" w:pos="360"/>
        </w:tabs>
        <w:ind w:left="360" w:hanging="360"/>
        <w:rPr>
          <w:rFonts w:ascii="Times New Roman" w:hAnsi="Times New Roman"/>
          <w:spacing w:val="-3"/>
          <w:sz w:val="22"/>
          <w:szCs w:val="22"/>
        </w:rPr>
      </w:pPr>
    </w:p>
    <w:p w:rsidR="006B1630" w:rsidRPr="00C56743" w:rsidP="004F0C01" w14:paraId="1900C4B9" w14:textId="77777777">
      <w:pPr>
        <w:tabs>
          <w:tab w:val="left" w:pos="360"/>
        </w:tabs>
        <w:ind w:left="360" w:hanging="360"/>
        <w:rPr>
          <w:rFonts w:ascii="Times New Roman" w:hAnsi="Times New Roman"/>
          <w:sz w:val="22"/>
          <w:szCs w:val="22"/>
        </w:rPr>
      </w:pPr>
      <w:r w:rsidRPr="00C56743">
        <w:rPr>
          <w:rFonts w:ascii="Times New Roman" w:hAnsi="Times New Roman"/>
          <w:sz w:val="22"/>
          <w:szCs w:val="22"/>
          <w:shd w:val="clear" w:color="auto" w:fill="FFFFFF"/>
        </w:rPr>
        <w:t>6.</w:t>
      </w:r>
      <w:r w:rsidRPr="00C56743">
        <w:rPr>
          <w:rFonts w:ascii="Times New Roman" w:hAnsi="Times New Roman"/>
          <w:sz w:val="22"/>
          <w:szCs w:val="22"/>
          <w:shd w:val="clear" w:color="auto" w:fill="FFFFFF"/>
        </w:rPr>
        <w:tab/>
      </w:r>
      <w:r w:rsidRPr="00C56743" w:rsidR="00935412">
        <w:rPr>
          <w:rFonts w:ascii="Times New Roman" w:hAnsi="Times New Roman"/>
          <w:sz w:val="22"/>
          <w:szCs w:val="22"/>
          <w:shd w:val="clear" w:color="auto" w:fill="FFFFFF"/>
        </w:rPr>
        <w:t>Form 2100, Schedule 3</w:t>
      </w:r>
      <w:r w:rsidR="00653078">
        <w:rPr>
          <w:rFonts w:ascii="Times New Roman" w:hAnsi="Times New Roman"/>
          <w:sz w:val="22"/>
          <w:szCs w:val="22"/>
          <w:shd w:val="clear" w:color="auto" w:fill="FFFFFF"/>
        </w:rPr>
        <w:t>87</w:t>
      </w:r>
      <w:r w:rsidRPr="00C56743" w:rsidR="006B6EE9">
        <w:rPr>
          <w:rFonts w:ascii="Times New Roman" w:hAnsi="Times New Roman"/>
          <w:sz w:val="22"/>
          <w:szCs w:val="22"/>
          <w:shd w:val="clear" w:color="auto" w:fill="FFFFFF"/>
        </w:rPr>
        <w:t xml:space="preserve"> will collect key </w:t>
      </w:r>
      <w:r w:rsidRPr="00C56743" w:rsidR="009E5618">
        <w:rPr>
          <w:rFonts w:ascii="Times New Roman" w:hAnsi="Times New Roman"/>
          <w:sz w:val="22"/>
          <w:szCs w:val="22"/>
          <w:shd w:val="clear" w:color="auto" w:fill="FFFFFF"/>
        </w:rPr>
        <w:t>data</w:t>
      </w:r>
      <w:r w:rsidRPr="00C56743" w:rsidR="006B6EE9">
        <w:rPr>
          <w:rFonts w:ascii="Times New Roman" w:hAnsi="Times New Roman"/>
          <w:sz w:val="22"/>
          <w:szCs w:val="22"/>
          <w:shd w:val="clear" w:color="auto" w:fill="FFFFFF"/>
        </w:rPr>
        <w:t xml:space="preserve"> from </w:t>
      </w:r>
      <w:r w:rsidR="00653078">
        <w:rPr>
          <w:rFonts w:ascii="Times New Roman" w:hAnsi="Times New Roman"/>
          <w:sz w:val="22"/>
          <w:szCs w:val="22"/>
          <w:shd w:val="clear" w:color="auto" w:fill="FFFFFF"/>
        </w:rPr>
        <w:t>stations reassigned to new channels throughout the transition period.</w:t>
      </w:r>
      <w:r w:rsidRPr="00C56743" w:rsidR="009E5618">
        <w:rPr>
          <w:rFonts w:ascii="Times New Roman" w:hAnsi="Times New Roman"/>
          <w:sz w:val="22"/>
          <w:szCs w:val="22"/>
          <w:shd w:val="clear" w:color="auto" w:fill="FFFFFF"/>
        </w:rPr>
        <w:t xml:space="preserve">  This information collection is</w:t>
      </w:r>
      <w:r w:rsidRPr="00C56743">
        <w:rPr>
          <w:rFonts w:ascii="Times New Roman" w:hAnsi="Times New Roman"/>
          <w:sz w:val="22"/>
          <w:szCs w:val="22"/>
          <w:shd w:val="clear" w:color="auto" w:fill="FFFFFF"/>
        </w:rPr>
        <w:t xml:space="preserve"> necessary for the Com</w:t>
      </w:r>
      <w:r w:rsidRPr="00C56743" w:rsidR="00ED5B02">
        <w:rPr>
          <w:rFonts w:ascii="Times New Roman" w:hAnsi="Times New Roman"/>
          <w:sz w:val="22"/>
          <w:szCs w:val="22"/>
          <w:shd w:val="clear" w:color="auto" w:fill="FFFFFF"/>
        </w:rPr>
        <w:t>mission to carry out the goals</w:t>
      </w:r>
      <w:r w:rsidRPr="00C56743" w:rsidR="005D728A">
        <w:rPr>
          <w:rFonts w:ascii="Times New Roman" w:hAnsi="Times New Roman"/>
          <w:sz w:val="22"/>
          <w:szCs w:val="22"/>
          <w:shd w:val="clear" w:color="auto" w:fill="FFFFFF"/>
        </w:rPr>
        <w:t xml:space="preserve"> of and to comply with the Spectrum Act</w:t>
      </w:r>
      <w:r w:rsidR="00653078">
        <w:rPr>
          <w:rFonts w:ascii="Times New Roman" w:hAnsi="Times New Roman"/>
          <w:sz w:val="22"/>
          <w:szCs w:val="22"/>
          <w:shd w:val="clear" w:color="auto" w:fill="FFFFFF"/>
        </w:rPr>
        <w:t>, which requires the reallocation of broadcast spectrum for flexible use by winning bidders who acquired rights to the reallocated spectrum in the forward auction.</w:t>
      </w:r>
      <w:r w:rsidRPr="00C56743">
        <w:rPr>
          <w:rFonts w:ascii="Times New Roman" w:hAnsi="Times New Roman"/>
          <w:sz w:val="22"/>
          <w:szCs w:val="22"/>
          <w:shd w:val="clear" w:color="auto" w:fill="FFFFFF"/>
        </w:rPr>
        <w:t xml:space="preserve">  </w:t>
      </w:r>
      <w:r w:rsidRPr="00C56743" w:rsidR="00ED5B02">
        <w:rPr>
          <w:rFonts w:ascii="Times New Roman" w:hAnsi="Times New Roman"/>
          <w:sz w:val="22"/>
          <w:szCs w:val="22"/>
        </w:rPr>
        <w:t>Without the information coll</w:t>
      </w:r>
      <w:r w:rsidRPr="00C56743" w:rsidR="005C636A">
        <w:rPr>
          <w:rFonts w:ascii="Times New Roman" w:hAnsi="Times New Roman"/>
          <w:sz w:val="22"/>
          <w:szCs w:val="22"/>
        </w:rPr>
        <w:t>ected in Form 2100, Schedule 3</w:t>
      </w:r>
      <w:r w:rsidR="00653078">
        <w:rPr>
          <w:rFonts w:ascii="Times New Roman" w:hAnsi="Times New Roman"/>
          <w:sz w:val="22"/>
          <w:szCs w:val="22"/>
        </w:rPr>
        <w:t>87</w:t>
      </w:r>
      <w:r w:rsidRPr="00C56743" w:rsidR="00ED5B02">
        <w:rPr>
          <w:rFonts w:ascii="Times New Roman" w:hAnsi="Times New Roman"/>
          <w:sz w:val="22"/>
          <w:szCs w:val="22"/>
        </w:rPr>
        <w:t>, the Commissio</w:t>
      </w:r>
      <w:r w:rsidRPr="00C56743" w:rsidR="00393FE6">
        <w:rPr>
          <w:rFonts w:ascii="Times New Roman" w:hAnsi="Times New Roman"/>
          <w:sz w:val="22"/>
          <w:szCs w:val="22"/>
        </w:rPr>
        <w:t xml:space="preserve">n could not </w:t>
      </w:r>
      <w:r w:rsidR="00653078">
        <w:rPr>
          <w:rFonts w:ascii="Times New Roman" w:hAnsi="Times New Roman"/>
          <w:sz w:val="22"/>
          <w:szCs w:val="22"/>
        </w:rPr>
        <w:t>monitor stations’ progress in meeting their construction deadlines in order to ensure that reassigned stations construct their post-auction facilities by their construction deadline.</w:t>
      </w:r>
      <w:r w:rsidRPr="00C56743" w:rsidR="00F65F73">
        <w:rPr>
          <w:rFonts w:ascii="Times New Roman" w:hAnsi="Times New Roman"/>
          <w:sz w:val="22"/>
          <w:szCs w:val="22"/>
        </w:rPr>
        <w:t xml:space="preserve"> </w:t>
      </w:r>
      <w:r w:rsidRPr="00C56743" w:rsidR="007E65D6">
        <w:rPr>
          <w:rFonts w:ascii="Times New Roman" w:hAnsi="Times New Roman"/>
          <w:sz w:val="22"/>
          <w:szCs w:val="22"/>
        </w:rPr>
        <w:t xml:space="preserve">The </w:t>
      </w:r>
      <w:r w:rsidRPr="00C56743" w:rsidR="005B330C">
        <w:rPr>
          <w:rFonts w:ascii="Times New Roman" w:hAnsi="Times New Roman"/>
          <w:sz w:val="22"/>
          <w:szCs w:val="22"/>
        </w:rPr>
        <w:t xml:space="preserve">data collected will </w:t>
      </w:r>
      <w:r w:rsidR="00F163B5">
        <w:rPr>
          <w:rFonts w:ascii="Times New Roman" w:hAnsi="Times New Roman"/>
          <w:sz w:val="22"/>
          <w:szCs w:val="22"/>
        </w:rPr>
        <w:t xml:space="preserve">also </w:t>
      </w:r>
      <w:r w:rsidRPr="00C56743" w:rsidR="005B330C">
        <w:rPr>
          <w:rFonts w:ascii="Times New Roman" w:hAnsi="Times New Roman"/>
          <w:sz w:val="22"/>
          <w:szCs w:val="22"/>
        </w:rPr>
        <w:t xml:space="preserve">allow the Commission to comply with its </w:t>
      </w:r>
      <w:r w:rsidRPr="00C56743" w:rsidR="007E65D6">
        <w:rPr>
          <w:rFonts w:ascii="Times New Roman" w:hAnsi="Times New Roman"/>
          <w:sz w:val="22"/>
          <w:szCs w:val="22"/>
        </w:rPr>
        <w:t>statutory obligations both to reimburse costs reasonably incurred under section 6403(b)(4)(A) and to provide entities with the funds to implement their relocation changes within the statutory three-year reimbursement period under section 6403(b)(4)(D)</w:t>
      </w:r>
      <w:r w:rsidRPr="00C56743" w:rsidR="005B330C">
        <w:rPr>
          <w:rFonts w:ascii="Times New Roman" w:hAnsi="Times New Roman"/>
          <w:sz w:val="22"/>
          <w:szCs w:val="22"/>
        </w:rPr>
        <w:t xml:space="preserve"> of the Spectrum Act (codified at 47 U.S.C. § 1452)</w:t>
      </w:r>
      <w:r w:rsidRPr="00C56743" w:rsidR="007E65D6">
        <w:rPr>
          <w:rFonts w:ascii="Times New Roman" w:hAnsi="Times New Roman"/>
          <w:sz w:val="22"/>
          <w:szCs w:val="22"/>
        </w:rPr>
        <w:t xml:space="preserve">. </w:t>
      </w:r>
      <w:r w:rsidRPr="00C56743" w:rsidR="005B330C">
        <w:rPr>
          <w:rFonts w:ascii="Times New Roman" w:hAnsi="Times New Roman"/>
          <w:sz w:val="22"/>
          <w:szCs w:val="22"/>
        </w:rPr>
        <w:t xml:space="preserve"> </w:t>
      </w:r>
      <w:r w:rsidRPr="00C56743" w:rsidR="007E65D6">
        <w:rPr>
          <w:rFonts w:ascii="Times New Roman" w:hAnsi="Times New Roman"/>
          <w:sz w:val="22"/>
          <w:szCs w:val="22"/>
        </w:rPr>
        <w:t xml:space="preserve">In addition, </w:t>
      </w:r>
      <w:r w:rsidRPr="00C56743" w:rsidR="005B330C">
        <w:rPr>
          <w:rFonts w:ascii="Times New Roman" w:hAnsi="Times New Roman"/>
          <w:sz w:val="22"/>
          <w:szCs w:val="22"/>
        </w:rPr>
        <w:t xml:space="preserve">collecting </w:t>
      </w:r>
      <w:r w:rsidR="00653078">
        <w:rPr>
          <w:rFonts w:ascii="Times New Roman" w:hAnsi="Times New Roman"/>
          <w:sz w:val="22"/>
          <w:szCs w:val="22"/>
        </w:rPr>
        <w:t>this informati</w:t>
      </w:r>
      <w:r w:rsidR="00F163B5">
        <w:rPr>
          <w:rFonts w:ascii="Times New Roman" w:hAnsi="Times New Roman"/>
          <w:sz w:val="22"/>
          <w:szCs w:val="22"/>
        </w:rPr>
        <w:t>o</w:t>
      </w:r>
      <w:r w:rsidR="00653078">
        <w:rPr>
          <w:rFonts w:ascii="Times New Roman" w:hAnsi="Times New Roman"/>
          <w:sz w:val="22"/>
          <w:szCs w:val="22"/>
        </w:rPr>
        <w:t>n</w:t>
      </w:r>
      <w:r w:rsidRPr="00C56743" w:rsidR="005B330C">
        <w:rPr>
          <w:rFonts w:ascii="Times New Roman" w:hAnsi="Times New Roman"/>
          <w:sz w:val="22"/>
          <w:szCs w:val="22"/>
        </w:rPr>
        <w:t xml:space="preserve"> will preserve</w:t>
      </w:r>
      <w:r w:rsidRPr="00C56743" w:rsidR="007E65D6">
        <w:rPr>
          <w:rFonts w:ascii="Times New Roman" w:hAnsi="Times New Roman"/>
          <w:sz w:val="22"/>
          <w:szCs w:val="22"/>
        </w:rPr>
        <w:t xml:space="preserve"> the </w:t>
      </w:r>
      <w:r w:rsidRPr="00C56743" w:rsidR="005B330C">
        <w:rPr>
          <w:rFonts w:ascii="Times New Roman" w:hAnsi="Times New Roman"/>
          <w:sz w:val="22"/>
          <w:szCs w:val="22"/>
        </w:rPr>
        <w:t xml:space="preserve">financial </w:t>
      </w:r>
      <w:r w:rsidRPr="00C56743" w:rsidR="007E65D6">
        <w:rPr>
          <w:rFonts w:ascii="Times New Roman" w:hAnsi="Times New Roman"/>
          <w:sz w:val="22"/>
          <w:szCs w:val="22"/>
        </w:rPr>
        <w:t xml:space="preserve">integrity of the </w:t>
      </w:r>
      <w:r w:rsidR="00653078">
        <w:rPr>
          <w:rFonts w:ascii="Times New Roman" w:hAnsi="Times New Roman"/>
          <w:sz w:val="22"/>
          <w:szCs w:val="22"/>
        </w:rPr>
        <w:t xml:space="preserve">Reimbursement </w:t>
      </w:r>
      <w:r w:rsidRPr="00C56743" w:rsidR="007E65D6">
        <w:rPr>
          <w:rFonts w:ascii="Times New Roman" w:hAnsi="Times New Roman"/>
          <w:sz w:val="22"/>
          <w:szCs w:val="22"/>
        </w:rPr>
        <w:t xml:space="preserve">Fund by reducing the </w:t>
      </w:r>
      <w:r w:rsidRPr="00C56743" w:rsidR="007E65D6">
        <w:rPr>
          <w:rFonts w:ascii="Times New Roman" w:hAnsi="Times New Roman"/>
          <w:sz w:val="22"/>
          <w:szCs w:val="22"/>
        </w:rPr>
        <w:t xml:space="preserve">likelihood of waste, fraud, and abuse. </w:t>
      </w:r>
    </w:p>
    <w:p w:rsidR="006B1630" w:rsidRPr="00C56743" w14:paraId="4D87BA15" w14:textId="77777777">
      <w:pPr>
        <w:shd w:val="clear" w:color="auto" w:fill="FFFFFF"/>
        <w:tabs>
          <w:tab w:val="left" w:pos="360"/>
        </w:tabs>
        <w:suppressAutoHyphens/>
        <w:ind w:left="360" w:hanging="360"/>
        <w:rPr>
          <w:rFonts w:ascii="Times New Roman" w:hAnsi="Times New Roman"/>
          <w:spacing w:val="-3"/>
          <w:sz w:val="22"/>
          <w:szCs w:val="22"/>
        </w:rPr>
      </w:pPr>
    </w:p>
    <w:p w:rsidR="006B1630" w:rsidRPr="00C56743" w14:paraId="6AFA9F67" w14:textId="77777777">
      <w:pPr>
        <w:shd w:val="clear" w:color="auto" w:fill="FFFFFF"/>
        <w:tabs>
          <w:tab w:val="left" w:pos="360"/>
        </w:tabs>
        <w:suppressAutoHyphens/>
        <w:ind w:left="360" w:hanging="360"/>
        <w:rPr>
          <w:rFonts w:ascii="Times New Roman" w:hAnsi="Times New Roman"/>
          <w:spacing w:val="-3"/>
          <w:sz w:val="22"/>
          <w:szCs w:val="22"/>
        </w:rPr>
      </w:pPr>
      <w:r w:rsidRPr="00C56743">
        <w:rPr>
          <w:rFonts w:ascii="Times New Roman" w:hAnsi="Times New Roman"/>
          <w:spacing w:val="-3"/>
          <w:sz w:val="22"/>
          <w:szCs w:val="22"/>
        </w:rPr>
        <w:t>7.</w:t>
      </w:r>
      <w:r w:rsidRPr="00C56743">
        <w:rPr>
          <w:rFonts w:ascii="Times New Roman" w:hAnsi="Times New Roman"/>
          <w:spacing w:val="-3"/>
          <w:sz w:val="22"/>
          <w:szCs w:val="22"/>
        </w:rPr>
        <w:tab/>
        <w:t>The collections are not being conducted in any manner inconsistent with 5 CFR Part 1320.</w:t>
      </w:r>
    </w:p>
    <w:p w:rsidR="006B1630" w:rsidRPr="00C56743" w14:paraId="2BC22236" w14:textId="77777777">
      <w:pPr>
        <w:tabs>
          <w:tab w:val="left" w:pos="360"/>
        </w:tabs>
        <w:rPr>
          <w:rFonts w:ascii="Arial" w:hAnsi="Arial" w:cs="Arial"/>
          <w:sz w:val="22"/>
          <w:szCs w:val="22"/>
        </w:rPr>
      </w:pPr>
    </w:p>
    <w:p w:rsidR="003D014B" w:rsidRPr="003D014B" w:rsidP="003D014B" w14:paraId="51A74BC1" w14:textId="0574D840">
      <w:pPr>
        <w:widowControl/>
        <w:tabs>
          <w:tab w:val="left" w:pos="360"/>
        </w:tabs>
        <w:autoSpaceDE w:val="0"/>
        <w:autoSpaceDN w:val="0"/>
        <w:adjustRightInd w:val="0"/>
        <w:ind w:left="360" w:hanging="360"/>
        <w:rPr>
          <w:rFonts w:ascii="Times New Roman" w:hAnsi="Times New Roman"/>
          <w:spacing w:val="-3"/>
          <w:sz w:val="22"/>
          <w:szCs w:val="22"/>
        </w:rPr>
      </w:pPr>
      <w:r w:rsidRPr="00C56743">
        <w:rPr>
          <w:rFonts w:ascii="Times New Roman" w:hAnsi="Times New Roman"/>
          <w:spacing w:val="-3"/>
          <w:sz w:val="22"/>
          <w:szCs w:val="22"/>
        </w:rPr>
        <w:t>8.</w:t>
      </w:r>
      <w:r w:rsidRPr="00C56743">
        <w:rPr>
          <w:rFonts w:ascii="Times New Roman" w:hAnsi="Times New Roman"/>
          <w:spacing w:val="-3"/>
          <w:sz w:val="22"/>
          <w:szCs w:val="22"/>
        </w:rPr>
        <w:tab/>
      </w:r>
      <w:r w:rsidRPr="00601CAD">
        <w:rPr>
          <w:rFonts w:ascii="Times New Roman" w:hAnsi="Times New Roman"/>
          <w:spacing w:val="-3"/>
          <w:sz w:val="22"/>
          <w:szCs w:val="22"/>
        </w:rPr>
        <w:t xml:space="preserve">The Commission published a Notice </w:t>
      </w:r>
      <w:r w:rsidRPr="00B6681D">
        <w:rPr>
          <w:rFonts w:ascii="Times New Roman" w:hAnsi="Times New Roman"/>
          <w:spacing w:val="-3"/>
          <w:sz w:val="22"/>
          <w:szCs w:val="22"/>
        </w:rPr>
        <w:t>(</w:t>
      </w:r>
      <w:r w:rsidR="008D5ABE">
        <w:rPr>
          <w:rFonts w:ascii="Times New Roman" w:hAnsi="Times New Roman"/>
          <w:spacing w:val="-3"/>
          <w:sz w:val="22"/>
          <w:szCs w:val="22"/>
        </w:rPr>
        <w:t>91</w:t>
      </w:r>
      <w:r w:rsidRPr="00B6681D">
        <w:rPr>
          <w:rFonts w:ascii="Times New Roman" w:hAnsi="Times New Roman"/>
          <w:spacing w:val="-3"/>
          <w:sz w:val="22"/>
          <w:szCs w:val="22"/>
        </w:rPr>
        <w:t xml:space="preserve"> </w:t>
      </w:r>
      <w:r w:rsidRPr="008D5ABE">
        <w:rPr>
          <w:rFonts w:ascii="Times New Roman" w:hAnsi="Times New Roman"/>
          <w:spacing w:val="-3"/>
          <w:sz w:val="22"/>
          <w:szCs w:val="22"/>
        </w:rPr>
        <w:t>FR</w:t>
      </w:r>
      <w:r w:rsidRPr="008D5ABE" w:rsidR="00225AFA">
        <w:rPr>
          <w:rFonts w:ascii="Times New Roman" w:hAnsi="Times New Roman"/>
          <w:spacing w:val="-3"/>
          <w:sz w:val="22"/>
          <w:szCs w:val="22"/>
        </w:rPr>
        <w:t xml:space="preserve"> </w:t>
      </w:r>
      <w:r w:rsidRPr="008D5ABE" w:rsidR="008D5ABE">
        <w:rPr>
          <w:rFonts w:ascii="Times New Roman" w:hAnsi="Times New Roman"/>
          <w:spacing w:val="-3"/>
          <w:sz w:val="22"/>
          <w:szCs w:val="22"/>
        </w:rPr>
        <w:t>1</w:t>
      </w:r>
      <w:r w:rsidR="008D5ABE">
        <w:rPr>
          <w:rFonts w:ascii="Times New Roman" w:hAnsi="Times New Roman"/>
          <w:spacing w:val="-3"/>
          <w:sz w:val="22"/>
          <w:szCs w:val="22"/>
        </w:rPr>
        <w:t>0392</w:t>
      </w:r>
      <w:r w:rsidRPr="00B6681D">
        <w:rPr>
          <w:rFonts w:ascii="Times New Roman" w:hAnsi="Times New Roman"/>
          <w:spacing w:val="-3"/>
          <w:sz w:val="22"/>
          <w:szCs w:val="22"/>
        </w:rPr>
        <w:t xml:space="preserve">) in the </w:t>
      </w:r>
      <w:r w:rsidRPr="00B6681D">
        <w:rPr>
          <w:rFonts w:ascii="Times New Roman" w:hAnsi="Times New Roman"/>
          <w:i/>
          <w:spacing w:val="-3"/>
          <w:sz w:val="22"/>
          <w:szCs w:val="22"/>
        </w:rPr>
        <w:t>Federal Register</w:t>
      </w:r>
      <w:r w:rsidRPr="00B6681D">
        <w:rPr>
          <w:rFonts w:ascii="Times New Roman" w:hAnsi="Times New Roman"/>
          <w:spacing w:val="-3"/>
          <w:sz w:val="22"/>
          <w:szCs w:val="22"/>
        </w:rPr>
        <w:t xml:space="preserve"> on</w:t>
      </w:r>
      <w:r w:rsidR="00225AFA">
        <w:rPr>
          <w:rFonts w:ascii="Times New Roman" w:hAnsi="Times New Roman"/>
          <w:spacing w:val="-3"/>
          <w:sz w:val="22"/>
          <w:szCs w:val="22"/>
        </w:rPr>
        <w:t xml:space="preserve"> </w:t>
      </w:r>
      <w:r w:rsidR="008D5ABE">
        <w:rPr>
          <w:rFonts w:ascii="Times New Roman" w:hAnsi="Times New Roman"/>
          <w:spacing w:val="-3"/>
          <w:sz w:val="22"/>
          <w:szCs w:val="22"/>
        </w:rPr>
        <w:t>March 3</w:t>
      </w:r>
      <w:r w:rsidR="006434AB">
        <w:rPr>
          <w:rFonts w:ascii="Times New Roman" w:hAnsi="Times New Roman"/>
          <w:spacing w:val="-3"/>
          <w:sz w:val="22"/>
          <w:szCs w:val="22"/>
        </w:rPr>
        <w:t xml:space="preserve">, </w:t>
      </w:r>
      <w:r w:rsidR="007F09FA">
        <w:rPr>
          <w:rFonts w:ascii="Times New Roman" w:hAnsi="Times New Roman"/>
          <w:spacing w:val="-3"/>
          <w:sz w:val="22"/>
          <w:szCs w:val="22"/>
        </w:rPr>
        <w:t>202</w:t>
      </w:r>
      <w:r w:rsidR="00225AFA">
        <w:rPr>
          <w:rFonts w:ascii="Times New Roman" w:hAnsi="Times New Roman"/>
          <w:spacing w:val="-3"/>
          <w:sz w:val="22"/>
          <w:szCs w:val="22"/>
        </w:rPr>
        <w:t>6</w:t>
      </w:r>
      <w:r w:rsidRPr="00B6681D">
        <w:rPr>
          <w:rFonts w:ascii="Times New Roman" w:hAnsi="Times New Roman"/>
          <w:spacing w:val="-3"/>
          <w:sz w:val="22"/>
          <w:szCs w:val="22"/>
        </w:rPr>
        <w:t>,</w:t>
      </w:r>
      <w:r w:rsidRPr="00601CAD">
        <w:rPr>
          <w:rFonts w:ascii="Times New Roman" w:hAnsi="Times New Roman"/>
          <w:spacing w:val="-3"/>
          <w:sz w:val="22"/>
          <w:szCs w:val="22"/>
        </w:rPr>
        <w:t xml:space="preserve"> seeking public comment on the information collection requirements contained in this supporting statements.   No comments were received from the public.</w:t>
      </w:r>
      <w:r w:rsidRPr="003D014B">
        <w:rPr>
          <w:rFonts w:ascii="Times New Roman" w:hAnsi="Times New Roman"/>
          <w:spacing w:val="-3"/>
          <w:sz w:val="22"/>
          <w:szCs w:val="22"/>
        </w:rPr>
        <w:t xml:space="preserve">    </w:t>
      </w:r>
    </w:p>
    <w:p w:rsidR="003D014B" w14:paraId="1A1218A9" w14:textId="77777777">
      <w:pPr>
        <w:widowControl/>
        <w:tabs>
          <w:tab w:val="left" w:pos="360"/>
        </w:tabs>
        <w:autoSpaceDE w:val="0"/>
        <w:autoSpaceDN w:val="0"/>
        <w:adjustRightInd w:val="0"/>
        <w:ind w:left="360" w:hanging="360"/>
        <w:rPr>
          <w:rFonts w:ascii="Times New Roman" w:hAnsi="Times New Roman"/>
          <w:spacing w:val="-3"/>
          <w:sz w:val="22"/>
          <w:szCs w:val="22"/>
        </w:rPr>
      </w:pPr>
      <w:r>
        <w:rPr>
          <w:rFonts w:ascii="Times New Roman" w:hAnsi="Times New Roman"/>
          <w:spacing w:val="-3"/>
          <w:sz w:val="22"/>
          <w:szCs w:val="22"/>
        </w:rPr>
        <w:t xml:space="preserve"> </w:t>
      </w:r>
    </w:p>
    <w:p w:rsidR="006B1630" w:rsidRPr="00C56743" w14:paraId="4348D44D" w14:textId="77777777">
      <w:pPr>
        <w:widowControl/>
        <w:tabs>
          <w:tab w:val="left" w:pos="360"/>
        </w:tabs>
        <w:autoSpaceDE w:val="0"/>
        <w:autoSpaceDN w:val="0"/>
        <w:adjustRightInd w:val="0"/>
        <w:ind w:left="360" w:hanging="360"/>
        <w:rPr>
          <w:rFonts w:ascii="Times New Roman" w:hAnsi="Times New Roman"/>
          <w:snapToGrid/>
          <w:sz w:val="22"/>
          <w:szCs w:val="22"/>
        </w:rPr>
      </w:pPr>
      <w:r>
        <w:rPr>
          <w:rFonts w:ascii="Times New Roman" w:hAnsi="Times New Roman"/>
          <w:spacing w:val="-3"/>
          <w:sz w:val="22"/>
          <w:szCs w:val="22"/>
        </w:rPr>
        <w:tab/>
      </w:r>
      <w:r w:rsidRPr="00C56743" w:rsidR="00521FCA">
        <w:rPr>
          <w:rFonts w:ascii="Times New Roman" w:hAnsi="Times New Roman"/>
          <w:spacing w:val="-3"/>
          <w:sz w:val="22"/>
          <w:szCs w:val="22"/>
        </w:rPr>
        <w:t xml:space="preserve">On </w:t>
      </w:r>
      <w:r w:rsidR="00F163B5">
        <w:rPr>
          <w:rFonts w:ascii="Times New Roman" w:hAnsi="Times New Roman"/>
          <w:spacing w:val="-3"/>
          <w:sz w:val="22"/>
          <w:szCs w:val="22"/>
        </w:rPr>
        <w:t>January 10, 20</w:t>
      </w:r>
      <w:r w:rsidR="00005AC8">
        <w:rPr>
          <w:rFonts w:ascii="Times New Roman" w:hAnsi="Times New Roman"/>
          <w:spacing w:val="-3"/>
          <w:sz w:val="22"/>
          <w:szCs w:val="22"/>
        </w:rPr>
        <w:t>17</w:t>
      </w:r>
      <w:r w:rsidRPr="00C56743" w:rsidR="00FE6D0F">
        <w:rPr>
          <w:rFonts w:ascii="Times New Roman" w:hAnsi="Times New Roman"/>
          <w:spacing w:val="-3"/>
          <w:sz w:val="22"/>
          <w:szCs w:val="22"/>
        </w:rPr>
        <w:t xml:space="preserve">, the Media Bureau released a Public Notice </w:t>
      </w:r>
      <w:r w:rsidR="00812D5F">
        <w:rPr>
          <w:rFonts w:ascii="Times New Roman" w:hAnsi="Times New Roman"/>
          <w:spacing w:val="-3"/>
          <w:sz w:val="22"/>
          <w:szCs w:val="22"/>
        </w:rPr>
        <w:t xml:space="preserve">adopting </w:t>
      </w:r>
      <w:r w:rsidRPr="00C56743" w:rsidR="00812D5F">
        <w:rPr>
          <w:rFonts w:ascii="Times New Roman" w:hAnsi="Times New Roman"/>
          <w:spacing w:val="-3"/>
          <w:sz w:val="22"/>
          <w:szCs w:val="22"/>
        </w:rPr>
        <w:t>FCC Form 2100, Schedule 3</w:t>
      </w:r>
      <w:r w:rsidR="00812D5F">
        <w:rPr>
          <w:rFonts w:ascii="Times New Roman" w:hAnsi="Times New Roman"/>
          <w:spacing w:val="-3"/>
          <w:sz w:val="22"/>
          <w:szCs w:val="22"/>
        </w:rPr>
        <w:t xml:space="preserve">87 for Reimbursable Stations and </w:t>
      </w:r>
      <w:r w:rsidRPr="00C56743" w:rsidR="00FE6D0F">
        <w:rPr>
          <w:rFonts w:ascii="Times New Roman" w:hAnsi="Times New Roman"/>
          <w:spacing w:val="-3"/>
          <w:sz w:val="22"/>
          <w:szCs w:val="22"/>
        </w:rPr>
        <w:t xml:space="preserve">seeking </w:t>
      </w:r>
      <w:r w:rsidRPr="00C56743" w:rsidR="00521FCA">
        <w:rPr>
          <w:rFonts w:ascii="Times New Roman" w:hAnsi="Times New Roman"/>
          <w:spacing w:val="-3"/>
          <w:sz w:val="22"/>
          <w:szCs w:val="22"/>
        </w:rPr>
        <w:t xml:space="preserve">public </w:t>
      </w:r>
      <w:r w:rsidRPr="00C56743" w:rsidR="00FE6D0F">
        <w:rPr>
          <w:rFonts w:ascii="Times New Roman" w:hAnsi="Times New Roman"/>
          <w:spacing w:val="-3"/>
          <w:sz w:val="22"/>
          <w:szCs w:val="22"/>
        </w:rPr>
        <w:t xml:space="preserve">comment on </w:t>
      </w:r>
      <w:r w:rsidR="00812D5F">
        <w:rPr>
          <w:rFonts w:ascii="Times New Roman" w:hAnsi="Times New Roman"/>
          <w:spacing w:val="-3"/>
          <w:sz w:val="22"/>
          <w:szCs w:val="22"/>
        </w:rPr>
        <w:t xml:space="preserve">whether Non-Reimbursable Stations should provide the same progress reports in the same manner and on the same schedule as Reimbursable Stations.  </w:t>
      </w:r>
      <w:r w:rsidRPr="00C56743" w:rsidR="00521FCA">
        <w:rPr>
          <w:rFonts w:ascii="Times New Roman" w:hAnsi="Times New Roman"/>
          <w:spacing w:val="-3"/>
          <w:sz w:val="22"/>
          <w:szCs w:val="22"/>
        </w:rPr>
        <w:t xml:space="preserve"> (</w:t>
      </w:r>
      <w:r w:rsidR="00733276">
        <w:rPr>
          <w:rFonts w:ascii="Times New Roman" w:hAnsi="Times New Roman"/>
          <w:spacing w:val="-3"/>
          <w:sz w:val="22"/>
          <w:szCs w:val="22"/>
        </w:rPr>
        <w:t>82</w:t>
      </w:r>
      <w:r w:rsidRPr="00C56743" w:rsidR="00521FCA">
        <w:rPr>
          <w:rFonts w:ascii="Times New Roman" w:hAnsi="Times New Roman"/>
          <w:spacing w:val="-3"/>
          <w:sz w:val="22"/>
          <w:szCs w:val="22"/>
        </w:rPr>
        <w:t xml:space="preserve"> FR </w:t>
      </w:r>
      <w:r w:rsidR="00733276">
        <w:rPr>
          <w:rFonts w:ascii="Times New Roman" w:hAnsi="Times New Roman"/>
          <w:spacing w:val="-3"/>
          <w:sz w:val="22"/>
          <w:szCs w:val="22"/>
        </w:rPr>
        <w:t>900</w:t>
      </w:r>
      <w:r w:rsidR="0027050F">
        <w:rPr>
          <w:rFonts w:ascii="Times New Roman" w:hAnsi="Times New Roman"/>
          <w:spacing w:val="-3"/>
          <w:sz w:val="22"/>
          <w:szCs w:val="22"/>
        </w:rPr>
        <w:t>9</w:t>
      </w:r>
      <w:r w:rsidRPr="00C56743" w:rsidR="00521FCA">
        <w:rPr>
          <w:rFonts w:ascii="Times New Roman" w:hAnsi="Times New Roman"/>
          <w:spacing w:val="-3"/>
          <w:sz w:val="22"/>
          <w:szCs w:val="22"/>
        </w:rPr>
        <w:t>)</w:t>
      </w:r>
      <w:r w:rsidRPr="00C56743" w:rsidR="00FE6D0F">
        <w:rPr>
          <w:rFonts w:ascii="Times New Roman" w:hAnsi="Times New Roman"/>
          <w:spacing w:val="-3"/>
          <w:sz w:val="22"/>
          <w:szCs w:val="22"/>
        </w:rPr>
        <w:t>.</w:t>
      </w:r>
      <w:r>
        <w:rPr>
          <w:rStyle w:val="FootnoteReference"/>
          <w:rFonts w:ascii="Times New Roman" w:hAnsi="Times New Roman"/>
          <w:spacing w:val="-3"/>
          <w:sz w:val="22"/>
          <w:szCs w:val="22"/>
        </w:rPr>
        <w:footnoteReference w:id="16"/>
      </w:r>
      <w:r w:rsidRPr="00C56743" w:rsidR="00FE6D0F">
        <w:rPr>
          <w:rFonts w:ascii="Times New Roman" w:hAnsi="Times New Roman"/>
          <w:spacing w:val="-3"/>
          <w:sz w:val="22"/>
          <w:szCs w:val="22"/>
        </w:rPr>
        <w:t xml:space="preserve">  The </w:t>
      </w:r>
      <w:r w:rsidRPr="00C56743" w:rsidR="00521FCA">
        <w:rPr>
          <w:rFonts w:ascii="Times New Roman" w:hAnsi="Times New Roman"/>
          <w:spacing w:val="-3"/>
          <w:sz w:val="22"/>
          <w:szCs w:val="22"/>
        </w:rPr>
        <w:t xml:space="preserve">Bureau received </w:t>
      </w:r>
      <w:r w:rsidR="00733276">
        <w:rPr>
          <w:rFonts w:ascii="Times New Roman" w:hAnsi="Times New Roman"/>
          <w:spacing w:val="-3"/>
          <w:sz w:val="22"/>
          <w:szCs w:val="22"/>
        </w:rPr>
        <w:t>four</w:t>
      </w:r>
      <w:r w:rsidRPr="00C56743" w:rsidR="00FE6D0F">
        <w:rPr>
          <w:rFonts w:ascii="Times New Roman" w:hAnsi="Times New Roman"/>
          <w:spacing w:val="-3"/>
          <w:sz w:val="22"/>
          <w:szCs w:val="22"/>
        </w:rPr>
        <w:t xml:space="preserve"> response</w:t>
      </w:r>
      <w:r w:rsidRPr="00C56743" w:rsidR="00521FCA">
        <w:rPr>
          <w:rFonts w:ascii="Times New Roman" w:hAnsi="Times New Roman"/>
          <w:spacing w:val="-3"/>
          <w:sz w:val="22"/>
          <w:szCs w:val="22"/>
        </w:rPr>
        <w:t>s</w:t>
      </w:r>
      <w:r w:rsidRPr="00C56743" w:rsidR="00994D8F">
        <w:rPr>
          <w:rFonts w:ascii="Times New Roman" w:hAnsi="Times New Roman"/>
          <w:spacing w:val="-3"/>
          <w:sz w:val="22"/>
          <w:szCs w:val="22"/>
        </w:rPr>
        <w:t xml:space="preserve">.  The majority of the comments </w:t>
      </w:r>
      <w:r w:rsidRPr="00C56743" w:rsidR="002454A5">
        <w:rPr>
          <w:rFonts w:ascii="Times New Roman" w:hAnsi="Times New Roman"/>
          <w:spacing w:val="-3"/>
          <w:sz w:val="22"/>
          <w:szCs w:val="22"/>
        </w:rPr>
        <w:t>were</w:t>
      </w:r>
      <w:r w:rsidRPr="00C56743" w:rsidR="00994D8F">
        <w:rPr>
          <w:rFonts w:ascii="Times New Roman" w:hAnsi="Times New Roman"/>
          <w:spacing w:val="-3"/>
          <w:sz w:val="22"/>
          <w:szCs w:val="22"/>
        </w:rPr>
        <w:t xml:space="preserve"> suggestions that </w:t>
      </w:r>
      <w:r w:rsidRPr="00C56743" w:rsidR="00A774C9">
        <w:rPr>
          <w:rFonts w:ascii="Times New Roman" w:hAnsi="Times New Roman"/>
          <w:spacing w:val="-3"/>
          <w:sz w:val="22"/>
          <w:szCs w:val="22"/>
        </w:rPr>
        <w:t xml:space="preserve">the Commission </w:t>
      </w:r>
      <w:r w:rsidR="00733276">
        <w:rPr>
          <w:rFonts w:ascii="Times New Roman" w:hAnsi="Times New Roman"/>
          <w:spacing w:val="-3"/>
          <w:sz w:val="22"/>
          <w:szCs w:val="22"/>
        </w:rPr>
        <w:t>make changes to questions in the form and filing requirements as adopted for Reimbursable Stations and require Non-Reimbursable Stations to file Form 387</w:t>
      </w:r>
      <w:r w:rsidR="0027050F">
        <w:rPr>
          <w:rFonts w:ascii="Times New Roman" w:hAnsi="Times New Roman"/>
          <w:spacing w:val="-3"/>
          <w:sz w:val="22"/>
          <w:szCs w:val="22"/>
        </w:rPr>
        <w:t xml:space="preserve"> subject to the same filing requirements. </w:t>
      </w:r>
      <w:r w:rsidRPr="00C56743" w:rsidR="00A774C9">
        <w:rPr>
          <w:rFonts w:ascii="Times New Roman" w:hAnsi="Times New Roman"/>
          <w:spacing w:val="-3"/>
          <w:sz w:val="22"/>
          <w:szCs w:val="22"/>
        </w:rPr>
        <w:t xml:space="preserve">  In response, we </w:t>
      </w:r>
      <w:r w:rsidR="0027050F">
        <w:rPr>
          <w:rFonts w:ascii="Times New Roman" w:hAnsi="Times New Roman"/>
          <w:spacing w:val="-3"/>
          <w:sz w:val="22"/>
          <w:szCs w:val="22"/>
        </w:rPr>
        <w:t>did not make any changes to the Form 387 or filing requirements, and adopted the same Form and filing requirements for Non-Reimbursable Stations.</w:t>
      </w:r>
      <w:r w:rsidRPr="00C56743" w:rsidR="00FE6D0F">
        <w:rPr>
          <w:rFonts w:ascii="Times New Roman" w:hAnsi="Times New Roman"/>
          <w:spacing w:val="-3"/>
          <w:sz w:val="22"/>
          <w:szCs w:val="22"/>
        </w:rPr>
        <w:t xml:space="preserve">  </w:t>
      </w:r>
      <w:r w:rsidRPr="00C56743" w:rsidR="00F15525">
        <w:rPr>
          <w:rFonts w:ascii="Times New Roman" w:hAnsi="Times New Roman"/>
          <w:spacing w:val="-3"/>
          <w:sz w:val="22"/>
          <w:szCs w:val="22"/>
        </w:rPr>
        <w:t xml:space="preserve"> </w:t>
      </w:r>
    </w:p>
    <w:p w:rsidR="006B1630" w:rsidRPr="00C56743" w14:paraId="5C055DB2" w14:textId="77777777">
      <w:pPr>
        <w:shd w:val="clear" w:color="auto" w:fill="FFFFFF"/>
        <w:tabs>
          <w:tab w:val="left" w:pos="360"/>
        </w:tabs>
        <w:suppressAutoHyphens/>
        <w:ind w:left="360" w:hanging="360"/>
        <w:rPr>
          <w:rFonts w:ascii="Times New Roman" w:hAnsi="Times New Roman"/>
          <w:spacing w:val="-3"/>
          <w:sz w:val="22"/>
          <w:szCs w:val="22"/>
        </w:rPr>
      </w:pPr>
    </w:p>
    <w:p w:rsidR="006B1630" w:rsidRPr="00C56743" w14:paraId="54E859B1" w14:textId="77777777">
      <w:pPr>
        <w:shd w:val="clear" w:color="auto" w:fill="FFFFFF"/>
        <w:tabs>
          <w:tab w:val="left" w:pos="360"/>
        </w:tabs>
        <w:suppressAutoHyphens/>
        <w:ind w:left="360" w:hanging="360"/>
        <w:rPr>
          <w:rFonts w:ascii="Times New Roman" w:hAnsi="Times New Roman"/>
          <w:spacing w:val="-3"/>
          <w:sz w:val="22"/>
          <w:szCs w:val="22"/>
        </w:rPr>
      </w:pPr>
      <w:r w:rsidRPr="00C56743">
        <w:rPr>
          <w:rFonts w:ascii="Times New Roman" w:hAnsi="Times New Roman"/>
          <w:spacing w:val="-3"/>
          <w:sz w:val="22"/>
          <w:szCs w:val="22"/>
        </w:rPr>
        <w:t>9.</w:t>
      </w:r>
      <w:r w:rsidRPr="00C56743">
        <w:rPr>
          <w:rFonts w:ascii="Times New Roman" w:hAnsi="Times New Roman"/>
          <w:spacing w:val="-3"/>
          <w:sz w:val="22"/>
          <w:szCs w:val="22"/>
        </w:rPr>
        <w:tab/>
        <w:t>No payment or gift will be provided to respondents</w:t>
      </w:r>
      <w:r w:rsidRPr="00C56743" w:rsidR="00F15525">
        <w:rPr>
          <w:rFonts w:ascii="Times New Roman" w:hAnsi="Times New Roman"/>
          <w:spacing w:val="-3"/>
          <w:sz w:val="22"/>
          <w:szCs w:val="22"/>
        </w:rPr>
        <w:t xml:space="preserve"> in connection with this collection of information</w:t>
      </w:r>
      <w:r w:rsidRPr="00C56743">
        <w:rPr>
          <w:rFonts w:ascii="Times New Roman" w:hAnsi="Times New Roman"/>
          <w:spacing w:val="-3"/>
          <w:sz w:val="22"/>
          <w:szCs w:val="22"/>
        </w:rPr>
        <w:t>.</w:t>
      </w:r>
    </w:p>
    <w:p w:rsidR="006B1630" w:rsidRPr="00C56743" w14:paraId="70C5C7F2" w14:textId="77777777">
      <w:pPr>
        <w:shd w:val="clear" w:color="auto" w:fill="FFFFFF"/>
        <w:tabs>
          <w:tab w:val="left" w:pos="360"/>
        </w:tabs>
        <w:suppressAutoHyphens/>
        <w:ind w:left="360" w:hanging="360"/>
        <w:rPr>
          <w:rFonts w:ascii="Times New Roman" w:hAnsi="Times New Roman"/>
          <w:spacing w:val="-3"/>
          <w:sz w:val="22"/>
          <w:szCs w:val="22"/>
        </w:rPr>
      </w:pPr>
    </w:p>
    <w:p w:rsidR="006B1630" w:rsidRPr="00C56743" w:rsidP="001F064B" w14:paraId="6E947749" w14:textId="77777777">
      <w:pPr>
        <w:tabs>
          <w:tab w:val="left" w:pos="360"/>
        </w:tabs>
        <w:suppressAutoHyphens/>
        <w:ind w:left="360" w:hanging="360"/>
        <w:rPr>
          <w:rFonts w:ascii="Times New Roman" w:hAnsi="Times New Roman"/>
          <w:spacing w:val="-3"/>
          <w:sz w:val="22"/>
          <w:szCs w:val="22"/>
        </w:rPr>
      </w:pPr>
      <w:r w:rsidRPr="00C56743">
        <w:rPr>
          <w:rFonts w:ascii="Times New Roman" w:hAnsi="Times New Roman"/>
          <w:spacing w:val="-3"/>
          <w:sz w:val="22"/>
          <w:szCs w:val="22"/>
        </w:rPr>
        <w:t>10.</w:t>
      </w:r>
      <w:r w:rsidRPr="00C56743">
        <w:rPr>
          <w:rFonts w:ascii="Times New Roman" w:hAnsi="Times New Roman"/>
          <w:spacing w:val="-3"/>
          <w:sz w:val="22"/>
          <w:szCs w:val="22"/>
        </w:rPr>
        <w:tab/>
      </w:r>
      <w:r w:rsidR="0031302C">
        <w:rPr>
          <w:rFonts w:ascii="Times New Roman" w:hAnsi="Times New Roman"/>
          <w:spacing w:val="-3"/>
          <w:sz w:val="22"/>
          <w:szCs w:val="22"/>
        </w:rPr>
        <w:t>No</w:t>
      </w:r>
      <w:r w:rsidRPr="00C56743">
        <w:rPr>
          <w:rFonts w:ascii="Times New Roman" w:hAnsi="Times New Roman"/>
          <w:spacing w:val="-3"/>
          <w:sz w:val="22"/>
          <w:szCs w:val="22"/>
        </w:rPr>
        <w:t xml:space="preserve"> assurances of confidentiality are being provided to the respondents. </w:t>
      </w:r>
      <w:r w:rsidRPr="00C56743" w:rsidR="001F064B">
        <w:rPr>
          <w:rFonts w:ascii="Times New Roman" w:hAnsi="Times New Roman"/>
          <w:spacing w:val="-3"/>
          <w:sz w:val="22"/>
          <w:szCs w:val="22"/>
        </w:rPr>
        <w:t xml:space="preserve"> </w:t>
      </w:r>
      <w:r w:rsidRPr="00C56743" w:rsidR="00F4584D">
        <w:rPr>
          <w:rFonts w:ascii="Times New Roman" w:hAnsi="Times New Roman"/>
          <w:spacing w:val="-3"/>
          <w:sz w:val="22"/>
          <w:szCs w:val="22"/>
        </w:rPr>
        <w:t xml:space="preserve"> </w:t>
      </w:r>
      <w:r w:rsidRPr="00C56743">
        <w:rPr>
          <w:rFonts w:ascii="Times New Roman" w:hAnsi="Times New Roman"/>
          <w:sz w:val="22"/>
          <w:szCs w:val="22"/>
          <w:shd w:val="clear" w:color="auto" w:fill="FFFFFF"/>
        </w:rPr>
        <w:t xml:space="preserve">Parties filing </w:t>
      </w:r>
      <w:r w:rsidRPr="00C56743" w:rsidR="00C84DBB">
        <w:rPr>
          <w:rFonts w:ascii="Times New Roman" w:hAnsi="Times New Roman"/>
          <w:sz w:val="22"/>
          <w:szCs w:val="22"/>
        </w:rPr>
        <w:t xml:space="preserve">Form 2100, Schedule </w:t>
      </w:r>
      <w:r w:rsidRPr="00C56743" w:rsidR="00B33187">
        <w:rPr>
          <w:rFonts w:ascii="Times New Roman" w:hAnsi="Times New Roman"/>
          <w:sz w:val="22"/>
          <w:szCs w:val="22"/>
        </w:rPr>
        <w:t>3</w:t>
      </w:r>
      <w:r w:rsidR="0031302C">
        <w:rPr>
          <w:rFonts w:ascii="Times New Roman" w:hAnsi="Times New Roman"/>
          <w:sz w:val="22"/>
          <w:szCs w:val="22"/>
        </w:rPr>
        <w:t>87</w:t>
      </w:r>
      <w:r w:rsidRPr="00C56743" w:rsidR="00C84DBB">
        <w:rPr>
          <w:rFonts w:ascii="Times New Roman" w:hAnsi="Times New Roman"/>
          <w:sz w:val="22"/>
          <w:szCs w:val="22"/>
        </w:rPr>
        <w:t xml:space="preserve"> </w:t>
      </w:r>
      <w:r w:rsidRPr="00C56743">
        <w:rPr>
          <w:rFonts w:ascii="Times New Roman" w:hAnsi="Times New Roman"/>
          <w:sz w:val="22"/>
          <w:szCs w:val="22"/>
          <w:shd w:val="clear" w:color="auto" w:fill="FFFFFF"/>
        </w:rPr>
        <w:t>may seek confidential treatment of</w:t>
      </w:r>
      <w:r w:rsidRPr="00C56743" w:rsidR="00157510">
        <w:rPr>
          <w:rFonts w:ascii="Times New Roman" w:hAnsi="Times New Roman"/>
          <w:sz w:val="22"/>
          <w:szCs w:val="22"/>
          <w:shd w:val="clear" w:color="auto" w:fill="FFFFFF"/>
        </w:rPr>
        <w:t xml:space="preserve"> </w:t>
      </w:r>
      <w:r w:rsidRPr="00C56743">
        <w:rPr>
          <w:rFonts w:ascii="Times New Roman" w:hAnsi="Times New Roman"/>
          <w:sz w:val="22"/>
          <w:szCs w:val="22"/>
          <w:shd w:val="clear" w:color="auto" w:fill="FFFFFF"/>
        </w:rPr>
        <w:t>information they provide pursuant to the Commission’s existing confidentiality rules.</w:t>
      </w:r>
      <w:r>
        <w:rPr>
          <w:rStyle w:val="FootnoteReference"/>
          <w:rFonts w:ascii="Times New Roman" w:hAnsi="Times New Roman"/>
          <w:sz w:val="22"/>
          <w:szCs w:val="22"/>
          <w:shd w:val="clear" w:color="auto" w:fill="FFFFFF"/>
        </w:rPr>
        <w:footnoteReference w:id="17"/>
      </w:r>
      <w:r w:rsidRPr="00C56743">
        <w:rPr>
          <w:rFonts w:ascii="Times New Roman" w:hAnsi="Times New Roman"/>
          <w:sz w:val="22"/>
          <w:szCs w:val="22"/>
          <w:shd w:val="clear" w:color="auto" w:fill="FFFFFF"/>
        </w:rPr>
        <w:t xml:space="preserve"> </w:t>
      </w:r>
    </w:p>
    <w:p w:rsidR="006B1630" w:rsidRPr="00C56743" w14:paraId="50B12CC5" w14:textId="77777777">
      <w:pPr>
        <w:tabs>
          <w:tab w:val="left" w:pos="360"/>
        </w:tabs>
        <w:ind w:left="360" w:hanging="360"/>
        <w:rPr>
          <w:rFonts w:ascii="Times New Roman" w:hAnsi="Times New Roman"/>
          <w:b/>
          <w:bCs/>
          <w:sz w:val="22"/>
          <w:szCs w:val="22"/>
        </w:rPr>
      </w:pPr>
    </w:p>
    <w:p w:rsidR="00F15525" w:rsidRPr="00C56743" w14:paraId="380F6825" w14:textId="77777777">
      <w:pPr>
        <w:tabs>
          <w:tab w:val="left" w:pos="360"/>
        </w:tabs>
        <w:ind w:left="360" w:hanging="360"/>
        <w:rPr>
          <w:rFonts w:ascii="Times New Roman" w:hAnsi="Times New Roman"/>
          <w:sz w:val="22"/>
          <w:szCs w:val="22"/>
          <w:shd w:val="clear" w:color="auto" w:fill="FFFFFF"/>
        </w:rPr>
      </w:pPr>
      <w:r w:rsidRPr="00C56743">
        <w:rPr>
          <w:rFonts w:ascii="Times New Roman" w:hAnsi="Times New Roman"/>
          <w:sz w:val="22"/>
          <w:szCs w:val="22"/>
          <w:shd w:val="clear" w:color="auto" w:fill="FFFFFF"/>
        </w:rPr>
        <w:t>11.</w:t>
      </w:r>
      <w:r w:rsidRPr="00C56743">
        <w:rPr>
          <w:rFonts w:ascii="Times New Roman" w:hAnsi="Times New Roman"/>
          <w:sz w:val="22"/>
          <w:szCs w:val="22"/>
          <w:shd w:val="clear" w:color="auto" w:fill="FFFFFF"/>
        </w:rPr>
        <w:tab/>
        <w:t>There are no questions of a sensitive nature with respe</w:t>
      </w:r>
      <w:r w:rsidRPr="00C56743" w:rsidR="00170484">
        <w:rPr>
          <w:rFonts w:ascii="Times New Roman" w:hAnsi="Times New Roman"/>
          <w:sz w:val="22"/>
          <w:szCs w:val="22"/>
          <w:shd w:val="clear" w:color="auto" w:fill="FFFFFF"/>
        </w:rPr>
        <w:t>ct to the information collected.</w:t>
      </w:r>
    </w:p>
    <w:p w:rsidR="00F15525" w:rsidRPr="00C56743" w:rsidP="00146D8F" w14:paraId="421B2078" w14:textId="77777777">
      <w:pPr>
        <w:tabs>
          <w:tab w:val="left" w:pos="360"/>
        </w:tabs>
        <w:ind w:left="360" w:hanging="360"/>
        <w:rPr>
          <w:rFonts w:ascii="Times New Roman" w:hAnsi="Times New Roman"/>
          <w:sz w:val="22"/>
          <w:szCs w:val="22"/>
          <w:shd w:val="clear" w:color="auto" w:fill="FFFFFF"/>
        </w:rPr>
      </w:pPr>
    </w:p>
    <w:p w:rsidR="00641D9A" w:rsidRPr="00C56743" w:rsidP="00F4584D" w14:paraId="25B96AF2" w14:textId="1D8D672D">
      <w:pPr>
        <w:tabs>
          <w:tab w:val="left" w:pos="360"/>
        </w:tabs>
        <w:ind w:left="360" w:hanging="360"/>
        <w:rPr>
          <w:rFonts w:ascii="Times New Roman" w:hAnsi="Times New Roman"/>
          <w:sz w:val="22"/>
          <w:szCs w:val="22"/>
          <w:shd w:val="clear" w:color="auto" w:fill="FFFFFF"/>
        </w:rPr>
      </w:pPr>
      <w:r w:rsidRPr="00C56743">
        <w:rPr>
          <w:rFonts w:ascii="Times New Roman" w:hAnsi="Times New Roman"/>
          <w:sz w:val="22"/>
          <w:szCs w:val="22"/>
          <w:shd w:val="clear" w:color="auto" w:fill="FFFFFF"/>
        </w:rPr>
        <w:t>12.</w:t>
      </w:r>
      <w:r w:rsidRPr="00C56743">
        <w:rPr>
          <w:rFonts w:ascii="Times New Roman" w:hAnsi="Times New Roman"/>
          <w:sz w:val="22"/>
          <w:szCs w:val="22"/>
          <w:shd w:val="clear" w:color="auto" w:fill="FFFFFF"/>
        </w:rPr>
        <w:tab/>
      </w:r>
      <w:r w:rsidRPr="00C56743" w:rsidR="00170484">
        <w:rPr>
          <w:rFonts w:ascii="Times New Roman" w:hAnsi="Times New Roman"/>
          <w:sz w:val="22"/>
          <w:szCs w:val="22"/>
          <w:shd w:val="clear" w:color="auto" w:fill="FFFFFF"/>
        </w:rPr>
        <w:t>FCC Form 2100, Schedule 3</w:t>
      </w:r>
      <w:r w:rsidR="00E95A18">
        <w:rPr>
          <w:rFonts w:ascii="Times New Roman" w:hAnsi="Times New Roman"/>
          <w:sz w:val="22"/>
          <w:szCs w:val="22"/>
          <w:shd w:val="clear" w:color="auto" w:fill="FFFFFF"/>
        </w:rPr>
        <w:t>87</w:t>
      </w:r>
      <w:r w:rsidRPr="00C56743" w:rsidR="00170484">
        <w:rPr>
          <w:rFonts w:ascii="Times New Roman" w:hAnsi="Times New Roman"/>
          <w:sz w:val="22"/>
          <w:szCs w:val="22"/>
          <w:shd w:val="clear" w:color="auto" w:fill="FFFFFF"/>
        </w:rPr>
        <w:t xml:space="preserve"> will</w:t>
      </w:r>
      <w:r w:rsidRPr="00C56743" w:rsidR="002B2666">
        <w:rPr>
          <w:rFonts w:ascii="Times New Roman" w:hAnsi="Times New Roman"/>
          <w:sz w:val="22"/>
          <w:szCs w:val="22"/>
          <w:shd w:val="clear" w:color="auto" w:fill="FFFFFF"/>
        </w:rPr>
        <w:t xml:space="preserve"> be </w:t>
      </w:r>
      <w:r w:rsidR="006A62B4">
        <w:rPr>
          <w:rFonts w:ascii="Times New Roman" w:hAnsi="Times New Roman"/>
          <w:sz w:val="22"/>
          <w:szCs w:val="22"/>
          <w:shd w:val="clear" w:color="auto" w:fill="FFFFFF"/>
        </w:rPr>
        <w:t>filed by broadcasters</w:t>
      </w:r>
      <w:r w:rsidR="007F09FA">
        <w:rPr>
          <w:rFonts w:ascii="Times New Roman" w:hAnsi="Times New Roman"/>
          <w:sz w:val="22"/>
          <w:szCs w:val="22"/>
          <w:shd w:val="clear" w:color="auto" w:fill="FFFFFF"/>
        </w:rPr>
        <w:t>.</w:t>
      </w:r>
      <w:r w:rsidRPr="00C56743" w:rsidR="00170484">
        <w:rPr>
          <w:rFonts w:ascii="Times New Roman" w:hAnsi="Times New Roman"/>
          <w:sz w:val="22"/>
          <w:szCs w:val="22"/>
          <w:shd w:val="clear" w:color="auto" w:fill="FFFFFF"/>
        </w:rPr>
        <w:t xml:space="preserve">  </w:t>
      </w:r>
      <w:r w:rsidRPr="00C56743" w:rsidR="00C600F4">
        <w:rPr>
          <w:rFonts w:ascii="Times New Roman" w:hAnsi="Times New Roman"/>
          <w:sz w:val="22"/>
          <w:szCs w:val="22"/>
          <w:shd w:val="clear" w:color="auto" w:fill="FFFFFF"/>
        </w:rPr>
        <w:t xml:space="preserve"> </w:t>
      </w:r>
      <w:r w:rsidRPr="00C56743" w:rsidR="00D67F62">
        <w:rPr>
          <w:rFonts w:ascii="Times New Roman" w:hAnsi="Times New Roman"/>
          <w:sz w:val="22"/>
          <w:szCs w:val="22"/>
          <w:shd w:val="clear" w:color="auto" w:fill="FFFFFF"/>
        </w:rPr>
        <w:t>We estimate the</w:t>
      </w:r>
      <w:r w:rsidR="006A62B4">
        <w:rPr>
          <w:rFonts w:ascii="Times New Roman" w:hAnsi="Times New Roman"/>
          <w:sz w:val="22"/>
          <w:szCs w:val="22"/>
          <w:shd w:val="clear" w:color="auto" w:fill="FFFFFF"/>
        </w:rPr>
        <w:t xml:space="preserve"> total</w:t>
      </w:r>
      <w:r w:rsidRPr="00C56743" w:rsidR="00D67F62">
        <w:rPr>
          <w:rFonts w:ascii="Times New Roman" w:hAnsi="Times New Roman"/>
          <w:sz w:val="22"/>
          <w:szCs w:val="22"/>
          <w:shd w:val="clear" w:color="auto" w:fill="FFFFFF"/>
        </w:rPr>
        <w:t xml:space="preserve"> number of broadcas</w:t>
      </w:r>
      <w:r w:rsidRPr="00C56743" w:rsidR="00581FF8">
        <w:rPr>
          <w:rFonts w:ascii="Times New Roman" w:hAnsi="Times New Roman"/>
          <w:sz w:val="22"/>
          <w:szCs w:val="22"/>
          <w:shd w:val="clear" w:color="auto" w:fill="FFFFFF"/>
        </w:rPr>
        <w:t xml:space="preserve">ter respondents to be </w:t>
      </w:r>
      <w:r w:rsidR="00C770A6">
        <w:rPr>
          <w:rFonts w:ascii="Times New Roman" w:hAnsi="Times New Roman"/>
          <w:b/>
          <w:sz w:val="22"/>
          <w:szCs w:val="22"/>
          <w:shd w:val="clear" w:color="auto" w:fill="FFFFFF"/>
        </w:rPr>
        <w:t>4</w:t>
      </w:r>
      <w:r w:rsidRPr="00C56743" w:rsidR="00D67F62">
        <w:rPr>
          <w:rFonts w:ascii="Times New Roman" w:hAnsi="Times New Roman"/>
          <w:sz w:val="22"/>
          <w:szCs w:val="22"/>
          <w:shd w:val="clear" w:color="auto" w:fill="FFFFFF"/>
        </w:rPr>
        <w:t xml:space="preserve">. </w:t>
      </w:r>
      <w:r w:rsidR="006A62B4">
        <w:rPr>
          <w:rFonts w:ascii="Times New Roman" w:hAnsi="Times New Roman"/>
          <w:sz w:val="22"/>
          <w:szCs w:val="22"/>
          <w:shd w:val="clear" w:color="auto" w:fill="FFFFFF"/>
        </w:rPr>
        <w:t xml:space="preserve"> Because </w:t>
      </w:r>
      <w:r w:rsidR="006A62B4">
        <w:rPr>
          <w:rFonts w:ascii="Times New Roman" w:hAnsi="Times New Roman"/>
          <w:kern w:val="28"/>
          <w:sz w:val="22"/>
          <w:szCs w:val="22"/>
        </w:rPr>
        <w:t>a broadcaster no longer has to file FCC Form 2100, Schedule 387 after it has completed all work related to construction of its post-auction facilities and ceased operating on its pre-auction channel, the number of respon</w:t>
      </w:r>
      <w:r w:rsidR="00196A36">
        <w:rPr>
          <w:rFonts w:ascii="Times New Roman" w:hAnsi="Times New Roman"/>
          <w:kern w:val="28"/>
          <w:sz w:val="22"/>
          <w:szCs w:val="22"/>
        </w:rPr>
        <w:t xml:space="preserve">dent/responses </w:t>
      </w:r>
      <w:r w:rsidR="00C770A6">
        <w:rPr>
          <w:rFonts w:ascii="Times New Roman" w:hAnsi="Times New Roman"/>
          <w:kern w:val="28"/>
          <w:sz w:val="22"/>
          <w:szCs w:val="22"/>
        </w:rPr>
        <w:t xml:space="preserve">has been reduced since the beginning of the filing process and </w:t>
      </w:r>
      <w:r w:rsidR="00196A36">
        <w:rPr>
          <w:rFonts w:ascii="Times New Roman" w:hAnsi="Times New Roman"/>
          <w:kern w:val="28"/>
          <w:sz w:val="22"/>
          <w:szCs w:val="22"/>
        </w:rPr>
        <w:t>will</w:t>
      </w:r>
      <w:r w:rsidR="006A62B4">
        <w:rPr>
          <w:rFonts w:ascii="Times New Roman" w:hAnsi="Times New Roman"/>
          <w:kern w:val="28"/>
          <w:sz w:val="22"/>
          <w:szCs w:val="22"/>
        </w:rPr>
        <w:t xml:space="preserve"> </w:t>
      </w:r>
      <w:r w:rsidR="00C770A6">
        <w:rPr>
          <w:rFonts w:ascii="Times New Roman" w:hAnsi="Times New Roman"/>
          <w:kern w:val="28"/>
          <w:sz w:val="22"/>
          <w:szCs w:val="22"/>
        </w:rPr>
        <w:t xml:space="preserve">continue to </w:t>
      </w:r>
      <w:r w:rsidR="006A62B4">
        <w:rPr>
          <w:rFonts w:ascii="Times New Roman" w:hAnsi="Times New Roman"/>
          <w:kern w:val="28"/>
          <w:sz w:val="22"/>
          <w:szCs w:val="22"/>
        </w:rPr>
        <w:t>var</w:t>
      </w:r>
      <w:r w:rsidR="00196A36">
        <w:rPr>
          <w:rFonts w:ascii="Times New Roman" w:hAnsi="Times New Roman"/>
          <w:kern w:val="28"/>
          <w:sz w:val="22"/>
          <w:szCs w:val="22"/>
        </w:rPr>
        <w:t>y</w:t>
      </w:r>
      <w:r w:rsidR="006A62B4">
        <w:rPr>
          <w:rFonts w:ascii="Times New Roman" w:hAnsi="Times New Roman"/>
          <w:kern w:val="28"/>
          <w:sz w:val="22"/>
          <w:szCs w:val="22"/>
        </w:rPr>
        <w:t xml:space="preserve"> by year.</w:t>
      </w:r>
      <w:r w:rsidRPr="00C56743" w:rsidR="00D67F62">
        <w:rPr>
          <w:rFonts w:ascii="Times New Roman" w:hAnsi="Times New Roman"/>
          <w:sz w:val="22"/>
          <w:szCs w:val="22"/>
          <w:shd w:val="clear" w:color="auto" w:fill="FFFFFF"/>
        </w:rPr>
        <w:t xml:space="preserve">   </w:t>
      </w:r>
    </w:p>
    <w:p w:rsidR="00641D9A" w:rsidRPr="00C56743" w:rsidP="00641D9A" w14:paraId="5548871A" w14:textId="77777777">
      <w:pPr>
        <w:tabs>
          <w:tab w:val="left" w:pos="360"/>
        </w:tabs>
        <w:ind w:left="720"/>
        <w:rPr>
          <w:rFonts w:ascii="Times New Roman" w:hAnsi="Times New Roman"/>
          <w:sz w:val="22"/>
          <w:szCs w:val="22"/>
          <w:shd w:val="clear" w:color="auto" w:fill="FFFFFF"/>
        </w:rPr>
      </w:pPr>
    </w:p>
    <w:p w:rsidR="006E4DF1" w:rsidP="00196A36" w14:paraId="5A73CB55" w14:textId="263636EE">
      <w:pPr>
        <w:suppressAutoHyphens/>
        <w:ind w:left="360"/>
        <w:rPr>
          <w:rFonts w:ascii="Times New Roman" w:hAnsi="Times New Roman"/>
          <w:spacing w:val="-3"/>
          <w:sz w:val="22"/>
          <w:szCs w:val="22"/>
        </w:rPr>
      </w:pPr>
      <w:r w:rsidRPr="00C56743">
        <w:rPr>
          <w:rFonts w:ascii="Times New Roman" w:hAnsi="Times New Roman"/>
          <w:sz w:val="22"/>
          <w:szCs w:val="22"/>
          <w:shd w:val="clear" w:color="auto" w:fill="FFFFFF"/>
        </w:rPr>
        <w:t>Th</w:t>
      </w:r>
      <w:r w:rsidRPr="00C56743" w:rsidR="00641D9A">
        <w:rPr>
          <w:rFonts w:ascii="Times New Roman" w:hAnsi="Times New Roman"/>
          <w:sz w:val="22"/>
          <w:szCs w:val="22"/>
          <w:shd w:val="clear" w:color="auto" w:fill="FFFFFF"/>
        </w:rPr>
        <w:t xml:space="preserve">e Commission estimates that </w:t>
      </w:r>
      <w:r w:rsidR="004724F2">
        <w:rPr>
          <w:rFonts w:ascii="Times New Roman" w:hAnsi="Times New Roman"/>
          <w:sz w:val="22"/>
          <w:szCs w:val="22"/>
          <w:shd w:val="clear" w:color="auto" w:fill="FFFFFF"/>
        </w:rPr>
        <w:t>most of the</w:t>
      </w:r>
      <w:r w:rsidRPr="00C56743" w:rsidR="00C23578">
        <w:rPr>
          <w:rFonts w:ascii="Times New Roman" w:hAnsi="Times New Roman"/>
          <w:sz w:val="22"/>
          <w:szCs w:val="22"/>
          <w:shd w:val="clear" w:color="auto" w:fill="FFFFFF"/>
        </w:rPr>
        <w:t xml:space="preserve"> respondents will</w:t>
      </w:r>
      <w:r w:rsidR="004724F2">
        <w:rPr>
          <w:rFonts w:ascii="Times New Roman" w:hAnsi="Times New Roman"/>
          <w:sz w:val="22"/>
          <w:szCs w:val="22"/>
          <w:shd w:val="clear" w:color="auto" w:fill="FFFFFF"/>
        </w:rPr>
        <w:t xml:space="preserve"> not</w:t>
      </w:r>
      <w:r w:rsidRPr="00C56743">
        <w:rPr>
          <w:rFonts w:ascii="Times New Roman" w:hAnsi="Times New Roman"/>
          <w:sz w:val="22"/>
          <w:szCs w:val="22"/>
          <w:shd w:val="clear" w:color="auto" w:fill="FFFFFF"/>
        </w:rPr>
        <w:t xml:space="preserve"> </w:t>
      </w:r>
      <w:r w:rsidRPr="00C56743" w:rsidR="009F0D14">
        <w:rPr>
          <w:rFonts w:ascii="Times New Roman" w:hAnsi="Times New Roman"/>
          <w:sz w:val="22"/>
          <w:szCs w:val="22"/>
          <w:shd w:val="clear" w:color="auto" w:fill="FFFFFF"/>
        </w:rPr>
        <w:t xml:space="preserve">require outside assistance to </w:t>
      </w:r>
      <w:r w:rsidRPr="00C56743">
        <w:rPr>
          <w:rFonts w:ascii="Times New Roman" w:hAnsi="Times New Roman"/>
          <w:sz w:val="22"/>
          <w:szCs w:val="22"/>
          <w:shd w:val="clear" w:color="auto" w:fill="FFFFFF"/>
        </w:rPr>
        <w:t>fulfill the</w:t>
      </w:r>
      <w:r w:rsidR="004724F2">
        <w:rPr>
          <w:rFonts w:ascii="Times New Roman" w:hAnsi="Times New Roman"/>
          <w:sz w:val="22"/>
          <w:szCs w:val="22"/>
          <w:shd w:val="clear" w:color="auto" w:fill="FFFFFF"/>
        </w:rPr>
        <w:t>ir</w:t>
      </w:r>
      <w:r w:rsidRPr="00C56743">
        <w:rPr>
          <w:rFonts w:ascii="Times New Roman" w:hAnsi="Times New Roman"/>
          <w:sz w:val="22"/>
          <w:szCs w:val="22"/>
          <w:shd w:val="clear" w:color="auto" w:fill="FFFFFF"/>
        </w:rPr>
        <w:t xml:space="preserve"> repo</w:t>
      </w:r>
      <w:r w:rsidRPr="00C56743" w:rsidR="009F0D14">
        <w:rPr>
          <w:rFonts w:ascii="Times New Roman" w:hAnsi="Times New Roman"/>
          <w:sz w:val="22"/>
          <w:szCs w:val="22"/>
          <w:shd w:val="clear" w:color="auto" w:fill="FFFFFF"/>
        </w:rPr>
        <w:t>rting requirement</w:t>
      </w:r>
      <w:r w:rsidR="004724F2">
        <w:rPr>
          <w:rFonts w:ascii="Times New Roman" w:hAnsi="Times New Roman"/>
          <w:sz w:val="22"/>
          <w:szCs w:val="22"/>
          <w:shd w:val="clear" w:color="auto" w:fill="FFFFFF"/>
        </w:rPr>
        <w:t>s</w:t>
      </w:r>
      <w:r w:rsidRPr="00C56743">
        <w:rPr>
          <w:rFonts w:ascii="Times New Roman" w:hAnsi="Times New Roman"/>
          <w:sz w:val="22"/>
          <w:szCs w:val="22"/>
          <w:shd w:val="clear" w:color="auto" w:fill="FFFFFF"/>
        </w:rPr>
        <w:t xml:space="preserve">.  </w:t>
      </w:r>
      <w:r w:rsidRPr="00C56743" w:rsidR="00566B94">
        <w:rPr>
          <w:rFonts w:ascii="Times New Roman" w:hAnsi="Times New Roman"/>
          <w:spacing w:val="-3"/>
          <w:sz w:val="22"/>
          <w:szCs w:val="22"/>
        </w:rPr>
        <w:t xml:space="preserve">The estimated average burden on each applicant/licensee </w:t>
      </w:r>
      <w:r w:rsidR="004724F2">
        <w:rPr>
          <w:rFonts w:ascii="Times New Roman" w:hAnsi="Times New Roman"/>
          <w:spacing w:val="-3"/>
          <w:sz w:val="22"/>
          <w:szCs w:val="22"/>
        </w:rPr>
        <w:t>to file an FCC Form 2100, Schedule 38</w:t>
      </w:r>
      <w:r w:rsidR="006A62B4">
        <w:rPr>
          <w:rFonts w:ascii="Times New Roman" w:hAnsi="Times New Roman"/>
          <w:spacing w:val="-3"/>
          <w:sz w:val="22"/>
          <w:szCs w:val="22"/>
        </w:rPr>
        <w:t>7</w:t>
      </w:r>
      <w:r w:rsidR="004724F2">
        <w:rPr>
          <w:rFonts w:ascii="Times New Roman" w:hAnsi="Times New Roman"/>
          <w:spacing w:val="-3"/>
          <w:sz w:val="22"/>
          <w:szCs w:val="22"/>
        </w:rPr>
        <w:t xml:space="preserve"> </w:t>
      </w:r>
      <w:r w:rsidRPr="00C56743" w:rsidR="00566B94">
        <w:rPr>
          <w:rFonts w:ascii="Times New Roman" w:hAnsi="Times New Roman"/>
          <w:spacing w:val="-3"/>
          <w:sz w:val="22"/>
          <w:szCs w:val="22"/>
        </w:rPr>
        <w:t>is</w:t>
      </w:r>
      <w:r w:rsidRPr="00C56743">
        <w:rPr>
          <w:rFonts w:ascii="Times New Roman" w:hAnsi="Times New Roman"/>
          <w:spacing w:val="-3"/>
          <w:sz w:val="22"/>
          <w:szCs w:val="22"/>
        </w:rPr>
        <w:t xml:space="preserve"> </w:t>
      </w:r>
      <w:r w:rsidR="004724F2">
        <w:rPr>
          <w:rFonts w:ascii="Times New Roman" w:hAnsi="Times New Roman"/>
          <w:spacing w:val="-3"/>
          <w:sz w:val="22"/>
          <w:szCs w:val="22"/>
        </w:rPr>
        <w:t>two</w:t>
      </w:r>
      <w:r w:rsidRPr="00C56743">
        <w:rPr>
          <w:rFonts w:ascii="Times New Roman" w:hAnsi="Times New Roman"/>
          <w:spacing w:val="-3"/>
          <w:sz w:val="22"/>
          <w:szCs w:val="22"/>
        </w:rPr>
        <w:t xml:space="preserve"> (</w:t>
      </w:r>
      <w:r w:rsidR="004724F2">
        <w:rPr>
          <w:rFonts w:ascii="Times New Roman" w:hAnsi="Times New Roman"/>
          <w:spacing w:val="-3"/>
          <w:sz w:val="22"/>
          <w:szCs w:val="22"/>
        </w:rPr>
        <w:t>2</w:t>
      </w:r>
      <w:r w:rsidRPr="00C56743" w:rsidR="00566B94">
        <w:rPr>
          <w:rFonts w:ascii="Times New Roman" w:hAnsi="Times New Roman"/>
          <w:spacing w:val="-3"/>
          <w:sz w:val="22"/>
          <w:szCs w:val="22"/>
        </w:rPr>
        <w:t>) hours</w:t>
      </w:r>
      <w:r w:rsidR="00597DCA">
        <w:rPr>
          <w:rFonts w:ascii="Times New Roman" w:hAnsi="Times New Roman"/>
          <w:spacing w:val="-3"/>
          <w:sz w:val="22"/>
          <w:szCs w:val="22"/>
        </w:rPr>
        <w:t xml:space="preserve"> which includes the technical questions for a total of </w:t>
      </w:r>
      <w:r w:rsidRPr="00597DCA" w:rsidR="00597DCA">
        <w:rPr>
          <w:rFonts w:ascii="Times New Roman" w:hAnsi="Times New Roman"/>
          <w:b/>
          <w:bCs/>
          <w:spacing w:val="-3"/>
          <w:sz w:val="22"/>
          <w:szCs w:val="22"/>
        </w:rPr>
        <w:t>12 application</w:t>
      </w:r>
      <w:r w:rsidR="00597DCA">
        <w:rPr>
          <w:rFonts w:ascii="Times New Roman" w:hAnsi="Times New Roman"/>
          <w:b/>
          <w:bCs/>
          <w:spacing w:val="-3"/>
          <w:sz w:val="22"/>
          <w:szCs w:val="22"/>
        </w:rPr>
        <w:t xml:space="preserve"> filings</w:t>
      </w:r>
      <w:r w:rsidRPr="00C56743">
        <w:rPr>
          <w:rFonts w:ascii="Times New Roman" w:hAnsi="Times New Roman"/>
          <w:spacing w:val="-3"/>
          <w:sz w:val="22"/>
          <w:szCs w:val="22"/>
        </w:rPr>
        <w:t xml:space="preserve">.  </w:t>
      </w:r>
      <w:r w:rsidRPr="00C56743" w:rsidR="00566B94">
        <w:rPr>
          <w:rFonts w:ascii="Times New Roman" w:hAnsi="Times New Roman"/>
          <w:spacing w:val="-3"/>
          <w:sz w:val="22"/>
          <w:szCs w:val="22"/>
        </w:rPr>
        <w:t xml:space="preserve">The respondents will </w:t>
      </w:r>
      <w:r w:rsidRPr="00C56743">
        <w:rPr>
          <w:rFonts w:ascii="Times New Roman" w:hAnsi="Times New Roman"/>
          <w:spacing w:val="-3"/>
          <w:sz w:val="22"/>
          <w:szCs w:val="22"/>
        </w:rPr>
        <w:t xml:space="preserve">use </w:t>
      </w:r>
      <w:r w:rsidRPr="00C56743" w:rsidR="00566B94">
        <w:rPr>
          <w:rFonts w:ascii="Times New Roman" w:hAnsi="Times New Roman"/>
          <w:spacing w:val="-3"/>
          <w:sz w:val="22"/>
          <w:szCs w:val="22"/>
        </w:rPr>
        <w:t xml:space="preserve">in-house </w:t>
      </w:r>
      <w:r w:rsidRPr="00C56743" w:rsidR="00EA75C0">
        <w:rPr>
          <w:rFonts w:ascii="Times New Roman" w:hAnsi="Times New Roman"/>
          <w:spacing w:val="-3"/>
          <w:sz w:val="22"/>
          <w:szCs w:val="22"/>
        </w:rPr>
        <w:t xml:space="preserve">staff to complete the form, which requires approximately </w:t>
      </w:r>
      <w:r w:rsidR="004724F2">
        <w:rPr>
          <w:rFonts w:ascii="Times New Roman" w:hAnsi="Times New Roman"/>
          <w:spacing w:val="-3"/>
          <w:sz w:val="22"/>
          <w:szCs w:val="22"/>
        </w:rPr>
        <w:t>one</w:t>
      </w:r>
      <w:r w:rsidRPr="00C56743" w:rsidR="00EA75C0">
        <w:rPr>
          <w:rFonts w:ascii="Times New Roman" w:hAnsi="Times New Roman"/>
          <w:spacing w:val="-3"/>
          <w:sz w:val="22"/>
          <w:szCs w:val="22"/>
        </w:rPr>
        <w:t xml:space="preserve"> (</w:t>
      </w:r>
      <w:r w:rsidR="004724F2">
        <w:rPr>
          <w:rFonts w:ascii="Times New Roman" w:hAnsi="Times New Roman"/>
          <w:spacing w:val="-3"/>
          <w:sz w:val="22"/>
          <w:szCs w:val="22"/>
        </w:rPr>
        <w:t>1</w:t>
      </w:r>
      <w:r w:rsidRPr="00C56743" w:rsidR="00EA75C0">
        <w:rPr>
          <w:rFonts w:ascii="Times New Roman" w:hAnsi="Times New Roman"/>
          <w:spacing w:val="-3"/>
          <w:sz w:val="22"/>
          <w:szCs w:val="22"/>
        </w:rPr>
        <w:t>) hour</w:t>
      </w:r>
      <w:r w:rsidR="006A62B4">
        <w:rPr>
          <w:rFonts w:ascii="Times New Roman" w:hAnsi="Times New Roman"/>
          <w:spacing w:val="-3"/>
          <w:sz w:val="22"/>
          <w:szCs w:val="22"/>
        </w:rPr>
        <w:t>,</w:t>
      </w:r>
      <w:r w:rsidRPr="00C56743" w:rsidR="00EA75C0">
        <w:rPr>
          <w:rFonts w:ascii="Times New Roman" w:hAnsi="Times New Roman"/>
          <w:spacing w:val="-3"/>
          <w:sz w:val="22"/>
          <w:szCs w:val="22"/>
        </w:rPr>
        <w:t xml:space="preserve"> and will use in-house </w:t>
      </w:r>
      <w:r w:rsidRPr="00C56743" w:rsidR="00566B94">
        <w:rPr>
          <w:rFonts w:ascii="Times New Roman" w:hAnsi="Times New Roman"/>
          <w:spacing w:val="-3"/>
          <w:sz w:val="22"/>
          <w:szCs w:val="22"/>
        </w:rPr>
        <w:t xml:space="preserve">station engineers </w:t>
      </w:r>
      <w:r w:rsidRPr="00C56743">
        <w:rPr>
          <w:rFonts w:ascii="Times New Roman" w:hAnsi="Times New Roman"/>
          <w:spacing w:val="-3"/>
          <w:sz w:val="22"/>
          <w:szCs w:val="22"/>
        </w:rPr>
        <w:t>to complete the technical questions</w:t>
      </w:r>
      <w:r w:rsidR="004724F2">
        <w:rPr>
          <w:rFonts w:ascii="Times New Roman" w:hAnsi="Times New Roman"/>
          <w:spacing w:val="-3"/>
          <w:sz w:val="22"/>
          <w:szCs w:val="22"/>
        </w:rPr>
        <w:t>,</w:t>
      </w:r>
      <w:r w:rsidRPr="00C56743">
        <w:rPr>
          <w:rFonts w:ascii="Times New Roman" w:hAnsi="Times New Roman"/>
          <w:spacing w:val="-3"/>
          <w:sz w:val="22"/>
          <w:szCs w:val="22"/>
        </w:rPr>
        <w:t xml:space="preserve"> which requires approximately </w:t>
      </w:r>
      <w:r w:rsidR="004724F2">
        <w:rPr>
          <w:rFonts w:ascii="Times New Roman" w:hAnsi="Times New Roman"/>
          <w:spacing w:val="-3"/>
          <w:sz w:val="22"/>
          <w:szCs w:val="22"/>
        </w:rPr>
        <w:t>one</w:t>
      </w:r>
      <w:r w:rsidRPr="00C56743" w:rsidR="00EA75C0">
        <w:rPr>
          <w:rFonts w:ascii="Times New Roman" w:hAnsi="Times New Roman"/>
          <w:spacing w:val="-3"/>
          <w:sz w:val="22"/>
          <w:szCs w:val="22"/>
        </w:rPr>
        <w:t xml:space="preserve"> (</w:t>
      </w:r>
      <w:r w:rsidR="004724F2">
        <w:rPr>
          <w:rFonts w:ascii="Times New Roman" w:hAnsi="Times New Roman"/>
          <w:spacing w:val="-3"/>
          <w:sz w:val="22"/>
          <w:szCs w:val="22"/>
        </w:rPr>
        <w:t>1</w:t>
      </w:r>
      <w:r w:rsidRPr="00C56743" w:rsidR="00EA75C0">
        <w:rPr>
          <w:rFonts w:ascii="Times New Roman" w:hAnsi="Times New Roman"/>
          <w:spacing w:val="-3"/>
          <w:sz w:val="22"/>
          <w:szCs w:val="22"/>
        </w:rPr>
        <w:t>) hour.</w:t>
      </w:r>
    </w:p>
    <w:p w:rsidR="00C770A6" w:rsidP="00196A36" w14:paraId="4B17D798" w14:textId="77777777">
      <w:pPr>
        <w:suppressAutoHyphens/>
        <w:ind w:left="360"/>
        <w:rPr>
          <w:rFonts w:ascii="Times New Roman" w:hAnsi="Times New Roman"/>
          <w:spacing w:val="-3"/>
          <w:sz w:val="22"/>
          <w:szCs w:val="22"/>
        </w:rPr>
      </w:pPr>
    </w:p>
    <w:p w:rsidR="00EA75C0" w:rsidRPr="00C56743" w:rsidP="006E4DF1" w14:paraId="274C6262" w14:textId="77777777">
      <w:pPr>
        <w:suppressAutoHyphens/>
        <w:rPr>
          <w:rFonts w:ascii="Times New Roman" w:hAnsi="Times New Roman"/>
          <w:spacing w:val="-3"/>
          <w:sz w:val="22"/>
          <w:szCs w:val="22"/>
        </w:rPr>
      </w:pPr>
    </w:p>
    <w:p w:rsidR="00EA75C0" w:rsidRPr="00601CAD" w:rsidP="006A62B4" w14:paraId="38670FA9" w14:textId="54BBECB5">
      <w:pPr>
        <w:suppressAutoHyphens/>
        <w:ind w:left="720" w:hanging="720"/>
        <w:rPr>
          <w:rFonts w:ascii="Times New Roman" w:hAnsi="Times New Roman"/>
          <w:spacing w:val="-3"/>
          <w:sz w:val="22"/>
          <w:szCs w:val="22"/>
          <w:shd w:val="clear" w:color="auto" w:fill="FFFFFF"/>
        </w:rPr>
      </w:pPr>
      <w:r w:rsidRPr="00C56743">
        <w:rPr>
          <w:rFonts w:ascii="Times New Roman" w:hAnsi="Times New Roman"/>
          <w:spacing w:val="-3"/>
          <w:sz w:val="22"/>
          <w:szCs w:val="22"/>
          <w:shd w:val="clear" w:color="auto" w:fill="FFFFFF"/>
        </w:rPr>
        <w:tab/>
      </w:r>
      <w:r w:rsidRPr="00330A13">
        <w:rPr>
          <w:rFonts w:ascii="Times New Roman" w:hAnsi="Times New Roman"/>
          <w:b/>
          <w:spacing w:val="-3"/>
          <w:sz w:val="22"/>
          <w:szCs w:val="22"/>
          <w:shd w:val="clear" w:color="auto" w:fill="FFFFFF"/>
        </w:rPr>
        <w:t>Number of Annual Respondents:</w:t>
      </w:r>
      <w:r w:rsidRPr="00C56743">
        <w:rPr>
          <w:rFonts w:ascii="Times New Roman" w:hAnsi="Times New Roman"/>
          <w:spacing w:val="-3"/>
          <w:sz w:val="22"/>
          <w:szCs w:val="22"/>
          <w:shd w:val="clear" w:color="auto" w:fill="FFFFFF"/>
        </w:rPr>
        <w:t xml:space="preserve"> </w:t>
      </w:r>
      <w:r w:rsidR="004724F2">
        <w:rPr>
          <w:rFonts w:ascii="Times New Roman" w:hAnsi="Times New Roman"/>
          <w:spacing w:val="-3"/>
          <w:sz w:val="22"/>
          <w:szCs w:val="22"/>
          <w:shd w:val="clear" w:color="auto" w:fill="FFFFFF"/>
        </w:rPr>
        <w:t xml:space="preserve"> </w:t>
      </w:r>
      <w:r w:rsidR="00C770A6">
        <w:rPr>
          <w:rFonts w:ascii="Times New Roman" w:hAnsi="Times New Roman"/>
          <w:b/>
          <w:spacing w:val="-3"/>
          <w:sz w:val="22"/>
          <w:szCs w:val="22"/>
          <w:shd w:val="clear" w:color="auto" w:fill="FFFFFF"/>
        </w:rPr>
        <w:t>4</w:t>
      </w:r>
      <w:r w:rsidRPr="00601CAD" w:rsidR="007A66A9">
        <w:rPr>
          <w:rFonts w:ascii="Times New Roman" w:hAnsi="Times New Roman"/>
          <w:b/>
          <w:spacing w:val="-3"/>
          <w:sz w:val="22"/>
          <w:szCs w:val="22"/>
          <w:shd w:val="clear" w:color="auto" w:fill="FFFFFF"/>
        </w:rPr>
        <w:t xml:space="preserve"> annually</w:t>
      </w:r>
      <w:r w:rsidRPr="00601CAD" w:rsidR="00DA14AA">
        <w:rPr>
          <w:rFonts w:ascii="Times New Roman" w:hAnsi="Times New Roman"/>
          <w:spacing w:val="-3"/>
          <w:sz w:val="22"/>
          <w:szCs w:val="22"/>
          <w:shd w:val="clear" w:color="auto" w:fill="FFFFFF"/>
        </w:rPr>
        <w:t>.</w:t>
      </w:r>
    </w:p>
    <w:p w:rsidR="00615CEF" w:rsidRPr="00601CAD" w:rsidP="00EA75C0" w14:paraId="64D099DD" w14:textId="77777777">
      <w:pPr>
        <w:suppressAutoHyphens/>
        <w:rPr>
          <w:rFonts w:ascii="Times New Roman" w:hAnsi="Times New Roman"/>
          <w:spacing w:val="-3"/>
          <w:sz w:val="22"/>
          <w:szCs w:val="22"/>
          <w:shd w:val="clear" w:color="auto" w:fill="FFFFFF"/>
        </w:rPr>
      </w:pPr>
    </w:p>
    <w:p w:rsidR="00EB7981" w:rsidRPr="00C56743" w:rsidP="00E045A2" w14:paraId="31AB9A76" w14:textId="4874C0E8">
      <w:pPr>
        <w:suppressAutoHyphens/>
        <w:ind w:left="720" w:hanging="720"/>
        <w:rPr>
          <w:rFonts w:ascii="Times New Roman" w:hAnsi="Times New Roman"/>
          <w:spacing w:val="-3"/>
          <w:sz w:val="22"/>
          <w:szCs w:val="22"/>
          <w:shd w:val="clear" w:color="auto" w:fill="FFFFFF"/>
        </w:rPr>
      </w:pPr>
      <w:r w:rsidRPr="00601CAD">
        <w:rPr>
          <w:rFonts w:ascii="Times New Roman" w:hAnsi="Times New Roman"/>
          <w:spacing w:val="-3"/>
          <w:sz w:val="22"/>
          <w:szCs w:val="22"/>
          <w:shd w:val="clear" w:color="auto" w:fill="FFFFFF"/>
        </w:rPr>
        <w:tab/>
      </w:r>
      <w:r w:rsidRPr="00C007F8">
        <w:rPr>
          <w:rFonts w:ascii="Times New Roman" w:hAnsi="Times New Roman"/>
          <w:b/>
          <w:bCs/>
          <w:spacing w:val="-3"/>
          <w:sz w:val="22"/>
          <w:szCs w:val="22"/>
          <w:shd w:val="clear" w:color="auto" w:fill="FFFFFF"/>
        </w:rPr>
        <w:t>N</w:t>
      </w:r>
      <w:r w:rsidRPr="00C007F8" w:rsidR="00EA75C0">
        <w:rPr>
          <w:rFonts w:ascii="Times New Roman" w:hAnsi="Times New Roman"/>
          <w:b/>
          <w:bCs/>
          <w:spacing w:val="-3"/>
          <w:sz w:val="22"/>
          <w:szCs w:val="22"/>
          <w:shd w:val="clear" w:color="auto" w:fill="FFFFFF"/>
        </w:rPr>
        <w:t>umber of Annual Responses:</w:t>
      </w:r>
      <w:r w:rsidRPr="00601CAD" w:rsidR="00EA75C0">
        <w:rPr>
          <w:rFonts w:ascii="Times New Roman" w:hAnsi="Times New Roman"/>
          <w:spacing w:val="-3"/>
          <w:sz w:val="22"/>
          <w:szCs w:val="22"/>
          <w:shd w:val="clear" w:color="auto" w:fill="FFFFFF"/>
        </w:rPr>
        <w:t xml:space="preserve">  </w:t>
      </w:r>
      <w:r w:rsidR="00C770A6">
        <w:rPr>
          <w:rFonts w:ascii="Times New Roman" w:hAnsi="Times New Roman"/>
          <w:b/>
          <w:spacing w:val="-3"/>
          <w:sz w:val="22"/>
          <w:szCs w:val="22"/>
          <w:shd w:val="clear" w:color="auto" w:fill="FFFFFF"/>
        </w:rPr>
        <w:t>12</w:t>
      </w:r>
      <w:r w:rsidRPr="00601CAD" w:rsidR="007A66A9">
        <w:rPr>
          <w:rFonts w:ascii="Times New Roman" w:hAnsi="Times New Roman"/>
          <w:b/>
          <w:spacing w:val="-3"/>
          <w:sz w:val="22"/>
          <w:szCs w:val="22"/>
          <w:shd w:val="clear" w:color="auto" w:fill="FFFFFF"/>
        </w:rPr>
        <w:t xml:space="preserve"> annually</w:t>
      </w:r>
      <w:r w:rsidRPr="00601CAD" w:rsidR="00E045A2">
        <w:rPr>
          <w:rFonts w:ascii="Times New Roman" w:hAnsi="Times New Roman"/>
          <w:spacing w:val="-3"/>
          <w:sz w:val="22"/>
          <w:szCs w:val="22"/>
          <w:shd w:val="clear" w:color="auto" w:fill="FFFFFF"/>
        </w:rPr>
        <w:t>.</w:t>
      </w:r>
    </w:p>
    <w:p w:rsidR="00EB7981" w:rsidRPr="00C56743" w:rsidP="00EB7981" w14:paraId="1F517F47" w14:textId="77777777">
      <w:pPr>
        <w:suppressAutoHyphens/>
        <w:rPr>
          <w:rFonts w:ascii="Times New Roman" w:hAnsi="Times New Roman"/>
          <w:spacing w:val="-3"/>
          <w:sz w:val="22"/>
          <w:szCs w:val="22"/>
          <w:shd w:val="clear" w:color="auto" w:fill="FFFFFF"/>
        </w:rPr>
      </w:pPr>
    </w:p>
    <w:p w:rsidR="00EA75C0" w:rsidRPr="00C56743" w:rsidP="00EB7981" w14:paraId="148C9B8A" w14:textId="77777777">
      <w:pPr>
        <w:suppressAutoHyphens/>
        <w:rPr>
          <w:rFonts w:ascii="Times New Roman" w:hAnsi="Times New Roman"/>
          <w:spacing w:val="-3"/>
          <w:sz w:val="22"/>
          <w:szCs w:val="22"/>
          <w:shd w:val="clear" w:color="auto" w:fill="FFFFFF"/>
        </w:rPr>
      </w:pPr>
      <w:r>
        <w:rPr>
          <w:rFonts w:ascii="Times New Roman" w:hAnsi="Times New Roman"/>
          <w:b/>
          <w:spacing w:val="-3"/>
          <w:sz w:val="22"/>
          <w:szCs w:val="22"/>
        </w:rPr>
        <w:tab/>
      </w:r>
      <w:r w:rsidRPr="00C56743">
        <w:rPr>
          <w:rFonts w:ascii="Times New Roman" w:hAnsi="Times New Roman"/>
          <w:b/>
          <w:spacing w:val="-3"/>
          <w:sz w:val="22"/>
          <w:szCs w:val="22"/>
        </w:rPr>
        <w:t>Annual Burden Hours:</w:t>
      </w:r>
    </w:p>
    <w:p w:rsidR="00EB7981" w:rsidRPr="00C56743" w:rsidP="00615CEF" w14:paraId="7137C151" w14:textId="31547D65">
      <w:pPr>
        <w:suppressAutoHyphens/>
        <w:ind w:firstLine="360"/>
        <w:rPr>
          <w:rFonts w:ascii="Times New Roman" w:hAnsi="Times New Roman"/>
          <w:b/>
          <w:spacing w:val="-3"/>
          <w:sz w:val="22"/>
          <w:szCs w:val="22"/>
          <w:shd w:val="clear" w:color="auto" w:fill="FFFFFF"/>
        </w:rPr>
      </w:pPr>
      <w:r>
        <w:rPr>
          <w:rFonts w:ascii="Times New Roman" w:hAnsi="Times New Roman"/>
          <w:spacing w:val="-3"/>
          <w:sz w:val="22"/>
          <w:szCs w:val="22"/>
        </w:rPr>
        <w:tab/>
      </w:r>
      <w:r w:rsidR="00C770A6">
        <w:rPr>
          <w:rFonts w:ascii="Times New Roman" w:hAnsi="Times New Roman"/>
          <w:spacing w:val="-3"/>
          <w:sz w:val="22"/>
          <w:szCs w:val="22"/>
        </w:rPr>
        <w:t>12</w:t>
      </w:r>
      <w:r w:rsidR="00B330AA">
        <w:rPr>
          <w:rFonts w:ascii="Times New Roman" w:hAnsi="Times New Roman"/>
          <w:spacing w:val="-3"/>
          <w:sz w:val="22"/>
          <w:szCs w:val="22"/>
        </w:rPr>
        <w:t xml:space="preserve"> </w:t>
      </w:r>
      <w:r w:rsidRPr="00C56743" w:rsidR="00EA75C0">
        <w:rPr>
          <w:rFonts w:ascii="Times New Roman" w:hAnsi="Times New Roman"/>
          <w:spacing w:val="-3"/>
          <w:sz w:val="22"/>
          <w:szCs w:val="22"/>
        </w:rPr>
        <w:t xml:space="preserve">applications x </w:t>
      </w:r>
      <w:r w:rsidR="00196A36">
        <w:rPr>
          <w:rFonts w:ascii="Times New Roman" w:hAnsi="Times New Roman"/>
          <w:spacing w:val="-3"/>
          <w:sz w:val="22"/>
          <w:szCs w:val="22"/>
        </w:rPr>
        <w:t>one</w:t>
      </w:r>
      <w:r w:rsidRPr="00C56743" w:rsidR="00EA75C0">
        <w:rPr>
          <w:rFonts w:ascii="Times New Roman" w:hAnsi="Times New Roman"/>
          <w:spacing w:val="-3"/>
          <w:sz w:val="22"/>
          <w:szCs w:val="22"/>
        </w:rPr>
        <w:t xml:space="preserve"> hour to complete </w:t>
      </w:r>
      <w:r w:rsidR="00196A36">
        <w:rPr>
          <w:rFonts w:ascii="Times New Roman" w:hAnsi="Times New Roman"/>
          <w:spacing w:val="-3"/>
          <w:sz w:val="22"/>
          <w:szCs w:val="22"/>
        </w:rPr>
        <w:t xml:space="preserve">Schedule 387 </w:t>
      </w:r>
      <w:r w:rsidRPr="00C56743" w:rsidR="00EA75C0">
        <w:rPr>
          <w:rFonts w:ascii="Times New Roman" w:hAnsi="Times New Roman"/>
          <w:spacing w:val="-3"/>
          <w:sz w:val="22"/>
          <w:szCs w:val="22"/>
        </w:rPr>
        <w:t xml:space="preserve"> =   </w:t>
      </w:r>
      <w:r w:rsidRPr="00C56743" w:rsidR="00615CEF">
        <w:rPr>
          <w:rFonts w:ascii="Times New Roman" w:hAnsi="Times New Roman"/>
          <w:spacing w:val="-3"/>
          <w:sz w:val="22"/>
          <w:szCs w:val="22"/>
        </w:rPr>
        <w:t xml:space="preserve">      </w:t>
      </w:r>
      <w:r w:rsidR="00C770A6">
        <w:rPr>
          <w:rFonts w:ascii="Times New Roman" w:hAnsi="Times New Roman"/>
          <w:spacing w:val="-3"/>
          <w:sz w:val="22"/>
          <w:szCs w:val="22"/>
        </w:rPr>
        <w:t xml:space="preserve">        12</w:t>
      </w:r>
      <w:r w:rsidRPr="00C56743" w:rsidR="00EA75C0">
        <w:rPr>
          <w:rFonts w:ascii="Times New Roman" w:hAnsi="Times New Roman"/>
          <w:spacing w:val="-3"/>
          <w:sz w:val="22"/>
          <w:szCs w:val="22"/>
        </w:rPr>
        <w:t xml:space="preserve"> hours</w:t>
      </w:r>
      <w:r w:rsidRPr="00C56743" w:rsidR="00EA75C0">
        <w:rPr>
          <w:rFonts w:ascii="Times New Roman" w:hAnsi="Times New Roman"/>
          <w:spacing w:val="-3"/>
          <w:sz w:val="22"/>
          <w:szCs w:val="22"/>
        </w:rPr>
        <w:cr/>
        <w:t xml:space="preserve">      </w:t>
      </w:r>
      <w:r w:rsidR="00D93EAD">
        <w:rPr>
          <w:rFonts w:ascii="Times New Roman" w:hAnsi="Times New Roman"/>
          <w:spacing w:val="-3"/>
          <w:sz w:val="22"/>
          <w:szCs w:val="22"/>
        </w:rPr>
        <w:t xml:space="preserve"> </w:t>
      </w:r>
      <w:r>
        <w:rPr>
          <w:rFonts w:ascii="Times New Roman" w:hAnsi="Times New Roman"/>
          <w:spacing w:val="-3"/>
          <w:sz w:val="22"/>
          <w:szCs w:val="22"/>
        </w:rPr>
        <w:tab/>
      </w:r>
      <w:r w:rsidR="00C770A6">
        <w:rPr>
          <w:rFonts w:ascii="Times New Roman" w:hAnsi="Times New Roman"/>
          <w:spacing w:val="-3"/>
          <w:sz w:val="22"/>
          <w:szCs w:val="22"/>
        </w:rPr>
        <w:t>12</w:t>
      </w:r>
      <w:r w:rsidR="00B330AA">
        <w:rPr>
          <w:rFonts w:ascii="Times New Roman" w:hAnsi="Times New Roman"/>
          <w:spacing w:val="-3"/>
          <w:sz w:val="22"/>
          <w:szCs w:val="22"/>
        </w:rPr>
        <w:t xml:space="preserve"> </w:t>
      </w:r>
      <w:r w:rsidRPr="00C56743" w:rsidR="00615CEF">
        <w:rPr>
          <w:rFonts w:ascii="Times New Roman" w:hAnsi="Times New Roman"/>
          <w:spacing w:val="-3"/>
          <w:sz w:val="22"/>
          <w:szCs w:val="22"/>
        </w:rPr>
        <w:t xml:space="preserve">applications x </w:t>
      </w:r>
      <w:r w:rsidR="00196A36">
        <w:rPr>
          <w:rFonts w:ascii="Times New Roman" w:hAnsi="Times New Roman"/>
          <w:spacing w:val="-3"/>
          <w:sz w:val="22"/>
          <w:szCs w:val="22"/>
        </w:rPr>
        <w:t xml:space="preserve">one </w:t>
      </w:r>
      <w:r w:rsidRPr="00C56743" w:rsidR="00EA75C0">
        <w:rPr>
          <w:rFonts w:ascii="Times New Roman" w:hAnsi="Times New Roman"/>
          <w:spacing w:val="-3"/>
          <w:sz w:val="22"/>
          <w:szCs w:val="22"/>
        </w:rPr>
        <w:t>hour</w:t>
      </w:r>
      <w:r w:rsidRPr="00C56743" w:rsidR="00615CEF">
        <w:rPr>
          <w:rFonts w:ascii="Times New Roman" w:hAnsi="Times New Roman"/>
          <w:spacing w:val="-3"/>
          <w:sz w:val="22"/>
          <w:szCs w:val="22"/>
        </w:rPr>
        <w:t xml:space="preserve"> to</w:t>
      </w:r>
      <w:r w:rsidR="00196A36">
        <w:rPr>
          <w:rFonts w:ascii="Times New Roman" w:hAnsi="Times New Roman"/>
          <w:spacing w:val="-3"/>
          <w:sz w:val="22"/>
          <w:szCs w:val="22"/>
        </w:rPr>
        <w:t xml:space="preserve"> respond to technical questions</w:t>
      </w:r>
      <w:r w:rsidRPr="00C56743" w:rsidR="00EA75C0">
        <w:rPr>
          <w:rFonts w:ascii="Times New Roman" w:hAnsi="Times New Roman"/>
          <w:spacing w:val="-3"/>
          <w:sz w:val="22"/>
          <w:szCs w:val="22"/>
        </w:rPr>
        <w:t xml:space="preserve"> </w:t>
      </w:r>
      <w:r w:rsidRPr="00C56743" w:rsidR="00615CEF">
        <w:rPr>
          <w:rFonts w:ascii="Times New Roman" w:hAnsi="Times New Roman"/>
          <w:spacing w:val="-3"/>
          <w:sz w:val="22"/>
          <w:szCs w:val="22"/>
        </w:rPr>
        <w:t xml:space="preserve">= </w:t>
      </w:r>
      <w:r w:rsidR="00D93EAD">
        <w:rPr>
          <w:rFonts w:ascii="Times New Roman" w:hAnsi="Times New Roman"/>
          <w:spacing w:val="-3"/>
          <w:sz w:val="22"/>
          <w:szCs w:val="22"/>
        </w:rPr>
        <w:t xml:space="preserve"> </w:t>
      </w:r>
      <w:r w:rsidR="00C770A6">
        <w:rPr>
          <w:rFonts w:ascii="Times New Roman" w:hAnsi="Times New Roman"/>
          <w:spacing w:val="-3"/>
          <w:sz w:val="22"/>
          <w:szCs w:val="22"/>
        </w:rPr>
        <w:t xml:space="preserve">     </w:t>
      </w:r>
      <w:r w:rsidR="00C770A6">
        <w:rPr>
          <w:rFonts w:ascii="Times New Roman" w:hAnsi="Times New Roman"/>
          <w:spacing w:val="-3"/>
          <w:sz w:val="22"/>
          <w:szCs w:val="22"/>
          <w:u w:val="single"/>
        </w:rPr>
        <w:t>12</w:t>
      </w:r>
      <w:r w:rsidRPr="00D93EAD" w:rsidR="00B330AA">
        <w:rPr>
          <w:rFonts w:ascii="Times New Roman" w:hAnsi="Times New Roman"/>
          <w:spacing w:val="-3"/>
          <w:sz w:val="22"/>
          <w:szCs w:val="22"/>
          <w:u w:val="single"/>
        </w:rPr>
        <w:t xml:space="preserve"> </w:t>
      </w:r>
      <w:r w:rsidRPr="00D93EAD" w:rsidR="00EA75C0">
        <w:rPr>
          <w:rFonts w:ascii="Times New Roman" w:hAnsi="Times New Roman"/>
          <w:spacing w:val="-3"/>
          <w:sz w:val="22"/>
          <w:szCs w:val="22"/>
          <w:u w:val="single"/>
        </w:rPr>
        <w:t>hours</w:t>
      </w:r>
      <w:r w:rsidRPr="00C56743" w:rsidR="00EA75C0">
        <w:rPr>
          <w:rFonts w:ascii="Times New Roman" w:hAnsi="Times New Roman"/>
          <w:spacing w:val="-3"/>
          <w:sz w:val="22"/>
          <w:szCs w:val="22"/>
        </w:rPr>
        <w:tab/>
      </w:r>
      <w:r w:rsidRPr="00C56743" w:rsidR="00EA75C0">
        <w:rPr>
          <w:rFonts w:ascii="Times New Roman" w:hAnsi="Times New Roman"/>
          <w:spacing w:val="-3"/>
          <w:sz w:val="22"/>
          <w:szCs w:val="22"/>
        </w:rPr>
        <w:tab/>
      </w:r>
      <w:r w:rsidRPr="00C56743" w:rsidR="00EA75C0">
        <w:rPr>
          <w:rFonts w:ascii="Times New Roman" w:hAnsi="Times New Roman"/>
          <w:spacing w:val="-3"/>
          <w:sz w:val="22"/>
          <w:szCs w:val="22"/>
        </w:rPr>
        <w:tab/>
        <w:t xml:space="preserve">                    </w:t>
      </w:r>
      <w:r w:rsidRPr="00C56743" w:rsidR="00EA75C0">
        <w:rPr>
          <w:rFonts w:ascii="Times New Roman" w:hAnsi="Times New Roman"/>
          <w:spacing w:val="-3"/>
          <w:sz w:val="22"/>
          <w:szCs w:val="22"/>
        </w:rPr>
        <w:tab/>
        <w:t xml:space="preserve"> </w:t>
      </w:r>
      <w:r w:rsidRPr="00C56743" w:rsidR="00D37E89">
        <w:rPr>
          <w:rFonts w:ascii="Times New Roman" w:hAnsi="Times New Roman"/>
          <w:spacing w:val="-3"/>
          <w:sz w:val="22"/>
          <w:szCs w:val="22"/>
        </w:rPr>
        <w:t xml:space="preserve">          </w:t>
      </w:r>
      <w:r>
        <w:rPr>
          <w:rFonts w:ascii="Times New Roman" w:hAnsi="Times New Roman"/>
          <w:spacing w:val="-3"/>
          <w:sz w:val="22"/>
          <w:szCs w:val="22"/>
        </w:rPr>
        <w:t xml:space="preserve">                   </w:t>
      </w:r>
      <w:r w:rsidR="007F09FA">
        <w:rPr>
          <w:rFonts w:ascii="Times New Roman" w:hAnsi="Times New Roman"/>
          <w:spacing w:val="-3"/>
          <w:sz w:val="22"/>
          <w:szCs w:val="22"/>
        </w:rPr>
        <w:t xml:space="preserve">              </w:t>
      </w:r>
      <w:r w:rsidRPr="00C56743" w:rsidR="00EA75C0">
        <w:rPr>
          <w:rFonts w:ascii="Times New Roman" w:hAnsi="Times New Roman"/>
          <w:b/>
          <w:spacing w:val="-3"/>
          <w:sz w:val="22"/>
          <w:szCs w:val="22"/>
          <w:shd w:val="clear" w:color="auto" w:fill="FFFFFF"/>
        </w:rPr>
        <w:t xml:space="preserve">Annual </w:t>
      </w:r>
      <w:r w:rsidRPr="00C56743" w:rsidR="009E6849">
        <w:rPr>
          <w:rFonts w:ascii="Times New Roman" w:hAnsi="Times New Roman"/>
          <w:b/>
          <w:spacing w:val="-3"/>
          <w:sz w:val="22"/>
          <w:szCs w:val="22"/>
          <w:shd w:val="clear" w:color="auto" w:fill="FFFFFF"/>
        </w:rPr>
        <w:t xml:space="preserve">Broadcaster </w:t>
      </w:r>
      <w:r w:rsidRPr="00C56743" w:rsidR="00EA75C0">
        <w:rPr>
          <w:rFonts w:ascii="Times New Roman" w:hAnsi="Times New Roman"/>
          <w:b/>
          <w:spacing w:val="-3"/>
          <w:sz w:val="22"/>
          <w:szCs w:val="22"/>
          <w:shd w:val="clear" w:color="auto" w:fill="FFFFFF"/>
        </w:rPr>
        <w:t xml:space="preserve">Burden Hours: </w:t>
      </w:r>
      <w:r w:rsidR="00C770A6">
        <w:rPr>
          <w:rFonts w:ascii="Times New Roman" w:hAnsi="Times New Roman"/>
          <w:b/>
          <w:spacing w:val="-3"/>
          <w:sz w:val="22"/>
          <w:szCs w:val="22"/>
          <w:shd w:val="clear" w:color="auto" w:fill="FFFFFF"/>
        </w:rPr>
        <w:t>24</w:t>
      </w:r>
      <w:r w:rsidR="00B330AA">
        <w:rPr>
          <w:rFonts w:ascii="Times New Roman" w:hAnsi="Times New Roman"/>
          <w:b/>
          <w:spacing w:val="-3"/>
          <w:sz w:val="22"/>
          <w:szCs w:val="22"/>
          <w:shd w:val="clear" w:color="auto" w:fill="FFFFFF"/>
        </w:rPr>
        <w:t xml:space="preserve"> </w:t>
      </w:r>
      <w:r w:rsidRPr="00C56743" w:rsidR="00EA75C0">
        <w:rPr>
          <w:rFonts w:ascii="Times New Roman" w:hAnsi="Times New Roman"/>
          <w:b/>
          <w:spacing w:val="-3"/>
          <w:sz w:val="22"/>
          <w:szCs w:val="22"/>
          <w:shd w:val="clear" w:color="auto" w:fill="FFFFFF"/>
        </w:rPr>
        <w:t xml:space="preserve"> hours</w:t>
      </w:r>
    </w:p>
    <w:p w:rsidR="00EB7981" w:rsidRPr="00C56743" w:rsidP="00615CEF" w14:paraId="03002582" w14:textId="77777777">
      <w:pPr>
        <w:suppressAutoHyphens/>
        <w:ind w:firstLine="360"/>
        <w:rPr>
          <w:rFonts w:ascii="Times New Roman" w:hAnsi="Times New Roman"/>
          <w:spacing w:val="-3"/>
          <w:sz w:val="22"/>
          <w:szCs w:val="22"/>
        </w:rPr>
      </w:pPr>
    </w:p>
    <w:p w:rsidR="00EB7981" w:rsidRPr="00C56743" w:rsidP="00D93EAD" w14:paraId="37ABA10D" w14:textId="77777777">
      <w:pPr>
        <w:suppressAutoHyphens/>
        <w:ind w:left="360"/>
        <w:rPr>
          <w:rFonts w:ascii="Times New Roman" w:hAnsi="Times New Roman"/>
          <w:b/>
          <w:spacing w:val="-3"/>
          <w:sz w:val="22"/>
          <w:szCs w:val="22"/>
          <w:shd w:val="clear" w:color="auto" w:fill="FFFFFF"/>
        </w:rPr>
      </w:pPr>
      <w:r w:rsidRPr="00C56743">
        <w:rPr>
          <w:rFonts w:ascii="Times New Roman" w:hAnsi="Times New Roman"/>
          <w:spacing w:val="-3"/>
          <w:sz w:val="22"/>
          <w:szCs w:val="22"/>
        </w:rPr>
        <w:t xml:space="preserve">The respondents’ estimated salary are $100,000/year ($48.08/hour).  The station engineers’ salary are estimated at $60,000/year ($30.00/hour). </w:t>
      </w:r>
      <w:r w:rsidRPr="00C56743">
        <w:rPr>
          <w:rFonts w:ascii="Times New Roman" w:hAnsi="Times New Roman"/>
          <w:spacing w:val="-3"/>
          <w:sz w:val="22"/>
          <w:szCs w:val="22"/>
        </w:rPr>
        <w:cr/>
      </w:r>
    </w:p>
    <w:p w:rsidR="00D93EAD" w:rsidP="00284D8F" w14:paraId="4E4E4BBD" w14:textId="7F53DAAC">
      <w:pPr>
        <w:tabs>
          <w:tab w:val="left" w:pos="360"/>
        </w:tabs>
        <w:rPr>
          <w:rFonts w:ascii="Times New Roman" w:hAnsi="Times New Roman"/>
          <w:spacing w:val="-3"/>
          <w:sz w:val="22"/>
          <w:szCs w:val="22"/>
          <w:u w:val="single"/>
          <w:shd w:val="clear" w:color="auto" w:fill="FFFFFF"/>
        </w:rPr>
      </w:pPr>
      <w:r>
        <w:rPr>
          <w:rFonts w:ascii="Times New Roman" w:hAnsi="Times New Roman"/>
          <w:b/>
          <w:spacing w:val="-3"/>
          <w:sz w:val="22"/>
          <w:szCs w:val="22"/>
          <w:shd w:val="clear" w:color="auto" w:fill="FFFFFF"/>
        </w:rPr>
        <w:tab/>
      </w:r>
      <w:r>
        <w:rPr>
          <w:rFonts w:ascii="Times New Roman" w:hAnsi="Times New Roman"/>
          <w:b/>
          <w:spacing w:val="-3"/>
          <w:sz w:val="22"/>
          <w:szCs w:val="22"/>
          <w:shd w:val="clear" w:color="auto" w:fill="FFFFFF"/>
        </w:rPr>
        <w:tab/>
      </w:r>
      <w:r w:rsidRPr="00C56743" w:rsidR="009E6849">
        <w:rPr>
          <w:rFonts w:ascii="Times New Roman" w:hAnsi="Times New Roman"/>
          <w:b/>
          <w:spacing w:val="-3"/>
          <w:sz w:val="22"/>
          <w:szCs w:val="22"/>
          <w:shd w:val="clear" w:color="auto" w:fill="FFFFFF"/>
        </w:rPr>
        <w:t xml:space="preserve">Annual </w:t>
      </w:r>
      <w:r>
        <w:rPr>
          <w:rFonts w:ascii="Times New Roman" w:hAnsi="Times New Roman"/>
          <w:b/>
          <w:spacing w:val="-3"/>
          <w:sz w:val="22"/>
          <w:szCs w:val="22"/>
          <w:shd w:val="clear" w:color="auto" w:fill="FFFFFF"/>
        </w:rPr>
        <w:t xml:space="preserve">“In-House” </w:t>
      </w:r>
      <w:r w:rsidR="000B2DE0">
        <w:rPr>
          <w:rFonts w:ascii="Times New Roman" w:hAnsi="Times New Roman"/>
          <w:b/>
          <w:spacing w:val="-3"/>
          <w:sz w:val="22"/>
          <w:szCs w:val="22"/>
          <w:shd w:val="clear" w:color="auto" w:fill="FFFFFF"/>
        </w:rPr>
        <w:t>C</w:t>
      </w:r>
      <w:r w:rsidRPr="00C56743" w:rsidR="009E6849">
        <w:rPr>
          <w:rFonts w:ascii="Times New Roman" w:hAnsi="Times New Roman"/>
          <w:b/>
          <w:spacing w:val="-3"/>
          <w:sz w:val="22"/>
          <w:szCs w:val="22"/>
          <w:shd w:val="clear" w:color="auto" w:fill="FFFFFF"/>
        </w:rPr>
        <w:t>ost:</w:t>
      </w:r>
      <w:r w:rsidRPr="00C56743" w:rsidR="009E6849">
        <w:rPr>
          <w:rFonts w:ascii="Times New Roman" w:hAnsi="Times New Roman"/>
          <w:b/>
          <w:spacing w:val="-3"/>
          <w:sz w:val="22"/>
          <w:szCs w:val="22"/>
          <w:shd w:val="clear" w:color="auto" w:fill="FFFFFF"/>
        </w:rPr>
        <w:cr/>
      </w:r>
      <w:r>
        <w:rPr>
          <w:rFonts w:ascii="Times New Roman" w:hAnsi="Times New Roman"/>
          <w:b/>
          <w:spacing w:val="-3"/>
          <w:sz w:val="22"/>
          <w:szCs w:val="22"/>
          <w:shd w:val="clear" w:color="auto" w:fill="FFFFFF"/>
        </w:rPr>
        <w:tab/>
      </w:r>
      <w:r>
        <w:rPr>
          <w:rFonts w:ascii="Times New Roman" w:hAnsi="Times New Roman"/>
          <w:b/>
          <w:spacing w:val="-3"/>
          <w:sz w:val="22"/>
          <w:szCs w:val="22"/>
          <w:shd w:val="clear" w:color="auto" w:fill="FFFFFF"/>
        </w:rPr>
        <w:tab/>
      </w:r>
      <w:r w:rsidR="00C770A6">
        <w:rPr>
          <w:rFonts w:ascii="Times New Roman" w:hAnsi="Times New Roman"/>
          <w:spacing w:val="-3"/>
          <w:sz w:val="22"/>
          <w:szCs w:val="22"/>
          <w:shd w:val="clear" w:color="auto" w:fill="FFFFFF"/>
        </w:rPr>
        <w:t>12</w:t>
      </w:r>
      <w:r w:rsidR="00B330AA">
        <w:rPr>
          <w:rFonts w:ascii="Times New Roman" w:hAnsi="Times New Roman"/>
          <w:spacing w:val="-3"/>
          <w:sz w:val="22"/>
          <w:szCs w:val="22"/>
          <w:shd w:val="clear" w:color="auto" w:fill="FFFFFF"/>
        </w:rPr>
        <w:t xml:space="preserve"> </w:t>
      </w:r>
      <w:r w:rsidRPr="00C56743" w:rsidR="009E6849">
        <w:rPr>
          <w:rFonts w:ascii="Times New Roman" w:hAnsi="Times New Roman"/>
          <w:spacing w:val="-3"/>
          <w:sz w:val="22"/>
          <w:szCs w:val="22"/>
          <w:shd w:val="clear" w:color="auto" w:fill="FFFFFF"/>
        </w:rPr>
        <w:t xml:space="preserve">applications x </w:t>
      </w:r>
      <w:r w:rsidR="000B2DE0">
        <w:rPr>
          <w:rFonts w:ascii="Times New Roman" w:hAnsi="Times New Roman"/>
          <w:spacing w:val="-3"/>
          <w:sz w:val="22"/>
          <w:szCs w:val="22"/>
          <w:shd w:val="clear" w:color="auto" w:fill="FFFFFF"/>
        </w:rPr>
        <w:t>one</w:t>
      </w:r>
      <w:r w:rsidRPr="00C56743" w:rsidR="009E6849">
        <w:rPr>
          <w:rFonts w:ascii="Times New Roman" w:hAnsi="Times New Roman"/>
          <w:spacing w:val="-3"/>
          <w:sz w:val="22"/>
          <w:szCs w:val="22"/>
          <w:shd w:val="clear" w:color="auto" w:fill="FFFFFF"/>
        </w:rPr>
        <w:t xml:space="preserve"> hour to complete </w:t>
      </w:r>
      <w:r w:rsidR="000B2DE0">
        <w:rPr>
          <w:rFonts w:ascii="Times New Roman" w:hAnsi="Times New Roman"/>
          <w:spacing w:val="-3"/>
          <w:sz w:val="22"/>
          <w:szCs w:val="22"/>
          <w:shd w:val="clear" w:color="auto" w:fill="FFFFFF"/>
        </w:rPr>
        <w:t>Schedule 387</w:t>
      </w:r>
      <w:r w:rsidRPr="00C56743" w:rsidR="009E6849">
        <w:rPr>
          <w:rFonts w:ascii="Times New Roman" w:hAnsi="Times New Roman"/>
          <w:spacing w:val="-3"/>
          <w:sz w:val="22"/>
          <w:szCs w:val="22"/>
          <w:shd w:val="clear" w:color="auto" w:fill="FFFFFF"/>
        </w:rPr>
        <w:t xml:space="preserve"> x $48.08/hour      = </w:t>
      </w:r>
      <w:r w:rsidRPr="00C56743" w:rsidR="00284D8F">
        <w:rPr>
          <w:rFonts w:ascii="Times New Roman" w:hAnsi="Times New Roman"/>
          <w:spacing w:val="-3"/>
          <w:sz w:val="22"/>
          <w:szCs w:val="22"/>
          <w:shd w:val="clear" w:color="auto" w:fill="FFFFFF"/>
        </w:rPr>
        <w:t xml:space="preserve">  </w:t>
      </w:r>
      <w:r>
        <w:rPr>
          <w:rFonts w:ascii="Times New Roman" w:hAnsi="Times New Roman"/>
          <w:spacing w:val="-3"/>
          <w:sz w:val="22"/>
          <w:szCs w:val="22"/>
          <w:shd w:val="clear" w:color="auto" w:fill="FFFFFF"/>
        </w:rPr>
        <w:t xml:space="preserve">    </w:t>
      </w:r>
      <w:r w:rsidR="00C770A6">
        <w:rPr>
          <w:rFonts w:ascii="Times New Roman" w:hAnsi="Times New Roman"/>
          <w:spacing w:val="-3"/>
          <w:sz w:val="22"/>
          <w:szCs w:val="22"/>
          <w:shd w:val="clear" w:color="auto" w:fill="FFFFFF"/>
        </w:rPr>
        <w:t xml:space="preserve">     </w:t>
      </w:r>
      <w:r>
        <w:rPr>
          <w:rFonts w:ascii="Times New Roman" w:hAnsi="Times New Roman"/>
          <w:spacing w:val="-3"/>
          <w:sz w:val="22"/>
          <w:szCs w:val="22"/>
          <w:shd w:val="clear" w:color="auto" w:fill="FFFFFF"/>
        </w:rPr>
        <w:t xml:space="preserve"> </w:t>
      </w:r>
      <w:r w:rsidRPr="00D93EAD" w:rsidR="00284D8F">
        <w:rPr>
          <w:rFonts w:ascii="Times New Roman" w:hAnsi="Times New Roman"/>
          <w:spacing w:val="-3"/>
          <w:sz w:val="22"/>
          <w:szCs w:val="22"/>
          <w:shd w:val="clear" w:color="auto" w:fill="FFFFFF"/>
        </w:rPr>
        <w:t>$</w:t>
      </w:r>
      <w:r w:rsidR="00C770A6">
        <w:rPr>
          <w:rFonts w:ascii="Times New Roman" w:hAnsi="Times New Roman"/>
          <w:spacing w:val="-3"/>
          <w:sz w:val="22"/>
          <w:szCs w:val="22"/>
          <w:shd w:val="clear" w:color="auto" w:fill="FFFFFF"/>
        </w:rPr>
        <w:t>576.96</w:t>
      </w:r>
      <w:r>
        <w:rPr>
          <w:rFonts w:ascii="Times New Roman" w:hAnsi="Times New Roman"/>
          <w:spacing w:val="-3"/>
          <w:sz w:val="22"/>
          <w:szCs w:val="22"/>
          <w:shd w:val="clear" w:color="auto" w:fill="FFFFFF"/>
        </w:rPr>
        <w:t xml:space="preserve"> </w:t>
      </w:r>
    </w:p>
    <w:p w:rsidR="00D93EAD" w:rsidRPr="00D93EAD" w:rsidP="00D93EAD" w14:paraId="2CBC5E3D" w14:textId="4C5E1F5E">
      <w:pPr>
        <w:tabs>
          <w:tab w:val="left" w:pos="360"/>
        </w:tabs>
        <w:rPr>
          <w:rFonts w:ascii="Times New Roman" w:hAnsi="Times New Roman"/>
          <w:spacing w:val="-3"/>
          <w:sz w:val="22"/>
          <w:szCs w:val="22"/>
          <w:u w:val="single"/>
          <w:shd w:val="clear" w:color="auto" w:fill="FFFFFF"/>
        </w:rPr>
      </w:pPr>
      <w:r>
        <w:rPr>
          <w:rFonts w:ascii="Times New Roman" w:hAnsi="Times New Roman"/>
          <w:spacing w:val="-3"/>
          <w:sz w:val="22"/>
          <w:szCs w:val="22"/>
          <w:shd w:val="clear" w:color="auto" w:fill="FFFFFF"/>
        </w:rPr>
        <w:tab/>
      </w:r>
      <w:r>
        <w:rPr>
          <w:rFonts w:ascii="Times New Roman" w:hAnsi="Times New Roman"/>
          <w:spacing w:val="-3"/>
          <w:sz w:val="22"/>
          <w:szCs w:val="22"/>
          <w:shd w:val="clear" w:color="auto" w:fill="FFFFFF"/>
        </w:rPr>
        <w:tab/>
      </w:r>
      <w:r w:rsidR="00C770A6">
        <w:rPr>
          <w:rFonts w:ascii="Times New Roman" w:hAnsi="Times New Roman"/>
          <w:spacing w:val="-3"/>
          <w:sz w:val="22"/>
          <w:szCs w:val="22"/>
          <w:shd w:val="clear" w:color="auto" w:fill="FFFFFF"/>
        </w:rPr>
        <w:t>12</w:t>
      </w:r>
      <w:r w:rsidRPr="00D93EAD">
        <w:rPr>
          <w:rFonts w:ascii="Times New Roman" w:hAnsi="Times New Roman"/>
          <w:spacing w:val="-3"/>
          <w:sz w:val="22"/>
          <w:szCs w:val="22"/>
          <w:shd w:val="clear" w:color="auto" w:fill="FFFFFF"/>
        </w:rPr>
        <w:t xml:space="preserve">  applications x  one hour to respond to technical questions x $30.00/hour =</w:t>
      </w:r>
      <w:r w:rsidR="00C770A6">
        <w:rPr>
          <w:rFonts w:ascii="Times New Roman" w:hAnsi="Times New Roman"/>
          <w:spacing w:val="-3"/>
          <w:sz w:val="22"/>
          <w:szCs w:val="22"/>
          <w:shd w:val="clear" w:color="auto" w:fill="FFFFFF"/>
        </w:rPr>
        <w:t xml:space="preserve">     </w:t>
      </w:r>
      <w:r w:rsidRPr="00D93EAD">
        <w:rPr>
          <w:rFonts w:ascii="Times New Roman" w:hAnsi="Times New Roman"/>
          <w:spacing w:val="-3"/>
          <w:sz w:val="22"/>
          <w:szCs w:val="22"/>
          <w:u w:val="single"/>
          <w:shd w:val="clear" w:color="auto" w:fill="FFFFFF"/>
        </w:rPr>
        <w:t>$</w:t>
      </w:r>
      <w:r w:rsidR="00C770A6">
        <w:rPr>
          <w:rFonts w:ascii="Times New Roman" w:hAnsi="Times New Roman"/>
          <w:spacing w:val="-3"/>
          <w:sz w:val="22"/>
          <w:szCs w:val="22"/>
          <w:u w:val="single"/>
          <w:shd w:val="clear" w:color="auto" w:fill="FFFFFF"/>
        </w:rPr>
        <w:t>360.00</w:t>
      </w:r>
      <w:r w:rsidRPr="00D93EAD">
        <w:rPr>
          <w:rFonts w:ascii="Times New Roman" w:hAnsi="Times New Roman"/>
          <w:spacing w:val="-3"/>
          <w:sz w:val="22"/>
          <w:szCs w:val="22"/>
          <w:u w:val="single"/>
          <w:shd w:val="clear" w:color="auto" w:fill="FFFFFF"/>
        </w:rPr>
        <w:t xml:space="preserve"> </w:t>
      </w:r>
    </w:p>
    <w:p w:rsidR="006B1630" w:rsidRPr="00C56743" w:rsidP="00284D8F" w14:paraId="51781610" w14:textId="5A6A683F">
      <w:pPr>
        <w:tabs>
          <w:tab w:val="left" w:pos="360"/>
        </w:tabs>
        <w:rPr>
          <w:rFonts w:ascii="Times New Roman" w:hAnsi="Times New Roman"/>
          <w:sz w:val="22"/>
          <w:szCs w:val="22"/>
          <w:shd w:val="clear" w:color="auto" w:fill="FFFFFF"/>
        </w:rPr>
      </w:pPr>
      <w:r w:rsidRPr="00C56743">
        <w:rPr>
          <w:rFonts w:ascii="Times New Roman" w:hAnsi="Times New Roman"/>
          <w:spacing w:val="-3"/>
          <w:sz w:val="22"/>
          <w:szCs w:val="22"/>
          <w:shd w:val="clear" w:color="auto" w:fill="FFFFFF"/>
        </w:rPr>
        <w:tab/>
        <w:t xml:space="preserve">                                              </w:t>
      </w:r>
      <w:r w:rsidRPr="00C56743" w:rsidR="00D37E89">
        <w:rPr>
          <w:rFonts w:ascii="Times New Roman" w:hAnsi="Times New Roman"/>
          <w:spacing w:val="-3"/>
          <w:sz w:val="22"/>
          <w:szCs w:val="22"/>
          <w:shd w:val="clear" w:color="auto" w:fill="FFFFFF"/>
        </w:rPr>
        <w:t xml:space="preserve">         </w:t>
      </w:r>
      <w:r w:rsidRPr="00C56743">
        <w:rPr>
          <w:rFonts w:ascii="Times New Roman" w:hAnsi="Times New Roman"/>
          <w:b/>
          <w:spacing w:val="-3"/>
          <w:sz w:val="22"/>
          <w:szCs w:val="22"/>
          <w:shd w:val="clear" w:color="auto" w:fill="FFFFFF"/>
        </w:rPr>
        <w:t xml:space="preserve"> </w:t>
      </w:r>
      <w:r w:rsidR="00D93EAD">
        <w:rPr>
          <w:rFonts w:ascii="Times New Roman" w:hAnsi="Times New Roman"/>
          <w:b/>
          <w:spacing w:val="-3"/>
          <w:sz w:val="22"/>
          <w:szCs w:val="22"/>
          <w:shd w:val="clear" w:color="auto" w:fill="FFFFFF"/>
        </w:rPr>
        <w:t xml:space="preserve">           </w:t>
      </w:r>
      <w:r w:rsidR="00C007F8">
        <w:rPr>
          <w:rFonts w:ascii="Times New Roman" w:hAnsi="Times New Roman"/>
          <w:b/>
          <w:spacing w:val="-3"/>
          <w:sz w:val="22"/>
          <w:szCs w:val="22"/>
          <w:shd w:val="clear" w:color="auto" w:fill="FFFFFF"/>
        </w:rPr>
        <w:t xml:space="preserve">     </w:t>
      </w:r>
      <w:r w:rsidR="00D93EAD">
        <w:rPr>
          <w:rFonts w:ascii="Times New Roman" w:hAnsi="Times New Roman"/>
          <w:b/>
          <w:spacing w:val="-3"/>
          <w:sz w:val="22"/>
          <w:szCs w:val="22"/>
          <w:shd w:val="clear" w:color="auto" w:fill="FFFFFF"/>
        </w:rPr>
        <w:t xml:space="preserve"> </w:t>
      </w:r>
      <w:r w:rsidR="00C007F8">
        <w:rPr>
          <w:rFonts w:ascii="Times New Roman" w:hAnsi="Times New Roman"/>
          <w:b/>
          <w:spacing w:val="-3"/>
          <w:sz w:val="22"/>
          <w:szCs w:val="22"/>
          <w:shd w:val="clear" w:color="auto" w:fill="FFFFFF"/>
        </w:rPr>
        <w:t xml:space="preserve">              </w:t>
      </w:r>
      <w:r w:rsidRPr="00C56743">
        <w:rPr>
          <w:rFonts w:ascii="Times New Roman" w:hAnsi="Times New Roman"/>
          <w:b/>
          <w:spacing w:val="-3"/>
          <w:sz w:val="22"/>
          <w:szCs w:val="22"/>
          <w:shd w:val="clear" w:color="auto" w:fill="FFFFFF"/>
        </w:rPr>
        <w:t xml:space="preserve">Annual </w:t>
      </w:r>
      <w:r w:rsidRPr="00C56743" w:rsidR="00A67FB9">
        <w:rPr>
          <w:rFonts w:ascii="Times New Roman" w:hAnsi="Times New Roman"/>
          <w:b/>
          <w:spacing w:val="-3"/>
          <w:sz w:val="22"/>
          <w:szCs w:val="22"/>
          <w:shd w:val="clear" w:color="auto" w:fill="FFFFFF"/>
        </w:rPr>
        <w:t xml:space="preserve">Broadcaster </w:t>
      </w:r>
      <w:r w:rsidRPr="00C56743">
        <w:rPr>
          <w:rFonts w:ascii="Times New Roman" w:hAnsi="Times New Roman"/>
          <w:b/>
          <w:spacing w:val="-3"/>
          <w:sz w:val="22"/>
          <w:szCs w:val="22"/>
          <w:shd w:val="clear" w:color="auto" w:fill="FFFFFF"/>
        </w:rPr>
        <w:t xml:space="preserve">Cost:    </w:t>
      </w:r>
      <w:r w:rsidRPr="00C56743" w:rsidR="00284D8F">
        <w:rPr>
          <w:rFonts w:ascii="Times New Roman" w:hAnsi="Times New Roman"/>
          <w:b/>
          <w:spacing w:val="-3"/>
          <w:sz w:val="22"/>
          <w:szCs w:val="22"/>
          <w:shd w:val="clear" w:color="auto" w:fill="FFFFFF"/>
        </w:rPr>
        <w:t xml:space="preserve">  </w:t>
      </w:r>
      <w:r w:rsidR="00C770A6">
        <w:rPr>
          <w:rFonts w:ascii="Times New Roman" w:hAnsi="Times New Roman"/>
          <w:b/>
          <w:spacing w:val="-3"/>
          <w:sz w:val="22"/>
          <w:szCs w:val="22"/>
          <w:shd w:val="clear" w:color="auto" w:fill="FFFFFF"/>
        </w:rPr>
        <w:t>$936.96</w:t>
      </w:r>
    </w:p>
    <w:p w:rsidR="00641D9A" w:rsidRPr="00C56743" w:rsidP="00641D9A" w14:paraId="06F33DBB" w14:textId="77777777">
      <w:pPr>
        <w:tabs>
          <w:tab w:val="left" w:pos="360"/>
        </w:tabs>
        <w:ind w:left="720"/>
        <w:rPr>
          <w:rFonts w:ascii="Times New Roman" w:hAnsi="Times New Roman"/>
          <w:sz w:val="22"/>
          <w:szCs w:val="22"/>
          <w:shd w:val="clear" w:color="auto" w:fill="FFFFFF"/>
        </w:rPr>
      </w:pPr>
    </w:p>
    <w:p w:rsidR="00381F63" w:rsidRPr="00C56743" w:rsidP="007519E2" w14:paraId="3C93E136" w14:textId="77777777">
      <w:pPr>
        <w:suppressAutoHyphens/>
        <w:rPr>
          <w:rFonts w:ascii="Times New Roman" w:hAnsi="Times New Roman"/>
          <w:spacing w:val="-3"/>
          <w:sz w:val="22"/>
          <w:szCs w:val="22"/>
        </w:rPr>
      </w:pPr>
      <w:r w:rsidRPr="00C56743">
        <w:rPr>
          <w:rFonts w:ascii="Times New Roman" w:hAnsi="Times New Roman"/>
          <w:spacing w:val="-3"/>
          <w:sz w:val="22"/>
          <w:szCs w:val="22"/>
        </w:rPr>
        <w:tab/>
      </w:r>
    </w:p>
    <w:p w:rsidR="00EB7981" w:rsidRPr="00C56743" w:rsidP="000C6898" w14:paraId="1033A9E4" w14:textId="77777777">
      <w:pPr>
        <w:suppressAutoHyphens/>
        <w:ind w:left="360"/>
        <w:rPr>
          <w:rFonts w:ascii="Times New Roman" w:hAnsi="Times New Roman"/>
          <w:b/>
          <w:spacing w:val="-3"/>
          <w:sz w:val="22"/>
          <w:szCs w:val="22"/>
        </w:rPr>
      </w:pPr>
      <w:r w:rsidRPr="00C56743">
        <w:rPr>
          <w:rFonts w:ascii="Times New Roman" w:hAnsi="Times New Roman"/>
          <w:b/>
          <w:i/>
          <w:spacing w:val="-3"/>
          <w:sz w:val="22"/>
          <w:szCs w:val="22"/>
          <w:u w:val="single"/>
        </w:rPr>
        <w:t>Cum</w:t>
      </w:r>
      <w:r w:rsidR="00E045A2">
        <w:rPr>
          <w:rFonts w:ascii="Times New Roman" w:hAnsi="Times New Roman"/>
          <w:b/>
          <w:i/>
          <w:spacing w:val="-3"/>
          <w:sz w:val="22"/>
          <w:szCs w:val="22"/>
          <w:u w:val="single"/>
        </w:rPr>
        <w:t>u</w:t>
      </w:r>
      <w:r w:rsidRPr="00C56743">
        <w:rPr>
          <w:rFonts w:ascii="Times New Roman" w:hAnsi="Times New Roman"/>
          <w:b/>
          <w:i/>
          <w:spacing w:val="-3"/>
          <w:sz w:val="22"/>
          <w:szCs w:val="22"/>
          <w:u w:val="single"/>
        </w:rPr>
        <w:t>lative Totals for the Entire Collection</w:t>
      </w:r>
      <w:r w:rsidRPr="00C56743">
        <w:rPr>
          <w:rFonts w:ascii="Times New Roman" w:hAnsi="Times New Roman"/>
          <w:b/>
          <w:spacing w:val="-3"/>
          <w:sz w:val="22"/>
          <w:szCs w:val="22"/>
        </w:rPr>
        <w:t>:</w:t>
      </w:r>
    </w:p>
    <w:p w:rsidR="00586930" w:rsidRPr="00C56743" w:rsidP="000C6898" w14:paraId="29093811" w14:textId="77777777">
      <w:pPr>
        <w:suppressAutoHyphens/>
        <w:ind w:left="360"/>
        <w:rPr>
          <w:rFonts w:ascii="Times New Roman" w:hAnsi="Times New Roman"/>
          <w:b/>
          <w:spacing w:val="-3"/>
          <w:sz w:val="22"/>
          <w:szCs w:val="22"/>
        </w:rPr>
      </w:pPr>
    </w:p>
    <w:p w:rsidR="00EB7981" w:rsidRPr="00C56743" w:rsidP="000C6898" w14:paraId="61B8AC68" w14:textId="4A9B1E8A">
      <w:pPr>
        <w:suppressAutoHyphens/>
        <w:ind w:left="360"/>
        <w:rPr>
          <w:rFonts w:ascii="Times New Roman" w:hAnsi="Times New Roman"/>
          <w:b/>
          <w:spacing w:val="-3"/>
          <w:sz w:val="22"/>
          <w:szCs w:val="22"/>
        </w:rPr>
      </w:pPr>
      <w:r w:rsidRPr="00C56743">
        <w:rPr>
          <w:rFonts w:ascii="Times New Roman" w:hAnsi="Times New Roman"/>
          <w:b/>
          <w:spacing w:val="-3"/>
          <w:sz w:val="22"/>
          <w:szCs w:val="22"/>
        </w:rPr>
        <w:t xml:space="preserve">Total Number of Respondents:  </w:t>
      </w:r>
      <w:r w:rsidR="00C770A6">
        <w:rPr>
          <w:rFonts w:ascii="Times New Roman" w:hAnsi="Times New Roman"/>
          <w:b/>
          <w:spacing w:val="-3"/>
          <w:sz w:val="22"/>
          <w:szCs w:val="22"/>
        </w:rPr>
        <w:t>4</w:t>
      </w:r>
      <w:r w:rsidRPr="00C56743">
        <w:rPr>
          <w:rFonts w:ascii="Times New Roman" w:hAnsi="Times New Roman"/>
          <w:b/>
          <w:spacing w:val="-3"/>
          <w:sz w:val="22"/>
          <w:szCs w:val="22"/>
        </w:rPr>
        <w:t xml:space="preserve"> Broadcasters </w:t>
      </w:r>
    </w:p>
    <w:p w:rsidR="006B71C9" w:rsidRPr="00C56743" w:rsidP="000C6898" w14:paraId="04BAEF85" w14:textId="77777777">
      <w:pPr>
        <w:suppressAutoHyphens/>
        <w:ind w:left="360"/>
        <w:rPr>
          <w:rFonts w:ascii="Times New Roman" w:hAnsi="Times New Roman"/>
          <w:b/>
          <w:spacing w:val="-3"/>
          <w:sz w:val="22"/>
          <w:szCs w:val="22"/>
        </w:rPr>
      </w:pPr>
    </w:p>
    <w:p w:rsidR="00EB7981" w:rsidRPr="00601CAD" w:rsidP="000C6898" w14:paraId="12837DB6" w14:textId="3BEF7158">
      <w:pPr>
        <w:suppressAutoHyphens/>
        <w:ind w:left="360"/>
        <w:rPr>
          <w:rFonts w:ascii="Times New Roman" w:hAnsi="Times New Roman"/>
          <w:b/>
          <w:spacing w:val="-3"/>
          <w:sz w:val="22"/>
          <w:szCs w:val="22"/>
        </w:rPr>
      </w:pPr>
      <w:r w:rsidRPr="00C56743">
        <w:rPr>
          <w:rFonts w:ascii="Times New Roman" w:hAnsi="Times New Roman"/>
          <w:b/>
          <w:spacing w:val="-3"/>
          <w:sz w:val="22"/>
          <w:szCs w:val="22"/>
        </w:rPr>
        <w:t xml:space="preserve">Total Number of </w:t>
      </w:r>
      <w:r w:rsidRPr="00601CAD" w:rsidR="00D93EAD">
        <w:rPr>
          <w:rFonts w:ascii="Times New Roman" w:hAnsi="Times New Roman"/>
          <w:b/>
          <w:spacing w:val="-3"/>
          <w:sz w:val="22"/>
          <w:szCs w:val="22"/>
        </w:rPr>
        <w:t xml:space="preserve">Annual </w:t>
      </w:r>
      <w:r w:rsidRPr="00601CAD">
        <w:rPr>
          <w:rFonts w:ascii="Times New Roman" w:hAnsi="Times New Roman"/>
          <w:b/>
          <w:spacing w:val="-3"/>
          <w:sz w:val="22"/>
          <w:szCs w:val="22"/>
        </w:rPr>
        <w:t xml:space="preserve">Responses: </w:t>
      </w:r>
      <w:r w:rsidRPr="00601CAD" w:rsidR="00DE5677">
        <w:rPr>
          <w:rFonts w:ascii="Times New Roman" w:hAnsi="Times New Roman"/>
          <w:spacing w:val="-3"/>
          <w:sz w:val="22"/>
          <w:szCs w:val="22"/>
        </w:rPr>
        <w:t xml:space="preserve"> </w:t>
      </w:r>
      <w:r w:rsidRPr="00601CAD" w:rsidR="005A72FA">
        <w:rPr>
          <w:rFonts w:ascii="Times New Roman" w:hAnsi="Times New Roman"/>
          <w:b/>
          <w:spacing w:val="-3"/>
          <w:sz w:val="22"/>
          <w:szCs w:val="22"/>
        </w:rPr>
        <w:t xml:space="preserve"> </w:t>
      </w:r>
      <w:r w:rsidRPr="00601CAD">
        <w:rPr>
          <w:rFonts w:ascii="Times New Roman" w:hAnsi="Times New Roman"/>
          <w:b/>
          <w:spacing w:val="-3"/>
          <w:sz w:val="22"/>
          <w:szCs w:val="22"/>
        </w:rPr>
        <w:t xml:space="preserve">= </w:t>
      </w:r>
      <w:r w:rsidR="00C770A6">
        <w:rPr>
          <w:rFonts w:ascii="Times New Roman" w:hAnsi="Times New Roman"/>
          <w:b/>
          <w:spacing w:val="-3"/>
          <w:sz w:val="22"/>
          <w:szCs w:val="22"/>
        </w:rPr>
        <w:t>12</w:t>
      </w:r>
      <w:r w:rsidRPr="00601CAD" w:rsidR="00447914">
        <w:rPr>
          <w:rFonts w:ascii="Times New Roman" w:hAnsi="Times New Roman"/>
          <w:b/>
          <w:spacing w:val="-3"/>
          <w:sz w:val="22"/>
          <w:szCs w:val="22"/>
        </w:rPr>
        <w:t xml:space="preserve"> </w:t>
      </w:r>
      <w:r w:rsidRPr="00601CAD" w:rsidR="006B71C9">
        <w:rPr>
          <w:rFonts w:ascii="Times New Roman" w:hAnsi="Times New Roman"/>
          <w:b/>
          <w:spacing w:val="-3"/>
          <w:sz w:val="22"/>
          <w:szCs w:val="22"/>
        </w:rPr>
        <w:t>responses</w:t>
      </w:r>
    </w:p>
    <w:p w:rsidR="006B71C9" w:rsidRPr="00601CAD" w:rsidP="000C6898" w14:paraId="597A7207" w14:textId="77777777">
      <w:pPr>
        <w:suppressAutoHyphens/>
        <w:ind w:left="360"/>
        <w:rPr>
          <w:rFonts w:ascii="Times New Roman" w:hAnsi="Times New Roman"/>
          <w:b/>
          <w:spacing w:val="-3"/>
          <w:sz w:val="22"/>
          <w:szCs w:val="22"/>
        </w:rPr>
      </w:pPr>
    </w:p>
    <w:p w:rsidR="006B71C9" w:rsidRPr="00601CAD" w:rsidP="000C6898" w14:paraId="49755840" w14:textId="746A02BC">
      <w:pPr>
        <w:suppressAutoHyphens/>
        <w:ind w:left="360"/>
        <w:rPr>
          <w:rFonts w:ascii="Times New Roman" w:hAnsi="Times New Roman"/>
          <w:b/>
          <w:spacing w:val="-3"/>
          <w:sz w:val="22"/>
          <w:szCs w:val="22"/>
        </w:rPr>
      </w:pPr>
      <w:r w:rsidRPr="00601CAD">
        <w:rPr>
          <w:rFonts w:ascii="Times New Roman" w:hAnsi="Times New Roman"/>
          <w:b/>
          <w:spacing w:val="-3"/>
          <w:sz w:val="22"/>
          <w:szCs w:val="22"/>
        </w:rPr>
        <w:t xml:space="preserve">Total Annual Burden Hours:  = </w:t>
      </w:r>
      <w:r w:rsidR="00C770A6">
        <w:rPr>
          <w:rFonts w:ascii="Times New Roman" w:hAnsi="Times New Roman"/>
          <w:b/>
          <w:spacing w:val="-3"/>
          <w:sz w:val="22"/>
          <w:szCs w:val="22"/>
        </w:rPr>
        <w:t>24</w:t>
      </w:r>
      <w:r w:rsidRPr="00601CAD" w:rsidR="00B330AA">
        <w:rPr>
          <w:rFonts w:ascii="Times New Roman" w:hAnsi="Times New Roman"/>
          <w:b/>
          <w:spacing w:val="-3"/>
          <w:sz w:val="22"/>
          <w:szCs w:val="22"/>
        </w:rPr>
        <w:t xml:space="preserve"> </w:t>
      </w:r>
      <w:r w:rsidRPr="00601CAD" w:rsidR="001A79EA">
        <w:rPr>
          <w:rFonts w:ascii="Times New Roman" w:hAnsi="Times New Roman"/>
          <w:b/>
          <w:spacing w:val="-3"/>
          <w:sz w:val="22"/>
          <w:szCs w:val="22"/>
        </w:rPr>
        <w:t>hours</w:t>
      </w:r>
    </w:p>
    <w:p w:rsidR="006B71C9" w:rsidRPr="00601CAD" w:rsidP="000C6898" w14:paraId="35C763B2" w14:textId="77777777">
      <w:pPr>
        <w:suppressAutoHyphens/>
        <w:ind w:left="360"/>
        <w:rPr>
          <w:rFonts w:ascii="Times New Roman" w:hAnsi="Times New Roman"/>
          <w:b/>
          <w:spacing w:val="-3"/>
          <w:sz w:val="22"/>
          <w:szCs w:val="22"/>
        </w:rPr>
      </w:pPr>
      <w:r w:rsidRPr="00601CAD">
        <w:rPr>
          <w:rFonts w:ascii="Times New Roman" w:hAnsi="Times New Roman"/>
          <w:b/>
          <w:spacing w:val="-3"/>
          <w:sz w:val="22"/>
          <w:szCs w:val="22"/>
        </w:rPr>
        <w:t xml:space="preserve"> </w:t>
      </w:r>
    </w:p>
    <w:p w:rsidR="00EB7981" w:rsidRPr="00601CAD" w:rsidP="000C6898" w14:paraId="3D487257" w14:textId="3573C6AE">
      <w:pPr>
        <w:suppressAutoHyphens/>
        <w:ind w:left="360"/>
        <w:rPr>
          <w:rFonts w:ascii="Times New Roman" w:hAnsi="Times New Roman"/>
          <w:b/>
          <w:spacing w:val="-3"/>
          <w:sz w:val="22"/>
          <w:szCs w:val="22"/>
        </w:rPr>
      </w:pPr>
      <w:r w:rsidRPr="00601CAD">
        <w:rPr>
          <w:rFonts w:ascii="Times New Roman" w:hAnsi="Times New Roman"/>
          <w:b/>
          <w:spacing w:val="-3"/>
          <w:sz w:val="22"/>
          <w:szCs w:val="22"/>
        </w:rPr>
        <w:t xml:space="preserve">Total Annual </w:t>
      </w:r>
      <w:r w:rsidRPr="00601CAD" w:rsidR="00D93EAD">
        <w:rPr>
          <w:rFonts w:ascii="Times New Roman" w:hAnsi="Times New Roman"/>
          <w:b/>
          <w:spacing w:val="-3"/>
          <w:sz w:val="22"/>
          <w:szCs w:val="22"/>
        </w:rPr>
        <w:t xml:space="preserve">“In-House” </w:t>
      </w:r>
      <w:r w:rsidRPr="00601CAD">
        <w:rPr>
          <w:rFonts w:ascii="Times New Roman" w:hAnsi="Times New Roman"/>
          <w:b/>
          <w:spacing w:val="-3"/>
          <w:sz w:val="22"/>
          <w:szCs w:val="22"/>
        </w:rPr>
        <w:t xml:space="preserve">Cost:  </w:t>
      </w:r>
      <w:r w:rsidRPr="00601CAD" w:rsidR="001A79EA">
        <w:rPr>
          <w:rFonts w:ascii="Times New Roman" w:hAnsi="Times New Roman"/>
          <w:b/>
          <w:spacing w:val="-3"/>
          <w:sz w:val="22"/>
          <w:szCs w:val="22"/>
        </w:rPr>
        <w:t>$</w:t>
      </w:r>
      <w:r w:rsidR="00C770A6">
        <w:rPr>
          <w:rFonts w:ascii="Times New Roman" w:hAnsi="Times New Roman"/>
          <w:b/>
          <w:spacing w:val="-3"/>
          <w:sz w:val="22"/>
          <w:szCs w:val="22"/>
        </w:rPr>
        <w:t>936.96</w:t>
      </w:r>
    </w:p>
    <w:p w:rsidR="000C6898" w:rsidRPr="00601CAD" w14:paraId="1F5742CF" w14:textId="77777777">
      <w:pPr>
        <w:tabs>
          <w:tab w:val="left" w:pos="360"/>
        </w:tabs>
        <w:suppressAutoHyphens/>
        <w:ind w:left="360" w:hanging="360"/>
        <w:rPr>
          <w:rFonts w:ascii="Times New Roman" w:hAnsi="Times New Roman"/>
          <w:sz w:val="22"/>
          <w:szCs w:val="22"/>
          <w:shd w:val="clear" w:color="auto" w:fill="FFFFFF"/>
        </w:rPr>
      </w:pPr>
    </w:p>
    <w:p w:rsidR="009849DC" w:rsidRPr="00C56743" w:rsidP="009849DC" w14:paraId="71AAB273" w14:textId="77777777">
      <w:pPr>
        <w:suppressAutoHyphens/>
        <w:ind w:left="360"/>
        <w:rPr>
          <w:rFonts w:ascii="Times New Roman" w:hAnsi="Times New Roman"/>
          <w:spacing w:val="-3"/>
          <w:sz w:val="22"/>
          <w:szCs w:val="22"/>
        </w:rPr>
      </w:pPr>
      <w:r w:rsidRPr="00601CAD">
        <w:rPr>
          <w:rFonts w:ascii="Times New Roman" w:hAnsi="Times New Roman"/>
          <w:spacing w:val="-3"/>
          <w:sz w:val="22"/>
          <w:szCs w:val="22"/>
        </w:rPr>
        <w:t>These estimates are based on FCC staff's knowledge and familiarity with the availability of the data required.</w:t>
      </w:r>
    </w:p>
    <w:p w:rsidR="006B1630" w:rsidP="006177DB" w14:paraId="3C8CC8E8" w14:textId="77777777">
      <w:pPr>
        <w:widowControl/>
        <w:tabs>
          <w:tab w:val="left" w:pos="360"/>
        </w:tabs>
        <w:rPr>
          <w:rFonts w:ascii="Times New Roman" w:hAnsi="Times New Roman"/>
          <w:color w:val="000000"/>
          <w:sz w:val="22"/>
          <w:szCs w:val="22"/>
          <w:shd w:val="clear" w:color="auto" w:fill="FFFFFF"/>
        </w:rPr>
      </w:pPr>
    </w:p>
    <w:p w:rsidR="00D93EAD" w:rsidRPr="00601CAD" w:rsidP="0090463E" w14:paraId="0004521D" w14:textId="77777777">
      <w:pPr>
        <w:tabs>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 xml:space="preserve">13.  </w:t>
      </w:r>
      <w:r w:rsidRPr="00601CAD">
        <w:rPr>
          <w:rFonts w:ascii="Times New Roman" w:hAnsi="Times New Roman"/>
          <w:sz w:val="22"/>
          <w:szCs w:val="22"/>
          <w:shd w:val="clear" w:color="auto" w:fill="FFFFFF"/>
        </w:rPr>
        <w:t>There are no external/consulting costs for this information collection.</w:t>
      </w:r>
    </w:p>
    <w:p w:rsidR="00D93EAD" w:rsidRPr="00601CAD" w:rsidP="0090463E" w14:paraId="40CED03E" w14:textId="77777777">
      <w:pPr>
        <w:tabs>
          <w:tab w:val="left" w:pos="360"/>
        </w:tabs>
        <w:suppressAutoHyphens/>
        <w:ind w:left="360" w:hanging="360"/>
        <w:rPr>
          <w:rFonts w:ascii="Times New Roman" w:hAnsi="Times New Roman"/>
          <w:sz w:val="22"/>
          <w:szCs w:val="22"/>
          <w:shd w:val="clear" w:color="auto" w:fill="FFFFFF"/>
        </w:rPr>
      </w:pPr>
    </w:p>
    <w:p w:rsidR="0090463E" w:rsidRPr="00601CAD" w:rsidP="0090463E" w14:paraId="5917ACB8" w14:textId="57B0AA76">
      <w:pPr>
        <w:tabs>
          <w:tab w:val="left" w:pos="360"/>
        </w:tabs>
        <w:suppressAutoHyphens/>
        <w:ind w:left="360" w:hanging="360"/>
        <w:rPr>
          <w:rFonts w:ascii="Times New Roman" w:hAnsi="Times New Roman"/>
          <w:spacing w:val="-3"/>
          <w:sz w:val="22"/>
          <w:szCs w:val="22"/>
        </w:rPr>
      </w:pPr>
      <w:r w:rsidRPr="00601CAD">
        <w:rPr>
          <w:rFonts w:ascii="Times New Roman" w:hAnsi="Times New Roman"/>
          <w:sz w:val="22"/>
          <w:szCs w:val="22"/>
          <w:shd w:val="clear" w:color="auto" w:fill="FFFFFF"/>
        </w:rPr>
        <w:t>1</w:t>
      </w:r>
      <w:r w:rsidRPr="00601CAD" w:rsidR="00D93EAD">
        <w:rPr>
          <w:rFonts w:ascii="Times New Roman" w:hAnsi="Times New Roman"/>
          <w:sz w:val="22"/>
          <w:szCs w:val="22"/>
          <w:shd w:val="clear" w:color="auto" w:fill="FFFFFF"/>
        </w:rPr>
        <w:t>4</w:t>
      </w:r>
      <w:r w:rsidRPr="00601CAD">
        <w:rPr>
          <w:rFonts w:ascii="Times New Roman" w:hAnsi="Times New Roman"/>
          <w:sz w:val="22"/>
          <w:szCs w:val="22"/>
          <w:shd w:val="clear" w:color="auto" w:fill="FFFFFF"/>
        </w:rPr>
        <w:t>.</w:t>
      </w:r>
      <w:r w:rsidRPr="00601CAD">
        <w:rPr>
          <w:rFonts w:ascii="Times New Roman" w:hAnsi="Times New Roman"/>
          <w:sz w:val="22"/>
          <w:szCs w:val="22"/>
          <w:shd w:val="clear" w:color="auto" w:fill="FFFFFF"/>
        </w:rPr>
        <w:tab/>
      </w:r>
      <w:r w:rsidRPr="00601CAD">
        <w:rPr>
          <w:rFonts w:ascii="Times New Roman" w:hAnsi="Times New Roman"/>
          <w:spacing w:val="-3"/>
          <w:sz w:val="22"/>
          <w:szCs w:val="22"/>
          <w:u w:val="single"/>
        </w:rPr>
        <w:t>Cost to the Federal Government</w:t>
      </w:r>
      <w:r w:rsidRPr="00601CAD">
        <w:rPr>
          <w:rFonts w:ascii="Times New Roman" w:hAnsi="Times New Roman"/>
          <w:spacing w:val="-3"/>
          <w:sz w:val="22"/>
          <w:szCs w:val="22"/>
        </w:rPr>
        <w:t>:  The Commission will use professionals at</w:t>
      </w:r>
      <w:r w:rsidRPr="00601CAD" w:rsidR="00D93EAD">
        <w:rPr>
          <w:rFonts w:ascii="Times New Roman" w:hAnsi="Times New Roman"/>
          <w:spacing w:val="-3"/>
          <w:sz w:val="22"/>
          <w:szCs w:val="22"/>
        </w:rPr>
        <w:t xml:space="preserve"> the GS-14, step 5 level ($</w:t>
      </w:r>
      <w:r w:rsidR="00597DCA">
        <w:rPr>
          <w:rFonts w:ascii="Times New Roman" w:hAnsi="Times New Roman"/>
          <w:spacing w:val="-3"/>
          <w:sz w:val="22"/>
          <w:szCs w:val="22"/>
        </w:rPr>
        <w:t>78.15</w:t>
      </w:r>
      <w:r w:rsidR="00D679EB">
        <w:rPr>
          <w:rFonts w:ascii="Times New Roman" w:hAnsi="Times New Roman"/>
          <w:spacing w:val="-3"/>
          <w:sz w:val="22"/>
          <w:szCs w:val="22"/>
        </w:rPr>
        <w:t>)</w:t>
      </w:r>
      <w:r w:rsidRPr="00601CAD">
        <w:rPr>
          <w:rFonts w:ascii="Times New Roman" w:hAnsi="Times New Roman"/>
          <w:spacing w:val="-3"/>
          <w:sz w:val="22"/>
          <w:szCs w:val="22"/>
        </w:rPr>
        <w:t xml:space="preserve"> </w:t>
      </w:r>
    </w:p>
    <w:p w:rsidR="0090463E" w:rsidRPr="00601CAD" w:rsidP="0090463E" w14:paraId="7C4A0082" w14:textId="77777777">
      <w:pPr>
        <w:tabs>
          <w:tab w:val="left" w:pos="-720"/>
        </w:tabs>
        <w:suppressAutoHyphens/>
        <w:rPr>
          <w:rFonts w:ascii="Times New Roman" w:hAnsi="Times New Roman"/>
          <w:spacing w:val="-3"/>
          <w:sz w:val="22"/>
          <w:szCs w:val="22"/>
        </w:rPr>
      </w:pPr>
    </w:p>
    <w:p w:rsidR="0090463E" w:rsidRPr="00601CAD" w:rsidP="0090463E" w14:paraId="3E026A1F" w14:textId="7DCC4AE8">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601CAD">
        <w:rPr>
          <w:rFonts w:ascii="Times New Roman" w:hAnsi="Times New Roman"/>
          <w:spacing w:val="-3"/>
          <w:sz w:val="22"/>
          <w:szCs w:val="22"/>
        </w:rPr>
        <w:tab/>
        <w:t>Professionals</w:t>
      </w:r>
      <w:r w:rsidR="00C007F8">
        <w:rPr>
          <w:rFonts w:ascii="Times New Roman" w:hAnsi="Times New Roman"/>
          <w:spacing w:val="-3"/>
          <w:sz w:val="22"/>
          <w:szCs w:val="22"/>
        </w:rPr>
        <w:t xml:space="preserve">: </w:t>
      </w:r>
      <w:r w:rsidRPr="00601CAD">
        <w:rPr>
          <w:rFonts w:ascii="Times New Roman" w:hAnsi="Times New Roman"/>
          <w:spacing w:val="-3"/>
          <w:sz w:val="22"/>
          <w:szCs w:val="22"/>
        </w:rPr>
        <w:t>1 hour</w:t>
      </w:r>
      <w:r w:rsidR="00C007F8">
        <w:rPr>
          <w:rFonts w:ascii="Times New Roman" w:hAnsi="Times New Roman"/>
          <w:spacing w:val="-3"/>
          <w:sz w:val="22"/>
          <w:szCs w:val="22"/>
        </w:rPr>
        <w:t xml:space="preserve"> </w:t>
      </w:r>
      <w:r w:rsidRPr="00601CAD">
        <w:rPr>
          <w:rFonts w:ascii="Times New Roman" w:hAnsi="Times New Roman"/>
          <w:spacing w:val="-3"/>
          <w:sz w:val="22"/>
          <w:szCs w:val="22"/>
        </w:rPr>
        <w:t>x $</w:t>
      </w:r>
      <w:r w:rsidR="00597DCA">
        <w:rPr>
          <w:rFonts w:ascii="Times New Roman" w:hAnsi="Times New Roman"/>
          <w:spacing w:val="-3"/>
          <w:sz w:val="22"/>
          <w:szCs w:val="22"/>
        </w:rPr>
        <w:t>78.15</w:t>
      </w:r>
      <w:r w:rsidRPr="00601CAD">
        <w:rPr>
          <w:rFonts w:ascii="Times New Roman" w:hAnsi="Times New Roman"/>
          <w:spacing w:val="-3"/>
          <w:sz w:val="22"/>
          <w:szCs w:val="22"/>
        </w:rPr>
        <w:t xml:space="preserve">/hour x </w:t>
      </w:r>
      <w:r w:rsidR="00F41455">
        <w:rPr>
          <w:rFonts w:ascii="Times New Roman" w:hAnsi="Times New Roman"/>
          <w:spacing w:val="-3"/>
          <w:sz w:val="22"/>
          <w:szCs w:val="22"/>
        </w:rPr>
        <w:t>12</w:t>
      </w:r>
      <w:r w:rsidRPr="00601CAD">
        <w:rPr>
          <w:rFonts w:ascii="Times New Roman" w:hAnsi="Times New Roman"/>
          <w:spacing w:val="-3"/>
          <w:sz w:val="22"/>
          <w:szCs w:val="22"/>
        </w:rPr>
        <w:t xml:space="preserve"> </w:t>
      </w:r>
      <w:r w:rsidRPr="00601CAD" w:rsidR="00B41E2A">
        <w:rPr>
          <w:rFonts w:ascii="Times New Roman" w:hAnsi="Times New Roman"/>
          <w:spacing w:val="-3"/>
          <w:sz w:val="22"/>
          <w:szCs w:val="22"/>
        </w:rPr>
        <w:t xml:space="preserve">applications annually </w:t>
      </w:r>
      <w:r w:rsidRPr="00601CAD">
        <w:rPr>
          <w:rFonts w:ascii="Times New Roman" w:hAnsi="Times New Roman"/>
          <w:spacing w:val="-3"/>
          <w:sz w:val="22"/>
          <w:szCs w:val="22"/>
        </w:rPr>
        <w:t>= $</w:t>
      </w:r>
      <w:r w:rsidR="00597DCA">
        <w:rPr>
          <w:rFonts w:ascii="Times New Roman" w:hAnsi="Times New Roman"/>
          <w:spacing w:val="-3"/>
          <w:sz w:val="22"/>
          <w:szCs w:val="22"/>
        </w:rPr>
        <w:t>937.80</w:t>
      </w:r>
    </w:p>
    <w:p w:rsidR="0090463E" w:rsidRPr="00601CAD" w:rsidP="0090463E" w14:paraId="7DADFA81" w14:textId="77777777">
      <w:pPr>
        <w:tabs>
          <w:tab w:val="left" w:pos="-1440"/>
          <w:tab w:val="left" w:pos="-720"/>
          <w:tab w:val="left" w:pos="0"/>
          <w:tab w:val="left" w:pos="720"/>
          <w:tab w:val="left" w:pos="1440"/>
          <w:tab w:val="left" w:pos="2160"/>
          <w:tab w:val="left" w:pos="3240"/>
          <w:tab w:val="left" w:pos="3600"/>
        </w:tabs>
        <w:suppressAutoHyphens/>
        <w:rPr>
          <w:rFonts w:ascii="Times New Roman" w:hAnsi="Times New Roman"/>
          <w:spacing w:val="-3"/>
          <w:sz w:val="22"/>
          <w:szCs w:val="22"/>
        </w:rPr>
      </w:pPr>
      <w:r w:rsidRPr="00601CAD">
        <w:rPr>
          <w:rFonts w:ascii="Times New Roman" w:hAnsi="Times New Roman"/>
          <w:spacing w:val="-3"/>
          <w:sz w:val="22"/>
          <w:szCs w:val="22"/>
        </w:rPr>
        <w:tab/>
        <w:t xml:space="preserve"> </w:t>
      </w:r>
    </w:p>
    <w:p w:rsidR="0055053B" w:rsidRPr="00FA49D7" w:rsidP="00FA49D7" w14:paraId="16701F80" w14:textId="5F52734B">
      <w:pPr>
        <w:tabs>
          <w:tab w:val="left" w:pos="-1440"/>
          <w:tab w:val="left" w:pos="-720"/>
          <w:tab w:val="left" w:pos="0"/>
          <w:tab w:val="left" w:pos="720"/>
          <w:tab w:val="left" w:pos="1440"/>
          <w:tab w:val="left" w:pos="2160"/>
          <w:tab w:val="left" w:pos="3240"/>
          <w:tab w:val="left" w:pos="3600"/>
        </w:tabs>
        <w:suppressAutoHyphens/>
        <w:rPr>
          <w:rFonts w:ascii="Times New Roman" w:hAnsi="Times New Roman"/>
          <w:b/>
          <w:spacing w:val="-3"/>
          <w:sz w:val="22"/>
          <w:szCs w:val="22"/>
        </w:rPr>
      </w:pPr>
      <w:r w:rsidRPr="00601CAD">
        <w:rPr>
          <w:rFonts w:ascii="Times New Roman" w:hAnsi="Times New Roman"/>
          <w:spacing w:val="-3"/>
          <w:sz w:val="22"/>
          <w:szCs w:val="22"/>
        </w:rPr>
        <w:t xml:space="preserve"> </w:t>
      </w:r>
      <w:r>
        <w:rPr>
          <w:rFonts w:ascii="Times New Roman" w:hAnsi="Times New Roman"/>
          <w:spacing w:val="-3"/>
          <w:sz w:val="22"/>
          <w:szCs w:val="22"/>
        </w:rPr>
        <w:tab/>
      </w:r>
      <w:r w:rsidRPr="00601CAD" w:rsidR="006B1630">
        <w:rPr>
          <w:rFonts w:ascii="Times New Roman" w:hAnsi="Times New Roman"/>
          <w:sz w:val="22"/>
          <w:szCs w:val="22"/>
        </w:rPr>
        <w:t xml:space="preserve"> </w:t>
      </w:r>
      <w:r w:rsidRPr="00BF35B0" w:rsidR="006B1630">
        <w:rPr>
          <w:rFonts w:ascii="Times New Roman" w:hAnsi="Times New Roman"/>
          <w:b/>
          <w:spacing w:val="-3"/>
          <w:sz w:val="22"/>
          <w:szCs w:val="22"/>
        </w:rPr>
        <w:t xml:space="preserve">Total Cost to Federal Government:  </w:t>
      </w:r>
      <w:r w:rsidRPr="00BF35B0" w:rsidR="00F075B1">
        <w:rPr>
          <w:rFonts w:ascii="Times New Roman" w:hAnsi="Times New Roman"/>
          <w:b/>
          <w:spacing w:val="-3"/>
          <w:sz w:val="22"/>
          <w:szCs w:val="22"/>
        </w:rPr>
        <w:t>$</w:t>
      </w:r>
      <w:r w:rsidR="00F41455">
        <w:rPr>
          <w:rFonts w:ascii="Times New Roman" w:hAnsi="Times New Roman"/>
          <w:b/>
          <w:spacing w:val="-3"/>
          <w:sz w:val="22"/>
          <w:szCs w:val="22"/>
        </w:rPr>
        <w:t>9</w:t>
      </w:r>
      <w:r w:rsidR="00597DCA">
        <w:rPr>
          <w:rFonts w:ascii="Times New Roman" w:hAnsi="Times New Roman"/>
          <w:b/>
          <w:spacing w:val="-3"/>
          <w:sz w:val="22"/>
          <w:szCs w:val="22"/>
        </w:rPr>
        <w:t>38</w:t>
      </w:r>
      <w:r w:rsidRPr="00BF35B0" w:rsidR="00B41E2A">
        <w:rPr>
          <w:rFonts w:ascii="Times New Roman" w:hAnsi="Times New Roman"/>
          <w:b/>
          <w:spacing w:val="-3"/>
          <w:sz w:val="22"/>
          <w:szCs w:val="22"/>
        </w:rPr>
        <w:t xml:space="preserve"> (rounde</w:t>
      </w:r>
      <w:r w:rsidR="00C007F8">
        <w:rPr>
          <w:rFonts w:ascii="Times New Roman" w:hAnsi="Times New Roman"/>
          <w:b/>
          <w:spacing w:val="-3"/>
          <w:sz w:val="22"/>
          <w:szCs w:val="22"/>
        </w:rPr>
        <w:t>d)</w:t>
      </w:r>
    </w:p>
    <w:p w:rsidR="006B1630" w:rsidRPr="00601CAD" w:rsidP="0055053B" w14:paraId="39A7BF02" w14:textId="77777777">
      <w:pPr>
        <w:tabs>
          <w:tab w:val="left" w:pos="-1440"/>
          <w:tab w:val="left" w:pos="-720"/>
          <w:tab w:val="left" w:pos="360"/>
          <w:tab w:val="left" w:pos="720"/>
          <w:tab w:val="left" w:pos="1440"/>
          <w:tab w:val="left" w:pos="7095"/>
        </w:tabs>
        <w:suppressAutoHyphens/>
        <w:ind w:left="360" w:hanging="360"/>
        <w:rPr>
          <w:rFonts w:ascii="Times New Roman" w:hAnsi="Times New Roman"/>
          <w:spacing w:val="-3"/>
          <w:sz w:val="22"/>
          <w:szCs w:val="22"/>
        </w:rPr>
      </w:pPr>
      <w:r w:rsidRPr="00601CAD">
        <w:rPr>
          <w:rFonts w:ascii="Times New Roman" w:hAnsi="Times New Roman"/>
          <w:spacing w:val="-3"/>
          <w:sz w:val="22"/>
          <w:szCs w:val="22"/>
        </w:rPr>
        <w:tab/>
      </w:r>
      <w:r w:rsidRPr="00601CAD">
        <w:rPr>
          <w:rFonts w:ascii="Times New Roman" w:hAnsi="Times New Roman"/>
          <w:spacing w:val="-3"/>
          <w:sz w:val="22"/>
          <w:szCs w:val="22"/>
        </w:rPr>
        <w:tab/>
        <w:t xml:space="preserve">                            </w:t>
      </w:r>
      <w:r w:rsidR="0055053B">
        <w:rPr>
          <w:rFonts w:ascii="Times New Roman" w:hAnsi="Times New Roman"/>
          <w:spacing w:val="-3"/>
          <w:sz w:val="22"/>
          <w:szCs w:val="22"/>
        </w:rPr>
        <w:tab/>
      </w:r>
    </w:p>
    <w:p w:rsidR="00601CAD" w:rsidP="002F1DAE" w14:paraId="7357763B" w14:textId="1917B74D">
      <w:pPr>
        <w:tabs>
          <w:tab w:val="left" w:pos="360"/>
        </w:tabs>
        <w:ind w:left="360" w:hanging="360"/>
        <w:rPr>
          <w:rFonts w:ascii="Times New Roman" w:hAnsi="Times New Roman"/>
          <w:spacing w:val="-3"/>
          <w:sz w:val="22"/>
          <w:szCs w:val="22"/>
        </w:rPr>
      </w:pPr>
      <w:r w:rsidRPr="00601CAD">
        <w:rPr>
          <w:rFonts w:ascii="Times New Roman" w:hAnsi="Times New Roman"/>
          <w:spacing w:val="-3"/>
          <w:sz w:val="22"/>
          <w:szCs w:val="22"/>
        </w:rPr>
        <w:t xml:space="preserve">15.  </w:t>
      </w:r>
      <w:r w:rsidRPr="00C770A6" w:rsidR="00C770A6">
        <w:rPr>
          <w:rFonts w:ascii="Times New Roman" w:hAnsi="Times New Roman"/>
          <w:spacing w:val="-3"/>
          <w:sz w:val="22"/>
          <w:szCs w:val="22"/>
        </w:rPr>
        <w:t>There are</w:t>
      </w:r>
      <w:r w:rsidR="00597DCA">
        <w:rPr>
          <w:rFonts w:ascii="Times New Roman" w:hAnsi="Times New Roman"/>
          <w:spacing w:val="-3"/>
          <w:sz w:val="22"/>
          <w:szCs w:val="22"/>
        </w:rPr>
        <w:t xml:space="preserve"> no</w:t>
      </w:r>
      <w:r w:rsidRPr="00C770A6" w:rsidR="00C770A6">
        <w:rPr>
          <w:rFonts w:ascii="Times New Roman" w:hAnsi="Times New Roman"/>
          <w:spacing w:val="-3"/>
          <w:sz w:val="22"/>
          <w:szCs w:val="22"/>
        </w:rPr>
        <w:t xml:space="preserve"> program changes to </w:t>
      </w:r>
      <w:r w:rsidR="00597DCA">
        <w:rPr>
          <w:rFonts w:ascii="Times New Roman" w:hAnsi="Times New Roman"/>
          <w:spacing w:val="-3"/>
          <w:sz w:val="22"/>
          <w:szCs w:val="22"/>
        </w:rPr>
        <w:t xml:space="preserve">this information collections.  There are adjustments of -996 to the respondents, -3,321 to the annual number of responses and -6,642 to the annual burden hours.  These decreases in the figures are due to </w:t>
      </w:r>
      <w:r w:rsidRPr="00C770A6" w:rsidR="00C770A6">
        <w:rPr>
          <w:rFonts w:ascii="Times New Roman" w:hAnsi="Times New Roman"/>
          <w:spacing w:val="-3"/>
          <w:sz w:val="22"/>
          <w:szCs w:val="22"/>
        </w:rPr>
        <w:t xml:space="preserve">the </w:t>
      </w:r>
      <w:r w:rsidR="00C770A6">
        <w:rPr>
          <w:rFonts w:ascii="Times New Roman" w:hAnsi="Times New Roman"/>
          <w:spacing w:val="-3"/>
          <w:sz w:val="22"/>
          <w:szCs w:val="22"/>
        </w:rPr>
        <w:t>fact that the majority of stations that were required to file Form 387 have completed the transition to their post-Incentive Auction facilities and no longer are required to submit the form</w:t>
      </w:r>
      <w:r w:rsidRPr="00C770A6" w:rsidR="00C770A6">
        <w:rPr>
          <w:rFonts w:ascii="Times New Roman" w:hAnsi="Times New Roman"/>
          <w:spacing w:val="-3"/>
          <w:sz w:val="22"/>
          <w:szCs w:val="22"/>
        </w:rPr>
        <w:t xml:space="preserve">.  </w:t>
      </w:r>
    </w:p>
    <w:p w:rsidR="006B1630" w:rsidRPr="00601CAD" w:rsidP="002F1DAE" w14:paraId="7D5FB2B6" w14:textId="77777777">
      <w:pPr>
        <w:tabs>
          <w:tab w:val="left" w:pos="360"/>
        </w:tabs>
        <w:ind w:left="360" w:hanging="360"/>
        <w:rPr>
          <w:rFonts w:ascii="Times New Roman" w:hAnsi="Times New Roman"/>
          <w:sz w:val="22"/>
          <w:szCs w:val="22"/>
          <w:shd w:val="clear" w:color="auto" w:fill="FFFFFF"/>
        </w:rPr>
      </w:pPr>
      <w:r w:rsidRPr="00601CAD">
        <w:rPr>
          <w:rFonts w:ascii="Times New Roman" w:hAnsi="Times New Roman"/>
          <w:spacing w:val="-3"/>
          <w:sz w:val="22"/>
          <w:szCs w:val="22"/>
        </w:rPr>
        <w:t xml:space="preserve"> </w:t>
      </w:r>
      <w:r w:rsidRPr="00601CAD" w:rsidR="001E741B">
        <w:rPr>
          <w:rFonts w:ascii="Times New Roman" w:hAnsi="Times New Roman"/>
          <w:spacing w:val="-3"/>
          <w:sz w:val="22"/>
          <w:szCs w:val="22"/>
        </w:rPr>
        <w:t xml:space="preserve">  </w:t>
      </w:r>
    </w:p>
    <w:p w:rsidR="006B1630" w:rsidRPr="00C56743" w14:paraId="5B57E4EE"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C56743">
        <w:rPr>
          <w:rFonts w:ascii="Times New Roman" w:hAnsi="Times New Roman"/>
          <w:spacing w:val="-3"/>
          <w:sz w:val="22"/>
          <w:szCs w:val="22"/>
        </w:rPr>
        <w:t>1</w:t>
      </w:r>
      <w:r w:rsidR="00B41E2A">
        <w:rPr>
          <w:rFonts w:ascii="Times New Roman" w:hAnsi="Times New Roman"/>
          <w:spacing w:val="-3"/>
          <w:sz w:val="22"/>
          <w:szCs w:val="22"/>
        </w:rPr>
        <w:t>6</w:t>
      </w:r>
      <w:r w:rsidRPr="00C56743">
        <w:rPr>
          <w:rFonts w:ascii="Times New Roman" w:hAnsi="Times New Roman"/>
          <w:spacing w:val="-3"/>
          <w:sz w:val="22"/>
          <w:szCs w:val="22"/>
        </w:rPr>
        <w:t>.</w:t>
      </w:r>
      <w:r w:rsidRPr="00C56743">
        <w:rPr>
          <w:rFonts w:ascii="Times New Roman" w:hAnsi="Times New Roman"/>
          <w:spacing w:val="-3"/>
          <w:sz w:val="22"/>
          <w:szCs w:val="22"/>
        </w:rPr>
        <w:tab/>
        <w:t xml:space="preserve">The Commission does not intend to publish the results of these collections of information.  </w:t>
      </w:r>
    </w:p>
    <w:p w:rsidR="006B1630" w:rsidRPr="00C56743" w14:paraId="55F65F31"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6B1630" w:rsidRPr="00C56743" w14:paraId="67AEC7BF"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C56743">
        <w:rPr>
          <w:rFonts w:ascii="Times New Roman" w:hAnsi="Times New Roman"/>
          <w:spacing w:val="-3"/>
          <w:sz w:val="22"/>
          <w:szCs w:val="22"/>
        </w:rPr>
        <w:t>1</w:t>
      </w:r>
      <w:r w:rsidR="00B41E2A">
        <w:rPr>
          <w:rFonts w:ascii="Times New Roman" w:hAnsi="Times New Roman"/>
          <w:spacing w:val="-3"/>
          <w:sz w:val="22"/>
          <w:szCs w:val="22"/>
        </w:rPr>
        <w:t>7</w:t>
      </w:r>
      <w:r w:rsidRPr="00C56743">
        <w:rPr>
          <w:rFonts w:ascii="Times New Roman" w:hAnsi="Times New Roman"/>
          <w:spacing w:val="-3"/>
          <w:sz w:val="22"/>
          <w:szCs w:val="22"/>
        </w:rPr>
        <w:t>.</w:t>
      </w:r>
      <w:r w:rsidRPr="00C56743">
        <w:rPr>
          <w:rFonts w:ascii="Times New Roman" w:hAnsi="Times New Roman"/>
          <w:spacing w:val="-3"/>
          <w:sz w:val="22"/>
          <w:szCs w:val="22"/>
        </w:rPr>
        <w:tab/>
      </w:r>
      <w:r w:rsidRPr="00C56743">
        <w:rPr>
          <w:rFonts w:ascii="Times New Roman" w:hAnsi="Times New Roman"/>
          <w:sz w:val="22"/>
          <w:szCs w:val="22"/>
          <w:shd w:val="clear" w:color="auto" w:fill="FFFFFF"/>
        </w:rPr>
        <w:t xml:space="preserve">The Commission is not seeking approval </w:t>
      </w:r>
      <w:r w:rsidRPr="00C56743" w:rsidR="00702E70">
        <w:rPr>
          <w:rFonts w:ascii="Times New Roman" w:hAnsi="Times New Roman"/>
          <w:sz w:val="22"/>
          <w:szCs w:val="22"/>
          <w:shd w:val="clear" w:color="auto" w:fill="FFFFFF"/>
        </w:rPr>
        <w:t xml:space="preserve">to </w:t>
      </w:r>
      <w:r w:rsidRPr="00C56743">
        <w:rPr>
          <w:rFonts w:ascii="Times New Roman" w:hAnsi="Times New Roman"/>
          <w:sz w:val="22"/>
          <w:szCs w:val="22"/>
          <w:shd w:val="clear" w:color="auto" w:fill="FFFFFF"/>
        </w:rPr>
        <w:t>not display the expiration date for OMB approval of these collections of information.</w:t>
      </w:r>
    </w:p>
    <w:p w:rsidR="006B1630" w:rsidRPr="00C56743" w14:paraId="3731C846"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6B1630" w:rsidRPr="00C56743" w14:paraId="0BDCEFC3" w14:textId="77777777">
      <w:pPr>
        <w:shd w:val="clear" w:color="auto" w:fill="FFFFFF"/>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C56743">
        <w:rPr>
          <w:rFonts w:ascii="Times New Roman" w:hAnsi="Times New Roman"/>
          <w:spacing w:val="-3"/>
          <w:sz w:val="22"/>
          <w:szCs w:val="22"/>
        </w:rPr>
        <w:t>1</w:t>
      </w:r>
      <w:r w:rsidR="00B41E2A">
        <w:rPr>
          <w:rFonts w:ascii="Times New Roman" w:hAnsi="Times New Roman"/>
          <w:spacing w:val="-3"/>
          <w:sz w:val="22"/>
          <w:szCs w:val="22"/>
        </w:rPr>
        <w:t>8</w:t>
      </w:r>
      <w:r w:rsidRPr="00C56743">
        <w:rPr>
          <w:rFonts w:ascii="Times New Roman" w:hAnsi="Times New Roman"/>
          <w:spacing w:val="-3"/>
          <w:sz w:val="22"/>
          <w:szCs w:val="22"/>
        </w:rPr>
        <w:t>.</w:t>
      </w:r>
      <w:r w:rsidRPr="00C56743">
        <w:rPr>
          <w:rFonts w:ascii="Times New Roman" w:hAnsi="Times New Roman"/>
          <w:spacing w:val="-3"/>
          <w:sz w:val="22"/>
          <w:szCs w:val="22"/>
        </w:rPr>
        <w:tab/>
        <w:t>There are no exceptions to the certification statement.</w:t>
      </w:r>
    </w:p>
    <w:p w:rsidR="006B1630" w:rsidRPr="00C56743" w14:paraId="35E6C682"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6B1630" w:rsidRPr="00C56743" w14:paraId="715A4BAE"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b/>
          <w:spacing w:val="-3"/>
          <w:sz w:val="22"/>
          <w:szCs w:val="22"/>
        </w:rPr>
      </w:pPr>
      <w:r w:rsidRPr="00C56743">
        <w:rPr>
          <w:rFonts w:ascii="Times New Roman" w:hAnsi="Times New Roman"/>
          <w:b/>
          <w:spacing w:val="-3"/>
          <w:sz w:val="22"/>
          <w:szCs w:val="22"/>
        </w:rPr>
        <w:t>B.</w:t>
      </w:r>
      <w:r w:rsidRPr="00C56743">
        <w:rPr>
          <w:rFonts w:ascii="Times New Roman" w:hAnsi="Times New Roman"/>
          <w:b/>
          <w:spacing w:val="-3"/>
          <w:sz w:val="22"/>
          <w:szCs w:val="22"/>
        </w:rPr>
        <w:tab/>
        <w:t>Collections of Information Employing Statistical Methods:</w:t>
      </w:r>
      <w:r w:rsidRPr="00C56743" w:rsidR="002F1DAE">
        <w:rPr>
          <w:rFonts w:ascii="Times New Roman" w:hAnsi="Times New Roman"/>
          <w:b/>
          <w:spacing w:val="-3"/>
          <w:sz w:val="22"/>
          <w:szCs w:val="22"/>
        </w:rPr>
        <w:t xml:space="preserve"> </w:t>
      </w:r>
    </w:p>
    <w:p w:rsidR="006B1630" w:rsidRPr="00C56743" w14:paraId="301645FA" w14:textId="77777777">
      <w:pPr>
        <w:tabs>
          <w:tab w:val="left" w:pos="-1440"/>
          <w:tab w:val="left" w:pos="-720"/>
          <w:tab w:val="left" w:pos="0"/>
          <w:tab w:val="left" w:pos="360"/>
          <w:tab w:val="left" w:pos="720"/>
          <w:tab w:val="left" w:pos="1440"/>
          <w:tab w:val="left" w:pos="2340"/>
          <w:tab w:val="left" w:pos="2880"/>
        </w:tabs>
        <w:suppressAutoHyphens/>
        <w:ind w:left="360" w:hanging="360"/>
        <w:rPr>
          <w:rFonts w:ascii="Times New Roman" w:hAnsi="Times New Roman"/>
          <w:spacing w:val="-3"/>
          <w:sz w:val="22"/>
          <w:szCs w:val="22"/>
        </w:rPr>
      </w:pPr>
    </w:p>
    <w:p w:rsidR="006B1630" w:rsidRPr="00C56743" w14:paraId="618753B9" w14:textId="77777777">
      <w:pPr>
        <w:rPr>
          <w:rFonts w:ascii="Times New Roman" w:hAnsi="Times New Roman"/>
          <w:sz w:val="22"/>
          <w:szCs w:val="22"/>
          <w:shd w:val="clear" w:color="auto" w:fill="FFFFFF"/>
        </w:rPr>
      </w:pPr>
      <w:r w:rsidRPr="00C56743">
        <w:rPr>
          <w:rFonts w:ascii="Times New Roman" w:hAnsi="Times New Roman"/>
          <w:sz w:val="22"/>
          <w:szCs w:val="22"/>
          <w:shd w:val="clear" w:color="auto" w:fill="FFFFFF"/>
        </w:rPr>
        <w:t>The Commission does not anticipate that the collection of information will employ any statistical methods.</w:t>
      </w:r>
    </w:p>
    <w:p w:rsidR="006B1630" w:rsidRPr="00C56743" w14:paraId="1FA3BA20" w14:textId="77777777">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sectPr>
      <w:headerReference w:type="default" r:id="rId7"/>
      <w:footerReference w:type="even" r:id="rId8"/>
      <w:footerReference w:type="default" r:id="rId9"/>
      <w:endnotePr>
        <w:numFmt w:val="decimal"/>
      </w:endnotePr>
      <w:pgSz w:w="12240" w:h="15840" w:code="1"/>
      <w:pgMar w:top="1440" w:right="1440" w:bottom="1440" w:left="1440" w:header="108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25E1F" w14:paraId="000D5E90" w14:textId="77777777">
      <w:pPr>
        <w:spacing w:line="20" w:lineRule="exact"/>
      </w:pPr>
    </w:p>
  </w:endnote>
  <w:endnote w:type="continuationSeparator" w:id="1">
    <w:p w:rsidR="00225E1F" w14:paraId="17305A04" w14:textId="77777777">
      <w:r>
        <w:t xml:space="preserve"> </w:t>
      </w:r>
    </w:p>
  </w:endnote>
  <w:endnote w:type="continuationNotice" w:id="2">
    <w:p w:rsidR="00225E1F" w14:paraId="793F396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939" w14:paraId="65CD9A8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D3939" w14:paraId="1BAD03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939" w:rsidRPr="007A3D1A" w14:paraId="17C20A85" w14:textId="77777777">
    <w:pPr>
      <w:pStyle w:val="Footer"/>
      <w:framePr w:wrap="around" w:vAnchor="text" w:hAnchor="page" w:x="6136" w:y="594"/>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sidR="007204FC">
      <w:rPr>
        <w:rStyle w:val="PageNumber"/>
        <w:rFonts w:ascii="Times New Roman" w:hAnsi="Times New Roman"/>
        <w:noProof/>
        <w:sz w:val="20"/>
      </w:rPr>
      <w:t>1</w:t>
    </w:r>
    <w:r w:rsidRPr="007A3D1A">
      <w:rPr>
        <w:rStyle w:val="PageNumber"/>
        <w:rFonts w:ascii="Times New Roman" w:hAnsi="Times New Roman"/>
        <w:sz w:val="20"/>
      </w:rPr>
      <w:fldChar w:fldCharType="end"/>
    </w:r>
  </w:p>
  <w:p w:rsidR="008D3939" w14:paraId="0A1A40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5E1F" w14:paraId="1BE9A9E4" w14:textId="77777777">
      <w:r>
        <w:separator/>
      </w:r>
    </w:p>
  </w:footnote>
  <w:footnote w:type="continuationSeparator" w:id="1">
    <w:p w:rsidR="00225E1F" w14:paraId="761998CD" w14:textId="77777777">
      <w:r>
        <w:continuationSeparator/>
      </w:r>
    </w:p>
  </w:footnote>
  <w:footnote w:id="2">
    <w:p w:rsidR="008D3939" w:rsidRPr="003E7B2A" w14:paraId="6772FE0C" w14:textId="77777777">
      <w:pPr>
        <w:pStyle w:val="FootnoteText"/>
      </w:pPr>
      <w:r w:rsidRPr="003E7B2A">
        <w:rPr>
          <w:rStyle w:val="FootnoteReference"/>
        </w:rPr>
        <w:footnoteRef/>
      </w:r>
      <w:r w:rsidRPr="003E7B2A">
        <w:t xml:space="preserve"> </w:t>
      </w:r>
      <w:r w:rsidRPr="00C56743">
        <w:rPr>
          <w:i/>
        </w:rPr>
        <w:t>Expanding the Economic and Innovation Opportunities of Spectrum Through Incentive Auctions</w:t>
      </w:r>
      <w:r w:rsidRPr="003E7B2A">
        <w:t xml:space="preserve">, GN Docket 12-268, Report and Order, </w:t>
      </w:r>
      <w:r w:rsidRPr="00A7568F">
        <w:t>FCC 14-50,</w:t>
      </w:r>
      <w:r>
        <w:t xml:space="preserve"> </w:t>
      </w:r>
      <w:r w:rsidRPr="003E7B2A">
        <w:t>29 FCC Rcd 6567, 6820 (2014) (</w:t>
      </w:r>
      <w:r w:rsidRPr="003E7B2A">
        <w:rPr>
          <w:i/>
        </w:rPr>
        <w:t xml:space="preserve">Incentive Auction </w:t>
      </w:r>
      <w:r w:rsidR="008516B9">
        <w:rPr>
          <w:i/>
        </w:rPr>
        <w:t>R&amp;O</w:t>
      </w:r>
      <w:r w:rsidRPr="003E7B2A">
        <w:t xml:space="preserve">). </w:t>
      </w:r>
    </w:p>
    <w:p w:rsidR="008D3939" w:rsidRPr="003E7B2A" w14:paraId="4188FEEE" w14:textId="77777777">
      <w:pPr>
        <w:pStyle w:val="FootnoteText"/>
      </w:pPr>
    </w:p>
  </w:footnote>
  <w:footnote w:id="3">
    <w:p w:rsidR="008D3939" w:rsidRPr="003E7B2A" w14:paraId="3FA8D1DE" w14:textId="77777777">
      <w:pPr>
        <w:pStyle w:val="FootnoteText"/>
        <w:spacing w:after="120"/>
      </w:pPr>
      <w:r w:rsidRPr="003E7B2A">
        <w:rPr>
          <w:rStyle w:val="FootnoteReference"/>
        </w:rPr>
        <w:footnoteRef/>
      </w:r>
      <w:r w:rsidRPr="003E7B2A">
        <w:t xml:space="preserve"> Pub. L. No. 112-96, §§ 6402 (codified at 47 U.S.C. § 309(j)(8)(G)), 6403 (codified at 47 U.S.C. § 1452), 126 Stat. 156 (2012).</w:t>
      </w:r>
    </w:p>
  </w:footnote>
  <w:footnote w:id="4">
    <w:p w:rsidR="008D3939" w:rsidRPr="003E7B2A" w14:paraId="4A881095" w14:textId="77777777">
      <w:pPr>
        <w:pStyle w:val="FootnoteText"/>
        <w:spacing w:after="120"/>
        <w:rPr>
          <w:highlight w:val="yellow"/>
        </w:rPr>
      </w:pPr>
      <w:r w:rsidRPr="003E7B2A">
        <w:rPr>
          <w:rStyle w:val="FootnoteReference"/>
        </w:rPr>
        <w:footnoteRef/>
      </w:r>
      <w:r w:rsidRPr="003E7B2A">
        <w:t xml:space="preserve"> Spectrum Act § 6403(a)(1) (mandating “a reverse auction to determine the amount of compensation that each broadcast television licensee would accept in return for voluntarily relinquishing some or all of its broadcast television spectrum usage rights in order to make spectrum available for assignment through a system of competitive bidding under subparagraph (G) of section 309(j)(8) of the Communications Act of 1934, as added by section 6402”).  </w:t>
      </w:r>
    </w:p>
  </w:footnote>
  <w:footnote w:id="5">
    <w:p w:rsidR="008D3939" w:rsidRPr="003E7B2A" w14:paraId="60F10349" w14:textId="77777777">
      <w:pPr>
        <w:pStyle w:val="FootnoteText"/>
      </w:pPr>
      <w:r w:rsidRPr="003E7B2A">
        <w:rPr>
          <w:rStyle w:val="FootnoteReference"/>
        </w:rPr>
        <w:footnoteRef/>
      </w:r>
      <w:r w:rsidRPr="003E7B2A">
        <w:t xml:space="preserve"> Spectrum Act §</w:t>
      </w:r>
      <w:r w:rsidR="008516B9">
        <w:t xml:space="preserve"> </w:t>
      </w:r>
      <w:r w:rsidRPr="003E7B2A">
        <w:t xml:space="preserve">6403(b)(1) (requiring the FCC to “make such reassignments of television channels as the Commission considers appropriate” and “reallocate such portions of such spectrum as the Commission determines are available”).  </w:t>
      </w:r>
    </w:p>
    <w:p w:rsidR="008D3939" w:rsidRPr="003E7B2A" w14:paraId="1917FB96" w14:textId="77777777">
      <w:pPr>
        <w:pStyle w:val="FootnoteText"/>
      </w:pPr>
    </w:p>
  </w:footnote>
  <w:footnote w:id="6">
    <w:p w:rsidR="008D3939" w:rsidRPr="003E7B2A" w14:paraId="481B6AD4" w14:textId="77777777">
      <w:pPr>
        <w:pStyle w:val="FootnoteText"/>
      </w:pPr>
      <w:r w:rsidRPr="003E7B2A">
        <w:rPr>
          <w:rStyle w:val="FootnoteReference"/>
        </w:rPr>
        <w:footnoteRef/>
      </w:r>
      <w:r w:rsidRPr="003E7B2A">
        <w:t xml:space="preserve"> Spectrum Act §</w:t>
      </w:r>
      <w:r w:rsidR="008516B9">
        <w:t xml:space="preserve"> </w:t>
      </w:r>
      <w:r w:rsidRPr="003E7B2A">
        <w:t>6403(c)(1)(A) (requiring the FCC to conduct a “forward auction” to assign licenses for the use of spectrum reallocated from broadcast television as part of the incentive auction).</w:t>
      </w:r>
    </w:p>
    <w:p w:rsidR="008D3939" w:rsidRPr="003E7B2A" w14:paraId="5EDE2FD7" w14:textId="77777777">
      <w:pPr>
        <w:pStyle w:val="FootnoteText"/>
      </w:pPr>
    </w:p>
  </w:footnote>
  <w:footnote w:id="7">
    <w:p w:rsidR="00E40B45" w:rsidRPr="00E41FFE" w14:paraId="0CDE295E" w14:textId="77777777">
      <w:pPr>
        <w:pStyle w:val="FootnoteText"/>
      </w:pPr>
      <w:r w:rsidRPr="00E41FFE">
        <w:rPr>
          <w:rStyle w:val="FootnoteReference"/>
        </w:rPr>
        <w:footnoteRef/>
      </w:r>
      <w:r w:rsidRPr="00E41FFE">
        <w:t xml:space="preserve"> </w:t>
      </w:r>
      <w:r w:rsidRPr="0039770C" w:rsidR="0098351D">
        <w:rPr>
          <w:i/>
        </w:rPr>
        <w:t>Incentive Auction Closing and Channel Reassignment Public Notice:  The Broadcast Television Incentive Auction Closes; Reverse Auction and Forward Auction Results Announced; Final Television Band Channel Assignments Announced; Post-Auction Deadlines Announced</w:t>
      </w:r>
      <w:r w:rsidR="0098351D">
        <w:t>, Public Notice, DA 17-314 (rel. Apr</w:t>
      </w:r>
      <w:r w:rsidR="008516B9">
        <w:t>.</w:t>
      </w:r>
      <w:r w:rsidR="0098351D">
        <w:t xml:space="preserve"> 13, 2017) (</w:t>
      </w:r>
      <w:r w:rsidRPr="00914ED4" w:rsidR="0098351D">
        <w:rPr>
          <w:i/>
        </w:rPr>
        <w:t xml:space="preserve">Closing and </w:t>
      </w:r>
      <w:r w:rsidR="0098351D">
        <w:rPr>
          <w:i/>
        </w:rPr>
        <w:t xml:space="preserve">Channel </w:t>
      </w:r>
      <w:r w:rsidRPr="00914ED4" w:rsidR="0098351D">
        <w:rPr>
          <w:i/>
        </w:rPr>
        <w:t>Reassignment Public Notice</w:t>
      </w:r>
      <w:r w:rsidR="0098351D">
        <w:t xml:space="preserve">).  </w:t>
      </w:r>
    </w:p>
  </w:footnote>
  <w:footnote w:id="8">
    <w:p w:rsidR="00DA5F5F" w:rsidP="00A47693" w14:paraId="41E5C1F5" w14:textId="77777777">
      <w:pPr>
        <w:pStyle w:val="FootnoteText"/>
        <w:tabs>
          <w:tab w:val="left" w:pos="6930"/>
        </w:tabs>
      </w:pPr>
      <w:r>
        <w:rPr>
          <w:rStyle w:val="FootnoteReference"/>
        </w:rPr>
        <w:footnoteRef/>
      </w:r>
      <w:r>
        <w:t xml:space="preserve"> </w:t>
      </w:r>
      <w:r w:rsidRPr="00DA5F5F">
        <w:rPr>
          <w:i/>
        </w:rPr>
        <w:t>See Closing and Channel Reassignment Public Notice</w:t>
      </w:r>
      <w:r>
        <w:t xml:space="preserve"> at 20, para. 62.</w:t>
      </w:r>
      <w:r w:rsidR="00A47693">
        <w:tab/>
      </w:r>
    </w:p>
    <w:p w:rsidR="00DA5F5F" w:rsidP="00A47693" w14:paraId="264EA06F" w14:textId="77777777">
      <w:pPr>
        <w:pStyle w:val="FootnoteText"/>
        <w:tabs>
          <w:tab w:val="left" w:pos="7065"/>
        </w:tabs>
      </w:pPr>
      <w:r>
        <w:tab/>
      </w:r>
    </w:p>
  </w:footnote>
  <w:footnote w:id="9">
    <w:p w:rsidR="004E1C0D" w14:paraId="316D804B" w14:textId="77777777">
      <w:pPr>
        <w:pStyle w:val="FootnoteText"/>
      </w:pPr>
      <w:r>
        <w:rPr>
          <w:rStyle w:val="FootnoteReference"/>
        </w:rPr>
        <w:footnoteRef/>
      </w:r>
      <w:r>
        <w:t xml:space="preserve"> </w:t>
      </w:r>
      <w:r w:rsidRPr="004E1C0D">
        <w:rPr>
          <w:i/>
        </w:rPr>
        <w:t>Id</w:t>
      </w:r>
      <w:r>
        <w:t>. at 21, para. 64.</w:t>
      </w:r>
    </w:p>
    <w:p w:rsidR="004E1C0D" w14:paraId="50DF790A" w14:textId="77777777">
      <w:pPr>
        <w:pStyle w:val="FootnoteText"/>
      </w:pPr>
    </w:p>
  </w:footnote>
  <w:footnote w:id="10">
    <w:p w:rsidR="004D4E2D" w:rsidP="004D4E2D" w14:paraId="28334C87" w14:textId="77777777">
      <w:pPr>
        <w:pStyle w:val="FootnoteText"/>
        <w:rPr>
          <w:i/>
        </w:rPr>
      </w:pPr>
      <w:r w:rsidRPr="003E7B2A">
        <w:rPr>
          <w:rStyle w:val="FootnoteReference"/>
        </w:rPr>
        <w:footnoteRef/>
      </w:r>
      <w:r w:rsidRPr="003E7B2A">
        <w:t xml:space="preserve"> </w:t>
      </w:r>
      <w:r w:rsidRPr="001D0D83">
        <w:t>Spectrum Act §</w:t>
      </w:r>
      <w:r w:rsidRPr="001D0D83" w:rsidR="002D5CF2">
        <w:t xml:space="preserve"> </w:t>
      </w:r>
      <w:r w:rsidRPr="001D0D83">
        <w:t>6403(b)(4)(A).</w:t>
      </w:r>
    </w:p>
    <w:p w:rsidR="00050339" w:rsidRPr="003E7B2A" w:rsidP="004D4E2D" w14:paraId="530B8CFE" w14:textId="77777777">
      <w:pPr>
        <w:pStyle w:val="FootnoteText"/>
      </w:pPr>
    </w:p>
  </w:footnote>
  <w:footnote w:id="11">
    <w:p w:rsidR="0098351D" w14:paraId="7D2CBDB8" w14:textId="77777777">
      <w:pPr>
        <w:pStyle w:val="FootnoteText"/>
      </w:pPr>
      <w:r>
        <w:rPr>
          <w:rStyle w:val="FootnoteReference"/>
        </w:rPr>
        <w:footnoteRef/>
      </w:r>
      <w:r>
        <w:t xml:space="preserve"> </w:t>
      </w:r>
      <w:r w:rsidRPr="002F06B9" w:rsidR="002F06B9">
        <w:rPr>
          <w:i/>
        </w:rPr>
        <w:t xml:space="preserve">Incentive Auction </w:t>
      </w:r>
      <w:r w:rsidR="002D5CF2">
        <w:rPr>
          <w:i/>
        </w:rPr>
        <w:t>R&amp;</w:t>
      </w:r>
      <w:r w:rsidRPr="002F06B9" w:rsidR="002F06B9">
        <w:rPr>
          <w:i/>
        </w:rPr>
        <w:t>O</w:t>
      </w:r>
      <w:r w:rsidR="002F06B9">
        <w:t>, 29 FCC Rcd at 6825, para. 634.</w:t>
      </w:r>
    </w:p>
    <w:p w:rsidR="00050339" w14:paraId="387726B1" w14:textId="77777777">
      <w:pPr>
        <w:pStyle w:val="FootnoteText"/>
      </w:pPr>
    </w:p>
  </w:footnote>
  <w:footnote w:id="12">
    <w:p w:rsidR="002F06B9" w14:paraId="4E142F0A" w14:textId="77777777">
      <w:pPr>
        <w:pStyle w:val="FootnoteText"/>
      </w:pPr>
      <w:r>
        <w:rPr>
          <w:rStyle w:val="FootnoteReference"/>
        </w:rPr>
        <w:footnoteRef/>
      </w:r>
      <w:r>
        <w:t xml:space="preserve"> </w:t>
      </w:r>
      <w:r w:rsidRPr="00050339">
        <w:rPr>
          <w:i/>
        </w:rPr>
        <w:t xml:space="preserve">Incentive Auction </w:t>
      </w:r>
      <w:r w:rsidRPr="00050339" w:rsidR="002D5CF2">
        <w:rPr>
          <w:i/>
        </w:rPr>
        <w:t>R&amp;</w:t>
      </w:r>
      <w:r w:rsidRPr="00050339">
        <w:rPr>
          <w:i/>
        </w:rPr>
        <w:t>O</w:t>
      </w:r>
      <w:r w:rsidRPr="00B84312">
        <w:t xml:space="preserve">, 29 </w:t>
      </w:r>
      <w:r w:rsidRPr="00050339">
        <w:t>FCC</w:t>
      </w:r>
      <w:r w:rsidRPr="00B84312">
        <w:t xml:space="preserve"> Rcd at 6825 n.1768</w:t>
      </w:r>
      <w:r>
        <w:t>.</w:t>
      </w:r>
    </w:p>
    <w:p w:rsidR="00050339" w14:paraId="775D6B32" w14:textId="77777777">
      <w:pPr>
        <w:pStyle w:val="FootnoteText"/>
      </w:pPr>
    </w:p>
  </w:footnote>
  <w:footnote w:id="13">
    <w:p w:rsidR="008B1778" w:rsidRPr="008B1778" w:rsidP="008B1778" w14:paraId="55E651D4" w14:textId="77777777">
      <w:pPr>
        <w:rPr>
          <w:rFonts w:ascii="Times New Roman" w:hAnsi="Times New Roman"/>
          <w:sz w:val="20"/>
        </w:rPr>
      </w:pPr>
      <w:r w:rsidRPr="008B1778">
        <w:rPr>
          <w:rStyle w:val="FootnoteReference"/>
          <w:rFonts w:ascii="Times New Roman" w:hAnsi="Times New Roman"/>
          <w:sz w:val="20"/>
        </w:rPr>
        <w:footnoteRef/>
      </w:r>
      <w:r w:rsidRPr="008B1778">
        <w:rPr>
          <w:rFonts w:ascii="Times New Roman" w:hAnsi="Times New Roman"/>
          <w:sz w:val="20"/>
        </w:rPr>
        <w:t xml:space="preserve"> 47 CFR § 73.3700(e)(5) &amp; (e)(7).  </w:t>
      </w:r>
      <w:r w:rsidRPr="008B1778">
        <w:rPr>
          <w:rFonts w:ascii="Times New Roman" w:hAnsi="Times New Roman"/>
          <w:b/>
          <w:sz w:val="20"/>
        </w:rPr>
        <w:t xml:space="preserve">Section 73.3700(e)(5) </w:t>
      </w:r>
      <w:r w:rsidRPr="008B1778">
        <w:rPr>
          <w:rFonts w:ascii="Times New Roman" w:hAnsi="Times New Roman"/>
          <w:sz w:val="20"/>
        </w:rPr>
        <w:t xml:space="preserve">requires broadcast television station licensees that receive money from the Reimbursement Fund to submit progress reports at a date and frequency to be determined by the Media Bureau.  </w:t>
      </w:r>
      <w:r w:rsidRPr="008B1778">
        <w:rPr>
          <w:rFonts w:ascii="Times New Roman" w:hAnsi="Times New Roman"/>
          <w:b/>
          <w:sz w:val="20"/>
        </w:rPr>
        <w:t>Section 73.3700(e)(7</w:t>
      </w:r>
      <w:r w:rsidRPr="008B1778">
        <w:rPr>
          <w:rFonts w:ascii="Times New Roman" w:hAnsi="Times New Roman"/>
          <w:sz w:val="20"/>
        </w:rPr>
        <w:t>) delegates authority to the Chief, Media Bureau, to set filing deadlines and</w:t>
      </w:r>
    </w:p>
    <w:p w:rsidR="008B1778" w:rsidRPr="008B1778" w:rsidP="008B1778" w14:paraId="7FDE04CF" w14:textId="77777777">
      <w:pPr>
        <w:rPr>
          <w:rFonts w:ascii="Times New Roman" w:hAnsi="Times New Roman"/>
          <w:sz w:val="20"/>
        </w:rPr>
      </w:pPr>
      <w:r w:rsidRPr="008B1778">
        <w:rPr>
          <w:rFonts w:ascii="Times New Roman" w:hAnsi="Times New Roman"/>
          <w:sz w:val="20"/>
        </w:rPr>
        <w:t>review information and documentation regarding progress reports.</w:t>
      </w:r>
    </w:p>
    <w:p w:rsidR="002D5CF2" w14:paraId="036B6E64" w14:textId="77777777">
      <w:pPr>
        <w:pStyle w:val="FootnoteText"/>
      </w:pPr>
    </w:p>
    <w:p w:rsidR="00050339" w14:paraId="4B76A91A" w14:textId="77777777">
      <w:pPr>
        <w:pStyle w:val="FootnoteText"/>
      </w:pPr>
    </w:p>
  </w:footnote>
  <w:footnote w:id="14">
    <w:p w:rsidR="00EE38BC" w:rsidP="00EE38BC" w14:paraId="22421BD2" w14:textId="77777777">
      <w:pPr>
        <w:pStyle w:val="FootnoteText"/>
      </w:pPr>
      <w:r>
        <w:rPr>
          <w:rStyle w:val="FootnoteReference"/>
        </w:rPr>
        <w:footnoteRef/>
      </w:r>
      <w:r>
        <w:t xml:space="preserve"> </w:t>
      </w:r>
      <w:r w:rsidRPr="00B853F0">
        <w:rPr>
          <w:i/>
        </w:rPr>
        <w:t xml:space="preserve">The Incentive Auction Task Force and Media Bureau Release Transition Progress Report Form and Filing Requirements for Stations Eligible for Reimbursement </w:t>
      </w:r>
      <w:r>
        <w:rPr>
          <w:i/>
        </w:rPr>
        <w:t>f</w:t>
      </w:r>
      <w:r w:rsidRPr="00B853F0">
        <w:rPr>
          <w:i/>
        </w:rPr>
        <w:t>rom the TV Broadcast Relocation Fund and Seek Comment on the Filing of the Report by Non-Reimbursable Stations</w:t>
      </w:r>
      <w:r>
        <w:t>, MB Docket No. 16-306, Public Notice, 32 FCC Rcd 256 (IATF/Med. Bur. 2017)</w:t>
      </w:r>
      <w:r w:rsidR="000B1AFB">
        <w:t>.</w:t>
      </w:r>
    </w:p>
    <w:p w:rsidR="006866F1" w:rsidP="00EE38BC" w14:paraId="5D3204CE" w14:textId="77777777">
      <w:pPr>
        <w:pStyle w:val="FootnoteText"/>
      </w:pPr>
    </w:p>
  </w:footnote>
  <w:footnote w:id="15">
    <w:p w:rsidR="000B1AFB" w:rsidRPr="006866F1" w14:paraId="62EF318B" w14:textId="77777777">
      <w:pPr>
        <w:pStyle w:val="FootnoteText"/>
      </w:pPr>
      <w:r>
        <w:rPr>
          <w:rStyle w:val="FootnoteReference"/>
        </w:rPr>
        <w:footnoteRef/>
      </w:r>
      <w:r>
        <w:t xml:space="preserve"> </w:t>
      </w:r>
      <w:r w:rsidRPr="00B853F0" w:rsidR="006866F1">
        <w:rPr>
          <w:i/>
        </w:rPr>
        <w:t xml:space="preserve">The Incentive Auction Task Force and Media Bureau </w:t>
      </w:r>
      <w:r w:rsidR="006866F1">
        <w:rPr>
          <w:i/>
        </w:rPr>
        <w:t>Adopt</w:t>
      </w:r>
      <w:r w:rsidRPr="00B853F0" w:rsidR="006866F1">
        <w:rPr>
          <w:i/>
        </w:rPr>
        <w:t xml:space="preserve"> Filing Requirements for </w:t>
      </w:r>
      <w:r w:rsidR="006866F1">
        <w:rPr>
          <w:i/>
        </w:rPr>
        <w:t>the</w:t>
      </w:r>
      <w:r w:rsidRPr="006866F1" w:rsidR="006866F1">
        <w:rPr>
          <w:i/>
        </w:rPr>
        <w:t xml:space="preserve"> </w:t>
      </w:r>
      <w:r w:rsidRPr="00B853F0" w:rsidR="006866F1">
        <w:rPr>
          <w:i/>
        </w:rPr>
        <w:t>Transition Progress Report Form</w:t>
      </w:r>
      <w:r w:rsidR="006866F1">
        <w:rPr>
          <w:i/>
        </w:rPr>
        <w:t xml:space="preserve"> by Stations That Are Not Eligible for Reimbursement from the TV Broadcast Relocation Fund,</w:t>
      </w:r>
      <w:r w:rsidR="006866F1">
        <w:t xml:space="preserve"> MB Docket No. 16-306, Public Notice</w:t>
      </w:r>
      <w:r w:rsidR="000138C4">
        <w:t>, DA 17-</w:t>
      </w:r>
      <w:r w:rsidR="00BF35B0">
        <w:t>484</w:t>
      </w:r>
      <w:r w:rsidR="00192745">
        <w:t xml:space="preserve"> (rel</w:t>
      </w:r>
      <w:r w:rsidRPr="00BF35B0" w:rsidR="00192745">
        <w:t xml:space="preserve">. </w:t>
      </w:r>
      <w:r w:rsidRPr="00BF35B0" w:rsidR="000138C4">
        <w:t xml:space="preserve">May </w:t>
      </w:r>
      <w:r w:rsidRPr="00BF35B0" w:rsidR="00BF35B0">
        <w:t>18</w:t>
      </w:r>
      <w:r w:rsidR="00192745">
        <w:t>, 2017)</w:t>
      </w:r>
      <w:r w:rsidRPr="00EE76B6" w:rsidR="00EE76B6">
        <w:t xml:space="preserve"> </w:t>
      </w:r>
      <w:r w:rsidR="00EE76B6">
        <w:t xml:space="preserve">(referred to collectively with </w:t>
      </w:r>
      <w:r w:rsidRPr="00EE76B6" w:rsidR="00EE76B6">
        <w:rPr>
          <w:i/>
        </w:rPr>
        <w:t>Public Notice</w:t>
      </w:r>
      <w:r w:rsidR="00EE76B6">
        <w:t xml:space="preserve"> cited in note 1</w:t>
      </w:r>
      <w:r w:rsidR="004E1C0D">
        <w:t>3</w:t>
      </w:r>
      <w:r w:rsidR="00EE76B6">
        <w:t xml:space="preserve"> above as </w:t>
      </w:r>
      <w:r w:rsidRPr="009B3651" w:rsidR="00EE76B6">
        <w:rPr>
          <w:i/>
        </w:rPr>
        <w:t>Transition Progress Report Public Notice</w:t>
      </w:r>
      <w:r w:rsidR="00EE76B6">
        <w:rPr>
          <w:i/>
        </w:rPr>
        <w:t>s</w:t>
      </w:r>
      <w:r w:rsidR="00EE76B6">
        <w:t>).</w:t>
      </w:r>
    </w:p>
  </w:footnote>
  <w:footnote w:id="16">
    <w:p w:rsidR="0027050F" w14:paraId="0D4C921E" w14:textId="77777777">
      <w:pPr>
        <w:pStyle w:val="FootnoteText"/>
      </w:pPr>
      <w:r>
        <w:rPr>
          <w:rStyle w:val="FootnoteReference"/>
        </w:rPr>
        <w:footnoteRef/>
      </w:r>
      <w:r>
        <w:t xml:space="preserve"> </w:t>
      </w:r>
      <w:r w:rsidR="00BB6750">
        <w:t xml:space="preserve">The Bureau extended the comment period.  </w:t>
      </w:r>
      <w:r w:rsidRPr="00BB6750" w:rsidR="00BB6750">
        <w:rPr>
          <w:i/>
        </w:rPr>
        <w:t>See</w:t>
      </w:r>
      <w:r w:rsidR="00BB6750">
        <w:t xml:space="preserve"> </w:t>
      </w:r>
      <w:r w:rsidRPr="00BD097F" w:rsidR="00BB6750">
        <w:rPr>
          <w:i/>
        </w:rPr>
        <w:t>Comment Sought on the Filing of Transition Progress Report Forms and Filing Requirements for Stations that Are Not Eligible for Reimbursement from the TV Broadcast Relocation Fund: Filing Deadlines Extended</w:t>
      </w:r>
      <w:r w:rsidR="00BB6750">
        <w:t>, MB Docket No. 16-306, Public Notice, 32 FCC Rcd 1120 (2017).</w:t>
      </w:r>
    </w:p>
    <w:p w:rsidR="00BB6750" w14:paraId="4D8E3C99" w14:textId="77777777">
      <w:pPr>
        <w:pStyle w:val="FootnoteText"/>
      </w:pPr>
    </w:p>
  </w:footnote>
  <w:footnote w:id="17">
    <w:p w:rsidR="008D3939" w:rsidRPr="003A0FAB" w14:paraId="64B7A028" w14:textId="77777777">
      <w:pPr>
        <w:pStyle w:val="FootnoteText"/>
        <w:spacing w:after="120"/>
      </w:pPr>
      <w:r w:rsidRPr="003A0FAB">
        <w:rPr>
          <w:rStyle w:val="FootnoteReference"/>
        </w:rPr>
        <w:footnoteRef/>
      </w:r>
      <w:r w:rsidRPr="003A0FAB">
        <w:t xml:space="preserve"> </w:t>
      </w:r>
      <w:r w:rsidRPr="003A0FAB">
        <w:rPr>
          <w:i/>
          <w:shd w:val="clear" w:color="auto" w:fill="FFFFFF"/>
        </w:rPr>
        <w:t xml:space="preserve">See </w:t>
      </w:r>
      <w:r w:rsidRPr="003A0FAB">
        <w:rPr>
          <w:shd w:val="clear" w:color="auto" w:fill="FFFFFF"/>
        </w:rPr>
        <w:t xml:space="preserve">47 CFR § 0.459.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939" w:rsidRPr="00C80734" w14:paraId="01D4BC9C" w14:textId="20EDC982">
    <w:pPr>
      <w:tabs>
        <w:tab w:val="right" w:pos="9360"/>
      </w:tabs>
      <w:suppressAutoHyphens/>
      <w:jc w:val="both"/>
      <w:rPr>
        <w:rFonts w:ascii="Times New Roman" w:hAnsi="Times New Roman"/>
        <w:b/>
        <w:spacing w:val="-3"/>
        <w:sz w:val="22"/>
        <w:szCs w:val="22"/>
      </w:rPr>
    </w:pPr>
    <w:r>
      <w:rPr>
        <w:rFonts w:ascii="Times New Roman" w:hAnsi="Times New Roman"/>
        <w:b/>
        <w:spacing w:val="-3"/>
        <w:sz w:val="22"/>
        <w:szCs w:val="22"/>
      </w:rPr>
      <w:t xml:space="preserve">OMB Control Number:  </w:t>
    </w:r>
    <w:r w:rsidR="00DC7989">
      <w:rPr>
        <w:rFonts w:ascii="Times New Roman" w:hAnsi="Times New Roman"/>
        <w:b/>
        <w:spacing w:val="-3"/>
        <w:sz w:val="22"/>
        <w:szCs w:val="22"/>
      </w:rPr>
      <w:t>3060-</w:t>
    </w:r>
    <w:r w:rsidR="00A3734D">
      <w:rPr>
        <w:rFonts w:ascii="Times New Roman" w:hAnsi="Times New Roman"/>
        <w:b/>
        <w:spacing w:val="-3"/>
        <w:sz w:val="22"/>
        <w:szCs w:val="22"/>
      </w:rPr>
      <w:t>1240</w:t>
    </w:r>
    <w:r w:rsidRPr="00C80734" w:rsidR="004A58B9">
      <w:rPr>
        <w:rFonts w:ascii="Times New Roman" w:hAnsi="Times New Roman"/>
        <w:b/>
        <w:spacing w:val="-3"/>
        <w:sz w:val="22"/>
        <w:szCs w:val="22"/>
      </w:rPr>
      <w:tab/>
    </w:r>
    <w:r w:rsidR="008D5ABE">
      <w:rPr>
        <w:rFonts w:ascii="Times New Roman" w:hAnsi="Times New Roman"/>
        <w:b/>
        <w:spacing w:val="-3"/>
        <w:sz w:val="22"/>
        <w:szCs w:val="22"/>
      </w:rPr>
      <w:t>May</w:t>
    </w:r>
    <w:r w:rsidR="00225AFA">
      <w:rPr>
        <w:rFonts w:ascii="Times New Roman" w:hAnsi="Times New Roman"/>
        <w:b/>
        <w:spacing w:val="-3"/>
        <w:sz w:val="22"/>
        <w:szCs w:val="22"/>
      </w:rPr>
      <w:t xml:space="preserve"> 2026</w:t>
    </w:r>
  </w:p>
  <w:p w:rsidR="0068791D" w:rsidRPr="00A47693" w:rsidP="006A58D3" w14:paraId="59545C66" w14:textId="77777777">
    <w:pPr>
      <w:suppressAutoHyphens/>
      <w:jc w:val="both"/>
      <w:rPr>
        <w:rFonts w:ascii="Times New Roman" w:hAnsi="Times New Roman"/>
        <w:b/>
        <w:spacing w:val="-3"/>
        <w:sz w:val="22"/>
        <w:szCs w:val="22"/>
      </w:rPr>
    </w:pPr>
    <w:r w:rsidRPr="00A47693">
      <w:rPr>
        <w:rFonts w:ascii="Calibri" w:eastAsia="Calibri" w:hAnsi="Calibri"/>
        <w:b/>
        <w:noProof/>
        <w:snapToGrid/>
        <w:sz w:val="22"/>
        <w:szCs w:val="22"/>
      </w:rPr>
      <w:t>FCC Form2100, Application for Media Bureau Video Service Authorization, Schedule 387 (Transition Progress Report)</w:t>
    </w:r>
  </w:p>
  <w:p w:rsidR="008D3939" w:rsidRPr="0055718C" w14:paraId="1469A9F3"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5D6FCE"/>
    <w:multiLevelType w:val="hybridMultilevel"/>
    <w:tmpl w:val="5906C7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5323FA"/>
    <w:multiLevelType w:val="hybridMultilevel"/>
    <w:tmpl w:val="5906C7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A61714"/>
    <w:multiLevelType w:val="hybridMultilevel"/>
    <w:tmpl w:val="A92EBB7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4B76442"/>
    <w:multiLevelType w:val="hybridMultilevel"/>
    <w:tmpl w:val="877AE092"/>
    <w:lvl w:ilvl="0">
      <w:start w:val="1"/>
      <w:numFmt w:val="lowerLetter"/>
      <w:lvlText w:val="(%1)"/>
      <w:lvlJc w:val="left"/>
      <w:pPr>
        <w:ind w:left="990" w:hanging="72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1182925"/>
    <w:multiLevelType w:val="singleLevel"/>
    <w:tmpl w:val="15F6D288"/>
    <w:lvl w:ilvl="0">
      <w:start w:val="1"/>
      <w:numFmt w:val="decimal"/>
      <w:pStyle w:val="ParaNum"/>
      <w:lvlText w:val="%1."/>
      <w:lvlJc w:val="left"/>
      <w:pPr>
        <w:tabs>
          <w:tab w:val="num" w:pos="1080"/>
        </w:tabs>
        <w:ind w:firstLine="720"/>
      </w:pPr>
      <w:rPr>
        <w:rFonts w:ascii="Times New Roman" w:hAnsi="Times New Roman" w:cs="Times New Roman" w:hint="default"/>
        <w:i w:val="0"/>
      </w:rPr>
    </w:lvl>
  </w:abstractNum>
  <w:abstractNum w:abstractNumId="5">
    <w:nsid w:val="7C397223"/>
    <w:multiLevelType w:val="hybridMultilevel"/>
    <w:tmpl w:val="DEE6DC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15119214">
    <w:abstractNumId w:val="4"/>
  </w:num>
  <w:num w:numId="2" w16cid:durableId="1356346278">
    <w:abstractNumId w:val="0"/>
  </w:num>
  <w:num w:numId="3" w16cid:durableId="490950967">
    <w:abstractNumId w:val="1"/>
  </w:num>
  <w:num w:numId="4" w16cid:durableId="1923172848">
    <w:abstractNumId w:val="2"/>
  </w:num>
  <w:num w:numId="5" w16cid:durableId="1094741080">
    <w:abstractNumId w:val="3"/>
  </w:num>
  <w:num w:numId="6" w16cid:durableId="33207169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10"/>
    <w:rsid w:val="00005AC8"/>
    <w:rsid w:val="0001182D"/>
    <w:rsid w:val="000138C4"/>
    <w:rsid w:val="000144C5"/>
    <w:rsid w:val="00026256"/>
    <w:rsid w:val="00027011"/>
    <w:rsid w:val="00037C54"/>
    <w:rsid w:val="0004384D"/>
    <w:rsid w:val="0004559A"/>
    <w:rsid w:val="00050339"/>
    <w:rsid w:val="00056C3F"/>
    <w:rsid w:val="00065DEC"/>
    <w:rsid w:val="00087607"/>
    <w:rsid w:val="0009173B"/>
    <w:rsid w:val="00097D2A"/>
    <w:rsid w:val="000A0687"/>
    <w:rsid w:val="000B14B6"/>
    <w:rsid w:val="000B1AFB"/>
    <w:rsid w:val="000B2DE0"/>
    <w:rsid w:val="000B5F3A"/>
    <w:rsid w:val="000C59C5"/>
    <w:rsid w:val="000C6898"/>
    <w:rsid w:val="000D2849"/>
    <w:rsid w:val="000E2F5A"/>
    <w:rsid w:val="000E38F3"/>
    <w:rsid w:val="000E487D"/>
    <w:rsid w:val="000E76CC"/>
    <w:rsid w:val="000F2501"/>
    <w:rsid w:val="000F5404"/>
    <w:rsid w:val="000F5950"/>
    <w:rsid w:val="000F5BB9"/>
    <w:rsid w:val="001004BC"/>
    <w:rsid w:val="00105A62"/>
    <w:rsid w:val="00110E1E"/>
    <w:rsid w:val="00112AE9"/>
    <w:rsid w:val="00121E32"/>
    <w:rsid w:val="00122935"/>
    <w:rsid w:val="00136016"/>
    <w:rsid w:val="00136948"/>
    <w:rsid w:val="00137FF3"/>
    <w:rsid w:val="0014568F"/>
    <w:rsid w:val="00146D8F"/>
    <w:rsid w:val="00152BC9"/>
    <w:rsid w:val="00157510"/>
    <w:rsid w:val="0016459D"/>
    <w:rsid w:val="0016679D"/>
    <w:rsid w:val="00170484"/>
    <w:rsid w:val="0017474B"/>
    <w:rsid w:val="00174EA2"/>
    <w:rsid w:val="00177FDB"/>
    <w:rsid w:val="001864CC"/>
    <w:rsid w:val="00192745"/>
    <w:rsid w:val="00196A36"/>
    <w:rsid w:val="001A2667"/>
    <w:rsid w:val="001A5E73"/>
    <w:rsid w:val="001A79EA"/>
    <w:rsid w:val="001B4943"/>
    <w:rsid w:val="001B7011"/>
    <w:rsid w:val="001B79D0"/>
    <w:rsid w:val="001C10EB"/>
    <w:rsid w:val="001D0D83"/>
    <w:rsid w:val="001D4069"/>
    <w:rsid w:val="001E741B"/>
    <w:rsid w:val="001E7CA6"/>
    <w:rsid w:val="001F064B"/>
    <w:rsid w:val="001F0E21"/>
    <w:rsid w:val="001F54D0"/>
    <w:rsid w:val="001F752E"/>
    <w:rsid w:val="00201F54"/>
    <w:rsid w:val="00205D1D"/>
    <w:rsid w:val="00212894"/>
    <w:rsid w:val="00217DFD"/>
    <w:rsid w:val="00217E81"/>
    <w:rsid w:val="00222661"/>
    <w:rsid w:val="00225AFA"/>
    <w:rsid w:val="00225E1F"/>
    <w:rsid w:val="00226E07"/>
    <w:rsid w:val="0023311A"/>
    <w:rsid w:val="002343D7"/>
    <w:rsid w:val="002454A5"/>
    <w:rsid w:val="0024729A"/>
    <w:rsid w:val="00254177"/>
    <w:rsid w:val="00261C50"/>
    <w:rsid w:val="002622CC"/>
    <w:rsid w:val="0027050F"/>
    <w:rsid w:val="00270E1F"/>
    <w:rsid w:val="002728C2"/>
    <w:rsid w:val="00273484"/>
    <w:rsid w:val="002758F6"/>
    <w:rsid w:val="00281A58"/>
    <w:rsid w:val="00284D8F"/>
    <w:rsid w:val="00294A9E"/>
    <w:rsid w:val="002957C6"/>
    <w:rsid w:val="002A5844"/>
    <w:rsid w:val="002B2666"/>
    <w:rsid w:val="002B64AD"/>
    <w:rsid w:val="002C1755"/>
    <w:rsid w:val="002C354A"/>
    <w:rsid w:val="002D14C6"/>
    <w:rsid w:val="002D2F0F"/>
    <w:rsid w:val="002D5CF2"/>
    <w:rsid w:val="002E022A"/>
    <w:rsid w:val="002E3E5B"/>
    <w:rsid w:val="002E6054"/>
    <w:rsid w:val="002E6908"/>
    <w:rsid w:val="002F06B9"/>
    <w:rsid w:val="002F10D0"/>
    <w:rsid w:val="002F1DAE"/>
    <w:rsid w:val="00305E9F"/>
    <w:rsid w:val="003104BD"/>
    <w:rsid w:val="0031302C"/>
    <w:rsid w:val="003305E3"/>
    <w:rsid w:val="00330A13"/>
    <w:rsid w:val="00354A01"/>
    <w:rsid w:val="003576C5"/>
    <w:rsid w:val="003602DA"/>
    <w:rsid w:val="003778E8"/>
    <w:rsid w:val="00381F63"/>
    <w:rsid w:val="00393FE6"/>
    <w:rsid w:val="0039768F"/>
    <w:rsid w:val="0039770C"/>
    <w:rsid w:val="003A0FAB"/>
    <w:rsid w:val="003A61F6"/>
    <w:rsid w:val="003B16C3"/>
    <w:rsid w:val="003D014B"/>
    <w:rsid w:val="003E470A"/>
    <w:rsid w:val="003E4C10"/>
    <w:rsid w:val="003E7B2A"/>
    <w:rsid w:val="003F3834"/>
    <w:rsid w:val="003F7359"/>
    <w:rsid w:val="00416DB1"/>
    <w:rsid w:val="00437B57"/>
    <w:rsid w:val="00440C5D"/>
    <w:rsid w:val="00447914"/>
    <w:rsid w:val="00453D28"/>
    <w:rsid w:val="00454F36"/>
    <w:rsid w:val="00465389"/>
    <w:rsid w:val="0046657D"/>
    <w:rsid w:val="00467AA1"/>
    <w:rsid w:val="004710E5"/>
    <w:rsid w:val="004724F2"/>
    <w:rsid w:val="00484830"/>
    <w:rsid w:val="0049525D"/>
    <w:rsid w:val="00496F9B"/>
    <w:rsid w:val="004A58B9"/>
    <w:rsid w:val="004C0CE3"/>
    <w:rsid w:val="004C1ECF"/>
    <w:rsid w:val="004D491A"/>
    <w:rsid w:val="004D4E2D"/>
    <w:rsid w:val="004E1C0D"/>
    <w:rsid w:val="004F0C01"/>
    <w:rsid w:val="0050028C"/>
    <w:rsid w:val="00500899"/>
    <w:rsid w:val="00505381"/>
    <w:rsid w:val="00505839"/>
    <w:rsid w:val="00510A16"/>
    <w:rsid w:val="00511810"/>
    <w:rsid w:val="00516C91"/>
    <w:rsid w:val="00517A3D"/>
    <w:rsid w:val="00520212"/>
    <w:rsid w:val="0052189A"/>
    <w:rsid w:val="00521FCA"/>
    <w:rsid w:val="005239F6"/>
    <w:rsid w:val="00524A84"/>
    <w:rsid w:val="00530537"/>
    <w:rsid w:val="005318C0"/>
    <w:rsid w:val="00532DD7"/>
    <w:rsid w:val="00533D47"/>
    <w:rsid w:val="0054434E"/>
    <w:rsid w:val="0055053B"/>
    <w:rsid w:val="0055718C"/>
    <w:rsid w:val="005657B9"/>
    <w:rsid w:val="00566B94"/>
    <w:rsid w:val="00575219"/>
    <w:rsid w:val="00581FF8"/>
    <w:rsid w:val="00586930"/>
    <w:rsid w:val="00597DCA"/>
    <w:rsid w:val="005A366E"/>
    <w:rsid w:val="005A72FA"/>
    <w:rsid w:val="005B13CD"/>
    <w:rsid w:val="005B2F9D"/>
    <w:rsid w:val="005B330C"/>
    <w:rsid w:val="005B66A8"/>
    <w:rsid w:val="005C063B"/>
    <w:rsid w:val="005C1091"/>
    <w:rsid w:val="005C636A"/>
    <w:rsid w:val="005D728A"/>
    <w:rsid w:val="005E1202"/>
    <w:rsid w:val="005E2E3A"/>
    <w:rsid w:val="005E5DE9"/>
    <w:rsid w:val="005F0823"/>
    <w:rsid w:val="005F2B68"/>
    <w:rsid w:val="005F5ABD"/>
    <w:rsid w:val="006012D8"/>
    <w:rsid w:val="00601CAD"/>
    <w:rsid w:val="00615CEF"/>
    <w:rsid w:val="00616C46"/>
    <w:rsid w:val="006177DB"/>
    <w:rsid w:val="006324DE"/>
    <w:rsid w:val="00632933"/>
    <w:rsid w:val="006334FC"/>
    <w:rsid w:val="00633793"/>
    <w:rsid w:val="00635E15"/>
    <w:rsid w:val="00640552"/>
    <w:rsid w:val="006413F8"/>
    <w:rsid w:val="00641D9A"/>
    <w:rsid w:val="006434AB"/>
    <w:rsid w:val="00644CED"/>
    <w:rsid w:val="00650A11"/>
    <w:rsid w:val="00653078"/>
    <w:rsid w:val="0065333A"/>
    <w:rsid w:val="006546E7"/>
    <w:rsid w:val="006611A6"/>
    <w:rsid w:val="00661779"/>
    <w:rsid w:val="006622C3"/>
    <w:rsid w:val="00671ADB"/>
    <w:rsid w:val="00674973"/>
    <w:rsid w:val="0067580D"/>
    <w:rsid w:val="00686534"/>
    <w:rsid w:val="006866F1"/>
    <w:rsid w:val="0068791D"/>
    <w:rsid w:val="00693640"/>
    <w:rsid w:val="006936AA"/>
    <w:rsid w:val="0069400D"/>
    <w:rsid w:val="00695D52"/>
    <w:rsid w:val="006A58D3"/>
    <w:rsid w:val="006A62B4"/>
    <w:rsid w:val="006B0BB0"/>
    <w:rsid w:val="006B1630"/>
    <w:rsid w:val="006B2557"/>
    <w:rsid w:val="006B45E3"/>
    <w:rsid w:val="006B6EE9"/>
    <w:rsid w:val="006B71C9"/>
    <w:rsid w:val="006D2245"/>
    <w:rsid w:val="006D3181"/>
    <w:rsid w:val="006E0B00"/>
    <w:rsid w:val="006E4DF1"/>
    <w:rsid w:val="006F0B67"/>
    <w:rsid w:val="006F59E6"/>
    <w:rsid w:val="00702E70"/>
    <w:rsid w:val="007036FF"/>
    <w:rsid w:val="00716AB6"/>
    <w:rsid w:val="00717BD8"/>
    <w:rsid w:val="007204FC"/>
    <w:rsid w:val="0072297C"/>
    <w:rsid w:val="00733276"/>
    <w:rsid w:val="00735F15"/>
    <w:rsid w:val="00737AB1"/>
    <w:rsid w:val="00737D6E"/>
    <w:rsid w:val="00744ACD"/>
    <w:rsid w:val="007519E2"/>
    <w:rsid w:val="007545B3"/>
    <w:rsid w:val="0077294B"/>
    <w:rsid w:val="00794764"/>
    <w:rsid w:val="007A3D1A"/>
    <w:rsid w:val="007A62A9"/>
    <w:rsid w:val="007A66A9"/>
    <w:rsid w:val="007A6C34"/>
    <w:rsid w:val="007B341F"/>
    <w:rsid w:val="007C089E"/>
    <w:rsid w:val="007C33A7"/>
    <w:rsid w:val="007D2AF5"/>
    <w:rsid w:val="007D4BCC"/>
    <w:rsid w:val="007D6783"/>
    <w:rsid w:val="007E1FE3"/>
    <w:rsid w:val="007E653B"/>
    <w:rsid w:val="007E65D6"/>
    <w:rsid w:val="007E6B05"/>
    <w:rsid w:val="007F09FA"/>
    <w:rsid w:val="007F4EFC"/>
    <w:rsid w:val="00803D30"/>
    <w:rsid w:val="00804680"/>
    <w:rsid w:val="00811F5E"/>
    <w:rsid w:val="00812D5F"/>
    <w:rsid w:val="008201BF"/>
    <w:rsid w:val="00823D9E"/>
    <w:rsid w:val="008262EE"/>
    <w:rsid w:val="008273B8"/>
    <w:rsid w:val="00832824"/>
    <w:rsid w:val="0083510C"/>
    <w:rsid w:val="008425AD"/>
    <w:rsid w:val="00845578"/>
    <w:rsid w:val="008512A2"/>
    <w:rsid w:val="008516B9"/>
    <w:rsid w:val="00864F35"/>
    <w:rsid w:val="00885492"/>
    <w:rsid w:val="00885B3F"/>
    <w:rsid w:val="00892185"/>
    <w:rsid w:val="00895ABF"/>
    <w:rsid w:val="00895BEB"/>
    <w:rsid w:val="0089617C"/>
    <w:rsid w:val="008A0016"/>
    <w:rsid w:val="008A40F4"/>
    <w:rsid w:val="008A5B41"/>
    <w:rsid w:val="008B1778"/>
    <w:rsid w:val="008B4B24"/>
    <w:rsid w:val="008C0584"/>
    <w:rsid w:val="008C74BC"/>
    <w:rsid w:val="008D1A60"/>
    <w:rsid w:val="008D3939"/>
    <w:rsid w:val="008D5496"/>
    <w:rsid w:val="008D5ABE"/>
    <w:rsid w:val="009030FB"/>
    <w:rsid w:val="0090463E"/>
    <w:rsid w:val="00906E92"/>
    <w:rsid w:val="00907411"/>
    <w:rsid w:val="0091376C"/>
    <w:rsid w:val="00914ED4"/>
    <w:rsid w:val="00920263"/>
    <w:rsid w:val="00920F19"/>
    <w:rsid w:val="009316E4"/>
    <w:rsid w:val="0093407D"/>
    <w:rsid w:val="00935412"/>
    <w:rsid w:val="009376FA"/>
    <w:rsid w:val="00951091"/>
    <w:rsid w:val="00951A9F"/>
    <w:rsid w:val="00963207"/>
    <w:rsid w:val="00965CE6"/>
    <w:rsid w:val="0096669C"/>
    <w:rsid w:val="009735E3"/>
    <w:rsid w:val="009762C9"/>
    <w:rsid w:val="009830C8"/>
    <w:rsid w:val="0098351D"/>
    <w:rsid w:val="009849DC"/>
    <w:rsid w:val="00985904"/>
    <w:rsid w:val="009920A6"/>
    <w:rsid w:val="00994D8F"/>
    <w:rsid w:val="00994F25"/>
    <w:rsid w:val="009A3536"/>
    <w:rsid w:val="009A7F5B"/>
    <w:rsid w:val="009B3651"/>
    <w:rsid w:val="009B3EAD"/>
    <w:rsid w:val="009C5B54"/>
    <w:rsid w:val="009D02A6"/>
    <w:rsid w:val="009E0749"/>
    <w:rsid w:val="009E1C6C"/>
    <w:rsid w:val="009E3DBE"/>
    <w:rsid w:val="009E5618"/>
    <w:rsid w:val="009E60D3"/>
    <w:rsid w:val="009E6849"/>
    <w:rsid w:val="009F0D14"/>
    <w:rsid w:val="00A11169"/>
    <w:rsid w:val="00A17DE4"/>
    <w:rsid w:val="00A3734D"/>
    <w:rsid w:val="00A377AB"/>
    <w:rsid w:val="00A37CC9"/>
    <w:rsid w:val="00A40C21"/>
    <w:rsid w:val="00A4712E"/>
    <w:rsid w:val="00A47693"/>
    <w:rsid w:val="00A500B1"/>
    <w:rsid w:val="00A510DB"/>
    <w:rsid w:val="00A56BA6"/>
    <w:rsid w:val="00A577B8"/>
    <w:rsid w:val="00A67FB9"/>
    <w:rsid w:val="00A72E16"/>
    <w:rsid w:val="00A7568F"/>
    <w:rsid w:val="00A774C9"/>
    <w:rsid w:val="00A92315"/>
    <w:rsid w:val="00A9374C"/>
    <w:rsid w:val="00AA4467"/>
    <w:rsid w:val="00AB20E6"/>
    <w:rsid w:val="00AD42FE"/>
    <w:rsid w:val="00AD44A8"/>
    <w:rsid w:val="00AD4F66"/>
    <w:rsid w:val="00AD5851"/>
    <w:rsid w:val="00AE105D"/>
    <w:rsid w:val="00AF4AE2"/>
    <w:rsid w:val="00AF73F2"/>
    <w:rsid w:val="00B02579"/>
    <w:rsid w:val="00B26E18"/>
    <w:rsid w:val="00B31C0E"/>
    <w:rsid w:val="00B3305B"/>
    <w:rsid w:val="00B330AA"/>
    <w:rsid w:val="00B33187"/>
    <w:rsid w:val="00B41E2A"/>
    <w:rsid w:val="00B51533"/>
    <w:rsid w:val="00B5633A"/>
    <w:rsid w:val="00B57124"/>
    <w:rsid w:val="00B614C8"/>
    <w:rsid w:val="00B6681D"/>
    <w:rsid w:val="00B82CE2"/>
    <w:rsid w:val="00B84312"/>
    <w:rsid w:val="00B853F0"/>
    <w:rsid w:val="00B903E3"/>
    <w:rsid w:val="00B95137"/>
    <w:rsid w:val="00B95DE2"/>
    <w:rsid w:val="00BA0011"/>
    <w:rsid w:val="00BA6EC5"/>
    <w:rsid w:val="00BB5946"/>
    <w:rsid w:val="00BB6750"/>
    <w:rsid w:val="00BD097F"/>
    <w:rsid w:val="00BD1B2C"/>
    <w:rsid w:val="00BF04DA"/>
    <w:rsid w:val="00BF0A41"/>
    <w:rsid w:val="00BF35B0"/>
    <w:rsid w:val="00C007F8"/>
    <w:rsid w:val="00C0647C"/>
    <w:rsid w:val="00C17E79"/>
    <w:rsid w:val="00C23578"/>
    <w:rsid w:val="00C27361"/>
    <w:rsid w:val="00C3120B"/>
    <w:rsid w:val="00C33693"/>
    <w:rsid w:val="00C3640F"/>
    <w:rsid w:val="00C3796B"/>
    <w:rsid w:val="00C40110"/>
    <w:rsid w:val="00C53915"/>
    <w:rsid w:val="00C56743"/>
    <w:rsid w:val="00C57D06"/>
    <w:rsid w:val="00C600F4"/>
    <w:rsid w:val="00C73320"/>
    <w:rsid w:val="00C74641"/>
    <w:rsid w:val="00C770A6"/>
    <w:rsid w:val="00C80734"/>
    <w:rsid w:val="00C8485C"/>
    <w:rsid w:val="00C84BB9"/>
    <w:rsid w:val="00C84CF9"/>
    <w:rsid w:val="00C84DBB"/>
    <w:rsid w:val="00C86019"/>
    <w:rsid w:val="00C91D98"/>
    <w:rsid w:val="00C93B9D"/>
    <w:rsid w:val="00C945AA"/>
    <w:rsid w:val="00CB0F7F"/>
    <w:rsid w:val="00CB1622"/>
    <w:rsid w:val="00CC33C1"/>
    <w:rsid w:val="00CC6F58"/>
    <w:rsid w:val="00CF42C4"/>
    <w:rsid w:val="00CF5C9B"/>
    <w:rsid w:val="00D02406"/>
    <w:rsid w:val="00D0340F"/>
    <w:rsid w:val="00D1193C"/>
    <w:rsid w:val="00D130E6"/>
    <w:rsid w:val="00D36785"/>
    <w:rsid w:val="00D37E89"/>
    <w:rsid w:val="00D63A4C"/>
    <w:rsid w:val="00D6514C"/>
    <w:rsid w:val="00D65B8C"/>
    <w:rsid w:val="00D678E9"/>
    <w:rsid w:val="00D679EB"/>
    <w:rsid w:val="00D67F62"/>
    <w:rsid w:val="00D72D91"/>
    <w:rsid w:val="00D736C9"/>
    <w:rsid w:val="00D74609"/>
    <w:rsid w:val="00D7476F"/>
    <w:rsid w:val="00D772F0"/>
    <w:rsid w:val="00D84872"/>
    <w:rsid w:val="00D90BD2"/>
    <w:rsid w:val="00D921AB"/>
    <w:rsid w:val="00D932D5"/>
    <w:rsid w:val="00D93EAD"/>
    <w:rsid w:val="00D97D9C"/>
    <w:rsid w:val="00D97ECA"/>
    <w:rsid w:val="00DA14AA"/>
    <w:rsid w:val="00DA34EF"/>
    <w:rsid w:val="00DA5F5F"/>
    <w:rsid w:val="00DB0EC7"/>
    <w:rsid w:val="00DB3075"/>
    <w:rsid w:val="00DC7989"/>
    <w:rsid w:val="00DD012F"/>
    <w:rsid w:val="00DD38CF"/>
    <w:rsid w:val="00DE5677"/>
    <w:rsid w:val="00DE6EF9"/>
    <w:rsid w:val="00DF0415"/>
    <w:rsid w:val="00E02B9C"/>
    <w:rsid w:val="00E02F30"/>
    <w:rsid w:val="00E03E6C"/>
    <w:rsid w:val="00E045A2"/>
    <w:rsid w:val="00E2083B"/>
    <w:rsid w:val="00E24CE9"/>
    <w:rsid w:val="00E32584"/>
    <w:rsid w:val="00E333C5"/>
    <w:rsid w:val="00E33F54"/>
    <w:rsid w:val="00E3708D"/>
    <w:rsid w:val="00E37EB7"/>
    <w:rsid w:val="00E40B45"/>
    <w:rsid w:val="00E41FFE"/>
    <w:rsid w:val="00E554B8"/>
    <w:rsid w:val="00E7091F"/>
    <w:rsid w:val="00E87BEB"/>
    <w:rsid w:val="00E95A18"/>
    <w:rsid w:val="00EA73D6"/>
    <w:rsid w:val="00EA75C0"/>
    <w:rsid w:val="00EB3042"/>
    <w:rsid w:val="00EB7981"/>
    <w:rsid w:val="00ED5B02"/>
    <w:rsid w:val="00EE0560"/>
    <w:rsid w:val="00EE38BC"/>
    <w:rsid w:val="00EE56E4"/>
    <w:rsid w:val="00EE76B6"/>
    <w:rsid w:val="00EF67C6"/>
    <w:rsid w:val="00F057CC"/>
    <w:rsid w:val="00F075B1"/>
    <w:rsid w:val="00F15525"/>
    <w:rsid w:val="00F163B5"/>
    <w:rsid w:val="00F25274"/>
    <w:rsid w:val="00F33EED"/>
    <w:rsid w:val="00F375E0"/>
    <w:rsid w:val="00F41455"/>
    <w:rsid w:val="00F445C7"/>
    <w:rsid w:val="00F4584D"/>
    <w:rsid w:val="00F55599"/>
    <w:rsid w:val="00F55C51"/>
    <w:rsid w:val="00F56C58"/>
    <w:rsid w:val="00F65F73"/>
    <w:rsid w:val="00F66B90"/>
    <w:rsid w:val="00F70D24"/>
    <w:rsid w:val="00F72F31"/>
    <w:rsid w:val="00F80C12"/>
    <w:rsid w:val="00F81960"/>
    <w:rsid w:val="00F85782"/>
    <w:rsid w:val="00F90C75"/>
    <w:rsid w:val="00F91639"/>
    <w:rsid w:val="00F917D5"/>
    <w:rsid w:val="00FA13A9"/>
    <w:rsid w:val="00FA49D7"/>
    <w:rsid w:val="00FD1DCF"/>
    <w:rsid w:val="00FD21A1"/>
    <w:rsid w:val="00FD28E3"/>
    <w:rsid w:val="00FE3227"/>
    <w:rsid w:val="00FE6D0F"/>
    <w:rsid w:val="00FF02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299821"/>
  <w15:chartTrackingRefBased/>
  <w15:docId w15:val="{52E5DEB2-EE79-44C1-91AC-B6F4A6E2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2245"/>
    <w:pPr>
      <w:widowControl w:val="0"/>
    </w:pPr>
    <w:rPr>
      <w:rFonts w:ascii="CG Omega" w:hAnsi="CG Omega"/>
      <w:snapToGrid w:val="0"/>
      <w:sz w:val="24"/>
    </w:rPr>
  </w:style>
  <w:style w:type="paragraph" w:styleId="Heading6">
    <w:name w:val="heading 6"/>
    <w:basedOn w:val="Normal"/>
    <w:next w:val="Normal"/>
    <w:link w:val="Heading6Char"/>
    <w:qFormat/>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Footnote Text Char Char,Footnote Text Char Char Char Char Char,Footnote Text Char1,Footnote Text Char1 Char Char Char,Footnote Text Char1 Char Char Char Char Char,Footnote Text Char2 Char,Footnote Text Char2 Char Char,f"/>
    <w:basedOn w:val="Normal"/>
    <w:link w:val="FootnoteTextChar2"/>
    <w:qFormat/>
    <w:rsid w:val="00E41FFE"/>
    <w:rPr>
      <w:rFonts w:ascii="Times New Roman" w:hAnsi="Times New Roman"/>
      <w:sz w:val="20"/>
    </w:rPr>
  </w:style>
  <w:style w:type="character" w:styleId="FootnoteReference">
    <w:name w:val="footnote reference"/>
    <w:aliases w:val="(NECG) Footnote Reference,Appel note de bas de p,FR,Footnote Reference/,Footnote Reference1,Style 12,Style 124,Style 13,Style 17,Style 3,Style 4,Style 6,Style 7,fr,o"/>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customStyle="1" w:styleId="Style1">
    <w:name w:val="Style1"/>
    <w:basedOn w:val="FootnoteTex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customStyle="1" w:styleId="FootnoteTextChar2">
    <w:name w:val="Footnote Text Char2"/>
    <w:aliases w:val="Footnote Text Char Char Char,Footnote Text Char Char Char Char Char Char,Footnote Text Char Char1,Footnote Text Char1 Char,Footnote Text Char1 Char Char Char Char,Footnote Text Char1 Char Char Char Char Char Char,f Char"/>
    <w:link w:val="FootnoteText"/>
    <w:semiHidden/>
    <w:rsid w:val="00E41FFE"/>
    <w:rPr>
      <w:snapToGrid w:val="0"/>
    </w:rPr>
  </w:style>
  <w:style w:type="paragraph" w:customStyle="1" w:styleId="Numberedparagraphs">
    <w:name w:val="Numbered paragraphs"/>
    <w:basedOn w:val="Normal"/>
    <w:pPr>
      <w:widowControl/>
      <w:tabs>
        <w:tab w:val="num" w:pos="360"/>
        <w:tab w:val="left" w:pos="1440"/>
      </w:tabs>
      <w:spacing w:after="220"/>
    </w:pPr>
    <w:rPr>
      <w:rFonts w:ascii="Times New Roman" w:hAnsi="Times New Roman"/>
      <w:snapToGrid/>
    </w:rPr>
  </w:style>
  <w:style w:type="character" w:customStyle="1" w:styleId="FootnoteTextChar1CharChar">
    <w:name w:val="Footnote Text Char1 Char Char"/>
    <w:aliases w:val="Footnote Text Char Char1 Char Char,Footnote Text Char Char1 Char Char Char1 Char,Footnote Text Char1 Char Char Char1 Char Char Char,Footnote Text Char1 Char1,Footnote Text Char2 Char1 Char Char Char"/>
    <w:semiHidden/>
    <w:locked/>
    <w:rPr>
      <w:lang w:val="en-US" w:eastAsia="en-US" w:bidi="ar-SA"/>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paragraph" w:customStyle="1" w:styleId="StyleNormalWeb11ptBlack">
    <w:name w:val="Style Normal (Web) + 11 pt Black"/>
    <w:basedOn w:val="NormalWeb"/>
    <w:pPr>
      <w:spacing w:before="0" w:beforeAutospacing="0" w:after="0" w:afterAutospacing="0"/>
    </w:pPr>
    <w:rPr>
      <w:color w:val="000000"/>
      <w:sz w:val="22"/>
    </w:rPr>
  </w:style>
  <w:style w:type="paragraph" w:customStyle="1" w:styleId="StyleNormalWeb11ptBlack1">
    <w:name w:val="Style Normal (Web) + 11 pt Black1"/>
    <w:basedOn w:val="NormalWeb"/>
    <w:pPr>
      <w:spacing w:before="0" w:beforeAutospacing="0" w:after="0" w:afterAutospacing="0"/>
    </w:pPr>
    <w:rPr>
      <w:color w:val="000000"/>
      <w:sz w:val="22"/>
    </w:rPr>
  </w:style>
  <w:style w:type="character" w:styleId="FollowedHyperlink">
    <w:name w:val="FollowedHyperlink"/>
    <w:rPr>
      <w:color w:val="800080"/>
      <w:u w:val="single"/>
    </w:rPr>
  </w:style>
  <w:style w:type="paragraph" w:customStyle="1" w:styleId="ParaNum">
    <w:name w:val="ParaNum"/>
    <w:basedOn w:val="Normal"/>
    <w:link w:val="ParaNumChar1"/>
    <w:pPr>
      <w:numPr>
        <w:numId w:val="1"/>
      </w:numPr>
      <w:spacing w:after="120"/>
    </w:pPr>
    <w:rPr>
      <w:rFonts w:ascii="Times New Roman" w:hAnsi="Times New Roman"/>
      <w:snapToGrid/>
      <w:kern w:val="28"/>
      <w:sz w:val="22"/>
    </w:rPr>
  </w:style>
  <w:style w:type="character" w:customStyle="1" w:styleId="ParaNumChar1">
    <w:name w:val="ParaNum Char1"/>
    <w:link w:val="ParaNum"/>
    <w:locked/>
    <w:rPr>
      <w:kern w:val="28"/>
      <w:sz w:val="22"/>
    </w:rPr>
  </w:style>
  <w:style w:type="character" w:customStyle="1" w:styleId="FootnoteTextChar2Char1">
    <w:name w:val="Footnote Text Char2 Char1"/>
    <w:aliases w:val="Char Char1,Footnote Text Char Char Char Char1 Char Char1,Footnote Text Char Char Char Char2,Footnote Text Char1 Char Char Char Char1,Footnote Text Char1 Char Char1,Footnote Text Char2 Char Char Char Char Char Char1"/>
    <w:semiHidden/>
    <w:locked/>
    <w:rPr>
      <w:rFonts w:cs="Times New Roman"/>
      <w:lang w:val="en-US" w:eastAsia="en-US" w:bidi="ar-SA"/>
    </w:rPr>
  </w:style>
  <w:style w:type="character" w:customStyle="1" w:styleId="CommentTextChar">
    <w:name w:val="Comment Text Char"/>
    <w:link w:val="CommentText"/>
    <w:semiHidden/>
    <w:rPr>
      <w:rFonts w:ascii="CG Omega" w:hAnsi="CG Omega"/>
      <w:snapToGrid w:val="0"/>
      <w:lang w:val="en-US" w:eastAsia="en-US" w:bidi="ar-SA"/>
    </w:rPr>
  </w:style>
  <w:style w:type="paragraph" w:styleId="ListParagraph">
    <w:name w:val="List Paragraph"/>
    <w:basedOn w:val="Normal"/>
    <w:qFormat/>
    <w:pPr>
      <w:widowControl/>
      <w:spacing w:after="200" w:line="276" w:lineRule="auto"/>
      <w:ind w:left="720"/>
      <w:contextualSpacing/>
    </w:pPr>
    <w:rPr>
      <w:rFonts w:ascii="Calibri" w:hAnsi="Calibri"/>
      <w:snapToGrid/>
      <w:sz w:val="22"/>
      <w:szCs w:val="22"/>
    </w:rPr>
  </w:style>
  <w:style w:type="character" w:styleId="Emphasis">
    <w:name w:val="Emphasis"/>
    <w:qFormat/>
    <w:rPr>
      <w:rFonts w:cs="Times New Roman"/>
      <w:i/>
      <w:iCs/>
    </w:rPr>
  </w:style>
  <w:style w:type="character" w:customStyle="1" w:styleId="Heading6Char">
    <w:name w:val="Heading 6 Char"/>
    <w:link w:val="Heading6"/>
    <w:semiHidden/>
    <w:rPr>
      <w:rFonts w:ascii="Calibri" w:eastAsia="Times New Roman" w:hAnsi="Calibri" w:cs="Times New Roman"/>
      <w:b/>
      <w:bCs/>
      <w:snapToGrid w:val="0"/>
      <w:sz w:val="22"/>
      <w:szCs w:val="22"/>
    </w:rPr>
  </w:style>
  <w:style w:type="table" w:styleId="TableGrid">
    <w:name w:val="Table Grid"/>
    <w:basedOn w:val="TableNormal"/>
    <w:rsid w:val="0017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647C"/>
    <w:rPr>
      <w:rFonts w:ascii="CG Omega" w:hAnsi="CG Omega"/>
      <w:snapToGrid w:val="0"/>
      <w:sz w:val="24"/>
    </w:rPr>
  </w:style>
  <w:style w:type="character" w:customStyle="1" w:styleId="FootnoteTextChar2Char3Char">
    <w:name w:val="Footnote Text Char2 Char3 Char"/>
    <w:aliases w:val="Footnote Text Char Char6 Char Char,Footnote Text Char Char6 Char Char1 Char1 Char,Footnote Text Char4 Char2 Char Char Char Char Char,Footnote Text Char6 Char Char,Footnote Text Char6 Char Char Char Char"/>
    <w:rsid w:val="00EE3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4D8C9-A3A8-4163-988D-10DFDA47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3</cp:revision>
  <cp:lastPrinted>2017-05-04T18:54:00Z</cp:lastPrinted>
  <dcterms:created xsi:type="dcterms:W3CDTF">2026-02-25T16:26:00Z</dcterms:created>
  <dcterms:modified xsi:type="dcterms:W3CDTF">2026-05-05T14:37:00Z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