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0C08" w:rsidRPr="00CB038B" w:rsidP="11AB4B38" w14:paraId="54314B73" w14:textId="77777777">
      <w:pPr>
        <w:spacing w:after="0"/>
        <w:jc w:val="center"/>
        <w:rPr>
          <w:sz w:val="32"/>
          <w:szCs w:val="32"/>
        </w:rPr>
      </w:pPr>
      <w:r w:rsidRPr="11AB4B38">
        <w:rPr>
          <w:sz w:val="32"/>
          <w:szCs w:val="32"/>
        </w:rPr>
        <w:t>U.S. Environmental Protection Agency</w:t>
      </w:r>
    </w:p>
    <w:p w:rsidR="00510C08" w:rsidRPr="00CB038B" w:rsidP="11AB4B38" w14:paraId="02285884" w14:textId="77777777">
      <w:pPr>
        <w:jc w:val="center"/>
        <w:rPr>
          <w:sz w:val="32"/>
          <w:szCs w:val="32"/>
        </w:rPr>
      </w:pPr>
      <w:r w:rsidRPr="11AB4B38">
        <w:rPr>
          <w:sz w:val="32"/>
          <w:szCs w:val="32"/>
        </w:rPr>
        <w:t>Information Collection Request</w:t>
      </w:r>
    </w:p>
    <w:p w:rsidR="00510C08" w:rsidP="00BB432F" w14:paraId="60D87C58" w14:textId="77777777">
      <w:pPr>
        <w:rPr>
          <w:rFonts w:cstheme="minorHAnsi"/>
          <w:b/>
          <w:bCs/>
        </w:rPr>
      </w:pPr>
    </w:p>
    <w:p w:rsidR="00510C08" w:rsidRPr="00BC1DD1" w:rsidP="00210C51" w14:paraId="6C27253E" w14:textId="67758A39">
      <w:pPr>
        <w:spacing w:line="240" w:lineRule="auto"/>
      </w:pPr>
      <w:r w:rsidRPr="00210C51">
        <w:rPr>
          <w:b/>
          <w:bCs/>
        </w:rPr>
        <w:t>Title:</w:t>
      </w:r>
      <w:r>
        <w:t xml:space="preserve"> </w:t>
      </w:r>
      <w:r w:rsidRPr="00210C51">
        <w:rPr>
          <w:noProof/>
        </w:rPr>
        <w:t xml:space="preserve">NESHAP for Polyvinyl Chloride and Copolymer Production (40 CFR </w:t>
      </w:r>
      <w:r w:rsidRPr="00210C51" w:rsidR="0065722D">
        <w:rPr>
          <w:noProof/>
        </w:rPr>
        <w:t>Part 63</w:t>
      </w:r>
      <w:r w:rsidRPr="00210C51">
        <w:rPr>
          <w:noProof/>
        </w:rPr>
        <w:t>, Subpart HHHHHHH) (Renewal)</w:t>
      </w:r>
    </w:p>
    <w:p w:rsidR="00510C08" w:rsidRPr="00BC1DD1" w:rsidP="31FD8357" w14:paraId="34CCB43C" w14:textId="5DEC37AF">
      <w:pPr>
        <w:spacing w:line="240" w:lineRule="auto"/>
      </w:pPr>
      <w:r w:rsidRPr="00210C51">
        <w:rPr>
          <w:b/>
          <w:bCs/>
        </w:rPr>
        <w:t>OMB Control Number:</w:t>
      </w:r>
      <w:r>
        <w:t xml:space="preserve"> </w:t>
      </w:r>
      <w:r w:rsidRPr="00210C51">
        <w:rPr>
          <w:noProof/>
        </w:rPr>
        <w:t>2060-0666</w:t>
      </w:r>
    </w:p>
    <w:p w:rsidR="00510C08" w:rsidRPr="00BB3410" w:rsidP="00ED57A4" w14:paraId="2C2B2D40" w14:textId="77777777">
      <w:pPr>
        <w:spacing w:before="240" w:line="240" w:lineRule="auto"/>
        <w:rPr>
          <w:rFonts w:cstheme="minorHAnsi"/>
        </w:rPr>
      </w:pPr>
      <w:r w:rsidRPr="00BC1DD1">
        <w:rPr>
          <w:rFonts w:cstheme="minorHAnsi"/>
          <w:b/>
          <w:bCs/>
        </w:rPr>
        <w:t xml:space="preserve">EPA ICR Number: </w:t>
      </w:r>
      <w:r w:rsidRPr="00BC1DD1">
        <w:rPr>
          <w:rFonts w:cstheme="minorHAnsi"/>
          <w:noProof/>
        </w:rPr>
        <w:t>2432.07</w:t>
      </w:r>
    </w:p>
    <w:p w:rsidR="001B58F6" w:rsidP="001B58F6" w14:paraId="1F093251" w14:textId="6B2F4C21">
      <w:pPr>
        <w:spacing w:before="240"/>
      </w:pPr>
      <w:r w:rsidRPr="4BDBF0A0">
        <w:rPr>
          <w:b/>
          <w:bCs/>
        </w:rPr>
        <w:t>Abstract:</w:t>
      </w:r>
      <w:r w:rsidRPr="4BDBF0A0">
        <w:t xml:space="preserve"> </w:t>
      </w:r>
      <w:r>
        <w:t xml:space="preserve">The National Emission Standards for Hazardous Air Pollutants (NESHAP) for the regulations published at 40 CFR Part 63, Subpart HHHHHHH were proposed on May 20, 2011, and promulgated on April 17, 2012. These regulations apply to existing facilities and new PVC production facilities. Area source PVC facilities are subject to 40 CFR Part 63, Subpart DDDDDD and not covered in this ICR. New facilities include those that commenced construction or reconstruction after the date of proposal. This information is being collected to assure compliance with 40 CFR Part 63, Subpart HHHHHHH. </w:t>
      </w:r>
    </w:p>
    <w:p w:rsidR="003627F9" w:rsidP="001B58F6" w14:paraId="4DB2A998" w14:textId="77777777">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510C08" w:rsidRPr="00EB16CB" w:rsidP="4BDBF0A0" w14:paraId="628B74C0" w14:textId="70496711">
      <w:pPr>
        <w:spacing w:before="240"/>
      </w:pPr>
      <w:r w:rsidRPr="2B7BE2DE">
        <w:rPr>
          <w:noProof/>
        </w:rPr>
        <w:t>The Office of Management and Budget (OMB) approved the currently active ICR without any “Terms of Clearance.”</w:t>
      </w:r>
    </w:p>
    <w:p w:rsidR="00510C08" w:rsidRPr="00BB3410" w:rsidP="4BDBF0A0" w14:paraId="1B0AE010" w14:textId="77777777">
      <w:pPr>
        <w:rPr>
          <w:b/>
          <w:bCs/>
          <w:u w:val="single"/>
        </w:rPr>
      </w:pPr>
      <w:r w:rsidRPr="4BDBF0A0">
        <w:rPr>
          <w:b/>
          <w:bCs/>
          <w:u w:val="single"/>
        </w:rPr>
        <w:t>Supporting Statement A</w:t>
      </w:r>
    </w:p>
    <w:p w:rsidR="00510C08" w:rsidRPr="00E3122D" w:rsidP="00854AAE" w14:paraId="0B429863"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510C08" w:rsidP="00854AAE" w14:paraId="14DCC7E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10C08" w:rsidRPr="00B8022A" w:rsidP="0080190F" w14:paraId="74ED1299" w14:textId="77777777">
      <w:pPr>
        <w:spacing w:before="60"/>
        <w:rPr>
          <w:rFonts w:ascii="Calibri" w:hAnsi="Calibri" w:cs="Calibri"/>
          <w:noProof/>
          <w:color w:val="000000"/>
          <w:shd w:val="clear" w:color="auto" w:fill="FFFFFF"/>
        </w:rPr>
      </w:pPr>
      <w:r w:rsidRPr="00B8022A">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510C08" w:rsidP="0080190F" w14:paraId="45EF6E32" w14:textId="77777777">
      <w:pPr>
        <w:spacing w:before="60"/>
        <w:ind w:left="720" w:right="720"/>
        <w:rPr>
          <w:rFonts w:ascii="Calibri" w:hAnsi="Calibri" w:cs="Calibri"/>
          <w:color w:val="000000"/>
          <w:shd w:val="clear" w:color="auto" w:fill="FFFFFF"/>
        </w:rPr>
      </w:pPr>
      <w:r w:rsidRPr="00B8022A">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510C08" w:rsidRPr="001A74AB" w:rsidP="00854AAE" w14:paraId="0D633C53" w14:textId="66770878">
      <w:pPr>
        <w:pBdr>
          <w:bottom w:val="single" w:sz="4" w:space="1" w:color="auto"/>
        </w:pBdr>
        <w:spacing w:before="60"/>
        <w:rPr>
          <w:rFonts w:cstheme="minorHAnsi"/>
        </w:rPr>
      </w:pPr>
      <w:r w:rsidRPr="00E1154E">
        <w:rPr>
          <w:rFonts w:cstheme="minorHAnsi"/>
        </w:rPr>
        <w:t>In the Administrator's judgment</w:t>
      </w:r>
      <w:r w:rsidRPr="00E46B89">
        <w:rPr>
          <w:rFonts w:cstheme="minorHAnsi"/>
        </w:rPr>
        <w:t xml:space="preserve">, </w:t>
      </w:r>
      <w:r w:rsidRPr="00E46B89" w:rsidR="00E46B89">
        <w:rPr>
          <w:rFonts w:cstheme="minorHAnsi"/>
        </w:rPr>
        <w:t xml:space="preserve">hazardous air pollutant (HAP) emissions from PVC and copolymer production major source facilities </w:t>
      </w:r>
      <w:r w:rsidRPr="00E46B89">
        <w:rPr>
          <w:rFonts w:cstheme="minorHAnsi"/>
        </w:rPr>
        <w:t>cause</w:t>
      </w:r>
      <w:r w:rsidRPr="00E1154E">
        <w:rPr>
          <w:rFonts w:cstheme="minorHAnsi"/>
        </w:rPr>
        <w:t xml:space="preserve"> or contribute to air pollution that may reasonably be anticipated to endanger public health or welfare. </w:t>
      </w:r>
      <w:r w:rsidRPr="009D6E26">
        <w:rPr>
          <w:rFonts w:cstheme="minorHAnsi"/>
        </w:rPr>
        <w:t xml:space="preserve">Therefore, the </w:t>
      </w:r>
      <w:r w:rsidRPr="009D6E26">
        <w:rPr>
          <w:rFonts w:cstheme="minorHAnsi"/>
          <w:noProof/>
        </w:rPr>
        <w:t>NESHAP</w:t>
      </w:r>
      <w:r w:rsidRPr="009D6E26">
        <w:rPr>
          <w:rFonts w:cstheme="minorHAnsi"/>
        </w:rPr>
        <w:t xml:space="preserve"> were promulgated for this source category at </w:t>
      </w:r>
      <w:r w:rsidRPr="009D6E26">
        <w:rPr>
          <w:rFonts w:cstheme="minorHAnsi"/>
          <w:noProof/>
        </w:rPr>
        <w:t xml:space="preserve">40 CFR </w:t>
      </w:r>
      <w:r w:rsidR="0065722D">
        <w:rPr>
          <w:rFonts w:cstheme="minorHAnsi"/>
          <w:noProof/>
        </w:rPr>
        <w:t>Part 63</w:t>
      </w:r>
      <w:r w:rsidRPr="009D6E26">
        <w:rPr>
          <w:rFonts w:cstheme="minorHAnsi"/>
          <w:noProof/>
        </w:rPr>
        <w:t>, Subpart HHHHHHH</w:t>
      </w:r>
      <w:r w:rsidRPr="009D6E26">
        <w:rPr>
          <w:rFonts w:cstheme="minorHAnsi"/>
        </w:rPr>
        <w:t>.</w:t>
      </w:r>
      <w:r w:rsidRPr="00E1154E">
        <w:rPr>
          <w:rFonts w:cstheme="minorHAnsi"/>
        </w:rPr>
        <w:t> </w:t>
      </w:r>
    </w:p>
    <w:p w:rsidR="00510C08" w:rsidRPr="00E3122D" w:rsidP="00854AAE" w14:paraId="330DEC8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510C08" w:rsidRPr="00D47CB3" w:rsidP="00854AAE" w14:paraId="3838EA77"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D6302" w:rsidRPr="001D6302" w:rsidP="001D6302" w14:paraId="2132C2BA" w14:textId="2102B85E">
      <w:pPr>
        <w:pBdr>
          <w:top w:val="single" w:sz="6" w:space="0" w:color="FFFFFF"/>
          <w:left w:val="single" w:sz="6" w:space="0" w:color="FFFFFF"/>
          <w:bottom w:val="single" w:sz="6" w:space="0" w:color="FFFFFF"/>
          <w:right w:val="single" w:sz="6" w:space="0" w:color="FFFFFF"/>
        </w:pBdr>
        <w:rPr>
          <w:rFonts w:cstheme="minorHAnsi"/>
        </w:rPr>
      </w:pPr>
      <w:r w:rsidRPr="001D6302">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001D6302" w:rsidRPr="001D6302" w:rsidP="001D6302" w14:paraId="4AD7074F" w14:textId="6FF709FF">
      <w:pPr>
        <w:pBdr>
          <w:top w:val="single" w:sz="6" w:space="0" w:color="FFFFFF"/>
          <w:left w:val="single" w:sz="6" w:space="0" w:color="FFFFFF"/>
          <w:bottom w:val="single" w:sz="6" w:space="0" w:color="FFFFFF"/>
          <w:right w:val="single" w:sz="6" w:space="0" w:color="FFFFFF"/>
        </w:pBdr>
        <w:rPr>
          <w:rFonts w:cstheme="minorHAnsi"/>
        </w:rPr>
      </w:pPr>
      <w:r w:rsidRPr="001D6302">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r w:rsidR="0026158A">
        <w:rPr>
          <w:rFonts w:cstheme="minorHAnsi"/>
        </w:rPr>
        <w:t xml:space="preserve"> </w:t>
      </w:r>
    </w:p>
    <w:p w:rsidR="001D6302" w:rsidRPr="001D6302" w:rsidP="001D6302" w14:paraId="5B3B77A7" w14:textId="53613210">
      <w:pPr>
        <w:pBdr>
          <w:top w:val="single" w:sz="6" w:space="0" w:color="FFFFFF"/>
          <w:left w:val="single" w:sz="6" w:space="0" w:color="FFFFFF"/>
          <w:bottom w:val="single" w:sz="6" w:space="0" w:color="FFFFFF"/>
          <w:right w:val="single" w:sz="6" w:space="0" w:color="FFFFFF"/>
        </w:pBdr>
        <w:rPr>
          <w:rFonts w:cstheme="minorHAnsi"/>
        </w:rPr>
      </w:pPr>
      <w:r w:rsidRPr="001D6302">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001D6302" w:rsidRPr="001D6302" w:rsidP="001D6302" w14:paraId="6D0C4997" w14:textId="614A85E0">
      <w:pPr>
        <w:pBdr>
          <w:top w:val="single" w:sz="6" w:space="0" w:color="FFFFFF"/>
          <w:left w:val="single" w:sz="6" w:space="0" w:color="FFFFFF"/>
          <w:bottom w:val="single" w:sz="6" w:space="0" w:color="FFFFFF"/>
          <w:right w:val="single" w:sz="6" w:space="0" w:color="FFFFFF"/>
        </w:pBdr>
        <w:rPr>
          <w:rFonts w:cstheme="minorHAnsi"/>
        </w:rPr>
      </w:pPr>
      <w:r w:rsidRPr="001D6302">
        <w:rPr>
          <w:rFonts w:cstheme="minorHAnsi"/>
        </w:rPr>
        <w:t>The required semiannual reports are used to determine periods of excess emissions, identify problems at the facility, verify operation/maintenance procedures and for compliance determinations. </w:t>
      </w:r>
    </w:p>
    <w:p w:rsidR="00510C08" w:rsidRPr="00E3122D" w:rsidP="00854AAE" w14:paraId="3F22D96E"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510C08" w:rsidRPr="001F0834" w:rsidP="00854AAE" w14:paraId="36FC3A16"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10C08" w:rsidRPr="0093123F" w:rsidP="0093123F" w14:paraId="054D31C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10C08" w:rsidRPr="0093123F" w:rsidP="2B7BE2DE" w14:paraId="7D7AE286" w14:textId="2E2A7B69">
      <w:pPr>
        <w:pBdr>
          <w:top w:val="single" w:sz="6" w:space="0" w:color="FFFFFF"/>
          <w:left w:val="single" w:sz="6" w:space="0" w:color="FFFFFF"/>
          <w:bottom w:val="single" w:sz="6" w:space="0" w:color="FFFFFF"/>
          <w:right w:val="single" w:sz="6" w:space="0" w:color="FFFFFF"/>
        </w:pBdr>
        <w:rPr>
          <w:color w:val="000000"/>
        </w:rPr>
      </w:pPr>
      <w:r w:rsidRPr="2B7BE2DE">
        <w:rPr>
          <w:color w:val="000000" w:themeColor="text1"/>
        </w:rPr>
        <w:t xml:space="preserve">The rule was amended to include electronic reporting provisions on </w:t>
      </w:r>
      <w:r w:rsidRPr="2B7BE2DE" w:rsidR="00733CCA">
        <w:t>April 17, 2012</w:t>
      </w:r>
      <w:r w:rsidRPr="2B7BE2DE">
        <w:rPr>
          <w:color w:val="000000" w:themeColor="text1"/>
        </w:rPr>
        <w:t>. Respondents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For the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510C08" w:rsidRPr="0093123F" w:rsidP="0093123F" w14:paraId="6E5122F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510C08" w:rsidRPr="00E3122D" w:rsidP="00854AAE" w14:paraId="4A1171C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510C08" w:rsidRPr="001F0834" w:rsidP="00854AAE" w14:paraId="1A46C5A6"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510C08" w:rsidRPr="000459E3" w:rsidP="00653D08" w14:paraId="2819296E"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510C08" w:rsidRPr="00653D08" w:rsidP="00854AAE" w14:paraId="6857164F"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510C08" w:rsidRPr="00E3122D" w:rsidP="4BDBF0A0" w14:paraId="6FFFBB20"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510C08" w:rsidRPr="001F0834" w:rsidP="00854AAE" w14:paraId="40BAA01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510C08" w:rsidRPr="00BB3410" w:rsidP="00854AAE" w14:paraId="529BF701" w14:textId="29E9FB59">
      <w:pPr>
        <w:rPr>
          <w:rFonts w:cstheme="minorHAnsi"/>
        </w:rPr>
      </w:pPr>
      <w:r w:rsidRPr="00031A7A">
        <w:rPr>
          <w:rFonts w:cstheme="minorHAnsi"/>
        </w:rPr>
        <w:t>There are no small entities (i.e., small businesses) affected by this regulation.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510C08" w:rsidRPr="00E3122D" w:rsidP="4BDBF0A0" w14:paraId="445FD61A"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510C08" w:rsidRPr="001F0834" w:rsidP="00854AAE" w14:paraId="2BA57D23"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510C08" w:rsidRPr="00653D08" w:rsidP="00653D08" w14:paraId="06BE6B74"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510C08" w:rsidRPr="00E3122D" w:rsidP="00854AAE" w14:paraId="522CFC6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510C08" w:rsidRPr="00A233E0" w:rsidP="00854AAE" w14:paraId="22DC159F"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510C08" w:rsidP="00653D08" w14:paraId="7036478E"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510C08" w:rsidRPr="00893115" w:rsidP="00854AAE" w14:paraId="6D6407C5" w14:textId="7CEEFA7A">
      <w:pPr>
        <w:pBdr>
          <w:top w:val="single" w:sz="6" w:space="0" w:color="FFFFFF"/>
          <w:left w:val="single" w:sz="6" w:space="0" w:color="FFFFFF"/>
          <w:bottom w:val="single" w:sz="6" w:space="0" w:color="FFFFFF"/>
          <w:right w:val="single" w:sz="6" w:space="0" w:color="FFFFFF"/>
        </w:pBdr>
      </w:pPr>
      <w:r w:rsidRPr="00893115">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510C08" w:rsidRPr="00E3122D" w:rsidP="00854AAE" w14:paraId="318B1411"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510C08" w:rsidRPr="00E3122D" w:rsidP="00854AAE" w14:paraId="3F8DA1A0" w14:textId="77777777">
      <w:pPr>
        <w:spacing w:before="120" w:after="0"/>
        <w:rPr>
          <w:rFonts w:cstheme="minorHAnsi"/>
          <w:b/>
          <w:bCs/>
        </w:rPr>
      </w:pPr>
      <w:r w:rsidRPr="00E3122D">
        <w:rPr>
          <w:rFonts w:cstheme="minorHAnsi"/>
          <w:b/>
          <w:bCs/>
        </w:rPr>
        <w:t>8a. Public Comment</w:t>
      </w:r>
    </w:p>
    <w:p w:rsidR="00510C08" w:rsidRPr="00A233E0" w:rsidP="00854AAE" w14:paraId="377E3B9C"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10C08" w:rsidP="00854AAE" w14:paraId="00C1AA44"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510C08" w:rsidRPr="00E3122D" w:rsidP="00854AAE" w14:paraId="20AD96F8" w14:textId="77777777">
      <w:pPr>
        <w:spacing w:before="120" w:after="0"/>
        <w:rPr>
          <w:rFonts w:cstheme="minorHAnsi"/>
          <w:b/>
          <w:bCs/>
        </w:rPr>
      </w:pPr>
      <w:r w:rsidRPr="00E3122D">
        <w:rPr>
          <w:rFonts w:cstheme="minorHAnsi"/>
          <w:b/>
          <w:bCs/>
        </w:rPr>
        <w:t>8b. Consultations</w:t>
      </w:r>
    </w:p>
    <w:p w:rsidR="00510C08" w:rsidRPr="00A233E0" w:rsidP="00854AAE" w14:paraId="3E857EA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10C08" w:rsidRPr="00FE090D" w:rsidP="2B7BE2DE" w14:paraId="225810B1" w14:textId="57C9A1B6">
      <w:r w:rsidRPr="2B7BE2DE">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Pr="2B7BE2DE" w:rsidR="518125D4">
        <w:t>13</w:t>
      </w:r>
      <w:r w:rsidRPr="2B7BE2DE">
        <w:t xml:space="preserve"> respondents will be subject to the standard over the three-year period covered by this ICR.</w:t>
      </w:r>
    </w:p>
    <w:p w:rsidR="00510C08" w:rsidRPr="00FE090D" w:rsidP="0093123F" w14:paraId="27850D73" w14:textId="12921A55">
      <w:pPr>
        <w:rPr>
          <w:rFonts w:cstheme="minorHAnsi"/>
        </w:rPr>
      </w:pPr>
      <w:r w:rsidRPr="00FE090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w:t>
      </w:r>
      <w:r w:rsidRPr="00A2256F">
        <w:rPr>
          <w:rFonts w:cstheme="minorHAnsi"/>
        </w:rPr>
        <w:t xml:space="preserve"> </w:t>
      </w:r>
      <w:r w:rsidR="00A2256F">
        <w:rPr>
          <w:rFonts w:cstheme="minorHAnsi"/>
        </w:rPr>
        <w:t>t</w:t>
      </w:r>
      <w:r w:rsidRPr="00A2256F" w:rsidR="00A2256F">
        <w:rPr>
          <w:rFonts w:cstheme="minorHAnsi"/>
        </w:rPr>
        <w:t>he Vinyl Institute</w:t>
      </w:r>
      <w:r w:rsidRPr="00A2256F" w:rsidR="00A2256F">
        <w:rPr>
          <w:rFonts w:cstheme="minorHAnsi"/>
          <w:b/>
          <w:bCs/>
          <w:color w:val="FF0000"/>
        </w:rPr>
        <w:t xml:space="preserve"> </w:t>
      </w:r>
      <w:r w:rsidRPr="00403F2B">
        <w:rPr>
          <w:rFonts w:cstheme="minorHAnsi"/>
        </w:rPr>
        <w:t xml:space="preserve">at </w:t>
      </w:r>
      <w:r w:rsidRPr="00403F2B" w:rsidR="00403F2B">
        <w:rPr>
          <w:rFonts w:cstheme="minorHAnsi"/>
        </w:rPr>
        <w:t>(202) 765-2200</w:t>
      </w:r>
      <w:r w:rsidRPr="00403F2B">
        <w:rPr>
          <w:rFonts w:cstheme="minorHAnsi"/>
        </w:rPr>
        <w:t>,</w:t>
      </w:r>
      <w:r w:rsidRPr="00FE090D">
        <w:rPr>
          <w:rFonts w:cstheme="minorHAnsi"/>
        </w:rPr>
        <w:t xml:space="preserve"> and </w:t>
      </w:r>
      <w:r w:rsidRPr="00B25099" w:rsidR="00B25099">
        <w:rPr>
          <w:rFonts w:cstheme="minorHAnsi"/>
        </w:rPr>
        <w:t>Formosa Plastics Corp</w:t>
      </w:r>
      <w:r w:rsidR="00B25099">
        <w:rPr>
          <w:rFonts w:cstheme="minorHAnsi"/>
        </w:rPr>
        <w:t>.</w:t>
      </w:r>
      <w:r w:rsidRPr="00FE090D">
        <w:rPr>
          <w:rFonts w:cstheme="minorHAnsi"/>
        </w:rPr>
        <w:t xml:space="preserve"> at</w:t>
      </w:r>
      <w:r w:rsidRPr="0062300C">
        <w:rPr>
          <w:rFonts w:cstheme="minorHAnsi"/>
        </w:rPr>
        <w:t xml:space="preserve"> </w:t>
      </w:r>
      <w:r w:rsidRPr="0062300C" w:rsidR="00C66863">
        <w:rPr>
          <w:rFonts w:cstheme="minorHAnsi"/>
        </w:rPr>
        <w:t>(888) 372-8723</w:t>
      </w:r>
      <w:r w:rsidRPr="00FE090D">
        <w:rPr>
          <w:rFonts w:cstheme="minorHAnsi"/>
        </w:rPr>
        <w:t>.</w:t>
      </w:r>
      <w:r>
        <w:rPr>
          <w:rFonts w:cstheme="minorHAnsi"/>
        </w:rPr>
        <w:t xml:space="preserve"> In this case, no comments were received.</w:t>
      </w:r>
    </w:p>
    <w:p w:rsidR="00510C08" w:rsidRPr="00BB3410" w:rsidP="00854AAE" w14:paraId="3661C2A1"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510C08" w:rsidRPr="00E3122D" w:rsidP="00854AAE" w14:paraId="5F7469C3"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510C08" w:rsidRPr="00D47CB3" w:rsidP="00854AAE" w14:paraId="100A3E6D"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510C08" w:rsidRPr="00BB3410" w:rsidP="00854AAE" w14:paraId="7409943E" w14:textId="77777777">
      <w:pPr>
        <w:rPr>
          <w:rFonts w:cstheme="minorHAnsi"/>
        </w:rPr>
      </w:pPr>
      <w:r w:rsidRPr="0036059B">
        <w:rPr>
          <w:rStyle w:val="normaltextrun"/>
          <w:color w:val="000000"/>
          <w:bdr w:val="none" w:sz="0" w:space="0" w:color="auto" w:frame="1"/>
        </w:rPr>
        <w:t>No payments or gifts are made to respondents.</w:t>
      </w:r>
    </w:p>
    <w:p w:rsidR="00510C08" w:rsidP="4BDBF0A0" w14:paraId="2E88F4A7"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510C08" w:rsidRPr="00A233E0" w:rsidP="00854AAE" w14:paraId="571E7452"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10C08" w:rsidRPr="00BB3410" w:rsidP="00854AAE" w14:paraId="46615CD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510C08" w:rsidRPr="00E3122D" w:rsidP="00854AAE" w14:paraId="20333890"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510C08" w:rsidRPr="00A233E0" w:rsidP="00854AAE" w14:paraId="680DB657"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0C08" w:rsidRPr="00BB3410" w:rsidP="00854AAE" w14:paraId="7119132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510C08" w:rsidRPr="00E3122D" w:rsidP="00854AAE" w14:paraId="69FFA590" w14:textId="77777777">
      <w:pPr>
        <w:pStyle w:val="ListParagraph"/>
        <w:numPr>
          <w:ilvl w:val="0"/>
          <w:numId w:val="25"/>
        </w:numPr>
        <w:spacing w:before="240" w:after="0"/>
        <w:rPr>
          <w:rFonts w:cstheme="minorHAnsi"/>
          <w:b/>
          <w:bCs/>
        </w:rPr>
      </w:pPr>
      <w:r w:rsidRPr="4BDBF0A0">
        <w:rPr>
          <w:b/>
          <w:bCs/>
        </w:rPr>
        <w:t>RESPONDENT BURDEN HOURS &amp; LABOR COSTS</w:t>
      </w:r>
    </w:p>
    <w:p w:rsidR="00510C08" w:rsidRPr="00F532D6" w:rsidP="00163C69" w14:paraId="0F7F77BB"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510C08" w:rsidRPr="00F532D6" w:rsidP="006E197A" w14:paraId="2821026C"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510C08" w:rsidRPr="00F532D6" w:rsidP="001F0834" w14:paraId="1566B9A3"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510C08" w:rsidRPr="00F532D6" w:rsidP="00854AAE" w14:paraId="20EC51DF"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510C08" w:rsidRPr="00E3122D" w:rsidP="00854AAE" w14:paraId="250D9F92" w14:textId="77777777">
      <w:pPr>
        <w:spacing w:before="120" w:after="0"/>
        <w:rPr>
          <w:rFonts w:cstheme="minorHAnsi"/>
          <w:b/>
          <w:bCs/>
        </w:rPr>
      </w:pPr>
      <w:r w:rsidRPr="00E3122D">
        <w:rPr>
          <w:rFonts w:cstheme="minorHAnsi"/>
          <w:b/>
          <w:bCs/>
        </w:rPr>
        <w:t>12a. Respondents/NAICS Codes</w:t>
      </w:r>
    </w:p>
    <w:p w:rsidR="00510C08" w:rsidRPr="00BB7977" w:rsidP="00BB7977" w14:paraId="16AF696D" w14:textId="03AB7F6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E5136A" w:rsidR="00E5136A">
        <w:rPr>
          <w:rFonts w:cstheme="minorHAnsi"/>
          <w:color w:val="000000"/>
        </w:rPr>
        <w:t>PVC and copolymer production major source facilitie</w:t>
      </w:r>
      <w:r w:rsidRPr="00BE0369" w:rsidR="00E5136A">
        <w:rPr>
          <w:rFonts w:cstheme="minorHAnsi"/>
          <w:color w:val="000000"/>
        </w:rPr>
        <w:t>s</w:t>
      </w:r>
      <w:r w:rsidRPr="00BE0369">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4F4897CD" w14:textId="77777777" w:rsidTr="009F2A1A">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10C08" w:rsidRPr="00BB7977" w:rsidP="00BB7977" w14:paraId="626C35B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BB7977" w:rsidP="00BB7977" w14:paraId="6C559361" w14:textId="5AF4DBD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Pr="00305DCE">
              <w:rPr>
                <w:rFonts w:cstheme="minorHAnsi"/>
                <w:b/>
                <w:bCs/>
                <w:noProof/>
                <w:color w:val="000000"/>
              </w:rPr>
              <w:t xml:space="preserve">(40 CFR </w:t>
            </w:r>
            <w:r w:rsidR="0065722D">
              <w:rPr>
                <w:rFonts w:cstheme="minorHAnsi"/>
                <w:b/>
                <w:bCs/>
                <w:noProof/>
                <w:color w:val="000000"/>
              </w:rPr>
              <w:t>Part 63</w:t>
            </w:r>
            <w:r w:rsidRPr="00305DCE">
              <w:rPr>
                <w:rFonts w:cstheme="minorHAnsi"/>
                <w:b/>
                <w:bCs/>
                <w:noProof/>
                <w:color w:val="000000"/>
              </w:rPr>
              <w:t>, Subpart HHHHHHH)</w:t>
            </w:r>
          </w:p>
        </w:tc>
        <w:tc>
          <w:tcPr>
            <w:tcW w:w="2610" w:type="dxa"/>
            <w:tcBorders>
              <w:top w:val="single" w:sz="8" w:space="0" w:color="000000"/>
              <w:left w:val="single" w:sz="8" w:space="0" w:color="000000"/>
              <w:bottom w:val="single" w:sz="8" w:space="0" w:color="000000"/>
              <w:right w:val="single" w:sz="6" w:space="0" w:color="FFFFFF"/>
            </w:tcBorders>
          </w:tcPr>
          <w:p w:rsidR="00510C08" w:rsidRPr="00BB7977" w:rsidP="00BB7977" w14:paraId="2A03F1A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510C08" w:rsidRPr="00BB7977" w:rsidP="00BB7977" w14:paraId="7459EEB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8" w:space="0" w:color="000000"/>
              <w:right w:val="single" w:sz="8" w:space="0" w:color="000000"/>
            </w:tcBorders>
          </w:tcPr>
          <w:p w:rsidR="00510C08" w:rsidRPr="00BB7977" w:rsidP="00BB7977" w14:paraId="392840B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510C08" w:rsidRPr="00BB7977" w:rsidP="00BB7977" w14:paraId="5847A31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5557E311" w14:textId="77777777" w:rsidTr="009F2A1A">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4" w:space="0" w:color="auto"/>
              <w:right w:val="single" w:sz="6" w:space="0" w:color="FFFFFF"/>
            </w:tcBorders>
          </w:tcPr>
          <w:p w:rsidR="009831E9" w:rsidRPr="00BB7977" w:rsidP="009831E9" w14:paraId="2EF46346" w14:textId="273CDA7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31E9">
              <w:rPr>
                <w:rFonts w:cstheme="minorHAnsi"/>
                <w:color w:val="000000"/>
              </w:rPr>
              <w:t>Plastics Material and Resin Manufacturing</w:t>
            </w:r>
          </w:p>
        </w:tc>
        <w:tc>
          <w:tcPr>
            <w:tcW w:w="2610" w:type="dxa"/>
            <w:tcBorders>
              <w:top w:val="single" w:sz="8" w:space="0" w:color="000000"/>
              <w:left w:val="single" w:sz="8" w:space="0" w:color="000000"/>
              <w:bottom w:val="single" w:sz="4" w:space="0" w:color="auto"/>
              <w:right w:val="single" w:sz="6" w:space="0" w:color="FFFFFF"/>
            </w:tcBorders>
          </w:tcPr>
          <w:p w:rsidR="009831E9" w:rsidRPr="00BB7977" w:rsidP="009831E9" w14:paraId="70913910" w14:textId="1A0404E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31E9">
              <w:rPr>
                <w:rFonts w:cstheme="minorHAnsi"/>
                <w:color w:val="000000"/>
              </w:rPr>
              <w:t>2821</w:t>
            </w:r>
          </w:p>
        </w:tc>
        <w:tc>
          <w:tcPr>
            <w:tcW w:w="2430" w:type="dxa"/>
            <w:tcBorders>
              <w:top w:val="single" w:sz="8" w:space="0" w:color="000000"/>
              <w:left w:val="single" w:sz="8" w:space="0" w:color="000000"/>
              <w:bottom w:val="single" w:sz="4" w:space="0" w:color="auto"/>
              <w:right w:val="single" w:sz="8" w:space="0" w:color="000000"/>
            </w:tcBorders>
          </w:tcPr>
          <w:p w:rsidR="009831E9" w:rsidRPr="00BB7977" w:rsidP="009831E9" w14:paraId="0E470357" w14:textId="29CC346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31E9">
              <w:rPr>
                <w:rFonts w:cstheme="minorHAnsi"/>
                <w:color w:val="000000"/>
              </w:rPr>
              <w:t>325211</w:t>
            </w:r>
          </w:p>
        </w:tc>
      </w:tr>
    </w:tbl>
    <w:p w:rsidR="00510C08" w:rsidP="00854AAE" w14:paraId="63AA1F5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D71532" w:rsidP="00D71532" w14:paraId="1081A287" w14:textId="2F7BC78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09197A" w:rsidR="0009197A">
        <w:rPr>
          <w:rFonts w:cstheme="minorHAnsi"/>
        </w:rPr>
        <w:t>13</w:t>
      </w:r>
      <w:r w:rsidRPr="00D71532">
        <w:rPr>
          <w:rFonts w:cstheme="minorHAnsi"/>
          <w:color w:val="000000"/>
        </w:rPr>
        <w:t xml:space="preserve"> existing respondents will be subject to the standard. It is estimated that </w:t>
      </w:r>
      <w:r w:rsidR="0009197A">
        <w:rPr>
          <w:rFonts w:cstheme="minorHAnsi"/>
          <w:color w:val="000000"/>
        </w:rPr>
        <w:t>no</w:t>
      </w:r>
      <w:r w:rsidRPr="00D71532">
        <w:rPr>
          <w:rFonts w:cstheme="minorHAnsi"/>
          <w:color w:val="000000"/>
        </w:rPr>
        <w:t xml:space="preserve"> additional</w:t>
      </w:r>
      <w:r>
        <w:rPr>
          <w:rFonts w:cstheme="minorHAnsi"/>
          <w:color w:val="000000"/>
        </w:rPr>
        <w:t xml:space="preserve"> </w:t>
      </w:r>
      <w:r w:rsidRPr="00D71532">
        <w:rPr>
          <w:rFonts w:cstheme="minorHAnsi"/>
          <w:color w:val="000000"/>
        </w:rPr>
        <w:t xml:space="preserve">respondents per year will become subject, for an overall total of </w:t>
      </w:r>
      <w:r w:rsidRPr="0009197A" w:rsidR="0009197A">
        <w:rPr>
          <w:rFonts w:cstheme="minorHAnsi"/>
        </w:rPr>
        <w:t>13</w:t>
      </w:r>
      <w:r w:rsidR="0009197A">
        <w:rPr>
          <w:rFonts w:cstheme="minorHAnsi"/>
          <w:color w:val="FF0000"/>
        </w:rPr>
        <w:t xml:space="preserve"> </w:t>
      </w:r>
      <w:r w:rsidRPr="00D71532">
        <w:rPr>
          <w:rFonts w:cstheme="minorHAnsi"/>
          <w:color w:val="000000"/>
        </w:rPr>
        <w:t xml:space="preserve">respondents per year. The number of respondents is calculated using the Number of Respondents </w:t>
      </w:r>
      <w:r w:rsidR="0009197A">
        <w:rPr>
          <w:rFonts w:cstheme="minorHAnsi"/>
          <w:color w:val="000000"/>
        </w:rPr>
        <w:t xml:space="preserve">table </w:t>
      </w:r>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510C08" w:rsidRPr="00B7744F" w:rsidP="00D71532" w14:paraId="5844DEEC" w14:textId="7255EB1F">
      <w:pPr>
        <w:pBdr>
          <w:top w:val="single" w:sz="6" w:space="0" w:color="FFFFFF"/>
          <w:left w:val="single" w:sz="6" w:space="0" w:color="FFFFFF"/>
          <w:bottom w:val="single" w:sz="6" w:space="0" w:color="FFFFFF"/>
          <w:right w:val="single" w:sz="6" w:space="0" w:color="FFFFFF"/>
        </w:pBdr>
        <w:spacing w:before="60"/>
        <w:rPr>
          <w:rFonts w:cstheme="minorHAnsi"/>
        </w:rPr>
      </w:pPr>
      <w:r w:rsidRPr="00D71532">
        <w:rPr>
          <w:rFonts w:cstheme="minorHAnsi"/>
          <w:color w:val="000000"/>
        </w:rPr>
        <w:t xml:space="preserve">The total number of annual responses per year is calculated using the Total Annual Responses </w:t>
      </w:r>
      <w:r w:rsidR="009C07E8">
        <w:rPr>
          <w:rFonts w:cstheme="minorHAnsi"/>
          <w:color w:val="000000"/>
        </w:rPr>
        <w:t>tabl</w:t>
      </w:r>
      <w:r w:rsidR="00F00882">
        <w:rPr>
          <w:rFonts w:cstheme="minorHAnsi"/>
          <w:color w:val="000000"/>
        </w:rPr>
        <w:t xml:space="preserve">e </w:t>
      </w:r>
      <w:r w:rsidRPr="00D71532">
        <w:rPr>
          <w:rFonts w:cstheme="minorHAnsi"/>
          <w:color w:val="000000"/>
        </w:rPr>
        <w:t xml:space="preserve">shown below. The number of Total Annual Responses </w:t>
      </w:r>
      <w:r w:rsidRPr="00B7744F">
        <w:rPr>
          <w:rFonts w:cstheme="minorHAnsi"/>
        </w:rPr>
        <w:t xml:space="preserve">is </w:t>
      </w:r>
      <w:r w:rsidRPr="00B7744F" w:rsidR="00B7744F">
        <w:rPr>
          <w:rFonts w:cstheme="minorHAnsi"/>
        </w:rPr>
        <w:t>39</w:t>
      </w:r>
      <w:r w:rsidRPr="00B7744F">
        <w:rPr>
          <w:rFonts w:cstheme="minorHAnsi"/>
        </w:rPr>
        <w:t>.</w:t>
      </w:r>
    </w:p>
    <w:p w:rsidR="00510C08" w:rsidRPr="00163C69" w:rsidP="00854AAE" w14:paraId="6C58DB9B" w14:textId="77777777">
      <w:pPr>
        <w:spacing w:before="120" w:after="0"/>
        <w:rPr>
          <w:rFonts w:cstheme="minorHAnsi"/>
          <w:b/>
          <w:bCs/>
        </w:rPr>
      </w:pPr>
      <w:r w:rsidRPr="00163C69">
        <w:rPr>
          <w:rFonts w:cstheme="minorHAnsi"/>
          <w:b/>
          <w:bCs/>
        </w:rPr>
        <w:t>12b. Information Requested</w:t>
      </w:r>
    </w:p>
    <w:p w:rsidR="00510C08" w:rsidRPr="00987C8D" w:rsidP="00987C8D" w14:paraId="27EDBAD4" w14:textId="1CAC4CB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813475">
        <w:rPr>
          <w:rFonts w:cstheme="minorHAnsi"/>
          <w:color w:val="000000"/>
        </w:rPr>
        <w:t>the</w:t>
      </w:r>
      <w:r w:rsidRPr="00813475">
        <w:rPr>
          <w:rFonts w:cstheme="minorHAnsi"/>
        </w:rPr>
        <w:t xml:space="preserve"> </w:t>
      </w:r>
      <w:r w:rsidRPr="00813475">
        <w:rPr>
          <w:rFonts w:cstheme="minorHAnsi"/>
          <w:noProof/>
        </w:rPr>
        <w:t xml:space="preserve">NESHAP for Polyvinyl Chloride and Copolymer Production (40 CFR </w:t>
      </w:r>
      <w:r w:rsidR="0065722D">
        <w:rPr>
          <w:rFonts w:cstheme="minorHAnsi"/>
          <w:noProof/>
        </w:rPr>
        <w:t>Part 63</w:t>
      </w:r>
      <w:r w:rsidRPr="00813475">
        <w:rPr>
          <w:rFonts w:cstheme="minorHAnsi"/>
          <w:noProof/>
        </w:rPr>
        <w:t>, Subpart HHHHHHH)</w:t>
      </w:r>
      <w:r w:rsidRPr="00813475">
        <w:rPr>
          <w:rFonts w:cstheme="minorHAnsi"/>
        </w:rPr>
        <w:t>.</w:t>
      </w:r>
      <w:r w:rsidRPr="00813475">
        <w:rPr>
          <w:rFonts w:cstheme="minorHAnsi"/>
          <w:color w:val="FF0000"/>
        </w:rPr>
        <w:t xml:space="preserve"> </w:t>
      </w:r>
      <w:r w:rsidRPr="00813475">
        <w:rPr>
          <w:rFonts w:cstheme="minorHAnsi"/>
          <w:color w:val="000000"/>
        </w:rPr>
        <w:t>Any owner/operator</w:t>
      </w:r>
      <w:r w:rsidRPr="00987C8D">
        <w:rPr>
          <w:rFonts w:cstheme="minorHAnsi"/>
          <w:color w:val="000000"/>
        </w:rPr>
        <w:t xml:space="preserve"> subject to the provisions of this part shall maintain a file of these measurements and retain the file for at least </w:t>
      </w:r>
      <w:r w:rsidRPr="0036070B" w:rsidR="0036070B">
        <w:rPr>
          <w:rFonts w:cstheme="minorHAnsi"/>
        </w:rPr>
        <w:t>five</w:t>
      </w:r>
      <w:r w:rsidRPr="00987C8D">
        <w:rPr>
          <w:rFonts w:cstheme="minorHAnsi"/>
          <w:color w:val="000000"/>
        </w:rPr>
        <w:t xml:space="preserve"> years following the date of such measurements, maintenance reports, and records.</w:t>
      </w:r>
    </w:p>
    <w:p w:rsidR="00510C08" w:rsidRPr="00987C8D" w:rsidP="2B7BE2DE" w14:paraId="662511AF" w14:textId="77777777">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0F90F388" w14:textId="77777777" w:rsidTr="2B7BE2DE">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372449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987C8D" w:rsidP="00987C8D" w14:paraId="06128550"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1357D61" w14:textId="77777777" w:rsidTr="2B7BE2DE">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1D5FAE" w:rsidP="00987C8D" w14:paraId="46DB54FD" w14:textId="6278B9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5FAE">
              <w:rPr>
                <w:rFonts w:cstheme="minorHAnsi"/>
                <w:color w:val="000000"/>
              </w:rPr>
              <w:t>Notification of performance test with test plan </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10C08" w:rsidRPr="00987C8D" w:rsidP="2B7BE2DE" w14:paraId="67584AAB" w14:textId="37812675">
            <w:pPr>
              <w:pBdr>
                <w:top w:val="single" w:sz="6" w:space="0" w:color="FFFFFF"/>
                <w:left w:val="single" w:sz="6" w:space="0" w:color="FFFFFF"/>
                <w:bottom w:val="single" w:sz="6" w:space="0" w:color="FFFFFF"/>
                <w:right w:val="single" w:sz="6" w:space="0" w:color="FFFFFF"/>
              </w:pBdr>
              <w:spacing w:before="60"/>
              <w:rPr>
                <w:b/>
                <w:bCs/>
                <w:color w:val="000000"/>
              </w:rPr>
            </w:pPr>
            <w:r w:rsidRPr="2B7BE2DE">
              <w:rPr>
                <w:color w:val="000000" w:themeColor="text1"/>
              </w:rPr>
              <w:t>§63.9(e) </w:t>
            </w:r>
          </w:p>
        </w:tc>
      </w:tr>
      <w:tr w14:paraId="508BC3E1" w14:textId="77777777" w:rsidTr="2B7BE2DE">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D25B3" w:rsidRPr="001D5FAE" w:rsidP="00987C8D" w14:paraId="53ADE022" w14:textId="777A66E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5FAE">
              <w:rPr>
                <w:rFonts w:cstheme="minorHAnsi"/>
                <w:color w:val="000000"/>
              </w:rPr>
              <w:t>Notification of compliance status </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D25B3" w:rsidRPr="00987C8D" w:rsidP="2B7BE2DE" w14:paraId="507C6DC3" w14:textId="482B7D49">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§63.11985(a)</w:t>
            </w:r>
            <w:r w:rsidRPr="2B7BE2DE" w:rsidR="0026158A">
              <w:rPr>
                <w:color w:val="000000" w:themeColor="text1"/>
              </w:rPr>
              <w:t xml:space="preserve"> </w:t>
            </w:r>
          </w:p>
        </w:tc>
      </w:tr>
      <w:tr w14:paraId="5EC5F1D6" w14:textId="77777777" w:rsidTr="2B7BE2DE">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3C17C45C" w14:textId="2E024645">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 xml:space="preserve">Notice of </w:t>
            </w:r>
            <w:r w:rsidRPr="2B7BE2DE" w:rsidR="5E6F8A9C">
              <w:rPr>
                <w:color w:val="000000" w:themeColor="text1"/>
              </w:rPr>
              <w:t>i</w:t>
            </w:r>
            <w:r w:rsidRPr="2B7BE2DE">
              <w:rPr>
                <w:color w:val="000000" w:themeColor="text1"/>
              </w:rPr>
              <w:t>nspection </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76D4DA41" w14:textId="51B3D2AD">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§63.11985(c)(1) </w:t>
            </w:r>
          </w:p>
        </w:tc>
      </w:tr>
      <w:tr w14:paraId="145E06A4" w14:textId="77777777" w:rsidTr="2B7BE2DE">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40165" w14:paraId="04AD0FC4" w14:textId="1D27657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5FAE">
              <w:t>Initial notification and notification of changes in information (reclassification to area source status or to revert to major source status) (electronic submission) </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723245" w:rsidP="00940165" w14:paraId="7E427C16" w14:textId="77777777">
            <w:pPr>
              <w:spacing w:line="120" w:lineRule="exact"/>
            </w:pPr>
          </w:p>
          <w:p w:rsidR="00510C08" w:rsidRPr="00987C8D" w:rsidP="00940165" w14:paraId="579F466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510C08" w:rsidRPr="00987C8D" w:rsidP="00987C8D" w14:paraId="76316DC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2B39F114" w14:textId="77777777" w:rsidTr="2B7BE2DE">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614D984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987C8D" w:rsidP="00987C8D" w14:paraId="78D8AB8B"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41CCDF00" w14:textId="77777777" w:rsidTr="2B7BE2D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10C08" w:rsidRPr="00987C8D" w:rsidP="00987C8D" w14:paraId="68E25039" w14:textId="49312F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529E3">
              <w:rPr>
                <w:rFonts w:cstheme="minorHAnsi"/>
                <w:color w:val="000000"/>
              </w:rPr>
              <w:t>Compliance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4D2C913E" w14:textId="798276B2">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§63.11985(b)</w:t>
            </w:r>
          </w:p>
        </w:tc>
      </w:tr>
      <w:tr w14:paraId="66A5FF65" w14:textId="77777777" w:rsidTr="2B7BE2D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6B93D6EB" w14:textId="38E34B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E1F36">
              <w:rPr>
                <w:rFonts w:cstheme="minorHAnsi"/>
                <w:color w:val="000000"/>
              </w:rPr>
              <w:t>Batch pre-compliance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10C08" w:rsidRPr="00987C8D" w:rsidP="2B7BE2DE" w14:paraId="21A8DFFF" w14:textId="23F21276">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§63.11985(c)(2)</w:t>
            </w:r>
          </w:p>
        </w:tc>
      </w:tr>
      <w:tr w14:paraId="684CF6A4" w14:textId="77777777" w:rsidTr="2B7BE2D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0943A3A8" w14:textId="3444218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62066">
              <w:rPr>
                <w:rFonts w:cstheme="minorHAnsi"/>
                <w:color w:val="000000"/>
              </w:rPr>
              <w:t>Pressure relief device deviation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02EA0EF8" w14:textId="33E6A51B">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§63.11985(c)(7)</w:t>
            </w:r>
          </w:p>
        </w:tc>
      </w:tr>
      <w:tr w14:paraId="21F95E24" w14:textId="77777777" w:rsidTr="2B7BE2D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802D56" w14:paraId="6B9ED46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917B8">
              <w:t>Performance test reports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4747A107" w14:textId="09FB10DE">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§63.11985(c)(9)</w:t>
            </w:r>
          </w:p>
        </w:tc>
      </w:tr>
    </w:tbl>
    <w:p w:rsidR="00510C08" w:rsidRPr="00987C8D" w:rsidP="00987C8D" w14:paraId="769D415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987C8D" w:rsidP="00987C8D" w14:paraId="09DFFA7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07250D53" w14:textId="77777777" w:rsidTr="2B7BE2DE">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7098CE6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987C8D" w:rsidP="00987C8D" w14:paraId="3132DBBF"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48670285"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337CE1F3" w14:textId="7FE721B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610A">
              <w:rPr>
                <w:rFonts w:cstheme="minorHAnsi"/>
                <w:color w:val="000000"/>
              </w:rPr>
              <w:t>A copy of each notification and report submitted to comply with this subpart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10C08" w:rsidRPr="00987C8D" w:rsidP="2B7BE2DE" w14:paraId="58F4F4FA" w14:textId="227B5272">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§63.11990(a)</w:t>
            </w:r>
          </w:p>
        </w:tc>
      </w:tr>
      <w:tr w14:paraId="71DCDD59"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60E5D861" w14:textId="3491160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55B49">
              <w:rPr>
                <w:rFonts w:cstheme="minorHAnsi"/>
                <w:color w:val="000000"/>
              </w:rPr>
              <w:t>Records of storage vessel</w:t>
            </w:r>
            <w:r>
              <w:rPr>
                <w:rFonts w:cstheme="minorHAnsi"/>
                <w:color w:val="000000"/>
              </w:rPr>
              <w: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D5EF5" w:rsidRPr="00987C8D" w:rsidP="2B7BE2DE" w14:paraId="6CAADC93" w14:textId="71C94887">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§63.11990(b)</w:t>
            </w:r>
          </w:p>
        </w:tc>
      </w:tr>
      <w:tr w14:paraId="11DF9F4F"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11481BC0" w14:textId="2A59B97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55B49">
              <w:rPr>
                <w:rFonts w:cstheme="minorHAnsi"/>
                <w:color w:val="000000"/>
              </w:rPr>
              <w:t>Records of equipment leaks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D5EF5" w:rsidRPr="00987C8D" w:rsidP="2B7BE2DE" w14:paraId="165D3C51" w14:textId="4930B938">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§63.11990(c)</w:t>
            </w:r>
          </w:p>
        </w:tc>
      </w:tr>
      <w:tr w14:paraId="61808B46"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66C8A704" w14:textId="2E56E0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F562C">
              <w:rPr>
                <w:rFonts w:cstheme="minorHAnsi"/>
                <w:color w:val="000000"/>
              </w:rPr>
              <w:t>Records of heat exchanger systems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D5EF5" w:rsidRPr="00987C8D" w:rsidP="2B7BE2DE" w14:paraId="3ABC366B" w14:textId="568E268B">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§63.11990(d)</w:t>
            </w:r>
          </w:p>
        </w:tc>
      </w:tr>
      <w:tr w14:paraId="0901AEEB"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7D1E2625" w14:textId="58DECE4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F562C">
              <w:rPr>
                <w:rFonts w:cstheme="minorHAnsi"/>
                <w:color w:val="000000"/>
              </w:rPr>
              <w:t>Records of process vents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D5EF5" w:rsidRPr="00987C8D" w:rsidP="2B7BE2DE" w14:paraId="08AA5168" w14:textId="3BFEBBE1">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§§63.11990(e</w:t>
            </w:r>
            <w:r w:rsidRPr="2B7BE2DE" w:rsidR="2AA3A6E0">
              <w:rPr>
                <w:color w:val="000000" w:themeColor="text1"/>
              </w:rPr>
              <w:t>)-(f)</w:t>
            </w:r>
          </w:p>
        </w:tc>
      </w:tr>
      <w:tr w14:paraId="5E990717"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6CBB26CE" w14:textId="4E393DC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F562C">
              <w:rPr>
                <w:rFonts w:cstheme="minorHAnsi"/>
                <w:color w:val="000000"/>
              </w:rPr>
              <w:t>Records of closed vent systems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84CAC" w:rsidRPr="00584CAC" w:rsidP="2B7BE2DE" w14:paraId="70743924" w14:textId="5D322A45">
            <w:pPr>
              <w:pBdr>
                <w:top w:val="single" w:sz="6" w:space="0" w:color="FFFFFF"/>
                <w:left w:val="single" w:sz="6" w:space="0" w:color="FFFFFF"/>
                <w:bottom w:val="single" w:sz="6" w:space="0" w:color="FFFFFF"/>
                <w:right w:val="single" w:sz="6" w:space="0" w:color="FFFFFF"/>
              </w:pBdr>
              <w:spacing w:after="0"/>
              <w:rPr>
                <w:color w:val="000000"/>
              </w:rPr>
            </w:pPr>
            <w:r w:rsidRPr="2B7BE2DE">
              <w:rPr>
                <w:color w:val="000000" w:themeColor="text1"/>
              </w:rPr>
              <w:t>§63.11930(g)</w:t>
            </w:r>
            <w:r w:rsidRPr="2B7BE2DE" w:rsidR="7C276519">
              <w:rPr>
                <w:color w:val="000000" w:themeColor="text1"/>
              </w:rPr>
              <w:t>,</w:t>
            </w:r>
          </w:p>
          <w:p w:rsidR="004D5EF5" w:rsidRPr="00987C8D" w:rsidP="2B7BE2DE" w14:paraId="62CC9C67" w14:textId="569B8929">
            <w:pPr>
              <w:pBdr>
                <w:top w:val="single" w:sz="6" w:space="0" w:color="FFFFFF"/>
                <w:left w:val="single" w:sz="6" w:space="0" w:color="FFFFFF"/>
                <w:bottom w:val="single" w:sz="6" w:space="0" w:color="FFFFFF"/>
                <w:right w:val="single" w:sz="6" w:space="0" w:color="FFFFFF"/>
              </w:pBdr>
              <w:spacing w:after="0"/>
              <w:rPr>
                <w:color w:val="000000"/>
              </w:rPr>
            </w:pPr>
            <w:r w:rsidRPr="2B7BE2DE">
              <w:rPr>
                <w:color w:val="000000" w:themeColor="text1"/>
              </w:rPr>
              <w:t>§63.11990(g)</w:t>
            </w:r>
          </w:p>
        </w:tc>
      </w:tr>
      <w:tr w14:paraId="032BEA96"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60820C13" w14:textId="3495D4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F22D3">
              <w:rPr>
                <w:rFonts w:cstheme="minorHAnsi"/>
                <w:color w:val="000000"/>
              </w:rPr>
              <w:t>Records of resin strippers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D5EF5" w:rsidRPr="00987C8D" w:rsidP="2B7BE2DE" w14:paraId="78161B8D" w14:textId="5A702537">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§63.11990(h)</w:t>
            </w:r>
          </w:p>
        </w:tc>
      </w:tr>
      <w:tr w14:paraId="20CD24ED"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D5EF5" w:rsidRPr="00987C8D" w:rsidP="00987C8D" w14:paraId="571AEA13" w14:textId="52331F6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F22D3">
              <w:rPr>
                <w:rFonts w:cstheme="minorHAnsi"/>
                <w:color w:val="000000"/>
              </w:rPr>
              <w:t>Records of process wastewater</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D5EF5" w:rsidRPr="00987C8D" w:rsidP="2B7BE2DE" w14:paraId="3E92CCF2" w14:textId="76F612F9">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§63.11990(i)</w:t>
            </w:r>
          </w:p>
        </w:tc>
      </w:tr>
      <w:tr w14:paraId="24C5006A"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32D89124" w14:textId="613F522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F22D3">
              <w:rPr>
                <w:rFonts w:cstheme="minorHAnsi"/>
                <w:color w:val="000000"/>
              </w:rPr>
              <w:t>Records of other emissions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3944F057" w14:textId="3F51B78A">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§63.11990(j)</w:t>
            </w:r>
          </w:p>
        </w:tc>
      </w:tr>
      <w:tr w14:paraId="1E761954" w14:textId="77777777" w:rsidTr="2B7BE2D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00987C8D" w14:paraId="34ADAEF0" w14:textId="54CF49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410A">
              <w:rPr>
                <w:rFonts w:cstheme="minorHAnsi"/>
                <w:color w:val="000000"/>
              </w:rPr>
              <w:t>Keep records for five years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0C08" w:rsidRPr="00987C8D" w:rsidP="2B7BE2DE" w14:paraId="061CEB28" w14:textId="03514DEA">
            <w:pPr>
              <w:pBdr>
                <w:top w:val="single" w:sz="6" w:space="0" w:color="FFFFFF"/>
                <w:left w:val="single" w:sz="6" w:space="0" w:color="FFFFFF"/>
                <w:bottom w:val="single" w:sz="6" w:space="0" w:color="FFFFFF"/>
                <w:right w:val="single" w:sz="6" w:space="0" w:color="FFFFFF"/>
              </w:pBdr>
              <w:spacing w:before="60"/>
              <w:rPr>
                <w:color w:val="000000"/>
              </w:rPr>
            </w:pPr>
            <w:r w:rsidRPr="2B7BE2DE">
              <w:rPr>
                <w:color w:val="000000" w:themeColor="text1"/>
              </w:rPr>
              <w:t>§63.11995(a)</w:t>
            </w:r>
          </w:p>
        </w:tc>
      </w:tr>
    </w:tbl>
    <w:p w:rsidR="00510C08" w:rsidRPr="00BB3410" w:rsidP="00854AAE" w14:paraId="33B65D0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10C08" w:rsidRPr="00163C69" w:rsidP="00854AAE" w14:paraId="761C4B4E" w14:textId="77777777">
      <w:pPr>
        <w:spacing w:before="120" w:after="0"/>
        <w:rPr>
          <w:rFonts w:cstheme="minorHAnsi"/>
          <w:b/>
          <w:bCs/>
        </w:rPr>
      </w:pPr>
      <w:r w:rsidRPr="00163C69">
        <w:rPr>
          <w:rFonts w:cstheme="minorHAnsi"/>
          <w:b/>
          <w:bCs/>
        </w:rPr>
        <w:t>12c. Respondent Activities</w:t>
      </w:r>
    </w:p>
    <w:p w:rsidR="00510C08" w:rsidRPr="00BB3410" w:rsidP="00854AAE" w14:paraId="3681E726" w14:textId="77777777">
      <w:pPr>
        <w:spacing w:before="60"/>
        <w:rPr>
          <w:rFonts w:cstheme="minorHAnsi"/>
        </w:rPr>
      </w:pPr>
    </w:p>
    <w:tbl>
      <w:tblPr>
        <w:tblStyle w:val="TableGrid"/>
        <w:tblW w:w="9445" w:type="dxa"/>
        <w:tblLook w:val="04A0"/>
      </w:tblPr>
      <w:tblGrid>
        <w:gridCol w:w="9445"/>
      </w:tblGrid>
      <w:tr w14:paraId="3ADD0E58" w14:textId="77777777">
        <w:tblPrEx>
          <w:tblW w:w="9445" w:type="dxa"/>
          <w:tblLook w:val="04A0"/>
        </w:tblPrEx>
        <w:trPr>
          <w:cantSplit/>
          <w:trHeight w:val="521"/>
          <w:tblHeader/>
        </w:trPr>
        <w:tc>
          <w:tcPr>
            <w:tcW w:w="9445" w:type="dxa"/>
          </w:tcPr>
          <w:p w:rsidR="00510C08" w14:paraId="308D615E" w14:textId="77777777">
            <w:pPr>
              <w:jc w:val="center"/>
              <w:outlineLvl w:val="0"/>
              <w:rPr>
                <w:b/>
                <w:bCs/>
                <w:color w:val="000000"/>
              </w:rPr>
            </w:pPr>
            <w:r w:rsidRPr="00B04A5C">
              <w:rPr>
                <w:b/>
                <w:bCs/>
                <w:color w:val="000000"/>
              </w:rPr>
              <w:t>Respondent Activities</w:t>
            </w:r>
          </w:p>
        </w:tc>
      </w:tr>
      <w:tr w14:paraId="2AF77B3D" w14:textId="77777777">
        <w:tblPrEx>
          <w:tblW w:w="9445" w:type="dxa"/>
          <w:tblLook w:val="04A0"/>
        </w:tblPrEx>
        <w:trPr>
          <w:trHeight w:val="432"/>
        </w:trPr>
        <w:tc>
          <w:tcPr>
            <w:tcW w:w="9445" w:type="dxa"/>
            <w:vAlign w:val="center"/>
          </w:tcPr>
          <w:p w:rsidR="00510C08" w:rsidRPr="00B04A5C" w14:paraId="4D7C0C7A" w14:textId="77777777">
            <w:pPr>
              <w:outlineLvl w:val="0"/>
              <w:rPr>
                <w:color w:val="000000"/>
              </w:rPr>
            </w:pPr>
            <w:r w:rsidRPr="00B04A5C">
              <w:rPr>
                <w:color w:val="000000"/>
              </w:rPr>
              <w:t>Familiarization with the regulatory requirements.</w:t>
            </w:r>
          </w:p>
        </w:tc>
      </w:tr>
      <w:tr w14:paraId="6B27BE54" w14:textId="77777777">
        <w:tblPrEx>
          <w:tblW w:w="9445" w:type="dxa"/>
          <w:tblLook w:val="04A0"/>
        </w:tblPrEx>
        <w:trPr>
          <w:trHeight w:val="719"/>
        </w:trPr>
        <w:tc>
          <w:tcPr>
            <w:tcW w:w="9445" w:type="dxa"/>
            <w:vAlign w:val="center"/>
          </w:tcPr>
          <w:p w:rsidR="00510C08" w:rsidRPr="00B04A5C" w14:paraId="733FA19B" w14:textId="31BB70C7">
            <w:pPr>
              <w:outlineLvl w:val="0"/>
              <w:rPr>
                <w:color w:val="000000"/>
              </w:rPr>
            </w:pPr>
            <w:r w:rsidRPr="00D31022">
              <w:rPr>
                <w:color w:val="000000"/>
              </w:rPr>
              <w:t>Install, calibrate, maintain, and operate CMS for opacity, or for pressure drop and liquid supply pressure for control device.</w:t>
            </w:r>
          </w:p>
        </w:tc>
      </w:tr>
      <w:tr w14:paraId="7749BD98" w14:textId="77777777">
        <w:tblPrEx>
          <w:tblW w:w="9445" w:type="dxa"/>
          <w:tblLook w:val="04A0"/>
        </w:tblPrEx>
        <w:trPr>
          <w:trHeight w:val="701"/>
        </w:trPr>
        <w:tc>
          <w:tcPr>
            <w:tcW w:w="9445" w:type="dxa"/>
            <w:vAlign w:val="center"/>
          </w:tcPr>
          <w:p w:rsidR="00510C08" w:rsidRPr="00B04A5C" w14:paraId="6EBD82A4" w14:textId="2F4709BC">
            <w:pPr>
              <w:outlineLvl w:val="0"/>
              <w:rPr>
                <w:color w:val="000000"/>
              </w:rPr>
            </w:pPr>
            <w:r w:rsidRPr="009328E9">
              <w:rPr>
                <w:color w:val="000000"/>
              </w:rPr>
              <w:t>Perform initial performance test, Reference Method 1 or 1A; 2, 2A, 2C, 2D, 2F, or 2G; 3, 3A, or 3B; 4; 18; 23; 25A; 26; 26A; 301, 320 and ASTM D6348-03; and 18 and ASTM D6420-99 for process vents; and Reference Method 107, SW-846-8015C, SW-846-8015A, SW-846-8270D, and SW-846-8260B test for resin and process wastewater, and repeat performance tests if necessary. </w:t>
            </w:r>
          </w:p>
        </w:tc>
      </w:tr>
      <w:tr w14:paraId="60854E77" w14:textId="77777777">
        <w:tblPrEx>
          <w:tblW w:w="9445" w:type="dxa"/>
          <w:tblLook w:val="04A0"/>
        </w:tblPrEx>
        <w:trPr>
          <w:trHeight w:val="432"/>
        </w:trPr>
        <w:tc>
          <w:tcPr>
            <w:tcW w:w="9445" w:type="dxa"/>
            <w:vAlign w:val="center"/>
          </w:tcPr>
          <w:p w:rsidR="00510C08" w:rsidRPr="00B04A5C" w14:paraId="62FB5F56" w14:textId="77777777">
            <w:pPr>
              <w:outlineLvl w:val="0"/>
              <w:rPr>
                <w:color w:val="000000"/>
              </w:rPr>
            </w:pPr>
            <w:r w:rsidRPr="00B04A5C">
              <w:rPr>
                <w:color w:val="000000"/>
              </w:rPr>
              <w:t>Write the notifications and reports listed above.</w:t>
            </w:r>
          </w:p>
        </w:tc>
      </w:tr>
      <w:tr w14:paraId="6C3DC95E" w14:textId="77777777">
        <w:tblPrEx>
          <w:tblW w:w="9445" w:type="dxa"/>
          <w:tblLook w:val="04A0"/>
        </w:tblPrEx>
        <w:trPr>
          <w:trHeight w:val="432"/>
        </w:trPr>
        <w:tc>
          <w:tcPr>
            <w:tcW w:w="9445" w:type="dxa"/>
            <w:vAlign w:val="center"/>
          </w:tcPr>
          <w:p w:rsidR="00510C08" w:rsidRPr="00B04A5C" w14:paraId="75201E78" w14:textId="77777777">
            <w:pPr>
              <w:outlineLvl w:val="0"/>
              <w:rPr>
                <w:color w:val="000000"/>
              </w:rPr>
            </w:pPr>
            <w:r w:rsidRPr="00B04A5C">
              <w:rPr>
                <w:color w:val="000000"/>
              </w:rPr>
              <w:t>Enter information required to be recorded above.</w:t>
            </w:r>
          </w:p>
        </w:tc>
      </w:tr>
      <w:tr w14:paraId="07AA79A4" w14:textId="77777777">
        <w:tblPrEx>
          <w:tblW w:w="9445" w:type="dxa"/>
          <w:tblLook w:val="04A0"/>
        </w:tblPrEx>
        <w:trPr>
          <w:trHeight w:val="692"/>
        </w:trPr>
        <w:tc>
          <w:tcPr>
            <w:tcW w:w="9445" w:type="dxa"/>
            <w:vAlign w:val="center"/>
          </w:tcPr>
          <w:p w:rsidR="00510C08" w:rsidRPr="00B04A5C" w14:paraId="19630B05"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24F3320C" w14:textId="77777777">
        <w:tblPrEx>
          <w:tblW w:w="9445" w:type="dxa"/>
          <w:tblLook w:val="04A0"/>
        </w:tblPrEx>
        <w:trPr>
          <w:trHeight w:val="764"/>
        </w:trPr>
        <w:tc>
          <w:tcPr>
            <w:tcW w:w="9445" w:type="dxa"/>
            <w:vAlign w:val="center"/>
          </w:tcPr>
          <w:p w:rsidR="00510C08" w:rsidRPr="00B04A5C" w14:paraId="32092C3F" w14:textId="77777777">
            <w:pPr>
              <w:outlineLvl w:val="0"/>
              <w:rPr>
                <w:color w:val="000000"/>
              </w:rPr>
            </w:pPr>
            <w:r w:rsidRPr="00B04A5C">
              <w:rPr>
                <w:color w:val="000000"/>
              </w:rPr>
              <w:t>Develop, acquire, install, and utilize technology and systems for processing and maintaining information.</w:t>
            </w:r>
          </w:p>
        </w:tc>
      </w:tr>
      <w:tr w14:paraId="76EA3D16" w14:textId="77777777">
        <w:tblPrEx>
          <w:tblW w:w="9445" w:type="dxa"/>
          <w:tblLook w:val="04A0"/>
        </w:tblPrEx>
        <w:trPr>
          <w:trHeight w:val="728"/>
        </w:trPr>
        <w:tc>
          <w:tcPr>
            <w:tcW w:w="9445" w:type="dxa"/>
            <w:vAlign w:val="center"/>
          </w:tcPr>
          <w:p w:rsidR="00510C08" w:rsidRPr="00B04A5C" w14:paraId="20D3C2F0" w14:textId="77777777">
            <w:pPr>
              <w:outlineLvl w:val="0"/>
              <w:rPr>
                <w:color w:val="000000"/>
              </w:rPr>
            </w:pPr>
            <w:r w:rsidRPr="00B04A5C">
              <w:rPr>
                <w:color w:val="000000"/>
              </w:rPr>
              <w:t>Develop, acquire, install, and utilize technology and systems for disclosing and providing information.</w:t>
            </w:r>
          </w:p>
        </w:tc>
      </w:tr>
      <w:tr w14:paraId="2B3DB0B5" w14:textId="77777777">
        <w:tblPrEx>
          <w:tblW w:w="9445" w:type="dxa"/>
          <w:tblLook w:val="04A0"/>
        </w:tblPrEx>
        <w:trPr>
          <w:trHeight w:val="432"/>
        </w:trPr>
        <w:tc>
          <w:tcPr>
            <w:tcW w:w="9445" w:type="dxa"/>
            <w:vAlign w:val="center"/>
          </w:tcPr>
          <w:p w:rsidR="00510C08" w:rsidRPr="00B04A5C" w14:paraId="13367546" w14:textId="77777777">
            <w:pPr>
              <w:outlineLvl w:val="0"/>
              <w:rPr>
                <w:color w:val="000000"/>
              </w:rPr>
            </w:pPr>
            <w:r w:rsidRPr="00B04A5C">
              <w:rPr>
                <w:color w:val="000000"/>
              </w:rPr>
              <w:t>Train personnel to be able to respond to a collection of information.</w:t>
            </w:r>
          </w:p>
        </w:tc>
      </w:tr>
      <w:tr w14:paraId="354EE5C8" w14:textId="77777777">
        <w:tblPrEx>
          <w:tblW w:w="9445" w:type="dxa"/>
          <w:tblLook w:val="04A0"/>
        </w:tblPrEx>
        <w:trPr>
          <w:trHeight w:val="432"/>
        </w:trPr>
        <w:tc>
          <w:tcPr>
            <w:tcW w:w="9445" w:type="dxa"/>
            <w:vAlign w:val="center"/>
          </w:tcPr>
          <w:p w:rsidR="00510C08" w:rsidRPr="00B04A5C" w14:paraId="78B0E505" w14:textId="77777777">
            <w:pPr>
              <w:outlineLvl w:val="0"/>
              <w:rPr>
                <w:color w:val="000000"/>
              </w:rPr>
            </w:pPr>
            <w:r w:rsidRPr="00B04A5C">
              <w:rPr>
                <w:color w:val="000000"/>
              </w:rPr>
              <w:t>Transmit, or otherwise disclose the information.</w:t>
            </w:r>
          </w:p>
        </w:tc>
      </w:tr>
    </w:tbl>
    <w:p w:rsidR="00510C08" w:rsidRPr="00BB3410" w:rsidP="00854AAE" w14:paraId="2ED1F1F7" w14:textId="77777777">
      <w:pPr>
        <w:spacing w:before="60"/>
        <w:rPr>
          <w:rFonts w:cstheme="minorHAnsi"/>
        </w:rPr>
      </w:pPr>
    </w:p>
    <w:p w:rsidR="00510C08" w:rsidRPr="00163C69" w:rsidP="00854AAE" w14:paraId="473C4F12" w14:textId="77777777">
      <w:pPr>
        <w:spacing w:before="120" w:after="0"/>
        <w:rPr>
          <w:rFonts w:cstheme="minorHAnsi"/>
          <w:b/>
          <w:bCs/>
        </w:rPr>
      </w:pPr>
      <w:r w:rsidRPr="00163C69">
        <w:rPr>
          <w:rFonts w:cstheme="minorHAnsi"/>
          <w:b/>
          <w:bCs/>
        </w:rPr>
        <w:t>12d. Respondent Burden Hours and Labor Costs</w:t>
      </w:r>
    </w:p>
    <w:p w:rsidR="00510C08" w:rsidRPr="00B6361B" w:rsidP="00B6361B" w14:paraId="6FB2442C"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510C08" w:rsidRPr="00B6361B" w:rsidP="00B6361B" w14:paraId="24EE35A3" w14:textId="08FEF00B">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9C6C9E">
        <w:rPr>
          <w:rFonts w:cstheme="minorHAnsi"/>
        </w:rPr>
        <w:t xml:space="preserve">be </w:t>
      </w:r>
      <w:r w:rsidRPr="009C6C9E" w:rsidR="009C6C9E">
        <w:rPr>
          <w:rFonts w:cstheme="minorHAnsi"/>
        </w:rPr>
        <w:t>318,000</w:t>
      </w:r>
      <w:r>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510C08" w:rsidRPr="00B6361B" w:rsidP="00B6361B" w14:paraId="618C662F" w14:textId="77777777">
      <w:pPr>
        <w:spacing w:before="60"/>
        <w:rPr>
          <w:rFonts w:cstheme="minorHAnsi"/>
          <w:color w:val="000000"/>
        </w:rPr>
      </w:pPr>
      <w:r w:rsidRPr="00B6361B">
        <w:rPr>
          <w:rFonts w:cstheme="minorHAnsi"/>
          <w:color w:val="000000"/>
        </w:rPr>
        <w:t>This ICR uses the following labor rates:</w:t>
      </w:r>
    </w:p>
    <w:p w:rsidR="00510C08" w:rsidRPr="00B6361B" w:rsidP="00C4086C" w14:paraId="62390D36" w14:textId="4A9E0FB8">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26158A">
        <w:rPr>
          <w:rFonts w:cstheme="minorHAnsi"/>
          <w:color w:val="000000"/>
        </w:rPr>
        <w:t xml:space="preserve"> </w:t>
      </w:r>
    </w:p>
    <w:p w:rsidR="00510C08" w:rsidRPr="00B6361B" w:rsidP="00C4086C" w14:paraId="41BCBF49"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510C08" w:rsidRPr="00B6361B" w:rsidP="00C4086C" w14:paraId="0103383A"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510C08" w:rsidRPr="00B6361B" w:rsidP="00B6361B" w14:paraId="7390C157" w14:textId="77777777">
      <w:pPr>
        <w:spacing w:before="60"/>
        <w:rPr>
          <w:rFonts w:cstheme="minorHAnsi"/>
          <w:color w:val="000000"/>
        </w:rPr>
      </w:pPr>
    </w:p>
    <w:p w:rsidR="00510C08" w:rsidRPr="00B6361B" w:rsidP="00B6361B" w14:paraId="13561042"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510C08" w:rsidRPr="00BB3410" w:rsidP="00B6361B" w14:paraId="67BA7756"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510C08" w:rsidRPr="00163C69" w:rsidP="00854AAE" w14:paraId="77810364"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510C08" w:rsidRPr="00F92596" w:rsidP="00F92596" w14:paraId="2B6C1BC6"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510C08" w:rsidRPr="00F92596" w:rsidP="00163C69" w14:paraId="6D724BED"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510C08" w:rsidRPr="00F92596" w:rsidP="00F92596" w14:paraId="54D7AA7F"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510C08" w:rsidRPr="00F92596" w:rsidP="00163C69" w14:paraId="70B4BD73"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510C08" w:rsidRPr="00F92596" w:rsidP="00163C69" w14:paraId="60D4D38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10C08" w:rsidRPr="00342882" w:rsidP="00342882" w14:paraId="6832A109" w14:textId="5FD41174">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510C08" w:rsidRPr="00342882" w:rsidP="00342882" w14:paraId="7958D80B" w14:textId="4C903644">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capital/startup costs for this ICR </w:t>
      </w:r>
      <w:r w:rsidRPr="001D658C">
        <w:rPr>
          <w:rFonts w:cstheme="minorHAnsi"/>
        </w:rPr>
        <w:t>are $</w:t>
      </w:r>
      <w:r w:rsidRPr="001D658C" w:rsidR="004A5F4F">
        <w:rPr>
          <w:rFonts w:cstheme="minorHAnsi"/>
        </w:rPr>
        <w:t>0</w:t>
      </w:r>
      <w:r w:rsidRPr="00342882">
        <w:rPr>
          <w:rFonts w:cstheme="minorHAnsi"/>
          <w:color w:val="000000"/>
        </w:rPr>
        <w:t xml:space="preserve">. This is the total of column D shown below in the table Capital/Startup vs. Operation and Maintenance (O&amp;M) Costs. </w:t>
      </w:r>
    </w:p>
    <w:p w:rsidR="00510C08" w:rsidRPr="00342882" w:rsidP="00342882" w14:paraId="60650EE9" w14:textId="29D44C81">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operation and maintenance (O&amp;M) costs for this ICR are </w:t>
      </w:r>
      <w:r w:rsidR="001D658C">
        <w:rPr>
          <w:rFonts w:cstheme="minorHAnsi"/>
          <w:color w:val="000000"/>
        </w:rPr>
        <w:t>$7,140,000</w:t>
      </w:r>
      <w:r w:rsidRPr="00342882">
        <w:rPr>
          <w:rFonts w:cstheme="minorHAnsi"/>
          <w:color w:val="000000"/>
        </w:rPr>
        <w:t>. This is the total of column G shown below in the table Capital/Startup vs. Operation and Maintenance (O&amp;M) Costs.</w:t>
      </w:r>
    </w:p>
    <w:p w:rsidR="00510C08" w:rsidRPr="00BB3410" w:rsidP="00854AAE" w14:paraId="53786817" w14:textId="7472D051">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average annual cost for capital/startup and operation and maintenance costs to industry over the next three years of the ICR is estimated </w:t>
      </w:r>
      <w:r w:rsidRPr="001556C1">
        <w:rPr>
          <w:rFonts w:cstheme="minorHAnsi"/>
        </w:rPr>
        <w:t>to be $</w:t>
      </w:r>
      <w:r w:rsidRPr="001556C1" w:rsidR="001556C1">
        <w:rPr>
          <w:rFonts w:cstheme="minorHAnsi"/>
        </w:rPr>
        <w:t>7,140,000</w:t>
      </w:r>
      <w:r w:rsidRPr="001556C1">
        <w:rPr>
          <w:rFonts w:cstheme="minorHAnsi"/>
        </w:rPr>
        <w:t>.</w:t>
      </w:r>
    </w:p>
    <w:p w:rsidR="00510C08" w:rsidRPr="00163C69" w:rsidP="00854AAE" w14:paraId="4D3E2B1F"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510C08" w:rsidRPr="001F0834" w:rsidP="00854AAE" w14:paraId="65092C43"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10C08" w:rsidRPr="00163C69" w:rsidP="00854AAE" w14:paraId="2BF3E4AD" w14:textId="77777777">
      <w:pPr>
        <w:spacing w:before="120" w:after="0"/>
        <w:rPr>
          <w:rFonts w:cstheme="minorHAnsi"/>
          <w:b/>
          <w:bCs/>
        </w:rPr>
      </w:pPr>
      <w:r w:rsidRPr="00163C69">
        <w:rPr>
          <w:rFonts w:eastAsiaTheme="majorEastAsia" w:cstheme="minorHAnsi"/>
          <w:b/>
          <w:bCs/>
        </w:rPr>
        <w:t>14a. Agency Activities</w:t>
      </w:r>
    </w:p>
    <w:p w:rsidR="00510C08" w:rsidRPr="00962BB9" w:rsidP="00962BB9" w14:paraId="46988EA0"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510C08" w:rsidRPr="00962BB9" w:rsidP="000C04C0" w14:paraId="65A4586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510C08" w:rsidRPr="00962BB9" w:rsidP="000C04C0" w14:paraId="6CE158AA"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510C08" w:rsidRPr="00962BB9" w:rsidP="000C04C0" w14:paraId="1C135065"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510C08" w:rsidRPr="00962BB9" w:rsidP="00962BB9" w14:paraId="2BFFF60E"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510C08" w:rsidRPr="00962BB9" w:rsidP="00962BB9" w14:paraId="158F35E1"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510C08" w:rsidRPr="00163C69" w:rsidP="00854AAE" w14:paraId="3212B475" w14:textId="77777777">
      <w:pPr>
        <w:spacing w:before="120" w:after="0"/>
        <w:rPr>
          <w:rFonts w:cstheme="minorHAnsi"/>
          <w:b/>
          <w:bCs/>
        </w:rPr>
      </w:pPr>
      <w:r w:rsidRPr="00163C69">
        <w:rPr>
          <w:rFonts w:eastAsiaTheme="majorEastAsia" w:cstheme="minorHAnsi"/>
          <w:b/>
          <w:bCs/>
        </w:rPr>
        <w:t>14b. Agency Labor Cost</w:t>
      </w:r>
    </w:p>
    <w:p w:rsidR="00510C08" w:rsidRPr="00314125" w:rsidP="000069AF" w14:paraId="12A1BD6E" w14:textId="4E28F1C2">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w:t>
      </w:r>
      <w:r w:rsidRPr="00110CCE">
        <w:rPr>
          <w:rFonts w:cstheme="minorHAnsi"/>
        </w:rPr>
        <w:t xml:space="preserve">to be </w:t>
      </w:r>
      <w:r w:rsidRPr="00110CCE" w:rsidR="005D41C2">
        <w:rPr>
          <w:rFonts w:cstheme="minorHAnsi"/>
        </w:rPr>
        <w:t>706</w:t>
      </w:r>
      <w:r w:rsidRPr="00110CCE">
        <w:rPr>
          <w:rFonts w:cstheme="minorHAnsi"/>
        </w:rPr>
        <w:t xml:space="preserve"> hours at a cost of $</w:t>
      </w:r>
      <w:r w:rsidRPr="00110CCE" w:rsidR="00110CCE">
        <w:rPr>
          <w:rFonts w:cstheme="minorHAnsi"/>
        </w:rPr>
        <w:t>39,300</w:t>
      </w:r>
      <w:r w:rsidRPr="00110CCE">
        <w:rPr>
          <w:rFonts w:cstheme="minorHAnsi"/>
        </w:rPr>
        <w:t xml:space="preserve">. See Table 2: Average Annual EPA Burden </w:t>
      </w:r>
      <w:r w:rsidRPr="000069AF">
        <w:rPr>
          <w:rFonts w:cstheme="minorHAnsi"/>
          <w:color w:val="000000"/>
        </w:rPr>
        <w:t xml:space="preserve">and </w:t>
      </w:r>
      <w:r w:rsidRPr="00110CCE">
        <w:rPr>
          <w:rFonts w:cstheme="minorHAnsi"/>
          <w:color w:val="000000"/>
        </w:rPr>
        <w:t xml:space="preserve">Cost – </w:t>
      </w:r>
      <w:r w:rsidRPr="00110CCE">
        <w:rPr>
          <w:rFonts w:cstheme="minorHAnsi"/>
          <w:noProof/>
        </w:rPr>
        <w:t xml:space="preserve">NESHAP for Polyvinyl Chloride and Copolymer Production (40 CFR </w:t>
      </w:r>
      <w:r w:rsidR="0065722D">
        <w:rPr>
          <w:rFonts w:cstheme="minorHAnsi"/>
          <w:noProof/>
        </w:rPr>
        <w:t>Part 63</w:t>
      </w:r>
      <w:r w:rsidRPr="00110CCE">
        <w:rPr>
          <w:rFonts w:cstheme="minorHAnsi"/>
          <w:noProof/>
        </w:rPr>
        <w:t>, Subpart HHHHHHH) (Renewal)</w:t>
      </w:r>
      <w:r w:rsidRPr="00110CCE">
        <w:rPr>
          <w:rFonts w:cstheme="minorHAnsi"/>
        </w:rPr>
        <w:t>.</w:t>
      </w:r>
    </w:p>
    <w:p w:rsidR="00510C08" w:rsidRPr="000069AF" w:rsidP="000069AF" w14:paraId="61ECDF0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510C08" w:rsidP="435E80BA" w14:paraId="573506FA"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510C08" w:rsidP="000069AF" w14:paraId="2859933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510C08" w:rsidRPr="000069AF" w:rsidP="000069AF" w14:paraId="0F7087A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510C08" w:rsidRPr="000069AF" w:rsidP="000069AF" w14:paraId="63D99475" w14:textId="1BB28FF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w:t>
      </w:r>
      <w:r w:rsidRPr="001C0D93">
        <w:rPr>
          <w:rFonts w:cstheme="minorHAnsi"/>
          <w:color w:val="000000"/>
        </w:rPr>
        <w:t>Cost –</w:t>
      </w:r>
      <w:r w:rsidRPr="001C0D93">
        <w:rPr>
          <w:rFonts w:cstheme="minorHAnsi"/>
          <w:noProof/>
          <w:color w:val="000000"/>
        </w:rPr>
        <w:t xml:space="preserve">NESHAP for Polyvinyl Chloride and Copolymer Production (40 CFR </w:t>
      </w:r>
      <w:r w:rsidR="0065722D">
        <w:rPr>
          <w:rFonts w:cstheme="minorHAnsi"/>
          <w:noProof/>
          <w:color w:val="000000"/>
        </w:rPr>
        <w:t>Part 63</w:t>
      </w:r>
      <w:r w:rsidRPr="001C0D93">
        <w:rPr>
          <w:rFonts w:cstheme="minorHAnsi"/>
          <w:noProof/>
          <w:color w:val="000000"/>
        </w:rPr>
        <w:t>, Subpart HHHHHHH) (Renewal)</w:t>
      </w:r>
      <w:r w:rsidRPr="001C0D93">
        <w:rPr>
          <w:rFonts w:cstheme="minorHAnsi"/>
          <w:color w:val="000000"/>
        </w:rPr>
        <w:t>.</w:t>
      </w:r>
    </w:p>
    <w:p w:rsidR="00510C08" w:rsidRPr="00163C69" w:rsidP="00854AAE" w14:paraId="2D2138ED" w14:textId="77777777">
      <w:pPr>
        <w:spacing w:before="120" w:after="0"/>
        <w:rPr>
          <w:rFonts w:cstheme="minorHAnsi"/>
          <w:b/>
          <w:bCs/>
        </w:rPr>
      </w:pPr>
      <w:r w:rsidRPr="00163C69">
        <w:rPr>
          <w:rFonts w:eastAsiaTheme="majorEastAsia" w:cstheme="minorHAnsi"/>
          <w:b/>
          <w:bCs/>
        </w:rPr>
        <w:t>14c. Agency Non-Labor Costs</w:t>
      </w:r>
    </w:p>
    <w:p w:rsidR="00510C08" w:rsidRPr="00BB3410" w:rsidP="00854AAE" w14:paraId="6E91AF91" w14:textId="77777777">
      <w:pPr>
        <w:spacing w:before="60"/>
        <w:rPr>
          <w:rFonts w:cstheme="minorHAnsi"/>
        </w:rPr>
      </w:pPr>
      <w:r w:rsidRPr="00731652">
        <w:rPr>
          <w:rFonts w:cstheme="minorHAnsi"/>
        </w:rPr>
        <w:t>There are no non-labor costs to the Agency associated with this information collection.</w:t>
      </w:r>
    </w:p>
    <w:p w:rsidR="00510C08" w:rsidRPr="00163C69" w:rsidP="4BDBF0A0" w14:paraId="660934DA" w14:textId="77777777">
      <w:pPr>
        <w:pStyle w:val="ListParagraph"/>
        <w:numPr>
          <w:ilvl w:val="0"/>
          <w:numId w:val="27"/>
        </w:numPr>
        <w:spacing w:before="240" w:after="0"/>
        <w:rPr>
          <w:b/>
          <w:bCs/>
        </w:rPr>
      </w:pPr>
      <w:r w:rsidRPr="4BDBF0A0">
        <w:rPr>
          <w:b/>
          <w:bCs/>
        </w:rPr>
        <w:t>REASONS FOR CHANGE IN BURDEN</w:t>
      </w:r>
    </w:p>
    <w:p w:rsidR="00510C08" w:rsidRPr="002B1146" w:rsidP="002B1146" w14:paraId="4E55BD6C" w14:textId="183AC562">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510C08" w:rsidRPr="002B1146" w:rsidP="00722903" w14:paraId="4A50B6DE" w14:textId="21AE5295">
      <w:r w:rsidRPr="002B1146">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2B1146" w:rsidR="002B1146">
        <w:t>December</w:t>
      </w:r>
      <w:r w:rsidRPr="002B1146">
        <w:t xml:space="preserve"> 202</w:t>
      </w:r>
      <w:r w:rsidRPr="002B1146" w:rsidR="002B1146">
        <w:t>3</w:t>
      </w:r>
      <w:r w:rsidRPr="002B1146">
        <w:t>) to calculate respondent burden costs.</w:t>
      </w:r>
    </w:p>
    <w:p w:rsidR="00510C08" w:rsidRPr="00163C69" w:rsidP="4BDBF0A0" w14:paraId="31F3A0C9" w14:textId="77777777">
      <w:pPr>
        <w:pStyle w:val="ListParagraph"/>
        <w:numPr>
          <w:ilvl w:val="0"/>
          <w:numId w:val="27"/>
        </w:numPr>
        <w:spacing w:before="240" w:after="0"/>
        <w:rPr>
          <w:b/>
          <w:bCs/>
        </w:rPr>
      </w:pPr>
      <w:r w:rsidRPr="4BDBF0A0">
        <w:rPr>
          <w:b/>
          <w:bCs/>
        </w:rPr>
        <w:t xml:space="preserve">PUBLICATION OF </w:t>
      </w:r>
      <w:r>
        <w:rPr>
          <w:b/>
          <w:bCs/>
        </w:rPr>
        <w:t>DATA</w:t>
      </w:r>
    </w:p>
    <w:p w:rsidR="00510C08" w:rsidRPr="001F0834" w:rsidP="00854AAE" w14:paraId="6A6C115D"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0C08" w:rsidRPr="000C21A3" w:rsidP="007F11C3" w14:paraId="4EE30E87" w14:textId="1B6A18F8">
      <w:pPr>
        <w:pBdr>
          <w:top w:val="single" w:sz="6" w:space="0" w:color="FFFFFF"/>
          <w:left w:val="single" w:sz="6" w:space="0" w:color="FFFFFF"/>
          <w:bottom w:val="single" w:sz="6" w:space="0" w:color="FFFFFF"/>
          <w:right w:val="single" w:sz="6" w:space="0" w:color="FFFFFF"/>
        </w:pBdr>
        <w:rPr>
          <w:color w:val="FF0000"/>
        </w:rP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510C08" w:rsidRPr="00163C69" w:rsidP="4BDBF0A0" w14:paraId="77B1208A" w14:textId="77777777">
      <w:pPr>
        <w:pStyle w:val="ListParagraph"/>
        <w:numPr>
          <w:ilvl w:val="0"/>
          <w:numId w:val="27"/>
        </w:numPr>
        <w:spacing w:before="240" w:after="0"/>
        <w:rPr>
          <w:b/>
          <w:bCs/>
        </w:rPr>
      </w:pPr>
      <w:r w:rsidRPr="4BDBF0A0">
        <w:rPr>
          <w:b/>
          <w:bCs/>
        </w:rPr>
        <w:t xml:space="preserve">DISPLAY OF EXPIRATION DATE </w:t>
      </w:r>
    </w:p>
    <w:p w:rsidR="00510C08" w:rsidRPr="00F532D6" w:rsidP="00854AAE" w14:paraId="613A439E"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510C08" w:rsidRPr="00632312" w:rsidP="00854AAE" w14:paraId="1340FD69"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510C08" w:rsidRPr="00163C69" w:rsidP="00854AAE" w14:paraId="3F466608" w14:textId="77777777">
      <w:pPr>
        <w:pStyle w:val="ListParagraph"/>
        <w:numPr>
          <w:ilvl w:val="0"/>
          <w:numId w:val="27"/>
        </w:numPr>
        <w:spacing w:before="240" w:after="0"/>
        <w:rPr>
          <w:rFonts w:cstheme="minorHAnsi"/>
          <w:b/>
          <w:bCs/>
        </w:rPr>
      </w:pPr>
      <w:r w:rsidRPr="00163C69">
        <w:rPr>
          <w:rFonts w:cstheme="minorHAnsi"/>
          <w:b/>
          <w:bCs/>
        </w:rPr>
        <w:t>CERTIFICATION STATEMENT</w:t>
      </w:r>
    </w:p>
    <w:p w:rsidR="00510C08" w:rsidRPr="001F0834" w:rsidP="00854AAE" w14:paraId="0AC5264A"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510C08" w:rsidRPr="003C16BD" w:rsidP="003C16BD" w14:paraId="485A8F24"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510C08" w:rsidRPr="0073767D" w:rsidP="00854AAE" w14:paraId="55324300" w14:textId="77777777">
      <w:pPr>
        <w:pBdr>
          <w:top w:val="single" w:sz="6" w:space="0" w:color="FFFFFF"/>
          <w:left w:val="single" w:sz="6" w:space="0" w:color="FFFFFF"/>
          <w:bottom w:val="single" w:sz="6" w:space="0" w:color="FFFFFF"/>
          <w:right w:val="single" w:sz="6" w:space="0" w:color="FFFFFF"/>
        </w:pBdr>
      </w:pPr>
    </w:p>
    <w:p w:rsidR="00510C08" w:rsidRPr="00BB3410" w:rsidP="00BB3410" w14:paraId="04413890" w14:textId="77777777">
      <w:pPr>
        <w:rPr>
          <w:rFonts w:cstheme="minorHAnsi"/>
          <w:color w:val="000000"/>
          <w:shd w:val="clear" w:color="auto" w:fill="FFFFFF"/>
        </w:rPr>
        <w:sectPr w:rsidSect="00510C08">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510C08" w:rsidP="001641AA" w14:paraId="02846CB0" w14:textId="6C0FE15D">
      <w:pPr>
        <w:spacing w:before="240"/>
        <w:rPr>
          <w:rFonts w:cstheme="minorHAnsi"/>
          <w:b/>
          <w:bCs/>
          <w:noProof/>
          <w:sz w:val="24"/>
          <w:szCs w:val="24"/>
        </w:rPr>
      </w:pPr>
      <w:r w:rsidRPr="005F4E44">
        <w:rPr>
          <w:rFonts w:cstheme="minorHAnsi"/>
          <w:b/>
          <w:bCs/>
          <w:sz w:val="24"/>
          <w:szCs w:val="24"/>
        </w:rPr>
        <w:t xml:space="preserve">Table 1: Annual Respondent Burden and Cost – </w:t>
      </w:r>
      <w:r w:rsidRPr="005F4E44">
        <w:rPr>
          <w:rFonts w:cstheme="minorHAnsi"/>
          <w:b/>
          <w:bCs/>
          <w:noProof/>
          <w:sz w:val="24"/>
          <w:szCs w:val="24"/>
        </w:rPr>
        <w:t xml:space="preserve">NESHAP for Polyvinyl Chloride and Copolymer Production (40 CFR </w:t>
      </w:r>
      <w:r w:rsidR="0065722D">
        <w:rPr>
          <w:rFonts w:cstheme="minorHAnsi"/>
          <w:b/>
          <w:bCs/>
          <w:noProof/>
          <w:sz w:val="24"/>
          <w:szCs w:val="24"/>
        </w:rPr>
        <w:t>Part 63</w:t>
      </w:r>
      <w:r w:rsidRPr="005F4E44">
        <w:rPr>
          <w:rFonts w:cstheme="minorHAnsi"/>
          <w:b/>
          <w:bCs/>
          <w:noProof/>
          <w:sz w:val="24"/>
          <w:szCs w:val="24"/>
        </w:rPr>
        <w:t>, Subpart HHHHHHH) (Renewal)</w:t>
      </w:r>
    </w:p>
    <w:tbl>
      <w:tblPr>
        <w:tblW w:w="12621" w:type="dxa"/>
        <w:tblInd w:w="118" w:type="dxa"/>
        <w:tblLook w:val="04A0"/>
      </w:tblPr>
      <w:tblGrid>
        <w:gridCol w:w="4204"/>
        <w:gridCol w:w="1072"/>
        <w:gridCol w:w="1116"/>
        <w:gridCol w:w="1072"/>
        <w:gridCol w:w="1152"/>
        <w:gridCol w:w="994"/>
        <w:gridCol w:w="1143"/>
        <w:gridCol w:w="934"/>
        <w:gridCol w:w="1371"/>
      </w:tblGrid>
      <w:tr w14:paraId="1716C7E8" w14:textId="77777777" w:rsidTr="00446896">
        <w:tblPrEx>
          <w:tblW w:w="12621" w:type="dxa"/>
          <w:tblInd w:w="118" w:type="dxa"/>
          <w:tblLook w:val="04A0"/>
        </w:tblPrEx>
        <w:trPr>
          <w:trHeight w:val="219"/>
        </w:trPr>
        <w:tc>
          <w:tcPr>
            <w:tcW w:w="4237" w:type="dxa"/>
            <w:vMerge w:val="restart"/>
            <w:tcBorders>
              <w:top w:val="single" w:sz="8" w:space="0" w:color="auto"/>
              <w:left w:val="single" w:sz="8" w:space="0" w:color="auto"/>
              <w:bottom w:val="nil"/>
              <w:right w:val="nil"/>
            </w:tcBorders>
            <w:noWrap/>
            <w:vAlign w:val="center"/>
            <w:hideMark/>
          </w:tcPr>
          <w:p w:rsidR="00446896" w:rsidRPr="00446896" w:rsidP="00446896" w14:paraId="060520D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Burden Item</w:t>
            </w:r>
          </w:p>
        </w:tc>
        <w:tc>
          <w:tcPr>
            <w:tcW w:w="1040" w:type="dxa"/>
            <w:tcBorders>
              <w:top w:val="single" w:sz="8" w:space="0" w:color="auto"/>
              <w:left w:val="single" w:sz="4" w:space="0" w:color="000000"/>
              <w:bottom w:val="nil"/>
              <w:right w:val="nil"/>
            </w:tcBorders>
            <w:noWrap/>
            <w:vAlign w:val="bottom"/>
            <w:hideMark/>
          </w:tcPr>
          <w:p w:rsidR="00446896" w:rsidRPr="00446896" w:rsidP="00446896" w14:paraId="0DC8A0D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(A)</w:t>
            </w:r>
          </w:p>
        </w:tc>
        <w:tc>
          <w:tcPr>
            <w:tcW w:w="1040" w:type="dxa"/>
            <w:tcBorders>
              <w:top w:val="single" w:sz="8" w:space="0" w:color="auto"/>
              <w:left w:val="single" w:sz="4" w:space="0" w:color="000000"/>
              <w:bottom w:val="nil"/>
              <w:right w:val="single" w:sz="4" w:space="0" w:color="000000"/>
            </w:tcBorders>
            <w:noWrap/>
            <w:vAlign w:val="bottom"/>
            <w:hideMark/>
          </w:tcPr>
          <w:p w:rsidR="00446896" w:rsidRPr="00446896" w:rsidP="00446896" w14:paraId="64CED9F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(B)</w:t>
            </w:r>
          </w:p>
        </w:tc>
        <w:tc>
          <w:tcPr>
            <w:tcW w:w="1000" w:type="dxa"/>
            <w:tcBorders>
              <w:top w:val="single" w:sz="8" w:space="0" w:color="auto"/>
              <w:left w:val="nil"/>
              <w:bottom w:val="nil"/>
              <w:right w:val="single" w:sz="4" w:space="0" w:color="000000"/>
            </w:tcBorders>
            <w:noWrap/>
            <w:vAlign w:val="bottom"/>
            <w:hideMark/>
          </w:tcPr>
          <w:p w:rsidR="00446896" w:rsidRPr="00446896" w:rsidP="00446896" w14:paraId="6E8D3A6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(C)</w:t>
            </w:r>
          </w:p>
        </w:tc>
        <w:tc>
          <w:tcPr>
            <w:tcW w:w="1020" w:type="dxa"/>
            <w:tcBorders>
              <w:top w:val="single" w:sz="8" w:space="0" w:color="auto"/>
              <w:left w:val="nil"/>
              <w:bottom w:val="nil"/>
              <w:right w:val="nil"/>
            </w:tcBorders>
            <w:noWrap/>
            <w:vAlign w:val="bottom"/>
            <w:hideMark/>
          </w:tcPr>
          <w:p w:rsidR="00446896" w:rsidRPr="00446896" w:rsidP="00446896" w14:paraId="3B06D23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(D)</w:t>
            </w:r>
          </w:p>
        </w:tc>
        <w:tc>
          <w:tcPr>
            <w:tcW w:w="1000" w:type="dxa"/>
            <w:tcBorders>
              <w:top w:val="single" w:sz="8" w:space="0" w:color="auto"/>
              <w:left w:val="single" w:sz="4" w:space="0" w:color="000000"/>
              <w:bottom w:val="nil"/>
              <w:right w:val="nil"/>
            </w:tcBorders>
            <w:noWrap/>
            <w:vAlign w:val="bottom"/>
            <w:hideMark/>
          </w:tcPr>
          <w:p w:rsidR="00446896" w:rsidRPr="00446896" w:rsidP="00446896" w14:paraId="0FBC775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(E)</w:t>
            </w:r>
          </w:p>
        </w:tc>
        <w:tc>
          <w:tcPr>
            <w:tcW w:w="964" w:type="dxa"/>
            <w:tcBorders>
              <w:top w:val="single" w:sz="8" w:space="0" w:color="auto"/>
              <w:left w:val="single" w:sz="4" w:space="0" w:color="000000"/>
              <w:bottom w:val="nil"/>
              <w:right w:val="nil"/>
            </w:tcBorders>
            <w:noWrap/>
            <w:vAlign w:val="bottom"/>
            <w:hideMark/>
          </w:tcPr>
          <w:p w:rsidR="00446896" w:rsidRPr="00446896" w:rsidP="00446896" w14:paraId="4C3BA7F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(F)</w:t>
            </w:r>
          </w:p>
        </w:tc>
        <w:tc>
          <w:tcPr>
            <w:tcW w:w="940" w:type="dxa"/>
            <w:tcBorders>
              <w:top w:val="single" w:sz="8" w:space="0" w:color="auto"/>
              <w:left w:val="single" w:sz="4" w:space="0" w:color="000000"/>
              <w:bottom w:val="nil"/>
              <w:right w:val="single" w:sz="4" w:space="0" w:color="auto"/>
            </w:tcBorders>
            <w:noWrap/>
            <w:vAlign w:val="bottom"/>
            <w:hideMark/>
          </w:tcPr>
          <w:p w:rsidR="00446896" w:rsidRPr="00446896" w:rsidP="00446896" w14:paraId="27A67FC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(G)</w:t>
            </w:r>
          </w:p>
        </w:tc>
        <w:tc>
          <w:tcPr>
            <w:tcW w:w="1380" w:type="dxa"/>
            <w:tcBorders>
              <w:top w:val="single" w:sz="8" w:space="0" w:color="auto"/>
              <w:left w:val="nil"/>
              <w:bottom w:val="nil"/>
              <w:right w:val="single" w:sz="8" w:space="0" w:color="auto"/>
            </w:tcBorders>
            <w:noWrap/>
            <w:vAlign w:val="bottom"/>
            <w:hideMark/>
          </w:tcPr>
          <w:p w:rsidR="00446896" w:rsidRPr="00446896" w:rsidP="00446896" w14:paraId="3980A3C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w:t>
            </w:r>
          </w:p>
        </w:tc>
      </w:tr>
      <w:tr w14:paraId="5A0A7EB7" w14:textId="77777777" w:rsidTr="00446896">
        <w:tblPrEx>
          <w:tblW w:w="12621" w:type="dxa"/>
          <w:tblInd w:w="118" w:type="dxa"/>
          <w:tblLook w:val="04A0"/>
        </w:tblPrEx>
        <w:trPr>
          <w:trHeight w:val="219"/>
        </w:trPr>
        <w:tc>
          <w:tcPr>
            <w:tcW w:w="4237" w:type="dxa"/>
            <w:vMerge/>
            <w:tcBorders>
              <w:top w:val="single" w:sz="8" w:space="0" w:color="auto"/>
              <w:left w:val="single" w:sz="8" w:space="0" w:color="auto"/>
              <w:bottom w:val="nil"/>
              <w:right w:val="nil"/>
            </w:tcBorders>
            <w:vAlign w:val="center"/>
            <w:hideMark/>
          </w:tcPr>
          <w:p w:rsidR="00446896" w:rsidRPr="00446896" w:rsidP="00446896" w14:paraId="5FFFC9E0" w14:textId="77777777">
            <w:pPr>
              <w:spacing w:after="0" w:line="240" w:lineRule="auto"/>
              <w:rPr>
                <w:rFonts w:ascii="Arial" w:eastAsia="Times New Roman" w:hAnsi="Arial" w:cs="Arial"/>
                <w:sz w:val="16"/>
                <w:szCs w:val="16"/>
              </w:rPr>
            </w:pPr>
          </w:p>
        </w:tc>
        <w:tc>
          <w:tcPr>
            <w:tcW w:w="1040" w:type="dxa"/>
            <w:tcBorders>
              <w:top w:val="nil"/>
              <w:left w:val="single" w:sz="4" w:space="0" w:color="000000"/>
              <w:bottom w:val="nil"/>
              <w:right w:val="nil"/>
            </w:tcBorders>
            <w:noWrap/>
            <w:vAlign w:val="bottom"/>
            <w:hideMark/>
          </w:tcPr>
          <w:p w:rsidR="00446896" w:rsidRPr="00446896" w:rsidP="00446896" w14:paraId="72F071D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Respondent</w:t>
            </w:r>
          </w:p>
        </w:tc>
        <w:tc>
          <w:tcPr>
            <w:tcW w:w="1040" w:type="dxa"/>
            <w:tcBorders>
              <w:top w:val="nil"/>
              <w:left w:val="single" w:sz="4" w:space="0" w:color="000000"/>
              <w:bottom w:val="nil"/>
              <w:right w:val="single" w:sz="4" w:space="0" w:color="000000"/>
            </w:tcBorders>
            <w:noWrap/>
            <w:vAlign w:val="bottom"/>
            <w:hideMark/>
          </w:tcPr>
          <w:p w:rsidR="00446896" w:rsidRPr="00446896" w:rsidP="00446896" w14:paraId="0D4CFCD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Number of</w:t>
            </w:r>
          </w:p>
        </w:tc>
        <w:tc>
          <w:tcPr>
            <w:tcW w:w="1000" w:type="dxa"/>
            <w:tcBorders>
              <w:top w:val="nil"/>
              <w:left w:val="nil"/>
              <w:bottom w:val="nil"/>
              <w:right w:val="single" w:sz="4" w:space="0" w:color="000000"/>
            </w:tcBorders>
            <w:noWrap/>
            <w:vAlign w:val="bottom"/>
            <w:hideMark/>
          </w:tcPr>
          <w:p w:rsidR="00446896" w:rsidRPr="00446896" w:rsidP="00446896" w14:paraId="5D8B5CA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Hours</w:t>
            </w:r>
          </w:p>
        </w:tc>
        <w:tc>
          <w:tcPr>
            <w:tcW w:w="1020" w:type="dxa"/>
            <w:tcBorders>
              <w:top w:val="nil"/>
              <w:left w:val="nil"/>
              <w:bottom w:val="nil"/>
              <w:right w:val="nil"/>
            </w:tcBorders>
            <w:noWrap/>
            <w:vAlign w:val="bottom"/>
            <w:hideMark/>
          </w:tcPr>
          <w:p w:rsidR="00446896" w:rsidRPr="00446896" w:rsidP="00446896" w14:paraId="466E492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Number of</w:t>
            </w:r>
          </w:p>
        </w:tc>
        <w:tc>
          <w:tcPr>
            <w:tcW w:w="1000" w:type="dxa"/>
            <w:tcBorders>
              <w:top w:val="nil"/>
              <w:left w:val="single" w:sz="4" w:space="0" w:color="000000"/>
              <w:bottom w:val="nil"/>
              <w:right w:val="nil"/>
            </w:tcBorders>
            <w:noWrap/>
            <w:vAlign w:val="bottom"/>
            <w:hideMark/>
          </w:tcPr>
          <w:p w:rsidR="00446896" w:rsidRPr="00446896" w:rsidP="00446896" w14:paraId="0FF88EB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Technical</w:t>
            </w:r>
          </w:p>
        </w:tc>
        <w:tc>
          <w:tcPr>
            <w:tcW w:w="964" w:type="dxa"/>
            <w:tcBorders>
              <w:top w:val="nil"/>
              <w:left w:val="single" w:sz="4" w:space="0" w:color="000000"/>
              <w:bottom w:val="nil"/>
              <w:right w:val="nil"/>
            </w:tcBorders>
            <w:noWrap/>
            <w:vAlign w:val="bottom"/>
            <w:hideMark/>
          </w:tcPr>
          <w:p w:rsidR="00446896" w:rsidRPr="00446896" w:rsidP="00446896" w14:paraId="4D87FBD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Management</w:t>
            </w:r>
          </w:p>
        </w:tc>
        <w:tc>
          <w:tcPr>
            <w:tcW w:w="940" w:type="dxa"/>
            <w:tcBorders>
              <w:top w:val="nil"/>
              <w:left w:val="single" w:sz="4" w:space="0" w:color="000000"/>
              <w:bottom w:val="nil"/>
              <w:right w:val="single" w:sz="4" w:space="0" w:color="auto"/>
            </w:tcBorders>
            <w:noWrap/>
            <w:vAlign w:val="bottom"/>
            <w:hideMark/>
          </w:tcPr>
          <w:p w:rsidR="00446896" w:rsidRPr="00446896" w:rsidP="00446896" w14:paraId="74D6310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Clerical</w:t>
            </w:r>
          </w:p>
        </w:tc>
        <w:tc>
          <w:tcPr>
            <w:tcW w:w="1380" w:type="dxa"/>
            <w:tcBorders>
              <w:top w:val="nil"/>
              <w:left w:val="nil"/>
              <w:bottom w:val="nil"/>
              <w:right w:val="single" w:sz="8" w:space="0" w:color="auto"/>
            </w:tcBorders>
            <w:noWrap/>
            <w:vAlign w:val="bottom"/>
            <w:hideMark/>
          </w:tcPr>
          <w:p w:rsidR="00446896" w:rsidRPr="00446896" w:rsidP="00446896" w14:paraId="5823373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Total</w:t>
            </w:r>
          </w:p>
        </w:tc>
      </w:tr>
      <w:tr w14:paraId="36B500D4" w14:textId="77777777" w:rsidTr="00446896">
        <w:tblPrEx>
          <w:tblW w:w="12621" w:type="dxa"/>
          <w:tblInd w:w="118" w:type="dxa"/>
          <w:tblLook w:val="04A0"/>
        </w:tblPrEx>
        <w:trPr>
          <w:trHeight w:val="219"/>
        </w:trPr>
        <w:tc>
          <w:tcPr>
            <w:tcW w:w="4237" w:type="dxa"/>
            <w:vMerge/>
            <w:tcBorders>
              <w:top w:val="single" w:sz="8" w:space="0" w:color="auto"/>
              <w:left w:val="single" w:sz="8" w:space="0" w:color="auto"/>
              <w:bottom w:val="nil"/>
              <w:right w:val="nil"/>
            </w:tcBorders>
            <w:vAlign w:val="center"/>
            <w:hideMark/>
          </w:tcPr>
          <w:p w:rsidR="00446896" w:rsidRPr="00446896" w:rsidP="00446896" w14:paraId="5FAC19BB" w14:textId="77777777">
            <w:pPr>
              <w:spacing w:after="0" w:line="240" w:lineRule="auto"/>
              <w:rPr>
                <w:rFonts w:ascii="Arial" w:eastAsia="Times New Roman" w:hAnsi="Arial" w:cs="Arial"/>
                <w:sz w:val="16"/>
                <w:szCs w:val="16"/>
              </w:rPr>
            </w:pPr>
          </w:p>
        </w:tc>
        <w:tc>
          <w:tcPr>
            <w:tcW w:w="1040" w:type="dxa"/>
            <w:tcBorders>
              <w:top w:val="nil"/>
              <w:left w:val="single" w:sz="4" w:space="0" w:color="000000"/>
              <w:bottom w:val="nil"/>
              <w:right w:val="nil"/>
            </w:tcBorders>
            <w:noWrap/>
            <w:vAlign w:val="bottom"/>
            <w:hideMark/>
          </w:tcPr>
          <w:p w:rsidR="00446896" w:rsidRPr="00446896" w:rsidP="00446896" w14:paraId="6864004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Hours per</w:t>
            </w:r>
          </w:p>
        </w:tc>
        <w:tc>
          <w:tcPr>
            <w:tcW w:w="1040" w:type="dxa"/>
            <w:tcBorders>
              <w:top w:val="nil"/>
              <w:left w:val="single" w:sz="4" w:space="0" w:color="000000"/>
              <w:bottom w:val="nil"/>
              <w:right w:val="single" w:sz="4" w:space="0" w:color="000000"/>
            </w:tcBorders>
            <w:noWrap/>
            <w:vAlign w:val="bottom"/>
            <w:hideMark/>
          </w:tcPr>
          <w:p w:rsidR="00446896" w:rsidRPr="00446896" w:rsidP="00446896" w14:paraId="5F6CCDA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Occurrences</w:t>
            </w:r>
          </w:p>
        </w:tc>
        <w:tc>
          <w:tcPr>
            <w:tcW w:w="1000" w:type="dxa"/>
            <w:tcBorders>
              <w:top w:val="nil"/>
              <w:left w:val="nil"/>
              <w:bottom w:val="nil"/>
              <w:right w:val="single" w:sz="4" w:space="0" w:color="000000"/>
            </w:tcBorders>
            <w:noWrap/>
            <w:vAlign w:val="bottom"/>
            <w:hideMark/>
          </w:tcPr>
          <w:p w:rsidR="00446896" w:rsidRPr="00446896" w:rsidP="00446896" w14:paraId="6C1B9D7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w:t>
            </w:r>
          </w:p>
        </w:tc>
        <w:tc>
          <w:tcPr>
            <w:tcW w:w="1020" w:type="dxa"/>
            <w:tcBorders>
              <w:top w:val="nil"/>
              <w:left w:val="nil"/>
              <w:bottom w:val="nil"/>
              <w:right w:val="nil"/>
            </w:tcBorders>
            <w:noWrap/>
            <w:vAlign w:val="bottom"/>
            <w:hideMark/>
          </w:tcPr>
          <w:p w:rsidR="00446896" w:rsidRPr="00446896" w:rsidP="00446896" w14:paraId="7A75F2B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Respondents</w:t>
            </w:r>
          </w:p>
        </w:tc>
        <w:tc>
          <w:tcPr>
            <w:tcW w:w="1000" w:type="dxa"/>
            <w:tcBorders>
              <w:top w:val="nil"/>
              <w:left w:val="single" w:sz="4" w:space="0" w:color="000000"/>
              <w:bottom w:val="nil"/>
              <w:right w:val="nil"/>
            </w:tcBorders>
            <w:noWrap/>
            <w:vAlign w:val="bottom"/>
            <w:hideMark/>
          </w:tcPr>
          <w:p w:rsidR="00446896" w:rsidRPr="00446896" w:rsidP="00446896" w14:paraId="19EC5D5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Hours</w:t>
            </w:r>
          </w:p>
        </w:tc>
        <w:tc>
          <w:tcPr>
            <w:tcW w:w="964" w:type="dxa"/>
            <w:tcBorders>
              <w:top w:val="nil"/>
              <w:left w:val="single" w:sz="4" w:space="0" w:color="000000"/>
              <w:bottom w:val="nil"/>
              <w:right w:val="nil"/>
            </w:tcBorders>
            <w:noWrap/>
            <w:vAlign w:val="bottom"/>
            <w:hideMark/>
          </w:tcPr>
          <w:p w:rsidR="00446896" w:rsidRPr="00446896" w:rsidP="00446896" w14:paraId="1BC4F7B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Hours</w:t>
            </w:r>
          </w:p>
        </w:tc>
        <w:tc>
          <w:tcPr>
            <w:tcW w:w="940" w:type="dxa"/>
            <w:tcBorders>
              <w:top w:val="nil"/>
              <w:left w:val="single" w:sz="4" w:space="0" w:color="000000"/>
              <w:bottom w:val="nil"/>
              <w:right w:val="single" w:sz="4" w:space="0" w:color="auto"/>
            </w:tcBorders>
            <w:noWrap/>
            <w:vAlign w:val="bottom"/>
            <w:hideMark/>
          </w:tcPr>
          <w:p w:rsidR="00446896" w:rsidRPr="00446896" w:rsidP="00446896" w14:paraId="6E601B0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Hours</w:t>
            </w:r>
          </w:p>
        </w:tc>
        <w:tc>
          <w:tcPr>
            <w:tcW w:w="1380" w:type="dxa"/>
            <w:tcBorders>
              <w:top w:val="nil"/>
              <w:left w:val="nil"/>
              <w:bottom w:val="nil"/>
              <w:right w:val="single" w:sz="8" w:space="0" w:color="auto"/>
            </w:tcBorders>
            <w:noWrap/>
            <w:vAlign w:val="bottom"/>
            <w:hideMark/>
          </w:tcPr>
          <w:p w:rsidR="00446896" w:rsidRPr="00446896" w:rsidP="00446896" w14:paraId="77F96C1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Labor Costs</w:t>
            </w:r>
          </w:p>
        </w:tc>
      </w:tr>
      <w:tr w14:paraId="79110513" w14:textId="77777777" w:rsidTr="00446896">
        <w:tblPrEx>
          <w:tblW w:w="12621" w:type="dxa"/>
          <w:tblInd w:w="118" w:type="dxa"/>
          <w:tblLook w:val="04A0"/>
        </w:tblPrEx>
        <w:trPr>
          <w:trHeight w:val="219"/>
        </w:trPr>
        <w:tc>
          <w:tcPr>
            <w:tcW w:w="4237" w:type="dxa"/>
            <w:vMerge/>
            <w:tcBorders>
              <w:top w:val="single" w:sz="8" w:space="0" w:color="auto"/>
              <w:left w:val="single" w:sz="8" w:space="0" w:color="auto"/>
              <w:bottom w:val="nil"/>
              <w:right w:val="nil"/>
            </w:tcBorders>
            <w:vAlign w:val="center"/>
            <w:hideMark/>
          </w:tcPr>
          <w:p w:rsidR="00446896" w:rsidRPr="00446896" w:rsidP="00446896" w14:paraId="58EDA7B2" w14:textId="77777777">
            <w:pPr>
              <w:spacing w:after="0" w:line="240" w:lineRule="auto"/>
              <w:rPr>
                <w:rFonts w:ascii="Arial" w:eastAsia="Times New Roman" w:hAnsi="Arial" w:cs="Arial"/>
                <w:sz w:val="16"/>
                <w:szCs w:val="16"/>
              </w:rPr>
            </w:pPr>
          </w:p>
        </w:tc>
        <w:tc>
          <w:tcPr>
            <w:tcW w:w="1040" w:type="dxa"/>
            <w:tcBorders>
              <w:top w:val="nil"/>
              <w:left w:val="single" w:sz="4" w:space="0" w:color="000000"/>
              <w:bottom w:val="nil"/>
              <w:right w:val="nil"/>
            </w:tcBorders>
            <w:noWrap/>
            <w:vAlign w:val="bottom"/>
            <w:hideMark/>
          </w:tcPr>
          <w:p w:rsidR="00446896" w:rsidRPr="00446896" w:rsidP="00446896" w14:paraId="304739F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Occurrence</w:t>
            </w:r>
          </w:p>
        </w:tc>
        <w:tc>
          <w:tcPr>
            <w:tcW w:w="1040" w:type="dxa"/>
            <w:tcBorders>
              <w:top w:val="nil"/>
              <w:left w:val="single" w:sz="4" w:space="0" w:color="000000"/>
              <w:bottom w:val="nil"/>
              <w:right w:val="single" w:sz="4" w:space="0" w:color="000000"/>
            </w:tcBorders>
            <w:noWrap/>
            <w:vAlign w:val="bottom"/>
            <w:hideMark/>
          </w:tcPr>
          <w:p w:rsidR="00446896" w:rsidRPr="00446896" w:rsidP="00446896" w14:paraId="3787C4E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w:t>
            </w:r>
          </w:p>
        </w:tc>
        <w:tc>
          <w:tcPr>
            <w:tcW w:w="1000" w:type="dxa"/>
            <w:tcBorders>
              <w:top w:val="nil"/>
              <w:left w:val="nil"/>
              <w:bottom w:val="nil"/>
              <w:right w:val="single" w:sz="4" w:space="0" w:color="000000"/>
            </w:tcBorders>
            <w:noWrap/>
            <w:vAlign w:val="bottom"/>
            <w:hideMark/>
          </w:tcPr>
          <w:p w:rsidR="00446896" w:rsidRPr="00446896" w:rsidP="00446896" w14:paraId="6E9A65C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Respondent</w:t>
            </w:r>
          </w:p>
        </w:tc>
        <w:tc>
          <w:tcPr>
            <w:tcW w:w="1020" w:type="dxa"/>
            <w:tcBorders>
              <w:top w:val="nil"/>
              <w:left w:val="nil"/>
              <w:bottom w:val="nil"/>
              <w:right w:val="nil"/>
            </w:tcBorders>
            <w:noWrap/>
            <w:vAlign w:val="bottom"/>
            <w:hideMark/>
          </w:tcPr>
          <w:p w:rsidR="00446896" w:rsidRPr="00446896" w:rsidP="00446896" w14:paraId="3440620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Per Year </w:t>
            </w:r>
            <w:r w:rsidRPr="00446896">
              <w:rPr>
                <w:rFonts w:ascii="Arial" w:eastAsia="Times New Roman" w:hAnsi="Arial" w:cs="Arial"/>
                <w:sz w:val="16"/>
                <w:szCs w:val="16"/>
                <w:vertAlign w:val="superscript"/>
              </w:rPr>
              <w:t>a</w:t>
            </w:r>
          </w:p>
        </w:tc>
        <w:tc>
          <w:tcPr>
            <w:tcW w:w="1000" w:type="dxa"/>
            <w:tcBorders>
              <w:top w:val="nil"/>
              <w:left w:val="single" w:sz="4" w:space="0" w:color="000000"/>
              <w:bottom w:val="nil"/>
              <w:right w:val="nil"/>
            </w:tcBorders>
            <w:noWrap/>
            <w:vAlign w:val="bottom"/>
            <w:hideMark/>
          </w:tcPr>
          <w:p w:rsidR="00446896" w:rsidRPr="00446896" w:rsidP="00446896" w14:paraId="24FDB0C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 Year</w:t>
            </w:r>
          </w:p>
        </w:tc>
        <w:tc>
          <w:tcPr>
            <w:tcW w:w="964" w:type="dxa"/>
            <w:tcBorders>
              <w:top w:val="nil"/>
              <w:left w:val="single" w:sz="4" w:space="0" w:color="000000"/>
              <w:bottom w:val="nil"/>
              <w:right w:val="nil"/>
            </w:tcBorders>
            <w:noWrap/>
            <w:vAlign w:val="bottom"/>
            <w:hideMark/>
          </w:tcPr>
          <w:p w:rsidR="00446896" w:rsidRPr="00446896" w:rsidP="00446896" w14:paraId="3373EDB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 Year</w:t>
            </w:r>
          </w:p>
        </w:tc>
        <w:tc>
          <w:tcPr>
            <w:tcW w:w="940" w:type="dxa"/>
            <w:tcBorders>
              <w:top w:val="nil"/>
              <w:left w:val="single" w:sz="4" w:space="0" w:color="000000"/>
              <w:bottom w:val="nil"/>
              <w:right w:val="single" w:sz="4" w:space="0" w:color="auto"/>
            </w:tcBorders>
            <w:noWrap/>
            <w:vAlign w:val="bottom"/>
            <w:hideMark/>
          </w:tcPr>
          <w:p w:rsidR="00446896" w:rsidRPr="00446896" w:rsidP="00446896" w14:paraId="0173E93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 Year</w:t>
            </w:r>
          </w:p>
        </w:tc>
        <w:tc>
          <w:tcPr>
            <w:tcW w:w="1380" w:type="dxa"/>
            <w:tcBorders>
              <w:top w:val="nil"/>
              <w:left w:val="nil"/>
              <w:bottom w:val="nil"/>
              <w:right w:val="single" w:sz="8" w:space="0" w:color="auto"/>
            </w:tcBorders>
            <w:noWrap/>
            <w:vAlign w:val="bottom"/>
            <w:hideMark/>
          </w:tcPr>
          <w:p w:rsidR="00446896" w:rsidRPr="00446896" w:rsidP="00446896" w14:paraId="56C5B08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Per Year </w:t>
            </w:r>
            <w:r w:rsidRPr="00446896">
              <w:rPr>
                <w:rFonts w:ascii="Arial" w:eastAsia="Times New Roman" w:hAnsi="Arial" w:cs="Arial"/>
                <w:sz w:val="16"/>
                <w:szCs w:val="16"/>
                <w:vertAlign w:val="superscript"/>
              </w:rPr>
              <w:t>b</w:t>
            </w:r>
          </w:p>
        </w:tc>
      </w:tr>
      <w:tr w14:paraId="61109FD6" w14:textId="77777777" w:rsidTr="00446896">
        <w:tblPrEx>
          <w:tblW w:w="12621" w:type="dxa"/>
          <w:tblInd w:w="118" w:type="dxa"/>
          <w:tblLook w:val="04A0"/>
        </w:tblPrEx>
        <w:trPr>
          <w:trHeight w:val="219"/>
        </w:trPr>
        <w:tc>
          <w:tcPr>
            <w:tcW w:w="4237" w:type="dxa"/>
            <w:vMerge/>
            <w:tcBorders>
              <w:top w:val="single" w:sz="8" w:space="0" w:color="auto"/>
              <w:left w:val="single" w:sz="8" w:space="0" w:color="auto"/>
              <w:bottom w:val="nil"/>
              <w:right w:val="nil"/>
            </w:tcBorders>
            <w:vAlign w:val="center"/>
            <w:hideMark/>
          </w:tcPr>
          <w:p w:rsidR="00446896" w:rsidRPr="00446896" w:rsidP="00446896" w14:paraId="1CFCA8C2" w14:textId="77777777">
            <w:pPr>
              <w:spacing w:after="0" w:line="240" w:lineRule="auto"/>
              <w:rPr>
                <w:rFonts w:ascii="Arial" w:eastAsia="Times New Roman" w:hAnsi="Arial" w:cs="Arial"/>
                <w:sz w:val="16"/>
                <w:szCs w:val="16"/>
              </w:rPr>
            </w:pPr>
          </w:p>
        </w:tc>
        <w:tc>
          <w:tcPr>
            <w:tcW w:w="1040" w:type="dxa"/>
            <w:tcBorders>
              <w:top w:val="nil"/>
              <w:left w:val="single" w:sz="4" w:space="0" w:color="000000"/>
              <w:bottom w:val="nil"/>
              <w:right w:val="nil"/>
            </w:tcBorders>
            <w:noWrap/>
            <w:vAlign w:val="bottom"/>
            <w:hideMark/>
          </w:tcPr>
          <w:p w:rsidR="00446896" w:rsidRPr="00446896" w:rsidP="00446896" w14:paraId="23E2E1E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(Technical</w:t>
            </w:r>
          </w:p>
        </w:tc>
        <w:tc>
          <w:tcPr>
            <w:tcW w:w="1040" w:type="dxa"/>
            <w:tcBorders>
              <w:top w:val="nil"/>
              <w:left w:val="single" w:sz="4" w:space="0" w:color="000000"/>
              <w:bottom w:val="nil"/>
              <w:right w:val="single" w:sz="4" w:space="0" w:color="000000"/>
            </w:tcBorders>
            <w:noWrap/>
            <w:vAlign w:val="bottom"/>
            <w:hideMark/>
          </w:tcPr>
          <w:p w:rsidR="00446896" w:rsidRPr="00446896" w:rsidP="00446896" w14:paraId="520078E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Respondent</w:t>
            </w:r>
          </w:p>
        </w:tc>
        <w:tc>
          <w:tcPr>
            <w:tcW w:w="1000" w:type="dxa"/>
            <w:tcBorders>
              <w:top w:val="nil"/>
              <w:left w:val="nil"/>
              <w:bottom w:val="nil"/>
              <w:right w:val="single" w:sz="4" w:space="0" w:color="000000"/>
            </w:tcBorders>
            <w:noWrap/>
            <w:vAlign w:val="bottom"/>
            <w:hideMark/>
          </w:tcPr>
          <w:p w:rsidR="00446896" w:rsidRPr="00446896" w:rsidP="00446896" w14:paraId="772B6C5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 Year</w:t>
            </w:r>
          </w:p>
        </w:tc>
        <w:tc>
          <w:tcPr>
            <w:tcW w:w="1020" w:type="dxa"/>
            <w:tcBorders>
              <w:top w:val="nil"/>
              <w:left w:val="nil"/>
              <w:bottom w:val="nil"/>
              <w:right w:val="nil"/>
            </w:tcBorders>
            <w:noWrap/>
            <w:vAlign w:val="bottom"/>
            <w:hideMark/>
          </w:tcPr>
          <w:p w:rsidR="00446896" w:rsidRPr="00446896" w:rsidP="00446896" w14:paraId="57E9374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single" w:sz="4" w:space="0" w:color="000000"/>
              <w:bottom w:val="nil"/>
              <w:right w:val="nil"/>
            </w:tcBorders>
            <w:noWrap/>
            <w:vAlign w:val="bottom"/>
            <w:hideMark/>
          </w:tcPr>
          <w:p w:rsidR="00446896" w:rsidRPr="00446896" w:rsidP="00446896" w14:paraId="28FB673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single" w:sz="4" w:space="0" w:color="000000"/>
              <w:bottom w:val="nil"/>
              <w:right w:val="nil"/>
            </w:tcBorders>
            <w:noWrap/>
            <w:vAlign w:val="bottom"/>
            <w:hideMark/>
          </w:tcPr>
          <w:p w:rsidR="00446896" w:rsidRPr="00446896" w:rsidP="00446896" w14:paraId="4FB314C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single" w:sz="4" w:space="0" w:color="000000"/>
              <w:bottom w:val="nil"/>
              <w:right w:val="single" w:sz="4" w:space="0" w:color="auto"/>
            </w:tcBorders>
            <w:noWrap/>
            <w:vAlign w:val="bottom"/>
            <w:hideMark/>
          </w:tcPr>
          <w:p w:rsidR="00446896" w:rsidRPr="00446896" w:rsidP="00446896" w14:paraId="242FE1F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nil"/>
              <w:right w:val="single" w:sz="8" w:space="0" w:color="auto"/>
            </w:tcBorders>
            <w:noWrap/>
            <w:vAlign w:val="bottom"/>
            <w:hideMark/>
          </w:tcPr>
          <w:p w:rsidR="00446896" w:rsidRPr="00446896" w:rsidP="00446896" w14:paraId="5BFBAC5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r>
      <w:tr w14:paraId="32E554DB" w14:textId="77777777" w:rsidTr="00446896">
        <w:tblPrEx>
          <w:tblW w:w="12621" w:type="dxa"/>
          <w:tblInd w:w="118" w:type="dxa"/>
          <w:tblLook w:val="04A0"/>
        </w:tblPrEx>
        <w:trPr>
          <w:trHeight w:val="219"/>
        </w:trPr>
        <w:tc>
          <w:tcPr>
            <w:tcW w:w="4237" w:type="dxa"/>
            <w:vMerge/>
            <w:tcBorders>
              <w:top w:val="single" w:sz="8" w:space="0" w:color="auto"/>
              <w:left w:val="single" w:sz="8" w:space="0" w:color="auto"/>
              <w:bottom w:val="nil"/>
              <w:right w:val="nil"/>
            </w:tcBorders>
            <w:vAlign w:val="center"/>
            <w:hideMark/>
          </w:tcPr>
          <w:p w:rsidR="00446896" w:rsidRPr="00446896" w:rsidP="00446896" w14:paraId="55D0C116" w14:textId="77777777">
            <w:pPr>
              <w:spacing w:after="0" w:line="240" w:lineRule="auto"/>
              <w:rPr>
                <w:rFonts w:ascii="Arial" w:eastAsia="Times New Roman" w:hAnsi="Arial" w:cs="Arial"/>
                <w:sz w:val="16"/>
                <w:szCs w:val="16"/>
              </w:rPr>
            </w:pPr>
          </w:p>
        </w:tc>
        <w:tc>
          <w:tcPr>
            <w:tcW w:w="1040" w:type="dxa"/>
            <w:tcBorders>
              <w:top w:val="nil"/>
              <w:left w:val="single" w:sz="4" w:space="0" w:color="000000"/>
              <w:bottom w:val="single" w:sz="8" w:space="0" w:color="auto"/>
              <w:right w:val="nil"/>
            </w:tcBorders>
            <w:noWrap/>
            <w:vAlign w:val="bottom"/>
            <w:hideMark/>
          </w:tcPr>
          <w:p w:rsidR="00446896" w:rsidRPr="00446896" w:rsidP="00446896" w14:paraId="448C5BD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hours)</w:t>
            </w:r>
          </w:p>
        </w:tc>
        <w:tc>
          <w:tcPr>
            <w:tcW w:w="1040" w:type="dxa"/>
            <w:tcBorders>
              <w:top w:val="nil"/>
              <w:left w:val="single" w:sz="4" w:space="0" w:color="000000"/>
              <w:bottom w:val="single" w:sz="8" w:space="0" w:color="auto"/>
              <w:right w:val="single" w:sz="4" w:space="0" w:color="000000"/>
            </w:tcBorders>
            <w:noWrap/>
            <w:vAlign w:val="bottom"/>
            <w:hideMark/>
          </w:tcPr>
          <w:p w:rsidR="00446896" w:rsidRPr="00446896" w:rsidP="00446896" w14:paraId="57ACCBD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Per Year</w:t>
            </w:r>
          </w:p>
        </w:tc>
        <w:tc>
          <w:tcPr>
            <w:tcW w:w="1000" w:type="dxa"/>
            <w:tcBorders>
              <w:top w:val="nil"/>
              <w:left w:val="nil"/>
              <w:bottom w:val="single" w:sz="8" w:space="0" w:color="auto"/>
              <w:right w:val="single" w:sz="4" w:space="0" w:color="000000"/>
            </w:tcBorders>
            <w:noWrap/>
            <w:vAlign w:val="bottom"/>
            <w:hideMark/>
          </w:tcPr>
          <w:p w:rsidR="00446896" w:rsidRPr="00446896" w:rsidP="00446896" w14:paraId="1B156E9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(C=A x B)</w:t>
            </w:r>
          </w:p>
        </w:tc>
        <w:tc>
          <w:tcPr>
            <w:tcW w:w="1020" w:type="dxa"/>
            <w:tcBorders>
              <w:top w:val="nil"/>
              <w:left w:val="nil"/>
              <w:bottom w:val="single" w:sz="8" w:space="0" w:color="auto"/>
              <w:right w:val="nil"/>
            </w:tcBorders>
            <w:noWrap/>
            <w:vAlign w:val="bottom"/>
            <w:hideMark/>
          </w:tcPr>
          <w:p w:rsidR="00446896" w:rsidRPr="00446896" w:rsidP="00446896" w14:paraId="2040957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single" w:sz="4" w:space="0" w:color="000000"/>
              <w:bottom w:val="single" w:sz="8" w:space="0" w:color="auto"/>
              <w:right w:val="nil"/>
            </w:tcBorders>
            <w:noWrap/>
            <w:vAlign w:val="bottom"/>
            <w:hideMark/>
          </w:tcPr>
          <w:p w:rsidR="00446896" w:rsidRPr="00446896" w:rsidP="00446896" w14:paraId="68B38ED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(C x D)</w:t>
            </w:r>
          </w:p>
        </w:tc>
        <w:tc>
          <w:tcPr>
            <w:tcW w:w="964" w:type="dxa"/>
            <w:tcBorders>
              <w:top w:val="nil"/>
              <w:left w:val="single" w:sz="4" w:space="0" w:color="000000"/>
              <w:bottom w:val="single" w:sz="8" w:space="0" w:color="auto"/>
              <w:right w:val="nil"/>
            </w:tcBorders>
            <w:noWrap/>
            <w:vAlign w:val="bottom"/>
            <w:hideMark/>
          </w:tcPr>
          <w:p w:rsidR="00446896" w:rsidRPr="00446896" w:rsidP="00446896" w14:paraId="4B7B8AF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(E x 0.05)</w:t>
            </w:r>
          </w:p>
        </w:tc>
        <w:tc>
          <w:tcPr>
            <w:tcW w:w="940" w:type="dxa"/>
            <w:tcBorders>
              <w:top w:val="nil"/>
              <w:left w:val="single" w:sz="4" w:space="0" w:color="000000"/>
              <w:bottom w:val="single" w:sz="8" w:space="0" w:color="auto"/>
              <w:right w:val="single" w:sz="4" w:space="0" w:color="auto"/>
            </w:tcBorders>
            <w:noWrap/>
            <w:vAlign w:val="bottom"/>
            <w:hideMark/>
          </w:tcPr>
          <w:p w:rsidR="00446896" w:rsidRPr="00446896" w:rsidP="00446896" w14:paraId="5D8E52A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(E x 0.1)</w:t>
            </w:r>
          </w:p>
        </w:tc>
        <w:tc>
          <w:tcPr>
            <w:tcW w:w="1380" w:type="dxa"/>
            <w:tcBorders>
              <w:top w:val="nil"/>
              <w:left w:val="nil"/>
              <w:bottom w:val="single" w:sz="8" w:space="0" w:color="auto"/>
              <w:right w:val="single" w:sz="8" w:space="0" w:color="auto"/>
            </w:tcBorders>
            <w:noWrap/>
            <w:vAlign w:val="bottom"/>
            <w:hideMark/>
          </w:tcPr>
          <w:p w:rsidR="00446896" w:rsidRPr="00446896" w:rsidP="00446896" w14:paraId="3805003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r>
      <w:tr w14:paraId="7868BBFC" w14:textId="77777777" w:rsidTr="00446896">
        <w:tblPrEx>
          <w:tblW w:w="12621" w:type="dxa"/>
          <w:tblInd w:w="118" w:type="dxa"/>
          <w:tblLook w:val="04A0"/>
        </w:tblPrEx>
        <w:trPr>
          <w:trHeight w:val="300"/>
        </w:trPr>
        <w:tc>
          <w:tcPr>
            <w:tcW w:w="4237" w:type="dxa"/>
            <w:tcBorders>
              <w:top w:val="single" w:sz="4" w:space="0" w:color="auto"/>
              <w:left w:val="single" w:sz="4" w:space="0" w:color="auto"/>
              <w:bottom w:val="single" w:sz="4" w:space="0" w:color="auto"/>
              <w:right w:val="single" w:sz="4" w:space="0" w:color="auto"/>
            </w:tcBorders>
            <w:noWrap/>
            <w:vAlign w:val="center"/>
            <w:hideMark/>
          </w:tcPr>
          <w:p w:rsidR="00446896" w:rsidRPr="00446896" w:rsidP="00446896" w14:paraId="22F53578"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1. Applications</w:t>
            </w:r>
          </w:p>
        </w:tc>
        <w:tc>
          <w:tcPr>
            <w:tcW w:w="1040" w:type="dxa"/>
            <w:tcBorders>
              <w:top w:val="nil"/>
              <w:left w:val="nil"/>
              <w:bottom w:val="single" w:sz="4" w:space="0" w:color="000000"/>
              <w:right w:val="nil"/>
            </w:tcBorders>
            <w:shd w:val="clear" w:color="000000" w:fill="FFFFFF"/>
            <w:noWrap/>
            <w:vAlign w:val="bottom"/>
            <w:hideMark/>
          </w:tcPr>
          <w:p w:rsidR="00446896" w:rsidRPr="00446896" w:rsidP="00446896" w14:paraId="3411034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N/A</w:t>
            </w:r>
          </w:p>
        </w:tc>
        <w:tc>
          <w:tcPr>
            <w:tcW w:w="1040" w:type="dxa"/>
            <w:tcBorders>
              <w:top w:val="nil"/>
              <w:left w:val="single" w:sz="4" w:space="0" w:color="000000"/>
              <w:bottom w:val="single" w:sz="4" w:space="0" w:color="000000"/>
              <w:right w:val="single" w:sz="4" w:space="0" w:color="000000"/>
            </w:tcBorders>
            <w:noWrap/>
            <w:vAlign w:val="center"/>
            <w:hideMark/>
          </w:tcPr>
          <w:p w:rsidR="00446896" w:rsidRPr="00446896" w:rsidP="00446896" w14:paraId="0BB6931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7636390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nil"/>
              <w:right w:val="single" w:sz="4" w:space="0" w:color="000000"/>
            </w:tcBorders>
            <w:noWrap/>
            <w:vAlign w:val="center"/>
            <w:hideMark/>
          </w:tcPr>
          <w:p w:rsidR="00446896" w:rsidRPr="00446896" w:rsidP="00446896" w14:paraId="19362FD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nil"/>
              <w:right w:val="single" w:sz="4" w:space="0" w:color="000000"/>
            </w:tcBorders>
            <w:noWrap/>
            <w:vAlign w:val="center"/>
            <w:hideMark/>
          </w:tcPr>
          <w:p w:rsidR="00446896" w:rsidRPr="00446896" w:rsidP="00446896" w14:paraId="4ED6E9D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nil"/>
              <w:right w:val="single" w:sz="4" w:space="0" w:color="000000"/>
            </w:tcBorders>
            <w:noWrap/>
            <w:vAlign w:val="center"/>
            <w:hideMark/>
          </w:tcPr>
          <w:p w:rsidR="00446896" w:rsidRPr="00446896" w:rsidP="00446896" w14:paraId="25D655B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2AA3418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000000"/>
              <w:right w:val="single" w:sz="8" w:space="0" w:color="auto"/>
            </w:tcBorders>
            <w:noWrap/>
            <w:vAlign w:val="center"/>
            <w:hideMark/>
          </w:tcPr>
          <w:p w:rsidR="00446896" w:rsidRPr="00446896" w:rsidP="00446896" w14:paraId="54165932"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5C398812"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6500B72B"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2. Surveys and Studies</w:t>
            </w:r>
          </w:p>
        </w:tc>
        <w:tc>
          <w:tcPr>
            <w:tcW w:w="1040" w:type="dxa"/>
            <w:tcBorders>
              <w:top w:val="nil"/>
              <w:left w:val="nil"/>
              <w:bottom w:val="nil"/>
              <w:right w:val="nil"/>
            </w:tcBorders>
            <w:shd w:val="clear" w:color="000000" w:fill="FFFFFF"/>
            <w:noWrap/>
            <w:vAlign w:val="bottom"/>
            <w:hideMark/>
          </w:tcPr>
          <w:p w:rsidR="00446896" w:rsidRPr="00446896" w:rsidP="00446896" w14:paraId="677FD9F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N/A</w:t>
            </w:r>
          </w:p>
        </w:tc>
        <w:tc>
          <w:tcPr>
            <w:tcW w:w="1040" w:type="dxa"/>
            <w:tcBorders>
              <w:top w:val="nil"/>
              <w:left w:val="single" w:sz="4" w:space="0" w:color="000000"/>
              <w:bottom w:val="nil"/>
              <w:right w:val="single" w:sz="4" w:space="0" w:color="000000"/>
            </w:tcBorders>
            <w:noWrap/>
            <w:vAlign w:val="center"/>
            <w:hideMark/>
          </w:tcPr>
          <w:p w:rsidR="00446896" w:rsidRPr="00446896" w:rsidP="00446896" w14:paraId="2ED8CCE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nil"/>
              <w:right w:val="nil"/>
            </w:tcBorders>
            <w:noWrap/>
            <w:vAlign w:val="center"/>
            <w:hideMark/>
          </w:tcPr>
          <w:p w:rsidR="00446896" w:rsidRPr="00446896" w:rsidP="00446896" w14:paraId="4E3A091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single" w:sz="4" w:space="0" w:color="auto"/>
              <w:left w:val="single" w:sz="4" w:space="0" w:color="auto"/>
              <w:bottom w:val="nil"/>
              <w:right w:val="nil"/>
            </w:tcBorders>
            <w:noWrap/>
            <w:vAlign w:val="center"/>
            <w:hideMark/>
          </w:tcPr>
          <w:p w:rsidR="00446896" w:rsidRPr="00446896" w:rsidP="00446896" w14:paraId="237BC0A0"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single" w:sz="4" w:space="0" w:color="auto"/>
              <w:left w:val="single" w:sz="4" w:space="0" w:color="auto"/>
              <w:bottom w:val="nil"/>
              <w:right w:val="single" w:sz="4" w:space="0" w:color="auto"/>
            </w:tcBorders>
            <w:noWrap/>
            <w:vAlign w:val="center"/>
            <w:hideMark/>
          </w:tcPr>
          <w:p w:rsidR="00446896" w:rsidRPr="00446896" w:rsidP="00446896" w14:paraId="5D998AF9"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single" w:sz="4" w:space="0" w:color="auto"/>
              <w:left w:val="nil"/>
              <w:bottom w:val="nil"/>
              <w:right w:val="single" w:sz="4" w:space="0" w:color="auto"/>
            </w:tcBorders>
            <w:noWrap/>
            <w:vAlign w:val="center"/>
            <w:hideMark/>
          </w:tcPr>
          <w:p w:rsidR="00446896" w:rsidRPr="00446896" w:rsidP="00446896" w14:paraId="66754BEB"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nil"/>
              <w:right w:val="single" w:sz="4" w:space="0" w:color="auto"/>
            </w:tcBorders>
            <w:noWrap/>
            <w:vAlign w:val="center"/>
            <w:hideMark/>
          </w:tcPr>
          <w:p w:rsidR="00446896" w:rsidRPr="00446896" w:rsidP="00446896" w14:paraId="3CEE71E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nil"/>
              <w:right w:val="single" w:sz="8" w:space="0" w:color="auto"/>
            </w:tcBorders>
            <w:noWrap/>
            <w:vAlign w:val="center"/>
            <w:hideMark/>
          </w:tcPr>
          <w:p w:rsidR="00446896" w:rsidRPr="00446896" w:rsidP="00446896" w14:paraId="22957F18"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4F05CA62"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2625F7E7"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3. Reporting Requirements</w:t>
            </w:r>
          </w:p>
        </w:tc>
        <w:tc>
          <w:tcPr>
            <w:tcW w:w="1040" w:type="dxa"/>
            <w:tcBorders>
              <w:top w:val="single" w:sz="4" w:space="0" w:color="auto"/>
              <w:left w:val="nil"/>
              <w:bottom w:val="single" w:sz="4" w:space="0" w:color="auto"/>
              <w:right w:val="single" w:sz="4" w:space="0" w:color="auto"/>
            </w:tcBorders>
            <w:noWrap/>
            <w:vAlign w:val="center"/>
            <w:hideMark/>
          </w:tcPr>
          <w:p w:rsidR="00446896" w:rsidRPr="00446896" w:rsidP="00446896" w14:paraId="19A418D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single" w:sz="4" w:space="0" w:color="auto"/>
              <w:left w:val="nil"/>
              <w:bottom w:val="single" w:sz="4" w:space="0" w:color="auto"/>
              <w:right w:val="single" w:sz="4" w:space="0" w:color="auto"/>
            </w:tcBorders>
            <w:noWrap/>
            <w:vAlign w:val="center"/>
            <w:hideMark/>
          </w:tcPr>
          <w:p w:rsidR="00446896" w:rsidRPr="00446896" w:rsidP="00446896" w14:paraId="47597AE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single" w:sz="4" w:space="0" w:color="auto"/>
              <w:left w:val="nil"/>
              <w:bottom w:val="single" w:sz="4" w:space="0" w:color="auto"/>
              <w:right w:val="single" w:sz="4" w:space="0" w:color="auto"/>
            </w:tcBorders>
            <w:noWrap/>
            <w:vAlign w:val="center"/>
            <w:hideMark/>
          </w:tcPr>
          <w:p w:rsidR="00446896" w:rsidRPr="00446896" w:rsidP="00446896" w14:paraId="4ECC830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single" w:sz="4" w:space="0" w:color="auto"/>
              <w:left w:val="nil"/>
              <w:bottom w:val="single" w:sz="4" w:space="0" w:color="auto"/>
              <w:right w:val="single" w:sz="4" w:space="0" w:color="auto"/>
            </w:tcBorders>
            <w:noWrap/>
            <w:vAlign w:val="center"/>
            <w:hideMark/>
          </w:tcPr>
          <w:p w:rsidR="00446896" w:rsidRPr="00446896" w:rsidP="00446896" w14:paraId="16CB633C" w14:textId="77777777">
            <w:pPr>
              <w:spacing w:after="0" w:line="240" w:lineRule="auto"/>
              <w:jc w:val="center"/>
              <w:rPr>
                <w:rFonts w:ascii="Arial" w:eastAsia="Times New Roman" w:hAnsi="Arial" w:cs="Arial"/>
                <w:sz w:val="44"/>
                <w:szCs w:val="44"/>
              </w:rPr>
            </w:pPr>
            <w:r w:rsidRPr="00446896">
              <w:rPr>
                <w:rFonts w:ascii="Arial" w:eastAsia="Times New Roman" w:hAnsi="Arial" w:cs="Arial"/>
                <w:sz w:val="44"/>
                <w:szCs w:val="44"/>
              </w:rPr>
              <w:t> </w:t>
            </w:r>
          </w:p>
        </w:tc>
        <w:tc>
          <w:tcPr>
            <w:tcW w:w="1000" w:type="dxa"/>
            <w:tcBorders>
              <w:top w:val="single" w:sz="4" w:space="0" w:color="auto"/>
              <w:left w:val="nil"/>
              <w:bottom w:val="single" w:sz="4" w:space="0" w:color="auto"/>
              <w:right w:val="single" w:sz="4" w:space="0" w:color="auto"/>
            </w:tcBorders>
            <w:noWrap/>
            <w:vAlign w:val="center"/>
            <w:hideMark/>
          </w:tcPr>
          <w:p w:rsidR="00446896" w:rsidRPr="00446896" w:rsidP="00446896" w14:paraId="13AAB76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single" w:sz="4" w:space="0" w:color="auto"/>
              <w:left w:val="nil"/>
              <w:bottom w:val="single" w:sz="4" w:space="0" w:color="auto"/>
              <w:right w:val="single" w:sz="4" w:space="0" w:color="auto"/>
            </w:tcBorders>
            <w:noWrap/>
            <w:vAlign w:val="center"/>
            <w:hideMark/>
          </w:tcPr>
          <w:p w:rsidR="00446896" w:rsidRPr="00446896" w:rsidP="00446896" w14:paraId="174AFCF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single" w:sz="4" w:space="0" w:color="auto"/>
              <w:left w:val="nil"/>
              <w:bottom w:val="single" w:sz="4" w:space="0" w:color="auto"/>
              <w:right w:val="single" w:sz="4" w:space="0" w:color="auto"/>
            </w:tcBorders>
            <w:noWrap/>
            <w:vAlign w:val="center"/>
            <w:hideMark/>
          </w:tcPr>
          <w:p w:rsidR="00446896" w:rsidRPr="00446896" w:rsidP="00446896" w14:paraId="32D7E7C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single" w:sz="4" w:space="0" w:color="auto"/>
              <w:left w:val="nil"/>
              <w:bottom w:val="single" w:sz="4" w:space="0" w:color="auto"/>
              <w:right w:val="single" w:sz="8" w:space="0" w:color="auto"/>
            </w:tcBorders>
            <w:noWrap/>
            <w:vAlign w:val="center"/>
            <w:hideMark/>
          </w:tcPr>
          <w:p w:rsidR="00446896" w:rsidRPr="00446896" w:rsidP="00446896" w14:paraId="1FE27DEE"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7EDE18C2"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2C31F0E9" w14:textId="489A7717">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A. Familiarization with Regulatory Requirements </w:t>
            </w:r>
            <w:r w:rsidRPr="00446896">
              <w:rPr>
                <w:rFonts w:ascii="Arial" w:eastAsia="Times New Roman" w:hAnsi="Arial" w:cs="Arial"/>
                <w:sz w:val="16"/>
                <w:szCs w:val="16"/>
                <w:vertAlign w:val="superscript"/>
              </w:rPr>
              <w:t>e,n</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2F3F64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43C079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DFCFB9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D4D66E3" w14:textId="77777777">
            <w:pPr>
              <w:spacing w:after="0" w:line="240" w:lineRule="auto"/>
              <w:jc w:val="center"/>
              <w:rPr>
                <w:rFonts w:ascii="Arial" w:eastAsia="Times New Roman" w:hAnsi="Arial" w:cs="Arial"/>
                <w:sz w:val="44"/>
                <w:szCs w:val="44"/>
              </w:rPr>
            </w:pPr>
            <w:r w:rsidRPr="00446896">
              <w:rPr>
                <w:rFonts w:ascii="Arial" w:eastAsia="Times New Roman" w:hAnsi="Arial" w:cs="Arial"/>
                <w:sz w:val="44"/>
                <w:szCs w:val="44"/>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D70FCC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29EA1A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1AAB8BE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2241FA0"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46BC2EC2"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bottom"/>
            <w:hideMark/>
          </w:tcPr>
          <w:p w:rsidR="00446896" w:rsidRPr="00446896" w:rsidP="00446896" w14:paraId="2968D04D" w14:textId="2F6D3AB5">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1) Existing respondents</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50BDD5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336EB0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CE373F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0CE581D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BB2A8C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104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00304A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3ED5A93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25C9B89D"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$16,381 </w:t>
            </w:r>
          </w:p>
        </w:tc>
      </w:tr>
      <w:tr w14:paraId="41261EFB"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3C5AAC82" w14:textId="0D843FC8">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2) New respondents</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D98BD8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320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7AB0C9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80F4AD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DB6B3E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51FAB2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AF6177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4DEE11D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12EF2D1"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19F707F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6E7F61F7" w14:textId="1F3DA9AF">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B. Required Activities</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7DE385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323515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CF56A1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7DF430F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C06BB6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494F880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0B223DD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3BAA93DB"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1580652E"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34FA16B4" w14:textId="128F193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1) Initial performance test, sampling, and report</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945CE2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602BB6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1DC6DC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706B714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4E6C8A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4AB95B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459C57E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9E58733"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12D40804"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CD2460" w14:paraId="79B64B48" w14:textId="523FEA24">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a) Process Vents </w:t>
            </w:r>
            <w:r w:rsidRPr="00446896">
              <w:rPr>
                <w:rFonts w:ascii="Arial" w:eastAsia="Times New Roman" w:hAnsi="Arial" w:cs="Arial"/>
                <w:sz w:val="16"/>
                <w:szCs w:val="16"/>
                <w:vertAlign w:val="superscript"/>
              </w:rPr>
              <w:t>c,e</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173047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48008A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ED8AEF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9BCC10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944E83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38DE0F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24FD6E0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2971EE6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00FAFBE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6B443B12" w14:textId="035961FE">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b) Resins </w:t>
            </w:r>
            <w:r w:rsidRPr="00446896">
              <w:rPr>
                <w:rFonts w:ascii="Arial" w:eastAsia="Times New Roman" w:hAnsi="Arial" w:cs="Arial"/>
                <w:sz w:val="16"/>
                <w:szCs w:val="16"/>
                <w:vertAlign w:val="superscript"/>
              </w:rPr>
              <w:t>c,g</w:t>
            </w:r>
            <w:r w:rsidRPr="00446896">
              <w:rPr>
                <w:rFonts w:ascii="Arial" w:eastAsia="Times New Roman" w:hAnsi="Arial" w:cs="Arial"/>
                <w:sz w:val="16"/>
                <w:szCs w:val="16"/>
              </w:rPr>
              <w:t xml:space="preserve">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39B158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36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F95BCC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E77E4E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36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894434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AE52BA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24C9202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2E35A9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77187986"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3408339F"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379D6CF5" w14:textId="7FBBB56C">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c) wastewater </w:t>
            </w:r>
            <w:r w:rsidRPr="00446896">
              <w:rPr>
                <w:rFonts w:ascii="Arial" w:eastAsia="Times New Roman" w:hAnsi="Arial" w:cs="Arial"/>
                <w:sz w:val="16"/>
                <w:szCs w:val="16"/>
                <w:vertAlign w:val="superscript"/>
              </w:rPr>
              <w:t>c,h</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D69CFC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F54728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5BBC86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40047D0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73C317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2B4221C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2316CC0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3C9ED2C2"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236FF0D7"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39B117C1" w14:textId="332F9062">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d) uncontrolled wastewater </w:t>
            </w:r>
            <w:r w:rsidRPr="00446896">
              <w:rPr>
                <w:rFonts w:ascii="Arial" w:eastAsia="Times New Roman" w:hAnsi="Arial" w:cs="Arial"/>
                <w:sz w:val="16"/>
                <w:szCs w:val="16"/>
                <w:vertAlign w:val="superscript"/>
              </w:rPr>
              <w:t>c,h</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9E91B6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ECD4BE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4E4F48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E86515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1EC209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AAB4FD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921F4A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06B3311E"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532C7A8E"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187730A4" w14:textId="48C06E5A">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e) heat exchangers </w:t>
            </w:r>
            <w:r w:rsidRPr="00446896">
              <w:rPr>
                <w:rFonts w:ascii="Arial" w:eastAsia="Times New Roman" w:hAnsi="Arial" w:cs="Arial"/>
                <w:sz w:val="16"/>
                <w:szCs w:val="16"/>
                <w:vertAlign w:val="superscript"/>
              </w:rPr>
              <w:t>c,i</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F91B07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8</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32B712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4A0367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01572D0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86771A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3802D8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675E42F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263B7CB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5B79F29D"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6C668003" w14:textId="1DFC9E5E">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f) equipment leaks </w:t>
            </w:r>
            <w:r w:rsidRPr="00446896">
              <w:rPr>
                <w:rFonts w:ascii="Arial" w:eastAsia="Times New Roman" w:hAnsi="Arial" w:cs="Arial"/>
                <w:sz w:val="16"/>
                <w:szCs w:val="16"/>
                <w:vertAlign w:val="superscript"/>
              </w:rPr>
              <w:t>c,j</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349D88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850</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305243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74C068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850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AA38F7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FC3659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261DA69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A8C493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2E2A252"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6FA762D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705D4E2B" w14:textId="27D86D33">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2) Periodic performance test, sampling, and report</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68CBF5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095EA1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2423AA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1D0679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322E6A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CF80DA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2330B03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DE4DAB7"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54059781"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CD2460" w14:paraId="0386B895" w14:textId="5E012449">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a) Process Vents</w:t>
            </w:r>
            <w:r w:rsidRPr="00446896">
              <w:rPr>
                <w:rFonts w:ascii="Arial" w:eastAsia="Times New Roman" w:hAnsi="Arial" w:cs="Arial"/>
                <w:sz w:val="16"/>
                <w:szCs w:val="16"/>
                <w:vertAlign w:val="superscript"/>
              </w:rPr>
              <w:t xml:space="preserve"> f</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263D8B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17.1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B7D9AE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350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CAB7EA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5985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A25DEFA"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9E7D34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77,805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1DA1C01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3,890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6153C02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7,781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65003531"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$12,254,793.23 </w:t>
            </w:r>
          </w:p>
        </w:tc>
      </w:tr>
      <w:tr w14:paraId="68E47833"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75920F9E" w14:textId="7D064329">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b) Resins </w:t>
            </w:r>
            <w:r w:rsidRPr="00446896">
              <w:rPr>
                <w:rFonts w:ascii="Arial" w:eastAsia="Times New Roman" w:hAnsi="Arial" w:cs="Arial"/>
                <w:sz w:val="16"/>
                <w:szCs w:val="16"/>
                <w:vertAlign w:val="superscript"/>
              </w:rPr>
              <w:t>g</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F6E25D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36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FAEBCA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362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D87AC1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13032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48E16690"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A28805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169,416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4ED0AE9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8,471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36C6FC5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16,942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0ACCABB8"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$26,684,121 </w:t>
            </w:r>
          </w:p>
        </w:tc>
      </w:tr>
      <w:tr w14:paraId="541F8FE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1FE42BE0" w14:textId="0D3B2FF9">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c) wastewater </w:t>
            </w:r>
            <w:r w:rsidRPr="00446896">
              <w:rPr>
                <w:rFonts w:ascii="Arial" w:eastAsia="Times New Roman" w:hAnsi="Arial" w:cs="Arial"/>
                <w:sz w:val="16"/>
                <w:szCs w:val="16"/>
                <w:vertAlign w:val="superscript"/>
              </w:rPr>
              <w:t>h</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F73E0B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B80394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12305A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96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79BD66B"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07D940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1,248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CA56DA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62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416C324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125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6ED09CE3"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$196,568.11 </w:t>
            </w:r>
          </w:p>
        </w:tc>
      </w:tr>
      <w:tr w14:paraId="78865BA4"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59E13A75" w14:textId="0F601BD8">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d) uncontrolled wastewater </w:t>
            </w:r>
            <w:r w:rsidRPr="00446896">
              <w:rPr>
                <w:rFonts w:ascii="Arial" w:eastAsia="Times New Roman" w:hAnsi="Arial" w:cs="Arial"/>
                <w:sz w:val="16"/>
                <w:szCs w:val="16"/>
                <w:vertAlign w:val="superscript"/>
              </w:rPr>
              <w:t>h</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08C7FA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90A321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731537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7A5B8FEF"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5ADBB4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520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14F5C18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26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330CFBE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52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428B3CC"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$81,903.38 </w:t>
            </w:r>
          </w:p>
        </w:tc>
      </w:tr>
      <w:tr w14:paraId="5928DE64"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5576AE2B" w14:textId="572CAD91">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e) heat exchangers </w:t>
            </w:r>
            <w:r w:rsidRPr="00446896">
              <w:rPr>
                <w:rFonts w:ascii="Arial" w:eastAsia="Times New Roman" w:hAnsi="Arial" w:cs="Arial"/>
                <w:sz w:val="16"/>
                <w:szCs w:val="16"/>
                <w:vertAlign w:val="superscript"/>
              </w:rPr>
              <w:t>i</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50490B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8</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B31C32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F18B23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96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1179DC46"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B04195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1,248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74BC82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62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714AAC4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125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8C00266"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$196,568.11 </w:t>
            </w:r>
          </w:p>
        </w:tc>
      </w:tr>
      <w:tr w14:paraId="230E37E3"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0FE88C48" w14:textId="1B581CE7">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f) equipment leaks </w:t>
            </w:r>
            <w:r w:rsidRPr="00446896">
              <w:rPr>
                <w:rFonts w:ascii="Arial" w:eastAsia="Times New Roman" w:hAnsi="Arial" w:cs="Arial"/>
                <w:sz w:val="16"/>
                <w:szCs w:val="16"/>
                <w:vertAlign w:val="superscript"/>
              </w:rPr>
              <w:t>j</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75A537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43</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F41B82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7419C0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516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B0BDB23"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0E2ADB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6,708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432E79A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335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68FDDC6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671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6DFD21FF"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$1,056,553.60 </w:t>
            </w:r>
          </w:p>
        </w:tc>
      </w:tr>
      <w:tr w14:paraId="225AA4B9"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7382C9DE" w14:textId="3993AB03">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3) Establish operating parameters and monitoring plan</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B8731A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C888BA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D61E06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EEBAB3C"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214FD8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4A4F10F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64B97C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2D0B3771"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33BE6CC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CD2460" w14:paraId="0A6E094E" w14:textId="69D6213E">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a) Process Vents </w:t>
            </w:r>
            <w:r w:rsidRPr="00446896">
              <w:rPr>
                <w:rFonts w:ascii="Arial" w:eastAsia="Times New Roman" w:hAnsi="Arial" w:cs="Arial"/>
                <w:sz w:val="16"/>
                <w:szCs w:val="16"/>
                <w:vertAlign w:val="superscript"/>
              </w:rPr>
              <w:t>c,d,e</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A679C6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3E6DAB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A60FE5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60A0601"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995294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2A5C9B1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3DB6EAE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2D5F153C"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565F6F97"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2B60AB52" w14:textId="2A6BC0B9">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4) Continuous parameter monitoring</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699412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0646EB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7F9747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7F60CB0"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551A7C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89DA5E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2F356E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C58D13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3152E417" w14:textId="77777777" w:rsidTr="00446896">
        <w:tblPrEx>
          <w:tblW w:w="12621" w:type="dxa"/>
          <w:tblInd w:w="118" w:type="dxa"/>
          <w:tblLook w:val="04A0"/>
        </w:tblPrEx>
        <w:trPr>
          <w:trHeight w:val="345"/>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2648E5AC" w14:textId="0B31307E">
            <w:pPr>
              <w:spacing w:after="0" w:line="240" w:lineRule="auto"/>
              <w:ind w:left="330"/>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 xml:space="preserve">a) Initial capital costs (PRD Electronic Monitor) </w:t>
            </w:r>
            <w:r w:rsidRPr="00446896">
              <w:rPr>
                <w:rFonts w:ascii="Arial" w:eastAsia="Times New Roman" w:hAnsi="Arial" w:cs="Arial"/>
                <w:color w:val="000000"/>
                <w:sz w:val="16"/>
                <w:szCs w:val="16"/>
                <w:vertAlign w:val="superscript"/>
              </w:rPr>
              <w:t>c,i,k</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59FCDF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524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EACD4A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76690F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524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4D41119"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6A0BCE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1F7CCFE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12418C4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77AFE0E0"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2939EB48"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CD2460" w14:paraId="540523CA" w14:textId="11F56052">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b) Annualized PRD Electronic Monitor Review </w:t>
            </w:r>
            <w:r w:rsidRPr="00446896">
              <w:rPr>
                <w:rFonts w:ascii="Arial" w:eastAsia="Times New Roman" w:hAnsi="Arial" w:cs="Arial"/>
                <w:sz w:val="16"/>
                <w:szCs w:val="16"/>
                <w:vertAlign w:val="superscript"/>
              </w:rPr>
              <w:t>k</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43AE9A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32198E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AF2F64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5E0173B"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0E806E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130</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05CB46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6.50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6F8215B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13.00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6C879A5E"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$20,475.85 </w:t>
            </w:r>
          </w:p>
        </w:tc>
      </w:tr>
      <w:tr w14:paraId="67756C1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2E03E89F" w14:textId="3A3591FE">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5) Other requirements</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6FFEFD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3A0909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1D73B3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790737FE"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4FC000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2994CE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7E29182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098FA9E5"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200C132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1EBF92A8" w14:textId="08A35E00">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a) equipment openings, initial measurement </w:t>
            </w:r>
            <w:r w:rsidRPr="00446896">
              <w:rPr>
                <w:rFonts w:ascii="Arial" w:eastAsia="Times New Roman" w:hAnsi="Arial" w:cs="Arial"/>
                <w:sz w:val="16"/>
                <w:szCs w:val="16"/>
                <w:vertAlign w:val="superscript"/>
              </w:rPr>
              <w:t>c,o</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669FFA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B80EA6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BAE4C1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8AAB952"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8944EE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w:t>
            </w:r>
          </w:p>
        </w:tc>
        <w:tc>
          <w:tcPr>
            <w:tcW w:w="964" w:type="dxa"/>
            <w:tcBorders>
              <w:top w:val="nil"/>
              <w:left w:val="nil"/>
              <w:bottom w:val="single" w:sz="4" w:space="0" w:color="auto"/>
              <w:right w:val="single" w:sz="4" w:space="0" w:color="auto"/>
            </w:tcBorders>
            <w:noWrap/>
            <w:vAlign w:val="center"/>
            <w:hideMark/>
          </w:tcPr>
          <w:p w:rsidR="00446896" w:rsidRPr="00446896" w:rsidP="00446896" w14:paraId="2CA33AF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w:t>
            </w:r>
          </w:p>
        </w:tc>
        <w:tc>
          <w:tcPr>
            <w:tcW w:w="940" w:type="dxa"/>
            <w:tcBorders>
              <w:top w:val="nil"/>
              <w:left w:val="nil"/>
              <w:bottom w:val="single" w:sz="4" w:space="0" w:color="auto"/>
              <w:right w:val="single" w:sz="4" w:space="0" w:color="auto"/>
            </w:tcBorders>
            <w:noWrap/>
            <w:vAlign w:val="center"/>
            <w:hideMark/>
          </w:tcPr>
          <w:p w:rsidR="00446896" w:rsidRPr="00446896" w:rsidP="00446896" w14:paraId="0D1A3A8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2430463"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0D6354F8"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0A484439" w14:textId="5A9990BB">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b) equipment openings, daily measurement</w:t>
            </w:r>
            <w:r w:rsidRPr="00446896">
              <w:rPr>
                <w:rFonts w:ascii="Arial" w:eastAsia="Times New Roman" w:hAnsi="Arial" w:cs="Arial"/>
                <w:sz w:val="16"/>
                <w:szCs w:val="16"/>
                <w:vertAlign w:val="superscript"/>
              </w:rPr>
              <w:t xml:space="preserve"> o</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16DEBE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0FF519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350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DEAA7F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525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4E3A5D7C"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021451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6,825</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763BA6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341.25</w:t>
            </w:r>
          </w:p>
        </w:tc>
        <w:tc>
          <w:tcPr>
            <w:tcW w:w="940" w:type="dxa"/>
            <w:tcBorders>
              <w:top w:val="nil"/>
              <w:left w:val="nil"/>
              <w:bottom w:val="single" w:sz="4" w:space="0" w:color="auto"/>
              <w:right w:val="single" w:sz="4" w:space="0" w:color="auto"/>
            </w:tcBorders>
            <w:noWrap/>
            <w:vAlign w:val="center"/>
            <w:hideMark/>
          </w:tcPr>
          <w:p w:rsidR="00446896" w:rsidRPr="00446896" w:rsidP="00446896" w14:paraId="17F1D1D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682.5</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330CCEB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$1,074,982 </w:t>
            </w:r>
          </w:p>
        </w:tc>
      </w:tr>
      <w:tr w14:paraId="68E4DA04"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36BF65B1" w14:textId="7B251A6D">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c) gasholders </w:t>
            </w:r>
            <w:r w:rsidRPr="00446896">
              <w:rPr>
                <w:rFonts w:ascii="Arial" w:eastAsia="Times New Roman" w:hAnsi="Arial" w:cs="Arial"/>
                <w:sz w:val="16"/>
                <w:szCs w:val="16"/>
                <w:vertAlign w:val="superscript"/>
              </w:rPr>
              <w:t>p</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7AD089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42FB27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4DF6E9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AA2FA43"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967C0E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12</w:t>
            </w:r>
          </w:p>
        </w:tc>
        <w:tc>
          <w:tcPr>
            <w:tcW w:w="964" w:type="dxa"/>
            <w:tcBorders>
              <w:top w:val="nil"/>
              <w:left w:val="nil"/>
              <w:bottom w:val="single" w:sz="4" w:space="0" w:color="auto"/>
              <w:right w:val="single" w:sz="4" w:space="0" w:color="auto"/>
            </w:tcBorders>
            <w:noWrap/>
            <w:vAlign w:val="center"/>
            <w:hideMark/>
          </w:tcPr>
          <w:p w:rsidR="00446896" w:rsidRPr="00446896" w:rsidP="00446896" w14:paraId="6C5FE1E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0.6</w:t>
            </w:r>
          </w:p>
        </w:tc>
        <w:tc>
          <w:tcPr>
            <w:tcW w:w="940" w:type="dxa"/>
            <w:tcBorders>
              <w:top w:val="nil"/>
              <w:left w:val="nil"/>
              <w:bottom w:val="single" w:sz="4" w:space="0" w:color="auto"/>
              <w:right w:val="single" w:sz="4" w:space="0" w:color="auto"/>
            </w:tcBorders>
            <w:noWrap/>
            <w:vAlign w:val="center"/>
            <w:hideMark/>
          </w:tcPr>
          <w:p w:rsidR="00446896" w:rsidRPr="00446896" w:rsidP="00446896" w14:paraId="3569B35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1.2</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3312877F"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$1,890 </w:t>
            </w:r>
          </w:p>
        </w:tc>
      </w:tr>
      <w:tr w14:paraId="5C30949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2E8CC537" w14:textId="4AA50B22">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d) storage vessels</w:t>
            </w:r>
            <w:r w:rsidRPr="00446896">
              <w:rPr>
                <w:rFonts w:ascii="Arial" w:eastAsia="Times New Roman" w:hAnsi="Arial" w:cs="Arial"/>
                <w:sz w:val="16"/>
                <w:szCs w:val="16"/>
                <w:vertAlign w:val="superscript"/>
              </w:rPr>
              <w:t xml:space="preserve"> q</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97688D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36BE93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DDD847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162ED120"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D19659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26</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25ADE5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1.3</w:t>
            </w:r>
          </w:p>
        </w:tc>
        <w:tc>
          <w:tcPr>
            <w:tcW w:w="940" w:type="dxa"/>
            <w:tcBorders>
              <w:top w:val="nil"/>
              <w:left w:val="nil"/>
              <w:bottom w:val="single" w:sz="4" w:space="0" w:color="auto"/>
              <w:right w:val="single" w:sz="4" w:space="0" w:color="auto"/>
            </w:tcBorders>
            <w:noWrap/>
            <w:vAlign w:val="center"/>
            <w:hideMark/>
          </w:tcPr>
          <w:p w:rsidR="00446896" w:rsidRPr="00446896" w:rsidP="00446896" w14:paraId="2311A2C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2.6</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769F669D"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$4,095 </w:t>
            </w:r>
          </w:p>
        </w:tc>
      </w:tr>
      <w:tr w14:paraId="685ADFC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4EC03825" w14:textId="43062450">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e) bypasses, initial requirement </w:t>
            </w:r>
            <w:r w:rsidRPr="00446896">
              <w:rPr>
                <w:rFonts w:ascii="Arial" w:eastAsia="Times New Roman" w:hAnsi="Arial" w:cs="Arial"/>
                <w:sz w:val="16"/>
                <w:szCs w:val="16"/>
                <w:vertAlign w:val="superscript"/>
              </w:rPr>
              <w:t>c,r</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F36C97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3DCCFC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91ABE9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20E3F0E"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795EFA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w:t>
            </w:r>
          </w:p>
        </w:tc>
        <w:tc>
          <w:tcPr>
            <w:tcW w:w="964" w:type="dxa"/>
            <w:tcBorders>
              <w:top w:val="nil"/>
              <w:left w:val="nil"/>
              <w:bottom w:val="single" w:sz="4" w:space="0" w:color="auto"/>
              <w:right w:val="single" w:sz="4" w:space="0" w:color="auto"/>
            </w:tcBorders>
            <w:noWrap/>
            <w:vAlign w:val="center"/>
            <w:hideMark/>
          </w:tcPr>
          <w:p w:rsidR="00446896" w:rsidRPr="00446896" w:rsidP="00446896" w14:paraId="1E16AA6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w:t>
            </w:r>
          </w:p>
        </w:tc>
        <w:tc>
          <w:tcPr>
            <w:tcW w:w="940" w:type="dxa"/>
            <w:tcBorders>
              <w:top w:val="nil"/>
              <w:left w:val="nil"/>
              <w:bottom w:val="single" w:sz="4" w:space="0" w:color="auto"/>
              <w:right w:val="single" w:sz="4" w:space="0" w:color="auto"/>
            </w:tcBorders>
            <w:noWrap/>
            <w:vAlign w:val="center"/>
            <w:hideMark/>
          </w:tcPr>
          <w:p w:rsidR="00446896" w:rsidRPr="00446896" w:rsidP="00446896" w14:paraId="66945D7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0</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64D206C7"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0571BFB7"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vAlign w:val="center"/>
            <w:hideMark/>
          </w:tcPr>
          <w:p w:rsidR="00446896" w:rsidRPr="00446896" w:rsidP="00CD2460" w14:paraId="0146B254" w14:textId="2465B3DD">
            <w:pPr>
              <w:spacing w:after="0" w:line="240" w:lineRule="auto"/>
              <w:ind w:left="330"/>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f) bypasses, ongoing inspection </w:t>
            </w:r>
            <w:r w:rsidRPr="00446896">
              <w:rPr>
                <w:rFonts w:ascii="Arial" w:eastAsia="Times New Roman" w:hAnsi="Arial" w:cs="Arial"/>
                <w:sz w:val="16"/>
                <w:szCs w:val="16"/>
                <w:vertAlign w:val="superscript"/>
              </w:rPr>
              <w:t>r</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033F15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3BF8D7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6A336A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24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4E73B49D"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7E4BF6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312</w:t>
            </w:r>
          </w:p>
        </w:tc>
        <w:tc>
          <w:tcPr>
            <w:tcW w:w="964" w:type="dxa"/>
            <w:tcBorders>
              <w:top w:val="nil"/>
              <w:left w:val="nil"/>
              <w:bottom w:val="single" w:sz="4" w:space="0" w:color="auto"/>
              <w:right w:val="single" w:sz="4" w:space="0" w:color="auto"/>
            </w:tcBorders>
            <w:noWrap/>
            <w:vAlign w:val="center"/>
            <w:hideMark/>
          </w:tcPr>
          <w:p w:rsidR="00446896" w:rsidRPr="00446896" w:rsidP="00446896" w14:paraId="2D8FC07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15.6</w:t>
            </w:r>
          </w:p>
        </w:tc>
        <w:tc>
          <w:tcPr>
            <w:tcW w:w="940" w:type="dxa"/>
            <w:tcBorders>
              <w:top w:val="nil"/>
              <w:left w:val="nil"/>
              <w:bottom w:val="single" w:sz="4" w:space="0" w:color="auto"/>
              <w:right w:val="single" w:sz="4" w:space="0" w:color="auto"/>
            </w:tcBorders>
            <w:noWrap/>
            <w:vAlign w:val="center"/>
            <w:hideMark/>
          </w:tcPr>
          <w:p w:rsidR="00446896" w:rsidRPr="00446896" w:rsidP="00446896" w14:paraId="7ED84EB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31.2</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B51352C"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$49,142.03 </w:t>
            </w:r>
          </w:p>
        </w:tc>
      </w:tr>
      <w:tr w14:paraId="28DB665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77D48414" w14:textId="354A2790">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C. Create Information</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EDBE0B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Incl. in 3.B</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44974A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10DC54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1856D425"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615599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0C1BFBD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2899EB4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33E30FA1"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0DE8F29D"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03F2AD38" w14:textId="413FC69A">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D. Gather Information</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FEBF00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Incl. in 3.E</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962DB6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0871EF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ABB8D79"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82F271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43FB3F7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18BDEB2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8F22E5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7C18482D"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3CB02230" w14:textId="536AA4F0">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E. Report Preparation</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4C1C6B4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94C1C1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77DF93D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738BE48"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36E8BC2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19860E0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46D462A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CD896A6"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0C519B8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4A95D970" w14:textId="4586D79C">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1) Initial Notification </w:t>
            </w:r>
            <w:r w:rsidRPr="00446896">
              <w:rPr>
                <w:rFonts w:ascii="Arial" w:eastAsia="Times New Roman" w:hAnsi="Arial" w:cs="Arial"/>
                <w:sz w:val="16"/>
                <w:szCs w:val="16"/>
                <w:vertAlign w:val="superscript"/>
              </w:rPr>
              <w:t>c,d</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1C3778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72CD47B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845110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1CAAC90E"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EEFE89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4B9CB4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6B8635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7AC901A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6EF8DAD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31C8F3BF" w14:textId="636E408C">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2) Batch precompliance report </w:t>
            </w:r>
            <w:r w:rsidRPr="00446896">
              <w:rPr>
                <w:rFonts w:ascii="Arial" w:eastAsia="Times New Roman" w:hAnsi="Arial" w:cs="Arial"/>
                <w:sz w:val="16"/>
                <w:szCs w:val="16"/>
                <w:vertAlign w:val="superscript"/>
              </w:rPr>
              <w:t>c,d</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53BAE7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DA1016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04BF445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8AD0CAE"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1CC319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719791D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5EC4094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21A5C164"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2245BF47"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5BEF5453" w14:textId="33D67BE6">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3) Notification of performance test with test plan </w:t>
            </w:r>
            <w:r w:rsidRPr="00446896">
              <w:rPr>
                <w:rFonts w:ascii="Arial" w:eastAsia="Times New Roman" w:hAnsi="Arial" w:cs="Arial"/>
                <w:sz w:val="16"/>
                <w:szCs w:val="16"/>
                <w:vertAlign w:val="superscript"/>
              </w:rPr>
              <w:t>c,d</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782CA4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3F95A16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6A5E20C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81C076C"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6559C9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D661FD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11DFFE5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92CAF16"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46690F99"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68C7C9ED" w14:textId="4ED07F2B">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4) Notification of compliance status </w:t>
            </w:r>
            <w:r w:rsidRPr="00446896">
              <w:rPr>
                <w:rFonts w:ascii="Arial" w:eastAsia="Times New Roman" w:hAnsi="Arial" w:cs="Arial"/>
                <w:sz w:val="16"/>
                <w:szCs w:val="16"/>
                <w:vertAlign w:val="superscript"/>
              </w:rPr>
              <w:t>c,d</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39A7FB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922313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FC6415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3C4F826"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0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4670B25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6C76294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0C19ED0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0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9A5BDA4"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$0 </w:t>
            </w:r>
          </w:p>
        </w:tc>
      </w:tr>
      <w:tr w14:paraId="5B4C6A3D"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47884450" w14:textId="61DB727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 xml:space="preserve">5) Compliance report </w:t>
            </w:r>
            <w:r w:rsidRPr="00446896">
              <w:rPr>
                <w:rFonts w:ascii="Arial" w:eastAsia="Times New Roman" w:hAnsi="Arial" w:cs="Arial"/>
                <w:color w:val="000000"/>
                <w:sz w:val="16"/>
                <w:szCs w:val="16"/>
                <w:vertAlign w:val="superscript"/>
              </w:rPr>
              <w:t>l</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51B181D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40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1CEC13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2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3D81A7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80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47C8193"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783DAA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1,040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867912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52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7839761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104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F751FA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$163,806.76 </w:t>
            </w:r>
          </w:p>
        </w:tc>
      </w:tr>
      <w:tr w14:paraId="251A76F5"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1D9489D1" w14:textId="5E3FFC7A">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6) Notice of inspection</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6677E0B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FF53C8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1E20C62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5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A5F0409" w14:textId="77777777">
            <w:pPr>
              <w:spacing w:after="0" w:line="240" w:lineRule="auto"/>
              <w:jc w:val="center"/>
              <w:rPr>
                <w:rFonts w:ascii="Arial" w:eastAsia="Times New Roman" w:hAnsi="Arial" w:cs="Arial"/>
                <w:color w:val="000000"/>
                <w:sz w:val="16"/>
                <w:szCs w:val="16"/>
              </w:rPr>
            </w:pPr>
            <w:r w:rsidRPr="00446896">
              <w:rPr>
                <w:rFonts w:ascii="Arial" w:eastAsia="Times New Roman" w:hAnsi="Arial" w:cs="Arial"/>
                <w:color w:val="000000"/>
                <w:sz w:val="16"/>
                <w:szCs w:val="16"/>
              </w:rPr>
              <w:t xml:space="preserve">13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5A2AB1B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65 </w:t>
            </w:r>
          </w:p>
        </w:tc>
        <w:tc>
          <w:tcPr>
            <w:tcW w:w="964" w:type="dxa"/>
            <w:tcBorders>
              <w:top w:val="nil"/>
              <w:left w:val="nil"/>
              <w:bottom w:val="single" w:sz="4" w:space="0" w:color="auto"/>
              <w:right w:val="single" w:sz="4" w:space="0" w:color="auto"/>
            </w:tcBorders>
            <w:noWrap/>
            <w:vAlign w:val="center"/>
            <w:hideMark/>
          </w:tcPr>
          <w:p w:rsidR="00446896" w:rsidRPr="00446896" w:rsidP="00446896" w14:paraId="32F1DC7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3 </w:t>
            </w:r>
          </w:p>
        </w:tc>
        <w:tc>
          <w:tcPr>
            <w:tcW w:w="940" w:type="dxa"/>
            <w:tcBorders>
              <w:top w:val="nil"/>
              <w:left w:val="nil"/>
              <w:bottom w:val="single" w:sz="4" w:space="0" w:color="auto"/>
              <w:right w:val="single" w:sz="4" w:space="0" w:color="auto"/>
            </w:tcBorders>
            <w:noWrap/>
            <w:vAlign w:val="center"/>
            <w:hideMark/>
          </w:tcPr>
          <w:p w:rsidR="00446896" w:rsidRPr="00446896" w:rsidP="00446896" w14:paraId="03A42A5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4BF8DBF0"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$10,237.92 </w:t>
            </w:r>
          </w:p>
        </w:tc>
      </w:tr>
      <w:tr w14:paraId="41987459"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035256A5" w14:textId="77777777">
            <w:pPr>
              <w:spacing w:after="0" w:line="240" w:lineRule="auto"/>
              <w:rPr>
                <w:rFonts w:ascii="Arial" w:eastAsia="Times New Roman" w:hAnsi="Arial" w:cs="Arial"/>
                <w:b/>
                <w:bCs/>
                <w:i/>
                <w:iCs/>
                <w:sz w:val="16"/>
                <w:szCs w:val="16"/>
              </w:rPr>
            </w:pPr>
            <w:r w:rsidRPr="00446896">
              <w:rPr>
                <w:rFonts w:ascii="Arial" w:eastAsia="Times New Roman" w:hAnsi="Arial" w:cs="Arial"/>
                <w:b/>
                <w:bCs/>
                <w:i/>
                <w:iCs/>
                <w:sz w:val="16"/>
                <w:szCs w:val="16"/>
              </w:rPr>
              <w:t xml:space="preserve">Subtotal for Reporting Requirements </w:t>
            </w:r>
            <w:r w:rsidRPr="00446896">
              <w:rPr>
                <w:rFonts w:ascii="Arial" w:eastAsia="Times New Roman" w:hAnsi="Arial" w:cs="Arial"/>
                <w:b/>
                <w:bCs/>
                <w:i/>
                <w:iCs/>
                <w:sz w:val="16"/>
                <w:szCs w:val="16"/>
                <w:vertAlign w:val="superscript"/>
              </w:rPr>
              <w:t>m</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08D2AFEB"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15B371CA"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1000" w:type="dxa"/>
            <w:tcBorders>
              <w:top w:val="nil"/>
              <w:left w:val="nil"/>
              <w:bottom w:val="single" w:sz="4" w:space="0" w:color="auto"/>
              <w:right w:val="single" w:sz="4" w:space="0" w:color="auto"/>
            </w:tcBorders>
            <w:noWrap/>
            <w:vAlign w:val="center"/>
            <w:hideMark/>
          </w:tcPr>
          <w:p w:rsidR="00446896" w:rsidRPr="00446896" w:rsidP="00446896" w14:paraId="20210B52"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2EBC152E"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2904" w:type="dxa"/>
            <w:gridSpan w:val="3"/>
            <w:tcBorders>
              <w:top w:val="single" w:sz="4" w:space="0" w:color="auto"/>
              <w:left w:val="nil"/>
              <w:bottom w:val="single" w:sz="4" w:space="0" w:color="auto"/>
              <w:right w:val="single" w:sz="4" w:space="0" w:color="000000"/>
            </w:tcBorders>
            <w:noWrap/>
            <w:vAlign w:val="center"/>
            <w:hideMark/>
          </w:tcPr>
          <w:p w:rsidR="00446896" w:rsidRPr="00446896" w:rsidP="00446896" w14:paraId="00855361"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xml:space="preserve">305,278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5DC5AEA" w14:textId="77777777">
            <w:pPr>
              <w:spacing w:after="0" w:line="240" w:lineRule="auto"/>
              <w:jc w:val="right"/>
              <w:rPr>
                <w:rFonts w:ascii="Arial" w:eastAsia="Times New Roman" w:hAnsi="Arial" w:cs="Arial"/>
                <w:b/>
                <w:bCs/>
                <w:i/>
                <w:iCs/>
                <w:sz w:val="16"/>
                <w:szCs w:val="16"/>
              </w:rPr>
            </w:pPr>
            <w:r w:rsidRPr="00446896">
              <w:rPr>
                <w:rFonts w:ascii="Arial" w:eastAsia="Times New Roman" w:hAnsi="Arial" w:cs="Arial"/>
                <w:b/>
                <w:bCs/>
                <w:i/>
                <w:iCs/>
                <w:sz w:val="16"/>
                <w:szCs w:val="16"/>
              </w:rPr>
              <w:t>$41,811,518</w:t>
            </w:r>
          </w:p>
        </w:tc>
      </w:tr>
      <w:tr w14:paraId="49FEC43E"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10B463E9" w14:textId="441C9CF5">
            <w:pPr>
              <w:spacing w:after="0" w:line="240" w:lineRule="auto"/>
              <w:rPr>
                <w:rFonts w:ascii="Arial" w:eastAsia="Times New Roman" w:hAnsi="Arial" w:cs="Arial"/>
                <w:sz w:val="16"/>
                <w:szCs w:val="16"/>
              </w:rPr>
            </w:pPr>
            <w:r w:rsidRPr="00446896">
              <w:rPr>
                <w:rFonts w:ascii="Arial" w:eastAsia="Times New Roman" w:hAnsi="Arial" w:cs="Arial"/>
                <w:sz w:val="16"/>
                <w:szCs w:val="16"/>
              </w:rPr>
              <w:t>4.</w:t>
            </w:r>
            <w:r w:rsidR="00736C45">
              <w:rPr>
                <w:rFonts w:ascii="Arial" w:eastAsia="Times New Roman" w:hAnsi="Arial" w:cs="Arial"/>
                <w:sz w:val="16"/>
                <w:szCs w:val="16"/>
              </w:rPr>
              <w:t xml:space="preserve"> </w:t>
            </w:r>
            <w:r w:rsidRPr="00446896">
              <w:rPr>
                <w:rFonts w:ascii="Arial" w:eastAsia="Times New Roman" w:hAnsi="Arial" w:cs="Arial"/>
                <w:sz w:val="16"/>
                <w:szCs w:val="16"/>
              </w:rPr>
              <w:t>Recordkeeping Requirements</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7369927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3425FC7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30530B1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20" w:type="dxa"/>
            <w:tcBorders>
              <w:top w:val="nil"/>
              <w:left w:val="nil"/>
              <w:bottom w:val="single" w:sz="4" w:space="0" w:color="000000"/>
              <w:right w:val="single" w:sz="4" w:space="0" w:color="000000"/>
            </w:tcBorders>
            <w:noWrap/>
            <w:vAlign w:val="center"/>
            <w:hideMark/>
          </w:tcPr>
          <w:p w:rsidR="00446896" w:rsidRPr="00446896" w:rsidP="00446896" w14:paraId="7CDE45F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762F7DF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1700F14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1A343A2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380" w:type="dxa"/>
            <w:tcBorders>
              <w:top w:val="nil"/>
              <w:left w:val="nil"/>
              <w:bottom w:val="nil"/>
              <w:right w:val="single" w:sz="8" w:space="0" w:color="auto"/>
            </w:tcBorders>
            <w:noWrap/>
            <w:vAlign w:val="center"/>
            <w:hideMark/>
          </w:tcPr>
          <w:p w:rsidR="00446896" w:rsidRPr="00446896" w:rsidP="00446896" w14:paraId="60A8E24E"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1EC87721"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4DBB6CAB" w14:textId="5220EDCF">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A.</w:t>
            </w:r>
            <w:r>
              <w:rPr>
                <w:rFonts w:ascii="Arial" w:eastAsia="Times New Roman" w:hAnsi="Arial" w:cs="Arial"/>
                <w:sz w:val="16"/>
                <w:szCs w:val="16"/>
              </w:rPr>
              <w:t xml:space="preserve"> </w:t>
            </w:r>
            <w:r w:rsidRPr="00446896">
              <w:rPr>
                <w:rFonts w:ascii="Arial" w:eastAsia="Times New Roman" w:hAnsi="Arial" w:cs="Arial"/>
                <w:sz w:val="16"/>
                <w:szCs w:val="16"/>
              </w:rPr>
              <w:t>Familiarization with Regulatory Requirements</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2A44B66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Incl. in 3.A</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2916AF4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664E845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20" w:type="dxa"/>
            <w:tcBorders>
              <w:top w:val="nil"/>
              <w:left w:val="nil"/>
              <w:bottom w:val="single" w:sz="4" w:space="0" w:color="000000"/>
              <w:right w:val="single" w:sz="4" w:space="0" w:color="000000"/>
            </w:tcBorders>
            <w:noWrap/>
            <w:vAlign w:val="center"/>
            <w:hideMark/>
          </w:tcPr>
          <w:p w:rsidR="00446896" w:rsidRPr="00446896" w:rsidP="00446896" w14:paraId="6D38DA9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3927E2C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4A32A34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13AE0E1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380" w:type="dxa"/>
            <w:tcBorders>
              <w:top w:val="single" w:sz="4" w:space="0" w:color="auto"/>
              <w:left w:val="nil"/>
              <w:bottom w:val="single" w:sz="4" w:space="0" w:color="auto"/>
              <w:right w:val="single" w:sz="8" w:space="0" w:color="auto"/>
            </w:tcBorders>
            <w:noWrap/>
            <w:vAlign w:val="center"/>
            <w:hideMark/>
          </w:tcPr>
          <w:p w:rsidR="00446896" w:rsidRPr="00446896" w:rsidP="00446896" w14:paraId="175E7C05"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21010835"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0B8EE005" w14:textId="1E5821DD">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B.</w:t>
            </w:r>
            <w:r>
              <w:rPr>
                <w:rFonts w:ascii="Arial" w:eastAsia="Times New Roman" w:hAnsi="Arial" w:cs="Arial"/>
                <w:sz w:val="16"/>
                <w:szCs w:val="16"/>
              </w:rPr>
              <w:t xml:space="preserve"> </w:t>
            </w:r>
            <w:r w:rsidRPr="00446896">
              <w:rPr>
                <w:rFonts w:ascii="Arial" w:eastAsia="Times New Roman" w:hAnsi="Arial" w:cs="Arial"/>
                <w:sz w:val="16"/>
                <w:szCs w:val="16"/>
              </w:rPr>
              <w:t>Implement Activities</w:t>
            </w:r>
          </w:p>
        </w:tc>
        <w:tc>
          <w:tcPr>
            <w:tcW w:w="1040" w:type="dxa"/>
            <w:tcBorders>
              <w:top w:val="nil"/>
              <w:left w:val="nil"/>
              <w:bottom w:val="single" w:sz="4" w:space="0" w:color="000000"/>
              <w:right w:val="nil"/>
            </w:tcBorders>
            <w:noWrap/>
            <w:vAlign w:val="bottom"/>
            <w:hideMark/>
          </w:tcPr>
          <w:p w:rsidR="00446896" w:rsidRPr="00446896" w:rsidP="00446896" w14:paraId="0334C7A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N/A</w:t>
            </w:r>
          </w:p>
        </w:tc>
        <w:tc>
          <w:tcPr>
            <w:tcW w:w="1040" w:type="dxa"/>
            <w:tcBorders>
              <w:top w:val="nil"/>
              <w:left w:val="single" w:sz="4" w:space="0" w:color="000000"/>
              <w:bottom w:val="single" w:sz="4" w:space="0" w:color="000000"/>
              <w:right w:val="single" w:sz="4" w:space="0" w:color="000000"/>
            </w:tcBorders>
            <w:noWrap/>
            <w:vAlign w:val="center"/>
            <w:hideMark/>
          </w:tcPr>
          <w:p w:rsidR="00446896" w:rsidRPr="00446896" w:rsidP="00446896" w14:paraId="1ADD29F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319FB4B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000000"/>
              <w:right w:val="single" w:sz="4" w:space="0" w:color="000000"/>
            </w:tcBorders>
            <w:noWrap/>
            <w:vAlign w:val="center"/>
            <w:hideMark/>
          </w:tcPr>
          <w:p w:rsidR="00446896" w:rsidRPr="00446896" w:rsidP="00446896" w14:paraId="56E47BA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16680E0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30EF1F6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609370E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35E3AC3"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0246109D"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3FA4AA07" w14:textId="4BAE71A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C.</w:t>
            </w:r>
            <w:r>
              <w:rPr>
                <w:rFonts w:ascii="Arial" w:eastAsia="Times New Roman" w:hAnsi="Arial" w:cs="Arial"/>
                <w:sz w:val="16"/>
                <w:szCs w:val="16"/>
              </w:rPr>
              <w:t xml:space="preserve"> </w:t>
            </w:r>
            <w:r w:rsidRPr="00446896">
              <w:rPr>
                <w:rFonts w:ascii="Arial" w:eastAsia="Times New Roman" w:hAnsi="Arial" w:cs="Arial"/>
                <w:sz w:val="16"/>
                <w:szCs w:val="16"/>
              </w:rPr>
              <w:t>Develop Record System</w:t>
            </w:r>
          </w:p>
        </w:tc>
        <w:tc>
          <w:tcPr>
            <w:tcW w:w="1040" w:type="dxa"/>
            <w:tcBorders>
              <w:top w:val="nil"/>
              <w:left w:val="nil"/>
              <w:bottom w:val="single" w:sz="4" w:space="0" w:color="000000"/>
              <w:right w:val="nil"/>
            </w:tcBorders>
            <w:noWrap/>
            <w:vAlign w:val="bottom"/>
            <w:hideMark/>
          </w:tcPr>
          <w:p w:rsidR="00446896" w:rsidRPr="00446896" w:rsidP="00446896" w14:paraId="2B1BA10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N/A</w:t>
            </w:r>
          </w:p>
        </w:tc>
        <w:tc>
          <w:tcPr>
            <w:tcW w:w="1040" w:type="dxa"/>
            <w:tcBorders>
              <w:top w:val="nil"/>
              <w:left w:val="single" w:sz="4" w:space="0" w:color="000000"/>
              <w:bottom w:val="single" w:sz="4" w:space="0" w:color="000000"/>
              <w:right w:val="single" w:sz="4" w:space="0" w:color="000000"/>
            </w:tcBorders>
            <w:noWrap/>
            <w:vAlign w:val="center"/>
            <w:hideMark/>
          </w:tcPr>
          <w:p w:rsidR="00446896" w:rsidRPr="00446896" w:rsidP="00446896" w14:paraId="5DFDD5F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6E05928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000000"/>
              <w:right w:val="single" w:sz="4" w:space="0" w:color="000000"/>
            </w:tcBorders>
            <w:noWrap/>
            <w:vAlign w:val="center"/>
            <w:hideMark/>
          </w:tcPr>
          <w:p w:rsidR="00446896" w:rsidRPr="00446896" w:rsidP="00446896" w14:paraId="66D361A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5655C2B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331AF2A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2BDB5E7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9C3A964"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5E02446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54F7FBC0" w14:textId="082DA4BB">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D.</w:t>
            </w:r>
            <w:r>
              <w:rPr>
                <w:rFonts w:ascii="Arial" w:eastAsia="Times New Roman" w:hAnsi="Arial" w:cs="Arial"/>
                <w:sz w:val="16"/>
                <w:szCs w:val="16"/>
              </w:rPr>
              <w:t xml:space="preserve"> </w:t>
            </w:r>
            <w:r w:rsidRPr="00446896">
              <w:rPr>
                <w:rFonts w:ascii="Arial" w:eastAsia="Times New Roman" w:hAnsi="Arial" w:cs="Arial"/>
                <w:sz w:val="16"/>
                <w:szCs w:val="16"/>
              </w:rPr>
              <w:t>Record Information</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4881CEB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36E51F4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0EED888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000000"/>
              <w:right w:val="single" w:sz="4" w:space="0" w:color="000000"/>
            </w:tcBorders>
            <w:noWrap/>
            <w:vAlign w:val="center"/>
            <w:hideMark/>
          </w:tcPr>
          <w:p w:rsidR="00446896" w:rsidRPr="00446896" w:rsidP="00446896" w14:paraId="499AD96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549295F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168FE6E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2999A19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05D88210"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01AC820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1806094B" w14:textId="55D6CB25">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1) Records of process vent requirements </w:t>
            </w:r>
            <w:r w:rsidRPr="00446896">
              <w:rPr>
                <w:rFonts w:ascii="Arial" w:eastAsia="Times New Roman" w:hAnsi="Arial" w:cs="Arial"/>
                <w:sz w:val="16"/>
                <w:szCs w:val="16"/>
                <w:vertAlign w:val="superscript"/>
              </w:rPr>
              <w:t>d</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3A9F43B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0AF653B3"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26F5A9A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97B662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4E09EBB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6DA56CC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7E4AF43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C86FD34"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05BCB75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5205A4C8" w14:textId="192C1CA2">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2) Records of resin stripper requirements </w:t>
            </w:r>
            <w:r w:rsidRPr="00446896">
              <w:rPr>
                <w:rFonts w:ascii="Arial" w:eastAsia="Times New Roman" w:hAnsi="Arial" w:cs="Arial"/>
                <w:sz w:val="16"/>
                <w:szCs w:val="16"/>
                <w:vertAlign w:val="superscript"/>
              </w:rPr>
              <w:t>d</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3D8F5CC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3FE64FA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01897C1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126AB62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22DAE5A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42A9748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79E81EF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58F9E46B"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2B7015BD"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33D134C1" w14:textId="30872CEF">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3) Records wastewater requirements </w:t>
            </w:r>
            <w:r w:rsidRPr="00446896">
              <w:rPr>
                <w:rFonts w:ascii="Arial" w:eastAsia="Times New Roman" w:hAnsi="Arial" w:cs="Arial"/>
                <w:sz w:val="16"/>
                <w:szCs w:val="16"/>
                <w:vertAlign w:val="superscript"/>
              </w:rPr>
              <w:t>d</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7BE1AEE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1BFF7EC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33AF6E3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6C24DAB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5CE8C14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684ABBCB"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16134B2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7D36693C"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1411B4B4"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05FEBFB7" w14:textId="6D128BEC">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4) Records of storage vessel requirements </w:t>
            </w:r>
            <w:r w:rsidRPr="00446896">
              <w:rPr>
                <w:rFonts w:ascii="Arial" w:eastAsia="Times New Roman" w:hAnsi="Arial" w:cs="Arial"/>
                <w:sz w:val="16"/>
                <w:szCs w:val="16"/>
                <w:vertAlign w:val="superscript"/>
              </w:rPr>
              <w:t>d</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190D90F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387F4A7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065999C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366DC84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2CAA1DB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1542FD54"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45FD3F0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F68D720"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39DB5AFC"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064E1B36" w14:textId="2F018013">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5) Records of equipment leak requirements </w:t>
            </w:r>
            <w:r w:rsidRPr="00446896">
              <w:rPr>
                <w:rFonts w:ascii="Arial" w:eastAsia="Times New Roman" w:hAnsi="Arial" w:cs="Arial"/>
                <w:sz w:val="16"/>
                <w:szCs w:val="16"/>
                <w:vertAlign w:val="superscript"/>
              </w:rPr>
              <w:t>d</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7D76947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single" w:sz="4" w:space="0" w:color="000000"/>
              <w:right w:val="single" w:sz="4" w:space="0" w:color="000000"/>
            </w:tcBorders>
            <w:noWrap/>
            <w:vAlign w:val="center"/>
            <w:hideMark/>
          </w:tcPr>
          <w:p w:rsidR="00446896" w:rsidRPr="00446896" w:rsidP="00446896" w14:paraId="492AC617"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08FE3BF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1C505EB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single" w:sz="4" w:space="0" w:color="000000"/>
              <w:right w:val="single" w:sz="4" w:space="0" w:color="000000"/>
            </w:tcBorders>
            <w:noWrap/>
            <w:vAlign w:val="center"/>
            <w:hideMark/>
          </w:tcPr>
          <w:p w:rsidR="00446896" w:rsidRPr="00446896" w:rsidP="00446896" w14:paraId="524F158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nil"/>
              <w:left w:val="nil"/>
              <w:bottom w:val="single" w:sz="4" w:space="0" w:color="000000"/>
              <w:right w:val="single" w:sz="4" w:space="0" w:color="000000"/>
            </w:tcBorders>
            <w:noWrap/>
            <w:vAlign w:val="center"/>
            <w:hideMark/>
          </w:tcPr>
          <w:p w:rsidR="00446896" w:rsidRPr="00446896" w:rsidP="00446896" w14:paraId="3EF8F37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nil"/>
              <w:left w:val="nil"/>
              <w:bottom w:val="single" w:sz="4" w:space="0" w:color="000000"/>
              <w:right w:val="single" w:sz="4" w:space="0" w:color="auto"/>
            </w:tcBorders>
            <w:noWrap/>
            <w:vAlign w:val="center"/>
            <w:hideMark/>
          </w:tcPr>
          <w:p w:rsidR="00446896" w:rsidRPr="00446896" w:rsidP="00446896" w14:paraId="6FA0205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6D06D30C"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52CB0D87"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2F3E577B" w14:textId="48AE6C6B">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6) Records of heat exchanger requirements </w:t>
            </w:r>
            <w:r w:rsidRPr="00446896">
              <w:rPr>
                <w:rFonts w:ascii="Arial" w:eastAsia="Times New Roman" w:hAnsi="Arial" w:cs="Arial"/>
                <w:sz w:val="16"/>
                <w:szCs w:val="16"/>
                <w:vertAlign w:val="superscript"/>
              </w:rPr>
              <w:t>d</w:t>
            </w:r>
          </w:p>
        </w:tc>
        <w:tc>
          <w:tcPr>
            <w:tcW w:w="1040" w:type="dxa"/>
            <w:tcBorders>
              <w:top w:val="nil"/>
              <w:left w:val="nil"/>
              <w:bottom w:val="nil"/>
              <w:right w:val="single" w:sz="4" w:space="0" w:color="000000"/>
            </w:tcBorders>
            <w:noWrap/>
            <w:vAlign w:val="center"/>
            <w:hideMark/>
          </w:tcPr>
          <w:p w:rsidR="00446896" w:rsidRPr="00446896" w:rsidP="00446896" w14:paraId="05AECCA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nil"/>
              <w:left w:val="nil"/>
              <w:bottom w:val="nil"/>
              <w:right w:val="single" w:sz="4" w:space="0" w:color="000000"/>
            </w:tcBorders>
            <w:noWrap/>
            <w:vAlign w:val="center"/>
            <w:hideMark/>
          </w:tcPr>
          <w:p w:rsidR="00446896" w:rsidRPr="00446896" w:rsidP="00446896" w14:paraId="1DEEA4C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nil"/>
              <w:left w:val="nil"/>
              <w:bottom w:val="nil"/>
              <w:right w:val="single" w:sz="4" w:space="0" w:color="000000"/>
            </w:tcBorders>
            <w:noWrap/>
            <w:vAlign w:val="center"/>
            <w:hideMark/>
          </w:tcPr>
          <w:p w:rsidR="00446896" w:rsidRPr="00446896" w:rsidP="00446896" w14:paraId="6734F66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75DECF5F"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nil"/>
              <w:left w:val="nil"/>
              <w:bottom w:val="nil"/>
              <w:right w:val="single" w:sz="4" w:space="0" w:color="000000"/>
            </w:tcBorders>
            <w:noWrap/>
            <w:vAlign w:val="center"/>
            <w:hideMark/>
          </w:tcPr>
          <w:p w:rsidR="00446896" w:rsidRPr="00446896" w:rsidP="00446896" w14:paraId="7FC6618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nil"/>
              <w:left w:val="nil"/>
              <w:bottom w:val="nil"/>
              <w:right w:val="single" w:sz="4" w:space="0" w:color="000000"/>
            </w:tcBorders>
            <w:noWrap/>
            <w:vAlign w:val="center"/>
            <w:hideMark/>
          </w:tcPr>
          <w:p w:rsidR="00446896" w:rsidRPr="00446896" w:rsidP="00446896" w14:paraId="789949BE"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nil"/>
              <w:left w:val="nil"/>
              <w:bottom w:val="nil"/>
              <w:right w:val="single" w:sz="4" w:space="0" w:color="auto"/>
            </w:tcBorders>
            <w:noWrap/>
            <w:vAlign w:val="center"/>
            <w:hideMark/>
          </w:tcPr>
          <w:p w:rsidR="00446896" w:rsidRPr="00446896" w:rsidP="00446896" w14:paraId="2BAEF10A"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7161DF93"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2C141920"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52D2C916" w14:textId="2987B64A">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 xml:space="preserve">7) Records of other emission sources requirements </w:t>
            </w:r>
            <w:r w:rsidRPr="00446896">
              <w:rPr>
                <w:rFonts w:ascii="Arial" w:eastAsia="Times New Roman" w:hAnsi="Arial" w:cs="Arial"/>
                <w:sz w:val="16"/>
                <w:szCs w:val="16"/>
                <w:vertAlign w:val="superscript"/>
              </w:rPr>
              <w:t>d</w:t>
            </w:r>
          </w:p>
        </w:tc>
        <w:tc>
          <w:tcPr>
            <w:tcW w:w="1040" w:type="dxa"/>
            <w:tcBorders>
              <w:top w:val="single" w:sz="4" w:space="0" w:color="auto"/>
              <w:left w:val="nil"/>
              <w:bottom w:val="single" w:sz="4" w:space="0" w:color="auto"/>
              <w:right w:val="single" w:sz="4" w:space="0" w:color="auto"/>
            </w:tcBorders>
            <w:noWrap/>
            <w:vAlign w:val="center"/>
            <w:hideMark/>
          </w:tcPr>
          <w:p w:rsidR="00446896" w:rsidRPr="00446896" w:rsidP="00446896" w14:paraId="7B79310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10 </w:t>
            </w:r>
          </w:p>
        </w:tc>
        <w:tc>
          <w:tcPr>
            <w:tcW w:w="1040" w:type="dxa"/>
            <w:tcBorders>
              <w:top w:val="single" w:sz="4" w:space="0" w:color="000000"/>
              <w:left w:val="nil"/>
              <w:bottom w:val="nil"/>
              <w:right w:val="single" w:sz="4" w:space="0" w:color="000000"/>
            </w:tcBorders>
            <w:noWrap/>
            <w:vAlign w:val="center"/>
            <w:hideMark/>
          </w:tcPr>
          <w:p w:rsidR="00446896" w:rsidRPr="00446896" w:rsidP="00446896" w14:paraId="735B945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 </w:t>
            </w:r>
          </w:p>
        </w:tc>
        <w:tc>
          <w:tcPr>
            <w:tcW w:w="1000" w:type="dxa"/>
            <w:tcBorders>
              <w:top w:val="single" w:sz="4" w:space="0" w:color="auto"/>
              <w:left w:val="nil"/>
              <w:bottom w:val="nil"/>
              <w:right w:val="single" w:sz="4" w:space="0" w:color="000000"/>
            </w:tcBorders>
            <w:noWrap/>
            <w:vAlign w:val="center"/>
            <w:hideMark/>
          </w:tcPr>
          <w:p w:rsidR="00446896" w:rsidRPr="00446896" w:rsidP="00446896" w14:paraId="1B55C41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120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44515A8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13 </w:t>
            </w:r>
          </w:p>
        </w:tc>
        <w:tc>
          <w:tcPr>
            <w:tcW w:w="1000" w:type="dxa"/>
            <w:tcBorders>
              <w:top w:val="single" w:sz="4" w:space="0" w:color="000000"/>
              <w:left w:val="nil"/>
              <w:bottom w:val="nil"/>
              <w:right w:val="single" w:sz="4" w:space="0" w:color="000000"/>
            </w:tcBorders>
            <w:noWrap/>
            <w:vAlign w:val="center"/>
            <w:hideMark/>
          </w:tcPr>
          <w:p w:rsidR="00446896" w:rsidRPr="00446896" w:rsidP="00446896" w14:paraId="000B16F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1,560 </w:t>
            </w:r>
          </w:p>
        </w:tc>
        <w:tc>
          <w:tcPr>
            <w:tcW w:w="964" w:type="dxa"/>
            <w:tcBorders>
              <w:top w:val="single" w:sz="4" w:space="0" w:color="000000"/>
              <w:left w:val="nil"/>
              <w:bottom w:val="nil"/>
              <w:right w:val="single" w:sz="4" w:space="0" w:color="000000"/>
            </w:tcBorders>
            <w:noWrap/>
            <w:vAlign w:val="center"/>
            <w:hideMark/>
          </w:tcPr>
          <w:p w:rsidR="00446896" w:rsidRPr="00446896" w:rsidP="00446896" w14:paraId="447D738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78 </w:t>
            </w:r>
          </w:p>
        </w:tc>
        <w:tc>
          <w:tcPr>
            <w:tcW w:w="940" w:type="dxa"/>
            <w:tcBorders>
              <w:top w:val="single" w:sz="4" w:space="0" w:color="000000"/>
              <w:left w:val="nil"/>
              <w:bottom w:val="nil"/>
              <w:right w:val="single" w:sz="4" w:space="0" w:color="auto"/>
            </w:tcBorders>
            <w:noWrap/>
            <w:vAlign w:val="center"/>
            <w:hideMark/>
          </w:tcPr>
          <w:p w:rsidR="00446896" w:rsidRPr="00446896" w:rsidP="00446896" w14:paraId="1BC5BB7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156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0BB4A469"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xml:space="preserve">$245,710.14 </w:t>
            </w:r>
          </w:p>
        </w:tc>
      </w:tr>
      <w:tr w14:paraId="430E02A1"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1A14B752" w14:textId="2EBBC675">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E. Personnel Training</w:t>
            </w:r>
          </w:p>
        </w:tc>
        <w:tc>
          <w:tcPr>
            <w:tcW w:w="1040" w:type="dxa"/>
            <w:tcBorders>
              <w:top w:val="nil"/>
              <w:left w:val="nil"/>
              <w:bottom w:val="single" w:sz="4" w:space="0" w:color="auto"/>
              <w:right w:val="single" w:sz="4" w:space="0" w:color="auto"/>
            </w:tcBorders>
            <w:noWrap/>
            <w:vAlign w:val="center"/>
            <w:hideMark/>
          </w:tcPr>
          <w:p w:rsidR="00446896" w:rsidRPr="00446896" w:rsidP="00446896" w14:paraId="27C97E56"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Incl. in 3.B</w:t>
            </w:r>
          </w:p>
        </w:tc>
        <w:tc>
          <w:tcPr>
            <w:tcW w:w="1040" w:type="dxa"/>
            <w:tcBorders>
              <w:top w:val="single" w:sz="4" w:space="0" w:color="auto"/>
              <w:left w:val="nil"/>
              <w:bottom w:val="single" w:sz="4" w:space="0" w:color="auto"/>
              <w:right w:val="single" w:sz="4" w:space="0" w:color="auto"/>
            </w:tcBorders>
            <w:noWrap/>
            <w:vAlign w:val="center"/>
            <w:hideMark/>
          </w:tcPr>
          <w:p w:rsidR="00446896" w:rsidRPr="00446896" w:rsidP="00446896" w14:paraId="78006FE5"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single" w:sz="4" w:space="0" w:color="auto"/>
              <w:left w:val="nil"/>
              <w:bottom w:val="single" w:sz="4" w:space="0" w:color="auto"/>
              <w:right w:val="single" w:sz="4" w:space="0" w:color="auto"/>
            </w:tcBorders>
            <w:noWrap/>
            <w:vAlign w:val="center"/>
            <w:hideMark/>
          </w:tcPr>
          <w:p w:rsidR="00446896" w:rsidRPr="00446896" w:rsidP="00446896" w14:paraId="43D1AF6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noWrap/>
            <w:vAlign w:val="center"/>
            <w:hideMark/>
          </w:tcPr>
          <w:p w:rsidR="00446896" w:rsidRPr="00446896" w:rsidP="00446896" w14:paraId="5E431580"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single" w:sz="4" w:space="0" w:color="auto"/>
              <w:left w:val="nil"/>
              <w:bottom w:val="single" w:sz="4" w:space="0" w:color="auto"/>
              <w:right w:val="single" w:sz="4" w:space="0" w:color="auto"/>
            </w:tcBorders>
            <w:noWrap/>
            <w:vAlign w:val="center"/>
            <w:hideMark/>
          </w:tcPr>
          <w:p w:rsidR="00446896" w:rsidRPr="00446896" w:rsidP="00446896" w14:paraId="4E9CBED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single" w:sz="4" w:space="0" w:color="auto"/>
              <w:left w:val="nil"/>
              <w:bottom w:val="single" w:sz="4" w:space="0" w:color="auto"/>
              <w:right w:val="single" w:sz="4" w:space="0" w:color="auto"/>
            </w:tcBorders>
            <w:noWrap/>
            <w:vAlign w:val="center"/>
            <w:hideMark/>
          </w:tcPr>
          <w:p w:rsidR="00446896" w:rsidRPr="00446896" w:rsidP="00446896" w14:paraId="6E523B2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single" w:sz="4" w:space="0" w:color="auto"/>
              <w:left w:val="nil"/>
              <w:bottom w:val="single" w:sz="4" w:space="0" w:color="auto"/>
              <w:right w:val="single" w:sz="4" w:space="0" w:color="auto"/>
            </w:tcBorders>
            <w:noWrap/>
            <w:vAlign w:val="center"/>
            <w:hideMark/>
          </w:tcPr>
          <w:p w:rsidR="00446896" w:rsidRPr="00446896" w:rsidP="00446896" w14:paraId="63B473CD"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xml:space="preserve"> </w:t>
            </w:r>
          </w:p>
        </w:tc>
        <w:tc>
          <w:tcPr>
            <w:tcW w:w="1380" w:type="dxa"/>
            <w:tcBorders>
              <w:top w:val="nil"/>
              <w:left w:val="nil"/>
              <w:bottom w:val="single" w:sz="4" w:space="0" w:color="auto"/>
              <w:right w:val="single" w:sz="8" w:space="0" w:color="auto"/>
            </w:tcBorders>
            <w:noWrap/>
            <w:vAlign w:val="center"/>
            <w:hideMark/>
          </w:tcPr>
          <w:p w:rsidR="00446896" w:rsidRPr="00446896" w:rsidP="00446896" w14:paraId="1CCB6C7F"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4EC37762" w14:textId="77777777" w:rsidTr="00446896">
        <w:tblPrEx>
          <w:tblW w:w="12621" w:type="dxa"/>
          <w:tblInd w:w="118" w:type="dxa"/>
          <w:tblLook w:val="04A0"/>
        </w:tblPrEx>
        <w:trPr>
          <w:trHeight w:val="300"/>
        </w:trPr>
        <w:tc>
          <w:tcPr>
            <w:tcW w:w="4237" w:type="dxa"/>
            <w:tcBorders>
              <w:top w:val="nil"/>
              <w:left w:val="single" w:sz="4" w:space="0" w:color="auto"/>
              <w:bottom w:val="single" w:sz="4" w:space="0" w:color="auto"/>
              <w:right w:val="single" w:sz="4" w:space="0" w:color="auto"/>
            </w:tcBorders>
            <w:noWrap/>
            <w:vAlign w:val="center"/>
            <w:hideMark/>
          </w:tcPr>
          <w:p w:rsidR="00446896" w:rsidRPr="00446896" w:rsidP="00446896" w14:paraId="0B87A0B3" w14:textId="03046063">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446896">
              <w:rPr>
                <w:rFonts w:ascii="Arial" w:eastAsia="Times New Roman" w:hAnsi="Arial" w:cs="Arial"/>
                <w:sz w:val="16"/>
                <w:szCs w:val="16"/>
              </w:rPr>
              <w:t>F. Time for Audits</w:t>
            </w:r>
          </w:p>
        </w:tc>
        <w:tc>
          <w:tcPr>
            <w:tcW w:w="1040" w:type="dxa"/>
            <w:tcBorders>
              <w:top w:val="nil"/>
              <w:left w:val="nil"/>
              <w:bottom w:val="single" w:sz="4" w:space="0" w:color="000000"/>
              <w:right w:val="nil"/>
            </w:tcBorders>
            <w:noWrap/>
            <w:vAlign w:val="bottom"/>
            <w:hideMark/>
          </w:tcPr>
          <w:p w:rsidR="00446896" w:rsidRPr="00446896" w:rsidP="00446896" w14:paraId="6D2CAE1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N/A</w:t>
            </w:r>
          </w:p>
        </w:tc>
        <w:tc>
          <w:tcPr>
            <w:tcW w:w="1040" w:type="dxa"/>
            <w:tcBorders>
              <w:top w:val="nil"/>
              <w:left w:val="single" w:sz="4" w:space="0" w:color="000000"/>
              <w:bottom w:val="single" w:sz="4" w:space="0" w:color="000000"/>
              <w:right w:val="nil"/>
            </w:tcBorders>
            <w:noWrap/>
            <w:vAlign w:val="bottom"/>
            <w:hideMark/>
          </w:tcPr>
          <w:p w:rsidR="00446896" w:rsidRPr="00446896" w:rsidP="00446896" w14:paraId="661EC779"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single" w:sz="4" w:space="0" w:color="000000"/>
              <w:bottom w:val="single" w:sz="4" w:space="0" w:color="000000"/>
              <w:right w:val="nil"/>
            </w:tcBorders>
            <w:noWrap/>
            <w:vAlign w:val="bottom"/>
            <w:hideMark/>
          </w:tcPr>
          <w:p w:rsidR="00446896" w:rsidRPr="00446896" w:rsidP="00446896" w14:paraId="45D74C3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20" w:type="dxa"/>
            <w:tcBorders>
              <w:top w:val="nil"/>
              <w:left w:val="single" w:sz="4" w:space="0" w:color="000000"/>
              <w:bottom w:val="single" w:sz="4" w:space="0" w:color="000000"/>
              <w:right w:val="nil"/>
            </w:tcBorders>
            <w:noWrap/>
            <w:vAlign w:val="bottom"/>
            <w:hideMark/>
          </w:tcPr>
          <w:p w:rsidR="00446896" w:rsidRPr="00446896" w:rsidP="00446896" w14:paraId="6F92C878"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000" w:type="dxa"/>
            <w:tcBorders>
              <w:top w:val="nil"/>
              <w:left w:val="single" w:sz="4" w:space="0" w:color="000000"/>
              <w:bottom w:val="single" w:sz="4" w:space="0" w:color="000000"/>
              <w:right w:val="nil"/>
            </w:tcBorders>
            <w:noWrap/>
            <w:vAlign w:val="bottom"/>
            <w:hideMark/>
          </w:tcPr>
          <w:p w:rsidR="00446896" w:rsidRPr="00446896" w:rsidP="00446896" w14:paraId="6D21872C"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64" w:type="dxa"/>
            <w:tcBorders>
              <w:top w:val="nil"/>
              <w:left w:val="single" w:sz="4" w:space="0" w:color="000000"/>
              <w:bottom w:val="single" w:sz="4" w:space="0" w:color="000000"/>
              <w:right w:val="nil"/>
            </w:tcBorders>
            <w:noWrap/>
            <w:vAlign w:val="bottom"/>
            <w:hideMark/>
          </w:tcPr>
          <w:p w:rsidR="00446896" w:rsidRPr="00446896" w:rsidP="00446896" w14:paraId="3A4B8C42"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940" w:type="dxa"/>
            <w:tcBorders>
              <w:top w:val="nil"/>
              <w:left w:val="single" w:sz="4" w:space="0" w:color="000000"/>
              <w:bottom w:val="single" w:sz="4" w:space="0" w:color="000000"/>
              <w:right w:val="nil"/>
            </w:tcBorders>
            <w:noWrap/>
            <w:vAlign w:val="bottom"/>
            <w:hideMark/>
          </w:tcPr>
          <w:p w:rsidR="00446896" w:rsidRPr="00446896" w:rsidP="00446896" w14:paraId="7F50A1C1" w14:textId="77777777">
            <w:pPr>
              <w:spacing w:after="0" w:line="240" w:lineRule="auto"/>
              <w:jc w:val="center"/>
              <w:rPr>
                <w:rFonts w:ascii="Arial" w:eastAsia="Times New Roman" w:hAnsi="Arial" w:cs="Arial"/>
                <w:sz w:val="16"/>
                <w:szCs w:val="16"/>
              </w:rPr>
            </w:pPr>
            <w:r w:rsidRPr="00446896">
              <w:rPr>
                <w:rFonts w:ascii="Arial" w:eastAsia="Times New Roman" w:hAnsi="Arial" w:cs="Arial"/>
                <w:sz w:val="16"/>
                <w:szCs w:val="16"/>
              </w:rPr>
              <w:t> </w:t>
            </w:r>
          </w:p>
        </w:tc>
        <w:tc>
          <w:tcPr>
            <w:tcW w:w="1380" w:type="dxa"/>
            <w:tcBorders>
              <w:top w:val="nil"/>
              <w:left w:val="single" w:sz="4" w:space="0" w:color="000000"/>
              <w:bottom w:val="nil"/>
              <w:right w:val="single" w:sz="8" w:space="0" w:color="auto"/>
            </w:tcBorders>
            <w:noWrap/>
            <w:vAlign w:val="center"/>
            <w:hideMark/>
          </w:tcPr>
          <w:p w:rsidR="00446896" w:rsidRPr="00446896" w:rsidP="00446896" w14:paraId="535A6AE3" w14:textId="77777777">
            <w:pPr>
              <w:spacing w:after="0" w:line="240" w:lineRule="auto"/>
              <w:jc w:val="right"/>
              <w:rPr>
                <w:rFonts w:ascii="Arial" w:eastAsia="Times New Roman" w:hAnsi="Arial" w:cs="Arial"/>
                <w:sz w:val="16"/>
                <w:szCs w:val="16"/>
              </w:rPr>
            </w:pPr>
            <w:r w:rsidRPr="00446896">
              <w:rPr>
                <w:rFonts w:ascii="Arial" w:eastAsia="Times New Roman" w:hAnsi="Arial" w:cs="Arial"/>
                <w:sz w:val="16"/>
                <w:szCs w:val="16"/>
              </w:rPr>
              <w:t> </w:t>
            </w:r>
          </w:p>
        </w:tc>
      </w:tr>
      <w:tr w14:paraId="0D0E9F37" w14:textId="77777777" w:rsidTr="00446896">
        <w:tblPrEx>
          <w:tblW w:w="12621" w:type="dxa"/>
          <w:tblInd w:w="118" w:type="dxa"/>
          <w:tblLook w:val="04A0"/>
        </w:tblPrEx>
        <w:trPr>
          <w:trHeight w:val="300"/>
        </w:trPr>
        <w:tc>
          <w:tcPr>
            <w:tcW w:w="4237" w:type="dxa"/>
            <w:tcBorders>
              <w:top w:val="nil"/>
              <w:left w:val="single" w:sz="4" w:space="0" w:color="auto"/>
              <w:bottom w:val="nil"/>
              <w:right w:val="single" w:sz="4" w:space="0" w:color="auto"/>
            </w:tcBorders>
            <w:noWrap/>
            <w:vAlign w:val="center"/>
            <w:hideMark/>
          </w:tcPr>
          <w:p w:rsidR="00446896" w:rsidRPr="00446896" w:rsidP="00446896" w14:paraId="3BC7BA2D" w14:textId="77777777">
            <w:pPr>
              <w:spacing w:after="0" w:line="240" w:lineRule="auto"/>
              <w:rPr>
                <w:rFonts w:ascii="Arial" w:eastAsia="Times New Roman" w:hAnsi="Arial" w:cs="Arial"/>
                <w:b/>
                <w:bCs/>
                <w:i/>
                <w:iCs/>
                <w:sz w:val="16"/>
                <w:szCs w:val="16"/>
              </w:rPr>
            </w:pPr>
            <w:r w:rsidRPr="00446896">
              <w:rPr>
                <w:rFonts w:ascii="Arial" w:eastAsia="Times New Roman" w:hAnsi="Arial" w:cs="Arial"/>
                <w:b/>
                <w:bCs/>
                <w:i/>
                <w:iCs/>
                <w:sz w:val="16"/>
                <w:szCs w:val="16"/>
              </w:rPr>
              <w:t>Subtotal for Recordkeeping Requirements</w:t>
            </w:r>
          </w:p>
        </w:tc>
        <w:tc>
          <w:tcPr>
            <w:tcW w:w="1040" w:type="dxa"/>
            <w:tcBorders>
              <w:top w:val="nil"/>
              <w:left w:val="nil"/>
              <w:bottom w:val="nil"/>
              <w:right w:val="nil"/>
            </w:tcBorders>
            <w:noWrap/>
            <w:vAlign w:val="bottom"/>
            <w:hideMark/>
          </w:tcPr>
          <w:p w:rsidR="00446896" w:rsidRPr="00446896" w:rsidP="00446896" w14:paraId="783E2670"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1040" w:type="dxa"/>
            <w:tcBorders>
              <w:top w:val="nil"/>
              <w:left w:val="single" w:sz="4" w:space="0" w:color="000000"/>
              <w:bottom w:val="nil"/>
              <w:right w:val="nil"/>
            </w:tcBorders>
            <w:noWrap/>
            <w:vAlign w:val="bottom"/>
            <w:hideMark/>
          </w:tcPr>
          <w:p w:rsidR="00446896" w:rsidRPr="00446896" w:rsidP="00446896" w14:paraId="03558B94"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1000" w:type="dxa"/>
            <w:tcBorders>
              <w:top w:val="nil"/>
              <w:left w:val="single" w:sz="4" w:space="0" w:color="000000"/>
              <w:bottom w:val="nil"/>
              <w:right w:val="nil"/>
            </w:tcBorders>
            <w:noWrap/>
            <w:vAlign w:val="bottom"/>
            <w:hideMark/>
          </w:tcPr>
          <w:p w:rsidR="00446896" w:rsidRPr="00446896" w:rsidP="00446896" w14:paraId="03D86E08"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1020" w:type="dxa"/>
            <w:tcBorders>
              <w:top w:val="nil"/>
              <w:left w:val="single" w:sz="4" w:space="0" w:color="000000"/>
              <w:bottom w:val="nil"/>
              <w:right w:val="nil"/>
            </w:tcBorders>
            <w:noWrap/>
            <w:vAlign w:val="bottom"/>
            <w:hideMark/>
          </w:tcPr>
          <w:p w:rsidR="00446896" w:rsidRPr="00446896" w:rsidP="00446896" w14:paraId="2101E467"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 </w:t>
            </w:r>
          </w:p>
        </w:tc>
        <w:tc>
          <w:tcPr>
            <w:tcW w:w="2904" w:type="dxa"/>
            <w:gridSpan w:val="3"/>
            <w:tcBorders>
              <w:top w:val="single" w:sz="4" w:space="0" w:color="000000"/>
              <w:left w:val="single" w:sz="4" w:space="0" w:color="000000"/>
              <w:bottom w:val="nil"/>
              <w:right w:val="single" w:sz="4" w:space="0" w:color="000000"/>
            </w:tcBorders>
            <w:noWrap/>
            <w:vAlign w:val="bottom"/>
            <w:hideMark/>
          </w:tcPr>
          <w:p w:rsidR="00446896" w:rsidRPr="00446896" w:rsidP="00446896" w14:paraId="60A3FF6F" w14:textId="77777777">
            <w:pPr>
              <w:spacing w:after="0" w:line="240" w:lineRule="auto"/>
              <w:jc w:val="center"/>
              <w:rPr>
                <w:rFonts w:ascii="Arial" w:eastAsia="Times New Roman" w:hAnsi="Arial" w:cs="Arial"/>
                <w:b/>
                <w:bCs/>
                <w:i/>
                <w:iCs/>
                <w:sz w:val="16"/>
                <w:szCs w:val="16"/>
              </w:rPr>
            </w:pPr>
            <w:r w:rsidRPr="00446896">
              <w:rPr>
                <w:rFonts w:ascii="Arial" w:eastAsia="Times New Roman" w:hAnsi="Arial" w:cs="Arial"/>
                <w:b/>
                <w:bCs/>
                <w:i/>
                <w:iCs/>
                <w:sz w:val="16"/>
                <w:szCs w:val="16"/>
              </w:rPr>
              <w:t>12,558</w:t>
            </w:r>
          </w:p>
        </w:tc>
        <w:tc>
          <w:tcPr>
            <w:tcW w:w="1380" w:type="dxa"/>
            <w:tcBorders>
              <w:top w:val="single" w:sz="4" w:space="0" w:color="auto"/>
              <w:left w:val="nil"/>
              <w:bottom w:val="nil"/>
              <w:right w:val="single" w:sz="8" w:space="0" w:color="auto"/>
            </w:tcBorders>
            <w:noWrap/>
            <w:vAlign w:val="center"/>
            <w:hideMark/>
          </w:tcPr>
          <w:p w:rsidR="00446896" w:rsidRPr="00446896" w:rsidP="00446896" w14:paraId="0E8B3220" w14:textId="77777777">
            <w:pPr>
              <w:spacing w:after="0" w:line="240" w:lineRule="auto"/>
              <w:jc w:val="right"/>
              <w:rPr>
                <w:rFonts w:ascii="Arial" w:eastAsia="Times New Roman" w:hAnsi="Arial" w:cs="Arial"/>
                <w:b/>
                <w:bCs/>
                <w:i/>
                <w:iCs/>
                <w:sz w:val="16"/>
                <w:szCs w:val="16"/>
              </w:rPr>
            </w:pPr>
            <w:r w:rsidRPr="00446896">
              <w:rPr>
                <w:rFonts w:ascii="Arial" w:eastAsia="Times New Roman" w:hAnsi="Arial" w:cs="Arial"/>
                <w:b/>
                <w:bCs/>
                <w:i/>
                <w:iCs/>
                <w:sz w:val="16"/>
                <w:szCs w:val="16"/>
              </w:rPr>
              <w:t>$1,720,000.00</w:t>
            </w:r>
          </w:p>
        </w:tc>
      </w:tr>
      <w:tr w14:paraId="6666A07B" w14:textId="77777777" w:rsidTr="00446896">
        <w:tblPrEx>
          <w:tblW w:w="12621" w:type="dxa"/>
          <w:tblInd w:w="118" w:type="dxa"/>
          <w:tblLook w:val="04A0"/>
        </w:tblPrEx>
        <w:trPr>
          <w:trHeight w:val="300"/>
        </w:trPr>
        <w:tc>
          <w:tcPr>
            <w:tcW w:w="4237" w:type="dxa"/>
            <w:tcBorders>
              <w:top w:val="single" w:sz="8" w:space="0" w:color="auto"/>
              <w:left w:val="single" w:sz="8" w:space="0" w:color="auto"/>
              <w:bottom w:val="single" w:sz="4" w:space="0" w:color="auto"/>
              <w:right w:val="single" w:sz="4" w:space="0" w:color="auto"/>
            </w:tcBorders>
            <w:noWrap/>
            <w:vAlign w:val="bottom"/>
            <w:hideMark/>
          </w:tcPr>
          <w:p w:rsidR="00446896" w:rsidRPr="00446896" w:rsidP="00446896" w14:paraId="04FEAD31" w14:textId="77777777">
            <w:pPr>
              <w:spacing w:after="0" w:line="240" w:lineRule="auto"/>
              <w:rPr>
                <w:rFonts w:ascii="Arial" w:eastAsia="Times New Roman" w:hAnsi="Arial" w:cs="Arial"/>
                <w:b/>
                <w:bCs/>
                <w:sz w:val="16"/>
                <w:szCs w:val="16"/>
              </w:rPr>
            </w:pPr>
            <w:r w:rsidRPr="00446896">
              <w:rPr>
                <w:rFonts w:ascii="Arial" w:eastAsia="Times New Roman" w:hAnsi="Arial" w:cs="Arial"/>
                <w:b/>
                <w:bCs/>
                <w:sz w:val="16"/>
                <w:szCs w:val="16"/>
              </w:rPr>
              <w:t>TOTAL LABOR BURDEN AND COSTS (rounded)</w:t>
            </w:r>
            <w:r w:rsidRPr="00446896">
              <w:rPr>
                <w:rFonts w:ascii="Arial" w:eastAsia="Times New Roman" w:hAnsi="Arial" w:cs="Arial"/>
                <w:b/>
                <w:bCs/>
                <w:sz w:val="16"/>
                <w:szCs w:val="16"/>
                <w:vertAlign w:val="superscript"/>
              </w:rPr>
              <w:t>s</w:t>
            </w:r>
          </w:p>
        </w:tc>
        <w:tc>
          <w:tcPr>
            <w:tcW w:w="1040" w:type="dxa"/>
            <w:tcBorders>
              <w:top w:val="single" w:sz="8" w:space="0" w:color="auto"/>
              <w:left w:val="nil"/>
              <w:bottom w:val="single" w:sz="4" w:space="0" w:color="auto"/>
              <w:right w:val="nil"/>
            </w:tcBorders>
            <w:noWrap/>
            <w:vAlign w:val="center"/>
            <w:hideMark/>
          </w:tcPr>
          <w:p w:rsidR="00446896" w:rsidRPr="00446896" w:rsidP="00446896" w14:paraId="3946EAB9"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40" w:type="dxa"/>
            <w:tcBorders>
              <w:top w:val="single" w:sz="8" w:space="0" w:color="auto"/>
              <w:left w:val="nil"/>
              <w:bottom w:val="single" w:sz="4" w:space="0" w:color="auto"/>
              <w:right w:val="nil"/>
            </w:tcBorders>
            <w:noWrap/>
            <w:vAlign w:val="center"/>
            <w:hideMark/>
          </w:tcPr>
          <w:p w:rsidR="00446896" w:rsidRPr="00446896" w:rsidP="00446896" w14:paraId="70A77E57"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00" w:type="dxa"/>
            <w:tcBorders>
              <w:top w:val="single" w:sz="8" w:space="0" w:color="auto"/>
              <w:left w:val="nil"/>
              <w:bottom w:val="single" w:sz="4" w:space="0" w:color="auto"/>
              <w:right w:val="nil"/>
            </w:tcBorders>
            <w:noWrap/>
            <w:vAlign w:val="center"/>
            <w:hideMark/>
          </w:tcPr>
          <w:p w:rsidR="00446896" w:rsidRPr="00446896" w:rsidP="00446896" w14:paraId="64A6C637"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20" w:type="dxa"/>
            <w:tcBorders>
              <w:top w:val="single" w:sz="8" w:space="0" w:color="auto"/>
              <w:left w:val="nil"/>
              <w:bottom w:val="single" w:sz="4" w:space="0" w:color="auto"/>
              <w:right w:val="nil"/>
            </w:tcBorders>
            <w:noWrap/>
            <w:vAlign w:val="center"/>
            <w:hideMark/>
          </w:tcPr>
          <w:p w:rsidR="00446896" w:rsidRPr="00446896" w:rsidP="00446896" w14:paraId="6D0F1A7F"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2904" w:type="dxa"/>
            <w:gridSpan w:val="3"/>
            <w:tcBorders>
              <w:top w:val="single" w:sz="8" w:space="0" w:color="auto"/>
              <w:left w:val="nil"/>
              <w:bottom w:val="single" w:sz="4" w:space="0" w:color="auto"/>
              <w:right w:val="nil"/>
            </w:tcBorders>
            <w:noWrap/>
            <w:vAlign w:val="center"/>
            <w:hideMark/>
          </w:tcPr>
          <w:p w:rsidR="00446896" w:rsidRPr="00446896" w:rsidP="00446896" w14:paraId="77787744"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318,000</w:t>
            </w:r>
          </w:p>
        </w:tc>
        <w:tc>
          <w:tcPr>
            <w:tcW w:w="1380" w:type="dxa"/>
            <w:tcBorders>
              <w:top w:val="single" w:sz="8" w:space="0" w:color="auto"/>
              <w:left w:val="nil"/>
              <w:bottom w:val="single" w:sz="4" w:space="0" w:color="auto"/>
              <w:right w:val="single" w:sz="8" w:space="0" w:color="auto"/>
            </w:tcBorders>
            <w:noWrap/>
            <w:vAlign w:val="center"/>
            <w:hideMark/>
          </w:tcPr>
          <w:p w:rsidR="00446896" w:rsidRPr="00446896" w:rsidP="00446896" w14:paraId="638452BA" w14:textId="77777777">
            <w:pPr>
              <w:spacing w:after="0" w:line="240" w:lineRule="auto"/>
              <w:jc w:val="right"/>
              <w:rPr>
                <w:rFonts w:ascii="Arial" w:eastAsia="Times New Roman" w:hAnsi="Arial" w:cs="Arial"/>
                <w:b/>
                <w:bCs/>
                <w:sz w:val="16"/>
                <w:szCs w:val="16"/>
              </w:rPr>
            </w:pPr>
            <w:r w:rsidRPr="00446896">
              <w:rPr>
                <w:rFonts w:ascii="Arial" w:eastAsia="Times New Roman" w:hAnsi="Arial" w:cs="Arial"/>
                <w:b/>
                <w:bCs/>
                <w:sz w:val="16"/>
                <w:szCs w:val="16"/>
              </w:rPr>
              <w:t>$43,500,000.00</w:t>
            </w:r>
          </w:p>
        </w:tc>
      </w:tr>
      <w:tr w14:paraId="146544D0" w14:textId="77777777" w:rsidTr="00446896">
        <w:tblPrEx>
          <w:tblW w:w="12621" w:type="dxa"/>
          <w:tblInd w:w="118" w:type="dxa"/>
          <w:tblLook w:val="04A0"/>
        </w:tblPrEx>
        <w:trPr>
          <w:trHeight w:val="300"/>
        </w:trPr>
        <w:tc>
          <w:tcPr>
            <w:tcW w:w="4237" w:type="dxa"/>
            <w:tcBorders>
              <w:top w:val="nil"/>
              <w:left w:val="single" w:sz="8" w:space="0" w:color="auto"/>
              <w:bottom w:val="single" w:sz="4" w:space="0" w:color="auto"/>
              <w:right w:val="single" w:sz="4" w:space="0" w:color="auto"/>
            </w:tcBorders>
            <w:noWrap/>
            <w:vAlign w:val="bottom"/>
            <w:hideMark/>
          </w:tcPr>
          <w:p w:rsidR="00446896" w:rsidRPr="00446896" w:rsidP="00446896" w14:paraId="0A2772A4" w14:textId="77777777">
            <w:pPr>
              <w:spacing w:after="0" w:line="240" w:lineRule="auto"/>
              <w:rPr>
                <w:rFonts w:ascii="Arial" w:eastAsia="Times New Roman" w:hAnsi="Arial" w:cs="Arial"/>
                <w:b/>
                <w:bCs/>
                <w:sz w:val="16"/>
                <w:szCs w:val="16"/>
              </w:rPr>
            </w:pPr>
            <w:r w:rsidRPr="00446896">
              <w:rPr>
                <w:rFonts w:ascii="Arial" w:eastAsia="Times New Roman" w:hAnsi="Arial" w:cs="Arial"/>
                <w:b/>
                <w:bCs/>
                <w:sz w:val="16"/>
                <w:szCs w:val="16"/>
              </w:rPr>
              <w:t>TOTAL CAPITAL AND O&amp;M COST (rounded)</w:t>
            </w:r>
            <w:r w:rsidRPr="00446896">
              <w:rPr>
                <w:rFonts w:ascii="Arial" w:eastAsia="Times New Roman" w:hAnsi="Arial" w:cs="Arial"/>
                <w:b/>
                <w:bCs/>
                <w:sz w:val="16"/>
                <w:szCs w:val="16"/>
                <w:vertAlign w:val="superscript"/>
              </w:rPr>
              <w:t>s</w:t>
            </w:r>
          </w:p>
        </w:tc>
        <w:tc>
          <w:tcPr>
            <w:tcW w:w="1040" w:type="dxa"/>
            <w:tcBorders>
              <w:top w:val="single" w:sz="4" w:space="0" w:color="auto"/>
              <w:left w:val="nil"/>
              <w:bottom w:val="single" w:sz="4" w:space="0" w:color="auto"/>
              <w:right w:val="nil"/>
            </w:tcBorders>
            <w:noWrap/>
            <w:vAlign w:val="center"/>
            <w:hideMark/>
          </w:tcPr>
          <w:p w:rsidR="00446896" w:rsidRPr="00446896" w:rsidP="00446896" w14:paraId="2665BCE5"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40" w:type="dxa"/>
            <w:tcBorders>
              <w:top w:val="single" w:sz="4" w:space="0" w:color="auto"/>
              <w:left w:val="nil"/>
              <w:bottom w:val="single" w:sz="4" w:space="0" w:color="auto"/>
              <w:right w:val="nil"/>
            </w:tcBorders>
            <w:noWrap/>
            <w:vAlign w:val="center"/>
            <w:hideMark/>
          </w:tcPr>
          <w:p w:rsidR="00446896" w:rsidRPr="00446896" w:rsidP="00446896" w14:paraId="280C6353"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00" w:type="dxa"/>
            <w:tcBorders>
              <w:top w:val="single" w:sz="4" w:space="0" w:color="auto"/>
              <w:left w:val="nil"/>
              <w:bottom w:val="single" w:sz="4" w:space="0" w:color="auto"/>
              <w:right w:val="nil"/>
            </w:tcBorders>
            <w:noWrap/>
            <w:vAlign w:val="center"/>
            <w:hideMark/>
          </w:tcPr>
          <w:p w:rsidR="00446896" w:rsidRPr="00446896" w:rsidP="00446896" w14:paraId="7E4B4196" w14:textId="77777777">
            <w:pPr>
              <w:spacing w:after="0" w:line="240" w:lineRule="auto"/>
              <w:rPr>
                <w:rFonts w:ascii="Arial" w:eastAsia="Times New Roman" w:hAnsi="Arial" w:cs="Arial"/>
                <w:b/>
                <w:bCs/>
                <w:sz w:val="16"/>
                <w:szCs w:val="16"/>
              </w:rPr>
            </w:pPr>
            <w:r w:rsidRPr="00446896">
              <w:rPr>
                <w:rFonts w:ascii="Arial" w:eastAsia="Times New Roman" w:hAnsi="Arial" w:cs="Arial"/>
                <w:b/>
                <w:bCs/>
                <w:sz w:val="16"/>
                <w:szCs w:val="16"/>
              </w:rPr>
              <w:t> </w:t>
            </w:r>
          </w:p>
        </w:tc>
        <w:tc>
          <w:tcPr>
            <w:tcW w:w="1020" w:type="dxa"/>
            <w:tcBorders>
              <w:top w:val="single" w:sz="4" w:space="0" w:color="auto"/>
              <w:left w:val="nil"/>
              <w:bottom w:val="single" w:sz="4" w:space="0" w:color="auto"/>
              <w:right w:val="nil"/>
            </w:tcBorders>
            <w:noWrap/>
            <w:vAlign w:val="center"/>
            <w:hideMark/>
          </w:tcPr>
          <w:p w:rsidR="00446896" w:rsidRPr="00446896" w:rsidP="00446896" w14:paraId="282020EA"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00" w:type="dxa"/>
            <w:tcBorders>
              <w:top w:val="single" w:sz="4" w:space="0" w:color="auto"/>
              <w:left w:val="nil"/>
              <w:bottom w:val="single" w:sz="4" w:space="0" w:color="auto"/>
              <w:right w:val="nil"/>
            </w:tcBorders>
            <w:noWrap/>
            <w:vAlign w:val="center"/>
            <w:hideMark/>
          </w:tcPr>
          <w:p w:rsidR="00446896" w:rsidRPr="00446896" w:rsidP="00446896" w14:paraId="739B6993"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964" w:type="dxa"/>
            <w:tcBorders>
              <w:top w:val="single" w:sz="4" w:space="0" w:color="auto"/>
              <w:left w:val="nil"/>
              <w:bottom w:val="single" w:sz="4" w:space="0" w:color="auto"/>
              <w:right w:val="nil"/>
            </w:tcBorders>
            <w:noWrap/>
            <w:vAlign w:val="center"/>
            <w:hideMark/>
          </w:tcPr>
          <w:p w:rsidR="00446896" w:rsidRPr="00446896" w:rsidP="00446896" w14:paraId="2C2E31ED"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940" w:type="dxa"/>
            <w:tcBorders>
              <w:top w:val="single" w:sz="4" w:space="0" w:color="auto"/>
              <w:left w:val="nil"/>
              <w:bottom w:val="single" w:sz="4" w:space="0" w:color="auto"/>
              <w:right w:val="nil"/>
            </w:tcBorders>
            <w:noWrap/>
            <w:vAlign w:val="center"/>
            <w:hideMark/>
          </w:tcPr>
          <w:p w:rsidR="00446896" w:rsidRPr="00446896" w:rsidP="00446896" w14:paraId="033E1EF4"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380" w:type="dxa"/>
            <w:tcBorders>
              <w:top w:val="nil"/>
              <w:left w:val="nil"/>
              <w:bottom w:val="nil"/>
              <w:right w:val="single" w:sz="8" w:space="0" w:color="auto"/>
            </w:tcBorders>
            <w:noWrap/>
            <w:vAlign w:val="center"/>
            <w:hideMark/>
          </w:tcPr>
          <w:p w:rsidR="00446896" w:rsidRPr="00446896" w:rsidP="00446896" w14:paraId="01361F8E" w14:textId="77777777">
            <w:pPr>
              <w:spacing w:after="0" w:line="240" w:lineRule="auto"/>
              <w:jc w:val="right"/>
              <w:rPr>
                <w:rFonts w:ascii="Arial" w:eastAsia="Times New Roman" w:hAnsi="Arial" w:cs="Arial"/>
                <w:b/>
                <w:bCs/>
                <w:sz w:val="16"/>
                <w:szCs w:val="16"/>
              </w:rPr>
            </w:pPr>
            <w:r w:rsidRPr="00446896">
              <w:rPr>
                <w:rFonts w:ascii="Arial" w:eastAsia="Times New Roman" w:hAnsi="Arial" w:cs="Arial"/>
                <w:b/>
                <w:bCs/>
                <w:sz w:val="16"/>
                <w:szCs w:val="16"/>
              </w:rPr>
              <w:t>$7,140,000.00</w:t>
            </w:r>
          </w:p>
        </w:tc>
      </w:tr>
      <w:tr w14:paraId="42B7CEBA" w14:textId="77777777" w:rsidTr="00446896">
        <w:tblPrEx>
          <w:tblW w:w="12621" w:type="dxa"/>
          <w:tblInd w:w="118" w:type="dxa"/>
          <w:tblLook w:val="04A0"/>
        </w:tblPrEx>
        <w:trPr>
          <w:trHeight w:val="300"/>
        </w:trPr>
        <w:tc>
          <w:tcPr>
            <w:tcW w:w="4237" w:type="dxa"/>
            <w:tcBorders>
              <w:top w:val="nil"/>
              <w:left w:val="single" w:sz="8" w:space="0" w:color="auto"/>
              <w:bottom w:val="single" w:sz="8" w:space="0" w:color="auto"/>
              <w:right w:val="single" w:sz="4" w:space="0" w:color="auto"/>
            </w:tcBorders>
            <w:noWrap/>
            <w:vAlign w:val="bottom"/>
            <w:hideMark/>
          </w:tcPr>
          <w:p w:rsidR="00446896" w:rsidRPr="00446896" w:rsidP="00446896" w14:paraId="0C0D88D8" w14:textId="77777777">
            <w:pPr>
              <w:spacing w:after="0" w:line="240" w:lineRule="auto"/>
              <w:rPr>
                <w:rFonts w:ascii="Arial" w:eastAsia="Times New Roman" w:hAnsi="Arial" w:cs="Arial"/>
                <w:b/>
                <w:bCs/>
                <w:sz w:val="16"/>
                <w:szCs w:val="16"/>
              </w:rPr>
            </w:pPr>
            <w:r w:rsidRPr="00446896">
              <w:rPr>
                <w:rFonts w:ascii="Arial" w:eastAsia="Times New Roman" w:hAnsi="Arial" w:cs="Arial"/>
                <w:b/>
                <w:bCs/>
                <w:sz w:val="16"/>
                <w:szCs w:val="16"/>
              </w:rPr>
              <w:t>GRAND TOTAL (rounded)</w:t>
            </w:r>
            <w:r w:rsidRPr="00446896">
              <w:rPr>
                <w:rFonts w:ascii="Arial" w:eastAsia="Times New Roman" w:hAnsi="Arial" w:cs="Arial"/>
                <w:b/>
                <w:bCs/>
                <w:sz w:val="16"/>
                <w:szCs w:val="16"/>
                <w:vertAlign w:val="superscript"/>
              </w:rPr>
              <w:t>s</w:t>
            </w:r>
          </w:p>
        </w:tc>
        <w:tc>
          <w:tcPr>
            <w:tcW w:w="1040" w:type="dxa"/>
            <w:tcBorders>
              <w:top w:val="single" w:sz="4" w:space="0" w:color="auto"/>
              <w:left w:val="nil"/>
              <w:bottom w:val="single" w:sz="8" w:space="0" w:color="auto"/>
              <w:right w:val="nil"/>
            </w:tcBorders>
            <w:noWrap/>
            <w:vAlign w:val="center"/>
            <w:hideMark/>
          </w:tcPr>
          <w:p w:rsidR="00446896" w:rsidRPr="00446896" w:rsidP="00446896" w14:paraId="7E479067"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40" w:type="dxa"/>
            <w:tcBorders>
              <w:top w:val="single" w:sz="4" w:space="0" w:color="auto"/>
              <w:left w:val="nil"/>
              <w:bottom w:val="single" w:sz="8" w:space="0" w:color="auto"/>
              <w:right w:val="nil"/>
            </w:tcBorders>
            <w:noWrap/>
            <w:vAlign w:val="center"/>
            <w:hideMark/>
          </w:tcPr>
          <w:p w:rsidR="00446896" w:rsidRPr="00446896" w:rsidP="00446896" w14:paraId="1A7BABD3"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00" w:type="dxa"/>
            <w:tcBorders>
              <w:top w:val="single" w:sz="4" w:space="0" w:color="auto"/>
              <w:left w:val="nil"/>
              <w:bottom w:val="single" w:sz="8" w:space="0" w:color="auto"/>
              <w:right w:val="nil"/>
            </w:tcBorders>
            <w:noWrap/>
            <w:vAlign w:val="center"/>
            <w:hideMark/>
          </w:tcPr>
          <w:p w:rsidR="00446896" w:rsidRPr="00446896" w:rsidP="00446896" w14:paraId="157B72A1" w14:textId="77777777">
            <w:pPr>
              <w:spacing w:after="0" w:line="240" w:lineRule="auto"/>
              <w:rPr>
                <w:rFonts w:ascii="Arial" w:eastAsia="Times New Roman" w:hAnsi="Arial" w:cs="Arial"/>
                <w:b/>
                <w:bCs/>
                <w:sz w:val="16"/>
                <w:szCs w:val="16"/>
              </w:rPr>
            </w:pPr>
            <w:r w:rsidRPr="00446896">
              <w:rPr>
                <w:rFonts w:ascii="Arial" w:eastAsia="Times New Roman" w:hAnsi="Arial" w:cs="Arial"/>
                <w:b/>
                <w:bCs/>
                <w:sz w:val="16"/>
                <w:szCs w:val="16"/>
              </w:rPr>
              <w:t> </w:t>
            </w:r>
          </w:p>
        </w:tc>
        <w:tc>
          <w:tcPr>
            <w:tcW w:w="1020" w:type="dxa"/>
            <w:tcBorders>
              <w:top w:val="single" w:sz="4" w:space="0" w:color="auto"/>
              <w:left w:val="nil"/>
              <w:bottom w:val="single" w:sz="8" w:space="0" w:color="auto"/>
              <w:right w:val="nil"/>
            </w:tcBorders>
            <w:noWrap/>
            <w:vAlign w:val="center"/>
            <w:hideMark/>
          </w:tcPr>
          <w:p w:rsidR="00446896" w:rsidRPr="00446896" w:rsidP="00446896" w14:paraId="3BE94E13"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000" w:type="dxa"/>
            <w:tcBorders>
              <w:top w:val="single" w:sz="4" w:space="0" w:color="auto"/>
              <w:left w:val="nil"/>
              <w:bottom w:val="single" w:sz="8" w:space="0" w:color="auto"/>
              <w:right w:val="nil"/>
            </w:tcBorders>
            <w:noWrap/>
            <w:vAlign w:val="center"/>
            <w:hideMark/>
          </w:tcPr>
          <w:p w:rsidR="00446896" w:rsidRPr="00446896" w:rsidP="00446896" w14:paraId="0065029A"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964" w:type="dxa"/>
            <w:tcBorders>
              <w:top w:val="single" w:sz="4" w:space="0" w:color="auto"/>
              <w:left w:val="nil"/>
              <w:bottom w:val="single" w:sz="8" w:space="0" w:color="auto"/>
              <w:right w:val="nil"/>
            </w:tcBorders>
            <w:noWrap/>
            <w:vAlign w:val="center"/>
            <w:hideMark/>
          </w:tcPr>
          <w:p w:rsidR="00446896" w:rsidRPr="00446896" w:rsidP="00446896" w14:paraId="3E217D4D"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940" w:type="dxa"/>
            <w:tcBorders>
              <w:top w:val="single" w:sz="4" w:space="0" w:color="auto"/>
              <w:left w:val="nil"/>
              <w:bottom w:val="single" w:sz="8" w:space="0" w:color="auto"/>
              <w:right w:val="nil"/>
            </w:tcBorders>
            <w:noWrap/>
            <w:vAlign w:val="center"/>
            <w:hideMark/>
          </w:tcPr>
          <w:p w:rsidR="00446896" w:rsidRPr="00446896" w:rsidP="00446896" w14:paraId="25D0C506" w14:textId="77777777">
            <w:pPr>
              <w:spacing w:after="0" w:line="240" w:lineRule="auto"/>
              <w:jc w:val="center"/>
              <w:rPr>
                <w:rFonts w:ascii="Arial" w:eastAsia="Times New Roman" w:hAnsi="Arial" w:cs="Arial"/>
                <w:b/>
                <w:bCs/>
                <w:sz w:val="16"/>
                <w:szCs w:val="16"/>
              </w:rPr>
            </w:pPr>
            <w:r w:rsidRPr="00446896">
              <w:rPr>
                <w:rFonts w:ascii="Arial" w:eastAsia="Times New Roman" w:hAnsi="Arial" w:cs="Arial"/>
                <w:b/>
                <w:bCs/>
                <w:sz w:val="16"/>
                <w:szCs w:val="16"/>
              </w:rPr>
              <w:t> </w:t>
            </w:r>
          </w:p>
        </w:tc>
        <w:tc>
          <w:tcPr>
            <w:tcW w:w="1380" w:type="dxa"/>
            <w:tcBorders>
              <w:top w:val="single" w:sz="4" w:space="0" w:color="auto"/>
              <w:left w:val="nil"/>
              <w:bottom w:val="single" w:sz="8" w:space="0" w:color="auto"/>
              <w:right w:val="single" w:sz="8" w:space="0" w:color="auto"/>
            </w:tcBorders>
            <w:noWrap/>
            <w:vAlign w:val="center"/>
            <w:hideMark/>
          </w:tcPr>
          <w:p w:rsidR="00446896" w:rsidRPr="00446896" w:rsidP="00446896" w14:paraId="55233512" w14:textId="77777777">
            <w:pPr>
              <w:spacing w:after="0" w:line="240" w:lineRule="auto"/>
              <w:jc w:val="right"/>
              <w:rPr>
                <w:rFonts w:ascii="Arial" w:eastAsia="Times New Roman" w:hAnsi="Arial" w:cs="Arial"/>
                <w:b/>
                <w:bCs/>
                <w:sz w:val="16"/>
                <w:szCs w:val="16"/>
              </w:rPr>
            </w:pPr>
            <w:r w:rsidRPr="00446896">
              <w:rPr>
                <w:rFonts w:ascii="Arial" w:eastAsia="Times New Roman" w:hAnsi="Arial" w:cs="Arial"/>
                <w:b/>
                <w:bCs/>
                <w:sz w:val="16"/>
                <w:szCs w:val="16"/>
              </w:rPr>
              <w:t>$50,600,000.00</w:t>
            </w:r>
          </w:p>
        </w:tc>
      </w:tr>
      <w:tr w14:paraId="0BFF1E0F" w14:textId="77777777" w:rsidTr="00446896">
        <w:tblPrEx>
          <w:tblW w:w="12621" w:type="dxa"/>
          <w:tblInd w:w="118" w:type="dxa"/>
          <w:tblLook w:val="04A0"/>
        </w:tblPrEx>
        <w:trPr>
          <w:trHeight w:val="300"/>
        </w:trPr>
        <w:tc>
          <w:tcPr>
            <w:tcW w:w="4237" w:type="dxa"/>
            <w:tcBorders>
              <w:top w:val="nil"/>
              <w:left w:val="nil"/>
              <w:bottom w:val="nil"/>
              <w:right w:val="nil"/>
            </w:tcBorders>
            <w:noWrap/>
            <w:vAlign w:val="center"/>
            <w:hideMark/>
          </w:tcPr>
          <w:p w:rsidR="00446896" w:rsidRPr="00446896" w:rsidP="00446896" w14:paraId="20829196" w14:textId="77777777">
            <w:pPr>
              <w:spacing w:after="0" w:line="240" w:lineRule="auto"/>
              <w:jc w:val="right"/>
              <w:rPr>
                <w:rFonts w:ascii="Arial" w:eastAsia="Times New Roman" w:hAnsi="Arial" w:cs="Arial"/>
                <w:b/>
                <w:bCs/>
                <w:sz w:val="16"/>
                <w:szCs w:val="16"/>
              </w:rPr>
            </w:pPr>
          </w:p>
        </w:tc>
        <w:tc>
          <w:tcPr>
            <w:tcW w:w="1040" w:type="dxa"/>
            <w:tcBorders>
              <w:top w:val="nil"/>
              <w:left w:val="nil"/>
              <w:bottom w:val="nil"/>
              <w:right w:val="nil"/>
            </w:tcBorders>
            <w:noWrap/>
            <w:vAlign w:val="center"/>
            <w:hideMark/>
          </w:tcPr>
          <w:p w:rsidR="00446896" w:rsidRPr="00446896" w:rsidP="00446896" w14:paraId="4C17DD11" w14:textId="7777777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noWrap/>
            <w:vAlign w:val="center"/>
            <w:hideMark/>
          </w:tcPr>
          <w:p w:rsidR="00446896" w:rsidRPr="00446896" w:rsidP="00446896" w14:paraId="4A88AA25" w14:textId="77777777">
            <w:pPr>
              <w:spacing w:after="0" w:line="240" w:lineRule="auto"/>
              <w:jc w:val="center"/>
              <w:rPr>
                <w:rFonts w:ascii="Times New Roman" w:eastAsia="Times New Roman" w:hAnsi="Times New Roman" w:cs="Times New Roman"/>
                <w:sz w:val="20"/>
                <w:szCs w:val="20"/>
              </w:rPr>
            </w:pPr>
          </w:p>
        </w:tc>
        <w:tc>
          <w:tcPr>
            <w:tcW w:w="3984" w:type="dxa"/>
            <w:gridSpan w:val="4"/>
            <w:tcBorders>
              <w:top w:val="nil"/>
              <w:left w:val="nil"/>
              <w:bottom w:val="nil"/>
              <w:right w:val="nil"/>
            </w:tcBorders>
            <w:noWrap/>
            <w:vAlign w:val="center"/>
            <w:hideMark/>
          </w:tcPr>
          <w:p w:rsidR="00446896" w:rsidRPr="00446896" w:rsidP="00446896" w14:paraId="77F42687" w14:textId="77777777">
            <w:pPr>
              <w:spacing w:after="0" w:line="240" w:lineRule="auto"/>
              <w:jc w:val="center"/>
              <w:rPr>
                <w:rFonts w:ascii="Times New Roman" w:eastAsia="Times New Roman" w:hAnsi="Times New Roman" w:cs="Times New Roman"/>
                <w:sz w:val="20"/>
                <w:szCs w:val="20"/>
              </w:rPr>
            </w:pPr>
          </w:p>
        </w:tc>
        <w:tc>
          <w:tcPr>
            <w:tcW w:w="940" w:type="dxa"/>
            <w:tcBorders>
              <w:top w:val="nil"/>
              <w:left w:val="nil"/>
              <w:bottom w:val="nil"/>
              <w:right w:val="nil"/>
            </w:tcBorders>
            <w:noWrap/>
            <w:vAlign w:val="center"/>
            <w:hideMark/>
          </w:tcPr>
          <w:p w:rsidR="00446896" w:rsidRPr="00446896" w:rsidP="00446896" w14:paraId="6C77081E"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center"/>
            <w:hideMark/>
          </w:tcPr>
          <w:p w:rsidR="00446896" w:rsidRPr="00446896" w:rsidP="00446896" w14:paraId="2D7F6980" w14:textId="77777777">
            <w:pPr>
              <w:spacing w:after="0" w:line="240" w:lineRule="auto"/>
              <w:jc w:val="center"/>
              <w:rPr>
                <w:rFonts w:ascii="Times New Roman" w:eastAsia="Times New Roman" w:hAnsi="Times New Roman" w:cs="Times New Roman"/>
                <w:sz w:val="20"/>
                <w:szCs w:val="20"/>
              </w:rPr>
            </w:pPr>
          </w:p>
        </w:tc>
      </w:tr>
      <w:tr w14:paraId="60138B44" w14:textId="77777777" w:rsidTr="00446896">
        <w:tblPrEx>
          <w:tblW w:w="12621" w:type="dxa"/>
          <w:tblInd w:w="118" w:type="dxa"/>
          <w:tblLook w:val="04A0"/>
        </w:tblPrEx>
        <w:trPr>
          <w:trHeight w:val="300"/>
        </w:trPr>
        <w:tc>
          <w:tcPr>
            <w:tcW w:w="4237" w:type="dxa"/>
            <w:tcBorders>
              <w:top w:val="nil"/>
              <w:left w:val="nil"/>
              <w:bottom w:val="nil"/>
              <w:right w:val="nil"/>
            </w:tcBorders>
            <w:noWrap/>
            <w:vAlign w:val="bottom"/>
            <w:hideMark/>
          </w:tcPr>
          <w:p w:rsidR="00446896" w:rsidRPr="00446896" w:rsidP="00446896" w14:paraId="5530CEA9"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rPr>
              <w:t>FOOTNOTES</w:t>
            </w:r>
          </w:p>
        </w:tc>
        <w:tc>
          <w:tcPr>
            <w:tcW w:w="1040" w:type="dxa"/>
            <w:tcBorders>
              <w:top w:val="nil"/>
              <w:left w:val="nil"/>
              <w:bottom w:val="nil"/>
              <w:right w:val="nil"/>
            </w:tcBorders>
            <w:noWrap/>
            <w:vAlign w:val="bottom"/>
            <w:hideMark/>
          </w:tcPr>
          <w:p w:rsidR="00446896" w:rsidRPr="00446896" w:rsidP="00446896" w14:paraId="4C74FF7D" w14:textId="77777777">
            <w:pPr>
              <w:spacing w:after="0" w:line="240" w:lineRule="auto"/>
              <w:rPr>
                <w:rFonts w:ascii="Arial" w:eastAsia="Times New Roman" w:hAnsi="Arial" w:cs="Arial"/>
                <w:sz w:val="16"/>
                <w:szCs w:val="16"/>
              </w:rPr>
            </w:pPr>
          </w:p>
        </w:tc>
        <w:tc>
          <w:tcPr>
            <w:tcW w:w="1040" w:type="dxa"/>
            <w:tcBorders>
              <w:top w:val="nil"/>
              <w:left w:val="nil"/>
              <w:bottom w:val="nil"/>
              <w:right w:val="nil"/>
            </w:tcBorders>
            <w:noWrap/>
            <w:vAlign w:val="bottom"/>
            <w:hideMark/>
          </w:tcPr>
          <w:p w:rsidR="00446896" w:rsidRPr="00446896" w:rsidP="00446896" w14:paraId="3F7A2CEF" w14:textId="77777777">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rsidR="00446896" w:rsidRPr="00446896" w:rsidP="00446896" w14:paraId="4D1AB473" w14:textId="77777777">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noWrap/>
            <w:vAlign w:val="bottom"/>
            <w:hideMark/>
          </w:tcPr>
          <w:p w:rsidR="00446896" w:rsidRPr="00446896" w:rsidP="00446896" w14:paraId="148981A3" w14:textId="77777777">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vAlign w:val="bottom"/>
            <w:hideMark/>
          </w:tcPr>
          <w:p w:rsidR="00446896" w:rsidRPr="00446896" w:rsidP="00446896" w14:paraId="7A3F063B" w14:textId="77777777">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noWrap/>
            <w:vAlign w:val="bottom"/>
            <w:hideMark/>
          </w:tcPr>
          <w:p w:rsidR="00446896" w:rsidRPr="00446896" w:rsidP="00446896" w14:paraId="5EDEF23A" w14:textId="77777777">
            <w:pPr>
              <w:spacing w:after="0" w:line="240" w:lineRule="auto"/>
              <w:jc w:val="center"/>
              <w:rPr>
                <w:rFonts w:ascii="Times New Roman" w:eastAsia="Times New Roman" w:hAnsi="Times New Roman" w:cs="Times New Roman"/>
                <w:sz w:val="20"/>
                <w:szCs w:val="20"/>
              </w:rPr>
            </w:pPr>
          </w:p>
        </w:tc>
        <w:tc>
          <w:tcPr>
            <w:tcW w:w="940" w:type="dxa"/>
            <w:tcBorders>
              <w:top w:val="nil"/>
              <w:left w:val="nil"/>
              <w:bottom w:val="nil"/>
              <w:right w:val="nil"/>
            </w:tcBorders>
            <w:noWrap/>
            <w:vAlign w:val="bottom"/>
            <w:hideMark/>
          </w:tcPr>
          <w:p w:rsidR="00446896" w:rsidRPr="00446896" w:rsidP="00446896" w14:paraId="29FF9162" w14:textId="77777777">
            <w:pPr>
              <w:spacing w:after="0" w:line="240" w:lineRule="auto"/>
              <w:jc w:val="center"/>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rsidR="00446896" w:rsidRPr="00446896" w:rsidP="00446896" w14:paraId="4C792F2C" w14:textId="77777777">
            <w:pPr>
              <w:spacing w:after="0" w:line="240" w:lineRule="auto"/>
              <w:jc w:val="center"/>
              <w:rPr>
                <w:rFonts w:ascii="Times New Roman" w:eastAsia="Times New Roman" w:hAnsi="Times New Roman" w:cs="Times New Roman"/>
                <w:sz w:val="20"/>
                <w:szCs w:val="20"/>
              </w:rPr>
            </w:pPr>
          </w:p>
        </w:tc>
      </w:tr>
      <w:tr w14:paraId="724C3023" w14:textId="77777777" w:rsidTr="00446896">
        <w:tblPrEx>
          <w:tblW w:w="12621" w:type="dxa"/>
          <w:tblInd w:w="118" w:type="dxa"/>
          <w:tblLook w:val="04A0"/>
        </w:tblPrEx>
        <w:trPr>
          <w:trHeight w:val="768"/>
        </w:trPr>
        <w:tc>
          <w:tcPr>
            <w:tcW w:w="12621" w:type="dxa"/>
            <w:gridSpan w:val="9"/>
            <w:tcBorders>
              <w:top w:val="nil"/>
              <w:left w:val="nil"/>
              <w:bottom w:val="nil"/>
              <w:right w:val="nil"/>
            </w:tcBorders>
            <w:hideMark/>
          </w:tcPr>
          <w:p w:rsidR="00446896" w:rsidRPr="00446896" w:rsidP="00446896" w14:paraId="68D29933" w14:textId="77777777">
            <w:pPr>
              <w:spacing w:after="0" w:line="240" w:lineRule="auto"/>
              <w:rPr>
                <w:rFonts w:ascii="Arial" w:eastAsia="Times New Roman" w:hAnsi="Arial" w:cs="Arial"/>
                <w:color w:val="000000"/>
                <w:sz w:val="16"/>
                <w:szCs w:val="16"/>
              </w:rPr>
            </w:pPr>
            <w:r w:rsidRPr="00446896">
              <w:rPr>
                <w:rFonts w:ascii="Arial" w:eastAsia="Times New Roman" w:hAnsi="Arial" w:cs="Arial"/>
                <w:color w:val="000000"/>
                <w:sz w:val="16"/>
                <w:szCs w:val="16"/>
                <w:vertAlign w:val="superscript"/>
              </w:rPr>
              <w:t>a</w:t>
            </w:r>
            <w:r w:rsidRPr="00446896">
              <w:rPr>
                <w:rFonts w:ascii="Arial" w:eastAsia="Times New Roman" w:hAnsi="Arial" w:cs="Arial"/>
                <w:color w:val="000000"/>
                <w:sz w:val="16"/>
                <w:szCs w:val="16"/>
              </w:rPr>
              <w:t xml:space="preserve">Assumes that, over the next three years, approximately 13 respondents per year will be subject to the standard, and no additional respondents per year will become subject to the standard. </w:t>
            </w:r>
          </w:p>
        </w:tc>
      </w:tr>
      <w:tr w14:paraId="709CFDD7" w14:textId="77777777" w:rsidTr="00446896">
        <w:tblPrEx>
          <w:tblW w:w="12621" w:type="dxa"/>
          <w:tblInd w:w="118" w:type="dxa"/>
          <w:tblLook w:val="04A0"/>
        </w:tblPrEx>
        <w:trPr>
          <w:trHeight w:val="735"/>
        </w:trPr>
        <w:tc>
          <w:tcPr>
            <w:tcW w:w="12621" w:type="dxa"/>
            <w:gridSpan w:val="9"/>
            <w:tcBorders>
              <w:top w:val="nil"/>
              <w:left w:val="nil"/>
              <w:bottom w:val="nil"/>
              <w:right w:val="nil"/>
            </w:tcBorders>
            <w:hideMark/>
          </w:tcPr>
          <w:p w:rsidR="00446896" w:rsidRPr="00446896" w:rsidP="00446896" w14:paraId="6FDF9D28" w14:textId="69138ADC">
            <w:pPr>
              <w:spacing w:after="0" w:line="240" w:lineRule="auto"/>
              <w:rPr>
                <w:rFonts w:ascii="Arial" w:eastAsia="Times New Roman" w:hAnsi="Arial" w:cs="Arial"/>
                <w:color w:val="000000"/>
                <w:sz w:val="16"/>
                <w:szCs w:val="16"/>
              </w:rPr>
            </w:pPr>
            <w:r w:rsidRPr="00446896">
              <w:rPr>
                <w:rFonts w:ascii="Arial" w:eastAsia="Times New Roman" w:hAnsi="Arial" w:cs="Arial"/>
                <w:color w:val="000000"/>
                <w:sz w:val="16"/>
                <w:szCs w:val="16"/>
              </w:rPr>
              <w:t>b</w:t>
            </w:r>
            <w:r w:rsidR="00736C45">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4CDB1DC" w14:textId="77777777" w:rsidTr="00446896">
        <w:tblPrEx>
          <w:tblW w:w="12621" w:type="dxa"/>
          <w:tblInd w:w="118" w:type="dxa"/>
          <w:tblLook w:val="04A0"/>
        </w:tblPrEx>
        <w:trPr>
          <w:trHeight w:val="300"/>
        </w:trPr>
        <w:tc>
          <w:tcPr>
            <w:tcW w:w="12621" w:type="dxa"/>
            <w:gridSpan w:val="9"/>
            <w:tcBorders>
              <w:top w:val="nil"/>
              <w:left w:val="nil"/>
              <w:bottom w:val="nil"/>
              <w:right w:val="nil"/>
            </w:tcBorders>
            <w:hideMark/>
          </w:tcPr>
          <w:p w:rsidR="00446896" w:rsidRPr="00446896" w:rsidP="00446896" w14:paraId="51C31A1D" w14:textId="77777777">
            <w:pPr>
              <w:spacing w:after="0" w:line="240" w:lineRule="auto"/>
              <w:rPr>
                <w:rFonts w:ascii="Arial" w:eastAsia="Times New Roman" w:hAnsi="Arial" w:cs="Arial"/>
                <w:color w:val="000000"/>
                <w:sz w:val="16"/>
                <w:szCs w:val="16"/>
              </w:rPr>
            </w:pPr>
            <w:r w:rsidRPr="00446896">
              <w:rPr>
                <w:rFonts w:ascii="Arial" w:eastAsia="Times New Roman" w:hAnsi="Arial" w:cs="Arial"/>
                <w:color w:val="000000"/>
                <w:sz w:val="16"/>
                <w:szCs w:val="16"/>
                <w:vertAlign w:val="superscript"/>
              </w:rPr>
              <w:t>c</w:t>
            </w:r>
            <w:r w:rsidRPr="00446896">
              <w:rPr>
                <w:rFonts w:ascii="Arial" w:eastAsia="Times New Roman" w:hAnsi="Arial" w:cs="Arial"/>
                <w:color w:val="000000"/>
                <w:sz w:val="16"/>
                <w:szCs w:val="16"/>
              </w:rPr>
              <w:t>One-time only costs.</w:t>
            </w:r>
          </w:p>
        </w:tc>
      </w:tr>
      <w:tr w14:paraId="3AC7F092" w14:textId="77777777" w:rsidTr="00446896">
        <w:tblPrEx>
          <w:tblW w:w="12621" w:type="dxa"/>
          <w:tblInd w:w="118" w:type="dxa"/>
          <w:tblLook w:val="04A0"/>
        </w:tblPrEx>
        <w:trPr>
          <w:trHeight w:val="495"/>
        </w:trPr>
        <w:tc>
          <w:tcPr>
            <w:tcW w:w="12621" w:type="dxa"/>
            <w:gridSpan w:val="9"/>
            <w:tcBorders>
              <w:top w:val="nil"/>
              <w:left w:val="nil"/>
              <w:bottom w:val="nil"/>
              <w:right w:val="nil"/>
            </w:tcBorders>
            <w:hideMark/>
          </w:tcPr>
          <w:p w:rsidR="00446896" w:rsidRPr="00446896" w:rsidP="00446896" w14:paraId="222D3145" w14:textId="77777777">
            <w:pPr>
              <w:spacing w:after="0" w:line="240" w:lineRule="auto"/>
              <w:rPr>
                <w:rFonts w:ascii="Arial" w:eastAsia="Times New Roman" w:hAnsi="Arial" w:cs="Arial"/>
                <w:color w:val="000000"/>
                <w:sz w:val="16"/>
                <w:szCs w:val="16"/>
              </w:rPr>
            </w:pPr>
            <w:r w:rsidRPr="00446896">
              <w:rPr>
                <w:rFonts w:ascii="Arial" w:eastAsia="Times New Roman" w:hAnsi="Arial" w:cs="Arial"/>
                <w:color w:val="000000"/>
                <w:sz w:val="16"/>
                <w:szCs w:val="16"/>
                <w:vertAlign w:val="superscript"/>
              </w:rPr>
              <w:t>d</w:t>
            </w:r>
            <w:r w:rsidRPr="00446896">
              <w:rPr>
                <w:rFonts w:ascii="Arial" w:eastAsia="Times New Roman" w:hAnsi="Arial" w:cs="Arial"/>
                <w:color w:val="000000"/>
                <w:sz w:val="16"/>
                <w:szCs w:val="16"/>
              </w:rPr>
              <w:t>Cost incurred by a facility regardless of the number of affected units at the plant. Per VI's previous comments, this is performed monthly. We have assumed 10 hours per month for each process listed.</w:t>
            </w:r>
          </w:p>
        </w:tc>
      </w:tr>
      <w:tr w14:paraId="6E718F7D" w14:textId="77777777" w:rsidTr="00446896">
        <w:tblPrEx>
          <w:tblW w:w="12621" w:type="dxa"/>
          <w:tblInd w:w="118" w:type="dxa"/>
          <w:tblLook w:val="04A0"/>
        </w:tblPrEx>
        <w:trPr>
          <w:trHeight w:val="1110"/>
        </w:trPr>
        <w:tc>
          <w:tcPr>
            <w:tcW w:w="12621" w:type="dxa"/>
            <w:gridSpan w:val="9"/>
            <w:tcBorders>
              <w:top w:val="nil"/>
              <w:left w:val="nil"/>
              <w:bottom w:val="nil"/>
              <w:right w:val="nil"/>
            </w:tcBorders>
            <w:hideMark/>
          </w:tcPr>
          <w:p w:rsidR="00446896" w:rsidRPr="00446896" w:rsidP="00446896" w14:paraId="2364D5FA" w14:textId="6AC3AE1C">
            <w:pPr>
              <w:spacing w:after="0" w:line="240" w:lineRule="auto"/>
              <w:rPr>
                <w:rFonts w:ascii="Arial" w:eastAsia="Times New Roman" w:hAnsi="Arial" w:cs="Arial"/>
                <w:color w:val="000000"/>
                <w:sz w:val="16"/>
                <w:szCs w:val="16"/>
              </w:rPr>
            </w:pPr>
            <w:r w:rsidRPr="00446896">
              <w:rPr>
                <w:rFonts w:ascii="Arial" w:eastAsia="Times New Roman" w:hAnsi="Arial" w:cs="Arial"/>
                <w:color w:val="000000"/>
                <w:sz w:val="16"/>
                <w:szCs w:val="16"/>
                <w:vertAlign w:val="superscript"/>
              </w:rPr>
              <w:t>f</w:t>
            </w:r>
            <w:r w:rsidRPr="00446896">
              <w:rPr>
                <w:rFonts w:ascii="Arial" w:eastAsia="Times New Roman" w:hAnsi="Arial" w:cs="Arial"/>
                <w:color w:val="000000"/>
                <w:sz w:val="16"/>
                <w:szCs w:val="16"/>
              </w:rPr>
              <w:t>13 major sources are expected to perform testing for process vents.</w:t>
            </w:r>
            <w:r w:rsidR="00736C45">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OxyVinyls Pedricktown does not operate a process vent control, but rather sends process vent gas streams to Mexichem Pedricktown for control. Per VI, it is assumed that performance testing for process vents will take 120 hours per occurrence initially.</w:t>
            </w:r>
            <w:r w:rsidR="00736C45">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The initial compliance and operating procedure development for continuous compliance and will take 8 hours.</w:t>
            </w:r>
            <w:r w:rsidR="00736C45">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The daily monitoring of parameters will take 5 min per record with 112 records a day across 32 devices in the industry.</w:t>
            </w:r>
            <w:r w:rsidR="00736C45">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Estimates of hours per occurrence were based on the following information from the previous ICR renewal: there are 3 area source and 13 major sources subject to this requirement.</w:t>
            </w:r>
            <w:r w:rsidR="00736C45">
              <w:rPr>
                <w:rFonts w:ascii="Arial" w:eastAsia="Times New Roman" w:hAnsi="Arial" w:cs="Arial"/>
                <w:color w:val="000000"/>
                <w:sz w:val="16"/>
                <w:szCs w:val="16"/>
              </w:rPr>
              <w:t xml:space="preserve"> </w:t>
            </w:r>
            <w:r w:rsidRPr="00446896">
              <w:rPr>
                <w:rFonts w:ascii="Arial" w:eastAsia="Times New Roman" w:hAnsi="Arial" w:cs="Arial"/>
                <w:color w:val="000000"/>
                <w:sz w:val="16"/>
                <w:szCs w:val="16"/>
              </w:rPr>
              <w:t xml:space="preserve">Therefore, the continuous/daily monitoring will take on avg 17.1 hr per facility per day over 350 day/yr. </w:t>
            </w:r>
          </w:p>
        </w:tc>
      </w:tr>
      <w:tr w14:paraId="69ED3192" w14:textId="77777777" w:rsidTr="00446896">
        <w:tblPrEx>
          <w:tblW w:w="12621" w:type="dxa"/>
          <w:tblInd w:w="118" w:type="dxa"/>
          <w:tblLook w:val="04A0"/>
        </w:tblPrEx>
        <w:trPr>
          <w:trHeight w:val="495"/>
        </w:trPr>
        <w:tc>
          <w:tcPr>
            <w:tcW w:w="12621" w:type="dxa"/>
            <w:gridSpan w:val="9"/>
            <w:tcBorders>
              <w:top w:val="nil"/>
              <w:left w:val="nil"/>
              <w:bottom w:val="nil"/>
              <w:right w:val="nil"/>
            </w:tcBorders>
            <w:hideMark/>
          </w:tcPr>
          <w:p w:rsidR="00446896" w:rsidRPr="00446896" w:rsidP="00446896" w14:paraId="159AAD0B"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g</w:t>
            </w:r>
            <w:r w:rsidRPr="00446896">
              <w:rPr>
                <w:rFonts w:ascii="Arial" w:eastAsia="Times New Roman" w:hAnsi="Arial" w:cs="Arial"/>
                <w:sz w:val="16"/>
                <w:szCs w:val="16"/>
              </w:rPr>
              <w:t>Per VI's previous comments, it is assumed that performance testing for resins will take 4 hours per sample for 9 samples per facility, initially and daily (350 days per year). Pursuant to 40 CFR 63.11960(d)(2), we have increased the number of occurrences from 350 to 362 to account for 12 monthly samples.</w:t>
            </w:r>
          </w:p>
        </w:tc>
      </w:tr>
      <w:tr w14:paraId="794E8C30" w14:textId="77777777" w:rsidTr="00446896">
        <w:tblPrEx>
          <w:tblW w:w="12621" w:type="dxa"/>
          <w:tblInd w:w="118" w:type="dxa"/>
          <w:tblLook w:val="04A0"/>
        </w:tblPrEx>
        <w:trPr>
          <w:trHeight w:val="720"/>
        </w:trPr>
        <w:tc>
          <w:tcPr>
            <w:tcW w:w="12621" w:type="dxa"/>
            <w:gridSpan w:val="9"/>
            <w:tcBorders>
              <w:top w:val="nil"/>
              <w:left w:val="nil"/>
              <w:bottom w:val="nil"/>
              <w:right w:val="nil"/>
            </w:tcBorders>
            <w:hideMark/>
          </w:tcPr>
          <w:p w:rsidR="00446896" w:rsidRPr="00446896" w:rsidP="00446896" w14:paraId="4B939F2E" w14:textId="0DDA56C5">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h</w:t>
            </w:r>
            <w:r w:rsidRPr="00446896">
              <w:rPr>
                <w:rFonts w:ascii="Arial" w:eastAsia="Times New Roman" w:hAnsi="Arial" w:cs="Arial"/>
                <w:sz w:val="16"/>
                <w:szCs w:val="16"/>
              </w:rPr>
              <w:t>Per VI, wastewater testing is estimated to take 4 hours per sample for 2 samples per facility. There are 13 wastewater streams for 13 major sources, yields 13/13 wastewater streams per major source that are sampled monthly.</w:t>
            </w:r>
            <w:r w:rsidR="00736C45">
              <w:rPr>
                <w:rFonts w:ascii="Arial" w:eastAsia="Times New Roman" w:hAnsi="Arial" w:cs="Arial"/>
                <w:sz w:val="16"/>
                <w:szCs w:val="16"/>
              </w:rPr>
              <w:t xml:space="preserve"> </w:t>
            </w:r>
            <w:r w:rsidRPr="00446896">
              <w:rPr>
                <w:rFonts w:ascii="Arial" w:eastAsia="Times New Roman" w:hAnsi="Arial" w:cs="Arial"/>
                <w:sz w:val="16"/>
                <w:szCs w:val="16"/>
              </w:rPr>
              <w:t>There are 5 uncontrolled wastewater streams per source that are sampled annually.</w:t>
            </w:r>
            <w:r w:rsidR="00736C45">
              <w:rPr>
                <w:rFonts w:ascii="Arial" w:eastAsia="Times New Roman" w:hAnsi="Arial" w:cs="Arial"/>
                <w:sz w:val="16"/>
                <w:szCs w:val="16"/>
              </w:rPr>
              <w:t xml:space="preserve"> </w:t>
            </w:r>
            <w:r w:rsidRPr="00446896">
              <w:rPr>
                <w:rFonts w:ascii="Arial" w:eastAsia="Times New Roman" w:hAnsi="Arial" w:cs="Arial"/>
                <w:sz w:val="16"/>
                <w:szCs w:val="16"/>
              </w:rPr>
              <w:t>See Capital/O&amp;M costs for non-VC TOHAP samples.</w:t>
            </w:r>
          </w:p>
        </w:tc>
      </w:tr>
      <w:tr w14:paraId="1E5F1A0F" w14:textId="77777777" w:rsidTr="00446896">
        <w:tblPrEx>
          <w:tblW w:w="12621" w:type="dxa"/>
          <w:tblInd w:w="118" w:type="dxa"/>
          <w:tblLook w:val="04A0"/>
        </w:tblPrEx>
        <w:trPr>
          <w:trHeight w:val="495"/>
        </w:trPr>
        <w:tc>
          <w:tcPr>
            <w:tcW w:w="12621" w:type="dxa"/>
            <w:gridSpan w:val="9"/>
            <w:tcBorders>
              <w:top w:val="nil"/>
              <w:left w:val="nil"/>
              <w:bottom w:val="nil"/>
              <w:right w:val="nil"/>
            </w:tcBorders>
            <w:hideMark/>
          </w:tcPr>
          <w:p w:rsidR="00446896" w:rsidRPr="00446896" w:rsidP="00446896" w14:paraId="5564FD87" w14:textId="791A3A6D">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i</w:t>
            </w:r>
            <w:r w:rsidRPr="00446896">
              <w:rPr>
                <w:rFonts w:ascii="Arial" w:eastAsia="Times New Roman" w:hAnsi="Arial" w:cs="Arial"/>
                <w:sz w:val="16"/>
                <w:szCs w:val="16"/>
              </w:rPr>
              <w:t>Per VI, it is assumed that performance testing on heat exchangers will take 4 hours per sample for 2 samples per facility, initially and monthly, for the 13 major sources.</w:t>
            </w:r>
            <w:r w:rsidR="00736C45">
              <w:rPr>
                <w:rFonts w:ascii="Arial" w:eastAsia="Times New Roman" w:hAnsi="Arial" w:cs="Arial"/>
                <w:sz w:val="16"/>
                <w:szCs w:val="16"/>
              </w:rPr>
              <w:t xml:space="preserve"> </w:t>
            </w:r>
            <w:r w:rsidRPr="00446896">
              <w:rPr>
                <w:rFonts w:ascii="Arial" w:eastAsia="Times New Roman" w:hAnsi="Arial" w:cs="Arial"/>
                <w:sz w:val="16"/>
                <w:szCs w:val="16"/>
              </w:rPr>
              <w:t>One of the sources relies on another facility to cool the water.</w:t>
            </w:r>
          </w:p>
        </w:tc>
      </w:tr>
      <w:tr w14:paraId="1CE34436" w14:textId="77777777" w:rsidTr="00446896">
        <w:tblPrEx>
          <w:tblW w:w="12621" w:type="dxa"/>
          <w:tblInd w:w="118" w:type="dxa"/>
          <w:tblLook w:val="04A0"/>
        </w:tblPrEx>
        <w:trPr>
          <w:trHeight w:val="690"/>
        </w:trPr>
        <w:tc>
          <w:tcPr>
            <w:tcW w:w="12621" w:type="dxa"/>
            <w:gridSpan w:val="9"/>
            <w:tcBorders>
              <w:top w:val="nil"/>
              <w:left w:val="nil"/>
              <w:bottom w:val="nil"/>
              <w:right w:val="nil"/>
            </w:tcBorders>
            <w:hideMark/>
          </w:tcPr>
          <w:p w:rsidR="00446896" w:rsidRPr="00446896" w:rsidP="00446896" w14:paraId="41776826" w14:textId="04995ABA">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j</w:t>
            </w:r>
            <w:r w:rsidRPr="00446896">
              <w:rPr>
                <w:rFonts w:ascii="Arial" w:eastAsia="Times New Roman" w:hAnsi="Arial" w:cs="Arial"/>
                <w:sz w:val="16"/>
                <w:szCs w:val="16"/>
              </w:rPr>
              <w:t>For Equipment leaks, VI estimates approx 10,000 components per facility and 5 minutes per component, plus additional time calibration of analytical device for a total of 850 hr per facility.</w:t>
            </w:r>
            <w:r w:rsidR="00736C45">
              <w:rPr>
                <w:rFonts w:ascii="Arial" w:eastAsia="Times New Roman" w:hAnsi="Arial" w:cs="Arial"/>
                <w:sz w:val="16"/>
                <w:szCs w:val="16"/>
              </w:rPr>
              <w:t xml:space="preserve"> </w:t>
            </w:r>
            <w:r w:rsidRPr="00446896">
              <w:rPr>
                <w:rFonts w:ascii="Arial" w:eastAsia="Times New Roman" w:hAnsi="Arial" w:cs="Arial"/>
                <w:sz w:val="16"/>
                <w:szCs w:val="16"/>
              </w:rPr>
              <w:t xml:space="preserve">For continuous monitoring, we assume 1 hr is required per component for leak repair, if detected. It was assumed that overall continuous compliace of leak monitoring will take 5% of the time with initial monitoring per month. </w:t>
            </w:r>
          </w:p>
        </w:tc>
      </w:tr>
      <w:tr w14:paraId="3D83D4F3" w14:textId="77777777" w:rsidTr="00446896">
        <w:tblPrEx>
          <w:tblW w:w="12621" w:type="dxa"/>
          <w:tblInd w:w="118" w:type="dxa"/>
          <w:tblLook w:val="04A0"/>
        </w:tblPrEx>
        <w:trPr>
          <w:trHeight w:val="1170"/>
        </w:trPr>
        <w:tc>
          <w:tcPr>
            <w:tcW w:w="12621" w:type="dxa"/>
            <w:gridSpan w:val="9"/>
            <w:tcBorders>
              <w:top w:val="nil"/>
              <w:left w:val="nil"/>
              <w:bottom w:val="nil"/>
              <w:right w:val="nil"/>
            </w:tcBorders>
            <w:hideMark/>
          </w:tcPr>
          <w:p w:rsidR="00446896" w:rsidRPr="00446896" w:rsidP="00446896" w14:paraId="55BC8D41"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k</w:t>
            </w:r>
            <w:r w:rsidRPr="00446896">
              <w:rPr>
                <w:rFonts w:ascii="Arial" w:eastAsia="Times New Roman" w:hAnsi="Arial" w:cs="Arial"/>
                <w:sz w:val="16"/>
                <w:szCs w:val="16"/>
              </w:rPr>
              <w:t>The Annualized PRD Electronic Monitor Review hours have been updated to include hours for corrective action for discharges and hours for replacement analysis. Per VI's previous comments, corrective action for discharge from a PRD would take 24 hours, and less than one PRD discharge event occurs per year in the entire industry. The number of hours for a discharge event is estimated to be 24/13 = 1.8 (rounded to 2) hours per facility. Per VI's previous comments, analysis for replacement of PRD monitors is estimated to take 24 hours per facility. Because the lifetime of a PRD monitor is expected to be 7 years, we do not expect the replacement analysis to occur annually, and we have assumed that this occurs once every 3 years (24 hrs/3 years = 8 hours per year).</w:t>
            </w:r>
          </w:p>
        </w:tc>
      </w:tr>
      <w:tr w14:paraId="1645AD65" w14:textId="77777777" w:rsidTr="00446896">
        <w:tblPrEx>
          <w:tblW w:w="12621" w:type="dxa"/>
          <w:tblInd w:w="118" w:type="dxa"/>
          <w:tblLook w:val="04A0"/>
        </w:tblPrEx>
        <w:trPr>
          <w:trHeight w:val="300"/>
        </w:trPr>
        <w:tc>
          <w:tcPr>
            <w:tcW w:w="12621" w:type="dxa"/>
            <w:gridSpan w:val="9"/>
            <w:tcBorders>
              <w:top w:val="nil"/>
              <w:left w:val="nil"/>
              <w:bottom w:val="nil"/>
              <w:right w:val="nil"/>
            </w:tcBorders>
            <w:hideMark/>
          </w:tcPr>
          <w:p w:rsidR="00446896" w:rsidRPr="00446896" w:rsidP="00446896" w14:paraId="058D3C0F" w14:textId="77777777">
            <w:pPr>
              <w:spacing w:after="0" w:line="240" w:lineRule="auto"/>
              <w:rPr>
                <w:rFonts w:ascii="Arial" w:eastAsia="Times New Roman" w:hAnsi="Arial" w:cs="Arial"/>
                <w:color w:val="000000"/>
                <w:sz w:val="16"/>
                <w:szCs w:val="16"/>
              </w:rPr>
            </w:pPr>
            <w:r w:rsidRPr="00446896">
              <w:rPr>
                <w:rFonts w:ascii="Arial" w:eastAsia="Times New Roman" w:hAnsi="Arial" w:cs="Arial"/>
                <w:color w:val="000000"/>
                <w:sz w:val="16"/>
                <w:szCs w:val="16"/>
                <w:vertAlign w:val="superscript"/>
              </w:rPr>
              <w:t>l</w:t>
            </w:r>
            <w:r w:rsidRPr="00446896">
              <w:rPr>
                <w:rFonts w:ascii="Arial" w:eastAsia="Times New Roman" w:hAnsi="Arial" w:cs="Arial"/>
                <w:color w:val="000000"/>
                <w:sz w:val="16"/>
                <w:szCs w:val="16"/>
              </w:rPr>
              <w:t>Per VI's previous comments, Estimated that semiannual compliance reports would take 40 technical hours twice per year.</w:t>
            </w:r>
          </w:p>
        </w:tc>
      </w:tr>
      <w:tr w14:paraId="177DA2A8" w14:textId="77777777" w:rsidTr="00446896">
        <w:tblPrEx>
          <w:tblW w:w="12621" w:type="dxa"/>
          <w:tblInd w:w="118" w:type="dxa"/>
          <w:tblLook w:val="04A0"/>
        </w:tblPrEx>
        <w:trPr>
          <w:trHeight w:val="228"/>
        </w:trPr>
        <w:tc>
          <w:tcPr>
            <w:tcW w:w="6317" w:type="dxa"/>
            <w:gridSpan w:val="3"/>
            <w:tcBorders>
              <w:top w:val="nil"/>
              <w:left w:val="nil"/>
              <w:bottom w:val="nil"/>
              <w:right w:val="nil"/>
            </w:tcBorders>
            <w:noWrap/>
            <w:hideMark/>
          </w:tcPr>
          <w:p w:rsidR="00446896" w:rsidRPr="00446896" w:rsidP="00446896" w14:paraId="0A19BA09" w14:textId="7A54D98F">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m</w:t>
            </w:r>
            <w:r w:rsidRPr="00446896">
              <w:rPr>
                <w:rFonts w:ascii="Arial" w:eastAsia="Times New Roman" w:hAnsi="Arial" w:cs="Arial"/>
                <w:sz w:val="16"/>
                <w:szCs w:val="16"/>
              </w:rPr>
              <w:t>Reporting subtotal does not include capital costs for PRD monitoring system.</w:t>
            </w:r>
            <w:r w:rsidR="00736C45">
              <w:rPr>
                <w:rFonts w:ascii="Arial" w:eastAsia="Times New Roman" w:hAnsi="Arial" w:cs="Arial"/>
                <w:sz w:val="16"/>
                <w:szCs w:val="16"/>
              </w:rPr>
              <w:t xml:space="preserve"> </w:t>
            </w:r>
          </w:p>
        </w:tc>
        <w:tc>
          <w:tcPr>
            <w:tcW w:w="1000" w:type="dxa"/>
            <w:tcBorders>
              <w:top w:val="nil"/>
              <w:left w:val="nil"/>
              <w:bottom w:val="nil"/>
              <w:right w:val="nil"/>
            </w:tcBorders>
            <w:noWrap/>
            <w:hideMark/>
          </w:tcPr>
          <w:p w:rsidR="00446896" w:rsidRPr="00446896" w:rsidP="00446896" w14:paraId="1802A38B" w14:textId="77777777">
            <w:pPr>
              <w:spacing w:after="0" w:line="240" w:lineRule="auto"/>
              <w:rPr>
                <w:rFonts w:ascii="Arial" w:eastAsia="Times New Roman" w:hAnsi="Arial" w:cs="Arial"/>
                <w:sz w:val="16"/>
                <w:szCs w:val="16"/>
              </w:rPr>
            </w:pPr>
          </w:p>
        </w:tc>
        <w:tc>
          <w:tcPr>
            <w:tcW w:w="1020" w:type="dxa"/>
            <w:tcBorders>
              <w:top w:val="nil"/>
              <w:left w:val="nil"/>
              <w:bottom w:val="nil"/>
              <w:right w:val="nil"/>
            </w:tcBorders>
            <w:noWrap/>
            <w:hideMark/>
          </w:tcPr>
          <w:p w:rsidR="00446896" w:rsidRPr="00446896" w:rsidP="00446896" w14:paraId="3848CEC8" w14:textId="77777777">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noWrap/>
            <w:hideMark/>
          </w:tcPr>
          <w:p w:rsidR="00446896" w:rsidRPr="00446896" w:rsidP="00446896" w14:paraId="5C31ACD7" w14:textId="77777777">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noWrap/>
            <w:hideMark/>
          </w:tcPr>
          <w:p w:rsidR="00446896" w:rsidRPr="00446896" w:rsidP="00446896" w14:paraId="78C09A4E" w14:textId="77777777">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noWrap/>
            <w:hideMark/>
          </w:tcPr>
          <w:p w:rsidR="00446896" w:rsidRPr="00446896" w:rsidP="00446896" w14:paraId="0FEC9940"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hideMark/>
          </w:tcPr>
          <w:p w:rsidR="00446896" w:rsidRPr="00446896" w:rsidP="00446896" w14:paraId="02BFE9EC" w14:textId="77777777">
            <w:pPr>
              <w:spacing w:after="0" w:line="240" w:lineRule="auto"/>
              <w:rPr>
                <w:rFonts w:ascii="Times New Roman" w:eastAsia="Times New Roman" w:hAnsi="Times New Roman" w:cs="Times New Roman"/>
                <w:sz w:val="20"/>
                <w:szCs w:val="20"/>
              </w:rPr>
            </w:pPr>
          </w:p>
        </w:tc>
      </w:tr>
      <w:tr w14:paraId="298E9CD0" w14:textId="77777777" w:rsidTr="00446896">
        <w:tblPrEx>
          <w:tblW w:w="12621" w:type="dxa"/>
          <w:tblInd w:w="118" w:type="dxa"/>
          <w:tblLook w:val="04A0"/>
        </w:tblPrEx>
        <w:trPr>
          <w:trHeight w:val="795"/>
        </w:trPr>
        <w:tc>
          <w:tcPr>
            <w:tcW w:w="12621" w:type="dxa"/>
            <w:gridSpan w:val="9"/>
            <w:tcBorders>
              <w:top w:val="nil"/>
              <w:left w:val="nil"/>
              <w:bottom w:val="nil"/>
              <w:right w:val="nil"/>
            </w:tcBorders>
            <w:hideMark/>
          </w:tcPr>
          <w:p w:rsidR="00446896" w:rsidRPr="00446896" w:rsidP="00446896" w14:paraId="49D5C90C"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n</w:t>
            </w:r>
            <w:r w:rsidRPr="00446896">
              <w:rPr>
                <w:rFonts w:ascii="Arial" w:eastAsia="Times New Roman" w:hAnsi="Arial" w:cs="Arial"/>
                <w:sz w:val="16"/>
                <w:szCs w:val="16"/>
              </w:rPr>
              <w:t>Because the rule requirements have not changed for existing respondents, we assume it will take 8 hours per respondent to read and understand the rule requirements (1 hr for 8 employees). We assume minimal time is needed each year to refamiliarize with rule requirements for existing employees. We assume that new employees will need 320 hours to familiarize with rule requirements (40 hours for 8 employees).</w:t>
            </w:r>
          </w:p>
        </w:tc>
      </w:tr>
      <w:tr w14:paraId="507B33E9" w14:textId="77777777" w:rsidTr="00446896">
        <w:tblPrEx>
          <w:tblW w:w="12621" w:type="dxa"/>
          <w:tblInd w:w="118" w:type="dxa"/>
          <w:tblLook w:val="04A0"/>
        </w:tblPrEx>
        <w:trPr>
          <w:trHeight w:val="258"/>
        </w:trPr>
        <w:tc>
          <w:tcPr>
            <w:tcW w:w="12621" w:type="dxa"/>
            <w:gridSpan w:val="9"/>
            <w:tcBorders>
              <w:top w:val="nil"/>
              <w:left w:val="nil"/>
              <w:bottom w:val="nil"/>
              <w:right w:val="nil"/>
            </w:tcBorders>
            <w:hideMark/>
          </w:tcPr>
          <w:p w:rsidR="00446896" w:rsidRPr="00446896" w:rsidP="00446896" w14:paraId="5F22AE07"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o</w:t>
            </w:r>
            <w:r w:rsidRPr="00446896">
              <w:rPr>
                <w:rFonts w:ascii="Arial" w:eastAsia="Times New Roman" w:hAnsi="Arial" w:cs="Arial"/>
                <w:sz w:val="16"/>
                <w:szCs w:val="16"/>
              </w:rPr>
              <w:t xml:space="preserve">For Equipment openings, Per VI, 1.5 hr to obtain measurement, initially, daily. </w:t>
            </w:r>
          </w:p>
        </w:tc>
      </w:tr>
      <w:tr w14:paraId="43EE117D" w14:textId="77777777" w:rsidTr="00446896">
        <w:tblPrEx>
          <w:tblW w:w="12621" w:type="dxa"/>
          <w:tblInd w:w="118" w:type="dxa"/>
          <w:tblLook w:val="04A0"/>
        </w:tblPrEx>
        <w:trPr>
          <w:trHeight w:val="915"/>
        </w:trPr>
        <w:tc>
          <w:tcPr>
            <w:tcW w:w="12621" w:type="dxa"/>
            <w:gridSpan w:val="9"/>
            <w:tcBorders>
              <w:top w:val="nil"/>
              <w:left w:val="nil"/>
              <w:bottom w:val="nil"/>
              <w:right w:val="nil"/>
            </w:tcBorders>
            <w:hideMark/>
          </w:tcPr>
          <w:p w:rsidR="00446896" w:rsidRPr="00446896" w:rsidP="00446896" w14:paraId="218344AB"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p</w:t>
            </w:r>
            <w:r w:rsidRPr="00446896">
              <w:rPr>
                <w:rFonts w:ascii="Arial" w:eastAsia="Times New Roman" w:hAnsi="Arial" w:cs="Arial"/>
                <w:sz w:val="16"/>
                <w:szCs w:val="16"/>
              </w:rPr>
              <w:t>Per VI's previous comments, this will require 24 hrs to evaluate compliance options, order materials, monitor installation, and developing O&amp;M procedures. Note: there are only 13 gas holders in the industry among major &amp; area sources. This is assumed to be a one-time cost. Per VI's previous comments, facilities are performing this annually. We have assumed that annual updates to compliance options, order materials, monitor installation, and O&amp;M procedures will require 5% of the time that was needed to meet the initial requirements.</w:t>
            </w:r>
          </w:p>
        </w:tc>
      </w:tr>
      <w:tr w14:paraId="6BCA1291" w14:textId="77777777" w:rsidTr="00446896">
        <w:tblPrEx>
          <w:tblW w:w="12621" w:type="dxa"/>
          <w:tblInd w:w="118" w:type="dxa"/>
          <w:tblLook w:val="04A0"/>
        </w:tblPrEx>
        <w:trPr>
          <w:trHeight w:val="495"/>
        </w:trPr>
        <w:tc>
          <w:tcPr>
            <w:tcW w:w="12621" w:type="dxa"/>
            <w:gridSpan w:val="9"/>
            <w:tcBorders>
              <w:top w:val="nil"/>
              <w:left w:val="nil"/>
              <w:bottom w:val="nil"/>
              <w:right w:val="nil"/>
            </w:tcBorders>
            <w:hideMark/>
          </w:tcPr>
          <w:p w:rsidR="00446896" w:rsidRPr="00446896" w:rsidP="00446896" w14:paraId="1F21B92F"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q</w:t>
            </w:r>
            <w:r w:rsidRPr="00446896">
              <w:rPr>
                <w:rFonts w:ascii="Arial" w:eastAsia="Times New Roman" w:hAnsi="Arial" w:cs="Arial"/>
                <w:sz w:val="16"/>
                <w:szCs w:val="16"/>
              </w:rPr>
              <w:t>Per VI's previous comments, 40 hrs per facility to develop initial and ongoing compliance, inspection,and maintenance plans and procedures. This is assumed to be a one-time cost. Per VI's previous comments, facilities are performing this annually. We have assumed that annual updates will require 5% of the time that was needed to meet the initial requirements.</w:t>
            </w:r>
          </w:p>
        </w:tc>
      </w:tr>
      <w:tr w14:paraId="5D461E50" w14:textId="77777777" w:rsidTr="00446896">
        <w:tblPrEx>
          <w:tblW w:w="12621" w:type="dxa"/>
          <w:tblInd w:w="118" w:type="dxa"/>
          <w:tblLook w:val="04A0"/>
        </w:tblPrEx>
        <w:trPr>
          <w:trHeight w:val="288"/>
        </w:trPr>
        <w:tc>
          <w:tcPr>
            <w:tcW w:w="12621" w:type="dxa"/>
            <w:gridSpan w:val="9"/>
            <w:tcBorders>
              <w:top w:val="nil"/>
              <w:left w:val="nil"/>
              <w:bottom w:val="nil"/>
              <w:right w:val="nil"/>
            </w:tcBorders>
            <w:hideMark/>
          </w:tcPr>
          <w:p w:rsidR="00446896" w:rsidRPr="00446896" w:rsidP="00446896" w14:paraId="4237445B" w14:textId="77777777">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r</w:t>
            </w:r>
            <w:r w:rsidRPr="00446896">
              <w:rPr>
                <w:rFonts w:ascii="Arial" w:eastAsia="Times New Roman" w:hAnsi="Arial" w:cs="Arial"/>
                <w:sz w:val="16"/>
                <w:szCs w:val="16"/>
              </w:rPr>
              <w:t xml:space="preserve">Per VI, 40 hrs per facility for traning, development, and implementation; and it will take 2 hrs per month to inspect car seals per facility. </w:t>
            </w:r>
          </w:p>
        </w:tc>
      </w:tr>
      <w:tr w14:paraId="096E2A94" w14:textId="77777777" w:rsidTr="00446896">
        <w:tblPrEx>
          <w:tblW w:w="12621" w:type="dxa"/>
          <w:tblInd w:w="118" w:type="dxa"/>
          <w:tblLook w:val="04A0"/>
        </w:tblPrEx>
        <w:trPr>
          <w:trHeight w:val="312"/>
        </w:trPr>
        <w:tc>
          <w:tcPr>
            <w:tcW w:w="12621" w:type="dxa"/>
            <w:gridSpan w:val="9"/>
            <w:tcBorders>
              <w:top w:val="nil"/>
              <w:left w:val="nil"/>
              <w:bottom w:val="nil"/>
              <w:right w:val="nil"/>
            </w:tcBorders>
            <w:hideMark/>
          </w:tcPr>
          <w:p w:rsidR="00446896" w:rsidRPr="00446896" w:rsidP="00446896" w14:paraId="6605D94C" w14:textId="2BA1F692">
            <w:pPr>
              <w:spacing w:after="0" w:line="240" w:lineRule="auto"/>
              <w:rPr>
                <w:rFonts w:ascii="Arial" w:eastAsia="Times New Roman" w:hAnsi="Arial" w:cs="Arial"/>
                <w:sz w:val="16"/>
                <w:szCs w:val="16"/>
              </w:rPr>
            </w:pPr>
            <w:r w:rsidRPr="00446896">
              <w:rPr>
                <w:rFonts w:ascii="Arial" w:eastAsia="Times New Roman" w:hAnsi="Arial" w:cs="Arial"/>
                <w:sz w:val="16"/>
                <w:szCs w:val="16"/>
                <w:vertAlign w:val="superscript"/>
              </w:rPr>
              <w:t>s</w:t>
            </w:r>
            <w:r w:rsidRPr="00446896">
              <w:rPr>
                <w:rFonts w:ascii="Arial" w:eastAsia="Times New Roman" w:hAnsi="Arial" w:cs="Arial"/>
                <w:sz w:val="16"/>
                <w:szCs w:val="16"/>
              </w:rPr>
              <w:t>Totals have been rounded to 3 significant figures.</w:t>
            </w:r>
            <w:r w:rsidR="00736C45">
              <w:rPr>
                <w:rFonts w:ascii="Arial" w:eastAsia="Times New Roman" w:hAnsi="Arial" w:cs="Arial"/>
                <w:sz w:val="16"/>
                <w:szCs w:val="16"/>
              </w:rPr>
              <w:t xml:space="preserve"> </w:t>
            </w:r>
            <w:r w:rsidRPr="00446896">
              <w:rPr>
                <w:rFonts w:ascii="Arial" w:eastAsia="Times New Roman" w:hAnsi="Arial" w:cs="Arial"/>
                <w:sz w:val="16"/>
                <w:szCs w:val="16"/>
              </w:rPr>
              <w:t>Figures may not add exactly due to rounding.</w:t>
            </w:r>
          </w:p>
        </w:tc>
      </w:tr>
    </w:tbl>
    <w:p w:rsidR="00686593" w:rsidRPr="005F4E44" w:rsidP="001641AA" w14:paraId="6C41D2B8" w14:textId="77777777">
      <w:pPr>
        <w:spacing w:before="240"/>
        <w:rPr>
          <w:rFonts w:cstheme="minorHAnsi"/>
          <w:b/>
          <w:bCs/>
          <w:sz w:val="24"/>
          <w:szCs w:val="24"/>
        </w:rPr>
      </w:pPr>
    </w:p>
    <w:p w:rsidR="00446896" w14:paraId="58ABDFC9" w14:textId="77777777">
      <w:pPr>
        <w:rPr>
          <w:rFonts w:cstheme="minorHAnsi"/>
          <w:b/>
          <w:bCs/>
          <w:sz w:val="24"/>
          <w:szCs w:val="24"/>
        </w:rPr>
      </w:pPr>
      <w:r>
        <w:rPr>
          <w:rFonts w:cstheme="minorHAnsi"/>
          <w:b/>
          <w:bCs/>
          <w:sz w:val="24"/>
          <w:szCs w:val="24"/>
        </w:rPr>
        <w:br w:type="page"/>
      </w:r>
    </w:p>
    <w:p w:rsidR="00510C08" w:rsidP="001641AA" w14:paraId="2D4A563C" w14:textId="290FA7FA">
      <w:pPr>
        <w:spacing w:before="240"/>
        <w:rPr>
          <w:rFonts w:cstheme="minorHAnsi"/>
          <w:b/>
          <w:bCs/>
          <w:noProof/>
          <w:sz w:val="24"/>
          <w:szCs w:val="24"/>
        </w:rPr>
      </w:pPr>
      <w:r w:rsidRPr="005F4E44">
        <w:rPr>
          <w:rFonts w:cstheme="minorHAnsi"/>
          <w:b/>
          <w:bCs/>
          <w:sz w:val="24"/>
          <w:szCs w:val="24"/>
        </w:rPr>
        <w:t xml:space="preserve">Table 2: Average Annual EPA Burden and Cost – </w:t>
      </w:r>
      <w:r w:rsidRPr="005F4E44">
        <w:rPr>
          <w:rFonts w:cstheme="minorHAnsi"/>
          <w:b/>
          <w:bCs/>
          <w:noProof/>
          <w:sz w:val="24"/>
          <w:szCs w:val="24"/>
        </w:rPr>
        <w:t xml:space="preserve">NESHAP for Polyvinyl Chloride and Copolymer Production (40 CFR </w:t>
      </w:r>
      <w:r w:rsidR="0065722D">
        <w:rPr>
          <w:rFonts w:cstheme="minorHAnsi"/>
          <w:b/>
          <w:bCs/>
          <w:noProof/>
          <w:sz w:val="24"/>
          <w:szCs w:val="24"/>
        </w:rPr>
        <w:t>Part 63</w:t>
      </w:r>
      <w:r w:rsidRPr="005F4E44">
        <w:rPr>
          <w:rFonts w:cstheme="minorHAnsi"/>
          <w:b/>
          <w:bCs/>
          <w:noProof/>
          <w:sz w:val="24"/>
          <w:szCs w:val="24"/>
        </w:rPr>
        <w:t>, Subpart HHHHHHH) (Renewal)</w:t>
      </w:r>
    </w:p>
    <w:tbl>
      <w:tblPr>
        <w:tblW w:w="12960" w:type="dxa"/>
        <w:tblInd w:w="108" w:type="dxa"/>
        <w:tblLook w:val="04A0"/>
      </w:tblPr>
      <w:tblGrid>
        <w:gridCol w:w="3700"/>
        <w:gridCol w:w="1083"/>
        <w:gridCol w:w="1172"/>
        <w:gridCol w:w="1059"/>
        <w:gridCol w:w="1326"/>
        <w:gridCol w:w="1308"/>
        <w:gridCol w:w="1199"/>
        <w:gridCol w:w="1201"/>
        <w:gridCol w:w="1020"/>
      </w:tblGrid>
      <w:tr w14:paraId="587D3484" w14:textId="77777777" w:rsidTr="00317E39">
        <w:tblPrEx>
          <w:tblW w:w="12960" w:type="dxa"/>
          <w:tblInd w:w="108" w:type="dxa"/>
          <w:tblLook w:val="04A0"/>
        </w:tblPrEx>
        <w:trPr>
          <w:trHeight w:val="264"/>
        </w:trPr>
        <w:tc>
          <w:tcPr>
            <w:tcW w:w="4120" w:type="dxa"/>
            <w:vMerge w:val="restart"/>
            <w:tcBorders>
              <w:top w:val="single" w:sz="8" w:space="0" w:color="auto"/>
              <w:left w:val="single" w:sz="8" w:space="0" w:color="auto"/>
              <w:bottom w:val="single" w:sz="4" w:space="0" w:color="000000"/>
              <w:right w:val="nil"/>
            </w:tcBorders>
            <w:noWrap/>
            <w:vAlign w:val="center"/>
            <w:hideMark/>
          </w:tcPr>
          <w:p w:rsidR="0005163A" w:rsidRPr="0005163A" w:rsidP="0005163A" w14:paraId="5AC4BF6A" w14:textId="77777777">
            <w:pPr>
              <w:spacing w:after="0" w:line="240" w:lineRule="auto"/>
              <w:jc w:val="center"/>
              <w:rPr>
                <w:rFonts w:ascii="Arial" w:eastAsia="Times New Roman" w:hAnsi="Arial" w:cs="Arial"/>
                <w:b/>
                <w:bCs/>
                <w:sz w:val="18"/>
                <w:szCs w:val="18"/>
              </w:rPr>
            </w:pPr>
            <w:r w:rsidRPr="0005163A">
              <w:rPr>
                <w:rFonts w:ascii="Arial" w:eastAsia="Times New Roman" w:hAnsi="Arial" w:cs="Arial"/>
                <w:b/>
                <w:bCs/>
                <w:sz w:val="18"/>
                <w:szCs w:val="18"/>
              </w:rPr>
              <w:t> </w:t>
            </w:r>
          </w:p>
        </w:tc>
        <w:tc>
          <w:tcPr>
            <w:tcW w:w="1080" w:type="dxa"/>
            <w:tcBorders>
              <w:top w:val="single" w:sz="8" w:space="0" w:color="auto"/>
              <w:left w:val="single" w:sz="4" w:space="0" w:color="000000"/>
              <w:bottom w:val="single" w:sz="4" w:space="0" w:color="auto"/>
              <w:right w:val="nil"/>
            </w:tcBorders>
            <w:noWrap/>
            <w:vAlign w:val="bottom"/>
            <w:hideMark/>
          </w:tcPr>
          <w:p w:rsidR="0005163A" w:rsidRPr="0005163A" w:rsidP="0005163A" w14:paraId="48F01B3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(A)</w:t>
            </w:r>
          </w:p>
        </w:tc>
        <w:tc>
          <w:tcPr>
            <w:tcW w:w="1120" w:type="dxa"/>
            <w:tcBorders>
              <w:top w:val="single" w:sz="8" w:space="0" w:color="auto"/>
              <w:left w:val="single" w:sz="4" w:space="0" w:color="000000"/>
              <w:bottom w:val="single" w:sz="4" w:space="0" w:color="auto"/>
              <w:right w:val="single" w:sz="4" w:space="0" w:color="auto"/>
            </w:tcBorders>
            <w:noWrap/>
            <w:vAlign w:val="bottom"/>
            <w:hideMark/>
          </w:tcPr>
          <w:p w:rsidR="0005163A" w:rsidRPr="0005163A" w:rsidP="0005163A" w14:paraId="3E51521E"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(B)</w:t>
            </w:r>
          </w:p>
        </w:tc>
        <w:tc>
          <w:tcPr>
            <w:tcW w:w="1160" w:type="dxa"/>
            <w:tcBorders>
              <w:top w:val="single" w:sz="8" w:space="0" w:color="auto"/>
              <w:left w:val="nil"/>
              <w:bottom w:val="single" w:sz="4" w:space="0" w:color="auto"/>
              <w:right w:val="single" w:sz="4" w:space="0" w:color="auto"/>
            </w:tcBorders>
            <w:vAlign w:val="bottom"/>
            <w:hideMark/>
          </w:tcPr>
          <w:p w:rsidR="0005163A" w:rsidRPr="0005163A" w:rsidP="0005163A" w14:paraId="50C81EC4"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 xml:space="preserve">(C) </w:t>
            </w:r>
          </w:p>
        </w:tc>
        <w:tc>
          <w:tcPr>
            <w:tcW w:w="1460" w:type="dxa"/>
            <w:tcBorders>
              <w:top w:val="single" w:sz="8" w:space="0" w:color="auto"/>
              <w:left w:val="nil"/>
              <w:bottom w:val="single" w:sz="4" w:space="0" w:color="auto"/>
              <w:right w:val="single" w:sz="4" w:space="0" w:color="auto"/>
            </w:tcBorders>
            <w:vAlign w:val="bottom"/>
            <w:hideMark/>
          </w:tcPr>
          <w:p w:rsidR="0005163A" w:rsidRPr="0005163A" w:rsidP="0005163A" w14:paraId="28512530"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 xml:space="preserve">(D) </w:t>
            </w:r>
          </w:p>
        </w:tc>
        <w:tc>
          <w:tcPr>
            <w:tcW w:w="1440" w:type="dxa"/>
            <w:vMerge w:val="restart"/>
            <w:tcBorders>
              <w:top w:val="single" w:sz="8" w:space="0" w:color="auto"/>
              <w:left w:val="single" w:sz="4" w:space="0" w:color="auto"/>
              <w:bottom w:val="single" w:sz="4" w:space="0" w:color="auto"/>
              <w:right w:val="single" w:sz="4" w:space="0" w:color="auto"/>
            </w:tcBorders>
            <w:vAlign w:val="bottom"/>
            <w:hideMark/>
          </w:tcPr>
          <w:p w:rsidR="0005163A" w:rsidRPr="0005163A" w:rsidP="0005163A" w14:paraId="4C0C7010"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(E) Technical person-hours per year (E=CxD)</w:t>
            </w:r>
          </w:p>
        </w:tc>
        <w:tc>
          <w:tcPr>
            <w:tcW w:w="1180" w:type="dxa"/>
            <w:vMerge w:val="restart"/>
            <w:tcBorders>
              <w:top w:val="single" w:sz="8" w:space="0" w:color="auto"/>
              <w:left w:val="single" w:sz="4" w:space="0" w:color="auto"/>
              <w:bottom w:val="single" w:sz="4" w:space="0" w:color="auto"/>
              <w:right w:val="single" w:sz="4" w:space="0" w:color="auto"/>
            </w:tcBorders>
            <w:vAlign w:val="bottom"/>
            <w:hideMark/>
          </w:tcPr>
          <w:p w:rsidR="0005163A" w:rsidRPr="0005163A" w:rsidP="0005163A" w14:paraId="1433F68C"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(F) Management person-hours per year (Ex0.05)</w:t>
            </w:r>
          </w:p>
        </w:tc>
        <w:tc>
          <w:tcPr>
            <w:tcW w:w="1320" w:type="dxa"/>
            <w:vMerge w:val="restart"/>
            <w:tcBorders>
              <w:top w:val="single" w:sz="8" w:space="0" w:color="auto"/>
              <w:left w:val="single" w:sz="4" w:space="0" w:color="auto"/>
              <w:bottom w:val="single" w:sz="4" w:space="0" w:color="auto"/>
              <w:right w:val="single" w:sz="4" w:space="0" w:color="auto"/>
            </w:tcBorders>
            <w:vAlign w:val="bottom"/>
            <w:hideMark/>
          </w:tcPr>
          <w:p w:rsidR="0005163A" w:rsidRPr="0005163A" w:rsidP="0005163A" w14:paraId="28861F72"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(G) Clerical person-hours per year (Ex0.10)</w:t>
            </w:r>
          </w:p>
        </w:tc>
        <w:tc>
          <w:tcPr>
            <w:tcW w:w="1080" w:type="dxa"/>
            <w:tcBorders>
              <w:top w:val="single" w:sz="8" w:space="0" w:color="auto"/>
              <w:left w:val="nil"/>
              <w:bottom w:val="single" w:sz="4" w:space="0" w:color="auto"/>
              <w:right w:val="single" w:sz="8" w:space="0" w:color="auto"/>
            </w:tcBorders>
            <w:noWrap/>
            <w:vAlign w:val="bottom"/>
            <w:hideMark/>
          </w:tcPr>
          <w:p w:rsidR="0005163A" w:rsidRPr="0005163A" w:rsidP="0005163A" w14:paraId="3C710FF0" w14:textId="77777777">
            <w:pPr>
              <w:spacing w:after="0" w:line="240" w:lineRule="auto"/>
              <w:jc w:val="center"/>
              <w:rPr>
                <w:rFonts w:ascii="Arial" w:eastAsia="Times New Roman" w:hAnsi="Arial" w:cs="Arial"/>
                <w:b/>
                <w:bCs/>
                <w:sz w:val="18"/>
                <w:szCs w:val="18"/>
              </w:rPr>
            </w:pPr>
            <w:r w:rsidRPr="0005163A">
              <w:rPr>
                <w:rFonts w:ascii="Arial" w:eastAsia="Times New Roman" w:hAnsi="Arial" w:cs="Arial"/>
                <w:b/>
                <w:bCs/>
                <w:sz w:val="18"/>
                <w:szCs w:val="18"/>
              </w:rPr>
              <w:t xml:space="preserve">(H) </w:t>
            </w:r>
          </w:p>
        </w:tc>
      </w:tr>
      <w:tr w14:paraId="30804854" w14:textId="77777777" w:rsidTr="00317E39">
        <w:tblPrEx>
          <w:tblW w:w="12960" w:type="dxa"/>
          <w:tblInd w:w="108" w:type="dxa"/>
          <w:tblLook w:val="04A0"/>
        </w:tblPrEx>
        <w:trPr>
          <w:trHeight w:val="1200"/>
        </w:trPr>
        <w:tc>
          <w:tcPr>
            <w:tcW w:w="4120" w:type="dxa"/>
            <w:vMerge/>
            <w:tcBorders>
              <w:top w:val="single" w:sz="8" w:space="0" w:color="auto"/>
              <w:left w:val="single" w:sz="8" w:space="0" w:color="auto"/>
              <w:bottom w:val="single" w:sz="4" w:space="0" w:color="000000"/>
              <w:right w:val="nil"/>
            </w:tcBorders>
            <w:vAlign w:val="center"/>
            <w:hideMark/>
          </w:tcPr>
          <w:p w:rsidR="0005163A" w:rsidRPr="0005163A" w:rsidP="0005163A" w14:paraId="56548CFC" w14:textId="77777777">
            <w:pPr>
              <w:spacing w:after="0" w:line="240" w:lineRule="auto"/>
              <w:rPr>
                <w:rFonts w:ascii="Arial" w:eastAsia="Times New Roman" w:hAnsi="Arial" w:cs="Arial"/>
                <w:b/>
                <w:bCs/>
                <w:sz w:val="18"/>
                <w:szCs w:val="18"/>
              </w:rPr>
            </w:pPr>
          </w:p>
        </w:tc>
        <w:tc>
          <w:tcPr>
            <w:tcW w:w="1080" w:type="dxa"/>
            <w:tcBorders>
              <w:top w:val="nil"/>
              <w:left w:val="single" w:sz="4" w:space="0" w:color="auto"/>
              <w:bottom w:val="single" w:sz="4" w:space="0" w:color="auto"/>
              <w:right w:val="single" w:sz="4" w:space="0" w:color="auto"/>
            </w:tcBorders>
            <w:vAlign w:val="bottom"/>
            <w:hideMark/>
          </w:tcPr>
          <w:p w:rsidR="0005163A" w:rsidRPr="0005163A" w:rsidP="0005163A" w14:paraId="04B18202"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EPA person-hours per occurrence</w:t>
            </w:r>
          </w:p>
        </w:tc>
        <w:tc>
          <w:tcPr>
            <w:tcW w:w="1120" w:type="dxa"/>
            <w:tcBorders>
              <w:top w:val="nil"/>
              <w:left w:val="nil"/>
              <w:bottom w:val="single" w:sz="4" w:space="0" w:color="auto"/>
              <w:right w:val="single" w:sz="4" w:space="0" w:color="auto"/>
            </w:tcBorders>
            <w:vAlign w:val="bottom"/>
            <w:hideMark/>
          </w:tcPr>
          <w:p w:rsidR="0005163A" w:rsidRPr="0005163A" w:rsidP="0005163A" w14:paraId="28D52DC4"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No. of occurrences per plant per year</w:t>
            </w:r>
          </w:p>
        </w:tc>
        <w:tc>
          <w:tcPr>
            <w:tcW w:w="1160" w:type="dxa"/>
            <w:tcBorders>
              <w:top w:val="nil"/>
              <w:left w:val="nil"/>
              <w:bottom w:val="single" w:sz="4" w:space="0" w:color="auto"/>
              <w:right w:val="single" w:sz="4" w:space="0" w:color="auto"/>
            </w:tcBorders>
            <w:vAlign w:val="bottom"/>
            <w:hideMark/>
          </w:tcPr>
          <w:p w:rsidR="0005163A" w:rsidRPr="0005163A" w:rsidP="0005163A" w14:paraId="15498409"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EPA person-hours per plant per year (C=AxB)</w:t>
            </w:r>
          </w:p>
        </w:tc>
        <w:tc>
          <w:tcPr>
            <w:tcW w:w="1460" w:type="dxa"/>
            <w:tcBorders>
              <w:top w:val="nil"/>
              <w:left w:val="nil"/>
              <w:bottom w:val="single" w:sz="4" w:space="0" w:color="auto"/>
              <w:right w:val="single" w:sz="4" w:space="0" w:color="auto"/>
            </w:tcBorders>
            <w:vAlign w:val="bottom"/>
            <w:hideMark/>
          </w:tcPr>
          <w:p w:rsidR="0005163A" w:rsidRPr="0005163A" w:rsidP="0005163A" w14:paraId="405AF9DA" w14:textId="77777777">
            <w:pPr>
              <w:spacing w:after="0" w:line="240" w:lineRule="auto"/>
              <w:jc w:val="center"/>
              <w:rPr>
                <w:rFonts w:ascii="Arial" w:eastAsia="Times New Roman" w:hAnsi="Arial" w:cs="Arial"/>
                <w:b/>
                <w:bCs/>
                <w:color w:val="000000"/>
                <w:sz w:val="18"/>
                <w:szCs w:val="18"/>
              </w:rPr>
            </w:pPr>
            <w:r w:rsidRPr="0005163A">
              <w:rPr>
                <w:rFonts w:ascii="Arial" w:eastAsia="Times New Roman" w:hAnsi="Arial" w:cs="Arial"/>
                <w:b/>
                <w:bCs/>
                <w:color w:val="000000"/>
                <w:sz w:val="18"/>
                <w:szCs w:val="18"/>
              </w:rPr>
              <w:t xml:space="preserve">Plants Per Year </w:t>
            </w:r>
            <w:r w:rsidRPr="0005163A">
              <w:rPr>
                <w:rFonts w:ascii="Arial" w:eastAsia="Times New Roman" w:hAnsi="Arial" w:cs="Arial"/>
                <w:b/>
                <w:bCs/>
                <w:color w:val="000000"/>
                <w:sz w:val="18"/>
                <w:szCs w:val="18"/>
                <w:vertAlign w:val="superscript"/>
              </w:rPr>
              <w:t>a</w:t>
            </w:r>
          </w:p>
        </w:tc>
        <w:tc>
          <w:tcPr>
            <w:tcW w:w="1440" w:type="dxa"/>
            <w:vMerge/>
            <w:tcBorders>
              <w:top w:val="single" w:sz="8" w:space="0" w:color="auto"/>
              <w:left w:val="single" w:sz="4" w:space="0" w:color="auto"/>
              <w:bottom w:val="single" w:sz="4" w:space="0" w:color="auto"/>
              <w:right w:val="single" w:sz="4" w:space="0" w:color="auto"/>
            </w:tcBorders>
            <w:vAlign w:val="center"/>
            <w:hideMark/>
          </w:tcPr>
          <w:p w:rsidR="0005163A" w:rsidRPr="0005163A" w:rsidP="0005163A" w14:paraId="7D2FFCF4" w14:textId="77777777">
            <w:pPr>
              <w:spacing w:after="0" w:line="240" w:lineRule="auto"/>
              <w:rPr>
                <w:rFonts w:ascii="Arial" w:eastAsia="Times New Roman" w:hAnsi="Arial" w:cs="Arial"/>
                <w:b/>
                <w:bCs/>
                <w:color w:val="000000"/>
                <w:sz w:val="18"/>
                <w:szCs w:val="18"/>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rsidR="0005163A" w:rsidRPr="0005163A" w:rsidP="0005163A" w14:paraId="350817E6" w14:textId="77777777">
            <w:pPr>
              <w:spacing w:after="0" w:line="240" w:lineRule="auto"/>
              <w:rPr>
                <w:rFonts w:ascii="Arial" w:eastAsia="Times New Roman" w:hAnsi="Arial" w:cs="Arial"/>
                <w:b/>
                <w:bCs/>
                <w:color w:val="000000"/>
                <w:sz w:val="18"/>
                <w:szCs w:val="18"/>
              </w:rPr>
            </w:pPr>
          </w:p>
        </w:tc>
        <w:tc>
          <w:tcPr>
            <w:tcW w:w="1320" w:type="dxa"/>
            <w:vMerge/>
            <w:tcBorders>
              <w:top w:val="single" w:sz="8" w:space="0" w:color="auto"/>
              <w:left w:val="single" w:sz="4" w:space="0" w:color="auto"/>
              <w:bottom w:val="single" w:sz="4" w:space="0" w:color="auto"/>
              <w:right w:val="single" w:sz="4" w:space="0" w:color="auto"/>
            </w:tcBorders>
            <w:vAlign w:val="center"/>
            <w:hideMark/>
          </w:tcPr>
          <w:p w:rsidR="0005163A" w:rsidRPr="0005163A" w:rsidP="0005163A" w14:paraId="1289A4C1" w14:textId="77777777">
            <w:pPr>
              <w:spacing w:after="0" w:line="240" w:lineRule="auto"/>
              <w:rPr>
                <w:rFonts w:ascii="Arial" w:eastAsia="Times New Roman" w:hAnsi="Arial" w:cs="Arial"/>
                <w:b/>
                <w:bCs/>
                <w:color w:val="000000"/>
                <w:sz w:val="18"/>
                <w:szCs w:val="18"/>
              </w:rPr>
            </w:pPr>
          </w:p>
        </w:tc>
        <w:tc>
          <w:tcPr>
            <w:tcW w:w="1080" w:type="dxa"/>
            <w:tcBorders>
              <w:top w:val="single" w:sz="4" w:space="0" w:color="auto"/>
              <w:left w:val="nil"/>
              <w:bottom w:val="nil"/>
              <w:right w:val="single" w:sz="8" w:space="0" w:color="auto"/>
            </w:tcBorders>
            <w:vAlign w:val="bottom"/>
            <w:hideMark/>
          </w:tcPr>
          <w:p w:rsidR="0005163A" w:rsidRPr="0005163A" w:rsidP="0005163A" w14:paraId="45823D8E" w14:textId="77777777">
            <w:pPr>
              <w:spacing w:after="0" w:line="240" w:lineRule="auto"/>
              <w:jc w:val="center"/>
              <w:rPr>
                <w:rFonts w:ascii="Arial" w:eastAsia="Times New Roman" w:hAnsi="Arial" w:cs="Arial"/>
                <w:b/>
                <w:bCs/>
                <w:sz w:val="18"/>
                <w:szCs w:val="18"/>
              </w:rPr>
            </w:pPr>
            <w:r w:rsidRPr="0005163A">
              <w:rPr>
                <w:rFonts w:ascii="Arial" w:eastAsia="Times New Roman" w:hAnsi="Arial" w:cs="Arial"/>
                <w:b/>
                <w:bCs/>
                <w:sz w:val="18"/>
                <w:szCs w:val="18"/>
              </w:rPr>
              <w:t xml:space="preserve">EPA Cost Per Year </w:t>
            </w:r>
            <w:r w:rsidRPr="0005163A">
              <w:rPr>
                <w:rFonts w:ascii="Arial" w:eastAsia="Times New Roman" w:hAnsi="Arial" w:cs="Arial"/>
                <w:b/>
                <w:bCs/>
                <w:sz w:val="18"/>
                <w:szCs w:val="18"/>
                <w:vertAlign w:val="superscript"/>
              </w:rPr>
              <w:t>b</w:t>
            </w:r>
          </w:p>
        </w:tc>
      </w:tr>
      <w:tr w14:paraId="66580696"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single" w:sz="4" w:space="0" w:color="auto"/>
            </w:tcBorders>
            <w:noWrap/>
            <w:vAlign w:val="center"/>
            <w:hideMark/>
          </w:tcPr>
          <w:p w:rsidR="0005163A" w:rsidRPr="0005163A" w:rsidP="0005163A" w14:paraId="44638CE4"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1. Applications</w:t>
            </w:r>
          </w:p>
        </w:tc>
        <w:tc>
          <w:tcPr>
            <w:tcW w:w="2200" w:type="dxa"/>
            <w:gridSpan w:val="2"/>
            <w:tcBorders>
              <w:top w:val="single" w:sz="4" w:space="0" w:color="auto"/>
              <w:left w:val="single" w:sz="4" w:space="0" w:color="auto"/>
              <w:bottom w:val="single" w:sz="4" w:space="0" w:color="auto"/>
              <w:right w:val="nil"/>
            </w:tcBorders>
            <w:noWrap/>
            <w:vAlign w:val="center"/>
            <w:hideMark/>
          </w:tcPr>
          <w:p w:rsidR="0005163A" w:rsidRPr="0005163A" w:rsidP="0005163A" w14:paraId="3A20E085"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not applicable</w:t>
            </w:r>
          </w:p>
        </w:tc>
        <w:tc>
          <w:tcPr>
            <w:tcW w:w="1160" w:type="dxa"/>
            <w:tcBorders>
              <w:top w:val="nil"/>
              <w:left w:val="nil"/>
              <w:bottom w:val="single" w:sz="4" w:space="0" w:color="auto"/>
              <w:right w:val="nil"/>
            </w:tcBorders>
            <w:noWrap/>
            <w:vAlign w:val="center"/>
            <w:hideMark/>
          </w:tcPr>
          <w:p w:rsidR="0005163A" w:rsidRPr="0005163A" w:rsidP="0005163A" w14:paraId="1A52120E"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460" w:type="dxa"/>
            <w:tcBorders>
              <w:top w:val="nil"/>
              <w:left w:val="nil"/>
              <w:bottom w:val="single" w:sz="4" w:space="0" w:color="auto"/>
              <w:right w:val="nil"/>
            </w:tcBorders>
            <w:noWrap/>
            <w:vAlign w:val="center"/>
            <w:hideMark/>
          </w:tcPr>
          <w:p w:rsidR="0005163A" w:rsidRPr="0005163A" w:rsidP="0005163A" w14:paraId="598B5E5A"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440" w:type="dxa"/>
            <w:tcBorders>
              <w:top w:val="nil"/>
              <w:left w:val="nil"/>
              <w:bottom w:val="single" w:sz="4" w:space="0" w:color="auto"/>
              <w:right w:val="nil"/>
            </w:tcBorders>
            <w:noWrap/>
            <w:vAlign w:val="center"/>
            <w:hideMark/>
          </w:tcPr>
          <w:p w:rsidR="0005163A" w:rsidRPr="0005163A" w:rsidP="0005163A" w14:paraId="52AF9689"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180" w:type="dxa"/>
            <w:tcBorders>
              <w:top w:val="nil"/>
              <w:left w:val="nil"/>
              <w:bottom w:val="single" w:sz="4" w:space="0" w:color="auto"/>
              <w:right w:val="nil"/>
            </w:tcBorders>
            <w:noWrap/>
            <w:vAlign w:val="center"/>
            <w:hideMark/>
          </w:tcPr>
          <w:p w:rsidR="0005163A" w:rsidRPr="0005163A" w:rsidP="0005163A" w14:paraId="352ED891"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320" w:type="dxa"/>
            <w:tcBorders>
              <w:top w:val="nil"/>
              <w:left w:val="nil"/>
              <w:bottom w:val="single" w:sz="4" w:space="0" w:color="auto"/>
              <w:right w:val="nil"/>
            </w:tcBorders>
            <w:noWrap/>
            <w:vAlign w:val="center"/>
            <w:hideMark/>
          </w:tcPr>
          <w:p w:rsidR="0005163A" w:rsidRPr="0005163A" w:rsidP="0005163A" w14:paraId="61370180"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080" w:type="dxa"/>
            <w:tcBorders>
              <w:top w:val="single" w:sz="4" w:space="0" w:color="auto"/>
              <w:left w:val="nil"/>
              <w:bottom w:val="single" w:sz="4" w:space="0" w:color="auto"/>
              <w:right w:val="single" w:sz="8" w:space="0" w:color="auto"/>
            </w:tcBorders>
            <w:noWrap/>
            <w:vAlign w:val="center"/>
            <w:hideMark/>
          </w:tcPr>
          <w:p w:rsidR="0005163A" w:rsidRPr="0005163A" w:rsidP="0005163A" w14:paraId="164168A4"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r>
      <w:tr w14:paraId="11B177E3"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single" w:sz="4" w:space="0" w:color="auto"/>
            </w:tcBorders>
            <w:noWrap/>
            <w:vAlign w:val="center"/>
            <w:hideMark/>
          </w:tcPr>
          <w:p w:rsidR="0005163A" w:rsidRPr="0005163A" w:rsidP="0005163A" w14:paraId="5A018C5F"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2. Familiarization with Rule Requirements</w:t>
            </w:r>
          </w:p>
        </w:tc>
        <w:tc>
          <w:tcPr>
            <w:tcW w:w="1080" w:type="dxa"/>
            <w:tcBorders>
              <w:top w:val="nil"/>
              <w:left w:val="nil"/>
              <w:bottom w:val="single" w:sz="4" w:space="0" w:color="auto"/>
              <w:right w:val="single" w:sz="4" w:space="0" w:color="auto"/>
            </w:tcBorders>
            <w:noWrap/>
            <w:vAlign w:val="center"/>
            <w:hideMark/>
          </w:tcPr>
          <w:p w:rsidR="0005163A" w:rsidRPr="0005163A" w:rsidP="0005163A" w14:paraId="0872F73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15</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3D830FF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68082A6E"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15</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1C50A48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5CC50F2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0EE3673F"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44FC9D13"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2A22BCCB"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3F338C25"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single" w:sz="4" w:space="0" w:color="auto"/>
            </w:tcBorders>
            <w:noWrap/>
            <w:vAlign w:val="center"/>
            <w:hideMark/>
          </w:tcPr>
          <w:p w:rsidR="0005163A" w:rsidRPr="0005163A" w:rsidP="0005163A" w14:paraId="60510585"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3. Required Activities</w:t>
            </w:r>
          </w:p>
        </w:tc>
        <w:tc>
          <w:tcPr>
            <w:tcW w:w="1080" w:type="dxa"/>
            <w:tcBorders>
              <w:top w:val="nil"/>
              <w:left w:val="nil"/>
              <w:bottom w:val="single" w:sz="4" w:space="0" w:color="auto"/>
              <w:right w:val="single" w:sz="4" w:space="0" w:color="auto"/>
            </w:tcBorders>
            <w:noWrap/>
            <w:vAlign w:val="center"/>
            <w:hideMark/>
          </w:tcPr>
          <w:p w:rsidR="0005163A" w:rsidRPr="0005163A" w:rsidP="0005163A" w14:paraId="1F4DB92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03C4CDFC"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301EF49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2E9A3FF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6E94AAE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586DB81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043BFF2F"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0CB963BA"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w:t>
            </w:r>
          </w:p>
        </w:tc>
      </w:tr>
      <w:tr w14:paraId="098E09EF"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37943C69" w14:textId="451CD63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 xml:space="preserve">A. Observe initial performance tests </w:t>
            </w:r>
            <w:r w:rsidRPr="0005163A">
              <w:rPr>
                <w:rFonts w:ascii="Arial" w:eastAsia="Times New Roman" w:hAnsi="Arial" w:cs="Arial"/>
                <w:sz w:val="18"/>
                <w:szCs w:val="18"/>
                <w:vertAlign w:val="superscript"/>
              </w:rPr>
              <w:t>c</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4CDE613C"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48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0A451384"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170A64D4"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48</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04CAE38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0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768647BD"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187B1E3D"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4643D84F"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33CE39D9"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5EA26D95"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291FCFF8" w14:textId="3DA4A37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05163A">
              <w:rPr>
                <w:rFonts w:ascii="Arial" w:eastAsia="Times New Roman" w:hAnsi="Arial" w:cs="Arial"/>
                <w:color w:val="000000"/>
                <w:sz w:val="18"/>
                <w:szCs w:val="18"/>
              </w:rPr>
              <w:t xml:space="preserve">B. Excess emissions -- Enforcement Activities </w:t>
            </w:r>
            <w:r w:rsidRPr="0005163A">
              <w:rPr>
                <w:rFonts w:ascii="Arial" w:eastAsia="Times New Roman" w:hAnsi="Arial" w:cs="Arial"/>
                <w:color w:val="000000"/>
                <w:sz w:val="18"/>
                <w:szCs w:val="18"/>
                <w:vertAlign w:val="superscript"/>
              </w:rPr>
              <w:t>d</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447A3522"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24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1F55439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250F342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24</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5350816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1.3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52811FF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31</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3EB40E83"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1C9D91E2"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3</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63F239DB"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$1,996.91 </w:t>
            </w:r>
          </w:p>
        </w:tc>
      </w:tr>
      <w:tr w14:paraId="1AA28A28"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1852E3F8" w14:textId="687AF982">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C. Create Information</w:t>
            </w:r>
          </w:p>
        </w:tc>
        <w:tc>
          <w:tcPr>
            <w:tcW w:w="2200" w:type="dxa"/>
            <w:gridSpan w:val="2"/>
            <w:tcBorders>
              <w:top w:val="single" w:sz="4" w:space="0" w:color="auto"/>
              <w:left w:val="single" w:sz="4" w:space="0" w:color="auto"/>
              <w:bottom w:val="single" w:sz="4" w:space="0" w:color="auto"/>
              <w:right w:val="nil"/>
            </w:tcBorders>
            <w:noWrap/>
            <w:vAlign w:val="center"/>
            <w:hideMark/>
          </w:tcPr>
          <w:p w:rsidR="0005163A" w:rsidRPr="0005163A" w:rsidP="0005163A" w14:paraId="3F0057B8"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not applicable</w:t>
            </w:r>
          </w:p>
        </w:tc>
        <w:tc>
          <w:tcPr>
            <w:tcW w:w="1160" w:type="dxa"/>
            <w:tcBorders>
              <w:top w:val="nil"/>
              <w:left w:val="nil"/>
              <w:bottom w:val="single" w:sz="4" w:space="0" w:color="auto"/>
              <w:right w:val="nil"/>
            </w:tcBorders>
            <w:noWrap/>
            <w:vAlign w:val="center"/>
            <w:hideMark/>
          </w:tcPr>
          <w:p w:rsidR="0005163A" w:rsidRPr="0005163A" w:rsidP="0005163A" w14:paraId="0B31F148"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460" w:type="dxa"/>
            <w:tcBorders>
              <w:top w:val="nil"/>
              <w:left w:val="nil"/>
              <w:bottom w:val="single" w:sz="4" w:space="0" w:color="auto"/>
              <w:right w:val="nil"/>
            </w:tcBorders>
            <w:noWrap/>
            <w:vAlign w:val="center"/>
            <w:hideMark/>
          </w:tcPr>
          <w:p w:rsidR="0005163A" w:rsidRPr="0005163A" w:rsidP="0005163A" w14:paraId="16021CEB"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440" w:type="dxa"/>
            <w:tcBorders>
              <w:top w:val="nil"/>
              <w:left w:val="nil"/>
              <w:bottom w:val="single" w:sz="4" w:space="0" w:color="auto"/>
              <w:right w:val="nil"/>
            </w:tcBorders>
            <w:noWrap/>
            <w:vAlign w:val="center"/>
            <w:hideMark/>
          </w:tcPr>
          <w:p w:rsidR="0005163A" w:rsidRPr="0005163A" w:rsidP="0005163A" w14:paraId="6A1C1AF7"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180" w:type="dxa"/>
            <w:tcBorders>
              <w:top w:val="nil"/>
              <w:left w:val="nil"/>
              <w:bottom w:val="single" w:sz="4" w:space="0" w:color="auto"/>
              <w:right w:val="nil"/>
            </w:tcBorders>
            <w:noWrap/>
            <w:vAlign w:val="center"/>
            <w:hideMark/>
          </w:tcPr>
          <w:p w:rsidR="0005163A" w:rsidRPr="0005163A" w:rsidP="0005163A" w14:paraId="53436D64"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320" w:type="dxa"/>
            <w:tcBorders>
              <w:top w:val="nil"/>
              <w:left w:val="nil"/>
              <w:bottom w:val="single" w:sz="4" w:space="0" w:color="auto"/>
              <w:right w:val="nil"/>
            </w:tcBorders>
            <w:noWrap/>
            <w:vAlign w:val="center"/>
            <w:hideMark/>
          </w:tcPr>
          <w:p w:rsidR="0005163A" w:rsidRPr="0005163A" w:rsidP="0005163A" w14:paraId="5CC8723D"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10D370FE"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w:t>
            </w:r>
          </w:p>
        </w:tc>
      </w:tr>
      <w:tr w14:paraId="0F22ABBA"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689AD7C0" w14:textId="602A0D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D. Gather Information</w:t>
            </w:r>
          </w:p>
        </w:tc>
        <w:tc>
          <w:tcPr>
            <w:tcW w:w="2200" w:type="dxa"/>
            <w:gridSpan w:val="2"/>
            <w:tcBorders>
              <w:top w:val="single" w:sz="4" w:space="0" w:color="auto"/>
              <w:left w:val="single" w:sz="4" w:space="0" w:color="auto"/>
              <w:bottom w:val="single" w:sz="4" w:space="0" w:color="auto"/>
              <w:right w:val="nil"/>
            </w:tcBorders>
            <w:noWrap/>
            <w:vAlign w:val="center"/>
            <w:hideMark/>
          </w:tcPr>
          <w:p w:rsidR="0005163A" w:rsidRPr="0005163A" w:rsidP="0005163A" w14:paraId="1753DBEF"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not applicable</w:t>
            </w:r>
          </w:p>
        </w:tc>
        <w:tc>
          <w:tcPr>
            <w:tcW w:w="1160" w:type="dxa"/>
            <w:tcBorders>
              <w:top w:val="nil"/>
              <w:left w:val="nil"/>
              <w:bottom w:val="single" w:sz="4" w:space="0" w:color="auto"/>
              <w:right w:val="nil"/>
            </w:tcBorders>
            <w:noWrap/>
            <w:vAlign w:val="center"/>
            <w:hideMark/>
          </w:tcPr>
          <w:p w:rsidR="0005163A" w:rsidRPr="0005163A" w:rsidP="0005163A" w14:paraId="07292AFB"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460" w:type="dxa"/>
            <w:tcBorders>
              <w:top w:val="nil"/>
              <w:left w:val="nil"/>
              <w:bottom w:val="single" w:sz="4" w:space="0" w:color="auto"/>
              <w:right w:val="nil"/>
            </w:tcBorders>
            <w:noWrap/>
            <w:vAlign w:val="center"/>
            <w:hideMark/>
          </w:tcPr>
          <w:p w:rsidR="0005163A" w:rsidRPr="0005163A" w:rsidP="0005163A" w14:paraId="516299C7"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440" w:type="dxa"/>
            <w:tcBorders>
              <w:top w:val="nil"/>
              <w:left w:val="nil"/>
              <w:bottom w:val="single" w:sz="4" w:space="0" w:color="auto"/>
              <w:right w:val="nil"/>
            </w:tcBorders>
            <w:noWrap/>
            <w:vAlign w:val="center"/>
            <w:hideMark/>
          </w:tcPr>
          <w:p w:rsidR="0005163A" w:rsidRPr="0005163A" w:rsidP="0005163A" w14:paraId="4EB242C8"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180" w:type="dxa"/>
            <w:tcBorders>
              <w:top w:val="nil"/>
              <w:left w:val="nil"/>
              <w:bottom w:val="single" w:sz="4" w:space="0" w:color="auto"/>
              <w:right w:val="nil"/>
            </w:tcBorders>
            <w:noWrap/>
            <w:vAlign w:val="center"/>
            <w:hideMark/>
          </w:tcPr>
          <w:p w:rsidR="0005163A" w:rsidRPr="0005163A" w:rsidP="0005163A" w14:paraId="27B8C42E"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320" w:type="dxa"/>
            <w:tcBorders>
              <w:top w:val="nil"/>
              <w:left w:val="nil"/>
              <w:bottom w:val="single" w:sz="4" w:space="0" w:color="auto"/>
              <w:right w:val="nil"/>
            </w:tcBorders>
            <w:noWrap/>
            <w:vAlign w:val="center"/>
            <w:hideMark/>
          </w:tcPr>
          <w:p w:rsidR="0005163A" w:rsidRPr="0005163A" w:rsidP="0005163A" w14:paraId="764AE429" w14:textId="77777777">
            <w:pPr>
              <w:spacing w:after="0" w:line="240" w:lineRule="auto"/>
              <w:rPr>
                <w:rFonts w:ascii="Arial" w:eastAsia="Times New Roman" w:hAnsi="Arial" w:cs="Arial"/>
                <w:sz w:val="18"/>
                <w:szCs w:val="18"/>
              </w:rPr>
            </w:pPr>
            <w:r w:rsidRPr="0005163A">
              <w:rPr>
                <w:rFonts w:ascii="Arial" w:eastAsia="Times New Roman" w:hAnsi="Arial" w:cs="Arial"/>
                <w:sz w:val="18"/>
                <w:szCs w:val="18"/>
              </w:rPr>
              <w:t> </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321FF5BA"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w:t>
            </w:r>
          </w:p>
        </w:tc>
      </w:tr>
      <w:tr w14:paraId="42DB45B3"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4022B92A" w14:textId="6F85049A">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E. Report Reviews</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0F265BC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4D9A7FE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3B29D91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4F7A6A8C"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26566E3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5CCF7A1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1E8BA81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6EBC24C3"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w:t>
            </w:r>
          </w:p>
        </w:tc>
      </w:tr>
      <w:tr w14:paraId="30730F39"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710DBD6A" w14:textId="160230E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1) Review initial notification</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3728801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3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27C70AD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19F77FB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3</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46EB96BA"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xml:space="preserve">0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5702321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0A487201"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184A3515"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71E31A40"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411D0CE3"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491BCEDB" w14:textId="4F3F3412">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2) Review batch precompliance report</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4ADB768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5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605F2A7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3DED79D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5</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5A670531"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xml:space="preserve">0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3D3F007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3501C30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1FA2B4D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3FFF52EC"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38ADB936"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1284428D" w14:textId="6CA409E0">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3) Review notification of performance test</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76F9C5C7"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10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67256A1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2163C581"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10</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0B9CB4D7"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xml:space="preserve">0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15D260D1"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42D8FB0E"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19242CB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1BD44026"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7F2FFFD0"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vAlign w:val="center"/>
            <w:hideMark/>
          </w:tcPr>
          <w:p w:rsidR="0005163A" w:rsidRPr="0005163A" w:rsidP="0005163A" w14:paraId="7BA72A6D" w14:textId="7E01B730">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4) Review notification of compliance status</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57138152"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40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22550C05"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33BADE81"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40</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22F6C7AB"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xml:space="preserve">0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7056A59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471A793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5DA97FE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0</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4A9CDF51"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3BCF89B0"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vAlign w:val="center"/>
            <w:hideMark/>
          </w:tcPr>
          <w:p w:rsidR="0005163A" w:rsidRPr="0005163A" w:rsidP="0005163A" w14:paraId="6F75C326" w14:textId="2DAD9BE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5) Review compliance report</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13CC7AEC"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20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26947BC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295DB5DF"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40</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0B16FC6A"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xml:space="preserve">13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0BDE1E2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520</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6337F8D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26</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75512F4E"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52</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4690CB2E"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$33,281.82 </w:t>
            </w:r>
          </w:p>
        </w:tc>
      </w:tr>
      <w:tr w14:paraId="7E20F3A9"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nil"/>
            </w:tcBorders>
            <w:noWrap/>
            <w:vAlign w:val="center"/>
            <w:hideMark/>
          </w:tcPr>
          <w:p w:rsidR="0005163A" w:rsidRPr="0005163A" w:rsidP="0005163A" w14:paraId="23E206F2" w14:textId="27594D36">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6) Review notice of inspection</w:t>
            </w:r>
          </w:p>
        </w:tc>
        <w:tc>
          <w:tcPr>
            <w:tcW w:w="1080" w:type="dxa"/>
            <w:tcBorders>
              <w:top w:val="nil"/>
              <w:left w:val="single" w:sz="4" w:space="0" w:color="auto"/>
              <w:bottom w:val="single" w:sz="4" w:space="0" w:color="auto"/>
              <w:right w:val="single" w:sz="4" w:space="0" w:color="auto"/>
            </w:tcBorders>
            <w:noWrap/>
            <w:vAlign w:val="center"/>
            <w:hideMark/>
          </w:tcPr>
          <w:p w:rsidR="0005163A" w:rsidRPr="0005163A" w:rsidP="0005163A" w14:paraId="31313BDF"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 xml:space="preserve">3 </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48D29834"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5225D396"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3</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10331363"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 xml:space="preserve">13 </w:t>
            </w:r>
          </w:p>
        </w:tc>
        <w:tc>
          <w:tcPr>
            <w:tcW w:w="1440" w:type="dxa"/>
            <w:tcBorders>
              <w:top w:val="nil"/>
              <w:left w:val="nil"/>
              <w:bottom w:val="single" w:sz="4" w:space="0" w:color="auto"/>
              <w:right w:val="single" w:sz="4" w:space="0" w:color="auto"/>
            </w:tcBorders>
            <w:noWrap/>
            <w:vAlign w:val="center"/>
            <w:hideMark/>
          </w:tcPr>
          <w:p w:rsidR="0005163A" w:rsidRPr="0005163A" w:rsidP="0005163A" w14:paraId="127B740A"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39</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251F6A84"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41461D5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4</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39E0BF8A"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$2,496.14 </w:t>
            </w:r>
          </w:p>
        </w:tc>
      </w:tr>
      <w:tr w14:paraId="4E042646" w14:textId="77777777" w:rsidTr="00317E39">
        <w:tblPrEx>
          <w:tblW w:w="12960" w:type="dxa"/>
          <w:tblInd w:w="108" w:type="dxa"/>
          <w:tblLook w:val="04A0"/>
        </w:tblPrEx>
        <w:trPr>
          <w:trHeight w:val="315"/>
        </w:trPr>
        <w:tc>
          <w:tcPr>
            <w:tcW w:w="4120" w:type="dxa"/>
            <w:tcBorders>
              <w:top w:val="nil"/>
              <w:left w:val="single" w:sz="8" w:space="0" w:color="auto"/>
              <w:bottom w:val="single" w:sz="4" w:space="0" w:color="auto"/>
              <w:right w:val="single" w:sz="4" w:space="0" w:color="auto"/>
            </w:tcBorders>
            <w:noWrap/>
            <w:vAlign w:val="center"/>
            <w:hideMark/>
          </w:tcPr>
          <w:p w:rsidR="0005163A" w:rsidRPr="0005163A" w:rsidP="0005163A" w14:paraId="51309520" w14:textId="6F6AAD7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5163A">
              <w:rPr>
                <w:rFonts w:ascii="Arial" w:eastAsia="Times New Roman" w:hAnsi="Arial" w:cs="Arial"/>
                <w:sz w:val="18"/>
                <w:szCs w:val="18"/>
              </w:rPr>
              <w:t xml:space="preserve">F. Prepare annual summary report </w:t>
            </w:r>
            <w:r w:rsidRPr="0005163A">
              <w:rPr>
                <w:rFonts w:ascii="Arial" w:eastAsia="Times New Roman" w:hAnsi="Arial" w:cs="Arial"/>
                <w:sz w:val="18"/>
                <w:szCs w:val="18"/>
                <w:vertAlign w:val="superscript"/>
              </w:rPr>
              <w:t>e</w:t>
            </w:r>
          </w:p>
        </w:tc>
        <w:tc>
          <w:tcPr>
            <w:tcW w:w="1080" w:type="dxa"/>
            <w:tcBorders>
              <w:top w:val="nil"/>
              <w:left w:val="nil"/>
              <w:bottom w:val="single" w:sz="4" w:space="0" w:color="auto"/>
              <w:right w:val="single" w:sz="4" w:space="0" w:color="auto"/>
            </w:tcBorders>
            <w:noWrap/>
            <w:vAlign w:val="center"/>
            <w:hideMark/>
          </w:tcPr>
          <w:p w:rsidR="0005163A" w:rsidRPr="0005163A" w:rsidP="0005163A" w14:paraId="4FD5DAD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4</w:t>
            </w:r>
          </w:p>
        </w:tc>
        <w:tc>
          <w:tcPr>
            <w:tcW w:w="1120" w:type="dxa"/>
            <w:tcBorders>
              <w:top w:val="nil"/>
              <w:left w:val="nil"/>
              <w:bottom w:val="single" w:sz="4" w:space="0" w:color="auto"/>
              <w:right w:val="single" w:sz="4" w:space="0" w:color="auto"/>
            </w:tcBorders>
            <w:noWrap/>
            <w:vAlign w:val="center"/>
            <w:hideMark/>
          </w:tcPr>
          <w:p w:rsidR="0005163A" w:rsidRPr="0005163A" w:rsidP="0005163A" w14:paraId="5A3971B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160" w:type="dxa"/>
            <w:tcBorders>
              <w:top w:val="nil"/>
              <w:left w:val="nil"/>
              <w:bottom w:val="single" w:sz="4" w:space="0" w:color="auto"/>
              <w:right w:val="single" w:sz="4" w:space="0" w:color="auto"/>
            </w:tcBorders>
            <w:noWrap/>
            <w:vAlign w:val="center"/>
            <w:hideMark/>
          </w:tcPr>
          <w:p w:rsidR="0005163A" w:rsidRPr="0005163A" w:rsidP="0005163A" w14:paraId="68CCBD91"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4</w:t>
            </w:r>
          </w:p>
        </w:tc>
        <w:tc>
          <w:tcPr>
            <w:tcW w:w="1460" w:type="dxa"/>
            <w:tcBorders>
              <w:top w:val="nil"/>
              <w:left w:val="nil"/>
              <w:bottom w:val="single" w:sz="4" w:space="0" w:color="auto"/>
              <w:right w:val="single" w:sz="4" w:space="0" w:color="auto"/>
            </w:tcBorders>
            <w:noWrap/>
            <w:vAlign w:val="center"/>
            <w:hideMark/>
          </w:tcPr>
          <w:p w:rsidR="0005163A" w:rsidRPr="0005163A" w:rsidP="0005163A" w14:paraId="11914B14" w14:textId="77777777">
            <w:pPr>
              <w:spacing w:after="0" w:line="240" w:lineRule="auto"/>
              <w:jc w:val="center"/>
              <w:rPr>
                <w:rFonts w:ascii="Arial" w:eastAsia="Times New Roman" w:hAnsi="Arial" w:cs="Arial"/>
                <w:sz w:val="20"/>
                <w:szCs w:val="20"/>
              </w:rPr>
            </w:pPr>
            <w:r w:rsidRPr="0005163A">
              <w:rPr>
                <w:rFonts w:ascii="Arial" w:eastAsia="Times New Roman" w:hAnsi="Arial" w:cs="Arial"/>
                <w:sz w:val="20"/>
                <w:szCs w:val="20"/>
              </w:rPr>
              <w:t>6</w:t>
            </w:r>
          </w:p>
        </w:tc>
        <w:tc>
          <w:tcPr>
            <w:tcW w:w="1440" w:type="dxa"/>
            <w:tcBorders>
              <w:top w:val="nil"/>
              <w:left w:val="nil"/>
              <w:bottom w:val="single" w:sz="4" w:space="0" w:color="auto"/>
              <w:right w:val="nil"/>
            </w:tcBorders>
            <w:noWrap/>
            <w:vAlign w:val="center"/>
            <w:hideMark/>
          </w:tcPr>
          <w:p w:rsidR="0005163A" w:rsidRPr="0005163A" w:rsidP="0005163A" w14:paraId="0DFA0B38"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24</w:t>
            </w:r>
          </w:p>
        </w:tc>
        <w:tc>
          <w:tcPr>
            <w:tcW w:w="1180" w:type="dxa"/>
            <w:tcBorders>
              <w:top w:val="nil"/>
              <w:left w:val="single" w:sz="4" w:space="0" w:color="auto"/>
              <w:bottom w:val="single" w:sz="4" w:space="0" w:color="auto"/>
              <w:right w:val="single" w:sz="4" w:space="0" w:color="auto"/>
            </w:tcBorders>
            <w:noWrap/>
            <w:vAlign w:val="center"/>
            <w:hideMark/>
          </w:tcPr>
          <w:p w:rsidR="0005163A" w:rsidRPr="0005163A" w:rsidP="0005163A" w14:paraId="4C8D2BB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1</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5ED343E1"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2</w:t>
            </w:r>
          </w:p>
        </w:tc>
        <w:tc>
          <w:tcPr>
            <w:tcW w:w="1080" w:type="dxa"/>
            <w:tcBorders>
              <w:top w:val="nil"/>
              <w:left w:val="nil"/>
              <w:bottom w:val="single" w:sz="4" w:space="0" w:color="auto"/>
              <w:right w:val="single" w:sz="8" w:space="0" w:color="auto"/>
            </w:tcBorders>
            <w:noWrap/>
            <w:vAlign w:val="center"/>
            <w:hideMark/>
          </w:tcPr>
          <w:p w:rsidR="0005163A" w:rsidRPr="0005163A" w:rsidP="0005163A" w14:paraId="69DFE940"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$1,536.08 </w:t>
            </w:r>
          </w:p>
        </w:tc>
      </w:tr>
      <w:tr w14:paraId="0847C018" w14:textId="77777777" w:rsidTr="00317E39">
        <w:tblPrEx>
          <w:tblW w:w="12960" w:type="dxa"/>
          <w:tblInd w:w="108" w:type="dxa"/>
          <w:tblLook w:val="04A0"/>
        </w:tblPrEx>
        <w:trPr>
          <w:trHeight w:val="315"/>
        </w:trPr>
        <w:tc>
          <w:tcPr>
            <w:tcW w:w="10380" w:type="dxa"/>
            <w:gridSpan w:val="6"/>
            <w:tcBorders>
              <w:top w:val="nil"/>
              <w:left w:val="single" w:sz="8" w:space="0" w:color="auto"/>
              <w:bottom w:val="single" w:sz="4" w:space="0" w:color="000000"/>
              <w:right w:val="single" w:sz="4" w:space="0" w:color="000000"/>
            </w:tcBorders>
            <w:noWrap/>
            <w:vAlign w:val="center"/>
            <w:hideMark/>
          </w:tcPr>
          <w:p w:rsidR="0005163A" w:rsidRPr="0005163A" w:rsidP="0005163A" w14:paraId="103D2619" w14:textId="6197D16B">
            <w:pPr>
              <w:spacing w:after="0" w:line="240" w:lineRule="auto"/>
              <w:rPr>
                <w:rFonts w:ascii="Arial" w:eastAsia="Times New Roman" w:hAnsi="Arial" w:cs="Arial"/>
                <w:sz w:val="18"/>
                <w:szCs w:val="18"/>
              </w:rPr>
            </w:pPr>
            <w:r w:rsidRPr="0005163A">
              <w:rPr>
                <w:rFonts w:ascii="Arial" w:eastAsia="Times New Roman" w:hAnsi="Arial" w:cs="Arial"/>
                <w:sz w:val="18"/>
                <w:szCs w:val="18"/>
              </w:rPr>
              <w:t>4. Travel expenses:</w:t>
            </w:r>
            <w:r w:rsidR="00736C45">
              <w:rPr>
                <w:rFonts w:ascii="Arial" w:eastAsia="Times New Roman" w:hAnsi="Arial" w:cs="Arial"/>
                <w:sz w:val="18"/>
                <w:szCs w:val="18"/>
              </w:rPr>
              <w:t xml:space="preserve"> </w:t>
            </w:r>
            <w:r w:rsidRPr="0005163A">
              <w:rPr>
                <w:rFonts w:ascii="Arial" w:eastAsia="Times New Roman" w:hAnsi="Arial" w:cs="Arial"/>
                <w:sz w:val="18"/>
                <w:szCs w:val="18"/>
              </w:rPr>
              <w:t>(1 person *</w:t>
            </w:r>
            <w:r w:rsidR="00736C45">
              <w:rPr>
                <w:rFonts w:ascii="Arial" w:eastAsia="Times New Roman" w:hAnsi="Arial" w:cs="Arial"/>
                <w:sz w:val="18"/>
                <w:szCs w:val="18"/>
              </w:rPr>
              <w:t xml:space="preserve"> </w:t>
            </w:r>
            <w:r w:rsidRPr="0005163A">
              <w:rPr>
                <w:rFonts w:ascii="Arial" w:eastAsia="Times New Roman" w:hAnsi="Arial" w:cs="Arial"/>
                <w:sz w:val="18"/>
                <w:szCs w:val="18"/>
              </w:rPr>
              <w:t xml:space="preserve">30 hours per year / 8 hours per day * $75 per diem) + ($600 per round trip) = </w:t>
            </w:r>
          </w:p>
        </w:tc>
        <w:tc>
          <w:tcPr>
            <w:tcW w:w="1180" w:type="dxa"/>
            <w:tcBorders>
              <w:top w:val="nil"/>
              <w:left w:val="nil"/>
              <w:bottom w:val="single" w:sz="4" w:space="0" w:color="auto"/>
              <w:right w:val="single" w:sz="4" w:space="0" w:color="auto"/>
            </w:tcBorders>
            <w:noWrap/>
            <w:vAlign w:val="center"/>
            <w:hideMark/>
          </w:tcPr>
          <w:p w:rsidR="0005163A" w:rsidRPr="0005163A" w:rsidP="0005163A" w14:paraId="14EB3852"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n/a</w:t>
            </w:r>
          </w:p>
        </w:tc>
        <w:tc>
          <w:tcPr>
            <w:tcW w:w="1320" w:type="dxa"/>
            <w:tcBorders>
              <w:top w:val="nil"/>
              <w:left w:val="nil"/>
              <w:bottom w:val="single" w:sz="4" w:space="0" w:color="auto"/>
              <w:right w:val="single" w:sz="4" w:space="0" w:color="auto"/>
            </w:tcBorders>
            <w:noWrap/>
            <w:vAlign w:val="center"/>
            <w:hideMark/>
          </w:tcPr>
          <w:p w:rsidR="0005163A" w:rsidRPr="0005163A" w:rsidP="0005163A" w14:paraId="1EDC4DD9"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per trip</w:t>
            </w:r>
          </w:p>
        </w:tc>
        <w:tc>
          <w:tcPr>
            <w:tcW w:w="1080" w:type="dxa"/>
            <w:tcBorders>
              <w:top w:val="nil"/>
              <w:left w:val="nil"/>
              <w:bottom w:val="nil"/>
              <w:right w:val="single" w:sz="8" w:space="0" w:color="auto"/>
            </w:tcBorders>
            <w:noWrap/>
            <w:vAlign w:val="center"/>
            <w:hideMark/>
          </w:tcPr>
          <w:p w:rsidR="0005163A" w:rsidRPr="0005163A" w:rsidP="0005163A" w14:paraId="04A3502F"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$0 </w:t>
            </w:r>
          </w:p>
        </w:tc>
      </w:tr>
      <w:tr w14:paraId="17EC4C99" w14:textId="77777777" w:rsidTr="00317E39">
        <w:tblPrEx>
          <w:tblW w:w="12960" w:type="dxa"/>
          <w:tblInd w:w="108" w:type="dxa"/>
          <w:tblLook w:val="04A0"/>
        </w:tblPrEx>
        <w:trPr>
          <w:trHeight w:val="315"/>
        </w:trPr>
        <w:tc>
          <w:tcPr>
            <w:tcW w:w="8940" w:type="dxa"/>
            <w:gridSpan w:val="5"/>
            <w:tcBorders>
              <w:top w:val="single" w:sz="4" w:space="0" w:color="000000"/>
              <w:left w:val="single" w:sz="8" w:space="0" w:color="auto"/>
              <w:bottom w:val="single" w:sz="8" w:space="0" w:color="auto"/>
              <w:right w:val="single" w:sz="4" w:space="0" w:color="000000"/>
            </w:tcBorders>
            <w:noWrap/>
            <w:vAlign w:val="center"/>
            <w:hideMark/>
          </w:tcPr>
          <w:p w:rsidR="0005163A" w:rsidRPr="0005163A" w:rsidP="0005163A" w14:paraId="43A101DB" w14:textId="77777777">
            <w:pPr>
              <w:spacing w:after="0" w:line="240" w:lineRule="auto"/>
              <w:rPr>
                <w:rFonts w:ascii="Arial" w:eastAsia="Times New Roman" w:hAnsi="Arial" w:cs="Arial"/>
                <w:b/>
                <w:bCs/>
                <w:sz w:val="18"/>
                <w:szCs w:val="18"/>
              </w:rPr>
            </w:pPr>
            <w:r w:rsidRPr="0005163A">
              <w:rPr>
                <w:rFonts w:ascii="Arial" w:eastAsia="Times New Roman" w:hAnsi="Arial" w:cs="Arial"/>
                <w:b/>
                <w:bCs/>
                <w:sz w:val="18"/>
                <w:szCs w:val="18"/>
              </w:rPr>
              <w:t>TOTAL ANNUAL BURDEN AND COST (rounded)</w:t>
            </w:r>
            <w:r w:rsidRPr="0005163A">
              <w:rPr>
                <w:rFonts w:ascii="Arial" w:eastAsia="Times New Roman" w:hAnsi="Arial" w:cs="Arial"/>
                <w:b/>
                <w:bCs/>
                <w:sz w:val="18"/>
                <w:szCs w:val="18"/>
                <w:vertAlign w:val="superscript"/>
              </w:rPr>
              <w:t>f</w:t>
            </w:r>
          </w:p>
        </w:tc>
        <w:tc>
          <w:tcPr>
            <w:tcW w:w="3940" w:type="dxa"/>
            <w:gridSpan w:val="3"/>
            <w:tcBorders>
              <w:top w:val="single" w:sz="4" w:space="0" w:color="000000"/>
              <w:left w:val="nil"/>
              <w:bottom w:val="single" w:sz="8" w:space="0" w:color="auto"/>
              <w:right w:val="single" w:sz="4" w:space="0" w:color="000000"/>
            </w:tcBorders>
            <w:noWrap/>
            <w:vAlign w:val="center"/>
            <w:hideMark/>
          </w:tcPr>
          <w:p w:rsidR="0005163A" w:rsidRPr="0005163A" w:rsidP="0005163A" w14:paraId="12D0FDB0" w14:textId="77777777">
            <w:pPr>
              <w:spacing w:after="0" w:line="240" w:lineRule="auto"/>
              <w:jc w:val="center"/>
              <w:rPr>
                <w:rFonts w:ascii="Arial" w:eastAsia="Times New Roman" w:hAnsi="Arial" w:cs="Arial"/>
                <w:sz w:val="18"/>
                <w:szCs w:val="18"/>
              </w:rPr>
            </w:pPr>
            <w:r w:rsidRPr="0005163A">
              <w:rPr>
                <w:rFonts w:ascii="Arial" w:eastAsia="Times New Roman" w:hAnsi="Arial" w:cs="Arial"/>
                <w:sz w:val="18"/>
                <w:szCs w:val="18"/>
              </w:rPr>
              <w:t>706</w:t>
            </w:r>
          </w:p>
        </w:tc>
        <w:tc>
          <w:tcPr>
            <w:tcW w:w="1080" w:type="dxa"/>
            <w:tcBorders>
              <w:top w:val="single" w:sz="4" w:space="0" w:color="auto"/>
              <w:left w:val="nil"/>
              <w:bottom w:val="single" w:sz="8" w:space="0" w:color="auto"/>
              <w:right w:val="single" w:sz="8" w:space="0" w:color="auto"/>
            </w:tcBorders>
            <w:noWrap/>
            <w:vAlign w:val="center"/>
            <w:hideMark/>
          </w:tcPr>
          <w:p w:rsidR="0005163A" w:rsidRPr="0005163A" w:rsidP="0005163A" w14:paraId="76A0F538" w14:textId="77777777">
            <w:pPr>
              <w:spacing w:after="0" w:line="240" w:lineRule="auto"/>
              <w:jc w:val="right"/>
              <w:rPr>
                <w:rFonts w:ascii="Arial" w:eastAsia="Times New Roman" w:hAnsi="Arial" w:cs="Arial"/>
                <w:sz w:val="18"/>
                <w:szCs w:val="18"/>
              </w:rPr>
            </w:pPr>
            <w:r w:rsidRPr="0005163A">
              <w:rPr>
                <w:rFonts w:ascii="Arial" w:eastAsia="Times New Roman" w:hAnsi="Arial" w:cs="Arial"/>
                <w:sz w:val="18"/>
                <w:szCs w:val="18"/>
              </w:rPr>
              <w:t xml:space="preserve">$39,300 </w:t>
            </w:r>
          </w:p>
        </w:tc>
      </w:tr>
      <w:tr w14:paraId="3A09A72A" w14:textId="77777777" w:rsidTr="00317E39">
        <w:tblPrEx>
          <w:tblW w:w="12960" w:type="dxa"/>
          <w:tblInd w:w="108" w:type="dxa"/>
          <w:tblLook w:val="04A0"/>
        </w:tblPrEx>
        <w:trPr>
          <w:trHeight w:val="315"/>
        </w:trPr>
        <w:tc>
          <w:tcPr>
            <w:tcW w:w="4120" w:type="dxa"/>
            <w:tcBorders>
              <w:top w:val="single" w:sz="8" w:space="0" w:color="auto"/>
              <w:bottom w:val="nil"/>
              <w:right w:val="nil"/>
            </w:tcBorders>
            <w:noWrap/>
            <w:vAlign w:val="bottom"/>
            <w:hideMark/>
          </w:tcPr>
          <w:p w:rsidR="0005163A" w:rsidRPr="0005163A" w:rsidP="0005163A" w14:paraId="5F4348BF" w14:textId="77777777">
            <w:pPr>
              <w:spacing w:after="0" w:line="240" w:lineRule="auto"/>
              <w:jc w:val="right"/>
              <w:rPr>
                <w:rFonts w:ascii="Arial" w:eastAsia="Times New Roman" w:hAnsi="Arial" w:cs="Arial"/>
                <w:sz w:val="18"/>
                <w:szCs w:val="18"/>
              </w:rPr>
            </w:pPr>
          </w:p>
        </w:tc>
        <w:tc>
          <w:tcPr>
            <w:tcW w:w="1080" w:type="dxa"/>
            <w:tcBorders>
              <w:top w:val="single" w:sz="8" w:space="0" w:color="auto"/>
              <w:left w:val="nil"/>
              <w:bottom w:val="nil"/>
              <w:right w:val="nil"/>
            </w:tcBorders>
            <w:noWrap/>
            <w:vAlign w:val="bottom"/>
            <w:hideMark/>
          </w:tcPr>
          <w:p w:rsidR="0005163A" w:rsidRPr="0005163A" w:rsidP="0005163A" w14:paraId="334AA5F3" w14:textId="77777777">
            <w:pPr>
              <w:spacing w:after="0" w:line="240" w:lineRule="auto"/>
              <w:rPr>
                <w:rFonts w:ascii="Times New Roman" w:eastAsia="Times New Roman" w:hAnsi="Times New Roman" w:cs="Times New Roman"/>
                <w:sz w:val="20"/>
                <w:szCs w:val="20"/>
              </w:rPr>
            </w:pPr>
          </w:p>
        </w:tc>
        <w:tc>
          <w:tcPr>
            <w:tcW w:w="1120" w:type="dxa"/>
            <w:tcBorders>
              <w:top w:val="single" w:sz="8" w:space="0" w:color="auto"/>
              <w:left w:val="nil"/>
              <w:bottom w:val="nil"/>
              <w:right w:val="nil"/>
            </w:tcBorders>
            <w:noWrap/>
            <w:vAlign w:val="bottom"/>
            <w:hideMark/>
          </w:tcPr>
          <w:p w:rsidR="0005163A" w:rsidRPr="0005163A" w:rsidP="0005163A" w14:paraId="51CD1798" w14:textId="77777777">
            <w:pPr>
              <w:spacing w:after="0" w:line="240" w:lineRule="auto"/>
              <w:rPr>
                <w:rFonts w:ascii="Times New Roman" w:eastAsia="Times New Roman" w:hAnsi="Times New Roman" w:cs="Times New Roman"/>
                <w:sz w:val="20"/>
                <w:szCs w:val="20"/>
              </w:rPr>
            </w:pPr>
          </w:p>
        </w:tc>
        <w:tc>
          <w:tcPr>
            <w:tcW w:w="1160" w:type="dxa"/>
            <w:tcBorders>
              <w:top w:val="single" w:sz="8" w:space="0" w:color="auto"/>
              <w:left w:val="nil"/>
              <w:bottom w:val="nil"/>
              <w:right w:val="nil"/>
            </w:tcBorders>
            <w:noWrap/>
            <w:vAlign w:val="bottom"/>
            <w:hideMark/>
          </w:tcPr>
          <w:p w:rsidR="0005163A" w:rsidRPr="0005163A" w:rsidP="0005163A" w14:paraId="440F0486" w14:textId="77777777">
            <w:pPr>
              <w:spacing w:after="0" w:line="240" w:lineRule="auto"/>
              <w:jc w:val="center"/>
              <w:rPr>
                <w:rFonts w:ascii="Times New Roman" w:eastAsia="Times New Roman" w:hAnsi="Times New Roman" w:cs="Times New Roman"/>
                <w:sz w:val="20"/>
                <w:szCs w:val="20"/>
              </w:rPr>
            </w:pPr>
          </w:p>
        </w:tc>
        <w:tc>
          <w:tcPr>
            <w:tcW w:w="1460" w:type="dxa"/>
            <w:tcBorders>
              <w:top w:val="single" w:sz="8" w:space="0" w:color="auto"/>
              <w:left w:val="nil"/>
              <w:bottom w:val="nil"/>
              <w:right w:val="nil"/>
            </w:tcBorders>
            <w:noWrap/>
            <w:vAlign w:val="bottom"/>
            <w:hideMark/>
          </w:tcPr>
          <w:p w:rsidR="0005163A" w:rsidRPr="0005163A" w:rsidP="0005163A" w14:paraId="0F2D6E83" w14:textId="77777777">
            <w:pPr>
              <w:spacing w:after="0" w:line="240" w:lineRule="auto"/>
              <w:jc w:val="center"/>
              <w:rPr>
                <w:rFonts w:ascii="Times New Roman" w:eastAsia="Times New Roman" w:hAnsi="Times New Roman" w:cs="Times New Roman"/>
                <w:sz w:val="20"/>
                <w:szCs w:val="20"/>
              </w:rPr>
            </w:pPr>
          </w:p>
        </w:tc>
        <w:tc>
          <w:tcPr>
            <w:tcW w:w="1440" w:type="dxa"/>
            <w:tcBorders>
              <w:top w:val="single" w:sz="8" w:space="0" w:color="auto"/>
              <w:left w:val="nil"/>
              <w:bottom w:val="nil"/>
              <w:right w:val="nil"/>
            </w:tcBorders>
            <w:noWrap/>
            <w:vAlign w:val="bottom"/>
            <w:hideMark/>
          </w:tcPr>
          <w:p w:rsidR="0005163A" w:rsidRPr="0005163A" w:rsidP="0005163A" w14:paraId="5CF5454B" w14:textId="77777777">
            <w:pPr>
              <w:spacing w:after="0" w:line="240" w:lineRule="auto"/>
              <w:jc w:val="right"/>
              <w:rPr>
                <w:rFonts w:ascii="Times New Roman" w:eastAsia="Times New Roman" w:hAnsi="Times New Roman" w:cs="Times New Roman"/>
                <w:sz w:val="20"/>
                <w:szCs w:val="20"/>
              </w:rPr>
            </w:pPr>
          </w:p>
        </w:tc>
        <w:tc>
          <w:tcPr>
            <w:tcW w:w="1180" w:type="dxa"/>
            <w:tcBorders>
              <w:top w:val="single" w:sz="8" w:space="0" w:color="auto"/>
              <w:left w:val="nil"/>
              <w:bottom w:val="nil"/>
              <w:right w:val="nil"/>
            </w:tcBorders>
            <w:noWrap/>
            <w:vAlign w:val="bottom"/>
            <w:hideMark/>
          </w:tcPr>
          <w:p w:rsidR="0005163A" w:rsidRPr="0005163A" w:rsidP="0005163A" w14:paraId="487046CE" w14:textId="77777777">
            <w:pPr>
              <w:spacing w:after="0" w:line="240" w:lineRule="auto"/>
              <w:jc w:val="right"/>
              <w:rPr>
                <w:rFonts w:ascii="Times New Roman" w:eastAsia="Times New Roman" w:hAnsi="Times New Roman" w:cs="Times New Roman"/>
                <w:sz w:val="20"/>
                <w:szCs w:val="20"/>
              </w:rPr>
            </w:pPr>
          </w:p>
        </w:tc>
        <w:tc>
          <w:tcPr>
            <w:tcW w:w="1320" w:type="dxa"/>
            <w:tcBorders>
              <w:top w:val="single" w:sz="8" w:space="0" w:color="auto"/>
              <w:left w:val="nil"/>
              <w:bottom w:val="nil"/>
              <w:right w:val="nil"/>
            </w:tcBorders>
            <w:noWrap/>
            <w:vAlign w:val="bottom"/>
            <w:hideMark/>
          </w:tcPr>
          <w:p w:rsidR="0005163A" w:rsidRPr="0005163A" w:rsidP="0005163A" w14:paraId="165930A5" w14:textId="77777777">
            <w:pPr>
              <w:spacing w:after="0" w:line="240" w:lineRule="auto"/>
              <w:jc w:val="right"/>
              <w:rPr>
                <w:rFonts w:ascii="Times New Roman" w:eastAsia="Times New Roman" w:hAnsi="Times New Roman" w:cs="Times New Roman"/>
                <w:sz w:val="20"/>
                <w:szCs w:val="20"/>
              </w:rPr>
            </w:pPr>
          </w:p>
        </w:tc>
        <w:tc>
          <w:tcPr>
            <w:tcW w:w="1080" w:type="dxa"/>
            <w:tcBorders>
              <w:top w:val="single" w:sz="8" w:space="0" w:color="auto"/>
              <w:left w:val="nil"/>
              <w:bottom w:val="nil"/>
              <w:right w:val="nil"/>
            </w:tcBorders>
            <w:noWrap/>
            <w:vAlign w:val="bottom"/>
            <w:hideMark/>
          </w:tcPr>
          <w:p w:rsidR="0005163A" w:rsidRPr="0005163A" w:rsidP="0005163A" w14:paraId="76ABDB51" w14:textId="77777777">
            <w:pPr>
              <w:spacing w:after="0" w:line="240" w:lineRule="auto"/>
              <w:jc w:val="right"/>
              <w:rPr>
                <w:rFonts w:ascii="Times New Roman" w:eastAsia="Times New Roman" w:hAnsi="Times New Roman" w:cs="Times New Roman"/>
                <w:sz w:val="20"/>
                <w:szCs w:val="20"/>
              </w:rPr>
            </w:pPr>
          </w:p>
        </w:tc>
      </w:tr>
      <w:tr w14:paraId="5FCBC8E2" w14:textId="77777777" w:rsidTr="00317E39">
        <w:tblPrEx>
          <w:tblW w:w="12960" w:type="dxa"/>
          <w:tblInd w:w="108" w:type="dxa"/>
          <w:tblLook w:val="04A0"/>
        </w:tblPrEx>
        <w:trPr>
          <w:trHeight w:val="315"/>
        </w:trPr>
        <w:tc>
          <w:tcPr>
            <w:tcW w:w="4120" w:type="dxa"/>
            <w:tcBorders>
              <w:top w:val="nil"/>
              <w:bottom w:val="nil"/>
              <w:right w:val="nil"/>
            </w:tcBorders>
            <w:noWrap/>
            <w:vAlign w:val="bottom"/>
            <w:hideMark/>
          </w:tcPr>
          <w:p w:rsidR="0005163A" w:rsidRPr="0005163A" w:rsidP="0005163A" w14:paraId="1F5ED019" w14:textId="77777777">
            <w:pPr>
              <w:spacing w:after="0" w:line="240" w:lineRule="auto"/>
              <w:rPr>
                <w:rFonts w:ascii="Arial" w:eastAsia="Times New Roman" w:hAnsi="Arial" w:cs="Arial"/>
                <w:sz w:val="16"/>
                <w:szCs w:val="16"/>
              </w:rPr>
            </w:pPr>
            <w:r w:rsidRPr="0005163A">
              <w:rPr>
                <w:rFonts w:ascii="Arial" w:eastAsia="Times New Roman" w:hAnsi="Arial" w:cs="Arial"/>
                <w:sz w:val="16"/>
                <w:szCs w:val="16"/>
              </w:rPr>
              <w:t>FOOTNOTES</w:t>
            </w:r>
          </w:p>
        </w:tc>
        <w:tc>
          <w:tcPr>
            <w:tcW w:w="1080" w:type="dxa"/>
            <w:tcBorders>
              <w:top w:val="nil"/>
              <w:left w:val="nil"/>
              <w:bottom w:val="nil"/>
              <w:right w:val="nil"/>
            </w:tcBorders>
            <w:noWrap/>
            <w:vAlign w:val="bottom"/>
            <w:hideMark/>
          </w:tcPr>
          <w:p w:rsidR="0005163A" w:rsidRPr="0005163A" w:rsidP="0005163A" w14:paraId="136220C2" w14:textId="77777777">
            <w:pPr>
              <w:spacing w:after="0" w:line="240" w:lineRule="auto"/>
              <w:rPr>
                <w:rFonts w:ascii="Arial" w:eastAsia="Times New Roman" w:hAnsi="Arial" w:cs="Arial"/>
                <w:sz w:val="16"/>
                <w:szCs w:val="16"/>
              </w:rPr>
            </w:pPr>
          </w:p>
        </w:tc>
        <w:tc>
          <w:tcPr>
            <w:tcW w:w="1120" w:type="dxa"/>
            <w:tcBorders>
              <w:top w:val="nil"/>
              <w:left w:val="nil"/>
              <w:bottom w:val="nil"/>
              <w:right w:val="nil"/>
            </w:tcBorders>
            <w:noWrap/>
            <w:vAlign w:val="bottom"/>
            <w:hideMark/>
          </w:tcPr>
          <w:p w:rsidR="0005163A" w:rsidRPr="0005163A" w:rsidP="0005163A" w14:paraId="368F6581" w14:textId="7777777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rsidR="0005163A" w:rsidRPr="0005163A" w:rsidP="0005163A" w14:paraId="3635D417" w14:textId="77777777">
            <w:pPr>
              <w:spacing w:after="0" w:line="240" w:lineRule="auto"/>
              <w:jc w:val="center"/>
              <w:rPr>
                <w:rFonts w:ascii="Times New Roman" w:eastAsia="Times New Roman" w:hAnsi="Times New Roman" w:cs="Times New Roman"/>
                <w:sz w:val="20"/>
                <w:szCs w:val="20"/>
              </w:rPr>
            </w:pPr>
          </w:p>
        </w:tc>
        <w:tc>
          <w:tcPr>
            <w:tcW w:w="1460" w:type="dxa"/>
            <w:tcBorders>
              <w:top w:val="nil"/>
              <w:left w:val="nil"/>
              <w:bottom w:val="nil"/>
              <w:right w:val="nil"/>
            </w:tcBorders>
            <w:noWrap/>
            <w:vAlign w:val="bottom"/>
            <w:hideMark/>
          </w:tcPr>
          <w:p w:rsidR="0005163A" w:rsidRPr="0005163A" w:rsidP="0005163A" w14:paraId="4A16421C" w14:textId="77777777">
            <w:pPr>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noWrap/>
            <w:vAlign w:val="bottom"/>
            <w:hideMark/>
          </w:tcPr>
          <w:p w:rsidR="0005163A" w:rsidRPr="0005163A" w:rsidP="0005163A" w14:paraId="52F2F826" w14:textId="77777777">
            <w:pPr>
              <w:spacing w:after="0" w:line="240" w:lineRule="auto"/>
              <w:jc w:val="right"/>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rsidR="0005163A" w:rsidRPr="0005163A" w:rsidP="0005163A" w14:paraId="4E26AAB0" w14:textId="77777777">
            <w:pPr>
              <w:spacing w:after="0" w:line="240" w:lineRule="auto"/>
              <w:jc w:val="right"/>
              <w:rPr>
                <w:rFonts w:ascii="Times New Roman" w:eastAsia="Times New Roman" w:hAnsi="Times New Roman" w:cs="Times New Roman"/>
                <w:sz w:val="20"/>
                <w:szCs w:val="20"/>
              </w:rPr>
            </w:pPr>
          </w:p>
        </w:tc>
        <w:tc>
          <w:tcPr>
            <w:tcW w:w="1320" w:type="dxa"/>
            <w:tcBorders>
              <w:top w:val="nil"/>
              <w:left w:val="nil"/>
              <w:bottom w:val="nil"/>
              <w:right w:val="nil"/>
            </w:tcBorders>
            <w:noWrap/>
            <w:vAlign w:val="bottom"/>
            <w:hideMark/>
          </w:tcPr>
          <w:p w:rsidR="0005163A" w:rsidRPr="0005163A" w:rsidP="0005163A" w14:paraId="3C6EF675" w14:textId="77777777">
            <w:pPr>
              <w:spacing w:after="0" w:line="240" w:lineRule="auto"/>
              <w:jc w:val="right"/>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rsidR="0005163A" w:rsidRPr="0005163A" w:rsidP="0005163A" w14:paraId="07F1BC27" w14:textId="77777777">
            <w:pPr>
              <w:spacing w:after="0" w:line="240" w:lineRule="auto"/>
              <w:jc w:val="right"/>
              <w:rPr>
                <w:rFonts w:ascii="Times New Roman" w:eastAsia="Times New Roman" w:hAnsi="Times New Roman" w:cs="Times New Roman"/>
                <w:sz w:val="20"/>
                <w:szCs w:val="20"/>
              </w:rPr>
            </w:pPr>
          </w:p>
        </w:tc>
      </w:tr>
      <w:tr w14:paraId="4C0131F7" w14:textId="77777777" w:rsidTr="00317E39">
        <w:tblPrEx>
          <w:tblW w:w="12960" w:type="dxa"/>
          <w:tblInd w:w="108" w:type="dxa"/>
          <w:tblLook w:val="04A0"/>
        </w:tblPrEx>
        <w:trPr>
          <w:trHeight w:val="228"/>
        </w:trPr>
        <w:tc>
          <w:tcPr>
            <w:tcW w:w="13960" w:type="dxa"/>
            <w:gridSpan w:val="9"/>
            <w:tcBorders>
              <w:top w:val="nil"/>
              <w:bottom w:val="nil"/>
              <w:right w:val="nil"/>
            </w:tcBorders>
            <w:noWrap/>
            <w:vAlign w:val="bottom"/>
            <w:hideMark/>
          </w:tcPr>
          <w:p w:rsidR="0005163A" w:rsidRPr="0005163A" w:rsidP="0005163A" w14:paraId="27E66018" w14:textId="77777777">
            <w:pPr>
              <w:spacing w:after="0" w:line="240" w:lineRule="auto"/>
              <w:rPr>
                <w:rFonts w:ascii="Arial" w:eastAsia="Times New Roman" w:hAnsi="Arial" w:cs="Arial"/>
                <w:color w:val="000000"/>
                <w:sz w:val="16"/>
                <w:szCs w:val="16"/>
              </w:rPr>
            </w:pPr>
            <w:r w:rsidRPr="0005163A">
              <w:rPr>
                <w:rFonts w:ascii="Arial" w:eastAsia="Times New Roman" w:hAnsi="Arial" w:cs="Arial"/>
                <w:color w:val="000000"/>
                <w:sz w:val="16"/>
                <w:szCs w:val="16"/>
                <w:vertAlign w:val="superscript"/>
              </w:rPr>
              <w:t>a</w:t>
            </w:r>
            <w:r w:rsidRPr="0005163A">
              <w:rPr>
                <w:rFonts w:ascii="Arial" w:eastAsia="Times New Roman" w:hAnsi="Arial" w:cs="Arial"/>
                <w:color w:val="000000"/>
                <w:sz w:val="16"/>
                <w:szCs w:val="16"/>
              </w:rPr>
              <w:t xml:space="preserve">Assumes that, over the next three years, approximately 13 respondents per year will be subject to the standard, and no additional respondents per year will become subject to the standard. </w:t>
            </w:r>
          </w:p>
        </w:tc>
      </w:tr>
      <w:tr w14:paraId="7EDD03B6" w14:textId="77777777" w:rsidTr="00317E39">
        <w:tblPrEx>
          <w:tblW w:w="12960" w:type="dxa"/>
          <w:tblInd w:w="108" w:type="dxa"/>
          <w:tblLook w:val="04A0"/>
        </w:tblPrEx>
        <w:trPr>
          <w:trHeight w:val="648"/>
        </w:trPr>
        <w:tc>
          <w:tcPr>
            <w:tcW w:w="13960" w:type="dxa"/>
            <w:gridSpan w:val="9"/>
            <w:tcBorders>
              <w:top w:val="nil"/>
              <w:bottom w:val="nil"/>
              <w:right w:val="nil"/>
            </w:tcBorders>
            <w:hideMark/>
          </w:tcPr>
          <w:p w:rsidR="0005163A" w:rsidRPr="0005163A" w:rsidP="0005163A" w14:paraId="64E6A1E0" w14:textId="6495350F">
            <w:pPr>
              <w:spacing w:after="0" w:line="240" w:lineRule="auto"/>
              <w:rPr>
                <w:rFonts w:ascii="Arial" w:eastAsia="Times New Roman" w:hAnsi="Arial" w:cs="Arial"/>
                <w:color w:val="000000"/>
                <w:sz w:val="16"/>
                <w:szCs w:val="16"/>
              </w:rPr>
            </w:pPr>
            <w:r w:rsidRPr="0005163A">
              <w:rPr>
                <w:rFonts w:ascii="Arial" w:eastAsia="Times New Roman" w:hAnsi="Arial" w:cs="Arial"/>
                <w:color w:val="000000"/>
                <w:sz w:val="16"/>
                <w:szCs w:val="16"/>
                <w:vertAlign w:val="superscript"/>
              </w:rPr>
              <w:t>b</w:t>
            </w:r>
            <w:r w:rsidR="00736C45">
              <w:rPr>
                <w:rFonts w:ascii="Arial" w:eastAsia="Times New Roman" w:hAnsi="Arial" w:cs="Arial"/>
                <w:color w:val="000000"/>
                <w:sz w:val="16"/>
                <w:szCs w:val="16"/>
                <w:vertAlign w:val="superscript"/>
              </w:rPr>
              <w:t xml:space="preserve"> </w:t>
            </w:r>
            <w:r w:rsidRPr="0005163A">
              <w:rPr>
                <w:rFonts w:ascii="Arial" w:eastAsia="Times New Roman" w:hAnsi="Arial" w:cs="Arial"/>
                <w:color w:val="000000"/>
                <w:sz w:val="16"/>
                <w:szCs w:val="16"/>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73B24901" w14:textId="77777777" w:rsidTr="00317E39">
        <w:tblPrEx>
          <w:tblW w:w="12960" w:type="dxa"/>
          <w:tblInd w:w="108" w:type="dxa"/>
          <w:tblLook w:val="04A0"/>
        </w:tblPrEx>
        <w:trPr>
          <w:trHeight w:val="315"/>
        </w:trPr>
        <w:tc>
          <w:tcPr>
            <w:tcW w:w="13960" w:type="dxa"/>
            <w:gridSpan w:val="9"/>
            <w:tcBorders>
              <w:top w:val="nil"/>
              <w:bottom w:val="nil"/>
              <w:right w:val="nil"/>
            </w:tcBorders>
            <w:noWrap/>
            <w:vAlign w:val="bottom"/>
            <w:hideMark/>
          </w:tcPr>
          <w:p w:rsidR="0005163A" w:rsidRPr="0005163A" w:rsidP="0005163A" w14:paraId="7FE44830" w14:textId="77777777">
            <w:pPr>
              <w:spacing w:after="0" w:line="240" w:lineRule="auto"/>
              <w:rPr>
                <w:rFonts w:ascii="Arial" w:eastAsia="Times New Roman" w:hAnsi="Arial" w:cs="Arial"/>
                <w:sz w:val="16"/>
                <w:szCs w:val="16"/>
              </w:rPr>
            </w:pPr>
            <w:r w:rsidRPr="0005163A">
              <w:rPr>
                <w:rFonts w:ascii="Arial" w:eastAsia="Times New Roman" w:hAnsi="Arial" w:cs="Arial"/>
                <w:sz w:val="16"/>
                <w:szCs w:val="16"/>
                <w:vertAlign w:val="superscript"/>
              </w:rPr>
              <w:t>c</w:t>
            </w:r>
            <w:r w:rsidRPr="0005163A">
              <w:rPr>
                <w:rFonts w:ascii="Arial" w:eastAsia="Times New Roman" w:hAnsi="Arial" w:cs="Arial"/>
                <w:sz w:val="16"/>
                <w:szCs w:val="16"/>
              </w:rPr>
              <w:t>Assumes EPA personnel attend 20 percent of the initial process vent stack tests.</w:t>
            </w:r>
          </w:p>
        </w:tc>
      </w:tr>
      <w:tr w14:paraId="4D5A0EDB" w14:textId="77777777" w:rsidTr="00317E39">
        <w:tblPrEx>
          <w:tblW w:w="12960" w:type="dxa"/>
          <w:tblInd w:w="108" w:type="dxa"/>
          <w:tblLook w:val="04A0"/>
        </w:tblPrEx>
        <w:trPr>
          <w:trHeight w:val="315"/>
        </w:trPr>
        <w:tc>
          <w:tcPr>
            <w:tcW w:w="13960" w:type="dxa"/>
            <w:gridSpan w:val="9"/>
            <w:tcBorders>
              <w:top w:val="nil"/>
              <w:bottom w:val="nil"/>
              <w:right w:val="nil"/>
            </w:tcBorders>
            <w:noWrap/>
            <w:vAlign w:val="bottom"/>
            <w:hideMark/>
          </w:tcPr>
          <w:p w:rsidR="0005163A" w:rsidRPr="0005163A" w:rsidP="0005163A" w14:paraId="19A7970A" w14:textId="77777777">
            <w:pPr>
              <w:spacing w:after="0" w:line="240" w:lineRule="auto"/>
              <w:rPr>
                <w:rFonts w:ascii="Arial" w:eastAsia="Times New Roman" w:hAnsi="Arial" w:cs="Arial"/>
                <w:color w:val="000000"/>
                <w:sz w:val="16"/>
                <w:szCs w:val="16"/>
              </w:rPr>
            </w:pPr>
            <w:r w:rsidRPr="0005163A">
              <w:rPr>
                <w:rFonts w:ascii="Arial" w:eastAsia="Times New Roman" w:hAnsi="Arial" w:cs="Arial"/>
                <w:color w:val="000000"/>
                <w:sz w:val="16"/>
                <w:szCs w:val="16"/>
                <w:vertAlign w:val="superscript"/>
              </w:rPr>
              <w:t>d</w:t>
            </w:r>
            <w:r w:rsidRPr="0005163A">
              <w:rPr>
                <w:rFonts w:ascii="Arial" w:eastAsia="Times New Roman" w:hAnsi="Arial" w:cs="Arial"/>
                <w:color w:val="000000"/>
                <w:sz w:val="16"/>
                <w:szCs w:val="16"/>
              </w:rPr>
              <w:t>Assume 10% of major source facilities (13) have emission exceedances.</w:t>
            </w:r>
          </w:p>
        </w:tc>
      </w:tr>
      <w:tr w14:paraId="6F986FC3" w14:textId="77777777" w:rsidTr="00317E39">
        <w:tblPrEx>
          <w:tblW w:w="12960" w:type="dxa"/>
          <w:tblInd w:w="108" w:type="dxa"/>
          <w:tblLook w:val="04A0"/>
        </w:tblPrEx>
        <w:trPr>
          <w:trHeight w:val="315"/>
        </w:trPr>
        <w:tc>
          <w:tcPr>
            <w:tcW w:w="13960" w:type="dxa"/>
            <w:gridSpan w:val="9"/>
            <w:tcBorders>
              <w:top w:val="nil"/>
              <w:bottom w:val="nil"/>
              <w:right w:val="nil"/>
            </w:tcBorders>
            <w:noWrap/>
            <w:vAlign w:val="bottom"/>
            <w:hideMark/>
          </w:tcPr>
          <w:p w:rsidR="0005163A" w:rsidRPr="0005163A" w:rsidP="0005163A" w14:paraId="12F8D88E" w14:textId="77777777">
            <w:pPr>
              <w:spacing w:after="0" w:line="240" w:lineRule="auto"/>
              <w:rPr>
                <w:rFonts w:ascii="Arial" w:eastAsia="Times New Roman" w:hAnsi="Arial" w:cs="Arial"/>
                <w:color w:val="000000"/>
                <w:sz w:val="16"/>
                <w:szCs w:val="16"/>
              </w:rPr>
            </w:pPr>
            <w:r w:rsidRPr="0005163A">
              <w:rPr>
                <w:rFonts w:ascii="Arial" w:eastAsia="Times New Roman" w:hAnsi="Arial" w:cs="Arial"/>
                <w:color w:val="000000"/>
                <w:sz w:val="16"/>
                <w:szCs w:val="16"/>
                <w:vertAlign w:val="superscript"/>
              </w:rPr>
              <w:t>e</w:t>
            </w:r>
            <w:r w:rsidRPr="0005163A">
              <w:rPr>
                <w:rFonts w:ascii="Arial" w:eastAsia="Times New Roman" w:hAnsi="Arial" w:cs="Arial"/>
                <w:color w:val="000000"/>
                <w:sz w:val="16"/>
                <w:szCs w:val="16"/>
              </w:rPr>
              <w:t>Assumes four hours per state (6 states) to write annual summary report.</w:t>
            </w:r>
          </w:p>
        </w:tc>
      </w:tr>
      <w:tr w14:paraId="364F8166" w14:textId="77777777" w:rsidTr="00317E39">
        <w:tblPrEx>
          <w:tblW w:w="12960" w:type="dxa"/>
          <w:tblInd w:w="108" w:type="dxa"/>
          <w:tblLook w:val="04A0"/>
        </w:tblPrEx>
        <w:trPr>
          <w:trHeight w:val="315"/>
        </w:trPr>
        <w:tc>
          <w:tcPr>
            <w:tcW w:w="13960" w:type="dxa"/>
            <w:gridSpan w:val="9"/>
            <w:tcBorders>
              <w:top w:val="nil"/>
              <w:bottom w:val="nil"/>
              <w:right w:val="nil"/>
            </w:tcBorders>
            <w:noWrap/>
            <w:vAlign w:val="bottom"/>
            <w:hideMark/>
          </w:tcPr>
          <w:p w:rsidR="0005163A" w:rsidRPr="0005163A" w:rsidP="0005163A" w14:paraId="4604842D" w14:textId="5EFB1C38">
            <w:pPr>
              <w:spacing w:after="0" w:line="240" w:lineRule="auto"/>
              <w:rPr>
                <w:rFonts w:ascii="Arial" w:eastAsia="Times New Roman" w:hAnsi="Arial" w:cs="Arial"/>
                <w:color w:val="000000"/>
                <w:sz w:val="16"/>
                <w:szCs w:val="16"/>
              </w:rPr>
            </w:pPr>
            <w:r w:rsidRPr="0005163A">
              <w:rPr>
                <w:rFonts w:ascii="Arial" w:eastAsia="Times New Roman" w:hAnsi="Arial" w:cs="Arial"/>
                <w:color w:val="000000"/>
                <w:sz w:val="16"/>
                <w:szCs w:val="16"/>
                <w:vertAlign w:val="superscript"/>
              </w:rPr>
              <w:t>f</w:t>
            </w:r>
            <w:r w:rsidRPr="0005163A">
              <w:rPr>
                <w:rFonts w:ascii="Arial" w:eastAsia="Times New Roman" w:hAnsi="Arial" w:cs="Arial"/>
                <w:color w:val="000000"/>
                <w:sz w:val="16"/>
                <w:szCs w:val="16"/>
              </w:rPr>
              <w:t>Totals have been rounded to 3 significant figures.</w:t>
            </w:r>
            <w:r w:rsidR="00736C45">
              <w:rPr>
                <w:rFonts w:ascii="Arial" w:eastAsia="Times New Roman" w:hAnsi="Arial" w:cs="Arial"/>
                <w:color w:val="000000"/>
                <w:sz w:val="16"/>
                <w:szCs w:val="16"/>
              </w:rPr>
              <w:t xml:space="preserve"> </w:t>
            </w:r>
            <w:r w:rsidRPr="0005163A">
              <w:rPr>
                <w:rFonts w:ascii="Arial" w:eastAsia="Times New Roman" w:hAnsi="Arial" w:cs="Arial"/>
                <w:color w:val="000000"/>
                <w:sz w:val="16"/>
                <w:szCs w:val="16"/>
              </w:rPr>
              <w:t>Figures may not add exactly due to rounding.</w:t>
            </w:r>
          </w:p>
        </w:tc>
      </w:tr>
    </w:tbl>
    <w:p w:rsidR="00D84A36" w:rsidP="001641AA" w14:paraId="3F6E0A3D" w14:textId="7BE5F6F3">
      <w:pPr>
        <w:spacing w:before="240"/>
        <w:rPr>
          <w:rFonts w:cstheme="minorHAnsi"/>
          <w:b/>
          <w:bCs/>
          <w:sz w:val="24"/>
          <w:szCs w:val="24"/>
        </w:rPr>
      </w:pPr>
    </w:p>
    <w:p w:rsidR="00D84A36" w14:paraId="403FD07F" w14:textId="77777777">
      <w:pPr>
        <w:rPr>
          <w:rFonts w:cstheme="minorHAnsi"/>
          <w:b/>
          <w:bCs/>
          <w:sz w:val="24"/>
          <w:szCs w:val="24"/>
        </w:rPr>
      </w:pPr>
      <w:r>
        <w:rPr>
          <w:rFonts w:cstheme="minorHAnsi"/>
          <w:b/>
          <w:bCs/>
          <w:sz w:val="24"/>
          <w:szCs w:val="24"/>
        </w:rPr>
        <w:br w:type="page"/>
      </w:r>
    </w:p>
    <w:tbl>
      <w:tblPr>
        <w:tblW w:w="13340" w:type="dxa"/>
        <w:tblInd w:w="113" w:type="dxa"/>
        <w:tblLook w:val="04A0"/>
      </w:tblPr>
      <w:tblGrid>
        <w:gridCol w:w="1460"/>
        <w:gridCol w:w="1980"/>
        <w:gridCol w:w="1880"/>
        <w:gridCol w:w="2280"/>
        <w:gridCol w:w="3340"/>
        <w:gridCol w:w="2400"/>
      </w:tblGrid>
      <w:tr w14:paraId="09AF70B3" w14:textId="77777777" w:rsidTr="00D84A36">
        <w:tblPrEx>
          <w:tblW w:w="13340" w:type="dxa"/>
          <w:tblInd w:w="113" w:type="dxa"/>
          <w:tblLook w:val="04A0"/>
        </w:tblPrEx>
        <w:trPr>
          <w:trHeight w:val="315"/>
        </w:trPr>
        <w:tc>
          <w:tcPr>
            <w:tcW w:w="13340" w:type="dxa"/>
            <w:gridSpan w:val="6"/>
            <w:tcBorders>
              <w:top w:val="single" w:sz="4" w:space="0" w:color="auto"/>
              <w:left w:val="single" w:sz="4" w:space="0" w:color="auto"/>
              <w:bottom w:val="single" w:sz="4" w:space="0" w:color="auto"/>
              <w:right w:val="single" w:sz="4" w:space="0" w:color="auto"/>
            </w:tcBorders>
            <w:vAlign w:val="center"/>
            <w:hideMark/>
          </w:tcPr>
          <w:p w:rsidR="00D84A36" w:rsidRPr="00D84A36" w:rsidP="00D84A36" w14:paraId="75AD0540" w14:textId="77777777">
            <w:pPr>
              <w:spacing w:after="0" w:line="240" w:lineRule="auto"/>
              <w:jc w:val="center"/>
              <w:rPr>
                <w:rFonts w:ascii="Times New Roman" w:eastAsia="Times New Roman" w:hAnsi="Times New Roman" w:cs="Times New Roman"/>
                <w:b/>
                <w:bCs/>
                <w:color w:val="000000"/>
                <w:sz w:val="24"/>
                <w:szCs w:val="24"/>
              </w:rPr>
            </w:pPr>
            <w:r w:rsidRPr="00D84A36">
              <w:rPr>
                <w:rFonts w:ascii="Times New Roman" w:eastAsia="Times New Roman" w:hAnsi="Times New Roman" w:cs="Times New Roman"/>
                <w:b/>
                <w:bCs/>
                <w:color w:val="000000"/>
                <w:sz w:val="24"/>
                <w:szCs w:val="24"/>
              </w:rPr>
              <w:t>Number of Respondents</w:t>
            </w:r>
          </w:p>
        </w:tc>
      </w:tr>
      <w:tr w14:paraId="026D0F37" w14:textId="77777777" w:rsidTr="00D84A36">
        <w:tblPrEx>
          <w:tblW w:w="13340" w:type="dxa"/>
          <w:tblInd w:w="113" w:type="dxa"/>
          <w:tblLook w:val="04A0"/>
        </w:tblPrEx>
        <w:trPr>
          <w:trHeight w:val="510"/>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2A832DAA" w14:textId="77777777">
            <w:pPr>
              <w:spacing w:after="0" w:line="240" w:lineRule="auto"/>
              <w:rPr>
                <w:rFonts w:ascii="Times New Roman" w:eastAsia="Times New Roman" w:hAnsi="Times New Roman" w:cs="Times New Roman"/>
                <w:b/>
                <w:bCs/>
                <w:color w:val="000000"/>
                <w:sz w:val="20"/>
                <w:szCs w:val="20"/>
              </w:rPr>
            </w:pPr>
            <w:r w:rsidRPr="00D84A36">
              <w:rPr>
                <w:rFonts w:ascii="Times New Roman" w:eastAsia="Times New Roman" w:hAnsi="Times New Roman" w:cs="Times New Roman"/>
                <w:b/>
                <w:bCs/>
                <w:color w:val="000000"/>
                <w:sz w:val="20"/>
                <w:szCs w:val="20"/>
              </w:rPr>
              <w:t> </w:t>
            </w:r>
          </w:p>
        </w:tc>
        <w:tc>
          <w:tcPr>
            <w:tcW w:w="3860" w:type="dxa"/>
            <w:gridSpan w:val="2"/>
            <w:tcBorders>
              <w:top w:val="single" w:sz="4" w:space="0" w:color="auto"/>
              <w:left w:val="nil"/>
              <w:bottom w:val="single" w:sz="4" w:space="0" w:color="auto"/>
              <w:right w:val="single" w:sz="4" w:space="0" w:color="auto"/>
            </w:tcBorders>
            <w:vAlign w:val="center"/>
            <w:hideMark/>
          </w:tcPr>
          <w:p w:rsidR="00D84A36" w:rsidRPr="00D84A36" w:rsidP="00D84A36" w14:paraId="057B93CD"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Respondents That Submit Reports</w:t>
            </w:r>
          </w:p>
        </w:tc>
        <w:tc>
          <w:tcPr>
            <w:tcW w:w="2280" w:type="dxa"/>
            <w:tcBorders>
              <w:top w:val="nil"/>
              <w:left w:val="nil"/>
              <w:bottom w:val="single" w:sz="4" w:space="0" w:color="auto"/>
              <w:right w:val="single" w:sz="4" w:space="0" w:color="auto"/>
            </w:tcBorders>
            <w:vAlign w:val="center"/>
            <w:hideMark/>
          </w:tcPr>
          <w:p w:rsidR="00D84A36" w:rsidRPr="00D84A36" w:rsidP="00D84A36" w14:paraId="70E1C60F"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Respondents That Do Not Submit Any Reports</w:t>
            </w:r>
          </w:p>
        </w:tc>
        <w:tc>
          <w:tcPr>
            <w:tcW w:w="3340" w:type="dxa"/>
            <w:tcBorders>
              <w:top w:val="nil"/>
              <w:left w:val="nil"/>
              <w:bottom w:val="single" w:sz="4" w:space="0" w:color="auto"/>
              <w:right w:val="single" w:sz="4" w:space="0" w:color="auto"/>
            </w:tcBorders>
            <w:vAlign w:val="center"/>
            <w:hideMark/>
          </w:tcPr>
          <w:p w:rsidR="00D84A36" w:rsidRPr="00D84A36" w:rsidP="00D84A36" w14:paraId="20781C32"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w:t>
            </w:r>
          </w:p>
        </w:tc>
        <w:tc>
          <w:tcPr>
            <w:tcW w:w="2400" w:type="dxa"/>
            <w:tcBorders>
              <w:top w:val="nil"/>
              <w:left w:val="nil"/>
              <w:bottom w:val="single" w:sz="4" w:space="0" w:color="auto"/>
              <w:right w:val="single" w:sz="4" w:space="0" w:color="auto"/>
            </w:tcBorders>
            <w:vAlign w:val="center"/>
            <w:hideMark/>
          </w:tcPr>
          <w:p w:rsidR="00D84A36" w:rsidRPr="00D84A36" w:rsidP="00D84A36" w14:paraId="3ADE6FA0"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w:t>
            </w:r>
          </w:p>
        </w:tc>
      </w:tr>
      <w:tr w14:paraId="46E3BE53" w14:textId="77777777" w:rsidTr="00D84A36">
        <w:tblPrEx>
          <w:tblW w:w="13340" w:type="dxa"/>
          <w:tblInd w:w="113" w:type="dxa"/>
          <w:tblLook w:val="04A0"/>
        </w:tblPrEx>
        <w:trPr>
          <w:trHeight w:val="255"/>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2CED6C66"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vAlign w:val="center"/>
            <w:hideMark/>
          </w:tcPr>
          <w:p w:rsidR="00D84A36" w:rsidRPr="00D84A36" w:rsidP="00D84A36" w14:paraId="2B646079"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(A)</w:t>
            </w:r>
          </w:p>
        </w:tc>
        <w:tc>
          <w:tcPr>
            <w:tcW w:w="1880" w:type="dxa"/>
            <w:tcBorders>
              <w:top w:val="nil"/>
              <w:left w:val="nil"/>
              <w:bottom w:val="single" w:sz="4" w:space="0" w:color="auto"/>
              <w:right w:val="single" w:sz="4" w:space="0" w:color="auto"/>
            </w:tcBorders>
            <w:vAlign w:val="center"/>
            <w:hideMark/>
          </w:tcPr>
          <w:p w:rsidR="00D84A36" w:rsidRPr="00D84A36" w:rsidP="00D84A36" w14:paraId="44D5BD27"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(B)</w:t>
            </w:r>
          </w:p>
        </w:tc>
        <w:tc>
          <w:tcPr>
            <w:tcW w:w="2280" w:type="dxa"/>
            <w:tcBorders>
              <w:top w:val="nil"/>
              <w:left w:val="nil"/>
              <w:bottom w:val="single" w:sz="4" w:space="0" w:color="auto"/>
              <w:right w:val="single" w:sz="4" w:space="0" w:color="auto"/>
            </w:tcBorders>
            <w:vAlign w:val="center"/>
            <w:hideMark/>
          </w:tcPr>
          <w:p w:rsidR="00D84A36" w:rsidRPr="00D84A36" w:rsidP="00D84A36" w14:paraId="56C647AD"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(C)</w:t>
            </w:r>
          </w:p>
        </w:tc>
        <w:tc>
          <w:tcPr>
            <w:tcW w:w="3340" w:type="dxa"/>
            <w:tcBorders>
              <w:top w:val="nil"/>
              <w:left w:val="nil"/>
              <w:bottom w:val="single" w:sz="4" w:space="0" w:color="auto"/>
              <w:right w:val="single" w:sz="4" w:space="0" w:color="auto"/>
            </w:tcBorders>
            <w:vAlign w:val="center"/>
            <w:hideMark/>
          </w:tcPr>
          <w:p w:rsidR="00D84A36" w:rsidRPr="00D84A36" w:rsidP="00D84A36" w14:paraId="0FB88EC5"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(D)</w:t>
            </w:r>
          </w:p>
        </w:tc>
        <w:tc>
          <w:tcPr>
            <w:tcW w:w="2400" w:type="dxa"/>
            <w:tcBorders>
              <w:top w:val="nil"/>
              <w:left w:val="nil"/>
              <w:bottom w:val="single" w:sz="4" w:space="0" w:color="auto"/>
              <w:right w:val="single" w:sz="4" w:space="0" w:color="auto"/>
            </w:tcBorders>
            <w:vAlign w:val="center"/>
            <w:hideMark/>
          </w:tcPr>
          <w:p w:rsidR="00D84A36" w:rsidRPr="00D84A36" w:rsidP="00D84A36" w14:paraId="3649C3A7"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(E)</w:t>
            </w:r>
          </w:p>
        </w:tc>
      </w:tr>
      <w:tr w14:paraId="31D1D113" w14:textId="77777777" w:rsidTr="00D84A36">
        <w:tblPrEx>
          <w:tblW w:w="13340" w:type="dxa"/>
          <w:tblInd w:w="113" w:type="dxa"/>
          <w:tblLook w:val="04A0"/>
        </w:tblPrEx>
        <w:trPr>
          <w:trHeight w:val="1020"/>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2A095C22"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Year</w:t>
            </w:r>
          </w:p>
        </w:tc>
        <w:tc>
          <w:tcPr>
            <w:tcW w:w="1980" w:type="dxa"/>
            <w:tcBorders>
              <w:top w:val="nil"/>
              <w:left w:val="nil"/>
              <w:bottom w:val="single" w:sz="4" w:space="0" w:color="auto"/>
              <w:right w:val="single" w:sz="4" w:space="0" w:color="auto"/>
            </w:tcBorders>
            <w:vAlign w:val="center"/>
            <w:hideMark/>
          </w:tcPr>
          <w:p w:rsidR="00D84A36" w:rsidRPr="00D84A36" w:rsidP="00D84A36" w14:paraId="44203FFF"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Number of New Respondents </w:t>
            </w:r>
            <w:r w:rsidRPr="00D84A36">
              <w:rPr>
                <w:rFonts w:ascii="Times New Roman" w:eastAsia="Times New Roman" w:hAnsi="Times New Roman" w:cs="Times New Roman"/>
                <w:color w:val="000000"/>
                <w:sz w:val="20"/>
                <w:szCs w:val="20"/>
                <w:vertAlign w:val="superscript"/>
              </w:rPr>
              <w:t>1</w:t>
            </w:r>
          </w:p>
        </w:tc>
        <w:tc>
          <w:tcPr>
            <w:tcW w:w="1880" w:type="dxa"/>
            <w:tcBorders>
              <w:top w:val="nil"/>
              <w:left w:val="nil"/>
              <w:bottom w:val="single" w:sz="4" w:space="0" w:color="auto"/>
              <w:right w:val="single" w:sz="4" w:space="0" w:color="auto"/>
            </w:tcBorders>
            <w:vAlign w:val="center"/>
            <w:hideMark/>
          </w:tcPr>
          <w:p w:rsidR="00D84A36" w:rsidRPr="00D84A36" w:rsidP="00D84A36" w14:paraId="2443E398"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Number of Existing Respondents</w:t>
            </w:r>
          </w:p>
        </w:tc>
        <w:tc>
          <w:tcPr>
            <w:tcW w:w="2280" w:type="dxa"/>
            <w:tcBorders>
              <w:top w:val="nil"/>
              <w:left w:val="nil"/>
              <w:bottom w:val="single" w:sz="4" w:space="0" w:color="auto"/>
              <w:right w:val="single" w:sz="4" w:space="0" w:color="auto"/>
            </w:tcBorders>
            <w:vAlign w:val="center"/>
            <w:hideMark/>
          </w:tcPr>
          <w:p w:rsidR="00D84A36" w:rsidRPr="00D84A36" w:rsidP="00D84A36" w14:paraId="5B7EFC68"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Number of Existing Respondents that keep records but do not submit reports</w:t>
            </w:r>
          </w:p>
        </w:tc>
        <w:tc>
          <w:tcPr>
            <w:tcW w:w="3340" w:type="dxa"/>
            <w:tcBorders>
              <w:top w:val="nil"/>
              <w:left w:val="nil"/>
              <w:bottom w:val="single" w:sz="4" w:space="0" w:color="auto"/>
              <w:right w:val="single" w:sz="4" w:space="0" w:color="auto"/>
            </w:tcBorders>
            <w:vAlign w:val="center"/>
            <w:hideMark/>
          </w:tcPr>
          <w:p w:rsidR="00D84A36" w:rsidRPr="00D84A36" w:rsidP="00D84A36" w14:paraId="31A618D8"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Number of Existing Respondents That Are Also New Respondents</w:t>
            </w:r>
          </w:p>
        </w:tc>
        <w:tc>
          <w:tcPr>
            <w:tcW w:w="2400" w:type="dxa"/>
            <w:tcBorders>
              <w:top w:val="nil"/>
              <w:left w:val="nil"/>
              <w:bottom w:val="single" w:sz="4" w:space="0" w:color="auto"/>
              <w:right w:val="single" w:sz="4" w:space="0" w:color="auto"/>
            </w:tcBorders>
            <w:vAlign w:val="center"/>
            <w:hideMark/>
          </w:tcPr>
          <w:p w:rsidR="00D84A36" w:rsidRPr="00D84A36" w:rsidP="00D84A36" w14:paraId="4C13E1FF"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Number of Respondents</w:t>
            </w:r>
            <w:r w:rsidRPr="00D84A36">
              <w:rPr>
                <w:rFonts w:ascii="Times New Roman" w:eastAsia="Times New Roman" w:hAnsi="Times New Roman" w:cs="Times New Roman"/>
                <w:color w:val="000000"/>
                <w:sz w:val="20"/>
                <w:szCs w:val="20"/>
              </w:rPr>
              <w:br/>
              <w:t>(E=A+B+C-D)</w:t>
            </w:r>
          </w:p>
        </w:tc>
      </w:tr>
      <w:tr w14:paraId="087F1ABA" w14:textId="77777777" w:rsidTr="00D84A36">
        <w:tblPrEx>
          <w:tblW w:w="13340" w:type="dxa"/>
          <w:tblInd w:w="113" w:type="dxa"/>
          <w:tblLook w:val="04A0"/>
        </w:tblPrEx>
        <w:trPr>
          <w:trHeight w:val="255"/>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594E8CC9"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 </w:t>
            </w:r>
          </w:p>
        </w:tc>
        <w:tc>
          <w:tcPr>
            <w:tcW w:w="1980" w:type="dxa"/>
            <w:tcBorders>
              <w:top w:val="nil"/>
              <w:left w:val="nil"/>
              <w:bottom w:val="single" w:sz="4" w:space="0" w:color="auto"/>
              <w:right w:val="single" w:sz="4" w:space="0" w:color="auto"/>
            </w:tcBorders>
            <w:vAlign w:val="center"/>
            <w:hideMark/>
          </w:tcPr>
          <w:p w:rsidR="00D84A36" w:rsidRPr="00D84A36" w:rsidP="00D84A36" w14:paraId="357BCE6A"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1880" w:type="dxa"/>
            <w:tcBorders>
              <w:top w:val="nil"/>
              <w:left w:val="nil"/>
              <w:bottom w:val="single" w:sz="4" w:space="0" w:color="auto"/>
              <w:right w:val="single" w:sz="4" w:space="0" w:color="auto"/>
            </w:tcBorders>
            <w:vAlign w:val="center"/>
            <w:hideMark/>
          </w:tcPr>
          <w:p w:rsidR="00D84A36" w:rsidRPr="00D84A36" w:rsidP="00D84A36" w14:paraId="69AA98B7"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c>
          <w:tcPr>
            <w:tcW w:w="2280" w:type="dxa"/>
            <w:tcBorders>
              <w:top w:val="nil"/>
              <w:left w:val="nil"/>
              <w:bottom w:val="single" w:sz="4" w:space="0" w:color="auto"/>
              <w:right w:val="single" w:sz="4" w:space="0" w:color="auto"/>
            </w:tcBorders>
            <w:vAlign w:val="center"/>
            <w:hideMark/>
          </w:tcPr>
          <w:p w:rsidR="00D84A36" w:rsidRPr="00D84A36" w:rsidP="00D84A36" w14:paraId="50B18703"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3340" w:type="dxa"/>
            <w:tcBorders>
              <w:top w:val="nil"/>
              <w:left w:val="nil"/>
              <w:bottom w:val="single" w:sz="4" w:space="0" w:color="auto"/>
              <w:right w:val="single" w:sz="4" w:space="0" w:color="auto"/>
            </w:tcBorders>
            <w:vAlign w:val="center"/>
            <w:hideMark/>
          </w:tcPr>
          <w:p w:rsidR="00D84A36" w:rsidRPr="00D84A36" w:rsidP="00D84A36" w14:paraId="45955276"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2400" w:type="dxa"/>
            <w:tcBorders>
              <w:top w:val="nil"/>
              <w:left w:val="nil"/>
              <w:bottom w:val="single" w:sz="4" w:space="0" w:color="auto"/>
              <w:right w:val="single" w:sz="4" w:space="0" w:color="auto"/>
            </w:tcBorders>
            <w:vAlign w:val="center"/>
            <w:hideMark/>
          </w:tcPr>
          <w:p w:rsidR="00D84A36" w:rsidRPr="00D84A36" w:rsidP="00D84A36" w14:paraId="0C894094"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r>
      <w:tr w14:paraId="55BE6177" w14:textId="77777777" w:rsidTr="00D84A36">
        <w:tblPrEx>
          <w:tblW w:w="13340" w:type="dxa"/>
          <w:tblInd w:w="113" w:type="dxa"/>
          <w:tblLook w:val="04A0"/>
        </w:tblPrEx>
        <w:trPr>
          <w:trHeight w:val="255"/>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0F310473"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2 </w:t>
            </w:r>
          </w:p>
        </w:tc>
        <w:tc>
          <w:tcPr>
            <w:tcW w:w="1980" w:type="dxa"/>
            <w:tcBorders>
              <w:top w:val="nil"/>
              <w:left w:val="nil"/>
              <w:bottom w:val="single" w:sz="4" w:space="0" w:color="auto"/>
              <w:right w:val="single" w:sz="4" w:space="0" w:color="auto"/>
            </w:tcBorders>
            <w:vAlign w:val="center"/>
            <w:hideMark/>
          </w:tcPr>
          <w:p w:rsidR="00D84A36" w:rsidRPr="00D84A36" w:rsidP="00D84A36" w14:paraId="66847010"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1880" w:type="dxa"/>
            <w:tcBorders>
              <w:top w:val="nil"/>
              <w:left w:val="nil"/>
              <w:bottom w:val="single" w:sz="4" w:space="0" w:color="auto"/>
              <w:right w:val="single" w:sz="4" w:space="0" w:color="auto"/>
            </w:tcBorders>
            <w:vAlign w:val="center"/>
            <w:hideMark/>
          </w:tcPr>
          <w:p w:rsidR="00D84A36" w:rsidRPr="00D84A36" w:rsidP="00D84A36" w14:paraId="01CC102D"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c>
          <w:tcPr>
            <w:tcW w:w="2280" w:type="dxa"/>
            <w:tcBorders>
              <w:top w:val="nil"/>
              <w:left w:val="nil"/>
              <w:bottom w:val="single" w:sz="4" w:space="0" w:color="auto"/>
              <w:right w:val="single" w:sz="4" w:space="0" w:color="auto"/>
            </w:tcBorders>
            <w:vAlign w:val="center"/>
            <w:hideMark/>
          </w:tcPr>
          <w:p w:rsidR="00D84A36" w:rsidRPr="00D84A36" w:rsidP="00D84A36" w14:paraId="0C953337"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3340" w:type="dxa"/>
            <w:tcBorders>
              <w:top w:val="nil"/>
              <w:left w:val="nil"/>
              <w:bottom w:val="single" w:sz="4" w:space="0" w:color="auto"/>
              <w:right w:val="single" w:sz="4" w:space="0" w:color="auto"/>
            </w:tcBorders>
            <w:vAlign w:val="center"/>
            <w:hideMark/>
          </w:tcPr>
          <w:p w:rsidR="00D84A36" w:rsidRPr="00D84A36" w:rsidP="00D84A36" w14:paraId="52DA868B"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2400" w:type="dxa"/>
            <w:tcBorders>
              <w:top w:val="nil"/>
              <w:left w:val="nil"/>
              <w:bottom w:val="single" w:sz="4" w:space="0" w:color="auto"/>
              <w:right w:val="single" w:sz="4" w:space="0" w:color="auto"/>
            </w:tcBorders>
            <w:vAlign w:val="center"/>
            <w:hideMark/>
          </w:tcPr>
          <w:p w:rsidR="00D84A36" w:rsidRPr="00D84A36" w:rsidP="00D84A36" w14:paraId="246870DC"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r>
      <w:tr w14:paraId="69B7EBEE" w14:textId="77777777" w:rsidTr="00D84A36">
        <w:tblPrEx>
          <w:tblW w:w="13340" w:type="dxa"/>
          <w:tblInd w:w="113" w:type="dxa"/>
          <w:tblLook w:val="04A0"/>
        </w:tblPrEx>
        <w:trPr>
          <w:trHeight w:val="255"/>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03ADFF41"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3 </w:t>
            </w:r>
          </w:p>
        </w:tc>
        <w:tc>
          <w:tcPr>
            <w:tcW w:w="1980" w:type="dxa"/>
            <w:tcBorders>
              <w:top w:val="nil"/>
              <w:left w:val="nil"/>
              <w:bottom w:val="single" w:sz="4" w:space="0" w:color="auto"/>
              <w:right w:val="single" w:sz="4" w:space="0" w:color="auto"/>
            </w:tcBorders>
            <w:vAlign w:val="center"/>
            <w:hideMark/>
          </w:tcPr>
          <w:p w:rsidR="00D84A36" w:rsidRPr="00D84A36" w:rsidP="00D84A36" w14:paraId="45261F1A"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1880" w:type="dxa"/>
            <w:tcBorders>
              <w:top w:val="nil"/>
              <w:left w:val="nil"/>
              <w:bottom w:val="single" w:sz="4" w:space="0" w:color="auto"/>
              <w:right w:val="single" w:sz="4" w:space="0" w:color="auto"/>
            </w:tcBorders>
            <w:vAlign w:val="center"/>
            <w:hideMark/>
          </w:tcPr>
          <w:p w:rsidR="00D84A36" w:rsidRPr="00D84A36" w:rsidP="00D84A36" w14:paraId="62841504"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c>
          <w:tcPr>
            <w:tcW w:w="2280" w:type="dxa"/>
            <w:tcBorders>
              <w:top w:val="nil"/>
              <w:left w:val="nil"/>
              <w:bottom w:val="single" w:sz="4" w:space="0" w:color="auto"/>
              <w:right w:val="single" w:sz="4" w:space="0" w:color="auto"/>
            </w:tcBorders>
            <w:vAlign w:val="center"/>
            <w:hideMark/>
          </w:tcPr>
          <w:p w:rsidR="00D84A36" w:rsidRPr="00D84A36" w:rsidP="00D84A36" w14:paraId="00271BDD"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3340" w:type="dxa"/>
            <w:tcBorders>
              <w:top w:val="nil"/>
              <w:left w:val="nil"/>
              <w:bottom w:val="single" w:sz="4" w:space="0" w:color="auto"/>
              <w:right w:val="single" w:sz="4" w:space="0" w:color="auto"/>
            </w:tcBorders>
            <w:vAlign w:val="center"/>
            <w:hideMark/>
          </w:tcPr>
          <w:p w:rsidR="00D84A36" w:rsidRPr="00D84A36" w:rsidP="00D84A36" w14:paraId="7764A5DA"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2400" w:type="dxa"/>
            <w:tcBorders>
              <w:top w:val="nil"/>
              <w:left w:val="nil"/>
              <w:bottom w:val="single" w:sz="4" w:space="0" w:color="auto"/>
              <w:right w:val="single" w:sz="4" w:space="0" w:color="auto"/>
            </w:tcBorders>
            <w:vAlign w:val="center"/>
            <w:hideMark/>
          </w:tcPr>
          <w:p w:rsidR="00D84A36" w:rsidRPr="00D84A36" w:rsidP="00D84A36" w14:paraId="6B3BA1B7"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r>
      <w:tr w14:paraId="6C8E5D9B" w14:textId="77777777" w:rsidTr="00D84A36">
        <w:tblPrEx>
          <w:tblW w:w="13340" w:type="dxa"/>
          <w:tblInd w:w="113" w:type="dxa"/>
          <w:tblLook w:val="04A0"/>
        </w:tblPrEx>
        <w:trPr>
          <w:trHeight w:val="255"/>
        </w:trPr>
        <w:tc>
          <w:tcPr>
            <w:tcW w:w="1460" w:type="dxa"/>
            <w:tcBorders>
              <w:top w:val="nil"/>
              <w:left w:val="single" w:sz="4" w:space="0" w:color="auto"/>
              <w:bottom w:val="single" w:sz="4" w:space="0" w:color="auto"/>
              <w:right w:val="single" w:sz="4" w:space="0" w:color="auto"/>
            </w:tcBorders>
            <w:vAlign w:val="center"/>
            <w:hideMark/>
          </w:tcPr>
          <w:p w:rsidR="00D84A36" w:rsidRPr="00D84A36" w:rsidP="00D84A36" w14:paraId="4FE2EC71"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Average</w:t>
            </w:r>
          </w:p>
        </w:tc>
        <w:tc>
          <w:tcPr>
            <w:tcW w:w="1980" w:type="dxa"/>
            <w:tcBorders>
              <w:top w:val="nil"/>
              <w:left w:val="nil"/>
              <w:bottom w:val="single" w:sz="4" w:space="0" w:color="auto"/>
              <w:right w:val="single" w:sz="4" w:space="0" w:color="auto"/>
            </w:tcBorders>
            <w:vAlign w:val="center"/>
            <w:hideMark/>
          </w:tcPr>
          <w:p w:rsidR="00D84A36" w:rsidRPr="00D84A36" w:rsidP="00D84A36" w14:paraId="4F9582DE"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1880" w:type="dxa"/>
            <w:tcBorders>
              <w:top w:val="nil"/>
              <w:left w:val="nil"/>
              <w:bottom w:val="single" w:sz="4" w:space="0" w:color="auto"/>
              <w:right w:val="single" w:sz="4" w:space="0" w:color="auto"/>
            </w:tcBorders>
            <w:vAlign w:val="center"/>
            <w:hideMark/>
          </w:tcPr>
          <w:p w:rsidR="00D84A36" w:rsidRPr="00D84A36" w:rsidP="00D84A36" w14:paraId="35CA53FE"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c>
          <w:tcPr>
            <w:tcW w:w="2280" w:type="dxa"/>
            <w:tcBorders>
              <w:top w:val="nil"/>
              <w:left w:val="nil"/>
              <w:bottom w:val="single" w:sz="4" w:space="0" w:color="auto"/>
              <w:right w:val="single" w:sz="4" w:space="0" w:color="auto"/>
            </w:tcBorders>
            <w:vAlign w:val="center"/>
            <w:hideMark/>
          </w:tcPr>
          <w:p w:rsidR="00D84A36" w:rsidRPr="00D84A36" w:rsidP="00D84A36" w14:paraId="2E050CD8"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3340" w:type="dxa"/>
            <w:tcBorders>
              <w:top w:val="nil"/>
              <w:left w:val="nil"/>
              <w:bottom w:val="single" w:sz="4" w:space="0" w:color="auto"/>
              <w:right w:val="single" w:sz="4" w:space="0" w:color="auto"/>
            </w:tcBorders>
            <w:vAlign w:val="center"/>
            <w:hideMark/>
          </w:tcPr>
          <w:p w:rsidR="00D84A36" w:rsidRPr="00D84A36" w:rsidP="00D84A36" w14:paraId="12CA7E95"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0 </w:t>
            </w:r>
          </w:p>
        </w:tc>
        <w:tc>
          <w:tcPr>
            <w:tcW w:w="2400" w:type="dxa"/>
            <w:tcBorders>
              <w:top w:val="nil"/>
              <w:left w:val="nil"/>
              <w:bottom w:val="single" w:sz="4" w:space="0" w:color="auto"/>
              <w:right w:val="single" w:sz="4" w:space="0" w:color="auto"/>
            </w:tcBorders>
            <w:vAlign w:val="center"/>
            <w:hideMark/>
          </w:tcPr>
          <w:p w:rsidR="00D84A36" w:rsidRPr="00D84A36" w:rsidP="00D84A36" w14:paraId="7D66D1DF" w14:textId="77777777">
            <w:pPr>
              <w:spacing w:after="0" w:line="240" w:lineRule="auto"/>
              <w:jc w:val="center"/>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rPr>
              <w:t xml:space="preserve">13 </w:t>
            </w:r>
          </w:p>
        </w:tc>
      </w:tr>
      <w:tr w14:paraId="10921322" w14:textId="77777777" w:rsidTr="00D84A36">
        <w:tblPrEx>
          <w:tblW w:w="13340" w:type="dxa"/>
          <w:tblInd w:w="113" w:type="dxa"/>
          <w:tblLook w:val="04A0"/>
        </w:tblPrEx>
        <w:trPr>
          <w:trHeight w:val="315"/>
        </w:trPr>
        <w:tc>
          <w:tcPr>
            <w:tcW w:w="13340" w:type="dxa"/>
            <w:gridSpan w:val="6"/>
            <w:tcBorders>
              <w:top w:val="single" w:sz="4" w:space="0" w:color="auto"/>
              <w:left w:val="nil"/>
              <w:bottom w:val="nil"/>
              <w:right w:val="nil"/>
            </w:tcBorders>
            <w:hideMark/>
          </w:tcPr>
          <w:p w:rsidR="00D84A36" w:rsidRPr="00D84A36" w:rsidP="00D84A36" w14:paraId="2CA9FE6B" w14:textId="77777777">
            <w:pPr>
              <w:spacing w:after="0" w:line="240" w:lineRule="auto"/>
              <w:rPr>
                <w:rFonts w:ascii="Times New Roman" w:eastAsia="Times New Roman" w:hAnsi="Times New Roman" w:cs="Times New Roman"/>
                <w:color w:val="000000"/>
                <w:sz w:val="20"/>
                <w:szCs w:val="20"/>
              </w:rPr>
            </w:pPr>
            <w:r w:rsidRPr="00D84A36">
              <w:rPr>
                <w:rFonts w:ascii="Times New Roman" w:eastAsia="Times New Roman" w:hAnsi="Times New Roman" w:cs="Times New Roman"/>
                <w:color w:val="000000"/>
                <w:sz w:val="20"/>
                <w:szCs w:val="20"/>
                <w:vertAlign w:val="superscript"/>
              </w:rPr>
              <w:t>1</w:t>
            </w:r>
            <w:r w:rsidRPr="00D84A36">
              <w:rPr>
                <w:rFonts w:ascii="Times New Roman" w:eastAsia="Times New Roman" w:hAnsi="Times New Roman" w:cs="Times New Roman"/>
                <w:color w:val="000000"/>
                <w:sz w:val="20"/>
                <w:szCs w:val="20"/>
              </w:rPr>
              <w:t xml:space="preserve"> New respondents include sources with constructed, reconstructed and modified affected facilities. </w:t>
            </w:r>
          </w:p>
        </w:tc>
      </w:tr>
    </w:tbl>
    <w:p w:rsidR="00446896" w:rsidRPr="007F5384" w:rsidP="001641AA" w14:paraId="46CB2F64" w14:textId="77777777">
      <w:pPr>
        <w:spacing w:before="240"/>
        <w:rPr>
          <w:rFonts w:cstheme="minorHAnsi"/>
          <w:b/>
          <w:bCs/>
          <w:sz w:val="24"/>
          <w:szCs w:val="24"/>
        </w:rPr>
      </w:pPr>
    </w:p>
    <w:tbl>
      <w:tblPr>
        <w:tblW w:w="13063" w:type="dxa"/>
        <w:tblInd w:w="113" w:type="dxa"/>
        <w:tblLook w:val="04A0"/>
      </w:tblPr>
      <w:tblGrid>
        <w:gridCol w:w="1867"/>
        <w:gridCol w:w="153"/>
        <w:gridCol w:w="1440"/>
        <w:gridCol w:w="273"/>
        <w:gridCol w:w="1167"/>
        <w:gridCol w:w="699"/>
        <w:gridCol w:w="1866"/>
        <w:gridCol w:w="90"/>
        <w:gridCol w:w="1776"/>
        <w:gridCol w:w="654"/>
        <w:gridCol w:w="1212"/>
        <w:gridCol w:w="1866"/>
      </w:tblGrid>
      <w:tr w14:paraId="7AD61573" w14:textId="77777777" w:rsidTr="007F6454">
        <w:tblPrEx>
          <w:tblW w:w="13063" w:type="dxa"/>
          <w:tblInd w:w="113" w:type="dxa"/>
          <w:tblLook w:val="04A0"/>
        </w:tblPrEx>
        <w:trPr>
          <w:gridAfter w:val="2"/>
          <w:wAfter w:w="3078" w:type="dxa"/>
          <w:trHeight w:val="315"/>
        </w:trPr>
        <w:tc>
          <w:tcPr>
            <w:tcW w:w="9985" w:type="dxa"/>
            <w:gridSpan w:val="10"/>
            <w:tcBorders>
              <w:top w:val="single" w:sz="4" w:space="0" w:color="auto"/>
              <w:left w:val="single" w:sz="4" w:space="0" w:color="auto"/>
              <w:bottom w:val="single" w:sz="4" w:space="0" w:color="auto"/>
              <w:right w:val="single" w:sz="4" w:space="0" w:color="auto"/>
            </w:tcBorders>
            <w:vAlign w:val="center"/>
            <w:hideMark/>
          </w:tcPr>
          <w:p w:rsidR="007F6454" w:rsidRPr="007F6454" w:rsidP="007F6454" w14:paraId="27B8E280" w14:textId="77777777">
            <w:pPr>
              <w:spacing w:after="0" w:line="240" w:lineRule="auto"/>
              <w:jc w:val="center"/>
              <w:rPr>
                <w:rFonts w:ascii="Times New Roman" w:eastAsia="Times New Roman" w:hAnsi="Times New Roman" w:cs="Times New Roman"/>
                <w:b/>
                <w:bCs/>
                <w:color w:val="000000"/>
                <w:sz w:val="24"/>
                <w:szCs w:val="24"/>
              </w:rPr>
            </w:pPr>
            <w:r w:rsidRPr="007F6454">
              <w:rPr>
                <w:rFonts w:ascii="Times New Roman" w:eastAsia="Times New Roman" w:hAnsi="Times New Roman" w:cs="Times New Roman"/>
                <w:b/>
                <w:bCs/>
                <w:color w:val="000000"/>
                <w:sz w:val="24"/>
                <w:szCs w:val="24"/>
              </w:rPr>
              <w:t>Total Annual Responses</w:t>
            </w:r>
          </w:p>
        </w:tc>
      </w:tr>
      <w:tr w14:paraId="6B97A358" w14:textId="77777777" w:rsidTr="007F6454">
        <w:tblPrEx>
          <w:tblW w:w="13063" w:type="dxa"/>
          <w:tblInd w:w="113" w:type="dxa"/>
          <w:tblLook w:val="04A0"/>
        </w:tblPrEx>
        <w:trPr>
          <w:gridAfter w:val="2"/>
          <w:wAfter w:w="3078" w:type="dxa"/>
          <w:trHeight w:val="255"/>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0201CB87"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(A)</w:t>
            </w:r>
          </w:p>
        </w:tc>
        <w:tc>
          <w:tcPr>
            <w:tcW w:w="1440" w:type="dxa"/>
            <w:tcBorders>
              <w:top w:val="nil"/>
              <w:left w:val="nil"/>
              <w:bottom w:val="single" w:sz="4" w:space="0" w:color="auto"/>
              <w:right w:val="single" w:sz="4" w:space="0" w:color="auto"/>
            </w:tcBorders>
            <w:vAlign w:val="center"/>
            <w:hideMark/>
          </w:tcPr>
          <w:p w:rsidR="007F6454" w:rsidRPr="007F6454" w:rsidP="007F6454" w14:paraId="19E99924"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(B)</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31A4BC2B"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(C)</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17D3900C"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(D)</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2A49C858"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(E)</w:t>
            </w:r>
          </w:p>
        </w:tc>
      </w:tr>
      <w:tr w14:paraId="7EA28F2A" w14:textId="77777777" w:rsidTr="007F6454">
        <w:tblPrEx>
          <w:tblW w:w="13063" w:type="dxa"/>
          <w:tblInd w:w="113" w:type="dxa"/>
          <w:tblLook w:val="04A0"/>
        </w:tblPrEx>
        <w:trPr>
          <w:gridAfter w:val="2"/>
          <w:wAfter w:w="3078" w:type="dxa"/>
          <w:trHeight w:val="1277"/>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33625CD5"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Information Collection Activity</w:t>
            </w:r>
          </w:p>
        </w:tc>
        <w:tc>
          <w:tcPr>
            <w:tcW w:w="1440" w:type="dxa"/>
            <w:tcBorders>
              <w:top w:val="nil"/>
              <w:left w:val="nil"/>
              <w:bottom w:val="single" w:sz="4" w:space="0" w:color="auto"/>
              <w:right w:val="single" w:sz="4" w:space="0" w:color="auto"/>
            </w:tcBorders>
            <w:vAlign w:val="center"/>
            <w:hideMark/>
          </w:tcPr>
          <w:p w:rsidR="007F6454" w:rsidRPr="007F6454" w:rsidP="007F6454" w14:paraId="5F902694"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Number of Respondents</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3824D561"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Number of Responses</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781ACD5E"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Number of Existing Respondents That Keep Records But Do Not Submit Reports</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374574E7"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Total Annual Responses</w:t>
            </w:r>
            <w:r w:rsidRPr="007F6454">
              <w:rPr>
                <w:rFonts w:ascii="Times New Roman" w:eastAsia="Times New Roman" w:hAnsi="Times New Roman" w:cs="Times New Roman"/>
                <w:color w:val="000000"/>
                <w:sz w:val="20"/>
                <w:szCs w:val="20"/>
              </w:rPr>
              <w:br/>
              <w:t>E=(BxC)+D</w:t>
            </w:r>
          </w:p>
        </w:tc>
      </w:tr>
      <w:tr w14:paraId="503C46E9" w14:textId="77777777" w:rsidTr="007F6454">
        <w:tblPrEx>
          <w:tblW w:w="13063" w:type="dxa"/>
          <w:tblInd w:w="113" w:type="dxa"/>
          <w:tblLook w:val="04A0"/>
        </w:tblPrEx>
        <w:trPr>
          <w:gridAfter w:val="2"/>
          <w:wAfter w:w="3078" w:type="dxa"/>
          <w:trHeight w:val="255"/>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3D5B48E0"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Initial notification</w:t>
            </w:r>
          </w:p>
        </w:tc>
        <w:tc>
          <w:tcPr>
            <w:tcW w:w="1440" w:type="dxa"/>
            <w:tcBorders>
              <w:top w:val="nil"/>
              <w:left w:val="nil"/>
              <w:bottom w:val="single" w:sz="4" w:space="0" w:color="auto"/>
              <w:right w:val="single" w:sz="4" w:space="0" w:color="auto"/>
            </w:tcBorders>
            <w:vAlign w:val="center"/>
            <w:hideMark/>
          </w:tcPr>
          <w:p w:rsidR="007F6454" w:rsidRPr="007F6454" w:rsidP="007F6454" w14:paraId="720794B6"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27E0F411"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 </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7C000404"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27A71779"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r>
      <w:tr w14:paraId="430A216C" w14:textId="77777777" w:rsidTr="007F6454">
        <w:tblPrEx>
          <w:tblW w:w="13063" w:type="dxa"/>
          <w:tblInd w:w="113" w:type="dxa"/>
          <w:tblLook w:val="04A0"/>
        </w:tblPrEx>
        <w:trPr>
          <w:gridAfter w:val="2"/>
          <w:wAfter w:w="3078" w:type="dxa"/>
          <w:trHeight w:val="510"/>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33793D33"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Batch pre-compliance report </w:t>
            </w:r>
          </w:p>
        </w:tc>
        <w:tc>
          <w:tcPr>
            <w:tcW w:w="1440" w:type="dxa"/>
            <w:tcBorders>
              <w:top w:val="nil"/>
              <w:left w:val="nil"/>
              <w:bottom w:val="single" w:sz="4" w:space="0" w:color="auto"/>
              <w:right w:val="single" w:sz="4" w:space="0" w:color="auto"/>
            </w:tcBorders>
            <w:vAlign w:val="center"/>
            <w:hideMark/>
          </w:tcPr>
          <w:p w:rsidR="007F6454" w:rsidRPr="007F6454" w:rsidP="007F6454" w14:paraId="4D2D9E3A"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6A1BE299"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 </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4AD0E504"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4AEEB7B3"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r>
      <w:tr w14:paraId="4296DC35" w14:textId="77777777" w:rsidTr="007F6454">
        <w:tblPrEx>
          <w:tblW w:w="13063" w:type="dxa"/>
          <w:tblInd w:w="113" w:type="dxa"/>
          <w:tblLook w:val="04A0"/>
        </w:tblPrEx>
        <w:trPr>
          <w:gridAfter w:val="2"/>
          <w:wAfter w:w="3078" w:type="dxa"/>
          <w:trHeight w:val="765"/>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76B10C70"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Notification of performance test with test plan </w:t>
            </w:r>
          </w:p>
        </w:tc>
        <w:tc>
          <w:tcPr>
            <w:tcW w:w="1440" w:type="dxa"/>
            <w:tcBorders>
              <w:top w:val="nil"/>
              <w:left w:val="nil"/>
              <w:bottom w:val="single" w:sz="4" w:space="0" w:color="auto"/>
              <w:right w:val="single" w:sz="4" w:space="0" w:color="auto"/>
            </w:tcBorders>
            <w:vAlign w:val="center"/>
            <w:hideMark/>
          </w:tcPr>
          <w:p w:rsidR="007F6454" w:rsidRPr="007F6454" w:rsidP="007F6454" w14:paraId="01372D96"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3CDC8193"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 </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7263B313"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75D9E0ED"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r>
      <w:tr w14:paraId="19B415FE" w14:textId="77777777" w:rsidTr="007F6454">
        <w:tblPrEx>
          <w:tblW w:w="13063" w:type="dxa"/>
          <w:tblInd w:w="113" w:type="dxa"/>
          <w:tblLook w:val="04A0"/>
        </w:tblPrEx>
        <w:trPr>
          <w:gridAfter w:val="2"/>
          <w:wAfter w:w="3078" w:type="dxa"/>
          <w:trHeight w:val="510"/>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308ABDB0"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Notification of compliance status </w:t>
            </w:r>
          </w:p>
        </w:tc>
        <w:tc>
          <w:tcPr>
            <w:tcW w:w="1440" w:type="dxa"/>
            <w:tcBorders>
              <w:top w:val="nil"/>
              <w:left w:val="nil"/>
              <w:bottom w:val="single" w:sz="4" w:space="0" w:color="auto"/>
              <w:right w:val="single" w:sz="4" w:space="0" w:color="auto"/>
            </w:tcBorders>
            <w:vAlign w:val="center"/>
            <w:hideMark/>
          </w:tcPr>
          <w:p w:rsidR="007F6454" w:rsidRPr="007F6454" w:rsidP="007F6454" w14:paraId="559BDA02"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57076D18"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 </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52F120E9"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078879C4"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r>
      <w:tr w14:paraId="6E8C457A" w14:textId="77777777" w:rsidTr="007F6454">
        <w:tblPrEx>
          <w:tblW w:w="13063" w:type="dxa"/>
          <w:tblInd w:w="113" w:type="dxa"/>
          <w:tblLook w:val="04A0"/>
        </w:tblPrEx>
        <w:trPr>
          <w:gridAfter w:val="2"/>
          <w:wAfter w:w="3078" w:type="dxa"/>
          <w:trHeight w:val="510"/>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2CBC772F"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Semiannual compliance report </w:t>
            </w:r>
          </w:p>
        </w:tc>
        <w:tc>
          <w:tcPr>
            <w:tcW w:w="1440" w:type="dxa"/>
            <w:tcBorders>
              <w:top w:val="nil"/>
              <w:left w:val="nil"/>
              <w:bottom w:val="single" w:sz="4" w:space="0" w:color="auto"/>
              <w:right w:val="single" w:sz="4" w:space="0" w:color="auto"/>
            </w:tcBorders>
            <w:vAlign w:val="center"/>
            <w:hideMark/>
          </w:tcPr>
          <w:p w:rsidR="007F6454" w:rsidRPr="007F6454" w:rsidP="007F6454" w14:paraId="55350B9B"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13 </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6F0B28B9"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2 </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1A26453C"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493AC45F"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26 </w:t>
            </w:r>
          </w:p>
        </w:tc>
      </w:tr>
      <w:tr w14:paraId="130D7884" w14:textId="77777777" w:rsidTr="007F6454">
        <w:tblPrEx>
          <w:tblW w:w="13063" w:type="dxa"/>
          <w:tblInd w:w="113" w:type="dxa"/>
          <w:tblLook w:val="04A0"/>
        </w:tblPrEx>
        <w:trPr>
          <w:gridAfter w:val="2"/>
          <w:wAfter w:w="3078" w:type="dxa"/>
          <w:trHeight w:val="255"/>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165258C7"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Notice of Inspection </w:t>
            </w:r>
          </w:p>
        </w:tc>
        <w:tc>
          <w:tcPr>
            <w:tcW w:w="1440" w:type="dxa"/>
            <w:tcBorders>
              <w:top w:val="nil"/>
              <w:left w:val="nil"/>
              <w:bottom w:val="single" w:sz="4" w:space="0" w:color="auto"/>
              <w:right w:val="single" w:sz="4" w:space="0" w:color="auto"/>
            </w:tcBorders>
            <w:vAlign w:val="center"/>
            <w:hideMark/>
          </w:tcPr>
          <w:p w:rsidR="007F6454" w:rsidRPr="007F6454" w:rsidP="007F6454" w14:paraId="70247CB8"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13 </w:t>
            </w:r>
          </w:p>
        </w:tc>
        <w:tc>
          <w:tcPr>
            <w:tcW w:w="1440" w:type="dxa"/>
            <w:gridSpan w:val="2"/>
            <w:tcBorders>
              <w:top w:val="nil"/>
              <w:left w:val="nil"/>
              <w:bottom w:val="single" w:sz="4" w:space="0" w:color="auto"/>
              <w:right w:val="single" w:sz="4" w:space="0" w:color="auto"/>
            </w:tcBorders>
            <w:vAlign w:val="center"/>
            <w:hideMark/>
          </w:tcPr>
          <w:p w:rsidR="007F6454" w:rsidRPr="007F6454" w:rsidP="007F6454" w14:paraId="42D1820D"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 </w:t>
            </w:r>
          </w:p>
        </w:tc>
        <w:tc>
          <w:tcPr>
            <w:tcW w:w="2655" w:type="dxa"/>
            <w:gridSpan w:val="3"/>
            <w:tcBorders>
              <w:top w:val="nil"/>
              <w:left w:val="nil"/>
              <w:bottom w:val="single" w:sz="4" w:space="0" w:color="auto"/>
              <w:right w:val="single" w:sz="4" w:space="0" w:color="auto"/>
            </w:tcBorders>
            <w:vAlign w:val="center"/>
            <w:hideMark/>
          </w:tcPr>
          <w:p w:rsidR="007F6454" w:rsidRPr="007F6454" w:rsidP="007F6454" w14:paraId="7A76F314"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0 </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4058359C"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xml:space="preserve">13 </w:t>
            </w:r>
          </w:p>
        </w:tc>
      </w:tr>
      <w:tr w14:paraId="4D9B0D06" w14:textId="77777777" w:rsidTr="007F6454">
        <w:tblPrEx>
          <w:tblW w:w="13063" w:type="dxa"/>
          <w:tblInd w:w="113" w:type="dxa"/>
          <w:tblLook w:val="04A0"/>
        </w:tblPrEx>
        <w:trPr>
          <w:gridAfter w:val="2"/>
          <w:wAfter w:w="3078" w:type="dxa"/>
          <w:trHeight w:val="255"/>
        </w:trPr>
        <w:tc>
          <w:tcPr>
            <w:tcW w:w="2020" w:type="dxa"/>
            <w:gridSpan w:val="2"/>
            <w:tcBorders>
              <w:top w:val="nil"/>
              <w:left w:val="single" w:sz="4" w:space="0" w:color="auto"/>
              <w:bottom w:val="single" w:sz="4" w:space="0" w:color="auto"/>
              <w:right w:val="single" w:sz="4" w:space="0" w:color="auto"/>
            </w:tcBorders>
            <w:vAlign w:val="center"/>
            <w:hideMark/>
          </w:tcPr>
          <w:p w:rsidR="007F6454" w:rsidRPr="007F6454" w:rsidP="007F6454" w14:paraId="06D52770" w14:textId="77777777">
            <w:pPr>
              <w:spacing w:after="0" w:line="240" w:lineRule="auto"/>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vAlign w:val="center"/>
            <w:hideMark/>
          </w:tcPr>
          <w:p w:rsidR="007F6454" w:rsidRPr="007F6454" w:rsidP="007F6454" w14:paraId="3A56B21A" w14:textId="77777777">
            <w:pPr>
              <w:spacing w:after="0" w:line="240" w:lineRule="auto"/>
              <w:jc w:val="center"/>
              <w:rPr>
                <w:rFonts w:ascii="Times New Roman" w:eastAsia="Times New Roman" w:hAnsi="Times New Roman" w:cs="Times New Roman"/>
                <w:color w:val="000000"/>
                <w:sz w:val="20"/>
                <w:szCs w:val="20"/>
              </w:rPr>
            </w:pPr>
            <w:r w:rsidRPr="007F6454">
              <w:rPr>
                <w:rFonts w:ascii="Times New Roman" w:eastAsia="Times New Roman" w:hAnsi="Times New Roman" w:cs="Times New Roman"/>
                <w:color w:val="000000"/>
                <w:sz w:val="20"/>
                <w:szCs w:val="20"/>
              </w:rPr>
              <w:t> </w:t>
            </w:r>
          </w:p>
        </w:tc>
        <w:tc>
          <w:tcPr>
            <w:tcW w:w="4095" w:type="dxa"/>
            <w:gridSpan w:val="5"/>
            <w:tcBorders>
              <w:top w:val="single" w:sz="4" w:space="0" w:color="auto"/>
              <w:left w:val="nil"/>
              <w:bottom w:val="single" w:sz="4" w:space="0" w:color="auto"/>
              <w:right w:val="single" w:sz="4" w:space="0" w:color="000000"/>
            </w:tcBorders>
            <w:vAlign w:val="center"/>
            <w:hideMark/>
          </w:tcPr>
          <w:p w:rsidR="007F6454" w:rsidRPr="007F6454" w:rsidP="007F6454" w14:paraId="2AFB750D" w14:textId="77777777">
            <w:pPr>
              <w:spacing w:after="0" w:line="240" w:lineRule="auto"/>
              <w:jc w:val="center"/>
              <w:rPr>
                <w:rFonts w:ascii="Times New Roman" w:eastAsia="Times New Roman" w:hAnsi="Times New Roman" w:cs="Times New Roman"/>
                <w:b/>
                <w:bCs/>
                <w:color w:val="000000"/>
                <w:sz w:val="20"/>
                <w:szCs w:val="20"/>
              </w:rPr>
            </w:pPr>
            <w:r w:rsidRPr="007F6454">
              <w:rPr>
                <w:rFonts w:ascii="Times New Roman" w:eastAsia="Times New Roman" w:hAnsi="Times New Roman" w:cs="Times New Roman"/>
                <w:b/>
                <w:bCs/>
                <w:color w:val="000000"/>
                <w:sz w:val="20"/>
                <w:szCs w:val="20"/>
              </w:rPr>
              <w:t>Total (rounded)</w:t>
            </w:r>
          </w:p>
        </w:tc>
        <w:tc>
          <w:tcPr>
            <w:tcW w:w="2430" w:type="dxa"/>
            <w:gridSpan w:val="2"/>
            <w:tcBorders>
              <w:top w:val="nil"/>
              <w:left w:val="nil"/>
              <w:bottom w:val="single" w:sz="4" w:space="0" w:color="auto"/>
              <w:right w:val="single" w:sz="4" w:space="0" w:color="auto"/>
            </w:tcBorders>
            <w:vAlign w:val="center"/>
            <w:hideMark/>
          </w:tcPr>
          <w:p w:rsidR="007F6454" w:rsidRPr="007F6454" w:rsidP="007F6454" w14:paraId="0BC632E4" w14:textId="77777777">
            <w:pPr>
              <w:spacing w:after="0" w:line="240" w:lineRule="auto"/>
              <w:jc w:val="center"/>
              <w:rPr>
                <w:rFonts w:ascii="Times New Roman" w:eastAsia="Times New Roman" w:hAnsi="Times New Roman" w:cs="Times New Roman"/>
                <w:b/>
                <w:bCs/>
                <w:color w:val="000000"/>
                <w:sz w:val="20"/>
                <w:szCs w:val="20"/>
              </w:rPr>
            </w:pPr>
            <w:r w:rsidRPr="007F6454">
              <w:rPr>
                <w:rFonts w:ascii="Times New Roman" w:eastAsia="Times New Roman" w:hAnsi="Times New Roman" w:cs="Times New Roman"/>
                <w:b/>
                <w:bCs/>
                <w:color w:val="000000"/>
                <w:sz w:val="20"/>
                <w:szCs w:val="20"/>
              </w:rPr>
              <w:t xml:space="preserve">39 </w:t>
            </w:r>
          </w:p>
        </w:tc>
      </w:tr>
      <w:tr w14:paraId="2EB4F6A2" w14:textId="77777777" w:rsidTr="007F6454">
        <w:tblPrEx>
          <w:tblW w:w="13063" w:type="dxa"/>
          <w:tblInd w:w="113" w:type="dxa"/>
          <w:tblLook w:val="04A0"/>
        </w:tblPrEx>
        <w:trPr>
          <w:trHeight w:val="630"/>
        </w:trPr>
        <w:tc>
          <w:tcPr>
            <w:tcW w:w="13063" w:type="dxa"/>
            <w:gridSpan w:val="12"/>
            <w:tcBorders>
              <w:top w:val="single" w:sz="4" w:space="0" w:color="auto"/>
              <w:left w:val="single" w:sz="4" w:space="0" w:color="000000"/>
              <w:bottom w:val="single" w:sz="4" w:space="0" w:color="auto"/>
              <w:right w:val="single" w:sz="4" w:space="0" w:color="000000"/>
            </w:tcBorders>
            <w:hideMark/>
          </w:tcPr>
          <w:p w:rsidR="00DF7789" w:rsidRPr="00DF7789" w:rsidP="00DF7789" w14:paraId="7CBB0B7F" w14:textId="77777777">
            <w:pPr>
              <w:spacing w:after="0" w:line="240" w:lineRule="auto"/>
              <w:jc w:val="center"/>
              <w:rPr>
                <w:rFonts w:ascii="Times New Roman" w:eastAsia="Times New Roman" w:hAnsi="Times New Roman" w:cs="Times New Roman"/>
                <w:b/>
                <w:bCs/>
                <w:color w:val="000000"/>
                <w:sz w:val="24"/>
                <w:szCs w:val="24"/>
              </w:rPr>
            </w:pPr>
            <w:r w:rsidRPr="00DF7789">
              <w:rPr>
                <w:rFonts w:ascii="Times New Roman" w:eastAsia="Times New Roman" w:hAnsi="Times New Roman" w:cs="Times New Roman"/>
                <w:b/>
                <w:bCs/>
                <w:color w:val="000000"/>
                <w:sz w:val="24"/>
                <w:szCs w:val="24"/>
              </w:rPr>
              <w:t>Capital/Startup vs. Operation and Maintenance (O&amp;M) Costs</w:t>
            </w:r>
          </w:p>
        </w:tc>
      </w:tr>
      <w:tr w14:paraId="00D38330" w14:textId="77777777" w:rsidTr="007F6454">
        <w:tblPrEx>
          <w:tblW w:w="13063" w:type="dxa"/>
          <w:tblInd w:w="113" w:type="dxa"/>
          <w:tblLook w:val="04A0"/>
        </w:tblPrEx>
        <w:trPr>
          <w:trHeight w:val="312"/>
        </w:trPr>
        <w:tc>
          <w:tcPr>
            <w:tcW w:w="1867" w:type="dxa"/>
            <w:tcBorders>
              <w:top w:val="nil"/>
              <w:left w:val="single" w:sz="4" w:space="0" w:color="000000"/>
              <w:bottom w:val="nil"/>
              <w:right w:val="single" w:sz="8" w:space="0" w:color="FFFFFF"/>
            </w:tcBorders>
            <w:hideMark/>
          </w:tcPr>
          <w:p w:rsidR="00DF7789" w:rsidRPr="00DF7789" w:rsidP="00DF7789" w14:paraId="6F66631D" w14:textId="77777777">
            <w:pPr>
              <w:spacing w:after="0" w:line="240" w:lineRule="auto"/>
              <w:rPr>
                <w:rFonts w:ascii="Times New Roman" w:eastAsia="Times New Roman" w:hAnsi="Times New Roman" w:cs="Times New Roman"/>
                <w:b/>
                <w:bCs/>
                <w:color w:val="000000"/>
                <w:sz w:val="24"/>
                <w:szCs w:val="24"/>
              </w:rPr>
            </w:pPr>
            <w:r w:rsidRPr="00DF7789">
              <w:rPr>
                <w:rFonts w:ascii="Times New Roman" w:eastAsia="Times New Roman" w:hAnsi="Times New Roman" w:cs="Times New Roman"/>
                <w:b/>
                <w:bCs/>
                <w:color w:val="000000"/>
                <w:sz w:val="24"/>
                <w:szCs w:val="24"/>
              </w:rPr>
              <w:t> </w:t>
            </w:r>
          </w:p>
        </w:tc>
        <w:tc>
          <w:tcPr>
            <w:tcW w:w="1866" w:type="dxa"/>
            <w:gridSpan w:val="3"/>
            <w:tcBorders>
              <w:top w:val="nil"/>
              <w:left w:val="nil"/>
              <w:bottom w:val="nil"/>
              <w:right w:val="single" w:sz="8" w:space="0" w:color="FFFFFF"/>
            </w:tcBorders>
            <w:hideMark/>
          </w:tcPr>
          <w:p w:rsidR="00DF7789" w:rsidRPr="00DF7789" w:rsidP="00DF7789" w14:paraId="45F54D91"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nil"/>
              <w:right w:val="single" w:sz="8" w:space="0" w:color="FFFFFF"/>
            </w:tcBorders>
            <w:hideMark/>
          </w:tcPr>
          <w:p w:rsidR="00DF7789" w:rsidRPr="00DF7789" w:rsidP="00DF7789" w14:paraId="6EAD7B3B"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tcBorders>
              <w:top w:val="nil"/>
              <w:left w:val="nil"/>
              <w:bottom w:val="nil"/>
              <w:right w:val="single" w:sz="8" w:space="0" w:color="FFFFFF"/>
            </w:tcBorders>
            <w:hideMark/>
          </w:tcPr>
          <w:p w:rsidR="00DF7789" w:rsidRPr="00DF7789" w:rsidP="00DF7789" w14:paraId="105D722F"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nil"/>
              <w:right w:val="single" w:sz="8" w:space="0" w:color="FFFFFF"/>
            </w:tcBorders>
            <w:hideMark/>
          </w:tcPr>
          <w:p w:rsidR="00DF7789" w:rsidRPr="00DF7789" w:rsidP="00DF7789" w14:paraId="6BF23057"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nil"/>
              <w:right w:val="single" w:sz="8" w:space="0" w:color="FFFFFF"/>
            </w:tcBorders>
            <w:hideMark/>
          </w:tcPr>
          <w:p w:rsidR="00DF7789" w:rsidRPr="00DF7789" w:rsidP="00DF7789" w14:paraId="45356D72"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tcBorders>
              <w:top w:val="nil"/>
              <w:left w:val="nil"/>
              <w:bottom w:val="nil"/>
              <w:right w:val="single" w:sz="4" w:space="0" w:color="000000"/>
            </w:tcBorders>
            <w:hideMark/>
          </w:tcPr>
          <w:p w:rsidR="00DF7789" w:rsidRPr="00DF7789" w:rsidP="00DF7789" w14:paraId="2DB4815C"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r>
      <w:tr w14:paraId="1A234591" w14:textId="77777777" w:rsidTr="007F6454">
        <w:tblPrEx>
          <w:tblW w:w="13063" w:type="dxa"/>
          <w:tblInd w:w="113" w:type="dxa"/>
          <w:tblLook w:val="04A0"/>
        </w:tblPrEx>
        <w:trPr>
          <w:trHeight w:val="264"/>
        </w:trPr>
        <w:tc>
          <w:tcPr>
            <w:tcW w:w="1867" w:type="dxa"/>
            <w:tcBorders>
              <w:top w:val="single" w:sz="4" w:space="0" w:color="000000"/>
              <w:left w:val="single" w:sz="4" w:space="0" w:color="000000"/>
              <w:bottom w:val="nil"/>
              <w:right w:val="single" w:sz="4" w:space="0" w:color="000000"/>
            </w:tcBorders>
            <w:hideMark/>
          </w:tcPr>
          <w:p w:rsidR="00DF7789" w:rsidRPr="00DF7789" w:rsidP="00DF7789" w14:paraId="4D5C76F8"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(A)</w:t>
            </w:r>
          </w:p>
        </w:tc>
        <w:tc>
          <w:tcPr>
            <w:tcW w:w="1866" w:type="dxa"/>
            <w:gridSpan w:val="3"/>
            <w:tcBorders>
              <w:top w:val="single" w:sz="4" w:space="0" w:color="000000"/>
              <w:left w:val="nil"/>
              <w:bottom w:val="nil"/>
              <w:right w:val="single" w:sz="4" w:space="0" w:color="000000"/>
            </w:tcBorders>
            <w:hideMark/>
          </w:tcPr>
          <w:p w:rsidR="00DF7789" w:rsidRPr="00DF7789" w:rsidP="00DF7789" w14:paraId="6F4CDA37"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(B)</w:t>
            </w:r>
          </w:p>
        </w:tc>
        <w:tc>
          <w:tcPr>
            <w:tcW w:w="1866" w:type="dxa"/>
            <w:gridSpan w:val="2"/>
            <w:tcBorders>
              <w:top w:val="single" w:sz="4" w:space="0" w:color="000000"/>
              <w:left w:val="nil"/>
              <w:bottom w:val="nil"/>
              <w:right w:val="single" w:sz="4" w:space="0" w:color="000000"/>
            </w:tcBorders>
            <w:hideMark/>
          </w:tcPr>
          <w:p w:rsidR="00DF7789" w:rsidRPr="00DF7789" w:rsidP="00DF7789" w14:paraId="725C5847"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(C)</w:t>
            </w:r>
          </w:p>
        </w:tc>
        <w:tc>
          <w:tcPr>
            <w:tcW w:w="1866" w:type="dxa"/>
            <w:tcBorders>
              <w:top w:val="single" w:sz="4" w:space="0" w:color="000000"/>
              <w:left w:val="nil"/>
              <w:bottom w:val="nil"/>
              <w:right w:val="single" w:sz="4" w:space="0" w:color="000000"/>
            </w:tcBorders>
            <w:hideMark/>
          </w:tcPr>
          <w:p w:rsidR="00DF7789" w:rsidRPr="00DF7789" w:rsidP="00DF7789" w14:paraId="5BB39600"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(D)</w:t>
            </w:r>
          </w:p>
        </w:tc>
        <w:tc>
          <w:tcPr>
            <w:tcW w:w="1866" w:type="dxa"/>
            <w:gridSpan w:val="2"/>
            <w:tcBorders>
              <w:top w:val="single" w:sz="4" w:space="0" w:color="000000"/>
              <w:left w:val="nil"/>
              <w:bottom w:val="nil"/>
              <w:right w:val="single" w:sz="4" w:space="0" w:color="000000"/>
            </w:tcBorders>
            <w:hideMark/>
          </w:tcPr>
          <w:p w:rsidR="00DF7789" w:rsidRPr="00DF7789" w:rsidP="00DF7789" w14:paraId="138E61BC"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(E)</w:t>
            </w:r>
          </w:p>
        </w:tc>
        <w:tc>
          <w:tcPr>
            <w:tcW w:w="1866" w:type="dxa"/>
            <w:gridSpan w:val="2"/>
            <w:tcBorders>
              <w:top w:val="single" w:sz="4" w:space="0" w:color="000000"/>
              <w:left w:val="nil"/>
              <w:bottom w:val="nil"/>
              <w:right w:val="single" w:sz="4" w:space="0" w:color="000000"/>
            </w:tcBorders>
            <w:hideMark/>
          </w:tcPr>
          <w:p w:rsidR="00DF7789" w:rsidRPr="00DF7789" w:rsidP="00DF7789" w14:paraId="584813B5"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(F)</w:t>
            </w:r>
          </w:p>
        </w:tc>
        <w:tc>
          <w:tcPr>
            <w:tcW w:w="1866" w:type="dxa"/>
            <w:tcBorders>
              <w:top w:val="single" w:sz="4" w:space="0" w:color="000000"/>
              <w:left w:val="nil"/>
              <w:bottom w:val="nil"/>
              <w:right w:val="single" w:sz="4" w:space="0" w:color="000000"/>
            </w:tcBorders>
            <w:hideMark/>
          </w:tcPr>
          <w:p w:rsidR="00DF7789" w:rsidRPr="00DF7789" w:rsidP="00DF7789" w14:paraId="6028D940" w14:textId="77777777">
            <w:pPr>
              <w:spacing w:after="0" w:line="240" w:lineRule="auto"/>
              <w:jc w:val="center"/>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(G)</w:t>
            </w:r>
          </w:p>
        </w:tc>
      </w:tr>
      <w:tr w14:paraId="0C1B4212" w14:textId="77777777" w:rsidTr="007F6454">
        <w:tblPrEx>
          <w:tblW w:w="13063" w:type="dxa"/>
          <w:tblInd w:w="113" w:type="dxa"/>
          <w:tblLook w:val="04A0"/>
        </w:tblPrEx>
        <w:trPr>
          <w:trHeight w:val="528"/>
        </w:trPr>
        <w:tc>
          <w:tcPr>
            <w:tcW w:w="1867" w:type="dxa"/>
            <w:tcBorders>
              <w:top w:val="nil"/>
              <w:left w:val="single" w:sz="4" w:space="0" w:color="000000"/>
              <w:bottom w:val="nil"/>
              <w:right w:val="single" w:sz="4" w:space="0" w:color="000000"/>
            </w:tcBorders>
            <w:hideMark/>
          </w:tcPr>
          <w:p w:rsidR="00DF7789" w:rsidRPr="00DF7789" w:rsidP="00DF7789" w14:paraId="563092EE"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Continuous Monitoring Device</w:t>
            </w:r>
          </w:p>
        </w:tc>
        <w:tc>
          <w:tcPr>
            <w:tcW w:w="1866" w:type="dxa"/>
            <w:gridSpan w:val="3"/>
            <w:tcBorders>
              <w:top w:val="nil"/>
              <w:left w:val="nil"/>
              <w:bottom w:val="nil"/>
              <w:right w:val="single" w:sz="4" w:space="0" w:color="000000"/>
            </w:tcBorders>
            <w:hideMark/>
          </w:tcPr>
          <w:p w:rsidR="00DF7789" w:rsidRPr="00DF7789" w:rsidP="00DF7789" w14:paraId="2081AAB3"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Capital/Startup Cost for One Respondent</w:t>
            </w:r>
          </w:p>
        </w:tc>
        <w:tc>
          <w:tcPr>
            <w:tcW w:w="1866" w:type="dxa"/>
            <w:gridSpan w:val="2"/>
            <w:tcBorders>
              <w:top w:val="nil"/>
              <w:left w:val="nil"/>
              <w:bottom w:val="nil"/>
              <w:right w:val="single" w:sz="4" w:space="0" w:color="000000"/>
            </w:tcBorders>
            <w:hideMark/>
          </w:tcPr>
          <w:p w:rsidR="00DF7789" w:rsidRPr="00DF7789" w:rsidP="00DF7789" w14:paraId="297E60A2"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Number of New Respondents </w:t>
            </w:r>
          </w:p>
        </w:tc>
        <w:tc>
          <w:tcPr>
            <w:tcW w:w="1866" w:type="dxa"/>
            <w:tcBorders>
              <w:top w:val="nil"/>
              <w:left w:val="nil"/>
              <w:bottom w:val="nil"/>
              <w:right w:val="single" w:sz="4" w:space="0" w:color="000000"/>
            </w:tcBorders>
            <w:hideMark/>
          </w:tcPr>
          <w:p w:rsidR="00DF7789" w:rsidRPr="00DF7789" w:rsidP="00DF7789" w14:paraId="704DE4E4" w14:textId="750AD0C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Total Capital/Startup Cost,</w:t>
            </w:r>
            <w:r w:rsidR="00736C45">
              <w:rPr>
                <w:rFonts w:ascii="Times New Roman" w:eastAsia="Times New Roman" w:hAnsi="Times New Roman" w:cs="Times New Roman"/>
                <w:color w:val="000000"/>
                <w:sz w:val="20"/>
                <w:szCs w:val="20"/>
              </w:rPr>
              <w:t xml:space="preserve"> </w:t>
            </w:r>
            <w:r w:rsidRPr="00DF7789">
              <w:rPr>
                <w:rFonts w:ascii="Times New Roman" w:eastAsia="Times New Roman" w:hAnsi="Times New Roman" w:cs="Times New Roman"/>
                <w:color w:val="000000"/>
                <w:sz w:val="20"/>
                <w:szCs w:val="20"/>
              </w:rPr>
              <w:t>(B X C)</w:t>
            </w:r>
          </w:p>
        </w:tc>
        <w:tc>
          <w:tcPr>
            <w:tcW w:w="1866" w:type="dxa"/>
            <w:gridSpan w:val="2"/>
            <w:tcBorders>
              <w:top w:val="nil"/>
              <w:left w:val="nil"/>
              <w:bottom w:val="nil"/>
              <w:right w:val="single" w:sz="4" w:space="0" w:color="000000"/>
            </w:tcBorders>
            <w:hideMark/>
          </w:tcPr>
          <w:p w:rsidR="00DF7789" w:rsidRPr="00DF7789" w:rsidP="00DF7789" w14:paraId="7752E7F3"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Annual O&amp;M Costs for One Respondent</w:t>
            </w:r>
          </w:p>
        </w:tc>
        <w:tc>
          <w:tcPr>
            <w:tcW w:w="1866" w:type="dxa"/>
            <w:gridSpan w:val="2"/>
            <w:tcBorders>
              <w:top w:val="nil"/>
              <w:left w:val="nil"/>
              <w:bottom w:val="nil"/>
              <w:right w:val="single" w:sz="4" w:space="0" w:color="000000"/>
            </w:tcBorders>
            <w:hideMark/>
          </w:tcPr>
          <w:p w:rsidR="00DF7789" w:rsidRPr="00DF7789" w:rsidP="00DF7789" w14:paraId="42994F7C" w14:textId="6260DC7D">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Number of Respondents</w:t>
            </w:r>
            <w:r w:rsidR="00736C45">
              <w:rPr>
                <w:rFonts w:ascii="Times New Roman" w:eastAsia="Times New Roman" w:hAnsi="Times New Roman" w:cs="Times New Roman"/>
                <w:color w:val="000000"/>
                <w:sz w:val="20"/>
                <w:szCs w:val="20"/>
              </w:rPr>
              <w:t xml:space="preserve"> </w:t>
            </w:r>
            <w:r w:rsidRPr="00DF7789">
              <w:rPr>
                <w:rFonts w:ascii="Times New Roman" w:eastAsia="Times New Roman" w:hAnsi="Times New Roman" w:cs="Times New Roman"/>
                <w:color w:val="000000"/>
                <w:sz w:val="20"/>
                <w:szCs w:val="20"/>
              </w:rPr>
              <w:t>with O&amp;M</w:t>
            </w:r>
          </w:p>
        </w:tc>
        <w:tc>
          <w:tcPr>
            <w:tcW w:w="1866" w:type="dxa"/>
            <w:tcBorders>
              <w:top w:val="nil"/>
              <w:left w:val="nil"/>
              <w:bottom w:val="nil"/>
              <w:right w:val="single" w:sz="4" w:space="0" w:color="000000"/>
            </w:tcBorders>
            <w:hideMark/>
          </w:tcPr>
          <w:p w:rsidR="00DF7789" w:rsidRPr="00DF7789" w:rsidP="00DF7789" w14:paraId="0E8B2BC8"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Total O&amp;M,</w:t>
            </w:r>
          </w:p>
        </w:tc>
      </w:tr>
      <w:tr w14:paraId="4D3C5388" w14:textId="77777777" w:rsidTr="007F6454">
        <w:tblPrEx>
          <w:tblW w:w="13063" w:type="dxa"/>
          <w:tblInd w:w="113" w:type="dxa"/>
          <w:tblLook w:val="04A0"/>
        </w:tblPrEx>
        <w:trPr>
          <w:trHeight w:val="264"/>
        </w:trPr>
        <w:tc>
          <w:tcPr>
            <w:tcW w:w="1867" w:type="dxa"/>
            <w:tcBorders>
              <w:top w:val="nil"/>
              <w:left w:val="single" w:sz="4" w:space="0" w:color="000000"/>
              <w:bottom w:val="nil"/>
              <w:right w:val="single" w:sz="4" w:space="0" w:color="000000"/>
            </w:tcBorders>
            <w:hideMark/>
          </w:tcPr>
          <w:p w:rsidR="00DF7789" w:rsidRPr="00DF7789" w:rsidP="00DF7789" w14:paraId="0CC258AD" w14:textId="77777777">
            <w:pPr>
              <w:spacing w:after="0" w:line="240" w:lineRule="auto"/>
              <w:rPr>
                <w:rFonts w:ascii="Helv" w:eastAsia="Times New Roman" w:hAnsi="Helv" w:cs="Times New Roman"/>
                <w:sz w:val="16"/>
                <w:szCs w:val="16"/>
              </w:rPr>
            </w:pPr>
            <w:r w:rsidRPr="00DF7789">
              <w:rPr>
                <w:rFonts w:ascii="Helv" w:eastAsia="Times New Roman" w:hAnsi="Helv" w:cs="Times New Roman"/>
                <w:sz w:val="16"/>
                <w:szCs w:val="16"/>
              </w:rPr>
              <w:t> </w:t>
            </w:r>
          </w:p>
        </w:tc>
        <w:tc>
          <w:tcPr>
            <w:tcW w:w="1866" w:type="dxa"/>
            <w:gridSpan w:val="3"/>
            <w:tcBorders>
              <w:top w:val="nil"/>
              <w:left w:val="nil"/>
              <w:bottom w:val="nil"/>
              <w:right w:val="single" w:sz="4" w:space="0" w:color="000000"/>
            </w:tcBorders>
            <w:hideMark/>
          </w:tcPr>
          <w:p w:rsidR="00DF7789" w:rsidRPr="00DF7789" w:rsidP="00DF7789" w14:paraId="16D097CD" w14:textId="77777777">
            <w:pPr>
              <w:spacing w:after="0" w:line="240" w:lineRule="auto"/>
              <w:rPr>
                <w:rFonts w:ascii="Helv" w:eastAsia="Times New Roman" w:hAnsi="Helv" w:cs="Times New Roman"/>
                <w:sz w:val="16"/>
                <w:szCs w:val="16"/>
              </w:rPr>
            </w:pPr>
            <w:r w:rsidRPr="00DF7789">
              <w:rPr>
                <w:rFonts w:ascii="Helv" w:eastAsia="Times New Roman" w:hAnsi="Helv" w:cs="Times New Roman"/>
                <w:sz w:val="16"/>
                <w:szCs w:val="16"/>
              </w:rPr>
              <w:t> </w:t>
            </w:r>
          </w:p>
        </w:tc>
        <w:tc>
          <w:tcPr>
            <w:tcW w:w="1866" w:type="dxa"/>
            <w:gridSpan w:val="2"/>
            <w:tcBorders>
              <w:top w:val="nil"/>
              <w:left w:val="nil"/>
              <w:bottom w:val="nil"/>
              <w:right w:val="single" w:sz="4" w:space="0" w:color="000000"/>
            </w:tcBorders>
            <w:hideMark/>
          </w:tcPr>
          <w:p w:rsidR="00DF7789" w:rsidRPr="00DF7789" w:rsidP="00DF7789" w14:paraId="5B5C5ABA" w14:textId="77777777">
            <w:pPr>
              <w:spacing w:after="0" w:line="240" w:lineRule="auto"/>
              <w:rPr>
                <w:rFonts w:ascii="Helv" w:eastAsia="Times New Roman" w:hAnsi="Helv" w:cs="Times New Roman"/>
                <w:sz w:val="16"/>
                <w:szCs w:val="16"/>
              </w:rPr>
            </w:pPr>
            <w:r w:rsidRPr="00DF7789">
              <w:rPr>
                <w:rFonts w:ascii="Helv" w:eastAsia="Times New Roman" w:hAnsi="Helv" w:cs="Times New Roman"/>
                <w:sz w:val="16"/>
                <w:szCs w:val="16"/>
              </w:rPr>
              <w:t> </w:t>
            </w:r>
          </w:p>
        </w:tc>
        <w:tc>
          <w:tcPr>
            <w:tcW w:w="1866" w:type="dxa"/>
            <w:tcBorders>
              <w:top w:val="nil"/>
              <w:left w:val="nil"/>
              <w:bottom w:val="nil"/>
              <w:right w:val="single" w:sz="4" w:space="0" w:color="000000"/>
            </w:tcBorders>
            <w:hideMark/>
          </w:tcPr>
          <w:p w:rsidR="00DF7789" w:rsidRPr="00DF7789" w:rsidP="00DF7789" w14:paraId="011187D0" w14:textId="77777777">
            <w:pPr>
              <w:spacing w:after="0" w:line="240" w:lineRule="auto"/>
              <w:rPr>
                <w:rFonts w:ascii="Helv" w:eastAsia="Times New Roman" w:hAnsi="Helv" w:cs="Times New Roman"/>
                <w:sz w:val="16"/>
                <w:szCs w:val="16"/>
              </w:rPr>
            </w:pPr>
            <w:r w:rsidRPr="00DF7789">
              <w:rPr>
                <w:rFonts w:ascii="Helv" w:eastAsia="Times New Roman" w:hAnsi="Helv" w:cs="Times New Roman"/>
                <w:sz w:val="16"/>
                <w:szCs w:val="16"/>
              </w:rPr>
              <w:t> </w:t>
            </w:r>
          </w:p>
        </w:tc>
        <w:tc>
          <w:tcPr>
            <w:tcW w:w="1866" w:type="dxa"/>
            <w:gridSpan w:val="2"/>
            <w:tcBorders>
              <w:top w:val="nil"/>
              <w:left w:val="nil"/>
              <w:bottom w:val="nil"/>
              <w:right w:val="single" w:sz="4" w:space="0" w:color="000000"/>
            </w:tcBorders>
            <w:hideMark/>
          </w:tcPr>
          <w:p w:rsidR="00DF7789" w:rsidRPr="00DF7789" w:rsidP="00DF7789" w14:paraId="1893DBCE" w14:textId="77777777">
            <w:pPr>
              <w:spacing w:after="0" w:line="240" w:lineRule="auto"/>
              <w:rPr>
                <w:rFonts w:ascii="Helv" w:eastAsia="Times New Roman" w:hAnsi="Helv" w:cs="Times New Roman"/>
                <w:sz w:val="16"/>
                <w:szCs w:val="16"/>
              </w:rPr>
            </w:pPr>
            <w:r w:rsidRPr="00DF7789">
              <w:rPr>
                <w:rFonts w:ascii="Helv" w:eastAsia="Times New Roman" w:hAnsi="Helv" w:cs="Times New Roman"/>
                <w:sz w:val="16"/>
                <w:szCs w:val="16"/>
              </w:rPr>
              <w:t> </w:t>
            </w:r>
          </w:p>
        </w:tc>
        <w:tc>
          <w:tcPr>
            <w:tcW w:w="1866" w:type="dxa"/>
            <w:gridSpan w:val="2"/>
            <w:tcBorders>
              <w:top w:val="nil"/>
              <w:left w:val="nil"/>
              <w:bottom w:val="nil"/>
              <w:right w:val="single" w:sz="4" w:space="0" w:color="000000"/>
            </w:tcBorders>
            <w:hideMark/>
          </w:tcPr>
          <w:p w:rsidR="00DF7789" w:rsidRPr="00DF7789" w:rsidP="00DF7789" w14:paraId="7B642BE0" w14:textId="77777777">
            <w:pPr>
              <w:spacing w:after="0" w:line="240" w:lineRule="auto"/>
              <w:rPr>
                <w:rFonts w:ascii="Helv" w:eastAsia="Times New Roman" w:hAnsi="Helv" w:cs="Times New Roman"/>
                <w:sz w:val="16"/>
                <w:szCs w:val="16"/>
              </w:rPr>
            </w:pPr>
            <w:r w:rsidRPr="00DF7789">
              <w:rPr>
                <w:rFonts w:ascii="Helv" w:eastAsia="Times New Roman" w:hAnsi="Helv" w:cs="Times New Roman"/>
                <w:sz w:val="16"/>
                <w:szCs w:val="16"/>
              </w:rPr>
              <w:t> </w:t>
            </w:r>
          </w:p>
        </w:tc>
        <w:tc>
          <w:tcPr>
            <w:tcW w:w="1866" w:type="dxa"/>
            <w:tcBorders>
              <w:top w:val="nil"/>
              <w:left w:val="nil"/>
              <w:bottom w:val="nil"/>
              <w:right w:val="single" w:sz="4" w:space="0" w:color="000000"/>
            </w:tcBorders>
            <w:hideMark/>
          </w:tcPr>
          <w:p w:rsidR="00DF7789" w:rsidRPr="00DF7789" w:rsidP="00DF7789" w14:paraId="4CF42500"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(E X F)</w:t>
            </w:r>
          </w:p>
        </w:tc>
      </w:tr>
      <w:tr w14:paraId="7EBD05FF" w14:textId="77777777" w:rsidTr="007F6454">
        <w:tblPrEx>
          <w:tblW w:w="13063" w:type="dxa"/>
          <w:tblInd w:w="113" w:type="dxa"/>
          <w:tblLook w:val="04A0"/>
        </w:tblPrEx>
        <w:trPr>
          <w:trHeight w:val="264"/>
        </w:trPr>
        <w:tc>
          <w:tcPr>
            <w:tcW w:w="13063" w:type="dxa"/>
            <w:gridSpan w:val="12"/>
            <w:tcBorders>
              <w:top w:val="single" w:sz="4" w:space="0" w:color="auto"/>
              <w:left w:val="single" w:sz="4" w:space="0" w:color="000000"/>
              <w:bottom w:val="single" w:sz="4" w:space="0" w:color="auto"/>
              <w:right w:val="single" w:sz="4" w:space="0" w:color="000000"/>
            </w:tcBorders>
            <w:hideMark/>
          </w:tcPr>
          <w:p w:rsidR="00DF7789" w:rsidRPr="00DF7789" w:rsidP="00DF7789" w14:paraId="1E5D5CC7" w14:textId="77777777">
            <w:pPr>
              <w:spacing w:after="0" w:line="240" w:lineRule="auto"/>
              <w:jc w:val="center"/>
              <w:rPr>
                <w:rFonts w:ascii="Times New Roman" w:eastAsia="Times New Roman" w:hAnsi="Times New Roman" w:cs="Times New Roman"/>
                <w:b/>
                <w:bCs/>
                <w:color w:val="000000"/>
                <w:sz w:val="20"/>
                <w:szCs w:val="20"/>
              </w:rPr>
            </w:pPr>
            <w:r w:rsidRPr="00DF7789">
              <w:rPr>
                <w:rFonts w:ascii="Times New Roman" w:eastAsia="Times New Roman" w:hAnsi="Times New Roman" w:cs="Times New Roman"/>
                <w:b/>
                <w:bCs/>
                <w:color w:val="000000"/>
                <w:sz w:val="20"/>
                <w:szCs w:val="20"/>
              </w:rPr>
              <w:t>Continuous Parameter Monitoring</w:t>
            </w:r>
          </w:p>
        </w:tc>
      </w:tr>
      <w:tr w14:paraId="295466E2" w14:textId="77777777" w:rsidTr="007F6454">
        <w:tblPrEx>
          <w:tblW w:w="13063" w:type="dxa"/>
          <w:tblInd w:w="113" w:type="dxa"/>
          <w:tblLook w:val="04A0"/>
        </w:tblPrEx>
        <w:trPr>
          <w:trHeight w:val="312"/>
        </w:trPr>
        <w:tc>
          <w:tcPr>
            <w:tcW w:w="1867" w:type="dxa"/>
            <w:tcBorders>
              <w:top w:val="nil"/>
              <w:left w:val="single" w:sz="4" w:space="0" w:color="000000"/>
              <w:bottom w:val="single" w:sz="4" w:space="0" w:color="auto"/>
              <w:right w:val="single" w:sz="4" w:space="0" w:color="auto"/>
            </w:tcBorders>
            <w:hideMark/>
          </w:tcPr>
          <w:p w:rsidR="00DF7789" w:rsidRPr="00DF7789" w:rsidP="00DF7789" w14:paraId="349C0152"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PRD Electronic Monitor </w:t>
            </w:r>
            <w:r w:rsidRPr="00DF7789">
              <w:rPr>
                <w:rFonts w:ascii="Times New Roman" w:eastAsia="Times New Roman" w:hAnsi="Times New Roman" w:cs="Times New Roman"/>
                <w:color w:val="000000"/>
                <w:sz w:val="20"/>
                <w:szCs w:val="20"/>
                <w:vertAlign w:val="superscript"/>
              </w:rPr>
              <w:t>1</w:t>
            </w:r>
          </w:p>
        </w:tc>
        <w:tc>
          <w:tcPr>
            <w:tcW w:w="1866" w:type="dxa"/>
            <w:gridSpan w:val="3"/>
            <w:tcBorders>
              <w:top w:val="nil"/>
              <w:left w:val="nil"/>
              <w:bottom w:val="single" w:sz="4" w:space="0" w:color="auto"/>
              <w:right w:val="single" w:sz="4" w:space="0" w:color="auto"/>
            </w:tcBorders>
            <w:hideMark/>
          </w:tcPr>
          <w:p w:rsidR="00DF7789" w:rsidRPr="00DF7789" w:rsidP="00DF7789" w14:paraId="5FEB8007"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$375,000</w:t>
            </w:r>
          </w:p>
        </w:tc>
        <w:tc>
          <w:tcPr>
            <w:tcW w:w="1866" w:type="dxa"/>
            <w:gridSpan w:val="2"/>
            <w:tcBorders>
              <w:top w:val="nil"/>
              <w:left w:val="nil"/>
              <w:bottom w:val="single" w:sz="4" w:space="0" w:color="auto"/>
              <w:right w:val="single" w:sz="4" w:space="0" w:color="auto"/>
            </w:tcBorders>
            <w:hideMark/>
          </w:tcPr>
          <w:p w:rsidR="00DF7789" w:rsidRPr="00DF7789" w:rsidP="00DF7789" w14:paraId="689B7331"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2E9F1929"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28950520"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$26,897</w:t>
            </w:r>
          </w:p>
        </w:tc>
        <w:tc>
          <w:tcPr>
            <w:tcW w:w="1866" w:type="dxa"/>
            <w:gridSpan w:val="2"/>
            <w:tcBorders>
              <w:top w:val="nil"/>
              <w:left w:val="nil"/>
              <w:bottom w:val="single" w:sz="4" w:space="0" w:color="auto"/>
              <w:right w:val="single" w:sz="4" w:space="0" w:color="auto"/>
            </w:tcBorders>
            <w:hideMark/>
          </w:tcPr>
          <w:p w:rsidR="00DF7789" w:rsidRPr="00DF7789" w:rsidP="00DF7789" w14:paraId="77F25E2F"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hideMark/>
          </w:tcPr>
          <w:p w:rsidR="00DF7789" w:rsidRPr="00DF7789" w:rsidP="00DF7789" w14:paraId="28142ECE"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$349,661</w:t>
            </w:r>
          </w:p>
        </w:tc>
      </w:tr>
      <w:tr w14:paraId="30EDFC41" w14:textId="77777777" w:rsidTr="007F6454">
        <w:tblPrEx>
          <w:tblW w:w="13063" w:type="dxa"/>
          <w:tblInd w:w="113" w:type="dxa"/>
          <w:tblLook w:val="04A0"/>
        </w:tblPrEx>
        <w:trPr>
          <w:trHeight w:val="312"/>
        </w:trPr>
        <w:tc>
          <w:tcPr>
            <w:tcW w:w="1867" w:type="dxa"/>
            <w:tcBorders>
              <w:top w:val="nil"/>
              <w:left w:val="single" w:sz="4" w:space="0" w:color="auto"/>
              <w:bottom w:val="single" w:sz="4" w:space="0" w:color="auto"/>
              <w:right w:val="single" w:sz="4" w:space="0" w:color="auto"/>
            </w:tcBorders>
            <w:hideMark/>
          </w:tcPr>
          <w:p w:rsidR="00DF7789" w:rsidRPr="00DF7789" w:rsidP="00DF7789" w14:paraId="25FBC1F9" w14:textId="0F536A4E">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VC Ambient monitoring</w:t>
            </w:r>
            <w:r w:rsidR="00736C45">
              <w:rPr>
                <w:rFonts w:ascii="Times New Roman" w:eastAsia="Times New Roman" w:hAnsi="Times New Roman" w:cs="Times New Roman"/>
                <w:color w:val="000000"/>
                <w:sz w:val="20"/>
                <w:szCs w:val="20"/>
              </w:rPr>
              <w:t xml:space="preserve"> </w:t>
            </w:r>
            <w:r w:rsidRPr="00DF7789">
              <w:rPr>
                <w:rFonts w:ascii="Times New Roman" w:eastAsia="Times New Roman" w:hAnsi="Times New Roman" w:cs="Times New Roman"/>
                <w:color w:val="000000"/>
                <w:sz w:val="20"/>
                <w:szCs w:val="20"/>
                <w:vertAlign w:val="superscript"/>
              </w:rPr>
              <w:t>2</w:t>
            </w:r>
          </w:p>
        </w:tc>
        <w:tc>
          <w:tcPr>
            <w:tcW w:w="1866" w:type="dxa"/>
            <w:gridSpan w:val="3"/>
            <w:tcBorders>
              <w:top w:val="nil"/>
              <w:left w:val="nil"/>
              <w:bottom w:val="single" w:sz="4" w:space="0" w:color="auto"/>
              <w:right w:val="single" w:sz="4" w:space="0" w:color="auto"/>
            </w:tcBorders>
            <w:hideMark/>
          </w:tcPr>
          <w:p w:rsidR="00DF7789" w:rsidRPr="00DF7789" w:rsidP="00DF7789" w14:paraId="464D2714"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single" w:sz="4" w:space="0" w:color="auto"/>
              <w:right w:val="single" w:sz="4" w:space="0" w:color="auto"/>
            </w:tcBorders>
            <w:hideMark/>
          </w:tcPr>
          <w:p w:rsidR="00DF7789" w:rsidRPr="00DF7789" w:rsidP="00DF7789" w14:paraId="18E0F7E5"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tcBorders>
              <w:top w:val="nil"/>
              <w:left w:val="nil"/>
              <w:bottom w:val="single" w:sz="4" w:space="0" w:color="auto"/>
              <w:right w:val="single" w:sz="4" w:space="0" w:color="auto"/>
            </w:tcBorders>
            <w:hideMark/>
          </w:tcPr>
          <w:p w:rsidR="00DF7789" w:rsidRPr="00DF7789" w:rsidP="00DF7789" w14:paraId="0992C690"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single" w:sz="4" w:space="0" w:color="auto"/>
              <w:right w:val="single" w:sz="4" w:space="0" w:color="auto"/>
            </w:tcBorders>
            <w:hideMark/>
          </w:tcPr>
          <w:p w:rsidR="00DF7789" w:rsidRPr="00DF7789" w:rsidP="00DF7789" w14:paraId="5ED848E5"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$207,692</w:t>
            </w:r>
          </w:p>
        </w:tc>
        <w:tc>
          <w:tcPr>
            <w:tcW w:w="1866" w:type="dxa"/>
            <w:gridSpan w:val="2"/>
            <w:tcBorders>
              <w:top w:val="nil"/>
              <w:left w:val="nil"/>
              <w:bottom w:val="single" w:sz="4" w:space="0" w:color="auto"/>
              <w:right w:val="single" w:sz="4" w:space="0" w:color="auto"/>
            </w:tcBorders>
            <w:hideMark/>
          </w:tcPr>
          <w:p w:rsidR="00DF7789" w:rsidRPr="00DF7789" w:rsidP="00DF7789" w14:paraId="2A715714"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auto"/>
            </w:tcBorders>
            <w:hideMark/>
          </w:tcPr>
          <w:p w:rsidR="00DF7789" w:rsidRPr="00DF7789" w:rsidP="00DF7789" w14:paraId="59266498"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$2,700,000</w:t>
            </w:r>
          </w:p>
        </w:tc>
      </w:tr>
      <w:tr w14:paraId="20869753" w14:textId="77777777" w:rsidTr="007F6454">
        <w:tblPrEx>
          <w:tblW w:w="13063" w:type="dxa"/>
          <w:tblInd w:w="113" w:type="dxa"/>
          <w:tblLook w:val="04A0"/>
        </w:tblPrEx>
        <w:trPr>
          <w:trHeight w:val="264"/>
        </w:trPr>
        <w:tc>
          <w:tcPr>
            <w:tcW w:w="1867" w:type="dxa"/>
            <w:tcBorders>
              <w:top w:val="nil"/>
              <w:left w:val="single" w:sz="4" w:space="0" w:color="auto"/>
              <w:bottom w:val="single" w:sz="4" w:space="0" w:color="auto"/>
              <w:right w:val="single" w:sz="4" w:space="0" w:color="auto"/>
            </w:tcBorders>
            <w:hideMark/>
          </w:tcPr>
          <w:p w:rsidR="00DF7789" w:rsidRPr="00DF7789" w:rsidP="00DF7789" w14:paraId="34F305B5"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Gas holders</w:t>
            </w:r>
          </w:p>
        </w:tc>
        <w:tc>
          <w:tcPr>
            <w:tcW w:w="1866" w:type="dxa"/>
            <w:gridSpan w:val="3"/>
            <w:tcBorders>
              <w:top w:val="nil"/>
              <w:left w:val="nil"/>
              <w:bottom w:val="single" w:sz="4" w:space="0" w:color="auto"/>
              <w:right w:val="single" w:sz="4" w:space="0" w:color="auto"/>
            </w:tcBorders>
            <w:hideMark/>
          </w:tcPr>
          <w:p w:rsidR="00DF7789" w:rsidRPr="00DF7789" w:rsidP="00DF7789" w14:paraId="6A2EBE27"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$5,000</w:t>
            </w:r>
          </w:p>
        </w:tc>
        <w:tc>
          <w:tcPr>
            <w:tcW w:w="1866" w:type="dxa"/>
            <w:gridSpan w:val="2"/>
            <w:tcBorders>
              <w:top w:val="nil"/>
              <w:left w:val="nil"/>
              <w:bottom w:val="single" w:sz="4" w:space="0" w:color="auto"/>
              <w:right w:val="single" w:sz="4" w:space="0" w:color="auto"/>
            </w:tcBorders>
            <w:hideMark/>
          </w:tcPr>
          <w:p w:rsidR="00DF7789" w:rsidRPr="00DF7789" w:rsidP="00DF7789" w14:paraId="1E41D05C"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5DE32C5E"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6F29EEE8"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single" w:sz="4" w:space="0" w:color="auto"/>
              <w:right w:val="single" w:sz="4" w:space="0" w:color="auto"/>
            </w:tcBorders>
            <w:hideMark/>
          </w:tcPr>
          <w:p w:rsidR="00DF7789" w:rsidRPr="00DF7789" w:rsidP="00DF7789" w14:paraId="36BF358A"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tcBorders>
              <w:top w:val="nil"/>
              <w:left w:val="nil"/>
              <w:bottom w:val="single" w:sz="4" w:space="0" w:color="auto"/>
              <w:right w:val="single" w:sz="4" w:space="0" w:color="auto"/>
            </w:tcBorders>
            <w:hideMark/>
          </w:tcPr>
          <w:p w:rsidR="00DF7789" w:rsidRPr="00DF7789" w:rsidP="00DF7789" w14:paraId="6075C154"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r>
      <w:tr w14:paraId="3E4FBBC8" w14:textId="77777777" w:rsidTr="007F6454">
        <w:tblPrEx>
          <w:tblW w:w="13063" w:type="dxa"/>
          <w:tblInd w:w="113" w:type="dxa"/>
          <w:tblLook w:val="04A0"/>
        </w:tblPrEx>
        <w:trPr>
          <w:trHeight w:val="264"/>
        </w:trPr>
        <w:tc>
          <w:tcPr>
            <w:tcW w:w="13063" w:type="dxa"/>
            <w:gridSpan w:val="12"/>
            <w:tcBorders>
              <w:top w:val="single" w:sz="4" w:space="0" w:color="auto"/>
              <w:left w:val="single" w:sz="4" w:space="0" w:color="000000"/>
              <w:bottom w:val="single" w:sz="4" w:space="0" w:color="auto"/>
              <w:right w:val="single" w:sz="4" w:space="0" w:color="000000"/>
            </w:tcBorders>
            <w:hideMark/>
          </w:tcPr>
          <w:p w:rsidR="00DF7789" w:rsidRPr="00DF7789" w:rsidP="00DF7789" w14:paraId="6667FC87" w14:textId="77777777">
            <w:pPr>
              <w:spacing w:after="0" w:line="240" w:lineRule="auto"/>
              <w:jc w:val="center"/>
              <w:rPr>
                <w:rFonts w:ascii="Times New Roman" w:eastAsia="Times New Roman" w:hAnsi="Times New Roman" w:cs="Times New Roman"/>
                <w:b/>
                <w:bCs/>
                <w:color w:val="000000"/>
                <w:sz w:val="20"/>
                <w:szCs w:val="20"/>
              </w:rPr>
            </w:pPr>
            <w:r w:rsidRPr="00DF7789">
              <w:rPr>
                <w:rFonts w:ascii="Times New Roman" w:eastAsia="Times New Roman" w:hAnsi="Times New Roman" w:cs="Times New Roman"/>
                <w:b/>
                <w:bCs/>
                <w:color w:val="000000"/>
                <w:sz w:val="20"/>
                <w:szCs w:val="20"/>
              </w:rPr>
              <w:t>Periodic Testing</w:t>
            </w:r>
          </w:p>
        </w:tc>
      </w:tr>
      <w:tr w14:paraId="44B5E3FA" w14:textId="77777777" w:rsidTr="007F6454">
        <w:tblPrEx>
          <w:tblW w:w="13063" w:type="dxa"/>
          <w:tblInd w:w="113" w:type="dxa"/>
          <w:tblLook w:val="04A0"/>
        </w:tblPrEx>
        <w:trPr>
          <w:trHeight w:val="420"/>
        </w:trPr>
        <w:tc>
          <w:tcPr>
            <w:tcW w:w="1867" w:type="dxa"/>
            <w:tcBorders>
              <w:top w:val="nil"/>
              <w:left w:val="single" w:sz="4" w:space="0" w:color="000000"/>
              <w:bottom w:val="single" w:sz="4" w:space="0" w:color="auto"/>
              <w:right w:val="single" w:sz="4" w:space="0" w:color="auto"/>
            </w:tcBorders>
            <w:hideMark/>
          </w:tcPr>
          <w:p w:rsidR="00DF7789" w:rsidRPr="00DF7789" w:rsidP="00DF7789" w14:paraId="13E3C159"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Process Vent Testing </w:t>
            </w:r>
            <w:r w:rsidRPr="00DF7789">
              <w:rPr>
                <w:rFonts w:ascii="Times New Roman" w:eastAsia="Times New Roman" w:hAnsi="Times New Roman" w:cs="Times New Roman"/>
                <w:color w:val="000000"/>
                <w:sz w:val="20"/>
                <w:szCs w:val="20"/>
                <w:vertAlign w:val="superscript"/>
              </w:rPr>
              <w:t>3</w:t>
            </w:r>
          </w:p>
        </w:tc>
        <w:tc>
          <w:tcPr>
            <w:tcW w:w="1866" w:type="dxa"/>
            <w:gridSpan w:val="3"/>
            <w:tcBorders>
              <w:top w:val="nil"/>
              <w:left w:val="nil"/>
              <w:bottom w:val="single" w:sz="4" w:space="0" w:color="auto"/>
              <w:right w:val="single" w:sz="4" w:space="0" w:color="auto"/>
            </w:tcBorders>
            <w:hideMark/>
          </w:tcPr>
          <w:p w:rsidR="00DF7789" w:rsidRPr="00DF7789" w:rsidP="00DF7789" w14:paraId="237D3712"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$51,198</w:t>
            </w:r>
          </w:p>
        </w:tc>
        <w:tc>
          <w:tcPr>
            <w:tcW w:w="1866" w:type="dxa"/>
            <w:gridSpan w:val="2"/>
            <w:tcBorders>
              <w:top w:val="nil"/>
              <w:left w:val="nil"/>
              <w:bottom w:val="single" w:sz="4" w:space="0" w:color="auto"/>
              <w:right w:val="single" w:sz="4" w:space="0" w:color="auto"/>
            </w:tcBorders>
            <w:hideMark/>
          </w:tcPr>
          <w:p w:rsidR="00DF7789" w:rsidRPr="00DF7789" w:rsidP="00DF7789" w14:paraId="15B668CF"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11DF9AAE"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4A3DB1A5"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$99,080</w:t>
            </w:r>
          </w:p>
        </w:tc>
        <w:tc>
          <w:tcPr>
            <w:tcW w:w="1866" w:type="dxa"/>
            <w:gridSpan w:val="2"/>
            <w:tcBorders>
              <w:top w:val="nil"/>
              <w:left w:val="nil"/>
              <w:bottom w:val="single" w:sz="4" w:space="0" w:color="auto"/>
              <w:right w:val="single" w:sz="4" w:space="0" w:color="auto"/>
            </w:tcBorders>
            <w:hideMark/>
          </w:tcPr>
          <w:p w:rsidR="00DF7789" w:rsidRPr="00DF7789" w:rsidP="00DF7789" w14:paraId="3BD4D5C4"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32 </w:t>
            </w:r>
          </w:p>
        </w:tc>
        <w:tc>
          <w:tcPr>
            <w:tcW w:w="1866" w:type="dxa"/>
            <w:tcBorders>
              <w:top w:val="nil"/>
              <w:left w:val="nil"/>
              <w:bottom w:val="single" w:sz="4" w:space="0" w:color="auto"/>
              <w:right w:val="single" w:sz="4" w:space="0" w:color="000000"/>
            </w:tcBorders>
            <w:vAlign w:val="bottom"/>
            <w:hideMark/>
          </w:tcPr>
          <w:p w:rsidR="00DF7789" w:rsidRPr="00DF7789" w:rsidP="00DF7789" w14:paraId="6F199D56"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$3,170,560</w:t>
            </w:r>
          </w:p>
        </w:tc>
      </w:tr>
      <w:tr w14:paraId="68FAFCB3" w14:textId="77777777" w:rsidTr="007F6454">
        <w:tblPrEx>
          <w:tblW w:w="13063" w:type="dxa"/>
          <w:tblInd w:w="113" w:type="dxa"/>
          <w:tblLook w:val="04A0"/>
        </w:tblPrEx>
        <w:trPr>
          <w:trHeight w:val="405"/>
        </w:trPr>
        <w:tc>
          <w:tcPr>
            <w:tcW w:w="1867" w:type="dxa"/>
            <w:tcBorders>
              <w:top w:val="nil"/>
              <w:left w:val="single" w:sz="4" w:space="0" w:color="000000"/>
              <w:bottom w:val="single" w:sz="4" w:space="0" w:color="auto"/>
              <w:right w:val="single" w:sz="4" w:space="0" w:color="auto"/>
            </w:tcBorders>
            <w:hideMark/>
          </w:tcPr>
          <w:p w:rsidR="00DF7789" w:rsidRPr="00DF7789" w:rsidP="00DF7789" w14:paraId="10F7D1DA"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Resin Sampling and Monitoring </w:t>
            </w:r>
            <w:r w:rsidRPr="00DF7789">
              <w:rPr>
                <w:rFonts w:ascii="Times New Roman" w:eastAsia="Times New Roman" w:hAnsi="Times New Roman" w:cs="Times New Roman"/>
                <w:color w:val="000000"/>
                <w:sz w:val="20"/>
                <w:szCs w:val="20"/>
                <w:vertAlign w:val="superscript"/>
              </w:rPr>
              <w:t>4</w:t>
            </w:r>
          </w:p>
        </w:tc>
        <w:tc>
          <w:tcPr>
            <w:tcW w:w="1866" w:type="dxa"/>
            <w:gridSpan w:val="3"/>
            <w:tcBorders>
              <w:top w:val="nil"/>
              <w:left w:val="nil"/>
              <w:bottom w:val="single" w:sz="4" w:space="0" w:color="auto"/>
              <w:right w:val="single" w:sz="4" w:space="0" w:color="auto"/>
            </w:tcBorders>
            <w:hideMark/>
          </w:tcPr>
          <w:p w:rsidR="00DF7789" w:rsidRPr="00DF7789" w:rsidP="00DF7789" w14:paraId="0E3A5E7B"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$1,803</w:t>
            </w:r>
          </w:p>
        </w:tc>
        <w:tc>
          <w:tcPr>
            <w:tcW w:w="1866" w:type="dxa"/>
            <w:gridSpan w:val="2"/>
            <w:tcBorders>
              <w:top w:val="nil"/>
              <w:left w:val="nil"/>
              <w:bottom w:val="single" w:sz="4" w:space="0" w:color="auto"/>
              <w:right w:val="single" w:sz="4" w:space="0" w:color="auto"/>
            </w:tcBorders>
            <w:hideMark/>
          </w:tcPr>
          <w:p w:rsidR="00DF7789" w:rsidRPr="00DF7789" w:rsidP="00DF7789" w14:paraId="704756B1"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7BD5C579"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5305B8DA"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$7,200</w:t>
            </w:r>
          </w:p>
        </w:tc>
        <w:tc>
          <w:tcPr>
            <w:tcW w:w="1866" w:type="dxa"/>
            <w:gridSpan w:val="2"/>
            <w:tcBorders>
              <w:top w:val="nil"/>
              <w:left w:val="nil"/>
              <w:bottom w:val="single" w:sz="4" w:space="0" w:color="auto"/>
              <w:right w:val="single" w:sz="4" w:space="0" w:color="auto"/>
            </w:tcBorders>
            <w:hideMark/>
          </w:tcPr>
          <w:p w:rsidR="00DF7789" w:rsidRPr="00DF7789" w:rsidP="00DF7789" w14:paraId="1D9173D1"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7014CCA0"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$93,600</w:t>
            </w:r>
          </w:p>
        </w:tc>
      </w:tr>
      <w:tr w14:paraId="7CF35D51" w14:textId="77777777" w:rsidTr="007F6454">
        <w:tblPrEx>
          <w:tblW w:w="13063" w:type="dxa"/>
          <w:tblInd w:w="113" w:type="dxa"/>
          <w:tblLook w:val="04A0"/>
        </w:tblPrEx>
        <w:trPr>
          <w:trHeight w:val="576"/>
        </w:trPr>
        <w:tc>
          <w:tcPr>
            <w:tcW w:w="1867" w:type="dxa"/>
            <w:tcBorders>
              <w:top w:val="nil"/>
              <w:left w:val="single" w:sz="4" w:space="0" w:color="000000"/>
              <w:bottom w:val="single" w:sz="4" w:space="0" w:color="auto"/>
              <w:right w:val="single" w:sz="4" w:space="0" w:color="auto"/>
            </w:tcBorders>
            <w:hideMark/>
          </w:tcPr>
          <w:p w:rsidR="00DF7789" w:rsidRPr="00DF7789" w:rsidP="00DF7789" w14:paraId="7FBD527D"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Stripped resin: Non-VC TOHAP testing</w:t>
            </w:r>
            <w:r w:rsidRPr="00DF7789">
              <w:rPr>
                <w:rFonts w:ascii="Times New Roman" w:eastAsia="Times New Roman" w:hAnsi="Times New Roman" w:cs="Times New Roman"/>
                <w:color w:val="000000"/>
                <w:sz w:val="20"/>
                <w:szCs w:val="20"/>
                <w:vertAlign w:val="superscript"/>
              </w:rPr>
              <w:t xml:space="preserve"> 5</w:t>
            </w:r>
          </w:p>
        </w:tc>
        <w:tc>
          <w:tcPr>
            <w:tcW w:w="1866" w:type="dxa"/>
            <w:gridSpan w:val="3"/>
            <w:tcBorders>
              <w:top w:val="nil"/>
              <w:left w:val="nil"/>
              <w:bottom w:val="single" w:sz="4" w:space="0" w:color="auto"/>
              <w:right w:val="single" w:sz="4" w:space="0" w:color="auto"/>
            </w:tcBorders>
            <w:hideMark/>
          </w:tcPr>
          <w:p w:rsidR="00DF7789" w:rsidRPr="00DF7789" w:rsidP="00DF7789" w14:paraId="1D128218"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$1,950</w:t>
            </w:r>
          </w:p>
        </w:tc>
        <w:tc>
          <w:tcPr>
            <w:tcW w:w="1866" w:type="dxa"/>
            <w:gridSpan w:val="2"/>
            <w:tcBorders>
              <w:top w:val="nil"/>
              <w:left w:val="nil"/>
              <w:bottom w:val="single" w:sz="4" w:space="0" w:color="auto"/>
              <w:right w:val="single" w:sz="4" w:space="0" w:color="auto"/>
            </w:tcBorders>
            <w:hideMark/>
          </w:tcPr>
          <w:p w:rsidR="00DF7789" w:rsidRPr="00DF7789" w:rsidP="00DF7789" w14:paraId="6A158FC8"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5839ED48"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4150C623"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$23,400</w:t>
            </w:r>
          </w:p>
        </w:tc>
        <w:tc>
          <w:tcPr>
            <w:tcW w:w="1866" w:type="dxa"/>
            <w:gridSpan w:val="2"/>
            <w:tcBorders>
              <w:top w:val="nil"/>
              <w:left w:val="nil"/>
              <w:bottom w:val="single" w:sz="4" w:space="0" w:color="auto"/>
              <w:right w:val="single" w:sz="4" w:space="0" w:color="auto"/>
            </w:tcBorders>
            <w:hideMark/>
          </w:tcPr>
          <w:p w:rsidR="00DF7789" w:rsidRPr="00DF7789" w:rsidP="00DF7789" w14:paraId="52CE0488"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4490AAC0"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$304,200</w:t>
            </w:r>
          </w:p>
        </w:tc>
      </w:tr>
      <w:tr w14:paraId="22572212" w14:textId="77777777" w:rsidTr="007F6454">
        <w:tblPrEx>
          <w:tblW w:w="13063" w:type="dxa"/>
          <w:tblInd w:w="113" w:type="dxa"/>
          <w:tblLook w:val="04A0"/>
        </w:tblPrEx>
        <w:trPr>
          <w:trHeight w:val="300"/>
        </w:trPr>
        <w:tc>
          <w:tcPr>
            <w:tcW w:w="1867" w:type="dxa"/>
            <w:tcBorders>
              <w:top w:val="nil"/>
              <w:left w:val="single" w:sz="4" w:space="0" w:color="000000"/>
              <w:bottom w:val="single" w:sz="4" w:space="0" w:color="auto"/>
              <w:right w:val="single" w:sz="4" w:space="0" w:color="auto"/>
            </w:tcBorders>
            <w:hideMark/>
          </w:tcPr>
          <w:p w:rsidR="00DF7789" w:rsidRPr="00DF7789" w:rsidP="00DF7789" w14:paraId="1F4FD6E7"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Wastewater Testing </w:t>
            </w:r>
            <w:r w:rsidRPr="00DF7789">
              <w:rPr>
                <w:rFonts w:ascii="Times New Roman" w:eastAsia="Times New Roman" w:hAnsi="Times New Roman" w:cs="Times New Roman"/>
                <w:color w:val="000000"/>
                <w:sz w:val="20"/>
                <w:szCs w:val="20"/>
                <w:vertAlign w:val="superscript"/>
              </w:rPr>
              <w:t>6</w:t>
            </w:r>
          </w:p>
        </w:tc>
        <w:tc>
          <w:tcPr>
            <w:tcW w:w="1866" w:type="dxa"/>
            <w:gridSpan w:val="3"/>
            <w:tcBorders>
              <w:top w:val="nil"/>
              <w:left w:val="nil"/>
              <w:bottom w:val="single" w:sz="4" w:space="0" w:color="auto"/>
              <w:right w:val="single" w:sz="4" w:space="0" w:color="auto"/>
            </w:tcBorders>
            <w:hideMark/>
          </w:tcPr>
          <w:p w:rsidR="00DF7789" w:rsidRPr="00DF7789" w:rsidP="00DF7789" w14:paraId="54F413BD"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$491</w:t>
            </w:r>
          </w:p>
        </w:tc>
        <w:tc>
          <w:tcPr>
            <w:tcW w:w="1866" w:type="dxa"/>
            <w:gridSpan w:val="2"/>
            <w:tcBorders>
              <w:top w:val="nil"/>
              <w:left w:val="nil"/>
              <w:bottom w:val="single" w:sz="4" w:space="0" w:color="auto"/>
              <w:right w:val="single" w:sz="4" w:space="0" w:color="auto"/>
            </w:tcBorders>
            <w:hideMark/>
          </w:tcPr>
          <w:p w:rsidR="00DF7789" w:rsidRPr="00DF7789" w:rsidP="00DF7789" w14:paraId="32A61FDD"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2A2131D6"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56819C55"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$5,892</w:t>
            </w:r>
          </w:p>
        </w:tc>
        <w:tc>
          <w:tcPr>
            <w:tcW w:w="1866" w:type="dxa"/>
            <w:gridSpan w:val="2"/>
            <w:tcBorders>
              <w:top w:val="nil"/>
              <w:left w:val="nil"/>
              <w:bottom w:val="single" w:sz="4" w:space="0" w:color="auto"/>
              <w:right w:val="single" w:sz="4" w:space="0" w:color="auto"/>
            </w:tcBorders>
            <w:hideMark/>
          </w:tcPr>
          <w:p w:rsidR="00DF7789" w:rsidRPr="00DF7789" w:rsidP="00DF7789" w14:paraId="45574E8E"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416D8A15" w14:textId="77777777">
            <w:pPr>
              <w:spacing w:after="0" w:line="240" w:lineRule="auto"/>
              <w:jc w:val="right"/>
              <w:rPr>
                <w:rFonts w:ascii="Times New Roman" w:eastAsia="Times New Roman" w:hAnsi="Times New Roman" w:cs="Times New Roman"/>
                <w:sz w:val="20"/>
                <w:szCs w:val="20"/>
              </w:rPr>
            </w:pPr>
            <w:r w:rsidRPr="00DF7789">
              <w:rPr>
                <w:rFonts w:ascii="Times New Roman" w:eastAsia="Times New Roman" w:hAnsi="Times New Roman" w:cs="Times New Roman"/>
                <w:sz w:val="20"/>
                <w:szCs w:val="20"/>
              </w:rPr>
              <w:t>$76,596</w:t>
            </w:r>
          </w:p>
        </w:tc>
      </w:tr>
      <w:tr w14:paraId="78B33F46" w14:textId="77777777" w:rsidTr="007F6454">
        <w:tblPrEx>
          <w:tblW w:w="13063" w:type="dxa"/>
          <w:tblInd w:w="113" w:type="dxa"/>
          <w:tblLook w:val="04A0"/>
        </w:tblPrEx>
        <w:trPr>
          <w:trHeight w:val="576"/>
        </w:trPr>
        <w:tc>
          <w:tcPr>
            <w:tcW w:w="1867" w:type="dxa"/>
            <w:tcBorders>
              <w:top w:val="nil"/>
              <w:left w:val="single" w:sz="4" w:space="0" w:color="000000"/>
              <w:bottom w:val="single" w:sz="4" w:space="0" w:color="auto"/>
              <w:right w:val="single" w:sz="4" w:space="0" w:color="auto"/>
            </w:tcBorders>
            <w:hideMark/>
          </w:tcPr>
          <w:p w:rsidR="00DF7789" w:rsidRPr="00DF7789" w:rsidP="00DF7789" w14:paraId="03C2C93C"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Wastewater: Non-VC TOHAP testing </w:t>
            </w:r>
            <w:r w:rsidRPr="00DF7789">
              <w:rPr>
                <w:rFonts w:ascii="Times New Roman" w:eastAsia="Times New Roman" w:hAnsi="Times New Roman" w:cs="Times New Roman"/>
                <w:color w:val="000000"/>
                <w:sz w:val="20"/>
                <w:szCs w:val="20"/>
                <w:vertAlign w:val="superscript"/>
              </w:rPr>
              <w:t>7</w:t>
            </w:r>
          </w:p>
        </w:tc>
        <w:tc>
          <w:tcPr>
            <w:tcW w:w="1866" w:type="dxa"/>
            <w:gridSpan w:val="3"/>
            <w:tcBorders>
              <w:top w:val="nil"/>
              <w:left w:val="nil"/>
              <w:bottom w:val="single" w:sz="4" w:space="0" w:color="auto"/>
              <w:right w:val="single" w:sz="4" w:space="0" w:color="auto"/>
            </w:tcBorders>
            <w:hideMark/>
          </w:tcPr>
          <w:p w:rsidR="00DF7789" w:rsidRPr="00DF7789" w:rsidP="00DF7789" w14:paraId="62AEBB37"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$650</w:t>
            </w:r>
          </w:p>
        </w:tc>
        <w:tc>
          <w:tcPr>
            <w:tcW w:w="1866" w:type="dxa"/>
            <w:gridSpan w:val="2"/>
            <w:tcBorders>
              <w:top w:val="nil"/>
              <w:left w:val="nil"/>
              <w:bottom w:val="single" w:sz="4" w:space="0" w:color="auto"/>
              <w:right w:val="single" w:sz="4" w:space="0" w:color="auto"/>
            </w:tcBorders>
            <w:hideMark/>
          </w:tcPr>
          <w:p w:rsidR="00DF7789" w:rsidRPr="00DF7789" w:rsidP="00DF7789" w14:paraId="64512490"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17F4A49F"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1F5C285A"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$7,800</w:t>
            </w:r>
          </w:p>
        </w:tc>
        <w:tc>
          <w:tcPr>
            <w:tcW w:w="1866" w:type="dxa"/>
            <w:gridSpan w:val="2"/>
            <w:tcBorders>
              <w:top w:val="nil"/>
              <w:left w:val="nil"/>
              <w:bottom w:val="single" w:sz="4" w:space="0" w:color="auto"/>
              <w:right w:val="single" w:sz="4" w:space="0" w:color="auto"/>
            </w:tcBorders>
            <w:hideMark/>
          </w:tcPr>
          <w:p w:rsidR="00DF7789" w:rsidRPr="00DF7789" w:rsidP="00DF7789" w14:paraId="2D84CE34"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5AE75BA2" w14:textId="77777777">
            <w:pPr>
              <w:spacing w:after="0" w:line="240" w:lineRule="auto"/>
              <w:jc w:val="right"/>
              <w:rPr>
                <w:rFonts w:ascii="Times New Roman" w:eastAsia="Times New Roman" w:hAnsi="Times New Roman" w:cs="Times New Roman"/>
                <w:sz w:val="20"/>
                <w:szCs w:val="20"/>
              </w:rPr>
            </w:pPr>
            <w:r w:rsidRPr="00DF7789">
              <w:rPr>
                <w:rFonts w:ascii="Times New Roman" w:eastAsia="Times New Roman" w:hAnsi="Times New Roman" w:cs="Times New Roman"/>
                <w:sz w:val="20"/>
                <w:szCs w:val="20"/>
              </w:rPr>
              <w:t>$101,400</w:t>
            </w:r>
          </w:p>
        </w:tc>
      </w:tr>
      <w:tr w14:paraId="4F72A146" w14:textId="77777777" w:rsidTr="007F6454">
        <w:tblPrEx>
          <w:tblW w:w="13063" w:type="dxa"/>
          <w:tblInd w:w="113" w:type="dxa"/>
          <w:tblLook w:val="04A0"/>
        </w:tblPrEx>
        <w:trPr>
          <w:trHeight w:val="525"/>
        </w:trPr>
        <w:tc>
          <w:tcPr>
            <w:tcW w:w="1867" w:type="dxa"/>
            <w:tcBorders>
              <w:top w:val="nil"/>
              <w:left w:val="single" w:sz="4" w:space="0" w:color="000000"/>
              <w:bottom w:val="single" w:sz="4" w:space="0" w:color="auto"/>
              <w:right w:val="single" w:sz="4" w:space="0" w:color="auto"/>
            </w:tcBorders>
            <w:hideMark/>
          </w:tcPr>
          <w:p w:rsidR="00DF7789" w:rsidRPr="00DF7789" w:rsidP="00DF7789" w14:paraId="0F8F5013"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Uncontrolled Wastewater testing </w:t>
            </w:r>
            <w:r w:rsidRPr="00DF7789">
              <w:rPr>
                <w:rFonts w:ascii="Times New Roman" w:eastAsia="Times New Roman" w:hAnsi="Times New Roman" w:cs="Times New Roman"/>
                <w:color w:val="000000"/>
                <w:sz w:val="20"/>
                <w:szCs w:val="20"/>
                <w:vertAlign w:val="superscript"/>
              </w:rPr>
              <w:t>8</w:t>
            </w:r>
          </w:p>
        </w:tc>
        <w:tc>
          <w:tcPr>
            <w:tcW w:w="1866" w:type="dxa"/>
            <w:gridSpan w:val="3"/>
            <w:tcBorders>
              <w:top w:val="nil"/>
              <w:left w:val="nil"/>
              <w:bottom w:val="single" w:sz="4" w:space="0" w:color="auto"/>
              <w:right w:val="single" w:sz="4" w:space="0" w:color="auto"/>
            </w:tcBorders>
            <w:hideMark/>
          </w:tcPr>
          <w:p w:rsidR="00DF7789" w:rsidRPr="00DF7789" w:rsidP="00DF7789" w14:paraId="07FFB542"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77D95BF9"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68AA45BB"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674214E3"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$3,437</w:t>
            </w:r>
          </w:p>
        </w:tc>
        <w:tc>
          <w:tcPr>
            <w:tcW w:w="1866" w:type="dxa"/>
            <w:gridSpan w:val="2"/>
            <w:tcBorders>
              <w:top w:val="nil"/>
              <w:left w:val="nil"/>
              <w:bottom w:val="single" w:sz="4" w:space="0" w:color="auto"/>
              <w:right w:val="single" w:sz="4" w:space="0" w:color="auto"/>
            </w:tcBorders>
            <w:hideMark/>
          </w:tcPr>
          <w:p w:rsidR="00DF7789" w:rsidRPr="00DF7789" w:rsidP="00DF7789" w14:paraId="6D282F44"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39AA25A3"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$44,681</w:t>
            </w:r>
          </w:p>
        </w:tc>
      </w:tr>
      <w:tr w14:paraId="396FB599" w14:textId="77777777" w:rsidTr="007F6454">
        <w:tblPrEx>
          <w:tblW w:w="13063" w:type="dxa"/>
          <w:tblInd w:w="113" w:type="dxa"/>
          <w:tblLook w:val="04A0"/>
        </w:tblPrEx>
        <w:trPr>
          <w:trHeight w:val="576"/>
        </w:trPr>
        <w:tc>
          <w:tcPr>
            <w:tcW w:w="1867" w:type="dxa"/>
            <w:tcBorders>
              <w:top w:val="nil"/>
              <w:left w:val="single" w:sz="4" w:space="0" w:color="000000"/>
              <w:bottom w:val="single" w:sz="4" w:space="0" w:color="auto"/>
              <w:right w:val="single" w:sz="4" w:space="0" w:color="auto"/>
            </w:tcBorders>
            <w:hideMark/>
          </w:tcPr>
          <w:p w:rsidR="00DF7789" w:rsidRPr="00DF7789" w:rsidP="00DF7789" w14:paraId="7BA1EA12"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Uncontrolled wastewater: Non-VC TOHAP testing </w:t>
            </w:r>
            <w:r w:rsidRPr="00DF7789">
              <w:rPr>
                <w:rFonts w:ascii="Times New Roman" w:eastAsia="Times New Roman" w:hAnsi="Times New Roman" w:cs="Times New Roman"/>
                <w:color w:val="000000"/>
                <w:sz w:val="20"/>
                <w:szCs w:val="20"/>
                <w:vertAlign w:val="superscript"/>
              </w:rPr>
              <w:t>9</w:t>
            </w:r>
          </w:p>
        </w:tc>
        <w:tc>
          <w:tcPr>
            <w:tcW w:w="1866" w:type="dxa"/>
            <w:gridSpan w:val="3"/>
            <w:tcBorders>
              <w:top w:val="nil"/>
              <w:left w:val="nil"/>
              <w:bottom w:val="single" w:sz="4" w:space="0" w:color="auto"/>
              <w:right w:val="single" w:sz="4" w:space="0" w:color="auto"/>
            </w:tcBorders>
            <w:hideMark/>
          </w:tcPr>
          <w:p w:rsidR="00DF7789" w:rsidRPr="00DF7789" w:rsidP="00DF7789" w14:paraId="0D9DA71C"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$3,250</w:t>
            </w:r>
          </w:p>
        </w:tc>
        <w:tc>
          <w:tcPr>
            <w:tcW w:w="1866" w:type="dxa"/>
            <w:gridSpan w:val="2"/>
            <w:tcBorders>
              <w:top w:val="nil"/>
              <w:left w:val="nil"/>
              <w:bottom w:val="single" w:sz="4" w:space="0" w:color="auto"/>
              <w:right w:val="single" w:sz="4" w:space="0" w:color="auto"/>
            </w:tcBorders>
            <w:hideMark/>
          </w:tcPr>
          <w:p w:rsidR="00DF7789" w:rsidRPr="00DF7789" w:rsidP="00DF7789" w14:paraId="7420864E"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1ECD53D3"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4615984C"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$4,550</w:t>
            </w:r>
          </w:p>
        </w:tc>
        <w:tc>
          <w:tcPr>
            <w:tcW w:w="1866" w:type="dxa"/>
            <w:gridSpan w:val="2"/>
            <w:tcBorders>
              <w:top w:val="nil"/>
              <w:left w:val="nil"/>
              <w:bottom w:val="single" w:sz="4" w:space="0" w:color="auto"/>
              <w:right w:val="single" w:sz="4" w:space="0" w:color="auto"/>
            </w:tcBorders>
            <w:hideMark/>
          </w:tcPr>
          <w:p w:rsidR="00DF7789" w:rsidRPr="00DF7789" w:rsidP="00DF7789" w14:paraId="458082DC"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6E29174C"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$59,150</w:t>
            </w:r>
          </w:p>
        </w:tc>
      </w:tr>
      <w:tr w14:paraId="27FEDC1B" w14:textId="77777777" w:rsidTr="007F6454">
        <w:tblPrEx>
          <w:tblW w:w="13063" w:type="dxa"/>
          <w:tblInd w:w="113" w:type="dxa"/>
          <w:tblLook w:val="04A0"/>
        </w:tblPrEx>
        <w:trPr>
          <w:trHeight w:val="375"/>
        </w:trPr>
        <w:tc>
          <w:tcPr>
            <w:tcW w:w="1867" w:type="dxa"/>
            <w:tcBorders>
              <w:top w:val="nil"/>
              <w:left w:val="single" w:sz="4" w:space="0" w:color="000000"/>
              <w:bottom w:val="single" w:sz="4" w:space="0" w:color="auto"/>
              <w:right w:val="single" w:sz="4" w:space="0" w:color="auto"/>
            </w:tcBorders>
            <w:hideMark/>
          </w:tcPr>
          <w:p w:rsidR="00DF7789" w:rsidRPr="00DF7789" w:rsidP="00DF7789" w14:paraId="0D967325"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Equipment Leak Testing</w:t>
            </w:r>
            <w:r w:rsidRPr="00DF7789">
              <w:rPr>
                <w:rFonts w:ascii="Times New Roman" w:eastAsia="Times New Roman" w:hAnsi="Times New Roman" w:cs="Times New Roman"/>
                <w:color w:val="000000"/>
                <w:sz w:val="20"/>
                <w:szCs w:val="20"/>
                <w:vertAlign w:val="superscript"/>
              </w:rPr>
              <w:t xml:space="preserve"> 10</w:t>
            </w:r>
          </w:p>
        </w:tc>
        <w:tc>
          <w:tcPr>
            <w:tcW w:w="1866" w:type="dxa"/>
            <w:gridSpan w:val="3"/>
            <w:tcBorders>
              <w:top w:val="nil"/>
              <w:left w:val="nil"/>
              <w:bottom w:val="single" w:sz="4" w:space="0" w:color="auto"/>
              <w:right w:val="single" w:sz="4" w:space="0" w:color="auto"/>
            </w:tcBorders>
            <w:hideMark/>
          </w:tcPr>
          <w:p w:rsidR="00DF7789" w:rsidRPr="00DF7789" w:rsidP="00DF7789" w14:paraId="5FCC0DA2"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$77,798</w:t>
            </w:r>
          </w:p>
        </w:tc>
        <w:tc>
          <w:tcPr>
            <w:tcW w:w="1866" w:type="dxa"/>
            <w:gridSpan w:val="2"/>
            <w:tcBorders>
              <w:top w:val="nil"/>
              <w:left w:val="nil"/>
              <w:bottom w:val="single" w:sz="4" w:space="0" w:color="auto"/>
              <w:right w:val="single" w:sz="4" w:space="0" w:color="auto"/>
            </w:tcBorders>
            <w:hideMark/>
          </w:tcPr>
          <w:p w:rsidR="00DF7789" w:rsidRPr="00DF7789" w:rsidP="00DF7789" w14:paraId="3233ECB9"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0 </w:t>
            </w:r>
          </w:p>
        </w:tc>
        <w:tc>
          <w:tcPr>
            <w:tcW w:w="1866" w:type="dxa"/>
            <w:tcBorders>
              <w:top w:val="nil"/>
              <w:left w:val="nil"/>
              <w:bottom w:val="single" w:sz="4" w:space="0" w:color="auto"/>
              <w:right w:val="single" w:sz="4" w:space="0" w:color="auto"/>
            </w:tcBorders>
            <w:hideMark/>
          </w:tcPr>
          <w:p w:rsidR="00DF7789" w:rsidRPr="00DF7789" w:rsidP="00DF7789" w14:paraId="0D0D4C21"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auto"/>
              <w:right w:val="single" w:sz="4" w:space="0" w:color="auto"/>
            </w:tcBorders>
            <w:hideMark/>
          </w:tcPr>
          <w:p w:rsidR="00DF7789" w:rsidRPr="00DF7789" w:rsidP="00DF7789" w14:paraId="522E3613"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$18,205</w:t>
            </w:r>
          </w:p>
        </w:tc>
        <w:tc>
          <w:tcPr>
            <w:tcW w:w="1866" w:type="dxa"/>
            <w:gridSpan w:val="2"/>
            <w:tcBorders>
              <w:top w:val="nil"/>
              <w:left w:val="nil"/>
              <w:bottom w:val="single" w:sz="4" w:space="0" w:color="auto"/>
              <w:right w:val="single" w:sz="4" w:space="0" w:color="auto"/>
            </w:tcBorders>
            <w:hideMark/>
          </w:tcPr>
          <w:p w:rsidR="00DF7789" w:rsidRPr="00DF7789" w:rsidP="00DF7789" w14:paraId="51DD578F"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xml:space="preserve">13 </w:t>
            </w:r>
          </w:p>
        </w:tc>
        <w:tc>
          <w:tcPr>
            <w:tcW w:w="1866" w:type="dxa"/>
            <w:tcBorders>
              <w:top w:val="nil"/>
              <w:left w:val="nil"/>
              <w:bottom w:val="single" w:sz="4" w:space="0" w:color="auto"/>
              <w:right w:val="single" w:sz="4" w:space="0" w:color="000000"/>
            </w:tcBorders>
            <w:vAlign w:val="bottom"/>
            <w:hideMark/>
          </w:tcPr>
          <w:p w:rsidR="00DF7789" w:rsidRPr="00DF7789" w:rsidP="00DF7789" w14:paraId="3374EEED"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$236,665</w:t>
            </w:r>
          </w:p>
        </w:tc>
      </w:tr>
      <w:tr w14:paraId="236C3A65" w14:textId="77777777" w:rsidTr="007F6454">
        <w:tblPrEx>
          <w:tblW w:w="13063" w:type="dxa"/>
          <w:tblInd w:w="113" w:type="dxa"/>
          <w:tblLook w:val="04A0"/>
        </w:tblPrEx>
        <w:trPr>
          <w:trHeight w:val="264"/>
        </w:trPr>
        <w:tc>
          <w:tcPr>
            <w:tcW w:w="13063" w:type="dxa"/>
            <w:gridSpan w:val="12"/>
            <w:tcBorders>
              <w:top w:val="single" w:sz="4" w:space="0" w:color="auto"/>
              <w:left w:val="single" w:sz="4" w:space="0" w:color="000000"/>
              <w:bottom w:val="single" w:sz="4" w:space="0" w:color="auto"/>
              <w:right w:val="single" w:sz="4" w:space="0" w:color="000000"/>
            </w:tcBorders>
            <w:hideMark/>
          </w:tcPr>
          <w:p w:rsidR="00DF7789" w:rsidRPr="00DF7789" w:rsidP="00DF7789" w14:paraId="774EC1C3" w14:textId="77777777">
            <w:pPr>
              <w:spacing w:after="0" w:line="240" w:lineRule="auto"/>
              <w:jc w:val="center"/>
              <w:rPr>
                <w:rFonts w:ascii="Times New Roman" w:eastAsia="Times New Roman" w:hAnsi="Times New Roman" w:cs="Times New Roman"/>
                <w:b/>
                <w:bCs/>
                <w:color w:val="000000"/>
                <w:sz w:val="20"/>
                <w:szCs w:val="20"/>
              </w:rPr>
            </w:pPr>
            <w:r w:rsidRPr="00DF7789">
              <w:rPr>
                <w:rFonts w:ascii="Times New Roman" w:eastAsia="Times New Roman" w:hAnsi="Times New Roman" w:cs="Times New Roman"/>
                <w:b/>
                <w:bCs/>
                <w:color w:val="000000"/>
                <w:sz w:val="20"/>
                <w:szCs w:val="20"/>
              </w:rPr>
              <w:t>Total</w:t>
            </w:r>
          </w:p>
        </w:tc>
      </w:tr>
      <w:tr w14:paraId="54D147CA" w14:textId="77777777" w:rsidTr="007F6454">
        <w:tblPrEx>
          <w:tblW w:w="13063" w:type="dxa"/>
          <w:tblInd w:w="113" w:type="dxa"/>
          <w:tblLook w:val="04A0"/>
        </w:tblPrEx>
        <w:trPr>
          <w:trHeight w:val="264"/>
        </w:trPr>
        <w:tc>
          <w:tcPr>
            <w:tcW w:w="1867" w:type="dxa"/>
            <w:tcBorders>
              <w:top w:val="nil"/>
              <w:left w:val="single" w:sz="4" w:space="0" w:color="000000"/>
              <w:bottom w:val="single" w:sz="4" w:space="0" w:color="000000"/>
              <w:right w:val="single" w:sz="4" w:space="0" w:color="auto"/>
            </w:tcBorders>
            <w:hideMark/>
          </w:tcPr>
          <w:p w:rsidR="00DF7789" w:rsidRPr="00DF7789" w:rsidP="00DF7789" w14:paraId="0A09058B"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3"/>
            <w:tcBorders>
              <w:top w:val="nil"/>
              <w:left w:val="nil"/>
              <w:bottom w:val="single" w:sz="4" w:space="0" w:color="000000"/>
              <w:right w:val="single" w:sz="4" w:space="0" w:color="auto"/>
            </w:tcBorders>
            <w:hideMark/>
          </w:tcPr>
          <w:p w:rsidR="00DF7789" w:rsidRPr="00DF7789" w:rsidP="00DF7789" w14:paraId="1726589A"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single" w:sz="4" w:space="0" w:color="000000"/>
              <w:right w:val="single" w:sz="4" w:space="0" w:color="auto"/>
            </w:tcBorders>
            <w:hideMark/>
          </w:tcPr>
          <w:p w:rsidR="00DF7789" w:rsidRPr="00DF7789" w:rsidP="00DF7789" w14:paraId="3521BAC7"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tcBorders>
              <w:top w:val="nil"/>
              <w:left w:val="nil"/>
              <w:bottom w:val="single" w:sz="4" w:space="0" w:color="000000"/>
              <w:right w:val="single" w:sz="4" w:space="0" w:color="auto"/>
            </w:tcBorders>
            <w:hideMark/>
          </w:tcPr>
          <w:p w:rsidR="00DF7789" w:rsidRPr="00DF7789" w:rsidP="00DF7789" w14:paraId="6A072BEC"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$0</w:t>
            </w:r>
          </w:p>
        </w:tc>
        <w:tc>
          <w:tcPr>
            <w:tcW w:w="1866" w:type="dxa"/>
            <w:gridSpan w:val="2"/>
            <w:tcBorders>
              <w:top w:val="nil"/>
              <w:left w:val="nil"/>
              <w:bottom w:val="single" w:sz="4" w:space="0" w:color="000000"/>
              <w:right w:val="single" w:sz="4" w:space="0" w:color="auto"/>
            </w:tcBorders>
            <w:hideMark/>
          </w:tcPr>
          <w:p w:rsidR="00DF7789" w:rsidRPr="00DF7789" w:rsidP="00DF7789" w14:paraId="302CEF73"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gridSpan w:val="2"/>
            <w:tcBorders>
              <w:top w:val="nil"/>
              <w:left w:val="nil"/>
              <w:bottom w:val="single" w:sz="4" w:space="0" w:color="000000"/>
              <w:right w:val="single" w:sz="4" w:space="0" w:color="auto"/>
            </w:tcBorders>
            <w:hideMark/>
          </w:tcPr>
          <w:p w:rsidR="00DF7789" w:rsidRPr="00DF7789" w:rsidP="00DF7789" w14:paraId="46EAEC23" w14:textId="77777777">
            <w:pPr>
              <w:spacing w:after="0" w:line="240" w:lineRule="auto"/>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 </w:t>
            </w:r>
          </w:p>
        </w:tc>
        <w:tc>
          <w:tcPr>
            <w:tcW w:w="1866" w:type="dxa"/>
            <w:tcBorders>
              <w:top w:val="nil"/>
              <w:left w:val="nil"/>
              <w:bottom w:val="single" w:sz="4" w:space="0" w:color="000000"/>
              <w:right w:val="single" w:sz="4" w:space="0" w:color="000000"/>
            </w:tcBorders>
            <w:hideMark/>
          </w:tcPr>
          <w:p w:rsidR="00DF7789" w:rsidRPr="00DF7789" w:rsidP="00DF7789" w14:paraId="3D71E0FE" w14:textId="77777777">
            <w:pPr>
              <w:spacing w:after="0" w:line="240" w:lineRule="auto"/>
              <w:jc w:val="right"/>
              <w:rPr>
                <w:rFonts w:ascii="Times New Roman" w:eastAsia="Times New Roman" w:hAnsi="Times New Roman" w:cs="Times New Roman"/>
                <w:color w:val="000000"/>
                <w:sz w:val="20"/>
                <w:szCs w:val="20"/>
              </w:rPr>
            </w:pPr>
            <w:r w:rsidRPr="00DF7789">
              <w:rPr>
                <w:rFonts w:ascii="Times New Roman" w:eastAsia="Times New Roman" w:hAnsi="Times New Roman" w:cs="Times New Roman"/>
                <w:color w:val="000000"/>
                <w:sz w:val="20"/>
                <w:szCs w:val="20"/>
              </w:rPr>
              <w:t>$7,140,000</w:t>
            </w:r>
          </w:p>
        </w:tc>
      </w:tr>
      <w:tr w14:paraId="73FB5408" w14:textId="77777777" w:rsidTr="007F6454">
        <w:tblPrEx>
          <w:tblW w:w="13063" w:type="dxa"/>
          <w:tblInd w:w="113" w:type="dxa"/>
          <w:tblLook w:val="04A0"/>
        </w:tblPrEx>
        <w:trPr>
          <w:trHeight w:val="240"/>
        </w:trPr>
        <w:tc>
          <w:tcPr>
            <w:tcW w:w="13063" w:type="dxa"/>
            <w:gridSpan w:val="12"/>
            <w:tcBorders>
              <w:top w:val="nil"/>
              <w:left w:val="nil"/>
              <w:bottom w:val="nil"/>
              <w:right w:val="nil"/>
            </w:tcBorders>
            <w:vAlign w:val="bottom"/>
            <w:hideMark/>
          </w:tcPr>
          <w:p w:rsidR="00DF7789" w:rsidRPr="00DF7789" w:rsidP="00DF7789" w14:paraId="7BBBF036"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1</w:t>
            </w:r>
            <w:r w:rsidRPr="00DF7789">
              <w:rPr>
                <w:rFonts w:ascii="Times New Roman" w:eastAsia="Times New Roman" w:hAnsi="Times New Roman" w:cs="Times New Roman"/>
                <w:color w:val="000000"/>
                <w:sz w:val="18"/>
                <w:szCs w:val="18"/>
              </w:rPr>
              <w:t xml:space="preserve"> The capital cost of a PRD monitor is $15,000 per device, and it is assumed that 25 devices per facility require indicators.</w:t>
            </w:r>
          </w:p>
        </w:tc>
      </w:tr>
      <w:tr w14:paraId="50AF26C0"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0BD3A009" w14:textId="48292F53">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2</w:t>
            </w:r>
            <w:r w:rsidRPr="00DF7789">
              <w:rPr>
                <w:rFonts w:ascii="Times New Roman" w:eastAsia="Times New Roman" w:hAnsi="Times New Roman" w:cs="Times New Roman"/>
                <w:color w:val="000000"/>
                <w:sz w:val="18"/>
                <w:szCs w:val="18"/>
              </w:rPr>
              <w:t xml:space="preserve"> Per VI's previous comments, there are approximately 60 GC monitors at the 13 major sources in the industry with an annual O&amp;M cost of $45,000 per monitor.</w:t>
            </w:r>
            <w:r w:rsidR="00736C45">
              <w:rPr>
                <w:rFonts w:ascii="Times New Roman" w:eastAsia="Times New Roman" w:hAnsi="Times New Roman" w:cs="Times New Roman"/>
                <w:color w:val="000000"/>
                <w:sz w:val="18"/>
                <w:szCs w:val="18"/>
              </w:rPr>
              <w:t xml:space="preserve"> </w:t>
            </w:r>
          </w:p>
        </w:tc>
      </w:tr>
      <w:tr w14:paraId="2AE79A96"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6A6E7767"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3</w:t>
            </w:r>
            <w:r w:rsidRPr="00DF7789">
              <w:rPr>
                <w:rFonts w:ascii="Times New Roman" w:eastAsia="Times New Roman" w:hAnsi="Times New Roman" w:cs="Times New Roman"/>
                <w:color w:val="000000"/>
                <w:sz w:val="18"/>
                <w:szCs w:val="18"/>
              </w:rPr>
              <w:t xml:space="preserve"> Per VI's previous comments, the cost to test one thermal oxidizer in 2018 was $99,080 and there are 32 thermal oxidizers in operation at 13 major source facilities</w:t>
            </w:r>
          </w:p>
        </w:tc>
      </w:tr>
      <w:tr w14:paraId="4775621D" w14:textId="77777777" w:rsidTr="007F6454">
        <w:tblPrEx>
          <w:tblW w:w="13063" w:type="dxa"/>
          <w:tblInd w:w="113" w:type="dxa"/>
          <w:tblLook w:val="04A0"/>
        </w:tblPrEx>
        <w:trPr>
          <w:trHeight w:val="288"/>
        </w:trPr>
        <w:tc>
          <w:tcPr>
            <w:tcW w:w="13063" w:type="dxa"/>
            <w:gridSpan w:val="12"/>
            <w:tcBorders>
              <w:top w:val="nil"/>
              <w:left w:val="nil"/>
              <w:bottom w:val="nil"/>
              <w:right w:val="nil"/>
            </w:tcBorders>
            <w:vAlign w:val="bottom"/>
            <w:hideMark/>
          </w:tcPr>
          <w:p w:rsidR="00DF7789" w:rsidRPr="00DF7789" w:rsidP="00DF7789" w14:paraId="1222431D"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4 </w:t>
            </w:r>
            <w:r w:rsidRPr="00DF7789">
              <w:rPr>
                <w:rFonts w:ascii="Times New Roman" w:eastAsia="Times New Roman" w:hAnsi="Times New Roman" w:cs="Times New Roman"/>
                <w:color w:val="000000"/>
                <w:sz w:val="18"/>
                <w:szCs w:val="18"/>
              </w:rPr>
              <w:t xml:space="preserve">Per VI's previous comments, monthly maintenance and service of a lab GC costs $600 per unit. </w:t>
            </w:r>
          </w:p>
        </w:tc>
      </w:tr>
      <w:tr w14:paraId="5E088A8A"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7D41BD4F"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5 </w:t>
            </w:r>
            <w:r w:rsidRPr="00DF7789">
              <w:rPr>
                <w:rFonts w:ascii="Times New Roman" w:eastAsia="Times New Roman" w:hAnsi="Times New Roman" w:cs="Times New Roman"/>
                <w:color w:val="000000"/>
                <w:sz w:val="18"/>
                <w:szCs w:val="18"/>
              </w:rPr>
              <w:t xml:space="preserve">Per VI's previous comments, the costs of Non-VC TOHAP testing is $650 per sample, and 3 resin samples per facility. </w:t>
            </w:r>
          </w:p>
        </w:tc>
      </w:tr>
      <w:tr w14:paraId="0C592098"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08B7C04E"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6 </w:t>
            </w:r>
            <w:r w:rsidRPr="00DF7789">
              <w:rPr>
                <w:rFonts w:ascii="Times New Roman" w:eastAsia="Times New Roman" w:hAnsi="Times New Roman" w:cs="Times New Roman"/>
                <w:color w:val="000000"/>
                <w:sz w:val="18"/>
                <w:szCs w:val="18"/>
              </w:rPr>
              <w:t>Monthly testing ($491 x 12 months = $5,892 per year)</w:t>
            </w:r>
          </w:p>
        </w:tc>
      </w:tr>
      <w:tr w14:paraId="199E71E4"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524419CB"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7 </w:t>
            </w:r>
            <w:r w:rsidRPr="00DF7789">
              <w:rPr>
                <w:rFonts w:ascii="Times New Roman" w:eastAsia="Times New Roman" w:hAnsi="Times New Roman" w:cs="Times New Roman"/>
                <w:color w:val="000000"/>
                <w:sz w:val="18"/>
                <w:szCs w:val="18"/>
              </w:rPr>
              <w:t>Per VI's previous comments, the costs of Non-VC TOHAP testing is $650 per sample, and one sample per facility.</w:t>
            </w:r>
          </w:p>
        </w:tc>
      </w:tr>
      <w:tr w14:paraId="577F0EA4"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6E83F5F1"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8 </w:t>
            </w:r>
            <w:r w:rsidRPr="00DF7789">
              <w:rPr>
                <w:rFonts w:ascii="Times New Roman" w:eastAsia="Times New Roman" w:hAnsi="Times New Roman" w:cs="Times New Roman"/>
                <w:color w:val="000000"/>
                <w:sz w:val="18"/>
                <w:szCs w:val="18"/>
              </w:rPr>
              <w:t>Per VI's previous comments, there are 5 uncontrolled wastewater streams and 2 cooling tower streams per source sampled annually. Using a cost of $491 per sample x 7 samples = $3,437</w:t>
            </w:r>
          </w:p>
        </w:tc>
      </w:tr>
      <w:tr w14:paraId="7C3440EA"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40619F97"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9 </w:t>
            </w:r>
            <w:r w:rsidRPr="00DF7789">
              <w:rPr>
                <w:rFonts w:ascii="Times New Roman" w:eastAsia="Times New Roman" w:hAnsi="Times New Roman" w:cs="Times New Roman"/>
                <w:color w:val="000000"/>
                <w:sz w:val="18"/>
                <w:szCs w:val="18"/>
              </w:rPr>
              <w:t>The costs of Non-VC TOHAP testing is assumed to be $650 per sample. Per VI's previous comments there are 5 uncontrolled wastewater streams and 2 cooling water streams per source sampled annually. $650 x 7 = $4,550</w:t>
            </w:r>
          </w:p>
        </w:tc>
      </w:tr>
      <w:tr w14:paraId="74073101" w14:textId="77777777" w:rsidTr="007F6454">
        <w:tblPrEx>
          <w:tblW w:w="13063" w:type="dxa"/>
          <w:tblInd w:w="113" w:type="dxa"/>
          <w:tblLook w:val="04A0"/>
        </w:tblPrEx>
        <w:trPr>
          <w:trHeight w:val="288"/>
        </w:trPr>
        <w:tc>
          <w:tcPr>
            <w:tcW w:w="13063" w:type="dxa"/>
            <w:gridSpan w:val="12"/>
            <w:tcBorders>
              <w:top w:val="nil"/>
              <w:left w:val="nil"/>
              <w:bottom w:val="nil"/>
              <w:right w:val="nil"/>
            </w:tcBorders>
            <w:noWrap/>
            <w:vAlign w:val="bottom"/>
            <w:hideMark/>
          </w:tcPr>
          <w:p w:rsidR="00DF7789" w:rsidRPr="00DF7789" w:rsidP="00DF7789" w14:paraId="7BAB41C6" w14:textId="77777777">
            <w:pPr>
              <w:spacing w:after="0" w:line="240" w:lineRule="auto"/>
              <w:rPr>
                <w:rFonts w:ascii="Times New Roman" w:eastAsia="Times New Roman" w:hAnsi="Times New Roman" w:cs="Times New Roman"/>
                <w:color w:val="000000"/>
                <w:sz w:val="18"/>
                <w:szCs w:val="18"/>
              </w:rPr>
            </w:pPr>
            <w:r w:rsidRPr="00DF7789">
              <w:rPr>
                <w:rFonts w:ascii="Times New Roman" w:eastAsia="Times New Roman" w:hAnsi="Times New Roman" w:cs="Times New Roman"/>
                <w:color w:val="000000"/>
                <w:sz w:val="18"/>
                <w:szCs w:val="18"/>
                <w:vertAlign w:val="superscript"/>
              </w:rPr>
              <w:t xml:space="preserve">10 </w:t>
            </w:r>
            <w:r w:rsidRPr="00DF7789">
              <w:rPr>
                <w:rFonts w:ascii="Times New Roman" w:eastAsia="Times New Roman" w:hAnsi="Times New Roman" w:cs="Times New Roman"/>
                <w:color w:val="000000"/>
                <w:sz w:val="18"/>
                <w:szCs w:val="18"/>
              </w:rPr>
              <w:t xml:space="preserve">13 facilities maintain LDAR programs to comply with 40 CFR 63, Subpart UU </w:t>
            </w:r>
          </w:p>
        </w:tc>
      </w:tr>
    </w:tbl>
    <w:p w:rsidR="00510C08" w:rsidRPr="00BB3410" w:rsidP="00BB3410" w14:paraId="65EF7DEF" w14:textId="77777777">
      <w:pPr>
        <w:pStyle w:val="ListParagraph"/>
        <w:spacing w:before="240"/>
        <w:ind w:left="0"/>
        <w:rPr>
          <w:rFonts w:cstheme="minorHAnsi"/>
          <w:sz w:val="24"/>
          <w:szCs w:val="24"/>
        </w:rPr>
      </w:pPr>
    </w:p>
    <w:sectPr w:rsidSect="00DF77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C08" w14:paraId="6CC1D863" w14:textId="77777777">
    <w:pPr>
      <w:framePr w:wrap="notBeside" w:hAnchor="text" w:xAlign="center"/>
    </w:pPr>
    <w:r>
      <w:fldChar w:fldCharType="begin"/>
    </w:r>
    <w:r>
      <w:instrText xml:space="preserve"> PAGE  </w:instrText>
    </w:r>
    <w:r>
      <w:fldChar w:fldCharType="separate"/>
    </w:r>
    <w:r>
      <w:rPr>
        <w:noProof/>
      </w:rPr>
      <w:t>2</w:t>
    </w:r>
    <w:r>
      <w:fldChar w:fldCharType="end"/>
    </w:r>
  </w:p>
  <w:p w:rsidR="00510C08" w14:paraId="639731F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1A7A"/>
    <w:rsid w:val="00032552"/>
    <w:rsid w:val="00033219"/>
    <w:rsid w:val="000361A8"/>
    <w:rsid w:val="00036CF2"/>
    <w:rsid w:val="00037107"/>
    <w:rsid w:val="00042F77"/>
    <w:rsid w:val="0004467E"/>
    <w:rsid w:val="000452DC"/>
    <w:rsid w:val="000459E3"/>
    <w:rsid w:val="000461BA"/>
    <w:rsid w:val="00047160"/>
    <w:rsid w:val="000500B1"/>
    <w:rsid w:val="00050BB4"/>
    <w:rsid w:val="00051045"/>
    <w:rsid w:val="0005163A"/>
    <w:rsid w:val="000521D6"/>
    <w:rsid w:val="00053570"/>
    <w:rsid w:val="000537F2"/>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C7A"/>
    <w:rsid w:val="000762A8"/>
    <w:rsid w:val="00076439"/>
    <w:rsid w:val="00076F0F"/>
    <w:rsid w:val="00077D8A"/>
    <w:rsid w:val="00082A72"/>
    <w:rsid w:val="00083D4A"/>
    <w:rsid w:val="00084BF3"/>
    <w:rsid w:val="00090627"/>
    <w:rsid w:val="00090750"/>
    <w:rsid w:val="000911D6"/>
    <w:rsid w:val="0009197A"/>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3D3"/>
    <w:rsid w:val="000A397C"/>
    <w:rsid w:val="000A4527"/>
    <w:rsid w:val="000B3576"/>
    <w:rsid w:val="000B461B"/>
    <w:rsid w:val="000B61F2"/>
    <w:rsid w:val="000B7BBA"/>
    <w:rsid w:val="000C04C0"/>
    <w:rsid w:val="000C21A3"/>
    <w:rsid w:val="000C41A7"/>
    <w:rsid w:val="000C43C8"/>
    <w:rsid w:val="000C531F"/>
    <w:rsid w:val="000C608D"/>
    <w:rsid w:val="000D224E"/>
    <w:rsid w:val="000D251E"/>
    <w:rsid w:val="000D25B3"/>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6F7E"/>
    <w:rsid w:val="00107505"/>
    <w:rsid w:val="0010DB22"/>
    <w:rsid w:val="00110CCE"/>
    <w:rsid w:val="00111049"/>
    <w:rsid w:val="00111663"/>
    <w:rsid w:val="00112360"/>
    <w:rsid w:val="00112675"/>
    <w:rsid w:val="001141DA"/>
    <w:rsid w:val="00116064"/>
    <w:rsid w:val="001172FE"/>
    <w:rsid w:val="00117FE1"/>
    <w:rsid w:val="001235F7"/>
    <w:rsid w:val="00127970"/>
    <w:rsid w:val="0013006A"/>
    <w:rsid w:val="00130CF9"/>
    <w:rsid w:val="001310E0"/>
    <w:rsid w:val="00132921"/>
    <w:rsid w:val="001329B3"/>
    <w:rsid w:val="00134252"/>
    <w:rsid w:val="00135EAD"/>
    <w:rsid w:val="00136237"/>
    <w:rsid w:val="00137EB8"/>
    <w:rsid w:val="00141AC2"/>
    <w:rsid w:val="00145DAE"/>
    <w:rsid w:val="00147B68"/>
    <w:rsid w:val="0015084F"/>
    <w:rsid w:val="00152A80"/>
    <w:rsid w:val="0015347D"/>
    <w:rsid w:val="001556C1"/>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B89"/>
    <w:rsid w:val="001A20B0"/>
    <w:rsid w:val="001A21A7"/>
    <w:rsid w:val="001A3351"/>
    <w:rsid w:val="001A4644"/>
    <w:rsid w:val="001A53A7"/>
    <w:rsid w:val="001A7293"/>
    <w:rsid w:val="001A74AB"/>
    <w:rsid w:val="001A76B3"/>
    <w:rsid w:val="001A7DEF"/>
    <w:rsid w:val="001B1773"/>
    <w:rsid w:val="001B1962"/>
    <w:rsid w:val="001B2D25"/>
    <w:rsid w:val="001B4565"/>
    <w:rsid w:val="001B46D7"/>
    <w:rsid w:val="001B4BEC"/>
    <w:rsid w:val="001B58F6"/>
    <w:rsid w:val="001B7B47"/>
    <w:rsid w:val="001C0151"/>
    <w:rsid w:val="001C04B9"/>
    <w:rsid w:val="001C0D93"/>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D5FAE"/>
    <w:rsid w:val="001D6302"/>
    <w:rsid w:val="001D658C"/>
    <w:rsid w:val="001E0924"/>
    <w:rsid w:val="001E1F36"/>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C51"/>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47C8B"/>
    <w:rsid w:val="0025051F"/>
    <w:rsid w:val="00251151"/>
    <w:rsid w:val="00252A4E"/>
    <w:rsid w:val="0025319A"/>
    <w:rsid w:val="00253DBC"/>
    <w:rsid w:val="0025617C"/>
    <w:rsid w:val="0026050F"/>
    <w:rsid w:val="00260FB7"/>
    <w:rsid w:val="0026158A"/>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6EAB"/>
    <w:rsid w:val="002A774D"/>
    <w:rsid w:val="002A7860"/>
    <w:rsid w:val="002A78D3"/>
    <w:rsid w:val="002B0036"/>
    <w:rsid w:val="002B1146"/>
    <w:rsid w:val="002B137E"/>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5DCE"/>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17E39"/>
    <w:rsid w:val="003224B7"/>
    <w:rsid w:val="00322A16"/>
    <w:rsid w:val="0032350D"/>
    <w:rsid w:val="00323E74"/>
    <w:rsid w:val="00324116"/>
    <w:rsid w:val="00324F21"/>
    <w:rsid w:val="003256A4"/>
    <w:rsid w:val="0032610A"/>
    <w:rsid w:val="00330B87"/>
    <w:rsid w:val="00331168"/>
    <w:rsid w:val="0033211D"/>
    <w:rsid w:val="00332C36"/>
    <w:rsid w:val="00333489"/>
    <w:rsid w:val="00342882"/>
    <w:rsid w:val="00342DB5"/>
    <w:rsid w:val="00343CEF"/>
    <w:rsid w:val="0034499B"/>
    <w:rsid w:val="00344CB0"/>
    <w:rsid w:val="003467C8"/>
    <w:rsid w:val="00347C3C"/>
    <w:rsid w:val="0035079F"/>
    <w:rsid w:val="003527C1"/>
    <w:rsid w:val="00352C25"/>
    <w:rsid w:val="00355687"/>
    <w:rsid w:val="003565B6"/>
    <w:rsid w:val="00356A66"/>
    <w:rsid w:val="00357418"/>
    <w:rsid w:val="0036059B"/>
    <w:rsid w:val="00360661"/>
    <w:rsid w:val="0036070B"/>
    <w:rsid w:val="00360B75"/>
    <w:rsid w:val="00361737"/>
    <w:rsid w:val="003627F9"/>
    <w:rsid w:val="00363F41"/>
    <w:rsid w:val="00364AE2"/>
    <w:rsid w:val="00366D56"/>
    <w:rsid w:val="00367871"/>
    <w:rsid w:val="00367DAD"/>
    <w:rsid w:val="0037007A"/>
    <w:rsid w:val="0037342A"/>
    <w:rsid w:val="00373CC8"/>
    <w:rsid w:val="00374E24"/>
    <w:rsid w:val="00375E2A"/>
    <w:rsid w:val="00376609"/>
    <w:rsid w:val="00380506"/>
    <w:rsid w:val="0038330C"/>
    <w:rsid w:val="003856DC"/>
    <w:rsid w:val="003901B8"/>
    <w:rsid w:val="003963EE"/>
    <w:rsid w:val="003A0E52"/>
    <w:rsid w:val="003A1D0D"/>
    <w:rsid w:val="003A3222"/>
    <w:rsid w:val="003A38FB"/>
    <w:rsid w:val="003A41A0"/>
    <w:rsid w:val="003A6BEF"/>
    <w:rsid w:val="003B04B9"/>
    <w:rsid w:val="003B0A8F"/>
    <w:rsid w:val="003B153D"/>
    <w:rsid w:val="003B43F8"/>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2B"/>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96"/>
    <w:rsid w:val="004468C2"/>
    <w:rsid w:val="00446B8D"/>
    <w:rsid w:val="00450C44"/>
    <w:rsid w:val="00456BEE"/>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5F4F"/>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5EF5"/>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08"/>
    <w:rsid w:val="00510C48"/>
    <w:rsid w:val="005119F4"/>
    <w:rsid w:val="00511DDD"/>
    <w:rsid w:val="00512F2D"/>
    <w:rsid w:val="00513479"/>
    <w:rsid w:val="0051499C"/>
    <w:rsid w:val="00515993"/>
    <w:rsid w:val="00516D0D"/>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2066"/>
    <w:rsid w:val="005636FA"/>
    <w:rsid w:val="0056373A"/>
    <w:rsid w:val="00564A1B"/>
    <w:rsid w:val="00564BF4"/>
    <w:rsid w:val="00565A5E"/>
    <w:rsid w:val="00566F71"/>
    <w:rsid w:val="00571C92"/>
    <w:rsid w:val="00571D24"/>
    <w:rsid w:val="005723B9"/>
    <w:rsid w:val="005726BA"/>
    <w:rsid w:val="0057299B"/>
    <w:rsid w:val="00573D5C"/>
    <w:rsid w:val="00574C83"/>
    <w:rsid w:val="005810DF"/>
    <w:rsid w:val="00583101"/>
    <w:rsid w:val="005836B3"/>
    <w:rsid w:val="00583AAC"/>
    <w:rsid w:val="00584CAC"/>
    <w:rsid w:val="00584D72"/>
    <w:rsid w:val="0058662D"/>
    <w:rsid w:val="005900C3"/>
    <w:rsid w:val="00590A21"/>
    <w:rsid w:val="005932EC"/>
    <w:rsid w:val="005966D8"/>
    <w:rsid w:val="00596FE2"/>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C3E29"/>
    <w:rsid w:val="005D0ACB"/>
    <w:rsid w:val="005D140B"/>
    <w:rsid w:val="005D1C36"/>
    <w:rsid w:val="005D1F2E"/>
    <w:rsid w:val="005D2654"/>
    <w:rsid w:val="005D2D34"/>
    <w:rsid w:val="005D2E6F"/>
    <w:rsid w:val="005D41C2"/>
    <w:rsid w:val="005D5624"/>
    <w:rsid w:val="005D5865"/>
    <w:rsid w:val="005D5F1D"/>
    <w:rsid w:val="005E023A"/>
    <w:rsid w:val="005E03A2"/>
    <w:rsid w:val="005E35C4"/>
    <w:rsid w:val="005E4A7B"/>
    <w:rsid w:val="005E4C2F"/>
    <w:rsid w:val="005E588F"/>
    <w:rsid w:val="005E5BEC"/>
    <w:rsid w:val="005E5D2D"/>
    <w:rsid w:val="005E6FAB"/>
    <w:rsid w:val="005F1234"/>
    <w:rsid w:val="005F13AA"/>
    <w:rsid w:val="005F484B"/>
    <w:rsid w:val="005F4E44"/>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61DD"/>
    <w:rsid w:val="0061689C"/>
    <w:rsid w:val="006210DF"/>
    <w:rsid w:val="0062163B"/>
    <w:rsid w:val="00622434"/>
    <w:rsid w:val="00622500"/>
    <w:rsid w:val="00622738"/>
    <w:rsid w:val="0062300C"/>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5722D"/>
    <w:rsid w:val="00660027"/>
    <w:rsid w:val="00660B98"/>
    <w:rsid w:val="00665EAF"/>
    <w:rsid w:val="00666566"/>
    <w:rsid w:val="00666D5A"/>
    <w:rsid w:val="00670897"/>
    <w:rsid w:val="0067296B"/>
    <w:rsid w:val="00672A20"/>
    <w:rsid w:val="006737EC"/>
    <w:rsid w:val="006739CE"/>
    <w:rsid w:val="0068304A"/>
    <w:rsid w:val="00683207"/>
    <w:rsid w:val="00686593"/>
    <w:rsid w:val="00686D59"/>
    <w:rsid w:val="00687254"/>
    <w:rsid w:val="00687583"/>
    <w:rsid w:val="00691828"/>
    <w:rsid w:val="00691A07"/>
    <w:rsid w:val="00692B88"/>
    <w:rsid w:val="00693D40"/>
    <w:rsid w:val="006971C6"/>
    <w:rsid w:val="00697598"/>
    <w:rsid w:val="00697D24"/>
    <w:rsid w:val="006A01ED"/>
    <w:rsid w:val="006A0C6C"/>
    <w:rsid w:val="006A173F"/>
    <w:rsid w:val="006A1AC5"/>
    <w:rsid w:val="006A231D"/>
    <w:rsid w:val="006A29EB"/>
    <w:rsid w:val="006A6A9E"/>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219E"/>
    <w:rsid w:val="006C4CAA"/>
    <w:rsid w:val="006C68A7"/>
    <w:rsid w:val="006C780F"/>
    <w:rsid w:val="006C79DB"/>
    <w:rsid w:val="006D09D6"/>
    <w:rsid w:val="006D1400"/>
    <w:rsid w:val="006D419B"/>
    <w:rsid w:val="006D6C61"/>
    <w:rsid w:val="006D7A1A"/>
    <w:rsid w:val="006E009D"/>
    <w:rsid w:val="006E0122"/>
    <w:rsid w:val="006E0428"/>
    <w:rsid w:val="006E0960"/>
    <w:rsid w:val="006E116F"/>
    <w:rsid w:val="006E13FF"/>
    <w:rsid w:val="006E197A"/>
    <w:rsid w:val="006E1DC0"/>
    <w:rsid w:val="006E4817"/>
    <w:rsid w:val="006E550C"/>
    <w:rsid w:val="006E569E"/>
    <w:rsid w:val="006E6819"/>
    <w:rsid w:val="006E6A2C"/>
    <w:rsid w:val="006E6C7E"/>
    <w:rsid w:val="006E7D37"/>
    <w:rsid w:val="006F1F1D"/>
    <w:rsid w:val="006F4946"/>
    <w:rsid w:val="00700983"/>
    <w:rsid w:val="007020F8"/>
    <w:rsid w:val="007025A2"/>
    <w:rsid w:val="007029CB"/>
    <w:rsid w:val="00702E91"/>
    <w:rsid w:val="00702F36"/>
    <w:rsid w:val="00703FEF"/>
    <w:rsid w:val="0070434E"/>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177A8"/>
    <w:rsid w:val="00722903"/>
    <w:rsid w:val="00723245"/>
    <w:rsid w:val="00724442"/>
    <w:rsid w:val="00724815"/>
    <w:rsid w:val="00726EFA"/>
    <w:rsid w:val="007279D9"/>
    <w:rsid w:val="00731652"/>
    <w:rsid w:val="00732759"/>
    <w:rsid w:val="00732A40"/>
    <w:rsid w:val="00733CCA"/>
    <w:rsid w:val="00735197"/>
    <w:rsid w:val="00735C37"/>
    <w:rsid w:val="00736C45"/>
    <w:rsid w:val="0073767D"/>
    <w:rsid w:val="0074077E"/>
    <w:rsid w:val="00741CD7"/>
    <w:rsid w:val="00742631"/>
    <w:rsid w:val="00742DE0"/>
    <w:rsid w:val="00743A10"/>
    <w:rsid w:val="00743BAD"/>
    <w:rsid w:val="00745A5F"/>
    <w:rsid w:val="00746F8F"/>
    <w:rsid w:val="00747678"/>
    <w:rsid w:val="00750796"/>
    <w:rsid w:val="007529E3"/>
    <w:rsid w:val="007534F8"/>
    <w:rsid w:val="0075404F"/>
    <w:rsid w:val="0075537F"/>
    <w:rsid w:val="007558ED"/>
    <w:rsid w:val="007560F1"/>
    <w:rsid w:val="00757E4A"/>
    <w:rsid w:val="00762228"/>
    <w:rsid w:val="00763E34"/>
    <w:rsid w:val="00764337"/>
    <w:rsid w:val="00764EF9"/>
    <w:rsid w:val="007674E8"/>
    <w:rsid w:val="00770A34"/>
    <w:rsid w:val="00770FC4"/>
    <w:rsid w:val="007711BC"/>
    <w:rsid w:val="007713C7"/>
    <w:rsid w:val="00772C87"/>
    <w:rsid w:val="00772D61"/>
    <w:rsid w:val="007744B9"/>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6454"/>
    <w:rsid w:val="007F7757"/>
    <w:rsid w:val="0080187D"/>
    <w:rsid w:val="0080190F"/>
    <w:rsid w:val="00802495"/>
    <w:rsid w:val="0080293D"/>
    <w:rsid w:val="00802D56"/>
    <w:rsid w:val="00803457"/>
    <w:rsid w:val="008042DB"/>
    <w:rsid w:val="00806D50"/>
    <w:rsid w:val="00807B4F"/>
    <w:rsid w:val="00811D22"/>
    <w:rsid w:val="00811FC2"/>
    <w:rsid w:val="00813475"/>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115"/>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70E"/>
    <w:rsid w:val="008B206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0CE0"/>
    <w:rsid w:val="00921B62"/>
    <w:rsid w:val="00922AA7"/>
    <w:rsid w:val="00922C6F"/>
    <w:rsid w:val="00922D6B"/>
    <w:rsid w:val="00923155"/>
    <w:rsid w:val="00925391"/>
    <w:rsid w:val="009254E0"/>
    <w:rsid w:val="00925CEA"/>
    <w:rsid w:val="00927A0F"/>
    <w:rsid w:val="00927A30"/>
    <w:rsid w:val="00927DC6"/>
    <w:rsid w:val="009305C0"/>
    <w:rsid w:val="0093123F"/>
    <w:rsid w:val="00931E9D"/>
    <w:rsid w:val="009328B3"/>
    <w:rsid w:val="009328E9"/>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1E9"/>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07E8"/>
    <w:rsid w:val="009C2087"/>
    <w:rsid w:val="009C24FF"/>
    <w:rsid w:val="009C2DE1"/>
    <w:rsid w:val="009C3712"/>
    <w:rsid w:val="009C3901"/>
    <w:rsid w:val="009C3BA8"/>
    <w:rsid w:val="009C3C64"/>
    <w:rsid w:val="009C4462"/>
    <w:rsid w:val="009C66BD"/>
    <w:rsid w:val="009C6C9E"/>
    <w:rsid w:val="009D040F"/>
    <w:rsid w:val="009D043F"/>
    <w:rsid w:val="009D090E"/>
    <w:rsid w:val="009D1603"/>
    <w:rsid w:val="009D1FF1"/>
    <w:rsid w:val="009D23AF"/>
    <w:rsid w:val="009D2F92"/>
    <w:rsid w:val="009D4058"/>
    <w:rsid w:val="009D48D6"/>
    <w:rsid w:val="009D4B0D"/>
    <w:rsid w:val="009D57EC"/>
    <w:rsid w:val="009D5839"/>
    <w:rsid w:val="009D5AD5"/>
    <w:rsid w:val="009D607F"/>
    <w:rsid w:val="009D640D"/>
    <w:rsid w:val="009D6E26"/>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2A1A"/>
    <w:rsid w:val="009F3011"/>
    <w:rsid w:val="009F45ED"/>
    <w:rsid w:val="00A02D1A"/>
    <w:rsid w:val="00A03078"/>
    <w:rsid w:val="00A0627A"/>
    <w:rsid w:val="00A10781"/>
    <w:rsid w:val="00A10C30"/>
    <w:rsid w:val="00A12B93"/>
    <w:rsid w:val="00A12BD8"/>
    <w:rsid w:val="00A15F64"/>
    <w:rsid w:val="00A2256F"/>
    <w:rsid w:val="00A227AA"/>
    <w:rsid w:val="00A233E0"/>
    <w:rsid w:val="00A24F5B"/>
    <w:rsid w:val="00A26353"/>
    <w:rsid w:val="00A266EE"/>
    <w:rsid w:val="00A26E89"/>
    <w:rsid w:val="00A274B4"/>
    <w:rsid w:val="00A27E5C"/>
    <w:rsid w:val="00A306EB"/>
    <w:rsid w:val="00A31484"/>
    <w:rsid w:val="00A31A25"/>
    <w:rsid w:val="00A33FD2"/>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1AE5"/>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697"/>
    <w:rsid w:val="00AB58D2"/>
    <w:rsid w:val="00AC105E"/>
    <w:rsid w:val="00AC1131"/>
    <w:rsid w:val="00AC1AC4"/>
    <w:rsid w:val="00AC23FE"/>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2D3"/>
    <w:rsid w:val="00AF2486"/>
    <w:rsid w:val="00AF24FA"/>
    <w:rsid w:val="00AF3D20"/>
    <w:rsid w:val="00AF4218"/>
    <w:rsid w:val="00AF676E"/>
    <w:rsid w:val="00AF6F5C"/>
    <w:rsid w:val="00B027C5"/>
    <w:rsid w:val="00B02874"/>
    <w:rsid w:val="00B044B2"/>
    <w:rsid w:val="00B04655"/>
    <w:rsid w:val="00B04A5C"/>
    <w:rsid w:val="00B06750"/>
    <w:rsid w:val="00B07337"/>
    <w:rsid w:val="00B11B2A"/>
    <w:rsid w:val="00B13545"/>
    <w:rsid w:val="00B13DEC"/>
    <w:rsid w:val="00B15AEE"/>
    <w:rsid w:val="00B15B9E"/>
    <w:rsid w:val="00B16033"/>
    <w:rsid w:val="00B222EC"/>
    <w:rsid w:val="00B22810"/>
    <w:rsid w:val="00B22F84"/>
    <w:rsid w:val="00B2326A"/>
    <w:rsid w:val="00B23E0D"/>
    <w:rsid w:val="00B24852"/>
    <w:rsid w:val="00B25099"/>
    <w:rsid w:val="00B26757"/>
    <w:rsid w:val="00B31C31"/>
    <w:rsid w:val="00B37C28"/>
    <w:rsid w:val="00B400AE"/>
    <w:rsid w:val="00B434D7"/>
    <w:rsid w:val="00B45BEF"/>
    <w:rsid w:val="00B47058"/>
    <w:rsid w:val="00B5068E"/>
    <w:rsid w:val="00B51024"/>
    <w:rsid w:val="00B524A9"/>
    <w:rsid w:val="00B55B49"/>
    <w:rsid w:val="00B603E4"/>
    <w:rsid w:val="00B6173F"/>
    <w:rsid w:val="00B62988"/>
    <w:rsid w:val="00B6361B"/>
    <w:rsid w:val="00B63B97"/>
    <w:rsid w:val="00B65237"/>
    <w:rsid w:val="00B666CD"/>
    <w:rsid w:val="00B67894"/>
    <w:rsid w:val="00B72371"/>
    <w:rsid w:val="00B737EF"/>
    <w:rsid w:val="00B74D25"/>
    <w:rsid w:val="00B7519D"/>
    <w:rsid w:val="00B7744F"/>
    <w:rsid w:val="00B77C81"/>
    <w:rsid w:val="00B8022A"/>
    <w:rsid w:val="00B80F76"/>
    <w:rsid w:val="00B818B8"/>
    <w:rsid w:val="00B8193B"/>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96E99"/>
    <w:rsid w:val="00BA1A18"/>
    <w:rsid w:val="00BA2C3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1DD1"/>
    <w:rsid w:val="00BC3541"/>
    <w:rsid w:val="00BC3DD2"/>
    <w:rsid w:val="00BC410A"/>
    <w:rsid w:val="00BD12E4"/>
    <w:rsid w:val="00BD6B16"/>
    <w:rsid w:val="00BE0369"/>
    <w:rsid w:val="00BE03A9"/>
    <w:rsid w:val="00BE12E1"/>
    <w:rsid w:val="00BE1B26"/>
    <w:rsid w:val="00BE1F44"/>
    <w:rsid w:val="00BE3D6F"/>
    <w:rsid w:val="00BE4548"/>
    <w:rsid w:val="00BE46F3"/>
    <w:rsid w:val="00BE53BF"/>
    <w:rsid w:val="00BE63D7"/>
    <w:rsid w:val="00BE63F6"/>
    <w:rsid w:val="00BF0CAD"/>
    <w:rsid w:val="00BF1A9A"/>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214E"/>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73"/>
    <w:rsid w:val="00C573BC"/>
    <w:rsid w:val="00C574FD"/>
    <w:rsid w:val="00C60DDA"/>
    <w:rsid w:val="00C613DC"/>
    <w:rsid w:val="00C620F0"/>
    <w:rsid w:val="00C6228D"/>
    <w:rsid w:val="00C63846"/>
    <w:rsid w:val="00C66863"/>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90"/>
    <w:rsid w:val="00CB6AD7"/>
    <w:rsid w:val="00CC03C4"/>
    <w:rsid w:val="00CC2643"/>
    <w:rsid w:val="00CC338D"/>
    <w:rsid w:val="00CC3C26"/>
    <w:rsid w:val="00CC43C3"/>
    <w:rsid w:val="00CC43C5"/>
    <w:rsid w:val="00CC43CD"/>
    <w:rsid w:val="00CC4618"/>
    <w:rsid w:val="00CD1614"/>
    <w:rsid w:val="00CD1836"/>
    <w:rsid w:val="00CD1FF2"/>
    <w:rsid w:val="00CD206D"/>
    <w:rsid w:val="00CD2460"/>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05978"/>
    <w:rsid w:val="00D10B82"/>
    <w:rsid w:val="00D12D20"/>
    <w:rsid w:val="00D14A68"/>
    <w:rsid w:val="00D163B0"/>
    <w:rsid w:val="00D17BB9"/>
    <w:rsid w:val="00D210DB"/>
    <w:rsid w:val="00D225E2"/>
    <w:rsid w:val="00D234AD"/>
    <w:rsid w:val="00D24AC0"/>
    <w:rsid w:val="00D26124"/>
    <w:rsid w:val="00D31022"/>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960"/>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BF1"/>
    <w:rsid w:val="00D76DB3"/>
    <w:rsid w:val="00D77C8D"/>
    <w:rsid w:val="00D84A36"/>
    <w:rsid w:val="00D87764"/>
    <w:rsid w:val="00D90653"/>
    <w:rsid w:val="00D92ED6"/>
    <w:rsid w:val="00D9471E"/>
    <w:rsid w:val="00D9599C"/>
    <w:rsid w:val="00DA079A"/>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479"/>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789"/>
    <w:rsid w:val="00DF7E5D"/>
    <w:rsid w:val="00E00589"/>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0FA8"/>
    <w:rsid w:val="00E3122D"/>
    <w:rsid w:val="00E33FC1"/>
    <w:rsid w:val="00E3518D"/>
    <w:rsid w:val="00E35BF8"/>
    <w:rsid w:val="00E37A2B"/>
    <w:rsid w:val="00E40D81"/>
    <w:rsid w:val="00E42EA6"/>
    <w:rsid w:val="00E439D8"/>
    <w:rsid w:val="00E463E4"/>
    <w:rsid w:val="00E46B89"/>
    <w:rsid w:val="00E47562"/>
    <w:rsid w:val="00E50CD6"/>
    <w:rsid w:val="00E5136A"/>
    <w:rsid w:val="00E5222A"/>
    <w:rsid w:val="00E5311D"/>
    <w:rsid w:val="00E54B97"/>
    <w:rsid w:val="00E55F68"/>
    <w:rsid w:val="00E604E8"/>
    <w:rsid w:val="00E63258"/>
    <w:rsid w:val="00E63B7C"/>
    <w:rsid w:val="00E64357"/>
    <w:rsid w:val="00E64935"/>
    <w:rsid w:val="00E64F9E"/>
    <w:rsid w:val="00E65E9F"/>
    <w:rsid w:val="00E6635B"/>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2B34"/>
    <w:rsid w:val="00E833F8"/>
    <w:rsid w:val="00E83D5C"/>
    <w:rsid w:val="00E85622"/>
    <w:rsid w:val="00E87F99"/>
    <w:rsid w:val="00E87FCD"/>
    <w:rsid w:val="00E917B8"/>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1C3"/>
    <w:rsid w:val="00EB16CB"/>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1FB9"/>
    <w:rsid w:val="00ED2C2E"/>
    <w:rsid w:val="00ED31BD"/>
    <w:rsid w:val="00ED3C90"/>
    <w:rsid w:val="00ED4385"/>
    <w:rsid w:val="00ED44A3"/>
    <w:rsid w:val="00ED57A4"/>
    <w:rsid w:val="00ED6496"/>
    <w:rsid w:val="00EE038B"/>
    <w:rsid w:val="00EE2072"/>
    <w:rsid w:val="00EE2403"/>
    <w:rsid w:val="00EE2B2F"/>
    <w:rsid w:val="00EE5AC9"/>
    <w:rsid w:val="00EE5FA2"/>
    <w:rsid w:val="00EE68B7"/>
    <w:rsid w:val="00EE7609"/>
    <w:rsid w:val="00EE782C"/>
    <w:rsid w:val="00EF2E9D"/>
    <w:rsid w:val="00EF3B34"/>
    <w:rsid w:val="00EF71E8"/>
    <w:rsid w:val="00EF7A31"/>
    <w:rsid w:val="00EF7B2E"/>
    <w:rsid w:val="00EF7D9F"/>
    <w:rsid w:val="00F0015C"/>
    <w:rsid w:val="00F00882"/>
    <w:rsid w:val="00F02003"/>
    <w:rsid w:val="00F0667A"/>
    <w:rsid w:val="00F0705E"/>
    <w:rsid w:val="00F071BE"/>
    <w:rsid w:val="00F10CF0"/>
    <w:rsid w:val="00F13098"/>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8C8"/>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6822"/>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562C"/>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5C93E31"/>
    <w:rsid w:val="06070A83"/>
    <w:rsid w:val="0613B2CE"/>
    <w:rsid w:val="065BDB83"/>
    <w:rsid w:val="065EDDB5"/>
    <w:rsid w:val="067503E0"/>
    <w:rsid w:val="0688745E"/>
    <w:rsid w:val="06D233E7"/>
    <w:rsid w:val="0768A609"/>
    <w:rsid w:val="07DA50B0"/>
    <w:rsid w:val="08462F7E"/>
    <w:rsid w:val="084F7F16"/>
    <w:rsid w:val="0856A253"/>
    <w:rsid w:val="08742A6B"/>
    <w:rsid w:val="09A58165"/>
    <w:rsid w:val="09C5CEED"/>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BC711C"/>
    <w:rsid w:val="10CC20C5"/>
    <w:rsid w:val="10FD9913"/>
    <w:rsid w:val="112D3373"/>
    <w:rsid w:val="11410993"/>
    <w:rsid w:val="11AB4B38"/>
    <w:rsid w:val="129B6C98"/>
    <w:rsid w:val="12BD9676"/>
    <w:rsid w:val="131FD8A5"/>
    <w:rsid w:val="13CB0A04"/>
    <w:rsid w:val="13F72327"/>
    <w:rsid w:val="14C791E6"/>
    <w:rsid w:val="1543CD3F"/>
    <w:rsid w:val="15BD4994"/>
    <w:rsid w:val="1655B9ED"/>
    <w:rsid w:val="166451EE"/>
    <w:rsid w:val="166AB729"/>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19DE0"/>
    <w:rsid w:val="22773A0F"/>
    <w:rsid w:val="22826A13"/>
    <w:rsid w:val="22B35163"/>
    <w:rsid w:val="23B29CB5"/>
    <w:rsid w:val="240E6710"/>
    <w:rsid w:val="2465FC40"/>
    <w:rsid w:val="24CA7F1E"/>
    <w:rsid w:val="25373DF2"/>
    <w:rsid w:val="25887D1F"/>
    <w:rsid w:val="25A37DC1"/>
    <w:rsid w:val="25CAEC98"/>
    <w:rsid w:val="26170F26"/>
    <w:rsid w:val="263A7A08"/>
    <w:rsid w:val="265089DF"/>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3A6E0"/>
    <w:rsid w:val="2AA44433"/>
    <w:rsid w:val="2AB2567D"/>
    <w:rsid w:val="2B4B5582"/>
    <w:rsid w:val="2B7BE2DE"/>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1FD8357"/>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DCE50F"/>
    <w:rsid w:val="3BEB04C5"/>
    <w:rsid w:val="3C9B89DF"/>
    <w:rsid w:val="3CB852BE"/>
    <w:rsid w:val="3D15E52A"/>
    <w:rsid w:val="3E0A4A5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9BD0D3"/>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BC0248"/>
    <w:rsid w:val="4A018F5E"/>
    <w:rsid w:val="4A2B536C"/>
    <w:rsid w:val="4A9C43CA"/>
    <w:rsid w:val="4AD72224"/>
    <w:rsid w:val="4B8C1788"/>
    <w:rsid w:val="4BA35631"/>
    <w:rsid w:val="4BDBF0A0"/>
    <w:rsid w:val="4BE53EA6"/>
    <w:rsid w:val="4C04BBF2"/>
    <w:rsid w:val="4C174D10"/>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8125D4"/>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6130BE"/>
    <w:rsid w:val="5764132A"/>
    <w:rsid w:val="57AB9424"/>
    <w:rsid w:val="57AC274C"/>
    <w:rsid w:val="5806B8EF"/>
    <w:rsid w:val="5835B083"/>
    <w:rsid w:val="58B028F7"/>
    <w:rsid w:val="58B54621"/>
    <w:rsid w:val="58E8061A"/>
    <w:rsid w:val="5907D66A"/>
    <w:rsid w:val="59397F5D"/>
    <w:rsid w:val="593F9143"/>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6F8A9C"/>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0A1C8"/>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0543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6EC593"/>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276519"/>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3E6A56"/>
  <w15:docId w15:val="{E2E49B52-47E6-4DDC-9539-414FB383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2025-05-01T17:45:29+00:00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2276A-2617-4A94-A775-A6EC9EBDDFA4}">
  <ds:schemaRefs>
    <ds:schemaRef ds:uri="Microsoft.SharePoint.Taxonomy.ContentTypeSync"/>
  </ds:schemaRefs>
</ds:datastoreItem>
</file>

<file path=customXml/itemProps2.xml><?xml version="1.0" encoding="utf-8"?>
<ds:datastoreItem xmlns:ds="http://schemas.openxmlformats.org/officeDocument/2006/customXml" ds:itemID="{9580B340-035A-4458-9A38-AD24C6344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1891fcec-84c2-4840-9468-b51a784ab0d1"/>
    <ds:schemaRef ds:uri="4d6aed1e-57d3-46e3-9aba-f706adbce63b"/>
    <ds:schemaRef ds:uri="http://purl.org/dc/dcmitype/"/>
    <ds:schemaRef ds:uri="http://purl.org/dc/terms/"/>
    <ds:schemaRef ds:uri="96fc5250-dc30-4f01-945b-7e46a880eeb3"/>
    <ds:schemaRef ds:uri="4ffa91fb-a0ff-4ac5-b2db-65c790d184a4"/>
    <ds:schemaRef ds:uri="http://schemas.microsoft.com/sharepoint/v3/fields"/>
    <ds:schemaRef ds:uri="http://schemas.microsoft.com/sharepoint/v3"/>
    <ds:schemaRef ds:uri="http://schemas.microsoft.com/sharepoint.v3"/>
    <ds:schemaRef ds:uri="02fe02c4-dc41-46ff-9d52-90c0a1b1f611"/>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7137</Words>
  <Characters>40687</Characters>
  <Application>Microsoft Office Word</Application>
  <DocSecurity>0</DocSecurity>
  <Lines>339</Lines>
  <Paragraphs>95</Paragraphs>
  <ScaleCrop>false</ScaleCrop>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105</cp:revision>
  <dcterms:created xsi:type="dcterms:W3CDTF">2024-11-13T16:41:00Z</dcterms:created>
  <dcterms:modified xsi:type="dcterms:W3CDTF">2026-01-21T17:59:00Z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Records Status">
    <vt:lpwstr>Pending</vt:lpwstr>
  </property>
  <property fmtid="{D5CDD505-2E9C-101B-9397-08002B2CF9AE}" pid="13" name="TaxKeyword">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_SharedFileIndex">
    <vt:lpwstr/>
  </property>
  <property fmtid="{D5CDD505-2E9C-101B-9397-08002B2CF9AE}" pid="20" name="_SourceUrl">
    <vt:lpwstr/>
  </property>
</Properties>
</file>