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7E22" w:rsidP="00CE2051" w14:paraId="4BC9A912" w14:textId="21D7184C">
      <w:pPr>
        <w:ind w:left="2880" w:firstLine="720"/>
        <w:rPr>
          <w:rFonts w:ascii="Arial" w:hAnsi="Arial"/>
          <w:b/>
          <w:sz w:val="28"/>
        </w:rPr>
      </w:pPr>
      <w:r>
        <w:rPr>
          <w:rFonts w:ascii="Arial" w:hAnsi="Arial"/>
          <w:b/>
          <w:sz w:val="28"/>
        </w:rPr>
        <w:t xml:space="preserve"> </w:t>
      </w:r>
      <w:r w:rsidR="000938D6">
        <w:rPr>
          <w:rFonts w:ascii="Arial" w:hAnsi="Arial"/>
          <w:b/>
          <w:sz w:val="28"/>
        </w:rPr>
        <w:t>Supporting Statement</w:t>
      </w:r>
    </w:p>
    <w:p w:rsidR="00917E22" w:rsidP="00917E22" w14:paraId="1267EAA3" w14:textId="77777777">
      <w:pPr>
        <w:jc w:val="center"/>
        <w:rPr>
          <w:rFonts w:ascii="Arial" w:hAnsi="Arial"/>
          <w:b/>
          <w:sz w:val="28"/>
        </w:rPr>
      </w:pPr>
      <w:bookmarkStart w:id="0" w:name="_Hlk126565074"/>
      <w:r>
        <w:rPr>
          <w:rFonts w:ascii="Arial" w:hAnsi="Arial"/>
          <w:b/>
          <w:sz w:val="28"/>
        </w:rPr>
        <w:t>C</w:t>
      </w:r>
      <w:r w:rsidR="00CB2D6F">
        <w:rPr>
          <w:rFonts w:ascii="Arial" w:hAnsi="Arial"/>
          <w:b/>
          <w:sz w:val="28"/>
        </w:rPr>
        <w:t>ustoms De</w:t>
      </w:r>
      <w:r>
        <w:rPr>
          <w:rFonts w:ascii="Arial" w:hAnsi="Arial"/>
          <w:b/>
          <w:sz w:val="28"/>
        </w:rPr>
        <w:t>claration - CBP Form 6059B</w:t>
      </w:r>
    </w:p>
    <w:bookmarkEnd w:id="0"/>
    <w:p w:rsidR="00917E22" w:rsidP="00917E22" w14:paraId="37A1338D" w14:textId="77777777">
      <w:pPr>
        <w:jc w:val="center"/>
        <w:rPr>
          <w:rFonts w:ascii="Arial" w:hAnsi="Arial"/>
          <w:b/>
          <w:sz w:val="28"/>
        </w:rPr>
      </w:pPr>
      <w:r>
        <w:rPr>
          <w:rFonts w:ascii="Arial" w:hAnsi="Arial"/>
          <w:b/>
          <w:sz w:val="28"/>
        </w:rPr>
        <w:t>1651-0009</w:t>
      </w:r>
    </w:p>
    <w:p w:rsidR="00917E22" w:rsidRPr="00415171" w:rsidP="00917E22" w14:paraId="3E4374E0"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917E22" w:rsidRPr="00CE2051" w:rsidP="00917E22" w14:paraId="3CE7883F" w14:textId="77777777">
      <w:pPr>
        <w:tabs>
          <w:tab w:val="center" w:pos="4824"/>
        </w:tabs>
        <w:rPr>
          <w:rFonts w:ascii="Arial" w:hAnsi="Arial"/>
          <w:b/>
          <w:sz w:val="28"/>
          <w:szCs w:val="28"/>
        </w:rPr>
      </w:pPr>
      <w:r w:rsidRPr="00CE2051">
        <w:rPr>
          <w:rFonts w:ascii="Arial" w:hAnsi="Arial"/>
          <w:b/>
          <w:sz w:val="28"/>
          <w:szCs w:val="28"/>
        </w:rPr>
        <w:t>A.  Justification</w:t>
      </w:r>
    </w:p>
    <w:p w:rsidR="00917E22" w:rsidP="00917E22" w14:paraId="1962AEAF" w14:textId="77777777">
      <w:pPr>
        <w:pStyle w:val="Heading1"/>
      </w:pPr>
    </w:p>
    <w:p w:rsidR="00917E22" w:rsidRPr="00C47181" w:rsidP="00BE4878" w14:paraId="79D42239" w14:textId="77777777">
      <w:pPr>
        <w:ind w:left="720" w:hanging="720"/>
        <w:jc w:val="both"/>
        <w:rPr>
          <w:rFonts w:ascii="Arial" w:hAnsi="Arial" w:cs="Arial"/>
          <w:b/>
          <w:bCs/>
          <w:szCs w:val="24"/>
        </w:rPr>
      </w:pPr>
      <w:r>
        <w:rPr>
          <w:rFonts w:ascii="Arial" w:hAnsi="Arial" w:cs="Arial"/>
          <w:b/>
          <w:bCs/>
          <w:szCs w:val="24"/>
        </w:rPr>
        <w:t xml:space="preserve"> 1.</w:t>
      </w:r>
      <w:r>
        <w:rPr>
          <w:rFonts w:ascii="Arial" w:hAnsi="Arial" w:cs="Arial"/>
          <w:b/>
          <w:bCs/>
          <w:szCs w:val="24"/>
        </w:rPr>
        <w:tab/>
      </w:r>
      <w:r w:rsidRPr="0090660F">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90660F" w:rsidR="00E96F0C">
        <w:rPr>
          <w:rFonts w:ascii="Arial" w:hAnsi="Arial" w:cs="Arial"/>
          <w:b/>
          <w:bCs/>
          <w:szCs w:val="24"/>
        </w:rPr>
        <w:t>t</w:t>
      </w:r>
      <w:r w:rsidRPr="0090660F">
        <w:rPr>
          <w:rFonts w:ascii="Arial" w:hAnsi="Arial" w:cs="Arial"/>
          <w:b/>
          <w:bCs/>
          <w:szCs w:val="24"/>
        </w:rPr>
        <w:t>e and regulation mandating or authorizing the collection of information.</w:t>
      </w:r>
    </w:p>
    <w:p w:rsidR="00201DDD" w:rsidP="00201DDD" w14:paraId="5A31DCD1" w14:textId="77777777">
      <w:pPr>
        <w:tabs>
          <w:tab w:val="left" w:pos="-1440"/>
        </w:tabs>
        <w:ind w:left="720"/>
        <w:jc w:val="both"/>
        <w:rPr>
          <w:rFonts w:ascii="Arial" w:hAnsi="Arial"/>
        </w:rPr>
      </w:pPr>
    </w:p>
    <w:p w:rsidR="00F42EAA" w:rsidRPr="00F42EAA" w:rsidP="00F42EAA" w14:paraId="32DBCF40" w14:textId="77777777">
      <w:pPr>
        <w:tabs>
          <w:tab w:val="left" w:pos="-1440"/>
        </w:tabs>
        <w:ind w:left="720"/>
        <w:jc w:val="both"/>
        <w:rPr>
          <w:rFonts w:ascii="Arial" w:hAnsi="Arial"/>
        </w:rPr>
      </w:pPr>
      <w:bookmarkStart w:id="1" w:name="OLE_LINK9"/>
      <w:bookmarkStart w:id="2" w:name="OLE_LINK2"/>
      <w:bookmarkStart w:id="3" w:name="_Hlk126564238"/>
      <w:r w:rsidRPr="00F42EAA">
        <w:rPr>
          <w:rFonts w:ascii="Arial" w:hAnsi="Arial"/>
        </w:rPr>
        <w:t xml:space="preserve">CBP Form 6059B, Customs Declaration, is used as a standard report of the identity and residence of each person arriving in the United States.  This form is also used to declare imported articles to U.S. Customs and Border Protection (CBP) in accordance with 19 CFR 122.27, 148.12, 148.13, 148.110, 148.111; 31 U.S.C. 5316 and Section 498 of the Tariff Act of 1930, as amended (19 U.S.C. 1498).  </w:t>
      </w:r>
    </w:p>
    <w:p w:rsidR="00F42EAA" w:rsidRPr="00F42EAA" w:rsidP="00F42EAA" w14:paraId="35AA9494" w14:textId="77777777">
      <w:pPr>
        <w:tabs>
          <w:tab w:val="left" w:pos="-1440"/>
        </w:tabs>
        <w:ind w:left="720"/>
        <w:jc w:val="both"/>
        <w:rPr>
          <w:rFonts w:ascii="Arial" w:hAnsi="Arial"/>
        </w:rPr>
      </w:pPr>
    </w:p>
    <w:p w:rsidR="00F42EAA" w:rsidRPr="00F42EAA" w:rsidP="00F42EAA" w14:paraId="6C12D2CC" w14:textId="77777777">
      <w:pPr>
        <w:tabs>
          <w:tab w:val="left" w:pos="-1440"/>
        </w:tabs>
        <w:ind w:left="720"/>
        <w:jc w:val="both"/>
        <w:rPr>
          <w:rFonts w:ascii="Arial" w:hAnsi="Arial"/>
        </w:rPr>
      </w:pPr>
      <w:r w:rsidRPr="00F42EAA">
        <w:rPr>
          <w:rFonts w:ascii="Arial" w:hAnsi="Arial"/>
        </w:rPr>
        <w:t>Section 148.13 of the CBP regulations prescribes the use of the CBP Form 6059B when a written declaration is required of a traveler entering the United States.  Generally, written declarations are required from travelers arriving by air or sea.  Section 148.12 requires verbal declarations from travelers entering the United States.  Generally, verbal declarations are required from travelers arriving by land.</w:t>
      </w:r>
    </w:p>
    <w:p w:rsidR="00F42EAA" w:rsidRPr="00F42EAA" w:rsidP="00F42EAA" w14:paraId="292DBE91" w14:textId="77777777">
      <w:pPr>
        <w:tabs>
          <w:tab w:val="left" w:pos="-1440"/>
        </w:tabs>
        <w:ind w:left="720"/>
        <w:jc w:val="both"/>
        <w:rPr>
          <w:rFonts w:ascii="Arial" w:hAnsi="Arial"/>
        </w:rPr>
      </w:pPr>
    </w:p>
    <w:p w:rsidR="00F42EAA" w:rsidRPr="00F42EAA" w:rsidP="00F42EAA" w14:paraId="730120D5" w14:textId="1AE4DE5D">
      <w:pPr>
        <w:tabs>
          <w:tab w:val="left" w:pos="-1440"/>
        </w:tabs>
        <w:ind w:left="720"/>
        <w:jc w:val="both"/>
        <w:rPr>
          <w:rFonts w:ascii="Arial" w:hAnsi="Arial"/>
        </w:rPr>
      </w:pPr>
      <w:r w:rsidRPr="00F42EAA">
        <w:rPr>
          <w:rFonts w:ascii="Arial" w:hAnsi="Arial"/>
        </w:rPr>
        <w:t>CBP continues to find ways to improve the entry process through the use of mobile technology to ensure it is safe and efficient.  To that end, CBP has deployed a process which allows travelers to use a mobile app to submit information to CBP prior to arrival in domestic locations and prior to departure at preclearance locations.  This process, called Mobile Passport Control (MPC)</w:t>
      </w:r>
      <w:r w:rsidR="004650E6">
        <w:rPr>
          <w:rFonts w:ascii="Arial" w:hAnsi="Arial"/>
        </w:rPr>
        <w:t>,</w:t>
      </w:r>
      <w:r w:rsidRPr="00F42EAA">
        <w:rPr>
          <w:rFonts w:ascii="Arial" w:hAnsi="Arial"/>
        </w:rPr>
        <w:t xml:space="preserve"> allows travelers to self-segment upon arrival into the United States or departing a preclearance location. The MPC process also helps determine under what circumstances CBP should require a written customs declaration (CBP Form 6059B) and when it is beneficial to admit travelers who make an oral customs declaration during the primary inspection.  MPC eliminates the administrative tasks performed by the officer during a traditional inspection and in most cases will eliminate the need for respondents/travelers to fill out a paper declaration.  MPC provides a more efficient and secure in person inspection between the CBP Officer and the traveler.  </w:t>
      </w:r>
    </w:p>
    <w:p w:rsidR="00F0301E" w:rsidRPr="00F0301E" w:rsidP="00F0301E" w14:paraId="7EBF974D" w14:textId="77777777">
      <w:pPr>
        <w:tabs>
          <w:tab w:val="left" w:pos="-1440"/>
        </w:tabs>
        <w:ind w:left="720"/>
        <w:jc w:val="both"/>
        <w:rPr>
          <w:rFonts w:ascii="Arial" w:hAnsi="Arial"/>
          <w:lang w:val="en"/>
        </w:rPr>
      </w:pPr>
    </w:p>
    <w:p w:rsidR="00F0301E" w:rsidRPr="00F0301E" w:rsidP="00F0301E" w14:paraId="171C5F69" w14:textId="19D21796">
      <w:pPr>
        <w:tabs>
          <w:tab w:val="left" w:pos="-1440"/>
        </w:tabs>
        <w:ind w:left="720"/>
        <w:jc w:val="both"/>
        <w:rPr>
          <w:rFonts w:ascii="Arial" w:hAnsi="Arial"/>
        </w:rPr>
      </w:pPr>
      <w:bookmarkStart w:id="4" w:name="_Hlk113885826"/>
      <w:r w:rsidRPr="00F0301E">
        <w:rPr>
          <w:rFonts w:ascii="Arial" w:hAnsi="Arial"/>
          <w:lang w:val="en"/>
        </w:rPr>
        <w:t xml:space="preserve">MPC </w:t>
      </w:r>
      <w:r w:rsidR="00D74DDE">
        <w:rPr>
          <w:rFonts w:ascii="Arial" w:hAnsi="Arial"/>
          <w:lang w:val="en"/>
        </w:rPr>
        <w:t>provides</w:t>
      </w:r>
      <w:r w:rsidRPr="00F0301E">
        <w:rPr>
          <w:rFonts w:ascii="Arial" w:hAnsi="Arial"/>
          <w:lang w:val="en"/>
        </w:rPr>
        <w:t xml:space="preserve"> an electronic method for travelers to answer the questions that appear on form 6059B without filling out a paper form.  </w:t>
      </w:r>
    </w:p>
    <w:bookmarkEnd w:id="4"/>
    <w:p w:rsidR="00F0301E" w:rsidRPr="00F0301E" w:rsidP="00F0301E" w14:paraId="3684EB21" w14:textId="77777777">
      <w:pPr>
        <w:tabs>
          <w:tab w:val="left" w:pos="-1440"/>
        </w:tabs>
        <w:ind w:left="720"/>
        <w:jc w:val="both"/>
        <w:rPr>
          <w:rFonts w:ascii="Arial" w:hAnsi="Arial"/>
        </w:rPr>
      </w:pPr>
    </w:p>
    <w:p w:rsidR="00F0301E" w:rsidP="00F0301E" w14:paraId="185CC1CC" w14:textId="11C0C99A">
      <w:pPr>
        <w:tabs>
          <w:tab w:val="left" w:pos="-1440"/>
        </w:tabs>
        <w:ind w:left="720"/>
        <w:jc w:val="both"/>
        <w:rPr>
          <w:rFonts w:ascii="Arial" w:hAnsi="Arial"/>
          <w:bCs/>
        </w:rPr>
      </w:pPr>
      <w:r w:rsidRPr="00F0301E">
        <w:rPr>
          <w:rFonts w:ascii="Arial" w:hAnsi="Arial"/>
          <w:bCs/>
        </w:rPr>
        <w:t>A sample of CBP Form 6059B can be found at</w:t>
      </w:r>
      <w:r>
        <w:rPr>
          <w:rFonts w:ascii="Arial" w:hAnsi="Arial"/>
          <w:bCs/>
        </w:rPr>
        <w:t>:</w:t>
      </w:r>
    </w:p>
    <w:bookmarkStart w:id="5" w:name="OLE_LINK4"/>
    <w:p w:rsidR="00F0301E" w:rsidP="00F0301E" w14:paraId="630EB57E" w14:textId="1F5BD670">
      <w:pPr>
        <w:tabs>
          <w:tab w:val="left" w:pos="-1440"/>
        </w:tabs>
        <w:ind w:left="720"/>
        <w:jc w:val="both"/>
        <w:rPr>
          <w:rFonts w:ascii="Arial" w:hAnsi="Arial"/>
          <w:bCs/>
        </w:rPr>
      </w:pPr>
      <w:r>
        <w:fldChar w:fldCharType="begin"/>
      </w:r>
      <w:r>
        <w:instrText>HYPERLINK "https://www.cbp.gov/newsroom/publications/forms?title=6059"</w:instrText>
      </w:r>
      <w:r>
        <w:fldChar w:fldCharType="separate"/>
      </w:r>
      <w:r w:rsidRPr="00F0301E">
        <w:rPr>
          <w:rStyle w:val="Hyperlink"/>
          <w:rFonts w:ascii="Arial" w:hAnsi="Arial"/>
          <w:bCs/>
        </w:rPr>
        <w:t>https://www.cbp.gov/newsroom/publications/forms?title=6059</w:t>
      </w:r>
      <w:r>
        <w:fldChar w:fldCharType="end"/>
      </w:r>
      <w:bookmarkEnd w:id="5"/>
      <w:r w:rsidRPr="00F0301E">
        <w:rPr>
          <w:rFonts w:ascii="Arial" w:hAnsi="Arial"/>
          <w:bCs/>
        </w:rPr>
        <w:t xml:space="preserve">.  </w:t>
      </w:r>
    </w:p>
    <w:p w:rsidR="00F0301E" w:rsidRPr="00F0301E" w:rsidP="00F0301E" w14:paraId="243D1C5E" w14:textId="003742EA">
      <w:pPr>
        <w:tabs>
          <w:tab w:val="left" w:pos="-1440"/>
        </w:tabs>
        <w:ind w:left="720"/>
        <w:jc w:val="both"/>
        <w:rPr>
          <w:rFonts w:ascii="Arial" w:hAnsi="Arial"/>
          <w:bCs/>
        </w:rPr>
      </w:pPr>
      <w:r w:rsidRPr="00F0301E">
        <w:rPr>
          <w:rFonts w:ascii="Arial" w:hAnsi="Arial"/>
          <w:bCs/>
        </w:rPr>
        <w:t>This collection is available in the following languages: English, French, Vietnamese, German, Italian, Japanese, Korean, Polish, Portuguese, Russian, Chinese, Hebrew, Spanish, Dutch, Arabic, Farsi, and Punjabi.</w:t>
      </w:r>
    </w:p>
    <w:p w:rsidR="00086105" w:rsidP="00B341B5" w14:paraId="60DE79CF" w14:textId="51F3D6F6">
      <w:pPr>
        <w:tabs>
          <w:tab w:val="left" w:pos="-1440"/>
        </w:tabs>
        <w:rPr>
          <w:rFonts w:ascii="Arial" w:hAnsi="Arial"/>
          <w:bCs/>
        </w:rPr>
      </w:pPr>
    </w:p>
    <w:p w:rsidR="00B341B5" w:rsidRPr="00971B93" w:rsidP="00F1386F" w14:paraId="34963CEA" w14:textId="77777777">
      <w:pPr>
        <w:tabs>
          <w:tab w:val="left" w:pos="-1440"/>
        </w:tabs>
        <w:rPr>
          <w:rFonts w:ascii="Arial" w:hAnsi="Arial"/>
          <w:bCs/>
        </w:rPr>
      </w:pPr>
    </w:p>
    <w:p w:rsidR="0090660F" w:rsidP="00E4035F" w14:paraId="2F8C7680" w14:textId="12AEBE6E">
      <w:pPr>
        <w:tabs>
          <w:tab w:val="left" w:pos="-1440"/>
        </w:tabs>
        <w:ind w:left="720"/>
        <w:rPr>
          <w:rFonts w:ascii="Arial" w:hAnsi="Arial"/>
          <w:bCs/>
          <w:lang w:val="en"/>
        </w:rPr>
      </w:pPr>
      <w:r w:rsidRPr="00930D5F">
        <w:rPr>
          <w:rFonts w:ascii="Arial" w:hAnsi="Arial"/>
          <w:bCs/>
          <w:lang w:val="en"/>
        </w:rPr>
        <w:t>Previous</w:t>
      </w:r>
      <w:r w:rsidRPr="00930D5F" w:rsidR="005D4E34">
        <w:rPr>
          <w:rFonts w:ascii="Arial" w:hAnsi="Arial"/>
          <w:bCs/>
          <w:lang w:val="en"/>
        </w:rPr>
        <w:t>ly approved</w:t>
      </w:r>
      <w:r w:rsidRPr="00930D5F">
        <w:rPr>
          <w:rFonts w:ascii="Arial" w:hAnsi="Arial"/>
          <w:bCs/>
          <w:lang w:val="en"/>
        </w:rPr>
        <w:t xml:space="preserve"> revision</w:t>
      </w:r>
      <w:r w:rsidRPr="00930D5F" w:rsidR="009A325C">
        <w:rPr>
          <w:rFonts w:ascii="Arial" w:hAnsi="Arial"/>
          <w:bCs/>
          <w:lang w:val="en"/>
        </w:rPr>
        <w:t>s</w:t>
      </w:r>
      <w:r w:rsidRPr="00930D5F">
        <w:rPr>
          <w:rFonts w:ascii="Arial" w:hAnsi="Arial"/>
          <w:bCs/>
          <w:lang w:val="en"/>
        </w:rPr>
        <w:t>:</w:t>
      </w:r>
    </w:p>
    <w:p w:rsidR="00971B93" w:rsidRPr="00930D5F" w:rsidP="00E4035F" w14:paraId="7BB5D8DA" w14:textId="77777777">
      <w:pPr>
        <w:tabs>
          <w:tab w:val="left" w:pos="-1440"/>
        </w:tabs>
        <w:ind w:left="720"/>
        <w:rPr>
          <w:rFonts w:ascii="Arial" w:hAnsi="Arial"/>
          <w:bCs/>
          <w:lang w:val="en"/>
        </w:rPr>
      </w:pPr>
    </w:p>
    <w:p w:rsidR="00551962" w:rsidRPr="00F1386F" w:rsidP="00F1386F" w14:paraId="247AF1AB" w14:textId="75471D85">
      <w:pPr>
        <w:pStyle w:val="ListParagraph"/>
        <w:numPr>
          <w:ilvl w:val="0"/>
          <w:numId w:val="20"/>
        </w:numPr>
        <w:tabs>
          <w:tab w:val="left" w:pos="-1440"/>
        </w:tabs>
        <w:rPr>
          <w:rFonts w:ascii="Arial" w:hAnsi="Arial"/>
          <w:bCs/>
        </w:rPr>
      </w:pPr>
      <w:r w:rsidRPr="00F1386F">
        <w:rPr>
          <w:rFonts w:ascii="Arial" w:hAnsi="Arial"/>
          <w:bCs/>
          <w:lang w:val="en"/>
        </w:rPr>
        <w:t>Due to the termination of the APC program, U.S. Legal permanent residents (LPR) and visa waiver country (VWP) visitors arriving for their second visit to the United States will be included into the MPC program.</w:t>
      </w:r>
      <w:r w:rsidRPr="00F1386F">
        <w:rPr>
          <w:rFonts w:ascii="Arial" w:hAnsi="Arial"/>
          <w:bCs/>
        </w:rPr>
        <w:t xml:space="preserve"> </w:t>
      </w:r>
      <w:r w:rsidRPr="00F1386F" w:rsidR="000938D6">
        <w:rPr>
          <w:rFonts w:ascii="Arial" w:hAnsi="Arial"/>
          <w:bCs/>
        </w:rPr>
        <w:t xml:space="preserve">U.S. LPRs are eligible for </w:t>
      </w:r>
      <w:r w:rsidRPr="00F1386F" w:rsidR="009A325C">
        <w:rPr>
          <w:rFonts w:ascii="Arial" w:hAnsi="Arial"/>
          <w:bCs/>
        </w:rPr>
        <w:t xml:space="preserve">Simplified </w:t>
      </w:r>
      <w:r w:rsidRPr="00F1386F" w:rsidR="000938D6">
        <w:rPr>
          <w:rFonts w:ascii="Arial" w:hAnsi="Arial"/>
          <w:bCs/>
        </w:rPr>
        <w:t>A</w:t>
      </w:r>
      <w:r w:rsidRPr="00F1386F" w:rsidR="009A325C">
        <w:rPr>
          <w:rFonts w:ascii="Arial" w:hAnsi="Arial"/>
          <w:bCs/>
        </w:rPr>
        <w:t>rrival</w:t>
      </w:r>
      <w:r w:rsidRPr="00F1386F" w:rsidR="000938D6">
        <w:rPr>
          <w:rFonts w:ascii="Arial" w:hAnsi="Arial"/>
          <w:bCs/>
        </w:rPr>
        <w:t>’s</w:t>
      </w:r>
      <w:r w:rsidRPr="00F1386F" w:rsidR="009A325C">
        <w:rPr>
          <w:rFonts w:ascii="Arial" w:hAnsi="Arial"/>
          <w:bCs/>
        </w:rPr>
        <w:t xml:space="preserve"> (SA)</w:t>
      </w:r>
      <w:r w:rsidRPr="00F1386F" w:rsidR="000938D6">
        <w:rPr>
          <w:rFonts w:ascii="Arial" w:hAnsi="Arial"/>
          <w:bCs/>
        </w:rPr>
        <w:t xml:space="preserve"> photo biometric confirmation upon arrival into the United States.  Other classes of admission eligible for SA’s photo biometric confirmation will be considered for MPC inclusion as a future update.  </w:t>
      </w:r>
    </w:p>
    <w:p w:rsidR="009A325C" w:rsidP="00284EC3" w14:paraId="49328722" w14:textId="77777777">
      <w:pPr>
        <w:tabs>
          <w:tab w:val="left" w:pos="-1440"/>
        </w:tabs>
        <w:ind w:left="720"/>
        <w:rPr>
          <w:rFonts w:ascii="Arial" w:hAnsi="Arial"/>
          <w:bCs/>
          <w:u w:val="single"/>
        </w:rPr>
      </w:pPr>
    </w:p>
    <w:p w:rsidR="00AB4596" w:rsidRPr="00F1386F" w:rsidP="00F1386F" w14:paraId="6479EDE0" w14:textId="49CC1531">
      <w:pPr>
        <w:pStyle w:val="ListParagraph"/>
        <w:numPr>
          <w:ilvl w:val="0"/>
          <w:numId w:val="20"/>
        </w:numPr>
        <w:tabs>
          <w:tab w:val="left" w:pos="-1440"/>
        </w:tabs>
        <w:rPr>
          <w:rFonts w:ascii="Arial" w:hAnsi="Arial"/>
        </w:rPr>
      </w:pPr>
      <w:r>
        <w:rPr>
          <w:rFonts w:ascii="Arial" w:hAnsi="Arial"/>
          <w:bCs/>
        </w:rPr>
        <w:t>CBP added a</w:t>
      </w:r>
      <w:r w:rsidRPr="00F1386F" w:rsidR="000938D6">
        <w:rPr>
          <w:rFonts w:ascii="Arial" w:hAnsi="Arial"/>
          <w:bCs/>
        </w:rPr>
        <w:t xml:space="preserve"> new </w:t>
      </w:r>
      <w:r w:rsidRPr="00F1386F" w:rsidR="00F97545">
        <w:rPr>
          <w:rFonts w:ascii="Arial" w:hAnsi="Arial"/>
          <w:bCs/>
        </w:rPr>
        <w:t xml:space="preserve">mobile </w:t>
      </w:r>
      <w:r w:rsidRPr="00F1386F" w:rsidR="001D356E">
        <w:rPr>
          <w:rFonts w:ascii="Arial" w:hAnsi="Arial"/>
          <w:bCs/>
        </w:rPr>
        <w:t>application</w:t>
      </w:r>
      <w:r>
        <w:rPr>
          <w:rFonts w:ascii="Arial" w:hAnsi="Arial"/>
          <w:bCs/>
        </w:rPr>
        <w:t>,</w:t>
      </w:r>
      <w:r w:rsidRPr="00F1386F" w:rsidR="001D356E">
        <w:rPr>
          <w:rFonts w:ascii="Arial" w:hAnsi="Arial"/>
          <w:bCs/>
        </w:rPr>
        <w:t xml:space="preserve"> testing</w:t>
      </w:r>
      <w:r w:rsidRPr="00F1386F" w:rsidR="00F97545">
        <w:rPr>
          <w:rFonts w:ascii="Arial" w:hAnsi="Arial"/>
          <w:bCs/>
        </w:rPr>
        <w:t xml:space="preserve"> the </w:t>
      </w:r>
      <w:r w:rsidRPr="00F1386F" w:rsidR="00F97545">
        <w:rPr>
          <w:rFonts w:ascii="Arial" w:hAnsi="Arial"/>
        </w:rPr>
        <w:t xml:space="preserve">operational effectiveness </w:t>
      </w:r>
      <w:r>
        <w:rPr>
          <w:rFonts w:ascii="Arial" w:hAnsi="Arial"/>
        </w:rPr>
        <w:t>of</w:t>
      </w:r>
      <w:r w:rsidRPr="00F1386F" w:rsidR="00F97545">
        <w:rPr>
          <w:rFonts w:ascii="Arial" w:hAnsi="Arial"/>
        </w:rPr>
        <w:t xml:space="preserve"> allow</w:t>
      </w:r>
      <w:r>
        <w:rPr>
          <w:rFonts w:ascii="Arial" w:hAnsi="Arial"/>
        </w:rPr>
        <w:t>ing</w:t>
      </w:r>
      <w:r w:rsidRPr="00F1386F" w:rsidR="00F97545">
        <w:rPr>
          <w:rFonts w:ascii="Arial" w:hAnsi="Arial"/>
        </w:rPr>
        <w:t xml:space="preserve"> travelers to use </w:t>
      </w:r>
      <w:r w:rsidRPr="00F1386F" w:rsidR="0096654D">
        <w:rPr>
          <w:rFonts w:ascii="Arial" w:hAnsi="Arial"/>
        </w:rPr>
        <w:t xml:space="preserve"> </w:t>
      </w:r>
      <w:r>
        <w:rPr>
          <w:rFonts w:ascii="Arial" w:hAnsi="Arial"/>
        </w:rPr>
        <w:t xml:space="preserve">the CBP Home </w:t>
      </w:r>
      <w:r w:rsidRPr="00F1386F" w:rsidR="0096654D">
        <w:rPr>
          <w:rFonts w:ascii="Arial" w:hAnsi="Arial"/>
        </w:rPr>
        <w:t>mobile</w:t>
      </w:r>
      <w:r w:rsidRPr="00F1386F" w:rsidR="00F97545">
        <w:rPr>
          <w:rFonts w:ascii="Arial" w:hAnsi="Arial"/>
        </w:rPr>
        <w:t xml:space="preserve"> app</w:t>
      </w:r>
      <w:r w:rsidRPr="00F1386F" w:rsidR="009A38F2">
        <w:rPr>
          <w:rFonts w:ascii="Arial" w:hAnsi="Arial"/>
        </w:rPr>
        <w:t>lication</w:t>
      </w:r>
      <w:r w:rsidRPr="00F1386F" w:rsidR="00F97545">
        <w:rPr>
          <w:rFonts w:ascii="Arial" w:hAnsi="Arial"/>
        </w:rPr>
        <w:t xml:space="preserve"> to submit information to </w:t>
      </w:r>
      <w:r w:rsidRPr="00F1386F" w:rsidR="000938D6">
        <w:rPr>
          <w:rFonts w:ascii="Arial" w:hAnsi="Arial"/>
        </w:rPr>
        <w:t xml:space="preserve">CBP, in advance, </w:t>
      </w:r>
      <w:r w:rsidRPr="00F1386F" w:rsidR="00F97545">
        <w:rPr>
          <w:rFonts w:ascii="Arial" w:hAnsi="Arial"/>
        </w:rPr>
        <w:t xml:space="preserve">prior to arrival.  This second mobile capability is under the current CBP </w:t>
      </w:r>
      <w:r w:rsidR="008857E3">
        <w:rPr>
          <w:rFonts w:ascii="Arial" w:hAnsi="Arial"/>
        </w:rPr>
        <w:t>Link</w:t>
      </w:r>
      <w:r w:rsidRPr="00F1386F" w:rsidR="00F97545">
        <w:rPr>
          <w:rFonts w:ascii="Arial" w:hAnsi="Arial"/>
          <w:vertAlign w:val="superscript"/>
        </w:rPr>
        <w:t>TM</w:t>
      </w:r>
      <w:r w:rsidRPr="00F1386F" w:rsidR="00F97545">
        <w:rPr>
          <w:rFonts w:ascii="Arial" w:hAnsi="Arial"/>
        </w:rPr>
        <w:t xml:space="preserve"> application </w:t>
      </w:r>
      <w:r w:rsidRPr="00F1386F" w:rsidR="007D4AB0">
        <w:rPr>
          <w:rFonts w:ascii="Arial" w:hAnsi="Arial"/>
        </w:rPr>
        <w:t xml:space="preserve"> is a platform  that serves as a  portal for travelers and stakeholders to virtually interact with CBP.  The CBP </w:t>
      </w:r>
      <w:r w:rsidR="008857E3">
        <w:rPr>
          <w:rFonts w:ascii="Arial" w:hAnsi="Arial"/>
        </w:rPr>
        <w:t>Link</w:t>
      </w:r>
      <w:r w:rsidRPr="00F1386F" w:rsidR="007D4AB0">
        <w:rPr>
          <w:rFonts w:ascii="Arial" w:hAnsi="Arial"/>
          <w:vertAlign w:val="superscript"/>
        </w:rPr>
        <w:t>TM</w:t>
      </w:r>
      <w:r w:rsidRPr="00F1386F" w:rsidR="007D4AB0">
        <w:rPr>
          <w:rFonts w:ascii="Arial" w:hAnsi="Arial"/>
        </w:rPr>
        <w:t xml:space="preserve"> application </w:t>
      </w:r>
      <w:r w:rsidRPr="00F1386F" w:rsidR="00D845AE">
        <w:rPr>
          <w:rFonts w:ascii="Arial" w:hAnsi="Arial"/>
        </w:rPr>
        <w:t>wi</w:t>
      </w:r>
      <w:r w:rsidRPr="00F1386F" w:rsidR="007D4AB0">
        <w:rPr>
          <w:rFonts w:ascii="Arial" w:hAnsi="Arial"/>
        </w:rPr>
        <w:t xml:space="preserve">ll also </w:t>
      </w:r>
      <w:r w:rsidRPr="00F1386F" w:rsidR="00F97545">
        <w:rPr>
          <w:rFonts w:ascii="Arial" w:hAnsi="Arial"/>
        </w:rPr>
        <w:t xml:space="preserve">allow travelers to self-segment upon arrival </w:t>
      </w:r>
      <w:r w:rsidRPr="00F1386F" w:rsidR="00D845AE">
        <w:rPr>
          <w:rFonts w:ascii="Arial" w:hAnsi="Arial"/>
        </w:rPr>
        <w:t>at land borders in the</w:t>
      </w:r>
      <w:r w:rsidRPr="00F1386F" w:rsidR="00F97545">
        <w:rPr>
          <w:rFonts w:ascii="Arial" w:hAnsi="Arial"/>
        </w:rPr>
        <w:t xml:space="preserve"> United States</w:t>
      </w:r>
      <w:r w:rsidRPr="00F1386F" w:rsidR="00D845AE">
        <w:rPr>
          <w:rFonts w:ascii="Arial" w:hAnsi="Arial"/>
        </w:rPr>
        <w:t xml:space="preserve">.  </w:t>
      </w:r>
    </w:p>
    <w:p w:rsidR="00AB4596" w:rsidP="00284EC3" w14:paraId="7E6FB5EB" w14:textId="4492270A">
      <w:pPr>
        <w:tabs>
          <w:tab w:val="left" w:pos="-1440"/>
        </w:tabs>
        <w:ind w:left="720"/>
        <w:rPr>
          <w:rFonts w:ascii="Arial" w:hAnsi="Arial"/>
          <w:bCs/>
        </w:rPr>
      </w:pPr>
    </w:p>
    <w:p w:rsidR="000917BE" w:rsidP="009A325C" w14:paraId="06024A0D" w14:textId="3A4A9A8F">
      <w:pPr>
        <w:tabs>
          <w:tab w:val="left" w:pos="-1440"/>
        </w:tabs>
        <w:ind w:left="1080"/>
        <w:rPr>
          <w:rFonts w:ascii="Arial" w:hAnsi="Arial"/>
        </w:rPr>
      </w:pPr>
      <w:r w:rsidRPr="009A38F2">
        <w:rPr>
          <w:rFonts w:ascii="Arial" w:hAnsi="Arial"/>
        </w:rPr>
        <w:t xml:space="preserve">Similar to </w:t>
      </w:r>
      <w:r w:rsidR="001D35BC">
        <w:rPr>
          <w:rFonts w:ascii="Arial" w:hAnsi="Arial"/>
        </w:rPr>
        <w:t xml:space="preserve">the </w:t>
      </w:r>
      <w:r w:rsidRPr="009A38F2">
        <w:rPr>
          <w:rFonts w:ascii="Arial" w:hAnsi="Arial"/>
        </w:rPr>
        <w:t>MPC</w:t>
      </w:r>
      <w:r w:rsidR="001D35BC">
        <w:rPr>
          <w:rFonts w:ascii="Arial" w:hAnsi="Arial"/>
        </w:rPr>
        <w:t xml:space="preserve"> application</w:t>
      </w:r>
      <w:r w:rsidRPr="009A38F2">
        <w:rPr>
          <w:rFonts w:ascii="Arial" w:hAnsi="Arial"/>
        </w:rPr>
        <w:t xml:space="preserve">, </w:t>
      </w:r>
      <w:r>
        <w:rPr>
          <w:rFonts w:ascii="Arial" w:hAnsi="Arial"/>
        </w:rPr>
        <w:t xml:space="preserve">the </w:t>
      </w:r>
      <w:r w:rsidRPr="009A38F2">
        <w:rPr>
          <w:rFonts w:ascii="Arial" w:hAnsi="Arial"/>
        </w:rPr>
        <w:t xml:space="preserve">CBP </w:t>
      </w:r>
      <w:r w:rsidR="008857E3">
        <w:rPr>
          <w:rFonts w:ascii="Arial" w:hAnsi="Arial"/>
        </w:rPr>
        <w:t>Link</w:t>
      </w:r>
      <w:r w:rsidRPr="009A38F2">
        <w:rPr>
          <w:rFonts w:ascii="Arial" w:hAnsi="Arial"/>
          <w:vertAlign w:val="superscript"/>
        </w:rPr>
        <w:t xml:space="preserve">TM </w:t>
      </w:r>
      <w:r w:rsidR="009A38F2">
        <w:rPr>
          <w:rFonts w:ascii="Arial" w:hAnsi="Arial"/>
        </w:rPr>
        <w:t>application</w:t>
      </w:r>
      <w:r>
        <w:rPr>
          <w:rFonts w:ascii="Arial" w:hAnsi="Arial"/>
        </w:rPr>
        <w:t xml:space="preserve"> e</w:t>
      </w:r>
      <w:r w:rsidRPr="009A38F2">
        <w:rPr>
          <w:rFonts w:ascii="Arial" w:hAnsi="Arial"/>
        </w:rPr>
        <w:t xml:space="preserve">liminates the administrative tasks performed by the officer during a traditional inspection and in most cases will eliminate the need for respondents/travelers to fill out a paper declaration.  </w:t>
      </w:r>
      <w:r>
        <w:rPr>
          <w:rFonts w:ascii="Arial" w:hAnsi="Arial"/>
        </w:rPr>
        <w:t xml:space="preserve">In addition, the </w:t>
      </w:r>
      <w:r w:rsidRPr="009A38F2" w:rsidR="001421F1">
        <w:rPr>
          <w:rFonts w:ascii="Arial" w:hAnsi="Arial"/>
        </w:rPr>
        <w:t xml:space="preserve">CBP </w:t>
      </w:r>
      <w:r w:rsidR="008857E3">
        <w:rPr>
          <w:rFonts w:ascii="Arial" w:hAnsi="Arial"/>
        </w:rPr>
        <w:t>Link</w:t>
      </w:r>
      <w:r w:rsidRPr="009A38F2" w:rsidR="001421F1">
        <w:rPr>
          <w:rFonts w:ascii="Arial" w:hAnsi="Arial"/>
          <w:vertAlign w:val="superscript"/>
        </w:rPr>
        <w:t>TM</w:t>
      </w:r>
      <w:r w:rsidRPr="009A38F2">
        <w:rPr>
          <w:rFonts w:ascii="Arial" w:hAnsi="Arial"/>
        </w:rPr>
        <w:t xml:space="preserve"> </w:t>
      </w:r>
      <w:r>
        <w:rPr>
          <w:rFonts w:ascii="Arial" w:hAnsi="Arial"/>
        </w:rPr>
        <w:t xml:space="preserve">application </w:t>
      </w:r>
      <w:r w:rsidRPr="009A38F2" w:rsidR="001421F1">
        <w:rPr>
          <w:rFonts w:ascii="Arial" w:hAnsi="Arial"/>
        </w:rPr>
        <w:t xml:space="preserve">will also </w:t>
      </w:r>
      <w:r w:rsidRPr="009A38F2">
        <w:rPr>
          <w:rFonts w:ascii="Arial" w:hAnsi="Arial"/>
        </w:rPr>
        <w:t>provide a more efficient and secure in person inspection between the CBP Officer and the traveler</w:t>
      </w:r>
      <w:r w:rsidRPr="009A38F2" w:rsidR="001421F1">
        <w:rPr>
          <w:rFonts w:ascii="Arial" w:hAnsi="Arial"/>
        </w:rPr>
        <w:t xml:space="preserve"> at the land border</w:t>
      </w:r>
      <w:r w:rsidRPr="009A38F2">
        <w:rPr>
          <w:rFonts w:ascii="Arial" w:hAnsi="Arial"/>
        </w:rPr>
        <w:t>.</w:t>
      </w:r>
    </w:p>
    <w:p w:rsidR="009A325C" w:rsidP="00F1386F" w14:paraId="339211E8" w14:textId="77777777">
      <w:pPr>
        <w:tabs>
          <w:tab w:val="left" w:pos="-1440"/>
        </w:tabs>
        <w:ind w:left="1440"/>
        <w:rPr>
          <w:rFonts w:ascii="Arial" w:hAnsi="Arial"/>
        </w:rPr>
      </w:pPr>
    </w:p>
    <w:p w:rsidR="001D35BC" w:rsidP="00F1386F" w14:paraId="573CF8AA" w14:textId="4A48993F">
      <w:pPr>
        <w:tabs>
          <w:tab w:val="left" w:pos="-1440"/>
        </w:tabs>
        <w:ind w:left="1080"/>
        <w:rPr>
          <w:rFonts w:ascii="Arial" w:hAnsi="Arial"/>
          <w:bCs/>
        </w:rPr>
      </w:pPr>
      <w:bookmarkStart w:id="6" w:name="_Hlk113370373"/>
      <w:bookmarkStart w:id="7" w:name="_Hlk113366991"/>
      <w:r>
        <w:rPr>
          <w:rFonts w:ascii="Arial" w:hAnsi="Arial"/>
          <w:bCs/>
        </w:rPr>
        <w:t>Unique to t</w:t>
      </w:r>
      <w:r w:rsidRPr="00C83F44" w:rsidR="00C83F44">
        <w:rPr>
          <w:rFonts w:ascii="Arial" w:hAnsi="Arial"/>
          <w:bCs/>
        </w:rPr>
        <w:t xml:space="preserve">he CBP </w:t>
      </w:r>
      <w:r w:rsidR="005D4E34">
        <w:rPr>
          <w:rFonts w:ascii="Arial" w:hAnsi="Arial"/>
          <w:bCs/>
        </w:rPr>
        <w:t>Link</w:t>
      </w:r>
      <w:r w:rsidRPr="00C83F44" w:rsidR="00C83F44">
        <w:rPr>
          <w:rFonts w:ascii="Arial" w:hAnsi="Arial"/>
          <w:bCs/>
          <w:vertAlign w:val="superscript"/>
        </w:rPr>
        <w:t xml:space="preserve">TM </w:t>
      </w:r>
      <w:r w:rsidRPr="00C83F44" w:rsidR="00C83F44">
        <w:rPr>
          <w:rFonts w:ascii="Arial" w:hAnsi="Arial"/>
          <w:bCs/>
        </w:rPr>
        <w:t xml:space="preserve">application is that while the MPC submission is completed upon arrival, the CBP </w:t>
      </w:r>
      <w:r w:rsidR="005D4E34">
        <w:rPr>
          <w:rFonts w:ascii="Arial" w:hAnsi="Arial"/>
          <w:bCs/>
        </w:rPr>
        <w:t>Link</w:t>
      </w:r>
      <w:r w:rsidRPr="00C83F44">
        <w:rPr>
          <w:rFonts w:ascii="Arial" w:hAnsi="Arial"/>
          <w:bCs/>
          <w:vertAlign w:val="superscript"/>
        </w:rPr>
        <w:t>TM</w:t>
      </w:r>
      <w:r w:rsidRPr="00C83F44" w:rsidR="00C83F44">
        <w:rPr>
          <w:rFonts w:ascii="Arial" w:hAnsi="Arial"/>
          <w:bCs/>
        </w:rPr>
        <w:t xml:space="preserve"> application must be submitted in advance and will require</w:t>
      </w:r>
      <w:r>
        <w:rPr>
          <w:rFonts w:ascii="Arial" w:hAnsi="Arial"/>
          <w:bCs/>
        </w:rPr>
        <w:t xml:space="preserve"> the additional data elements:  </w:t>
      </w:r>
    </w:p>
    <w:p w:rsidR="001D35BC" w:rsidP="00C83F44" w14:paraId="549FE338" w14:textId="368985A8">
      <w:pPr>
        <w:tabs>
          <w:tab w:val="left" w:pos="-1440"/>
        </w:tabs>
        <w:ind w:left="720"/>
        <w:rPr>
          <w:rFonts w:ascii="Arial" w:hAnsi="Arial"/>
          <w:bCs/>
        </w:rPr>
      </w:pPr>
    </w:p>
    <w:p w:rsidR="001D35BC" w:rsidRPr="00AC0D74" w:rsidP="00AC0D74" w14:paraId="5E996931" w14:textId="52B0108C">
      <w:pPr>
        <w:pStyle w:val="ListParagraph"/>
        <w:numPr>
          <w:ilvl w:val="0"/>
          <w:numId w:val="16"/>
        </w:numPr>
        <w:tabs>
          <w:tab w:val="left" w:pos="-1440"/>
        </w:tabs>
        <w:rPr>
          <w:rFonts w:ascii="Arial" w:hAnsi="Arial"/>
          <w:bCs/>
        </w:rPr>
      </w:pPr>
      <w:r w:rsidRPr="00AC0D74">
        <w:rPr>
          <w:rFonts w:ascii="Arial" w:hAnsi="Arial"/>
          <w:bCs/>
        </w:rPr>
        <w:t>T</w:t>
      </w:r>
      <w:r w:rsidRPr="00AC0D74" w:rsidR="00C83F44">
        <w:rPr>
          <w:rFonts w:ascii="Arial" w:hAnsi="Arial"/>
          <w:bCs/>
        </w:rPr>
        <w:t xml:space="preserve">raveler </w:t>
      </w:r>
      <w:r w:rsidRPr="00AC0D74">
        <w:rPr>
          <w:rFonts w:ascii="Arial" w:hAnsi="Arial"/>
          <w:bCs/>
        </w:rPr>
        <w:t>I</w:t>
      </w:r>
      <w:r w:rsidRPr="00AC0D74" w:rsidR="00C83F44">
        <w:rPr>
          <w:rFonts w:ascii="Arial" w:hAnsi="Arial"/>
          <w:bCs/>
        </w:rPr>
        <w:t>dentify the Port of Entry (POE)</w:t>
      </w:r>
    </w:p>
    <w:p w:rsidR="001D35BC" w:rsidP="001D35BC" w14:paraId="53242F00" w14:textId="2F475A76">
      <w:pPr>
        <w:pStyle w:val="ListParagraph"/>
        <w:numPr>
          <w:ilvl w:val="0"/>
          <w:numId w:val="16"/>
        </w:numPr>
        <w:tabs>
          <w:tab w:val="left" w:pos="-1440"/>
        </w:tabs>
        <w:rPr>
          <w:rFonts w:ascii="Arial" w:hAnsi="Arial"/>
          <w:bCs/>
        </w:rPr>
      </w:pPr>
      <w:r w:rsidRPr="00AC0D74">
        <w:rPr>
          <w:rFonts w:ascii="Arial" w:hAnsi="Arial"/>
          <w:bCs/>
        </w:rPr>
        <w:t>T</w:t>
      </w:r>
      <w:r w:rsidRPr="00AC0D74" w:rsidR="00C83F44">
        <w:rPr>
          <w:rFonts w:ascii="Arial" w:hAnsi="Arial"/>
          <w:bCs/>
        </w:rPr>
        <w:t xml:space="preserve">ime and/or date of arrival.  </w:t>
      </w:r>
    </w:p>
    <w:bookmarkEnd w:id="6"/>
    <w:p w:rsidR="00164958" w:rsidRPr="00AC0D74" w:rsidP="00AC0D74" w14:paraId="34E7FCBD" w14:textId="5F6622A7">
      <w:pPr>
        <w:tabs>
          <w:tab w:val="left" w:pos="-1440"/>
        </w:tabs>
        <w:ind w:left="720"/>
        <w:rPr>
          <w:rFonts w:ascii="Arial" w:hAnsi="Arial"/>
          <w:bCs/>
        </w:rPr>
      </w:pPr>
    </w:p>
    <w:p w:rsidR="00086105" w:rsidP="00A90B4C" w14:paraId="128A7044" w14:textId="71E73DC0">
      <w:pPr>
        <w:tabs>
          <w:tab w:val="left" w:pos="-1440"/>
        </w:tabs>
        <w:ind w:left="720"/>
        <w:rPr>
          <w:rFonts w:ascii="Arial" w:hAnsi="Arial"/>
          <w:bCs/>
        </w:rPr>
      </w:pPr>
      <w:r>
        <w:rPr>
          <w:rFonts w:ascii="Arial" w:hAnsi="Arial"/>
          <w:bCs/>
        </w:rPr>
        <w:t xml:space="preserve">In </w:t>
      </w:r>
      <w:r w:rsidR="00CA5CC1">
        <w:rPr>
          <w:rFonts w:ascii="Arial" w:hAnsi="Arial"/>
          <w:bCs/>
        </w:rPr>
        <w:t xml:space="preserve">addition, </w:t>
      </w:r>
      <w:r w:rsidRPr="00A90B4C" w:rsidR="00CA5CC1">
        <w:rPr>
          <w:rFonts w:ascii="Arial" w:hAnsi="Arial"/>
          <w:bCs/>
        </w:rPr>
        <w:t>travelers</w:t>
      </w:r>
      <w:r w:rsidRPr="00A90B4C" w:rsidR="00A90B4C">
        <w:rPr>
          <w:rFonts w:ascii="Arial" w:hAnsi="Arial"/>
          <w:bCs/>
        </w:rPr>
        <w:t xml:space="preserve"> </w:t>
      </w:r>
      <w:r>
        <w:rPr>
          <w:rFonts w:ascii="Arial" w:hAnsi="Arial"/>
          <w:bCs/>
        </w:rPr>
        <w:t xml:space="preserve">will </w:t>
      </w:r>
      <w:r w:rsidRPr="00A90B4C" w:rsidR="00A90B4C">
        <w:rPr>
          <w:rFonts w:ascii="Arial" w:hAnsi="Arial"/>
          <w:bCs/>
        </w:rPr>
        <w:t xml:space="preserve">provide </w:t>
      </w:r>
      <w:r>
        <w:rPr>
          <w:rFonts w:ascii="Arial" w:hAnsi="Arial"/>
          <w:bCs/>
        </w:rPr>
        <w:t xml:space="preserve">their </w:t>
      </w:r>
      <w:r w:rsidRPr="00A90B4C" w:rsidR="00A90B4C">
        <w:rPr>
          <w:rFonts w:ascii="Arial" w:hAnsi="Arial"/>
          <w:bCs/>
        </w:rPr>
        <w:t>answers to CBP</w:t>
      </w:r>
      <w:r w:rsidR="00B16E02">
        <w:rPr>
          <w:rFonts w:ascii="Arial" w:hAnsi="Arial"/>
          <w:bCs/>
        </w:rPr>
        <w:t>’s</w:t>
      </w:r>
      <w:r w:rsidRPr="00A90B4C" w:rsidR="00A90B4C">
        <w:rPr>
          <w:rFonts w:ascii="Arial" w:hAnsi="Arial"/>
          <w:bCs/>
        </w:rPr>
        <w:t xml:space="preserve"> questions, take a self-picture/selfie and submit the information via the </w:t>
      </w:r>
      <w:r w:rsidRPr="00AC0D74">
        <w:rPr>
          <w:rFonts w:ascii="Arial" w:hAnsi="Arial"/>
          <w:bCs/>
        </w:rPr>
        <w:t>CBP</w:t>
      </w:r>
      <w:r w:rsidR="009A325C">
        <w:rPr>
          <w:rFonts w:ascii="Arial" w:hAnsi="Arial"/>
          <w:bCs/>
        </w:rPr>
        <w:t xml:space="preserve"> </w:t>
      </w:r>
      <w:r w:rsidR="008857E3">
        <w:rPr>
          <w:rFonts w:ascii="Arial" w:hAnsi="Arial"/>
          <w:bCs/>
        </w:rPr>
        <w:t>Link</w:t>
      </w:r>
      <w:r w:rsidRPr="00AC0D74">
        <w:rPr>
          <w:rFonts w:ascii="Arial" w:hAnsi="Arial"/>
          <w:bCs/>
          <w:vertAlign w:val="superscript"/>
        </w:rPr>
        <w:t>TM</w:t>
      </w:r>
      <w:r w:rsidRPr="00A90B4C" w:rsidR="00A90B4C">
        <w:rPr>
          <w:rFonts w:ascii="Arial" w:hAnsi="Arial"/>
          <w:bCs/>
        </w:rPr>
        <w:t xml:space="preserve"> application, after the plane lands.</w:t>
      </w:r>
      <w:r>
        <w:rPr>
          <w:rFonts w:ascii="Arial" w:hAnsi="Arial"/>
          <w:bCs/>
        </w:rPr>
        <w:t xml:space="preserve"> </w:t>
      </w:r>
      <w:r w:rsidRPr="00AC0D74" w:rsidR="00C83F44">
        <w:rPr>
          <w:rFonts w:ascii="Arial" w:hAnsi="Arial"/>
          <w:bCs/>
        </w:rPr>
        <w:t xml:space="preserve">This will allow for advance vetting and proper resource management at the POE.  </w:t>
      </w:r>
      <w:r w:rsidR="00DC455D">
        <w:rPr>
          <w:rFonts w:ascii="Arial" w:hAnsi="Arial"/>
          <w:bCs/>
        </w:rPr>
        <w:t>T</w:t>
      </w:r>
      <w:r w:rsidRPr="00AC0D74" w:rsidR="00C83F44">
        <w:rPr>
          <w:rFonts w:ascii="Arial" w:hAnsi="Arial"/>
          <w:bCs/>
        </w:rPr>
        <w:t xml:space="preserve">his capability through the CBP </w:t>
      </w:r>
      <w:r w:rsidR="008857E3">
        <w:rPr>
          <w:rFonts w:ascii="Arial" w:hAnsi="Arial"/>
          <w:bCs/>
        </w:rPr>
        <w:t xml:space="preserve">Link </w:t>
      </w:r>
      <w:r w:rsidRPr="00AC0D74" w:rsidR="00C83F44">
        <w:rPr>
          <w:rFonts w:ascii="Arial" w:hAnsi="Arial"/>
          <w:bCs/>
          <w:vertAlign w:val="superscript"/>
        </w:rPr>
        <w:t xml:space="preserve">TM </w:t>
      </w:r>
      <w:r w:rsidRPr="00AC0D74" w:rsidR="00C83F44">
        <w:rPr>
          <w:rFonts w:ascii="Arial" w:hAnsi="Arial"/>
          <w:bCs/>
        </w:rPr>
        <w:t>application is available to all travelers arriving with authorized travel documents, including foreign nationals.</w:t>
      </w:r>
      <w:bookmarkEnd w:id="1"/>
      <w:r w:rsidRPr="00AC0D74" w:rsidR="00C83F44">
        <w:rPr>
          <w:rFonts w:ascii="Arial" w:hAnsi="Arial"/>
          <w:bCs/>
        </w:rPr>
        <w:t xml:space="preserve"> </w:t>
      </w:r>
      <w:bookmarkEnd w:id="2"/>
      <w:bookmarkEnd w:id="7"/>
    </w:p>
    <w:p w:rsidR="002B0123" w:rsidP="00A90B4C" w14:paraId="1D3A8BDD" w14:textId="77777777">
      <w:pPr>
        <w:tabs>
          <w:tab w:val="left" w:pos="-1440"/>
        </w:tabs>
        <w:ind w:left="720"/>
        <w:rPr>
          <w:rFonts w:ascii="Arial" w:hAnsi="Arial"/>
          <w:bCs/>
        </w:rPr>
      </w:pPr>
    </w:p>
    <w:p w:rsidR="002B0123" w:rsidRPr="00F1386F" w:rsidP="00F1386F" w14:paraId="4620C0F9" w14:textId="344CAC20">
      <w:pPr>
        <w:tabs>
          <w:tab w:val="left" w:pos="-1440"/>
        </w:tabs>
        <w:rPr>
          <w:rFonts w:ascii="Arial" w:hAnsi="Arial"/>
          <w:bCs/>
          <w:u w:val="single"/>
        </w:rPr>
      </w:pPr>
    </w:p>
    <w:p w:rsidR="002B0123" w:rsidRPr="00F1386F" w:rsidP="00AD24BB" w14:paraId="305EF64C" w14:textId="379A73CF">
      <w:pPr>
        <w:tabs>
          <w:tab w:val="left" w:pos="-1440"/>
        </w:tabs>
        <w:ind w:left="720"/>
        <w:rPr>
          <w:rFonts w:ascii="Arial" w:hAnsi="Arial"/>
          <w:b/>
          <w:u w:val="single"/>
        </w:rPr>
      </w:pPr>
      <w:r w:rsidRPr="00F1386F">
        <w:rPr>
          <w:rFonts w:ascii="Arial" w:hAnsi="Arial"/>
          <w:bCs/>
          <w:u w:val="single"/>
        </w:rPr>
        <w:t xml:space="preserve"> </w:t>
      </w:r>
      <w:r w:rsidRPr="00F1386F">
        <w:rPr>
          <w:rFonts w:ascii="Arial" w:hAnsi="Arial"/>
          <w:b/>
          <w:u w:val="single"/>
        </w:rPr>
        <w:t>New Change</w:t>
      </w:r>
      <w:r w:rsidRPr="00F1386F" w:rsidR="005C19AF">
        <w:rPr>
          <w:rFonts w:ascii="Arial" w:hAnsi="Arial"/>
          <w:b/>
          <w:u w:val="single"/>
        </w:rPr>
        <w:t>s</w:t>
      </w:r>
      <w:r w:rsidRPr="00F1386F">
        <w:rPr>
          <w:rFonts w:ascii="Arial" w:hAnsi="Arial"/>
          <w:b/>
          <w:u w:val="single"/>
        </w:rPr>
        <w:t>:</w:t>
      </w:r>
    </w:p>
    <w:p w:rsidR="004359F0" w:rsidP="004359F0" w14:paraId="50A70F7D" w14:textId="77777777">
      <w:pPr>
        <w:tabs>
          <w:tab w:val="left" w:pos="-1440"/>
        </w:tabs>
        <w:ind w:left="720"/>
        <w:rPr>
          <w:rFonts w:ascii="Arial" w:hAnsi="Arial"/>
          <w:bCs/>
        </w:rPr>
      </w:pPr>
    </w:p>
    <w:p w:rsidR="004359F0" w:rsidRPr="00F1386F" w:rsidP="00F1386F" w14:paraId="2A3A5A4F" w14:textId="7BB04EED">
      <w:pPr>
        <w:pStyle w:val="ListParagraph"/>
        <w:numPr>
          <w:ilvl w:val="0"/>
          <w:numId w:val="19"/>
        </w:numPr>
        <w:tabs>
          <w:tab w:val="left" w:pos="-1440"/>
        </w:tabs>
        <w:rPr>
          <w:rFonts w:ascii="Arial" w:hAnsi="Arial"/>
          <w:bCs/>
        </w:rPr>
      </w:pPr>
      <w:r w:rsidRPr="00F1386F">
        <w:rPr>
          <w:rFonts w:ascii="Arial" w:hAnsi="Arial"/>
          <w:bCs/>
        </w:rPr>
        <w:t>MPC Expansion:</w:t>
      </w:r>
    </w:p>
    <w:p w:rsidR="009A325C" w:rsidP="00F1386F" w14:paraId="13C4EF69" w14:textId="25B500D9">
      <w:pPr>
        <w:tabs>
          <w:tab w:val="left" w:pos="-1440"/>
        </w:tabs>
        <w:ind w:left="1080"/>
        <w:rPr>
          <w:rFonts w:ascii="Arial" w:hAnsi="Arial"/>
          <w:bCs/>
        </w:rPr>
      </w:pPr>
      <w:r w:rsidRPr="009A325C">
        <w:rPr>
          <w:rFonts w:ascii="Arial" w:hAnsi="Arial"/>
          <w:bCs/>
        </w:rPr>
        <w:t>CBP is now expanding the MPC program to visa-exempt non-immigrants and certain non-immigrant visa-bearing travelers.</w:t>
      </w:r>
    </w:p>
    <w:p w:rsidR="009A325C" w:rsidRPr="009A325C" w:rsidP="00F1386F" w14:paraId="0E9FD2F9" w14:textId="77777777">
      <w:pPr>
        <w:tabs>
          <w:tab w:val="left" w:pos="-1440"/>
        </w:tabs>
        <w:rPr>
          <w:rFonts w:ascii="Arial" w:hAnsi="Arial"/>
          <w:bCs/>
        </w:rPr>
      </w:pPr>
    </w:p>
    <w:p w:rsidR="004359F0" w:rsidP="009A325C" w14:paraId="5B356555" w14:textId="013FFD17">
      <w:pPr>
        <w:tabs>
          <w:tab w:val="left" w:pos="-1440"/>
        </w:tabs>
        <w:ind w:left="1440"/>
        <w:rPr>
          <w:rFonts w:ascii="Arial" w:hAnsi="Arial"/>
          <w:bCs/>
        </w:rPr>
      </w:pPr>
      <w:r w:rsidRPr="004359F0">
        <w:rPr>
          <w:rFonts w:ascii="Arial" w:hAnsi="Arial"/>
          <w:bCs/>
        </w:rPr>
        <w:t xml:space="preserve">As CBP expands Mobile Passport Control (MPC) to land ports of entry, new </w:t>
      </w:r>
      <w:r w:rsidRPr="004359F0">
        <w:rPr>
          <w:rFonts w:ascii="Arial" w:hAnsi="Arial"/>
          <w:bCs/>
        </w:rPr>
        <w:t xml:space="preserve">elements are being </w:t>
      </w:r>
      <w:r w:rsidRPr="004359F0" w:rsidR="009A325C">
        <w:rPr>
          <w:rFonts w:ascii="Arial" w:hAnsi="Arial"/>
          <w:bCs/>
        </w:rPr>
        <w:t>incorporated</w:t>
      </w:r>
      <w:r w:rsidRPr="004359F0">
        <w:rPr>
          <w:rFonts w:ascii="Arial" w:hAnsi="Arial"/>
          <w:bCs/>
        </w:rPr>
        <w:t>.  Travelers arriving by personal vehicle will self-submit their vehicle’s license plate number via the MPC application. This enables CBP to associate travelers with their conveyance, improving pre-arrival processing, situational awareness, and inspection efficiency at primary.</w:t>
      </w:r>
    </w:p>
    <w:p w:rsidR="009A325C" w:rsidRPr="004359F0" w:rsidP="00F1386F" w14:paraId="0B53A728" w14:textId="77777777">
      <w:pPr>
        <w:tabs>
          <w:tab w:val="left" w:pos="-1440"/>
        </w:tabs>
        <w:ind w:left="1440"/>
        <w:rPr>
          <w:rFonts w:ascii="Arial" w:hAnsi="Arial"/>
          <w:bCs/>
        </w:rPr>
      </w:pPr>
    </w:p>
    <w:p w:rsidR="004359F0" w:rsidP="00F1386F" w14:paraId="2A7D58A7" w14:textId="77777777">
      <w:pPr>
        <w:tabs>
          <w:tab w:val="left" w:pos="-1440"/>
        </w:tabs>
        <w:ind w:left="1440"/>
        <w:rPr>
          <w:rFonts w:ascii="Arial" w:hAnsi="Arial"/>
          <w:bCs/>
        </w:rPr>
      </w:pPr>
      <w:r w:rsidRPr="004359F0">
        <w:rPr>
          <w:rFonts w:ascii="Arial" w:hAnsi="Arial"/>
          <w:bCs/>
        </w:rPr>
        <w:t xml:space="preserve"> To determine the correct Port of Entry (POE) for submission, MPC uses the device’s location services to calculate proximity. A single latitude/longitude coordinate—determined by the device’s hardware—is collected locally and immediately discarded after a distance calculation is performed on the device. CBP does not receive or retain specific device location data; only the closest POE is selected for submission.</w:t>
      </w:r>
    </w:p>
    <w:p w:rsidR="004359F0" w:rsidRPr="004359F0" w:rsidP="004359F0" w14:paraId="57B368E9" w14:textId="3093820A">
      <w:pPr>
        <w:tabs>
          <w:tab w:val="left" w:pos="-1440"/>
        </w:tabs>
        <w:ind w:left="720"/>
        <w:rPr>
          <w:rFonts w:ascii="Arial" w:hAnsi="Arial"/>
          <w:bCs/>
        </w:rPr>
      </w:pPr>
      <w:r>
        <w:rPr>
          <w:rFonts w:ascii="Arial" w:hAnsi="Arial"/>
          <w:bCs/>
        </w:rPr>
        <w:t xml:space="preserve"> </w:t>
      </w:r>
    </w:p>
    <w:p w:rsidR="004359F0" w:rsidRPr="004359F0" w:rsidP="00F1386F" w14:paraId="25BED24A" w14:textId="77777777">
      <w:pPr>
        <w:tabs>
          <w:tab w:val="left" w:pos="-1440"/>
        </w:tabs>
        <w:ind w:left="1440"/>
        <w:rPr>
          <w:rFonts w:ascii="Arial" w:hAnsi="Arial"/>
          <w:bCs/>
        </w:rPr>
      </w:pPr>
      <w:r w:rsidRPr="004359F0">
        <w:rPr>
          <w:rFonts w:ascii="Arial" w:hAnsi="Arial"/>
          <w:bCs/>
        </w:rPr>
        <w:t>At primary inspection, CBP Officers use Simplified Arrival to process MPC travelers.  Travelers group together by their MPC application will be linked in SA via their license plate number. When a license plate is read on primary, a function that SA already has, any MPC application associated to that plate number, within the time frame submitted by the traveler, will populate in SA.   SA displays all relevant traveler data—including biographic, passport, and customs declaration information—alongside any enforcement flags. This integrated process provides a secure, efficient experience for both officers and travelers.</w:t>
      </w:r>
    </w:p>
    <w:p w:rsidR="004359F0" w:rsidRPr="004359F0" w:rsidP="004359F0" w14:paraId="24962FA2" w14:textId="4A93590D">
      <w:pPr>
        <w:tabs>
          <w:tab w:val="left" w:pos="-1440"/>
        </w:tabs>
        <w:ind w:left="720"/>
        <w:rPr>
          <w:rFonts w:ascii="Arial" w:hAnsi="Arial"/>
          <w:bCs/>
        </w:rPr>
      </w:pPr>
      <w:r>
        <w:rPr>
          <w:rFonts w:ascii="Arial" w:hAnsi="Arial"/>
          <w:bCs/>
        </w:rPr>
        <w:t xml:space="preserve"> </w:t>
      </w:r>
      <w:r w:rsidR="00CD17AA">
        <w:rPr>
          <w:rFonts w:ascii="Arial" w:hAnsi="Arial"/>
          <w:bCs/>
        </w:rPr>
        <w:t xml:space="preserve">  </w:t>
      </w:r>
    </w:p>
    <w:p w:rsidR="004359F0" w:rsidRPr="004359F0" w:rsidP="00F1386F" w14:paraId="30AE3005" w14:textId="77777777">
      <w:pPr>
        <w:tabs>
          <w:tab w:val="left" w:pos="-1440"/>
        </w:tabs>
        <w:ind w:left="1440"/>
        <w:rPr>
          <w:rFonts w:ascii="Arial" w:hAnsi="Arial"/>
          <w:bCs/>
        </w:rPr>
      </w:pPr>
      <w:r w:rsidRPr="004359F0">
        <w:rPr>
          <w:rFonts w:ascii="Arial" w:hAnsi="Arial"/>
          <w:bCs/>
        </w:rPr>
        <w:t>In the commercial bus environment, both individual travelers and carriers will be able to submit traveler information via the MPC application.  Carriers will create an MPC shell that will be available to travelers to input their information into; carriers would input information of travelers who did not submit into the shell themselves.  Travelers will be linked to the arriving conveyance using the bus’s license plate number, allowing CBP to connect submissions to group manifests. This enhances processing for high-volume passenger arrivals and ensures accurate vetting.</w:t>
      </w:r>
    </w:p>
    <w:p w:rsidR="004359F0" w:rsidP="00F1386F" w14:paraId="25750550" w14:textId="77777777">
      <w:pPr>
        <w:tabs>
          <w:tab w:val="left" w:pos="-1440"/>
        </w:tabs>
        <w:ind w:left="1440"/>
        <w:rPr>
          <w:rFonts w:ascii="Arial" w:hAnsi="Arial"/>
          <w:bCs/>
        </w:rPr>
      </w:pPr>
      <w:r w:rsidRPr="004359F0">
        <w:rPr>
          <w:rFonts w:ascii="Arial" w:hAnsi="Arial"/>
          <w:bCs/>
        </w:rPr>
        <w:t>For travelers arriving in the pedestrian environment, no additional data elements are required beyond those already collected in the air and sea environments. The process remains fundamentally the same, with MPC submissions including biometric and biographic data for Simplified Arrival (SA) processing. Travelers benefit from the same streamlined, paperless experience, and CBP benefits from continuity across all travel modes.</w:t>
      </w:r>
    </w:p>
    <w:p w:rsidR="00104F69" w:rsidRPr="004359F0" w:rsidP="004359F0" w14:paraId="38B88747" w14:textId="47989FF4">
      <w:pPr>
        <w:tabs>
          <w:tab w:val="left" w:pos="-1440"/>
        </w:tabs>
        <w:ind w:left="720"/>
        <w:rPr>
          <w:rFonts w:ascii="Arial" w:hAnsi="Arial"/>
          <w:bCs/>
        </w:rPr>
      </w:pPr>
      <w:r>
        <w:rPr>
          <w:rFonts w:ascii="Arial" w:hAnsi="Arial"/>
          <w:bCs/>
        </w:rPr>
        <w:t xml:space="preserve">  </w:t>
      </w:r>
      <w:r w:rsidR="00593BC5">
        <w:rPr>
          <w:rFonts w:ascii="Arial" w:hAnsi="Arial"/>
          <w:bCs/>
        </w:rPr>
        <w:t xml:space="preserve"> </w:t>
      </w:r>
    </w:p>
    <w:p w:rsidR="002B0123" w:rsidP="00F1386F" w14:paraId="43B6117C" w14:textId="77C7F3DC">
      <w:pPr>
        <w:tabs>
          <w:tab w:val="left" w:pos="-1440"/>
        </w:tabs>
        <w:ind w:left="1440"/>
        <w:rPr>
          <w:rFonts w:ascii="Arial" w:hAnsi="Arial"/>
          <w:bCs/>
        </w:rPr>
      </w:pPr>
      <w:r w:rsidRPr="004359F0">
        <w:rPr>
          <w:rFonts w:ascii="Arial" w:hAnsi="Arial"/>
          <w:bCs/>
        </w:rPr>
        <w:t>MPC will also be integrating I94 application and payments, in stages.  Initially MPC will provide a link and a prompt to the public I94 website where MPC participates can apply and pay for their I94, if their information provided to MPC indicates they need a I94.  Once communication is established between MPC and the public I94 website, biographical information (name, DOB, passport number, ext.) already provided to MPC by the traveler will be prepopulated into the I94 website for fast and more consistent applications.  Eventually applicants will be able to both apply for and pay for their I94 without leaving the MPC app.</w:t>
      </w:r>
    </w:p>
    <w:p w:rsidR="002B0123" w:rsidP="00A90B4C" w14:paraId="548E6606" w14:textId="77777777">
      <w:pPr>
        <w:tabs>
          <w:tab w:val="left" w:pos="-1440"/>
        </w:tabs>
        <w:ind w:left="720"/>
        <w:rPr>
          <w:rFonts w:ascii="Arial" w:hAnsi="Arial"/>
          <w:bCs/>
        </w:rPr>
      </w:pPr>
    </w:p>
    <w:bookmarkEnd w:id="3"/>
    <w:p w:rsidR="00F42EAA" w:rsidP="001D35BC" w14:paraId="319FBAF0" w14:textId="77777777">
      <w:pPr>
        <w:tabs>
          <w:tab w:val="left" w:pos="-1440"/>
        </w:tabs>
        <w:ind w:left="720"/>
        <w:rPr>
          <w:rFonts w:ascii="Arial" w:hAnsi="Arial"/>
          <w:bCs/>
        </w:rPr>
      </w:pPr>
    </w:p>
    <w:p w:rsidR="00917E22" w:rsidRPr="00C47181" w:rsidP="00BE4878" w14:paraId="526FDC0E" w14:textId="43110CFA">
      <w:pPr>
        <w:ind w:left="720" w:hanging="570"/>
        <w:jc w:val="both"/>
        <w:rPr>
          <w:szCs w:val="24"/>
        </w:rPr>
      </w:pPr>
      <w:r w:rsidRPr="00C47181">
        <w:rPr>
          <w:rFonts w:ascii="Arial" w:hAnsi="Arial" w:cs="Arial"/>
          <w:b/>
          <w:bCs/>
          <w:szCs w:val="24"/>
        </w:rPr>
        <w:t>2.</w:t>
      </w:r>
      <w:r w:rsidRPr="00C47181">
        <w:rPr>
          <w:szCs w:val="24"/>
        </w:rPr>
        <w:tab/>
      </w:r>
      <w:r w:rsidRPr="0090660F">
        <w:rPr>
          <w:rFonts w:ascii="Arial" w:hAnsi="Arial" w:cs="Arial"/>
          <w:b/>
          <w:bCs/>
          <w:szCs w:val="24"/>
        </w:rPr>
        <w:t xml:space="preserve">Indicate how, by whom, and for what purpose the information is to be used.  Except for a new collection, indicate the actual use the agency has made of the information received from </w:t>
      </w:r>
      <w:r w:rsidRPr="0090660F" w:rsidR="00975DC6">
        <w:rPr>
          <w:rFonts w:ascii="Arial" w:hAnsi="Arial" w:cs="Arial"/>
          <w:b/>
          <w:bCs/>
          <w:szCs w:val="24"/>
        </w:rPr>
        <w:t>the current</w:t>
      </w:r>
      <w:r w:rsidRPr="0090660F">
        <w:rPr>
          <w:rFonts w:ascii="Arial" w:hAnsi="Arial" w:cs="Arial"/>
          <w:b/>
          <w:bCs/>
          <w:szCs w:val="24"/>
        </w:rPr>
        <w:t xml:space="preserve"> collection</w:t>
      </w:r>
      <w:r w:rsidRPr="0090660F">
        <w:rPr>
          <w:szCs w:val="24"/>
        </w:rPr>
        <w:t>.</w:t>
      </w:r>
    </w:p>
    <w:p w:rsidR="00917E22" w:rsidP="00BE4878" w14:paraId="2859E5D2" w14:textId="77777777">
      <w:pPr>
        <w:jc w:val="both"/>
        <w:rPr>
          <w:rFonts w:ascii="Arial" w:hAnsi="Arial"/>
          <w:szCs w:val="24"/>
        </w:rPr>
      </w:pPr>
      <w:r>
        <w:rPr>
          <w:rFonts w:ascii="Arial" w:hAnsi="Arial"/>
          <w:szCs w:val="24"/>
        </w:rPr>
        <w:tab/>
      </w:r>
    </w:p>
    <w:p w:rsidR="00164958" w:rsidP="00BE4878" w14:paraId="3A7A0A36" w14:textId="0E11BE47">
      <w:pPr>
        <w:tabs>
          <w:tab w:val="left" w:pos="-1440"/>
        </w:tabs>
        <w:ind w:left="720"/>
        <w:jc w:val="both"/>
        <w:rPr>
          <w:rFonts w:ascii="Arial" w:hAnsi="Arial"/>
        </w:rPr>
      </w:pPr>
      <w:r w:rsidRPr="002823AC">
        <w:rPr>
          <w:rFonts w:ascii="Arial" w:hAnsi="Arial"/>
        </w:rPr>
        <w:t xml:space="preserve">The information required is incidental to the arrival of the traveler.  The information will be collected from the traveler </w:t>
      </w:r>
      <w:r w:rsidR="00AC0D74">
        <w:rPr>
          <w:rFonts w:ascii="Arial" w:hAnsi="Arial"/>
        </w:rPr>
        <w:t xml:space="preserve">in advanced and/or upon arrival, </w:t>
      </w:r>
      <w:r w:rsidRPr="002823AC">
        <w:rPr>
          <w:rFonts w:ascii="Arial" w:hAnsi="Arial"/>
        </w:rPr>
        <w:t xml:space="preserve">whether orally in primary or in written form in the secondary area. </w:t>
      </w:r>
    </w:p>
    <w:p w:rsidR="00164958" w:rsidP="00BE4878" w14:paraId="3D56F28A" w14:textId="77777777">
      <w:pPr>
        <w:tabs>
          <w:tab w:val="left" w:pos="-1440"/>
        </w:tabs>
        <w:ind w:left="720"/>
        <w:jc w:val="both"/>
        <w:rPr>
          <w:rFonts w:ascii="Arial" w:hAnsi="Arial"/>
        </w:rPr>
      </w:pPr>
    </w:p>
    <w:p w:rsidR="00917E22" w:rsidP="00BE4878" w14:paraId="1BD26FE0" w14:textId="40829A3C">
      <w:pPr>
        <w:tabs>
          <w:tab w:val="left" w:pos="-1440"/>
        </w:tabs>
        <w:ind w:left="720"/>
        <w:jc w:val="both"/>
        <w:rPr>
          <w:rFonts w:ascii="Arial" w:hAnsi="Arial"/>
        </w:rPr>
      </w:pPr>
      <w:r w:rsidRPr="00670E52">
        <w:rPr>
          <w:rFonts w:ascii="Arial" w:hAnsi="Arial"/>
        </w:rPr>
        <w:t>CBP Form 6059B facilitates CBP’s enforcement of various import</w:t>
      </w:r>
      <w:r w:rsidRPr="00670E52" w:rsidR="00C5185B">
        <w:rPr>
          <w:rFonts w:ascii="Arial" w:hAnsi="Arial"/>
        </w:rPr>
        <w:t xml:space="preserve"> </w:t>
      </w:r>
      <w:r w:rsidRPr="00670E52">
        <w:rPr>
          <w:rFonts w:ascii="Arial" w:hAnsi="Arial"/>
        </w:rPr>
        <w:t xml:space="preserve">laws relating to duties, agricultural products, endangered species, and the currency reporting laws.  Also, this </w:t>
      </w:r>
      <w:r w:rsidRPr="00670E52" w:rsidR="00560942">
        <w:rPr>
          <w:rFonts w:ascii="Arial" w:hAnsi="Arial"/>
        </w:rPr>
        <w:t>f</w:t>
      </w:r>
      <w:r w:rsidRPr="00670E52">
        <w:rPr>
          <w:rFonts w:ascii="Arial" w:hAnsi="Arial"/>
        </w:rPr>
        <w:t xml:space="preserve">orm allows CBP to be selective in its inspection procedures thereby freeing CBP Officers from </w:t>
      </w:r>
      <w:r w:rsidRPr="00670E52" w:rsidR="00560942">
        <w:rPr>
          <w:rFonts w:ascii="Arial" w:hAnsi="Arial"/>
        </w:rPr>
        <w:t>c</w:t>
      </w:r>
      <w:r w:rsidRPr="00670E52">
        <w:rPr>
          <w:rFonts w:ascii="Arial" w:hAnsi="Arial"/>
        </w:rPr>
        <w:t>losely question</w:t>
      </w:r>
      <w:r w:rsidRPr="00670E52" w:rsidR="00560942">
        <w:rPr>
          <w:rFonts w:ascii="Arial" w:hAnsi="Arial"/>
        </w:rPr>
        <w:t>ing</w:t>
      </w:r>
      <w:r w:rsidRPr="00670E52">
        <w:rPr>
          <w:rFonts w:ascii="Arial" w:hAnsi="Arial"/>
        </w:rPr>
        <w:t xml:space="preserve"> </w:t>
      </w:r>
      <w:r w:rsidRPr="00670E52" w:rsidR="00560942">
        <w:rPr>
          <w:rFonts w:ascii="Arial" w:hAnsi="Arial"/>
        </w:rPr>
        <w:t xml:space="preserve">all </w:t>
      </w:r>
      <w:r w:rsidRPr="00670E52">
        <w:rPr>
          <w:rFonts w:ascii="Arial" w:hAnsi="Arial"/>
        </w:rPr>
        <w:t>travelers or examin</w:t>
      </w:r>
      <w:r w:rsidRPr="00670E52" w:rsidR="00560942">
        <w:rPr>
          <w:rFonts w:ascii="Arial" w:hAnsi="Arial"/>
        </w:rPr>
        <w:t>ing</w:t>
      </w:r>
      <w:r w:rsidRPr="00670E52">
        <w:rPr>
          <w:rFonts w:ascii="Arial" w:hAnsi="Arial"/>
        </w:rPr>
        <w:t xml:space="preserve"> their baggage.  This reduction in the need for extensive questioning </w:t>
      </w:r>
      <w:r w:rsidRPr="00670E52" w:rsidR="00560942">
        <w:rPr>
          <w:rFonts w:ascii="Arial" w:hAnsi="Arial"/>
        </w:rPr>
        <w:t>and/</w:t>
      </w:r>
      <w:r w:rsidRPr="00670E52">
        <w:rPr>
          <w:rFonts w:ascii="Arial" w:hAnsi="Arial"/>
        </w:rPr>
        <w:t>or the physical examination of baggage is a</w:t>
      </w:r>
      <w:r w:rsidRPr="00670E52" w:rsidR="0001278F">
        <w:rPr>
          <w:rFonts w:ascii="Arial" w:hAnsi="Arial"/>
        </w:rPr>
        <w:t xml:space="preserve">lso a </w:t>
      </w:r>
      <w:r w:rsidRPr="00670E52">
        <w:rPr>
          <w:rFonts w:ascii="Arial" w:hAnsi="Arial"/>
        </w:rPr>
        <w:t>benefit to the traveler.</w:t>
      </w:r>
      <w:r>
        <w:rPr>
          <w:rFonts w:ascii="Arial" w:hAnsi="Arial"/>
        </w:rPr>
        <w:t xml:space="preserve">  </w:t>
      </w:r>
    </w:p>
    <w:p w:rsidR="00E56784" w:rsidP="00BE4878" w14:paraId="6D63C104" w14:textId="5E24D1BC">
      <w:pPr>
        <w:tabs>
          <w:tab w:val="left" w:pos="-1440"/>
        </w:tabs>
        <w:ind w:left="720"/>
        <w:jc w:val="both"/>
        <w:rPr>
          <w:rFonts w:ascii="Arial" w:hAnsi="Arial"/>
        </w:rPr>
      </w:pPr>
    </w:p>
    <w:p w:rsidR="00C83F44" w:rsidP="00C83F44" w14:paraId="02381D7D" w14:textId="0F8A66CE">
      <w:pPr>
        <w:tabs>
          <w:tab w:val="left" w:pos="-1440"/>
        </w:tabs>
        <w:ind w:left="720"/>
        <w:jc w:val="both"/>
        <w:rPr>
          <w:rFonts w:ascii="Arial" w:hAnsi="Arial"/>
          <w:bCs/>
        </w:rPr>
      </w:pPr>
      <w:r>
        <w:rPr>
          <w:rFonts w:ascii="Arial" w:hAnsi="Arial"/>
          <w:lang w:val="en"/>
        </w:rPr>
        <w:t>The</w:t>
      </w:r>
      <w:r w:rsidR="00D922E5">
        <w:rPr>
          <w:rFonts w:ascii="Arial" w:hAnsi="Arial"/>
          <w:lang w:val="en"/>
        </w:rPr>
        <w:t xml:space="preserve"> </w:t>
      </w:r>
      <w:r w:rsidRPr="00E56784">
        <w:rPr>
          <w:rFonts w:ascii="Arial" w:hAnsi="Arial"/>
          <w:lang w:val="en"/>
        </w:rPr>
        <w:t xml:space="preserve">MPC </w:t>
      </w:r>
      <w:r>
        <w:rPr>
          <w:rFonts w:ascii="Arial" w:hAnsi="Arial"/>
          <w:lang w:val="en"/>
        </w:rPr>
        <w:t xml:space="preserve">collections </w:t>
      </w:r>
      <w:r w:rsidRPr="00E56784">
        <w:rPr>
          <w:rFonts w:ascii="Arial" w:hAnsi="Arial"/>
          <w:lang w:val="en"/>
        </w:rPr>
        <w:t xml:space="preserve">allow an electronic method for travelers to answer the questions that appear on form 6059B without filling out a paper form. </w:t>
      </w:r>
      <w:r w:rsidRPr="0075114D">
        <w:rPr>
          <w:rFonts w:ascii="Arial" w:hAnsi="Arial"/>
        </w:rPr>
        <w:t>Multiple travelers</w:t>
      </w:r>
      <w:r w:rsidR="00F32A4E">
        <w:rPr>
          <w:rFonts w:ascii="Arial" w:hAnsi="Arial"/>
        </w:rPr>
        <w:t xml:space="preserve"> traveling in the one group</w:t>
      </w:r>
      <w:r w:rsidRPr="0075114D">
        <w:rPr>
          <w:rFonts w:ascii="Arial" w:hAnsi="Arial"/>
        </w:rPr>
        <w:t xml:space="preserve"> </w:t>
      </w:r>
      <w:r w:rsidR="00F32A4E">
        <w:rPr>
          <w:rFonts w:ascii="Arial" w:hAnsi="Arial"/>
        </w:rPr>
        <w:t xml:space="preserve">and multiple travelers </w:t>
      </w:r>
      <w:r w:rsidRPr="0075114D">
        <w:rPr>
          <w:rFonts w:ascii="Arial" w:hAnsi="Arial"/>
        </w:rPr>
        <w:t>traveling as a family unit</w:t>
      </w:r>
      <w:r w:rsidR="00F32A4E">
        <w:rPr>
          <w:rFonts w:ascii="Arial" w:hAnsi="Arial"/>
        </w:rPr>
        <w:t>,</w:t>
      </w:r>
      <w:r w:rsidRPr="0075114D">
        <w:rPr>
          <w:rFonts w:ascii="Arial" w:hAnsi="Arial"/>
        </w:rPr>
        <w:t xml:space="preserve"> may use the same application and submission.</w:t>
      </w:r>
      <w:r w:rsidR="009211E0">
        <w:rPr>
          <w:rFonts w:ascii="Arial" w:hAnsi="Arial"/>
          <w:bCs/>
        </w:rPr>
        <w:t xml:space="preserve"> </w:t>
      </w:r>
      <w:r w:rsidRPr="0067480E">
        <w:rPr>
          <w:rFonts w:ascii="Arial" w:hAnsi="Arial"/>
          <w:bCs/>
        </w:rPr>
        <w:t xml:space="preserve">This will allow for advance vetting and proper resource management at the POE.  In addition, this capability through the CBP </w:t>
      </w:r>
      <w:r w:rsidR="008857E3">
        <w:rPr>
          <w:rFonts w:ascii="Arial" w:hAnsi="Arial"/>
          <w:bCs/>
        </w:rPr>
        <w:t>Link</w:t>
      </w:r>
      <w:r w:rsidRPr="0067480E">
        <w:rPr>
          <w:rFonts w:ascii="Arial" w:hAnsi="Arial"/>
          <w:bCs/>
          <w:vertAlign w:val="superscript"/>
        </w:rPr>
        <w:t xml:space="preserve">TM </w:t>
      </w:r>
      <w:r w:rsidRPr="0067480E">
        <w:rPr>
          <w:rFonts w:ascii="Arial" w:hAnsi="Arial"/>
          <w:bCs/>
        </w:rPr>
        <w:t>application is available to all travelers arriving with authorized travel documents, including foreign nationals.</w:t>
      </w:r>
    </w:p>
    <w:p w:rsidR="00487832" w:rsidP="00C83F44" w14:paraId="63D472BE" w14:textId="77777777">
      <w:pPr>
        <w:tabs>
          <w:tab w:val="left" w:pos="-1440"/>
        </w:tabs>
        <w:ind w:left="720"/>
        <w:jc w:val="both"/>
        <w:rPr>
          <w:rFonts w:ascii="Arial" w:hAnsi="Arial"/>
          <w:bCs/>
        </w:rPr>
      </w:pPr>
    </w:p>
    <w:p w:rsidR="00487832" w:rsidP="00F1386F" w14:paraId="51A7209F" w14:textId="4B96AD93">
      <w:pPr>
        <w:tabs>
          <w:tab w:val="left" w:pos="-1440"/>
        </w:tabs>
        <w:rPr>
          <w:rFonts w:ascii="Arial" w:hAnsi="Arial"/>
          <w:bCs/>
          <w:snapToGrid/>
          <w:u w:val="single"/>
          <w:lang w:val="en"/>
        </w:rPr>
      </w:pPr>
    </w:p>
    <w:p w:rsidR="001D35BC" w:rsidP="0075114D" w14:paraId="7BF92438" w14:textId="77777777">
      <w:pPr>
        <w:tabs>
          <w:tab w:val="left" w:pos="-1440"/>
        </w:tabs>
        <w:jc w:val="both"/>
        <w:rPr>
          <w:rFonts w:ascii="Arial" w:hAnsi="Arial"/>
        </w:rPr>
      </w:pPr>
    </w:p>
    <w:p w:rsidR="00F16BBC" w:rsidP="00BE4878" w14:paraId="1D97DE4B" w14:textId="77777777">
      <w:pPr>
        <w:tabs>
          <w:tab w:val="left" w:pos="-1440"/>
        </w:tabs>
        <w:jc w:val="both"/>
        <w:rPr>
          <w:rFonts w:ascii="Arial" w:hAnsi="Arial"/>
        </w:rPr>
      </w:pPr>
    </w:p>
    <w:p w:rsidR="00917E22" w:rsidRPr="00C47181" w:rsidP="00BE4878" w14:paraId="5EDB90E2" w14:textId="77777777">
      <w:pPr>
        <w:tabs>
          <w:tab w:val="left" w:pos="-1440"/>
        </w:tabs>
        <w:ind w:left="720" w:hanging="720"/>
        <w:jc w:val="both"/>
        <w:rPr>
          <w:szCs w:val="24"/>
        </w:rPr>
      </w:pPr>
      <w:r>
        <w:rPr>
          <w:rFonts w:ascii="Arial" w:hAnsi="Arial"/>
        </w:rPr>
        <w:t xml:space="preserve">  </w:t>
      </w:r>
      <w:r w:rsidRPr="00BA0531">
        <w:rPr>
          <w:rFonts w:ascii="Arial" w:hAnsi="Arial"/>
          <w:b/>
          <w:bCs/>
          <w:szCs w:val="24"/>
        </w:rPr>
        <w:t>3.</w:t>
      </w:r>
      <w:r w:rsidRPr="00BA0531">
        <w:rPr>
          <w:rFonts w:ascii="Arial" w:hAnsi="Arial"/>
          <w:szCs w:val="24"/>
        </w:rPr>
        <w:tab/>
      </w:r>
      <w:r w:rsidRPr="0090660F">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0660F">
        <w:rPr>
          <w:szCs w:val="24"/>
        </w:rPr>
        <w:t>.</w:t>
      </w:r>
      <w:r w:rsidRPr="00C47181">
        <w:rPr>
          <w:szCs w:val="24"/>
        </w:rPr>
        <w:t xml:space="preserve">  </w:t>
      </w:r>
    </w:p>
    <w:p w:rsidR="00917E22" w:rsidP="00BE4878" w14:paraId="28520F23" w14:textId="77777777">
      <w:pPr>
        <w:jc w:val="both"/>
        <w:rPr>
          <w:rFonts w:ascii="Arial" w:hAnsi="Arial"/>
          <w:szCs w:val="24"/>
        </w:rPr>
      </w:pPr>
      <w:r>
        <w:rPr>
          <w:rFonts w:ascii="Arial" w:hAnsi="Arial"/>
          <w:szCs w:val="24"/>
        </w:rPr>
        <w:tab/>
      </w:r>
    </w:p>
    <w:p w:rsidR="008551F3" w:rsidP="00BE4878" w14:paraId="3DE7A7ED" w14:textId="2F56173A">
      <w:pPr>
        <w:tabs>
          <w:tab w:val="left" w:pos="-1440"/>
        </w:tabs>
        <w:ind w:left="720" w:hanging="720"/>
        <w:jc w:val="both"/>
        <w:rPr>
          <w:rFonts w:ascii="Arial" w:hAnsi="Arial"/>
        </w:rPr>
      </w:pPr>
      <w:r>
        <w:rPr>
          <w:rFonts w:ascii="Arial" w:hAnsi="Arial"/>
        </w:rPr>
        <w:tab/>
      </w:r>
      <w:r w:rsidRPr="002823AC" w:rsidR="002823AC">
        <w:rPr>
          <w:rFonts w:ascii="Arial" w:hAnsi="Arial"/>
        </w:rPr>
        <w:t xml:space="preserve">CBP continues to find ways to improve the entry process </w:t>
      </w:r>
      <w:r w:rsidRPr="002823AC" w:rsidR="0098015D">
        <w:rPr>
          <w:rFonts w:ascii="Arial" w:hAnsi="Arial"/>
        </w:rPr>
        <w:t>using</w:t>
      </w:r>
      <w:r>
        <w:rPr>
          <w:rFonts w:ascii="Arial" w:hAnsi="Arial"/>
        </w:rPr>
        <w:t xml:space="preserve"> exploring options using</w:t>
      </w:r>
      <w:r w:rsidRPr="002823AC" w:rsidR="002823AC">
        <w:rPr>
          <w:rFonts w:ascii="Arial" w:hAnsi="Arial"/>
        </w:rPr>
        <w:t xml:space="preserve"> </w:t>
      </w:r>
      <w:r w:rsidR="0098015D">
        <w:rPr>
          <w:rFonts w:ascii="Arial" w:hAnsi="Arial"/>
        </w:rPr>
        <w:t xml:space="preserve">kiosks and </w:t>
      </w:r>
      <w:r w:rsidRPr="002823AC" w:rsidR="002823AC">
        <w:rPr>
          <w:rFonts w:ascii="Arial" w:hAnsi="Arial"/>
        </w:rPr>
        <w:t>mobile technology</w:t>
      </w:r>
      <w:r w:rsidR="0098015D">
        <w:rPr>
          <w:rFonts w:ascii="Arial" w:hAnsi="Arial"/>
        </w:rPr>
        <w:t>,</w:t>
      </w:r>
      <w:r w:rsidRPr="002823AC" w:rsidR="002823AC">
        <w:rPr>
          <w:rFonts w:ascii="Arial" w:hAnsi="Arial"/>
        </w:rPr>
        <w:t xml:space="preserve"> </w:t>
      </w:r>
      <w:r>
        <w:rPr>
          <w:rFonts w:ascii="Arial" w:hAnsi="Arial"/>
        </w:rPr>
        <w:t xml:space="preserve">and </w:t>
      </w:r>
      <w:r w:rsidRPr="002823AC" w:rsidR="002823AC">
        <w:rPr>
          <w:rFonts w:ascii="Arial" w:hAnsi="Arial"/>
        </w:rPr>
        <w:t>ensur</w:t>
      </w:r>
      <w:r>
        <w:rPr>
          <w:rFonts w:ascii="Arial" w:hAnsi="Arial"/>
        </w:rPr>
        <w:t>ing</w:t>
      </w:r>
      <w:r w:rsidRPr="002823AC" w:rsidR="002823AC">
        <w:rPr>
          <w:rFonts w:ascii="Arial" w:hAnsi="Arial"/>
        </w:rPr>
        <w:t xml:space="preserve"> it is safe and efficient</w:t>
      </w:r>
      <w:r>
        <w:rPr>
          <w:rFonts w:ascii="Arial" w:hAnsi="Arial"/>
        </w:rPr>
        <w:t>; C</w:t>
      </w:r>
      <w:r w:rsidRPr="00BE2288">
        <w:rPr>
          <w:rFonts w:ascii="Arial" w:hAnsi="Arial"/>
        </w:rPr>
        <w:t xml:space="preserve">ontinued testing helps </w:t>
      </w:r>
      <w:r>
        <w:rPr>
          <w:rFonts w:ascii="Arial" w:hAnsi="Arial"/>
        </w:rPr>
        <w:t xml:space="preserve">CBP </w:t>
      </w:r>
      <w:r w:rsidRPr="00BE2288">
        <w:rPr>
          <w:rFonts w:ascii="Arial" w:hAnsi="Arial"/>
        </w:rPr>
        <w:t xml:space="preserve">determine under what circumstances </w:t>
      </w:r>
      <w:r>
        <w:rPr>
          <w:rFonts w:ascii="Arial" w:hAnsi="Arial"/>
        </w:rPr>
        <w:t>warrant</w:t>
      </w:r>
      <w:r w:rsidRPr="00BE2288">
        <w:rPr>
          <w:rFonts w:ascii="Arial" w:hAnsi="Arial"/>
        </w:rPr>
        <w:t xml:space="preserve"> a written customs declaration (CBP Form 6059B) and when it is beneficial to admit travelers who make an oral customs declaration during the primary inspection</w:t>
      </w:r>
      <w:r>
        <w:rPr>
          <w:rFonts w:ascii="Arial" w:hAnsi="Arial"/>
        </w:rPr>
        <w:t xml:space="preserve">. </w:t>
      </w:r>
    </w:p>
    <w:p w:rsidR="008551F3" w:rsidP="008551F3" w14:paraId="5D882823" w14:textId="77777777">
      <w:pPr>
        <w:tabs>
          <w:tab w:val="left" w:pos="-1440"/>
        </w:tabs>
        <w:jc w:val="both"/>
        <w:rPr>
          <w:rFonts w:ascii="Arial" w:hAnsi="Arial"/>
        </w:rPr>
      </w:pPr>
    </w:p>
    <w:p w:rsidR="00113AEF" w:rsidP="005B2CB6" w14:paraId="0A506B9B" w14:textId="67BC9F52">
      <w:pPr>
        <w:tabs>
          <w:tab w:val="left" w:pos="-1440"/>
        </w:tabs>
        <w:ind w:left="720"/>
        <w:jc w:val="both"/>
        <w:rPr>
          <w:rFonts w:ascii="Arial" w:hAnsi="Arial"/>
        </w:rPr>
      </w:pPr>
      <w:r w:rsidRPr="002823AC">
        <w:rPr>
          <w:rFonts w:ascii="Arial" w:hAnsi="Arial"/>
        </w:rPr>
        <w:t>To that end, CBP allows travelers to submit information to CBP</w:t>
      </w:r>
      <w:r w:rsidR="008551F3">
        <w:rPr>
          <w:rFonts w:ascii="Arial" w:hAnsi="Arial"/>
        </w:rPr>
        <w:t>,</w:t>
      </w:r>
      <w:r w:rsidRPr="002823AC">
        <w:rPr>
          <w:rFonts w:ascii="Arial" w:hAnsi="Arial"/>
        </w:rPr>
        <w:t xml:space="preserve"> prior to</w:t>
      </w:r>
      <w:r>
        <w:rPr>
          <w:rFonts w:ascii="Arial" w:hAnsi="Arial"/>
        </w:rPr>
        <w:t xml:space="preserve"> and upon</w:t>
      </w:r>
      <w:r w:rsidRPr="002823AC">
        <w:rPr>
          <w:rFonts w:ascii="Arial" w:hAnsi="Arial"/>
        </w:rPr>
        <w:t xml:space="preserve"> </w:t>
      </w:r>
      <w:r>
        <w:rPr>
          <w:rFonts w:ascii="Arial" w:hAnsi="Arial"/>
        </w:rPr>
        <w:t xml:space="preserve">the traveler’s </w:t>
      </w:r>
      <w:r w:rsidRPr="002823AC">
        <w:rPr>
          <w:rFonts w:ascii="Arial" w:hAnsi="Arial"/>
        </w:rPr>
        <w:t>arrival</w:t>
      </w:r>
      <w:r w:rsidR="008551F3">
        <w:rPr>
          <w:rFonts w:ascii="Arial" w:hAnsi="Arial"/>
        </w:rPr>
        <w:t xml:space="preserve"> using </w:t>
      </w:r>
      <w:r w:rsidR="00465B64">
        <w:rPr>
          <w:rFonts w:ascii="Arial" w:hAnsi="Arial"/>
        </w:rPr>
        <w:t>CBP Link.</w:t>
      </w:r>
    </w:p>
    <w:p w:rsidR="002823AC" w:rsidP="00BE4878" w14:paraId="6039F8D1" w14:textId="2779ACCB">
      <w:pPr>
        <w:tabs>
          <w:tab w:val="left" w:pos="-1440"/>
        </w:tabs>
        <w:ind w:left="720" w:hanging="720"/>
        <w:jc w:val="both"/>
        <w:rPr>
          <w:rFonts w:ascii="Arial" w:hAnsi="Arial"/>
        </w:rPr>
      </w:pPr>
    </w:p>
    <w:p w:rsidR="00B4504C" w:rsidRPr="00C433F1" w:rsidP="0075114D" w14:paraId="3AD6C2F6" w14:textId="5D5C3DF1">
      <w:pPr>
        <w:tabs>
          <w:tab w:val="left" w:pos="-1440"/>
        </w:tabs>
        <w:ind w:left="720"/>
        <w:jc w:val="both"/>
        <w:rPr>
          <w:rFonts w:ascii="Arial" w:hAnsi="Arial"/>
        </w:rPr>
      </w:pPr>
      <w:r w:rsidRPr="00C433F1">
        <w:rPr>
          <w:rFonts w:ascii="Arial" w:hAnsi="Arial"/>
        </w:rPr>
        <w:t>Mobile Passport Control (MPC) is a mobile app</w:t>
      </w:r>
      <w:r>
        <w:rPr>
          <w:rFonts w:ascii="Arial" w:hAnsi="Arial"/>
        </w:rPr>
        <w:t>lication</w:t>
      </w:r>
      <w:r w:rsidRPr="00C433F1">
        <w:rPr>
          <w:rFonts w:ascii="Arial" w:hAnsi="Arial"/>
        </w:rPr>
        <w:t xml:space="preserve"> that allows travelers to self-segment upon arrival into the United States</w:t>
      </w:r>
      <w:r>
        <w:rPr>
          <w:rFonts w:ascii="Arial" w:hAnsi="Arial"/>
        </w:rPr>
        <w:t xml:space="preserve">. </w:t>
      </w:r>
      <w:r w:rsidRPr="00C433F1">
        <w:rPr>
          <w:rFonts w:ascii="Arial" w:hAnsi="Arial"/>
        </w:rPr>
        <w:t xml:space="preserve">The submission of information in </w:t>
      </w:r>
      <w:r w:rsidRPr="00C433F1">
        <w:rPr>
          <w:rFonts w:ascii="Arial" w:hAnsi="Arial"/>
        </w:rPr>
        <w:t>advance using MPC allows CBP to direct travelers to the appropriate queue in primary</w:t>
      </w:r>
      <w:bookmarkStart w:id="8" w:name="OLE_LINK3"/>
      <w:r w:rsidRPr="00F1386F" w:rsidR="00AA6DA0">
        <w:rPr>
          <w:rFonts w:ascii="Arial" w:hAnsi="Arial"/>
        </w:rPr>
        <w:t>.</w:t>
      </w:r>
      <w:bookmarkEnd w:id="8"/>
      <w:r w:rsidRPr="00C433F1">
        <w:rPr>
          <w:rFonts w:ascii="Arial" w:hAnsi="Arial"/>
        </w:rPr>
        <w:t xml:space="preserve">  MPC eliminates the administrative tasks performed by the officer during a traditional inspection and in most cases will eliminate the need for respondents/travelers to fill out a paper declaration.  </w:t>
      </w:r>
      <w:r w:rsidR="00373998">
        <w:rPr>
          <w:rFonts w:ascii="Arial" w:hAnsi="Arial"/>
        </w:rPr>
        <w:t xml:space="preserve">Administrative tasks include taking a photo of each traveler in a family group for biometric confirmation.  With MPC the selfie photos of all family members in a traveling group are submitted directly into Simplified Arrival.  </w:t>
      </w:r>
      <w:r w:rsidRPr="00C433F1">
        <w:rPr>
          <w:rFonts w:ascii="Arial" w:hAnsi="Arial"/>
        </w:rPr>
        <w:t xml:space="preserve">MPC provides a more efficient and secure in person inspection between the CBP Officer and the traveler.  </w:t>
      </w:r>
    </w:p>
    <w:p w:rsidR="00C433F1" w:rsidP="00F1386F" w14:paraId="01E6B60D" w14:textId="77777777">
      <w:pPr>
        <w:tabs>
          <w:tab w:val="left" w:pos="-1440"/>
        </w:tabs>
        <w:ind w:left="720"/>
        <w:jc w:val="both"/>
        <w:rPr>
          <w:rFonts w:ascii="Arial" w:hAnsi="Arial"/>
        </w:rPr>
      </w:pPr>
    </w:p>
    <w:p w:rsidR="00BE2288" w:rsidP="002020C0" w14:paraId="151E69B3" w14:textId="4B1F65E3">
      <w:pPr>
        <w:tabs>
          <w:tab w:val="left" w:pos="-1440"/>
        </w:tabs>
        <w:ind w:left="720"/>
        <w:jc w:val="both"/>
        <w:rPr>
          <w:rFonts w:ascii="Arial" w:hAnsi="Arial"/>
        </w:rPr>
      </w:pPr>
      <w:r>
        <w:rPr>
          <w:rFonts w:ascii="Arial" w:hAnsi="Arial"/>
          <w:lang w:val="en"/>
        </w:rPr>
        <w:t>The</w:t>
      </w:r>
      <w:r w:rsidRPr="002823AC">
        <w:rPr>
          <w:rFonts w:ascii="Arial" w:hAnsi="Arial"/>
          <w:lang w:val="en"/>
        </w:rPr>
        <w:t xml:space="preserve"> MPC allow</w:t>
      </w:r>
      <w:r>
        <w:rPr>
          <w:rFonts w:ascii="Arial" w:hAnsi="Arial"/>
          <w:lang w:val="en"/>
        </w:rPr>
        <w:t>s</w:t>
      </w:r>
      <w:r w:rsidRPr="002823AC">
        <w:rPr>
          <w:rFonts w:ascii="Arial" w:hAnsi="Arial"/>
          <w:lang w:val="en"/>
        </w:rPr>
        <w:t xml:space="preserve"> an electronic method for travelers to answer the questions that appear on form 6059B without filling out a paper form.</w:t>
      </w:r>
      <w:r w:rsidR="00E56784">
        <w:rPr>
          <w:rFonts w:ascii="Arial" w:hAnsi="Arial"/>
          <w:lang w:val="en"/>
        </w:rPr>
        <w:t xml:space="preserve"> </w:t>
      </w:r>
      <w:r w:rsidR="0094396A">
        <w:rPr>
          <w:rFonts w:ascii="Arial" w:hAnsi="Arial"/>
          <w:lang w:val="en"/>
        </w:rPr>
        <w:t xml:space="preserve">The </w:t>
      </w:r>
      <w:r w:rsidR="006764E2">
        <w:rPr>
          <w:rFonts w:ascii="Arial" w:hAnsi="Arial"/>
        </w:rPr>
        <w:t>MPC</w:t>
      </w:r>
      <w:r w:rsidR="0094396A">
        <w:rPr>
          <w:rFonts w:ascii="Arial" w:hAnsi="Arial"/>
          <w:vertAlign w:val="superscript"/>
        </w:rPr>
        <w:t xml:space="preserve"> </w:t>
      </w:r>
      <w:r w:rsidR="0094396A">
        <w:rPr>
          <w:rFonts w:ascii="Arial" w:hAnsi="Arial"/>
        </w:rPr>
        <w:t>application</w:t>
      </w:r>
      <w:r w:rsidRPr="00670E52">
        <w:rPr>
          <w:rFonts w:ascii="Arial" w:hAnsi="Arial"/>
          <w:lang w:val="en"/>
        </w:rPr>
        <w:t xml:space="preserve"> is a free service</w:t>
      </w:r>
      <w:r w:rsidR="0094396A">
        <w:rPr>
          <w:rFonts w:ascii="Arial" w:hAnsi="Arial"/>
          <w:lang w:val="en"/>
        </w:rPr>
        <w:t xml:space="preserve"> and</w:t>
      </w:r>
      <w:r w:rsidR="00EB7AEB">
        <w:rPr>
          <w:rFonts w:ascii="Arial" w:hAnsi="Arial"/>
          <w:lang w:val="en"/>
        </w:rPr>
        <w:t xml:space="preserve"> </w:t>
      </w:r>
      <w:r w:rsidRPr="00670E52">
        <w:rPr>
          <w:rFonts w:ascii="Arial" w:hAnsi="Arial"/>
          <w:lang w:val="en"/>
        </w:rPr>
        <w:t xml:space="preserve">maintains the highest levels of protection when it comes to the handling of personal data or information.  Travelers using </w:t>
      </w:r>
      <w:r w:rsidR="00487832">
        <w:rPr>
          <w:rFonts w:ascii="Arial" w:hAnsi="Arial"/>
          <w:lang w:val="en"/>
        </w:rPr>
        <w:t>the MPC</w:t>
      </w:r>
      <w:r w:rsidR="0094396A">
        <w:rPr>
          <w:rFonts w:ascii="Arial" w:hAnsi="Arial"/>
          <w:vertAlign w:val="superscript"/>
        </w:rPr>
        <w:t xml:space="preserve"> </w:t>
      </w:r>
      <w:r w:rsidR="0094396A">
        <w:rPr>
          <w:rFonts w:ascii="Arial" w:hAnsi="Arial"/>
        </w:rPr>
        <w:t>application</w:t>
      </w:r>
      <w:r w:rsidRPr="00670E52">
        <w:rPr>
          <w:rFonts w:ascii="Arial" w:hAnsi="Arial"/>
          <w:lang w:val="en"/>
        </w:rPr>
        <w:t xml:space="preserve"> </w:t>
      </w:r>
      <w:r w:rsidR="0094396A">
        <w:rPr>
          <w:rFonts w:ascii="Arial" w:hAnsi="Arial"/>
          <w:lang w:val="en"/>
        </w:rPr>
        <w:t xml:space="preserve">may </w:t>
      </w:r>
      <w:r w:rsidR="00EB7AEB">
        <w:rPr>
          <w:rFonts w:ascii="Arial" w:hAnsi="Arial"/>
          <w:lang w:val="en"/>
        </w:rPr>
        <w:t xml:space="preserve">also </w:t>
      </w:r>
      <w:r w:rsidRPr="00670E52">
        <w:rPr>
          <w:rFonts w:ascii="Arial" w:hAnsi="Arial"/>
          <w:lang w:val="en"/>
        </w:rPr>
        <w:t>experience shorter wait times, less congestion, and faster processing.</w:t>
      </w:r>
      <w:r w:rsidRPr="00BE2288">
        <w:rPr>
          <w:rFonts w:ascii="Arial" w:hAnsi="Arial"/>
        </w:rPr>
        <w:t xml:space="preserve">  </w:t>
      </w:r>
    </w:p>
    <w:p w:rsidR="00CF172A" w:rsidP="00E56784" w14:paraId="69D14CB3" w14:textId="77777777">
      <w:pPr>
        <w:tabs>
          <w:tab w:val="left" w:pos="-1440"/>
        </w:tabs>
        <w:ind w:left="720"/>
        <w:jc w:val="both"/>
        <w:rPr>
          <w:rFonts w:ascii="Arial" w:hAnsi="Arial"/>
        </w:rPr>
      </w:pPr>
    </w:p>
    <w:p w:rsidR="007A7EF5" w:rsidRPr="007A7EF5" w:rsidP="00BD24E9" w14:paraId="4660F2F7" w14:textId="2D13B043">
      <w:pPr>
        <w:tabs>
          <w:tab w:val="left" w:pos="-1440"/>
        </w:tabs>
        <w:jc w:val="both"/>
        <w:rPr>
          <w:rFonts w:ascii="Arial" w:hAnsi="Arial"/>
          <w:b/>
          <w:bCs/>
        </w:rPr>
      </w:pPr>
    </w:p>
    <w:p w:rsidR="007A7EF5" w:rsidRPr="007A7EF5" w:rsidP="00E56784" w14:paraId="31DCC1B9" w14:textId="77777777">
      <w:pPr>
        <w:tabs>
          <w:tab w:val="left" w:pos="-1440"/>
        </w:tabs>
        <w:ind w:left="720"/>
        <w:jc w:val="both"/>
        <w:rPr>
          <w:rFonts w:ascii="Arial" w:hAnsi="Arial"/>
        </w:rPr>
      </w:pPr>
    </w:p>
    <w:p w:rsidR="00277E97" w:rsidP="00BE4878" w14:paraId="1992FDD0" w14:textId="77777777">
      <w:pPr>
        <w:tabs>
          <w:tab w:val="left" w:pos="-1440"/>
        </w:tabs>
        <w:ind w:left="720" w:hanging="720"/>
        <w:jc w:val="both"/>
        <w:rPr>
          <w:rFonts w:ascii="Arial" w:hAnsi="Arial"/>
          <w:szCs w:val="24"/>
        </w:rPr>
      </w:pPr>
    </w:p>
    <w:p w:rsidR="00917E22" w:rsidRPr="00917E22" w:rsidP="00BE4878" w14:paraId="371FE32A" w14:textId="77777777">
      <w:pPr>
        <w:tabs>
          <w:tab w:val="left" w:pos="-1440"/>
        </w:tabs>
        <w:ind w:left="720" w:hanging="720"/>
        <w:jc w:val="both"/>
        <w:rPr>
          <w:rFonts w:ascii="Arial" w:hAnsi="Arial"/>
          <w:b/>
          <w:bCs/>
          <w:szCs w:val="24"/>
        </w:rPr>
      </w:pPr>
      <w:r>
        <w:rPr>
          <w:szCs w:val="24"/>
        </w:rPr>
        <w:t xml:space="preserve"> </w:t>
      </w:r>
      <w:r w:rsidRPr="00C47181">
        <w:rPr>
          <w:rFonts w:ascii="Arial" w:hAnsi="Arial"/>
          <w:b/>
          <w:bCs/>
          <w:szCs w:val="24"/>
        </w:rPr>
        <w:t>4.</w:t>
      </w:r>
      <w:r>
        <w:rPr>
          <w:rFonts w:ascii="Arial" w:hAnsi="Arial"/>
          <w:szCs w:val="24"/>
        </w:rPr>
        <w:tab/>
      </w:r>
      <w:r w:rsidRPr="001D356E">
        <w:rPr>
          <w:rFonts w:ascii="Arial" w:hAnsi="Arial" w:cs="Arial"/>
          <w:b/>
          <w:bCs/>
          <w:szCs w:val="24"/>
        </w:rPr>
        <w:t>Describe efforts 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917E22" w:rsidRPr="00C47181" w:rsidP="00BE4878" w14:paraId="5D5A8A7D" w14:textId="77777777">
      <w:pPr>
        <w:tabs>
          <w:tab w:val="left" w:pos="-1440"/>
        </w:tabs>
        <w:ind w:left="720" w:hanging="720"/>
        <w:jc w:val="both"/>
        <w:rPr>
          <w:rFonts w:ascii="Arial" w:hAnsi="Arial"/>
          <w:szCs w:val="24"/>
        </w:rPr>
      </w:pPr>
    </w:p>
    <w:p w:rsidR="00373998" w:rsidP="003B3EAF" w14:paraId="716DCD4B" w14:textId="19EE6CA8">
      <w:pPr>
        <w:tabs>
          <w:tab w:val="left" w:pos="-1440"/>
        </w:tabs>
        <w:ind w:left="720"/>
        <w:jc w:val="both"/>
        <w:rPr>
          <w:rFonts w:ascii="Arial" w:hAnsi="Arial"/>
          <w:szCs w:val="24"/>
        </w:rPr>
      </w:pPr>
      <w:r>
        <w:rPr>
          <w:rFonts w:ascii="Arial" w:hAnsi="Arial"/>
          <w:szCs w:val="24"/>
        </w:rPr>
        <w:t xml:space="preserve">No duplication of information exists for the MPC program.  </w:t>
      </w:r>
    </w:p>
    <w:p w:rsidR="00373998" w:rsidP="003B3EAF" w14:paraId="11B1586A" w14:textId="77777777">
      <w:pPr>
        <w:tabs>
          <w:tab w:val="left" w:pos="-1440"/>
        </w:tabs>
        <w:ind w:left="720"/>
        <w:jc w:val="both"/>
        <w:rPr>
          <w:rFonts w:ascii="Arial" w:hAnsi="Arial"/>
          <w:szCs w:val="24"/>
        </w:rPr>
      </w:pPr>
    </w:p>
    <w:p w:rsidR="00917E22" w:rsidRPr="00C47181" w:rsidP="003B3EAF" w14:paraId="757FBB24" w14:textId="64B43BFA">
      <w:pPr>
        <w:tabs>
          <w:tab w:val="left" w:pos="-1440"/>
        </w:tabs>
        <w:ind w:left="720"/>
        <w:jc w:val="both"/>
        <w:rPr>
          <w:rFonts w:ascii="Arial" w:hAnsi="Arial"/>
          <w:szCs w:val="24"/>
        </w:rPr>
      </w:pPr>
      <w:r w:rsidRPr="00670E52">
        <w:rPr>
          <w:rFonts w:ascii="Arial" w:hAnsi="Arial"/>
          <w:szCs w:val="24"/>
        </w:rPr>
        <w:t>This information is not duplicated in any other place or any other form</w:t>
      </w:r>
      <w:r w:rsidR="00EB7AEB">
        <w:rPr>
          <w:rFonts w:ascii="Arial" w:hAnsi="Arial"/>
          <w:szCs w:val="24"/>
        </w:rPr>
        <w:t xml:space="preserve"> as the MPC application is not currently available for travelers arriving at land POEs. </w:t>
      </w:r>
    </w:p>
    <w:p w:rsidR="00917E22" w:rsidP="00BE4878" w14:paraId="403B5D32" w14:textId="77777777">
      <w:pPr>
        <w:ind w:left="720" w:hanging="600"/>
        <w:jc w:val="both"/>
        <w:rPr>
          <w:rFonts w:ascii="Arial" w:hAnsi="Arial"/>
          <w:b/>
          <w:bCs/>
          <w:szCs w:val="24"/>
        </w:rPr>
      </w:pPr>
    </w:p>
    <w:p w:rsidR="00917E22" w:rsidRPr="00C47181" w:rsidP="00BE4878" w14:paraId="40733097" w14:textId="77777777">
      <w:pPr>
        <w:ind w:left="720" w:hanging="66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917E22" w:rsidRPr="00C47181" w:rsidP="00BE4878" w14:paraId="1E1BDA23" w14:textId="77777777">
      <w:pPr>
        <w:tabs>
          <w:tab w:val="left" w:pos="-1440"/>
        </w:tabs>
        <w:ind w:left="720" w:hanging="720"/>
        <w:jc w:val="both"/>
        <w:rPr>
          <w:rFonts w:ascii="Arial" w:hAnsi="Arial"/>
          <w:szCs w:val="24"/>
        </w:rPr>
      </w:pPr>
    </w:p>
    <w:p w:rsidR="00917E22" w:rsidP="00BE4878" w14:paraId="2D8C3CEB" w14:textId="77777777">
      <w:pPr>
        <w:pStyle w:val="BodyTextIndent"/>
        <w:rPr>
          <w:szCs w:val="24"/>
        </w:rPr>
      </w:pPr>
      <w:r w:rsidRPr="00C47181">
        <w:rPr>
          <w:szCs w:val="24"/>
        </w:rPr>
        <w:tab/>
      </w:r>
      <w:r w:rsidRPr="007F20CA">
        <w:rPr>
          <w:rFonts w:cs="Arial"/>
        </w:rPr>
        <w:t>This information collection does not have an impact on small businesses or other</w:t>
      </w:r>
      <w:r w:rsidR="002520D6">
        <w:rPr>
          <w:rFonts w:cs="Arial"/>
        </w:rPr>
        <w:t xml:space="preserve"> </w:t>
      </w:r>
      <w:r w:rsidRPr="007F20CA">
        <w:rPr>
          <w:rFonts w:cs="Arial"/>
        </w:rPr>
        <w:t>small entities.</w:t>
      </w:r>
      <w:r>
        <w:rPr>
          <w:rFonts w:cs="Arial"/>
        </w:rPr>
        <w:t xml:space="preserve">  </w:t>
      </w:r>
    </w:p>
    <w:p w:rsidR="00917E22" w:rsidRPr="00C47181" w:rsidP="00BE4878" w14:paraId="7809D2CB" w14:textId="77777777">
      <w:pPr>
        <w:pStyle w:val="BodyTextIndent"/>
      </w:pPr>
      <w:r>
        <w:tab/>
      </w:r>
      <w:r>
        <w:tab/>
      </w:r>
      <w:r>
        <w:tab/>
      </w:r>
      <w:r>
        <w:tab/>
      </w:r>
      <w:r>
        <w:tab/>
      </w:r>
      <w:r>
        <w:tab/>
      </w:r>
    </w:p>
    <w:p w:rsidR="00917E22" w:rsidRPr="00C9249E" w:rsidP="00C857A3" w14:paraId="2BE8A444" w14:textId="49D5E757">
      <w:pPr>
        <w:widowControl/>
        <w:numPr>
          <w:ilvl w:val="0"/>
          <w:numId w:val="12"/>
        </w:numPr>
        <w:tabs>
          <w:tab w:val="clear" w:pos="480"/>
          <w:tab w:val="num" w:pos="810"/>
        </w:tabs>
        <w:ind w:left="720" w:hanging="630"/>
        <w:jc w:val="both"/>
        <w:rPr>
          <w:rFonts w:ascii="Arial" w:hAnsi="Arial"/>
          <w:szCs w:val="24"/>
        </w:rPr>
      </w:pPr>
      <w:r w:rsidRPr="00C9249E">
        <w:rPr>
          <w:rFonts w:ascii="Arial" w:hAnsi="Arial" w:cs="Arial"/>
          <w:b/>
          <w:bCs/>
          <w:szCs w:val="24"/>
        </w:rPr>
        <w:t>Describe consequences to Federal program or policy activities if the                       collection is not conducted or is conducted less frequently.</w:t>
      </w:r>
    </w:p>
    <w:p w:rsidR="00917E22" w:rsidRPr="00F1386F" w:rsidP="00BE4878" w14:paraId="16F29B8C" w14:textId="77777777">
      <w:pPr>
        <w:tabs>
          <w:tab w:val="left" w:pos="-1440"/>
        </w:tabs>
        <w:ind w:left="720"/>
        <w:jc w:val="both"/>
        <w:rPr>
          <w:rFonts w:ascii="Arial" w:hAnsi="Arial" w:cs="Arial"/>
          <w:b/>
          <w:bCs/>
          <w:szCs w:val="24"/>
          <w:highlight w:val="yellow"/>
        </w:rPr>
      </w:pPr>
    </w:p>
    <w:p w:rsidR="00917E22" w:rsidP="00BE4878" w14:paraId="74461157" w14:textId="5C666E6E">
      <w:pPr>
        <w:tabs>
          <w:tab w:val="left" w:pos="-1440"/>
        </w:tabs>
        <w:ind w:left="720"/>
        <w:jc w:val="both"/>
        <w:rPr>
          <w:rFonts w:ascii="Arial" w:hAnsi="Arial"/>
        </w:rPr>
      </w:pPr>
      <w:r w:rsidRPr="00C9249E">
        <w:rPr>
          <w:rFonts w:ascii="Arial" w:hAnsi="Arial"/>
        </w:rPr>
        <w:t xml:space="preserve">If </w:t>
      </w:r>
      <w:r w:rsidRPr="00C9249E" w:rsidR="008D76AE">
        <w:rPr>
          <w:rFonts w:ascii="Arial" w:hAnsi="Arial"/>
        </w:rPr>
        <w:t xml:space="preserve">this </w:t>
      </w:r>
      <w:r w:rsidRPr="00C9249E">
        <w:rPr>
          <w:rFonts w:ascii="Arial" w:hAnsi="Arial"/>
        </w:rPr>
        <w:t xml:space="preserve">collection were conducted less frequently, CBP would lose control of </w:t>
      </w:r>
      <w:r w:rsidRPr="00C9249E" w:rsidR="00EB7AEB">
        <w:rPr>
          <w:rFonts w:ascii="Arial" w:hAnsi="Arial"/>
        </w:rPr>
        <w:t>land</w:t>
      </w:r>
      <w:r w:rsidRPr="00C9249E">
        <w:rPr>
          <w:rFonts w:ascii="Arial" w:hAnsi="Arial"/>
        </w:rPr>
        <w:t xml:space="preserve"> passenger revenue collections and lengthen processing time at </w:t>
      </w:r>
      <w:r w:rsidRPr="00C9249E" w:rsidR="00EB7AEB">
        <w:rPr>
          <w:rFonts w:ascii="Arial" w:hAnsi="Arial"/>
        </w:rPr>
        <w:t>land borders</w:t>
      </w:r>
      <w:r w:rsidRPr="00C9249E" w:rsidR="00E06743">
        <w:rPr>
          <w:rFonts w:ascii="Arial" w:hAnsi="Arial"/>
        </w:rPr>
        <w:t>.  CBP would also</w:t>
      </w:r>
      <w:r w:rsidRPr="00C9249E">
        <w:rPr>
          <w:rFonts w:ascii="Arial" w:hAnsi="Arial"/>
        </w:rPr>
        <w:t xml:space="preserve"> be less effective in its effort to support agricultural quarantines.</w:t>
      </w:r>
    </w:p>
    <w:p w:rsidR="00917E22" w:rsidP="00BE4878" w14:paraId="3F141B62" w14:textId="77777777">
      <w:pPr>
        <w:tabs>
          <w:tab w:val="left" w:pos="-1440"/>
        </w:tabs>
        <w:ind w:left="720" w:hanging="720"/>
        <w:jc w:val="both"/>
        <w:rPr>
          <w:rFonts w:ascii="Arial" w:hAnsi="Arial"/>
        </w:rPr>
      </w:pPr>
    </w:p>
    <w:p w:rsidR="00917E22" w:rsidRPr="00C47181" w:rsidP="00BE4878" w14:paraId="016B6449" w14:textId="77777777">
      <w:pPr>
        <w:ind w:left="720" w:hanging="60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0B1A4F">
        <w:rPr>
          <w:rFonts w:ascii="Arial" w:hAnsi="Arial" w:cs="Arial"/>
          <w:b/>
          <w:bCs/>
          <w:szCs w:val="24"/>
        </w:rPr>
        <w:t>.</w:t>
      </w:r>
    </w:p>
    <w:p w:rsidR="00917E22" w:rsidRPr="00C47181" w:rsidP="00BE4878" w14:paraId="0FF2E44B" w14:textId="77777777">
      <w:pPr>
        <w:tabs>
          <w:tab w:val="left" w:pos="-1440"/>
        </w:tabs>
        <w:ind w:left="720" w:hanging="720"/>
        <w:jc w:val="both"/>
        <w:rPr>
          <w:rFonts w:ascii="Arial" w:hAnsi="Arial"/>
          <w:szCs w:val="24"/>
        </w:rPr>
      </w:pPr>
    </w:p>
    <w:p w:rsidR="00917E22" w:rsidRPr="00C47181" w:rsidP="00BE4878" w14:paraId="742CC552"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917E22" w:rsidP="00BE4878" w14:paraId="749AC958" w14:textId="77777777">
      <w:pPr>
        <w:ind w:left="360"/>
        <w:jc w:val="both"/>
        <w:rPr>
          <w:rFonts w:ascii="Arial" w:hAnsi="Arial" w:cs="Arial"/>
          <w:b/>
          <w:bCs/>
          <w:szCs w:val="24"/>
        </w:rPr>
      </w:pPr>
    </w:p>
    <w:p w:rsidR="00917E22" w:rsidP="00BE4878" w14:paraId="712B2270" w14:textId="77777777">
      <w:pPr>
        <w:ind w:left="720" w:hanging="720"/>
        <w:jc w:val="both"/>
        <w:rPr>
          <w:rFonts w:ascii="Arial" w:hAnsi="Arial" w:cs="Arial"/>
          <w:b/>
          <w:bCs/>
          <w:szCs w:val="24"/>
        </w:rPr>
      </w:pPr>
      <w:r>
        <w:rPr>
          <w:rFonts w:ascii="Arial" w:hAnsi="Arial" w:cs="Arial"/>
          <w:b/>
          <w:bCs/>
          <w:szCs w:val="24"/>
        </w:rPr>
        <w:t xml:space="preserve">  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in the Federal Register of the agency's notice, required by 5 CFR </w:t>
      </w:r>
      <w:r w:rsidRPr="00C47181">
        <w:rPr>
          <w:rFonts w:ascii="Arial" w:hAnsi="Arial" w:cs="Arial"/>
          <w:b/>
          <w:bCs/>
          <w:szCs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7E22" w:rsidP="00BE4878" w14:paraId="1ED50B11" w14:textId="77777777">
      <w:pPr>
        <w:tabs>
          <w:tab w:val="left" w:pos="-1440"/>
        </w:tabs>
        <w:ind w:left="720" w:hanging="360"/>
        <w:jc w:val="both"/>
        <w:rPr>
          <w:rFonts w:ascii="Arial" w:hAnsi="Arial"/>
        </w:rPr>
      </w:pPr>
      <w:r>
        <w:rPr>
          <w:rFonts w:ascii="Arial" w:hAnsi="Arial"/>
        </w:rPr>
        <w:tab/>
      </w:r>
    </w:p>
    <w:p w:rsidR="00917E22" w:rsidP="00BE4878" w14:paraId="6E163FB3" w14:textId="401D7F4D">
      <w:pPr>
        <w:tabs>
          <w:tab w:val="left" w:pos="-1440"/>
        </w:tabs>
        <w:ind w:left="720" w:hanging="360"/>
        <w:jc w:val="both"/>
        <w:rPr>
          <w:rFonts w:ascii="Arial" w:hAnsi="Arial"/>
        </w:rPr>
      </w:pPr>
      <w:r>
        <w:rPr>
          <w:rFonts w:ascii="Arial" w:hAnsi="Arial"/>
        </w:rPr>
        <w:tab/>
      </w:r>
      <w:r w:rsidRPr="00C9249E">
        <w:rPr>
          <w:rFonts w:ascii="Arial" w:hAnsi="Arial"/>
        </w:rPr>
        <w:t xml:space="preserve">Public comments were solicited through two Federal Register </w:t>
      </w:r>
      <w:r w:rsidRPr="00C9249E" w:rsidR="006B1E3F">
        <w:rPr>
          <w:rFonts w:ascii="Arial" w:hAnsi="Arial"/>
        </w:rPr>
        <w:t>including a 60-day notice</w:t>
      </w:r>
      <w:r w:rsidRPr="00C9249E">
        <w:rPr>
          <w:rFonts w:ascii="Arial" w:hAnsi="Arial"/>
        </w:rPr>
        <w:t xml:space="preserve"> published on</w:t>
      </w:r>
      <w:r w:rsidR="00151F7E">
        <w:rPr>
          <w:rFonts w:ascii="Arial" w:hAnsi="Arial"/>
        </w:rPr>
        <w:t xml:space="preserve"> November 26</w:t>
      </w:r>
      <w:r w:rsidRPr="00C9249E" w:rsidR="00C04692">
        <w:rPr>
          <w:rFonts w:ascii="Arial" w:hAnsi="Arial"/>
        </w:rPr>
        <w:t>, 20</w:t>
      </w:r>
      <w:r w:rsidRPr="00C9249E" w:rsidR="00DB488C">
        <w:rPr>
          <w:rFonts w:ascii="Arial" w:hAnsi="Arial"/>
        </w:rPr>
        <w:t>2</w:t>
      </w:r>
      <w:r w:rsidR="00CE6CE8">
        <w:rPr>
          <w:rFonts w:ascii="Arial" w:hAnsi="Arial"/>
        </w:rPr>
        <w:t>5</w:t>
      </w:r>
      <w:r w:rsidRPr="00C9249E" w:rsidR="00AC7CB1">
        <w:rPr>
          <w:rFonts w:ascii="Arial" w:hAnsi="Arial"/>
        </w:rPr>
        <w:t xml:space="preserve"> </w:t>
      </w:r>
      <w:r w:rsidRPr="00C9249E">
        <w:rPr>
          <w:rFonts w:ascii="Arial" w:hAnsi="Arial"/>
        </w:rPr>
        <w:t>(</w:t>
      </w:r>
      <w:r w:rsidR="00CE6CE8">
        <w:rPr>
          <w:rFonts w:ascii="Arial" w:hAnsi="Arial"/>
        </w:rPr>
        <w:t>90 FR</w:t>
      </w:r>
      <w:r w:rsidR="004C7C93">
        <w:rPr>
          <w:rFonts w:ascii="Arial" w:hAnsi="Arial"/>
        </w:rPr>
        <w:t xml:space="preserve"> </w:t>
      </w:r>
      <w:r w:rsidR="004D2B94">
        <w:rPr>
          <w:rFonts w:ascii="Arial" w:hAnsi="Arial"/>
        </w:rPr>
        <w:t>54352</w:t>
      </w:r>
      <w:r w:rsidRPr="00C9249E" w:rsidR="006F5E93">
        <w:rPr>
          <w:rFonts w:ascii="Arial" w:hAnsi="Arial"/>
        </w:rPr>
        <w:t>)</w:t>
      </w:r>
      <w:r w:rsidRPr="00C9249E" w:rsidR="006B1E3F">
        <w:rPr>
          <w:rFonts w:ascii="Arial" w:hAnsi="Arial"/>
        </w:rPr>
        <w:t xml:space="preserve"> on which no comments were received, a 30-day notice published</w:t>
      </w:r>
      <w:r w:rsidRPr="00C9249E">
        <w:rPr>
          <w:rFonts w:ascii="Arial" w:hAnsi="Arial"/>
        </w:rPr>
        <w:t xml:space="preserve"> on</w:t>
      </w:r>
      <w:r w:rsidRPr="00C9249E" w:rsidR="005D66FE">
        <w:rPr>
          <w:rFonts w:ascii="Arial" w:hAnsi="Arial"/>
        </w:rPr>
        <w:t xml:space="preserve"> </w:t>
      </w:r>
      <w:r w:rsidR="00CE6CE8">
        <w:rPr>
          <w:rFonts w:ascii="Arial" w:hAnsi="Arial"/>
        </w:rPr>
        <w:t>May</w:t>
      </w:r>
      <w:r w:rsidRPr="00C9249E" w:rsidR="00C857A3">
        <w:rPr>
          <w:rFonts w:ascii="Arial" w:hAnsi="Arial"/>
        </w:rPr>
        <w:t xml:space="preserve"> </w:t>
      </w:r>
      <w:r w:rsidR="00CE6CE8">
        <w:rPr>
          <w:rFonts w:ascii="Arial" w:hAnsi="Arial"/>
        </w:rPr>
        <w:t>6</w:t>
      </w:r>
      <w:r w:rsidRPr="00C9249E" w:rsidR="00C857A3">
        <w:rPr>
          <w:rFonts w:ascii="Arial" w:hAnsi="Arial"/>
        </w:rPr>
        <w:t>, 202</w:t>
      </w:r>
      <w:r w:rsidR="00CE6CE8">
        <w:rPr>
          <w:rFonts w:ascii="Arial" w:hAnsi="Arial"/>
        </w:rPr>
        <w:t>6</w:t>
      </w:r>
      <w:r w:rsidRPr="00C9249E">
        <w:rPr>
          <w:rFonts w:ascii="Arial" w:hAnsi="Arial"/>
        </w:rPr>
        <w:t xml:space="preserve"> (</w:t>
      </w:r>
      <w:r w:rsidR="00CE6CE8">
        <w:rPr>
          <w:rFonts w:ascii="Arial" w:hAnsi="Arial"/>
        </w:rPr>
        <w:t>91</w:t>
      </w:r>
      <w:r w:rsidR="00151F7E">
        <w:rPr>
          <w:rFonts w:ascii="Arial" w:hAnsi="Arial"/>
        </w:rPr>
        <w:t xml:space="preserve"> </w:t>
      </w:r>
      <w:r w:rsidR="00CE6CE8">
        <w:rPr>
          <w:rFonts w:ascii="Arial" w:hAnsi="Arial"/>
        </w:rPr>
        <w:t>FR</w:t>
      </w:r>
      <w:r w:rsidR="004D2B94">
        <w:rPr>
          <w:rFonts w:ascii="Arial" w:hAnsi="Arial"/>
        </w:rPr>
        <w:t xml:space="preserve"> 24553</w:t>
      </w:r>
      <w:r w:rsidRPr="00C9249E">
        <w:rPr>
          <w:rFonts w:ascii="Arial" w:hAnsi="Arial"/>
        </w:rPr>
        <w:t>)</w:t>
      </w:r>
      <w:r w:rsidRPr="00C9249E" w:rsidR="006A3247">
        <w:rPr>
          <w:rFonts w:ascii="Arial" w:hAnsi="Arial"/>
        </w:rPr>
        <w:t xml:space="preserve">, </w:t>
      </w:r>
      <w:r w:rsidRPr="00C9249E" w:rsidR="006B1E3F">
        <w:rPr>
          <w:rFonts w:ascii="Arial" w:hAnsi="Arial"/>
        </w:rPr>
        <w:t>on which n</w:t>
      </w:r>
      <w:r w:rsidRPr="00C9249E">
        <w:rPr>
          <w:rFonts w:ascii="Arial" w:hAnsi="Arial"/>
        </w:rPr>
        <w:t xml:space="preserve">o comments </w:t>
      </w:r>
      <w:r w:rsidRPr="00C9249E" w:rsidR="006B1E3F">
        <w:rPr>
          <w:rFonts w:ascii="Arial" w:hAnsi="Arial"/>
        </w:rPr>
        <w:t xml:space="preserve">have been </w:t>
      </w:r>
      <w:r w:rsidRPr="00C9249E">
        <w:rPr>
          <w:rFonts w:ascii="Arial" w:hAnsi="Arial"/>
        </w:rPr>
        <w:t>received.</w:t>
      </w:r>
      <w:r>
        <w:rPr>
          <w:rFonts w:ascii="Arial" w:hAnsi="Arial"/>
        </w:rPr>
        <w:t xml:space="preserve">  </w:t>
      </w:r>
    </w:p>
    <w:p w:rsidR="00917E22" w:rsidP="00BE4878" w14:paraId="66969C87" w14:textId="77777777">
      <w:pPr>
        <w:ind w:left="720" w:hanging="600"/>
        <w:jc w:val="both"/>
        <w:rPr>
          <w:rFonts w:ascii="Arial" w:hAnsi="Arial"/>
          <w:b/>
          <w:bCs/>
          <w:szCs w:val="24"/>
        </w:rPr>
      </w:pPr>
    </w:p>
    <w:p w:rsidR="00917E22" w:rsidRPr="00C47181" w:rsidP="00BE4878" w14:paraId="3AFFD377"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917E22" w:rsidRPr="00C47181" w:rsidP="00BE4878" w14:paraId="03604FB4" w14:textId="77777777">
      <w:pPr>
        <w:tabs>
          <w:tab w:val="left" w:pos="-1440"/>
        </w:tabs>
        <w:ind w:left="720" w:hanging="720"/>
        <w:jc w:val="both"/>
        <w:rPr>
          <w:rFonts w:ascii="Arial" w:hAnsi="Arial"/>
          <w:szCs w:val="24"/>
        </w:rPr>
      </w:pPr>
    </w:p>
    <w:p w:rsidR="00917E22" w:rsidRPr="00C47181" w:rsidP="00BE4878" w14:paraId="20DE6D35"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17E22" w:rsidP="00BE4878" w14:paraId="1010424E" w14:textId="77777777">
      <w:pPr>
        <w:ind w:left="720" w:hanging="720"/>
        <w:jc w:val="both"/>
        <w:rPr>
          <w:rFonts w:ascii="Arial" w:hAnsi="Arial"/>
          <w:b/>
          <w:bCs/>
          <w:szCs w:val="24"/>
        </w:rPr>
      </w:pPr>
    </w:p>
    <w:p w:rsidR="00917E22" w:rsidRPr="00C47181" w:rsidP="00BE4878" w14:paraId="5ACC58B7"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1D356E">
        <w:rPr>
          <w:rFonts w:ascii="Arial" w:hAnsi="Arial" w:cs="Arial"/>
          <w:b/>
          <w:bCs/>
          <w:szCs w:val="24"/>
        </w:rPr>
        <w:t>Describe any assurance of confidentiality provided to respondents and the basis for the assurance in statute, regulation, or agency policy.</w:t>
      </w:r>
    </w:p>
    <w:p w:rsidR="00917E22" w:rsidRPr="00C47181" w:rsidP="00BE4878" w14:paraId="6C744F07" w14:textId="77777777">
      <w:pPr>
        <w:tabs>
          <w:tab w:val="left" w:pos="-1440"/>
        </w:tabs>
        <w:ind w:left="720" w:hanging="720"/>
        <w:jc w:val="both"/>
        <w:rPr>
          <w:rFonts w:ascii="Arial" w:hAnsi="Arial"/>
          <w:szCs w:val="24"/>
        </w:rPr>
      </w:pPr>
      <w:r w:rsidRPr="00C47181">
        <w:rPr>
          <w:rFonts w:ascii="Arial" w:hAnsi="Arial"/>
          <w:szCs w:val="24"/>
        </w:rPr>
        <w:tab/>
      </w:r>
    </w:p>
    <w:p w:rsidR="00917E22" w:rsidRPr="006F1ECC" w:rsidP="006F1ECC" w14:paraId="4508A49F" w14:textId="5848CFFB">
      <w:pPr>
        <w:tabs>
          <w:tab w:val="left" w:pos="-1440"/>
        </w:tabs>
        <w:ind w:left="720" w:hanging="720"/>
        <w:jc w:val="both"/>
        <w:rPr>
          <w:rFonts w:ascii="Arial" w:hAnsi="Arial"/>
          <w:szCs w:val="24"/>
        </w:rPr>
      </w:pPr>
      <w:r w:rsidRPr="00C47181">
        <w:rPr>
          <w:rFonts w:ascii="Arial" w:hAnsi="Arial"/>
          <w:szCs w:val="24"/>
        </w:rPr>
        <w:t xml:space="preserve">          </w:t>
      </w:r>
      <w:r w:rsidRPr="00C9249E" w:rsidR="00E90961">
        <w:rPr>
          <w:rFonts w:ascii="Arial" w:hAnsi="Arial"/>
          <w:szCs w:val="24"/>
        </w:rPr>
        <w:t xml:space="preserve">CBP has issued a series of PIAs under DHS/CBP/PIA—051 Automated Passport Control (APC) and Mobile Passport Control (MPC). In November 2023, CBP issued an update to the series titled, “DHS/CBP/PIA-051(b) Mobile Passport Control” to discuss the expansion of MPC and retirement of APC. </w:t>
      </w:r>
      <w:r w:rsidRPr="00C9249E" w:rsidR="00740732">
        <w:rPr>
          <w:rFonts w:ascii="Arial" w:hAnsi="Arial"/>
          <w:szCs w:val="24"/>
        </w:rPr>
        <w:t>Separately</w:t>
      </w:r>
      <w:r w:rsidRPr="00C9249E" w:rsidR="00E90961">
        <w:rPr>
          <w:rFonts w:ascii="Arial" w:hAnsi="Arial"/>
          <w:szCs w:val="24"/>
        </w:rPr>
        <w:t xml:space="preserve">, CBP is using </w:t>
      </w:r>
      <w:r w:rsidRPr="00C9249E" w:rsidR="00740732">
        <w:rPr>
          <w:rFonts w:ascii="Arial" w:hAnsi="Arial"/>
          <w:szCs w:val="24"/>
        </w:rPr>
        <w:t>“DHS/CBP/PIA-004(i) Advance Notice of Arrival: WHTI Travel Document holders”</w:t>
      </w:r>
      <w:r w:rsidRPr="00C9249E" w:rsidR="00E90961">
        <w:rPr>
          <w:rFonts w:ascii="Arial" w:hAnsi="Arial"/>
          <w:szCs w:val="24"/>
        </w:rPr>
        <w:t xml:space="preserve"> </w:t>
      </w:r>
      <w:r w:rsidRPr="00C9249E" w:rsidR="00740732">
        <w:rPr>
          <w:rFonts w:ascii="Arial" w:hAnsi="Arial"/>
          <w:szCs w:val="24"/>
        </w:rPr>
        <w:t>to discuss the ability for documented travelers to submit their arrival in advance using CBP One. CBP will also add an appendix to DHS/CBP/PIA-068 CBP One Mobile Application to discuss this use.</w:t>
      </w:r>
      <w:r w:rsidRPr="00C9249E" w:rsidR="000966C1">
        <w:rPr>
          <w:rFonts w:ascii="Arial" w:hAnsi="Arial"/>
          <w:szCs w:val="24"/>
        </w:rPr>
        <w:t xml:space="preserve">  </w:t>
      </w:r>
      <w:r w:rsidRPr="00C9249E" w:rsidR="00F44A54">
        <w:rPr>
          <w:rFonts w:ascii="Arial" w:hAnsi="Arial"/>
          <w:szCs w:val="24"/>
        </w:rPr>
        <w:t>There are no assurances of confidentiality provided to respondents.</w:t>
      </w:r>
      <w:r w:rsidR="00F44A54">
        <w:rPr>
          <w:rFonts w:ascii="Arial" w:hAnsi="Arial"/>
          <w:szCs w:val="24"/>
        </w:rPr>
        <w:t xml:space="preserve">  </w:t>
      </w:r>
    </w:p>
    <w:p w:rsidR="00AC7CB1" w:rsidP="00BE4878" w14:paraId="77A042F2" w14:textId="77777777">
      <w:pPr>
        <w:ind w:left="720" w:hanging="720"/>
        <w:jc w:val="both"/>
        <w:rPr>
          <w:rFonts w:ascii="Arial" w:hAnsi="Arial"/>
          <w:b/>
          <w:bCs/>
          <w:szCs w:val="24"/>
        </w:rPr>
      </w:pPr>
      <w:r>
        <w:rPr>
          <w:rFonts w:ascii="Arial" w:hAnsi="Arial"/>
          <w:b/>
          <w:bCs/>
          <w:szCs w:val="24"/>
        </w:rPr>
        <w:tab/>
      </w:r>
    </w:p>
    <w:p w:rsidR="00917E22" w:rsidRPr="00C47181" w:rsidP="00BE4878" w14:paraId="5A35404A"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7E22" w:rsidRPr="00C47181" w:rsidP="00BE4878" w14:paraId="47F032D2" w14:textId="77777777">
      <w:pPr>
        <w:tabs>
          <w:tab w:val="left" w:pos="-1440"/>
        </w:tabs>
        <w:ind w:left="720" w:hanging="720"/>
        <w:jc w:val="both"/>
        <w:rPr>
          <w:rFonts w:ascii="Arial" w:hAnsi="Arial"/>
          <w:szCs w:val="24"/>
        </w:rPr>
      </w:pPr>
      <w:r w:rsidRPr="00C47181">
        <w:rPr>
          <w:rFonts w:ascii="Arial" w:hAnsi="Arial"/>
          <w:szCs w:val="24"/>
        </w:rPr>
        <w:tab/>
      </w:r>
    </w:p>
    <w:p w:rsidR="00917E22" w:rsidRPr="00C47181" w:rsidP="00BE4878" w14:paraId="64DA7741"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CE2051" w:rsidP="00BE4878" w14:paraId="2C1DF811" w14:textId="77777777">
      <w:pPr>
        <w:tabs>
          <w:tab w:val="left" w:pos="-1440"/>
        </w:tabs>
        <w:jc w:val="both"/>
        <w:rPr>
          <w:rFonts w:ascii="Arial" w:hAnsi="Arial"/>
          <w:szCs w:val="24"/>
        </w:rPr>
      </w:pPr>
    </w:p>
    <w:p w:rsidR="00917E22" w:rsidRPr="00C47181" w:rsidP="00BE4878" w14:paraId="14C27CE5" w14:textId="77777777">
      <w:pPr>
        <w:tabs>
          <w:tab w:val="left" w:pos="-1440"/>
        </w:tabs>
        <w:jc w:val="both"/>
        <w:rPr>
          <w:rFonts w:ascii="Arial" w:hAnsi="Arial"/>
          <w:szCs w:val="24"/>
        </w:rPr>
      </w:pPr>
      <w:r>
        <w:rPr>
          <w:rFonts w:ascii="Arial" w:hAnsi="Arial"/>
          <w:b/>
          <w:szCs w:val="24"/>
        </w:rPr>
        <w:t>12.</w:t>
      </w:r>
      <w:r>
        <w:rPr>
          <w:rFonts w:ascii="Arial" w:hAnsi="Arial"/>
          <w:b/>
          <w:szCs w:val="24"/>
        </w:rPr>
        <w:tab/>
      </w:r>
      <w:r w:rsidRPr="00551962">
        <w:rPr>
          <w:rFonts w:ascii="Arial" w:hAnsi="Arial" w:cs="Arial"/>
          <w:b/>
          <w:bCs/>
          <w:szCs w:val="24"/>
        </w:rPr>
        <w:t xml:space="preserve">Provide estimates of the </w:t>
      </w:r>
      <w:r w:rsidRPr="00551962" w:rsidR="00133A79">
        <w:rPr>
          <w:rFonts w:ascii="Arial" w:hAnsi="Arial" w:cs="Arial"/>
          <w:b/>
          <w:bCs/>
          <w:szCs w:val="24"/>
        </w:rPr>
        <w:t xml:space="preserve">annual </w:t>
      </w:r>
      <w:r w:rsidRPr="00551962">
        <w:rPr>
          <w:rFonts w:ascii="Arial" w:hAnsi="Arial" w:cs="Arial"/>
          <w:b/>
          <w:bCs/>
          <w:szCs w:val="24"/>
        </w:rPr>
        <w:t>hour burden of the collection of information.</w:t>
      </w:r>
      <w:r w:rsidRPr="00C47181">
        <w:rPr>
          <w:rFonts w:ascii="Arial" w:hAnsi="Arial"/>
          <w:szCs w:val="24"/>
        </w:rPr>
        <w:tab/>
      </w:r>
    </w:p>
    <w:p w:rsidR="00917E22" w:rsidRPr="00BD54F3" w:rsidP="00BE4878" w14:paraId="043E1312" w14:textId="77777777">
      <w:pPr>
        <w:jc w:val="both"/>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710"/>
        <w:gridCol w:w="1620"/>
        <w:gridCol w:w="1800"/>
        <w:gridCol w:w="1440"/>
        <w:gridCol w:w="1507"/>
        <w:gridCol w:w="1499"/>
      </w:tblGrid>
      <w:tr w14:paraId="7E60A069" w14:textId="77777777" w:rsidTr="00C21947">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Ex>
        <w:tc>
          <w:tcPr>
            <w:tcW w:w="1710" w:type="dxa"/>
            <w:shd w:val="clear" w:color="auto" w:fill="FFFFFF"/>
          </w:tcPr>
          <w:p w:rsidR="00917E22" w:rsidRPr="00FC1C30" w:rsidP="007476E9" w14:paraId="5C6E3DA7" w14:textId="77777777">
            <w:pPr>
              <w:pStyle w:val="Style"/>
              <w:tabs>
                <w:tab w:val="left" w:pos="-1440"/>
              </w:tabs>
              <w:ind w:left="0" w:firstLine="0"/>
              <w:jc w:val="both"/>
              <w:rPr>
                <w:rFonts w:ascii="Arial" w:hAnsi="Arial"/>
              </w:rPr>
            </w:pPr>
          </w:p>
          <w:p w:rsidR="00917E22" w:rsidRPr="00FC1C30" w:rsidP="007476E9" w14:paraId="0C401EA4" w14:textId="77777777">
            <w:pPr>
              <w:pStyle w:val="Style"/>
              <w:tabs>
                <w:tab w:val="left" w:pos="-1440"/>
              </w:tabs>
              <w:ind w:left="0" w:firstLine="0"/>
              <w:jc w:val="both"/>
              <w:rPr>
                <w:rFonts w:ascii="Arial" w:hAnsi="Arial"/>
                <w:sz w:val="22"/>
                <w:szCs w:val="22"/>
              </w:rPr>
            </w:pPr>
            <w:r w:rsidRPr="00FC1C30">
              <w:rPr>
                <w:rFonts w:ascii="Arial" w:hAnsi="Arial"/>
                <w:b/>
                <w:sz w:val="22"/>
                <w:szCs w:val="22"/>
              </w:rPr>
              <w:t xml:space="preserve">INFORMATION COLLECTION </w:t>
            </w:r>
          </w:p>
        </w:tc>
        <w:tc>
          <w:tcPr>
            <w:tcW w:w="1620" w:type="dxa"/>
            <w:shd w:val="clear" w:color="auto" w:fill="FFFFFF"/>
          </w:tcPr>
          <w:p w:rsidR="00917E22" w:rsidRPr="00FC1C30" w:rsidP="007476E9" w14:paraId="12E42D6E" w14:textId="77777777">
            <w:pPr>
              <w:pStyle w:val="Style"/>
              <w:tabs>
                <w:tab w:val="left" w:pos="-1440"/>
              </w:tabs>
              <w:ind w:left="0" w:firstLine="0"/>
              <w:jc w:val="both"/>
              <w:rPr>
                <w:rFonts w:ascii="Arial" w:hAnsi="Arial"/>
                <w:b/>
                <w:sz w:val="22"/>
                <w:szCs w:val="22"/>
              </w:rPr>
            </w:pPr>
            <w:r w:rsidRPr="00FC1C30">
              <w:rPr>
                <w:rFonts w:ascii="Arial" w:hAnsi="Arial"/>
                <w:b/>
                <w:sz w:val="22"/>
                <w:szCs w:val="22"/>
              </w:rPr>
              <w:t>TOTAL ANNUAL BURDEN HOURS</w:t>
            </w:r>
          </w:p>
        </w:tc>
        <w:tc>
          <w:tcPr>
            <w:tcW w:w="1800" w:type="dxa"/>
            <w:shd w:val="clear" w:color="auto" w:fill="FFFFFF"/>
          </w:tcPr>
          <w:p w:rsidR="00917E22" w:rsidRPr="00FC1C30" w:rsidP="007476E9" w14:paraId="56AFA31C" w14:textId="77777777">
            <w:pPr>
              <w:pStyle w:val="Style"/>
              <w:tabs>
                <w:tab w:val="left" w:pos="-1440"/>
              </w:tabs>
              <w:ind w:left="0" w:firstLine="0"/>
              <w:jc w:val="both"/>
              <w:rPr>
                <w:rFonts w:ascii="Arial" w:hAnsi="Arial"/>
                <w:b/>
                <w:sz w:val="20"/>
              </w:rPr>
            </w:pPr>
            <w:r w:rsidRPr="00FC1C30">
              <w:rPr>
                <w:rFonts w:ascii="Arial" w:hAnsi="Arial"/>
                <w:b/>
                <w:sz w:val="20"/>
              </w:rPr>
              <w:t>NO. OF</w:t>
            </w:r>
          </w:p>
          <w:p w:rsidR="00917E22" w:rsidRPr="00FC1C30" w:rsidP="007476E9" w14:paraId="2B115452" w14:textId="77777777">
            <w:pPr>
              <w:pStyle w:val="Style"/>
              <w:tabs>
                <w:tab w:val="left" w:pos="-1440"/>
              </w:tabs>
              <w:ind w:left="0" w:firstLine="0"/>
              <w:jc w:val="both"/>
              <w:rPr>
                <w:rFonts w:ascii="Arial" w:hAnsi="Arial"/>
                <w:b/>
                <w:sz w:val="22"/>
                <w:szCs w:val="22"/>
              </w:rPr>
            </w:pPr>
            <w:r w:rsidRPr="00FC1C30">
              <w:rPr>
                <w:rFonts w:ascii="Arial" w:hAnsi="Arial"/>
                <w:b/>
                <w:sz w:val="20"/>
              </w:rPr>
              <w:t>RESPONDENTS</w:t>
            </w:r>
          </w:p>
        </w:tc>
        <w:tc>
          <w:tcPr>
            <w:tcW w:w="1440" w:type="dxa"/>
            <w:shd w:val="clear" w:color="auto" w:fill="FFFFFF"/>
          </w:tcPr>
          <w:p w:rsidR="00917E22" w:rsidRPr="00FC1C30" w:rsidP="007476E9" w14:paraId="52DC9DE3" w14:textId="77777777">
            <w:pPr>
              <w:pStyle w:val="Style"/>
              <w:tabs>
                <w:tab w:val="left" w:pos="-1440"/>
              </w:tabs>
              <w:ind w:left="0" w:firstLine="0"/>
              <w:rPr>
                <w:rFonts w:ascii="Arial" w:hAnsi="Arial"/>
                <w:b/>
                <w:sz w:val="16"/>
                <w:szCs w:val="16"/>
              </w:rPr>
            </w:pPr>
            <w:r w:rsidRPr="00FC1C30">
              <w:rPr>
                <w:rFonts w:ascii="Arial" w:hAnsi="Arial"/>
                <w:b/>
                <w:sz w:val="16"/>
                <w:szCs w:val="16"/>
              </w:rPr>
              <w:t>NO. OF RESPONSES PER RESPONDENT</w:t>
            </w:r>
          </w:p>
        </w:tc>
        <w:tc>
          <w:tcPr>
            <w:tcW w:w="1507" w:type="dxa"/>
            <w:shd w:val="clear" w:color="auto" w:fill="FFFFFF"/>
          </w:tcPr>
          <w:p w:rsidR="00917E22" w:rsidRPr="00FC1C30" w:rsidP="007476E9" w14:paraId="74A1EDF8" w14:textId="77777777">
            <w:pPr>
              <w:pStyle w:val="Style"/>
              <w:tabs>
                <w:tab w:val="left" w:pos="-1440"/>
              </w:tabs>
              <w:ind w:left="0" w:firstLine="0"/>
              <w:jc w:val="both"/>
              <w:rPr>
                <w:rFonts w:ascii="Arial" w:hAnsi="Arial"/>
              </w:rPr>
            </w:pPr>
          </w:p>
          <w:p w:rsidR="00917E22" w:rsidRPr="00FC1C30" w:rsidP="007476E9" w14:paraId="03334180" w14:textId="77777777">
            <w:pPr>
              <w:pStyle w:val="Style"/>
              <w:tabs>
                <w:tab w:val="left" w:pos="-1440"/>
              </w:tabs>
              <w:ind w:left="0" w:firstLine="0"/>
              <w:jc w:val="both"/>
              <w:rPr>
                <w:rFonts w:ascii="Arial" w:hAnsi="Arial"/>
                <w:b/>
                <w:sz w:val="20"/>
              </w:rPr>
            </w:pPr>
            <w:r w:rsidRPr="00FC1C30">
              <w:rPr>
                <w:rFonts w:ascii="Arial" w:hAnsi="Arial"/>
                <w:b/>
                <w:sz w:val="20"/>
              </w:rPr>
              <w:t>TOTAL</w:t>
            </w:r>
          </w:p>
          <w:p w:rsidR="00917E22" w:rsidRPr="00FC1C30" w:rsidP="007476E9" w14:paraId="60648F75" w14:textId="77777777">
            <w:pPr>
              <w:pStyle w:val="Style"/>
              <w:tabs>
                <w:tab w:val="left" w:pos="-1440"/>
              </w:tabs>
              <w:ind w:left="0" w:firstLine="0"/>
              <w:jc w:val="both"/>
              <w:rPr>
                <w:rFonts w:ascii="Arial" w:hAnsi="Arial"/>
              </w:rPr>
            </w:pPr>
            <w:r w:rsidRPr="00FC1C30">
              <w:rPr>
                <w:rFonts w:ascii="Arial" w:hAnsi="Arial"/>
                <w:b/>
                <w:sz w:val="20"/>
              </w:rPr>
              <w:t>RESPONSES</w:t>
            </w:r>
          </w:p>
        </w:tc>
        <w:tc>
          <w:tcPr>
            <w:tcW w:w="1499" w:type="dxa"/>
            <w:shd w:val="clear" w:color="auto" w:fill="FFFFFF"/>
          </w:tcPr>
          <w:p w:rsidR="00917E22" w:rsidRPr="00FC1C30" w:rsidP="007476E9" w14:paraId="0CE0720C" w14:textId="77777777">
            <w:pPr>
              <w:pStyle w:val="Style"/>
              <w:tabs>
                <w:tab w:val="left" w:pos="-1440"/>
              </w:tabs>
              <w:ind w:left="0" w:firstLine="0"/>
              <w:jc w:val="both"/>
              <w:rPr>
                <w:rFonts w:ascii="Arial" w:hAnsi="Arial"/>
              </w:rPr>
            </w:pPr>
          </w:p>
          <w:p w:rsidR="00917E22" w:rsidRPr="00FC1C30" w:rsidP="007476E9" w14:paraId="1983E81D" w14:textId="77777777">
            <w:pPr>
              <w:pStyle w:val="Style"/>
              <w:tabs>
                <w:tab w:val="left" w:pos="-1440"/>
              </w:tabs>
              <w:ind w:left="0" w:firstLine="0"/>
              <w:jc w:val="both"/>
              <w:rPr>
                <w:rFonts w:ascii="Arial" w:hAnsi="Arial"/>
                <w:b/>
                <w:sz w:val="22"/>
                <w:szCs w:val="22"/>
              </w:rPr>
            </w:pPr>
            <w:r w:rsidRPr="00FC1C30">
              <w:rPr>
                <w:rFonts w:ascii="Arial" w:hAnsi="Arial"/>
                <w:b/>
                <w:sz w:val="22"/>
                <w:szCs w:val="22"/>
              </w:rPr>
              <w:t>TIME PER</w:t>
            </w:r>
          </w:p>
          <w:p w:rsidR="00917E22" w:rsidRPr="00FC1C30" w:rsidP="007476E9" w14:paraId="746C6B63" w14:textId="77777777">
            <w:pPr>
              <w:pStyle w:val="Style"/>
              <w:tabs>
                <w:tab w:val="left" w:pos="-1440"/>
              </w:tabs>
              <w:ind w:left="0" w:firstLine="0"/>
              <w:jc w:val="both"/>
              <w:rPr>
                <w:rFonts w:ascii="Arial" w:hAnsi="Arial"/>
              </w:rPr>
            </w:pPr>
            <w:r w:rsidRPr="00FC1C30">
              <w:rPr>
                <w:rFonts w:ascii="Arial" w:hAnsi="Arial"/>
                <w:b/>
                <w:sz w:val="22"/>
                <w:szCs w:val="22"/>
              </w:rPr>
              <w:t>RESPONSE</w:t>
            </w:r>
          </w:p>
        </w:tc>
      </w:tr>
      <w:tr w14:paraId="76E8E5E9" w14:textId="77777777" w:rsidTr="00C21947">
        <w:tblPrEx>
          <w:tblW w:w="9576" w:type="dxa"/>
          <w:tblInd w:w="288" w:type="dxa"/>
          <w:shd w:val="clear" w:color="auto" w:fill="FFFFFF"/>
          <w:tblLayout w:type="fixed"/>
          <w:tblLook w:val="01E0"/>
        </w:tblPrEx>
        <w:tc>
          <w:tcPr>
            <w:tcW w:w="1710" w:type="dxa"/>
            <w:shd w:val="clear" w:color="auto" w:fill="FFFFFF"/>
          </w:tcPr>
          <w:p w:rsidR="00917E22" w:rsidRPr="008971FC" w:rsidP="00E73C30" w14:paraId="5BF6C844" w14:textId="77777777">
            <w:pPr>
              <w:pStyle w:val="Style"/>
              <w:tabs>
                <w:tab w:val="left" w:pos="-1440"/>
              </w:tabs>
              <w:ind w:left="0" w:firstLine="0"/>
              <w:jc w:val="center"/>
              <w:rPr>
                <w:rFonts w:ascii="Arial" w:hAnsi="Arial"/>
                <w:b/>
                <w:sz w:val="20"/>
              </w:rPr>
            </w:pPr>
            <w:bookmarkStart w:id="9" w:name="_Hlk126564532"/>
            <w:bookmarkStart w:id="10" w:name="_Hlk272395016"/>
            <w:r w:rsidRPr="008971FC">
              <w:rPr>
                <w:rFonts w:ascii="Arial" w:hAnsi="Arial"/>
                <w:b/>
                <w:sz w:val="20"/>
              </w:rPr>
              <w:t>Customs Declaration</w:t>
            </w:r>
            <w:r w:rsidRPr="008971FC" w:rsidR="00BC3E8C">
              <w:rPr>
                <w:rFonts w:ascii="Arial" w:hAnsi="Arial"/>
                <w:b/>
                <w:sz w:val="20"/>
              </w:rPr>
              <w:t>s</w:t>
            </w:r>
          </w:p>
          <w:p w:rsidR="00917E22" w:rsidRPr="008971FC" w:rsidP="00E73C30" w14:paraId="256DB6BD" w14:textId="77777777">
            <w:pPr>
              <w:pStyle w:val="Style"/>
              <w:tabs>
                <w:tab w:val="left" w:pos="-1440"/>
              </w:tabs>
              <w:ind w:left="0" w:firstLine="0"/>
              <w:jc w:val="center"/>
              <w:rPr>
                <w:rFonts w:ascii="Arial" w:hAnsi="Arial"/>
                <w:sz w:val="20"/>
              </w:rPr>
            </w:pPr>
            <w:r w:rsidRPr="008971FC">
              <w:rPr>
                <w:rFonts w:ascii="Arial" w:hAnsi="Arial"/>
                <w:sz w:val="20"/>
              </w:rPr>
              <w:t>(Form 6059B)</w:t>
            </w:r>
          </w:p>
          <w:bookmarkEnd w:id="9"/>
          <w:p w:rsidR="00917E22" w:rsidRPr="008971FC" w:rsidP="00E73C30" w14:paraId="7D0848EC"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00917E22" w:rsidRPr="008971FC" w:rsidP="00E73C30" w14:paraId="41E284E3" w14:textId="77777777">
            <w:pPr>
              <w:pStyle w:val="Style"/>
              <w:tabs>
                <w:tab w:val="left" w:pos="-1440"/>
              </w:tabs>
              <w:ind w:left="0" w:firstLine="0"/>
              <w:jc w:val="center"/>
              <w:rPr>
                <w:rFonts w:ascii="Arial" w:hAnsi="Arial"/>
                <w:sz w:val="22"/>
                <w:szCs w:val="22"/>
              </w:rPr>
            </w:pPr>
          </w:p>
          <w:p w:rsidR="002E5A51" w:rsidP="00E73C30" w14:paraId="28FD1A51" w14:textId="0E949BBF">
            <w:pPr>
              <w:pStyle w:val="Style"/>
              <w:tabs>
                <w:tab w:val="left" w:pos="-1440"/>
              </w:tabs>
              <w:ind w:left="0" w:firstLine="0"/>
              <w:jc w:val="center"/>
              <w:rPr>
                <w:rFonts w:ascii="Arial" w:hAnsi="Arial"/>
                <w:sz w:val="22"/>
                <w:szCs w:val="22"/>
              </w:rPr>
            </w:pPr>
          </w:p>
          <w:p w:rsidR="00917E22" w:rsidRPr="008971FC" w:rsidP="00E73C30" w14:paraId="2A10DBBF" w14:textId="32F8854B">
            <w:pPr>
              <w:pStyle w:val="Style"/>
              <w:tabs>
                <w:tab w:val="left" w:pos="-1440"/>
              </w:tabs>
              <w:ind w:left="0" w:firstLine="0"/>
              <w:jc w:val="center"/>
              <w:rPr>
                <w:rFonts w:ascii="Arial" w:hAnsi="Arial"/>
                <w:sz w:val="22"/>
                <w:szCs w:val="22"/>
              </w:rPr>
            </w:pPr>
            <w:r>
              <w:rPr>
                <w:rFonts w:ascii="Arial" w:hAnsi="Arial"/>
                <w:sz w:val="22"/>
                <w:szCs w:val="22"/>
              </w:rPr>
              <w:t>363,</w:t>
            </w:r>
            <w:r w:rsidR="00930D7F">
              <w:rPr>
                <w:rFonts w:ascii="Arial" w:hAnsi="Arial"/>
                <w:sz w:val="22"/>
                <w:szCs w:val="22"/>
              </w:rPr>
              <w:t>224</w:t>
            </w:r>
          </w:p>
        </w:tc>
        <w:tc>
          <w:tcPr>
            <w:tcW w:w="1800" w:type="dxa"/>
            <w:shd w:val="clear" w:color="auto" w:fill="FFFFFF"/>
          </w:tcPr>
          <w:p w:rsidR="00917E22" w:rsidRPr="008971FC" w:rsidP="00E73C30" w14:paraId="63CAFBB6" w14:textId="77777777">
            <w:pPr>
              <w:pStyle w:val="Style"/>
              <w:tabs>
                <w:tab w:val="left" w:pos="-1440"/>
              </w:tabs>
              <w:ind w:left="0" w:firstLine="0"/>
              <w:jc w:val="center"/>
              <w:rPr>
                <w:rFonts w:ascii="Arial" w:hAnsi="Arial"/>
                <w:sz w:val="22"/>
                <w:szCs w:val="22"/>
              </w:rPr>
            </w:pPr>
          </w:p>
          <w:p w:rsidR="00917E22" w:rsidRPr="008971FC" w:rsidP="00E73C30" w14:paraId="7D276056" w14:textId="76279F89">
            <w:pPr>
              <w:pStyle w:val="Style"/>
              <w:tabs>
                <w:tab w:val="left" w:pos="-1440"/>
              </w:tabs>
              <w:ind w:left="0" w:firstLine="0"/>
              <w:jc w:val="center"/>
              <w:rPr>
                <w:rFonts w:ascii="Arial" w:hAnsi="Arial"/>
                <w:sz w:val="22"/>
                <w:szCs w:val="22"/>
              </w:rPr>
            </w:pPr>
            <w:r>
              <w:rPr>
                <w:rFonts w:ascii="Arial" w:hAnsi="Arial"/>
                <w:sz w:val="22"/>
                <w:szCs w:val="22"/>
              </w:rPr>
              <w:t xml:space="preserve"> 5,421,252</w:t>
            </w:r>
          </w:p>
        </w:tc>
        <w:tc>
          <w:tcPr>
            <w:tcW w:w="1440" w:type="dxa"/>
            <w:shd w:val="clear" w:color="auto" w:fill="FFFFFF"/>
          </w:tcPr>
          <w:p w:rsidR="00917E22" w:rsidRPr="008971FC" w:rsidP="00E73C30" w14:paraId="6AA7C0AB" w14:textId="77777777">
            <w:pPr>
              <w:pStyle w:val="Style"/>
              <w:tabs>
                <w:tab w:val="left" w:pos="-1440"/>
              </w:tabs>
              <w:ind w:left="0" w:firstLine="0"/>
              <w:jc w:val="center"/>
              <w:rPr>
                <w:rFonts w:ascii="Arial" w:hAnsi="Arial"/>
                <w:sz w:val="22"/>
                <w:szCs w:val="22"/>
              </w:rPr>
            </w:pPr>
          </w:p>
          <w:p w:rsidR="00917E22" w:rsidRPr="008971FC" w:rsidP="00E73C30" w14:paraId="40976305"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07" w:type="dxa"/>
            <w:shd w:val="clear" w:color="auto" w:fill="FFFFFF"/>
          </w:tcPr>
          <w:p w:rsidR="00642B32" w:rsidRPr="008971FC" w:rsidP="00E73C30" w14:paraId="0ABE9D2C" w14:textId="77777777">
            <w:pPr>
              <w:pStyle w:val="Style"/>
              <w:tabs>
                <w:tab w:val="left" w:pos="-1440"/>
              </w:tabs>
              <w:ind w:left="0" w:firstLine="0"/>
              <w:jc w:val="center"/>
              <w:rPr>
                <w:rFonts w:ascii="Arial" w:hAnsi="Arial"/>
                <w:sz w:val="22"/>
                <w:szCs w:val="22"/>
              </w:rPr>
            </w:pPr>
          </w:p>
          <w:p w:rsidR="00917E22" w:rsidRPr="008971FC" w:rsidP="00E73C30" w14:paraId="4DA0591B" w14:textId="692050F7">
            <w:pPr>
              <w:pStyle w:val="Style"/>
              <w:tabs>
                <w:tab w:val="left" w:pos="-1440"/>
              </w:tabs>
              <w:ind w:left="0" w:firstLine="0"/>
              <w:jc w:val="center"/>
              <w:rPr>
                <w:rFonts w:ascii="Arial" w:hAnsi="Arial"/>
                <w:sz w:val="22"/>
                <w:szCs w:val="22"/>
              </w:rPr>
            </w:pPr>
            <w:r>
              <w:rPr>
                <w:rFonts w:ascii="Arial" w:hAnsi="Arial"/>
                <w:sz w:val="22"/>
                <w:szCs w:val="22"/>
              </w:rPr>
              <w:t xml:space="preserve"> 5,421,</w:t>
            </w:r>
            <w:r w:rsidR="005455E2">
              <w:rPr>
                <w:rFonts w:ascii="Arial" w:hAnsi="Arial"/>
                <w:sz w:val="22"/>
                <w:szCs w:val="22"/>
              </w:rPr>
              <w:t>252</w:t>
            </w:r>
          </w:p>
        </w:tc>
        <w:tc>
          <w:tcPr>
            <w:tcW w:w="1499" w:type="dxa"/>
            <w:shd w:val="clear" w:color="auto" w:fill="FFFFFF"/>
          </w:tcPr>
          <w:p w:rsidR="00917E22" w:rsidRPr="008971FC" w:rsidP="00E73C30" w14:paraId="1B873C86" w14:textId="77777777">
            <w:pPr>
              <w:pStyle w:val="Style"/>
              <w:tabs>
                <w:tab w:val="left" w:pos="-1440"/>
              </w:tabs>
              <w:ind w:left="0" w:firstLine="0"/>
              <w:jc w:val="center"/>
              <w:rPr>
                <w:rFonts w:ascii="Arial" w:hAnsi="Arial"/>
                <w:sz w:val="22"/>
                <w:szCs w:val="22"/>
              </w:rPr>
            </w:pPr>
          </w:p>
          <w:p w:rsidR="00917E22" w:rsidRPr="008971FC" w:rsidP="00E73C30" w14:paraId="2E29A0BF" w14:textId="77777777">
            <w:pPr>
              <w:pStyle w:val="Style"/>
              <w:tabs>
                <w:tab w:val="left" w:pos="-1440"/>
              </w:tabs>
              <w:ind w:left="0" w:firstLine="0"/>
              <w:jc w:val="center"/>
              <w:rPr>
                <w:rFonts w:ascii="Arial" w:hAnsi="Arial"/>
                <w:sz w:val="20"/>
              </w:rPr>
            </w:pPr>
            <w:r w:rsidRPr="008971FC">
              <w:rPr>
                <w:rFonts w:ascii="Arial" w:hAnsi="Arial"/>
                <w:sz w:val="20"/>
              </w:rPr>
              <w:t>4 minutes</w:t>
            </w:r>
          </w:p>
          <w:p w:rsidR="00917E22" w:rsidRPr="008971FC" w:rsidP="00E73C30" w14:paraId="0E087E7B" w14:textId="77777777">
            <w:pPr>
              <w:pStyle w:val="Style"/>
              <w:tabs>
                <w:tab w:val="left" w:pos="-1440"/>
              </w:tabs>
              <w:ind w:left="0" w:firstLine="0"/>
              <w:jc w:val="center"/>
              <w:rPr>
                <w:rFonts w:ascii="Arial" w:hAnsi="Arial"/>
                <w:sz w:val="20"/>
              </w:rPr>
            </w:pPr>
            <w:r w:rsidRPr="008971FC">
              <w:rPr>
                <w:rFonts w:ascii="Arial" w:hAnsi="Arial"/>
                <w:sz w:val="20"/>
              </w:rPr>
              <w:t>(.067 hours)</w:t>
            </w:r>
          </w:p>
        </w:tc>
      </w:tr>
      <w:bookmarkEnd w:id="10"/>
      <w:tr w14:paraId="72E71340" w14:textId="77777777" w:rsidTr="00C21947">
        <w:tblPrEx>
          <w:tblW w:w="9576" w:type="dxa"/>
          <w:tblInd w:w="288" w:type="dxa"/>
          <w:shd w:val="clear" w:color="auto" w:fill="FFFFFF"/>
          <w:tblLayout w:type="fixed"/>
          <w:tblLook w:val="01E0"/>
        </w:tblPrEx>
        <w:trPr>
          <w:trHeight w:val="943"/>
        </w:trPr>
        <w:tc>
          <w:tcPr>
            <w:tcW w:w="1710" w:type="dxa"/>
            <w:shd w:val="clear" w:color="auto" w:fill="FFFFFF"/>
          </w:tcPr>
          <w:p w:rsidR="003040E1" w:rsidRPr="008971FC" w:rsidP="00E73C30" w14:paraId="5FC90272" w14:textId="77777777">
            <w:pPr>
              <w:pStyle w:val="Style"/>
              <w:tabs>
                <w:tab w:val="left" w:pos="-1440"/>
              </w:tabs>
              <w:ind w:left="0" w:firstLine="0"/>
              <w:jc w:val="center"/>
              <w:rPr>
                <w:rFonts w:ascii="Arial" w:hAnsi="Arial"/>
                <w:b/>
                <w:sz w:val="20"/>
              </w:rPr>
            </w:pPr>
            <w:r w:rsidRPr="008971FC">
              <w:rPr>
                <w:rFonts w:ascii="Arial" w:hAnsi="Arial"/>
                <w:b/>
                <w:sz w:val="20"/>
              </w:rPr>
              <w:t>Verbal Declaration</w:t>
            </w:r>
            <w:r w:rsidRPr="008971FC" w:rsidR="00BC3E8C">
              <w:rPr>
                <w:rFonts w:ascii="Arial" w:hAnsi="Arial"/>
                <w:b/>
                <w:sz w:val="20"/>
              </w:rPr>
              <w:t>s</w:t>
            </w:r>
          </w:p>
          <w:p w:rsidR="003040E1" w:rsidRPr="008971FC" w:rsidP="00E73C30" w14:paraId="3D6FB159" w14:textId="77777777">
            <w:pPr>
              <w:pStyle w:val="Style"/>
              <w:tabs>
                <w:tab w:val="left" w:pos="-1440"/>
              </w:tabs>
              <w:ind w:left="0" w:firstLine="0"/>
              <w:jc w:val="center"/>
              <w:rPr>
                <w:rFonts w:ascii="Arial" w:hAnsi="Arial"/>
                <w:sz w:val="20"/>
              </w:rPr>
            </w:pPr>
          </w:p>
          <w:p w:rsidR="003040E1" w:rsidRPr="008971FC" w:rsidP="00E73C30" w14:paraId="00F36652"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00495301" w:rsidP="00E73C30" w14:paraId="316187D3" w14:textId="77777777">
            <w:pPr>
              <w:pStyle w:val="Style"/>
              <w:tabs>
                <w:tab w:val="left" w:pos="-1440"/>
              </w:tabs>
              <w:ind w:left="0" w:firstLine="0"/>
              <w:jc w:val="center"/>
              <w:rPr>
                <w:rFonts w:ascii="Arial" w:hAnsi="Arial"/>
                <w:sz w:val="22"/>
                <w:szCs w:val="22"/>
              </w:rPr>
            </w:pPr>
          </w:p>
          <w:p w:rsidR="003040E1" w:rsidRPr="008971FC" w:rsidP="00E73C30" w14:paraId="365B27C5" w14:textId="3B0B50C8">
            <w:pPr>
              <w:pStyle w:val="Style"/>
              <w:tabs>
                <w:tab w:val="left" w:pos="-1440"/>
              </w:tabs>
              <w:ind w:left="0" w:firstLine="0"/>
              <w:jc w:val="center"/>
              <w:rPr>
                <w:rFonts w:ascii="Arial" w:hAnsi="Arial"/>
                <w:sz w:val="22"/>
                <w:szCs w:val="22"/>
              </w:rPr>
            </w:pPr>
            <w:r>
              <w:rPr>
                <w:rFonts w:ascii="Arial" w:hAnsi="Arial"/>
                <w:sz w:val="22"/>
                <w:szCs w:val="22"/>
              </w:rPr>
              <w:t xml:space="preserve"> 1,261,576</w:t>
            </w:r>
          </w:p>
        </w:tc>
        <w:tc>
          <w:tcPr>
            <w:tcW w:w="1800" w:type="dxa"/>
            <w:shd w:val="clear" w:color="auto" w:fill="FFFFFF"/>
          </w:tcPr>
          <w:p w:rsidR="00495301" w:rsidP="00E73C30" w14:paraId="6E69C8B7" w14:textId="77777777">
            <w:pPr>
              <w:pStyle w:val="Style"/>
              <w:tabs>
                <w:tab w:val="left" w:pos="-1440"/>
              </w:tabs>
              <w:ind w:left="0" w:firstLine="0"/>
              <w:jc w:val="center"/>
              <w:rPr>
                <w:rFonts w:ascii="Arial" w:hAnsi="Arial"/>
                <w:sz w:val="22"/>
                <w:szCs w:val="22"/>
              </w:rPr>
            </w:pPr>
          </w:p>
          <w:p w:rsidR="003040E1" w:rsidRPr="008971FC" w:rsidP="00E73C30" w14:paraId="5612D843" w14:textId="3C26D948">
            <w:pPr>
              <w:pStyle w:val="Style"/>
              <w:tabs>
                <w:tab w:val="left" w:pos="-1440"/>
              </w:tabs>
              <w:ind w:left="0" w:firstLine="0"/>
              <w:jc w:val="center"/>
              <w:rPr>
                <w:rFonts w:ascii="Arial" w:hAnsi="Arial"/>
                <w:sz w:val="22"/>
                <w:szCs w:val="22"/>
              </w:rPr>
            </w:pPr>
            <w:r>
              <w:rPr>
                <w:rFonts w:ascii="Arial" w:hAnsi="Arial"/>
                <w:sz w:val="22"/>
                <w:szCs w:val="22"/>
              </w:rPr>
              <w:t xml:space="preserve"> 420,525,380</w:t>
            </w:r>
          </w:p>
        </w:tc>
        <w:tc>
          <w:tcPr>
            <w:tcW w:w="1440" w:type="dxa"/>
            <w:shd w:val="clear" w:color="auto" w:fill="FFFFFF"/>
          </w:tcPr>
          <w:p w:rsidR="003040E1" w:rsidRPr="008971FC" w:rsidP="00E73C30" w14:paraId="2BFF5E6E" w14:textId="77777777">
            <w:pPr>
              <w:pStyle w:val="Style"/>
              <w:tabs>
                <w:tab w:val="left" w:pos="-1440"/>
              </w:tabs>
              <w:ind w:left="0" w:firstLine="0"/>
              <w:jc w:val="center"/>
              <w:rPr>
                <w:rFonts w:ascii="Arial" w:hAnsi="Arial"/>
                <w:sz w:val="22"/>
                <w:szCs w:val="22"/>
              </w:rPr>
            </w:pPr>
          </w:p>
          <w:p w:rsidR="003040E1" w:rsidRPr="008971FC" w:rsidP="00E73C30" w14:paraId="7ED65E80"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07" w:type="dxa"/>
            <w:shd w:val="clear" w:color="auto" w:fill="FFFFFF"/>
          </w:tcPr>
          <w:p w:rsidR="003040E1" w:rsidRPr="008971FC" w:rsidP="00E73C30" w14:paraId="00F44BB7" w14:textId="77777777">
            <w:pPr>
              <w:pStyle w:val="Style"/>
              <w:tabs>
                <w:tab w:val="left" w:pos="-1440"/>
              </w:tabs>
              <w:ind w:left="0" w:firstLine="0"/>
              <w:jc w:val="center"/>
              <w:rPr>
                <w:rFonts w:ascii="Arial" w:hAnsi="Arial"/>
                <w:sz w:val="22"/>
                <w:szCs w:val="22"/>
              </w:rPr>
            </w:pPr>
          </w:p>
          <w:p w:rsidR="003F2A05" w:rsidRPr="008971FC" w:rsidP="00E73C30" w14:paraId="37095EA8" w14:textId="396A63B7">
            <w:pPr>
              <w:pStyle w:val="Style"/>
              <w:tabs>
                <w:tab w:val="left" w:pos="-1440"/>
              </w:tabs>
              <w:ind w:left="0" w:firstLine="0"/>
              <w:jc w:val="center"/>
              <w:rPr>
                <w:rFonts w:ascii="Arial" w:hAnsi="Arial"/>
                <w:sz w:val="22"/>
                <w:szCs w:val="22"/>
              </w:rPr>
            </w:pPr>
            <w:r>
              <w:rPr>
                <w:rFonts w:ascii="Arial" w:hAnsi="Arial"/>
                <w:sz w:val="22"/>
                <w:szCs w:val="22"/>
              </w:rPr>
              <w:t>420,525,380</w:t>
            </w:r>
          </w:p>
        </w:tc>
        <w:tc>
          <w:tcPr>
            <w:tcW w:w="1499" w:type="dxa"/>
            <w:shd w:val="clear" w:color="auto" w:fill="FFFFFF"/>
          </w:tcPr>
          <w:p w:rsidR="003040E1" w:rsidRPr="008971FC" w:rsidP="00E73C30" w14:paraId="7D812F31" w14:textId="77777777">
            <w:pPr>
              <w:pStyle w:val="Style"/>
              <w:tabs>
                <w:tab w:val="left" w:pos="-1440"/>
              </w:tabs>
              <w:ind w:left="0" w:firstLine="0"/>
              <w:jc w:val="center"/>
              <w:rPr>
                <w:rFonts w:ascii="Arial" w:hAnsi="Arial"/>
                <w:sz w:val="22"/>
                <w:szCs w:val="22"/>
              </w:rPr>
            </w:pPr>
          </w:p>
          <w:p w:rsidR="003040E1" w:rsidRPr="008971FC" w:rsidP="00E73C30" w14:paraId="5FFC6023" w14:textId="77777777">
            <w:pPr>
              <w:pStyle w:val="Style"/>
              <w:tabs>
                <w:tab w:val="left" w:pos="-1440"/>
              </w:tabs>
              <w:ind w:left="0" w:firstLine="0"/>
              <w:jc w:val="center"/>
              <w:rPr>
                <w:rFonts w:ascii="Arial" w:hAnsi="Arial"/>
                <w:sz w:val="22"/>
                <w:szCs w:val="22"/>
              </w:rPr>
            </w:pPr>
            <w:r w:rsidRPr="008971FC">
              <w:rPr>
                <w:rFonts w:ascii="Arial" w:hAnsi="Arial"/>
                <w:sz w:val="22"/>
                <w:szCs w:val="22"/>
              </w:rPr>
              <w:t>10 seconds</w:t>
            </w:r>
          </w:p>
          <w:p w:rsidR="003040E1" w:rsidRPr="008971FC" w:rsidP="00E73C30" w14:paraId="700109EF" w14:textId="77777777">
            <w:pPr>
              <w:pStyle w:val="Style"/>
              <w:tabs>
                <w:tab w:val="left" w:pos="-1440"/>
              </w:tabs>
              <w:ind w:left="0" w:firstLine="0"/>
              <w:jc w:val="center"/>
              <w:rPr>
                <w:rFonts w:ascii="Arial" w:hAnsi="Arial"/>
                <w:sz w:val="22"/>
                <w:szCs w:val="22"/>
              </w:rPr>
            </w:pPr>
            <w:r w:rsidRPr="008971FC">
              <w:rPr>
                <w:rFonts w:ascii="Arial" w:hAnsi="Arial"/>
                <w:sz w:val="22"/>
                <w:szCs w:val="22"/>
              </w:rPr>
              <w:t>(.</w:t>
            </w:r>
            <w:r w:rsidRPr="008971FC" w:rsidR="000E31E1">
              <w:rPr>
                <w:rFonts w:ascii="Arial" w:hAnsi="Arial"/>
                <w:sz w:val="22"/>
                <w:szCs w:val="22"/>
              </w:rPr>
              <w:t>003</w:t>
            </w:r>
            <w:r w:rsidRPr="008971FC" w:rsidR="00BC3E8C">
              <w:rPr>
                <w:rFonts w:ascii="Arial" w:hAnsi="Arial"/>
                <w:sz w:val="22"/>
                <w:szCs w:val="22"/>
              </w:rPr>
              <w:t xml:space="preserve"> </w:t>
            </w:r>
            <w:r w:rsidRPr="008971FC">
              <w:rPr>
                <w:rFonts w:ascii="Arial" w:hAnsi="Arial"/>
                <w:sz w:val="22"/>
                <w:szCs w:val="22"/>
              </w:rPr>
              <w:t>hours)</w:t>
            </w:r>
          </w:p>
        </w:tc>
      </w:tr>
      <w:tr w14:paraId="26A3C0CD" w14:textId="77777777" w:rsidTr="00C21947">
        <w:tblPrEx>
          <w:tblW w:w="9576" w:type="dxa"/>
          <w:tblInd w:w="288" w:type="dxa"/>
          <w:shd w:val="clear" w:color="auto" w:fill="FFFFFF"/>
          <w:tblLayout w:type="fixed"/>
          <w:tblLook w:val="01E0"/>
        </w:tblPrEx>
        <w:trPr>
          <w:trHeight w:val="943"/>
        </w:trPr>
        <w:tc>
          <w:tcPr>
            <w:tcW w:w="1710" w:type="dxa"/>
            <w:shd w:val="clear" w:color="auto" w:fill="FFFFFF"/>
          </w:tcPr>
          <w:p w:rsidR="001441C2" w:rsidRPr="008971FC" w:rsidP="00E73C30" w14:paraId="571979A0" w14:textId="77777777">
            <w:pPr>
              <w:pStyle w:val="Style"/>
              <w:tabs>
                <w:tab w:val="left" w:pos="-1440"/>
              </w:tabs>
              <w:ind w:left="0" w:firstLine="0"/>
              <w:jc w:val="center"/>
              <w:rPr>
                <w:rFonts w:ascii="Arial" w:hAnsi="Arial"/>
                <w:sz w:val="20"/>
              </w:rPr>
            </w:pPr>
          </w:p>
          <w:p w:rsidR="001441C2" w:rsidRPr="008971FC" w:rsidP="00E73C30" w14:paraId="075BD495" w14:textId="77777777">
            <w:pPr>
              <w:pStyle w:val="Style"/>
              <w:tabs>
                <w:tab w:val="left" w:pos="-1440"/>
              </w:tabs>
              <w:ind w:left="0" w:firstLine="0"/>
              <w:jc w:val="center"/>
              <w:rPr>
                <w:rFonts w:ascii="Arial" w:hAnsi="Arial"/>
                <w:b/>
                <w:sz w:val="20"/>
              </w:rPr>
            </w:pPr>
            <w:r w:rsidRPr="008971FC">
              <w:rPr>
                <w:rFonts w:ascii="Arial" w:hAnsi="Arial"/>
                <w:b/>
                <w:sz w:val="20"/>
              </w:rPr>
              <w:t>MPC</w:t>
            </w:r>
          </w:p>
          <w:p w:rsidR="001441C2" w:rsidRPr="008971FC" w:rsidP="00E73C30" w14:paraId="68F7095B" w14:textId="77777777">
            <w:pPr>
              <w:pStyle w:val="Style"/>
              <w:tabs>
                <w:tab w:val="left" w:pos="-1440"/>
              </w:tabs>
              <w:ind w:left="0" w:firstLine="0"/>
              <w:jc w:val="center"/>
              <w:rPr>
                <w:rFonts w:ascii="Arial" w:hAnsi="Arial"/>
                <w:b/>
                <w:sz w:val="20"/>
              </w:rPr>
            </w:pPr>
            <w:r w:rsidRPr="008971FC">
              <w:rPr>
                <w:rFonts w:ascii="Arial" w:hAnsi="Arial"/>
                <w:b/>
                <w:sz w:val="20"/>
              </w:rPr>
              <w:t>App</w:t>
            </w:r>
          </w:p>
          <w:p w:rsidR="001441C2" w:rsidRPr="008971FC" w:rsidP="00E73C30" w14:paraId="682ECEDC" w14:textId="77777777">
            <w:pPr>
              <w:pStyle w:val="Style"/>
              <w:tabs>
                <w:tab w:val="left" w:pos="-1440"/>
              </w:tabs>
              <w:ind w:left="0" w:firstLine="0"/>
              <w:jc w:val="center"/>
              <w:rPr>
                <w:rFonts w:ascii="Arial" w:hAnsi="Arial"/>
                <w:sz w:val="20"/>
              </w:rPr>
            </w:pPr>
          </w:p>
        </w:tc>
        <w:tc>
          <w:tcPr>
            <w:tcW w:w="1620" w:type="dxa"/>
            <w:shd w:val="clear" w:color="auto" w:fill="FFFFFF"/>
          </w:tcPr>
          <w:p w:rsidR="001441C2" w:rsidRPr="008971FC" w:rsidP="00E73C30" w14:paraId="66C2AFDA" w14:textId="77777777">
            <w:pPr>
              <w:pStyle w:val="Style"/>
              <w:tabs>
                <w:tab w:val="left" w:pos="-1440"/>
              </w:tabs>
              <w:ind w:left="0" w:firstLine="0"/>
              <w:jc w:val="center"/>
              <w:rPr>
                <w:rFonts w:ascii="Arial" w:hAnsi="Arial"/>
                <w:sz w:val="22"/>
                <w:szCs w:val="22"/>
              </w:rPr>
            </w:pPr>
          </w:p>
          <w:p w:rsidR="00E73C30" w:rsidRPr="008971FC" w:rsidP="00E73C30" w14:paraId="55E1278B" w14:textId="031E5E93">
            <w:pPr>
              <w:pStyle w:val="Style"/>
              <w:tabs>
                <w:tab w:val="left" w:pos="-1440"/>
              </w:tabs>
              <w:ind w:left="0" w:firstLine="0"/>
              <w:jc w:val="center"/>
              <w:rPr>
                <w:rFonts w:ascii="Arial" w:hAnsi="Arial"/>
                <w:sz w:val="22"/>
                <w:szCs w:val="22"/>
              </w:rPr>
            </w:pPr>
            <w:r>
              <w:rPr>
                <w:rFonts w:ascii="Arial" w:hAnsi="Arial"/>
                <w:sz w:val="22"/>
                <w:szCs w:val="22"/>
              </w:rPr>
              <w:t xml:space="preserve"> </w:t>
            </w:r>
            <w:r w:rsidR="005455E2">
              <w:rPr>
                <w:rFonts w:ascii="Arial" w:hAnsi="Arial"/>
                <w:sz w:val="22"/>
                <w:szCs w:val="22"/>
              </w:rPr>
              <w:t>1,405,62</w:t>
            </w:r>
            <w:r w:rsidR="004F13C2">
              <w:rPr>
                <w:rFonts w:ascii="Arial" w:hAnsi="Arial"/>
                <w:sz w:val="22"/>
                <w:szCs w:val="22"/>
              </w:rPr>
              <w:t>4</w:t>
            </w:r>
          </w:p>
        </w:tc>
        <w:tc>
          <w:tcPr>
            <w:tcW w:w="1800" w:type="dxa"/>
            <w:shd w:val="clear" w:color="auto" w:fill="FFFFFF"/>
          </w:tcPr>
          <w:p w:rsidR="001441C2" w:rsidRPr="008971FC" w:rsidP="00E73C30" w14:paraId="39B6E82C" w14:textId="475F3C5D">
            <w:pPr>
              <w:pStyle w:val="Style"/>
              <w:tabs>
                <w:tab w:val="left" w:pos="-1440"/>
              </w:tabs>
              <w:ind w:left="0" w:firstLine="0"/>
              <w:jc w:val="center"/>
              <w:rPr>
                <w:rFonts w:ascii="Arial" w:hAnsi="Arial"/>
                <w:sz w:val="22"/>
                <w:szCs w:val="22"/>
              </w:rPr>
            </w:pPr>
          </w:p>
          <w:p w:rsidR="00F365E9" w:rsidRPr="008971FC" w:rsidP="00E73C30" w14:paraId="38F5B04F" w14:textId="60A903A6">
            <w:pPr>
              <w:pStyle w:val="Style"/>
              <w:tabs>
                <w:tab w:val="left" w:pos="-1440"/>
              </w:tabs>
              <w:ind w:left="0" w:firstLine="0"/>
              <w:jc w:val="center"/>
              <w:rPr>
                <w:rFonts w:ascii="Arial" w:hAnsi="Arial"/>
                <w:sz w:val="22"/>
                <w:szCs w:val="22"/>
              </w:rPr>
            </w:pPr>
            <w:r>
              <w:rPr>
                <w:rFonts w:ascii="Arial" w:hAnsi="Arial"/>
                <w:sz w:val="22"/>
                <w:szCs w:val="22"/>
              </w:rPr>
              <w:t xml:space="preserve"> </w:t>
            </w:r>
            <w:r w:rsidR="005455E2">
              <w:rPr>
                <w:rFonts w:ascii="Arial" w:hAnsi="Arial"/>
                <w:sz w:val="22"/>
                <w:szCs w:val="22"/>
              </w:rPr>
              <w:t>42,594,663</w:t>
            </w:r>
          </w:p>
        </w:tc>
        <w:tc>
          <w:tcPr>
            <w:tcW w:w="1440" w:type="dxa"/>
            <w:shd w:val="clear" w:color="auto" w:fill="FFFFFF"/>
          </w:tcPr>
          <w:p w:rsidR="001441C2" w:rsidRPr="008971FC" w:rsidP="00E73C30" w14:paraId="447995C0" w14:textId="77777777">
            <w:pPr>
              <w:pStyle w:val="Style"/>
              <w:tabs>
                <w:tab w:val="left" w:pos="-1440"/>
              </w:tabs>
              <w:ind w:left="0" w:firstLine="0"/>
              <w:jc w:val="center"/>
              <w:rPr>
                <w:rFonts w:ascii="Arial" w:hAnsi="Arial"/>
                <w:sz w:val="22"/>
                <w:szCs w:val="22"/>
              </w:rPr>
            </w:pPr>
          </w:p>
          <w:p w:rsidR="00E73C30" w:rsidRPr="008971FC" w:rsidP="00E73C30" w14:paraId="0772B26E"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07" w:type="dxa"/>
            <w:shd w:val="clear" w:color="auto" w:fill="FFFFFF"/>
          </w:tcPr>
          <w:p w:rsidR="001441C2" w:rsidRPr="008971FC" w:rsidP="00E73C30" w14:paraId="5633EAF8" w14:textId="77777777">
            <w:pPr>
              <w:pStyle w:val="Style"/>
              <w:tabs>
                <w:tab w:val="left" w:pos="-1440"/>
              </w:tabs>
              <w:ind w:left="0" w:firstLine="0"/>
              <w:jc w:val="center"/>
              <w:rPr>
                <w:rFonts w:ascii="Arial" w:hAnsi="Arial"/>
                <w:sz w:val="22"/>
                <w:szCs w:val="22"/>
              </w:rPr>
            </w:pPr>
          </w:p>
          <w:p w:rsidR="00E73C30" w:rsidRPr="008971FC" w:rsidP="00E73C30" w14:paraId="20CA1119" w14:textId="7C1EF529">
            <w:pPr>
              <w:pStyle w:val="Style"/>
              <w:tabs>
                <w:tab w:val="left" w:pos="-1440"/>
              </w:tabs>
              <w:ind w:left="0" w:firstLine="0"/>
              <w:jc w:val="center"/>
              <w:rPr>
                <w:rFonts w:ascii="Arial" w:hAnsi="Arial"/>
                <w:sz w:val="22"/>
                <w:szCs w:val="22"/>
              </w:rPr>
            </w:pPr>
            <w:r>
              <w:rPr>
                <w:rFonts w:ascii="Arial" w:hAnsi="Arial"/>
                <w:sz w:val="22"/>
                <w:szCs w:val="22"/>
              </w:rPr>
              <w:t xml:space="preserve"> </w:t>
            </w:r>
            <w:r w:rsidR="005455E2">
              <w:rPr>
                <w:rFonts w:ascii="Arial" w:hAnsi="Arial"/>
                <w:sz w:val="22"/>
                <w:szCs w:val="22"/>
              </w:rPr>
              <w:t>42,594,663</w:t>
            </w:r>
          </w:p>
        </w:tc>
        <w:tc>
          <w:tcPr>
            <w:tcW w:w="1499" w:type="dxa"/>
            <w:shd w:val="clear" w:color="auto" w:fill="FFFFFF"/>
          </w:tcPr>
          <w:p w:rsidR="00E73C30" w:rsidRPr="008971FC" w:rsidP="00E73C30" w14:paraId="02FEC03B" w14:textId="77777777">
            <w:pPr>
              <w:pStyle w:val="Style"/>
              <w:tabs>
                <w:tab w:val="left" w:pos="-1440"/>
              </w:tabs>
              <w:ind w:left="0" w:firstLine="0"/>
              <w:jc w:val="center"/>
              <w:rPr>
                <w:rFonts w:ascii="Arial" w:hAnsi="Arial"/>
                <w:sz w:val="22"/>
                <w:szCs w:val="22"/>
              </w:rPr>
            </w:pPr>
          </w:p>
          <w:p w:rsidR="003F5519" w:rsidRPr="008971FC" w:rsidP="003F5519" w14:paraId="5DB8AFF2" w14:textId="77777777">
            <w:pPr>
              <w:pStyle w:val="Style"/>
              <w:tabs>
                <w:tab w:val="left" w:pos="-1440"/>
              </w:tabs>
              <w:ind w:left="0" w:firstLine="0"/>
              <w:jc w:val="center"/>
              <w:rPr>
                <w:rFonts w:ascii="Arial" w:hAnsi="Arial"/>
                <w:sz w:val="22"/>
                <w:szCs w:val="22"/>
              </w:rPr>
            </w:pPr>
            <w:r w:rsidRPr="008971FC">
              <w:rPr>
                <w:rFonts w:ascii="Arial" w:hAnsi="Arial"/>
                <w:sz w:val="22"/>
                <w:szCs w:val="22"/>
              </w:rPr>
              <w:t>2 minutes</w:t>
            </w:r>
          </w:p>
          <w:p w:rsidR="00E73C30" w:rsidRPr="008971FC" w:rsidP="00E73C30" w14:paraId="5229BF7B" w14:textId="023604F3">
            <w:pPr>
              <w:pStyle w:val="Style"/>
              <w:tabs>
                <w:tab w:val="left" w:pos="-1440"/>
              </w:tabs>
              <w:ind w:left="0" w:firstLine="0"/>
              <w:jc w:val="center"/>
              <w:rPr>
                <w:rFonts w:ascii="Arial" w:hAnsi="Arial"/>
                <w:sz w:val="22"/>
                <w:szCs w:val="22"/>
              </w:rPr>
            </w:pPr>
            <w:r w:rsidRPr="008971FC">
              <w:rPr>
                <w:rFonts w:ascii="Arial" w:hAnsi="Arial"/>
                <w:sz w:val="22"/>
                <w:szCs w:val="22"/>
              </w:rPr>
              <w:t>(.033 hours)</w:t>
            </w:r>
          </w:p>
        </w:tc>
      </w:tr>
      <w:tr w14:paraId="36E27F0F" w14:textId="77777777" w:rsidTr="00C21947">
        <w:tblPrEx>
          <w:tblW w:w="9576" w:type="dxa"/>
          <w:tblInd w:w="288" w:type="dxa"/>
          <w:shd w:val="clear" w:color="auto" w:fill="FFFFFF"/>
          <w:tblLayout w:type="fixed"/>
          <w:tblLook w:val="01E0"/>
        </w:tblPrEx>
        <w:trPr>
          <w:trHeight w:val="943"/>
        </w:trPr>
        <w:tc>
          <w:tcPr>
            <w:tcW w:w="1710" w:type="dxa"/>
            <w:shd w:val="clear" w:color="auto" w:fill="FFFFFF"/>
            <w:vAlign w:val="center"/>
          </w:tcPr>
          <w:p w:rsidR="00622A19" w:rsidP="00B77DBF" w14:paraId="5E12B58B" w14:textId="4AB01636">
            <w:pPr>
              <w:pStyle w:val="Style"/>
              <w:tabs>
                <w:tab w:val="left" w:pos="-1440"/>
              </w:tabs>
              <w:ind w:left="0" w:firstLine="0"/>
              <w:jc w:val="center"/>
              <w:rPr>
                <w:rFonts w:ascii="Arial" w:hAnsi="Arial"/>
                <w:b/>
                <w:bCs/>
                <w:sz w:val="20"/>
                <w:vertAlign w:val="superscript"/>
              </w:rPr>
            </w:pPr>
            <w:r w:rsidRPr="003B3EAF">
              <w:rPr>
                <w:rFonts w:ascii="Arial" w:hAnsi="Arial"/>
                <w:b/>
                <w:bCs/>
                <w:sz w:val="20"/>
              </w:rPr>
              <w:t xml:space="preserve">CBP </w:t>
            </w:r>
            <w:r w:rsidR="005455E2">
              <w:rPr>
                <w:rFonts w:ascii="Arial" w:hAnsi="Arial"/>
                <w:b/>
                <w:bCs/>
                <w:sz w:val="20"/>
              </w:rPr>
              <w:t>Link</w:t>
            </w:r>
            <w:r w:rsidRPr="003B3EAF">
              <w:rPr>
                <w:rFonts w:ascii="Arial" w:hAnsi="Arial"/>
                <w:b/>
                <w:bCs/>
                <w:sz w:val="20"/>
                <w:vertAlign w:val="superscript"/>
              </w:rPr>
              <w:t>TM</w:t>
            </w:r>
          </w:p>
          <w:p w:rsidR="00622A19" w:rsidRPr="003B3EAF" w:rsidP="00B77DBF" w14:paraId="75F1887B" w14:textId="36650F8F">
            <w:pPr>
              <w:pStyle w:val="Style"/>
              <w:tabs>
                <w:tab w:val="left" w:pos="-1440"/>
              </w:tabs>
              <w:ind w:left="0" w:firstLine="0"/>
              <w:jc w:val="center"/>
              <w:rPr>
                <w:rFonts w:ascii="Arial" w:hAnsi="Arial"/>
                <w:b/>
                <w:bCs/>
                <w:sz w:val="20"/>
              </w:rPr>
            </w:pPr>
            <w:r w:rsidRPr="003B3EAF">
              <w:rPr>
                <w:rFonts w:ascii="Arial" w:hAnsi="Arial"/>
                <w:b/>
                <w:bCs/>
                <w:sz w:val="20"/>
              </w:rPr>
              <w:t>App</w:t>
            </w:r>
          </w:p>
        </w:tc>
        <w:tc>
          <w:tcPr>
            <w:tcW w:w="1620" w:type="dxa"/>
            <w:shd w:val="clear" w:color="auto" w:fill="FFFFFF"/>
            <w:vAlign w:val="center"/>
          </w:tcPr>
          <w:p w:rsidR="00622A19" w:rsidRPr="008971FC" w:rsidP="00B77DBF" w14:paraId="4E0DD490" w14:textId="452821D8">
            <w:pPr>
              <w:pStyle w:val="Style"/>
              <w:tabs>
                <w:tab w:val="left" w:pos="-1440"/>
              </w:tabs>
              <w:ind w:left="0" w:firstLine="0"/>
              <w:jc w:val="center"/>
              <w:rPr>
                <w:rFonts w:ascii="Arial" w:hAnsi="Arial"/>
                <w:sz w:val="22"/>
                <w:szCs w:val="22"/>
              </w:rPr>
            </w:pPr>
            <w:r>
              <w:rPr>
                <w:rFonts w:ascii="Arial" w:hAnsi="Arial"/>
                <w:sz w:val="22"/>
                <w:szCs w:val="22"/>
              </w:rPr>
              <w:t>16,500</w:t>
            </w:r>
          </w:p>
        </w:tc>
        <w:tc>
          <w:tcPr>
            <w:tcW w:w="1800" w:type="dxa"/>
            <w:shd w:val="clear" w:color="auto" w:fill="FFFFFF"/>
            <w:vAlign w:val="center"/>
          </w:tcPr>
          <w:p w:rsidR="00622A19" w:rsidRPr="008971FC" w:rsidP="00B77DBF" w14:paraId="03A07826" w14:textId="3615DA27">
            <w:pPr>
              <w:pStyle w:val="Style"/>
              <w:tabs>
                <w:tab w:val="left" w:pos="-1440"/>
              </w:tabs>
              <w:ind w:left="0" w:firstLine="0"/>
              <w:jc w:val="center"/>
              <w:rPr>
                <w:rFonts w:ascii="Arial" w:hAnsi="Arial"/>
                <w:sz w:val="22"/>
                <w:szCs w:val="22"/>
              </w:rPr>
            </w:pPr>
            <w:r>
              <w:rPr>
                <w:rFonts w:ascii="Arial" w:hAnsi="Arial"/>
                <w:sz w:val="22"/>
                <w:szCs w:val="22"/>
              </w:rPr>
              <w:t>500,000</w:t>
            </w:r>
          </w:p>
        </w:tc>
        <w:tc>
          <w:tcPr>
            <w:tcW w:w="1440" w:type="dxa"/>
            <w:shd w:val="clear" w:color="auto" w:fill="FFFFFF"/>
            <w:vAlign w:val="center"/>
          </w:tcPr>
          <w:p w:rsidR="00622A19" w:rsidRPr="008971FC" w:rsidP="00B77DBF" w14:paraId="3E2E097F" w14:textId="4E37043B">
            <w:pPr>
              <w:pStyle w:val="Style"/>
              <w:tabs>
                <w:tab w:val="left" w:pos="-1440"/>
              </w:tabs>
              <w:ind w:left="0" w:firstLine="0"/>
              <w:jc w:val="center"/>
              <w:rPr>
                <w:rFonts w:ascii="Arial" w:hAnsi="Arial"/>
                <w:sz w:val="22"/>
                <w:szCs w:val="22"/>
              </w:rPr>
            </w:pPr>
            <w:r>
              <w:rPr>
                <w:rFonts w:ascii="Arial" w:hAnsi="Arial"/>
                <w:sz w:val="22"/>
                <w:szCs w:val="22"/>
              </w:rPr>
              <w:t>1</w:t>
            </w:r>
          </w:p>
        </w:tc>
        <w:tc>
          <w:tcPr>
            <w:tcW w:w="1507" w:type="dxa"/>
            <w:shd w:val="clear" w:color="auto" w:fill="FFFFFF"/>
            <w:vAlign w:val="center"/>
          </w:tcPr>
          <w:p w:rsidR="00622A19" w:rsidRPr="008971FC" w:rsidP="00B77DBF" w14:paraId="072F0FC0" w14:textId="4251F10E">
            <w:pPr>
              <w:pStyle w:val="Style"/>
              <w:tabs>
                <w:tab w:val="left" w:pos="-1440"/>
              </w:tabs>
              <w:ind w:left="0" w:firstLine="0"/>
              <w:jc w:val="center"/>
              <w:rPr>
                <w:rFonts w:ascii="Arial" w:hAnsi="Arial"/>
                <w:sz w:val="22"/>
                <w:szCs w:val="22"/>
              </w:rPr>
            </w:pPr>
            <w:r>
              <w:rPr>
                <w:rFonts w:ascii="Arial" w:hAnsi="Arial"/>
                <w:sz w:val="22"/>
                <w:szCs w:val="22"/>
              </w:rPr>
              <w:t>500,000</w:t>
            </w:r>
          </w:p>
        </w:tc>
        <w:tc>
          <w:tcPr>
            <w:tcW w:w="1499" w:type="dxa"/>
            <w:shd w:val="clear" w:color="auto" w:fill="FFFFFF"/>
            <w:vAlign w:val="center"/>
          </w:tcPr>
          <w:p w:rsidR="00622A19" w:rsidRPr="008971FC" w:rsidP="00B77DBF" w14:paraId="2596CF0B" w14:textId="77777777">
            <w:pPr>
              <w:pStyle w:val="Style"/>
              <w:tabs>
                <w:tab w:val="left" w:pos="-1440"/>
              </w:tabs>
              <w:ind w:left="0" w:firstLine="0"/>
              <w:jc w:val="center"/>
              <w:rPr>
                <w:rFonts w:ascii="Arial" w:hAnsi="Arial"/>
                <w:sz w:val="22"/>
                <w:szCs w:val="22"/>
              </w:rPr>
            </w:pPr>
          </w:p>
          <w:p w:rsidR="00622A19" w:rsidRPr="008971FC" w:rsidP="00B77DBF" w14:paraId="2591A473" w14:textId="77777777">
            <w:pPr>
              <w:pStyle w:val="Style"/>
              <w:tabs>
                <w:tab w:val="left" w:pos="-1440"/>
              </w:tabs>
              <w:ind w:left="0" w:firstLine="0"/>
              <w:jc w:val="center"/>
              <w:rPr>
                <w:rFonts w:ascii="Arial" w:hAnsi="Arial"/>
                <w:sz w:val="22"/>
                <w:szCs w:val="22"/>
              </w:rPr>
            </w:pPr>
            <w:r w:rsidRPr="008971FC">
              <w:rPr>
                <w:rFonts w:ascii="Arial" w:hAnsi="Arial"/>
                <w:sz w:val="22"/>
                <w:szCs w:val="22"/>
              </w:rPr>
              <w:t>2 minutes</w:t>
            </w:r>
          </w:p>
          <w:p w:rsidR="00622A19" w:rsidRPr="00FC1C30" w:rsidP="00B77DBF" w14:paraId="337BFE96" w14:textId="5F5EA63E">
            <w:pPr>
              <w:pStyle w:val="Style"/>
              <w:tabs>
                <w:tab w:val="left" w:pos="-1440"/>
              </w:tabs>
              <w:ind w:left="0" w:firstLine="0"/>
              <w:jc w:val="center"/>
              <w:rPr>
                <w:rFonts w:ascii="Arial" w:hAnsi="Arial"/>
                <w:sz w:val="22"/>
                <w:szCs w:val="22"/>
              </w:rPr>
            </w:pPr>
            <w:r w:rsidRPr="008971FC">
              <w:rPr>
                <w:rFonts w:ascii="Arial" w:hAnsi="Arial"/>
                <w:sz w:val="22"/>
                <w:szCs w:val="22"/>
              </w:rPr>
              <w:t>(.033 hours)</w:t>
            </w:r>
          </w:p>
        </w:tc>
      </w:tr>
      <w:tr w14:paraId="2027DE08" w14:textId="77777777" w:rsidTr="00C21947">
        <w:tblPrEx>
          <w:tblW w:w="9576" w:type="dxa"/>
          <w:tblInd w:w="288" w:type="dxa"/>
          <w:shd w:val="clear" w:color="auto" w:fill="FFFFFF"/>
          <w:tblLayout w:type="fixed"/>
          <w:tblLook w:val="04A0"/>
        </w:tblPrEx>
        <w:tc>
          <w:tcPr>
            <w:tcW w:w="1710" w:type="dxa"/>
            <w:shd w:val="clear" w:color="auto" w:fill="FFFFFF"/>
          </w:tcPr>
          <w:p w:rsidR="00AC0FB0" w:rsidRPr="008971FC" w:rsidP="00E73C30" w14:paraId="7328329D" w14:textId="77777777">
            <w:pPr>
              <w:pStyle w:val="Style"/>
              <w:tabs>
                <w:tab w:val="left" w:pos="-1440"/>
              </w:tabs>
              <w:ind w:left="0" w:firstLine="0"/>
              <w:jc w:val="center"/>
              <w:rPr>
                <w:rFonts w:ascii="Arial" w:hAnsi="Arial"/>
                <w:sz w:val="20"/>
              </w:rPr>
            </w:pPr>
          </w:p>
          <w:p w:rsidR="00AC0FB0" w:rsidRPr="008971FC" w:rsidP="00E73C30" w14:paraId="682AAF70" w14:textId="77777777">
            <w:pPr>
              <w:pStyle w:val="Style"/>
              <w:tabs>
                <w:tab w:val="left" w:pos="-1440"/>
              </w:tabs>
              <w:ind w:left="0" w:firstLine="0"/>
              <w:jc w:val="center"/>
              <w:rPr>
                <w:rFonts w:ascii="Arial" w:hAnsi="Arial"/>
                <w:b/>
                <w:sz w:val="20"/>
              </w:rPr>
            </w:pPr>
            <w:r w:rsidRPr="008971FC">
              <w:rPr>
                <w:rFonts w:ascii="Arial" w:hAnsi="Arial"/>
                <w:b/>
                <w:sz w:val="20"/>
              </w:rPr>
              <w:t>Total</w:t>
            </w:r>
          </w:p>
          <w:p w:rsidR="00AC0FB0" w:rsidRPr="008971FC" w:rsidP="00E73C30" w14:paraId="48994603" w14:textId="77777777">
            <w:pPr>
              <w:pStyle w:val="Style"/>
              <w:tabs>
                <w:tab w:val="left" w:pos="-1440"/>
              </w:tabs>
              <w:ind w:left="0" w:firstLine="0"/>
              <w:jc w:val="center"/>
              <w:rPr>
                <w:rFonts w:ascii="Arial" w:hAnsi="Arial"/>
                <w:b/>
                <w:sz w:val="22"/>
                <w:szCs w:val="22"/>
              </w:rPr>
            </w:pPr>
          </w:p>
        </w:tc>
        <w:tc>
          <w:tcPr>
            <w:tcW w:w="1620" w:type="dxa"/>
            <w:shd w:val="clear" w:color="auto" w:fill="FFFFFF"/>
          </w:tcPr>
          <w:p w:rsidR="00AC0FB0" w:rsidRPr="008971FC" w:rsidP="00E73C30" w14:paraId="3B1FB144" w14:textId="77777777">
            <w:pPr>
              <w:pStyle w:val="Style"/>
              <w:tabs>
                <w:tab w:val="left" w:pos="-1440"/>
              </w:tabs>
              <w:ind w:left="0" w:firstLine="0"/>
              <w:jc w:val="center"/>
              <w:rPr>
                <w:rFonts w:ascii="Arial" w:hAnsi="Arial"/>
                <w:sz w:val="22"/>
                <w:szCs w:val="22"/>
              </w:rPr>
            </w:pPr>
          </w:p>
          <w:p w:rsidR="00AC0FB0" w:rsidP="0099095D" w14:paraId="15F226F0" w14:textId="1D9D1A8E">
            <w:pPr>
              <w:pStyle w:val="Style"/>
              <w:tabs>
                <w:tab w:val="left" w:pos="-1440"/>
              </w:tabs>
              <w:ind w:left="0" w:firstLine="0"/>
              <w:jc w:val="center"/>
              <w:rPr>
                <w:rFonts w:ascii="Arial" w:hAnsi="Arial"/>
                <w:sz w:val="22"/>
                <w:szCs w:val="22"/>
              </w:rPr>
            </w:pPr>
            <w:r>
              <w:rPr>
                <w:rFonts w:ascii="Arial" w:hAnsi="Arial"/>
                <w:sz w:val="22"/>
                <w:szCs w:val="22"/>
              </w:rPr>
              <w:t xml:space="preserve"> </w:t>
            </w:r>
          </w:p>
          <w:p w:rsidR="005455E2" w:rsidRPr="008971FC" w:rsidP="0099095D" w14:paraId="49E03ED1" w14:textId="49EC1D93">
            <w:pPr>
              <w:pStyle w:val="Style"/>
              <w:tabs>
                <w:tab w:val="left" w:pos="-1440"/>
              </w:tabs>
              <w:ind w:left="0" w:firstLine="0"/>
              <w:jc w:val="center"/>
              <w:rPr>
                <w:rFonts w:ascii="Arial" w:hAnsi="Arial"/>
                <w:sz w:val="22"/>
                <w:szCs w:val="22"/>
              </w:rPr>
            </w:pPr>
            <w:r>
              <w:rPr>
                <w:rFonts w:ascii="Arial" w:hAnsi="Arial"/>
                <w:sz w:val="22"/>
                <w:szCs w:val="22"/>
              </w:rPr>
              <w:t>3,046,644</w:t>
            </w:r>
          </w:p>
        </w:tc>
        <w:tc>
          <w:tcPr>
            <w:tcW w:w="1800" w:type="dxa"/>
            <w:shd w:val="clear" w:color="auto" w:fill="FFFFFF"/>
          </w:tcPr>
          <w:p w:rsidR="00AC0FB0" w:rsidRPr="008971FC" w:rsidP="00E73C30" w14:paraId="3AD6ABD9" w14:textId="77777777">
            <w:pPr>
              <w:pStyle w:val="Style"/>
              <w:tabs>
                <w:tab w:val="left" w:pos="-1440"/>
              </w:tabs>
              <w:ind w:left="0" w:firstLine="0"/>
              <w:jc w:val="center"/>
              <w:rPr>
                <w:rFonts w:ascii="Arial" w:hAnsi="Arial"/>
                <w:sz w:val="22"/>
                <w:szCs w:val="22"/>
              </w:rPr>
            </w:pPr>
          </w:p>
          <w:p w:rsidR="00AC0FB0" w:rsidRPr="008971FC" w:rsidP="00E73C30" w14:paraId="588B6817" w14:textId="27316E16">
            <w:pPr>
              <w:pStyle w:val="Style"/>
              <w:tabs>
                <w:tab w:val="left" w:pos="-1440"/>
              </w:tabs>
              <w:ind w:left="0" w:firstLine="0"/>
              <w:jc w:val="center"/>
              <w:rPr>
                <w:rFonts w:ascii="Arial" w:hAnsi="Arial"/>
                <w:sz w:val="22"/>
                <w:szCs w:val="22"/>
              </w:rPr>
            </w:pPr>
            <w:r>
              <w:rPr>
                <w:rFonts w:ascii="Arial" w:hAnsi="Arial"/>
                <w:sz w:val="22"/>
                <w:szCs w:val="22"/>
              </w:rPr>
              <w:t xml:space="preserve"> </w:t>
            </w:r>
            <w:r w:rsidR="005455E2">
              <w:rPr>
                <w:rFonts w:ascii="Arial" w:hAnsi="Arial"/>
                <w:sz w:val="22"/>
                <w:szCs w:val="22"/>
              </w:rPr>
              <w:t>469,041,295</w:t>
            </w:r>
          </w:p>
        </w:tc>
        <w:tc>
          <w:tcPr>
            <w:tcW w:w="1440" w:type="dxa"/>
            <w:shd w:val="clear" w:color="auto" w:fill="FFFFFF"/>
          </w:tcPr>
          <w:p w:rsidR="00AC0FB0" w:rsidRPr="008971FC" w:rsidP="00E73C30" w14:paraId="77252666" w14:textId="77777777">
            <w:pPr>
              <w:pStyle w:val="Style"/>
              <w:tabs>
                <w:tab w:val="left" w:pos="-1440"/>
              </w:tabs>
              <w:ind w:left="0" w:firstLine="0"/>
              <w:jc w:val="center"/>
              <w:rPr>
                <w:rFonts w:ascii="Arial" w:hAnsi="Arial"/>
                <w:sz w:val="22"/>
                <w:szCs w:val="22"/>
              </w:rPr>
            </w:pPr>
          </w:p>
          <w:p w:rsidR="00AC0FB0" w:rsidRPr="008971FC" w:rsidP="00E73C30" w14:paraId="673F1468" w14:textId="77777777">
            <w:pPr>
              <w:pStyle w:val="Style"/>
              <w:tabs>
                <w:tab w:val="left" w:pos="-1440"/>
              </w:tabs>
              <w:ind w:left="0" w:firstLine="0"/>
              <w:jc w:val="center"/>
              <w:rPr>
                <w:rFonts w:ascii="Arial" w:hAnsi="Arial"/>
                <w:sz w:val="22"/>
                <w:szCs w:val="22"/>
              </w:rPr>
            </w:pPr>
            <w:r w:rsidRPr="008971FC">
              <w:rPr>
                <w:rFonts w:ascii="Arial" w:hAnsi="Arial"/>
                <w:sz w:val="22"/>
                <w:szCs w:val="22"/>
              </w:rPr>
              <w:t>1</w:t>
            </w:r>
          </w:p>
        </w:tc>
        <w:tc>
          <w:tcPr>
            <w:tcW w:w="1507" w:type="dxa"/>
            <w:shd w:val="clear" w:color="auto" w:fill="FFFFFF"/>
          </w:tcPr>
          <w:p w:rsidR="00AC0FB0" w:rsidRPr="008971FC" w:rsidP="00E73C30" w14:paraId="79FED5A2" w14:textId="77777777">
            <w:pPr>
              <w:pStyle w:val="Style"/>
              <w:tabs>
                <w:tab w:val="left" w:pos="-1440"/>
              </w:tabs>
              <w:ind w:left="0" w:firstLine="0"/>
              <w:jc w:val="center"/>
              <w:rPr>
                <w:rFonts w:ascii="Arial" w:hAnsi="Arial"/>
                <w:sz w:val="22"/>
                <w:szCs w:val="22"/>
              </w:rPr>
            </w:pPr>
          </w:p>
          <w:p w:rsidR="00AC0FB0" w:rsidRPr="008971FC" w:rsidP="00E73C30" w14:paraId="4056B1B8" w14:textId="282F32DA">
            <w:pPr>
              <w:pStyle w:val="Style"/>
              <w:tabs>
                <w:tab w:val="left" w:pos="-1440"/>
              </w:tabs>
              <w:ind w:left="0" w:firstLine="0"/>
              <w:jc w:val="center"/>
              <w:rPr>
                <w:rFonts w:ascii="Arial" w:hAnsi="Arial"/>
                <w:sz w:val="22"/>
                <w:szCs w:val="22"/>
              </w:rPr>
            </w:pPr>
            <w:r>
              <w:rPr>
                <w:rFonts w:ascii="Arial" w:hAnsi="Arial"/>
                <w:sz w:val="22"/>
                <w:szCs w:val="22"/>
              </w:rPr>
              <w:t>469,041,295</w:t>
            </w:r>
          </w:p>
        </w:tc>
        <w:tc>
          <w:tcPr>
            <w:tcW w:w="1499" w:type="dxa"/>
            <w:shd w:val="clear" w:color="auto" w:fill="FFFFFF"/>
          </w:tcPr>
          <w:p w:rsidR="00AC0FB0" w:rsidRPr="00FC1C30" w:rsidP="00E73C30" w14:paraId="58ECC213" w14:textId="77777777">
            <w:pPr>
              <w:pStyle w:val="Style"/>
              <w:tabs>
                <w:tab w:val="left" w:pos="-1440"/>
              </w:tabs>
              <w:ind w:left="0" w:firstLine="0"/>
              <w:jc w:val="center"/>
              <w:rPr>
                <w:rFonts w:ascii="Arial" w:hAnsi="Arial"/>
                <w:sz w:val="22"/>
                <w:szCs w:val="22"/>
              </w:rPr>
            </w:pPr>
          </w:p>
          <w:p w:rsidR="00AC0FB0" w:rsidRPr="00FC1C30" w:rsidP="00E73C30" w14:paraId="0DDE31C4" w14:textId="77777777">
            <w:pPr>
              <w:pStyle w:val="Style"/>
              <w:tabs>
                <w:tab w:val="left" w:pos="-1440"/>
              </w:tabs>
              <w:ind w:left="0" w:firstLine="0"/>
              <w:jc w:val="center"/>
              <w:rPr>
                <w:rFonts w:ascii="Arial" w:hAnsi="Arial"/>
                <w:sz w:val="22"/>
                <w:szCs w:val="22"/>
              </w:rPr>
            </w:pPr>
          </w:p>
        </w:tc>
      </w:tr>
    </w:tbl>
    <w:p w:rsidR="00917E22" w:rsidP="00BE4878" w14:paraId="347DAABB" w14:textId="77777777">
      <w:pPr>
        <w:tabs>
          <w:tab w:val="left" w:pos="-1440"/>
        </w:tabs>
        <w:ind w:left="720" w:hanging="720"/>
        <w:jc w:val="both"/>
        <w:rPr>
          <w:rFonts w:ascii="Arial" w:hAnsi="Arial"/>
          <w:szCs w:val="24"/>
        </w:rPr>
      </w:pPr>
      <w:r>
        <w:rPr>
          <w:rFonts w:ascii="Arial" w:hAnsi="Arial"/>
          <w:szCs w:val="24"/>
        </w:rPr>
        <w:tab/>
      </w:r>
    </w:p>
    <w:p w:rsidR="00AC0FB0" w:rsidP="00C9189E" w14:paraId="540B88E5" w14:textId="77777777">
      <w:pPr>
        <w:tabs>
          <w:tab w:val="left" w:pos="-1440"/>
        </w:tabs>
        <w:ind w:left="180" w:hanging="720"/>
        <w:jc w:val="both"/>
        <w:rPr>
          <w:rFonts w:ascii="Arial" w:hAnsi="Arial"/>
          <w:szCs w:val="24"/>
        </w:rPr>
      </w:pPr>
      <w:r>
        <w:rPr>
          <w:rFonts w:ascii="Arial" w:hAnsi="Arial"/>
          <w:szCs w:val="24"/>
        </w:rPr>
        <w:t xml:space="preserve"> </w:t>
      </w:r>
      <w:r>
        <w:rPr>
          <w:rFonts w:ascii="Arial" w:hAnsi="Arial"/>
          <w:szCs w:val="24"/>
        </w:rPr>
        <w:tab/>
        <w:t xml:space="preserve"> </w:t>
      </w:r>
    </w:p>
    <w:p w:rsidR="00DB55F5" w:rsidP="00BE4878" w14:paraId="66978182" w14:textId="77777777">
      <w:pPr>
        <w:tabs>
          <w:tab w:val="left" w:pos="-1440"/>
        </w:tabs>
        <w:ind w:left="720" w:hanging="720"/>
        <w:jc w:val="both"/>
        <w:rPr>
          <w:rFonts w:ascii="Arial" w:hAnsi="Arial"/>
          <w:b/>
          <w:bCs/>
          <w:szCs w:val="24"/>
        </w:rPr>
      </w:pPr>
      <w:r>
        <w:rPr>
          <w:rFonts w:ascii="Arial" w:hAnsi="Arial"/>
          <w:b/>
          <w:bCs/>
          <w:szCs w:val="24"/>
        </w:rPr>
        <w:tab/>
      </w:r>
    </w:p>
    <w:p w:rsidR="00DB55F5" w:rsidP="00BE4878" w14:paraId="69557F92" w14:textId="77777777">
      <w:pPr>
        <w:tabs>
          <w:tab w:val="left" w:pos="-1440"/>
        </w:tabs>
        <w:ind w:left="720" w:hanging="720"/>
        <w:jc w:val="both"/>
        <w:rPr>
          <w:rFonts w:ascii="Arial" w:hAnsi="Arial"/>
          <w:b/>
          <w:bCs/>
          <w:szCs w:val="24"/>
        </w:rPr>
      </w:pPr>
    </w:p>
    <w:p w:rsidR="00917E22" w:rsidP="00DB55F5" w14:paraId="598FA589" w14:textId="5D5036DC">
      <w:pPr>
        <w:tabs>
          <w:tab w:val="left" w:pos="-1440"/>
        </w:tabs>
        <w:ind w:left="1440" w:hanging="720"/>
        <w:jc w:val="both"/>
        <w:rPr>
          <w:rFonts w:ascii="Arial" w:hAnsi="Arial"/>
          <w:b/>
          <w:bCs/>
          <w:szCs w:val="24"/>
        </w:rPr>
      </w:pPr>
      <w:r>
        <w:rPr>
          <w:rFonts w:ascii="Arial" w:hAnsi="Arial"/>
          <w:b/>
          <w:bCs/>
          <w:szCs w:val="24"/>
        </w:rPr>
        <w:t>Public Cost</w:t>
      </w:r>
    </w:p>
    <w:p w:rsidR="00DB55F5" w:rsidP="00DB55F5" w14:paraId="795D1105" w14:textId="77777777">
      <w:pPr>
        <w:tabs>
          <w:tab w:val="left" w:pos="-1080"/>
          <w:tab w:val="left" w:pos="-720"/>
          <w:tab w:val="left" w:pos="0"/>
          <w:tab w:val="left" w:pos="720"/>
          <w:tab w:val="left" w:pos="1080"/>
        </w:tabs>
        <w:ind w:left="720"/>
        <w:jc w:val="both"/>
        <w:rPr>
          <w:rFonts w:ascii="Arial" w:hAnsi="Arial"/>
          <w:b/>
          <w:bCs/>
          <w:szCs w:val="24"/>
        </w:rPr>
      </w:pPr>
    </w:p>
    <w:p w:rsidR="00F700A4" w:rsidP="00F700A4" w14:paraId="42C43F8D" w14:textId="44A8FE42">
      <w:pPr>
        <w:tabs>
          <w:tab w:val="left" w:pos="-1080"/>
          <w:tab w:val="left" w:pos="-720"/>
          <w:tab w:val="left" w:pos="0"/>
          <w:tab w:val="left" w:pos="720"/>
          <w:tab w:val="left" w:pos="1080"/>
        </w:tabs>
        <w:ind w:left="720"/>
        <w:jc w:val="both"/>
        <w:rPr>
          <w:rFonts w:ascii="Arial" w:hAnsi="Arial"/>
          <w:bCs/>
        </w:rPr>
      </w:pPr>
      <w:r>
        <w:rPr>
          <w:rFonts w:ascii="Arial" w:hAnsi="Arial"/>
          <w:bCs/>
        </w:rPr>
        <w:t xml:space="preserve">The total estimated cost to the respondents is </w:t>
      </w:r>
      <w:r w:rsidR="009325C6">
        <w:rPr>
          <w:rFonts w:ascii="Arial" w:hAnsi="Arial"/>
          <w:bCs/>
        </w:rPr>
        <w:t>$62,367,201</w:t>
      </w:r>
      <w:r w:rsidRPr="00DB55F5">
        <w:rPr>
          <w:rFonts w:ascii="Arial" w:hAnsi="Arial"/>
          <w:bCs/>
        </w:rPr>
        <w:t>. This is based on the combined estimated costs for air and sea travelers filing Form 6059B, or electronic equivalent ($</w:t>
      </w:r>
      <w:r w:rsidR="004E793B">
        <w:rPr>
          <w:rFonts w:ascii="Arial" w:hAnsi="Arial"/>
          <w:bCs/>
        </w:rPr>
        <w:t>24,583,000</w:t>
      </w:r>
      <w:r w:rsidRPr="00DB55F5">
        <w:rPr>
          <w:rFonts w:ascii="Arial" w:hAnsi="Arial"/>
          <w:bCs/>
        </w:rPr>
        <w:t>), plus the estimated costs for land travelers making verbal declarations ($</w:t>
      </w:r>
      <w:r w:rsidR="004E793B">
        <w:rPr>
          <w:rFonts w:ascii="Arial" w:hAnsi="Arial"/>
          <w:bCs/>
        </w:rPr>
        <w:t>37,</w:t>
      </w:r>
      <w:r w:rsidR="003B6E50">
        <w:rPr>
          <w:rFonts w:ascii="Arial" w:hAnsi="Arial"/>
          <w:bCs/>
        </w:rPr>
        <w:t>784,201</w:t>
      </w:r>
      <w:r w:rsidRPr="00DB55F5">
        <w:rPr>
          <w:rFonts w:ascii="Arial" w:hAnsi="Arial"/>
          <w:bCs/>
        </w:rPr>
        <w:t xml:space="preserve">) = </w:t>
      </w:r>
      <w:r w:rsidR="001B1C69">
        <w:rPr>
          <w:rFonts w:ascii="Arial" w:hAnsi="Arial"/>
          <w:bCs/>
        </w:rPr>
        <w:t>$</w:t>
      </w:r>
      <w:r w:rsidR="009325C6">
        <w:rPr>
          <w:rFonts w:ascii="Arial" w:hAnsi="Arial"/>
          <w:bCs/>
        </w:rPr>
        <w:t>62,367,201</w:t>
      </w:r>
    </w:p>
    <w:p w:rsidR="00F700A4" w:rsidP="00F700A4" w14:paraId="6ADCFDEA" w14:textId="3B05F4BE">
      <w:pPr>
        <w:tabs>
          <w:tab w:val="left" w:pos="-1080"/>
          <w:tab w:val="left" w:pos="-720"/>
          <w:tab w:val="left" w:pos="0"/>
          <w:tab w:val="left" w:pos="720"/>
          <w:tab w:val="left" w:pos="1080"/>
        </w:tabs>
        <w:ind w:left="720"/>
        <w:jc w:val="both"/>
        <w:rPr>
          <w:rFonts w:ascii="Arial" w:hAnsi="Arial"/>
          <w:bCs/>
        </w:rPr>
      </w:pPr>
    </w:p>
    <w:p w:rsidR="00F700A4" w:rsidRPr="00F700A4" w:rsidP="00F700A4" w14:paraId="6E8AE4E1" w14:textId="5A5C8B34">
      <w:pPr>
        <w:tabs>
          <w:tab w:val="left" w:pos="-1080"/>
          <w:tab w:val="left" w:pos="-720"/>
          <w:tab w:val="left" w:pos="0"/>
          <w:tab w:val="left" w:pos="720"/>
          <w:tab w:val="left" w:pos="1080"/>
        </w:tabs>
        <w:ind w:left="720"/>
        <w:jc w:val="both"/>
        <w:rPr>
          <w:rFonts w:ascii="Arial" w:hAnsi="Arial"/>
          <w:bCs/>
        </w:rPr>
      </w:pPr>
    </w:p>
    <w:p w:rsidR="00545E76" w:rsidRPr="00545E76" w:rsidP="00545E76" w14:paraId="6C8A3FE5" w14:textId="010E3677">
      <w:pPr>
        <w:tabs>
          <w:tab w:val="left" w:pos="-1440"/>
        </w:tabs>
        <w:ind w:left="720"/>
        <w:jc w:val="both"/>
        <w:rPr>
          <w:rFonts w:ascii="Arial" w:hAnsi="Arial"/>
          <w:szCs w:val="24"/>
        </w:rPr>
      </w:pPr>
      <w:r w:rsidRPr="00545E76">
        <w:rPr>
          <w:rFonts w:ascii="Arial" w:hAnsi="Arial"/>
          <w:szCs w:val="24"/>
        </w:rPr>
        <w:t>The estimated cost to the respondents is $</w:t>
      </w:r>
      <w:r w:rsidR="00930D7F">
        <w:rPr>
          <w:rFonts w:ascii="Arial" w:hAnsi="Arial"/>
          <w:szCs w:val="24"/>
        </w:rPr>
        <w:t>2</w:t>
      </w:r>
      <w:r w:rsidR="00CE4CF7">
        <w:rPr>
          <w:rFonts w:ascii="Arial" w:hAnsi="Arial"/>
          <w:szCs w:val="24"/>
        </w:rPr>
        <w:t>4,583,000</w:t>
      </w:r>
      <w:r w:rsidRPr="00545E76">
        <w:rPr>
          <w:rFonts w:ascii="Arial" w:hAnsi="Arial"/>
          <w:szCs w:val="24"/>
        </w:rPr>
        <w:t>.  This is based on the estimated burden hours (</w:t>
      </w:r>
      <w:r w:rsidR="00C2385F">
        <w:rPr>
          <w:rFonts w:ascii="Arial" w:hAnsi="Arial"/>
          <w:szCs w:val="24"/>
        </w:rPr>
        <w:t>363,2</w:t>
      </w:r>
      <w:r w:rsidR="000D4895">
        <w:rPr>
          <w:rFonts w:ascii="Arial" w:hAnsi="Arial"/>
          <w:szCs w:val="24"/>
        </w:rPr>
        <w:t>24</w:t>
      </w:r>
      <w:r w:rsidRPr="00545E76">
        <w:rPr>
          <w:rFonts w:ascii="Arial" w:hAnsi="Arial"/>
          <w:szCs w:val="24"/>
        </w:rPr>
        <w:t>) multiplied by the average hourly wage rate for all-purpose sea travelers ($67.68).  CBP updated the U.S. Department of Transportation’s (DOT) recommended hourly values of travel time savings for intercity, all-purpose travel by sea modes by following DOT methodology.</w:t>
      </w:r>
      <w:r>
        <w:rPr>
          <w:rFonts w:ascii="Arial" w:hAnsi="Arial"/>
          <w:szCs w:val="24"/>
          <w:vertAlign w:val="superscript"/>
        </w:rPr>
        <w:footnoteReference w:id="3"/>
      </w:r>
      <w:r w:rsidRPr="00545E76">
        <w:rPr>
          <w:rFonts w:ascii="Arial" w:hAnsi="Arial"/>
          <w:szCs w:val="24"/>
        </w:rPr>
        <w:t xml:space="preserve"> CBP used a growth rate of 5.08% based on the percent change in the implicit price deflator from </w:t>
      </w:r>
      <w:r w:rsidRPr="00545E76">
        <w:rPr>
          <w:rFonts w:ascii="Arial" w:hAnsi="Arial"/>
          <w:szCs w:val="24"/>
        </w:rPr>
        <w:t>2022 to 2025, published by the Bureau of Economic Analysis.</w:t>
      </w:r>
      <w:r>
        <w:rPr>
          <w:rFonts w:ascii="Arial" w:hAnsi="Arial"/>
          <w:szCs w:val="24"/>
          <w:vertAlign w:val="superscript"/>
        </w:rPr>
        <w:footnoteReference w:id="4"/>
      </w:r>
      <w:r w:rsidRPr="00545E76">
        <w:rPr>
          <w:rFonts w:ascii="Arial" w:hAnsi="Arial"/>
          <w:szCs w:val="24"/>
        </w:rPr>
        <w:t xml:space="preserve"> </w:t>
      </w:r>
    </w:p>
    <w:p w:rsidR="007C29C5" w:rsidP="00F700A4" w14:paraId="1B63CB10" w14:textId="77777777">
      <w:pPr>
        <w:tabs>
          <w:tab w:val="left" w:pos="-1440"/>
        </w:tabs>
        <w:ind w:left="720"/>
        <w:jc w:val="both"/>
        <w:rPr>
          <w:rFonts w:ascii="Arial" w:hAnsi="Arial"/>
          <w:szCs w:val="24"/>
        </w:rPr>
      </w:pPr>
    </w:p>
    <w:p w:rsidR="007C29C5" w:rsidP="00F700A4" w14:paraId="6FF3758B" w14:textId="77777777">
      <w:pPr>
        <w:tabs>
          <w:tab w:val="left" w:pos="-1440"/>
        </w:tabs>
        <w:ind w:left="720"/>
        <w:jc w:val="both"/>
        <w:rPr>
          <w:rFonts w:ascii="Arial" w:hAnsi="Arial"/>
          <w:szCs w:val="24"/>
        </w:rPr>
      </w:pPr>
    </w:p>
    <w:p w:rsidR="00F700A4" w:rsidRPr="00F700A4" w:rsidP="00F700A4" w14:paraId="1ACFA3C8" w14:textId="116CF279">
      <w:pPr>
        <w:tabs>
          <w:tab w:val="left" w:pos="-1440"/>
        </w:tabs>
        <w:ind w:left="720"/>
        <w:jc w:val="both"/>
        <w:rPr>
          <w:rFonts w:ascii="Arial" w:hAnsi="Arial"/>
          <w:szCs w:val="24"/>
          <w:vertAlign w:val="superscript"/>
        </w:rPr>
      </w:pPr>
    </w:p>
    <w:p w:rsidR="00D074F5" w:rsidP="00F700A4" w14:paraId="66D77F5A" w14:textId="617B6CFE">
      <w:pPr>
        <w:tabs>
          <w:tab w:val="left" w:pos="-1440"/>
        </w:tabs>
        <w:jc w:val="both"/>
        <w:rPr>
          <w:rFonts w:ascii="Arial" w:hAnsi="Arial"/>
          <w:szCs w:val="24"/>
        </w:rPr>
      </w:pPr>
    </w:p>
    <w:p w:rsidR="00F700A4" w:rsidRPr="00D074F5" w:rsidP="00F700A4" w14:paraId="571143C8" w14:textId="77777777">
      <w:pPr>
        <w:tabs>
          <w:tab w:val="left" w:pos="-1440"/>
        </w:tabs>
        <w:jc w:val="both"/>
        <w:rPr>
          <w:rFonts w:ascii="Arial" w:hAnsi="Arial"/>
          <w:szCs w:val="24"/>
        </w:rPr>
      </w:pPr>
    </w:p>
    <w:p w:rsidR="00E7070B" w:rsidRPr="00E7070B" w:rsidP="00E7070B" w14:paraId="7009440F" w14:textId="16E09D2D">
      <w:pPr>
        <w:tabs>
          <w:tab w:val="left" w:pos="-1440"/>
        </w:tabs>
        <w:ind w:left="720"/>
        <w:jc w:val="both"/>
        <w:rPr>
          <w:rFonts w:ascii="Arial" w:hAnsi="Arial"/>
          <w:szCs w:val="24"/>
          <w:vertAlign w:val="superscript"/>
        </w:rPr>
      </w:pPr>
      <w:bookmarkStart w:id="14" w:name="OLE_LINK20"/>
      <w:r w:rsidRPr="00E7070B">
        <w:rPr>
          <w:rFonts w:ascii="Arial" w:hAnsi="Arial"/>
          <w:szCs w:val="24"/>
        </w:rPr>
        <w:t>The estimated cost to the respondents is $</w:t>
      </w:r>
      <w:r w:rsidR="0092226B">
        <w:rPr>
          <w:rFonts w:ascii="Arial" w:hAnsi="Arial"/>
          <w:szCs w:val="24"/>
        </w:rPr>
        <w:t>37,784,201</w:t>
      </w:r>
      <w:r w:rsidRPr="00E7070B">
        <w:rPr>
          <w:rFonts w:ascii="Arial" w:hAnsi="Arial"/>
          <w:szCs w:val="24"/>
        </w:rPr>
        <w:t>.  This is based on the estimated burden hours (</w:t>
      </w:r>
      <w:r w:rsidR="00F238F5">
        <w:rPr>
          <w:rFonts w:ascii="Arial" w:hAnsi="Arial"/>
          <w:szCs w:val="24"/>
        </w:rPr>
        <w:t>1,261,576</w:t>
      </w:r>
      <w:r w:rsidRPr="00E7070B">
        <w:rPr>
          <w:rFonts w:ascii="Arial" w:hAnsi="Arial"/>
          <w:szCs w:val="24"/>
        </w:rPr>
        <w:t xml:space="preserve">) multiplied by the average hourly wage rate for all-purpose car travelers ($29.95).  </w:t>
      </w:r>
      <w:bookmarkStart w:id="15" w:name="OLE_LINK65"/>
      <w:r w:rsidRPr="00E7070B">
        <w:rPr>
          <w:rFonts w:ascii="Arial" w:hAnsi="Arial"/>
          <w:szCs w:val="24"/>
        </w:rPr>
        <w:t>CBP updated the U.S. Department of Transportation’s (DOT) recommended hourly values of travel time savings for intercity, all-purpose travel by surface modes by following DOT methodology.</w:t>
      </w:r>
      <w:r>
        <w:rPr>
          <w:rFonts w:ascii="Arial" w:hAnsi="Arial"/>
          <w:szCs w:val="24"/>
          <w:vertAlign w:val="superscript"/>
        </w:rPr>
        <w:footnoteReference w:id="5"/>
      </w:r>
      <w:bookmarkStart w:id="20" w:name="OLE_LINK59"/>
      <w:r w:rsidRPr="00E7070B">
        <w:rPr>
          <w:rFonts w:ascii="Arial" w:hAnsi="Arial"/>
          <w:szCs w:val="24"/>
        </w:rPr>
        <w:t xml:space="preserve"> CBP used a growth rate of 5.08% based on the percent change in the implicit price deflator from 2023 to 2025, published by the Bureau of Economic Analysis.</w:t>
      </w:r>
      <w:bookmarkEnd w:id="20"/>
      <w:r>
        <w:rPr>
          <w:rFonts w:ascii="Arial" w:hAnsi="Arial"/>
          <w:szCs w:val="24"/>
          <w:vertAlign w:val="superscript"/>
        </w:rPr>
        <w:footnoteReference w:id="6"/>
      </w:r>
      <w:bookmarkEnd w:id="14"/>
      <w:bookmarkEnd w:id="15"/>
    </w:p>
    <w:p w:rsidR="007C29C5" w:rsidRPr="007C29C5" w:rsidP="007C29C5" w14:paraId="2299E5C8" w14:textId="77777777">
      <w:pPr>
        <w:tabs>
          <w:tab w:val="left" w:pos="-1440"/>
        </w:tabs>
        <w:ind w:left="720"/>
        <w:jc w:val="both"/>
        <w:rPr>
          <w:rFonts w:ascii="Arial" w:hAnsi="Arial"/>
          <w:bCs/>
          <w:szCs w:val="24"/>
          <w:vertAlign w:val="superscript"/>
        </w:rPr>
      </w:pPr>
    </w:p>
    <w:p w:rsidR="00F700A4" w:rsidRPr="00F700A4" w:rsidP="00F700A4" w14:paraId="70FDAF58" w14:textId="77777777">
      <w:pPr>
        <w:tabs>
          <w:tab w:val="left" w:pos="-1440"/>
        </w:tabs>
        <w:ind w:left="720"/>
        <w:jc w:val="both"/>
        <w:rPr>
          <w:rFonts w:ascii="Arial" w:hAnsi="Arial"/>
          <w:bCs/>
          <w:szCs w:val="24"/>
          <w:vertAlign w:val="superscript"/>
        </w:rPr>
      </w:pPr>
    </w:p>
    <w:p w:rsidR="00395781" w:rsidRPr="00FC1C30" w:rsidP="00F700A4" w14:paraId="7F12BCD6" w14:textId="77777777">
      <w:pPr>
        <w:tabs>
          <w:tab w:val="left" w:pos="-1080"/>
          <w:tab w:val="left" w:pos="-720"/>
          <w:tab w:val="left" w:pos="0"/>
          <w:tab w:val="left" w:pos="720"/>
          <w:tab w:val="left" w:pos="1080"/>
        </w:tabs>
        <w:jc w:val="both"/>
        <w:rPr>
          <w:rFonts w:ascii="Arial" w:hAnsi="Arial"/>
        </w:rPr>
      </w:pPr>
    </w:p>
    <w:p w:rsidR="00917E22" w:rsidRPr="00FC1C30" w:rsidP="00BE4878" w14:paraId="0CE35C60" w14:textId="77777777">
      <w:pPr>
        <w:tabs>
          <w:tab w:val="left" w:pos="-1080"/>
          <w:tab w:val="left" w:pos="-720"/>
          <w:tab w:val="left" w:pos="0"/>
          <w:tab w:val="left" w:pos="720"/>
          <w:tab w:val="left" w:pos="1080"/>
        </w:tabs>
        <w:jc w:val="both"/>
        <w:rPr>
          <w:rFonts w:ascii="Arial" w:hAnsi="Arial"/>
          <w:b/>
          <w:bCs/>
          <w:szCs w:val="24"/>
        </w:rPr>
      </w:pPr>
      <w:r w:rsidRPr="00FC1C30">
        <w:rPr>
          <w:rFonts w:ascii="Arial" w:hAnsi="Arial"/>
          <w:b/>
          <w:bCs/>
          <w:szCs w:val="24"/>
        </w:rPr>
        <w:t>13.</w:t>
      </w:r>
      <w:r w:rsidRPr="00FC1C30">
        <w:rPr>
          <w:rFonts w:ascii="Arial" w:hAnsi="Arial"/>
          <w:szCs w:val="24"/>
        </w:rPr>
        <w:tab/>
      </w:r>
      <w:r w:rsidRPr="00FC1C30">
        <w:rPr>
          <w:rFonts w:ascii="Arial" w:hAnsi="Arial" w:cs="Arial"/>
          <w:b/>
          <w:bCs/>
          <w:szCs w:val="24"/>
        </w:rPr>
        <w:t xml:space="preserve">Provide an estimate of the total annual cost burden to respondents or record </w:t>
      </w:r>
      <w:r w:rsidRPr="00FC1C30" w:rsidR="00501C38">
        <w:rPr>
          <w:rFonts w:ascii="Arial" w:hAnsi="Arial" w:cs="Arial"/>
          <w:b/>
          <w:bCs/>
          <w:szCs w:val="24"/>
        </w:rPr>
        <w:t xml:space="preserve">                 </w:t>
      </w:r>
      <w:r w:rsidRPr="00FC1C30">
        <w:rPr>
          <w:rFonts w:ascii="Arial" w:hAnsi="Arial" w:cs="Arial"/>
          <w:b/>
          <w:bCs/>
          <w:szCs w:val="24"/>
        </w:rPr>
        <w:t>keepers resulting from the collection of information.</w:t>
      </w:r>
      <w:r w:rsidRPr="00FC1C30">
        <w:rPr>
          <w:rFonts w:ascii="Arial" w:hAnsi="Arial"/>
          <w:szCs w:val="24"/>
        </w:rPr>
        <w:tab/>
      </w:r>
    </w:p>
    <w:p w:rsidR="00917E22" w:rsidRPr="00FC1C30" w:rsidP="00BE4878" w14:paraId="095B8175" w14:textId="77777777">
      <w:pPr>
        <w:tabs>
          <w:tab w:val="left" w:pos="-1440"/>
        </w:tabs>
        <w:ind w:left="720" w:hanging="720"/>
        <w:jc w:val="both"/>
        <w:rPr>
          <w:rFonts w:ascii="Arial" w:hAnsi="Arial"/>
          <w:szCs w:val="24"/>
        </w:rPr>
      </w:pPr>
    </w:p>
    <w:p w:rsidR="00917E22" w:rsidRPr="00FC1C30" w:rsidP="00BE4878" w14:paraId="168209EC" w14:textId="77777777">
      <w:pPr>
        <w:ind w:left="660"/>
        <w:jc w:val="both"/>
        <w:rPr>
          <w:rFonts w:ascii="Arial" w:hAnsi="Arial" w:cs="Arial"/>
        </w:rPr>
      </w:pPr>
      <w:r w:rsidRPr="008971FC">
        <w:rPr>
          <w:rFonts w:ascii="Arial" w:hAnsi="Arial" w:cs="Arial"/>
        </w:rPr>
        <w:t>There are no record keeping, capital, start-up or maintenance costs associated with this information collection.</w:t>
      </w:r>
      <w:r w:rsidRPr="00FC1C30">
        <w:rPr>
          <w:rFonts w:ascii="Arial" w:hAnsi="Arial" w:cs="Arial"/>
        </w:rPr>
        <w:t xml:space="preserve">      </w:t>
      </w:r>
    </w:p>
    <w:p w:rsidR="00917E22" w:rsidRPr="00FC1C30" w:rsidP="00BE4878" w14:paraId="15C360DA" w14:textId="77777777">
      <w:pPr>
        <w:ind w:left="660"/>
        <w:jc w:val="both"/>
        <w:rPr>
          <w:rFonts w:ascii="Arial" w:hAnsi="Arial" w:cs="Arial"/>
        </w:rPr>
      </w:pPr>
      <w:r w:rsidRPr="00FC1C30">
        <w:rPr>
          <w:rFonts w:ascii="Arial" w:hAnsi="Arial" w:cs="Arial"/>
        </w:rPr>
        <w:t xml:space="preserve">                                                                                      </w:t>
      </w:r>
    </w:p>
    <w:p w:rsidR="00917E22" w:rsidP="00BE4878" w14:paraId="036754EE" w14:textId="7713C772">
      <w:pPr>
        <w:ind w:left="720" w:hanging="720"/>
        <w:jc w:val="both"/>
        <w:rPr>
          <w:rFonts w:ascii="Arial" w:hAnsi="Arial" w:cs="Arial"/>
          <w:b/>
          <w:bCs/>
          <w:szCs w:val="24"/>
        </w:rPr>
      </w:pPr>
      <w:r w:rsidRPr="00FC1C30">
        <w:rPr>
          <w:rFonts w:ascii="Arial" w:hAnsi="Arial" w:cs="Arial"/>
          <w:b/>
          <w:bCs/>
          <w:szCs w:val="24"/>
        </w:rPr>
        <w:t xml:space="preserve"> 14. </w:t>
      </w:r>
      <w:r w:rsidRPr="00FC1C3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7475" w:rsidRPr="00FC1C30" w:rsidP="00BE4878" w14:paraId="4CD76782" w14:textId="77777777">
      <w:pPr>
        <w:ind w:left="720" w:hanging="720"/>
        <w:jc w:val="both"/>
        <w:rPr>
          <w:rFonts w:ascii="Arial" w:hAnsi="Arial" w:cs="Arial"/>
          <w:b/>
          <w:bCs/>
          <w:szCs w:val="24"/>
        </w:rPr>
      </w:pPr>
    </w:p>
    <w:p w:rsidR="00580592" w:rsidP="00225FC7" w14:paraId="5BF6C002" w14:textId="77777777">
      <w:pPr>
        <w:tabs>
          <w:tab w:val="left" w:pos="-1440"/>
        </w:tabs>
        <w:ind w:left="720"/>
        <w:jc w:val="both"/>
        <w:rPr>
          <w:rFonts w:ascii="Arial" w:hAnsi="Arial"/>
        </w:rPr>
      </w:pPr>
    </w:p>
    <w:p w:rsidR="00580592" w:rsidRPr="00580592" w:rsidP="00580592" w14:paraId="0FBE8298" w14:textId="205C65BA">
      <w:pPr>
        <w:tabs>
          <w:tab w:val="left" w:pos="-1440"/>
        </w:tabs>
        <w:ind w:left="720"/>
        <w:jc w:val="both"/>
        <w:rPr>
          <w:rFonts w:ascii="Arial" w:hAnsi="Arial"/>
        </w:rPr>
      </w:pPr>
      <w:r w:rsidRPr="00580592">
        <w:rPr>
          <w:rFonts w:ascii="Arial" w:hAnsi="Arial"/>
        </w:rPr>
        <w:t>The estimated annual cost to the Federal Government associated with the review of t</w:t>
      </w:r>
      <w:r w:rsidR="00522208">
        <w:rPr>
          <w:rFonts w:ascii="Arial" w:hAnsi="Arial"/>
        </w:rPr>
        <w:t xml:space="preserve">his </w:t>
      </w:r>
      <w:r>
        <w:rPr>
          <w:rFonts w:ascii="Arial" w:hAnsi="Arial"/>
        </w:rPr>
        <w:t>information</w:t>
      </w:r>
      <w:r w:rsidR="00522208">
        <w:rPr>
          <w:rFonts w:ascii="Arial" w:hAnsi="Arial"/>
        </w:rPr>
        <w:t xml:space="preserve"> </w:t>
      </w:r>
      <w:r w:rsidR="009325C6">
        <w:rPr>
          <w:rFonts w:ascii="Arial" w:hAnsi="Arial"/>
        </w:rPr>
        <w:t>collection</w:t>
      </w:r>
      <w:r w:rsidRPr="00580592">
        <w:rPr>
          <w:rFonts w:ascii="Arial" w:hAnsi="Arial"/>
        </w:rPr>
        <w:t xml:space="preserve"> is $</w:t>
      </w:r>
      <w:r w:rsidR="00984A22">
        <w:rPr>
          <w:rFonts w:ascii="Arial" w:hAnsi="Arial"/>
        </w:rPr>
        <w:t>98,487,296</w:t>
      </w:r>
      <w:r w:rsidRPr="00580592">
        <w:rPr>
          <w:rFonts w:ascii="Arial" w:hAnsi="Arial"/>
        </w:rPr>
        <w:t>.  This is based on the number of responses that must be reviewed (</w:t>
      </w:r>
      <w:r w:rsidR="00EC207D">
        <w:rPr>
          <w:rFonts w:ascii="Arial" w:hAnsi="Arial"/>
        </w:rPr>
        <w:t>74,041,295</w:t>
      </w:r>
      <w:r w:rsidRPr="00580592">
        <w:rPr>
          <w:rFonts w:ascii="Arial" w:hAnsi="Arial"/>
        </w:rPr>
        <w:t>) multiplied by the time burden to review and process each response (</w:t>
      </w:r>
      <w:r w:rsidR="00EC207D">
        <w:rPr>
          <w:rFonts w:ascii="Arial" w:hAnsi="Arial"/>
        </w:rPr>
        <w:t xml:space="preserve">1 minute or 0.016 </w:t>
      </w:r>
      <w:r w:rsidRPr="00580592">
        <w:rPr>
          <w:rFonts w:ascii="Arial" w:hAnsi="Arial"/>
        </w:rPr>
        <w:t>hours) =</w:t>
      </w:r>
      <w:r w:rsidR="00EC207D">
        <w:rPr>
          <w:rFonts w:ascii="Arial" w:hAnsi="Arial"/>
        </w:rPr>
        <w:t xml:space="preserve"> </w:t>
      </w:r>
      <w:r w:rsidR="00584663">
        <w:rPr>
          <w:rFonts w:ascii="Arial" w:hAnsi="Arial"/>
        </w:rPr>
        <w:t>1,234,022</w:t>
      </w:r>
      <w:r w:rsidRPr="00580592">
        <w:rPr>
          <w:rFonts w:ascii="Arial" w:hAnsi="Arial"/>
        </w:rPr>
        <w:t xml:space="preserve"> hours multiplied by the average hourly loaded rate for a CBP Officer ($79.81)</w:t>
      </w:r>
      <w:r>
        <w:rPr>
          <w:rFonts w:ascii="Arial" w:hAnsi="Arial"/>
          <w:vertAlign w:val="superscript"/>
        </w:rPr>
        <w:footnoteReference w:id="7"/>
      </w:r>
      <w:r w:rsidRPr="00580592">
        <w:rPr>
          <w:rFonts w:ascii="Arial" w:hAnsi="Arial"/>
        </w:rPr>
        <w:t xml:space="preserve"> = $</w:t>
      </w:r>
      <w:r w:rsidR="00984A22">
        <w:rPr>
          <w:rFonts w:ascii="Arial" w:hAnsi="Arial"/>
        </w:rPr>
        <w:t>98,487,296</w:t>
      </w:r>
      <w:r w:rsidRPr="00580592">
        <w:rPr>
          <w:rFonts w:ascii="Arial" w:hAnsi="Arial"/>
        </w:rPr>
        <w:t>.</w:t>
      </w:r>
    </w:p>
    <w:p w:rsidR="00580592" w:rsidP="00225FC7" w14:paraId="278E107C" w14:textId="77777777">
      <w:pPr>
        <w:tabs>
          <w:tab w:val="left" w:pos="-1440"/>
        </w:tabs>
        <w:ind w:left="720"/>
        <w:jc w:val="both"/>
        <w:rPr>
          <w:rFonts w:ascii="Arial" w:hAnsi="Arial"/>
        </w:rPr>
      </w:pPr>
    </w:p>
    <w:p w:rsidR="00580592" w:rsidP="00225FC7" w14:paraId="4FD95AF7" w14:textId="77777777">
      <w:pPr>
        <w:tabs>
          <w:tab w:val="left" w:pos="-1440"/>
        </w:tabs>
        <w:ind w:left="720"/>
        <w:jc w:val="both"/>
        <w:rPr>
          <w:rFonts w:ascii="Arial" w:hAnsi="Arial"/>
        </w:rPr>
      </w:pPr>
    </w:p>
    <w:p w:rsidR="00436AF0" w:rsidP="00225FC7" w14:paraId="3D8E9472" w14:textId="0966B32E">
      <w:pPr>
        <w:tabs>
          <w:tab w:val="left" w:pos="-1440"/>
        </w:tabs>
        <w:ind w:left="720"/>
        <w:jc w:val="both"/>
        <w:rPr>
          <w:rFonts w:ascii="Arial" w:hAnsi="Arial"/>
        </w:rPr>
      </w:pPr>
      <w:r w:rsidRPr="00FC1C30">
        <w:rPr>
          <w:rFonts w:ascii="Arial" w:hAnsi="Arial"/>
        </w:rPr>
        <w:tab/>
      </w:r>
    </w:p>
    <w:p w:rsidR="004701A3" w:rsidP="00436AF0" w14:paraId="1B74E12F" w14:textId="77777777">
      <w:pPr>
        <w:jc w:val="both"/>
        <w:rPr>
          <w:rFonts w:ascii="Arial" w:hAnsi="Arial"/>
          <w:b/>
          <w:bCs/>
          <w:szCs w:val="24"/>
        </w:rPr>
      </w:pPr>
    </w:p>
    <w:p w:rsidR="00716D38" w:rsidP="00BE4878" w14:paraId="3310ED50"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551962">
        <w:rPr>
          <w:rFonts w:ascii="Arial" w:hAnsi="Arial" w:cs="Arial"/>
          <w:b/>
          <w:bCs/>
          <w:szCs w:val="24"/>
        </w:rPr>
        <w:t>Explain the reasons for any program changes or adjustments reported in Items 1</w:t>
      </w:r>
      <w:r w:rsidRPr="00551962" w:rsidR="00B3113B">
        <w:rPr>
          <w:rFonts w:ascii="Arial" w:hAnsi="Arial" w:cs="Arial"/>
          <w:b/>
          <w:bCs/>
          <w:szCs w:val="24"/>
        </w:rPr>
        <w:t>2</w:t>
      </w:r>
      <w:r w:rsidRPr="00551962">
        <w:rPr>
          <w:rFonts w:ascii="Arial" w:hAnsi="Arial" w:cs="Arial"/>
          <w:b/>
          <w:bCs/>
          <w:szCs w:val="24"/>
        </w:rPr>
        <w:t xml:space="preserve"> or 1</w:t>
      </w:r>
      <w:r w:rsidRPr="00551962" w:rsidR="00B3113B">
        <w:rPr>
          <w:rFonts w:ascii="Arial" w:hAnsi="Arial" w:cs="Arial"/>
          <w:b/>
          <w:bCs/>
          <w:szCs w:val="24"/>
        </w:rPr>
        <w:t>3</w:t>
      </w:r>
      <w:r w:rsidRPr="00551962">
        <w:rPr>
          <w:rFonts w:ascii="Arial" w:hAnsi="Arial" w:cs="Arial"/>
          <w:b/>
          <w:bCs/>
          <w:szCs w:val="24"/>
        </w:rPr>
        <w:t xml:space="preserve"> of th</w:t>
      </w:r>
      <w:r w:rsidRPr="00551962" w:rsidR="00B3113B">
        <w:rPr>
          <w:rFonts w:ascii="Arial" w:hAnsi="Arial" w:cs="Arial"/>
          <w:b/>
          <w:bCs/>
          <w:szCs w:val="24"/>
        </w:rPr>
        <w:t>is Statement</w:t>
      </w:r>
      <w:r w:rsidRPr="00551962">
        <w:rPr>
          <w:rFonts w:ascii="Arial" w:hAnsi="Arial" w:cs="Arial"/>
          <w:b/>
          <w:bCs/>
          <w:szCs w:val="24"/>
        </w:rPr>
        <w:t>.</w:t>
      </w:r>
      <w:r w:rsidRPr="00C47181">
        <w:rPr>
          <w:rFonts w:ascii="Arial" w:hAnsi="Arial" w:cs="Arial"/>
          <w:b/>
          <w:bCs/>
          <w:szCs w:val="24"/>
        </w:rPr>
        <w:t xml:space="preserve">  </w:t>
      </w:r>
    </w:p>
    <w:p w:rsidR="00813329" w:rsidP="00BE4878" w14:paraId="10065352" w14:textId="77777777">
      <w:pPr>
        <w:ind w:left="720" w:hanging="720"/>
        <w:jc w:val="both"/>
        <w:rPr>
          <w:rFonts w:ascii="Arial" w:hAnsi="Arial" w:cs="Arial"/>
          <w:b/>
          <w:bCs/>
          <w:szCs w:val="24"/>
        </w:rPr>
      </w:pPr>
    </w:p>
    <w:p w:rsidR="00813329" w:rsidP="00F1386F" w14:paraId="107D5F1D" w14:textId="43F491ED">
      <w:pPr>
        <w:ind w:left="720"/>
        <w:jc w:val="both"/>
        <w:rPr>
          <w:rFonts w:ascii="Arial" w:hAnsi="Arial" w:cs="Arial"/>
          <w:szCs w:val="24"/>
        </w:rPr>
      </w:pPr>
      <w:r>
        <w:rPr>
          <w:rFonts w:ascii="Arial" w:hAnsi="Arial" w:cs="Arial"/>
          <w:szCs w:val="24"/>
        </w:rPr>
        <w:t xml:space="preserve">There is </w:t>
      </w:r>
      <w:r w:rsidR="00885885">
        <w:rPr>
          <w:rFonts w:ascii="Arial" w:hAnsi="Arial" w:cs="Arial"/>
          <w:szCs w:val="24"/>
        </w:rPr>
        <w:t>an increase to the previously reported burden</w:t>
      </w:r>
      <w:r w:rsidR="00B83E01">
        <w:rPr>
          <w:rFonts w:ascii="Arial" w:hAnsi="Arial" w:cs="Arial"/>
          <w:szCs w:val="24"/>
        </w:rPr>
        <w:t xml:space="preserve"> hours</w:t>
      </w:r>
      <w:r w:rsidR="00885885">
        <w:rPr>
          <w:rFonts w:ascii="Arial" w:hAnsi="Arial" w:cs="Arial"/>
          <w:szCs w:val="24"/>
        </w:rPr>
        <w:t xml:space="preserve"> </w:t>
      </w:r>
      <w:r w:rsidR="00522208">
        <w:rPr>
          <w:rFonts w:ascii="Arial" w:hAnsi="Arial" w:cs="Arial"/>
          <w:szCs w:val="24"/>
        </w:rPr>
        <w:t>for</w:t>
      </w:r>
      <w:r w:rsidR="00885885">
        <w:rPr>
          <w:rFonts w:ascii="Arial" w:hAnsi="Arial" w:cs="Arial"/>
          <w:szCs w:val="24"/>
        </w:rPr>
        <w:t xml:space="preserve"> this information collection.</w:t>
      </w:r>
      <w:r w:rsidR="00A66A11">
        <w:rPr>
          <w:rFonts w:ascii="Arial" w:hAnsi="Arial" w:cs="Arial"/>
          <w:szCs w:val="24"/>
        </w:rPr>
        <w:t xml:space="preserve"> The numbers have been updated to reflect current usage.</w:t>
      </w:r>
    </w:p>
    <w:p w:rsidR="0038692A" w:rsidP="0038692A" w14:paraId="290C8413" w14:textId="77777777">
      <w:pPr>
        <w:ind w:left="720"/>
        <w:jc w:val="both"/>
        <w:rPr>
          <w:rFonts w:ascii="Arial" w:hAnsi="Arial" w:cs="Arial"/>
          <w:szCs w:val="24"/>
        </w:rPr>
      </w:pPr>
    </w:p>
    <w:p w:rsidR="00B83E01" w:rsidP="0038692A" w14:paraId="1CD6E4DD" w14:textId="408CC2EA">
      <w:pPr>
        <w:ind w:left="720"/>
        <w:jc w:val="both"/>
        <w:rPr>
          <w:rFonts w:ascii="Arial" w:hAnsi="Arial" w:cs="Arial"/>
          <w:szCs w:val="24"/>
        </w:rPr>
      </w:pPr>
      <w:r>
        <w:rPr>
          <w:rFonts w:ascii="Arial" w:hAnsi="Arial" w:cs="Arial"/>
          <w:szCs w:val="24"/>
        </w:rPr>
        <w:t xml:space="preserve">Form 6059B </w:t>
      </w:r>
      <w:r w:rsidR="00B05CF6">
        <w:rPr>
          <w:rFonts w:ascii="Arial" w:hAnsi="Arial" w:cs="Arial"/>
          <w:szCs w:val="24"/>
        </w:rPr>
        <w:t>burden</w:t>
      </w:r>
      <w:r w:rsidR="0038692A">
        <w:rPr>
          <w:rFonts w:ascii="Arial" w:hAnsi="Arial" w:cs="Arial"/>
          <w:szCs w:val="24"/>
        </w:rPr>
        <w:t xml:space="preserve"> hours</w:t>
      </w:r>
      <w:r w:rsidR="00B05CF6">
        <w:rPr>
          <w:rFonts w:ascii="Arial" w:hAnsi="Arial" w:cs="Arial"/>
          <w:szCs w:val="24"/>
        </w:rPr>
        <w:t xml:space="preserve"> has increased from 348,859 to 363,2</w:t>
      </w:r>
      <w:r w:rsidR="00522208">
        <w:rPr>
          <w:rFonts w:ascii="Arial" w:hAnsi="Arial" w:cs="Arial"/>
          <w:szCs w:val="24"/>
        </w:rPr>
        <w:t>24</w:t>
      </w:r>
      <w:r w:rsidR="008D7C62">
        <w:rPr>
          <w:rFonts w:ascii="Arial" w:hAnsi="Arial" w:cs="Arial"/>
          <w:szCs w:val="24"/>
        </w:rPr>
        <w:t xml:space="preserve">, an increase of </w:t>
      </w:r>
      <w:r w:rsidR="0038692A">
        <w:rPr>
          <w:rFonts w:ascii="Arial" w:hAnsi="Arial" w:cs="Arial"/>
          <w:szCs w:val="24"/>
        </w:rPr>
        <w:t>14,383 hours.</w:t>
      </w:r>
    </w:p>
    <w:p w:rsidR="0038692A" w:rsidP="0038692A" w14:paraId="0C8BEEDA" w14:textId="35E0CF0F">
      <w:pPr>
        <w:ind w:left="720"/>
        <w:jc w:val="both"/>
        <w:rPr>
          <w:rFonts w:ascii="Arial" w:hAnsi="Arial" w:cs="Arial"/>
          <w:szCs w:val="24"/>
        </w:rPr>
      </w:pPr>
      <w:r>
        <w:rPr>
          <w:rFonts w:ascii="Arial" w:hAnsi="Arial" w:cs="Arial"/>
          <w:szCs w:val="24"/>
        </w:rPr>
        <w:t xml:space="preserve">Verbal Declarations </w:t>
      </w:r>
      <w:r w:rsidR="00387E75">
        <w:rPr>
          <w:rFonts w:ascii="Arial" w:hAnsi="Arial" w:cs="Arial"/>
          <w:szCs w:val="24"/>
        </w:rPr>
        <w:t xml:space="preserve">burden hours increased from 1,154,380 to </w:t>
      </w:r>
      <w:r w:rsidR="00F873B8">
        <w:rPr>
          <w:rFonts w:ascii="Arial" w:hAnsi="Arial" w:cs="Arial"/>
          <w:szCs w:val="24"/>
        </w:rPr>
        <w:t>1,261,576</w:t>
      </w:r>
      <w:r w:rsidR="00A547BD">
        <w:rPr>
          <w:rFonts w:ascii="Arial" w:hAnsi="Arial" w:cs="Arial"/>
          <w:szCs w:val="24"/>
        </w:rPr>
        <w:t xml:space="preserve"> an increase of 107,196 hours.</w:t>
      </w:r>
    </w:p>
    <w:p w:rsidR="00A547BD" w:rsidP="0038692A" w14:paraId="47CF7E7F" w14:textId="7B6E5C2E">
      <w:pPr>
        <w:ind w:left="720"/>
        <w:jc w:val="both"/>
        <w:rPr>
          <w:rFonts w:ascii="Arial" w:hAnsi="Arial" w:cs="Arial"/>
          <w:szCs w:val="24"/>
        </w:rPr>
      </w:pPr>
      <w:r>
        <w:rPr>
          <w:rFonts w:ascii="Arial" w:hAnsi="Arial" w:cs="Arial"/>
          <w:szCs w:val="24"/>
        </w:rPr>
        <w:t xml:space="preserve">MPC App burden hours has increased </w:t>
      </w:r>
      <w:r w:rsidR="004E5E1F">
        <w:rPr>
          <w:rFonts w:ascii="Arial" w:hAnsi="Arial" w:cs="Arial"/>
          <w:szCs w:val="24"/>
        </w:rPr>
        <w:t xml:space="preserve">from 148,500 to 250,562, an increase of </w:t>
      </w:r>
      <w:r w:rsidR="00C04146">
        <w:rPr>
          <w:rFonts w:ascii="Arial" w:hAnsi="Arial" w:cs="Arial"/>
          <w:szCs w:val="24"/>
        </w:rPr>
        <w:t>102,062.</w:t>
      </w:r>
    </w:p>
    <w:p w:rsidR="00C04146" w:rsidP="0038692A" w14:paraId="46DE6B55" w14:textId="1EE2FC14">
      <w:pPr>
        <w:ind w:left="720"/>
        <w:jc w:val="both"/>
        <w:rPr>
          <w:rFonts w:ascii="Arial" w:hAnsi="Arial" w:cs="Arial"/>
          <w:szCs w:val="24"/>
        </w:rPr>
      </w:pPr>
    </w:p>
    <w:p w:rsidR="00640D1E" w:rsidRPr="00F1386F" w:rsidP="00F1386F" w14:paraId="266077FA" w14:textId="3F7B4947">
      <w:pPr>
        <w:ind w:left="720"/>
        <w:jc w:val="both"/>
        <w:rPr>
          <w:rFonts w:ascii="Arial" w:hAnsi="Arial" w:cs="Arial"/>
          <w:szCs w:val="24"/>
        </w:rPr>
      </w:pPr>
      <w:r>
        <w:rPr>
          <w:rFonts w:ascii="Arial" w:hAnsi="Arial" w:cs="Arial"/>
          <w:szCs w:val="24"/>
        </w:rPr>
        <w:t xml:space="preserve">For an overall/total burden increase from </w:t>
      </w:r>
      <w:r w:rsidR="00446F2C">
        <w:rPr>
          <w:rFonts w:ascii="Arial" w:hAnsi="Arial" w:cs="Arial"/>
          <w:szCs w:val="24"/>
        </w:rPr>
        <w:t xml:space="preserve">1,668,239 to 1,875,380 hours, an increase of </w:t>
      </w:r>
      <w:r w:rsidR="00F9195B">
        <w:rPr>
          <w:rFonts w:ascii="Arial" w:hAnsi="Arial" w:cs="Arial"/>
          <w:szCs w:val="24"/>
        </w:rPr>
        <w:t>207,141 hours.</w:t>
      </w:r>
    </w:p>
    <w:p w:rsidR="00716D38" w:rsidP="00BE4878" w14:paraId="5F80BCA4" w14:textId="77777777">
      <w:pPr>
        <w:ind w:left="720" w:hanging="720"/>
        <w:jc w:val="both"/>
        <w:rPr>
          <w:rFonts w:ascii="Arial" w:hAnsi="Arial" w:cs="Arial"/>
          <w:b/>
          <w:bCs/>
          <w:szCs w:val="24"/>
        </w:rPr>
      </w:pPr>
    </w:p>
    <w:p w:rsidR="00917E22" w:rsidRPr="00C47181" w:rsidP="005B2CB6" w14:paraId="74F1E38B" w14:textId="77777777">
      <w:pPr>
        <w:jc w:val="both"/>
        <w:rPr>
          <w:rFonts w:ascii="Arial" w:hAnsi="Arial"/>
          <w:b/>
          <w:bCs/>
          <w:szCs w:val="24"/>
        </w:rPr>
      </w:pPr>
    </w:p>
    <w:p w:rsidR="00917E22" w:rsidRPr="00C47181" w:rsidP="00BE4878" w14:paraId="7EB35270"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917E22" w:rsidRPr="00C47181" w:rsidP="00BE4878" w14:paraId="406E9823" w14:textId="77777777">
      <w:pPr>
        <w:jc w:val="both"/>
        <w:rPr>
          <w:rFonts w:ascii="Arial" w:hAnsi="Arial"/>
          <w:szCs w:val="24"/>
        </w:rPr>
      </w:pPr>
    </w:p>
    <w:p w:rsidR="00917E22" w:rsidRPr="00C47181" w:rsidP="00BE4878" w14:paraId="6DCF3D85"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917E22" w:rsidRPr="00C47181" w:rsidP="00BE4878" w14:paraId="42780A1B" w14:textId="77777777">
      <w:pPr>
        <w:jc w:val="both"/>
        <w:rPr>
          <w:rFonts w:ascii="Arial" w:hAnsi="Arial"/>
          <w:szCs w:val="24"/>
        </w:rPr>
      </w:pPr>
    </w:p>
    <w:p w:rsidR="00917E22" w:rsidRPr="001207D8" w:rsidP="00BE4878" w14:paraId="12289224" w14:textId="77777777">
      <w:pPr>
        <w:jc w:val="both"/>
        <w:rPr>
          <w:rFonts w:ascii="Arial" w:hAnsi="Arial" w:cs="Arial"/>
          <w:b/>
          <w:bCs/>
          <w:szCs w:val="24"/>
        </w:rPr>
      </w:pPr>
      <w:r>
        <w:rPr>
          <w:rFonts w:ascii="Arial" w:hAnsi="Arial" w:cs="Arial"/>
          <w:b/>
          <w:bCs/>
          <w:szCs w:val="24"/>
        </w:rPr>
        <w:t xml:space="preserve">17.     </w:t>
      </w:r>
      <w:r w:rsidRPr="00F3113B">
        <w:rPr>
          <w:rFonts w:ascii="Arial" w:hAnsi="Arial" w:cs="Arial"/>
          <w:b/>
          <w:bCs/>
          <w:szCs w:val="24"/>
        </w:rPr>
        <w:t xml:space="preserve">If seeking approval to not display the expiration date, explain the reasons that          </w:t>
      </w:r>
      <w:r w:rsidRPr="00F3113B">
        <w:rPr>
          <w:rFonts w:ascii="Arial" w:hAnsi="Arial" w:cs="Arial"/>
          <w:b/>
          <w:bCs/>
          <w:szCs w:val="24"/>
        </w:rPr>
        <w:tab/>
        <w:t>displaying the expiration date would be inappropriate.</w:t>
      </w:r>
    </w:p>
    <w:p w:rsidR="00917E22" w:rsidP="00BE4878" w14:paraId="397B2ADF" w14:textId="77777777">
      <w:pPr>
        <w:jc w:val="both"/>
        <w:rPr>
          <w:rFonts w:ascii="Arial" w:hAnsi="Arial" w:cs="Arial"/>
          <w:b/>
          <w:bCs/>
        </w:rPr>
      </w:pPr>
      <w:r>
        <w:rPr>
          <w:rFonts w:ascii="Arial" w:hAnsi="Arial" w:cs="Arial"/>
          <w:b/>
          <w:bCs/>
        </w:rPr>
        <w:tab/>
      </w:r>
    </w:p>
    <w:p w:rsidR="004074FF" w:rsidP="00AB0F0F" w14:paraId="499BBC4F" w14:textId="711A81C8">
      <w:pPr>
        <w:ind w:left="720"/>
        <w:jc w:val="both"/>
        <w:rPr>
          <w:rFonts w:ascii="Arial" w:hAnsi="Arial" w:cs="Arial"/>
          <w:bCs/>
        </w:rPr>
      </w:pPr>
      <w:r w:rsidRPr="008971FC">
        <w:rPr>
          <w:rFonts w:ascii="Arial" w:hAnsi="Arial" w:cs="Arial"/>
          <w:bCs/>
        </w:rPr>
        <w:t xml:space="preserve">CBP </w:t>
      </w:r>
      <w:r w:rsidRPr="008971FC" w:rsidR="00AB0F0F">
        <w:rPr>
          <w:rFonts w:ascii="Arial" w:hAnsi="Arial" w:cs="Arial"/>
          <w:bCs/>
        </w:rPr>
        <w:t>cannot display the expiration date on th</w:t>
      </w:r>
      <w:r>
        <w:rPr>
          <w:rFonts w:ascii="Arial" w:hAnsi="Arial" w:cs="Arial"/>
          <w:bCs/>
        </w:rPr>
        <w:t xml:space="preserve">e written declaration, due to the </w:t>
      </w:r>
      <w:r w:rsidRPr="008971FC" w:rsidR="00AB0F0F">
        <w:rPr>
          <w:rFonts w:ascii="Arial" w:hAnsi="Arial" w:cs="Arial"/>
          <w:bCs/>
        </w:rPr>
        <w:t xml:space="preserve">large number </w:t>
      </w:r>
      <w:r>
        <w:rPr>
          <w:rFonts w:ascii="Arial" w:hAnsi="Arial" w:cs="Arial"/>
          <w:bCs/>
        </w:rPr>
        <w:t xml:space="preserve">of forms </w:t>
      </w:r>
      <w:r w:rsidRPr="008971FC" w:rsidR="00AB0F0F">
        <w:rPr>
          <w:rFonts w:ascii="Arial" w:hAnsi="Arial" w:cs="Arial"/>
          <w:bCs/>
        </w:rPr>
        <w:t xml:space="preserve">that are printed and distributed (over 100 million).  </w:t>
      </w:r>
      <w:r w:rsidRPr="008971FC" w:rsidR="002C50F3">
        <w:rPr>
          <w:rFonts w:ascii="Arial" w:hAnsi="Arial" w:cs="Arial"/>
          <w:bCs/>
        </w:rPr>
        <w:t>A</w:t>
      </w:r>
      <w:r w:rsidR="002C50F3">
        <w:rPr>
          <w:rFonts w:ascii="Arial" w:hAnsi="Arial" w:cs="Arial"/>
          <w:bCs/>
        </w:rPr>
        <w:t>dditionally,</w:t>
      </w:r>
      <w:r w:rsidRPr="008971FC" w:rsidR="00AB0F0F">
        <w:rPr>
          <w:rFonts w:ascii="Arial" w:hAnsi="Arial" w:cs="Arial"/>
          <w:bCs/>
        </w:rPr>
        <w:t xml:space="preserve"> millions of these forms are stocked at the ports-of-entry and by airlines. </w:t>
      </w:r>
      <w:r w:rsidRPr="008971FC" w:rsidR="0074495B">
        <w:rPr>
          <w:rFonts w:ascii="Arial" w:hAnsi="Arial" w:cs="Arial"/>
          <w:bCs/>
        </w:rPr>
        <w:t xml:space="preserve"> </w:t>
      </w:r>
    </w:p>
    <w:p w:rsidR="004074FF" w:rsidP="00AB0F0F" w14:paraId="60B402FC" w14:textId="77777777">
      <w:pPr>
        <w:ind w:left="720"/>
        <w:jc w:val="both"/>
        <w:rPr>
          <w:rFonts w:ascii="Arial" w:hAnsi="Arial" w:cs="Arial"/>
          <w:bCs/>
        </w:rPr>
      </w:pPr>
    </w:p>
    <w:p w:rsidR="00917E22" w:rsidRPr="00F1386F" w:rsidP="00AB0F0F" w14:paraId="452884E7" w14:textId="67CC0266">
      <w:pPr>
        <w:ind w:left="720"/>
        <w:jc w:val="both"/>
        <w:rPr>
          <w:rFonts w:ascii="Arial" w:hAnsi="Arial" w:cs="Arial"/>
          <w:b/>
          <w:bCs/>
          <w:szCs w:val="24"/>
        </w:rPr>
      </w:pPr>
      <w:r w:rsidRPr="00F1386F">
        <w:rPr>
          <w:rFonts w:ascii="Arial" w:hAnsi="Arial" w:cs="Arial"/>
          <w:bCs/>
        </w:rPr>
        <w:t xml:space="preserve">CBP will display the </w:t>
      </w:r>
      <w:r w:rsidRPr="00F1386F" w:rsidR="004074FF">
        <w:rPr>
          <w:rFonts w:ascii="Arial" w:hAnsi="Arial" w:cs="Arial"/>
          <w:bCs/>
        </w:rPr>
        <w:t xml:space="preserve">expiration </w:t>
      </w:r>
      <w:r w:rsidRPr="00F1386F">
        <w:rPr>
          <w:rFonts w:ascii="Arial" w:hAnsi="Arial" w:cs="Arial"/>
          <w:bCs/>
        </w:rPr>
        <w:t xml:space="preserve">date on the </w:t>
      </w:r>
      <w:r w:rsidRPr="00F1386F" w:rsidR="00B77DBF">
        <w:rPr>
          <w:rFonts w:ascii="Arial" w:hAnsi="Arial" w:cs="Arial"/>
        </w:rPr>
        <w:t xml:space="preserve">CBP </w:t>
      </w:r>
      <w:r w:rsidR="00F1386F">
        <w:rPr>
          <w:rFonts w:ascii="Arial" w:hAnsi="Arial" w:cs="Arial"/>
        </w:rPr>
        <w:t>Link</w:t>
      </w:r>
      <w:r w:rsidRPr="00F1386F" w:rsidR="00B77DBF">
        <w:rPr>
          <w:rFonts w:ascii="Arial" w:hAnsi="Arial" w:cs="Arial"/>
          <w:vertAlign w:val="superscript"/>
        </w:rPr>
        <w:t xml:space="preserve">TM </w:t>
      </w:r>
      <w:r w:rsidRPr="00F1386F" w:rsidR="00B77DBF">
        <w:rPr>
          <w:rFonts w:ascii="Arial" w:hAnsi="Arial" w:cs="Arial"/>
        </w:rPr>
        <w:t>application.</w:t>
      </w:r>
    </w:p>
    <w:p w:rsidR="00917E22" w:rsidRPr="00F1386F" w:rsidP="00BE4878" w14:paraId="3E7F6E3B" w14:textId="77777777">
      <w:pPr>
        <w:widowControl/>
        <w:jc w:val="both"/>
        <w:rPr>
          <w:rFonts w:ascii="Arial" w:hAnsi="Arial" w:cs="Arial"/>
          <w:b/>
          <w:bCs/>
          <w:szCs w:val="24"/>
        </w:rPr>
      </w:pPr>
      <w:r w:rsidRPr="00F1386F">
        <w:rPr>
          <w:rFonts w:ascii="Arial" w:hAnsi="Arial" w:cs="Arial"/>
          <w:b/>
          <w:bCs/>
          <w:szCs w:val="24"/>
        </w:rPr>
        <w:t xml:space="preserve"> </w:t>
      </w:r>
    </w:p>
    <w:p w:rsidR="00917E22" w:rsidP="00BE4878" w14:paraId="39B49EE2" w14:textId="77777777">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917E22" w:rsidRPr="001207D8" w:rsidP="00BE4878" w14:paraId="61400896"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917E22" w:rsidRPr="001207D8" w:rsidP="00BE4878" w14:paraId="70963D14"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917E22" w:rsidP="00BE4878" w14:paraId="4EB21942" w14:textId="77777777">
      <w:pPr>
        <w:jc w:val="both"/>
        <w:rPr>
          <w:rFonts w:ascii="Arial" w:hAnsi="Arial" w:cs="Arial"/>
          <w:szCs w:val="24"/>
        </w:rPr>
      </w:pPr>
    </w:p>
    <w:p w:rsidR="00917E22" w:rsidRPr="001207D8" w:rsidP="00BE4878" w14:paraId="217FCF85" w14:textId="77777777">
      <w:pPr>
        <w:pStyle w:val="Heading1"/>
        <w:numPr>
          <w:ilvl w:val="0"/>
          <w:numId w:val="9"/>
        </w:numPr>
        <w:tabs>
          <w:tab w:val="clear" w:pos="-1440"/>
        </w:tabs>
        <w:jc w:val="both"/>
        <w:rPr>
          <w:rFonts w:cs="Arial"/>
          <w:szCs w:val="24"/>
        </w:rPr>
      </w:pPr>
      <w:r w:rsidRPr="001207D8">
        <w:rPr>
          <w:rFonts w:cs="Arial"/>
          <w:szCs w:val="24"/>
        </w:rPr>
        <w:t>Collection of Information Employing Statistical Methods</w:t>
      </w:r>
    </w:p>
    <w:p w:rsidR="00917E22" w:rsidRPr="001207D8" w:rsidP="00BE4878" w14:paraId="3F48F34A" w14:textId="77777777">
      <w:pPr>
        <w:jc w:val="both"/>
        <w:rPr>
          <w:rFonts w:ascii="Arial" w:hAnsi="Arial" w:cs="Arial"/>
          <w:szCs w:val="24"/>
        </w:rPr>
      </w:pPr>
    </w:p>
    <w:p w:rsidR="00917E22" w:rsidP="00BE4878" w14:paraId="6CAA2CC8"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17E22" w:rsidP="00917E22" w14:paraId="5784D8C2" w14:textId="77777777">
      <w:pPr>
        <w:tabs>
          <w:tab w:val="left" w:pos="-1440"/>
        </w:tabs>
        <w:ind w:left="720" w:hanging="720"/>
        <w:jc w:val="both"/>
        <w:rPr>
          <w:rFonts w:ascii="Arial" w:hAnsi="Arial"/>
        </w:rPr>
      </w:pPr>
      <w:r>
        <w:rPr>
          <w:rFonts w:ascii="Arial" w:hAnsi="Arial"/>
        </w:rPr>
        <w:t xml:space="preserve">                                                                                         </w:t>
      </w:r>
    </w:p>
    <w:p w:rsidR="00917E22" w:rsidP="00917E22" w14:paraId="1E7C7E18" w14:textId="77777777">
      <w:pPr>
        <w:tabs>
          <w:tab w:val="left" w:pos="-1440"/>
        </w:tabs>
        <w:ind w:left="720" w:hanging="720"/>
        <w:jc w:val="both"/>
        <w:rPr>
          <w:rFonts w:ascii="Arial" w:hAnsi="Arial"/>
        </w:rPr>
      </w:pPr>
      <w:r>
        <w:rPr>
          <w:rFonts w:ascii="Arial" w:hAnsi="Arial"/>
        </w:rPr>
        <w:t xml:space="preserve">                                                                                    </w:t>
      </w:r>
    </w:p>
    <w:sectPr>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23" w:rsidP="00FB1D32" w14:paraId="1F479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1C23" w14:paraId="18453D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23" w:rsidP="00FB1D32" w14:paraId="1C289E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6BC">
      <w:rPr>
        <w:rStyle w:val="PageNumber"/>
        <w:noProof/>
      </w:rPr>
      <w:t>1</w:t>
    </w:r>
    <w:r>
      <w:rPr>
        <w:rStyle w:val="PageNumber"/>
      </w:rPr>
      <w:fldChar w:fldCharType="end"/>
    </w:r>
  </w:p>
  <w:p w:rsidR="00891C23" w14:paraId="5D547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4541" w14:paraId="0F978164" w14:textId="77777777">
      <w:r>
        <w:separator/>
      </w:r>
    </w:p>
  </w:footnote>
  <w:footnote w:type="continuationSeparator" w:id="1">
    <w:p w:rsidR="009B4541" w14:paraId="6A6AC9B8" w14:textId="77777777">
      <w:r>
        <w:continuationSeparator/>
      </w:r>
    </w:p>
  </w:footnote>
  <w:footnote w:type="continuationNotice" w:id="2">
    <w:p w:rsidR="009B4541" w14:paraId="54A2322B" w14:textId="77777777"/>
  </w:footnote>
  <w:footnote w:id="3">
    <w:p w:rsidR="00545E76" w:rsidP="00545E76" w14:paraId="0EC2166D" w14:textId="77777777">
      <w:pPr>
        <w:rPr>
          <w:rFonts w:ascii="Times New Roman" w:hAnsi="Times New Roman"/>
          <w:color w:val="000000"/>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bookmarkStart w:id="11" w:name="OLE_LINK57"/>
      <w:bookmarkStart w:id="12" w:name="OLE_LINK58"/>
      <w:bookmarkStart w:id="13" w:name="OLE_LINK56"/>
      <w:r>
        <w:rPr>
          <w:rFonts w:ascii="Times New Roman" w:hAnsi="Times New Roman"/>
          <w:sz w:val="18"/>
          <w:szCs w:val="18"/>
        </w:rPr>
        <w:t xml:space="preserve">U.S. Department of Transportation, Office of Transportation Policy.  </w:t>
      </w:r>
      <w:r>
        <w:rPr>
          <w:rFonts w:ascii="Times New Roman" w:hAnsi="Times New Roman"/>
          <w:i/>
          <w:iCs/>
          <w:sz w:val="18"/>
          <w:szCs w:val="18"/>
        </w:rPr>
        <w:t>Benefit-Cost Analysis Guidance for Discretionary Grant Programs</w:t>
      </w:r>
      <w:r>
        <w:rPr>
          <w:rFonts w:ascii="Times New Roman" w:hAnsi="Times New Roman"/>
          <w:sz w:val="18"/>
          <w:szCs w:val="18"/>
        </w:rPr>
        <w:t>, “Table A-2: Recommended Hourly Values of Travel Time Savings for Intercity, All-Purpose Travel by Surface.”  May 2025.  Available at:https://www.transportation.gov/sites/dot.gov/files/2025-05/Benefit%20Cost%20Analysis%20Guidance%202025%20Update%20II%20%28Final%29.pdf.  Original DOT policy is available at https://www.transportation.gov/sites/dot.gov/files/docs/2016%20Revised%20Value%20of%20Travel%20Time%20Guidance.pdf.  Accessed July 21, 202</w:t>
      </w:r>
      <w:bookmarkEnd w:id="11"/>
      <w:r>
        <w:rPr>
          <w:rFonts w:ascii="Times New Roman" w:hAnsi="Times New Roman"/>
          <w:sz w:val="18"/>
          <w:szCs w:val="18"/>
        </w:rPr>
        <w:t>5</w:t>
      </w:r>
      <w:r>
        <w:rPr>
          <w:rFonts w:ascii="Times New Roman" w:hAnsi="Times New Roman"/>
          <w:color w:val="000000"/>
          <w:sz w:val="18"/>
          <w:szCs w:val="18"/>
        </w:rPr>
        <w:t xml:space="preserve">.  </w:t>
      </w:r>
      <w:bookmarkEnd w:id="12"/>
    </w:p>
    <w:p w:rsidR="00545E76" w:rsidP="00545E76" w14:paraId="46E30C2B" w14:textId="77777777">
      <w:pPr>
        <w:rPr>
          <w:rFonts w:ascii="Times New Roman" w:hAnsi="Times New Roman"/>
          <w:color w:val="000000"/>
          <w:sz w:val="18"/>
          <w:szCs w:val="18"/>
        </w:rPr>
      </w:pPr>
    </w:p>
    <w:p w:rsidR="00545E76" w:rsidP="00545E76" w14:paraId="0F56ACC9" w14:textId="77777777">
      <w:pPr>
        <w:rPr>
          <w:rFonts w:ascii="Times New Roman" w:hAnsi="Times New Roman"/>
          <w:color w:val="000000"/>
          <w:sz w:val="18"/>
          <w:szCs w:val="18"/>
        </w:rPr>
      </w:pPr>
      <w:r>
        <w:rPr>
          <w:rFonts w:ascii="Times New Roman" w:hAnsi="Times New Roman"/>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at:https://www.transportation.gov/sites/dot.gov/files/2025-05/Benefit%20Cost%20Analysis%20Guidance%202025%20Update%20II%20%28Final%29.pdf.  Accessed: July 21, 2025</w:t>
      </w:r>
      <w:r>
        <w:rPr>
          <w:rFonts w:ascii="Times New Roman" w:hAnsi="Times New Roman"/>
          <w:sz w:val="18"/>
          <w:szCs w:val="18"/>
        </w:rPr>
        <w:tab/>
      </w:r>
      <w:r>
        <w:rPr>
          <w:rFonts w:ascii="Times New Roman" w:hAnsi="Times New Roman"/>
          <w:sz w:val="18"/>
          <w:szCs w:val="18"/>
        </w:rPr>
        <w:tab/>
      </w:r>
      <w:bookmarkEnd w:id="13"/>
    </w:p>
  </w:footnote>
  <w:footnote w:id="4">
    <w:p w:rsidR="00545E76" w:rsidP="00545E76" w14:paraId="0B2F425C"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 Q1 - 2025 Q1 percent change in the Bureau of Economic Analysis's Implicit Price Deflators for Gross Domestic Product (127.408/121.251-1).  See “Table 1.1.9. Implicit Price Deflators for Gross Domestic Product,” Line 1 Gross Domestic Product, quarterly.  Bureau of Economic Analysis.  Updated May 30, 2025.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  Accessed June 17, 2025.</w:t>
      </w:r>
    </w:p>
  </w:footnote>
  <w:footnote w:id="5">
    <w:p w:rsidR="00E7070B" w:rsidP="00E7070B" w14:paraId="2E84F91F"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16" w:name="OLE_LINK21"/>
      <w:r>
        <w:rPr>
          <w:rFonts w:ascii="Times New Roman" w:hAnsi="Times New Roman" w:cs="Times New Roman"/>
          <w:sz w:val="18"/>
          <w:szCs w:val="18"/>
          <w:lang w:val="en"/>
        </w:rPr>
        <w:t> </w:t>
      </w:r>
      <w:bookmarkStart w:id="17" w:name="OLE_LINK52"/>
      <w:bookmarkStart w:id="18" w:name="OLE_LINK53"/>
      <w:r>
        <w:rPr>
          <w:rFonts w:ascii="Times New Roman" w:hAnsi="Times New Roman" w:cs="Times New Roman"/>
          <w:sz w:val="18"/>
          <w:szCs w:val="18"/>
        </w:rPr>
        <w:t xml:space="preserve">U.S. Department of Transportation, Office of Transportation Policy.  </w:t>
      </w:r>
      <w:r>
        <w:rPr>
          <w:rFonts w:ascii="Times New Roman" w:hAnsi="Times New Roman" w:cs="Times New Roman"/>
          <w:i/>
          <w:iCs/>
          <w:sz w:val="18"/>
          <w:szCs w:val="18"/>
        </w:rPr>
        <w:t>Benefit-Cost Analysis Guidance for Discretionary Grant Programs</w:t>
      </w:r>
      <w:r>
        <w:rPr>
          <w:rFonts w:ascii="Times New Roman" w:hAnsi="Times New Roman" w:cs="Times New Roman"/>
          <w:sz w:val="18"/>
          <w:szCs w:val="18"/>
        </w:rPr>
        <w:t xml:space="preserve">, “Table A-2: Recommended Hourly Values of Travel Time Savings for Intercity, All-Purpose Travel by Surface.”  December 2023.  Available at:https://www.transportation.gov/sites/dot.gov/files/2025-05/Benefit%20Cost%20Analysis%20Guidance%202025%20Update%20II%20%28Final%29.pdf.  Original DOT policy is available at https://www.transportation.gov/sites/dot.gov/files/docs/2016%20Revised%20Value%20of%20Travel%20Time%20Guidance.pdf.  Accessed July 21, 2025.  </w:t>
      </w:r>
      <w:bookmarkEnd w:id="17"/>
    </w:p>
    <w:p w:rsidR="00E7070B" w:rsidP="00E7070B" w14:paraId="3E55F5E6" w14:textId="77777777">
      <w:pPr>
        <w:pStyle w:val="FootnoteText"/>
        <w:rPr>
          <w:rFonts w:ascii="Times New Roman" w:hAnsi="Times New Roman" w:cs="Times New Roman"/>
          <w:sz w:val="18"/>
          <w:szCs w:val="18"/>
        </w:rPr>
      </w:pPr>
    </w:p>
    <w:p w:rsidR="00E7070B" w:rsidP="00E7070B" w14:paraId="02C75804" w14:textId="77777777">
      <w:pPr>
        <w:pStyle w:val="FootnoteText"/>
        <w:rPr>
          <w:rFonts w:ascii="Times New Roman" w:hAnsi="Times New Roman" w:cs="Times New Roman"/>
          <w:sz w:val="18"/>
          <w:szCs w:val="18"/>
        </w:rPr>
      </w:pPr>
      <w:r>
        <w:rPr>
          <w:rFonts w:ascii="Times New Roman" w:hAnsi="Times New Roman" w:cs="Times New Roman"/>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at:https://www.transportation.gov/sites/dot.gov/files/2025-05/Benefit%20Cost%20Analysis%20Guidance%202025%20Update%20II%20%28Final%29.pdf.  Accessed: July 21, 2025</w:t>
      </w:r>
      <w:r>
        <w:rPr>
          <w:rFonts w:ascii="Times New Roman" w:hAnsi="Times New Roman" w:cs="Times New Roman"/>
          <w:sz w:val="18"/>
          <w:szCs w:val="18"/>
        </w:rPr>
        <w:tab/>
      </w:r>
      <w:bookmarkStart w:id="19" w:name="OLE_LINK22"/>
    </w:p>
    <w:p w:rsidR="00E7070B" w:rsidP="00E7070B" w14:paraId="348854AA" w14:textId="77777777">
      <w:pPr>
        <w:pStyle w:val="FootnoteText"/>
        <w:rPr>
          <w:rFonts w:ascii="Times New Roman" w:hAnsi="Times New Roman" w:cs="Times New Roman"/>
          <w:sz w:val="18"/>
          <w:szCs w:val="18"/>
        </w:rPr>
      </w:pPr>
    </w:p>
    <w:p w:rsidR="00E7070B" w:rsidP="00E7070B" w14:paraId="6D24D4F9" w14:textId="77777777">
      <w:pPr>
        <w:pStyle w:val="FootnoteText"/>
        <w:rPr>
          <w:rFonts w:ascii="Times New Roman" w:hAnsi="Times New Roman" w:cs="Times New Roman"/>
          <w:sz w:val="18"/>
          <w:szCs w:val="18"/>
        </w:rPr>
      </w:pPr>
      <w:r>
        <w:rPr>
          <w:rFonts w:ascii="Times New Roman" w:hAnsi="Times New Roman" w:cs="Times New Roman"/>
          <w:sz w:val="18"/>
          <w:szCs w:val="18"/>
        </w:rPr>
        <w:t xml:space="preserve">Source for median household income: U.S. Census Bureau.  </w:t>
      </w:r>
      <w:r>
        <w:rPr>
          <w:rFonts w:ascii="Times New Roman" w:hAnsi="Times New Roman" w:cs="Times New Roman"/>
          <w:i/>
          <w:sz w:val="18"/>
          <w:szCs w:val="18"/>
        </w:rPr>
        <w:t>Income in the United States: 2023</w:t>
      </w:r>
      <w:r>
        <w:rPr>
          <w:rFonts w:ascii="Times New Roman" w:hAnsi="Times New Roman" w:cs="Times New Roman"/>
          <w:sz w:val="18"/>
          <w:szCs w:val="18"/>
        </w:rPr>
        <w:t>, “Table A-1: Income Summary Measures by Selected Characteristics 2022 and 2023”  September 10</w:t>
      </w:r>
      <w:r>
        <w:rPr>
          <w:rFonts w:ascii="Times New Roman" w:hAnsi="Times New Roman" w:cs="Times New Roman"/>
          <w:sz w:val="18"/>
          <w:szCs w:val="18"/>
          <w:vertAlign w:val="superscript"/>
        </w:rPr>
        <w:t>th</w:t>
      </w:r>
      <w:r>
        <w:rPr>
          <w:rFonts w:ascii="Times New Roman" w:hAnsi="Times New Roman" w:cs="Times New Roman"/>
          <w:sz w:val="18"/>
          <w:szCs w:val="18"/>
        </w:rPr>
        <w:t>, 2024.  Annual median household income is divided by 2,080 hours per year to find hourly wage rate.  Available athttps://www.census.gov/library/publications/2024/demo/p60-282.html.  Accessed June 21</w:t>
      </w:r>
      <w:r>
        <w:rPr>
          <w:rFonts w:ascii="Times New Roman" w:hAnsi="Times New Roman" w:cs="Times New Roman"/>
          <w:sz w:val="18"/>
          <w:szCs w:val="18"/>
          <w:vertAlign w:val="superscript"/>
        </w:rPr>
        <w:t>st</w:t>
      </w:r>
      <w:r>
        <w:rPr>
          <w:rFonts w:ascii="Times New Roman" w:hAnsi="Times New Roman" w:cs="Times New Roman"/>
          <w:sz w:val="18"/>
          <w:szCs w:val="18"/>
        </w:rPr>
        <w:t>, 2025.</w:t>
      </w:r>
      <w:bookmarkEnd w:id="19"/>
      <w:r>
        <w:rPr>
          <w:rFonts w:ascii="Times New Roman" w:hAnsi="Times New Roman" w:cs="Times New Roman"/>
          <w:sz w:val="18"/>
          <w:szCs w:val="18"/>
        </w:rPr>
        <w:t xml:space="preserve">  </w:t>
      </w:r>
    </w:p>
    <w:p w:rsidR="00E7070B" w:rsidP="00E7070B" w14:paraId="390B55C9" w14:textId="77777777">
      <w:pPr>
        <w:pStyle w:val="FootnoteText"/>
        <w:rPr>
          <w:rFonts w:ascii="Times New Roman" w:hAnsi="Times New Roman" w:cs="Times New Roman"/>
          <w:sz w:val="18"/>
          <w:szCs w:val="18"/>
        </w:rPr>
      </w:pPr>
    </w:p>
    <w:p w:rsidR="00E7070B" w:rsidP="00E7070B" w14:paraId="02E6C748" w14:textId="77777777">
      <w:pPr>
        <w:pStyle w:val="FootnoteText"/>
        <w:rPr>
          <w:rFonts w:ascii="Times New Roman" w:hAnsi="Times New Roman" w:cs="Times New Roman"/>
          <w:sz w:val="18"/>
          <w:szCs w:val="18"/>
          <w:lang w:val="en"/>
        </w:rPr>
      </w:pPr>
      <w:r>
        <w:rPr>
          <w:rFonts w:ascii="Times New Roman" w:hAnsi="Times New Roman" w:cs="Times New Roman"/>
          <w:sz w:val="18"/>
          <w:szCs w:val="18"/>
        </w:rPr>
        <w:t>Source of median wage rate: Bureau of Labor Statistics. Occupational Employment and Wage Statistics, “May 2023 National Occupational Employment and Wage Estimates United States.” Updated April 3, 2023.  Available at https://www.bls.gov/oes/2023/may/oes_nat.htm. Accessed June 17, 2025.  The total compensation to wages and salaries ratio (1.4516</w:t>
      </w:r>
      <w:r>
        <w:rPr>
          <w:rFonts w:ascii="Times New Roman" w:eastAsia="Times New Roman" w:hAnsi="Times New Roman" w:cs="Times New Roman"/>
          <w:color w:val="000000"/>
          <w:sz w:val="18"/>
          <w:szCs w:val="18"/>
        </w:rPr>
        <w:t>)</w:t>
      </w:r>
      <w:r>
        <w:rPr>
          <w:rFonts w:ascii="Times New Roman" w:hAnsi="Times New Roman" w:cs="Times New Roman"/>
          <w:sz w:val="18"/>
          <w:szCs w:val="18"/>
        </w:rPr>
        <w:t xml:space="preserve"> is equal to the total compensation cost per hour worked for all occupations ($45.42) divided by the wages and salaries cost per hour worked for the same occupation category ($31.29).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17, 2025.  CBP used wage statistics from 2023 for the calculation of travelers’ wages to match the recommended hourly values of the U.S. Department of Transportation’s most recent guidance. </w:t>
      </w:r>
    </w:p>
    <w:bookmarkEnd w:id="16"/>
    <w:bookmarkEnd w:id="18"/>
    <w:p w:rsidR="00E7070B" w:rsidP="00E7070B" w14:paraId="6A77BEAA" w14:textId="77777777">
      <w:pPr>
        <w:pStyle w:val="FootnoteText"/>
        <w:rPr>
          <w:rFonts w:ascii="Times New Roman" w:hAnsi="Times New Roman" w:cs="Times New Roman"/>
          <w:sz w:val="18"/>
          <w:szCs w:val="18"/>
        </w:rPr>
      </w:pPr>
    </w:p>
  </w:footnote>
  <w:footnote w:id="6">
    <w:p w:rsidR="00E7070B" w:rsidP="00E7070B" w14:paraId="0EDA71BB"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 Q1 - 2025 Q1 percent change in the Bureau of Economic Analysis's Implicit Price Deflators for Gross Domestic Product (127.408/121.251-1).  See “Table 1.1.9. Implicit Price Deflators for Gross Domestic Product,” Line 1 Gross Domestic Product, quarterly.  Bureau of Economic Analysis.  Updated May 30, 2025.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  Accessed June 17, 2025.</w:t>
      </w:r>
    </w:p>
  </w:footnote>
  <w:footnote w:id="7">
    <w:p w:rsidR="00580592" w:rsidP="00580592" w14:paraId="1AA4C2A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bookmarkStart w:id="21" w:name="OLE_LINK70"/>
      <w:r>
        <w:rPr>
          <w:rFonts w:ascii="Times New Roman" w:hAnsi="Times New Roman" w:cs="Times New Roman"/>
          <w:sz w:val="18"/>
          <w:szCs w:val="18"/>
        </w:rPr>
        <w:t xml:space="preserve">CBP bases this wage on the FY 2025 salary and benefits of the national average of CBP Officer Positions.  </w:t>
      </w:r>
      <w:bookmarkStart w:id="22" w:name="OLE_LINK39"/>
      <w:r>
        <w:rPr>
          <w:rFonts w:ascii="Times New Roman" w:hAnsi="Times New Roman" w:cs="Times New Roman"/>
          <w:sz w:val="18"/>
          <w:szCs w:val="18"/>
        </w:rPr>
        <w:t xml:space="preserve">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bookmarkEnd w:id="21"/>
      <w:bookmarkEnd w:id="2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7316B97"/>
    <w:multiLevelType w:val="hybridMultilevel"/>
    <w:tmpl w:val="E5E410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2F6C63"/>
    <w:multiLevelType w:val="hybridMultilevel"/>
    <w:tmpl w:val="50A43C3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611142"/>
    <w:multiLevelType w:val="multilevel"/>
    <w:tmpl w:val="75247B7A"/>
    <w:lvl w:ilvl="0">
      <w:start w:val="12"/>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C27FC7"/>
    <w:multiLevelType w:val="singleLevel"/>
    <w:tmpl w:val="A51EEF78"/>
    <w:lvl w:ilvl="0">
      <w:start w:val="6"/>
      <w:numFmt w:val="decimal"/>
      <w:lvlText w:val="%1."/>
      <w:lvlJc w:val="left"/>
      <w:pPr>
        <w:tabs>
          <w:tab w:val="num" w:pos="720"/>
        </w:tabs>
        <w:ind w:left="720" w:hanging="720"/>
      </w:pPr>
      <w:rPr>
        <w:rFont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702B19"/>
    <w:multiLevelType w:val="singleLevel"/>
    <w:tmpl w:val="439AD06E"/>
    <w:lvl w:ilvl="0">
      <w:start w:val="1"/>
      <w:numFmt w:val="decimal"/>
      <w:lvlText w:val="%1."/>
      <w:lvlJc w:val="left"/>
      <w:pPr>
        <w:tabs>
          <w:tab w:val="num" w:pos="720"/>
        </w:tabs>
        <w:ind w:left="720" w:hanging="720"/>
      </w:pPr>
      <w:rPr>
        <w:rFonts w:hint="default"/>
      </w:rPr>
    </w:lvl>
  </w:abstractNum>
  <w:abstractNum w:abstractNumId="10">
    <w:nsid w:val="48C02DAD"/>
    <w:multiLevelType w:val="hybridMultilevel"/>
    <w:tmpl w:val="12C2DE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B9D06DE"/>
    <w:multiLevelType w:val="hybridMultilevel"/>
    <w:tmpl w:val="C2188C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9054ED4"/>
    <w:multiLevelType w:val="singleLevel"/>
    <w:tmpl w:val="E16C8AB4"/>
    <w:lvl w:ilvl="0">
      <w:start w:val="14"/>
      <w:numFmt w:val="decimal"/>
      <w:lvlText w:val="%1."/>
      <w:lvlJc w:val="left"/>
      <w:pPr>
        <w:tabs>
          <w:tab w:val="num" w:pos="720"/>
        </w:tabs>
        <w:ind w:left="720" w:hanging="720"/>
      </w:pPr>
      <w:rPr>
        <w:rFonts w:hint="default"/>
      </w:rPr>
    </w:lvl>
  </w:abstractNum>
  <w:abstractNum w:abstractNumId="13">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59E78B9"/>
    <w:multiLevelType w:val="hybridMultilevel"/>
    <w:tmpl w:val="092634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457285"/>
    <w:multiLevelType w:val="hybridMultilevel"/>
    <w:tmpl w:val="6BB4789C"/>
    <w:lvl w:ilvl="0">
      <w:start w:val="12"/>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79AA3FDA"/>
    <w:multiLevelType w:val="hybridMultilevel"/>
    <w:tmpl w:val="C16013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B2810DA"/>
    <w:multiLevelType w:val="hybridMultilevel"/>
    <w:tmpl w:val="8FE833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8822602">
    <w:abstractNumId w:val="9"/>
  </w:num>
  <w:num w:numId="2" w16cid:durableId="1540822363">
    <w:abstractNumId w:val="12"/>
  </w:num>
  <w:num w:numId="3" w16cid:durableId="494959846">
    <w:abstractNumId w:val="5"/>
  </w:num>
  <w:num w:numId="4" w16cid:durableId="1793287437">
    <w:abstractNumId w:val="3"/>
  </w:num>
  <w:num w:numId="5" w16cid:durableId="861675281">
    <w:abstractNumId w:val="6"/>
  </w:num>
  <w:num w:numId="6" w16cid:durableId="779422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68312265">
    <w:abstractNumId w:val="14"/>
  </w:num>
  <w:num w:numId="8" w16cid:durableId="1213730747">
    <w:abstractNumId w:val="7"/>
  </w:num>
  <w:num w:numId="9" w16cid:durableId="167142228">
    <w:abstractNumId w:val="8"/>
  </w:num>
  <w:num w:numId="10" w16cid:durableId="492797268">
    <w:abstractNumId w:val="18"/>
  </w:num>
  <w:num w:numId="11" w16cid:durableId="205531861">
    <w:abstractNumId w:val="13"/>
  </w:num>
  <w:num w:numId="12" w16cid:durableId="2128114904">
    <w:abstractNumId w:val="1"/>
  </w:num>
  <w:num w:numId="13" w16cid:durableId="430047906">
    <w:abstractNumId w:val="16"/>
  </w:num>
  <w:num w:numId="14" w16cid:durableId="2059359693">
    <w:abstractNumId w:val="4"/>
  </w:num>
  <w:num w:numId="15" w16cid:durableId="1131823956">
    <w:abstractNumId w:val="19"/>
  </w:num>
  <w:num w:numId="16" w16cid:durableId="1488746281">
    <w:abstractNumId w:val="10"/>
  </w:num>
  <w:num w:numId="17" w16cid:durableId="1401518963">
    <w:abstractNumId w:val="11"/>
  </w:num>
  <w:num w:numId="18" w16cid:durableId="1402943702">
    <w:abstractNumId w:val="2"/>
  </w:num>
  <w:num w:numId="19" w16cid:durableId="413431350">
    <w:abstractNumId w:val="17"/>
  </w:num>
  <w:num w:numId="20" w16cid:durableId="2124880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7E"/>
    <w:rsid w:val="00002461"/>
    <w:rsid w:val="0001278F"/>
    <w:rsid w:val="00012F71"/>
    <w:rsid w:val="00013252"/>
    <w:rsid w:val="00016BD2"/>
    <w:rsid w:val="00020A8C"/>
    <w:rsid w:val="00025FAF"/>
    <w:rsid w:val="00026806"/>
    <w:rsid w:val="00072A0B"/>
    <w:rsid w:val="0007363D"/>
    <w:rsid w:val="00081018"/>
    <w:rsid w:val="0008484E"/>
    <w:rsid w:val="000850D0"/>
    <w:rsid w:val="00086105"/>
    <w:rsid w:val="000908E5"/>
    <w:rsid w:val="00091599"/>
    <w:rsid w:val="000917BE"/>
    <w:rsid w:val="000938D6"/>
    <w:rsid w:val="000961D3"/>
    <w:rsid w:val="000966C1"/>
    <w:rsid w:val="000A11D0"/>
    <w:rsid w:val="000B1A4F"/>
    <w:rsid w:val="000B286B"/>
    <w:rsid w:val="000B4DA2"/>
    <w:rsid w:val="000B5A9F"/>
    <w:rsid w:val="000C1403"/>
    <w:rsid w:val="000C2B85"/>
    <w:rsid w:val="000C62DE"/>
    <w:rsid w:val="000D34E8"/>
    <w:rsid w:val="000D4895"/>
    <w:rsid w:val="000E31E1"/>
    <w:rsid w:val="000F3C19"/>
    <w:rsid w:val="000F5FE4"/>
    <w:rsid w:val="000F6DD0"/>
    <w:rsid w:val="000F7C1A"/>
    <w:rsid w:val="00104F69"/>
    <w:rsid w:val="00110B19"/>
    <w:rsid w:val="00113AE5"/>
    <w:rsid w:val="00113AEF"/>
    <w:rsid w:val="001207D8"/>
    <w:rsid w:val="00124C1F"/>
    <w:rsid w:val="00132447"/>
    <w:rsid w:val="00133A79"/>
    <w:rsid w:val="00135BC1"/>
    <w:rsid w:val="0013748D"/>
    <w:rsid w:val="00141168"/>
    <w:rsid w:val="00141C42"/>
    <w:rsid w:val="001421F1"/>
    <w:rsid w:val="001441C2"/>
    <w:rsid w:val="0014480B"/>
    <w:rsid w:val="0014483F"/>
    <w:rsid w:val="00151F7E"/>
    <w:rsid w:val="00164958"/>
    <w:rsid w:val="001814E0"/>
    <w:rsid w:val="00192A8F"/>
    <w:rsid w:val="00193D86"/>
    <w:rsid w:val="001A225E"/>
    <w:rsid w:val="001A3BF0"/>
    <w:rsid w:val="001B0ED5"/>
    <w:rsid w:val="001B1C69"/>
    <w:rsid w:val="001B7592"/>
    <w:rsid w:val="001C3496"/>
    <w:rsid w:val="001D1724"/>
    <w:rsid w:val="001D2280"/>
    <w:rsid w:val="001D356E"/>
    <w:rsid w:val="001D35BC"/>
    <w:rsid w:val="001D4A98"/>
    <w:rsid w:val="001E68A0"/>
    <w:rsid w:val="001E7BB3"/>
    <w:rsid w:val="001F31D1"/>
    <w:rsid w:val="001F661B"/>
    <w:rsid w:val="001F7DC5"/>
    <w:rsid w:val="00201DDD"/>
    <w:rsid w:val="002020C0"/>
    <w:rsid w:val="00210A9F"/>
    <w:rsid w:val="00220DA1"/>
    <w:rsid w:val="00224BFB"/>
    <w:rsid w:val="00225658"/>
    <w:rsid w:val="00225F4F"/>
    <w:rsid w:val="00225FC7"/>
    <w:rsid w:val="0024336F"/>
    <w:rsid w:val="002473E1"/>
    <w:rsid w:val="00247C9A"/>
    <w:rsid w:val="00251E86"/>
    <w:rsid w:val="002520D6"/>
    <w:rsid w:val="00252962"/>
    <w:rsid w:val="00256D11"/>
    <w:rsid w:val="00256D4B"/>
    <w:rsid w:val="00262046"/>
    <w:rsid w:val="00263716"/>
    <w:rsid w:val="00267F40"/>
    <w:rsid w:val="002718ED"/>
    <w:rsid w:val="00274A82"/>
    <w:rsid w:val="00277E97"/>
    <w:rsid w:val="002823AC"/>
    <w:rsid w:val="00282723"/>
    <w:rsid w:val="00284EC3"/>
    <w:rsid w:val="00285389"/>
    <w:rsid w:val="00285508"/>
    <w:rsid w:val="00285AC6"/>
    <w:rsid w:val="002A2685"/>
    <w:rsid w:val="002A568C"/>
    <w:rsid w:val="002B0123"/>
    <w:rsid w:val="002B4AB0"/>
    <w:rsid w:val="002C03F8"/>
    <w:rsid w:val="002C0F9F"/>
    <w:rsid w:val="002C2787"/>
    <w:rsid w:val="002C50F3"/>
    <w:rsid w:val="002C5DC5"/>
    <w:rsid w:val="002D2EE1"/>
    <w:rsid w:val="002D554E"/>
    <w:rsid w:val="002E0C1F"/>
    <w:rsid w:val="002E354A"/>
    <w:rsid w:val="002E5A51"/>
    <w:rsid w:val="002F0DDC"/>
    <w:rsid w:val="002F3F53"/>
    <w:rsid w:val="00300132"/>
    <w:rsid w:val="003038CF"/>
    <w:rsid w:val="003040E1"/>
    <w:rsid w:val="00322E0F"/>
    <w:rsid w:val="00325DC8"/>
    <w:rsid w:val="00327469"/>
    <w:rsid w:val="00334CA2"/>
    <w:rsid w:val="00340193"/>
    <w:rsid w:val="003510E6"/>
    <w:rsid w:val="003637F7"/>
    <w:rsid w:val="00364B0D"/>
    <w:rsid w:val="00373998"/>
    <w:rsid w:val="0037458B"/>
    <w:rsid w:val="00374F47"/>
    <w:rsid w:val="00377C5B"/>
    <w:rsid w:val="0038692A"/>
    <w:rsid w:val="00387E75"/>
    <w:rsid w:val="00390428"/>
    <w:rsid w:val="00390EF3"/>
    <w:rsid w:val="00394DB3"/>
    <w:rsid w:val="00395781"/>
    <w:rsid w:val="003B0464"/>
    <w:rsid w:val="003B116A"/>
    <w:rsid w:val="003B1ABF"/>
    <w:rsid w:val="003B3EAF"/>
    <w:rsid w:val="003B6E50"/>
    <w:rsid w:val="003C05A8"/>
    <w:rsid w:val="003C0A9E"/>
    <w:rsid w:val="003C1C97"/>
    <w:rsid w:val="003C27BB"/>
    <w:rsid w:val="003C7003"/>
    <w:rsid w:val="003D70DA"/>
    <w:rsid w:val="003D7159"/>
    <w:rsid w:val="003E39D0"/>
    <w:rsid w:val="003E4389"/>
    <w:rsid w:val="003E5F20"/>
    <w:rsid w:val="003E72A9"/>
    <w:rsid w:val="003F2A05"/>
    <w:rsid w:val="003F5519"/>
    <w:rsid w:val="003F73C2"/>
    <w:rsid w:val="00400298"/>
    <w:rsid w:val="00406E2B"/>
    <w:rsid w:val="004074FF"/>
    <w:rsid w:val="0040759B"/>
    <w:rsid w:val="00415171"/>
    <w:rsid w:val="004166A2"/>
    <w:rsid w:val="00416840"/>
    <w:rsid w:val="00427FA9"/>
    <w:rsid w:val="00430113"/>
    <w:rsid w:val="004359F0"/>
    <w:rsid w:val="00436AF0"/>
    <w:rsid w:val="00446F2C"/>
    <w:rsid w:val="004557C7"/>
    <w:rsid w:val="00457CB5"/>
    <w:rsid w:val="00461D0E"/>
    <w:rsid w:val="00462B28"/>
    <w:rsid w:val="004650E6"/>
    <w:rsid w:val="00465B64"/>
    <w:rsid w:val="004701A3"/>
    <w:rsid w:val="00476606"/>
    <w:rsid w:val="00477BFB"/>
    <w:rsid w:val="00481C07"/>
    <w:rsid w:val="00484F99"/>
    <w:rsid w:val="00487832"/>
    <w:rsid w:val="004909C0"/>
    <w:rsid w:val="00495301"/>
    <w:rsid w:val="00497F28"/>
    <w:rsid w:val="004A0C39"/>
    <w:rsid w:val="004B0DA1"/>
    <w:rsid w:val="004B23FA"/>
    <w:rsid w:val="004B3FCA"/>
    <w:rsid w:val="004C1E20"/>
    <w:rsid w:val="004C4595"/>
    <w:rsid w:val="004C60CB"/>
    <w:rsid w:val="004C7C93"/>
    <w:rsid w:val="004D2B94"/>
    <w:rsid w:val="004E3824"/>
    <w:rsid w:val="004E5957"/>
    <w:rsid w:val="004E5E1F"/>
    <w:rsid w:val="004E793B"/>
    <w:rsid w:val="004F13C2"/>
    <w:rsid w:val="004F656E"/>
    <w:rsid w:val="004F6758"/>
    <w:rsid w:val="005016DC"/>
    <w:rsid w:val="005018CF"/>
    <w:rsid w:val="00501C38"/>
    <w:rsid w:val="00506861"/>
    <w:rsid w:val="00510074"/>
    <w:rsid w:val="00512035"/>
    <w:rsid w:val="00512610"/>
    <w:rsid w:val="00522208"/>
    <w:rsid w:val="0052260E"/>
    <w:rsid w:val="00536A49"/>
    <w:rsid w:val="00536EF6"/>
    <w:rsid w:val="00537EA2"/>
    <w:rsid w:val="005406F5"/>
    <w:rsid w:val="00542976"/>
    <w:rsid w:val="00542FDE"/>
    <w:rsid w:val="005455E2"/>
    <w:rsid w:val="00545E76"/>
    <w:rsid w:val="00550330"/>
    <w:rsid w:val="00551962"/>
    <w:rsid w:val="005607D5"/>
    <w:rsid w:val="00560942"/>
    <w:rsid w:val="005778F7"/>
    <w:rsid w:val="00580592"/>
    <w:rsid w:val="00584663"/>
    <w:rsid w:val="0059256C"/>
    <w:rsid w:val="00593AC3"/>
    <w:rsid w:val="00593BC5"/>
    <w:rsid w:val="00594889"/>
    <w:rsid w:val="00594B95"/>
    <w:rsid w:val="005B00A2"/>
    <w:rsid w:val="005B0334"/>
    <w:rsid w:val="005B2CB6"/>
    <w:rsid w:val="005B7E8A"/>
    <w:rsid w:val="005C0F4C"/>
    <w:rsid w:val="005C19AF"/>
    <w:rsid w:val="005C2D59"/>
    <w:rsid w:val="005D1AD0"/>
    <w:rsid w:val="005D425F"/>
    <w:rsid w:val="005D4E34"/>
    <w:rsid w:val="005D66FE"/>
    <w:rsid w:val="005F5B6E"/>
    <w:rsid w:val="006079D5"/>
    <w:rsid w:val="00610A13"/>
    <w:rsid w:val="00611C15"/>
    <w:rsid w:val="0061206F"/>
    <w:rsid w:val="00614E97"/>
    <w:rsid w:val="00622A19"/>
    <w:rsid w:val="00626E21"/>
    <w:rsid w:val="00627475"/>
    <w:rsid w:val="00630A33"/>
    <w:rsid w:val="006329A5"/>
    <w:rsid w:val="00635C99"/>
    <w:rsid w:val="00640738"/>
    <w:rsid w:val="00640D1E"/>
    <w:rsid w:val="00641B2B"/>
    <w:rsid w:val="00642B32"/>
    <w:rsid w:val="0064499F"/>
    <w:rsid w:val="00646197"/>
    <w:rsid w:val="0065036E"/>
    <w:rsid w:val="00651654"/>
    <w:rsid w:val="006523EF"/>
    <w:rsid w:val="0065480D"/>
    <w:rsid w:val="0066258B"/>
    <w:rsid w:val="006643E3"/>
    <w:rsid w:val="00670E52"/>
    <w:rsid w:val="0067325A"/>
    <w:rsid w:val="0067480E"/>
    <w:rsid w:val="006764E2"/>
    <w:rsid w:val="006810ED"/>
    <w:rsid w:val="00685265"/>
    <w:rsid w:val="00687414"/>
    <w:rsid w:val="006911A7"/>
    <w:rsid w:val="006917A9"/>
    <w:rsid w:val="006A3247"/>
    <w:rsid w:val="006A419F"/>
    <w:rsid w:val="006A707B"/>
    <w:rsid w:val="006B1E3F"/>
    <w:rsid w:val="006C3C44"/>
    <w:rsid w:val="006D4EE5"/>
    <w:rsid w:val="006E3000"/>
    <w:rsid w:val="006E4B42"/>
    <w:rsid w:val="006E5700"/>
    <w:rsid w:val="006F1D06"/>
    <w:rsid w:val="006F1ECC"/>
    <w:rsid w:val="006F4B7D"/>
    <w:rsid w:val="006F4DCB"/>
    <w:rsid w:val="006F5E93"/>
    <w:rsid w:val="00700972"/>
    <w:rsid w:val="00712898"/>
    <w:rsid w:val="00714771"/>
    <w:rsid w:val="00716D38"/>
    <w:rsid w:val="00730F90"/>
    <w:rsid w:val="00731855"/>
    <w:rsid w:val="00734BE4"/>
    <w:rsid w:val="00736631"/>
    <w:rsid w:val="00740732"/>
    <w:rsid w:val="00744260"/>
    <w:rsid w:val="0074495B"/>
    <w:rsid w:val="00744F9C"/>
    <w:rsid w:val="007476E9"/>
    <w:rsid w:val="0075114D"/>
    <w:rsid w:val="00766CAD"/>
    <w:rsid w:val="0076735A"/>
    <w:rsid w:val="007852AC"/>
    <w:rsid w:val="00785ADF"/>
    <w:rsid w:val="00787393"/>
    <w:rsid w:val="0079222D"/>
    <w:rsid w:val="00797372"/>
    <w:rsid w:val="007A7EF5"/>
    <w:rsid w:val="007C29C5"/>
    <w:rsid w:val="007D1368"/>
    <w:rsid w:val="007D4AB0"/>
    <w:rsid w:val="007D7B2D"/>
    <w:rsid w:val="007E13AB"/>
    <w:rsid w:val="007E1F36"/>
    <w:rsid w:val="007F1A4A"/>
    <w:rsid w:val="007F20CA"/>
    <w:rsid w:val="00800023"/>
    <w:rsid w:val="00801E08"/>
    <w:rsid w:val="00804344"/>
    <w:rsid w:val="00813329"/>
    <w:rsid w:val="00813F5E"/>
    <w:rsid w:val="0081729D"/>
    <w:rsid w:val="00817D15"/>
    <w:rsid w:val="00820498"/>
    <w:rsid w:val="00824D9A"/>
    <w:rsid w:val="00826C20"/>
    <w:rsid w:val="008325E4"/>
    <w:rsid w:val="008504BB"/>
    <w:rsid w:val="00853772"/>
    <w:rsid w:val="008551F3"/>
    <w:rsid w:val="00856F22"/>
    <w:rsid w:val="008576BC"/>
    <w:rsid w:val="00861377"/>
    <w:rsid w:val="00872DAA"/>
    <w:rsid w:val="00873BD7"/>
    <w:rsid w:val="008752AB"/>
    <w:rsid w:val="00876527"/>
    <w:rsid w:val="00877058"/>
    <w:rsid w:val="00882E2D"/>
    <w:rsid w:val="008848DC"/>
    <w:rsid w:val="0088490D"/>
    <w:rsid w:val="008857E3"/>
    <w:rsid w:val="00885885"/>
    <w:rsid w:val="00891A22"/>
    <w:rsid w:val="00891C23"/>
    <w:rsid w:val="00891E02"/>
    <w:rsid w:val="0089415C"/>
    <w:rsid w:val="00895976"/>
    <w:rsid w:val="008971FC"/>
    <w:rsid w:val="008A6C02"/>
    <w:rsid w:val="008A77AC"/>
    <w:rsid w:val="008B5066"/>
    <w:rsid w:val="008D76AE"/>
    <w:rsid w:val="008D7C62"/>
    <w:rsid w:val="008E0D8A"/>
    <w:rsid w:val="008E117C"/>
    <w:rsid w:val="008E1E78"/>
    <w:rsid w:val="008E571D"/>
    <w:rsid w:val="008E5A2C"/>
    <w:rsid w:val="008E7403"/>
    <w:rsid w:val="00902CB1"/>
    <w:rsid w:val="0090660F"/>
    <w:rsid w:val="0090680C"/>
    <w:rsid w:val="009108A7"/>
    <w:rsid w:val="0091105A"/>
    <w:rsid w:val="0091686D"/>
    <w:rsid w:val="00917E22"/>
    <w:rsid w:val="00920B4F"/>
    <w:rsid w:val="009211E0"/>
    <w:rsid w:val="0092226B"/>
    <w:rsid w:val="00925CE4"/>
    <w:rsid w:val="00927B95"/>
    <w:rsid w:val="00930D5F"/>
    <w:rsid w:val="00930D7F"/>
    <w:rsid w:val="009325C6"/>
    <w:rsid w:val="0094003A"/>
    <w:rsid w:val="00941393"/>
    <w:rsid w:val="0094325E"/>
    <w:rsid w:val="0094396A"/>
    <w:rsid w:val="00945B2B"/>
    <w:rsid w:val="009476AB"/>
    <w:rsid w:val="009477CD"/>
    <w:rsid w:val="009627DF"/>
    <w:rsid w:val="0096654D"/>
    <w:rsid w:val="00971B93"/>
    <w:rsid w:val="00975DC6"/>
    <w:rsid w:val="00977C1A"/>
    <w:rsid w:val="0098015D"/>
    <w:rsid w:val="00984A22"/>
    <w:rsid w:val="0099095D"/>
    <w:rsid w:val="00994603"/>
    <w:rsid w:val="009A0318"/>
    <w:rsid w:val="009A325C"/>
    <w:rsid w:val="009A38F2"/>
    <w:rsid w:val="009A6023"/>
    <w:rsid w:val="009B4541"/>
    <w:rsid w:val="009C038C"/>
    <w:rsid w:val="009C05C0"/>
    <w:rsid w:val="009C167B"/>
    <w:rsid w:val="009C2258"/>
    <w:rsid w:val="009C580B"/>
    <w:rsid w:val="009C7B19"/>
    <w:rsid w:val="009D01C7"/>
    <w:rsid w:val="009E528F"/>
    <w:rsid w:val="00A02B23"/>
    <w:rsid w:val="00A0431E"/>
    <w:rsid w:val="00A064A0"/>
    <w:rsid w:val="00A151AB"/>
    <w:rsid w:val="00A1572D"/>
    <w:rsid w:val="00A16B60"/>
    <w:rsid w:val="00A2041E"/>
    <w:rsid w:val="00A23FBD"/>
    <w:rsid w:val="00A31568"/>
    <w:rsid w:val="00A3396E"/>
    <w:rsid w:val="00A34AA9"/>
    <w:rsid w:val="00A42142"/>
    <w:rsid w:val="00A4319D"/>
    <w:rsid w:val="00A44323"/>
    <w:rsid w:val="00A547BD"/>
    <w:rsid w:val="00A56E49"/>
    <w:rsid w:val="00A62295"/>
    <w:rsid w:val="00A64BD4"/>
    <w:rsid w:val="00A66968"/>
    <w:rsid w:val="00A66A11"/>
    <w:rsid w:val="00A71F1C"/>
    <w:rsid w:val="00A721D2"/>
    <w:rsid w:val="00A7294C"/>
    <w:rsid w:val="00A7721C"/>
    <w:rsid w:val="00A90B4C"/>
    <w:rsid w:val="00A90F50"/>
    <w:rsid w:val="00AA6262"/>
    <w:rsid w:val="00AA6DA0"/>
    <w:rsid w:val="00AB0F0F"/>
    <w:rsid w:val="00AB4596"/>
    <w:rsid w:val="00AB527A"/>
    <w:rsid w:val="00AC0D74"/>
    <w:rsid w:val="00AC0E76"/>
    <w:rsid w:val="00AC0FB0"/>
    <w:rsid w:val="00AC7CB1"/>
    <w:rsid w:val="00AD24BB"/>
    <w:rsid w:val="00AD73E0"/>
    <w:rsid w:val="00AE4518"/>
    <w:rsid w:val="00AE6488"/>
    <w:rsid w:val="00AE6CC7"/>
    <w:rsid w:val="00AF265B"/>
    <w:rsid w:val="00AF37C5"/>
    <w:rsid w:val="00AF7060"/>
    <w:rsid w:val="00B05CF6"/>
    <w:rsid w:val="00B077A1"/>
    <w:rsid w:val="00B16E02"/>
    <w:rsid w:val="00B3113B"/>
    <w:rsid w:val="00B341B5"/>
    <w:rsid w:val="00B4504C"/>
    <w:rsid w:val="00B506EC"/>
    <w:rsid w:val="00B54D3D"/>
    <w:rsid w:val="00B62C47"/>
    <w:rsid w:val="00B65422"/>
    <w:rsid w:val="00B757A9"/>
    <w:rsid w:val="00B77DBF"/>
    <w:rsid w:val="00B80083"/>
    <w:rsid w:val="00B83E01"/>
    <w:rsid w:val="00B8478E"/>
    <w:rsid w:val="00B94102"/>
    <w:rsid w:val="00B97E2D"/>
    <w:rsid w:val="00BA0531"/>
    <w:rsid w:val="00BA0CBE"/>
    <w:rsid w:val="00BA36F2"/>
    <w:rsid w:val="00BA4BEC"/>
    <w:rsid w:val="00BA65C9"/>
    <w:rsid w:val="00BC3913"/>
    <w:rsid w:val="00BC3E8C"/>
    <w:rsid w:val="00BD140A"/>
    <w:rsid w:val="00BD24E9"/>
    <w:rsid w:val="00BD3ADF"/>
    <w:rsid w:val="00BD54F3"/>
    <w:rsid w:val="00BE112D"/>
    <w:rsid w:val="00BE2288"/>
    <w:rsid w:val="00BE3511"/>
    <w:rsid w:val="00BE4878"/>
    <w:rsid w:val="00BE4D4F"/>
    <w:rsid w:val="00BF391F"/>
    <w:rsid w:val="00C02AC9"/>
    <w:rsid w:val="00C04146"/>
    <w:rsid w:val="00C04692"/>
    <w:rsid w:val="00C21947"/>
    <w:rsid w:val="00C2385F"/>
    <w:rsid w:val="00C23CF6"/>
    <w:rsid w:val="00C26CB5"/>
    <w:rsid w:val="00C35F12"/>
    <w:rsid w:val="00C42BF0"/>
    <w:rsid w:val="00C433F1"/>
    <w:rsid w:val="00C44CBE"/>
    <w:rsid w:val="00C47181"/>
    <w:rsid w:val="00C51571"/>
    <w:rsid w:val="00C5185B"/>
    <w:rsid w:val="00C537EF"/>
    <w:rsid w:val="00C73A0B"/>
    <w:rsid w:val="00C74160"/>
    <w:rsid w:val="00C76BC1"/>
    <w:rsid w:val="00C7777F"/>
    <w:rsid w:val="00C80170"/>
    <w:rsid w:val="00C83F44"/>
    <w:rsid w:val="00C857A3"/>
    <w:rsid w:val="00C866D3"/>
    <w:rsid w:val="00C86E8C"/>
    <w:rsid w:val="00C86F13"/>
    <w:rsid w:val="00C9189E"/>
    <w:rsid w:val="00C9249E"/>
    <w:rsid w:val="00CA5CC1"/>
    <w:rsid w:val="00CA78D9"/>
    <w:rsid w:val="00CB0D27"/>
    <w:rsid w:val="00CB286B"/>
    <w:rsid w:val="00CB2D6F"/>
    <w:rsid w:val="00CB3375"/>
    <w:rsid w:val="00CB359F"/>
    <w:rsid w:val="00CB3D62"/>
    <w:rsid w:val="00CB5DF7"/>
    <w:rsid w:val="00CB7C0D"/>
    <w:rsid w:val="00CC0C1B"/>
    <w:rsid w:val="00CD17AA"/>
    <w:rsid w:val="00CD597D"/>
    <w:rsid w:val="00CE2051"/>
    <w:rsid w:val="00CE39FB"/>
    <w:rsid w:val="00CE4CF7"/>
    <w:rsid w:val="00CE6CE8"/>
    <w:rsid w:val="00CE76BF"/>
    <w:rsid w:val="00CF172A"/>
    <w:rsid w:val="00CF5D40"/>
    <w:rsid w:val="00CF5DFB"/>
    <w:rsid w:val="00D00055"/>
    <w:rsid w:val="00D01FD1"/>
    <w:rsid w:val="00D074F5"/>
    <w:rsid w:val="00D120E5"/>
    <w:rsid w:val="00D12D5C"/>
    <w:rsid w:val="00D13516"/>
    <w:rsid w:val="00D224A7"/>
    <w:rsid w:val="00D267CF"/>
    <w:rsid w:val="00D328A3"/>
    <w:rsid w:val="00D32979"/>
    <w:rsid w:val="00D3595A"/>
    <w:rsid w:val="00D406C0"/>
    <w:rsid w:val="00D4118C"/>
    <w:rsid w:val="00D41379"/>
    <w:rsid w:val="00D41D71"/>
    <w:rsid w:val="00D44352"/>
    <w:rsid w:val="00D46684"/>
    <w:rsid w:val="00D5044E"/>
    <w:rsid w:val="00D55549"/>
    <w:rsid w:val="00D57951"/>
    <w:rsid w:val="00D63F1C"/>
    <w:rsid w:val="00D70A85"/>
    <w:rsid w:val="00D739BA"/>
    <w:rsid w:val="00D74DDE"/>
    <w:rsid w:val="00D845AE"/>
    <w:rsid w:val="00D86AF0"/>
    <w:rsid w:val="00D922E5"/>
    <w:rsid w:val="00DA1C6A"/>
    <w:rsid w:val="00DB219C"/>
    <w:rsid w:val="00DB251B"/>
    <w:rsid w:val="00DB37E9"/>
    <w:rsid w:val="00DB488C"/>
    <w:rsid w:val="00DB55F5"/>
    <w:rsid w:val="00DC33ED"/>
    <w:rsid w:val="00DC455D"/>
    <w:rsid w:val="00DD16BC"/>
    <w:rsid w:val="00DD2E2F"/>
    <w:rsid w:val="00DD5851"/>
    <w:rsid w:val="00DD68A5"/>
    <w:rsid w:val="00DE1F54"/>
    <w:rsid w:val="00DE2569"/>
    <w:rsid w:val="00DE3DF7"/>
    <w:rsid w:val="00DE5900"/>
    <w:rsid w:val="00E00C7C"/>
    <w:rsid w:val="00E030B9"/>
    <w:rsid w:val="00E05055"/>
    <w:rsid w:val="00E06743"/>
    <w:rsid w:val="00E1084D"/>
    <w:rsid w:val="00E16247"/>
    <w:rsid w:val="00E2023A"/>
    <w:rsid w:val="00E2157A"/>
    <w:rsid w:val="00E235F1"/>
    <w:rsid w:val="00E2455F"/>
    <w:rsid w:val="00E37058"/>
    <w:rsid w:val="00E4035F"/>
    <w:rsid w:val="00E55E9E"/>
    <w:rsid w:val="00E56784"/>
    <w:rsid w:val="00E7070B"/>
    <w:rsid w:val="00E73C30"/>
    <w:rsid w:val="00E73D95"/>
    <w:rsid w:val="00E752A8"/>
    <w:rsid w:val="00E878CC"/>
    <w:rsid w:val="00E905CF"/>
    <w:rsid w:val="00E90961"/>
    <w:rsid w:val="00E91F81"/>
    <w:rsid w:val="00E96F0C"/>
    <w:rsid w:val="00EB767E"/>
    <w:rsid w:val="00EB7AEB"/>
    <w:rsid w:val="00EC084A"/>
    <w:rsid w:val="00EC207D"/>
    <w:rsid w:val="00ED033A"/>
    <w:rsid w:val="00ED3D4D"/>
    <w:rsid w:val="00ED474A"/>
    <w:rsid w:val="00ED4B51"/>
    <w:rsid w:val="00EE178F"/>
    <w:rsid w:val="00EE31E5"/>
    <w:rsid w:val="00F014DE"/>
    <w:rsid w:val="00F0301E"/>
    <w:rsid w:val="00F03023"/>
    <w:rsid w:val="00F07027"/>
    <w:rsid w:val="00F1386F"/>
    <w:rsid w:val="00F16BBC"/>
    <w:rsid w:val="00F238F5"/>
    <w:rsid w:val="00F253EC"/>
    <w:rsid w:val="00F301AF"/>
    <w:rsid w:val="00F30712"/>
    <w:rsid w:val="00F30957"/>
    <w:rsid w:val="00F3113B"/>
    <w:rsid w:val="00F31A2A"/>
    <w:rsid w:val="00F32A4E"/>
    <w:rsid w:val="00F365E9"/>
    <w:rsid w:val="00F36F63"/>
    <w:rsid w:val="00F40696"/>
    <w:rsid w:val="00F42EAA"/>
    <w:rsid w:val="00F44A54"/>
    <w:rsid w:val="00F556CC"/>
    <w:rsid w:val="00F60124"/>
    <w:rsid w:val="00F634AB"/>
    <w:rsid w:val="00F65CAB"/>
    <w:rsid w:val="00F664F2"/>
    <w:rsid w:val="00F700A4"/>
    <w:rsid w:val="00F7696E"/>
    <w:rsid w:val="00F7799C"/>
    <w:rsid w:val="00F810AA"/>
    <w:rsid w:val="00F825AB"/>
    <w:rsid w:val="00F86F4B"/>
    <w:rsid w:val="00F873B8"/>
    <w:rsid w:val="00F9195B"/>
    <w:rsid w:val="00F938AB"/>
    <w:rsid w:val="00F94B79"/>
    <w:rsid w:val="00F957E1"/>
    <w:rsid w:val="00F965E9"/>
    <w:rsid w:val="00F97545"/>
    <w:rsid w:val="00F97BB2"/>
    <w:rsid w:val="00FA1B05"/>
    <w:rsid w:val="00FA5893"/>
    <w:rsid w:val="00FA6F29"/>
    <w:rsid w:val="00FA7142"/>
    <w:rsid w:val="00FA78EC"/>
    <w:rsid w:val="00FB059D"/>
    <w:rsid w:val="00FB1D32"/>
    <w:rsid w:val="00FC1C30"/>
    <w:rsid w:val="00FC298F"/>
    <w:rsid w:val="00FC2CCB"/>
    <w:rsid w:val="00FC3976"/>
    <w:rsid w:val="00FD7640"/>
    <w:rsid w:val="00FE3F19"/>
    <w:rsid w:val="00FF2510"/>
    <w:rsid w:val="00FF56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D42AEF4"/>
  <w15:chartTrackingRefBased/>
  <w15:docId w15:val="{F33F7FC6-0B05-459D-A92F-791C6804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15D"/>
    <w:pPr>
      <w:widowControl w:val="0"/>
    </w:pPr>
    <w:rPr>
      <w:rFonts w:ascii="Courier New" w:hAnsi="Courier New"/>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917E22"/>
    <w:pPr>
      <w:spacing w:after="120" w:line="480" w:lineRule="auto"/>
      <w:ind w:left="360"/>
    </w:pPr>
    <w:rPr>
      <w:rFonts w:ascii="Courier" w:hAnsi="Courier"/>
    </w:rPr>
  </w:style>
  <w:style w:type="paragraph" w:customStyle="1" w:styleId="Level1">
    <w:name w:val="Level 1"/>
    <w:basedOn w:val="Normal"/>
    <w:rsid w:val="00917E22"/>
    <w:pPr>
      <w:numPr>
        <w:numId w:val="6"/>
      </w:numPr>
      <w:ind w:left="720" w:hanging="720"/>
      <w:outlineLvl w:val="0"/>
    </w:pPr>
    <w:rPr>
      <w:rFonts w:ascii="Times" w:hAnsi="Times"/>
    </w:rPr>
  </w:style>
  <w:style w:type="paragraph" w:customStyle="1" w:styleId="Style">
    <w:name w:val="Style"/>
    <w:basedOn w:val="Normal"/>
    <w:rsid w:val="00917E22"/>
    <w:pPr>
      <w:ind w:left="1440" w:hanging="720"/>
    </w:pPr>
    <w:rPr>
      <w:rFonts w:ascii="Times New Roman" w:hAnsi="Times New Roman"/>
    </w:rPr>
  </w:style>
  <w:style w:type="table" w:styleId="TableGrid">
    <w:name w:val="Table Grid"/>
    <w:basedOn w:val="TableNormal"/>
    <w:rsid w:val="00917E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17E22"/>
    <w:pPr>
      <w:spacing w:after="120"/>
    </w:pPr>
    <w:rPr>
      <w:rFonts w:ascii="Times New Roman" w:hAnsi="Times New Roman"/>
    </w:rPr>
  </w:style>
  <w:style w:type="paragraph" w:styleId="Footer">
    <w:name w:val="footer"/>
    <w:basedOn w:val="Normal"/>
    <w:rsid w:val="00277E97"/>
    <w:pPr>
      <w:tabs>
        <w:tab w:val="center" w:pos="4320"/>
        <w:tab w:val="right" w:pos="8640"/>
      </w:tabs>
    </w:pPr>
  </w:style>
  <w:style w:type="character" w:styleId="PageNumber">
    <w:name w:val="page number"/>
    <w:basedOn w:val="DefaultParagraphFont"/>
    <w:rsid w:val="00277E97"/>
  </w:style>
  <w:style w:type="paragraph" w:styleId="BalloonText">
    <w:name w:val="Balloon Text"/>
    <w:basedOn w:val="Normal"/>
    <w:semiHidden/>
    <w:rsid w:val="002520D6"/>
    <w:rPr>
      <w:rFonts w:ascii="Tahoma" w:hAnsi="Tahoma" w:cs="Tahoma"/>
      <w:sz w:val="16"/>
      <w:szCs w:val="16"/>
    </w:rPr>
  </w:style>
  <w:style w:type="character" w:styleId="Hyperlink">
    <w:name w:val="Hyperlink"/>
    <w:rsid w:val="0081729D"/>
    <w:rPr>
      <w:color w:val="0000FF"/>
      <w:u w:val="single"/>
    </w:rPr>
  </w:style>
  <w:style w:type="character" w:styleId="CommentReference">
    <w:name w:val="annotation reference"/>
    <w:rsid w:val="0089415C"/>
    <w:rPr>
      <w:sz w:val="16"/>
      <w:szCs w:val="16"/>
    </w:rPr>
  </w:style>
  <w:style w:type="paragraph" w:styleId="CommentText">
    <w:name w:val="annotation text"/>
    <w:basedOn w:val="Normal"/>
    <w:link w:val="CommentTextChar"/>
    <w:rsid w:val="0089415C"/>
    <w:rPr>
      <w:sz w:val="20"/>
    </w:rPr>
  </w:style>
  <w:style w:type="character" w:customStyle="1" w:styleId="CommentTextChar">
    <w:name w:val="Comment Text Char"/>
    <w:link w:val="CommentText"/>
    <w:rsid w:val="0089415C"/>
    <w:rPr>
      <w:rFonts w:ascii="Courier New" w:hAnsi="Courier New"/>
      <w:snapToGrid w:val="0"/>
    </w:rPr>
  </w:style>
  <w:style w:type="paragraph" w:styleId="CommentSubject">
    <w:name w:val="annotation subject"/>
    <w:basedOn w:val="CommentText"/>
    <w:next w:val="CommentText"/>
    <w:link w:val="CommentSubjectChar"/>
    <w:rsid w:val="0089415C"/>
    <w:rPr>
      <w:b/>
      <w:bCs/>
    </w:rPr>
  </w:style>
  <w:style w:type="character" w:customStyle="1" w:styleId="CommentSubjectChar">
    <w:name w:val="Comment Subject Char"/>
    <w:link w:val="CommentSubject"/>
    <w:rsid w:val="0089415C"/>
    <w:rPr>
      <w:rFonts w:ascii="Courier New" w:hAnsi="Courier New"/>
      <w:b/>
      <w:bCs/>
      <w:snapToGrid w:val="0"/>
    </w:rPr>
  </w:style>
  <w:style w:type="paragraph" w:styleId="EndnoteText">
    <w:name w:val="endnote text"/>
    <w:basedOn w:val="Normal"/>
    <w:link w:val="EndnoteTextChar"/>
    <w:unhideWhenUsed/>
    <w:rsid w:val="008A6C02"/>
    <w:pPr>
      <w:snapToGrid w:val="0"/>
    </w:pPr>
    <w:rPr>
      <w:snapToGrid/>
      <w:sz w:val="20"/>
    </w:rPr>
  </w:style>
  <w:style w:type="character" w:customStyle="1" w:styleId="EndnoteTextChar">
    <w:name w:val="Endnote Text Char"/>
    <w:link w:val="EndnoteText"/>
    <w:rsid w:val="008A6C02"/>
    <w:rPr>
      <w:rFonts w:ascii="Courier New" w:hAnsi="Courier New"/>
    </w:rPr>
  </w:style>
  <w:style w:type="character" w:styleId="EndnoteReference">
    <w:name w:val="endnote reference"/>
    <w:unhideWhenUsed/>
    <w:rsid w:val="008A6C02"/>
    <w:rPr>
      <w:vertAlign w:val="superscript"/>
    </w:rPr>
  </w:style>
  <w:style w:type="paragraph" w:styleId="FootnoteText">
    <w:name w:val="footnote text"/>
    <w:basedOn w:val="Normal"/>
    <w:link w:val="FootnoteTextChar"/>
    <w:unhideWhenUsed/>
    <w:rsid w:val="00BC3913"/>
    <w:pPr>
      <w:widowControl/>
    </w:pPr>
    <w:rPr>
      <w:rFonts w:ascii="Calibri" w:eastAsia="Calibri" w:hAnsi="Calibri" w:cs="Calibri"/>
      <w:snapToGrid/>
      <w:sz w:val="20"/>
    </w:rPr>
  </w:style>
  <w:style w:type="character" w:customStyle="1" w:styleId="FootnoteTextChar">
    <w:name w:val="Footnote Text Char"/>
    <w:link w:val="FootnoteText"/>
    <w:rsid w:val="00BC3913"/>
    <w:rPr>
      <w:rFonts w:ascii="Calibri" w:eastAsia="Calibri" w:hAnsi="Calibri" w:cs="Calibri"/>
    </w:rPr>
  </w:style>
  <w:style w:type="paragraph" w:styleId="Revision">
    <w:name w:val="Revision"/>
    <w:hidden/>
    <w:uiPriority w:val="99"/>
    <w:semiHidden/>
    <w:rsid w:val="00F97545"/>
    <w:rPr>
      <w:rFonts w:ascii="Courier New" w:hAnsi="Courier New"/>
      <w:snapToGrid w:val="0"/>
      <w:sz w:val="24"/>
    </w:rPr>
  </w:style>
  <w:style w:type="paragraph" w:styleId="ListParagraph">
    <w:name w:val="List Paragraph"/>
    <w:basedOn w:val="Normal"/>
    <w:uiPriority w:val="34"/>
    <w:qFormat/>
    <w:rsid w:val="00284EC3"/>
    <w:pPr>
      <w:ind w:left="720"/>
      <w:contextualSpacing/>
    </w:pPr>
  </w:style>
  <w:style w:type="character" w:styleId="UnresolvedMention">
    <w:name w:val="Unresolved Mention"/>
    <w:basedOn w:val="DefaultParagraphFont"/>
    <w:uiPriority w:val="99"/>
    <w:semiHidden/>
    <w:unhideWhenUsed/>
    <w:rsid w:val="00F0301E"/>
    <w:rPr>
      <w:color w:val="605E5C"/>
      <w:shd w:val="clear" w:color="auto" w:fill="E1DFDD"/>
    </w:rPr>
  </w:style>
  <w:style w:type="paragraph" w:styleId="Header">
    <w:name w:val="header"/>
    <w:basedOn w:val="Normal"/>
    <w:link w:val="HeaderChar"/>
    <w:rsid w:val="00E878CC"/>
    <w:pPr>
      <w:tabs>
        <w:tab w:val="center" w:pos="4680"/>
        <w:tab w:val="right" w:pos="9360"/>
      </w:tabs>
    </w:pPr>
  </w:style>
  <w:style w:type="character" w:customStyle="1" w:styleId="HeaderChar">
    <w:name w:val="Header Char"/>
    <w:basedOn w:val="DefaultParagraphFont"/>
    <w:link w:val="Header"/>
    <w:rsid w:val="00E878CC"/>
    <w:rPr>
      <w:rFonts w:ascii="Courier New" w:hAnsi="Courier New"/>
      <w:snapToGrid w:val="0"/>
      <w:sz w:val="24"/>
    </w:rPr>
  </w:style>
  <w:style w:type="paragraph" w:styleId="NormalWeb">
    <w:name w:val="Normal (Web)"/>
    <w:basedOn w:val="Normal"/>
    <w:uiPriority w:val="99"/>
    <w:unhideWhenUsed/>
    <w:rsid w:val="00F16BBC"/>
    <w:pPr>
      <w:widowControl/>
      <w:spacing w:before="100" w:beforeAutospacing="1" w:after="100" w:afterAutospacing="1"/>
    </w:pPr>
    <w:rPr>
      <w:rFonts w:ascii="Aptos" w:hAnsi="Aptos" w:eastAsiaTheme="minorHAnsi" w:cs="Apto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764A9693-B199-48E7-978F-66825826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FB95-CE44-45BD-AD8E-DE6DAEAF1AF7}">
  <ds:schemaRefs>
    <ds:schemaRef ds:uri="http://schemas.openxmlformats.org/officeDocument/2006/bibliography"/>
  </ds:schemaRefs>
</ds:datastoreItem>
</file>

<file path=customXml/itemProps3.xml><?xml version="1.0" encoding="utf-8"?>
<ds:datastoreItem xmlns:ds="http://schemas.openxmlformats.org/officeDocument/2006/customXml" ds:itemID="{166085B3-5E75-43AA-9BC4-E3D679D1A50F}">
  <ds:schemaRefs>
    <ds:schemaRef ds:uri="http://schemas.microsoft.com/sharepoint/v3/contenttype/forms"/>
  </ds:schemaRefs>
</ds:datastoreItem>
</file>

<file path=customXml/itemProps4.xml><?xml version="1.0" encoding="utf-8"?>
<ds:datastoreItem xmlns:ds="http://schemas.openxmlformats.org/officeDocument/2006/customXml" ds:itemID="{B65C250B-3ECB-4D0F-8180-DDB06738555D}">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2930</Words>
  <Characters>17100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2015-10-14T17:45:00Z</cp:lastPrinted>
  <dcterms:created xsi:type="dcterms:W3CDTF">2026-05-07T16:11:00Z</dcterms:created>
  <dcterms:modified xsi:type="dcterms:W3CDTF">2026-05-07T16:11:00Z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