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42C71" w:rsidRPr="001A59B6" w:rsidP="0040729D" w14:paraId="37F07D13" w14:textId="1BE8EBDC">
      <w:pPr>
        <w:spacing w:after="0"/>
        <w:rPr>
          <w:rFonts w:eastAsia="Arial Unicode MS" w:cstheme="minorHAnsi"/>
          <w:noProof/>
        </w:rPr>
      </w:pPr>
    </w:p>
    <w:p w:rsidR="00A42C71" w:rsidRPr="001A59B6" w:rsidP="00A42C71" w14:paraId="1FFB09D6" w14:textId="77777777">
      <w:pPr>
        <w:pStyle w:val="ReportCover-Title"/>
        <w:jc w:val="center"/>
        <w:rPr>
          <w:rFonts w:eastAsia="Arial Unicode MS" w:asciiTheme="minorHAnsi" w:hAnsiTheme="minorHAnsi" w:cstheme="minorHAnsi"/>
          <w:noProof/>
          <w:color w:val="auto"/>
        </w:rPr>
      </w:pPr>
    </w:p>
    <w:p w:rsidR="00FF656D" w:rsidRPr="009139B3" w:rsidP="00FF656D" w14:paraId="1A6B39B3" w14:textId="77777777">
      <w:pPr>
        <w:pStyle w:val="ReportCover-Title"/>
        <w:jc w:val="center"/>
        <w:rPr>
          <w:rFonts w:ascii="Arial" w:hAnsi="Arial" w:cs="Arial"/>
          <w:color w:val="auto"/>
        </w:rPr>
      </w:pPr>
      <w:r w:rsidRPr="003A27ED">
        <w:rPr>
          <w:rFonts w:ascii="Arial" w:eastAsia="Arial Unicode MS" w:hAnsi="Arial" w:cs="Arial"/>
          <w:noProof/>
          <w:color w:val="auto"/>
        </w:rPr>
        <w:t>Evaluation</w:t>
      </w:r>
      <w:r>
        <w:rPr>
          <w:rFonts w:ascii="Arial" w:eastAsia="Arial Unicode MS" w:hAnsi="Arial" w:cs="Arial"/>
          <w:noProof/>
          <w:color w:val="auto"/>
        </w:rPr>
        <w:t xml:space="preserve"> of the</w:t>
      </w:r>
      <w:r w:rsidRPr="003A27ED">
        <w:rPr>
          <w:rFonts w:ascii="Arial" w:eastAsia="Arial Unicode MS" w:hAnsi="Arial" w:cs="Arial"/>
          <w:noProof/>
          <w:color w:val="auto"/>
        </w:rPr>
        <w:t xml:space="preserve"> Trafficking Victim Assistance Program (TVAP) and </w:t>
      </w:r>
      <w:r>
        <w:rPr>
          <w:rFonts w:ascii="Arial" w:eastAsia="Arial Unicode MS" w:hAnsi="Arial" w:cs="Arial"/>
          <w:noProof/>
          <w:color w:val="auto"/>
        </w:rPr>
        <w:t xml:space="preserve">Aspire: </w:t>
      </w:r>
      <w:r w:rsidRPr="003A27ED">
        <w:rPr>
          <w:rFonts w:ascii="Arial" w:eastAsia="Arial Unicode MS" w:hAnsi="Arial" w:cs="Arial"/>
          <w:noProof/>
          <w:color w:val="auto"/>
        </w:rPr>
        <w:t>Child Trafficking Victim Assistance Program (Aspire)</w:t>
      </w:r>
    </w:p>
    <w:p w:rsidR="00A42C71" w:rsidRPr="001A59B6" w:rsidP="00A42C71" w14:paraId="4A7DBF2F" w14:textId="77777777">
      <w:pPr>
        <w:pStyle w:val="ReportCover-Title"/>
        <w:rPr>
          <w:rFonts w:asciiTheme="minorHAnsi" w:hAnsiTheme="minorHAnsi" w:cstheme="minorHAnsi"/>
          <w:color w:val="auto"/>
        </w:rPr>
      </w:pPr>
    </w:p>
    <w:p w:rsidR="00A42C71" w:rsidRPr="001A59B6" w:rsidP="00A42C71" w14:paraId="551C5600" w14:textId="77777777">
      <w:pPr>
        <w:pStyle w:val="ReportCover-Title"/>
        <w:rPr>
          <w:rFonts w:asciiTheme="minorHAnsi" w:hAnsiTheme="minorHAnsi" w:cstheme="minorHAnsi"/>
          <w:color w:val="auto"/>
        </w:rPr>
      </w:pPr>
    </w:p>
    <w:p w:rsidR="00A42C71" w:rsidRPr="001A59B6" w:rsidP="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00A42C71" w:rsidRPr="001A59B6" w:rsidP="008D19A4" w14:paraId="41D2594A" w14:textId="4B7C04EB">
      <w:pPr>
        <w:spacing w:after="0"/>
        <w:jc w:val="center"/>
        <w:rPr>
          <w:rFonts w:cstheme="minorHAnsi"/>
        </w:rPr>
      </w:pPr>
      <w:r w:rsidRPr="00561272">
        <w:rPr>
          <w:rFonts w:ascii="Arial" w:hAnsi="Arial" w:cs="Arial"/>
          <w:sz w:val="32"/>
          <w:szCs w:val="32"/>
        </w:rPr>
        <w:t>0970-0648</w:t>
      </w:r>
    </w:p>
    <w:p w:rsidR="00A42C71" w:rsidRPr="001A59B6" w:rsidP="00A42C71" w14:paraId="3DB8541C" w14:textId="77777777">
      <w:pPr>
        <w:pStyle w:val="ReportCover-Date"/>
        <w:spacing w:after="0"/>
        <w:jc w:val="center"/>
        <w:rPr>
          <w:rFonts w:asciiTheme="minorHAnsi" w:hAnsiTheme="minorHAnsi" w:cstheme="minorHAnsi"/>
          <w:color w:val="auto"/>
        </w:rPr>
      </w:pPr>
    </w:p>
    <w:p w:rsidR="00A42C71" w:rsidRPr="001A59B6" w:rsidP="00A42C71" w14:paraId="637F830C" w14:textId="77777777">
      <w:pPr>
        <w:pStyle w:val="ReportCover-Date"/>
        <w:spacing w:after="0"/>
        <w:jc w:val="center"/>
        <w:rPr>
          <w:rFonts w:asciiTheme="minorHAnsi" w:hAnsiTheme="minorHAnsi" w:cstheme="minorHAnsi"/>
          <w:color w:val="auto"/>
        </w:rPr>
      </w:pPr>
    </w:p>
    <w:p w:rsidR="00A42C71" w:rsidRPr="001A59B6" w:rsidP="00A42C71" w14:paraId="2DD34B23" w14:textId="77777777">
      <w:pPr>
        <w:pStyle w:val="ReportCover-Date"/>
        <w:spacing w:after="0"/>
        <w:jc w:val="center"/>
        <w:rPr>
          <w:rFonts w:asciiTheme="minorHAnsi" w:hAnsiTheme="minorHAnsi" w:cstheme="minorHAnsi"/>
          <w:color w:val="auto"/>
        </w:rPr>
      </w:pPr>
    </w:p>
    <w:p w:rsidR="00A42C71" w:rsidRPr="001A59B6" w:rsidP="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00A42C71" w:rsidRPr="001A59B6" w:rsidP="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00A42C71" w:rsidRPr="001A59B6" w:rsidP="00FF656D" w14:paraId="602544F7" w14:textId="77777777">
      <w:pPr>
        <w:pStyle w:val="ReportCover-Date"/>
        <w:spacing w:after="0" w:line="240" w:lineRule="auto"/>
        <w:rPr>
          <w:rFonts w:asciiTheme="minorHAnsi" w:hAnsiTheme="minorHAnsi" w:cstheme="minorHAnsi"/>
          <w:color w:val="auto"/>
          <w:sz w:val="48"/>
          <w:szCs w:val="48"/>
        </w:rPr>
      </w:pPr>
    </w:p>
    <w:p w:rsidR="00A42C71" w:rsidRPr="001A59B6" w:rsidP="00A42C71" w14:paraId="23C2EED4" w14:textId="51AED9C7">
      <w:pPr>
        <w:pStyle w:val="ReportCover-Date"/>
        <w:spacing w:after="0"/>
        <w:jc w:val="center"/>
        <w:rPr>
          <w:rFonts w:asciiTheme="minorHAnsi" w:hAnsiTheme="minorHAnsi" w:cstheme="minorHAnsi"/>
          <w:color w:val="auto"/>
        </w:rPr>
      </w:pPr>
      <w:r>
        <w:rPr>
          <w:rFonts w:asciiTheme="minorHAnsi" w:hAnsiTheme="minorHAnsi" w:cstheme="minorHAnsi"/>
          <w:color w:val="auto"/>
        </w:rPr>
        <w:t>May</w:t>
      </w:r>
      <w:r w:rsidR="0082207C">
        <w:rPr>
          <w:rFonts w:asciiTheme="minorHAnsi" w:hAnsiTheme="minorHAnsi" w:cstheme="minorHAnsi"/>
          <w:color w:val="auto"/>
        </w:rPr>
        <w:t xml:space="preserve"> 2026</w:t>
      </w:r>
    </w:p>
    <w:p w:rsidR="00A42C71" w:rsidRPr="001A59B6" w:rsidP="00A42C71" w14:paraId="0850FD2E" w14:textId="77777777">
      <w:pPr>
        <w:pStyle w:val="ReportCover-Date"/>
        <w:spacing w:after="0"/>
        <w:jc w:val="center"/>
        <w:rPr>
          <w:rFonts w:asciiTheme="minorHAnsi" w:hAnsiTheme="minorHAnsi" w:cstheme="minorHAnsi"/>
          <w:color w:val="auto"/>
        </w:rPr>
      </w:pPr>
    </w:p>
    <w:p w:rsidR="00A42C71" w:rsidRPr="001A59B6" w:rsidP="00A42C71" w14:paraId="260D9019" w14:textId="77777777">
      <w:pPr>
        <w:pStyle w:val="ReportCover-Date"/>
        <w:spacing w:after="0"/>
        <w:jc w:val="center"/>
        <w:rPr>
          <w:rFonts w:asciiTheme="minorHAnsi" w:hAnsiTheme="minorHAnsi" w:cstheme="minorHAnsi"/>
          <w:color w:val="auto"/>
        </w:rPr>
      </w:pPr>
    </w:p>
    <w:p w:rsidR="00A42C71" w:rsidRPr="001A59B6" w:rsidP="00A42C71" w14:paraId="715DE65F" w14:textId="77777777">
      <w:pPr>
        <w:pStyle w:val="ReportCover-Date"/>
        <w:spacing w:after="0"/>
        <w:jc w:val="center"/>
        <w:rPr>
          <w:rFonts w:asciiTheme="minorHAnsi" w:hAnsiTheme="minorHAnsi" w:cstheme="minorHAnsi"/>
          <w:color w:val="auto"/>
        </w:rPr>
      </w:pPr>
    </w:p>
    <w:p w:rsidR="06828D60" w:rsidP="06828D60" w14:paraId="2E00C60B" w14:textId="450DBC74">
      <w:pPr>
        <w:jc w:val="center"/>
        <w:rPr>
          <w:rFonts w:ascii="Arial" w:eastAsia="Arial" w:hAnsi="Arial" w:cs="Arial"/>
          <w:sz w:val="32"/>
          <w:szCs w:val="32"/>
        </w:rPr>
      </w:pPr>
      <w:r w:rsidRPr="06828D60">
        <w:rPr>
          <w:rFonts w:ascii="Arial" w:eastAsia="Arial" w:hAnsi="Arial" w:cs="Arial"/>
          <w:b/>
          <w:bCs/>
          <w:sz w:val="32"/>
          <w:szCs w:val="32"/>
        </w:rPr>
        <w:t>Type of Request:</w:t>
      </w:r>
      <w:r w:rsidRPr="06828D60">
        <w:rPr>
          <w:rFonts w:ascii="Arial" w:eastAsia="Arial" w:hAnsi="Arial" w:cs="Arial"/>
          <w:sz w:val="32"/>
          <w:szCs w:val="32"/>
        </w:rPr>
        <w:t xml:space="preserve"> </w:t>
      </w:r>
      <w:r w:rsidR="00FF656D">
        <w:rPr>
          <w:rFonts w:ascii="Arial" w:eastAsia="Arial" w:hAnsi="Arial" w:cs="Arial"/>
          <w:sz w:val="32"/>
          <w:szCs w:val="32"/>
        </w:rPr>
        <w:t>New</w:t>
      </w:r>
    </w:p>
    <w:p w:rsidR="06828D60" w:rsidP="06828D60" w14:paraId="73D7CBA8" w14:textId="58743A0A">
      <w:pPr>
        <w:pStyle w:val="ReportCover-Date"/>
        <w:spacing w:after="0"/>
        <w:jc w:val="center"/>
        <w:rPr>
          <w:rFonts w:asciiTheme="minorHAnsi" w:hAnsiTheme="minorHAnsi" w:cstheme="minorBidi"/>
          <w:color w:val="auto"/>
        </w:rPr>
      </w:pPr>
    </w:p>
    <w:p w:rsidR="00A42C71" w:rsidRPr="001A59B6" w:rsidP="00FF656D" w14:paraId="055C8152" w14:textId="77777777">
      <w:pPr>
        <w:pStyle w:val="ReportCover-Date"/>
        <w:spacing w:after="0"/>
        <w:rPr>
          <w:rFonts w:asciiTheme="minorHAnsi" w:hAnsiTheme="minorHAnsi" w:cstheme="minorHAnsi"/>
          <w:color w:val="auto"/>
        </w:rPr>
      </w:pPr>
    </w:p>
    <w:p w:rsidR="00A42C71" w:rsidRPr="001A59B6" w:rsidP="00A42C71" w14:paraId="48D9D0F9" w14:textId="77777777">
      <w:pPr>
        <w:pStyle w:val="ReportCover-Date"/>
        <w:spacing w:after="0"/>
        <w:jc w:val="center"/>
        <w:rPr>
          <w:rFonts w:asciiTheme="minorHAnsi" w:hAnsiTheme="minorHAnsi" w:cstheme="minorHAnsi"/>
          <w:color w:val="auto"/>
        </w:rPr>
      </w:pPr>
    </w:p>
    <w:p w:rsidR="00FF656D" w:rsidRPr="009139B3" w:rsidP="00FF656D" w14:paraId="1FDCCB1B" w14:textId="77777777">
      <w:pPr>
        <w:spacing w:after="0" w:line="240" w:lineRule="auto"/>
        <w:jc w:val="center"/>
        <w:rPr>
          <w:rFonts w:ascii="Arial" w:hAnsi="Arial" w:cs="Arial"/>
        </w:rPr>
      </w:pPr>
      <w:r w:rsidRPr="009139B3">
        <w:rPr>
          <w:rFonts w:ascii="Arial" w:hAnsi="Arial" w:cs="Arial"/>
        </w:rPr>
        <w:t>Submitted By:</w:t>
      </w:r>
    </w:p>
    <w:p w:rsidR="00FF656D" w:rsidRPr="009139B3" w:rsidP="00FF656D" w14:paraId="7468980F" w14:textId="77777777">
      <w:pPr>
        <w:spacing w:after="0" w:line="240" w:lineRule="auto"/>
        <w:jc w:val="center"/>
        <w:rPr>
          <w:rFonts w:ascii="Arial" w:hAnsi="Arial" w:cs="Arial"/>
        </w:rPr>
      </w:pPr>
      <w:r w:rsidRPr="009139B3">
        <w:rPr>
          <w:rFonts w:ascii="Arial" w:hAnsi="Arial" w:cs="Arial"/>
        </w:rPr>
        <w:t>Office of Planning, Research, and Evaluation</w:t>
      </w:r>
    </w:p>
    <w:p w:rsidR="00FF656D" w:rsidRPr="009139B3" w:rsidP="00FF656D" w14:paraId="6B9E5BB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00FF656D" w:rsidRPr="009139B3" w:rsidP="00FF656D" w14:paraId="3530E3BB" w14:textId="77777777">
      <w:pPr>
        <w:spacing w:after="0" w:line="240" w:lineRule="auto"/>
        <w:jc w:val="center"/>
        <w:rPr>
          <w:rFonts w:ascii="Arial" w:hAnsi="Arial" w:cs="Arial"/>
        </w:rPr>
      </w:pPr>
      <w:r w:rsidRPr="009139B3">
        <w:rPr>
          <w:rFonts w:ascii="Arial" w:hAnsi="Arial" w:cs="Arial"/>
        </w:rPr>
        <w:t>U.S. Department of Health and Human Services</w:t>
      </w:r>
    </w:p>
    <w:p w:rsidR="00FF656D" w:rsidRPr="009139B3" w:rsidP="00FF656D" w14:paraId="2F9D4098" w14:textId="77777777">
      <w:pPr>
        <w:spacing w:after="0" w:line="240" w:lineRule="auto"/>
        <w:jc w:val="center"/>
        <w:rPr>
          <w:rFonts w:ascii="Arial" w:hAnsi="Arial" w:cs="Arial"/>
        </w:rPr>
      </w:pPr>
    </w:p>
    <w:p w:rsidR="00FF656D" w:rsidRPr="009139B3" w:rsidP="00FF656D" w14:paraId="3EC3E1E2"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00FF656D" w:rsidRPr="009139B3" w:rsidP="00FF656D" w14:paraId="7BBD6CB2" w14:textId="77777777">
      <w:pPr>
        <w:spacing w:after="0" w:line="240" w:lineRule="auto"/>
        <w:jc w:val="center"/>
        <w:rPr>
          <w:rFonts w:ascii="Arial" w:hAnsi="Arial" w:cs="Arial"/>
        </w:rPr>
      </w:pPr>
      <w:r w:rsidRPr="009139B3">
        <w:rPr>
          <w:rFonts w:ascii="Arial" w:hAnsi="Arial" w:cs="Arial"/>
        </w:rPr>
        <w:t>330 C Street, SW</w:t>
      </w:r>
    </w:p>
    <w:p w:rsidR="00FF656D" w:rsidRPr="009139B3" w:rsidP="00FF656D" w14:paraId="2CFFE173" w14:textId="77777777">
      <w:pPr>
        <w:spacing w:after="0" w:line="240" w:lineRule="auto"/>
        <w:jc w:val="center"/>
        <w:rPr>
          <w:rFonts w:ascii="Arial" w:hAnsi="Arial" w:cs="Arial"/>
        </w:rPr>
      </w:pPr>
      <w:r w:rsidRPr="009139B3">
        <w:rPr>
          <w:rFonts w:ascii="Arial" w:hAnsi="Arial" w:cs="Arial"/>
        </w:rPr>
        <w:t>Washington, D.C. 20201</w:t>
      </w:r>
    </w:p>
    <w:p w:rsidR="00FF656D" w:rsidRPr="009139B3" w:rsidP="00FF656D" w14:paraId="6F78CB1F" w14:textId="77777777">
      <w:pPr>
        <w:spacing w:after="0" w:line="240" w:lineRule="auto"/>
        <w:jc w:val="center"/>
        <w:rPr>
          <w:rFonts w:ascii="Arial" w:hAnsi="Arial" w:cs="Arial"/>
        </w:rPr>
      </w:pPr>
    </w:p>
    <w:p w:rsidR="00FF656D" w:rsidRPr="00F26D9C" w:rsidP="00FF656D" w14:paraId="08155602" w14:textId="77777777">
      <w:pPr>
        <w:spacing w:after="0" w:line="240" w:lineRule="auto"/>
        <w:jc w:val="center"/>
        <w:rPr>
          <w:rFonts w:ascii="Arial" w:hAnsi="Arial" w:cs="Arial"/>
        </w:rPr>
      </w:pPr>
      <w:r w:rsidRPr="00F26D9C">
        <w:rPr>
          <w:rFonts w:ascii="Arial" w:hAnsi="Arial" w:cs="Arial"/>
        </w:rPr>
        <w:t>Project Officers:</w:t>
      </w:r>
    </w:p>
    <w:p w:rsidR="00FF656D" w:rsidRPr="004F2EAB" w:rsidP="00FF656D" w14:paraId="35913403" w14:textId="77777777">
      <w:pPr>
        <w:spacing w:after="0" w:line="240" w:lineRule="auto"/>
        <w:jc w:val="center"/>
        <w:rPr>
          <w:rFonts w:ascii="Arial" w:hAnsi="Arial" w:cs="Arial"/>
          <w:bCs/>
        </w:rPr>
      </w:pPr>
      <w:r w:rsidRPr="004F2EAB">
        <w:rPr>
          <w:rFonts w:ascii="Arial" w:hAnsi="Arial" w:cs="Arial"/>
          <w:bCs/>
        </w:rPr>
        <w:t>Mary G. Mueggenborg</w:t>
      </w:r>
    </w:p>
    <w:p w:rsidR="00FF656D" w:rsidRPr="00F26D9C" w:rsidP="00FF656D" w14:paraId="1E853427" w14:textId="77777777">
      <w:pPr>
        <w:spacing w:after="0" w:line="240" w:lineRule="auto"/>
        <w:jc w:val="center"/>
        <w:rPr>
          <w:rFonts w:ascii="Arial" w:hAnsi="Arial" w:cs="Arial"/>
          <w:bCs/>
        </w:rPr>
      </w:pPr>
      <w:r w:rsidRPr="004F2EAB">
        <w:rPr>
          <w:rFonts w:ascii="Arial" w:hAnsi="Arial" w:cs="Arial"/>
          <w:bCs/>
        </w:rPr>
        <w:t>Kelly Jedd McKenzie</w:t>
      </w:r>
    </w:p>
    <w:p w:rsidR="00A42C71" w:rsidRPr="001A59B6" w:rsidP="00A42C71" w14:paraId="6CB062A1" w14:textId="77777777">
      <w:pPr>
        <w:spacing w:after="0" w:line="240" w:lineRule="auto"/>
        <w:jc w:val="center"/>
        <w:rPr>
          <w:rFonts w:cstheme="minorHAnsi"/>
          <w:b/>
        </w:rPr>
      </w:pPr>
    </w:p>
    <w:p w:rsidR="006B5DE3" w:rsidP="0063765D" w14:paraId="4EB7A788" w14:textId="77777777">
      <w:pPr>
        <w:spacing w:after="0" w:line="240" w:lineRule="auto"/>
        <w:jc w:val="center"/>
        <w:rPr>
          <w:rFonts w:cstheme="minorHAnsi"/>
          <w:b/>
          <w:sz w:val="32"/>
          <w:szCs w:val="32"/>
        </w:rPr>
      </w:pPr>
    </w:p>
    <w:p w:rsidR="00A42C71" w:rsidRPr="001A59B6" w:rsidP="0063765D" w14:paraId="45C49EBE" w14:textId="2804798C">
      <w:pPr>
        <w:spacing w:after="0" w:line="240" w:lineRule="auto"/>
        <w:jc w:val="center"/>
        <w:rPr>
          <w:rFonts w:cstheme="minorHAnsi"/>
          <w:b/>
          <w:sz w:val="32"/>
          <w:szCs w:val="32"/>
        </w:rPr>
      </w:pPr>
      <w:r w:rsidRPr="001A59B6">
        <w:rPr>
          <w:rFonts w:cstheme="minorHAnsi"/>
          <w:b/>
          <w:sz w:val="32"/>
          <w:szCs w:val="32"/>
        </w:rPr>
        <w:t>Part B</w:t>
      </w:r>
    </w:p>
    <w:p w:rsidR="00A42C71" w:rsidRPr="001A59B6" w:rsidP="0063765D" w14:paraId="230ABA5D" w14:textId="77777777">
      <w:pPr>
        <w:spacing w:after="0" w:line="240" w:lineRule="auto"/>
        <w:rPr>
          <w:rFonts w:cstheme="minorHAnsi"/>
          <w:b/>
        </w:rPr>
      </w:pPr>
    </w:p>
    <w:p w:rsidR="00A42C71" w:rsidRPr="001A59B6" w:rsidP="0063765D" w14:paraId="6D9C455E" w14:textId="77777777">
      <w:pPr>
        <w:spacing w:after="120" w:line="240" w:lineRule="auto"/>
        <w:rPr>
          <w:rFonts w:cstheme="minorHAnsi"/>
        </w:rPr>
      </w:pPr>
      <w:r w:rsidRPr="001A59B6">
        <w:rPr>
          <w:rFonts w:cstheme="minorHAnsi"/>
          <w:b/>
        </w:rPr>
        <w:t>B1.</w:t>
      </w:r>
      <w:r w:rsidRPr="001A59B6">
        <w:rPr>
          <w:rFonts w:cstheme="minorHAnsi"/>
          <w:b/>
        </w:rPr>
        <w:tab/>
        <w:t>Objectives</w:t>
      </w:r>
    </w:p>
    <w:p w:rsidR="00A42C71" w:rsidRPr="007C1CDB" w:rsidP="007C1CDB" w14:paraId="61ECC40C" w14:textId="28D938F7">
      <w:pPr>
        <w:spacing w:after="60" w:line="240" w:lineRule="auto"/>
        <w:rPr>
          <w:rFonts w:cstheme="minorHAnsi"/>
          <w:i/>
        </w:rPr>
      </w:pPr>
      <w:r w:rsidRPr="001A59B6">
        <w:rPr>
          <w:rFonts w:cstheme="minorHAnsi"/>
          <w:i/>
        </w:rPr>
        <w:t>Study Objectives</w:t>
      </w:r>
    </w:p>
    <w:p w:rsidR="00A42C71" w:rsidRPr="00DD72D3" w:rsidP="0063765D" w14:paraId="5329D960" w14:textId="1B21FB4B">
      <w:pPr>
        <w:spacing w:after="0" w:line="240" w:lineRule="auto"/>
        <w:rPr>
          <w:bCs/>
        </w:rPr>
      </w:pPr>
      <w:r w:rsidRPr="004D6995">
        <w:rPr>
          <w:bCs/>
        </w:rPr>
        <w:t xml:space="preserve">The </w:t>
      </w:r>
      <w:r>
        <w:rPr>
          <w:bCs/>
        </w:rPr>
        <w:t xml:space="preserve">objectives of the proposed process evaluation are to </w:t>
      </w:r>
      <w:r w:rsidRPr="004D6995">
        <w:rPr>
          <w:bCs/>
        </w:rPr>
        <w:t>document and examine</w:t>
      </w:r>
      <w:r>
        <w:rPr>
          <w:bCs/>
        </w:rPr>
        <w:t xml:space="preserve"> </w:t>
      </w:r>
      <w:r w:rsidR="00DD72D3">
        <w:rPr>
          <w:bCs/>
        </w:rPr>
        <w:t xml:space="preserve">the redesigned </w:t>
      </w:r>
      <w:r w:rsidRPr="00DD72D3" w:rsidR="00DD72D3">
        <w:rPr>
          <w:bCs/>
        </w:rPr>
        <w:t>Trafficking Victim Assistance Program (TVAP) and Aspire: Child Trafficking Victim Assistance Program (Aspire)</w:t>
      </w:r>
      <w:r w:rsidR="00AB6208">
        <w:rPr>
          <w:bCs/>
        </w:rPr>
        <w:t xml:space="preserve">. This includes (1) how the </w:t>
      </w:r>
      <w:r w:rsidR="00DD72D3">
        <w:rPr>
          <w:bCs/>
        </w:rPr>
        <w:t>programs are</w:t>
      </w:r>
      <w:r>
        <w:rPr>
          <w:bCs/>
        </w:rPr>
        <w:t xml:space="preserve"> </w:t>
      </w:r>
      <w:r w:rsidRPr="004D6995">
        <w:rPr>
          <w:bCs/>
        </w:rPr>
        <w:t xml:space="preserve">structured and administered, </w:t>
      </w:r>
      <w:r>
        <w:rPr>
          <w:bCs/>
        </w:rPr>
        <w:t>(</w:t>
      </w:r>
      <w:r w:rsidR="00DD72D3">
        <w:rPr>
          <w:bCs/>
        </w:rPr>
        <w:t>2</w:t>
      </w:r>
      <w:r>
        <w:rPr>
          <w:bCs/>
        </w:rPr>
        <w:t xml:space="preserve">) </w:t>
      </w:r>
      <w:r w:rsidRPr="004D6995">
        <w:rPr>
          <w:bCs/>
        </w:rPr>
        <w:t xml:space="preserve">how partnerships are developed and maintained, </w:t>
      </w:r>
      <w:r>
        <w:rPr>
          <w:bCs/>
        </w:rPr>
        <w:t>(</w:t>
      </w:r>
      <w:r w:rsidR="00DD72D3">
        <w:rPr>
          <w:bCs/>
        </w:rPr>
        <w:t>3</w:t>
      </w:r>
      <w:r>
        <w:rPr>
          <w:bCs/>
        </w:rPr>
        <w:t xml:space="preserve">) </w:t>
      </w:r>
      <w:r w:rsidRPr="004D6995">
        <w:rPr>
          <w:bCs/>
        </w:rPr>
        <w:t xml:space="preserve">how clients reach the programs, </w:t>
      </w:r>
      <w:r>
        <w:rPr>
          <w:bCs/>
        </w:rPr>
        <w:t>(</w:t>
      </w:r>
      <w:r w:rsidR="00DD72D3">
        <w:rPr>
          <w:bCs/>
        </w:rPr>
        <w:t>4</w:t>
      </w:r>
      <w:r>
        <w:rPr>
          <w:bCs/>
        </w:rPr>
        <w:t xml:space="preserve">) </w:t>
      </w:r>
      <w:r w:rsidRPr="004D6995">
        <w:rPr>
          <w:bCs/>
        </w:rPr>
        <w:t xml:space="preserve">how comprehensive case management services are provided, and </w:t>
      </w:r>
      <w:r>
        <w:rPr>
          <w:bCs/>
        </w:rPr>
        <w:t>(</w:t>
      </w:r>
      <w:r w:rsidR="00DD72D3">
        <w:rPr>
          <w:bCs/>
        </w:rPr>
        <w:t>5</w:t>
      </w:r>
      <w:r>
        <w:rPr>
          <w:bCs/>
        </w:rPr>
        <w:t xml:space="preserve">) </w:t>
      </w:r>
      <w:r w:rsidRPr="004D6995">
        <w:rPr>
          <w:bCs/>
        </w:rPr>
        <w:t>factors that affect program implementation.</w:t>
      </w:r>
      <w:r>
        <w:rPr>
          <w:bCs/>
        </w:rPr>
        <w:t xml:space="preserve"> </w:t>
      </w:r>
      <w:r w:rsidR="00DD72D3">
        <w:rPr>
          <w:bCs/>
        </w:rPr>
        <w:t xml:space="preserve">The proposed information collection will compare and assess variation in these aspects of implementation across the regions under the regional administration model. </w:t>
      </w:r>
      <w:r w:rsidR="00DD72D3">
        <w:rPr>
          <w:rFonts w:cstheme="minorHAnsi"/>
        </w:rPr>
        <w:t xml:space="preserve"> See the evaluation questions in </w:t>
      </w:r>
      <w:r w:rsidRPr="00036A4A" w:rsidR="00DD72D3">
        <w:rPr>
          <w:b/>
          <w:iCs/>
        </w:rPr>
        <w:t>Exhibit A1</w:t>
      </w:r>
      <w:r w:rsidRPr="00036A4A" w:rsidR="00DD72D3">
        <w:rPr>
          <w:bCs/>
          <w:i/>
        </w:rPr>
        <w:t xml:space="preserve"> of Supporting Statement A</w:t>
      </w:r>
      <w:r w:rsidR="00B802A0">
        <w:rPr>
          <w:bCs/>
          <w:i/>
        </w:rPr>
        <w:t xml:space="preserve"> (SSA)</w:t>
      </w:r>
      <w:r w:rsidRPr="00036A4A" w:rsidR="00036A4A">
        <w:rPr>
          <w:bCs/>
          <w:i/>
        </w:rPr>
        <w:t xml:space="preserve">. </w:t>
      </w:r>
    </w:p>
    <w:p w:rsidR="00A42C71" w:rsidRPr="001A59B6" w:rsidP="0063765D" w14:paraId="078509A0" w14:textId="77777777">
      <w:pPr>
        <w:spacing w:after="0" w:line="240" w:lineRule="auto"/>
        <w:rPr>
          <w:rFonts w:cstheme="minorHAnsi"/>
        </w:rPr>
      </w:pPr>
    </w:p>
    <w:p w:rsidR="00A42C71" w:rsidRPr="007C1CDB" w:rsidP="007C1CDB" w14:paraId="4037E45E" w14:textId="306B1EB8">
      <w:pPr>
        <w:spacing w:after="60" w:line="240" w:lineRule="auto"/>
        <w:rPr>
          <w:rFonts w:cstheme="minorHAnsi"/>
        </w:rPr>
      </w:pPr>
      <w:r w:rsidRPr="001A59B6">
        <w:rPr>
          <w:rFonts w:cstheme="minorHAnsi"/>
          <w:i/>
        </w:rPr>
        <w:t xml:space="preserve">Generalizability of Results </w:t>
      </w:r>
    </w:p>
    <w:p w:rsidR="0063765D" w:rsidP="0063765D" w14:paraId="46CE79C5" w14:textId="43D4F294">
      <w:pPr>
        <w:autoSpaceDE w:val="0"/>
        <w:autoSpaceDN w:val="0"/>
        <w:adjustRightInd w:val="0"/>
        <w:spacing w:after="0" w:line="240" w:lineRule="auto"/>
        <w:rPr>
          <w:rFonts w:cstheme="minorHAnsi"/>
        </w:rPr>
      </w:pPr>
      <w:r w:rsidRPr="00AB0207">
        <w:rPr>
          <w:rFonts w:eastAsia="Times New Roman" w:cstheme="minorHAnsi"/>
          <w:color w:val="000000"/>
        </w:rPr>
        <w:t xml:space="preserve">This study is intended to present </w:t>
      </w:r>
      <w:r>
        <w:rPr>
          <w:rFonts w:eastAsia="Times New Roman" w:cstheme="minorHAnsi"/>
          <w:color w:val="000000"/>
        </w:rPr>
        <w:t xml:space="preserve">an </w:t>
      </w:r>
      <w:r w:rsidRPr="00AB0207" w:rsidR="006B5DE3">
        <w:rPr>
          <w:rFonts w:eastAsia="Times New Roman" w:cstheme="minorHAnsi"/>
          <w:color w:val="000000"/>
        </w:rPr>
        <w:t>internally valid</w:t>
      </w:r>
      <w:r w:rsidRPr="00AB0207">
        <w:rPr>
          <w:rFonts w:eastAsia="Times New Roman" w:cstheme="minorHAnsi"/>
          <w:color w:val="000000"/>
        </w:rPr>
        <w:t xml:space="preserve"> description of </w:t>
      </w:r>
      <w:r>
        <w:rPr>
          <w:rFonts w:eastAsia="Times New Roman" w:cstheme="minorHAnsi"/>
          <w:color w:val="000000"/>
        </w:rPr>
        <w:t>the TVAP and Aspire programs and the people they serve</w:t>
      </w:r>
      <w:r w:rsidRPr="00AB0207">
        <w:rPr>
          <w:rFonts w:eastAsia="Times New Roman" w:cstheme="minorHAnsi"/>
          <w:color w:val="000000"/>
        </w:rPr>
        <w:t>, not to promote statistical generalization to other sites or service populations.</w:t>
      </w:r>
      <w:r>
        <w:rPr>
          <w:rFonts w:eastAsia="Times New Roman" w:cstheme="minorHAnsi"/>
          <w:color w:val="000000"/>
        </w:rPr>
        <w:t xml:space="preserve"> </w:t>
      </w:r>
      <w:r w:rsidR="00DD72D3">
        <w:rPr>
          <w:rFonts w:cstheme="minorHAnsi"/>
        </w:rPr>
        <w:t>T</w:t>
      </w:r>
      <w:r w:rsidRPr="00AA3023" w:rsidR="00DD72D3">
        <w:rPr>
          <w:rFonts w:cstheme="minorHAnsi"/>
        </w:rPr>
        <w:t xml:space="preserve">he information will provide feedback to </w:t>
      </w:r>
      <w:r w:rsidR="00DD72D3">
        <w:rPr>
          <w:rFonts w:eastAsia="Times New Roman" w:cstheme="minorHAnsi"/>
          <w:color w:val="000000"/>
        </w:rPr>
        <w:t>Administration for Children and Families’ (ACF) Office of Planning, Research, and Evaluation</w:t>
      </w:r>
      <w:r w:rsidR="00260F1A">
        <w:rPr>
          <w:rFonts w:eastAsia="Times New Roman" w:cstheme="minorHAnsi"/>
          <w:color w:val="000000"/>
        </w:rPr>
        <w:t xml:space="preserve"> (OPRE)</w:t>
      </w:r>
      <w:r w:rsidR="00DD72D3">
        <w:rPr>
          <w:rFonts w:eastAsia="Times New Roman" w:cstheme="minorHAnsi"/>
          <w:color w:val="000000"/>
        </w:rPr>
        <w:t xml:space="preserve"> and Office on Trafficking in Persons</w:t>
      </w:r>
      <w:r w:rsidRPr="00AA3023" w:rsidR="00DD72D3">
        <w:rPr>
          <w:rFonts w:cstheme="minorHAnsi"/>
        </w:rPr>
        <w:t xml:space="preserve"> </w:t>
      </w:r>
      <w:r w:rsidR="00260F1A">
        <w:rPr>
          <w:rFonts w:cstheme="minorHAnsi"/>
        </w:rPr>
        <w:t xml:space="preserve">(OTIP) </w:t>
      </w:r>
      <w:r w:rsidRPr="00AA3023" w:rsidR="00DD72D3">
        <w:rPr>
          <w:rFonts w:cstheme="minorHAnsi"/>
        </w:rPr>
        <w:t xml:space="preserve">and potentially help inform the implementation of </w:t>
      </w:r>
      <w:r w:rsidR="00DD72D3">
        <w:rPr>
          <w:rFonts w:cstheme="minorHAnsi"/>
        </w:rPr>
        <w:t xml:space="preserve">services to people who have experienced trafficking (See </w:t>
      </w:r>
      <w:r w:rsidRPr="00036A4A" w:rsidR="00DD72D3">
        <w:rPr>
          <w:rFonts w:cstheme="minorHAnsi"/>
          <w:i/>
          <w:iCs/>
        </w:rPr>
        <w:t xml:space="preserve">Section A2 of </w:t>
      </w:r>
      <w:r w:rsidR="00911615">
        <w:rPr>
          <w:rFonts w:cstheme="minorHAnsi"/>
          <w:i/>
          <w:iCs/>
        </w:rPr>
        <w:t>SS</w:t>
      </w:r>
      <w:r w:rsidRPr="00036A4A" w:rsidR="00DD72D3">
        <w:rPr>
          <w:rFonts w:cstheme="minorHAnsi"/>
          <w:i/>
          <w:iCs/>
        </w:rPr>
        <w:t>A</w:t>
      </w:r>
      <w:r w:rsidR="00DD72D3">
        <w:rPr>
          <w:rFonts w:cstheme="minorHAnsi"/>
        </w:rPr>
        <w:t xml:space="preserve"> for more details). </w:t>
      </w:r>
    </w:p>
    <w:p w:rsidR="00DD72D3" w:rsidP="0063765D" w14:paraId="5FD924F7" w14:textId="1CD8DE22">
      <w:pPr>
        <w:autoSpaceDE w:val="0"/>
        <w:autoSpaceDN w:val="0"/>
        <w:adjustRightInd w:val="0"/>
        <w:spacing w:after="0" w:line="240" w:lineRule="auto"/>
        <w:rPr>
          <w:iCs/>
        </w:rPr>
      </w:pPr>
      <w:r w:rsidRPr="00AA3023">
        <w:rPr>
          <w:rFonts w:cstheme="minorHAnsi"/>
        </w:rPr>
        <w:t xml:space="preserve"> </w:t>
      </w:r>
      <w:r w:rsidRPr="00C767A3">
        <w:rPr>
          <w:iCs/>
        </w:rPr>
        <w:t xml:space="preserve"> </w:t>
      </w:r>
    </w:p>
    <w:p w:rsidR="00FF656D" w:rsidRPr="001A59B6" w:rsidP="0063765D" w14:paraId="0EF7743D" w14:textId="2371A28E">
      <w:pPr>
        <w:autoSpaceDE w:val="0"/>
        <w:autoSpaceDN w:val="0"/>
        <w:adjustRightInd w:val="0"/>
        <w:spacing w:after="0" w:line="240" w:lineRule="auto"/>
        <w:rPr>
          <w:rFonts w:eastAsia="Times New Roman" w:cstheme="minorHAnsi"/>
          <w:color w:val="000000"/>
        </w:rPr>
      </w:pPr>
      <w:r>
        <w:rPr>
          <w:rFonts w:eastAsia="Times New Roman" w:cstheme="minorHAnsi"/>
          <w:color w:val="000000"/>
        </w:rPr>
        <w:t>T</w:t>
      </w:r>
      <w:r>
        <w:rPr>
          <w:rFonts w:eastAsia="Times New Roman" w:cstheme="minorHAnsi"/>
          <w:color w:val="000000"/>
        </w:rPr>
        <w:t xml:space="preserve">he results from the </w:t>
      </w:r>
      <w:r w:rsidR="00FE3C88">
        <w:rPr>
          <w:rFonts w:eastAsia="Times New Roman" w:cstheme="minorHAnsi"/>
          <w:color w:val="000000"/>
        </w:rPr>
        <w:t xml:space="preserve">process </w:t>
      </w:r>
      <w:r>
        <w:rPr>
          <w:rFonts w:eastAsia="Times New Roman" w:cstheme="minorHAnsi"/>
          <w:color w:val="000000"/>
        </w:rPr>
        <w:t xml:space="preserve">evaluation will also be useful to other service providers that are supporting or want to support people who have experienced human trafficking. Although community context varies, the challenges encountered (including how they are addressed) and the lessons learned (including what works well) may be helpful to other providers designing and implementing similar </w:t>
      </w:r>
      <w:r w:rsidR="00B30D32">
        <w:rPr>
          <w:rFonts w:eastAsia="Times New Roman" w:cstheme="minorHAnsi"/>
          <w:color w:val="000000"/>
        </w:rPr>
        <w:t xml:space="preserve">victims </w:t>
      </w:r>
      <w:r>
        <w:rPr>
          <w:rFonts w:eastAsia="Times New Roman" w:cstheme="minorHAnsi"/>
          <w:color w:val="000000"/>
        </w:rPr>
        <w:t>service pro</w:t>
      </w:r>
      <w:r w:rsidR="00B30D32">
        <w:rPr>
          <w:rFonts w:eastAsia="Times New Roman" w:cstheme="minorHAnsi"/>
          <w:color w:val="000000"/>
        </w:rPr>
        <w:t>grams</w:t>
      </w:r>
      <w:r>
        <w:rPr>
          <w:rFonts w:eastAsia="Times New Roman" w:cstheme="minorHAnsi"/>
          <w:color w:val="000000"/>
        </w:rPr>
        <w:t>.</w:t>
      </w:r>
    </w:p>
    <w:p w:rsidR="00A42C71" w:rsidRPr="001A59B6" w:rsidP="0063765D" w14:paraId="3C9D8A40" w14:textId="77777777">
      <w:pPr>
        <w:autoSpaceDE w:val="0"/>
        <w:autoSpaceDN w:val="0"/>
        <w:adjustRightInd w:val="0"/>
        <w:spacing w:after="0" w:line="240" w:lineRule="auto"/>
        <w:rPr>
          <w:rFonts w:eastAsia="Times New Roman" w:cstheme="minorHAnsi"/>
          <w:color w:val="000000"/>
        </w:rPr>
      </w:pPr>
    </w:p>
    <w:p w:rsidR="00FF656D" w:rsidRPr="007C1CDB" w:rsidP="007C1CDB" w14:paraId="5E849F31" w14:textId="18863B28">
      <w:pPr>
        <w:autoSpaceDE w:val="0"/>
        <w:autoSpaceDN w:val="0"/>
        <w:adjustRightInd w:val="0"/>
        <w:spacing w:after="60" w:line="240" w:lineRule="auto"/>
        <w:rPr>
          <w:rFonts w:eastAsia="Times New Roman" w:cstheme="minorHAnsi"/>
          <w:color w:val="000000"/>
        </w:rPr>
      </w:pPr>
      <w:r w:rsidRPr="001A59B6">
        <w:rPr>
          <w:rFonts w:eastAsia="Times New Roman" w:cstheme="minorHAnsi"/>
          <w:i/>
          <w:color w:val="000000"/>
        </w:rPr>
        <w:t xml:space="preserve">Appropriateness of Study Design and Methods for Planned Uses </w:t>
      </w:r>
    </w:p>
    <w:p w:rsidR="00963095" w:rsidRPr="009139B3" w:rsidP="00036A4A" w14:paraId="49A931C6" w14:textId="525748EA">
      <w:pPr>
        <w:spacing w:after="0" w:line="240" w:lineRule="auto"/>
        <w:rPr>
          <w:i/>
        </w:rPr>
      </w:pPr>
      <w:r>
        <w:rPr>
          <w:rFonts w:cstheme="minorHAnsi"/>
        </w:rPr>
        <w:t xml:space="preserve">Initial </w:t>
      </w:r>
      <w:r>
        <w:rPr>
          <w:rFonts w:cstheme="minorHAnsi"/>
        </w:rPr>
        <w:t>i</w:t>
      </w:r>
      <w:r w:rsidRPr="00963095">
        <w:rPr>
          <w:rFonts w:cstheme="minorHAnsi"/>
        </w:rPr>
        <w:t xml:space="preserve">nterviews at the national level (see </w:t>
      </w:r>
      <w:r>
        <w:rPr>
          <w:rFonts w:cstheme="minorHAnsi"/>
        </w:rPr>
        <w:t xml:space="preserve">A2. </w:t>
      </w:r>
      <w:r w:rsidRPr="009139B3">
        <w:rPr>
          <w:i/>
        </w:rPr>
        <w:t>Other Data Sources and Uses of Information</w:t>
      </w:r>
    </w:p>
    <w:p w:rsidR="006B5DE3" w:rsidP="00BE7CCC" w14:paraId="5FEA3E71" w14:textId="3BE57B37">
      <w:pPr>
        <w:tabs>
          <w:tab w:val="left" w:pos="1750"/>
        </w:tabs>
        <w:spacing w:after="0" w:line="240" w:lineRule="auto"/>
        <w:rPr>
          <w:rFonts w:cstheme="minorHAnsi"/>
        </w:rPr>
      </w:pPr>
      <w:r>
        <w:rPr>
          <w:rFonts w:cstheme="minorHAnsi"/>
        </w:rPr>
        <w:t xml:space="preserve">in </w:t>
      </w:r>
      <w:r w:rsidRPr="00036A4A">
        <w:rPr>
          <w:rFonts w:cstheme="minorHAnsi"/>
          <w:i/>
          <w:iCs/>
        </w:rPr>
        <w:t>S</w:t>
      </w:r>
      <w:r w:rsidR="00AD0190">
        <w:rPr>
          <w:rFonts w:cstheme="minorHAnsi"/>
          <w:i/>
          <w:iCs/>
        </w:rPr>
        <w:t>S</w:t>
      </w:r>
      <w:r w:rsidRPr="00036A4A">
        <w:rPr>
          <w:rFonts w:cstheme="minorHAnsi"/>
          <w:i/>
          <w:iCs/>
        </w:rPr>
        <w:t>A</w:t>
      </w:r>
      <w:r w:rsidRPr="00963095">
        <w:rPr>
          <w:rFonts w:cstheme="minorHAnsi"/>
        </w:rPr>
        <w:t xml:space="preserve">) </w:t>
      </w:r>
      <w:r>
        <w:rPr>
          <w:rFonts w:cstheme="minorHAnsi"/>
        </w:rPr>
        <w:t>suggested</w:t>
      </w:r>
      <w:r w:rsidRPr="00963095">
        <w:rPr>
          <w:rFonts w:cstheme="minorHAnsi"/>
        </w:rPr>
        <w:t xml:space="preserve"> significant variation in program implementation and practice, particularly across regions. </w:t>
      </w:r>
      <w:r>
        <w:rPr>
          <w:rFonts w:cstheme="minorHAnsi"/>
        </w:rPr>
        <w:t>This evaluation will use a mixed-</w:t>
      </w:r>
      <w:r>
        <w:rPr>
          <w:rFonts w:cstheme="minorHAnsi"/>
        </w:rPr>
        <w:t>methods</w:t>
      </w:r>
      <w:r>
        <w:rPr>
          <w:rFonts w:cstheme="minorHAnsi"/>
        </w:rPr>
        <w:t xml:space="preserve"> qualitative and quantitative approach with in-depth interviews and a survey of all subrecipients across regions. </w:t>
      </w:r>
      <w:r w:rsidRPr="00963095" w:rsidR="0063765D">
        <w:rPr>
          <w:rFonts w:cstheme="minorHAnsi"/>
        </w:rPr>
        <w:t xml:space="preserve">The study design selected is </w:t>
      </w:r>
      <w:r w:rsidR="007C1CDB">
        <w:rPr>
          <w:rFonts w:cstheme="minorHAnsi"/>
        </w:rPr>
        <w:t>intended</w:t>
      </w:r>
      <w:r w:rsidR="00D039C6">
        <w:rPr>
          <w:rFonts w:cstheme="minorHAnsi"/>
        </w:rPr>
        <w:t xml:space="preserve"> to</w:t>
      </w:r>
      <w:r w:rsidR="007C1CDB">
        <w:rPr>
          <w:rFonts w:cstheme="minorHAnsi"/>
        </w:rPr>
        <w:t xml:space="preserve"> be the least burdensome while </w:t>
      </w:r>
      <w:r w:rsidRPr="00963095" w:rsidR="0063765D">
        <w:rPr>
          <w:rFonts w:cstheme="minorHAnsi"/>
        </w:rPr>
        <w:t>allow</w:t>
      </w:r>
      <w:r w:rsidR="007C1CDB">
        <w:rPr>
          <w:rFonts w:cstheme="minorHAnsi"/>
        </w:rPr>
        <w:t>ing for both</w:t>
      </w:r>
      <w:r w:rsidRPr="00963095" w:rsidR="0063765D">
        <w:rPr>
          <w:rFonts w:cstheme="minorHAnsi"/>
        </w:rPr>
        <w:t xml:space="preserve"> a deep understanding of implementation experiences </w:t>
      </w:r>
      <w:r w:rsidR="007C1CDB">
        <w:rPr>
          <w:rFonts w:cstheme="minorHAnsi"/>
        </w:rPr>
        <w:t>and</w:t>
      </w:r>
      <w:r w:rsidRPr="00963095" w:rsidR="0063765D">
        <w:rPr>
          <w:rFonts w:cstheme="minorHAnsi"/>
        </w:rPr>
        <w:t xml:space="preserve"> comparative analysis across regions. </w:t>
      </w:r>
    </w:p>
    <w:p w:rsidR="00963095" w:rsidRPr="00963095" w:rsidP="00BE7CCC" w14:paraId="03DBBBD1" w14:textId="77777777">
      <w:pPr>
        <w:tabs>
          <w:tab w:val="left" w:pos="1750"/>
        </w:tabs>
        <w:spacing w:after="0" w:line="240" w:lineRule="auto"/>
        <w:rPr>
          <w:rFonts w:cstheme="minorHAnsi"/>
        </w:rPr>
      </w:pPr>
    </w:p>
    <w:p w:rsidR="006B5DE3" w:rsidP="00BE7CCC" w14:paraId="63FC347F" w14:textId="2591FAA6">
      <w:pPr>
        <w:tabs>
          <w:tab w:val="left" w:pos="1750"/>
        </w:tabs>
        <w:spacing w:after="0" w:line="240" w:lineRule="auto"/>
        <w:rPr>
          <w:rFonts w:cstheme="minorHAnsi"/>
        </w:rPr>
      </w:pPr>
      <w:r w:rsidRPr="00963095">
        <w:rPr>
          <w:rFonts w:cstheme="minorHAnsi"/>
        </w:rPr>
        <w:t xml:space="preserve">Qualitative interviews will bring nuanced perspectives to this complex program. </w:t>
      </w:r>
      <w:r w:rsidR="00963095">
        <w:rPr>
          <w:rFonts w:cstheme="minorHAnsi"/>
        </w:rPr>
        <w:t xml:space="preserve">Interviews provide </w:t>
      </w:r>
      <w:r w:rsidRPr="009E4B12" w:rsidR="00963095">
        <w:rPr>
          <w:rFonts w:cstheme="minorHAnsi"/>
        </w:rPr>
        <w:t xml:space="preserve">flexible in-depth exploration of the </w:t>
      </w:r>
      <w:r w:rsidR="00963095">
        <w:rPr>
          <w:rFonts w:cstheme="minorHAnsi"/>
        </w:rPr>
        <w:t xml:space="preserve">respondents’ </w:t>
      </w:r>
      <w:r w:rsidRPr="009E4B12" w:rsidR="00963095">
        <w:rPr>
          <w:rFonts w:cstheme="minorHAnsi"/>
        </w:rPr>
        <w:t>perceptions and experience</w:t>
      </w:r>
      <w:r w:rsidR="00963095">
        <w:rPr>
          <w:rFonts w:cstheme="minorHAnsi"/>
        </w:rPr>
        <w:t>s</w:t>
      </w:r>
      <w:r w:rsidRPr="009E4B12" w:rsidR="00963095">
        <w:rPr>
          <w:rFonts w:cstheme="minorHAnsi"/>
        </w:rPr>
        <w:t xml:space="preserve">. Qualitative methods also allow the interviewer the flexibility to pursue relevant and important issues as they arise during the discussion, which is important because of the variation </w:t>
      </w:r>
      <w:r w:rsidR="00963095">
        <w:rPr>
          <w:rFonts w:cstheme="minorHAnsi"/>
        </w:rPr>
        <w:t>between and within</w:t>
      </w:r>
      <w:r w:rsidRPr="009E4B12" w:rsidR="00963095">
        <w:rPr>
          <w:rFonts w:cstheme="minorHAnsi"/>
        </w:rPr>
        <w:t xml:space="preserve"> </w:t>
      </w:r>
      <w:r w:rsidR="00963095">
        <w:rPr>
          <w:rFonts w:cstheme="minorHAnsi"/>
        </w:rPr>
        <w:t>regions</w:t>
      </w:r>
      <w:r w:rsidRPr="009E4B12" w:rsidR="00963095">
        <w:rPr>
          <w:rFonts w:cstheme="minorHAnsi"/>
        </w:rPr>
        <w:t xml:space="preserve"> and the inherent variation among </w:t>
      </w:r>
      <w:r w:rsidR="00963095">
        <w:rPr>
          <w:rFonts w:cstheme="minorHAnsi"/>
        </w:rPr>
        <w:t>respondent</w:t>
      </w:r>
      <w:r w:rsidRPr="009E4B12" w:rsidR="00963095">
        <w:rPr>
          <w:rFonts w:cstheme="minorHAnsi"/>
        </w:rPr>
        <w:t xml:space="preserve"> narratives</w:t>
      </w:r>
      <w:r w:rsidR="00963095">
        <w:rPr>
          <w:rFonts w:cstheme="minorHAnsi"/>
        </w:rPr>
        <w:t xml:space="preserve"> and experiences</w:t>
      </w:r>
      <w:r w:rsidRPr="009E4B12" w:rsidR="00963095">
        <w:rPr>
          <w:rFonts w:cstheme="minorHAnsi"/>
        </w:rPr>
        <w:t xml:space="preserve">. </w:t>
      </w:r>
      <w:r w:rsidRPr="00963095">
        <w:rPr>
          <w:rFonts w:cstheme="minorHAnsi"/>
        </w:rPr>
        <w:t xml:space="preserve">This approach uses a small, purposive sample to gain in-depth understanding. </w:t>
      </w:r>
      <w:bookmarkStart w:id="0" w:name="_Hlk209611872"/>
    </w:p>
    <w:p w:rsidR="00963095" w:rsidRPr="00963095" w:rsidP="00BE7CCC" w14:paraId="698B4A1B" w14:textId="77777777">
      <w:pPr>
        <w:tabs>
          <w:tab w:val="left" w:pos="1750"/>
        </w:tabs>
        <w:spacing w:after="0" w:line="240" w:lineRule="auto"/>
        <w:rPr>
          <w:rFonts w:cstheme="minorHAnsi"/>
        </w:rPr>
      </w:pPr>
    </w:p>
    <w:p w:rsidR="0063765D" w:rsidRPr="00963095" w:rsidP="00BE7CCC" w14:paraId="684C147C" w14:textId="374AB30C">
      <w:pPr>
        <w:tabs>
          <w:tab w:val="left" w:pos="1750"/>
        </w:tabs>
        <w:spacing w:after="0" w:line="240" w:lineRule="auto"/>
        <w:rPr>
          <w:rFonts w:cstheme="minorHAnsi"/>
        </w:rPr>
      </w:pPr>
      <w:r>
        <w:rPr>
          <w:rFonts w:cstheme="minorHAnsi"/>
        </w:rPr>
        <w:t>Interview f</w:t>
      </w:r>
      <w:r w:rsidRPr="00963095">
        <w:rPr>
          <w:rFonts w:cstheme="minorHAnsi"/>
        </w:rPr>
        <w:t xml:space="preserve">indings </w:t>
      </w:r>
      <w:r>
        <w:rPr>
          <w:rFonts w:cstheme="minorHAnsi"/>
        </w:rPr>
        <w:t xml:space="preserve">can be compared across </w:t>
      </w:r>
      <w:r>
        <w:rPr>
          <w:rFonts w:cstheme="minorHAnsi"/>
        </w:rPr>
        <w:t>regions, but</w:t>
      </w:r>
      <w:r>
        <w:rPr>
          <w:rFonts w:cstheme="minorHAnsi"/>
        </w:rPr>
        <w:t xml:space="preserve"> </w:t>
      </w:r>
      <w:r w:rsidR="0082207C">
        <w:rPr>
          <w:rFonts w:cstheme="minorHAnsi"/>
        </w:rPr>
        <w:t>will only reflect the experiences of a subset of service providers</w:t>
      </w:r>
      <w:r w:rsidRPr="00963095">
        <w:rPr>
          <w:rFonts w:cstheme="minorHAnsi"/>
        </w:rPr>
        <w:t xml:space="preserve">. </w:t>
      </w:r>
      <w:r w:rsidRPr="00963095">
        <w:rPr>
          <w:rFonts w:cstheme="minorHAnsi"/>
        </w:rPr>
        <w:t xml:space="preserve">The quantitative surveys will allow for </w:t>
      </w:r>
      <w:r w:rsidRPr="00963095">
        <w:rPr>
          <w:rFonts w:cstheme="minorHAnsi"/>
        </w:rPr>
        <w:t>inputs</w:t>
      </w:r>
      <w:r w:rsidRPr="00963095">
        <w:rPr>
          <w:rFonts w:cstheme="minorHAnsi"/>
        </w:rPr>
        <w:t xml:space="preserve"> from a broader set of service providers</w:t>
      </w:r>
      <w:r w:rsidR="007C1CDB">
        <w:rPr>
          <w:rFonts w:cstheme="minorHAnsi"/>
        </w:rPr>
        <w:t xml:space="preserve"> with lower burden</w:t>
      </w:r>
      <w:r w:rsidRPr="00963095">
        <w:rPr>
          <w:rFonts w:cstheme="minorHAnsi"/>
        </w:rPr>
        <w:t>.</w:t>
      </w:r>
      <w:bookmarkEnd w:id="0"/>
      <w:r w:rsidRPr="00963095">
        <w:rPr>
          <w:rFonts w:cstheme="minorHAnsi"/>
        </w:rPr>
        <w:t xml:space="preserve"> </w:t>
      </w:r>
      <w:r>
        <w:rPr>
          <w:rFonts w:cstheme="minorHAnsi"/>
        </w:rPr>
        <w:t xml:space="preserve">They will provide the research team with measurable data, which will provide the ability to present descriptive statistics across all regions. </w:t>
      </w:r>
      <w:r w:rsidRPr="00963095">
        <w:t>Together, the qualitative and quantitative methods will assist in answering the evaluation questions.</w:t>
      </w:r>
      <w:r w:rsidRPr="00963095">
        <w:rPr>
          <w:rFonts w:cstheme="minorHAnsi"/>
        </w:rPr>
        <w:t xml:space="preserve"> </w:t>
      </w:r>
    </w:p>
    <w:p w:rsidR="00FF656D" w:rsidP="0063765D" w14:paraId="0E8857F2" w14:textId="77777777">
      <w:pPr>
        <w:pStyle w:val="NormalWeb"/>
        <w:spacing w:before="0" w:beforeAutospacing="0" w:after="0" w:afterAutospacing="0"/>
        <w:rPr>
          <w:rFonts w:asciiTheme="minorHAnsi" w:hAnsiTheme="minorHAnsi" w:cstheme="minorHAnsi"/>
          <w:sz w:val="22"/>
          <w:szCs w:val="22"/>
        </w:rPr>
      </w:pPr>
    </w:p>
    <w:p w:rsidR="0063765D" w:rsidP="0063765D" w14:paraId="5A5B5450" w14:textId="62D1427C">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In alignment with the research questions, the </w:t>
      </w:r>
      <w:r w:rsidRPr="00447B26">
        <w:rPr>
          <w:rFonts w:asciiTheme="minorHAnsi" w:hAnsiTheme="minorHAnsi" w:cstheme="minorHAnsi"/>
          <w:sz w:val="22"/>
          <w:szCs w:val="22"/>
        </w:rPr>
        <w:t>results are</w:t>
      </w:r>
      <w:r>
        <w:rPr>
          <w:rFonts w:asciiTheme="minorHAnsi" w:hAnsiTheme="minorHAnsi" w:cstheme="minorHAnsi"/>
          <w:sz w:val="22"/>
          <w:szCs w:val="22"/>
        </w:rPr>
        <w:t xml:space="preserve"> context specific in nature and are not</w:t>
      </w:r>
      <w:r w:rsidRPr="00447B26">
        <w:rPr>
          <w:rFonts w:asciiTheme="minorHAnsi" w:hAnsiTheme="minorHAnsi" w:cstheme="minorHAnsi"/>
          <w:sz w:val="22"/>
          <w:szCs w:val="22"/>
        </w:rPr>
        <w:t xml:space="preserve"> designed to be representative of or generalizable to a given subpopulation.</w:t>
      </w:r>
      <w:r>
        <w:rPr>
          <w:rFonts w:asciiTheme="minorHAnsi" w:hAnsiTheme="minorHAnsi" w:cstheme="minorHAnsi"/>
          <w:sz w:val="22"/>
          <w:szCs w:val="22"/>
        </w:rPr>
        <w:t xml:space="preserve"> Limitations will be </w:t>
      </w:r>
      <w:r w:rsidRPr="00447B26">
        <w:rPr>
          <w:rFonts w:asciiTheme="minorHAnsi" w:hAnsiTheme="minorHAnsi" w:cstheme="minorHAnsi"/>
          <w:sz w:val="22"/>
          <w:szCs w:val="22"/>
        </w:rPr>
        <w:t>noted in any publications resulting from the information collection.</w:t>
      </w:r>
    </w:p>
    <w:p w:rsidR="0063765D" w:rsidP="0063765D" w14:paraId="3BC55D54" w14:textId="77777777">
      <w:pPr>
        <w:pStyle w:val="NormalWeb"/>
        <w:spacing w:before="0" w:beforeAutospacing="0" w:after="0" w:afterAutospacing="0"/>
        <w:rPr>
          <w:rFonts w:asciiTheme="minorHAnsi" w:hAnsiTheme="minorHAnsi" w:cstheme="minorHAnsi"/>
          <w:sz w:val="22"/>
          <w:szCs w:val="22"/>
        </w:rPr>
      </w:pPr>
    </w:p>
    <w:p w:rsidR="00A42C71" w:rsidRPr="001A59B6" w:rsidP="0063765D" w14:paraId="21886270" w14:textId="337FCC1D">
      <w:pPr>
        <w:pStyle w:val="NormalWeb"/>
        <w:spacing w:before="0" w:beforeAutospacing="0" w:after="0" w:afterAutospacing="0"/>
        <w:rPr>
          <w:rFonts w:asciiTheme="minorHAnsi" w:hAnsiTheme="minorHAnsi" w:cstheme="minorHAnsi"/>
          <w:b/>
          <w:i/>
          <w:strike/>
          <w:sz w:val="22"/>
          <w:szCs w:val="22"/>
        </w:rPr>
      </w:pPr>
      <w:r w:rsidRPr="001A59B6">
        <w:rPr>
          <w:rFonts w:asciiTheme="minorHAnsi" w:hAnsiTheme="minorHAnsi" w:cstheme="minorHAnsi"/>
          <w:sz w:val="22"/>
          <w:szCs w:val="22"/>
        </w:rPr>
        <w:t xml:space="preserve">As noted in </w:t>
      </w:r>
      <w:r w:rsidR="00751875">
        <w:rPr>
          <w:rFonts w:asciiTheme="minorHAnsi" w:hAnsiTheme="minorHAnsi" w:cstheme="minorHAnsi"/>
          <w:i/>
          <w:iCs/>
          <w:sz w:val="22"/>
          <w:szCs w:val="22"/>
        </w:rPr>
        <w:t>SS</w:t>
      </w:r>
      <w:r w:rsidRPr="00036A4A">
        <w:rPr>
          <w:rFonts w:asciiTheme="minorHAnsi" w:hAnsiTheme="minorHAnsi" w:cstheme="minorHAnsi"/>
          <w:i/>
          <w:iCs/>
          <w:sz w:val="22"/>
          <w:szCs w:val="22"/>
        </w:rPr>
        <w:t>A</w:t>
      </w:r>
      <w:r w:rsidRPr="001A59B6">
        <w:rPr>
          <w:rFonts w:asciiTheme="minorHAnsi" w:hAnsiTheme="minorHAnsi" w:cstheme="minorHAnsi"/>
          <w:sz w:val="22"/>
          <w:szCs w:val="22"/>
        </w:rPr>
        <w:t xml:space="preserve">, this information is not intended to be used as the principal basis for public policy decisions and is not expected to meet the threshold of influential or highly influential scientific information.  </w:t>
      </w:r>
    </w:p>
    <w:p w:rsidR="00A42C71" w:rsidRPr="001A59B6" w:rsidP="0063765D" w14:paraId="083526BA" w14:textId="77777777">
      <w:pPr>
        <w:pStyle w:val="ListParagraph"/>
        <w:spacing w:after="0" w:line="240" w:lineRule="auto"/>
        <w:ind w:left="0"/>
        <w:rPr>
          <w:rFonts w:cstheme="minorHAnsi"/>
        </w:rPr>
      </w:pPr>
    </w:p>
    <w:p w:rsidR="00A42C71" w:rsidRPr="001A59B6" w:rsidP="0063765D" w14:paraId="7A1B7559" w14:textId="77777777">
      <w:pPr>
        <w:pStyle w:val="ListParagraph"/>
        <w:spacing w:after="0" w:line="240" w:lineRule="auto"/>
        <w:ind w:left="0"/>
        <w:rPr>
          <w:rFonts w:cstheme="minorHAnsi"/>
        </w:rPr>
      </w:pPr>
    </w:p>
    <w:p w:rsidR="00A42C71" w:rsidRPr="001A59B6" w:rsidP="0063765D" w14:paraId="0A71D7FD" w14:textId="77777777">
      <w:pPr>
        <w:pStyle w:val="ListParagraph"/>
        <w:spacing w:after="120" w:line="240" w:lineRule="auto"/>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00836324" w:rsidP="0063765D" w14:paraId="29BD958C" w14:textId="70983DDA">
      <w:pPr>
        <w:autoSpaceDE w:val="0"/>
        <w:autoSpaceDN w:val="0"/>
        <w:adjustRightInd w:val="0"/>
        <w:spacing w:after="60" w:line="240" w:lineRule="auto"/>
        <w:rPr>
          <w:rFonts w:eastAsia="Times New Roman" w:cstheme="minorHAnsi"/>
          <w:color w:val="000000"/>
        </w:rPr>
      </w:pPr>
      <w:r w:rsidRPr="001A59B6">
        <w:rPr>
          <w:rFonts w:eastAsia="Times New Roman" w:cstheme="minorHAnsi"/>
          <w:i/>
          <w:color w:val="000000"/>
        </w:rPr>
        <w:t xml:space="preserve">Target Population </w:t>
      </w:r>
      <w:r w:rsidRPr="001A59B6">
        <w:rPr>
          <w:rFonts w:eastAsia="Times New Roman" w:cstheme="minorHAnsi"/>
          <w:color w:val="000000"/>
        </w:rPr>
        <w:t xml:space="preserve"> </w:t>
      </w:r>
    </w:p>
    <w:p w:rsidR="00836324" w:rsidRPr="00F442A5" w:rsidP="0063765D" w14:paraId="63EFC3C2" w14:textId="41C9E3C1">
      <w:pPr>
        <w:autoSpaceDE w:val="0"/>
        <w:autoSpaceDN w:val="0"/>
        <w:adjustRightInd w:val="0"/>
        <w:spacing w:after="60" w:line="240" w:lineRule="auto"/>
        <w:contextualSpacing/>
        <w:rPr>
          <w:rFonts w:eastAsia="Times New Roman" w:cstheme="minorHAnsi"/>
          <w:color w:val="000000"/>
          <w:u w:val="single"/>
        </w:rPr>
      </w:pPr>
      <w:r w:rsidRPr="00F442A5">
        <w:rPr>
          <w:rFonts w:eastAsia="Times New Roman" w:cstheme="minorHAnsi"/>
          <w:color w:val="000000"/>
          <w:u w:val="single"/>
        </w:rPr>
        <w:t xml:space="preserve">Interviews: </w:t>
      </w:r>
    </w:p>
    <w:p w:rsidR="00AB6208" w:rsidP="0063765D" w14:paraId="47716312" w14:textId="380398C5">
      <w:pPr>
        <w:autoSpaceDE w:val="0"/>
        <w:autoSpaceDN w:val="0"/>
        <w:adjustRightInd w:val="0"/>
        <w:spacing w:after="60" w:line="240" w:lineRule="auto"/>
        <w:contextualSpacing/>
        <w:rPr>
          <w:rFonts w:eastAsia="Times New Roman" w:cstheme="minorHAnsi"/>
          <w:color w:val="000000"/>
        </w:rPr>
      </w:pPr>
      <w:r w:rsidRPr="00836324">
        <w:rPr>
          <w:rFonts w:eastAsia="Times New Roman" w:cstheme="minorHAnsi"/>
          <w:color w:val="000000"/>
        </w:rPr>
        <w:t xml:space="preserve">For each of the </w:t>
      </w:r>
      <w:r w:rsidR="00D631A1">
        <w:rPr>
          <w:rFonts w:eastAsia="Times New Roman" w:cstheme="minorHAnsi"/>
          <w:color w:val="000000"/>
        </w:rPr>
        <w:t>ten</w:t>
      </w:r>
      <w:r w:rsidRPr="00836324">
        <w:rPr>
          <w:rFonts w:eastAsia="Times New Roman" w:cstheme="minorHAnsi"/>
          <w:color w:val="000000"/>
        </w:rPr>
        <w:t xml:space="preserve"> </w:t>
      </w:r>
      <w:r w:rsidR="00C11481">
        <w:rPr>
          <w:rFonts w:eastAsia="Times New Roman" w:cstheme="minorHAnsi"/>
          <w:color w:val="000000"/>
        </w:rPr>
        <w:t>regions</w:t>
      </w:r>
      <w:r w:rsidRPr="00836324">
        <w:rPr>
          <w:rFonts w:eastAsia="Times New Roman" w:cstheme="minorHAnsi"/>
          <w:color w:val="000000"/>
        </w:rPr>
        <w:t xml:space="preserve"> we will collect information from</w:t>
      </w:r>
      <w:r>
        <w:rPr>
          <w:rFonts w:eastAsia="Times New Roman" w:cstheme="minorHAnsi"/>
          <w:color w:val="000000"/>
        </w:rPr>
        <w:t xml:space="preserve"> the following: </w:t>
      </w:r>
    </w:p>
    <w:p w:rsidR="00AB6208" w:rsidRPr="008677A7" w:rsidP="008677A7" w14:paraId="14570C9F" w14:textId="7D089501">
      <w:pPr>
        <w:pStyle w:val="ListParagraph"/>
        <w:numPr>
          <w:ilvl w:val="0"/>
          <w:numId w:val="33"/>
        </w:numPr>
        <w:autoSpaceDE w:val="0"/>
        <w:autoSpaceDN w:val="0"/>
        <w:adjustRightInd w:val="0"/>
        <w:spacing w:after="60" w:line="240" w:lineRule="auto"/>
        <w:rPr>
          <w:rFonts w:eastAsia="Times New Roman" w:cstheme="minorHAnsi"/>
          <w:color w:val="000000"/>
        </w:rPr>
      </w:pPr>
      <w:r w:rsidRPr="008677A7">
        <w:rPr>
          <w:rFonts w:eastAsia="Times New Roman" w:cstheme="minorHAnsi"/>
          <w:color w:val="000000"/>
        </w:rPr>
        <w:t xml:space="preserve">Subrecipient </w:t>
      </w:r>
      <w:r w:rsidRPr="008677A7" w:rsidR="00C11481">
        <w:rPr>
          <w:rFonts w:eastAsia="Times New Roman" w:cstheme="minorHAnsi"/>
          <w:color w:val="000000"/>
        </w:rPr>
        <w:t>staff</w:t>
      </w:r>
      <w:r w:rsidRPr="008677A7">
        <w:rPr>
          <w:rFonts w:eastAsia="Times New Roman" w:cstheme="minorHAnsi"/>
          <w:color w:val="000000"/>
        </w:rPr>
        <w:t xml:space="preserve">: These participants will be staff at all subrecipient organizations that work with TVAP/Aspire </w:t>
      </w:r>
      <w:r w:rsidRPr="008677A7">
        <w:rPr>
          <w:rFonts w:eastAsia="Times New Roman" w:cstheme="minorHAnsi"/>
          <w:color w:val="000000"/>
        </w:rPr>
        <w:t>clients .</w:t>
      </w:r>
    </w:p>
    <w:p w:rsidR="00AB6208" w:rsidRPr="008677A7" w:rsidP="008677A7" w14:paraId="41D2A015" w14:textId="3ED529E2">
      <w:pPr>
        <w:pStyle w:val="ListParagraph"/>
        <w:numPr>
          <w:ilvl w:val="0"/>
          <w:numId w:val="33"/>
        </w:numPr>
        <w:autoSpaceDE w:val="0"/>
        <w:autoSpaceDN w:val="0"/>
        <w:adjustRightInd w:val="0"/>
        <w:spacing w:after="60" w:line="240" w:lineRule="auto"/>
        <w:rPr>
          <w:rFonts w:eastAsia="Times New Roman" w:cstheme="minorHAnsi"/>
          <w:color w:val="000000"/>
        </w:rPr>
      </w:pPr>
      <w:r w:rsidRPr="008677A7">
        <w:rPr>
          <w:rFonts w:eastAsia="Times New Roman" w:cstheme="minorHAnsi"/>
          <w:color w:val="000000"/>
        </w:rPr>
        <w:t>O</w:t>
      </w:r>
      <w:r w:rsidRPr="008677A7" w:rsidR="00C11481">
        <w:rPr>
          <w:rFonts w:eastAsia="Times New Roman" w:cstheme="minorHAnsi"/>
          <w:color w:val="000000"/>
        </w:rPr>
        <w:t>ther services providers</w:t>
      </w:r>
      <w:r w:rsidRPr="008677A7">
        <w:rPr>
          <w:rFonts w:eastAsia="Times New Roman" w:cstheme="minorHAnsi"/>
          <w:color w:val="000000"/>
        </w:rPr>
        <w:t>: These participants will be staff at service organization</w:t>
      </w:r>
      <w:r w:rsidR="00D74249">
        <w:rPr>
          <w:rFonts w:eastAsia="Times New Roman" w:cstheme="minorHAnsi"/>
          <w:color w:val="000000"/>
        </w:rPr>
        <w:t>s</w:t>
      </w:r>
      <w:r w:rsidRPr="008677A7">
        <w:rPr>
          <w:rFonts w:eastAsia="Times New Roman" w:cstheme="minorHAnsi"/>
          <w:color w:val="000000"/>
        </w:rPr>
        <w:t xml:space="preserve"> in the community that do not have a</w:t>
      </w:r>
      <w:r w:rsidR="00865412">
        <w:rPr>
          <w:rFonts w:eastAsia="Times New Roman" w:cstheme="minorHAnsi"/>
          <w:color w:val="000000"/>
        </w:rPr>
        <w:t xml:space="preserve"> Memorand</w:t>
      </w:r>
      <w:r w:rsidR="00DD6BD6">
        <w:rPr>
          <w:rFonts w:eastAsia="Times New Roman" w:cstheme="minorHAnsi"/>
          <w:color w:val="000000"/>
        </w:rPr>
        <w:t>um of Understanding (</w:t>
      </w:r>
      <w:r w:rsidRPr="008677A7">
        <w:rPr>
          <w:rFonts w:eastAsia="Times New Roman" w:cstheme="minorHAnsi"/>
          <w:color w:val="000000"/>
        </w:rPr>
        <w:t>MOU</w:t>
      </w:r>
      <w:r w:rsidR="00DD6BD6">
        <w:rPr>
          <w:rFonts w:eastAsia="Times New Roman" w:cstheme="minorHAnsi"/>
          <w:color w:val="000000"/>
        </w:rPr>
        <w:t>)</w:t>
      </w:r>
      <w:r w:rsidRPr="008677A7">
        <w:rPr>
          <w:rFonts w:eastAsia="Times New Roman" w:cstheme="minorHAnsi"/>
          <w:color w:val="000000"/>
        </w:rPr>
        <w:t xml:space="preserve"> with the TVAP/Aspire programs but receive referrals from the prime award case managers or subrecipients and provide services to TVAP/Aspire clients.</w:t>
      </w:r>
    </w:p>
    <w:p w:rsidR="00AB6208" w:rsidRPr="008677A7" w:rsidP="008677A7" w14:paraId="754D3D17" w14:textId="12B4AA95">
      <w:pPr>
        <w:pStyle w:val="ListParagraph"/>
        <w:numPr>
          <w:ilvl w:val="0"/>
          <w:numId w:val="33"/>
        </w:numPr>
        <w:autoSpaceDE w:val="0"/>
        <w:autoSpaceDN w:val="0"/>
        <w:adjustRightInd w:val="0"/>
        <w:spacing w:after="60" w:line="240" w:lineRule="auto"/>
        <w:rPr>
          <w:rFonts w:eastAsia="Times New Roman" w:cstheme="minorHAnsi"/>
          <w:color w:val="000000"/>
        </w:rPr>
      </w:pPr>
      <w:r w:rsidRPr="008677A7">
        <w:rPr>
          <w:rFonts w:eastAsia="Times New Roman" w:cstheme="minorHAnsi"/>
          <w:color w:val="000000"/>
        </w:rPr>
        <w:t>L</w:t>
      </w:r>
      <w:r w:rsidRPr="008677A7" w:rsidR="00C11481">
        <w:rPr>
          <w:rFonts w:eastAsia="Times New Roman" w:cstheme="minorHAnsi"/>
          <w:color w:val="000000"/>
        </w:rPr>
        <w:t>ocal government system professionals</w:t>
      </w:r>
      <w:r w:rsidRPr="008677A7">
        <w:rPr>
          <w:rFonts w:eastAsia="Times New Roman" w:cstheme="minorHAnsi"/>
          <w:color w:val="000000"/>
        </w:rPr>
        <w:t>: These participants will be staff at local government system agencies that interact with TVAP/Aspire program staff, particularly regional coordinators, in responding to client needs</w:t>
      </w:r>
      <w:r w:rsidRPr="008677A7" w:rsidR="00836324">
        <w:rPr>
          <w:rFonts w:eastAsia="Times New Roman" w:cstheme="minorHAnsi"/>
          <w:color w:val="000000"/>
        </w:rPr>
        <w:t xml:space="preserve">. </w:t>
      </w:r>
    </w:p>
    <w:p w:rsidR="00C11481" w:rsidRPr="0019762C" w:rsidP="008677A7" w14:paraId="5737C2D0" w14:textId="3800C3B0">
      <w:pPr>
        <w:pStyle w:val="ListParagraph"/>
        <w:numPr>
          <w:ilvl w:val="0"/>
          <w:numId w:val="33"/>
        </w:numPr>
        <w:autoSpaceDE w:val="0"/>
        <w:autoSpaceDN w:val="0"/>
        <w:adjustRightInd w:val="0"/>
        <w:spacing w:after="60" w:line="240" w:lineRule="auto"/>
        <w:rPr>
          <w:rFonts w:eastAsia="Times New Roman" w:cstheme="minorHAnsi"/>
          <w:color w:val="000000"/>
        </w:rPr>
      </w:pPr>
      <w:r w:rsidRPr="008677A7">
        <w:rPr>
          <w:rFonts w:eastAsia="Times New Roman" w:cstheme="minorHAnsi"/>
          <w:color w:val="000000"/>
        </w:rPr>
        <w:t xml:space="preserve">Clients: </w:t>
      </w:r>
      <w:r w:rsidRPr="008677A7" w:rsidR="008677A7">
        <w:rPr>
          <w:rFonts w:eastAsia="Times New Roman" w:cstheme="minorHAnsi"/>
          <w:color w:val="000000"/>
        </w:rPr>
        <w:t xml:space="preserve">These participants will be current and former TVAP/Aspire clients now over 18 years of age, who </w:t>
      </w:r>
      <w:r w:rsidRPr="008677A7" w:rsidR="008677A7">
        <w:rPr>
          <w:rFonts w:eastAsia="Times New Roman" w:cstheme="minorHAnsi"/>
          <w:color w:val="000000"/>
        </w:rPr>
        <w:t>received</w:t>
      </w:r>
      <w:r w:rsidRPr="008677A7" w:rsidR="008677A7">
        <w:rPr>
          <w:rFonts w:eastAsia="Times New Roman" w:cstheme="minorHAnsi"/>
          <w:color w:val="000000"/>
        </w:rPr>
        <w:t xml:space="preserve"> services</w:t>
      </w:r>
      <w:r w:rsidRPr="008677A7" w:rsidR="00F442A5">
        <w:rPr>
          <w:rFonts w:eastAsia="Times New Roman" w:cstheme="minorHAnsi"/>
          <w:color w:val="000000"/>
        </w:rPr>
        <w:t>.</w:t>
      </w:r>
      <w:r w:rsidRPr="008677A7" w:rsidR="00032E81">
        <w:rPr>
          <w:rFonts w:eastAsia="Times New Roman" w:cstheme="minorHAnsi"/>
          <w:color w:val="000000"/>
        </w:rPr>
        <w:t xml:space="preserve"> </w:t>
      </w:r>
      <w:r w:rsidRPr="0019762C" w:rsidR="001474EE">
        <w:rPr>
          <w:rFonts w:eastAsia="Times New Roman" w:cstheme="minorHAnsi"/>
          <w:color w:val="000000"/>
        </w:rPr>
        <w:t xml:space="preserve"> </w:t>
      </w:r>
    </w:p>
    <w:p w:rsidR="00C11481" w:rsidP="0063765D" w14:paraId="6934DD6B" w14:textId="1FD9B85B">
      <w:pPr>
        <w:autoSpaceDE w:val="0"/>
        <w:autoSpaceDN w:val="0"/>
        <w:adjustRightInd w:val="0"/>
        <w:spacing w:after="60" w:line="240" w:lineRule="auto"/>
        <w:contextualSpacing/>
        <w:rPr>
          <w:rFonts w:eastAsia="Times New Roman" w:cstheme="minorHAnsi"/>
          <w:color w:val="000000"/>
        </w:rPr>
      </w:pPr>
    </w:p>
    <w:p w:rsidR="00836324" w:rsidP="0063765D" w14:paraId="56981F18" w14:textId="75421278">
      <w:pPr>
        <w:autoSpaceDE w:val="0"/>
        <w:autoSpaceDN w:val="0"/>
        <w:adjustRightInd w:val="0"/>
        <w:spacing w:after="60" w:line="240" w:lineRule="auto"/>
        <w:contextualSpacing/>
        <w:rPr>
          <w:rFonts w:eastAsia="Times New Roman" w:cstheme="minorHAnsi"/>
          <w:color w:val="000000"/>
        </w:rPr>
      </w:pPr>
      <w:r w:rsidRPr="00836324">
        <w:rPr>
          <w:rFonts w:eastAsia="Times New Roman" w:cstheme="minorHAnsi"/>
          <w:color w:val="000000"/>
        </w:rPr>
        <w:t xml:space="preserve">The </w:t>
      </w:r>
      <w:r w:rsidR="00F442A5">
        <w:rPr>
          <w:rFonts w:eastAsia="Times New Roman" w:cstheme="minorHAnsi"/>
          <w:color w:val="000000"/>
        </w:rPr>
        <w:t>evaluation</w:t>
      </w:r>
      <w:r w:rsidRPr="00836324">
        <w:rPr>
          <w:rFonts w:eastAsia="Times New Roman" w:cstheme="minorHAnsi"/>
          <w:color w:val="000000"/>
        </w:rPr>
        <w:t xml:space="preserve"> team will use non-probability, purposive sampling to identify potential respondents who can provide information on the </w:t>
      </w:r>
      <w:r w:rsidR="00C11481">
        <w:rPr>
          <w:rFonts w:eastAsia="Times New Roman" w:cstheme="minorHAnsi"/>
          <w:color w:val="000000"/>
        </w:rPr>
        <w:t>evaluation’s</w:t>
      </w:r>
      <w:r w:rsidRPr="00836324">
        <w:rPr>
          <w:rFonts w:eastAsia="Times New Roman" w:cstheme="minorHAnsi"/>
          <w:color w:val="000000"/>
        </w:rPr>
        <w:t xml:space="preserve"> key constructs. Because participants will be purposively selected, they will not be representative of the population of </w:t>
      </w:r>
      <w:r w:rsidR="00C11481">
        <w:rPr>
          <w:rFonts w:eastAsia="Times New Roman" w:cstheme="minorHAnsi"/>
          <w:color w:val="000000"/>
        </w:rPr>
        <w:t>subrecipient</w:t>
      </w:r>
      <w:r w:rsidRPr="00836324">
        <w:rPr>
          <w:rFonts w:eastAsia="Times New Roman" w:cstheme="minorHAnsi"/>
          <w:color w:val="000000"/>
        </w:rPr>
        <w:t xml:space="preserve"> staff</w:t>
      </w:r>
      <w:r w:rsidR="00C11481">
        <w:rPr>
          <w:rFonts w:eastAsia="Times New Roman" w:cstheme="minorHAnsi"/>
          <w:color w:val="000000"/>
        </w:rPr>
        <w:t xml:space="preserve">, service </w:t>
      </w:r>
      <w:r w:rsidRPr="00836324">
        <w:rPr>
          <w:rFonts w:eastAsia="Times New Roman" w:cstheme="minorHAnsi"/>
          <w:color w:val="000000"/>
        </w:rPr>
        <w:t>providers</w:t>
      </w:r>
      <w:r w:rsidR="008F6ADB">
        <w:rPr>
          <w:rFonts w:eastAsia="Times New Roman" w:cstheme="minorHAnsi"/>
          <w:color w:val="000000"/>
        </w:rPr>
        <w:t>,</w:t>
      </w:r>
      <w:r w:rsidR="00C11481">
        <w:rPr>
          <w:rFonts w:eastAsia="Times New Roman" w:cstheme="minorHAnsi"/>
          <w:color w:val="000000"/>
        </w:rPr>
        <w:t xml:space="preserve"> or government agencies.</w:t>
      </w:r>
      <w:r w:rsidRPr="00836324">
        <w:rPr>
          <w:rFonts w:eastAsia="Times New Roman" w:cstheme="minorHAnsi"/>
          <w:color w:val="000000"/>
        </w:rPr>
        <w:t xml:space="preserve"> </w:t>
      </w:r>
      <w:r w:rsidR="00C11481">
        <w:rPr>
          <w:rFonts w:eastAsia="Times New Roman" w:cstheme="minorHAnsi"/>
          <w:color w:val="000000"/>
        </w:rPr>
        <w:t>Clients</w:t>
      </w:r>
      <w:r w:rsidRPr="00836324">
        <w:rPr>
          <w:rFonts w:eastAsia="Times New Roman" w:cstheme="minorHAnsi"/>
          <w:color w:val="000000"/>
        </w:rPr>
        <w:t xml:space="preserve"> will not be representative of the population o</w:t>
      </w:r>
      <w:r w:rsidR="00C11481">
        <w:rPr>
          <w:rFonts w:eastAsia="Times New Roman" w:cstheme="minorHAnsi"/>
          <w:color w:val="000000"/>
        </w:rPr>
        <w:t xml:space="preserve">f people the TVAP and Aspire </w:t>
      </w:r>
      <w:r w:rsidRPr="00836324">
        <w:rPr>
          <w:rFonts w:eastAsia="Times New Roman" w:cstheme="minorHAnsi"/>
          <w:color w:val="000000"/>
        </w:rPr>
        <w:t xml:space="preserve">programs serve. Instead, we aim to obtain variation in </w:t>
      </w:r>
      <w:r w:rsidR="00C11481">
        <w:rPr>
          <w:rFonts w:eastAsia="Times New Roman" w:cstheme="minorHAnsi"/>
          <w:color w:val="000000"/>
        </w:rPr>
        <w:t>client</w:t>
      </w:r>
      <w:r w:rsidRPr="00836324">
        <w:rPr>
          <w:rFonts w:eastAsia="Times New Roman" w:cstheme="minorHAnsi"/>
          <w:color w:val="000000"/>
        </w:rPr>
        <w:t xml:space="preserve"> </w:t>
      </w:r>
      <w:r w:rsidRPr="00836324">
        <w:rPr>
          <w:rFonts w:eastAsia="Times New Roman" w:cstheme="minorHAnsi"/>
          <w:color w:val="000000"/>
        </w:rPr>
        <w:t>experiences</w:t>
      </w:r>
      <w:r w:rsidR="00C11481">
        <w:rPr>
          <w:rFonts w:eastAsia="Times New Roman" w:cstheme="minorHAnsi"/>
          <w:color w:val="000000"/>
        </w:rPr>
        <w:t xml:space="preserve"> with</w:t>
      </w:r>
      <w:r w:rsidRPr="00836324">
        <w:rPr>
          <w:rFonts w:eastAsia="Times New Roman" w:cstheme="minorHAnsi"/>
          <w:color w:val="000000"/>
        </w:rPr>
        <w:t xml:space="preserve"> services with a given </w:t>
      </w:r>
      <w:r w:rsidR="00C11481">
        <w:rPr>
          <w:rFonts w:eastAsia="Times New Roman" w:cstheme="minorHAnsi"/>
          <w:color w:val="000000"/>
        </w:rPr>
        <w:t>subrecipient</w:t>
      </w:r>
      <w:r w:rsidRPr="00836324">
        <w:rPr>
          <w:rFonts w:eastAsia="Times New Roman" w:cstheme="minorHAnsi"/>
          <w:color w:val="000000"/>
        </w:rPr>
        <w:t>.</w:t>
      </w:r>
    </w:p>
    <w:p w:rsidR="00836324" w:rsidP="0063765D" w14:paraId="4C1BBC78" w14:textId="77777777">
      <w:pPr>
        <w:autoSpaceDE w:val="0"/>
        <w:autoSpaceDN w:val="0"/>
        <w:adjustRightInd w:val="0"/>
        <w:spacing w:after="60" w:line="240" w:lineRule="auto"/>
        <w:contextualSpacing/>
        <w:rPr>
          <w:rFonts w:eastAsia="Times New Roman" w:cstheme="minorHAnsi"/>
          <w:color w:val="000000"/>
        </w:rPr>
      </w:pPr>
    </w:p>
    <w:p w:rsidR="00836324" w:rsidRPr="00F442A5" w:rsidP="0063765D" w14:paraId="5A42DE65" w14:textId="0D0834D3">
      <w:pPr>
        <w:autoSpaceDE w:val="0"/>
        <w:autoSpaceDN w:val="0"/>
        <w:adjustRightInd w:val="0"/>
        <w:spacing w:after="60" w:line="240" w:lineRule="auto"/>
        <w:contextualSpacing/>
        <w:rPr>
          <w:rFonts w:eastAsia="Times New Roman" w:cstheme="minorHAnsi"/>
          <w:color w:val="000000"/>
          <w:u w:val="single"/>
        </w:rPr>
      </w:pPr>
      <w:r w:rsidRPr="00F442A5">
        <w:rPr>
          <w:rFonts w:eastAsia="Times New Roman" w:cstheme="minorHAnsi"/>
          <w:color w:val="000000"/>
          <w:u w:val="single"/>
        </w:rPr>
        <w:t xml:space="preserve">Subrecipient </w:t>
      </w:r>
      <w:r w:rsidRPr="00F442A5">
        <w:rPr>
          <w:rFonts w:eastAsia="Times New Roman" w:cstheme="minorHAnsi"/>
          <w:color w:val="000000"/>
          <w:u w:val="single"/>
        </w:rPr>
        <w:t>Survey:</w:t>
      </w:r>
    </w:p>
    <w:p w:rsidR="00F442A5" w:rsidRPr="001A59B6" w:rsidP="0063765D" w14:paraId="716BF078" w14:textId="3143C536">
      <w:pPr>
        <w:autoSpaceDE w:val="0"/>
        <w:autoSpaceDN w:val="0"/>
        <w:adjustRightInd w:val="0"/>
        <w:spacing w:after="60" w:line="240" w:lineRule="auto"/>
        <w:contextualSpacing/>
        <w:rPr>
          <w:rFonts w:eastAsia="Times New Roman" w:cstheme="minorHAnsi"/>
          <w:color w:val="000000"/>
        </w:rPr>
      </w:pPr>
      <w:r w:rsidRPr="00836324">
        <w:rPr>
          <w:rFonts w:eastAsia="Times New Roman" w:cstheme="minorHAnsi"/>
          <w:color w:val="000000"/>
        </w:rPr>
        <w:t>T</w:t>
      </w:r>
      <w:r>
        <w:rPr>
          <w:rFonts w:eastAsia="Times New Roman" w:cstheme="minorHAnsi"/>
          <w:color w:val="000000"/>
        </w:rPr>
        <w:t xml:space="preserve">he subrecipient survey will be provided to all organizations with MOUs with the prime award recipient to provide services to TVAP/Aspire clients. </w:t>
      </w:r>
    </w:p>
    <w:p w:rsidR="00A42C71" w:rsidRPr="001A59B6" w:rsidP="0063765D" w14:paraId="2DAEC0F7" w14:textId="77777777">
      <w:pPr>
        <w:autoSpaceDE w:val="0"/>
        <w:autoSpaceDN w:val="0"/>
        <w:adjustRightInd w:val="0"/>
        <w:spacing w:after="0" w:line="240" w:lineRule="auto"/>
        <w:contextualSpacing/>
        <w:rPr>
          <w:rFonts w:eastAsia="Times New Roman" w:cstheme="minorHAnsi"/>
          <w:color w:val="000000"/>
        </w:rPr>
      </w:pPr>
    </w:p>
    <w:p w:rsidR="00F442A5" w:rsidRPr="007C1CDB" w:rsidP="007C1CDB" w14:paraId="2799B3FE" w14:textId="1650B7DE">
      <w:pPr>
        <w:spacing w:line="240" w:lineRule="auto"/>
      </w:pPr>
    </w:p>
    <w:p w:rsidR="00F442A5" w:rsidRPr="007C1CDB" w:rsidP="007C1CDB" w14:paraId="0669CB94" w14:textId="07CCCD05">
      <w:pPr>
        <w:autoSpaceDE w:val="0"/>
        <w:autoSpaceDN w:val="0"/>
        <w:adjustRightInd w:val="0"/>
        <w:spacing w:after="60" w:line="240" w:lineRule="auto"/>
        <w:rPr>
          <w:rFonts w:eastAsia="Times New Roman" w:cstheme="minorHAnsi"/>
          <w:i/>
          <w:color w:val="000000"/>
        </w:rPr>
      </w:pPr>
      <w:r>
        <w:rPr>
          <w:rFonts w:eastAsia="Times New Roman" w:cstheme="minorHAnsi"/>
          <w:i/>
          <w:color w:val="000000"/>
        </w:rPr>
        <w:t xml:space="preserve">Respondent Recruitment </w:t>
      </w:r>
    </w:p>
    <w:p w:rsidR="00D361ED" w:rsidRPr="002D4C63" w:rsidP="0063765D" w14:paraId="700426A8" w14:textId="262258DD">
      <w:pPr>
        <w:autoSpaceDE w:val="0"/>
        <w:autoSpaceDN w:val="0"/>
        <w:adjustRightInd w:val="0"/>
        <w:spacing w:after="0" w:line="240" w:lineRule="auto"/>
        <w:contextualSpacing/>
        <w:rPr>
          <w:rFonts w:eastAsia="Times New Roman" w:cstheme="minorHAnsi"/>
          <w:color w:val="000000"/>
          <w:u w:val="single"/>
        </w:rPr>
      </w:pPr>
      <w:r w:rsidRPr="002D4C63">
        <w:rPr>
          <w:rFonts w:eastAsia="Times New Roman" w:cstheme="minorHAnsi"/>
          <w:color w:val="000000"/>
          <w:u w:val="single"/>
        </w:rPr>
        <w:t>Subrecipient interviews</w:t>
      </w:r>
    </w:p>
    <w:p w:rsidR="006300B9" w:rsidP="0063765D" w14:paraId="3FE5812A" w14:textId="76623E03">
      <w:pPr>
        <w:spacing w:after="0" w:line="240" w:lineRule="auto"/>
        <w:rPr>
          <w:rFonts w:cstheme="minorHAnsi"/>
        </w:rPr>
      </w:pPr>
      <w:r>
        <w:rPr>
          <w:rFonts w:cstheme="minorHAnsi"/>
        </w:rPr>
        <w:t xml:space="preserve">The prime award recipient will provide points of contact for each subrecipient with an MOU. RTI will work with these points of contact at </w:t>
      </w:r>
      <w:r w:rsidR="00D250CC">
        <w:rPr>
          <w:rFonts w:cstheme="minorHAnsi"/>
        </w:rPr>
        <w:t xml:space="preserve">the </w:t>
      </w:r>
      <w:r w:rsidR="00260A48">
        <w:rPr>
          <w:rFonts w:cstheme="minorHAnsi"/>
        </w:rPr>
        <w:t xml:space="preserve">subrecipient organization </w:t>
      </w:r>
      <w:r>
        <w:rPr>
          <w:rFonts w:cstheme="minorHAnsi"/>
        </w:rPr>
        <w:t>to identify staff</w:t>
      </w:r>
      <w:r w:rsidRPr="006D3602">
        <w:t xml:space="preserve"> who</w:t>
      </w:r>
      <w:r>
        <w:t xml:space="preserve"> can</w:t>
      </w:r>
      <w:r w:rsidRPr="006D3602">
        <w:t xml:space="preserve"> answer</w:t>
      </w:r>
      <w:r>
        <w:t xml:space="preserve"> questions related to</w:t>
      </w:r>
      <w:r w:rsidRPr="006D3602">
        <w:t xml:space="preserve"> process and implementation</w:t>
      </w:r>
      <w:r>
        <w:t xml:space="preserve">. </w:t>
      </w:r>
      <w:r w:rsidR="00260A48">
        <w:rPr>
          <w:rFonts w:cstheme="minorHAnsi"/>
        </w:rPr>
        <w:t>They</w:t>
      </w:r>
      <w:r>
        <w:rPr>
          <w:rFonts w:cstheme="minorHAnsi"/>
        </w:rPr>
        <w:t xml:space="preserve"> will</w:t>
      </w:r>
      <w:r w:rsidRPr="00A97D2A">
        <w:rPr>
          <w:rFonts w:cstheme="minorHAnsi"/>
        </w:rPr>
        <w:t xml:space="preserve"> </w:t>
      </w:r>
      <w:r>
        <w:rPr>
          <w:rFonts w:cstheme="minorHAnsi"/>
        </w:rPr>
        <w:t xml:space="preserve">provide contact information to RTI. RTI will then send a recruitment e-mail to identified individuals, which includes high-level information about the evaluation and </w:t>
      </w:r>
      <w:r w:rsidRPr="008A21E3">
        <w:rPr>
          <w:rFonts w:cstheme="minorHAnsi"/>
        </w:rPr>
        <w:t>an opportunity to schedule an interview time that is convenient for them</w:t>
      </w:r>
      <w:r w:rsidR="00165A5D">
        <w:rPr>
          <w:rFonts w:cstheme="minorHAnsi"/>
        </w:rPr>
        <w:t>.</w:t>
      </w:r>
      <w:r w:rsidRPr="008A21E3">
        <w:rPr>
          <w:rFonts w:cstheme="minorHAnsi"/>
        </w:rPr>
        <w:t xml:space="preserve"> Interested individuals will demonstrate their voluntary interest in participating by scheduling an interview time. Those who volunteer will receive an advance confirmation e-mail prior to their interview, that will </w:t>
      </w:r>
      <w:r w:rsidRPr="008A21E3">
        <w:rPr>
          <w:rFonts w:cstheme="minorHAnsi"/>
        </w:rPr>
        <w:t xml:space="preserve">include high-level information about the evaluation and informed consent information (see </w:t>
      </w:r>
      <w:r w:rsidRPr="0070649B">
        <w:rPr>
          <w:rFonts w:cstheme="minorHAnsi"/>
          <w:b/>
          <w:bCs/>
        </w:rPr>
        <w:t xml:space="preserve">Appendix </w:t>
      </w:r>
      <w:r w:rsidR="00A86583">
        <w:rPr>
          <w:rFonts w:cstheme="minorHAnsi"/>
          <w:b/>
          <w:bCs/>
        </w:rPr>
        <w:t>A</w:t>
      </w:r>
      <w:r w:rsidRPr="008A21E3">
        <w:rPr>
          <w:rFonts w:cstheme="minorHAnsi"/>
        </w:rPr>
        <w:t>).</w:t>
      </w:r>
      <w:r w:rsidRPr="00A97D2A">
        <w:rPr>
          <w:rFonts w:cstheme="minorHAnsi"/>
        </w:rPr>
        <w:t xml:space="preserve"> </w:t>
      </w:r>
    </w:p>
    <w:p w:rsidR="006300B9" w:rsidP="0063765D" w14:paraId="64D44EF2" w14:textId="77777777">
      <w:pPr>
        <w:autoSpaceDE w:val="0"/>
        <w:autoSpaceDN w:val="0"/>
        <w:adjustRightInd w:val="0"/>
        <w:spacing w:after="0" w:line="240" w:lineRule="auto"/>
        <w:contextualSpacing/>
        <w:rPr>
          <w:rFonts w:eastAsia="Times New Roman" w:cstheme="minorHAnsi"/>
          <w:color w:val="000000"/>
        </w:rPr>
      </w:pPr>
    </w:p>
    <w:p w:rsidR="00D361ED" w:rsidRPr="00B154CE" w:rsidP="0063765D" w14:paraId="01696DDB" w14:textId="18351AAB">
      <w:pPr>
        <w:autoSpaceDE w:val="0"/>
        <w:autoSpaceDN w:val="0"/>
        <w:adjustRightInd w:val="0"/>
        <w:spacing w:after="0" w:line="240" w:lineRule="auto"/>
        <w:contextualSpacing/>
        <w:rPr>
          <w:rFonts w:eastAsia="Times New Roman" w:cstheme="minorHAnsi"/>
          <w:color w:val="000000"/>
          <w:u w:val="single"/>
        </w:rPr>
      </w:pPr>
      <w:r w:rsidRPr="00B154CE">
        <w:rPr>
          <w:rFonts w:eastAsia="Times New Roman" w:cstheme="minorHAnsi"/>
          <w:color w:val="000000"/>
          <w:u w:val="single"/>
        </w:rPr>
        <w:t>Other provider interviews</w:t>
      </w:r>
    </w:p>
    <w:p w:rsidR="00260A48" w:rsidP="0063765D" w14:paraId="36764DBA" w14:textId="31F200A3">
      <w:pPr>
        <w:spacing w:after="0" w:line="240" w:lineRule="auto"/>
        <w:rPr>
          <w:rFonts w:cstheme="minorHAnsi"/>
        </w:rPr>
      </w:pPr>
      <w:r>
        <w:rPr>
          <w:rFonts w:cstheme="minorHAnsi"/>
        </w:rPr>
        <w:t>The prime award recipient</w:t>
      </w:r>
      <w:r w:rsidR="005902D1">
        <w:rPr>
          <w:rFonts w:cstheme="minorHAnsi"/>
        </w:rPr>
        <w:t xml:space="preserve"> and subrecipient organizations </w:t>
      </w:r>
      <w:r>
        <w:rPr>
          <w:rFonts w:cstheme="minorHAnsi"/>
        </w:rPr>
        <w:t xml:space="preserve">will provide points of contact for service providers they work with that </w:t>
      </w:r>
      <w:r w:rsidR="005902D1">
        <w:rPr>
          <w:rFonts w:cstheme="minorHAnsi"/>
        </w:rPr>
        <w:t xml:space="preserve">provide </w:t>
      </w:r>
      <w:r w:rsidR="00040833">
        <w:rPr>
          <w:rFonts w:cstheme="minorHAnsi"/>
        </w:rPr>
        <w:t xml:space="preserve">services to TVAP/Aspire clients, but </w:t>
      </w:r>
      <w:r>
        <w:rPr>
          <w:rFonts w:cstheme="minorHAnsi"/>
        </w:rPr>
        <w:t>do not have an MOU</w:t>
      </w:r>
      <w:r w:rsidR="005902D1">
        <w:rPr>
          <w:rFonts w:cstheme="minorHAnsi"/>
        </w:rPr>
        <w:t xml:space="preserve"> </w:t>
      </w:r>
      <w:r w:rsidR="00040833">
        <w:rPr>
          <w:rFonts w:cstheme="minorHAnsi"/>
        </w:rPr>
        <w:t>with the prime award recipient</w:t>
      </w:r>
      <w:r>
        <w:rPr>
          <w:rFonts w:cstheme="minorHAnsi"/>
        </w:rPr>
        <w:t>.</w:t>
      </w:r>
      <w:r w:rsidR="00040833">
        <w:rPr>
          <w:rFonts w:cstheme="minorHAnsi"/>
        </w:rPr>
        <w:t xml:space="preserve"> </w:t>
      </w:r>
      <w:r>
        <w:rPr>
          <w:rFonts w:cstheme="minorHAnsi"/>
        </w:rPr>
        <w:t xml:space="preserve">RTI will work with these points of contact at </w:t>
      </w:r>
      <w:r w:rsidR="00040833">
        <w:rPr>
          <w:rFonts w:cstheme="minorHAnsi"/>
        </w:rPr>
        <w:t>the service provider</w:t>
      </w:r>
      <w:r>
        <w:rPr>
          <w:rFonts w:cstheme="minorHAnsi"/>
        </w:rPr>
        <w:t xml:space="preserve"> organization to identify staff</w:t>
      </w:r>
      <w:r w:rsidRPr="006D3602">
        <w:t xml:space="preserve"> who</w:t>
      </w:r>
      <w:r>
        <w:t xml:space="preserve"> can</w:t>
      </w:r>
      <w:r w:rsidRPr="006D3602">
        <w:t xml:space="preserve"> answer</w:t>
      </w:r>
      <w:r>
        <w:t xml:space="preserve"> questions related to</w:t>
      </w:r>
      <w:r w:rsidRPr="006D3602">
        <w:t xml:space="preserve"> process and implementation</w:t>
      </w:r>
      <w:r>
        <w:t xml:space="preserve">. </w:t>
      </w:r>
      <w:r>
        <w:rPr>
          <w:rFonts w:cstheme="minorHAnsi"/>
        </w:rPr>
        <w:t>They will</w:t>
      </w:r>
      <w:r w:rsidRPr="00A97D2A">
        <w:rPr>
          <w:rFonts w:cstheme="minorHAnsi"/>
        </w:rPr>
        <w:t xml:space="preserve"> </w:t>
      </w:r>
      <w:r>
        <w:rPr>
          <w:rFonts w:cstheme="minorHAnsi"/>
        </w:rPr>
        <w:t xml:space="preserve">provide contact information to RTI. RTI will then send a recruitment e-mail to identified individuals, which includes high-level information about the evaluation and </w:t>
      </w:r>
      <w:r w:rsidRPr="008A21E3">
        <w:rPr>
          <w:rFonts w:cstheme="minorHAnsi"/>
        </w:rPr>
        <w:t>an opportunity to schedule an interview time that is convenient for them</w:t>
      </w:r>
      <w:r w:rsidR="00A86583">
        <w:rPr>
          <w:rFonts w:cstheme="minorHAnsi"/>
        </w:rPr>
        <w:t xml:space="preserve">. </w:t>
      </w:r>
      <w:r w:rsidRPr="008A21E3">
        <w:rPr>
          <w:rFonts w:cstheme="minorHAnsi"/>
        </w:rPr>
        <w:t xml:space="preserve">Interested individuals will demonstrate their voluntary interest in participating by scheduling an interview time. Those who volunteer will receive an advance confirmation e-mail prior to their interview, that will include high-level information about the evaluation and informed consent information (see </w:t>
      </w:r>
      <w:r w:rsidRPr="0070649B">
        <w:rPr>
          <w:rFonts w:cstheme="minorHAnsi"/>
          <w:b/>
          <w:bCs/>
        </w:rPr>
        <w:t xml:space="preserve">Appendix </w:t>
      </w:r>
      <w:r w:rsidR="00A86583">
        <w:rPr>
          <w:rFonts w:cstheme="minorHAnsi"/>
          <w:b/>
          <w:bCs/>
        </w:rPr>
        <w:t>B</w:t>
      </w:r>
      <w:r w:rsidRPr="008A21E3">
        <w:rPr>
          <w:rFonts w:cstheme="minorHAnsi"/>
        </w:rPr>
        <w:t>).</w:t>
      </w:r>
      <w:r w:rsidRPr="00A97D2A">
        <w:rPr>
          <w:rFonts w:cstheme="minorHAnsi"/>
        </w:rPr>
        <w:t xml:space="preserve"> </w:t>
      </w:r>
    </w:p>
    <w:p w:rsidR="00260A48" w:rsidP="0063765D" w14:paraId="1329FCB7" w14:textId="383C6D31">
      <w:pPr>
        <w:autoSpaceDE w:val="0"/>
        <w:autoSpaceDN w:val="0"/>
        <w:adjustRightInd w:val="0"/>
        <w:spacing w:after="0" w:line="240" w:lineRule="auto"/>
        <w:contextualSpacing/>
        <w:rPr>
          <w:rFonts w:eastAsia="Times New Roman" w:cstheme="minorHAnsi"/>
          <w:color w:val="000000"/>
        </w:rPr>
      </w:pPr>
    </w:p>
    <w:p w:rsidR="00D361ED" w:rsidRPr="00B154CE" w:rsidP="0063765D" w14:paraId="1B99C3FD" w14:textId="50C498CA">
      <w:pPr>
        <w:autoSpaceDE w:val="0"/>
        <w:autoSpaceDN w:val="0"/>
        <w:adjustRightInd w:val="0"/>
        <w:spacing w:after="0" w:line="240" w:lineRule="auto"/>
        <w:contextualSpacing/>
        <w:rPr>
          <w:rFonts w:eastAsia="Times New Roman" w:cstheme="minorHAnsi"/>
          <w:color w:val="000000"/>
          <w:u w:val="single"/>
        </w:rPr>
      </w:pPr>
      <w:r w:rsidRPr="00B154CE">
        <w:rPr>
          <w:rFonts w:eastAsia="Times New Roman" w:cstheme="minorHAnsi"/>
          <w:color w:val="000000"/>
          <w:u w:val="single"/>
        </w:rPr>
        <w:t>Local government professional interview</w:t>
      </w:r>
      <w:r w:rsidR="00B154CE">
        <w:rPr>
          <w:rFonts w:eastAsia="Times New Roman" w:cstheme="minorHAnsi"/>
          <w:color w:val="000000"/>
          <w:u w:val="single"/>
        </w:rPr>
        <w:t>s</w:t>
      </w:r>
    </w:p>
    <w:p w:rsidR="004C4A98" w:rsidP="0063765D" w14:paraId="4223D61D" w14:textId="3D722EC4">
      <w:pPr>
        <w:spacing w:after="0" w:line="240" w:lineRule="auto"/>
        <w:rPr>
          <w:rFonts w:cstheme="minorHAnsi"/>
        </w:rPr>
      </w:pPr>
      <w:r>
        <w:rPr>
          <w:rFonts w:cstheme="minorHAnsi"/>
        </w:rPr>
        <w:t>The prime award recipient</w:t>
      </w:r>
      <w:r w:rsidR="00B05F1D">
        <w:rPr>
          <w:rFonts w:cstheme="minorHAnsi"/>
        </w:rPr>
        <w:t xml:space="preserve"> </w:t>
      </w:r>
      <w:r>
        <w:rPr>
          <w:rFonts w:cstheme="minorHAnsi"/>
        </w:rPr>
        <w:t>will provide points of contact for</w:t>
      </w:r>
      <w:r w:rsidRPr="00B05F1D" w:rsidR="00B05F1D">
        <w:t xml:space="preserve"> </w:t>
      </w:r>
      <w:r w:rsidR="00B05F1D">
        <w:t xml:space="preserve">local government </w:t>
      </w:r>
      <w:r w:rsidRPr="00B05F1D" w:rsidR="00B05F1D">
        <w:rPr>
          <w:rFonts w:cstheme="minorHAnsi"/>
        </w:rPr>
        <w:t>agencies</w:t>
      </w:r>
      <w:r w:rsidR="00B05F1D">
        <w:rPr>
          <w:rFonts w:cstheme="minorHAnsi"/>
        </w:rPr>
        <w:t xml:space="preserve"> that</w:t>
      </w:r>
      <w:r w:rsidRPr="00B05F1D" w:rsidR="00B05F1D">
        <w:rPr>
          <w:rFonts w:cstheme="minorHAnsi"/>
        </w:rPr>
        <w:t xml:space="preserve"> interact with program staff, particularly regional coordinators, in responding to </w:t>
      </w:r>
      <w:r w:rsidR="00B05F1D">
        <w:rPr>
          <w:rFonts w:cstheme="minorHAnsi"/>
        </w:rPr>
        <w:t xml:space="preserve">TVAP/Aspire </w:t>
      </w:r>
      <w:r w:rsidRPr="00B05F1D" w:rsidR="00B05F1D">
        <w:rPr>
          <w:rFonts w:cstheme="minorHAnsi"/>
        </w:rPr>
        <w:t>client needs and receiving client referrals.</w:t>
      </w:r>
      <w:r w:rsidR="00B05F1D">
        <w:rPr>
          <w:rFonts w:cstheme="minorHAnsi"/>
        </w:rPr>
        <w:t xml:space="preserve"> </w:t>
      </w:r>
      <w:r>
        <w:rPr>
          <w:rFonts w:cstheme="minorHAnsi"/>
        </w:rPr>
        <w:t>RTI will work with these points of contact at the service provider organization to identify staff</w:t>
      </w:r>
      <w:r w:rsidRPr="006D3602">
        <w:t xml:space="preserve"> who</w:t>
      </w:r>
      <w:r>
        <w:t xml:space="preserve"> can</w:t>
      </w:r>
      <w:r w:rsidRPr="006D3602">
        <w:t xml:space="preserve"> answer</w:t>
      </w:r>
      <w:r>
        <w:t xml:space="preserve"> questions related to</w:t>
      </w:r>
      <w:r w:rsidRPr="006D3602">
        <w:t xml:space="preserve"> process and implementation</w:t>
      </w:r>
      <w:r>
        <w:t xml:space="preserve">. </w:t>
      </w:r>
      <w:r>
        <w:rPr>
          <w:rFonts w:cstheme="minorHAnsi"/>
        </w:rPr>
        <w:t>They will</w:t>
      </w:r>
      <w:r w:rsidRPr="00A97D2A">
        <w:rPr>
          <w:rFonts w:cstheme="minorHAnsi"/>
        </w:rPr>
        <w:t xml:space="preserve"> </w:t>
      </w:r>
      <w:r>
        <w:rPr>
          <w:rFonts w:cstheme="minorHAnsi"/>
        </w:rPr>
        <w:t xml:space="preserve">provide contact information to RTI. RTI will then send a recruitment e-mail to identified individuals, which includes high-level information about the evaluation and </w:t>
      </w:r>
      <w:r w:rsidRPr="008A21E3">
        <w:rPr>
          <w:rFonts w:cstheme="minorHAnsi"/>
        </w:rPr>
        <w:t xml:space="preserve">an opportunity to schedule an interview time that is convenient for them. Interested individuals will demonstrate their voluntary interest in participating by scheduling an interview time. Those who volunteer will receive an advance confirmation e-mail prior to their interview, that will include high-level information about the evaluation and informed consent information (see </w:t>
      </w:r>
      <w:r w:rsidRPr="0070649B">
        <w:rPr>
          <w:rFonts w:cstheme="minorHAnsi"/>
          <w:b/>
          <w:bCs/>
        </w:rPr>
        <w:t xml:space="preserve">Appendix </w:t>
      </w:r>
      <w:r w:rsidR="00A86583">
        <w:rPr>
          <w:rFonts w:cstheme="minorHAnsi"/>
          <w:b/>
          <w:bCs/>
        </w:rPr>
        <w:t>C</w:t>
      </w:r>
      <w:r w:rsidRPr="008A21E3">
        <w:rPr>
          <w:rFonts w:cstheme="minorHAnsi"/>
        </w:rPr>
        <w:t>).</w:t>
      </w:r>
      <w:r w:rsidRPr="00A97D2A">
        <w:rPr>
          <w:rFonts w:cstheme="minorHAnsi"/>
        </w:rPr>
        <w:t xml:space="preserve"> </w:t>
      </w:r>
    </w:p>
    <w:p w:rsidR="004C4A98" w:rsidP="0063765D" w14:paraId="40F8F556" w14:textId="6078D8F0">
      <w:pPr>
        <w:autoSpaceDE w:val="0"/>
        <w:autoSpaceDN w:val="0"/>
        <w:adjustRightInd w:val="0"/>
        <w:spacing w:after="0" w:line="240" w:lineRule="auto"/>
        <w:contextualSpacing/>
        <w:rPr>
          <w:rFonts w:eastAsia="Times New Roman" w:cstheme="minorHAnsi"/>
          <w:color w:val="000000"/>
        </w:rPr>
      </w:pPr>
    </w:p>
    <w:p w:rsidR="00D361ED" w:rsidRPr="00B154CE" w:rsidP="0063765D" w14:paraId="2D8F5285" w14:textId="5A5455C3">
      <w:pPr>
        <w:autoSpaceDE w:val="0"/>
        <w:autoSpaceDN w:val="0"/>
        <w:adjustRightInd w:val="0"/>
        <w:spacing w:after="0" w:line="240" w:lineRule="auto"/>
        <w:contextualSpacing/>
        <w:rPr>
          <w:rFonts w:eastAsia="Times New Roman" w:cstheme="minorHAnsi"/>
          <w:color w:val="000000"/>
          <w:u w:val="single"/>
        </w:rPr>
      </w:pPr>
      <w:r w:rsidRPr="00B154CE">
        <w:rPr>
          <w:rFonts w:eastAsia="Times New Roman" w:cstheme="minorHAnsi"/>
          <w:color w:val="000000"/>
          <w:u w:val="single"/>
        </w:rPr>
        <w:t>Client interviews</w:t>
      </w:r>
    </w:p>
    <w:p w:rsidR="00D1044B" w:rsidRPr="00D1044B" w:rsidP="0063765D" w14:paraId="7A7926E1" w14:textId="26610563">
      <w:pPr>
        <w:autoSpaceDE w:val="0"/>
        <w:autoSpaceDN w:val="0"/>
        <w:adjustRightInd w:val="0"/>
        <w:spacing w:after="0" w:line="240" w:lineRule="auto"/>
        <w:contextualSpacing/>
        <w:rPr>
          <w:rFonts w:eastAsia="Times New Roman" w:cstheme="minorHAnsi"/>
          <w:i/>
          <w:iCs/>
          <w:color w:val="000000"/>
        </w:rPr>
      </w:pPr>
      <w:r>
        <w:rPr>
          <w:rFonts w:cstheme="minorHAnsi"/>
        </w:rPr>
        <w:t xml:space="preserve">Case managers from the prime award recipient and subrecipient organizations will help identify </w:t>
      </w:r>
      <w:r w:rsidR="00032E81">
        <w:rPr>
          <w:rFonts w:eastAsia="Times New Roman" w:cstheme="minorHAnsi"/>
          <w:color w:val="000000"/>
        </w:rPr>
        <w:t>a</w:t>
      </w:r>
      <w:r w:rsidRPr="001474EE" w:rsidR="00032E81">
        <w:rPr>
          <w:rFonts w:eastAsia="Times New Roman" w:cstheme="minorHAnsi"/>
          <w:color w:val="000000"/>
        </w:rPr>
        <w:t xml:space="preserve">dult </w:t>
      </w:r>
      <w:r w:rsidR="00032E81">
        <w:rPr>
          <w:rFonts w:eastAsia="Times New Roman" w:cstheme="minorHAnsi"/>
          <w:color w:val="000000"/>
        </w:rPr>
        <w:t>current</w:t>
      </w:r>
      <w:r w:rsidR="00032E81">
        <w:rPr>
          <w:rFonts w:eastAsia="Times New Roman" w:cstheme="minorHAnsi"/>
          <w:color w:val="000000"/>
        </w:rPr>
        <w:t xml:space="preserve"> and </w:t>
      </w:r>
      <w:r w:rsidRPr="001474EE" w:rsidR="00032E81">
        <w:rPr>
          <w:rFonts w:eastAsia="Times New Roman" w:cstheme="minorHAnsi"/>
          <w:color w:val="000000"/>
        </w:rPr>
        <w:t xml:space="preserve">former </w:t>
      </w:r>
      <w:r w:rsidR="00032E81">
        <w:rPr>
          <w:rFonts w:eastAsia="Times New Roman" w:cstheme="minorHAnsi"/>
          <w:color w:val="000000"/>
        </w:rPr>
        <w:t>TVAP/Aspire clients who may be in a pl</w:t>
      </w:r>
      <w:r w:rsidR="0075084E">
        <w:rPr>
          <w:rFonts w:eastAsia="Times New Roman" w:cstheme="minorHAnsi"/>
          <w:color w:val="000000"/>
        </w:rPr>
        <w:t xml:space="preserve">ace in their healing to be able to participate in an evaluation. Case managers will facilitate communication with potential client participants. They will </w:t>
      </w:r>
      <w:r w:rsidR="0075084E">
        <w:rPr>
          <w:rFonts w:cstheme="minorHAnsi"/>
        </w:rPr>
        <w:t xml:space="preserve">share the recruitment e-mail with identified individuals, which includes high-level information about the evaluation and </w:t>
      </w:r>
      <w:r w:rsidRPr="008A21E3" w:rsidR="0075084E">
        <w:rPr>
          <w:rFonts w:cstheme="minorHAnsi"/>
        </w:rPr>
        <w:t>an opportunity to schedule an interview time that is convenient for them</w:t>
      </w:r>
      <w:r w:rsidR="00A86583">
        <w:rPr>
          <w:rFonts w:cstheme="minorHAnsi"/>
        </w:rPr>
        <w:t xml:space="preserve">. </w:t>
      </w:r>
      <w:r w:rsidRPr="008A21E3" w:rsidR="0075084E">
        <w:rPr>
          <w:rFonts w:cstheme="minorHAnsi"/>
        </w:rPr>
        <w:t>Interested individuals will demonstrate their voluntary interest in participating by scheduling an interview time</w:t>
      </w:r>
      <w:r w:rsidR="00D97048">
        <w:rPr>
          <w:rFonts w:cstheme="minorHAnsi"/>
        </w:rPr>
        <w:t xml:space="preserve"> directly with RTI or through their case manager for anonymous participation</w:t>
      </w:r>
      <w:r w:rsidRPr="008A21E3" w:rsidR="0075084E">
        <w:rPr>
          <w:rFonts w:cstheme="minorHAnsi"/>
        </w:rPr>
        <w:t xml:space="preserve">. Those who </w:t>
      </w:r>
      <w:r w:rsidR="00D97048">
        <w:rPr>
          <w:rFonts w:cstheme="minorHAnsi"/>
        </w:rPr>
        <w:t>schedule an interview</w:t>
      </w:r>
      <w:r w:rsidRPr="008A21E3" w:rsidR="0075084E">
        <w:rPr>
          <w:rFonts w:cstheme="minorHAnsi"/>
        </w:rPr>
        <w:t xml:space="preserve"> will receive an advance confirmation e-mail prior to their interview, that will include high-level information about the evaluation and informed consent information (see </w:t>
      </w:r>
      <w:r w:rsidRPr="0070649B" w:rsidR="0075084E">
        <w:rPr>
          <w:rFonts w:cstheme="minorHAnsi"/>
          <w:b/>
          <w:bCs/>
        </w:rPr>
        <w:t xml:space="preserve">Appendix </w:t>
      </w:r>
      <w:r w:rsidR="00A86583">
        <w:rPr>
          <w:rFonts w:cstheme="minorHAnsi"/>
          <w:b/>
          <w:bCs/>
        </w:rPr>
        <w:t>D</w:t>
      </w:r>
      <w:r w:rsidRPr="008A21E3" w:rsidR="0075084E">
        <w:rPr>
          <w:rFonts w:cstheme="minorHAnsi"/>
        </w:rPr>
        <w:t>).</w:t>
      </w:r>
    </w:p>
    <w:p w:rsidR="00D1044B" w:rsidP="0063765D" w14:paraId="676B78AD" w14:textId="7318678D">
      <w:pPr>
        <w:autoSpaceDE w:val="0"/>
        <w:autoSpaceDN w:val="0"/>
        <w:adjustRightInd w:val="0"/>
        <w:spacing w:after="0" w:line="240" w:lineRule="auto"/>
        <w:contextualSpacing/>
        <w:rPr>
          <w:rFonts w:eastAsia="Times New Roman" w:cstheme="minorHAnsi"/>
          <w:color w:val="000000"/>
        </w:rPr>
      </w:pPr>
    </w:p>
    <w:p w:rsidR="00F442A5" w:rsidRPr="00B154CE" w:rsidP="0063765D" w14:paraId="4245AA24" w14:textId="39D0814F">
      <w:pPr>
        <w:autoSpaceDE w:val="0"/>
        <w:autoSpaceDN w:val="0"/>
        <w:adjustRightInd w:val="0"/>
        <w:spacing w:after="0" w:line="240" w:lineRule="auto"/>
        <w:contextualSpacing/>
        <w:rPr>
          <w:rFonts w:eastAsia="Times New Roman" w:cstheme="minorHAnsi"/>
          <w:color w:val="000000"/>
          <w:u w:val="single"/>
        </w:rPr>
      </w:pPr>
      <w:r w:rsidRPr="00B154CE">
        <w:rPr>
          <w:rFonts w:eastAsia="Times New Roman" w:cstheme="minorHAnsi"/>
          <w:color w:val="000000"/>
          <w:u w:val="single"/>
        </w:rPr>
        <w:t xml:space="preserve">Subrecipient Survey </w:t>
      </w:r>
    </w:p>
    <w:p w:rsidR="009A46F1" w:rsidRPr="006850E4" w:rsidP="0063765D" w14:paraId="3A5004D7" w14:textId="02663ECA">
      <w:pPr>
        <w:spacing w:after="0" w:line="240" w:lineRule="auto"/>
        <w:rPr>
          <w:rFonts w:cstheme="minorHAnsi"/>
          <w:u w:val="single"/>
        </w:rPr>
      </w:pPr>
      <w:r>
        <w:t>A census of sub</w:t>
      </w:r>
      <w:r w:rsidR="00314AD7">
        <w:t>recipients</w:t>
      </w:r>
      <w:r>
        <w:t xml:space="preserve"> will be invited to participate in the </w:t>
      </w:r>
      <w:r w:rsidR="002D4C63">
        <w:t>subrecipient</w:t>
      </w:r>
      <w:r>
        <w:t xml:space="preserve"> web-survey</w:t>
      </w:r>
      <w:r w:rsidR="00D250CC">
        <w:t xml:space="preserve"> by e-mail (see </w:t>
      </w:r>
      <w:r w:rsidRPr="00D250CC" w:rsidR="00D250CC">
        <w:rPr>
          <w:b/>
          <w:bCs/>
        </w:rPr>
        <w:t xml:space="preserve">Appendix </w:t>
      </w:r>
      <w:r w:rsidR="00036A4A">
        <w:rPr>
          <w:b/>
          <w:bCs/>
        </w:rPr>
        <w:t>E</w:t>
      </w:r>
      <w:r w:rsidR="00D250CC">
        <w:t>)</w:t>
      </w:r>
      <w:r w:rsidR="006F5608">
        <w:t xml:space="preserve"> including the subset of subrecipients who participated in the subrecipient interview</w:t>
      </w:r>
      <w:r>
        <w:t xml:space="preserve">. The goal of this data collection is to capture the breadth and diversity of </w:t>
      </w:r>
      <w:r w:rsidR="00314AD7">
        <w:t>subrecipient</w:t>
      </w:r>
      <w:r>
        <w:t xml:space="preserve"> </w:t>
      </w:r>
      <w:r w:rsidR="00314AD7">
        <w:t xml:space="preserve">practice and </w:t>
      </w:r>
      <w:r>
        <w:t xml:space="preserve">experience which is supported by conducting a census. </w:t>
      </w:r>
    </w:p>
    <w:p w:rsidR="00A42C71" w:rsidRPr="001A59B6" w:rsidP="0063765D" w14:paraId="49BCF056" w14:textId="77777777">
      <w:pPr>
        <w:pStyle w:val="ListParagraph"/>
        <w:spacing w:after="0" w:line="240" w:lineRule="auto"/>
        <w:ind w:left="0"/>
        <w:rPr>
          <w:rFonts w:cstheme="minorHAnsi"/>
        </w:rPr>
      </w:pPr>
    </w:p>
    <w:p w:rsidR="00A42C71" w:rsidRPr="001A59B6" w:rsidP="0063765D" w14:paraId="705CF94B" w14:textId="77777777">
      <w:pPr>
        <w:pStyle w:val="ListParagraph"/>
        <w:spacing w:after="0" w:line="240" w:lineRule="auto"/>
        <w:ind w:left="0"/>
        <w:rPr>
          <w:rFonts w:cstheme="minorHAnsi"/>
        </w:rPr>
      </w:pPr>
    </w:p>
    <w:p w:rsidR="00983CEC" w:rsidRPr="007C1CDB" w:rsidP="007C1CDB" w14:paraId="2BA19037" w14:textId="56F26839">
      <w:pPr>
        <w:autoSpaceDE w:val="0"/>
        <w:autoSpaceDN w:val="0"/>
        <w:adjustRightInd w:val="0"/>
        <w:spacing w:after="120" w:line="240" w:lineRule="auto"/>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00983CEC" w:rsidP="00D250CC" w14:paraId="70265B3B" w14:textId="77777777">
      <w:pPr>
        <w:autoSpaceDE w:val="0"/>
        <w:autoSpaceDN w:val="0"/>
        <w:adjustRightInd w:val="0"/>
        <w:spacing w:after="0" w:line="240" w:lineRule="auto"/>
        <w:rPr>
          <w:rFonts w:eastAsia="Times New Roman" w:cstheme="minorHAnsi"/>
          <w:color w:val="000000"/>
        </w:rPr>
      </w:pPr>
      <w:r>
        <w:rPr>
          <w:rFonts w:eastAsia="Times New Roman" w:cstheme="minorHAnsi"/>
          <w:color w:val="000000"/>
        </w:rPr>
        <w:t>Five</w:t>
      </w:r>
      <w:r w:rsidRPr="0014374A">
        <w:rPr>
          <w:rFonts w:eastAsia="Times New Roman" w:cstheme="minorHAnsi"/>
          <w:color w:val="000000"/>
        </w:rPr>
        <w:t xml:space="preserve"> instruments will be used for this data collection (see Instruments 1-</w:t>
      </w:r>
      <w:r>
        <w:rPr>
          <w:rFonts w:eastAsia="Times New Roman" w:cstheme="minorHAnsi"/>
          <w:color w:val="000000"/>
        </w:rPr>
        <w:t>5</w:t>
      </w:r>
      <w:r w:rsidRPr="0014374A">
        <w:rPr>
          <w:rFonts w:eastAsia="Times New Roman" w:cstheme="minorHAnsi"/>
          <w:color w:val="000000"/>
        </w:rPr>
        <w:t xml:space="preserve">). </w:t>
      </w:r>
    </w:p>
    <w:p w:rsidR="00983CEC" w:rsidRPr="0014374A" w:rsidP="00D250CC" w14:paraId="39B40D15" w14:textId="77777777">
      <w:pPr>
        <w:autoSpaceDE w:val="0"/>
        <w:autoSpaceDN w:val="0"/>
        <w:adjustRightInd w:val="0"/>
        <w:spacing w:after="0" w:line="240" w:lineRule="auto"/>
        <w:rPr>
          <w:rFonts w:ascii="Calibri" w:eastAsia="Times New Roman" w:hAnsi="Calibri" w:cs="Calibri"/>
        </w:rPr>
      </w:pPr>
    </w:p>
    <w:p w:rsidR="00983CEC" w:rsidRPr="007C1CDB" w:rsidP="007C1CDB" w14:paraId="15421A88" w14:textId="11E3F93F">
      <w:pPr>
        <w:autoSpaceDE w:val="0"/>
        <w:autoSpaceDN w:val="0"/>
        <w:adjustRightInd w:val="0"/>
        <w:spacing w:after="60" w:line="240" w:lineRule="auto"/>
        <w:rPr>
          <w:rFonts w:eastAsia="Times New Roman" w:cstheme="minorHAnsi"/>
          <w:i/>
          <w:color w:val="000000"/>
        </w:rPr>
      </w:pPr>
      <w:r w:rsidRPr="001A59B6">
        <w:rPr>
          <w:rFonts w:eastAsia="Times New Roman" w:cstheme="minorHAnsi"/>
          <w:i/>
          <w:color w:val="000000"/>
        </w:rPr>
        <w:t>Development of Data Collection Instruments</w:t>
      </w:r>
    </w:p>
    <w:p w:rsidR="00983CEC" w:rsidRPr="00564C9F" w:rsidP="00D250CC" w14:paraId="2400A289" w14:textId="2A4D7072">
      <w:pPr>
        <w:pStyle w:val="BodyText"/>
        <w:spacing w:after="0" w:line="240" w:lineRule="auto"/>
        <w:rPr>
          <w:rFonts w:asciiTheme="minorHAnsi" w:hAnsiTheme="minorHAnsi" w:cstheme="minorHAnsi"/>
          <w:sz w:val="22"/>
          <w:szCs w:val="22"/>
        </w:rPr>
      </w:pPr>
      <w:r w:rsidRPr="00F859D9">
        <w:rPr>
          <w:rFonts w:asciiTheme="minorHAnsi" w:hAnsiTheme="minorHAnsi" w:cstheme="minorHAnsi"/>
          <w:bCs/>
          <w:iCs/>
          <w:sz w:val="22"/>
          <w:szCs w:val="22"/>
        </w:rPr>
        <w:t>The interview guides</w:t>
      </w:r>
      <w:r w:rsidRPr="000A0F14">
        <w:rPr>
          <w:rFonts w:asciiTheme="minorHAnsi" w:hAnsiTheme="minorHAnsi" w:cstheme="minorHAnsi"/>
          <w:b/>
          <w:bCs/>
          <w:iCs/>
          <w:sz w:val="22"/>
          <w:szCs w:val="22"/>
        </w:rPr>
        <w:t xml:space="preserve"> </w:t>
      </w:r>
      <w:r>
        <w:rPr>
          <w:rFonts w:asciiTheme="minorHAnsi" w:hAnsiTheme="minorHAnsi" w:cstheme="minorHAnsi"/>
          <w:bCs/>
          <w:iCs/>
          <w:sz w:val="22"/>
          <w:szCs w:val="22"/>
        </w:rPr>
        <w:t>were</w:t>
      </w:r>
      <w:r w:rsidRPr="000A0F14">
        <w:rPr>
          <w:rFonts w:asciiTheme="minorHAnsi" w:hAnsiTheme="minorHAnsi" w:cstheme="minorHAnsi"/>
          <w:bCs/>
          <w:iCs/>
          <w:sz w:val="22"/>
          <w:szCs w:val="22"/>
        </w:rPr>
        <w:t xml:space="preserve"> developed to address study research questions using semi-structured interviews to balance consistent data collection with opportunities to pursue topics of relevance to </w:t>
      </w:r>
      <w:r>
        <w:rPr>
          <w:rFonts w:asciiTheme="minorHAnsi" w:hAnsiTheme="minorHAnsi" w:cstheme="minorHAnsi"/>
          <w:bCs/>
          <w:iCs/>
          <w:sz w:val="22"/>
          <w:szCs w:val="22"/>
        </w:rPr>
        <w:t xml:space="preserve">variations in regional and </w:t>
      </w:r>
      <w:r w:rsidRPr="000A0F14" w:rsidR="000A0F14">
        <w:rPr>
          <w:rFonts w:asciiTheme="minorHAnsi" w:hAnsiTheme="minorHAnsi" w:cstheme="minorHAnsi"/>
          <w:bCs/>
          <w:iCs/>
          <w:sz w:val="22"/>
          <w:szCs w:val="22"/>
        </w:rPr>
        <w:t>organization</w:t>
      </w:r>
      <w:r>
        <w:rPr>
          <w:rFonts w:asciiTheme="minorHAnsi" w:hAnsiTheme="minorHAnsi" w:cstheme="minorHAnsi"/>
          <w:bCs/>
          <w:iCs/>
          <w:sz w:val="22"/>
          <w:szCs w:val="22"/>
        </w:rPr>
        <w:t>al</w:t>
      </w:r>
      <w:r w:rsidRPr="000A0F14" w:rsidR="000A0F14">
        <w:rPr>
          <w:rFonts w:asciiTheme="minorHAnsi" w:hAnsiTheme="minorHAnsi" w:cstheme="minorHAnsi"/>
          <w:bCs/>
          <w:iCs/>
          <w:sz w:val="22"/>
          <w:szCs w:val="22"/>
        </w:rPr>
        <w:t xml:space="preserve"> implementation approach</w:t>
      </w:r>
      <w:r>
        <w:rPr>
          <w:rFonts w:asciiTheme="minorHAnsi" w:hAnsiTheme="minorHAnsi" w:cstheme="minorHAnsi"/>
          <w:bCs/>
          <w:iCs/>
          <w:sz w:val="22"/>
          <w:szCs w:val="22"/>
        </w:rPr>
        <w:t>es</w:t>
      </w:r>
      <w:r w:rsidRPr="000A0F14">
        <w:rPr>
          <w:rFonts w:asciiTheme="minorHAnsi" w:hAnsiTheme="minorHAnsi" w:cstheme="minorHAnsi"/>
          <w:bCs/>
          <w:iCs/>
          <w:sz w:val="22"/>
          <w:szCs w:val="22"/>
        </w:rPr>
        <w:t xml:space="preserve">. Interview guides are structured to streamline data collection wherever possible by </w:t>
      </w:r>
      <w:r w:rsidRPr="000A0F14">
        <w:rPr>
          <w:rFonts w:asciiTheme="minorHAnsi" w:hAnsiTheme="minorHAnsi" w:cstheme="minorHAnsi"/>
          <w:sz w:val="22"/>
          <w:szCs w:val="22"/>
        </w:rPr>
        <w:t>referencing</w:t>
      </w:r>
      <w:r w:rsidRPr="000A0F14">
        <w:rPr>
          <w:rFonts w:asciiTheme="minorHAnsi" w:hAnsiTheme="minorHAnsi" w:cstheme="minorHAnsi"/>
          <w:bCs/>
          <w:iCs/>
          <w:sz w:val="22"/>
          <w:szCs w:val="22"/>
        </w:rPr>
        <w:t xml:space="preserve"> information from extant data and previous </w:t>
      </w:r>
      <w:r w:rsidRPr="00564C9F">
        <w:rPr>
          <w:rFonts w:asciiTheme="minorHAnsi" w:hAnsiTheme="minorHAnsi" w:cstheme="minorHAnsi"/>
          <w:bCs/>
          <w:iCs/>
          <w:sz w:val="22"/>
          <w:szCs w:val="22"/>
        </w:rPr>
        <w:t xml:space="preserve">interviews </w:t>
      </w:r>
      <w:r w:rsidRPr="00564C9F" w:rsidR="000A0F14">
        <w:rPr>
          <w:rFonts w:asciiTheme="minorHAnsi" w:hAnsiTheme="minorHAnsi" w:cstheme="minorHAnsi"/>
          <w:bCs/>
          <w:iCs/>
          <w:sz w:val="22"/>
          <w:szCs w:val="22"/>
        </w:rPr>
        <w:t>with prime recipient staff</w:t>
      </w:r>
      <w:r w:rsidRPr="00564C9F">
        <w:rPr>
          <w:rFonts w:asciiTheme="minorHAnsi" w:hAnsiTheme="minorHAnsi" w:cstheme="minorHAnsi"/>
          <w:bCs/>
          <w:iCs/>
          <w:sz w:val="22"/>
          <w:szCs w:val="22"/>
        </w:rPr>
        <w:t xml:space="preserve"> (as referenced </w:t>
      </w:r>
      <w:r w:rsidRPr="00036A4A">
        <w:rPr>
          <w:rFonts w:asciiTheme="minorHAnsi" w:hAnsiTheme="minorHAnsi" w:cstheme="minorHAnsi"/>
          <w:bCs/>
          <w:i/>
          <w:sz w:val="22"/>
          <w:szCs w:val="22"/>
        </w:rPr>
        <w:t xml:space="preserve">in </w:t>
      </w:r>
      <w:r w:rsidRPr="00036A4A" w:rsidR="00A2743D">
        <w:rPr>
          <w:rFonts w:asciiTheme="minorHAnsi" w:hAnsiTheme="minorHAnsi" w:cstheme="minorHAnsi"/>
          <w:bCs/>
          <w:i/>
          <w:sz w:val="22"/>
          <w:szCs w:val="22"/>
        </w:rPr>
        <w:t xml:space="preserve">Other Data Sources and Uses of Information in Section A2 of </w:t>
      </w:r>
      <w:r w:rsidR="008C6902">
        <w:rPr>
          <w:rFonts w:asciiTheme="minorHAnsi" w:hAnsiTheme="minorHAnsi" w:cstheme="minorHAnsi"/>
          <w:bCs/>
          <w:i/>
          <w:sz w:val="22"/>
          <w:szCs w:val="22"/>
        </w:rPr>
        <w:t>SS</w:t>
      </w:r>
      <w:r w:rsidRPr="00036A4A" w:rsidR="00A2743D">
        <w:rPr>
          <w:rFonts w:asciiTheme="minorHAnsi" w:hAnsiTheme="minorHAnsi" w:cstheme="minorHAnsi"/>
          <w:bCs/>
          <w:i/>
          <w:sz w:val="22"/>
          <w:szCs w:val="22"/>
        </w:rPr>
        <w:t>A</w:t>
      </w:r>
      <w:r w:rsidRPr="00564C9F">
        <w:rPr>
          <w:rFonts w:asciiTheme="minorHAnsi" w:hAnsiTheme="minorHAnsi" w:cstheme="minorHAnsi"/>
          <w:bCs/>
          <w:iCs/>
          <w:sz w:val="22"/>
          <w:szCs w:val="22"/>
        </w:rPr>
        <w:t>)</w:t>
      </w:r>
      <w:r w:rsidRPr="00564C9F">
        <w:rPr>
          <w:rFonts w:asciiTheme="minorHAnsi" w:hAnsiTheme="minorHAnsi" w:cstheme="minorHAnsi"/>
          <w:bCs/>
          <w:iCs/>
          <w:sz w:val="22"/>
          <w:szCs w:val="22"/>
        </w:rPr>
        <w:t xml:space="preserve">. </w:t>
      </w:r>
      <w:r w:rsidRPr="00036A4A" w:rsidR="00A2743D">
        <w:rPr>
          <w:rFonts w:asciiTheme="minorHAnsi" w:hAnsiTheme="minorHAnsi" w:cstheme="minorHAnsi"/>
          <w:b/>
          <w:iCs/>
          <w:sz w:val="22"/>
          <w:szCs w:val="22"/>
        </w:rPr>
        <w:t>Exhibit A</w:t>
      </w:r>
      <w:r w:rsidRPr="00036A4A">
        <w:rPr>
          <w:rFonts w:asciiTheme="minorHAnsi" w:hAnsiTheme="minorHAnsi" w:cstheme="minorHAnsi"/>
          <w:b/>
          <w:iCs/>
          <w:sz w:val="22"/>
          <w:szCs w:val="22"/>
        </w:rPr>
        <w:t>2</w:t>
      </w:r>
      <w:r w:rsidRPr="00564C9F">
        <w:rPr>
          <w:rFonts w:asciiTheme="minorHAnsi" w:hAnsiTheme="minorHAnsi" w:cstheme="minorHAnsi"/>
          <w:sz w:val="22"/>
          <w:szCs w:val="22"/>
        </w:rPr>
        <w:t xml:space="preserve"> in </w:t>
      </w:r>
      <w:r w:rsidRPr="00BE7CCC" w:rsidR="00BE2AE6">
        <w:rPr>
          <w:rFonts w:asciiTheme="minorHAnsi" w:hAnsiTheme="minorHAnsi" w:cstheme="minorHAnsi"/>
          <w:i/>
          <w:iCs/>
          <w:sz w:val="22"/>
          <w:szCs w:val="22"/>
        </w:rPr>
        <w:t>SSA</w:t>
      </w:r>
      <w:r w:rsidR="00BE2AE6">
        <w:rPr>
          <w:rFonts w:asciiTheme="minorHAnsi" w:hAnsiTheme="minorHAnsi" w:cstheme="minorHAnsi"/>
          <w:sz w:val="22"/>
          <w:szCs w:val="22"/>
        </w:rPr>
        <w:t xml:space="preserve"> </w:t>
      </w:r>
      <w:r w:rsidRPr="00564C9F">
        <w:rPr>
          <w:rFonts w:asciiTheme="minorHAnsi" w:hAnsiTheme="minorHAnsi" w:cstheme="minorHAnsi"/>
          <w:sz w:val="22"/>
          <w:szCs w:val="22"/>
        </w:rPr>
        <w:t xml:space="preserve">presents specific topics and data sources for each of the study’s focus areas. </w:t>
      </w:r>
    </w:p>
    <w:p w:rsidR="00983CEC" w:rsidRPr="00564C9F" w:rsidP="00D250CC" w14:paraId="4768198E" w14:textId="77777777">
      <w:pPr>
        <w:pStyle w:val="BodyText"/>
        <w:spacing w:after="0" w:line="240" w:lineRule="auto"/>
        <w:rPr>
          <w:rFonts w:asciiTheme="minorHAnsi" w:hAnsiTheme="minorHAnsi" w:cstheme="minorHAnsi"/>
          <w:sz w:val="22"/>
          <w:szCs w:val="22"/>
        </w:rPr>
      </w:pPr>
    </w:p>
    <w:p w:rsidR="00F859D9" w:rsidRPr="00564C9F" w:rsidP="00D250CC" w14:paraId="6F7A0EF5" w14:textId="496C7B7B">
      <w:pPr>
        <w:spacing w:after="0" w:line="240" w:lineRule="auto"/>
        <w:rPr>
          <w:rFonts w:cstheme="minorHAnsi"/>
          <w:bCs/>
        </w:rPr>
      </w:pPr>
      <w:bookmarkStart w:id="1" w:name="_Hlk209613008"/>
      <w:r w:rsidRPr="00564C9F">
        <w:rPr>
          <w:rFonts w:cstheme="minorHAnsi"/>
          <w:b/>
          <w:iCs/>
        </w:rPr>
        <w:t xml:space="preserve">Instrument 1: </w:t>
      </w:r>
      <w:r w:rsidRPr="00564C9F">
        <w:rPr>
          <w:rFonts w:cstheme="minorHAnsi"/>
          <w:b/>
          <w:bCs/>
          <w:iCs/>
        </w:rPr>
        <w:t xml:space="preserve">Subrecipient Interview Guide </w:t>
      </w:r>
      <w:bookmarkEnd w:id="1"/>
      <w:r w:rsidRPr="00564C9F">
        <w:rPr>
          <w:rFonts w:cstheme="minorHAnsi"/>
          <w:bCs/>
        </w:rPr>
        <w:t xml:space="preserve">was designed to address research questions about </w:t>
      </w:r>
      <w:r w:rsidRPr="00564C9F" w:rsidR="0045463F">
        <w:rPr>
          <w:rFonts w:cstheme="minorHAnsi"/>
          <w:bCs/>
        </w:rPr>
        <w:t>implementation models, participant and implementer engagement, and implementation facilitators and barriers</w:t>
      </w:r>
      <w:r w:rsidRPr="00564C9F">
        <w:rPr>
          <w:rFonts w:cstheme="minorHAnsi"/>
          <w:bCs/>
        </w:rPr>
        <w:t xml:space="preserve">. Specifically, this semi-structured interview guide addresses research questions (RQs) </w:t>
      </w:r>
      <w:r w:rsidRPr="00564C9F" w:rsidR="0045463F">
        <w:rPr>
          <w:rFonts w:cstheme="minorHAnsi"/>
          <w:bCs/>
        </w:rPr>
        <w:t>1</w:t>
      </w:r>
      <w:r w:rsidR="00A2743D">
        <w:rPr>
          <w:rFonts w:cstheme="minorHAnsi"/>
          <w:bCs/>
        </w:rPr>
        <w:t>a</w:t>
      </w:r>
      <w:r w:rsidRPr="00564C9F" w:rsidR="0045463F">
        <w:rPr>
          <w:rFonts w:cstheme="minorHAnsi"/>
          <w:bCs/>
        </w:rPr>
        <w:t>, 2</w:t>
      </w:r>
      <w:r w:rsidR="00A2743D">
        <w:rPr>
          <w:rFonts w:cstheme="minorHAnsi"/>
          <w:bCs/>
        </w:rPr>
        <w:t>a</w:t>
      </w:r>
      <w:r w:rsidRPr="00564C9F" w:rsidR="0045463F">
        <w:rPr>
          <w:rFonts w:cstheme="minorHAnsi"/>
          <w:bCs/>
        </w:rPr>
        <w:t>, 3</w:t>
      </w:r>
      <w:r w:rsidR="00A2743D">
        <w:rPr>
          <w:rFonts w:cstheme="minorHAnsi"/>
          <w:bCs/>
        </w:rPr>
        <w:t>a</w:t>
      </w:r>
      <w:r w:rsidRPr="00564C9F" w:rsidR="0045463F">
        <w:rPr>
          <w:rFonts w:cstheme="minorHAnsi"/>
          <w:bCs/>
        </w:rPr>
        <w:t>-</w:t>
      </w:r>
      <w:r w:rsidR="00A2743D">
        <w:rPr>
          <w:rFonts w:cstheme="minorHAnsi"/>
          <w:bCs/>
        </w:rPr>
        <w:t>e</w:t>
      </w:r>
      <w:r w:rsidRPr="00564C9F" w:rsidR="0045463F">
        <w:rPr>
          <w:rFonts w:cstheme="minorHAnsi"/>
          <w:bCs/>
        </w:rPr>
        <w:t>, 4</w:t>
      </w:r>
      <w:r w:rsidR="00A2743D">
        <w:rPr>
          <w:rFonts w:cstheme="minorHAnsi"/>
          <w:bCs/>
        </w:rPr>
        <w:t>a-e</w:t>
      </w:r>
      <w:r w:rsidRPr="00564C9F" w:rsidR="0045463F">
        <w:rPr>
          <w:rFonts w:cstheme="minorHAnsi"/>
          <w:bCs/>
        </w:rPr>
        <w:t>, 5a-</w:t>
      </w:r>
      <w:r w:rsidR="00A2743D">
        <w:rPr>
          <w:rFonts w:cstheme="minorHAnsi"/>
          <w:bCs/>
        </w:rPr>
        <w:t>k</w:t>
      </w:r>
      <w:r w:rsidRPr="00564C9F" w:rsidR="0045463F">
        <w:rPr>
          <w:rFonts w:cstheme="minorHAnsi"/>
          <w:bCs/>
        </w:rPr>
        <w:t xml:space="preserve">, </w:t>
      </w:r>
      <w:r w:rsidR="00A2743D">
        <w:rPr>
          <w:rFonts w:cstheme="minorHAnsi"/>
          <w:bCs/>
        </w:rPr>
        <w:t xml:space="preserve">and </w:t>
      </w:r>
      <w:r w:rsidRPr="00564C9F" w:rsidR="0045463F">
        <w:rPr>
          <w:rFonts w:cstheme="minorHAnsi"/>
          <w:bCs/>
        </w:rPr>
        <w:t xml:space="preserve">6a-b, as </w:t>
      </w:r>
      <w:r w:rsidRPr="00564C9F">
        <w:rPr>
          <w:rFonts w:cstheme="minorHAnsi"/>
          <w:bCs/>
        </w:rPr>
        <w:t xml:space="preserve">listed in </w:t>
      </w:r>
      <w:r w:rsidRPr="00036A4A" w:rsidR="0045463F">
        <w:rPr>
          <w:rFonts w:cstheme="minorHAnsi"/>
          <w:b/>
        </w:rPr>
        <w:t>Exhibit A</w:t>
      </w:r>
      <w:r w:rsidRPr="00036A4A">
        <w:rPr>
          <w:rFonts w:cstheme="minorHAnsi"/>
          <w:b/>
        </w:rPr>
        <w:t>1</w:t>
      </w:r>
      <w:r w:rsidRPr="00564C9F">
        <w:rPr>
          <w:rFonts w:cstheme="minorHAnsi"/>
          <w:bCs/>
          <w:i/>
          <w:iCs/>
        </w:rPr>
        <w:t xml:space="preserve"> </w:t>
      </w:r>
      <w:r w:rsidRPr="00564C9F">
        <w:rPr>
          <w:rFonts w:cstheme="minorHAnsi"/>
          <w:bCs/>
        </w:rPr>
        <w:t xml:space="preserve">of </w:t>
      </w:r>
      <w:r w:rsidRPr="00036A4A">
        <w:rPr>
          <w:rFonts w:cstheme="minorHAnsi"/>
          <w:bCs/>
          <w:i/>
          <w:iCs/>
        </w:rPr>
        <w:t>S</w:t>
      </w:r>
      <w:r w:rsidR="0067029D">
        <w:rPr>
          <w:rFonts w:cstheme="minorHAnsi"/>
          <w:bCs/>
          <w:i/>
          <w:iCs/>
        </w:rPr>
        <w:t>S</w:t>
      </w:r>
      <w:r w:rsidRPr="00036A4A">
        <w:rPr>
          <w:rFonts w:cstheme="minorHAnsi"/>
          <w:bCs/>
          <w:i/>
          <w:iCs/>
        </w:rPr>
        <w:t>A</w:t>
      </w:r>
      <w:r w:rsidRPr="00564C9F">
        <w:rPr>
          <w:rFonts w:cstheme="minorHAnsi"/>
          <w:bCs/>
        </w:rPr>
        <w:t xml:space="preserve">. </w:t>
      </w:r>
    </w:p>
    <w:p w:rsidR="00F859D9" w:rsidRPr="00564C9F" w:rsidP="00D250CC" w14:paraId="4811EDD0" w14:textId="77777777">
      <w:pPr>
        <w:spacing w:after="0" w:line="240" w:lineRule="auto"/>
        <w:rPr>
          <w:rFonts w:cstheme="minorHAnsi"/>
          <w:b/>
        </w:rPr>
      </w:pPr>
    </w:p>
    <w:p w:rsidR="00983CEC" w:rsidRPr="00564C9F" w:rsidP="00D250CC" w14:paraId="180E8704" w14:textId="1A3CA317">
      <w:pPr>
        <w:spacing w:after="0" w:line="240" w:lineRule="auto"/>
        <w:rPr>
          <w:rFonts w:cstheme="minorHAnsi"/>
          <w:bCs/>
        </w:rPr>
      </w:pPr>
      <w:bookmarkStart w:id="2" w:name="_Hlk209613016"/>
      <w:r w:rsidRPr="00564C9F">
        <w:rPr>
          <w:rFonts w:cstheme="minorHAnsi"/>
          <w:b/>
        </w:rPr>
        <w:t>Instrument 2:</w:t>
      </w:r>
      <w:r w:rsidRPr="00564C9F">
        <w:rPr>
          <w:b/>
        </w:rPr>
        <w:t xml:space="preserve"> </w:t>
      </w:r>
      <w:r w:rsidRPr="00564C9F">
        <w:rPr>
          <w:rFonts w:cstheme="minorHAnsi"/>
          <w:b/>
          <w:bCs/>
        </w:rPr>
        <w:t>Other Service Provider Interview Guide</w:t>
      </w:r>
      <w:r w:rsidRPr="00564C9F" w:rsidR="00564C9F">
        <w:rPr>
          <w:rFonts w:cstheme="minorHAnsi"/>
          <w:b/>
          <w:bCs/>
        </w:rPr>
        <w:t xml:space="preserve"> </w:t>
      </w:r>
      <w:bookmarkEnd w:id="2"/>
      <w:r w:rsidRPr="00564C9F">
        <w:rPr>
          <w:rFonts w:cstheme="minorHAnsi"/>
          <w:bCs/>
        </w:rPr>
        <w:t xml:space="preserve">was designed to address research questions about </w:t>
      </w:r>
      <w:r w:rsidRPr="00564C9F" w:rsidR="0045463F">
        <w:rPr>
          <w:rFonts w:cstheme="minorHAnsi"/>
          <w:bCs/>
        </w:rPr>
        <w:t xml:space="preserve">how other </w:t>
      </w:r>
      <w:r w:rsidR="008677A7">
        <w:rPr>
          <w:rFonts w:cstheme="minorHAnsi"/>
          <w:bCs/>
        </w:rPr>
        <w:t>service providers</w:t>
      </w:r>
      <w:r w:rsidRPr="00564C9F" w:rsidR="008677A7">
        <w:rPr>
          <w:rFonts w:cstheme="minorHAnsi"/>
          <w:bCs/>
        </w:rPr>
        <w:t xml:space="preserve"> </w:t>
      </w:r>
      <w:r w:rsidRPr="00564C9F" w:rsidR="00564C9F">
        <w:rPr>
          <w:rFonts w:cstheme="minorHAnsi"/>
          <w:bCs/>
        </w:rPr>
        <w:t>interact and coordinate</w:t>
      </w:r>
      <w:r w:rsidRPr="00564C9F" w:rsidR="000A0F14">
        <w:rPr>
          <w:rFonts w:cstheme="minorHAnsi"/>
          <w:bCs/>
        </w:rPr>
        <w:t xml:space="preserve"> with the prime </w:t>
      </w:r>
      <w:r w:rsidRPr="00564C9F" w:rsidR="00F859D9">
        <w:rPr>
          <w:rFonts w:cstheme="minorHAnsi"/>
          <w:bCs/>
        </w:rPr>
        <w:t>award recipient</w:t>
      </w:r>
      <w:r w:rsidRPr="00564C9F">
        <w:rPr>
          <w:rFonts w:cstheme="minorHAnsi"/>
          <w:bCs/>
        </w:rPr>
        <w:t xml:space="preserve">. </w:t>
      </w:r>
      <w:r w:rsidRPr="00564C9F" w:rsidR="0045463F">
        <w:rPr>
          <w:rFonts w:cstheme="minorHAnsi"/>
          <w:bCs/>
        </w:rPr>
        <w:t>Specifically, this semi-structured interview guide addresses</w:t>
      </w:r>
      <w:r w:rsidRPr="00564C9F" w:rsidR="00564C9F">
        <w:rPr>
          <w:rFonts w:cstheme="minorHAnsi"/>
          <w:bCs/>
        </w:rPr>
        <w:t xml:space="preserve"> </w:t>
      </w:r>
      <w:r w:rsidRPr="00564C9F" w:rsidR="0045463F">
        <w:rPr>
          <w:rFonts w:cstheme="minorHAnsi"/>
          <w:bCs/>
        </w:rPr>
        <w:t>RQs</w:t>
      </w:r>
      <w:r w:rsidRPr="00564C9F" w:rsidR="00564C9F">
        <w:rPr>
          <w:rFonts w:cstheme="minorHAnsi"/>
          <w:bCs/>
        </w:rPr>
        <w:t xml:space="preserve"> </w:t>
      </w:r>
      <w:r w:rsidRPr="00564C9F" w:rsidR="0045463F">
        <w:rPr>
          <w:rFonts w:cstheme="minorHAnsi"/>
          <w:bCs/>
        </w:rPr>
        <w:t xml:space="preserve"> 1</w:t>
      </w:r>
      <w:r w:rsidR="00A2743D">
        <w:rPr>
          <w:rFonts w:cstheme="minorHAnsi"/>
          <w:bCs/>
        </w:rPr>
        <w:t>a</w:t>
      </w:r>
      <w:r w:rsidRPr="00564C9F" w:rsidR="0045463F">
        <w:rPr>
          <w:rFonts w:cstheme="minorHAnsi"/>
          <w:bCs/>
        </w:rPr>
        <w:t>, 3</w:t>
      </w:r>
      <w:r w:rsidR="00A2743D">
        <w:rPr>
          <w:rFonts w:cstheme="minorHAnsi"/>
          <w:bCs/>
        </w:rPr>
        <w:t>b</w:t>
      </w:r>
      <w:r w:rsidRPr="00564C9F" w:rsidR="0045463F">
        <w:rPr>
          <w:rFonts w:cstheme="minorHAnsi"/>
          <w:bCs/>
        </w:rPr>
        <w:t>-</w:t>
      </w:r>
      <w:r w:rsidR="00A2743D">
        <w:rPr>
          <w:rFonts w:cstheme="minorHAnsi"/>
          <w:bCs/>
        </w:rPr>
        <w:t>e</w:t>
      </w:r>
      <w:r w:rsidRPr="00564C9F" w:rsidR="0045463F">
        <w:rPr>
          <w:rFonts w:cstheme="minorHAnsi"/>
          <w:bCs/>
        </w:rPr>
        <w:t>, 4</w:t>
      </w:r>
      <w:r w:rsidR="00A2743D">
        <w:rPr>
          <w:rFonts w:cstheme="minorHAnsi"/>
          <w:bCs/>
        </w:rPr>
        <w:t>c</w:t>
      </w:r>
      <w:r w:rsidRPr="00564C9F" w:rsidR="0045463F">
        <w:rPr>
          <w:rFonts w:cstheme="minorHAnsi"/>
          <w:bCs/>
        </w:rPr>
        <w:t>-</w:t>
      </w:r>
      <w:r w:rsidR="00A2743D">
        <w:rPr>
          <w:rFonts w:cstheme="minorHAnsi"/>
          <w:bCs/>
        </w:rPr>
        <w:t>e</w:t>
      </w:r>
      <w:r w:rsidRPr="00564C9F" w:rsidR="0045463F">
        <w:rPr>
          <w:rFonts w:cstheme="minorHAnsi"/>
          <w:bCs/>
        </w:rPr>
        <w:t>, 5a-</w:t>
      </w:r>
      <w:r w:rsidRPr="00564C9F" w:rsidR="00564C9F">
        <w:rPr>
          <w:rFonts w:cstheme="minorHAnsi"/>
          <w:bCs/>
        </w:rPr>
        <w:t>e</w:t>
      </w:r>
      <w:r w:rsidR="00A2743D">
        <w:rPr>
          <w:rFonts w:cstheme="minorHAnsi"/>
          <w:bCs/>
        </w:rPr>
        <w:t>, k</w:t>
      </w:r>
      <w:r w:rsidRPr="00564C9F" w:rsidR="0045463F">
        <w:rPr>
          <w:rFonts w:cstheme="minorHAnsi"/>
          <w:bCs/>
        </w:rPr>
        <w:t xml:space="preserve">, </w:t>
      </w:r>
      <w:r w:rsidR="00A2743D">
        <w:rPr>
          <w:rFonts w:cstheme="minorHAnsi"/>
          <w:bCs/>
        </w:rPr>
        <w:t xml:space="preserve">and </w:t>
      </w:r>
      <w:r w:rsidRPr="00564C9F" w:rsidR="0045463F">
        <w:rPr>
          <w:rFonts w:cstheme="minorHAnsi"/>
          <w:bCs/>
        </w:rPr>
        <w:t xml:space="preserve">6a-b, as listed in </w:t>
      </w:r>
      <w:r w:rsidRPr="00036A4A" w:rsidR="0045463F">
        <w:rPr>
          <w:rFonts w:cstheme="minorHAnsi"/>
          <w:b/>
        </w:rPr>
        <w:t>Exhibit A1</w:t>
      </w:r>
      <w:r w:rsidRPr="00564C9F" w:rsidR="0045463F">
        <w:rPr>
          <w:rFonts w:cstheme="minorHAnsi"/>
          <w:bCs/>
          <w:i/>
          <w:iCs/>
        </w:rPr>
        <w:t xml:space="preserve"> </w:t>
      </w:r>
      <w:r w:rsidRPr="00564C9F" w:rsidR="0045463F">
        <w:rPr>
          <w:rFonts w:cstheme="minorHAnsi"/>
          <w:bCs/>
        </w:rPr>
        <w:t xml:space="preserve">of </w:t>
      </w:r>
      <w:r w:rsidR="0067029D">
        <w:rPr>
          <w:rFonts w:cstheme="minorHAnsi"/>
          <w:bCs/>
          <w:i/>
          <w:iCs/>
        </w:rPr>
        <w:t>SS</w:t>
      </w:r>
      <w:r w:rsidRPr="00036A4A" w:rsidR="0045463F">
        <w:rPr>
          <w:rFonts w:cstheme="minorHAnsi"/>
          <w:bCs/>
          <w:i/>
          <w:iCs/>
        </w:rPr>
        <w:t>A</w:t>
      </w:r>
      <w:r w:rsidRPr="00564C9F" w:rsidR="0045463F">
        <w:rPr>
          <w:rFonts w:cstheme="minorHAnsi"/>
          <w:bCs/>
        </w:rPr>
        <w:t>.</w:t>
      </w:r>
    </w:p>
    <w:p w:rsidR="000A0F14" w:rsidP="00D250CC" w14:paraId="209DCBE5" w14:textId="5277F229">
      <w:pPr>
        <w:spacing w:after="0" w:line="240" w:lineRule="auto"/>
        <w:rPr>
          <w:rFonts w:cstheme="minorHAnsi"/>
          <w:bCs/>
        </w:rPr>
      </w:pPr>
      <w:r w:rsidRPr="00564C9F">
        <w:rPr>
          <w:rFonts w:cstheme="minorHAnsi"/>
          <w:bCs/>
        </w:rPr>
        <w:t xml:space="preserve"> </w:t>
      </w:r>
    </w:p>
    <w:p w:rsidR="008677A7" w:rsidP="00D250CC" w14:paraId="0BC705E7" w14:textId="17C602E9">
      <w:pPr>
        <w:spacing w:after="0" w:line="240" w:lineRule="auto"/>
        <w:rPr>
          <w:rFonts w:cstheme="minorHAnsi"/>
          <w:bCs/>
        </w:rPr>
      </w:pPr>
      <w:r w:rsidRPr="00564C9F">
        <w:rPr>
          <w:rFonts w:cstheme="minorHAnsi"/>
          <w:b/>
          <w:bCs/>
        </w:rPr>
        <w:t>Instrument</w:t>
      </w:r>
      <w:r w:rsidRPr="00564C9F">
        <w:rPr>
          <w:rFonts w:cstheme="minorHAnsi"/>
          <w:b/>
        </w:rPr>
        <w:t xml:space="preserve"> 3:</w:t>
      </w:r>
      <w:r w:rsidRPr="00564C9F">
        <w:rPr>
          <w:b/>
        </w:rPr>
        <w:t xml:space="preserve"> </w:t>
      </w:r>
      <w:r w:rsidRPr="00564C9F">
        <w:rPr>
          <w:rFonts w:cstheme="minorHAnsi"/>
          <w:b/>
          <w:bCs/>
        </w:rPr>
        <w:t>Local Government Systems Interview Guide</w:t>
      </w:r>
      <w:r>
        <w:rPr>
          <w:rFonts w:cstheme="minorHAnsi"/>
          <w:b/>
          <w:bCs/>
        </w:rPr>
        <w:t xml:space="preserve"> </w:t>
      </w:r>
      <w:r w:rsidRPr="00564C9F">
        <w:rPr>
          <w:rFonts w:cstheme="minorHAnsi"/>
          <w:bCs/>
        </w:rPr>
        <w:t>was designed to address research questions about how other agencies interact and coordinate with the prime award recipient. Specifically, this semi-structured interview guide addresses RQs  1</w:t>
      </w:r>
      <w:r>
        <w:rPr>
          <w:rFonts w:cstheme="minorHAnsi"/>
          <w:bCs/>
        </w:rPr>
        <w:t>a</w:t>
      </w:r>
      <w:r w:rsidRPr="00564C9F">
        <w:rPr>
          <w:rFonts w:cstheme="minorHAnsi"/>
          <w:bCs/>
        </w:rPr>
        <w:t>, 3</w:t>
      </w:r>
      <w:r>
        <w:rPr>
          <w:rFonts w:cstheme="minorHAnsi"/>
          <w:bCs/>
        </w:rPr>
        <w:t>b</w:t>
      </w:r>
      <w:r w:rsidRPr="00564C9F">
        <w:rPr>
          <w:rFonts w:cstheme="minorHAnsi"/>
          <w:bCs/>
        </w:rPr>
        <w:t>-</w:t>
      </w:r>
      <w:r>
        <w:rPr>
          <w:rFonts w:cstheme="minorHAnsi"/>
          <w:bCs/>
        </w:rPr>
        <w:t>e</w:t>
      </w:r>
      <w:r w:rsidRPr="00564C9F">
        <w:rPr>
          <w:rFonts w:cstheme="minorHAnsi"/>
          <w:bCs/>
        </w:rPr>
        <w:t>, 4</w:t>
      </w:r>
      <w:r>
        <w:rPr>
          <w:rFonts w:cstheme="minorHAnsi"/>
          <w:bCs/>
        </w:rPr>
        <w:t>c</w:t>
      </w:r>
      <w:r w:rsidRPr="00564C9F">
        <w:rPr>
          <w:rFonts w:cstheme="minorHAnsi"/>
          <w:bCs/>
        </w:rPr>
        <w:t>-</w:t>
      </w:r>
      <w:r>
        <w:rPr>
          <w:rFonts w:cstheme="minorHAnsi"/>
          <w:bCs/>
        </w:rPr>
        <w:t>e</w:t>
      </w:r>
      <w:r w:rsidRPr="00564C9F">
        <w:rPr>
          <w:rFonts w:cstheme="minorHAnsi"/>
          <w:bCs/>
        </w:rPr>
        <w:t>, 5a-e</w:t>
      </w:r>
      <w:r>
        <w:rPr>
          <w:rFonts w:cstheme="minorHAnsi"/>
          <w:bCs/>
        </w:rPr>
        <w:t>, k</w:t>
      </w:r>
      <w:r w:rsidRPr="00564C9F">
        <w:rPr>
          <w:rFonts w:cstheme="minorHAnsi"/>
          <w:bCs/>
        </w:rPr>
        <w:t xml:space="preserve">, </w:t>
      </w:r>
      <w:r>
        <w:rPr>
          <w:rFonts w:cstheme="minorHAnsi"/>
          <w:bCs/>
        </w:rPr>
        <w:t xml:space="preserve">and </w:t>
      </w:r>
      <w:r w:rsidRPr="00564C9F">
        <w:rPr>
          <w:rFonts w:cstheme="minorHAnsi"/>
          <w:bCs/>
        </w:rPr>
        <w:t xml:space="preserve">6a-b, as listed in </w:t>
      </w:r>
      <w:r w:rsidRPr="00036A4A">
        <w:rPr>
          <w:rFonts w:cstheme="minorHAnsi"/>
          <w:b/>
        </w:rPr>
        <w:t>Exhibit A1</w:t>
      </w:r>
      <w:r w:rsidRPr="00564C9F">
        <w:rPr>
          <w:rFonts w:cstheme="minorHAnsi"/>
          <w:bCs/>
          <w:i/>
          <w:iCs/>
        </w:rPr>
        <w:t xml:space="preserve"> </w:t>
      </w:r>
      <w:r w:rsidRPr="00564C9F">
        <w:rPr>
          <w:rFonts w:cstheme="minorHAnsi"/>
          <w:bCs/>
        </w:rPr>
        <w:t xml:space="preserve">of </w:t>
      </w:r>
      <w:r w:rsidR="0067029D">
        <w:rPr>
          <w:rFonts w:cstheme="minorHAnsi"/>
          <w:bCs/>
          <w:i/>
          <w:iCs/>
        </w:rPr>
        <w:t>SS</w:t>
      </w:r>
      <w:r w:rsidRPr="00036A4A">
        <w:rPr>
          <w:rFonts w:cstheme="minorHAnsi"/>
          <w:bCs/>
          <w:i/>
          <w:iCs/>
        </w:rPr>
        <w:t>A</w:t>
      </w:r>
      <w:r w:rsidRPr="00564C9F">
        <w:rPr>
          <w:rFonts w:cstheme="minorHAnsi"/>
          <w:bCs/>
        </w:rPr>
        <w:t>.</w:t>
      </w:r>
    </w:p>
    <w:p w:rsidR="0019762C" w:rsidRPr="00564C9F" w:rsidP="00D250CC" w14:paraId="29D8B4A1" w14:textId="226A7319">
      <w:pPr>
        <w:spacing w:after="0" w:line="240" w:lineRule="auto"/>
        <w:rPr>
          <w:rFonts w:cstheme="minorHAnsi"/>
          <w:bCs/>
        </w:rPr>
      </w:pPr>
    </w:p>
    <w:p w:rsidR="00564C9F" w:rsidRPr="00564C9F" w:rsidP="00D250CC" w14:paraId="1F912BD3" w14:textId="7BEA30C9">
      <w:pPr>
        <w:spacing w:after="0" w:line="240" w:lineRule="auto"/>
        <w:rPr>
          <w:rFonts w:cstheme="minorHAnsi"/>
          <w:bCs/>
        </w:rPr>
      </w:pPr>
      <w:bookmarkStart w:id="3" w:name="_Hlk209613036"/>
      <w:r w:rsidRPr="00564C9F">
        <w:rPr>
          <w:rFonts w:cstheme="minorHAnsi"/>
          <w:b/>
        </w:rPr>
        <w:t>Instrument 4:</w:t>
      </w:r>
      <w:r w:rsidRPr="00564C9F">
        <w:rPr>
          <w:rFonts w:eastAsia="Times New Roman"/>
          <w:b/>
        </w:rPr>
        <w:t xml:space="preserve"> </w:t>
      </w:r>
      <w:r w:rsidRPr="00564C9F">
        <w:rPr>
          <w:rFonts w:eastAsia="Times New Roman"/>
          <w:b/>
          <w:bCs/>
        </w:rPr>
        <w:t>Client Interview Guide</w:t>
      </w:r>
      <w:r w:rsidRPr="00564C9F">
        <w:rPr>
          <w:rFonts w:eastAsia="Times New Roman"/>
          <w:b/>
        </w:rPr>
        <w:t xml:space="preserve"> </w:t>
      </w:r>
      <w:bookmarkEnd w:id="3"/>
      <w:r w:rsidRPr="00564C9F">
        <w:rPr>
          <w:rFonts w:eastAsia="Times New Roman" w:cstheme="minorHAnsi"/>
          <w:color w:val="000000"/>
        </w:rPr>
        <w:t>w</w:t>
      </w:r>
      <w:r w:rsidR="00335E4B">
        <w:rPr>
          <w:rFonts w:eastAsia="Times New Roman" w:cstheme="minorHAnsi"/>
          <w:color w:val="000000"/>
        </w:rPr>
        <w:t>as</w:t>
      </w:r>
      <w:r w:rsidRPr="00564C9F">
        <w:rPr>
          <w:rFonts w:eastAsia="Times New Roman" w:cstheme="minorHAnsi"/>
          <w:color w:val="000000"/>
        </w:rPr>
        <w:t xml:space="preserve"> designed to answer questions </w:t>
      </w:r>
      <w:r w:rsidRPr="00564C9F">
        <w:rPr>
          <w:rFonts w:eastAsia="Times New Roman" w:cstheme="minorHAnsi"/>
          <w:color w:val="000000"/>
        </w:rPr>
        <w:t xml:space="preserve">about clients’ experience in the programs, how the programs met their needs, and feedback for the programs. </w:t>
      </w:r>
      <w:r w:rsidRPr="00564C9F">
        <w:rPr>
          <w:rFonts w:eastAsia="Times New Roman" w:cstheme="minorHAnsi"/>
          <w:color w:val="000000"/>
        </w:rPr>
        <w:t xml:space="preserve"> </w:t>
      </w:r>
      <w:r w:rsidRPr="00564C9F" w:rsidR="000A0F14">
        <w:rPr>
          <w:rFonts w:cstheme="minorHAnsi"/>
          <w:bCs/>
        </w:rPr>
        <w:t xml:space="preserve">Specifically, this semi-structured interview guide addresses </w:t>
      </w:r>
      <w:r w:rsidRPr="00564C9F">
        <w:rPr>
          <w:rFonts w:cstheme="minorHAnsi"/>
          <w:bCs/>
        </w:rPr>
        <w:t>RQs  1</w:t>
      </w:r>
      <w:r w:rsidR="00A2743D">
        <w:rPr>
          <w:rFonts w:cstheme="minorHAnsi"/>
          <w:bCs/>
        </w:rPr>
        <w:t>a</w:t>
      </w:r>
      <w:r w:rsidRPr="00564C9F">
        <w:rPr>
          <w:rFonts w:cstheme="minorHAnsi"/>
          <w:bCs/>
        </w:rPr>
        <w:t xml:space="preserve">, 4a-b and </w:t>
      </w:r>
      <w:r w:rsidR="00A2743D">
        <w:rPr>
          <w:rFonts w:cstheme="minorHAnsi"/>
          <w:bCs/>
        </w:rPr>
        <w:t>5f</w:t>
      </w:r>
      <w:r w:rsidRPr="00564C9F">
        <w:rPr>
          <w:rFonts w:cstheme="minorHAnsi"/>
          <w:bCs/>
        </w:rPr>
        <w:t>-</w:t>
      </w:r>
      <w:r w:rsidR="00A2743D">
        <w:rPr>
          <w:rFonts w:cstheme="minorHAnsi"/>
          <w:bCs/>
        </w:rPr>
        <w:t>i</w:t>
      </w:r>
      <w:r w:rsidRPr="00564C9F">
        <w:rPr>
          <w:rFonts w:cstheme="minorHAnsi"/>
          <w:bCs/>
        </w:rPr>
        <w:t xml:space="preserve">, as listed in </w:t>
      </w:r>
      <w:r w:rsidRPr="00036A4A">
        <w:rPr>
          <w:rFonts w:cstheme="minorHAnsi"/>
          <w:b/>
        </w:rPr>
        <w:t>Exhibit A1</w:t>
      </w:r>
      <w:r w:rsidRPr="00564C9F">
        <w:rPr>
          <w:rFonts w:cstheme="minorHAnsi"/>
          <w:bCs/>
          <w:i/>
          <w:iCs/>
        </w:rPr>
        <w:t xml:space="preserve"> </w:t>
      </w:r>
      <w:r w:rsidRPr="00564C9F">
        <w:rPr>
          <w:rFonts w:cstheme="minorHAnsi"/>
          <w:bCs/>
        </w:rPr>
        <w:t xml:space="preserve">of </w:t>
      </w:r>
      <w:r w:rsidRPr="00BE7CCC" w:rsidR="0067029D">
        <w:rPr>
          <w:rFonts w:cstheme="minorHAnsi"/>
          <w:bCs/>
          <w:i/>
          <w:iCs/>
        </w:rPr>
        <w:t>SSA</w:t>
      </w:r>
      <w:r w:rsidRPr="00BE7CCC" w:rsidR="00625690">
        <w:rPr>
          <w:rFonts w:cstheme="minorHAnsi"/>
          <w:bCs/>
          <w:i/>
          <w:iCs/>
        </w:rPr>
        <w:t>.</w:t>
      </w:r>
    </w:p>
    <w:p w:rsidR="00983CEC" w:rsidRPr="00564C9F" w:rsidP="00D250CC" w14:paraId="1C6CB764" w14:textId="1F4B0CDB">
      <w:pPr>
        <w:spacing w:after="0" w:line="240" w:lineRule="auto"/>
        <w:rPr>
          <w:rFonts w:eastAsia="Times New Roman" w:cstheme="minorHAnsi"/>
          <w:color w:val="000000"/>
        </w:rPr>
      </w:pPr>
    </w:p>
    <w:p w:rsidR="00564C9F" w:rsidRPr="00564C9F" w:rsidP="00D250CC" w14:paraId="6C269114" w14:textId="762F1502">
      <w:pPr>
        <w:spacing w:after="0" w:line="240" w:lineRule="auto"/>
        <w:rPr>
          <w:rFonts w:cstheme="minorHAnsi"/>
          <w:bCs/>
        </w:rPr>
      </w:pPr>
      <w:bookmarkStart w:id="4" w:name="_Hlk209613044"/>
      <w:r w:rsidRPr="00564C9F">
        <w:rPr>
          <w:rFonts w:eastAsia="Times New Roman" w:cstheme="minorHAnsi"/>
          <w:b/>
          <w:bCs/>
          <w:color w:val="000000"/>
        </w:rPr>
        <w:t xml:space="preserve">Instrument 5: Subrecipient Survey </w:t>
      </w:r>
      <w:bookmarkEnd w:id="4"/>
      <w:r w:rsidRPr="00564C9F">
        <w:rPr>
          <w:rFonts w:eastAsia="Times New Roman" w:cstheme="minorHAnsi"/>
          <w:color w:val="000000"/>
        </w:rPr>
        <w:t xml:space="preserve">is intended to address </w:t>
      </w:r>
      <w:r w:rsidRPr="00E804D0" w:rsidR="00EC7D41">
        <w:rPr>
          <w:rFonts w:cstheme="minorHAnsi"/>
        </w:rPr>
        <w:t>experiences with client referral and service provision, support provided by the prime award recipient, and overall program implementation.</w:t>
      </w:r>
      <w:r w:rsidR="00EC7D41">
        <w:rPr>
          <w:rFonts w:cstheme="minorHAnsi"/>
        </w:rPr>
        <w:t xml:space="preserve"> Specifically, this survey </w:t>
      </w:r>
      <w:r w:rsidR="009024D5">
        <w:rPr>
          <w:rFonts w:cstheme="minorHAnsi"/>
        </w:rPr>
        <w:t xml:space="preserve">addresses </w:t>
      </w:r>
      <w:r w:rsidRPr="00564C9F">
        <w:rPr>
          <w:rFonts w:cstheme="minorHAnsi"/>
          <w:bCs/>
        </w:rPr>
        <w:t>RQs  1</w:t>
      </w:r>
      <w:r w:rsidR="00A2743D">
        <w:rPr>
          <w:rFonts w:cstheme="minorHAnsi"/>
          <w:bCs/>
        </w:rPr>
        <w:t>a</w:t>
      </w:r>
      <w:r w:rsidRPr="00564C9F">
        <w:rPr>
          <w:rFonts w:cstheme="minorHAnsi"/>
          <w:bCs/>
        </w:rPr>
        <w:t>, 2</w:t>
      </w:r>
      <w:r w:rsidR="00A2743D">
        <w:rPr>
          <w:rFonts w:cstheme="minorHAnsi"/>
          <w:bCs/>
        </w:rPr>
        <w:t>a</w:t>
      </w:r>
      <w:r w:rsidRPr="00564C9F">
        <w:rPr>
          <w:rFonts w:cstheme="minorHAnsi"/>
          <w:bCs/>
        </w:rPr>
        <w:t>, 3</w:t>
      </w:r>
      <w:r w:rsidR="00A2743D">
        <w:rPr>
          <w:rFonts w:cstheme="minorHAnsi"/>
          <w:bCs/>
        </w:rPr>
        <w:t>a-e</w:t>
      </w:r>
      <w:r w:rsidRPr="00564C9F">
        <w:rPr>
          <w:rFonts w:cstheme="minorHAnsi"/>
          <w:bCs/>
        </w:rPr>
        <w:t>, 4</w:t>
      </w:r>
      <w:r w:rsidR="00A2743D">
        <w:rPr>
          <w:rFonts w:cstheme="minorHAnsi"/>
          <w:bCs/>
        </w:rPr>
        <w:t>a</w:t>
      </w:r>
      <w:r w:rsidRPr="00564C9F">
        <w:rPr>
          <w:rFonts w:cstheme="minorHAnsi"/>
          <w:bCs/>
        </w:rPr>
        <w:t>-</w:t>
      </w:r>
      <w:r w:rsidR="00A2743D">
        <w:rPr>
          <w:rFonts w:cstheme="minorHAnsi"/>
          <w:bCs/>
        </w:rPr>
        <w:t>e</w:t>
      </w:r>
      <w:r w:rsidRPr="00564C9F">
        <w:rPr>
          <w:rFonts w:cstheme="minorHAnsi"/>
          <w:bCs/>
        </w:rPr>
        <w:t>, 5a-</w:t>
      </w:r>
      <w:r w:rsidR="00A2743D">
        <w:rPr>
          <w:rFonts w:cstheme="minorHAnsi"/>
          <w:bCs/>
        </w:rPr>
        <w:t>k</w:t>
      </w:r>
      <w:r w:rsidRPr="00564C9F">
        <w:rPr>
          <w:rFonts w:cstheme="minorHAnsi"/>
          <w:bCs/>
        </w:rPr>
        <w:t>,</w:t>
      </w:r>
      <w:r w:rsidR="00A2743D">
        <w:rPr>
          <w:rFonts w:cstheme="minorHAnsi"/>
          <w:bCs/>
        </w:rPr>
        <w:t xml:space="preserve"> and</w:t>
      </w:r>
      <w:r w:rsidRPr="00564C9F">
        <w:rPr>
          <w:rFonts w:cstheme="minorHAnsi"/>
          <w:bCs/>
        </w:rPr>
        <w:t xml:space="preserve"> 6a-b, as listed in </w:t>
      </w:r>
      <w:r w:rsidRPr="00036A4A">
        <w:rPr>
          <w:rFonts w:cstheme="minorHAnsi"/>
          <w:b/>
        </w:rPr>
        <w:t>Exhibit A1</w:t>
      </w:r>
      <w:r w:rsidRPr="00564C9F">
        <w:rPr>
          <w:rFonts w:cstheme="minorHAnsi"/>
          <w:bCs/>
          <w:i/>
          <w:iCs/>
        </w:rPr>
        <w:t xml:space="preserve"> </w:t>
      </w:r>
      <w:r w:rsidRPr="00564C9F">
        <w:rPr>
          <w:rFonts w:cstheme="minorHAnsi"/>
          <w:bCs/>
        </w:rPr>
        <w:t xml:space="preserve">of </w:t>
      </w:r>
      <w:r w:rsidR="00625690">
        <w:rPr>
          <w:rFonts w:cstheme="minorHAnsi"/>
          <w:bCs/>
          <w:i/>
          <w:iCs/>
        </w:rPr>
        <w:t>SSA.</w:t>
      </w:r>
      <w:r w:rsidRPr="00564C9F">
        <w:rPr>
          <w:rFonts w:cstheme="minorHAnsi"/>
          <w:bCs/>
        </w:rPr>
        <w:t xml:space="preserve"> </w:t>
      </w:r>
    </w:p>
    <w:p w:rsidR="00A42C71" w:rsidP="00D250CC" w14:paraId="724733CA" w14:textId="44A0612A">
      <w:pPr>
        <w:autoSpaceDE w:val="0"/>
        <w:autoSpaceDN w:val="0"/>
        <w:adjustRightInd w:val="0"/>
        <w:spacing w:after="0" w:line="240" w:lineRule="auto"/>
        <w:rPr>
          <w:rFonts w:eastAsia="Times New Roman" w:cstheme="minorHAnsi"/>
          <w:color w:val="000000"/>
        </w:rPr>
      </w:pPr>
    </w:p>
    <w:p w:rsidR="000B5156" w:rsidP="00D250CC" w14:paraId="5698A63D" w14:textId="49CCA965">
      <w:pPr>
        <w:autoSpaceDE w:val="0"/>
        <w:autoSpaceDN w:val="0"/>
        <w:adjustRightInd w:val="0"/>
        <w:spacing w:after="0" w:line="240" w:lineRule="auto"/>
        <w:rPr>
          <w:rFonts w:eastAsia="Times New Roman" w:cstheme="minorHAnsi"/>
          <w:color w:val="000000"/>
        </w:rPr>
      </w:pPr>
      <w:r>
        <w:rPr>
          <w:rFonts w:eastAsia="Times New Roman" w:cstheme="minorHAnsi"/>
          <w:color w:val="000000"/>
        </w:rPr>
        <w:t xml:space="preserve">The instruments were </w:t>
      </w:r>
      <w:r w:rsidR="000A0F14">
        <w:rPr>
          <w:rFonts w:eastAsia="Times New Roman" w:cstheme="minorHAnsi"/>
          <w:color w:val="000000"/>
        </w:rPr>
        <w:t>developed with input</w:t>
      </w:r>
      <w:r w:rsidR="00F859D9">
        <w:rPr>
          <w:rFonts w:eastAsia="Times New Roman" w:cstheme="minorHAnsi"/>
          <w:color w:val="000000"/>
        </w:rPr>
        <w:t xml:space="preserve"> and</w:t>
      </w:r>
      <w:r w:rsidR="00B9425D">
        <w:rPr>
          <w:rFonts w:eastAsia="Times New Roman" w:cstheme="minorHAnsi"/>
          <w:color w:val="000000"/>
        </w:rPr>
        <w:t>/or</w:t>
      </w:r>
      <w:r w:rsidR="00F859D9">
        <w:rPr>
          <w:rFonts w:eastAsia="Times New Roman" w:cstheme="minorHAnsi"/>
          <w:color w:val="000000"/>
        </w:rPr>
        <w:t xml:space="preserve"> review by </w:t>
      </w:r>
      <w:r w:rsidR="008677A7">
        <w:rPr>
          <w:rFonts w:eastAsia="Times New Roman" w:cstheme="minorHAnsi"/>
          <w:color w:val="000000"/>
        </w:rPr>
        <w:t xml:space="preserve">the following </w:t>
      </w:r>
      <w:r w:rsidR="00B10DC0">
        <w:rPr>
          <w:rFonts w:eastAsia="Times New Roman" w:cstheme="minorHAnsi"/>
          <w:color w:val="000000"/>
        </w:rPr>
        <w:t>groups of expert consultants.</w:t>
      </w:r>
    </w:p>
    <w:p w:rsidR="008677A7" w:rsidP="008677A7" w14:paraId="77A2F224" w14:textId="5DA65A96">
      <w:pPr>
        <w:pStyle w:val="ListParagraph"/>
        <w:numPr>
          <w:ilvl w:val="0"/>
          <w:numId w:val="32"/>
        </w:numPr>
        <w:spacing w:after="0" w:line="240" w:lineRule="auto"/>
      </w:pPr>
      <w:r>
        <w:t>OTIP Personnel involved in TVAP and/or Aspire programs</w:t>
      </w:r>
    </w:p>
    <w:p w:rsidR="008677A7" w:rsidP="008677A7" w14:paraId="413034AE" w14:textId="77777777">
      <w:pPr>
        <w:pStyle w:val="ListParagraph"/>
        <w:numPr>
          <w:ilvl w:val="0"/>
          <w:numId w:val="32"/>
        </w:numPr>
        <w:spacing w:after="0" w:line="240" w:lineRule="auto"/>
      </w:pPr>
      <w:r>
        <w:t>Select TVAP and Aspire Prime Recipient Personnel</w:t>
      </w:r>
    </w:p>
    <w:p w:rsidR="008677A7" w:rsidP="008677A7" w14:paraId="7161DCBC" w14:textId="77777777">
      <w:pPr>
        <w:pStyle w:val="ListParagraph"/>
        <w:numPr>
          <w:ilvl w:val="0"/>
          <w:numId w:val="32"/>
        </w:numPr>
        <w:spacing w:after="0" w:line="240" w:lineRule="auto"/>
      </w:pPr>
      <w:r>
        <w:t>Select TVAP and Aspire Subrecipient Personnel</w:t>
      </w:r>
    </w:p>
    <w:p w:rsidR="008677A7" w:rsidP="008677A7" w14:paraId="525E1D38" w14:textId="5D55C0B4">
      <w:pPr>
        <w:pStyle w:val="ListParagraph"/>
        <w:numPr>
          <w:ilvl w:val="0"/>
          <w:numId w:val="32"/>
        </w:numPr>
        <w:spacing w:after="0" w:line="240" w:lineRule="auto"/>
      </w:pPr>
      <w:r>
        <w:t xml:space="preserve">Select survivors from the </w:t>
      </w:r>
      <w:r>
        <w:t>Prime Recipient’s Survivor Advisory Board</w:t>
      </w:r>
    </w:p>
    <w:p w:rsidR="00B9425D" w:rsidP="00B9425D" w14:paraId="38E3C5F2" w14:textId="77777777">
      <w:pPr>
        <w:pStyle w:val="ListParagraph"/>
        <w:numPr>
          <w:ilvl w:val="0"/>
          <w:numId w:val="32"/>
        </w:numPr>
        <w:spacing w:after="0" w:line="240" w:lineRule="auto"/>
      </w:pPr>
      <w:r>
        <w:t>USC TVAP and Aspire Research Team</w:t>
      </w:r>
    </w:p>
    <w:p w:rsidR="00654D43" w:rsidP="00D250CC" w14:paraId="6F5CFE26" w14:textId="77777777">
      <w:pPr>
        <w:autoSpaceDE w:val="0"/>
        <w:autoSpaceDN w:val="0"/>
        <w:adjustRightInd w:val="0"/>
        <w:spacing w:after="0" w:line="240" w:lineRule="auto"/>
        <w:rPr>
          <w:rFonts w:eastAsia="Times New Roman" w:cstheme="minorHAnsi"/>
          <w:color w:val="000000"/>
        </w:rPr>
      </w:pPr>
    </w:p>
    <w:p w:rsidR="00A42C71" w:rsidRPr="001A59B6" w:rsidP="00D250CC" w14:paraId="309ACF0F" w14:textId="77777777">
      <w:pPr>
        <w:autoSpaceDE w:val="0"/>
        <w:autoSpaceDN w:val="0"/>
        <w:adjustRightInd w:val="0"/>
        <w:spacing w:after="0" w:line="240" w:lineRule="auto"/>
        <w:rPr>
          <w:rFonts w:eastAsia="Times New Roman" w:cstheme="minorHAnsi"/>
          <w:color w:val="000000"/>
        </w:rPr>
      </w:pPr>
    </w:p>
    <w:p w:rsidR="00A42C71" w:rsidRPr="001A59B6" w:rsidP="00D250CC" w14:paraId="3E0643E6" w14:textId="77777777">
      <w:pPr>
        <w:autoSpaceDE w:val="0"/>
        <w:autoSpaceDN w:val="0"/>
        <w:adjustRightInd w:val="0"/>
        <w:spacing w:after="120" w:line="240" w:lineRule="auto"/>
        <w:rPr>
          <w:rFonts w:eastAsia="Times New Roman" w:cstheme="minorHAnsi"/>
          <w:color w:val="000000"/>
        </w:rPr>
      </w:pPr>
      <w:r w:rsidRPr="001A59B6">
        <w:rPr>
          <w:rFonts w:eastAsia="Times New Roman" w:cstheme="minorHAnsi"/>
          <w:b/>
          <w:bCs/>
          <w:color w:val="000000"/>
        </w:rPr>
        <w:t xml:space="preserve">B4. </w:t>
      </w:r>
      <w:r w:rsidRPr="001A59B6">
        <w:rPr>
          <w:rFonts w:eastAsia="Times New Roman" w:cstheme="minorHAnsi"/>
          <w:b/>
          <w:bCs/>
          <w:color w:val="000000"/>
        </w:rPr>
        <w:tab/>
        <w:t>Collection of Data and Quality Control</w:t>
      </w:r>
    </w:p>
    <w:p w:rsidR="00E80FC0" w:rsidRPr="00AA3023" w:rsidP="00E80FC0" w14:paraId="6A94EEC9" w14:textId="220A1435">
      <w:pPr>
        <w:spacing w:after="60" w:line="240" w:lineRule="auto"/>
        <w:rPr>
          <w:rFonts w:cstheme="minorHAnsi"/>
          <w:i/>
          <w:iCs/>
        </w:rPr>
      </w:pPr>
      <w:r w:rsidRPr="00AA3023">
        <w:rPr>
          <w:rFonts w:cstheme="minorHAnsi"/>
          <w:i/>
          <w:iCs/>
        </w:rPr>
        <w:t>Data Collection Mode</w:t>
      </w:r>
    </w:p>
    <w:p w:rsidR="00E80FC0" w:rsidP="00E80FC0" w14:paraId="749A46A0" w14:textId="52F528B7">
      <w:pPr>
        <w:autoSpaceDE w:val="0"/>
        <w:autoSpaceDN w:val="0"/>
        <w:adjustRightInd w:val="0"/>
        <w:spacing w:after="0" w:line="240" w:lineRule="auto"/>
        <w:rPr>
          <w:rFonts w:eastAsia="Times New Roman" w:cstheme="minorHAnsi"/>
          <w:color w:val="000000"/>
        </w:rPr>
      </w:pPr>
      <w:r w:rsidRPr="00AA3023">
        <w:rPr>
          <w:rFonts w:eastAsia="Times New Roman" w:cstheme="minorHAnsi"/>
          <w:color w:val="000000"/>
        </w:rPr>
        <w:t xml:space="preserve">Interviews will be conducted via video </w:t>
      </w:r>
      <w:r w:rsidR="004050F2">
        <w:t>or teleconference</w:t>
      </w:r>
      <w:r w:rsidR="00645134">
        <w:t>, depending on respondents’ preference</w:t>
      </w:r>
      <w:r w:rsidRPr="00AA3023">
        <w:rPr>
          <w:rFonts w:eastAsia="Times New Roman" w:cstheme="minorHAnsi"/>
          <w:color w:val="000000"/>
        </w:rPr>
        <w:t xml:space="preserve">. Interviews are expected to last 60 to 90 minutes, depending on the participant (see burden estimates in </w:t>
      </w:r>
      <w:r w:rsidRPr="00036A4A">
        <w:rPr>
          <w:rFonts w:eastAsia="Times New Roman" w:cstheme="minorHAnsi"/>
          <w:i/>
          <w:iCs/>
          <w:color w:val="000000"/>
        </w:rPr>
        <w:t xml:space="preserve">A.12 in </w:t>
      </w:r>
      <w:r w:rsidR="005819D0">
        <w:rPr>
          <w:rFonts w:eastAsia="Times New Roman" w:cstheme="minorHAnsi"/>
          <w:i/>
          <w:iCs/>
          <w:color w:val="000000"/>
        </w:rPr>
        <w:t>SSA</w:t>
      </w:r>
      <w:r>
        <w:rPr>
          <w:rFonts w:eastAsia="Times New Roman" w:cstheme="minorHAnsi"/>
          <w:color w:val="000000"/>
        </w:rPr>
        <w:t>)</w:t>
      </w:r>
      <w:r w:rsidRPr="00AA3023">
        <w:rPr>
          <w:rFonts w:eastAsia="Times New Roman" w:cstheme="minorHAnsi"/>
          <w:color w:val="000000"/>
        </w:rPr>
        <w:t xml:space="preserve"> and will be conducted by two </w:t>
      </w:r>
      <w:r>
        <w:rPr>
          <w:rFonts w:eastAsia="Times New Roman" w:cstheme="minorHAnsi"/>
          <w:color w:val="000000"/>
        </w:rPr>
        <w:t>evaluation team</w:t>
      </w:r>
      <w:r w:rsidRPr="00AA3023">
        <w:rPr>
          <w:rFonts w:eastAsia="Times New Roman" w:cstheme="minorHAnsi"/>
          <w:color w:val="000000"/>
        </w:rPr>
        <w:t xml:space="preserve"> staff trained in qualitative data collection </w:t>
      </w:r>
      <w:r w:rsidRPr="00AA3023">
        <w:rPr>
          <w:rFonts w:eastAsia="Times New Roman" w:cstheme="minorHAnsi"/>
          <w:color w:val="000000"/>
        </w:rPr>
        <w:t xml:space="preserve">techniques. The primary interviewer will obtain informed consent from </w:t>
      </w:r>
      <w:r w:rsidR="00DA1A6D">
        <w:rPr>
          <w:rFonts w:eastAsia="Times New Roman" w:cstheme="minorHAnsi"/>
          <w:color w:val="000000"/>
        </w:rPr>
        <w:t>respondents</w:t>
      </w:r>
      <w:r w:rsidRPr="00AA3023" w:rsidR="00DA1A6D">
        <w:rPr>
          <w:rFonts w:eastAsia="Times New Roman" w:cstheme="minorHAnsi"/>
          <w:color w:val="000000"/>
        </w:rPr>
        <w:t xml:space="preserve"> </w:t>
      </w:r>
      <w:r w:rsidRPr="00AA3023">
        <w:rPr>
          <w:rFonts w:eastAsia="Times New Roman" w:cstheme="minorHAnsi"/>
          <w:color w:val="000000"/>
        </w:rPr>
        <w:t>prior to each interview and lead the interview questions. The secondary interviewer will take notes during the interview. The research team will digitally audio record the interview if participants consent. The audio recording will be erased once written notes are finalized. Interview notes will not include the participants’ names. Written notes will be saved on RTI’s private network in a share drive that only authorized RTI evaluation team members can access.</w:t>
      </w:r>
    </w:p>
    <w:p w:rsidR="00E80FC0" w:rsidP="00E80FC0" w14:paraId="6469816F" w14:textId="77777777">
      <w:pPr>
        <w:autoSpaceDE w:val="0"/>
        <w:autoSpaceDN w:val="0"/>
        <w:adjustRightInd w:val="0"/>
        <w:spacing w:after="0" w:line="240" w:lineRule="auto"/>
        <w:rPr>
          <w:rFonts w:eastAsia="Times New Roman" w:cstheme="minorHAnsi"/>
          <w:color w:val="000000"/>
        </w:rPr>
      </w:pPr>
    </w:p>
    <w:p w:rsidR="001A14B7" w:rsidRPr="001A14B7" w:rsidP="001A14B7" w14:paraId="4079544B" w14:textId="37F70AE4">
      <w:pPr>
        <w:autoSpaceDE w:val="0"/>
        <w:autoSpaceDN w:val="0"/>
        <w:adjustRightInd w:val="0"/>
        <w:spacing w:after="0" w:line="240" w:lineRule="auto"/>
        <w:rPr>
          <w:rFonts w:eastAsia="Times New Roman" w:cstheme="minorHAnsi"/>
          <w:color w:val="000000"/>
        </w:rPr>
      </w:pPr>
      <w:r>
        <w:rPr>
          <w:rFonts w:eastAsia="Times New Roman" w:cstheme="minorHAnsi"/>
          <w:color w:val="000000"/>
        </w:rPr>
        <w:t xml:space="preserve">Potential </w:t>
      </w:r>
      <w:r w:rsidR="00963095">
        <w:rPr>
          <w:rFonts w:eastAsia="Times New Roman" w:cstheme="minorHAnsi"/>
          <w:color w:val="000000"/>
        </w:rPr>
        <w:t xml:space="preserve">survey </w:t>
      </w:r>
      <w:r>
        <w:rPr>
          <w:rFonts w:eastAsia="Times New Roman" w:cstheme="minorHAnsi"/>
          <w:color w:val="000000"/>
        </w:rPr>
        <w:t>participants</w:t>
      </w:r>
      <w:r w:rsidRPr="001A14B7">
        <w:rPr>
          <w:rFonts w:eastAsia="Times New Roman" w:cstheme="minorHAnsi"/>
          <w:color w:val="000000"/>
        </w:rPr>
        <w:t xml:space="preserve"> </w:t>
      </w:r>
      <w:r>
        <w:rPr>
          <w:rFonts w:eastAsia="Times New Roman" w:cstheme="minorHAnsi"/>
          <w:color w:val="000000"/>
        </w:rPr>
        <w:t>will</w:t>
      </w:r>
      <w:r w:rsidRPr="001A14B7">
        <w:rPr>
          <w:rFonts w:eastAsia="Times New Roman" w:cstheme="minorHAnsi"/>
          <w:color w:val="000000"/>
        </w:rPr>
        <w:t xml:space="preserve"> receive a </w:t>
      </w:r>
      <w:r>
        <w:rPr>
          <w:rFonts w:eastAsia="Times New Roman" w:cstheme="minorHAnsi"/>
          <w:color w:val="000000"/>
        </w:rPr>
        <w:t>link to a web-based survey</w:t>
      </w:r>
      <w:r w:rsidRPr="00A86583">
        <w:rPr>
          <w:szCs w:val="24"/>
        </w:rPr>
        <w:t xml:space="preserve"> </w:t>
      </w:r>
      <w:r>
        <w:rPr>
          <w:rFonts w:eastAsia="Times New Roman" w:cstheme="minorHAnsi"/>
          <w:color w:val="000000"/>
        </w:rPr>
        <w:t xml:space="preserve">by e-mail. </w:t>
      </w:r>
      <w:r>
        <w:rPr>
          <w:rFonts w:eastAsia="Times New Roman" w:cstheme="minorHAnsi"/>
          <w:color w:val="000000"/>
        </w:rPr>
        <w:t xml:space="preserve">The survey will </w:t>
      </w:r>
      <w:r>
        <w:rPr>
          <w:rFonts w:eastAsia="Times New Roman" w:cstheme="minorHAnsi"/>
          <w:color w:val="000000"/>
        </w:rPr>
        <w:t>be self-administered</w:t>
      </w:r>
      <w:r>
        <w:rPr>
          <w:rFonts w:eastAsia="Times New Roman" w:cstheme="minorHAnsi"/>
          <w:color w:val="000000"/>
        </w:rPr>
        <w:t xml:space="preserve"> </w:t>
      </w:r>
      <w:r>
        <w:rPr>
          <w:szCs w:val="24"/>
        </w:rPr>
        <w:t>using a secure web platform</w:t>
      </w:r>
      <w:r>
        <w:rPr>
          <w:rFonts w:eastAsia="Times New Roman" w:cstheme="minorHAnsi"/>
          <w:color w:val="000000"/>
        </w:rPr>
        <w:t xml:space="preserve">. </w:t>
      </w:r>
      <w:r>
        <w:rPr>
          <w:rFonts w:eastAsia="Times New Roman" w:cstheme="minorHAnsi"/>
          <w:color w:val="000000"/>
        </w:rPr>
        <w:t xml:space="preserve">Respondents </w:t>
      </w:r>
      <w:r w:rsidRPr="001A14B7">
        <w:rPr>
          <w:rFonts w:eastAsia="Times New Roman" w:cstheme="minorHAnsi"/>
          <w:color w:val="000000"/>
        </w:rPr>
        <w:t xml:space="preserve">will see the consent language on the first page of the </w:t>
      </w:r>
      <w:r>
        <w:rPr>
          <w:rFonts w:eastAsia="Times New Roman" w:cstheme="minorHAnsi"/>
          <w:color w:val="000000"/>
        </w:rPr>
        <w:t>w</w:t>
      </w:r>
      <w:r w:rsidRPr="001A14B7">
        <w:rPr>
          <w:rFonts w:eastAsia="Times New Roman" w:cstheme="minorHAnsi"/>
          <w:color w:val="000000"/>
        </w:rPr>
        <w:t>eb-based</w:t>
      </w:r>
      <w:r w:rsidR="00BF36E1">
        <w:rPr>
          <w:rFonts w:eastAsia="Times New Roman" w:cstheme="minorHAnsi"/>
          <w:color w:val="000000"/>
        </w:rPr>
        <w:t xml:space="preserve"> survey</w:t>
      </w:r>
      <w:r w:rsidRPr="001A14B7">
        <w:rPr>
          <w:rFonts w:eastAsia="Times New Roman" w:cstheme="minorHAnsi"/>
          <w:color w:val="000000"/>
        </w:rPr>
        <w:t xml:space="preserve"> after clicking their unique </w:t>
      </w:r>
      <w:r>
        <w:rPr>
          <w:rFonts w:eastAsia="Times New Roman" w:cstheme="minorHAnsi"/>
          <w:color w:val="000000"/>
        </w:rPr>
        <w:t>we</w:t>
      </w:r>
      <w:r w:rsidR="00BF36E1">
        <w:rPr>
          <w:rFonts w:eastAsia="Times New Roman" w:cstheme="minorHAnsi"/>
          <w:color w:val="000000"/>
        </w:rPr>
        <w:t>b</w:t>
      </w:r>
      <w:r w:rsidRPr="001A14B7">
        <w:rPr>
          <w:rFonts w:eastAsia="Times New Roman" w:cstheme="minorHAnsi"/>
          <w:color w:val="000000"/>
        </w:rPr>
        <w:t xml:space="preserve"> link. </w:t>
      </w:r>
      <w:r>
        <w:rPr>
          <w:szCs w:val="24"/>
        </w:rPr>
        <w:t>They will use their personal device to self-administer the survey at a time that is convenient for them</w:t>
      </w:r>
      <w:r>
        <w:rPr>
          <w:rFonts w:eastAsia="Times New Roman" w:cstheme="minorHAnsi"/>
          <w:color w:val="000000"/>
        </w:rPr>
        <w:t xml:space="preserve">.  </w:t>
      </w:r>
      <w:r w:rsidRPr="001A14B7">
        <w:rPr>
          <w:rFonts w:eastAsia="Times New Roman" w:cstheme="minorHAnsi"/>
          <w:color w:val="000000"/>
        </w:rPr>
        <w:t xml:space="preserve">After indicating agreement to participate by clicking the begin button on the screen, respondents will complete the survey questions (see </w:t>
      </w:r>
      <w:r w:rsidRPr="001A14B7">
        <w:rPr>
          <w:rFonts w:eastAsia="Times New Roman" w:cstheme="minorHAnsi"/>
          <w:b/>
          <w:bCs/>
          <w:color w:val="000000"/>
        </w:rPr>
        <w:t xml:space="preserve">Instrument </w:t>
      </w:r>
      <w:r>
        <w:rPr>
          <w:rFonts w:eastAsia="Times New Roman" w:cstheme="minorHAnsi"/>
          <w:b/>
          <w:bCs/>
          <w:color w:val="000000"/>
        </w:rPr>
        <w:t>5</w:t>
      </w:r>
      <w:r w:rsidRPr="001A14B7">
        <w:rPr>
          <w:rFonts w:eastAsia="Times New Roman" w:cstheme="minorHAnsi"/>
          <w:b/>
          <w:bCs/>
          <w:color w:val="000000"/>
        </w:rPr>
        <w:t xml:space="preserve">: </w:t>
      </w:r>
      <w:r w:rsidRPr="00243828">
        <w:rPr>
          <w:rFonts w:eastAsia="Times New Roman" w:cstheme="minorHAnsi"/>
          <w:b/>
          <w:bCs/>
          <w:color w:val="000000"/>
        </w:rPr>
        <w:t>Subrecipient Survey</w:t>
      </w:r>
      <w:r w:rsidRPr="001A14B7">
        <w:rPr>
          <w:rFonts w:eastAsia="Times New Roman" w:cstheme="minorHAnsi"/>
          <w:color w:val="000000"/>
        </w:rPr>
        <w:t xml:space="preserve"> </w:t>
      </w:r>
      <w:r w:rsidRPr="001A14B7">
        <w:rPr>
          <w:rFonts w:eastAsia="Times New Roman" w:cstheme="minorHAnsi"/>
          <w:color w:val="000000"/>
        </w:rPr>
        <w:t xml:space="preserve">for consent and survey questions). </w:t>
      </w:r>
    </w:p>
    <w:p w:rsidR="00E80FC0" w:rsidRPr="00AA3023" w:rsidP="00E80FC0" w14:paraId="5D946302" w14:textId="77777777">
      <w:pPr>
        <w:autoSpaceDE w:val="0"/>
        <w:autoSpaceDN w:val="0"/>
        <w:adjustRightInd w:val="0"/>
        <w:spacing w:after="0" w:line="240" w:lineRule="auto"/>
        <w:rPr>
          <w:rFonts w:eastAsia="Times New Roman" w:cstheme="minorHAnsi"/>
          <w:color w:val="000000"/>
        </w:rPr>
      </w:pPr>
    </w:p>
    <w:p w:rsidR="00E80FC0" w:rsidRPr="00AA3023" w:rsidP="00E80FC0" w14:paraId="20A7195F" w14:textId="77777777">
      <w:pPr>
        <w:autoSpaceDE w:val="0"/>
        <w:autoSpaceDN w:val="0"/>
        <w:adjustRightInd w:val="0"/>
        <w:spacing w:after="60" w:line="240" w:lineRule="auto"/>
        <w:rPr>
          <w:rFonts w:eastAsia="Times New Roman" w:cstheme="minorHAnsi"/>
          <w:i/>
          <w:iCs/>
          <w:color w:val="000000"/>
        </w:rPr>
      </w:pPr>
      <w:r w:rsidRPr="00AA3023">
        <w:rPr>
          <w:rFonts w:eastAsia="Times New Roman" w:cstheme="minorHAnsi"/>
          <w:i/>
          <w:iCs/>
          <w:color w:val="000000"/>
        </w:rPr>
        <w:t>Data Quality and Monitoring</w:t>
      </w:r>
    </w:p>
    <w:p w:rsidR="00E80FC0" w:rsidRPr="00AA3023" w:rsidP="00E80FC0" w14:paraId="45851C97" w14:textId="2607B420">
      <w:pPr>
        <w:autoSpaceDE w:val="0"/>
        <w:autoSpaceDN w:val="0"/>
        <w:adjustRightInd w:val="0"/>
        <w:spacing w:after="0" w:line="240" w:lineRule="auto"/>
        <w:rPr>
          <w:rFonts w:eastAsia="Times New Roman" w:cstheme="minorHAnsi"/>
          <w:color w:val="000000"/>
        </w:rPr>
      </w:pPr>
      <w:r w:rsidRPr="00AA3023">
        <w:rPr>
          <w:rFonts w:eastAsia="Times New Roman" w:cstheme="minorHAnsi"/>
          <w:color w:val="000000"/>
        </w:rPr>
        <w:t xml:space="preserve">All interviewers will complete </w:t>
      </w:r>
      <w:r w:rsidRPr="00AA3023">
        <w:rPr>
          <w:rFonts w:eastAsia="Times New Roman" w:cstheme="minorHAnsi"/>
          <w:color w:val="000000"/>
        </w:rPr>
        <w:t>a training</w:t>
      </w:r>
      <w:r w:rsidRPr="00AA3023">
        <w:rPr>
          <w:rFonts w:eastAsia="Times New Roman" w:cstheme="minorHAnsi"/>
          <w:color w:val="000000"/>
        </w:rPr>
        <w:t xml:space="preserve"> on interview protocol</w:t>
      </w:r>
      <w:r w:rsidR="00E962F5">
        <w:rPr>
          <w:rFonts w:eastAsia="Times New Roman" w:cstheme="minorHAnsi"/>
          <w:color w:val="000000"/>
        </w:rPr>
        <w:t>s</w:t>
      </w:r>
      <w:r w:rsidRPr="00AA3023">
        <w:rPr>
          <w:rFonts w:eastAsia="Times New Roman" w:cstheme="minorHAnsi"/>
          <w:color w:val="000000"/>
        </w:rPr>
        <w:t xml:space="preserve"> and note taking prior to the start of data collection. The secondary interviewer will take near-verbatim notes of the interview. After each interview, it will be transcribed based on the audio recording. The primary interviewer will review clean transcript for accuracy. </w:t>
      </w:r>
    </w:p>
    <w:p w:rsidR="00983CEC" w:rsidP="00D250CC" w14:paraId="4E5F3B0A" w14:textId="77777777">
      <w:pPr>
        <w:autoSpaceDE w:val="0"/>
        <w:autoSpaceDN w:val="0"/>
        <w:adjustRightInd w:val="0"/>
        <w:spacing w:after="0" w:line="240" w:lineRule="auto"/>
        <w:rPr>
          <w:rFonts w:eastAsia="Times New Roman" w:cstheme="minorHAnsi"/>
          <w:color w:val="000000"/>
        </w:rPr>
      </w:pPr>
    </w:p>
    <w:p w:rsidR="00D01C24" w:rsidRPr="001A59B6" w:rsidP="00D250CC" w14:paraId="32709149" w14:textId="77777777">
      <w:pPr>
        <w:autoSpaceDE w:val="0"/>
        <w:autoSpaceDN w:val="0"/>
        <w:adjustRightInd w:val="0"/>
        <w:spacing w:after="0" w:line="240" w:lineRule="auto"/>
        <w:rPr>
          <w:rFonts w:eastAsia="Times New Roman" w:cstheme="minorHAnsi"/>
          <w:color w:val="000000"/>
        </w:rPr>
      </w:pPr>
    </w:p>
    <w:p w:rsidR="00A42C71" w:rsidRPr="001A59B6" w:rsidP="00D250CC" w14:paraId="040C23CA" w14:textId="77777777">
      <w:pPr>
        <w:autoSpaceDE w:val="0"/>
        <w:autoSpaceDN w:val="0"/>
        <w:adjustRightInd w:val="0"/>
        <w:spacing w:after="120" w:line="240" w:lineRule="auto"/>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00A42C71" w:rsidRPr="001A59B6" w:rsidP="00D250CC" w14:paraId="60C5A7FD" w14:textId="77777777">
      <w:pPr>
        <w:autoSpaceDE w:val="0"/>
        <w:autoSpaceDN w:val="0"/>
        <w:adjustRightInd w:val="0"/>
        <w:spacing w:after="60" w:line="240" w:lineRule="auto"/>
        <w:rPr>
          <w:rFonts w:eastAsia="Times New Roman" w:cstheme="minorHAnsi"/>
          <w:i/>
          <w:color w:val="000000"/>
        </w:rPr>
      </w:pPr>
      <w:r w:rsidRPr="001A59B6">
        <w:rPr>
          <w:rFonts w:eastAsia="Times New Roman" w:cstheme="minorHAnsi"/>
          <w:i/>
          <w:color w:val="000000"/>
        </w:rPr>
        <w:t>Response Rates</w:t>
      </w:r>
    </w:p>
    <w:p w:rsidR="00E80FC0" w:rsidP="00E80FC0" w14:paraId="0ED1BD86" w14:textId="5614E809">
      <w:pPr>
        <w:autoSpaceDE w:val="0"/>
        <w:autoSpaceDN w:val="0"/>
        <w:adjustRightInd w:val="0"/>
        <w:spacing w:after="0" w:line="240" w:lineRule="auto"/>
        <w:rPr>
          <w:rFonts w:eastAsia="Times New Roman" w:cstheme="minorHAnsi"/>
          <w:color w:val="000000"/>
        </w:rPr>
      </w:pPr>
      <w:r w:rsidRPr="00AA3023">
        <w:rPr>
          <w:rFonts w:eastAsia="Times New Roman" w:cstheme="minorHAnsi"/>
          <w:color w:val="000000"/>
        </w:rPr>
        <w:t xml:space="preserve">The interviews are not designed to produce statistically generalizable findings, and participation is wholly at the respondent’s discretion.  </w:t>
      </w:r>
      <w:r>
        <w:rPr>
          <w:rFonts w:eastAsia="Times New Roman" w:cstheme="minorHAnsi"/>
          <w:color w:val="000000"/>
        </w:rPr>
        <w:t>Interview r</w:t>
      </w:r>
      <w:r w:rsidRPr="00AA3023">
        <w:rPr>
          <w:rFonts w:eastAsia="Times New Roman" w:cstheme="minorHAnsi"/>
          <w:color w:val="000000"/>
        </w:rPr>
        <w:t>esponse rates will not be calculated or reported.</w:t>
      </w:r>
    </w:p>
    <w:p w:rsidR="00E80FC0" w:rsidRPr="00AA3023" w:rsidP="00E80FC0" w14:paraId="00DAF1DC" w14:textId="77777777">
      <w:pPr>
        <w:autoSpaceDE w:val="0"/>
        <w:autoSpaceDN w:val="0"/>
        <w:adjustRightInd w:val="0"/>
        <w:spacing w:after="0" w:line="240" w:lineRule="auto"/>
        <w:rPr>
          <w:rFonts w:eastAsia="Times New Roman" w:cstheme="minorHAnsi"/>
          <w:color w:val="000000"/>
        </w:rPr>
      </w:pPr>
    </w:p>
    <w:p w:rsidR="00024D4E" w:rsidRPr="001A59B6" w:rsidP="00D250CC" w14:paraId="0BC6BA8E" w14:textId="712EEC7D">
      <w:pPr>
        <w:autoSpaceDE w:val="0"/>
        <w:autoSpaceDN w:val="0"/>
        <w:adjustRightInd w:val="0"/>
        <w:spacing w:after="0" w:line="240" w:lineRule="auto"/>
        <w:rPr>
          <w:rFonts w:eastAsia="Times New Roman" w:cstheme="minorHAnsi"/>
          <w:color w:val="000000"/>
        </w:rPr>
      </w:pPr>
      <w:r>
        <w:rPr>
          <w:rFonts w:eastAsia="Times New Roman" w:cstheme="minorHAnsi"/>
          <w:color w:val="000000"/>
        </w:rPr>
        <w:t xml:space="preserve">Based on recent similar surveys conducted with </w:t>
      </w:r>
      <w:r w:rsidRPr="00036A4A">
        <w:rPr>
          <w:rFonts w:eastAsia="Times New Roman" w:cstheme="minorHAnsi"/>
          <w:color w:val="000000"/>
        </w:rPr>
        <w:t>program implementers</w:t>
      </w:r>
      <w:r w:rsidR="00305969">
        <w:rPr>
          <w:rFonts w:eastAsia="Times New Roman" w:cstheme="minorHAnsi"/>
          <w:color w:val="000000"/>
        </w:rPr>
        <w:t xml:space="preserve"> and victim services providers</w:t>
      </w:r>
      <w:r w:rsidR="00DF2516">
        <w:rPr>
          <w:rFonts w:eastAsia="Times New Roman" w:cstheme="minorHAnsi"/>
          <w:color w:val="000000"/>
        </w:rPr>
        <w:t xml:space="preserve"> (Feeney et. al., 2023; RTI International, 2023; Yu, Hendrix and </w:t>
      </w:r>
      <w:r w:rsidRPr="00B860A7" w:rsidR="00DF2516">
        <w:t>Rinderle</w:t>
      </w:r>
      <w:r w:rsidR="00DF2516">
        <w:t>, 2024),</w:t>
      </w:r>
      <w:r>
        <w:rPr>
          <w:rFonts w:eastAsia="Times New Roman" w:cstheme="minorHAnsi"/>
          <w:color w:val="000000"/>
        </w:rPr>
        <w:t xml:space="preserve"> RTI estimates a </w:t>
      </w:r>
      <w:r w:rsidR="00305969">
        <w:rPr>
          <w:rFonts w:eastAsia="Times New Roman" w:cstheme="minorHAnsi"/>
          <w:color w:val="000000"/>
        </w:rPr>
        <w:t>4</w:t>
      </w:r>
      <w:r w:rsidR="00457640">
        <w:rPr>
          <w:rFonts w:eastAsia="Times New Roman" w:cstheme="minorHAnsi"/>
          <w:color w:val="000000"/>
        </w:rPr>
        <w:t>5</w:t>
      </w:r>
      <w:r>
        <w:rPr>
          <w:rFonts w:eastAsia="Times New Roman" w:cstheme="minorHAnsi"/>
          <w:color w:val="000000"/>
        </w:rPr>
        <w:t xml:space="preserve">% response rate for surveys. </w:t>
      </w:r>
    </w:p>
    <w:p w:rsidR="00A42C71" w:rsidRPr="001A59B6" w:rsidP="00D250CC" w14:paraId="1374A59C" w14:textId="77777777">
      <w:pPr>
        <w:autoSpaceDE w:val="0"/>
        <w:autoSpaceDN w:val="0"/>
        <w:adjustRightInd w:val="0"/>
        <w:spacing w:after="0" w:line="240" w:lineRule="auto"/>
        <w:rPr>
          <w:rFonts w:eastAsia="Times New Roman" w:cstheme="minorHAnsi"/>
          <w:color w:val="000000"/>
        </w:rPr>
      </w:pPr>
    </w:p>
    <w:p w:rsidR="00A42C71" w:rsidP="00D250CC" w14:paraId="7D020F8F" w14:textId="77777777">
      <w:pPr>
        <w:autoSpaceDE w:val="0"/>
        <w:autoSpaceDN w:val="0"/>
        <w:adjustRightInd w:val="0"/>
        <w:spacing w:after="60" w:line="240" w:lineRule="auto"/>
        <w:rPr>
          <w:rFonts w:eastAsia="Times New Roman" w:cstheme="minorHAnsi"/>
          <w:i/>
          <w:color w:val="000000"/>
        </w:rPr>
      </w:pPr>
      <w:r w:rsidRPr="001A59B6">
        <w:rPr>
          <w:rFonts w:eastAsia="Times New Roman" w:cstheme="minorHAnsi"/>
          <w:i/>
          <w:color w:val="000000"/>
        </w:rPr>
        <w:t>NonResponse</w:t>
      </w:r>
    </w:p>
    <w:p w:rsidR="00B860A7" w:rsidRPr="007508D9" w:rsidP="007508D9" w14:paraId="33EB6539" w14:textId="65D60EF8">
      <w:pPr>
        <w:spacing w:line="240" w:lineRule="auto"/>
        <w:rPr>
          <w:rFonts w:eastAsia="Times New Roman" w:cstheme="minorHAnsi"/>
          <w:iCs/>
          <w:color w:val="000000"/>
        </w:rPr>
      </w:pPr>
      <w:r w:rsidRPr="000A0F14">
        <w:rPr>
          <w:rFonts w:eastAsia="Times New Roman" w:cstheme="minorHAnsi"/>
          <w:iCs/>
          <w:color w:val="000000"/>
        </w:rPr>
        <w:t xml:space="preserve">As participants will not be randomly sampled and findings are not intended to be representative, non-response bias will not be calculated. </w:t>
      </w:r>
      <w:r w:rsidR="00F967D8">
        <w:rPr>
          <w:rFonts w:eastAsia="Times New Roman" w:cstheme="minorHAnsi"/>
          <w:iCs/>
          <w:color w:val="000000"/>
        </w:rPr>
        <w:t>When available, r</w:t>
      </w:r>
      <w:r w:rsidRPr="00F967D8" w:rsidR="00F967D8">
        <w:rPr>
          <w:rFonts w:eastAsia="Times New Roman" w:cstheme="minorHAnsi"/>
          <w:iCs/>
          <w:color w:val="000000"/>
        </w:rPr>
        <w:t>espondent demographics will be documented and reported in written materials associated with the data collection.</w:t>
      </w:r>
    </w:p>
    <w:p w:rsidR="00A42C71" w:rsidRPr="001A59B6" w:rsidP="00D250CC" w14:paraId="2C017166" w14:textId="77777777">
      <w:pPr>
        <w:autoSpaceDE w:val="0"/>
        <w:autoSpaceDN w:val="0"/>
        <w:adjustRightInd w:val="0"/>
        <w:spacing w:after="0" w:line="240" w:lineRule="auto"/>
        <w:rPr>
          <w:rFonts w:eastAsia="Times New Roman" w:cstheme="minorHAnsi"/>
          <w:b/>
          <w:bCs/>
          <w:color w:val="000000"/>
        </w:rPr>
      </w:pPr>
    </w:p>
    <w:p w:rsidR="00A42C71" w:rsidRPr="001A59B6" w:rsidP="0063765D" w14:paraId="4E6826E7" w14:textId="77777777">
      <w:pPr>
        <w:spacing w:after="120" w:line="240" w:lineRule="auto"/>
        <w:rPr>
          <w:rFonts w:eastAsia="Times New Roman" w:cstheme="minorHAnsi"/>
        </w:rPr>
      </w:pPr>
      <w:r w:rsidRPr="001A59B6">
        <w:rPr>
          <w:rFonts w:eastAsia="Times New Roman" w:cstheme="minorHAnsi"/>
          <w:b/>
          <w:bCs/>
        </w:rPr>
        <w:t>B6.   Production of Estimates and Projections</w:t>
      </w:r>
      <w:r w:rsidRPr="001A59B6">
        <w:rPr>
          <w:rFonts w:eastAsia="Times New Roman" w:cstheme="minorHAnsi"/>
        </w:rPr>
        <w:t xml:space="preserve"> </w:t>
      </w:r>
    </w:p>
    <w:p w:rsidR="00A42C71" w:rsidRPr="001A59B6" w:rsidP="0063765D" w14:paraId="54D795CB" w14:textId="774D7D30">
      <w:pPr>
        <w:spacing w:after="0" w:line="240" w:lineRule="auto"/>
        <w:rPr>
          <w:rFonts w:eastAsia="Times New Roman" w:cstheme="minorHAnsi"/>
        </w:rPr>
      </w:pPr>
      <w:r w:rsidRPr="00024D4E">
        <w:rPr>
          <w:rFonts w:eastAsia="Times New Roman" w:cstheme="minorHAnsi"/>
        </w:rPr>
        <w:t>The data will not be used to generate population estimates, either for internal use or dissemination.</w:t>
      </w:r>
    </w:p>
    <w:p w:rsidR="00A42C71" w:rsidRPr="001A59B6" w:rsidP="0063765D" w14:paraId="6D9A7ABD" w14:textId="77777777">
      <w:pPr>
        <w:spacing w:after="0" w:line="240" w:lineRule="auto"/>
        <w:rPr>
          <w:rFonts w:eastAsia="Times New Roman" w:cstheme="minorHAnsi"/>
        </w:rPr>
      </w:pPr>
    </w:p>
    <w:p w:rsidR="00305969" w:rsidP="00305969" w14:paraId="10A44A4E" w14:textId="77777777">
      <w:pPr>
        <w:autoSpaceDE w:val="0"/>
        <w:autoSpaceDN w:val="0"/>
        <w:adjustRightInd w:val="0"/>
        <w:spacing w:after="120" w:line="240" w:lineRule="auto"/>
        <w:rPr>
          <w:rFonts w:eastAsia="Times New Roman" w:cstheme="minorHAnsi"/>
          <w:b/>
          <w:bCs/>
          <w:color w:val="000000"/>
        </w:rPr>
      </w:pPr>
    </w:p>
    <w:p w:rsidR="00A42C71" w:rsidRPr="001A59B6" w:rsidP="00305969" w14:paraId="5A639760" w14:textId="01435F1B">
      <w:pPr>
        <w:autoSpaceDE w:val="0"/>
        <w:autoSpaceDN w:val="0"/>
        <w:adjustRightInd w:val="0"/>
        <w:spacing w:after="120" w:line="240" w:lineRule="auto"/>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00A42C71" w:rsidRPr="001A59B6" w:rsidP="00305969" w14:paraId="39B31B50" w14:textId="77777777">
      <w:pPr>
        <w:autoSpaceDE w:val="0"/>
        <w:autoSpaceDN w:val="0"/>
        <w:adjustRightInd w:val="0"/>
        <w:spacing w:after="60" w:line="240" w:lineRule="auto"/>
        <w:rPr>
          <w:rFonts w:eastAsia="Times New Roman" w:cstheme="minorHAnsi"/>
          <w:bCs/>
          <w:i/>
          <w:color w:val="000000"/>
        </w:rPr>
      </w:pPr>
      <w:r w:rsidRPr="001A59B6">
        <w:rPr>
          <w:rFonts w:eastAsia="Times New Roman" w:cstheme="minorHAnsi"/>
          <w:bCs/>
          <w:i/>
          <w:color w:val="000000"/>
        </w:rPr>
        <w:t>Data Handling</w:t>
      </w:r>
    </w:p>
    <w:p w:rsidR="00504B71" w:rsidRPr="00504B71" w:rsidP="00305969" w14:paraId="13094CAD" w14:textId="5C1CE2A7">
      <w:pPr>
        <w:autoSpaceDE w:val="0"/>
        <w:autoSpaceDN w:val="0"/>
        <w:adjustRightInd w:val="0"/>
        <w:spacing w:after="0" w:line="240" w:lineRule="auto"/>
        <w:rPr>
          <w:rFonts w:eastAsia="Times New Roman" w:cstheme="minorHAnsi"/>
          <w:color w:val="000000"/>
          <w:u w:val="single"/>
        </w:rPr>
      </w:pPr>
      <w:r w:rsidRPr="00504B71">
        <w:rPr>
          <w:rFonts w:eastAsia="Times New Roman" w:cstheme="minorHAnsi"/>
          <w:color w:val="000000"/>
          <w:u w:val="single"/>
        </w:rPr>
        <w:t>Interviews</w:t>
      </w:r>
    </w:p>
    <w:p w:rsidR="00504B71" w:rsidP="00305969" w14:paraId="75B01639" w14:textId="0B25B400">
      <w:pPr>
        <w:autoSpaceDE w:val="0"/>
        <w:autoSpaceDN w:val="0"/>
        <w:adjustRightInd w:val="0"/>
        <w:spacing w:after="0" w:line="240" w:lineRule="auto"/>
        <w:rPr>
          <w:rFonts w:eastAsia="Times New Roman" w:cstheme="minorHAnsi"/>
          <w:bCs/>
          <w:color w:val="000000"/>
        </w:rPr>
      </w:pPr>
      <w:r w:rsidRPr="00DC428F">
        <w:rPr>
          <w:rFonts w:eastAsia="Times New Roman" w:cstheme="minorHAnsi"/>
          <w:color w:val="000000"/>
        </w:rPr>
        <w:t xml:space="preserve">All interviewers will complete </w:t>
      </w:r>
      <w:r w:rsidRPr="00DC428F">
        <w:rPr>
          <w:rFonts w:eastAsia="Times New Roman" w:cstheme="minorHAnsi"/>
          <w:color w:val="000000"/>
        </w:rPr>
        <w:t>a training</w:t>
      </w:r>
      <w:r w:rsidRPr="00DC428F">
        <w:rPr>
          <w:rFonts w:eastAsia="Times New Roman" w:cstheme="minorHAnsi"/>
          <w:color w:val="000000"/>
        </w:rPr>
        <w:t xml:space="preserve"> on interview protocol</w:t>
      </w:r>
      <w:r w:rsidR="00821725">
        <w:rPr>
          <w:rFonts w:eastAsia="Times New Roman" w:cstheme="minorHAnsi"/>
          <w:color w:val="000000"/>
        </w:rPr>
        <w:t>s</w:t>
      </w:r>
      <w:r w:rsidRPr="00DC428F">
        <w:rPr>
          <w:rFonts w:eastAsia="Times New Roman" w:cstheme="minorHAnsi"/>
          <w:color w:val="000000"/>
        </w:rPr>
        <w:t xml:space="preserve"> and note taking prior to the start of data collection. The secondary interviewer will take near-verbatim notes of the interview. After each </w:t>
      </w:r>
      <w:r w:rsidRPr="00DC428F">
        <w:rPr>
          <w:rFonts w:eastAsia="Times New Roman" w:cstheme="minorHAnsi"/>
          <w:color w:val="000000"/>
        </w:rPr>
        <w:t>interview, the secondary interviewer will clean their notes using the audio recording as backup and confirmation.</w:t>
      </w:r>
    </w:p>
    <w:p w:rsidR="00504B71" w:rsidP="00305969" w14:paraId="737A415C" w14:textId="77777777">
      <w:pPr>
        <w:autoSpaceDE w:val="0"/>
        <w:autoSpaceDN w:val="0"/>
        <w:adjustRightInd w:val="0"/>
        <w:spacing w:after="0" w:line="240" w:lineRule="auto"/>
        <w:rPr>
          <w:rFonts w:eastAsia="Times New Roman" w:cstheme="minorHAnsi"/>
          <w:bCs/>
          <w:color w:val="000000"/>
        </w:rPr>
      </w:pPr>
    </w:p>
    <w:p w:rsidR="00024D4E" w:rsidP="00305969" w14:paraId="0674F5E6" w14:textId="293B3F7B">
      <w:pPr>
        <w:autoSpaceDE w:val="0"/>
        <w:autoSpaceDN w:val="0"/>
        <w:adjustRightInd w:val="0"/>
        <w:spacing w:after="0" w:line="240" w:lineRule="auto"/>
        <w:rPr>
          <w:rFonts w:eastAsia="Times New Roman" w:cstheme="minorHAnsi"/>
          <w:bCs/>
          <w:color w:val="000000"/>
        </w:rPr>
      </w:pPr>
      <w:r w:rsidRPr="009F4230">
        <w:rPr>
          <w:rFonts w:eastAsia="Times New Roman" w:cstheme="minorHAnsi"/>
          <w:bCs/>
          <w:color w:val="000000"/>
        </w:rPr>
        <w:t>Electronic notes and recordings will be transferred nightly from encrypted laptops to RTI’s private network to minimize loss of data</w:t>
      </w:r>
      <w:r w:rsidRPr="00305969">
        <w:rPr>
          <w:rFonts w:eastAsia="Times New Roman" w:cstheme="minorHAnsi"/>
          <w:bCs/>
          <w:color w:val="000000"/>
        </w:rPr>
        <w:t xml:space="preserve">. See section </w:t>
      </w:r>
      <w:r w:rsidRPr="00036A4A">
        <w:rPr>
          <w:rFonts w:eastAsia="Times New Roman" w:cstheme="minorHAnsi"/>
          <w:bCs/>
          <w:i/>
          <w:iCs/>
          <w:color w:val="000000"/>
        </w:rPr>
        <w:t xml:space="preserve">A10 of </w:t>
      </w:r>
      <w:r w:rsidR="003047D7">
        <w:rPr>
          <w:rFonts w:eastAsia="Times New Roman" w:cstheme="minorHAnsi"/>
          <w:bCs/>
          <w:i/>
          <w:iCs/>
          <w:color w:val="000000"/>
        </w:rPr>
        <w:t>SSA</w:t>
      </w:r>
      <w:r w:rsidRPr="00305969">
        <w:rPr>
          <w:rFonts w:eastAsia="Times New Roman" w:cstheme="minorHAnsi"/>
          <w:bCs/>
          <w:color w:val="000000"/>
        </w:rPr>
        <w:t xml:space="preserve"> under </w:t>
      </w:r>
      <w:r w:rsidRPr="00036A4A">
        <w:rPr>
          <w:rFonts w:eastAsia="Times New Roman" w:cstheme="minorHAnsi"/>
          <w:bCs/>
          <w:i/>
          <w:iCs/>
          <w:color w:val="000000"/>
        </w:rPr>
        <w:t>Data Security and Monitoring</w:t>
      </w:r>
      <w:r w:rsidRPr="00305969">
        <w:rPr>
          <w:rFonts w:eastAsia="Times New Roman" w:cstheme="minorHAnsi"/>
          <w:bCs/>
          <w:color w:val="000000"/>
        </w:rPr>
        <w:t xml:space="preserve"> for information regarding data security.</w:t>
      </w:r>
      <w:r w:rsidRPr="009F4230">
        <w:rPr>
          <w:rFonts w:eastAsia="Times New Roman" w:cstheme="minorHAnsi"/>
          <w:bCs/>
          <w:color w:val="000000"/>
        </w:rPr>
        <w:t xml:space="preserve"> </w:t>
      </w:r>
    </w:p>
    <w:p w:rsidR="00024D4E" w:rsidP="00305969" w14:paraId="5FCF3DA3" w14:textId="384EF24A">
      <w:pPr>
        <w:autoSpaceDE w:val="0"/>
        <w:autoSpaceDN w:val="0"/>
        <w:adjustRightInd w:val="0"/>
        <w:spacing w:after="0" w:line="240" w:lineRule="auto"/>
        <w:rPr>
          <w:rFonts w:eastAsia="Times New Roman" w:cstheme="minorHAnsi"/>
          <w:bCs/>
          <w:color w:val="000000"/>
        </w:rPr>
      </w:pPr>
      <w:r>
        <w:rPr>
          <w:rFonts w:eastAsia="Times New Roman" w:cstheme="minorHAnsi"/>
          <w:bCs/>
          <w:color w:val="000000"/>
        </w:rPr>
        <w:br/>
      </w:r>
      <w:r w:rsidRPr="00E44CDF" w:rsidR="00504B71">
        <w:rPr>
          <w:rFonts w:eastAsia="Times New Roman" w:cstheme="minorHAnsi"/>
          <w:bCs/>
          <w:color w:val="000000"/>
        </w:rPr>
        <w:t xml:space="preserve">For approaches to </w:t>
      </w:r>
      <w:r w:rsidRPr="00E44CDF" w:rsidR="00504B71">
        <w:rPr>
          <w:rFonts w:eastAsia="Times New Roman" w:cstheme="minorHAnsi"/>
          <w:bCs/>
          <w:color w:val="000000"/>
        </w:rPr>
        <w:t>minimize</w:t>
      </w:r>
      <w:r w:rsidRPr="00E44CDF" w:rsidR="00504B71">
        <w:rPr>
          <w:rFonts w:eastAsia="Times New Roman" w:cstheme="minorHAnsi"/>
          <w:bCs/>
          <w:color w:val="000000"/>
        </w:rPr>
        <w:t xml:space="preserve"> errors in coding, please see the following subsection, </w:t>
      </w:r>
      <w:r w:rsidRPr="00036A4A" w:rsidR="00504B71">
        <w:rPr>
          <w:rFonts w:eastAsia="Times New Roman" w:cstheme="minorHAnsi"/>
          <w:bCs/>
          <w:i/>
          <w:iCs/>
          <w:color w:val="000000"/>
        </w:rPr>
        <w:t>Data Analysis</w:t>
      </w:r>
      <w:r w:rsidRPr="00E44CDF" w:rsidR="00504B71">
        <w:rPr>
          <w:rFonts w:eastAsia="Times New Roman" w:cstheme="minorHAnsi"/>
          <w:bCs/>
          <w:color w:val="000000"/>
        </w:rPr>
        <w:t>.</w:t>
      </w:r>
    </w:p>
    <w:p w:rsidR="00A42C71" w:rsidP="00305969" w14:paraId="272B92F2" w14:textId="77777777">
      <w:pPr>
        <w:autoSpaceDE w:val="0"/>
        <w:autoSpaceDN w:val="0"/>
        <w:adjustRightInd w:val="0"/>
        <w:spacing w:after="0" w:line="240" w:lineRule="auto"/>
        <w:rPr>
          <w:rFonts w:eastAsia="Times New Roman" w:cstheme="minorHAnsi"/>
          <w:bCs/>
          <w:color w:val="000000"/>
        </w:rPr>
      </w:pPr>
    </w:p>
    <w:p w:rsidR="00504B71" w:rsidRPr="00504B71" w:rsidP="00305969" w14:paraId="5E41F583" w14:textId="4CB333AA">
      <w:pPr>
        <w:autoSpaceDE w:val="0"/>
        <w:autoSpaceDN w:val="0"/>
        <w:adjustRightInd w:val="0"/>
        <w:spacing w:after="0" w:line="240" w:lineRule="auto"/>
        <w:rPr>
          <w:rFonts w:eastAsia="Times New Roman" w:cstheme="minorHAnsi"/>
          <w:bCs/>
          <w:color w:val="000000"/>
          <w:u w:val="single"/>
        </w:rPr>
      </w:pPr>
      <w:r w:rsidRPr="00504B71">
        <w:rPr>
          <w:rFonts w:eastAsia="Times New Roman" w:cstheme="minorHAnsi"/>
          <w:bCs/>
          <w:color w:val="000000"/>
          <w:u w:val="single"/>
        </w:rPr>
        <w:t>Survey</w:t>
      </w:r>
    </w:p>
    <w:p w:rsidR="00504B71" w:rsidRPr="00930C59" w:rsidP="00305969" w14:paraId="373F85B3" w14:textId="2D5DC828">
      <w:pPr>
        <w:autoSpaceDE w:val="0"/>
        <w:autoSpaceDN w:val="0"/>
        <w:adjustRightInd w:val="0"/>
        <w:spacing w:after="0" w:line="240" w:lineRule="auto"/>
        <w:rPr>
          <w:rFonts w:eastAsia="Times New Roman" w:cstheme="minorHAnsi"/>
          <w:bCs/>
          <w:iCs/>
          <w:color w:val="000000"/>
        </w:rPr>
      </w:pPr>
      <w:r>
        <w:rPr>
          <w:rFonts w:eastAsia="Times New Roman" w:cstheme="minorHAnsi"/>
          <w:bCs/>
          <w:iCs/>
          <w:color w:val="000000"/>
        </w:rPr>
        <w:t>RTI staff will thoroughly test the instruments to ensure that the surveys are programmed into the web-</w:t>
      </w:r>
      <w:r w:rsidR="002D0262">
        <w:rPr>
          <w:rFonts w:eastAsia="Times New Roman" w:cstheme="minorHAnsi"/>
          <w:bCs/>
          <w:iCs/>
          <w:color w:val="000000"/>
        </w:rPr>
        <w:t xml:space="preserve">based </w:t>
      </w:r>
      <w:r>
        <w:rPr>
          <w:rFonts w:eastAsia="Times New Roman" w:cstheme="minorHAnsi"/>
          <w:bCs/>
          <w:iCs/>
          <w:color w:val="000000"/>
        </w:rPr>
        <w:t>survey accurately and in a manner that minimizes error. This includes automated and manual checks on the programming of each system to ensure that skip patterns are properly programmed, and response options are within allowable ranges.</w:t>
      </w:r>
      <w:r>
        <w:rPr>
          <w:rFonts w:eastAsia="Times New Roman" w:cstheme="minorHAnsi"/>
          <w:color w:val="000000"/>
        </w:rPr>
        <w:t xml:space="preserve"> </w:t>
      </w:r>
      <w:r>
        <w:t>RTI</w:t>
      </w:r>
      <w:r w:rsidRPr="00C14902">
        <w:t xml:space="preserve"> staff will attempt to test all possible response categories for each question </w:t>
      </w:r>
      <w:r w:rsidRPr="00C14902">
        <w:t>in order to</w:t>
      </w:r>
      <w:r w:rsidRPr="00C14902">
        <w:t xml:space="preserve"> identify embedded logic errors, as well as obvious skip problems. Several analysts may test the program simultaneously to identify problems quickly, and to double check the comprehensiveness of the testing.</w:t>
      </w:r>
    </w:p>
    <w:p w:rsidR="00A42C71" w:rsidRPr="001A59B6" w:rsidP="00305969" w14:paraId="1F57B3E9" w14:textId="77777777">
      <w:pPr>
        <w:autoSpaceDE w:val="0"/>
        <w:autoSpaceDN w:val="0"/>
        <w:adjustRightInd w:val="0"/>
        <w:spacing w:after="0" w:line="240" w:lineRule="auto"/>
        <w:rPr>
          <w:rFonts w:eastAsia="Times New Roman" w:cstheme="minorHAnsi"/>
          <w:bCs/>
          <w:color w:val="000000"/>
        </w:rPr>
      </w:pPr>
    </w:p>
    <w:p w:rsidR="00A42C71" w:rsidRPr="007C1CDB" w:rsidP="007C1CDB" w14:paraId="7621D8EE" w14:textId="77B60533">
      <w:pPr>
        <w:autoSpaceDE w:val="0"/>
        <w:autoSpaceDN w:val="0"/>
        <w:adjustRightInd w:val="0"/>
        <w:spacing w:after="60" w:line="240" w:lineRule="auto"/>
        <w:rPr>
          <w:rFonts w:eastAsia="Times New Roman" w:cstheme="minorHAnsi"/>
          <w:bCs/>
          <w:i/>
          <w:color w:val="000000"/>
        </w:rPr>
      </w:pPr>
      <w:r w:rsidRPr="001A59B6">
        <w:rPr>
          <w:rFonts w:eastAsia="Times New Roman" w:cstheme="minorHAnsi"/>
          <w:bCs/>
          <w:i/>
          <w:color w:val="000000"/>
        </w:rPr>
        <w:t>Data Analysis</w:t>
      </w:r>
    </w:p>
    <w:p w:rsidR="00504B71" w:rsidRPr="00504B71" w:rsidP="00305969" w14:paraId="4B2A8F1B" w14:textId="17A6806D">
      <w:pPr>
        <w:autoSpaceDE w:val="0"/>
        <w:autoSpaceDN w:val="0"/>
        <w:adjustRightInd w:val="0"/>
        <w:spacing w:after="0" w:line="240" w:lineRule="auto"/>
        <w:rPr>
          <w:rFonts w:eastAsia="Times New Roman" w:cstheme="minorHAnsi"/>
          <w:bCs/>
          <w:color w:val="000000"/>
          <w:u w:val="single"/>
        </w:rPr>
      </w:pPr>
      <w:r w:rsidRPr="00504B71">
        <w:rPr>
          <w:rFonts w:eastAsia="Times New Roman" w:cstheme="minorHAnsi"/>
          <w:bCs/>
          <w:color w:val="000000"/>
          <w:u w:val="single"/>
        </w:rPr>
        <w:t xml:space="preserve">Interviews </w:t>
      </w:r>
    </w:p>
    <w:p w:rsidR="00024D4E" w:rsidRPr="00B91364" w:rsidP="00305969" w14:paraId="1BDAC4C1" w14:textId="262FB2CC">
      <w:pPr>
        <w:autoSpaceDE w:val="0"/>
        <w:autoSpaceDN w:val="0"/>
        <w:adjustRightInd w:val="0"/>
        <w:spacing w:after="0" w:line="240" w:lineRule="auto"/>
        <w:contextualSpacing/>
      </w:pPr>
      <w:r w:rsidRPr="00B91364">
        <w:t>Analysis of qualitative data will begin with the development of deductive codes</w:t>
      </w:r>
      <w:r>
        <w:t xml:space="preserve"> and codebook</w:t>
      </w:r>
      <w:r w:rsidR="00545787">
        <w:t>s</w:t>
      </w:r>
      <w:r w:rsidRPr="00B91364">
        <w:t>, which will represent topics addressed within the interview guides. Two team members will each separately code a sample of interview notes</w:t>
      </w:r>
      <w:r>
        <w:t>, identify unanticipated but salient topics and themes,</w:t>
      </w:r>
      <w:r w:rsidRPr="00B91364">
        <w:t xml:space="preserve"> and compare their coding decisions to identify any possible ambiguities that require clarification before coding proceeds. As coding proceeds, the team will </w:t>
      </w:r>
      <w:r w:rsidR="003B4CC4">
        <w:t>extract</w:t>
      </w:r>
      <w:r w:rsidRPr="00B91364">
        <w:t xml:space="preserve"> information from the notes into the database and review </w:t>
      </w:r>
      <w:r>
        <w:t>new</w:t>
      </w:r>
      <w:r w:rsidRPr="00B91364">
        <w:t xml:space="preserve"> inductive codes </w:t>
      </w:r>
      <w:r>
        <w:t>that might</w:t>
      </w:r>
      <w:r w:rsidRPr="00B91364">
        <w:t xml:space="preserve"> merit inclusion in the existing coding structure. </w:t>
      </w:r>
      <w:r>
        <w:t>Any</w:t>
      </w:r>
      <w:r w:rsidRPr="00B91364">
        <w:t xml:space="preserve"> inductive codes will be added to the database and populated with data as they are identified during review. Following completion of deductive coding of all interview notes, the notes will be reviewed to identify additional instances to which the inductive codes might apply. This method has been widely used by RTI researchers in situations requiring cost-efficient handling of qualitative data. RTI will then prepare matrices that summarize themes across </w:t>
      </w:r>
      <w:r w:rsidR="00504B71">
        <w:t>regions</w:t>
      </w:r>
      <w:r w:rsidRPr="00B91364">
        <w:t xml:space="preserve"> or by types of respondents to develop a broad perspective of potential patterns. In addition, they will triangulate data by comparing qualitative data from different </w:t>
      </w:r>
      <w:r w:rsidR="00504B71">
        <w:t>regions</w:t>
      </w:r>
      <w:r w:rsidRPr="00B91364">
        <w:t xml:space="preserve"> and respondents.</w:t>
      </w:r>
    </w:p>
    <w:p w:rsidR="00A42C71" w:rsidP="00305969" w14:paraId="0B8C1089" w14:textId="77777777">
      <w:pPr>
        <w:autoSpaceDE w:val="0"/>
        <w:autoSpaceDN w:val="0"/>
        <w:adjustRightInd w:val="0"/>
        <w:spacing w:after="0" w:line="240" w:lineRule="auto"/>
        <w:rPr>
          <w:rFonts w:eastAsia="Times New Roman" w:cstheme="minorHAnsi"/>
          <w:bCs/>
          <w:color w:val="000000"/>
        </w:rPr>
      </w:pPr>
    </w:p>
    <w:p w:rsidR="00504B71" w:rsidRPr="0040729D" w:rsidP="00305969" w14:paraId="4653FFB9" w14:textId="6443A067">
      <w:pPr>
        <w:autoSpaceDE w:val="0"/>
        <w:autoSpaceDN w:val="0"/>
        <w:adjustRightInd w:val="0"/>
        <w:spacing w:after="0" w:line="240" w:lineRule="auto"/>
        <w:rPr>
          <w:rFonts w:eastAsia="Times New Roman" w:cstheme="minorHAnsi"/>
          <w:bCs/>
          <w:color w:val="000000"/>
          <w:u w:val="single"/>
        </w:rPr>
      </w:pPr>
      <w:r w:rsidRPr="0040729D">
        <w:rPr>
          <w:rFonts w:eastAsia="Times New Roman" w:cstheme="minorHAnsi"/>
          <w:bCs/>
          <w:color w:val="000000"/>
          <w:u w:val="single"/>
        </w:rPr>
        <w:t>Survey</w:t>
      </w:r>
    </w:p>
    <w:p w:rsidR="00504B71" w:rsidP="00305969" w14:paraId="110F703F" w14:textId="56932E46">
      <w:pPr>
        <w:autoSpaceDE w:val="0"/>
        <w:autoSpaceDN w:val="0"/>
        <w:adjustRightInd w:val="0"/>
        <w:spacing w:after="0" w:line="240" w:lineRule="auto"/>
        <w:rPr>
          <w:rFonts w:eastAsia="Times New Roman" w:cstheme="minorHAnsi"/>
          <w:bCs/>
          <w:color w:val="000000"/>
        </w:rPr>
      </w:pPr>
      <w:r>
        <w:rPr>
          <w:rFonts w:eastAsia="Times New Roman" w:cstheme="minorHAnsi"/>
          <w:bCs/>
          <w:color w:val="000000"/>
        </w:rPr>
        <w:t xml:space="preserve">Analysis of survey data will include 3 components: data cleaning and variable creation, descriptive statistics, and analytical models. </w:t>
      </w:r>
    </w:p>
    <w:p w:rsidR="00504B71" w:rsidP="00305969" w14:paraId="1851D1E4" w14:textId="77777777">
      <w:pPr>
        <w:autoSpaceDE w:val="0"/>
        <w:autoSpaceDN w:val="0"/>
        <w:adjustRightInd w:val="0"/>
        <w:spacing w:after="0" w:line="240" w:lineRule="auto"/>
        <w:rPr>
          <w:rFonts w:eastAsia="Times New Roman" w:cstheme="minorHAnsi"/>
          <w:bCs/>
          <w:color w:val="000000"/>
        </w:rPr>
      </w:pPr>
    </w:p>
    <w:p w:rsidR="00504B71" w:rsidP="00305969" w14:paraId="15EDE9BA" w14:textId="60D99CCA">
      <w:pPr>
        <w:autoSpaceDE w:val="0"/>
        <w:autoSpaceDN w:val="0"/>
        <w:adjustRightInd w:val="0"/>
        <w:spacing w:after="0" w:line="240" w:lineRule="auto"/>
        <w:rPr>
          <w:rFonts w:eastAsia="Times New Roman" w:cstheme="minorHAnsi"/>
          <w:bCs/>
          <w:color w:val="000000"/>
        </w:rPr>
      </w:pPr>
      <w:bookmarkStart w:id="5" w:name="_Hlk115700447"/>
      <w:r w:rsidRPr="00610830">
        <w:rPr>
          <w:szCs w:val="24"/>
        </w:rPr>
        <w:t xml:space="preserve">For data cleaning, </w:t>
      </w:r>
      <w:r>
        <w:rPr>
          <w:rFonts w:eastAsia="Times New Roman" w:cstheme="minorHAnsi"/>
          <w:bCs/>
          <w:color w:val="000000"/>
        </w:rPr>
        <w:t>variable and value labels will be attached to all survey items, and variables will be recoded as necessary to prepare for analytical models or to clearly describe the data using descriptive statistics (e.g., collapsing categories, creating dummy variables, creating new variables that represent the sum or combination of multiple items). Factor analysis may be used to describe variability among observed and correlated variables and to create a fewer number of unobserved factors, or latent class analysis may be used to group respondents based on how they answered a series of questions.</w:t>
      </w:r>
    </w:p>
    <w:p w:rsidR="00504B71" w:rsidP="00305969" w14:paraId="632C4C80" w14:textId="77777777">
      <w:pPr>
        <w:autoSpaceDE w:val="0"/>
        <w:autoSpaceDN w:val="0"/>
        <w:adjustRightInd w:val="0"/>
        <w:spacing w:after="0" w:line="240" w:lineRule="auto"/>
        <w:rPr>
          <w:rFonts w:eastAsia="Times New Roman" w:cstheme="minorHAnsi"/>
          <w:bCs/>
          <w:color w:val="000000"/>
        </w:rPr>
      </w:pPr>
    </w:p>
    <w:p w:rsidR="00504B71" w:rsidP="00305969" w14:paraId="357FB2BA" w14:textId="5D2B6990">
      <w:pPr>
        <w:autoSpaceDE w:val="0"/>
        <w:autoSpaceDN w:val="0"/>
        <w:adjustRightInd w:val="0"/>
        <w:spacing w:after="0" w:line="240" w:lineRule="auto"/>
        <w:rPr>
          <w:rFonts w:eastAsia="Times New Roman" w:cstheme="minorHAnsi"/>
          <w:bCs/>
          <w:color w:val="000000"/>
        </w:rPr>
      </w:pPr>
      <w:r>
        <w:rPr>
          <w:rFonts w:eastAsia="Times New Roman" w:cstheme="minorHAnsi"/>
          <w:bCs/>
          <w:color w:val="000000"/>
        </w:rPr>
        <w:t xml:space="preserve">For descriptive statistics, we will present the number of subrecipients represented by the respondents and the average number of respondents per subrecipient and region. We will then present descriptive </w:t>
      </w:r>
      <w:r>
        <w:rPr>
          <w:rFonts w:eastAsia="Times New Roman" w:cstheme="minorHAnsi"/>
          <w:bCs/>
          <w:color w:val="000000"/>
        </w:rPr>
        <w:t>statistics for all survey items, including category percentages for nominal and ordinal variables and means and standard deviations for continuous or interval-level variables.</w:t>
      </w:r>
    </w:p>
    <w:p w:rsidR="00504B71" w:rsidRPr="00504B71" w:rsidP="00305969" w14:paraId="1B00904F" w14:textId="77777777">
      <w:pPr>
        <w:autoSpaceDE w:val="0"/>
        <w:autoSpaceDN w:val="0"/>
        <w:adjustRightInd w:val="0"/>
        <w:spacing w:after="0" w:line="240" w:lineRule="auto"/>
        <w:rPr>
          <w:rFonts w:eastAsia="Times New Roman" w:cstheme="minorHAnsi"/>
          <w:bCs/>
          <w:color w:val="000000"/>
          <w:highlight w:val="yellow"/>
        </w:rPr>
      </w:pPr>
    </w:p>
    <w:p w:rsidR="00504B71" w:rsidP="00305969" w14:paraId="7FACE170" w14:textId="6945778D">
      <w:pPr>
        <w:autoSpaceDE w:val="0"/>
        <w:autoSpaceDN w:val="0"/>
        <w:adjustRightInd w:val="0"/>
        <w:spacing w:after="0" w:line="240" w:lineRule="auto"/>
        <w:rPr>
          <w:rFonts w:eastAsia="Times New Roman" w:cstheme="minorHAnsi"/>
          <w:bCs/>
          <w:color w:val="000000"/>
        </w:rPr>
      </w:pPr>
      <w:r w:rsidRPr="003B4CC4">
        <w:rPr>
          <w:rFonts w:eastAsia="Times New Roman" w:cstheme="minorHAnsi"/>
          <w:bCs/>
          <w:color w:val="000000"/>
        </w:rPr>
        <w:t>We will examine between- and within</w:t>
      </w:r>
      <w:r w:rsidRPr="003B4CC4" w:rsidR="003B4CC4">
        <w:rPr>
          <w:rFonts w:eastAsia="Times New Roman" w:cstheme="minorHAnsi"/>
          <w:bCs/>
          <w:color w:val="000000"/>
        </w:rPr>
        <w:t xml:space="preserve"> region</w:t>
      </w:r>
      <w:r w:rsidRPr="003B4CC4">
        <w:rPr>
          <w:rFonts w:eastAsia="Times New Roman" w:cstheme="minorHAnsi"/>
          <w:bCs/>
          <w:color w:val="000000"/>
        </w:rPr>
        <w:t xml:space="preserve"> variance on outcome measures, intraclass correlation coefficients, and variance partition components to indicate how much variance in the outcome variable is attributed to differences between </w:t>
      </w:r>
      <w:r w:rsidRPr="003B4CC4" w:rsidR="003B4CC4">
        <w:rPr>
          <w:rFonts w:eastAsia="Times New Roman" w:cstheme="minorHAnsi"/>
          <w:bCs/>
          <w:color w:val="000000"/>
        </w:rPr>
        <w:t>regions</w:t>
      </w:r>
      <w:r w:rsidRPr="003B4CC4">
        <w:rPr>
          <w:rFonts w:eastAsia="Times New Roman" w:cstheme="minorHAnsi"/>
          <w:bCs/>
          <w:color w:val="000000"/>
        </w:rPr>
        <w:t xml:space="preserve">. </w:t>
      </w:r>
    </w:p>
    <w:bookmarkEnd w:id="5"/>
    <w:p w:rsidR="00A42C71" w:rsidRPr="001A59B6" w:rsidP="00305969" w14:paraId="17631BBB" w14:textId="77777777">
      <w:pPr>
        <w:autoSpaceDE w:val="0"/>
        <w:autoSpaceDN w:val="0"/>
        <w:adjustRightInd w:val="0"/>
        <w:spacing w:after="0" w:line="240" w:lineRule="auto"/>
        <w:rPr>
          <w:rFonts w:eastAsia="Times New Roman" w:cstheme="minorHAnsi"/>
          <w:bCs/>
          <w:color w:val="000000"/>
        </w:rPr>
      </w:pPr>
    </w:p>
    <w:p w:rsidR="00A42C71" w:rsidRPr="001A59B6" w:rsidP="00305969" w14:paraId="502BA51B" w14:textId="77777777">
      <w:pPr>
        <w:autoSpaceDE w:val="0"/>
        <w:autoSpaceDN w:val="0"/>
        <w:adjustRightInd w:val="0"/>
        <w:spacing w:after="60" w:line="240" w:lineRule="auto"/>
        <w:rPr>
          <w:rFonts w:eastAsia="Times New Roman" w:cstheme="minorHAnsi"/>
          <w:i/>
          <w:color w:val="000000"/>
        </w:rPr>
      </w:pPr>
      <w:r w:rsidRPr="001A59B6">
        <w:rPr>
          <w:rFonts w:eastAsia="Times New Roman" w:cstheme="minorHAnsi"/>
          <w:bCs/>
          <w:i/>
          <w:color w:val="000000"/>
        </w:rPr>
        <w:t>Data Use</w:t>
      </w:r>
    </w:p>
    <w:p w:rsidR="00504B71" w:rsidRPr="002953C5" w:rsidP="00305969" w14:paraId="211DC754" w14:textId="0385E0B2">
      <w:pPr>
        <w:spacing w:after="0" w:line="240" w:lineRule="auto"/>
        <w:rPr>
          <w:rFonts w:eastAsia="Times New Roman" w:cstheme="minorHAnsi"/>
          <w:iCs/>
          <w:color w:val="000000"/>
        </w:rPr>
      </w:pPr>
      <w:r>
        <w:rPr>
          <w:rFonts w:eastAsia="Times New Roman" w:cstheme="minorHAnsi"/>
        </w:rPr>
        <w:t>Dissemination of study findings may include research briefs, summary reports, and peer-reviewed journal manuscripts. Priority audiences for these products will include researchers and policymakers focused on human trafficking, victims service providers</w:t>
      </w:r>
      <w:r w:rsidR="00142387">
        <w:rPr>
          <w:rFonts w:eastAsia="Times New Roman" w:cstheme="minorHAnsi"/>
        </w:rPr>
        <w:t>,</w:t>
      </w:r>
      <w:r>
        <w:rPr>
          <w:rFonts w:eastAsia="Times New Roman" w:cstheme="minorHAnsi"/>
        </w:rPr>
        <w:t xml:space="preserve"> and other service providers concerned with human trafficking. </w:t>
      </w:r>
      <w:r>
        <w:rPr>
          <w:rFonts w:eastAsia="Times New Roman" w:cstheme="minorHAnsi"/>
          <w:iCs/>
          <w:color w:val="000000"/>
        </w:rPr>
        <w:t xml:space="preserve">ACF and </w:t>
      </w:r>
      <w:r>
        <w:rPr>
          <w:rFonts w:eastAsia="Times New Roman" w:cstheme="minorHAnsi"/>
        </w:rPr>
        <w:t xml:space="preserve">RTI are committed to transparency in research. Sharing access to the survey data sets will support further analyses that can inform policy and practice related to trafficking. We will archive the final, </w:t>
      </w:r>
      <w:r>
        <w:rPr>
          <w:rFonts w:eastAsia="Times New Roman" w:cstheme="minorHAnsi"/>
        </w:rPr>
        <w:t>deidentified</w:t>
      </w:r>
      <w:r>
        <w:rPr>
          <w:rFonts w:eastAsia="Times New Roman" w:cstheme="minorHAnsi"/>
        </w:rPr>
        <w:t xml:space="preserve"> survey data sets, likely with </w:t>
      </w:r>
      <w:r w:rsidRPr="009750E4">
        <w:rPr>
          <w:rFonts w:eastAsia="Times New Roman" w:cstheme="minorHAnsi"/>
        </w:rPr>
        <w:t xml:space="preserve">the </w:t>
      </w:r>
      <w:r w:rsidRPr="000E6004" w:rsidR="0040729D">
        <w:t>Inter-university Consortium for Political and Social Research (ICPSR)</w:t>
      </w:r>
      <w:r>
        <w:rPr>
          <w:rFonts w:eastAsia="Times New Roman" w:cstheme="minorHAnsi"/>
        </w:rPr>
        <w:t xml:space="preserve">, following their requirements for ensuring privacy. RTI will prepare supporting materials to contextualize and assist in interpretation of the data and as required by </w:t>
      </w:r>
      <w:r w:rsidR="0040729D">
        <w:rPr>
          <w:rFonts w:eastAsia="Times New Roman" w:cstheme="minorHAnsi"/>
        </w:rPr>
        <w:t>ICPSR</w:t>
      </w:r>
      <w:r>
        <w:rPr>
          <w:rFonts w:eastAsia="Times New Roman" w:cstheme="minorHAnsi"/>
        </w:rPr>
        <w:t xml:space="preserve">, including documentation of </w:t>
      </w:r>
      <w:r w:rsidR="0040729D">
        <w:rPr>
          <w:rFonts w:eastAsia="Times New Roman" w:cstheme="minorHAnsi"/>
        </w:rPr>
        <w:t>the survey instrument, data set, data dictionary, recode and analytical syntax</w:t>
      </w:r>
      <w:r w:rsidR="005C3F38">
        <w:rPr>
          <w:rFonts w:eastAsia="Times New Roman" w:cstheme="minorHAnsi"/>
        </w:rPr>
        <w:t>,</w:t>
      </w:r>
      <w:r w:rsidR="0040729D">
        <w:rPr>
          <w:rFonts w:eastAsia="Times New Roman" w:cstheme="minorHAnsi"/>
        </w:rPr>
        <w:t xml:space="preserve"> and user guide.</w:t>
      </w:r>
      <w:r>
        <w:rPr>
          <w:rFonts w:eastAsia="Times New Roman" w:cstheme="minorHAnsi"/>
        </w:rPr>
        <w:t xml:space="preserve"> Archiving data and supporting information will support future contributions to our understanding of the implementation of services for people who have experienced human trafficking, including analyses by researchers and within other </w:t>
      </w:r>
      <w:r w:rsidR="0040729D">
        <w:rPr>
          <w:rFonts w:eastAsia="Times New Roman" w:cstheme="minorHAnsi"/>
        </w:rPr>
        <w:t>federally funded</w:t>
      </w:r>
      <w:r>
        <w:rPr>
          <w:rFonts w:eastAsia="Times New Roman" w:cstheme="minorHAnsi"/>
        </w:rPr>
        <w:t xml:space="preserve"> studies. </w:t>
      </w:r>
    </w:p>
    <w:p w:rsidR="00A42C71" w:rsidRPr="001A59B6" w:rsidP="0063765D" w14:paraId="3569E449" w14:textId="77777777">
      <w:pPr>
        <w:spacing w:after="0" w:line="240" w:lineRule="auto"/>
        <w:rPr>
          <w:rFonts w:eastAsia="Times New Roman" w:cstheme="minorHAnsi"/>
        </w:rPr>
      </w:pPr>
    </w:p>
    <w:p w:rsidR="00A42C71" w:rsidRPr="001A59B6" w:rsidP="00A42C71" w14:paraId="334FEB50" w14:textId="77777777">
      <w:pPr>
        <w:spacing w:after="0" w:line="240" w:lineRule="auto"/>
        <w:rPr>
          <w:rFonts w:eastAsia="Times New Roman" w:cstheme="minorHAnsi"/>
        </w:rPr>
      </w:pPr>
    </w:p>
    <w:p w:rsidR="00A42C71" w:rsidRPr="001A59B6" w:rsidP="00A42C71" w14:paraId="1C0321C0" w14:textId="1A1E76AA">
      <w:pPr>
        <w:spacing w:after="120" w:line="240" w:lineRule="auto"/>
        <w:rPr>
          <w:rFonts w:eastAsia="Times New Roman" w:cstheme="minorHAnsi"/>
        </w:rPr>
      </w:pPr>
      <w:r w:rsidRPr="001A59B6">
        <w:rPr>
          <w:rFonts w:eastAsia="Times New Roman" w:cstheme="minorHAnsi"/>
          <w:b/>
          <w:bCs/>
        </w:rPr>
        <w:t>B8.  Contact Persons</w:t>
      </w:r>
      <w:r w:rsidRPr="001A59B6">
        <w:rPr>
          <w:rFonts w:eastAsia="Times New Roman" w:cstheme="minorHAnsi"/>
        </w:rPr>
        <w:t xml:space="preserve">  </w:t>
      </w:r>
    </w:p>
    <w:p w:rsidR="00D83204" w:rsidRPr="007371C6" w:rsidP="00D83204" w14:paraId="15A847F8" w14:textId="77777777">
      <w:pPr>
        <w:pStyle w:val="ListParagraph"/>
        <w:spacing w:after="0" w:line="240" w:lineRule="auto"/>
        <w:ind w:left="0"/>
        <w:rPr>
          <w:rFonts w:cstheme="minorHAnsi"/>
          <w:bCs/>
        </w:rPr>
      </w:pPr>
      <w:r w:rsidRPr="007371C6">
        <w:rPr>
          <w:rFonts w:cstheme="minorHAnsi"/>
          <w:bCs/>
        </w:rPr>
        <w:t xml:space="preserve">Mary Mueggenborg </w:t>
      </w:r>
    </w:p>
    <w:p w:rsidR="00D83204" w:rsidRPr="007371C6" w:rsidP="00D83204" w14:paraId="73DDC1E4" w14:textId="77777777">
      <w:pPr>
        <w:spacing w:line="240" w:lineRule="auto"/>
        <w:contextualSpacing/>
        <w:rPr>
          <w:rFonts w:eastAsia="Times New Roman"/>
        </w:rPr>
      </w:pPr>
      <w:r w:rsidRPr="007371C6">
        <w:rPr>
          <w:rFonts w:eastAsia="Times New Roman"/>
        </w:rPr>
        <w:t>Senior Social Science Research Analyst</w:t>
      </w:r>
    </w:p>
    <w:p w:rsidR="00D83204" w:rsidRPr="007371C6" w:rsidP="00D83204" w14:paraId="1D644F00" w14:textId="77777777">
      <w:pPr>
        <w:spacing w:line="240" w:lineRule="auto"/>
        <w:contextualSpacing/>
        <w:rPr>
          <w:rFonts w:eastAsia="Times New Roman"/>
        </w:rPr>
      </w:pPr>
      <w:r w:rsidRPr="007371C6">
        <w:rPr>
          <w:rFonts w:eastAsia="Times New Roman"/>
        </w:rPr>
        <w:t>Office of Planning, Research, and Evaluation</w:t>
      </w:r>
    </w:p>
    <w:p w:rsidR="00D83204" w:rsidRPr="007371C6" w:rsidP="00D83204" w14:paraId="2C37808D" w14:textId="77777777">
      <w:pPr>
        <w:spacing w:line="240" w:lineRule="auto"/>
        <w:contextualSpacing/>
        <w:rPr>
          <w:rFonts w:eastAsia="Times New Roman"/>
        </w:rPr>
      </w:pPr>
      <w:r w:rsidRPr="007371C6">
        <w:rPr>
          <w:rFonts w:eastAsia="Times New Roman"/>
        </w:rPr>
        <w:t>Administration for Children and Families</w:t>
      </w:r>
    </w:p>
    <w:p w:rsidR="00D83204" w:rsidRPr="007371C6" w:rsidP="00D83204" w14:paraId="684B7AFC" w14:textId="77777777">
      <w:pPr>
        <w:spacing w:line="240" w:lineRule="auto"/>
        <w:contextualSpacing/>
        <w:rPr>
          <w:rFonts w:eastAsia="Times New Roman"/>
        </w:rPr>
      </w:pPr>
      <w:r w:rsidRPr="007371C6">
        <w:rPr>
          <w:rFonts w:eastAsia="Times New Roman"/>
        </w:rPr>
        <w:t>U.S. Department of Health and Human Services</w:t>
      </w:r>
    </w:p>
    <w:p w:rsidR="00D83204" w:rsidRPr="007371C6" w:rsidP="00D83204" w14:paraId="32BA069D" w14:textId="77777777">
      <w:pPr>
        <w:spacing w:line="240" w:lineRule="auto"/>
        <w:contextualSpacing/>
        <w:rPr>
          <w:rFonts w:eastAsia="Times New Roman"/>
        </w:rPr>
      </w:pPr>
      <w:r w:rsidRPr="007371C6">
        <w:rPr>
          <w:rFonts w:eastAsia="Times New Roman"/>
        </w:rPr>
        <w:t>330 C Street SW, 4</w:t>
      </w:r>
      <w:r w:rsidRPr="007371C6">
        <w:rPr>
          <w:rFonts w:eastAsia="Times New Roman"/>
          <w:vertAlign w:val="superscript"/>
        </w:rPr>
        <w:t>th</w:t>
      </w:r>
      <w:r w:rsidRPr="007371C6">
        <w:rPr>
          <w:rFonts w:eastAsia="Times New Roman"/>
        </w:rPr>
        <w:t xml:space="preserve"> floor</w:t>
      </w:r>
    </w:p>
    <w:p w:rsidR="00D83204" w:rsidRPr="007371C6" w:rsidP="00D83204" w14:paraId="259C928C" w14:textId="77777777">
      <w:pPr>
        <w:spacing w:line="240" w:lineRule="auto"/>
        <w:contextualSpacing/>
        <w:rPr>
          <w:rFonts w:eastAsia="Times New Roman"/>
        </w:rPr>
      </w:pPr>
      <w:r w:rsidRPr="007371C6">
        <w:rPr>
          <w:rFonts w:eastAsia="Times New Roman"/>
        </w:rPr>
        <w:t>Washington, DC 20201</w:t>
      </w:r>
    </w:p>
    <w:p w:rsidR="00D83204" w:rsidRPr="007371C6" w:rsidP="00D83204" w14:paraId="02AED2B7" w14:textId="77777777">
      <w:pPr>
        <w:spacing w:line="240" w:lineRule="auto"/>
        <w:contextualSpacing/>
        <w:rPr>
          <w:rFonts w:eastAsia="Times New Roman"/>
        </w:rPr>
      </w:pPr>
      <w:hyperlink r:id="rId8" w:history="1">
        <w:r w:rsidRPr="007371C6">
          <w:rPr>
            <w:rStyle w:val="Hyperlink"/>
            <w:rFonts w:eastAsia="Times New Roman"/>
          </w:rPr>
          <w:t>mary.mueggenborg@acf.hhs.gov</w:t>
        </w:r>
      </w:hyperlink>
      <w:r w:rsidRPr="007371C6">
        <w:rPr>
          <w:rFonts w:eastAsia="Times New Roman"/>
        </w:rPr>
        <w:t xml:space="preserve"> | 202.401.5689</w:t>
      </w:r>
    </w:p>
    <w:p w:rsidR="00D83204" w:rsidRPr="007371C6" w:rsidP="00D83204" w14:paraId="07D65F65" w14:textId="77777777">
      <w:pPr>
        <w:pStyle w:val="ListParagraph"/>
        <w:spacing w:after="0" w:line="240" w:lineRule="auto"/>
        <w:ind w:left="0"/>
        <w:rPr>
          <w:rFonts w:cstheme="minorHAnsi"/>
          <w:bCs/>
        </w:rPr>
      </w:pPr>
      <w:r>
        <w:rPr>
          <w:rFonts w:cstheme="minorHAnsi"/>
          <w:bCs/>
        </w:rPr>
        <w:t>Kelly Jedd McKenzie</w:t>
      </w:r>
    </w:p>
    <w:p w:rsidR="00D83204" w:rsidRPr="007371C6" w:rsidP="00D83204" w14:paraId="46165FEA" w14:textId="77777777">
      <w:pPr>
        <w:spacing w:line="240" w:lineRule="auto"/>
        <w:contextualSpacing/>
        <w:rPr>
          <w:rFonts w:eastAsia="Times New Roman"/>
        </w:rPr>
      </w:pPr>
      <w:r>
        <w:rPr>
          <w:rFonts w:eastAsia="Times New Roman"/>
        </w:rPr>
        <w:t xml:space="preserve">Senior </w:t>
      </w:r>
      <w:r w:rsidRPr="007371C6">
        <w:rPr>
          <w:rFonts w:eastAsia="Times New Roman"/>
        </w:rPr>
        <w:t>Social Science Research Analyst</w:t>
      </w:r>
    </w:p>
    <w:p w:rsidR="00D83204" w:rsidRPr="007371C6" w:rsidP="00D83204" w14:paraId="636A63A5" w14:textId="77777777">
      <w:pPr>
        <w:spacing w:line="240" w:lineRule="auto"/>
        <w:contextualSpacing/>
        <w:rPr>
          <w:rFonts w:eastAsia="Times New Roman"/>
        </w:rPr>
      </w:pPr>
      <w:r w:rsidRPr="007371C6">
        <w:rPr>
          <w:rFonts w:eastAsia="Times New Roman"/>
        </w:rPr>
        <w:t>Office of Planning, Research, and Evaluation</w:t>
      </w:r>
    </w:p>
    <w:p w:rsidR="00D83204" w:rsidRPr="007371C6" w:rsidP="00D83204" w14:paraId="037DA516" w14:textId="77777777">
      <w:pPr>
        <w:spacing w:line="240" w:lineRule="auto"/>
        <w:contextualSpacing/>
        <w:rPr>
          <w:rFonts w:eastAsia="Times New Roman"/>
        </w:rPr>
      </w:pPr>
      <w:r w:rsidRPr="007371C6">
        <w:rPr>
          <w:rFonts w:eastAsia="Times New Roman"/>
        </w:rPr>
        <w:t>Administration for Children and Families</w:t>
      </w:r>
    </w:p>
    <w:p w:rsidR="00D83204" w:rsidRPr="007371C6" w:rsidP="00D83204" w14:paraId="0632DEF0" w14:textId="77777777">
      <w:pPr>
        <w:spacing w:line="240" w:lineRule="auto"/>
        <w:contextualSpacing/>
        <w:rPr>
          <w:rFonts w:eastAsia="Times New Roman"/>
        </w:rPr>
      </w:pPr>
      <w:r w:rsidRPr="007371C6">
        <w:rPr>
          <w:rFonts w:eastAsia="Times New Roman"/>
        </w:rPr>
        <w:t>U.S. Department of Health and Human Services</w:t>
      </w:r>
    </w:p>
    <w:p w:rsidR="00D83204" w:rsidRPr="007371C6" w:rsidP="00D83204" w14:paraId="689F5B87" w14:textId="77777777">
      <w:pPr>
        <w:spacing w:line="240" w:lineRule="auto"/>
        <w:contextualSpacing/>
        <w:rPr>
          <w:rFonts w:eastAsia="Times New Roman"/>
        </w:rPr>
      </w:pPr>
      <w:r w:rsidRPr="007371C6">
        <w:rPr>
          <w:rFonts w:eastAsia="Times New Roman"/>
        </w:rPr>
        <w:t>330 C Street SW, 4</w:t>
      </w:r>
      <w:r w:rsidRPr="007371C6">
        <w:rPr>
          <w:rFonts w:eastAsia="Times New Roman"/>
          <w:vertAlign w:val="superscript"/>
        </w:rPr>
        <w:t>th</w:t>
      </w:r>
      <w:r w:rsidRPr="007371C6">
        <w:rPr>
          <w:rFonts w:eastAsia="Times New Roman"/>
        </w:rPr>
        <w:t xml:space="preserve"> floor</w:t>
      </w:r>
    </w:p>
    <w:p w:rsidR="00D83204" w:rsidRPr="007371C6" w:rsidP="00D83204" w14:paraId="448728AD" w14:textId="77777777">
      <w:pPr>
        <w:spacing w:line="240" w:lineRule="auto"/>
        <w:contextualSpacing/>
        <w:rPr>
          <w:rFonts w:eastAsia="Times New Roman"/>
        </w:rPr>
      </w:pPr>
      <w:r w:rsidRPr="007371C6">
        <w:rPr>
          <w:rFonts w:eastAsia="Times New Roman"/>
        </w:rPr>
        <w:t>Washington, DC 20201</w:t>
      </w:r>
    </w:p>
    <w:p w:rsidR="00D83204" w:rsidRPr="007371C6" w:rsidP="00D83204" w14:paraId="10305E80" w14:textId="77777777">
      <w:pPr>
        <w:spacing w:line="240" w:lineRule="auto"/>
        <w:contextualSpacing/>
        <w:rPr>
          <w:rFonts w:eastAsia="Times New Roman"/>
        </w:rPr>
      </w:pPr>
      <w:hyperlink r:id="rId9" w:history="1">
        <w:r w:rsidRPr="001551C6">
          <w:rPr>
            <w:rStyle w:val="Hyperlink"/>
            <w:rFonts w:eastAsia="Times New Roman"/>
          </w:rPr>
          <w:t>kelly.mckenzie@acf.hhs.gov</w:t>
        </w:r>
      </w:hyperlink>
      <w:r w:rsidRPr="007371C6">
        <w:rPr>
          <w:rFonts w:eastAsia="Times New Roman"/>
        </w:rPr>
        <w:t xml:space="preserve"> | 202.</w:t>
      </w:r>
      <w:r w:rsidRPr="001551C6">
        <w:rPr>
          <w:rFonts w:eastAsia="Times New Roman"/>
        </w:rPr>
        <w:t>245</w:t>
      </w:r>
      <w:r>
        <w:rPr>
          <w:rFonts w:eastAsia="Times New Roman"/>
        </w:rPr>
        <w:t>.</w:t>
      </w:r>
      <w:r w:rsidRPr="001551C6">
        <w:rPr>
          <w:rFonts w:eastAsia="Times New Roman"/>
        </w:rPr>
        <w:t>0976</w:t>
      </w:r>
    </w:p>
    <w:p w:rsidR="00D83204" w:rsidP="00D83204" w14:paraId="2AA60C53" w14:textId="77777777">
      <w:pPr>
        <w:pStyle w:val="ListParagraph"/>
        <w:spacing w:after="0" w:line="240" w:lineRule="auto"/>
        <w:ind w:left="0"/>
        <w:rPr>
          <w:rFonts w:cstheme="minorHAnsi"/>
          <w:bCs/>
        </w:rPr>
      </w:pPr>
      <w:r>
        <w:rPr>
          <w:rFonts w:cstheme="minorHAnsi"/>
          <w:bCs/>
        </w:rPr>
        <w:t>Rebecca Pfeffer</w:t>
      </w:r>
    </w:p>
    <w:p w:rsidR="00D83204" w:rsidP="00D83204" w14:paraId="3F338BFE" w14:textId="77777777">
      <w:pPr>
        <w:pStyle w:val="ListParagraph"/>
        <w:spacing w:after="0" w:line="240" w:lineRule="auto"/>
        <w:ind w:left="0"/>
        <w:rPr>
          <w:rFonts w:cstheme="minorHAnsi"/>
          <w:bCs/>
        </w:rPr>
      </w:pPr>
      <w:r>
        <w:rPr>
          <w:rFonts w:cstheme="minorHAnsi"/>
          <w:bCs/>
        </w:rPr>
        <w:t>Senior Research Criminologist</w:t>
      </w:r>
    </w:p>
    <w:p w:rsidR="00D83204" w:rsidRPr="007371C6" w:rsidP="00D83204" w14:paraId="378E5FD2" w14:textId="77777777">
      <w:pPr>
        <w:pStyle w:val="ListParagraph"/>
        <w:spacing w:after="0" w:line="240" w:lineRule="auto"/>
        <w:ind w:left="0"/>
        <w:rPr>
          <w:rFonts w:cstheme="minorHAnsi"/>
          <w:bCs/>
        </w:rPr>
      </w:pPr>
      <w:r>
        <w:rPr>
          <w:rFonts w:cstheme="minorHAnsi"/>
          <w:bCs/>
        </w:rPr>
        <w:t>Division of Applied Justice Research</w:t>
      </w:r>
    </w:p>
    <w:p w:rsidR="00D83204" w:rsidRPr="007371C6" w:rsidP="00D83204" w14:paraId="6BFEDF3E" w14:textId="77777777">
      <w:pPr>
        <w:pStyle w:val="ListParagraph"/>
        <w:spacing w:after="0" w:line="240" w:lineRule="auto"/>
        <w:ind w:left="0"/>
        <w:rPr>
          <w:rFonts w:cstheme="minorHAnsi"/>
          <w:bCs/>
        </w:rPr>
      </w:pPr>
      <w:r w:rsidRPr="007371C6">
        <w:rPr>
          <w:rFonts w:cstheme="minorHAnsi"/>
          <w:bCs/>
        </w:rPr>
        <w:t>RTI International</w:t>
      </w:r>
    </w:p>
    <w:p w:rsidR="00D83204" w:rsidP="00D83204" w14:paraId="2BC73334" w14:textId="77777777">
      <w:pPr>
        <w:pStyle w:val="ListParagraph"/>
        <w:spacing w:after="0" w:line="240" w:lineRule="auto"/>
        <w:ind w:left="0"/>
        <w:rPr>
          <w:rFonts w:cstheme="minorHAnsi"/>
          <w:bCs/>
        </w:rPr>
      </w:pPr>
      <w:r>
        <w:rPr>
          <w:rFonts w:cstheme="minorHAnsi"/>
          <w:bCs/>
        </w:rPr>
        <w:t>3040 E Cornwallis Rd 27709</w:t>
      </w:r>
    </w:p>
    <w:p w:rsidR="00D83204" w:rsidP="00D83204" w14:paraId="1404181A" w14:textId="77777777">
      <w:pPr>
        <w:pStyle w:val="ListParagraph"/>
        <w:spacing w:after="0" w:line="240" w:lineRule="auto"/>
        <w:ind w:left="0"/>
        <w:rPr>
          <w:rFonts w:cstheme="minorHAnsi"/>
          <w:bCs/>
        </w:rPr>
      </w:pPr>
      <w:r>
        <w:rPr>
          <w:rFonts w:cstheme="minorHAnsi"/>
          <w:bCs/>
        </w:rPr>
        <w:t>Research Triangle Park, NC</w:t>
      </w:r>
    </w:p>
    <w:p w:rsidR="00D83204" w:rsidP="00D83204" w14:paraId="7C1D587C" w14:textId="77777777">
      <w:pPr>
        <w:pStyle w:val="ListParagraph"/>
        <w:spacing w:after="0" w:line="240" w:lineRule="auto"/>
        <w:ind w:left="0"/>
        <w:rPr>
          <w:rFonts w:cstheme="minorHAnsi"/>
          <w:bCs/>
        </w:rPr>
      </w:pPr>
      <w:hyperlink r:id="rId10" w:history="1">
        <w:r w:rsidRPr="004B0297">
          <w:rPr>
            <w:rStyle w:val="Hyperlink"/>
            <w:rFonts w:cstheme="minorHAnsi"/>
            <w:bCs/>
          </w:rPr>
          <w:t>rpfeffer@rti.org</w:t>
        </w:r>
      </w:hyperlink>
    </w:p>
    <w:p w:rsidR="00D83204" w:rsidP="00D83204" w14:paraId="0CD89259" w14:textId="77777777">
      <w:pPr>
        <w:pStyle w:val="ListParagraph"/>
        <w:spacing w:after="0" w:line="240" w:lineRule="auto"/>
        <w:ind w:left="0"/>
        <w:rPr>
          <w:rFonts w:cstheme="minorHAnsi"/>
          <w:bCs/>
        </w:rPr>
      </w:pPr>
    </w:p>
    <w:p w:rsidR="00D83204" w:rsidP="00D83204" w14:paraId="6B731933" w14:textId="77777777">
      <w:pPr>
        <w:pStyle w:val="ListParagraph"/>
        <w:spacing w:after="0" w:line="240" w:lineRule="auto"/>
        <w:ind w:left="0"/>
        <w:rPr>
          <w:rFonts w:cstheme="minorHAnsi"/>
          <w:bCs/>
        </w:rPr>
      </w:pPr>
      <w:r>
        <w:rPr>
          <w:rFonts w:cstheme="minorHAnsi"/>
          <w:bCs/>
        </w:rPr>
        <w:t>Samantha Charm</w:t>
      </w:r>
    </w:p>
    <w:p w:rsidR="00D83204" w:rsidP="00D83204" w14:paraId="399AB48F" w14:textId="77777777">
      <w:pPr>
        <w:pStyle w:val="ListParagraph"/>
        <w:spacing w:after="0" w:line="240" w:lineRule="auto"/>
        <w:ind w:left="0"/>
        <w:rPr>
          <w:rFonts w:cstheme="minorHAnsi"/>
          <w:bCs/>
        </w:rPr>
      </w:pPr>
      <w:r>
        <w:rPr>
          <w:rFonts w:cstheme="minorHAnsi"/>
          <w:bCs/>
        </w:rPr>
        <w:t>Research Public Health Analyst</w:t>
      </w:r>
    </w:p>
    <w:p w:rsidR="00D83204" w:rsidRPr="007371C6" w:rsidP="00D83204" w14:paraId="7F0DB5AD" w14:textId="77777777">
      <w:pPr>
        <w:pStyle w:val="ListParagraph"/>
        <w:spacing w:after="0" w:line="240" w:lineRule="auto"/>
        <w:ind w:left="0"/>
        <w:rPr>
          <w:rFonts w:cstheme="minorHAnsi"/>
          <w:bCs/>
        </w:rPr>
      </w:pPr>
      <w:r>
        <w:rPr>
          <w:rFonts w:cstheme="minorHAnsi"/>
          <w:bCs/>
        </w:rPr>
        <w:t>Division of Applied Justice Research</w:t>
      </w:r>
    </w:p>
    <w:p w:rsidR="00D83204" w:rsidRPr="007371C6" w:rsidP="00D83204" w14:paraId="4BFFA4FC" w14:textId="77777777">
      <w:pPr>
        <w:pStyle w:val="ListParagraph"/>
        <w:spacing w:after="0" w:line="240" w:lineRule="auto"/>
        <w:ind w:left="0"/>
        <w:rPr>
          <w:rFonts w:cstheme="minorHAnsi"/>
          <w:bCs/>
        </w:rPr>
      </w:pPr>
      <w:r w:rsidRPr="007371C6">
        <w:rPr>
          <w:rFonts w:cstheme="minorHAnsi"/>
          <w:bCs/>
        </w:rPr>
        <w:t>RTI International</w:t>
      </w:r>
    </w:p>
    <w:p w:rsidR="00D83204" w:rsidP="00D83204" w14:paraId="29692A32" w14:textId="77777777">
      <w:pPr>
        <w:pStyle w:val="ListParagraph"/>
        <w:spacing w:after="0" w:line="240" w:lineRule="auto"/>
        <w:ind w:left="0"/>
        <w:rPr>
          <w:rFonts w:cstheme="minorHAnsi"/>
          <w:bCs/>
        </w:rPr>
      </w:pPr>
      <w:r>
        <w:rPr>
          <w:rFonts w:cstheme="minorHAnsi"/>
          <w:bCs/>
        </w:rPr>
        <w:t>3040 E Cornwallis Rd 27709</w:t>
      </w:r>
    </w:p>
    <w:p w:rsidR="00D83204" w:rsidP="00D83204" w14:paraId="4284810D" w14:textId="77777777">
      <w:pPr>
        <w:pStyle w:val="ListParagraph"/>
        <w:spacing w:after="0" w:line="240" w:lineRule="auto"/>
        <w:ind w:left="0"/>
        <w:rPr>
          <w:rFonts w:cstheme="minorHAnsi"/>
          <w:bCs/>
        </w:rPr>
      </w:pPr>
      <w:r>
        <w:rPr>
          <w:rFonts w:cstheme="minorHAnsi"/>
          <w:bCs/>
        </w:rPr>
        <w:t>Research Triangle Park, NC</w:t>
      </w:r>
    </w:p>
    <w:p w:rsidR="00D83204" w:rsidP="00D83204" w14:paraId="7057B519" w14:textId="77777777">
      <w:pPr>
        <w:pStyle w:val="ListParagraph"/>
        <w:spacing w:after="0" w:line="240" w:lineRule="auto"/>
        <w:ind w:left="0"/>
        <w:rPr>
          <w:rFonts w:cstheme="minorHAnsi"/>
          <w:bCs/>
        </w:rPr>
      </w:pPr>
      <w:hyperlink r:id="rId11" w:history="1">
        <w:r w:rsidRPr="00A733A8">
          <w:rPr>
            <w:rStyle w:val="Hyperlink"/>
            <w:rFonts w:cstheme="minorHAnsi"/>
            <w:bCs/>
          </w:rPr>
          <w:t>scharm@rti.org</w:t>
        </w:r>
      </w:hyperlink>
    </w:p>
    <w:p w:rsidR="00A42C71" w:rsidRPr="001A59B6" w:rsidP="00A42C71" w14:paraId="0D8125A9" w14:textId="77777777">
      <w:pPr>
        <w:pStyle w:val="ListParagraph"/>
        <w:spacing w:after="0" w:line="240" w:lineRule="auto"/>
        <w:ind w:left="0"/>
        <w:rPr>
          <w:rFonts w:cstheme="minorHAnsi"/>
          <w:b/>
        </w:rPr>
      </w:pPr>
    </w:p>
    <w:p w:rsidR="00A42C71" w:rsidRPr="001A59B6" w:rsidP="00A42C71" w14:paraId="2E8E7A92" w14:textId="77777777">
      <w:pPr>
        <w:spacing w:after="0" w:line="240" w:lineRule="auto"/>
        <w:rPr>
          <w:rFonts w:cstheme="minorHAnsi"/>
          <w:b/>
        </w:rPr>
      </w:pPr>
    </w:p>
    <w:p w:rsidR="00180D94" w14:paraId="49141E62" w14:textId="77777777">
      <w:pPr>
        <w:rPr>
          <w:rFonts w:cstheme="minorHAnsi"/>
          <w:b/>
        </w:rPr>
      </w:pPr>
      <w:r>
        <w:rPr>
          <w:rFonts w:cstheme="minorHAnsi"/>
          <w:b/>
        </w:rPr>
        <w:br w:type="page"/>
      </w:r>
    </w:p>
    <w:p w:rsidR="00A42C71" w:rsidP="00A42C71" w14:paraId="2B00F308" w14:textId="455E2DE9">
      <w:pPr>
        <w:spacing w:after="120" w:line="240" w:lineRule="auto"/>
        <w:rPr>
          <w:rFonts w:cstheme="minorHAnsi"/>
          <w:b/>
        </w:rPr>
      </w:pPr>
      <w:r w:rsidRPr="001A59B6">
        <w:rPr>
          <w:rFonts w:cstheme="minorHAnsi"/>
          <w:b/>
        </w:rPr>
        <w:t>Attachments</w:t>
      </w:r>
    </w:p>
    <w:p w:rsidR="00D250CC" w:rsidRPr="001A59B6" w:rsidP="00A42C71" w14:paraId="58740A4D" w14:textId="77777777">
      <w:pPr>
        <w:spacing w:after="120" w:line="240" w:lineRule="auto"/>
        <w:rPr>
          <w:rFonts w:cstheme="minorHAnsi"/>
          <w:b/>
        </w:rPr>
      </w:pPr>
    </w:p>
    <w:p w:rsidR="00D250CC" w:rsidRPr="00243828" w:rsidP="00D250CC" w14:paraId="4107D6E5" w14:textId="77777777">
      <w:pPr>
        <w:spacing w:after="120" w:line="240" w:lineRule="auto"/>
        <w:rPr>
          <w:rFonts w:cstheme="minorHAnsi"/>
          <w:b/>
          <w:bCs/>
          <w:iCs/>
        </w:rPr>
      </w:pPr>
      <w:r w:rsidRPr="00243828">
        <w:rPr>
          <w:rFonts w:cstheme="minorHAnsi"/>
          <w:b/>
          <w:iCs/>
        </w:rPr>
        <w:t xml:space="preserve">Instrument 1: </w:t>
      </w:r>
      <w:r w:rsidRPr="00243828">
        <w:rPr>
          <w:rFonts w:cstheme="minorHAnsi"/>
          <w:b/>
          <w:bCs/>
          <w:iCs/>
        </w:rPr>
        <w:t xml:space="preserve">Subrecipient Interview Guide </w:t>
      </w:r>
    </w:p>
    <w:p w:rsidR="00D250CC" w:rsidRPr="00243828" w:rsidP="00D250CC" w14:paraId="64CBEE93" w14:textId="77777777">
      <w:pPr>
        <w:spacing w:after="120" w:line="240" w:lineRule="auto"/>
        <w:rPr>
          <w:rFonts w:cstheme="minorHAnsi"/>
          <w:b/>
          <w:bCs/>
          <w:iCs/>
        </w:rPr>
      </w:pPr>
      <w:r w:rsidRPr="00243828">
        <w:rPr>
          <w:rFonts w:cstheme="minorHAnsi"/>
          <w:b/>
        </w:rPr>
        <w:t>Instrument 2:</w:t>
      </w:r>
      <w:r w:rsidRPr="00243828">
        <w:rPr>
          <w:b/>
        </w:rPr>
        <w:t xml:space="preserve"> </w:t>
      </w:r>
      <w:r w:rsidRPr="00243828">
        <w:rPr>
          <w:rFonts w:cstheme="minorHAnsi"/>
          <w:b/>
          <w:bCs/>
        </w:rPr>
        <w:t>Other Service Provider Interview Guide</w:t>
      </w:r>
    </w:p>
    <w:p w:rsidR="00D250CC" w:rsidRPr="00243828" w:rsidP="00D250CC" w14:paraId="7E8C6001" w14:textId="77777777">
      <w:pPr>
        <w:spacing w:after="120" w:line="240" w:lineRule="auto"/>
        <w:rPr>
          <w:rFonts w:cstheme="minorHAnsi"/>
          <w:b/>
        </w:rPr>
      </w:pPr>
      <w:r w:rsidRPr="00243828">
        <w:rPr>
          <w:rFonts w:cstheme="minorHAnsi"/>
          <w:b/>
          <w:bCs/>
        </w:rPr>
        <w:t>Instrument</w:t>
      </w:r>
      <w:r w:rsidRPr="00243828">
        <w:rPr>
          <w:rFonts w:cstheme="minorHAnsi"/>
          <w:b/>
        </w:rPr>
        <w:t xml:space="preserve"> 3:</w:t>
      </w:r>
      <w:r w:rsidRPr="00243828">
        <w:rPr>
          <w:b/>
        </w:rPr>
        <w:t xml:space="preserve"> </w:t>
      </w:r>
      <w:r w:rsidRPr="00243828">
        <w:rPr>
          <w:rFonts w:cstheme="minorHAnsi"/>
          <w:b/>
          <w:bCs/>
        </w:rPr>
        <w:t>Local Government Systems Interview Guide</w:t>
      </w:r>
      <w:r w:rsidRPr="00243828">
        <w:rPr>
          <w:rFonts w:cstheme="minorHAnsi"/>
          <w:b/>
        </w:rPr>
        <w:t xml:space="preserve"> </w:t>
      </w:r>
    </w:p>
    <w:p w:rsidR="00D250CC" w:rsidRPr="00243828" w:rsidP="00D250CC" w14:paraId="6A4C0810" w14:textId="77777777">
      <w:pPr>
        <w:spacing w:after="120" w:line="240" w:lineRule="auto"/>
        <w:rPr>
          <w:rFonts w:eastAsia="Times New Roman"/>
          <w:b/>
        </w:rPr>
      </w:pPr>
      <w:r w:rsidRPr="00243828">
        <w:rPr>
          <w:rFonts w:cstheme="minorHAnsi"/>
          <w:b/>
        </w:rPr>
        <w:t>Instrument 4:</w:t>
      </w:r>
      <w:r w:rsidRPr="00243828">
        <w:rPr>
          <w:rFonts w:eastAsia="Times New Roman"/>
          <w:b/>
        </w:rPr>
        <w:t xml:space="preserve"> </w:t>
      </w:r>
      <w:r w:rsidRPr="00243828">
        <w:rPr>
          <w:rFonts w:eastAsia="Times New Roman"/>
          <w:b/>
          <w:bCs/>
        </w:rPr>
        <w:t>Client Interview Guide</w:t>
      </w:r>
      <w:r w:rsidRPr="00243828">
        <w:rPr>
          <w:rFonts w:eastAsia="Times New Roman"/>
          <w:b/>
        </w:rPr>
        <w:t xml:space="preserve"> </w:t>
      </w:r>
    </w:p>
    <w:p w:rsidR="00D250CC" w:rsidRPr="00243828" w:rsidP="00D250CC" w14:paraId="01DE37D7" w14:textId="77777777">
      <w:pPr>
        <w:spacing w:after="120" w:line="240" w:lineRule="auto"/>
        <w:rPr>
          <w:rFonts w:eastAsia="Times New Roman"/>
          <w:b/>
        </w:rPr>
      </w:pPr>
      <w:r w:rsidRPr="00243828">
        <w:rPr>
          <w:rFonts w:eastAsia="Times New Roman" w:cstheme="minorHAnsi"/>
          <w:b/>
          <w:bCs/>
          <w:color w:val="000000"/>
        </w:rPr>
        <w:t>Instrument 5: Subrecipient Survey</w:t>
      </w:r>
    </w:p>
    <w:p w:rsidR="00D250CC" w:rsidRPr="00243828" w:rsidP="00D250CC" w14:paraId="348A5262" w14:textId="0289B165">
      <w:pPr>
        <w:spacing w:after="120" w:line="240" w:lineRule="auto"/>
        <w:rPr>
          <w:rFonts w:cstheme="minorHAnsi"/>
          <w:b/>
          <w:bCs/>
          <w:iCs/>
        </w:rPr>
      </w:pPr>
      <w:bookmarkStart w:id="6" w:name="_Hlk209619025"/>
      <w:r w:rsidRPr="00243828">
        <w:rPr>
          <w:rFonts w:cstheme="minorHAnsi"/>
          <w:b/>
        </w:rPr>
        <w:t xml:space="preserve">Appendix A:  </w:t>
      </w:r>
      <w:bookmarkStart w:id="7" w:name="_Hlk209619778"/>
      <w:r w:rsidRPr="00243828">
        <w:rPr>
          <w:rFonts w:cstheme="minorHAnsi"/>
          <w:b/>
          <w:bCs/>
          <w:iCs/>
        </w:rPr>
        <w:t>Subrecipient Interview Recruitment</w:t>
      </w:r>
      <w:r w:rsidR="00A86583">
        <w:rPr>
          <w:rFonts w:cstheme="minorHAnsi"/>
          <w:b/>
          <w:bCs/>
          <w:iCs/>
        </w:rPr>
        <w:t xml:space="preserve"> and </w:t>
      </w:r>
      <w:r w:rsidRPr="00243828" w:rsidR="00A86583">
        <w:rPr>
          <w:rFonts w:cstheme="minorHAnsi"/>
          <w:b/>
          <w:bCs/>
          <w:iCs/>
        </w:rPr>
        <w:t>Advance</w:t>
      </w:r>
      <w:r w:rsidRPr="00243828">
        <w:rPr>
          <w:rFonts w:cstheme="minorHAnsi"/>
          <w:b/>
          <w:bCs/>
          <w:iCs/>
        </w:rPr>
        <w:t xml:space="preserve"> E-mail</w:t>
      </w:r>
    </w:p>
    <w:bookmarkEnd w:id="7"/>
    <w:p w:rsidR="00D250CC" w:rsidRPr="00243828" w:rsidP="00D250CC" w14:paraId="39873CAA" w14:textId="031077BC">
      <w:pPr>
        <w:spacing w:after="120" w:line="240" w:lineRule="auto"/>
        <w:rPr>
          <w:rFonts w:cstheme="minorHAnsi"/>
          <w:b/>
          <w:bCs/>
          <w:iCs/>
        </w:rPr>
      </w:pPr>
      <w:r w:rsidRPr="00243828">
        <w:rPr>
          <w:rFonts w:cstheme="minorHAnsi"/>
          <w:b/>
        </w:rPr>
        <w:t xml:space="preserve">Appendix </w:t>
      </w:r>
      <w:r w:rsidR="009B1B8D">
        <w:rPr>
          <w:rFonts w:cstheme="minorHAnsi"/>
          <w:b/>
        </w:rPr>
        <w:t>B</w:t>
      </w:r>
      <w:r w:rsidRPr="00243828">
        <w:rPr>
          <w:rFonts w:cstheme="minorHAnsi"/>
          <w:b/>
        </w:rPr>
        <w:t xml:space="preserve">:  </w:t>
      </w:r>
      <w:r w:rsidRPr="00243828">
        <w:rPr>
          <w:rFonts w:cstheme="minorHAnsi"/>
          <w:b/>
          <w:bCs/>
        </w:rPr>
        <w:t>Other</w:t>
      </w:r>
      <w:r w:rsidRPr="00243828">
        <w:rPr>
          <w:rFonts w:cstheme="minorHAnsi"/>
          <w:b/>
          <w:bCs/>
        </w:rPr>
        <w:t xml:space="preserve"> Service Provider </w:t>
      </w:r>
      <w:r w:rsidRPr="00243828">
        <w:rPr>
          <w:rFonts w:cstheme="minorHAnsi"/>
          <w:b/>
          <w:bCs/>
          <w:iCs/>
        </w:rPr>
        <w:t>Interview</w:t>
      </w:r>
      <w:r w:rsidRPr="00243828">
        <w:rPr>
          <w:rFonts w:cstheme="minorHAnsi"/>
          <w:b/>
          <w:bCs/>
        </w:rPr>
        <w:t xml:space="preserve"> </w:t>
      </w:r>
      <w:r w:rsidRPr="00243828">
        <w:rPr>
          <w:rFonts w:cstheme="minorHAnsi"/>
          <w:b/>
          <w:bCs/>
          <w:iCs/>
        </w:rPr>
        <w:t xml:space="preserve">Recruitment </w:t>
      </w:r>
      <w:r w:rsidR="009B1B8D">
        <w:rPr>
          <w:rFonts w:cstheme="minorHAnsi"/>
          <w:b/>
          <w:bCs/>
          <w:iCs/>
        </w:rPr>
        <w:t xml:space="preserve">and </w:t>
      </w:r>
      <w:r w:rsidRPr="00243828" w:rsidR="009B1B8D">
        <w:rPr>
          <w:rFonts w:cstheme="minorHAnsi"/>
          <w:b/>
          <w:bCs/>
          <w:iCs/>
        </w:rPr>
        <w:t xml:space="preserve">Advance </w:t>
      </w:r>
      <w:r w:rsidRPr="00243828">
        <w:rPr>
          <w:rFonts w:cstheme="minorHAnsi"/>
          <w:b/>
          <w:bCs/>
          <w:iCs/>
        </w:rPr>
        <w:t>E-mail</w:t>
      </w:r>
    </w:p>
    <w:p w:rsidR="00D250CC" w:rsidRPr="00243828" w:rsidP="00D250CC" w14:paraId="6C60BED5" w14:textId="61FA97E7">
      <w:pPr>
        <w:spacing w:after="120" w:line="240" w:lineRule="auto"/>
        <w:rPr>
          <w:rFonts w:cstheme="minorHAnsi"/>
          <w:b/>
          <w:bCs/>
          <w:iCs/>
        </w:rPr>
      </w:pPr>
      <w:r w:rsidRPr="00243828">
        <w:rPr>
          <w:rFonts w:cstheme="minorHAnsi"/>
          <w:b/>
        </w:rPr>
        <w:t xml:space="preserve">Appendix </w:t>
      </w:r>
      <w:r w:rsidR="009B1B8D">
        <w:rPr>
          <w:rFonts w:cstheme="minorHAnsi"/>
          <w:b/>
        </w:rPr>
        <w:t>C</w:t>
      </w:r>
      <w:r w:rsidRPr="00243828">
        <w:rPr>
          <w:rFonts w:cstheme="minorHAnsi"/>
          <w:b/>
        </w:rPr>
        <w:t xml:space="preserve">:  </w:t>
      </w:r>
      <w:r w:rsidRPr="00243828">
        <w:rPr>
          <w:rFonts w:cstheme="minorHAnsi"/>
          <w:b/>
          <w:bCs/>
        </w:rPr>
        <w:t>Local</w:t>
      </w:r>
      <w:r w:rsidRPr="00243828">
        <w:rPr>
          <w:rFonts w:cstheme="minorHAnsi"/>
          <w:b/>
          <w:bCs/>
        </w:rPr>
        <w:t xml:space="preserve"> Government Systems Interview </w:t>
      </w:r>
      <w:r w:rsidRPr="00243828">
        <w:rPr>
          <w:rFonts w:cstheme="minorHAnsi"/>
          <w:b/>
          <w:bCs/>
          <w:iCs/>
        </w:rPr>
        <w:t>Recruitment</w:t>
      </w:r>
      <w:r w:rsidRPr="009B1B8D" w:rsidR="009B1B8D">
        <w:rPr>
          <w:rFonts w:cstheme="minorHAnsi"/>
          <w:b/>
          <w:bCs/>
          <w:iCs/>
        </w:rPr>
        <w:t xml:space="preserve"> </w:t>
      </w:r>
      <w:r w:rsidR="009B1B8D">
        <w:rPr>
          <w:rFonts w:cstheme="minorHAnsi"/>
          <w:b/>
          <w:bCs/>
          <w:iCs/>
        </w:rPr>
        <w:t xml:space="preserve">and </w:t>
      </w:r>
      <w:r w:rsidRPr="00243828" w:rsidR="009B1B8D">
        <w:rPr>
          <w:rFonts w:cstheme="minorHAnsi"/>
          <w:b/>
          <w:bCs/>
          <w:iCs/>
        </w:rPr>
        <w:t>Advance</w:t>
      </w:r>
      <w:r w:rsidRPr="00243828">
        <w:rPr>
          <w:rFonts w:cstheme="minorHAnsi"/>
          <w:b/>
          <w:bCs/>
          <w:iCs/>
        </w:rPr>
        <w:t xml:space="preserve"> E-mail</w:t>
      </w:r>
    </w:p>
    <w:p w:rsidR="00D250CC" w:rsidRPr="00243828" w:rsidP="00D250CC" w14:paraId="6A0224C6" w14:textId="5683E7C4">
      <w:pPr>
        <w:spacing w:after="120" w:line="240" w:lineRule="auto"/>
        <w:rPr>
          <w:rFonts w:cstheme="minorHAnsi"/>
          <w:b/>
          <w:bCs/>
          <w:iCs/>
        </w:rPr>
      </w:pPr>
      <w:r w:rsidRPr="00243828">
        <w:rPr>
          <w:rFonts w:cstheme="minorHAnsi"/>
          <w:b/>
        </w:rPr>
        <w:t xml:space="preserve">Appendix </w:t>
      </w:r>
      <w:r w:rsidR="009B1B8D">
        <w:rPr>
          <w:rFonts w:cstheme="minorHAnsi"/>
          <w:b/>
        </w:rPr>
        <w:t>D</w:t>
      </w:r>
      <w:r w:rsidRPr="00243828">
        <w:rPr>
          <w:rFonts w:cstheme="minorHAnsi"/>
          <w:b/>
        </w:rPr>
        <w:t xml:space="preserve">:  </w:t>
      </w:r>
      <w:r w:rsidRPr="00243828">
        <w:rPr>
          <w:rFonts w:eastAsia="Times New Roman"/>
          <w:b/>
          <w:bCs/>
        </w:rPr>
        <w:t xml:space="preserve">Client </w:t>
      </w:r>
      <w:r w:rsidRPr="00243828">
        <w:rPr>
          <w:rFonts w:cstheme="minorHAnsi"/>
          <w:b/>
          <w:bCs/>
          <w:iCs/>
        </w:rPr>
        <w:t xml:space="preserve">Interview Recruitment </w:t>
      </w:r>
      <w:r w:rsidR="009B1B8D">
        <w:rPr>
          <w:rFonts w:cstheme="minorHAnsi"/>
          <w:b/>
          <w:bCs/>
          <w:iCs/>
        </w:rPr>
        <w:t xml:space="preserve">and </w:t>
      </w:r>
      <w:r w:rsidRPr="00243828" w:rsidR="009B1B8D">
        <w:rPr>
          <w:rFonts w:cstheme="minorHAnsi"/>
          <w:b/>
          <w:bCs/>
          <w:iCs/>
        </w:rPr>
        <w:t xml:space="preserve">Advance </w:t>
      </w:r>
      <w:r w:rsidRPr="00243828">
        <w:rPr>
          <w:rFonts w:cstheme="minorHAnsi"/>
          <w:b/>
          <w:bCs/>
          <w:iCs/>
        </w:rPr>
        <w:t>E-mail</w:t>
      </w:r>
    </w:p>
    <w:p w:rsidR="00D250CC" w:rsidP="00D250CC" w14:paraId="7AE6CF53" w14:textId="624D6DEF">
      <w:pPr>
        <w:spacing w:after="120" w:line="240" w:lineRule="auto"/>
        <w:rPr>
          <w:rFonts w:cstheme="minorHAnsi"/>
          <w:b/>
          <w:bCs/>
          <w:iCs/>
        </w:rPr>
      </w:pPr>
      <w:r w:rsidRPr="00243828">
        <w:rPr>
          <w:rFonts w:cstheme="minorHAnsi"/>
          <w:b/>
        </w:rPr>
        <w:t xml:space="preserve">Appendix </w:t>
      </w:r>
      <w:r w:rsidR="009B1B8D">
        <w:rPr>
          <w:rFonts w:cstheme="minorHAnsi"/>
          <w:b/>
        </w:rPr>
        <w:t>E</w:t>
      </w:r>
      <w:r w:rsidRPr="00243828">
        <w:rPr>
          <w:rFonts w:cstheme="minorHAnsi"/>
          <w:b/>
        </w:rPr>
        <w:t xml:space="preserve">:  </w:t>
      </w:r>
      <w:r w:rsidRPr="00243828">
        <w:rPr>
          <w:rFonts w:cstheme="minorHAnsi"/>
          <w:b/>
          <w:bCs/>
          <w:iCs/>
        </w:rPr>
        <w:t>Subrecipient</w:t>
      </w:r>
      <w:r w:rsidRPr="00243828">
        <w:rPr>
          <w:rFonts w:cstheme="minorHAnsi"/>
          <w:b/>
          <w:bCs/>
          <w:iCs/>
        </w:rPr>
        <w:t xml:space="preserve"> </w:t>
      </w:r>
      <w:r w:rsidRPr="00243828">
        <w:rPr>
          <w:rFonts w:eastAsia="Times New Roman" w:cstheme="minorHAnsi"/>
          <w:b/>
          <w:bCs/>
          <w:color w:val="000000"/>
        </w:rPr>
        <w:t>Survey</w:t>
      </w:r>
      <w:r w:rsidRPr="00243828">
        <w:rPr>
          <w:rFonts w:cstheme="minorHAnsi"/>
          <w:b/>
          <w:bCs/>
          <w:iCs/>
        </w:rPr>
        <w:t xml:space="preserve"> Recruitment E-mail</w:t>
      </w:r>
    </w:p>
    <w:bookmarkEnd w:id="6"/>
    <w:p w:rsidR="00457640" w14:paraId="1E574BF6" w14:textId="189B1A9E">
      <w:r>
        <w:br w:type="page"/>
      </w:r>
    </w:p>
    <w:p w:rsidR="00083227" w:rsidP="00D250CC" w14:paraId="1158E4DC" w14:textId="77777777"/>
    <w:p w:rsidR="00457640" w:rsidP="00457640" w14:paraId="1F64C483" w14:textId="60EF008A">
      <w:pPr>
        <w:spacing w:after="120" w:line="240" w:lineRule="auto"/>
        <w:rPr>
          <w:rFonts w:cstheme="minorHAnsi"/>
          <w:b/>
        </w:rPr>
      </w:pPr>
      <w:r>
        <w:rPr>
          <w:rFonts w:cstheme="minorHAnsi"/>
          <w:b/>
        </w:rPr>
        <w:t>References</w:t>
      </w:r>
    </w:p>
    <w:p w:rsidR="00457640" w:rsidP="00457640" w14:paraId="1D98C674" w14:textId="6F3F902E">
      <w:pPr>
        <w:spacing w:after="120" w:line="240" w:lineRule="auto"/>
        <w:rPr>
          <w:rFonts w:cstheme="minorHAnsi"/>
          <w:bCs/>
        </w:rPr>
      </w:pPr>
      <w:r w:rsidRPr="00457640">
        <w:rPr>
          <w:rFonts w:cstheme="minorHAnsi"/>
          <w:bCs/>
        </w:rPr>
        <w:t xml:space="preserve">Feeney, Hannah, Presler-Jur, Paige, Yu, Lilly, Vollinger, Lauren, Diaz, Madelyn, Scalise, Peyton, Grossman, Ruth, D'Arcangelo, Brianna, </w:t>
      </w:r>
      <w:r>
        <w:rPr>
          <w:rFonts w:cstheme="minorHAnsi"/>
          <w:bCs/>
        </w:rPr>
        <w:t xml:space="preserve">and </w:t>
      </w:r>
      <w:r w:rsidRPr="00457640">
        <w:rPr>
          <w:rFonts w:cstheme="minorHAnsi"/>
          <w:bCs/>
        </w:rPr>
        <w:t>Weinstein, Liat</w:t>
      </w:r>
      <w:r>
        <w:rPr>
          <w:rFonts w:cstheme="minorHAnsi"/>
          <w:bCs/>
        </w:rPr>
        <w:t>. (2023).</w:t>
      </w:r>
      <w:r w:rsidRPr="00457640">
        <w:rPr>
          <w:rFonts w:cstheme="minorHAnsi"/>
          <w:bCs/>
        </w:rPr>
        <w:t xml:space="preserve"> Understanding the Impact of COVID-19 on Victim Service Provision: Challenges, Innovations, and Lessons Learned. Final Report. NCJ 308367, Research Triangle Park, NC: RTI International.</w:t>
      </w:r>
      <w:r>
        <w:rPr>
          <w:rFonts w:cstheme="minorHAnsi"/>
          <w:bCs/>
        </w:rPr>
        <w:t xml:space="preserve"> </w:t>
      </w:r>
    </w:p>
    <w:p w:rsidR="00457640" w:rsidP="00457640" w14:paraId="28641D02" w14:textId="77777777">
      <w:pPr>
        <w:spacing w:after="120" w:line="240" w:lineRule="auto"/>
        <w:rPr>
          <w:rFonts w:cstheme="minorHAnsi"/>
          <w:bCs/>
        </w:rPr>
      </w:pPr>
    </w:p>
    <w:p w:rsidR="00457640" w:rsidP="00457640" w14:paraId="33F27491" w14:textId="12648A09">
      <w:pPr>
        <w:spacing w:after="120" w:line="240" w:lineRule="auto"/>
        <w:rPr>
          <w:rFonts w:cstheme="minorHAnsi"/>
          <w:bCs/>
        </w:rPr>
      </w:pPr>
      <w:r>
        <w:rPr>
          <w:rFonts w:cstheme="minorHAnsi"/>
          <w:bCs/>
        </w:rPr>
        <w:t xml:space="preserve">RTI International. (2023). </w:t>
      </w:r>
      <w:r w:rsidRPr="00457640">
        <w:rPr>
          <w:rFonts w:cstheme="minorHAnsi"/>
          <w:bCs/>
        </w:rPr>
        <w:t>Prevention Matters: Year 4/ Final Evaluation Report</w:t>
      </w:r>
      <w:r>
        <w:rPr>
          <w:rFonts w:cstheme="minorHAnsi"/>
          <w:bCs/>
        </w:rPr>
        <w:t xml:space="preserve">. Richard M. Fairbanks Foundation. </w:t>
      </w:r>
      <w:r w:rsidRPr="00457640">
        <w:rPr>
          <w:rFonts w:cstheme="minorHAnsi"/>
          <w:bCs/>
        </w:rPr>
        <w:t>Indianapolis, I</w:t>
      </w:r>
      <w:r>
        <w:rPr>
          <w:rFonts w:cstheme="minorHAnsi"/>
          <w:bCs/>
        </w:rPr>
        <w:t>ndiana.</w:t>
      </w:r>
      <w:r w:rsidR="00DF2516">
        <w:rPr>
          <w:rFonts w:cstheme="minorHAnsi"/>
          <w:bCs/>
        </w:rPr>
        <w:t xml:space="preserve"> </w:t>
      </w:r>
      <w:hyperlink r:id="rId12" w:history="1">
        <w:r w:rsidRPr="00DF2516" w:rsidR="00DF2516">
          <w:rPr>
            <w:rStyle w:val="Hyperlink"/>
            <w:rFonts w:cstheme="minorHAnsi"/>
            <w:bCs/>
          </w:rPr>
          <w:t>https://www.rmff.org/wp-content/uploads/2023/05/20230504-PreventionMatters-Evaluation-RTI-Year4FinalReport-FINAL-1.pdf</w:t>
        </w:r>
      </w:hyperlink>
    </w:p>
    <w:p w:rsidR="00457640" w:rsidRPr="00457640" w:rsidP="00457640" w14:paraId="206C9A95" w14:textId="77777777">
      <w:pPr>
        <w:spacing w:after="120" w:line="240" w:lineRule="auto"/>
        <w:rPr>
          <w:rFonts w:cstheme="minorHAnsi"/>
          <w:bCs/>
        </w:rPr>
      </w:pPr>
    </w:p>
    <w:p w:rsidR="00457640" w:rsidRPr="006B53F1" w:rsidP="00457640" w14:paraId="097A8023" w14:textId="125A0921">
      <w:r w:rsidRPr="00B860A7">
        <w:t>Yu, L</w:t>
      </w:r>
      <w:r>
        <w:t>illy</w:t>
      </w:r>
      <w:r w:rsidRPr="00B860A7">
        <w:t>, Hendrix, J</w:t>
      </w:r>
      <w:r>
        <w:t>oshua</w:t>
      </w:r>
      <w:r w:rsidRPr="00B860A7">
        <w:t xml:space="preserve">, </w:t>
      </w:r>
      <w:r>
        <w:t>and</w:t>
      </w:r>
      <w:r w:rsidRPr="00B860A7">
        <w:t xml:space="preserve"> Rinderle, A</w:t>
      </w:r>
      <w:r>
        <w:t>bigail</w:t>
      </w:r>
      <w:r w:rsidRPr="00B860A7">
        <w:t>. (2024). Process Evaluation of the 2020–2023 Human Trafficking Youth Prevention Education (HTYPE) Demonstration Program: Final Report, OPRE Report No. 2024-275, Washington, DC: Office of Planning, Research, and Evaluation, Administration for Children and Families, U.S. Department of Health and Human Services.</w:t>
      </w:r>
      <w:r>
        <w:t xml:space="preserve"> </w:t>
      </w:r>
    </w:p>
    <w:sectPr w:rsidSect="00C91C7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0FCA" w14:paraId="5CE8973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18CC5167">
        <w:pPr>
          <w:pStyle w:val="Footer"/>
          <w:jc w:val="right"/>
        </w:pPr>
        <w:r>
          <w:fldChar w:fldCharType="begin"/>
        </w:r>
        <w:r>
          <w:instrText xml:space="preserve"> PAGE   \* MERGEFORMAT </w:instrText>
        </w:r>
        <w:r>
          <w:fldChar w:fldCharType="separate"/>
        </w:r>
        <w:r w:rsidR="00D81DE6">
          <w:rPr>
            <w:noProof/>
          </w:rPr>
          <w:t>3</w:t>
        </w:r>
        <w:r>
          <w:rPr>
            <w:noProof/>
          </w:rPr>
          <w:fldChar w:fldCharType="end"/>
        </w:r>
      </w:p>
    </w:sdtContent>
  </w:sdt>
  <w:p w:rsidR="00BD702B" w14:paraId="04723F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0FCA" w14:paraId="62944EB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0FCA" w14:paraId="0A7AF816" w14:textId="2F73C9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0F85" w:rsidRPr="000D7D44" w:rsidP="00390F85" w14:paraId="424809A2" w14:textId="0815D15B">
    <w:pPr>
      <w:spacing w:after="0" w:line="240" w:lineRule="auto"/>
      <w:jc w:val="center"/>
      <w:rPr>
        <w:b/>
      </w:rPr>
    </w:pPr>
    <w:r>
      <w:rPr>
        <w:b/>
      </w:rPr>
      <w:t xml:space="preserve">Alternative </w:t>
    </w:r>
    <w:r w:rsidRPr="000D7D44">
      <w:rPr>
        <w:b/>
      </w:rPr>
      <w:t xml:space="preserve">Supporting Statement for Information Collections Designed for </w:t>
    </w:r>
  </w:p>
  <w:p w:rsidR="00390F85" w:rsidRPr="00390F85" w:rsidP="00390F85" w14:paraId="2A4DFED1" w14:textId="2EF09578">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0FCA" w14:paraId="4880CBB5" w14:textId="1EA4B3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0607E72"/>
    <w:multiLevelType w:val="hybridMultilevel"/>
    <w:tmpl w:val="995AB574"/>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4">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CA419EA"/>
    <w:multiLevelType w:val="hybridMultilevel"/>
    <w:tmpl w:val="AF9218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29E58D0"/>
    <w:multiLevelType w:val="hybridMultilevel"/>
    <w:tmpl w:val="2D9AFC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57CE45B9"/>
    <w:multiLevelType w:val="hybridMultilevel"/>
    <w:tmpl w:val="B4BAF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4">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70B6C80"/>
    <w:multiLevelType w:val="hybridMultilevel"/>
    <w:tmpl w:val="F3A6C2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75518304">
    <w:abstractNumId w:val="5"/>
  </w:num>
  <w:num w:numId="2" w16cid:durableId="891158826">
    <w:abstractNumId w:val="19"/>
  </w:num>
  <w:num w:numId="3" w16cid:durableId="249699039">
    <w:abstractNumId w:val="4"/>
  </w:num>
  <w:num w:numId="4" w16cid:durableId="162748313">
    <w:abstractNumId w:val="25"/>
  </w:num>
  <w:num w:numId="5" w16cid:durableId="50733220">
    <w:abstractNumId w:val="13"/>
  </w:num>
  <w:num w:numId="6" w16cid:durableId="470441349">
    <w:abstractNumId w:val="31"/>
  </w:num>
  <w:num w:numId="7" w16cid:durableId="455411009">
    <w:abstractNumId w:val="3"/>
  </w:num>
  <w:num w:numId="8" w16cid:durableId="2104299524">
    <w:abstractNumId w:val="8"/>
  </w:num>
  <w:num w:numId="9" w16cid:durableId="1532916032">
    <w:abstractNumId w:val="12"/>
  </w:num>
  <w:num w:numId="10" w16cid:durableId="1193763068">
    <w:abstractNumId w:val="30"/>
  </w:num>
  <w:num w:numId="11" w16cid:durableId="833955801">
    <w:abstractNumId w:val="33"/>
  </w:num>
  <w:num w:numId="12" w16cid:durableId="1045331586">
    <w:abstractNumId w:val="28"/>
  </w:num>
  <w:num w:numId="13" w16cid:durableId="1699117465">
    <w:abstractNumId w:val="24"/>
  </w:num>
  <w:num w:numId="14" w16cid:durableId="1521358211">
    <w:abstractNumId w:val="29"/>
  </w:num>
  <w:num w:numId="15" w16cid:durableId="1791317965">
    <w:abstractNumId w:val="14"/>
  </w:num>
  <w:num w:numId="16" w16cid:durableId="1058473067">
    <w:abstractNumId w:val="23"/>
  </w:num>
  <w:num w:numId="17" w16cid:durableId="313608073">
    <w:abstractNumId w:val="11"/>
  </w:num>
  <w:num w:numId="18" w16cid:durableId="1833641777">
    <w:abstractNumId w:val="7"/>
  </w:num>
  <w:num w:numId="19" w16cid:durableId="65998114">
    <w:abstractNumId w:val="6"/>
  </w:num>
  <w:num w:numId="20" w16cid:durableId="1390766384">
    <w:abstractNumId w:val="21"/>
  </w:num>
  <w:num w:numId="21" w16cid:durableId="1045132449">
    <w:abstractNumId w:val="0"/>
  </w:num>
  <w:num w:numId="22" w16cid:durableId="2052071781">
    <w:abstractNumId w:val="1"/>
  </w:num>
  <w:num w:numId="23" w16cid:durableId="1974292560">
    <w:abstractNumId w:val="16"/>
  </w:num>
  <w:num w:numId="24" w16cid:durableId="1306160711">
    <w:abstractNumId w:val="2"/>
  </w:num>
  <w:num w:numId="25" w16cid:durableId="681394635">
    <w:abstractNumId w:val="9"/>
  </w:num>
  <w:num w:numId="26" w16cid:durableId="1566644980">
    <w:abstractNumId w:val="20"/>
  </w:num>
  <w:num w:numId="27" w16cid:durableId="1799836032">
    <w:abstractNumId w:val="32"/>
  </w:num>
  <w:num w:numId="28" w16cid:durableId="826286705">
    <w:abstractNumId w:val="26"/>
  </w:num>
  <w:num w:numId="29" w16cid:durableId="334457368">
    <w:abstractNumId w:val="18"/>
  </w:num>
  <w:num w:numId="30" w16cid:durableId="1612978005">
    <w:abstractNumId w:val="22"/>
  </w:num>
  <w:num w:numId="31" w16cid:durableId="621770850">
    <w:abstractNumId w:val="17"/>
  </w:num>
  <w:num w:numId="32" w16cid:durableId="808471399">
    <w:abstractNumId w:val="10"/>
  </w:num>
  <w:num w:numId="33" w16cid:durableId="296616604">
    <w:abstractNumId w:val="15"/>
  </w:num>
  <w:num w:numId="34" w16cid:durableId="3821132">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5A4"/>
    <w:rsid w:val="0001255D"/>
    <w:rsid w:val="00020CD7"/>
    <w:rsid w:val="00024D4E"/>
    <w:rsid w:val="00026F2A"/>
    <w:rsid w:val="00027E79"/>
    <w:rsid w:val="00032E81"/>
    <w:rsid w:val="00035DA4"/>
    <w:rsid w:val="00036A4A"/>
    <w:rsid w:val="00037760"/>
    <w:rsid w:val="0004063C"/>
    <w:rsid w:val="00040833"/>
    <w:rsid w:val="0004247F"/>
    <w:rsid w:val="00054492"/>
    <w:rsid w:val="00062AFB"/>
    <w:rsid w:val="000655DD"/>
    <w:rsid w:val="00066A2D"/>
    <w:rsid w:val="00071F79"/>
    <w:rsid w:val="0007251B"/>
    <w:rsid w:val="000733A5"/>
    <w:rsid w:val="000822AE"/>
    <w:rsid w:val="00082C40"/>
    <w:rsid w:val="00082C5B"/>
    <w:rsid w:val="00083227"/>
    <w:rsid w:val="00086CBE"/>
    <w:rsid w:val="00090812"/>
    <w:rsid w:val="000921F0"/>
    <w:rsid w:val="0009667A"/>
    <w:rsid w:val="00097560"/>
    <w:rsid w:val="000A012A"/>
    <w:rsid w:val="000A0F14"/>
    <w:rsid w:val="000B02B8"/>
    <w:rsid w:val="000B5156"/>
    <w:rsid w:val="000D31B6"/>
    <w:rsid w:val="000D4E9A"/>
    <w:rsid w:val="000D7D44"/>
    <w:rsid w:val="000E6004"/>
    <w:rsid w:val="000F16B9"/>
    <w:rsid w:val="000F1E4A"/>
    <w:rsid w:val="00100D34"/>
    <w:rsid w:val="00103B44"/>
    <w:rsid w:val="00103EFD"/>
    <w:rsid w:val="001055A9"/>
    <w:rsid w:val="00107D87"/>
    <w:rsid w:val="00120497"/>
    <w:rsid w:val="00122B35"/>
    <w:rsid w:val="001253F4"/>
    <w:rsid w:val="00125445"/>
    <w:rsid w:val="00142387"/>
    <w:rsid w:val="0014374A"/>
    <w:rsid w:val="0014480D"/>
    <w:rsid w:val="00144840"/>
    <w:rsid w:val="001474EE"/>
    <w:rsid w:val="001551C6"/>
    <w:rsid w:val="001562D2"/>
    <w:rsid w:val="00157482"/>
    <w:rsid w:val="00165A5D"/>
    <w:rsid w:val="001679D5"/>
    <w:rsid w:val="001707D8"/>
    <w:rsid w:val="0017345E"/>
    <w:rsid w:val="00180D94"/>
    <w:rsid w:val="00183AC8"/>
    <w:rsid w:val="0018668D"/>
    <w:rsid w:val="00196A24"/>
    <w:rsid w:val="0019762C"/>
    <w:rsid w:val="001A14B7"/>
    <w:rsid w:val="001A59B6"/>
    <w:rsid w:val="001B0A76"/>
    <w:rsid w:val="001B3136"/>
    <w:rsid w:val="001C1B3F"/>
    <w:rsid w:val="001C6F57"/>
    <w:rsid w:val="001E39D3"/>
    <w:rsid w:val="001E6CD1"/>
    <w:rsid w:val="001F57F5"/>
    <w:rsid w:val="00202494"/>
    <w:rsid w:val="0020401C"/>
    <w:rsid w:val="0020629A"/>
    <w:rsid w:val="00206E11"/>
    <w:rsid w:val="00206FE3"/>
    <w:rsid w:val="00207554"/>
    <w:rsid w:val="00211261"/>
    <w:rsid w:val="0023068C"/>
    <w:rsid w:val="002375A0"/>
    <w:rsid w:val="00243828"/>
    <w:rsid w:val="002517BB"/>
    <w:rsid w:val="00252AA1"/>
    <w:rsid w:val="00253D03"/>
    <w:rsid w:val="00256E24"/>
    <w:rsid w:val="00260A48"/>
    <w:rsid w:val="00260F1A"/>
    <w:rsid w:val="00265491"/>
    <w:rsid w:val="00274275"/>
    <w:rsid w:val="00276CE2"/>
    <w:rsid w:val="002841BD"/>
    <w:rsid w:val="00287AF1"/>
    <w:rsid w:val="002953C5"/>
    <w:rsid w:val="002A41C6"/>
    <w:rsid w:val="002B785B"/>
    <w:rsid w:val="002C12C6"/>
    <w:rsid w:val="002C5F88"/>
    <w:rsid w:val="002D0262"/>
    <w:rsid w:val="002D4C63"/>
    <w:rsid w:val="002E1E07"/>
    <w:rsid w:val="002E6CCF"/>
    <w:rsid w:val="002F33D0"/>
    <w:rsid w:val="00300722"/>
    <w:rsid w:val="0030316D"/>
    <w:rsid w:val="00304523"/>
    <w:rsid w:val="003047D7"/>
    <w:rsid w:val="00304B63"/>
    <w:rsid w:val="00305969"/>
    <w:rsid w:val="0030760F"/>
    <w:rsid w:val="00313DB6"/>
    <w:rsid w:val="00314AD7"/>
    <w:rsid w:val="00335E4B"/>
    <w:rsid w:val="0035061C"/>
    <w:rsid w:val="00352AB5"/>
    <w:rsid w:val="003608BE"/>
    <w:rsid w:val="00362F07"/>
    <w:rsid w:val="00373D2F"/>
    <w:rsid w:val="00373E87"/>
    <w:rsid w:val="00380E2D"/>
    <w:rsid w:val="00390F85"/>
    <w:rsid w:val="00394470"/>
    <w:rsid w:val="003A27ED"/>
    <w:rsid w:val="003A7774"/>
    <w:rsid w:val="003B4CC4"/>
    <w:rsid w:val="003B5AA2"/>
    <w:rsid w:val="003C7358"/>
    <w:rsid w:val="003E2A60"/>
    <w:rsid w:val="003E4F3F"/>
    <w:rsid w:val="003E61F6"/>
    <w:rsid w:val="003F277D"/>
    <w:rsid w:val="003F4AAF"/>
    <w:rsid w:val="004050F2"/>
    <w:rsid w:val="0040729D"/>
    <w:rsid w:val="00407537"/>
    <w:rsid w:val="0041271C"/>
    <w:rsid w:val="004165BD"/>
    <w:rsid w:val="0042220D"/>
    <w:rsid w:val="00432C51"/>
    <w:rsid w:val="0043377A"/>
    <w:rsid w:val="00437489"/>
    <w:rsid w:val="004379B6"/>
    <w:rsid w:val="00437EEB"/>
    <w:rsid w:val="0044428E"/>
    <w:rsid w:val="00446465"/>
    <w:rsid w:val="00447B26"/>
    <w:rsid w:val="0045463F"/>
    <w:rsid w:val="00455AD8"/>
    <w:rsid w:val="00457640"/>
    <w:rsid w:val="00460D54"/>
    <w:rsid w:val="00461D3E"/>
    <w:rsid w:val="0046348C"/>
    <w:rsid w:val="004706CC"/>
    <w:rsid w:val="00486B87"/>
    <w:rsid w:val="00495861"/>
    <w:rsid w:val="004A4FA1"/>
    <w:rsid w:val="004B0297"/>
    <w:rsid w:val="004B11DB"/>
    <w:rsid w:val="004B6041"/>
    <w:rsid w:val="004B75AC"/>
    <w:rsid w:val="004C0951"/>
    <w:rsid w:val="004C1126"/>
    <w:rsid w:val="004C3644"/>
    <w:rsid w:val="004C4A5E"/>
    <w:rsid w:val="004C4A98"/>
    <w:rsid w:val="004D04D3"/>
    <w:rsid w:val="004D12DD"/>
    <w:rsid w:val="004D6995"/>
    <w:rsid w:val="004E5778"/>
    <w:rsid w:val="004E7ED8"/>
    <w:rsid w:val="004F2EAB"/>
    <w:rsid w:val="0050376D"/>
    <w:rsid w:val="00504B71"/>
    <w:rsid w:val="00511DA0"/>
    <w:rsid w:val="00512C25"/>
    <w:rsid w:val="00520FCA"/>
    <w:rsid w:val="005265AD"/>
    <w:rsid w:val="005302CB"/>
    <w:rsid w:val="00533FDB"/>
    <w:rsid w:val="00535788"/>
    <w:rsid w:val="00542032"/>
    <w:rsid w:val="00545787"/>
    <w:rsid w:val="0055434C"/>
    <w:rsid w:val="00561272"/>
    <w:rsid w:val="00562945"/>
    <w:rsid w:val="00564C9F"/>
    <w:rsid w:val="00566021"/>
    <w:rsid w:val="00570356"/>
    <w:rsid w:val="00570D4B"/>
    <w:rsid w:val="005734A2"/>
    <w:rsid w:val="005819D0"/>
    <w:rsid w:val="00581C07"/>
    <w:rsid w:val="005902D1"/>
    <w:rsid w:val="00591283"/>
    <w:rsid w:val="00596A82"/>
    <w:rsid w:val="005A0394"/>
    <w:rsid w:val="005A61CE"/>
    <w:rsid w:val="005A7E5A"/>
    <w:rsid w:val="005B1285"/>
    <w:rsid w:val="005B1410"/>
    <w:rsid w:val="005B40F5"/>
    <w:rsid w:val="005C3F38"/>
    <w:rsid w:val="005C4B14"/>
    <w:rsid w:val="005D14CE"/>
    <w:rsid w:val="005D4A40"/>
    <w:rsid w:val="005E493B"/>
    <w:rsid w:val="005E53B2"/>
    <w:rsid w:val="005F2951"/>
    <w:rsid w:val="006052FF"/>
    <w:rsid w:val="006064B3"/>
    <w:rsid w:val="00610830"/>
    <w:rsid w:val="00624DDC"/>
    <w:rsid w:val="006253B6"/>
    <w:rsid w:val="00625690"/>
    <w:rsid w:val="006257ED"/>
    <w:rsid w:val="00625AA7"/>
    <w:rsid w:val="0062686E"/>
    <w:rsid w:val="006300B9"/>
    <w:rsid w:val="00630B30"/>
    <w:rsid w:val="0063765D"/>
    <w:rsid w:val="006416D9"/>
    <w:rsid w:val="00645134"/>
    <w:rsid w:val="00651FF6"/>
    <w:rsid w:val="00654D43"/>
    <w:rsid w:val="0066054F"/>
    <w:rsid w:val="00664B17"/>
    <w:rsid w:val="0067029D"/>
    <w:rsid w:val="0067280E"/>
    <w:rsid w:val="006773B3"/>
    <w:rsid w:val="0068303E"/>
    <w:rsid w:val="0068383E"/>
    <w:rsid w:val="006850E4"/>
    <w:rsid w:val="0068616E"/>
    <w:rsid w:val="006A4D02"/>
    <w:rsid w:val="006B1BF9"/>
    <w:rsid w:val="006B31DA"/>
    <w:rsid w:val="006B4042"/>
    <w:rsid w:val="006B53F1"/>
    <w:rsid w:val="006B5DE3"/>
    <w:rsid w:val="006B6037"/>
    <w:rsid w:val="006B6E12"/>
    <w:rsid w:val="006C0E56"/>
    <w:rsid w:val="006D3602"/>
    <w:rsid w:val="006E4DA5"/>
    <w:rsid w:val="006E4F82"/>
    <w:rsid w:val="006E7F0F"/>
    <w:rsid w:val="006F5608"/>
    <w:rsid w:val="00704C53"/>
    <w:rsid w:val="0070649B"/>
    <w:rsid w:val="00706E18"/>
    <w:rsid w:val="00716419"/>
    <w:rsid w:val="00717BDC"/>
    <w:rsid w:val="00723A28"/>
    <w:rsid w:val="007278A5"/>
    <w:rsid w:val="0073445E"/>
    <w:rsid w:val="00736B62"/>
    <w:rsid w:val="007371C6"/>
    <w:rsid w:val="0075084E"/>
    <w:rsid w:val="007508D9"/>
    <w:rsid w:val="00751875"/>
    <w:rsid w:val="00764C85"/>
    <w:rsid w:val="00765631"/>
    <w:rsid w:val="007733D5"/>
    <w:rsid w:val="007758FE"/>
    <w:rsid w:val="00777A77"/>
    <w:rsid w:val="00785F02"/>
    <w:rsid w:val="00793E3E"/>
    <w:rsid w:val="007953C7"/>
    <w:rsid w:val="007A29C5"/>
    <w:rsid w:val="007B7F1A"/>
    <w:rsid w:val="007C0B50"/>
    <w:rsid w:val="007C1CDB"/>
    <w:rsid w:val="007C430D"/>
    <w:rsid w:val="007C7B4B"/>
    <w:rsid w:val="007D2790"/>
    <w:rsid w:val="007E2A85"/>
    <w:rsid w:val="007F56B0"/>
    <w:rsid w:val="00811057"/>
    <w:rsid w:val="00821725"/>
    <w:rsid w:val="0082207C"/>
    <w:rsid w:val="00823428"/>
    <w:rsid w:val="00836324"/>
    <w:rsid w:val="008369BA"/>
    <w:rsid w:val="00840D32"/>
    <w:rsid w:val="00843933"/>
    <w:rsid w:val="0084670F"/>
    <w:rsid w:val="00857151"/>
    <w:rsid w:val="00860AF9"/>
    <w:rsid w:val="00864C1F"/>
    <w:rsid w:val="00865412"/>
    <w:rsid w:val="008675FC"/>
    <w:rsid w:val="008677A7"/>
    <w:rsid w:val="00870D21"/>
    <w:rsid w:val="00870FA1"/>
    <w:rsid w:val="008750BE"/>
    <w:rsid w:val="00875220"/>
    <w:rsid w:val="00891CD9"/>
    <w:rsid w:val="00894728"/>
    <w:rsid w:val="008A21E3"/>
    <w:rsid w:val="008C645C"/>
    <w:rsid w:val="008C6902"/>
    <w:rsid w:val="008D19A4"/>
    <w:rsid w:val="008D7F25"/>
    <w:rsid w:val="008E0239"/>
    <w:rsid w:val="008E4718"/>
    <w:rsid w:val="008E6E2B"/>
    <w:rsid w:val="008F2446"/>
    <w:rsid w:val="008F6ADB"/>
    <w:rsid w:val="00900383"/>
    <w:rsid w:val="00901040"/>
    <w:rsid w:val="009024D5"/>
    <w:rsid w:val="00903438"/>
    <w:rsid w:val="009106E5"/>
    <w:rsid w:val="00911615"/>
    <w:rsid w:val="009135BE"/>
    <w:rsid w:val="009139B3"/>
    <w:rsid w:val="00923F25"/>
    <w:rsid w:val="00930C59"/>
    <w:rsid w:val="00934EE4"/>
    <w:rsid w:val="00944108"/>
    <w:rsid w:val="0095381F"/>
    <w:rsid w:val="00954871"/>
    <w:rsid w:val="009629FD"/>
    <w:rsid w:val="00963095"/>
    <w:rsid w:val="00963503"/>
    <w:rsid w:val="00965DBD"/>
    <w:rsid w:val="00971944"/>
    <w:rsid w:val="00973F1D"/>
    <w:rsid w:val="009750E4"/>
    <w:rsid w:val="00980FCC"/>
    <w:rsid w:val="009815C6"/>
    <w:rsid w:val="00983CEC"/>
    <w:rsid w:val="009912A0"/>
    <w:rsid w:val="0099586E"/>
    <w:rsid w:val="00996201"/>
    <w:rsid w:val="009A39E1"/>
    <w:rsid w:val="009A3AD8"/>
    <w:rsid w:val="009A46F1"/>
    <w:rsid w:val="009A6EE8"/>
    <w:rsid w:val="009A7CEC"/>
    <w:rsid w:val="009B0F58"/>
    <w:rsid w:val="009B1B8D"/>
    <w:rsid w:val="009B6B80"/>
    <w:rsid w:val="009C3380"/>
    <w:rsid w:val="009C45CF"/>
    <w:rsid w:val="009D2C60"/>
    <w:rsid w:val="009D5206"/>
    <w:rsid w:val="009E0A7E"/>
    <w:rsid w:val="009E2935"/>
    <w:rsid w:val="009E4339"/>
    <w:rsid w:val="009E4B12"/>
    <w:rsid w:val="009E7E38"/>
    <w:rsid w:val="009F265B"/>
    <w:rsid w:val="009F4230"/>
    <w:rsid w:val="009F482C"/>
    <w:rsid w:val="009F68DB"/>
    <w:rsid w:val="00A03E3F"/>
    <w:rsid w:val="00A05E04"/>
    <w:rsid w:val="00A1108E"/>
    <w:rsid w:val="00A142FC"/>
    <w:rsid w:val="00A16344"/>
    <w:rsid w:val="00A1759E"/>
    <w:rsid w:val="00A2743D"/>
    <w:rsid w:val="00A27CD0"/>
    <w:rsid w:val="00A31029"/>
    <w:rsid w:val="00A362B6"/>
    <w:rsid w:val="00A4183D"/>
    <w:rsid w:val="00A42C71"/>
    <w:rsid w:val="00A67DFF"/>
    <w:rsid w:val="00A71475"/>
    <w:rsid w:val="00A714DC"/>
    <w:rsid w:val="00A7179C"/>
    <w:rsid w:val="00A72AFE"/>
    <w:rsid w:val="00A733A8"/>
    <w:rsid w:val="00A761CB"/>
    <w:rsid w:val="00A85701"/>
    <w:rsid w:val="00A86583"/>
    <w:rsid w:val="00A86E58"/>
    <w:rsid w:val="00A87522"/>
    <w:rsid w:val="00A97D2A"/>
    <w:rsid w:val="00AA0C5F"/>
    <w:rsid w:val="00AA1365"/>
    <w:rsid w:val="00AA3023"/>
    <w:rsid w:val="00AB0207"/>
    <w:rsid w:val="00AB6208"/>
    <w:rsid w:val="00AD0190"/>
    <w:rsid w:val="00AD3261"/>
    <w:rsid w:val="00AD4355"/>
    <w:rsid w:val="00AE3F5F"/>
    <w:rsid w:val="00AF0B3A"/>
    <w:rsid w:val="00B05F1D"/>
    <w:rsid w:val="00B10DC0"/>
    <w:rsid w:val="00B13DC4"/>
    <w:rsid w:val="00B154CE"/>
    <w:rsid w:val="00B17B7C"/>
    <w:rsid w:val="00B23277"/>
    <w:rsid w:val="00B245AD"/>
    <w:rsid w:val="00B278E3"/>
    <w:rsid w:val="00B30D32"/>
    <w:rsid w:val="00B32B76"/>
    <w:rsid w:val="00B366BE"/>
    <w:rsid w:val="00B4182B"/>
    <w:rsid w:val="00B46330"/>
    <w:rsid w:val="00B55E54"/>
    <w:rsid w:val="00B56589"/>
    <w:rsid w:val="00B5795D"/>
    <w:rsid w:val="00B64D05"/>
    <w:rsid w:val="00B6600E"/>
    <w:rsid w:val="00B671A4"/>
    <w:rsid w:val="00B70460"/>
    <w:rsid w:val="00B72007"/>
    <w:rsid w:val="00B72C64"/>
    <w:rsid w:val="00B77FF6"/>
    <w:rsid w:val="00B802A0"/>
    <w:rsid w:val="00B860A7"/>
    <w:rsid w:val="00B91364"/>
    <w:rsid w:val="00B917DD"/>
    <w:rsid w:val="00B9425D"/>
    <w:rsid w:val="00B9441B"/>
    <w:rsid w:val="00B95ADD"/>
    <w:rsid w:val="00BA2D85"/>
    <w:rsid w:val="00BA5034"/>
    <w:rsid w:val="00BB4BF8"/>
    <w:rsid w:val="00BB5D3B"/>
    <w:rsid w:val="00BD702B"/>
    <w:rsid w:val="00BD7B78"/>
    <w:rsid w:val="00BE2AE6"/>
    <w:rsid w:val="00BE34AD"/>
    <w:rsid w:val="00BE45BC"/>
    <w:rsid w:val="00BE773B"/>
    <w:rsid w:val="00BE7CCC"/>
    <w:rsid w:val="00BF36E1"/>
    <w:rsid w:val="00BF542E"/>
    <w:rsid w:val="00C00ED9"/>
    <w:rsid w:val="00C05352"/>
    <w:rsid w:val="00C11481"/>
    <w:rsid w:val="00C14902"/>
    <w:rsid w:val="00C161C0"/>
    <w:rsid w:val="00C16E36"/>
    <w:rsid w:val="00C24A82"/>
    <w:rsid w:val="00C25DEB"/>
    <w:rsid w:val="00C268A2"/>
    <w:rsid w:val="00C279E6"/>
    <w:rsid w:val="00C31BF4"/>
    <w:rsid w:val="00C32404"/>
    <w:rsid w:val="00C32C8A"/>
    <w:rsid w:val="00C72712"/>
    <w:rsid w:val="00C73360"/>
    <w:rsid w:val="00C767A3"/>
    <w:rsid w:val="00C8176F"/>
    <w:rsid w:val="00C86CB2"/>
    <w:rsid w:val="00C91C71"/>
    <w:rsid w:val="00C9346A"/>
    <w:rsid w:val="00C95126"/>
    <w:rsid w:val="00CA72A5"/>
    <w:rsid w:val="00CC07BF"/>
    <w:rsid w:val="00CC4651"/>
    <w:rsid w:val="00CC6120"/>
    <w:rsid w:val="00CD61C0"/>
    <w:rsid w:val="00CE018E"/>
    <w:rsid w:val="00CE0751"/>
    <w:rsid w:val="00CE46C9"/>
    <w:rsid w:val="00CE54A3"/>
    <w:rsid w:val="00CE636B"/>
    <w:rsid w:val="00CE7A4A"/>
    <w:rsid w:val="00CF350D"/>
    <w:rsid w:val="00D01C24"/>
    <w:rsid w:val="00D039C6"/>
    <w:rsid w:val="00D04C57"/>
    <w:rsid w:val="00D1044B"/>
    <w:rsid w:val="00D1343F"/>
    <w:rsid w:val="00D13AA8"/>
    <w:rsid w:val="00D20735"/>
    <w:rsid w:val="00D239B5"/>
    <w:rsid w:val="00D250CC"/>
    <w:rsid w:val="00D25700"/>
    <w:rsid w:val="00D26542"/>
    <w:rsid w:val="00D32B72"/>
    <w:rsid w:val="00D34BB6"/>
    <w:rsid w:val="00D361ED"/>
    <w:rsid w:val="00D4033C"/>
    <w:rsid w:val="00D45504"/>
    <w:rsid w:val="00D5346A"/>
    <w:rsid w:val="00D55767"/>
    <w:rsid w:val="00D611AC"/>
    <w:rsid w:val="00D631A1"/>
    <w:rsid w:val="00D71BA0"/>
    <w:rsid w:val="00D73ABF"/>
    <w:rsid w:val="00D74249"/>
    <w:rsid w:val="00D749DF"/>
    <w:rsid w:val="00D81DE6"/>
    <w:rsid w:val="00D8215A"/>
    <w:rsid w:val="00D82755"/>
    <w:rsid w:val="00D82E67"/>
    <w:rsid w:val="00D831AC"/>
    <w:rsid w:val="00D83204"/>
    <w:rsid w:val="00D86CA5"/>
    <w:rsid w:val="00D87E56"/>
    <w:rsid w:val="00D95E35"/>
    <w:rsid w:val="00D97048"/>
    <w:rsid w:val="00D97926"/>
    <w:rsid w:val="00DA1A6D"/>
    <w:rsid w:val="00DA3557"/>
    <w:rsid w:val="00DA4701"/>
    <w:rsid w:val="00DA64F7"/>
    <w:rsid w:val="00DC428F"/>
    <w:rsid w:val="00DC65F2"/>
    <w:rsid w:val="00DC7876"/>
    <w:rsid w:val="00DC7DD5"/>
    <w:rsid w:val="00DD2C8D"/>
    <w:rsid w:val="00DD6BD6"/>
    <w:rsid w:val="00DD72D3"/>
    <w:rsid w:val="00DE119D"/>
    <w:rsid w:val="00DE3ED7"/>
    <w:rsid w:val="00DE6B7A"/>
    <w:rsid w:val="00DF1291"/>
    <w:rsid w:val="00DF2516"/>
    <w:rsid w:val="00E04F83"/>
    <w:rsid w:val="00E1392C"/>
    <w:rsid w:val="00E14672"/>
    <w:rsid w:val="00E22AC6"/>
    <w:rsid w:val="00E24830"/>
    <w:rsid w:val="00E2485C"/>
    <w:rsid w:val="00E318A6"/>
    <w:rsid w:val="00E35141"/>
    <w:rsid w:val="00E412BB"/>
    <w:rsid w:val="00E41C62"/>
    <w:rsid w:val="00E41EE9"/>
    <w:rsid w:val="00E42290"/>
    <w:rsid w:val="00E44CDF"/>
    <w:rsid w:val="00E461D4"/>
    <w:rsid w:val="00E51144"/>
    <w:rsid w:val="00E62285"/>
    <w:rsid w:val="00E62819"/>
    <w:rsid w:val="00E71E25"/>
    <w:rsid w:val="00E804D0"/>
    <w:rsid w:val="00E80FC0"/>
    <w:rsid w:val="00E85AFC"/>
    <w:rsid w:val="00E9045F"/>
    <w:rsid w:val="00E93D08"/>
    <w:rsid w:val="00E962F5"/>
    <w:rsid w:val="00EA0D4F"/>
    <w:rsid w:val="00EA26EE"/>
    <w:rsid w:val="00EA405B"/>
    <w:rsid w:val="00EB168F"/>
    <w:rsid w:val="00EB4C26"/>
    <w:rsid w:val="00EB6134"/>
    <w:rsid w:val="00EC1A6C"/>
    <w:rsid w:val="00EC34D8"/>
    <w:rsid w:val="00EC4A12"/>
    <w:rsid w:val="00EC6C9C"/>
    <w:rsid w:val="00EC7D41"/>
    <w:rsid w:val="00ED7509"/>
    <w:rsid w:val="00EE2A16"/>
    <w:rsid w:val="00EE38AF"/>
    <w:rsid w:val="00EF254B"/>
    <w:rsid w:val="00EF490B"/>
    <w:rsid w:val="00EF4FF2"/>
    <w:rsid w:val="00F01B92"/>
    <w:rsid w:val="00F071DE"/>
    <w:rsid w:val="00F07D3A"/>
    <w:rsid w:val="00F11408"/>
    <w:rsid w:val="00F127F2"/>
    <w:rsid w:val="00F15C81"/>
    <w:rsid w:val="00F25D6B"/>
    <w:rsid w:val="00F25DDD"/>
    <w:rsid w:val="00F26D9C"/>
    <w:rsid w:val="00F3792B"/>
    <w:rsid w:val="00F42246"/>
    <w:rsid w:val="00F442A5"/>
    <w:rsid w:val="00F447F0"/>
    <w:rsid w:val="00F45C22"/>
    <w:rsid w:val="00F54E89"/>
    <w:rsid w:val="00F57CEC"/>
    <w:rsid w:val="00F671E6"/>
    <w:rsid w:val="00F74630"/>
    <w:rsid w:val="00F8477F"/>
    <w:rsid w:val="00F859D9"/>
    <w:rsid w:val="00F9122A"/>
    <w:rsid w:val="00F95C24"/>
    <w:rsid w:val="00F967D8"/>
    <w:rsid w:val="00F97B3D"/>
    <w:rsid w:val="00FA2A7A"/>
    <w:rsid w:val="00FA3CD2"/>
    <w:rsid w:val="00FA4F92"/>
    <w:rsid w:val="00FA6D2C"/>
    <w:rsid w:val="00FB0A2D"/>
    <w:rsid w:val="00FB5BF6"/>
    <w:rsid w:val="00FC779A"/>
    <w:rsid w:val="00FC7CF0"/>
    <w:rsid w:val="00FD0AAC"/>
    <w:rsid w:val="00FE3C88"/>
    <w:rsid w:val="00FE6D96"/>
    <w:rsid w:val="00FF1A0A"/>
    <w:rsid w:val="00FF5C51"/>
    <w:rsid w:val="00FF656D"/>
    <w:rsid w:val="06828D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E4814205-9EE8-474E-82FC-AC88571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60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iPriority w:val="99"/>
    <w:unhideWhenUsed/>
    <w:qFormat/>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rsid w:val="00B55E54"/>
    <w:rPr>
      <w:sz w:val="20"/>
      <w:szCs w:val="20"/>
    </w:rPr>
  </w:style>
  <w:style w:type="character" w:styleId="FootnoteReference">
    <w:name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paragraph" w:styleId="BodyText">
    <w:name w:val="Body Text"/>
    <w:basedOn w:val="Normal"/>
    <w:link w:val="BodyTextChar"/>
    <w:unhideWhenUsed/>
    <w:qFormat/>
    <w:rsid w:val="0017345E"/>
    <w:pPr>
      <w:spacing w:after="240" w:line="280" w:lineRule="atLeas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7345E"/>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457640"/>
    <w:rPr>
      <w:color w:val="605E5C"/>
      <w:shd w:val="clear" w:color="auto" w:fill="E1DFDD"/>
    </w:rPr>
  </w:style>
  <w:style w:type="character" w:styleId="FollowedHyperlink">
    <w:name w:val="FollowedHyperlink"/>
    <w:basedOn w:val="DefaultParagraphFont"/>
    <w:uiPriority w:val="99"/>
    <w:semiHidden/>
    <w:unhideWhenUsed/>
    <w:rsid w:val="00457640"/>
    <w:rPr>
      <w:color w:val="800080" w:themeColor="followedHyperlink"/>
      <w:u w:val="single"/>
    </w:rPr>
  </w:style>
  <w:style w:type="character" w:styleId="Mention">
    <w:name w:val="Mention"/>
    <w:basedOn w:val="DefaultParagraphFont"/>
    <w:uiPriority w:val="99"/>
    <w:unhideWhenUsed/>
    <w:rsid w:val="00860AF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rpfeffer@rti.org" TargetMode="External" /><Relationship Id="rId11" Type="http://schemas.openxmlformats.org/officeDocument/2006/relationships/hyperlink" Target="mailto:scharm@rti.org" TargetMode="External" /><Relationship Id="rId12" Type="http://schemas.openxmlformats.org/officeDocument/2006/relationships/hyperlink" Target="https://www.rmff.org/wp-content/uploads/2023/05/20230504-PreventionMatters-Evaluation-RTI-Year4FinalReport-FINAL-1.pdf"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ary.mueggenborg@acf.hhs.gov" TargetMode="External" /><Relationship Id="rId9" Type="http://schemas.openxmlformats.org/officeDocument/2006/relationships/hyperlink" Target="mailto:kelly.mckenzie@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5DD5513ECB3D4ABE583A76F58F31DA" ma:contentTypeVersion="6" ma:contentTypeDescription="Create a new document." ma:contentTypeScope="" ma:versionID="d6180b1268264a3d13d728e4b74e8912">
  <xsd:schema xmlns:xsd="http://www.w3.org/2001/XMLSchema" xmlns:xs="http://www.w3.org/2001/XMLSchema" xmlns:p="http://schemas.microsoft.com/office/2006/metadata/properties" xmlns:ns2="6e0c3700-0a96-427f-ad74-1c261372d040" xmlns:ns3="1b79075b-ae78-4e19-83b6-8b77291216f9" targetNamespace="http://schemas.microsoft.com/office/2006/metadata/properties" ma:root="true" ma:fieldsID="c8b25f2818a65e9587168201d37663b2" ns2:_="" ns3:_="">
    <xsd:import namespace="6e0c3700-0a96-427f-ad74-1c261372d040"/>
    <xsd:import namespace="1b79075b-ae78-4e19-83b6-8b77291216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c3700-0a96-427f-ad74-1c261372d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79075b-ae78-4e19-83b6-8b77291216f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3.xml><?xml version="1.0" encoding="utf-8"?>
<ds:datastoreItem xmlns:ds="http://schemas.openxmlformats.org/officeDocument/2006/customXml" ds:itemID="{805E77A4-42EA-4FAD-88AC-0F76EE55C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c3700-0a96-427f-ad74-1c261372d040"/>
    <ds:schemaRef ds:uri="1b79075b-ae78-4e19-83b6-8b7729121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1857B3-5EBF-4176-856C-69232CD8CECD}">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6</TotalTime>
  <Pages>11</Pages>
  <Words>3539</Words>
  <Characters>20177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Charm, Samantha</dc:creator>
  <cp:lastModifiedBy>Mueggenborg, Mary (ACF)</cp:lastModifiedBy>
  <cp:revision>4</cp:revision>
  <dcterms:created xsi:type="dcterms:W3CDTF">2026-05-11T16:54:00Z</dcterms:created>
  <dcterms:modified xsi:type="dcterms:W3CDTF">2026-05-12T19:14:00Z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0x010100FC5DD5513ECB3D4ABE583A76F58F31DA</vt:lpwstr>
  </property>
</Properties>
</file>