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A0487" w14:paraId="6CA66D56" w14:textId="77777777">
      <w:pPr>
        <w:spacing w:after="0" w:line="259" w:lineRule="auto"/>
        <w:jc w:val="center"/>
      </w:pPr>
      <w:r>
        <w:t xml:space="preserve">Supporting Statement, Part A </w:t>
      </w:r>
    </w:p>
    <w:p w:rsidR="00AA0487" w14:paraId="47BD6C56" w14:textId="77777777">
      <w:pPr>
        <w:spacing w:after="0" w:line="259" w:lineRule="auto"/>
        <w:jc w:val="center"/>
      </w:pPr>
      <w:r>
        <w:t xml:space="preserve">Medicare Advantage Appeals and Grievance </w:t>
      </w:r>
    </w:p>
    <w:p w:rsidR="00AA0487" w14:paraId="48F1EEE4" w14:textId="77777777">
      <w:pPr>
        <w:spacing w:after="0" w:line="259" w:lineRule="auto"/>
        <w:ind w:right="3"/>
        <w:jc w:val="center"/>
      </w:pPr>
      <w:r>
        <w:t xml:space="preserve">Data Form  </w:t>
      </w:r>
    </w:p>
    <w:p w:rsidR="00AA0487" w14:paraId="04667DE5" w14:textId="77777777">
      <w:pPr>
        <w:spacing w:after="33" w:line="259" w:lineRule="auto"/>
        <w:ind w:right="1"/>
        <w:jc w:val="center"/>
      </w:pPr>
      <w:r>
        <w:t xml:space="preserve">(CMS-R-282; OMB 0938-0778) </w:t>
      </w:r>
    </w:p>
    <w:p w:rsidR="00AA0487" w14:paraId="6AF85E3B" w14:textId="77777777">
      <w:pPr>
        <w:spacing w:after="0" w:line="259" w:lineRule="auto"/>
        <w:ind w:left="91" w:firstLine="0"/>
      </w:pPr>
      <w:r>
        <w:t xml:space="preserve">  </w:t>
      </w:r>
    </w:p>
    <w:p w:rsidR="00AA0487" w14:paraId="5543E56F" w14:textId="77777777">
      <w:pPr>
        <w:pStyle w:val="Heading1"/>
        <w:ind w:left="67"/>
      </w:pPr>
      <w:r>
        <w:t xml:space="preserve">Background </w:t>
      </w:r>
    </w:p>
    <w:p w:rsidR="00AA0487" w14:paraId="28C5B1A9" w14:textId="77777777">
      <w:pPr>
        <w:spacing w:after="0" w:line="259" w:lineRule="auto"/>
        <w:ind w:left="91" w:firstLine="0"/>
      </w:pPr>
      <w:r>
        <w:t xml:space="preserve">  </w:t>
      </w:r>
    </w:p>
    <w:p w:rsidR="00AA0487" w14:paraId="433D6E2C" w14:textId="77777777">
      <w:pPr>
        <w:ind w:left="125"/>
      </w:pPr>
      <w:r>
        <w:t xml:space="preserve">Part 422 of Title 42 of the Code of Federal Regulations (CFR) distinguishes between certain information a Medicare Advantage (MA) organization must provide to each enrollee (on an annual basis) and information that the MA organization must disclose to any MA eligible individual (upon request).  This requirement can be found in § </w:t>
      </w:r>
    </w:p>
    <w:p w:rsidR="00AA0487" w14:paraId="26B8564B" w14:textId="77777777">
      <w:pPr>
        <w:ind w:left="130"/>
      </w:pPr>
      <w:r>
        <w:t xml:space="preserve">1852(c)(2)(C) of the Social Security Act and in 42 CFR § 422.111(c)(3) which states that MA organizations must disclose information pertaining to the number of disputes, and their disposition in the aggregate, with the categories of grievances and appeals, to any individual eligible to elect an MA organization who requests this information.  Medicare demonstrations also are required to conform to MA appeals regulations and thus are included in the count of organizations.  Such demonstrations, as well as MA organizations, are collectively referred to as “MA plans” in this Supporting Statement.  Data collection/disclosure categories are based on the MA plan’s grievance and appeals processes as prescribed under 42 CFR part 422, subpart M. </w:t>
      </w:r>
    </w:p>
    <w:p w:rsidR="00AA0487" w14:paraId="08D33997" w14:textId="77777777">
      <w:pPr>
        <w:spacing w:after="0" w:line="259" w:lineRule="auto"/>
        <w:ind w:left="0" w:firstLine="0"/>
      </w:pPr>
      <w:r>
        <w:t xml:space="preserve">  </w:t>
      </w:r>
    </w:p>
    <w:p w:rsidR="00AA0487" w14:paraId="2A550E21" w14:textId="77777777">
      <w:pPr>
        <w:ind w:left="125"/>
      </w:pPr>
      <w:r>
        <w:t xml:space="preserve">An organization determination, defined in 42 CFR § 422.566, is a MA plan’s coverage decision – i.e., the decision whether to pay for or provide an item or service.  When a MA plan denies coverage, an enrollee may dispute the adverse organization determination (denial).  When an MA plan reconsiders its adverse organization determination, the reconsideration marks the beginning of the appeals process. </w:t>
      </w:r>
    </w:p>
    <w:p w:rsidR="00AA0487" w14:paraId="1C0BCB47" w14:textId="77777777">
      <w:pPr>
        <w:spacing w:after="0" w:line="259" w:lineRule="auto"/>
        <w:ind w:left="115" w:firstLine="0"/>
      </w:pPr>
      <w:r>
        <w:t xml:space="preserve">  </w:t>
      </w:r>
    </w:p>
    <w:p w:rsidR="00AA0487" w14:paraId="0B821A9E" w14:textId="77777777">
      <w:pPr>
        <w:ind w:left="101"/>
      </w:pPr>
      <w:r>
        <w:t xml:space="preserve">42 CFR § 422.561 defines </w:t>
      </w:r>
      <w:r>
        <w:t>a grievance</w:t>
      </w:r>
      <w:r>
        <w:t xml:space="preserve"> as any complaint or dispute other than one involving an organization determination as defined in 42 CFR § 422.566(b).  The Balanced Budget Act (BBA) of 1997 required that MA organizations provide appeals and grievance data to beneficiaries beginning January 1, 1999. </w:t>
      </w:r>
    </w:p>
    <w:p w:rsidR="00AA0487" w14:paraId="1943DF3D" w14:textId="77777777">
      <w:pPr>
        <w:spacing w:after="0" w:line="259" w:lineRule="auto"/>
        <w:ind w:left="0" w:firstLine="0"/>
      </w:pPr>
      <w:r>
        <w:t xml:space="preserve">  </w:t>
      </w:r>
    </w:p>
    <w:p w:rsidR="00AA0487" w14:paraId="5BD7F7B5" w14:textId="77777777">
      <w:pPr>
        <w:ind w:left="101"/>
      </w:pPr>
      <w:r>
        <w:t xml:space="preserve">As part of CMS's continued effort to provide information to beneficiaries concerning their MA plan choices, MA plans must report appeals and grievance data requested by any individual eligible to elect an MA plan.  The individual may use this data to evaluate and compare plan performance. </w:t>
      </w:r>
    </w:p>
    <w:p w:rsidR="00AA0487" w14:paraId="0746BEB6" w14:textId="77777777">
      <w:pPr>
        <w:spacing w:after="0" w:line="259" w:lineRule="auto"/>
        <w:ind w:left="91" w:firstLine="0"/>
      </w:pPr>
      <w:r>
        <w:t xml:space="preserve">  </w:t>
      </w:r>
    </w:p>
    <w:p w:rsidR="00AA0487" w14:paraId="400F0B6F" w14:textId="77777777">
      <w:pPr>
        <w:ind w:left="96"/>
      </w:pPr>
      <w:r>
        <w:t xml:space="preserve">We are requesting an extension of the currently approved collection CMS-R-282. There are no revisions to this collection.  </w:t>
      </w:r>
    </w:p>
    <w:p w:rsidR="00AA0487" w14:paraId="1C366776" w14:textId="77777777">
      <w:pPr>
        <w:spacing w:after="0" w:line="259" w:lineRule="auto"/>
        <w:ind w:left="91" w:firstLine="0"/>
      </w:pPr>
      <w:r>
        <w:t xml:space="preserve"> </w:t>
      </w:r>
    </w:p>
    <w:p w:rsidR="00E04071" w14:paraId="702B6639" w14:textId="77777777">
      <w:pPr>
        <w:spacing w:after="0" w:line="259" w:lineRule="auto"/>
        <w:ind w:left="91" w:firstLine="0"/>
      </w:pPr>
    </w:p>
    <w:p w:rsidR="00AA0487" w14:paraId="6E2BCDF1" w14:textId="77777777">
      <w:pPr>
        <w:spacing w:after="0" w:line="259" w:lineRule="auto"/>
        <w:ind w:left="91" w:firstLine="0"/>
      </w:pPr>
      <w:r>
        <w:t xml:space="preserve"> </w:t>
      </w:r>
    </w:p>
    <w:p w:rsidR="00AA0487" w14:paraId="2188799C" w14:textId="77777777">
      <w:pPr>
        <w:pStyle w:val="Heading1"/>
        <w:ind w:left="67"/>
      </w:pPr>
      <w:r>
        <w:t xml:space="preserve">A.  Justification </w:t>
      </w:r>
    </w:p>
    <w:p w:rsidR="00AA0487" w14:paraId="0BAE0E3F" w14:textId="77777777">
      <w:pPr>
        <w:spacing w:after="0" w:line="259" w:lineRule="auto"/>
        <w:ind w:left="14" w:firstLine="0"/>
      </w:pPr>
      <w:r>
        <w:rPr>
          <w:rFonts w:ascii="Calibri" w:eastAsia="Calibri" w:hAnsi="Calibri" w:cs="Calibri"/>
        </w:rPr>
        <w:t xml:space="preserve"> </w:t>
      </w:r>
      <w:r>
        <w:t xml:space="preserve"> </w:t>
      </w:r>
    </w:p>
    <w:p w:rsidR="00AA0487" w14:paraId="2F653FAF" w14:textId="77777777">
      <w:pPr>
        <w:pStyle w:val="Heading2"/>
        <w:ind w:left="67"/>
      </w:pPr>
      <w:r>
        <w:rPr>
          <w:u w:val="none"/>
        </w:rPr>
        <w:t xml:space="preserve">1. </w:t>
      </w:r>
      <w:r>
        <w:t>Need and Legal Basis</w:t>
      </w:r>
      <w:r>
        <w:rPr>
          <w:u w:val="none"/>
        </w:rPr>
        <w:t xml:space="preserve"> </w:t>
      </w:r>
    </w:p>
    <w:p w:rsidR="00AA0487" w:rsidP="00CC077D" w14:paraId="5A48EA46" w14:textId="6637173B">
      <w:pPr>
        <w:tabs>
          <w:tab w:val="left" w:pos="8535"/>
        </w:tabs>
        <w:spacing w:after="0" w:line="259" w:lineRule="auto"/>
        <w:ind w:left="14" w:firstLine="0"/>
      </w:pPr>
      <w:r>
        <w:rPr>
          <w:rFonts w:ascii="Calibri" w:eastAsia="Calibri" w:hAnsi="Calibri" w:cs="Calibri"/>
          <w:sz w:val="26"/>
        </w:rPr>
        <w:t xml:space="preserve"> </w:t>
      </w:r>
      <w:r>
        <w:t xml:space="preserve"> </w:t>
      </w:r>
      <w:r w:rsidR="00CC077D">
        <w:tab/>
      </w:r>
    </w:p>
    <w:p w:rsidR="00AA0487" w14:paraId="3A506722" w14:textId="77777777">
      <w:pPr>
        <w:spacing w:after="41"/>
        <w:ind w:left="525"/>
      </w:pPr>
      <w:r>
        <w:t xml:space="preserve">MA plans disclose grievances and </w:t>
      </w:r>
      <w:r>
        <w:t>appeals</w:t>
      </w:r>
      <w:r>
        <w:t xml:space="preserve"> information pertaining to the number of disputes and their disposition, in the aggregate, to any MA plan eligible individual who requests this information.  This disclosure is pursuant to § 1852(c)(2)(C) of the Social Security Act and 42 CFR § 422.111(c)(3). </w:t>
      </w:r>
    </w:p>
    <w:p w:rsidR="00AA0487" w14:paraId="399145D0" w14:textId="77777777">
      <w:pPr>
        <w:spacing w:after="0" w:line="259" w:lineRule="auto"/>
        <w:ind w:left="14" w:firstLine="0"/>
      </w:pPr>
      <w:r>
        <w:t xml:space="preserve"> </w:t>
      </w:r>
    </w:p>
    <w:p w:rsidR="00AA0487" w14:paraId="15301AD3" w14:textId="77777777">
      <w:pPr>
        <w:spacing w:after="13" w:line="244" w:lineRule="auto"/>
        <w:ind w:left="553" w:right="729" w:hanging="20"/>
        <w:jc w:val="both"/>
      </w:pPr>
      <w:r>
        <w:t xml:space="preserve">MA plans remain under a requirement to collect and provide this information to individuals eligible to elect an MA plan.  We continue to use the same format and form for reporting. </w:t>
      </w:r>
    </w:p>
    <w:p w:rsidR="00AA0487" w14:paraId="7181D775" w14:textId="77777777">
      <w:pPr>
        <w:spacing w:after="0" w:line="259" w:lineRule="auto"/>
        <w:ind w:left="94" w:firstLine="0"/>
      </w:pPr>
      <w:r>
        <w:t xml:space="preserve"> </w:t>
      </w:r>
    </w:p>
    <w:p w:rsidR="00AA0487" w14:paraId="1D33964C" w14:textId="77777777">
      <w:pPr>
        <w:pStyle w:val="Heading2"/>
        <w:ind w:left="67"/>
      </w:pPr>
      <w:r>
        <w:rPr>
          <w:u w:val="none"/>
        </w:rPr>
        <w:t xml:space="preserve">2. </w:t>
      </w:r>
      <w:r>
        <w:t>Information Users</w:t>
      </w:r>
      <w:r>
        <w:rPr>
          <w:u w:val="none"/>
        </w:rPr>
        <w:t xml:space="preserve"> </w:t>
      </w:r>
    </w:p>
    <w:p w:rsidR="00AA0487" w14:paraId="5F199F93" w14:textId="77777777">
      <w:pPr>
        <w:spacing w:after="0" w:line="259" w:lineRule="auto"/>
        <w:ind w:left="14" w:firstLine="0"/>
      </w:pPr>
      <w:r>
        <w:rPr>
          <w:rFonts w:ascii="Calibri" w:eastAsia="Calibri" w:hAnsi="Calibri" w:cs="Calibri"/>
        </w:rPr>
        <w:t xml:space="preserve"> </w:t>
      </w:r>
      <w:r>
        <w:t xml:space="preserve"> </w:t>
      </w:r>
    </w:p>
    <w:p w:rsidR="00AA0487" w14:paraId="750BAC8E" w14:textId="77777777">
      <w:pPr>
        <w:spacing w:after="51"/>
        <w:ind w:left="525"/>
      </w:pPr>
      <w:r>
        <w:t xml:space="preserve">MA plan’s appeals and grievance information will be provided to individuals eligible to elect a plan, or persons or entities making the request on behalf of those individuals.  MA eligible individuals will use this information to help make informed decisions about their organization’s performance </w:t>
      </w:r>
      <w:r>
        <w:t>in the area of</w:t>
      </w:r>
      <w:r>
        <w:t xml:space="preserve"> appeals and grievances. </w:t>
      </w:r>
    </w:p>
    <w:p w:rsidR="00AA0487" w14:paraId="5BE7C1D7" w14:textId="77777777">
      <w:pPr>
        <w:spacing w:after="0" w:line="259" w:lineRule="auto"/>
        <w:ind w:left="14" w:firstLine="0"/>
      </w:pPr>
      <w:r>
        <w:rPr>
          <w:rFonts w:ascii="Calibri" w:eastAsia="Calibri" w:hAnsi="Calibri" w:cs="Calibri"/>
          <w:sz w:val="26"/>
        </w:rPr>
        <w:t xml:space="preserve"> </w:t>
      </w:r>
      <w:r>
        <w:t xml:space="preserve"> </w:t>
      </w:r>
    </w:p>
    <w:p w:rsidR="00AA0487" w14:paraId="6504317D" w14:textId="77777777">
      <w:pPr>
        <w:pStyle w:val="Heading2"/>
        <w:ind w:left="67"/>
      </w:pPr>
      <w:r>
        <w:rPr>
          <w:u w:val="none"/>
        </w:rPr>
        <w:t xml:space="preserve">3. </w:t>
      </w:r>
      <w:r>
        <w:t>Use of Information Technology</w:t>
      </w:r>
      <w:r>
        <w:rPr>
          <w:u w:val="none"/>
        </w:rPr>
        <w:t xml:space="preserve"> </w:t>
      </w:r>
    </w:p>
    <w:p w:rsidR="00AA0487" w14:paraId="6CEB8730" w14:textId="77777777">
      <w:pPr>
        <w:spacing w:after="0" w:line="259" w:lineRule="auto"/>
        <w:ind w:left="14" w:firstLine="0"/>
      </w:pPr>
      <w:r>
        <w:rPr>
          <w:rFonts w:ascii="Calibri" w:eastAsia="Calibri" w:hAnsi="Calibri" w:cs="Calibri"/>
          <w:sz w:val="26"/>
        </w:rPr>
        <w:t xml:space="preserve"> </w:t>
      </w:r>
      <w:r>
        <w:t xml:space="preserve"> </w:t>
      </w:r>
    </w:p>
    <w:p w:rsidR="00AA0487" w14:paraId="22AE232B" w14:textId="77777777">
      <w:pPr>
        <w:ind w:left="525"/>
      </w:pPr>
      <w:r>
        <w:t xml:space="preserve">CMS has not created or mandated the use of a specific system to collect or </w:t>
      </w:r>
      <w:r>
        <w:t>report out</w:t>
      </w:r>
      <w:r>
        <w:t xml:space="preserve"> this information.  MA organizations may use their own systems to collect </w:t>
      </w:r>
      <w:r>
        <w:t>the data</w:t>
      </w:r>
      <w:r>
        <w:t xml:space="preserve"> and produce </w:t>
      </w:r>
      <w:r>
        <w:t>the reports</w:t>
      </w:r>
      <w:r>
        <w:t xml:space="preserve">. </w:t>
      </w:r>
    </w:p>
    <w:p w:rsidR="00AA0487" w14:paraId="0D87DD4D" w14:textId="77777777">
      <w:pPr>
        <w:spacing w:after="2" w:line="259" w:lineRule="auto"/>
        <w:ind w:left="523" w:firstLine="0"/>
      </w:pPr>
      <w:r>
        <w:t xml:space="preserve"> </w:t>
      </w:r>
    </w:p>
    <w:p w:rsidR="00AA0487" w14:paraId="30417AB0" w14:textId="77777777">
      <w:pPr>
        <w:ind w:left="525"/>
      </w:pPr>
      <w:r>
        <w:t xml:space="preserve">Government Paperwork Elimination Act (GPEA) questions concerning electronic completion are not applicable to this collection activity.  For this effort, appeal and grievance data generally is being collected for enrollee informational purposes.  While this collection currently is available for electronic completion by plans, we believe it is most cost beneficial to permit plans to collect this information in the format each plan finds most efficient, based on each plan’s systems configurations.   Since this collection does not require a signature from the respondent, CMS acceptance of electronic signatures is not applicable. </w:t>
      </w:r>
    </w:p>
    <w:p w:rsidR="00AA0487" w14:paraId="5B0C6FC1" w14:textId="77777777">
      <w:pPr>
        <w:spacing w:after="2" w:line="259" w:lineRule="auto"/>
        <w:ind w:left="547" w:firstLine="0"/>
      </w:pPr>
      <w:r>
        <w:t xml:space="preserve"> </w:t>
      </w:r>
    </w:p>
    <w:p w:rsidR="00AA0487" w14:paraId="07281356" w14:textId="77777777">
      <w:pPr>
        <w:pStyle w:val="Heading2"/>
        <w:ind w:left="67"/>
      </w:pPr>
      <w:r>
        <w:rPr>
          <w:u w:val="none"/>
        </w:rPr>
        <w:t xml:space="preserve">4. </w:t>
      </w:r>
      <w:r>
        <w:t>Duplication of Efforts</w:t>
      </w:r>
      <w:r>
        <w:rPr>
          <w:u w:val="none"/>
        </w:rPr>
        <w:t xml:space="preserve"> </w:t>
      </w:r>
    </w:p>
    <w:p w:rsidR="00AA0487" w14:paraId="277A8404" w14:textId="77777777">
      <w:pPr>
        <w:spacing w:after="0" w:line="259" w:lineRule="auto"/>
        <w:ind w:left="14" w:firstLine="0"/>
      </w:pPr>
      <w:r>
        <w:t xml:space="preserve"> </w:t>
      </w:r>
    </w:p>
    <w:p w:rsidR="00AA0487" w14:paraId="222742A8" w14:textId="77777777">
      <w:pPr>
        <w:spacing w:after="41"/>
        <w:ind w:left="525"/>
      </w:pPr>
      <w:r>
        <w:t xml:space="preserve">This effort involves the collection and reporting of grievance and appeals data upon request by an MA eligible individual.  While the purpose and format of this collection is unique from other collection efforts, and guarantees beneficiaries’ access to grievance and appeals data, the collection of the specific data used in this form is duplicative of data in collection (OMB 0938-1054). </w:t>
      </w:r>
    </w:p>
    <w:p w:rsidR="00E04071" w14:paraId="5EFABC82" w14:textId="77777777">
      <w:pPr>
        <w:spacing w:after="41"/>
        <w:ind w:left="525"/>
      </w:pPr>
    </w:p>
    <w:p w:rsidR="00AA0487" w14:paraId="5734D928" w14:textId="77777777">
      <w:pPr>
        <w:spacing w:after="0" w:line="259" w:lineRule="auto"/>
        <w:ind w:left="14" w:firstLine="0"/>
      </w:pPr>
      <w:r>
        <w:t xml:space="preserve"> </w:t>
      </w:r>
    </w:p>
    <w:p w:rsidR="00AA0487" w14:paraId="217BC13A" w14:textId="77777777">
      <w:pPr>
        <w:pStyle w:val="Heading2"/>
        <w:ind w:left="67"/>
      </w:pPr>
      <w:r>
        <w:rPr>
          <w:u w:val="none"/>
        </w:rPr>
        <w:t xml:space="preserve">5. </w:t>
      </w:r>
      <w:r>
        <w:t>Small Businesses</w:t>
      </w:r>
      <w:r>
        <w:rPr>
          <w:u w:val="none"/>
        </w:rPr>
        <w:t xml:space="preserve"> </w:t>
      </w:r>
    </w:p>
    <w:p w:rsidR="00AA0487" w14:paraId="23B0A4EA" w14:textId="77777777">
      <w:pPr>
        <w:spacing w:after="0" w:line="259" w:lineRule="auto"/>
        <w:ind w:left="14" w:firstLine="0"/>
      </w:pPr>
      <w:r>
        <w:t xml:space="preserve"> </w:t>
      </w:r>
    </w:p>
    <w:p w:rsidR="00AA0487" w14:paraId="4AB36C7D" w14:textId="77777777">
      <w:pPr>
        <w:ind w:left="525"/>
      </w:pPr>
      <w:r>
        <w:t xml:space="preserve">We do not anticipate small businesses will be significantly affected by these information collection requirements, since the amount of data collected will be proportionate to the number of members enrolled in the plan.  In other words, the number of appeals and/or grievances </w:t>
      </w:r>
      <w:r>
        <w:t>to be reported</w:t>
      </w:r>
      <w:r>
        <w:t xml:space="preserve"> should be proportionate to the member population. </w:t>
      </w:r>
    </w:p>
    <w:p w:rsidR="00AA0487" w14:paraId="6055DC30" w14:textId="77777777">
      <w:pPr>
        <w:spacing w:after="0" w:line="259" w:lineRule="auto"/>
        <w:ind w:left="14" w:firstLine="0"/>
      </w:pPr>
      <w:r>
        <w:t xml:space="preserve"> </w:t>
      </w:r>
    </w:p>
    <w:p w:rsidR="00AA0487" w14:paraId="58ED030A" w14:textId="77777777">
      <w:pPr>
        <w:pStyle w:val="Heading2"/>
        <w:ind w:left="67"/>
      </w:pPr>
      <w:r>
        <w:rPr>
          <w:u w:val="none"/>
        </w:rPr>
        <w:t xml:space="preserve">6. </w:t>
      </w:r>
      <w:r>
        <w:t>Less Frequent Collection</w:t>
      </w:r>
      <w:r>
        <w:rPr>
          <w:u w:val="none"/>
        </w:rPr>
        <w:t xml:space="preserve"> </w:t>
      </w:r>
    </w:p>
    <w:p w:rsidR="00AA0487" w14:paraId="179A7C2A" w14:textId="77777777">
      <w:pPr>
        <w:spacing w:after="0" w:line="259" w:lineRule="auto"/>
        <w:ind w:left="14" w:firstLine="0"/>
      </w:pPr>
      <w:r>
        <w:t xml:space="preserve"> </w:t>
      </w:r>
    </w:p>
    <w:p w:rsidR="00AA0487" w14:paraId="1C9A0F75" w14:textId="77777777">
      <w:pPr>
        <w:ind w:left="525" w:right="286"/>
      </w:pPr>
      <w:r>
        <w:t xml:space="preserve">In the previous collection, CMS determined that tracking two intervals of data in addition to annual CMS reporting requirements was burdensome.  </w:t>
      </w:r>
      <w:r>
        <w:t>In order to</w:t>
      </w:r>
      <w:r>
        <w:t xml:space="preserve"> reduce burden, CMS revised R-282 collection requirements to align with the quarterly reporting requirements of collection (OMB 0938-1054).  </w:t>
      </w:r>
      <w:r>
        <w:t>At this time</w:t>
      </w:r>
      <w:r>
        <w:t xml:space="preserve">, CMS has not identified additional opportunities for less frequent collection. </w:t>
      </w:r>
    </w:p>
    <w:p w:rsidR="00AA0487" w14:paraId="5D4FB7D2" w14:textId="77777777">
      <w:pPr>
        <w:spacing w:after="0" w:line="259" w:lineRule="auto"/>
        <w:ind w:left="528" w:firstLine="0"/>
      </w:pPr>
      <w:r>
        <w:t xml:space="preserve"> </w:t>
      </w:r>
    </w:p>
    <w:p w:rsidR="00AA0487" w14:paraId="564BD598" w14:textId="77777777">
      <w:pPr>
        <w:ind w:left="525" w:right="219"/>
      </w:pPr>
      <w:r>
        <w:t xml:space="preserve">The lack of disclosure or less frequent collection would limit transparency and hinder a beneficiary’s ability to make informed decisions about plan selection based on appeal and grievance data provided by an MA organization.  </w:t>
      </w:r>
    </w:p>
    <w:p w:rsidR="00AA0487" w14:paraId="364E0E0C" w14:textId="77777777">
      <w:pPr>
        <w:spacing w:after="0" w:line="259" w:lineRule="auto"/>
        <w:ind w:left="523" w:firstLine="0"/>
      </w:pPr>
      <w:r>
        <w:t xml:space="preserve">  </w:t>
      </w:r>
    </w:p>
    <w:p w:rsidR="00AA0487" w14:paraId="6B7DB66D" w14:textId="77777777">
      <w:pPr>
        <w:pStyle w:val="Heading2"/>
        <w:spacing w:after="0"/>
        <w:ind w:left="67"/>
      </w:pPr>
      <w:r>
        <w:rPr>
          <w:u w:val="none"/>
        </w:rPr>
        <w:t xml:space="preserve">7. </w:t>
      </w:r>
      <w:r>
        <w:t>Special Circumstances</w:t>
      </w:r>
      <w:r>
        <w:rPr>
          <w:u w:val="none"/>
        </w:rPr>
        <w:t xml:space="preserve"> </w:t>
      </w:r>
    </w:p>
    <w:p w:rsidR="00AA0487" w14:paraId="50CC6C28" w14:textId="77777777">
      <w:pPr>
        <w:spacing w:after="4" w:line="259" w:lineRule="auto"/>
        <w:ind w:left="94" w:firstLine="0"/>
      </w:pPr>
      <w:r>
        <w:t xml:space="preserve"> </w:t>
      </w:r>
    </w:p>
    <w:p w:rsidR="00AA0487" w14:paraId="4D5E1E69" w14:textId="77777777">
      <w:pPr>
        <w:ind w:left="456"/>
      </w:pPr>
      <w:r>
        <w:t xml:space="preserve">There are no special circumstances that would require an information collection to be conducted in a manner that requires respondents to: </w:t>
      </w:r>
    </w:p>
    <w:p w:rsidR="00AA0487" w14:paraId="2EC180DB" w14:textId="77777777">
      <w:pPr>
        <w:spacing w:after="42" w:line="259" w:lineRule="auto"/>
        <w:ind w:left="14" w:firstLine="0"/>
      </w:pPr>
      <w:r>
        <w:t xml:space="preserve">    </w:t>
      </w:r>
    </w:p>
    <w:p w:rsidR="00AA0487" w14:paraId="50791BD0" w14:textId="77777777">
      <w:pPr>
        <w:numPr>
          <w:ilvl w:val="0"/>
          <w:numId w:val="1"/>
        </w:numPr>
        <w:spacing w:after="59"/>
        <w:ind w:hanging="360"/>
      </w:pPr>
      <w:r>
        <w:t xml:space="preserve">Report information to the agency more often than </w:t>
      </w:r>
      <w:r>
        <w:t>quarterly;</w:t>
      </w:r>
      <w:r>
        <w:t xml:space="preserve"> </w:t>
      </w:r>
    </w:p>
    <w:p w:rsidR="00AA0487" w14:paraId="512CD4A0" w14:textId="77777777">
      <w:pPr>
        <w:numPr>
          <w:ilvl w:val="0"/>
          <w:numId w:val="1"/>
        </w:numPr>
        <w:ind w:hanging="360"/>
      </w:pPr>
      <w:r>
        <w:t xml:space="preserve">Prepare a written response to a collection of information in fewer than 30 days after receipt of </w:t>
      </w:r>
      <w:r>
        <w:t>it;</w:t>
      </w:r>
      <w:r>
        <w:t xml:space="preserve"> </w:t>
      </w:r>
    </w:p>
    <w:p w:rsidR="00AA0487" w14:paraId="3FE5E4B4" w14:textId="77777777">
      <w:pPr>
        <w:numPr>
          <w:ilvl w:val="0"/>
          <w:numId w:val="1"/>
        </w:numPr>
        <w:spacing w:after="56"/>
        <w:ind w:hanging="360"/>
      </w:pPr>
      <w:r>
        <w:t xml:space="preserve">Submit more than an original and two copies of any </w:t>
      </w:r>
      <w:r>
        <w:t>document;</w:t>
      </w:r>
      <w:r>
        <w:t xml:space="preserve"> </w:t>
      </w:r>
    </w:p>
    <w:p w:rsidR="00AA0487" w14:paraId="71839A6A" w14:textId="77777777">
      <w:pPr>
        <w:numPr>
          <w:ilvl w:val="0"/>
          <w:numId w:val="1"/>
        </w:numPr>
        <w:ind w:hanging="360"/>
      </w:pPr>
      <w:r>
        <w:t xml:space="preserve">Retain records, other than health, medical, government contract, grant-in-aid, or tax records for more than three </w:t>
      </w:r>
      <w:r>
        <w:t>years;</w:t>
      </w:r>
      <w:r>
        <w:t xml:space="preserve"> </w:t>
      </w:r>
    </w:p>
    <w:p w:rsidR="00AA0487" w14:paraId="60C7CA38" w14:textId="77777777">
      <w:pPr>
        <w:numPr>
          <w:ilvl w:val="0"/>
          <w:numId w:val="1"/>
        </w:numPr>
        <w:ind w:hanging="360"/>
      </w:pPr>
      <w:r>
        <w:t xml:space="preserve">Collect data in connection with a statistical survey that is not designed to produce valid and reliable results that can be generalized to the universe of </w:t>
      </w:r>
      <w:r>
        <w:t>study;</w:t>
      </w:r>
      <w:r>
        <w:t xml:space="preserve"> </w:t>
      </w:r>
    </w:p>
    <w:p w:rsidR="00AA0487" w14:paraId="6BA5ADF8" w14:textId="77777777">
      <w:pPr>
        <w:numPr>
          <w:ilvl w:val="0"/>
          <w:numId w:val="1"/>
        </w:numPr>
        <w:ind w:hanging="360"/>
      </w:pPr>
      <w:r>
        <w:t xml:space="preserve">Use a statistical data classification that has not been reviewed and approved by </w:t>
      </w:r>
      <w:r>
        <w:t>OMB;</w:t>
      </w:r>
      <w:r>
        <w:t xml:space="preserve"> </w:t>
      </w:r>
    </w:p>
    <w:p w:rsidR="00AA0487" w14:paraId="4E0FE4F3" w14:textId="77777777">
      <w:pPr>
        <w:numPr>
          <w:ilvl w:val="0"/>
          <w:numId w:val="1"/>
        </w:numPr>
        <w:spacing w:after="25"/>
        <w:ind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AA0487" w14:paraId="52CF20CF" w14:textId="77777777">
      <w:pPr>
        <w:numPr>
          <w:ilvl w:val="0"/>
          <w:numId w:val="1"/>
        </w:numPr>
        <w:ind w:hanging="360"/>
      </w:pPr>
      <w:r>
        <w:t xml:space="preserve">Submit proprietary trade </w:t>
      </w:r>
      <w:r>
        <w:t>secret</w:t>
      </w:r>
      <w:r>
        <w:t xml:space="preserve">, or other confidential information unless the agency can demonstrate that it has instituted procedures to protect the information's confidentiality to the extent permitted by law. </w:t>
      </w:r>
    </w:p>
    <w:p w:rsidR="00E04071" w:rsidP="00652E14" w14:paraId="6902C4E5" w14:textId="77777777">
      <w:pPr>
        <w:ind w:left="734" w:firstLine="0"/>
      </w:pPr>
    </w:p>
    <w:p w:rsidR="00AA0487" w14:paraId="6F2A7991" w14:textId="77777777">
      <w:pPr>
        <w:spacing w:after="26" w:line="259" w:lineRule="auto"/>
        <w:ind w:left="374" w:firstLine="0"/>
      </w:pPr>
      <w:r>
        <w:t xml:space="preserve">    </w:t>
      </w:r>
    </w:p>
    <w:p w:rsidR="00AA0487" w14:paraId="4B869DBF" w14:textId="77777777">
      <w:pPr>
        <w:pStyle w:val="Heading2"/>
        <w:ind w:left="67"/>
      </w:pPr>
      <w:r>
        <w:rPr>
          <w:u w:val="none"/>
        </w:rPr>
        <w:t xml:space="preserve">8. </w:t>
      </w:r>
      <w:r>
        <w:t>Federal Register/Outside Consultation</w:t>
      </w:r>
      <w:r>
        <w:rPr>
          <w:u w:val="none"/>
        </w:rPr>
        <w:t xml:space="preserve">    </w:t>
      </w:r>
    </w:p>
    <w:p w:rsidR="00AA0487" w14:paraId="065E7BC9" w14:textId="77777777">
      <w:pPr>
        <w:spacing w:after="0" w:line="259" w:lineRule="auto"/>
        <w:ind w:left="72" w:firstLine="0"/>
      </w:pPr>
      <w:r>
        <w:t xml:space="preserve"> </w:t>
      </w:r>
    </w:p>
    <w:p w:rsidR="00E04071" w:rsidP="00652E14" w14:paraId="71E0537D" w14:textId="6EA9149E">
      <w:pPr>
        <w:spacing w:after="45"/>
        <w:ind w:left="711"/>
      </w:pPr>
      <w:r>
        <w:t xml:space="preserve">The 60-day Federal Register notice published in the Federal Register on </w:t>
      </w:r>
      <w:r w:rsidR="00652E14">
        <w:t>February 23, 2026</w:t>
      </w:r>
      <w:r>
        <w:t xml:space="preserve"> (9</w:t>
      </w:r>
      <w:r w:rsidR="0019425C">
        <w:t>1</w:t>
      </w:r>
      <w:r>
        <w:t xml:space="preserve"> FR</w:t>
      </w:r>
      <w:r w:rsidR="0019425C">
        <w:t xml:space="preserve"> </w:t>
      </w:r>
      <w:r w:rsidRPr="0019425C" w:rsidR="0019425C">
        <w:t>8492</w:t>
      </w:r>
      <w:r>
        <w:t xml:space="preserve">).  </w:t>
      </w:r>
      <w:r w:rsidR="00652E14">
        <w:t>No comments were received during thi</w:t>
      </w:r>
      <w:r w:rsidR="00B64CF7">
        <w:t>s comment period</w:t>
      </w:r>
      <w:r w:rsidR="00652E14">
        <w:t xml:space="preserve">. </w:t>
      </w:r>
    </w:p>
    <w:p w:rsidR="00E04071" w14:paraId="5932281D" w14:textId="77777777">
      <w:pPr>
        <w:spacing w:after="45"/>
        <w:ind w:left="711"/>
      </w:pPr>
    </w:p>
    <w:p w:rsidR="00E04071" w:rsidP="00652E14" w14:paraId="7F3049BE" w14:textId="545C2996">
      <w:pPr>
        <w:spacing w:after="45"/>
        <w:ind w:left="711"/>
      </w:pPr>
      <w:r>
        <w:t xml:space="preserve">The 30-day Federal Register notice published in the Federal Register on </w:t>
      </w:r>
      <w:r w:rsidR="00201536">
        <w:t>May 12, 2026</w:t>
      </w:r>
      <w:r>
        <w:t xml:space="preserve"> (91 FR</w:t>
      </w:r>
      <w:r w:rsidR="00201536">
        <w:t xml:space="preserve"> </w:t>
      </w:r>
      <w:r w:rsidRPr="00201536" w:rsidR="00201536">
        <w:t>25891</w:t>
      </w:r>
      <w:r>
        <w:t xml:space="preserve">). </w:t>
      </w:r>
    </w:p>
    <w:p w:rsidR="00AA0487" w14:paraId="5BCC0BD1" w14:textId="77777777">
      <w:pPr>
        <w:spacing w:after="0" w:line="259" w:lineRule="auto"/>
        <w:ind w:left="14" w:firstLine="0"/>
      </w:pPr>
      <w:r>
        <w:t xml:space="preserve">  </w:t>
      </w:r>
    </w:p>
    <w:p w:rsidR="00AA0487" w14:paraId="3DEE255F" w14:textId="77777777">
      <w:pPr>
        <w:pStyle w:val="Heading2"/>
        <w:spacing w:after="0"/>
        <w:ind w:left="67"/>
      </w:pPr>
      <w:r>
        <w:rPr>
          <w:u w:val="none"/>
        </w:rPr>
        <w:t xml:space="preserve">9. </w:t>
      </w:r>
      <w:r>
        <w:t>Payments/Gifts to Respondents</w:t>
      </w:r>
      <w:r>
        <w:rPr>
          <w:u w:val="none"/>
        </w:rPr>
        <w:t xml:space="preserve">  </w:t>
      </w:r>
    </w:p>
    <w:p w:rsidR="00AA0487" w14:paraId="741C7C2F" w14:textId="77777777">
      <w:pPr>
        <w:spacing w:after="0" w:line="259" w:lineRule="auto"/>
        <w:ind w:left="91" w:firstLine="0"/>
      </w:pPr>
      <w:r>
        <w:t xml:space="preserve">  </w:t>
      </w:r>
    </w:p>
    <w:p w:rsidR="00AA0487" w14:paraId="03D50CA4" w14:textId="77777777">
      <w:pPr>
        <w:ind w:left="525"/>
      </w:pPr>
      <w:r>
        <w:t xml:space="preserve">MA plans are under contract with CMS.  The collection and subsequent disclosure of this information is required to be completed by MA plans.  There are no payments or gifts associated with the collection of this data. </w:t>
      </w:r>
    </w:p>
    <w:p w:rsidR="00AA0487" w14:paraId="1F52A2E8" w14:textId="77777777">
      <w:pPr>
        <w:spacing w:after="19" w:line="259" w:lineRule="auto"/>
        <w:ind w:left="14" w:firstLine="0"/>
      </w:pPr>
      <w:r>
        <w:t xml:space="preserve">    </w:t>
      </w:r>
    </w:p>
    <w:p w:rsidR="00AA0487" w14:paraId="40406204" w14:textId="77777777">
      <w:pPr>
        <w:pStyle w:val="Heading2"/>
        <w:spacing w:after="0"/>
        <w:ind w:left="67"/>
      </w:pPr>
      <w:r>
        <w:rPr>
          <w:u w:val="none"/>
        </w:rPr>
        <w:t xml:space="preserve">10. </w:t>
      </w:r>
      <w:r>
        <w:t>Confidentiality</w:t>
      </w:r>
      <w:r>
        <w:rPr>
          <w:u w:val="none"/>
        </w:rPr>
        <w:t xml:space="preserve">    </w:t>
      </w:r>
    </w:p>
    <w:p w:rsidR="00AA0487" w14:paraId="00FD1517" w14:textId="77777777">
      <w:pPr>
        <w:spacing w:after="0" w:line="259" w:lineRule="auto"/>
        <w:ind w:left="14" w:firstLine="0"/>
      </w:pPr>
      <w:r>
        <w:t xml:space="preserve">    </w:t>
      </w:r>
    </w:p>
    <w:p w:rsidR="00AA0487" w14:paraId="081EBA79" w14:textId="77777777">
      <w:pPr>
        <w:ind w:left="525"/>
      </w:pPr>
      <w:r>
        <w:t xml:space="preserve">There is </w:t>
      </w:r>
      <w:r>
        <w:t>no beneficiary</w:t>
      </w:r>
      <w:r>
        <w:t xml:space="preserve"> specific information reported in the data collection.  Therefore, there is no requirement needed to maintain the confidentiality of the information collected. </w:t>
      </w:r>
    </w:p>
    <w:p w:rsidR="00AA0487" w14:paraId="1DE46065" w14:textId="77777777">
      <w:pPr>
        <w:spacing w:after="0" w:line="259" w:lineRule="auto"/>
        <w:ind w:left="14" w:firstLine="0"/>
      </w:pPr>
      <w:r>
        <w:t xml:space="preserve">    </w:t>
      </w:r>
    </w:p>
    <w:p w:rsidR="00AA0487" w14:paraId="5D52B6A7" w14:textId="77777777">
      <w:pPr>
        <w:spacing w:after="39" w:line="259" w:lineRule="auto"/>
        <w:ind w:left="67"/>
      </w:pPr>
      <w:r>
        <w:t xml:space="preserve">11. </w:t>
      </w:r>
      <w:r>
        <w:rPr>
          <w:u w:val="single" w:color="000000"/>
        </w:rPr>
        <w:t>Sensitive Questions</w:t>
      </w:r>
      <w:r>
        <w:t xml:space="preserve">    </w:t>
      </w:r>
    </w:p>
    <w:p w:rsidR="00AA0487" w14:paraId="49361074" w14:textId="77777777">
      <w:pPr>
        <w:spacing w:after="0" w:line="259" w:lineRule="auto"/>
        <w:ind w:left="14" w:firstLine="0"/>
      </w:pPr>
      <w:r>
        <w:rPr>
          <w:rFonts w:ascii="Calibri" w:eastAsia="Calibri" w:hAnsi="Calibri" w:cs="Calibri"/>
          <w:sz w:val="26"/>
        </w:rPr>
        <w:t xml:space="preserve"> </w:t>
      </w:r>
      <w:r>
        <w:t xml:space="preserve">   </w:t>
      </w:r>
    </w:p>
    <w:p w:rsidR="00AA0487" w14:paraId="3A2203F7" w14:textId="77777777">
      <w:pPr>
        <w:spacing w:after="37"/>
        <w:ind w:left="525"/>
      </w:pPr>
      <w:r>
        <w:t xml:space="preserve">We are not collecting any information of a sensitive nature.    </w:t>
      </w:r>
    </w:p>
    <w:p w:rsidR="00AA0487" w14:paraId="45FEDBB1" w14:textId="77777777">
      <w:pPr>
        <w:spacing w:after="0" w:line="259" w:lineRule="auto"/>
        <w:ind w:left="14" w:firstLine="0"/>
      </w:pPr>
      <w:r>
        <w:rPr>
          <w:rFonts w:ascii="Calibri" w:eastAsia="Calibri" w:hAnsi="Calibri" w:cs="Calibri"/>
        </w:rPr>
        <w:t xml:space="preserve"> </w:t>
      </w:r>
      <w:r>
        <w:t xml:space="preserve">   </w:t>
      </w:r>
    </w:p>
    <w:p w:rsidR="00AA0487" w14:paraId="5D3F01A5" w14:textId="77777777">
      <w:pPr>
        <w:pStyle w:val="Heading2"/>
        <w:spacing w:after="0"/>
        <w:ind w:left="67"/>
      </w:pPr>
      <w:r>
        <w:rPr>
          <w:u w:val="none"/>
        </w:rPr>
        <w:t xml:space="preserve">12. </w:t>
      </w:r>
      <w:r>
        <w:t>Burden Estimate (Hours &amp; Wages)</w:t>
      </w:r>
      <w:r>
        <w:rPr>
          <w:u w:val="none"/>
        </w:rPr>
        <w:t xml:space="preserve">    </w:t>
      </w:r>
    </w:p>
    <w:p w:rsidR="00AA0487" w14:paraId="552F09CE" w14:textId="77777777">
      <w:pPr>
        <w:spacing w:after="0" w:line="259" w:lineRule="auto"/>
        <w:ind w:left="14" w:firstLine="0"/>
      </w:pPr>
      <w:r>
        <w:t xml:space="preserve">    </w:t>
      </w:r>
    </w:p>
    <w:p w:rsidR="00AA0487" w14:paraId="08980F23" w14:textId="77777777">
      <w:pPr>
        <w:pStyle w:val="Heading3"/>
      </w:pPr>
      <w:r>
        <w:t xml:space="preserve">12.1 Wages    </w:t>
      </w:r>
    </w:p>
    <w:p w:rsidR="00AA0487" w14:paraId="4C896963" w14:textId="77777777">
      <w:pPr>
        <w:spacing w:after="0" w:line="259" w:lineRule="auto"/>
        <w:ind w:left="14" w:firstLine="0"/>
      </w:pPr>
      <w:r>
        <w:rPr>
          <w:i/>
        </w:rPr>
        <w:t xml:space="preserve"> </w:t>
      </w:r>
      <w:r>
        <w:t xml:space="preserve">   </w:t>
      </w:r>
    </w:p>
    <w:p w:rsidR="00AA0487" w14:paraId="4E9CD33B" w14:textId="77777777">
      <w:pPr>
        <w:ind w:left="80"/>
      </w:pPr>
      <w:r>
        <w:t xml:space="preserve">To derive average costs, we used data from the U.S. Bureau of Labor Statistics’ May </w:t>
      </w:r>
    </w:p>
    <w:p w:rsidR="00AA0487" w14:paraId="71605739" w14:textId="77777777">
      <w:pPr>
        <w:ind w:left="87"/>
      </w:pPr>
      <w:r>
        <w:t xml:space="preserve">2024 National Occupational Employment and Wage Estimates for all salary estimates </w:t>
      </w:r>
      <w:hyperlink r:id="rId6">
        <w:r>
          <w:t>(</w:t>
        </w:r>
      </w:hyperlink>
      <w:hyperlink r:id="rId6">
        <w:r>
          <w:rPr>
            <w:color w:val="0000FF"/>
            <w:u w:val="single" w:color="0000FF"/>
          </w:rPr>
          <w:t>http://www.bls.gov/oes/current/oes_nat.ht</w:t>
        </w:r>
      </w:hyperlink>
      <w:hyperlink r:id="rId6">
        <w:r>
          <w:rPr>
            <w:color w:val="0000FF"/>
            <w:u w:val="single" w:color="0000FF"/>
          </w:rPr>
          <w:t>m</w:t>
        </w:r>
      </w:hyperlink>
      <w:hyperlink r:id="rId6">
        <w:r>
          <w:t>)</w:t>
        </w:r>
      </w:hyperlink>
      <w:hyperlink r:id="rId6">
        <w:r>
          <w:t xml:space="preserve">.  </w:t>
        </w:r>
      </w:hyperlink>
      <w:r>
        <w:t xml:space="preserve">In this regard, the following table presents the median hourly wage, the cost of fringe benefits (calculated at 100 percent of salary), and the adjusted hourly wage.    </w:t>
      </w:r>
    </w:p>
    <w:p w:rsidR="00AA0487" w14:paraId="17FF08EA" w14:textId="77777777">
      <w:pPr>
        <w:spacing w:after="0" w:line="259" w:lineRule="auto"/>
        <w:ind w:left="77" w:firstLine="0"/>
      </w:pPr>
      <w:r>
        <w:t xml:space="preserve">    </w:t>
      </w:r>
    </w:p>
    <w:tbl>
      <w:tblPr>
        <w:tblStyle w:val="TableGrid"/>
        <w:tblW w:w="8856" w:type="dxa"/>
        <w:tblInd w:w="34" w:type="dxa"/>
        <w:tblCellMar>
          <w:top w:w="66" w:type="dxa"/>
          <w:left w:w="197" w:type="dxa"/>
          <w:right w:w="39" w:type="dxa"/>
        </w:tblCellMar>
        <w:tblLook w:val="04A0"/>
      </w:tblPr>
      <w:tblGrid>
        <w:gridCol w:w="1809"/>
        <w:gridCol w:w="1810"/>
        <w:gridCol w:w="1733"/>
        <w:gridCol w:w="1738"/>
        <w:gridCol w:w="1766"/>
      </w:tblGrid>
      <w:tr w14:paraId="511E09FB" w14:textId="77777777">
        <w:tblPrEx>
          <w:tblW w:w="8856" w:type="dxa"/>
          <w:tblInd w:w="34" w:type="dxa"/>
          <w:tblCellMar>
            <w:top w:w="66" w:type="dxa"/>
            <w:left w:w="197" w:type="dxa"/>
            <w:right w:w="39" w:type="dxa"/>
          </w:tblCellMar>
          <w:tblLook w:val="04A0"/>
        </w:tblPrEx>
        <w:trPr>
          <w:trHeight w:val="713"/>
        </w:trPr>
        <w:tc>
          <w:tcPr>
            <w:tcW w:w="1810" w:type="dxa"/>
            <w:tcBorders>
              <w:top w:val="single" w:sz="4" w:space="0" w:color="000000"/>
              <w:left w:val="single" w:sz="4" w:space="0" w:color="000000"/>
              <w:bottom w:val="single" w:sz="4" w:space="0" w:color="000000"/>
              <w:right w:val="single" w:sz="4" w:space="0" w:color="000000"/>
            </w:tcBorders>
          </w:tcPr>
          <w:p w:rsidR="00AA0487" w14:paraId="2E05BF5E" w14:textId="77777777">
            <w:pPr>
              <w:spacing w:after="0" w:line="259" w:lineRule="auto"/>
              <w:ind w:left="0" w:right="271" w:firstLine="0"/>
              <w:jc w:val="center"/>
            </w:pPr>
            <w:r>
              <w:rPr>
                <w:sz w:val="18"/>
              </w:rPr>
              <w:t xml:space="preserve">Occupation Title </w:t>
            </w:r>
            <w:r>
              <w:t xml:space="preserve">  </w:t>
            </w:r>
          </w:p>
        </w:tc>
        <w:tc>
          <w:tcPr>
            <w:tcW w:w="1810" w:type="dxa"/>
            <w:tcBorders>
              <w:top w:val="single" w:sz="4" w:space="0" w:color="000000"/>
              <w:left w:val="single" w:sz="4" w:space="0" w:color="000000"/>
              <w:bottom w:val="single" w:sz="4" w:space="0" w:color="000000"/>
              <w:right w:val="single" w:sz="4" w:space="0" w:color="000000"/>
            </w:tcBorders>
          </w:tcPr>
          <w:p w:rsidR="00AA0487" w14:paraId="2D8B4221" w14:textId="77777777">
            <w:pPr>
              <w:spacing w:after="0" w:line="259" w:lineRule="auto"/>
              <w:ind w:left="0" w:right="180" w:firstLine="0"/>
              <w:jc w:val="right"/>
            </w:pPr>
            <w:r>
              <w:rPr>
                <w:sz w:val="18"/>
              </w:rPr>
              <w:t xml:space="preserve">Occupation Code </w:t>
            </w: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AA0487" w14:paraId="5274C2AE" w14:textId="77777777">
            <w:pPr>
              <w:spacing w:after="0" w:line="259" w:lineRule="auto"/>
              <w:ind w:left="0" w:firstLine="0"/>
            </w:pPr>
            <w:r>
              <w:rPr>
                <w:sz w:val="18"/>
              </w:rPr>
              <w:t xml:space="preserve">Median </w:t>
            </w:r>
          </w:p>
          <w:p w:rsidR="00AA0487" w14:paraId="645D6D1E" w14:textId="77777777">
            <w:pPr>
              <w:spacing w:after="37" w:line="259" w:lineRule="auto"/>
              <w:ind w:left="0" w:firstLine="0"/>
            </w:pPr>
            <w:r>
              <w:rPr>
                <w:sz w:val="18"/>
              </w:rPr>
              <w:t xml:space="preserve">Hourly Wage </w:t>
            </w:r>
          </w:p>
          <w:p w:rsidR="00AA0487" w14:paraId="6F3004EB" w14:textId="77777777">
            <w:pPr>
              <w:spacing w:after="0" w:line="259" w:lineRule="auto"/>
              <w:ind w:left="0" w:firstLine="0"/>
            </w:pPr>
            <w:r>
              <w:rPr>
                <w:sz w:val="18"/>
              </w:rPr>
              <w:t>($/</w:t>
            </w:r>
            <w:r>
              <w:rPr>
                <w:sz w:val="18"/>
              </w:rPr>
              <w:t>hr</w:t>
            </w:r>
            <w:r>
              <w:rPr>
                <w:sz w:val="18"/>
              </w:rPr>
              <w:t>)</w:t>
            </w: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AA0487" w14:paraId="2039903A" w14:textId="77777777">
            <w:pPr>
              <w:spacing w:after="38" w:line="259" w:lineRule="auto"/>
              <w:ind w:left="0" w:firstLine="0"/>
            </w:pPr>
            <w:r>
              <w:rPr>
                <w:sz w:val="18"/>
              </w:rPr>
              <w:t xml:space="preserve">Fringe Benefit </w:t>
            </w:r>
          </w:p>
          <w:p w:rsidR="00AA0487" w14:paraId="5B5EC76D" w14:textId="77777777">
            <w:pPr>
              <w:spacing w:after="0" w:line="259" w:lineRule="auto"/>
              <w:ind w:left="0" w:firstLine="0"/>
            </w:pPr>
            <w:r>
              <w:rPr>
                <w:sz w:val="18"/>
              </w:rPr>
              <w:t>($/</w:t>
            </w:r>
            <w:r>
              <w:rPr>
                <w:sz w:val="18"/>
              </w:rPr>
              <w:t>hr</w:t>
            </w:r>
            <w:r>
              <w:rPr>
                <w:sz w:val="18"/>
              </w:rPr>
              <w:t xml:space="preserve">) </w:t>
            </w:r>
            <w:r>
              <w:t xml:space="preserve"> </w:t>
            </w:r>
          </w:p>
        </w:tc>
        <w:tc>
          <w:tcPr>
            <w:tcW w:w="1766" w:type="dxa"/>
            <w:tcBorders>
              <w:top w:val="single" w:sz="4" w:space="0" w:color="000000"/>
              <w:left w:val="single" w:sz="4" w:space="0" w:color="000000"/>
              <w:bottom w:val="single" w:sz="4" w:space="0" w:color="000000"/>
              <w:right w:val="single" w:sz="4" w:space="0" w:color="000000"/>
            </w:tcBorders>
          </w:tcPr>
          <w:p w:rsidR="00AA0487" w14:paraId="5E158FF1" w14:textId="77777777">
            <w:pPr>
              <w:spacing w:after="15" w:line="259" w:lineRule="auto"/>
              <w:ind w:left="0" w:firstLine="0"/>
            </w:pPr>
            <w:r>
              <w:rPr>
                <w:sz w:val="18"/>
              </w:rPr>
              <w:t xml:space="preserve">Adjusted </w:t>
            </w:r>
          </w:p>
          <w:p w:rsidR="00AA0487" w14:paraId="7C3FE73D" w14:textId="77777777">
            <w:pPr>
              <w:tabs>
                <w:tab w:val="center" w:pos="986"/>
              </w:tabs>
              <w:spacing w:after="43" w:line="259" w:lineRule="auto"/>
              <w:ind w:left="0" w:firstLine="0"/>
            </w:pPr>
            <w:r>
              <w:rPr>
                <w:sz w:val="18"/>
              </w:rPr>
              <w:t xml:space="preserve">Hourly </w:t>
            </w:r>
            <w:r>
              <w:rPr>
                <w:sz w:val="18"/>
              </w:rPr>
              <w:tab/>
              <w:t xml:space="preserve">Wage </w:t>
            </w:r>
          </w:p>
          <w:p w:rsidR="00AA0487" w14:paraId="3A97156F" w14:textId="77777777">
            <w:pPr>
              <w:spacing w:after="0" w:line="259" w:lineRule="auto"/>
              <w:ind w:left="0" w:firstLine="0"/>
            </w:pPr>
            <w:r>
              <w:rPr>
                <w:sz w:val="18"/>
              </w:rPr>
              <w:t>($/</w:t>
            </w:r>
            <w:r>
              <w:rPr>
                <w:sz w:val="18"/>
              </w:rPr>
              <w:t>hr</w:t>
            </w:r>
            <w:r>
              <w:rPr>
                <w:sz w:val="18"/>
              </w:rPr>
              <w:t>)</w:t>
            </w:r>
            <w:r>
              <w:t xml:space="preserve"> </w:t>
            </w:r>
          </w:p>
        </w:tc>
      </w:tr>
      <w:tr w14:paraId="0BBBA70B" w14:textId="77777777">
        <w:tblPrEx>
          <w:tblW w:w="8856" w:type="dxa"/>
          <w:tblInd w:w="34" w:type="dxa"/>
          <w:tblCellMar>
            <w:top w:w="66" w:type="dxa"/>
            <w:left w:w="197" w:type="dxa"/>
            <w:right w:w="39" w:type="dxa"/>
          </w:tblCellMar>
          <w:tblLook w:val="04A0"/>
        </w:tblPrEx>
        <w:trPr>
          <w:trHeight w:val="958"/>
        </w:trPr>
        <w:tc>
          <w:tcPr>
            <w:tcW w:w="1810" w:type="dxa"/>
            <w:tcBorders>
              <w:top w:val="single" w:sz="4" w:space="0" w:color="000000"/>
              <w:left w:val="single" w:sz="4" w:space="0" w:color="000000"/>
              <w:bottom w:val="single" w:sz="4" w:space="0" w:color="000000"/>
              <w:right w:val="single" w:sz="4" w:space="0" w:color="000000"/>
            </w:tcBorders>
          </w:tcPr>
          <w:p w:rsidR="00AA0487" w14:paraId="0871C70A" w14:textId="77777777">
            <w:pPr>
              <w:spacing w:after="12" w:line="227" w:lineRule="auto"/>
              <w:ind w:left="0" w:firstLine="0"/>
            </w:pPr>
            <w:r>
              <w:rPr>
                <w:sz w:val="18"/>
              </w:rPr>
              <w:t xml:space="preserve">Office and </w:t>
            </w:r>
            <w:r>
              <w:t xml:space="preserve">   </w:t>
            </w:r>
            <w:r>
              <w:rPr>
                <w:sz w:val="18"/>
              </w:rPr>
              <w:t xml:space="preserve">Administrative Support </w:t>
            </w:r>
            <w:r>
              <w:t xml:space="preserve">   </w:t>
            </w:r>
          </w:p>
          <w:p w:rsidR="00AA0487" w14:paraId="0FED90D8" w14:textId="77777777">
            <w:pPr>
              <w:spacing w:after="0" w:line="259" w:lineRule="auto"/>
              <w:ind w:left="0" w:firstLine="0"/>
            </w:pPr>
            <w:r>
              <w:rPr>
                <w:sz w:val="18"/>
              </w:rPr>
              <w:t xml:space="preserve">Occupations  </w:t>
            </w:r>
            <w:r>
              <w:t xml:space="preserve">   </w:t>
            </w:r>
          </w:p>
        </w:tc>
        <w:tc>
          <w:tcPr>
            <w:tcW w:w="1810" w:type="dxa"/>
            <w:tcBorders>
              <w:top w:val="single" w:sz="4" w:space="0" w:color="000000"/>
              <w:left w:val="single" w:sz="4" w:space="0" w:color="000000"/>
              <w:bottom w:val="single" w:sz="4" w:space="0" w:color="000000"/>
              <w:right w:val="single" w:sz="4" w:space="0" w:color="000000"/>
            </w:tcBorders>
          </w:tcPr>
          <w:p w:rsidR="00AA0487" w14:paraId="27DA6984" w14:textId="77777777">
            <w:pPr>
              <w:spacing w:after="0" w:line="259" w:lineRule="auto"/>
              <w:ind w:left="0" w:firstLine="0"/>
            </w:pPr>
            <w:r>
              <w:rPr>
                <w:sz w:val="18"/>
              </w:rPr>
              <w:t xml:space="preserve">43-0000 </w:t>
            </w: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AA0487" w14:paraId="010EA587" w14:textId="77777777">
            <w:pPr>
              <w:spacing w:after="0" w:line="259" w:lineRule="auto"/>
              <w:ind w:left="0" w:firstLine="0"/>
            </w:pPr>
            <w:r>
              <w:rPr>
                <w:sz w:val="18"/>
              </w:rPr>
              <w:t xml:space="preserve"> 22.27 </w:t>
            </w: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AA0487" w14:paraId="29F0E4D7" w14:textId="77777777">
            <w:pPr>
              <w:spacing w:after="0" w:line="259" w:lineRule="auto"/>
              <w:ind w:left="0" w:firstLine="0"/>
            </w:pPr>
            <w:r>
              <w:rPr>
                <w:sz w:val="18"/>
              </w:rPr>
              <w:t xml:space="preserve"> 22.27 </w:t>
            </w:r>
            <w:r>
              <w:t xml:space="preserve">   </w:t>
            </w:r>
          </w:p>
        </w:tc>
        <w:tc>
          <w:tcPr>
            <w:tcW w:w="1766" w:type="dxa"/>
            <w:tcBorders>
              <w:top w:val="single" w:sz="4" w:space="0" w:color="000000"/>
              <w:left w:val="single" w:sz="4" w:space="0" w:color="000000"/>
              <w:bottom w:val="single" w:sz="4" w:space="0" w:color="000000"/>
              <w:right w:val="single" w:sz="4" w:space="0" w:color="000000"/>
            </w:tcBorders>
          </w:tcPr>
          <w:p w:rsidR="00AA0487" w14:paraId="1987D9CF" w14:textId="77777777">
            <w:pPr>
              <w:spacing w:after="0" w:line="259" w:lineRule="auto"/>
              <w:ind w:left="0" w:firstLine="0"/>
            </w:pPr>
            <w:r>
              <w:rPr>
                <w:sz w:val="18"/>
              </w:rPr>
              <w:t xml:space="preserve"> 44.54 </w:t>
            </w:r>
            <w:r>
              <w:t xml:space="preserve">   </w:t>
            </w:r>
          </w:p>
        </w:tc>
      </w:tr>
    </w:tbl>
    <w:p w:rsidR="00AA0487" w14:paraId="3903FBBE" w14:textId="77777777">
      <w:pPr>
        <w:spacing w:after="0" w:line="259" w:lineRule="auto"/>
        <w:ind w:left="77" w:firstLine="0"/>
      </w:pPr>
      <w:r>
        <w:t xml:space="preserve">    </w:t>
      </w:r>
    </w:p>
    <w:p w:rsidR="00AA0487" w14:paraId="68DD86B1" w14:textId="77777777">
      <w:pPr>
        <w:ind w:left="80"/>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w:t>
      </w:r>
      <w:r>
        <w:t>alternative</w:t>
      </w:r>
      <w:r>
        <w:t xml:space="preserve"> and we believe that doubling the hourly wage to estimate total cost is a reasonably accurate estimation method.    </w:t>
      </w:r>
    </w:p>
    <w:p w:rsidR="00AA0487" w14:paraId="15853495" w14:textId="77777777">
      <w:pPr>
        <w:spacing w:after="0" w:line="259" w:lineRule="auto"/>
        <w:ind w:left="14" w:firstLine="0"/>
      </w:pPr>
      <w:r>
        <w:t xml:space="preserve">    </w:t>
      </w:r>
    </w:p>
    <w:p w:rsidR="00AA0487" w14:paraId="323EEA68" w14:textId="77777777">
      <w:pPr>
        <w:pStyle w:val="Heading3"/>
      </w:pPr>
      <w:r>
        <w:t xml:space="preserve">12.2 Burden Estimates for Collecting Appeals and Grievance Data    </w:t>
      </w:r>
    </w:p>
    <w:p w:rsidR="00AA0487" w14:paraId="32B36D0D" w14:textId="77777777">
      <w:pPr>
        <w:spacing w:after="5" w:line="259" w:lineRule="auto"/>
        <w:ind w:left="14" w:firstLine="0"/>
      </w:pPr>
      <w:r>
        <w:t xml:space="preserve">    </w:t>
      </w:r>
    </w:p>
    <w:p w:rsidR="00AA0487" w14:paraId="286B5A53" w14:textId="77777777">
      <w:pPr>
        <w:ind w:left="171"/>
      </w:pPr>
      <w:r>
        <w:t>We determined that, as of December 2025, CMS contracted with 932 MA plans.</w:t>
      </w:r>
      <w:r>
        <w:rPr>
          <w:rFonts w:ascii="Cambria" w:eastAsia="Cambria" w:hAnsi="Cambria" w:cs="Cambria"/>
          <w:sz w:val="2"/>
        </w:rPr>
        <w:t>0</w:t>
      </w:r>
      <w:r>
        <w:rPr>
          <w:rFonts w:ascii="Cambria" w:eastAsia="Cambria" w:hAnsi="Cambria" w:cs="Cambria"/>
          <w:sz w:val="3"/>
          <w:vertAlign w:val="subscript"/>
        </w:rPr>
        <w:t>F</w:t>
      </w:r>
      <w:r>
        <w:rPr>
          <w:vertAlign w:val="superscript"/>
        </w:rPr>
        <w:footnoteReference w:id="2"/>
      </w:r>
      <w:r>
        <w:t xml:space="preserve">    </w:t>
      </w:r>
    </w:p>
    <w:p w:rsidR="00AA0487" w14:paraId="3974EA62" w14:textId="77777777">
      <w:pPr>
        <w:spacing w:after="0" w:line="259" w:lineRule="auto"/>
        <w:ind w:left="166" w:firstLine="0"/>
      </w:pPr>
      <w:r>
        <w:t xml:space="preserve">    </w:t>
      </w:r>
    </w:p>
    <w:p w:rsidR="00AA0487" w14:paraId="55508F56" w14:textId="77777777">
      <w:pPr>
        <w:spacing w:after="13" w:line="244" w:lineRule="auto"/>
        <w:ind w:left="161" w:right="539" w:hanging="20"/>
        <w:jc w:val="both"/>
      </w:pPr>
      <w:r>
        <w:t xml:space="preserve">We </w:t>
      </w:r>
      <w:r>
        <w:t>determined</w:t>
      </w:r>
      <w:r>
        <w:t xml:space="preserve"> that it would take 1 hour per collection period for each organization to collect the appeals data.  In aggregate, we estimate 932 annual hours (1 hour x 932 Medicare health plans).    </w:t>
      </w:r>
    </w:p>
    <w:p w:rsidR="00AA0487" w14:paraId="0E97B900" w14:textId="77777777">
      <w:pPr>
        <w:spacing w:after="0" w:line="259" w:lineRule="auto"/>
        <w:ind w:left="166" w:firstLine="0"/>
      </w:pPr>
      <w:r>
        <w:rPr>
          <w:rFonts w:ascii="Calibri" w:eastAsia="Calibri" w:hAnsi="Calibri" w:cs="Calibri"/>
          <w:sz w:val="26"/>
        </w:rPr>
        <w:t xml:space="preserve"> </w:t>
      </w:r>
      <w:r>
        <w:t xml:space="preserve">   </w:t>
      </w:r>
    </w:p>
    <w:p w:rsidR="00AA0487" w14:paraId="6DA0F7E9" w14:textId="77777777">
      <w:pPr>
        <w:pStyle w:val="Heading3"/>
        <w:spacing w:after="33"/>
        <w:ind w:left="151"/>
      </w:pPr>
      <w:r>
        <w:t xml:space="preserve">12.3 Burden Estimates for Disclosing Appeals and Grievance Data  </w:t>
      </w:r>
    </w:p>
    <w:p w:rsidR="00AA0487" w14:paraId="5353875A" w14:textId="77777777">
      <w:pPr>
        <w:spacing w:after="0" w:line="259" w:lineRule="auto"/>
        <w:ind w:left="166" w:firstLine="0"/>
      </w:pPr>
      <w:r>
        <w:t xml:space="preserve">  </w:t>
      </w:r>
    </w:p>
    <w:p w:rsidR="00AA0487" w14:paraId="467C5C24" w14:textId="77777777">
      <w:pPr>
        <w:ind w:left="171"/>
      </w:pPr>
      <w:r>
        <w:t xml:space="preserve">There are 66.5 million Medicare beneficiaries according to 2023 CMS statistics (https://data.cms.gov/summary-statistics-on-beneficiary-enrollment/medicare-andmedicaid-reports/cms-program-statistics-medicare-total-enrollment).  </w:t>
      </w:r>
    </w:p>
    <w:p w:rsidR="00AA0487" w14:paraId="2BE79FC1" w14:textId="77777777">
      <w:pPr>
        <w:spacing w:after="0" w:line="259" w:lineRule="auto"/>
        <w:ind w:left="166" w:firstLine="0"/>
      </w:pPr>
      <w:r>
        <w:t xml:space="preserve">  </w:t>
      </w:r>
    </w:p>
    <w:p w:rsidR="00AA0487" w14:paraId="6FE87E4F" w14:textId="77777777">
      <w:pPr>
        <w:ind w:left="171"/>
      </w:pPr>
      <w:r>
        <w:t xml:space="preserve">We estimated that 0.1%, or 66,500 beneficiaries would request an appeal and/or grievance disclosure report from </w:t>
      </w:r>
      <w:r>
        <w:t>a MA</w:t>
      </w:r>
      <w:r>
        <w:t xml:space="preserve"> plan.  We then estimated it would take approximately 5 minutes (.08 hours) for a staff person to send the appeals report to these beneficiaries.</w:t>
      </w:r>
      <w:r>
        <w:rPr>
          <w:rFonts w:ascii="Calibri" w:eastAsia="Calibri" w:hAnsi="Calibri" w:cs="Calibri"/>
          <w:sz w:val="22"/>
        </w:rPr>
        <w:t xml:space="preserve">  </w:t>
      </w:r>
      <w:r>
        <w:t xml:space="preserve">In aggregate we estimate 5,320 hours (66,500 responses per year x .08 hours/response).  </w:t>
      </w:r>
    </w:p>
    <w:p w:rsidR="00AA0487" w14:paraId="45429CAD" w14:textId="77777777">
      <w:pPr>
        <w:spacing w:after="0" w:line="259" w:lineRule="auto"/>
        <w:ind w:left="166" w:firstLine="0"/>
      </w:pPr>
      <w:r>
        <w:rPr>
          <w:rFonts w:ascii="Calibri" w:eastAsia="Calibri" w:hAnsi="Calibri" w:cs="Calibri"/>
        </w:rPr>
        <w:t xml:space="preserve"> </w:t>
      </w:r>
      <w:r>
        <w:t xml:space="preserve">   </w:t>
      </w:r>
    </w:p>
    <w:p w:rsidR="00AA0487" w14:paraId="27817BFB" w14:textId="77777777">
      <w:pPr>
        <w:ind w:left="171"/>
      </w:pPr>
      <w:r>
        <w:t xml:space="preserve">We determined the average hourly rate for the individual responsible for gathering and formatting the appeals information.  The professional and analytical skills required to perform this function are </w:t>
      </w:r>
      <w:r>
        <w:t>similar to</w:t>
      </w:r>
      <w:r>
        <w:t xml:space="preserve"> those of office and administrative support occupations with an hourly salary of $ 22.27. The adjusted hourly rate for this position is $44.54.  We then multiplied this adjusted hourly rate ($44.54) by the .08 hours per response estimated for reporting appeals and grievance data to arrive at $3.56 cost per response. Last, we multiplied $3.56 by the annual number of responses (66,500) to determine the total annual wage burden of $236,740 per year, or $254.01 per organization (236,740 divided by 932 MA plans).  </w:t>
      </w:r>
    </w:p>
    <w:p w:rsidR="00AA0487" w14:paraId="2D7E0B93" w14:textId="77777777">
      <w:pPr>
        <w:spacing w:after="0" w:line="259" w:lineRule="auto"/>
        <w:ind w:left="166" w:firstLine="0"/>
      </w:pPr>
      <w:r>
        <w:t xml:space="preserve">    </w:t>
      </w:r>
    </w:p>
    <w:p w:rsidR="00AA0487" w14:paraId="578ED381" w14:textId="77777777">
      <w:pPr>
        <w:pStyle w:val="Heading3"/>
        <w:ind w:left="151"/>
      </w:pPr>
      <w:r>
        <w:t xml:space="preserve">12.4 Summary of Burden Estimates    </w:t>
      </w:r>
    </w:p>
    <w:p w:rsidR="00AA0487" w14:paraId="1D54D22F" w14:textId="77777777">
      <w:pPr>
        <w:spacing w:after="0" w:line="259" w:lineRule="auto"/>
        <w:ind w:left="166" w:firstLine="0"/>
      </w:pPr>
      <w:r>
        <w:t xml:space="preserve">    </w:t>
      </w:r>
    </w:p>
    <w:tbl>
      <w:tblPr>
        <w:tblStyle w:val="TableGrid"/>
        <w:tblW w:w="9096" w:type="dxa"/>
        <w:tblInd w:w="-10" w:type="dxa"/>
        <w:tblCellMar>
          <w:top w:w="46" w:type="dxa"/>
          <w:left w:w="91" w:type="dxa"/>
        </w:tblCellMar>
        <w:tblLook w:val="04A0"/>
      </w:tblPr>
      <w:tblGrid>
        <w:gridCol w:w="1082"/>
        <w:gridCol w:w="1078"/>
        <w:gridCol w:w="1267"/>
        <w:gridCol w:w="1075"/>
        <w:gridCol w:w="1164"/>
        <w:gridCol w:w="1080"/>
        <w:gridCol w:w="1169"/>
        <w:gridCol w:w="1181"/>
      </w:tblGrid>
      <w:tr w14:paraId="6B1F6ADD" w14:textId="77777777">
        <w:tblPrEx>
          <w:tblW w:w="9096" w:type="dxa"/>
          <w:tblInd w:w="-10" w:type="dxa"/>
          <w:tblCellMar>
            <w:top w:w="46" w:type="dxa"/>
            <w:left w:w="91" w:type="dxa"/>
          </w:tblCellMar>
          <w:tblLook w:val="04A0"/>
        </w:tblPrEx>
        <w:trPr>
          <w:trHeight w:val="1109"/>
        </w:trPr>
        <w:tc>
          <w:tcPr>
            <w:tcW w:w="1082" w:type="dxa"/>
            <w:tcBorders>
              <w:top w:val="single" w:sz="4" w:space="0" w:color="000000"/>
              <w:left w:val="single" w:sz="4" w:space="0" w:color="000000"/>
              <w:bottom w:val="single" w:sz="4" w:space="0" w:color="000000"/>
              <w:right w:val="single" w:sz="4" w:space="0" w:color="000000"/>
            </w:tcBorders>
            <w:vAlign w:val="center"/>
          </w:tcPr>
          <w:p w:rsidR="00AA0487" w14:paraId="5A101224" w14:textId="77777777">
            <w:pPr>
              <w:spacing w:after="0" w:line="259" w:lineRule="auto"/>
              <w:ind w:left="228" w:hanging="175"/>
            </w:pPr>
            <w:r>
              <w:rPr>
                <w:sz w:val="16"/>
              </w:rPr>
              <w:t>Collection  Type</w:t>
            </w:r>
            <w:r>
              <w:t xml:space="preserve"> </w:t>
            </w:r>
          </w:p>
        </w:tc>
        <w:tc>
          <w:tcPr>
            <w:tcW w:w="1078" w:type="dxa"/>
            <w:tcBorders>
              <w:top w:val="single" w:sz="4" w:space="0" w:color="000000"/>
              <w:left w:val="single" w:sz="4" w:space="0" w:color="000000"/>
              <w:bottom w:val="single" w:sz="4" w:space="0" w:color="000000"/>
              <w:right w:val="single" w:sz="4" w:space="0" w:color="000000"/>
            </w:tcBorders>
            <w:vAlign w:val="center"/>
          </w:tcPr>
          <w:p w:rsidR="00AA0487" w14:paraId="3594CA57" w14:textId="77777777">
            <w:pPr>
              <w:spacing w:after="0" w:line="259" w:lineRule="auto"/>
              <w:ind w:left="0" w:right="136" w:firstLine="0"/>
              <w:jc w:val="right"/>
            </w:pPr>
            <w:r>
              <w:rPr>
                <w:sz w:val="16"/>
              </w:rPr>
              <w:t>Frequency</w:t>
            </w:r>
            <w:r>
              <w:t xml:space="preserve"> </w:t>
            </w:r>
          </w:p>
        </w:tc>
        <w:tc>
          <w:tcPr>
            <w:tcW w:w="1267" w:type="dxa"/>
            <w:tcBorders>
              <w:top w:val="single" w:sz="4" w:space="0" w:color="000000"/>
              <w:left w:val="single" w:sz="4" w:space="0" w:color="000000"/>
              <w:bottom w:val="single" w:sz="4" w:space="0" w:color="000000"/>
              <w:right w:val="single" w:sz="4" w:space="0" w:color="000000"/>
            </w:tcBorders>
            <w:vAlign w:val="center"/>
          </w:tcPr>
          <w:p w:rsidR="00AA0487" w14:paraId="28234E96" w14:textId="77777777">
            <w:pPr>
              <w:spacing w:after="0" w:line="259" w:lineRule="auto"/>
              <w:ind w:left="94" w:firstLine="413"/>
            </w:pPr>
            <w:r>
              <w:rPr>
                <w:sz w:val="16"/>
              </w:rPr>
              <w:t>No.</w:t>
            </w:r>
            <w:r>
              <w:t xml:space="preserve"> </w:t>
            </w:r>
            <w:r>
              <w:rPr>
                <w:sz w:val="16"/>
              </w:rPr>
              <w:t>Respondents</w:t>
            </w:r>
            <w:r>
              <w:t xml:space="preserve"> </w:t>
            </w:r>
          </w:p>
        </w:tc>
        <w:tc>
          <w:tcPr>
            <w:tcW w:w="1075" w:type="dxa"/>
            <w:tcBorders>
              <w:top w:val="single" w:sz="4" w:space="0" w:color="000000"/>
              <w:left w:val="single" w:sz="4" w:space="0" w:color="000000"/>
              <w:bottom w:val="single" w:sz="4" w:space="0" w:color="000000"/>
              <w:right w:val="single" w:sz="4" w:space="0" w:color="000000"/>
            </w:tcBorders>
            <w:vAlign w:val="center"/>
          </w:tcPr>
          <w:p w:rsidR="00AA0487" w14:paraId="6D8AA84E" w14:textId="77777777">
            <w:pPr>
              <w:spacing w:after="0" w:line="259" w:lineRule="auto"/>
              <w:ind w:left="0" w:right="104" w:firstLine="0"/>
              <w:jc w:val="center"/>
            </w:pPr>
            <w:r>
              <w:rPr>
                <w:sz w:val="16"/>
              </w:rPr>
              <w:t>Total</w:t>
            </w:r>
            <w:r>
              <w:t xml:space="preserve"> </w:t>
            </w:r>
          </w:p>
          <w:p w:rsidR="00AA0487" w14:paraId="7B67B40A" w14:textId="77777777">
            <w:pPr>
              <w:spacing w:after="0" w:line="259" w:lineRule="auto"/>
              <w:ind w:left="38" w:firstLine="0"/>
            </w:pPr>
            <w:r>
              <w:rPr>
                <w:sz w:val="16"/>
              </w:rPr>
              <w:t>Responses</w:t>
            </w:r>
            <w:r>
              <w:t xml:space="preserve"> </w:t>
            </w:r>
          </w:p>
        </w:tc>
        <w:tc>
          <w:tcPr>
            <w:tcW w:w="1164" w:type="dxa"/>
            <w:tcBorders>
              <w:top w:val="single" w:sz="4" w:space="0" w:color="000000"/>
              <w:left w:val="single" w:sz="4" w:space="0" w:color="000000"/>
              <w:bottom w:val="single" w:sz="4" w:space="0" w:color="000000"/>
              <w:right w:val="single" w:sz="4" w:space="0" w:color="000000"/>
            </w:tcBorders>
          </w:tcPr>
          <w:p w:rsidR="00AA0487" w14:paraId="5472DFA3" w14:textId="77777777">
            <w:pPr>
              <w:spacing w:after="72" w:line="259" w:lineRule="auto"/>
              <w:ind w:left="0" w:right="92" w:firstLine="0"/>
              <w:jc w:val="center"/>
            </w:pPr>
            <w:r>
              <w:rPr>
                <w:sz w:val="16"/>
              </w:rPr>
              <w:t xml:space="preserve"> </w:t>
            </w:r>
          </w:p>
          <w:p w:rsidR="00AA0487" w14:paraId="55FA61BB" w14:textId="77777777">
            <w:pPr>
              <w:spacing w:after="115" w:line="248" w:lineRule="auto"/>
              <w:ind w:left="122" w:hanging="50"/>
            </w:pPr>
            <w:r>
              <w:rPr>
                <w:sz w:val="16"/>
              </w:rPr>
              <w:t>Burden per</w:t>
            </w:r>
            <w:r>
              <w:t xml:space="preserve"> </w:t>
            </w:r>
            <w:r>
              <w:rPr>
                <w:sz w:val="16"/>
              </w:rPr>
              <w:t>Response</w:t>
            </w:r>
            <w:r>
              <w:t xml:space="preserve"> </w:t>
            </w:r>
          </w:p>
          <w:p w:rsidR="00AA0487" w14:paraId="018423E5" w14:textId="77777777">
            <w:pPr>
              <w:spacing w:after="0" w:line="259" w:lineRule="auto"/>
              <w:ind w:left="0" w:right="100" w:firstLine="0"/>
              <w:jc w:val="center"/>
            </w:pPr>
            <w:r>
              <w:rPr>
                <w:sz w:val="16"/>
              </w:rPr>
              <w:t>(time)</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AA0487" w14:paraId="4561BD51" w14:textId="77777777">
            <w:pPr>
              <w:spacing w:after="123" w:line="259" w:lineRule="auto"/>
              <w:ind w:left="0" w:firstLine="0"/>
            </w:pPr>
            <w:r>
              <w:rPr>
                <w:sz w:val="16"/>
              </w:rPr>
              <w:t xml:space="preserve"> </w:t>
            </w:r>
          </w:p>
          <w:p w:rsidR="00AA0487" w14:paraId="51A89DF3" w14:textId="77777777">
            <w:pPr>
              <w:spacing w:after="40" w:line="259" w:lineRule="auto"/>
              <w:ind w:left="0" w:firstLine="0"/>
            </w:pPr>
            <w:r>
              <w:rPr>
                <w:sz w:val="16"/>
              </w:rPr>
              <w:t>Total Annual</w:t>
            </w:r>
            <w:r>
              <w:t xml:space="preserve"> </w:t>
            </w:r>
          </w:p>
          <w:p w:rsidR="00AA0487" w14:paraId="4CC04A32" w14:textId="77777777">
            <w:pPr>
              <w:spacing w:after="0" w:line="259" w:lineRule="auto"/>
              <w:ind w:left="0" w:right="7" w:firstLine="0"/>
              <w:jc w:val="center"/>
            </w:pPr>
            <w:r>
              <w:rPr>
                <w:sz w:val="16"/>
              </w:rPr>
              <w:t>Burden</w:t>
            </w:r>
            <w:r>
              <w:t xml:space="preserve"> </w:t>
            </w:r>
          </w:p>
          <w:p w:rsidR="00AA0487" w14:paraId="07EB2E9E" w14:textId="77777777">
            <w:pPr>
              <w:spacing w:after="0" w:line="259" w:lineRule="auto"/>
              <w:ind w:left="55" w:firstLine="0"/>
            </w:pPr>
            <w:r>
              <w:rPr>
                <w:sz w:val="16"/>
              </w:rPr>
              <w:t xml:space="preserve">   (hours)</w:t>
            </w:r>
            <w:r>
              <w:t xml:space="preserve"> </w:t>
            </w:r>
          </w:p>
        </w:tc>
        <w:tc>
          <w:tcPr>
            <w:tcW w:w="1169" w:type="dxa"/>
            <w:tcBorders>
              <w:top w:val="single" w:sz="4" w:space="0" w:color="000000"/>
              <w:left w:val="single" w:sz="4" w:space="0" w:color="000000"/>
              <w:bottom w:val="single" w:sz="4" w:space="0" w:color="000000"/>
              <w:right w:val="single" w:sz="4" w:space="0" w:color="000000"/>
            </w:tcBorders>
          </w:tcPr>
          <w:p w:rsidR="00AA0487" w14:paraId="64681DB1" w14:textId="77777777">
            <w:pPr>
              <w:spacing w:after="0" w:line="259" w:lineRule="auto"/>
              <w:ind w:left="91" w:firstLine="0"/>
            </w:pPr>
            <w:r>
              <w:rPr>
                <w:sz w:val="16"/>
              </w:rPr>
              <w:t xml:space="preserve"> </w:t>
            </w:r>
          </w:p>
          <w:p w:rsidR="00AA0487" w14:paraId="0947F548" w14:textId="77777777">
            <w:pPr>
              <w:spacing w:after="48" w:line="259" w:lineRule="auto"/>
              <w:ind w:left="0" w:right="54" w:firstLine="0"/>
              <w:jc w:val="center"/>
            </w:pPr>
            <w:r>
              <w:rPr>
                <w:sz w:val="16"/>
              </w:rPr>
              <w:t xml:space="preserve"> </w:t>
            </w:r>
          </w:p>
          <w:p w:rsidR="00AA0487" w14:paraId="289986CD" w14:textId="77777777">
            <w:pPr>
              <w:spacing w:after="0" w:line="259" w:lineRule="auto"/>
              <w:ind w:left="0" w:right="95" w:firstLine="0"/>
              <w:jc w:val="center"/>
            </w:pPr>
            <w:r>
              <w:rPr>
                <w:sz w:val="16"/>
              </w:rPr>
              <w:t>Labor</w:t>
            </w:r>
            <w:r>
              <w:t xml:space="preserve"> </w:t>
            </w:r>
            <w:r>
              <w:rPr>
                <w:sz w:val="16"/>
              </w:rPr>
              <w:t>Cost</w:t>
            </w:r>
            <w:r>
              <w:t xml:space="preserve"> </w:t>
            </w:r>
          </w:p>
          <w:p w:rsidR="00AA0487" w14:paraId="24D5306E" w14:textId="77777777">
            <w:pPr>
              <w:spacing w:after="0" w:line="259" w:lineRule="auto"/>
              <w:ind w:left="12" w:firstLine="0"/>
            </w:pPr>
            <w:r>
              <w:rPr>
                <w:sz w:val="16"/>
              </w:rPr>
              <w:t xml:space="preserve">    ($/hour)</w:t>
            </w:r>
            <w:r>
              <w:t xml:space="preserve"> </w:t>
            </w:r>
          </w:p>
        </w:tc>
        <w:tc>
          <w:tcPr>
            <w:tcW w:w="1181" w:type="dxa"/>
            <w:tcBorders>
              <w:top w:val="single" w:sz="4" w:space="0" w:color="000000"/>
              <w:left w:val="single" w:sz="4" w:space="0" w:color="000000"/>
              <w:bottom w:val="single" w:sz="4" w:space="0" w:color="000000"/>
              <w:right w:val="single" w:sz="4" w:space="0" w:color="000000"/>
            </w:tcBorders>
            <w:vAlign w:val="center"/>
          </w:tcPr>
          <w:p w:rsidR="00AA0487" w14:paraId="21AFAA27" w14:textId="77777777">
            <w:pPr>
              <w:spacing w:after="0" w:line="259" w:lineRule="auto"/>
              <w:ind w:left="10" w:firstLine="0"/>
            </w:pPr>
            <w:r>
              <w:rPr>
                <w:sz w:val="16"/>
              </w:rPr>
              <w:t>Total Cost ($)</w:t>
            </w:r>
            <w:r>
              <w:t xml:space="preserve"> </w:t>
            </w:r>
          </w:p>
        </w:tc>
      </w:tr>
      <w:tr w14:paraId="7078218A" w14:textId="77777777">
        <w:tblPrEx>
          <w:tblW w:w="9096" w:type="dxa"/>
          <w:tblInd w:w="-10" w:type="dxa"/>
          <w:tblCellMar>
            <w:top w:w="46" w:type="dxa"/>
            <w:left w:w="91" w:type="dxa"/>
          </w:tblCellMar>
          <w:tblLook w:val="04A0"/>
        </w:tblPrEx>
        <w:trPr>
          <w:trHeight w:val="1068"/>
        </w:trPr>
        <w:tc>
          <w:tcPr>
            <w:tcW w:w="1082" w:type="dxa"/>
            <w:tcBorders>
              <w:top w:val="single" w:sz="4" w:space="0" w:color="000000"/>
              <w:left w:val="single" w:sz="4" w:space="0" w:color="000000"/>
              <w:bottom w:val="single" w:sz="4" w:space="0" w:color="000000"/>
              <w:right w:val="single" w:sz="4" w:space="0" w:color="000000"/>
            </w:tcBorders>
            <w:vAlign w:val="center"/>
          </w:tcPr>
          <w:p w:rsidR="00AA0487" w14:paraId="2F53922D" w14:textId="77777777">
            <w:pPr>
              <w:spacing w:after="0" w:line="259" w:lineRule="auto"/>
              <w:ind w:left="2" w:firstLine="50"/>
            </w:pPr>
            <w:r>
              <w:rPr>
                <w:sz w:val="16"/>
              </w:rPr>
              <w:t>Collecting Information</w:t>
            </w:r>
            <w:r>
              <w:t xml:space="preserve"> </w:t>
            </w:r>
          </w:p>
        </w:tc>
        <w:tc>
          <w:tcPr>
            <w:tcW w:w="1078" w:type="dxa"/>
            <w:tcBorders>
              <w:top w:val="single" w:sz="4" w:space="0" w:color="000000"/>
              <w:left w:val="single" w:sz="4" w:space="0" w:color="000000"/>
              <w:bottom w:val="single" w:sz="4" w:space="0" w:color="000000"/>
              <w:right w:val="single" w:sz="4" w:space="0" w:color="000000"/>
            </w:tcBorders>
            <w:vAlign w:val="center"/>
          </w:tcPr>
          <w:p w:rsidR="00AA0487" w14:paraId="341BA5C9" w14:textId="77777777">
            <w:pPr>
              <w:spacing w:after="0" w:line="259" w:lineRule="auto"/>
              <w:ind w:left="0" w:right="234" w:firstLine="0"/>
              <w:jc w:val="right"/>
            </w:pPr>
            <w:r>
              <w:rPr>
                <w:sz w:val="16"/>
              </w:rPr>
              <w:t xml:space="preserve">1 x year </w:t>
            </w:r>
            <w:r>
              <w:t xml:space="preserve">   </w:t>
            </w:r>
          </w:p>
        </w:tc>
        <w:tc>
          <w:tcPr>
            <w:tcW w:w="1267" w:type="dxa"/>
            <w:tcBorders>
              <w:top w:val="single" w:sz="4" w:space="0" w:color="000000"/>
              <w:left w:val="single" w:sz="4" w:space="0" w:color="000000"/>
              <w:bottom w:val="single" w:sz="4" w:space="0" w:color="000000"/>
              <w:right w:val="single" w:sz="4" w:space="0" w:color="000000"/>
            </w:tcBorders>
            <w:vAlign w:val="center"/>
          </w:tcPr>
          <w:p w:rsidR="00AA0487" w14:paraId="23B3D6E7" w14:textId="77777777">
            <w:pPr>
              <w:spacing w:after="0" w:line="259" w:lineRule="auto"/>
              <w:ind w:left="0" w:right="93" w:firstLine="0"/>
              <w:jc w:val="center"/>
            </w:pPr>
            <w:r>
              <w:rPr>
                <w:sz w:val="16"/>
              </w:rPr>
              <w:t>932</w:t>
            </w:r>
            <w:r>
              <w:t xml:space="preserve"> </w:t>
            </w:r>
          </w:p>
        </w:tc>
        <w:tc>
          <w:tcPr>
            <w:tcW w:w="1075" w:type="dxa"/>
            <w:tcBorders>
              <w:top w:val="single" w:sz="4" w:space="0" w:color="000000"/>
              <w:left w:val="single" w:sz="4" w:space="0" w:color="000000"/>
              <w:bottom w:val="single" w:sz="4" w:space="0" w:color="000000"/>
              <w:right w:val="single" w:sz="4" w:space="0" w:color="000000"/>
            </w:tcBorders>
            <w:vAlign w:val="center"/>
          </w:tcPr>
          <w:p w:rsidR="00AA0487" w14:paraId="45482F50" w14:textId="77777777">
            <w:pPr>
              <w:spacing w:after="0" w:line="259" w:lineRule="auto"/>
              <w:ind w:left="0" w:right="194" w:firstLine="0"/>
              <w:jc w:val="center"/>
            </w:pPr>
            <w:r>
              <w:rPr>
                <w:sz w:val="16"/>
              </w:rPr>
              <w:t>932</w:t>
            </w:r>
            <w:r>
              <w:t xml:space="preserve"> </w:t>
            </w:r>
          </w:p>
        </w:tc>
        <w:tc>
          <w:tcPr>
            <w:tcW w:w="1164" w:type="dxa"/>
            <w:tcBorders>
              <w:top w:val="single" w:sz="4" w:space="0" w:color="000000"/>
              <w:left w:val="single" w:sz="4" w:space="0" w:color="000000"/>
              <w:bottom w:val="single" w:sz="4" w:space="0" w:color="000000"/>
              <w:right w:val="single" w:sz="4" w:space="0" w:color="000000"/>
            </w:tcBorders>
            <w:vAlign w:val="center"/>
          </w:tcPr>
          <w:p w:rsidR="00AA0487" w14:paraId="7D4BF044" w14:textId="77777777">
            <w:pPr>
              <w:spacing w:after="0" w:line="259" w:lineRule="auto"/>
              <w:ind w:left="0" w:right="95" w:firstLine="0"/>
              <w:jc w:val="center"/>
            </w:pPr>
            <w:r>
              <w:rPr>
                <w:sz w:val="16"/>
              </w:rPr>
              <w:t xml:space="preserve">1 </w:t>
            </w:r>
            <w:r>
              <w:rPr>
                <w:sz w:val="16"/>
              </w:rPr>
              <w:t>hr</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AA0487" w14:paraId="654D6998" w14:textId="77777777">
            <w:pPr>
              <w:spacing w:after="0" w:line="259" w:lineRule="auto"/>
              <w:ind w:left="0" w:right="98" w:firstLine="0"/>
              <w:jc w:val="center"/>
            </w:pPr>
            <w:r>
              <w:rPr>
                <w:sz w:val="16"/>
              </w:rPr>
              <w:t>932</w:t>
            </w:r>
            <w: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rsidR="00AA0487" w14:paraId="65D8E706" w14:textId="77777777">
            <w:pPr>
              <w:spacing w:after="0" w:line="259" w:lineRule="auto"/>
              <w:ind w:left="0" w:right="96" w:firstLine="0"/>
              <w:jc w:val="center"/>
            </w:pPr>
            <w:r>
              <w:rPr>
                <w:sz w:val="16"/>
              </w:rPr>
              <w:t>44.54</w:t>
            </w:r>
            <w:r>
              <w:t xml:space="preserve"> </w:t>
            </w:r>
          </w:p>
        </w:tc>
        <w:tc>
          <w:tcPr>
            <w:tcW w:w="1181" w:type="dxa"/>
            <w:tcBorders>
              <w:top w:val="single" w:sz="4" w:space="0" w:color="000000"/>
              <w:left w:val="single" w:sz="4" w:space="0" w:color="000000"/>
              <w:bottom w:val="single" w:sz="4" w:space="0" w:color="000000"/>
              <w:right w:val="single" w:sz="4" w:space="0" w:color="000000"/>
            </w:tcBorders>
            <w:vAlign w:val="center"/>
          </w:tcPr>
          <w:p w:rsidR="00AA0487" w14:paraId="4D23C638" w14:textId="77777777">
            <w:pPr>
              <w:spacing w:after="0" w:line="259" w:lineRule="auto"/>
              <w:ind w:left="0" w:right="129" w:firstLine="0"/>
              <w:jc w:val="center"/>
            </w:pPr>
            <w:r>
              <w:rPr>
                <w:sz w:val="16"/>
              </w:rPr>
              <w:t>41,511</w:t>
            </w:r>
            <w:r>
              <w:t xml:space="preserve"> </w:t>
            </w:r>
          </w:p>
        </w:tc>
      </w:tr>
    </w:tbl>
    <w:p w:rsidR="00AA0487" w14:paraId="4BABAB1C" w14:textId="77777777">
      <w:pPr>
        <w:spacing w:after="0" w:line="259" w:lineRule="auto"/>
        <w:ind w:left="14" w:firstLine="0"/>
      </w:pPr>
      <w:r>
        <w:rPr>
          <w:rFonts w:ascii="Calibri" w:eastAsia="Calibri" w:hAnsi="Calibri" w:cs="Calibri"/>
          <w:noProof/>
          <w:sz w:val="22"/>
        </w:rPr>
        <mc:AlternateContent>
          <mc:Choice Requires="wpg">
            <w:drawing>
              <wp:inline distT="0" distB="0" distL="0" distR="0">
                <wp:extent cx="1828800" cy="7620"/>
                <wp:effectExtent l="0" t="0" r="0" b="0"/>
                <wp:docPr id="9505" name="Group 9505"/>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7620"/>
                          <a:chOff x="0" y="0"/>
                          <a:chExt cx="1828800" cy="7620"/>
                        </a:xfrm>
                      </wpg:grpSpPr>
                      <wps:wsp xmlns:wps="http://schemas.microsoft.com/office/word/2010/wordprocessingShape">
                        <wps:cNvPr id="10152" name="Shape 10152"/>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2in;height:0.6pt;mso-position-horizontal-relative:char;mso-position-vertical-relative:line" coordsize="18288,76">
                <v:shape id="_x0000_s1026" style="width:18288;height:91;position:absolute" coordsize="1828800,9144" path="m,l1828800,l1828800,9144l,9144l,e" filled="t" fillcolor="black" stroked="f" strokecolor="black">
                  <v:stroke joinstyle="miter" endcap="flat" opacity="0"/>
                </v:shape>
                <w10:wrap type="none"/>
              </v:group>
            </w:pict>
          </mc:Fallback>
        </mc:AlternateContent>
      </w:r>
      <w:r>
        <w:t xml:space="preserve"> </w:t>
      </w:r>
    </w:p>
    <w:tbl>
      <w:tblPr>
        <w:tblStyle w:val="TableGrid"/>
        <w:tblW w:w="9096" w:type="dxa"/>
        <w:tblInd w:w="-10" w:type="dxa"/>
        <w:tblCellMar>
          <w:left w:w="139" w:type="dxa"/>
          <w:right w:w="75" w:type="dxa"/>
        </w:tblCellMar>
        <w:tblLook w:val="04A0"/>
      </w:tblPr>
      <w:tblGrid>
        <w:gridCol w:w="1082"/>
        <w:gridCol w:w="1078"/>
        <w:gridCol w:w="1267"/>
        <w:gridCol w:w="1075"/>
        <w:gridCol w:w="1164"/>
        <w:gridCol w:w="1080"/>
        <w:gridCol w:w="1169"/>
        <w:gridCol w:w="1181"/>
      </w:tblGrid>
      <w:tr w14:paraId="02D77C07" w14:textId="77777777">
        <w:tblPrEx>
          <w:tblW w:w="9096" w:type="dxa"/>
          <w:tblInd w:w="-10" w:type="dxa"/>
          <w:tblCellMar>
            <w:left w:w="139" w:type="dxa"/>
            <w:right w:w="75" w:type="dxa"/>
          </w:tblCellMar>
          <w:tblLook w:val="04A0"/>
        </w:tblPrEx>
        <w:trPr>
          <w:trHeight w:val="1068"/>
        </w:trPr>
        <w:tc>
          <w:tcPr>
            <w:tcW w:w="1082" w:type="dxa"/>
            <w:tcBorders>
              <w:top w:val="single" w:sz="4" w:space="0" w:color="000000"/>
              <w:left w:val="single" w:sz="4" w:space="0" w:color="000000"/>
              <w:bottom w:val="single" w:sz="4" w:space="0" w:color="000000"/>
              <w:right w:val="single" w:sz="4" w:space="0" w:color="000000"/>
            </w:tcBorders>
            <w:vAlign w:val="center"/>
          </w:tcPr>
          <w:p w:rsidR="00AA0487" w14:paraId="13D0344E" w14:textId="77777777">
            <w:pPr>
              <w:spacing w:after="0" w:line="259" w:lineRule="auto"/>
              <w:ind w:left="0" w:firstLine="0"/>
              <w:jc w:val="center"/>
            </w:pPr>
            <w:r>
              <w:rPr>
                <w:sz w:val="16"/>
              </w:rPr>
              <w:t xml:space="preserve">Disclosing Information </w:t>
            </w:r>
          </w:p>
        </w:tc>
        <w:tc>
          <w:tcPr>
            <w:tcW w:w="1078" w:type="dxa"/>
            <w:tcBorders>
              <w:top w:val="single" w:sz="4" w:space="0" w:color="000000"/>
              <w:left w:val="single" w:sz="4" w:space="0" w:color="000000"/>
              <w:bottom w:val="single" w:sz="4" w:space="0" w:color="000000"/>
              <w:right w:val="single" w:sz="4" w:space="0" w:color="000000"/>
            </w:tcBorders>
            <w:vAlign w:val="center"/>
          </w:tcPr>
          <w:p w:rsidR="00AA0487" w14:paraId="357353BA" w14:textId="77777777">
            <w:pPr>
              <w:spacing w:after="0" w:line="259" w:lineRule="auto"/>
              <w:ind w:left="58" w:firstLine="209"/>
            </w:pPr>
            <w:r>
              <w:rPr>
                <w:sz w:val="16"/>
              </w:rPr>
              <w:t xml:space="preserve">On occasion </w:t>
            </w:r>
          </w:p>
        </w:tc>
        <w:tc>
          <w:tcPr>
            <w:tcW w:w="1267" w:type="dxa"/>
            <w:tcBorders>
              <w:top w:val="single" w:sz="4" w:space="0" w:color="000000"/>
              <w:left w:val="single" w:sz="4" w:space="0" w:color="000000"/>
              <w:bottom w:val="single" w:sz="4" w:space="0" w:color="000000"/>
              <w:right w:val="single" w:sz="4" w:space="0" w:color="000000"/>
            </w:tcBorders>
            <w:vAlign w:val="center"/>
          </w:tcPr>
          <w:p w:rsidR="00AA0487" w14:paraId="245FD3AC" w14:textId="77777777">
            <w:pPr>
              <w:spacing w:after="0" w:line="259" w:lineRule="auto"/>
              <w:ind w:left="0" w:right="66" w:firstLine="0"/>
              <w:jc w:val="center"/>
            </w:pPr>
            <w:r>
              <w:rPr>
                <w:sz w:val="16"/>
              </w:rPr>
              <w:t xml:space="preserve">932 </w:t>
            </w:r>
          </w:p>
        </w:tc>
        <w:tc>
          <w:tcPr>
            <w:tcW w:w="1075" w:type="dxa"/>
            <w:tcBorders>
              <w:top w:val="single" w:sz="4" w:space="0" w:color="000000"/>
              <w:left w:val="single" w:sz="4" w:space="0" w:color="000000"/>
              <w:bottom w:val="single" w:sz="4" w:space="0" w:color="000000"/>
              <w:right w:val="single" w:sz="4" w:space="0" w:color="000000"/>
            </w:tcBorders>
            <w:vAlign w:val="center"/>
          </w:tcPr>
          <w:p w:rsidR="00AA0487" w14:paraId="0B4843CE" w14:textId="77777777">
            <w:pPr>
              <w:spacing w:after="0" w:line="259" w:lineRule="auto"/>
              <w:ind w:left="0" w:right="234" w:firstLine="0"/>
              <w:jc w:val="center"/>
            </w:pPr>
            <w:r>
              <w:rPr>
                <w:sz w:val="16"/>
              </w:rPr>
              <w:t xml:space="preserve"> 66,500 </w:t>
            </w:r>
            <w:r>
              <w:t xml:space="preserve">  </w:t>
            </w:r>
            <w:r>
              <w:rPr>
                <w:sz w:val="16"/>
              </w:rPr>
              <w:t xml:space="preserve"> </w:t>
            </w:r>
          </w:p>
        </w:tc>
        <w:tc>
          <w:tcPr>
            <w:tcW w:w="1164" w:type="dxa"/>
            <w:tcBorders>
              <w:top w:val="single" w:sz="4" w:space="0" w:color="000000"/>
              <w:left w:val="single" w:sz="4" w:space="0" w:color="000000"/>
              <w:bottom w:val="single" w:sz="4" w:space="0" w:color="000000"/>
              <w:right w:val="single" w:sz="4" w:space="0" w:color="000000"/>
            </w:tcBorders>
            <w:vAlign w:val="center"/>
          </w:tcPr>
          <w:p w:rsidR="00AA0487" w14:paraId="6E5DF2E6" w14:textId="77777777">
            <w:pPr>
              <w:spacing w:after="0" w:line="259" w:lineRule="auto"/>
              <w:ind w:left="0" w:right="75" w:firstLine="0"/>
              <w:jc w:val="center"/>
            </w:pPr>
            <w:r>
              <w:rPr>
                <w:sz w:val="16"/>
              </w:rPr>
              <w:t xml:space="preserve">0.08 </w:t>
            </w:r>
            <w:r>
              <w:rPr>
                <w:sz w:val="16"/>
              </w:rPr>
              <w:t>hr</w:t>
            </w:r>
            <w:r>
              <w:rPr>
                <w:sz w:val="16"/>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AA0487" w14:paraId="253C632F" w14:textId="77777777">
            <w:pPr>
              <w:spacing w:after="0" w:line="259" w:lineRule="auto"/>
              <w:ind w:left="0" w:right="71" w:firstLine="0"/>
              <w:jc w:val="center"/>
            </w:pPr>
            <w:r>
              <w:rPr>
                <w:sz w:val="16"/>
              </w:rPr>
              <w:t xml:space="preserve">5,320 </w:t>
            </w:r>
          </w:p>
        </w:tc>
        <w:tc>
          <w:tcPr>
            <w:tcW w:w="1169" w:type="dxa"/>
            <w:tcBorders>
              <w:top w:val="single" w:sz="4" w:space="0" w:color="000000"/>
              <w:left w:val="single" w:sz="4" w:space="0" w:color="000000"/>
              <w:bottom w:val="single" w:sz="4" w:space="0" w:color="000000"/>
              <w:right w:val="single" w:sz="4" w:space="0" w:color="000000"/>
            </w:tcBorders>
            <w:vAlign w:val="center"/>
          </w:tcPr>
          <w:p w:rsidR="00AA0487" w14:paraId="18B5BED8" w14:textId="77777777">
            <w:pPr>
              <w:spacing w:after="0" w:line="259" w:lineRule="auto"/>
              <w:ind w:left="0" w:right="68" w:firstLine="0"/>
              <w:jc w:val="center"/>
            </w:pPr>
            <w:r>
              <w:rPr>
                <w:sz w:val="16"/>
              </w:rPr>
              <w:t xml:space="preserve">44.54 </w:t>
            </w:r>
          </w:p>
        </w:tc>
        <w:tc>
          <w:tcPr>
            <w:tcW w:w="1181" w:type="dxa"/>
            <w:tcBorders>
              <w:top w:val="single" w:sz="4" w:space="0" w:color="000000"/>
              <w:left w:val="single" w:sz="4" w:space="0" w:color="000000"/>
              <w:bottom w:val="single" w:sz="4" w:space="0" w:color="000000"/>
              <w:right w:val="single" w:sz="4" w:space="0" w:color="000000"/>
            </w:tcBorders>
            <w:vAlign w:val="center"/>
          </w:tcPr>
          <w:p w:rsidR="00AA0487" w14:paraId="0F6723DD" w14:textId="77777777">
            <w:pPr>
              <w:spacing w:after="0" w:line="259" w:lineRule="auto"/>
              <w:ind w:left="120" w:firstLine="0"/>
            </w:pPr>
            <w:r>
              <w:rPr>
                <w:sz w:val="16"/>
              </w:rPr>
              <w:t xml:space="preserve"> 236,953 </w:t>
            </w:r>
            <w:r>
              <w:t xml:space="preserve">  </w:t>
            </w:r>
            <w:r>
              <w:rPr>
                <w:sz w:val="16"/>
              </w:rPr>
              <w:t xml:space="preserve"> </w:t>
            </w:r>
          </w:p>
        </w:tc>
      </w:tr>
      <w:tr w14:paraId="321D8A7E" w14:textId="77777777">
        <w:tblPrEx>
          <w:tblW w:w="9096" w:type="dxa"/>
          <w:tblInd w:w="-10" w:type="dxa"/>
          <w:tblCellMar>
            <w:left w:w="139" w:type="dxa"/>
            <w:right w:w="75" w:type="dxa"/>
          </w:tblCellMar>
          <w:tblLook w:val="04A0"/>
        </w:tblPrEx>
        <w:trPr>
          <w:trHeight w:val="1068"/>
        </w:trPr>
        <w:tc>
          <w:tcPr>
            <w:tcW w:w="1082" w:type="dxa"/>
            <w:tcBorders>
              <w:top w:val="single" w:sz="4" w:space="0" w:color="000000"/>
              <w:left w:val="single" w:sz="4" w:space="0" w:color="000000"/>
              <w:bottom w:val="single" w:sz="4" w:space="0" w:color="000000"/>
              <w:right w:val="single" w:sz="4" w:space="0" w:color="000000"/>
            </w:tcBorders>
            <w:vAlign w:val="center"/>
          </w:tcPr>
          <w:p w:rsidR="00AA0487" w14:paraId="1FBDC880" w14:textId="77777777">
            <w:pPr>
              <w:spacing w:after="0" w:line="259" w:lineRule="auto"/>
              <w:ind w:left="0" w:right="155" w:firstLine="0"/>
              <w:jc w:val="center"/>
            </w:pPr>
            <w:r>
              <w:rPr>
                <w:b/>
                <w:sz w:val="16"/>
              </w:rPr>
              <w:t>TOTAL</w:t>
            </w:r>
            <w:r>
              <w:rPr>
                <w:sz w:val="16"/>
              </w:rPr>
              <w:t xml:space="preserve"> </w:t>
            </w:r>
          </w:p>
        </w:tc>
        <w:tc>
          <w:tcPr>
            <w:tcW w:w="1078" w:type="dxa"/>
            <w:tcBorders>
              <w:top w:val="single" w:sz="4" w:space="0" w:color="000000"/>
              <w:left w:val="single" w:sz="4" w:space="0" w:color="000000"/>
              <w:bottom w:val="single" w:sz="4" w:space="0" w:color="000000"/>
              <w:right w:val="single" w:sz="4" w:space="0" w:color="000000"/>
            </w:tcBorders>
            <w:vAlign w:val="center"/>
          </w:tcPr>
          <w:p w:rsidR="00AA0487" w14:paraId="4EC19391" w14:textId="77777777">
            <w:pPr>
              <w:spacing w:after="0" w:line="259" w:lineRule="auto"/>
              <w:ind w:left="0" w:right="116" w:firstLine="0"/>
              <w:jc w:val="center"/>
            </w:pPr>
            <w:r>
              <w:rPr>
                <w:b/>
                <w:sz w:val="16"/>
              </w:rPr>
              <w:t>varies</w:t>
            </w:r>
            <w:r>
              <w:rPr>
                <w:sz w:val="16"/>
              </w:rPr>
              <w:t xml:space="preserve"> </w:t>
            </w:r>
          </w:p>
        </w:tc>
        <w:tc>
          <w:tcPr>
            <w:tcW w:w="1267" w:type="dxa"/>
            <w:tcBorders>
              <w:top w:val="single" w:sz="4" w:space="0" w:color="000000"/>
              <w:left w:val="single" w:sz="4" w:space="0" w:color="000000"/>
              <w:bottom w:val="single" w:sz="4" w:space="0" w:color="000000"/>
              <w:right w:val="single" w:sz="4" w:space="0" w:color="000000"/>
            </w:tcBorders>
            <w:vAlign w:val="center"/>
          </w:tcPr>
          <w:p w:rsidR="00AA0487" w14:paraId="734713F0" w14:textId="77777777">
            <w:pPr>
              <w:spacing w:after="0" w:line="259" w:lineRule="auto"/>
              <w:ind w:left="0" w:right="66" w:firstLine="0"/>
              <w:jc w:val="center"/>
            </w:pPr>
            <w:r>
              <w:rPr>
                <w:b/>
                <w:sz w:val="16"/>
              </w:rPr>
              <w:t>932</w:t>
            </w:r>
            <w:r>
              <w:rPr>
                <w:sz w:val="16"/>
              </w:rPr>
              <w:t xml:space="preserve"> </w:t>
            </w:r>
          </w:p>
        </w:tc>
        <w:tc>
          <w:tcPr>
            <w:tcW w:w="1075" w:type="dxa"/>
            <w:tcBorders>
              <w:top w:val="single" w:sz="4" w:space="0" w:color="000000"/>
              <w:left w:val="single" w:sz="4" w:space="0" w:color="000000"/>
              <w:bottom w:val="single" w:sz="4" w:space="0" w:color="000000"/>
              <w:right w:val="single" w:sz="4" w:space="0" w:color="000000"/>
            </w:tcBorders>
            <w:vAlign w:val="center"/>
          </w:tcPr>
          <w:p w:rsidR="00AA0487" w14:paraId="08D4DE78" w14:textId="77777777">
            <w:pPr>
              <w:spacing w:after="0" w:line="259" w:lineRule="auto"/>
              <w:ind w:left="0" w:right="234" w:firstLine="0"/>
              <w:jc w:val="center"/>
            </w:pPr>
            <w:r>
              <w:rPr>
                <w:b/>
                <w:sz w:val="16"/>
              </w:rPr>
              <w:t xml:space="preserve"> 67,432 </w:t>
            </w:r>
            <w:r>
              <w:t xml:space="preserve">  </w:t>
            </w:r>
            <w:r>
              <w:rPr>
                <w:sz w:val="16"/>
              </w:rPr>
              <w:t xml:space="preserve"> </w:t>
            </w:r>
          </w:p>
        </w:tc>
        <w:tc>
          <w:tcPr>
            <w:tcW w:w="1164" w:type="dxa"/>
            <w:tcBorders>
              <w:top w:val="single" w:sz="4" w:space="0" w:color="000000"/>
              <w:left w:val="single" w:sz="4" w:space="0" w:color="000000"/>
              <w:bottom w:val="single" w:sz="4" w:space="0" w:color="000000"/>
              <w:right w:val="single" w:sz="4" w:space="0" w:color="000000"/>
            </w:tcBorders>
            <w:vAlign w:val="center"/>
          </w:tcPr>
          <w:p w:rsidR="00AA0487" w14:paraId="696753DE" w14:textId="77777777">
            <w:pPr>
              <w:spacing w:after="0" w:line="259" w:lineRule="auto"/>
              <w:ind w:left="0" w:right="71" w:firstLine="0"/>
              <w:jc w:val="center"/>
            </w:pPr>
            <w:r>
              <w:rPr>
                <w:b/>
                <w:sz w:val="16"/>
              </w:rPr>
              <w:t xml:space="preserve">1.08 </w:t>
            </w:r>
            <w:r>
              <w:rPr>
                <w:b/>
                <w:sz w:val="16"/>
              </w:rPr>
              <w:t>hr</w:t>
            </w:r>
            <w:r>
              <w:rPr>
                <w:sz w:val="16"/>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AA0487" w14:paraId="3C096748" w14:textId="77777777">
            <w:pPr>
              <w:spacing w:after="0" w:line="259" w:lineRule="auto"/>
              <w:ind w:left="0" w:right="71" w:firstLine="0"/>
              <w:jc w:val="center"/>
            </w:pPr>
            <w:r>
              <w:rPr>
                <w:b/>
                <w:sz w:val="16"/>
              </w:rPr>
              <w:t>6,252</w:t>
            </w:r>
            <w:r>
              <w:rPr>
                <w:sz w:val="16"/>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rsidR="00AA0487" w14:paraId="4FCC03C1" w14:textId="77777777">
            <w:pPr>
              <w:spacing w:after="0" w:line="259" w:lineRule="auto"/>
              <w:ind w:left="0" w:right="68" w:firstLine="0"/>
              <w:jc w:val="center"/>
            </w:pPr>
            <w:r>
              <w:rPr>
                <w:b/>
                <w:sz w:val="16"/>
              </w:rPr>
              <w:t>44.54</w:t>
            </w:r>
            <w:r>
              <w:rPr>
                <w:sz w:val="16"/>
              </w:rPr>
              <w:t xml:space="preserve"> </w:t>
            </w:r>
          </w:p>
        </w:tc>
        <w:tc>
          <w:tcPr>
            <w:tcW w:w="1181" w:type="dxa"/>
            <w:tcBorders>
              <w:top w:val="single" w:sz="4" w:space="0" w:color="000000"/>
              <w:left w:val="single" w:sz="4" w:space="0" w:color="000000"/>
              <w:bottom w:val="single" w:sz="4" w:space="0" w:color="000000"/>
              <w:right w:val="single" w:sz="4" w:space="0" w:color="000000"/>
            </w:tcBorders>
            <w:vAlign w:val="center"/>
          </w:tcPr>
          <w:p w:rsidR="00AA0487" w14:paraId="60B8F1B5" w14:textId="77777777">
            <w:pPr>
              <w:spacing w:after="0" w:line="259" w:lineRule="auto"/>
              <w:ind w:left="120" w:firstLine="0"/>
            </w:pPr>
            <w:r>
              <w:rPr>
                <w:b/>
                <w:sz w:val="16"/>
              </w:rPr>
              <w:t xml:space="preserve"> 278,464 </w:t>
            </w:r>
            <w:r>
              <w:t xml:space="preserve">  </w:t>
            </w:r>
            <w:r>
              <w:rPr>
                <w:sz w:val="16"/>
              </w:rPr>
              <w:t xml:space="preserve"> </w:t>
            </w:r>
          </w:p>
        </w:tc>
      </w:tr>
    </w:tbl>
    <w:p w:rsidR="00AA0487" w14:paraId="3256C02B" w14:textId="77777777">
      <w:pPr>
        <w:spacing w:after="0" w:line="259" w:lineRule="auto"/>
        <w:ind w:left="166" w:firstLine="0"/>
      </w:pPr>
      <w:r>
        <w:t xml:space="preserve">  </w:t>
      </w:r>
    </w:p>
    <w:p w:rsidR="00AA0487" w14:paraId="4516F488" w14:textId="77777777">
      <w:pPr>
        <w:spacing w:after="0" w:line="259" w:lineRule="auto"/>
        <w:ind w:left="166" w:firstLine="0"/>
      </w:pPr>
      <w:r>
        <w:t xml:space="preserve">    </w:t>
      </w:r>
    </w:p>
    <w:p w:rsidR="00AA0487" w14:paraId="1CAFE71D" w14:textId="77777777">
      <w:pPr>
        <w:pStyle w:val="Heading3"/>
        <w:ind w:left="151"/>
      </w:pPr>
      <w:r>
        <w:t xml:space="preserve">12.5 Collection Instruments and Associated Guidance/Instructions    </w:t>
      </w:r>
    </w:p>
    <w:p w:rsidR="00AA0487" w14:paraId="234217FB" w14:textId="77777777">
      <w:pPr>
        <w:spacing w:after="0" w:line="259" w:lineRule="auto"/>
        <w:ind w:left="166" w:firstLine="0"/>
      </w:pPr>
      <w:r>
        <w:t xml:space="preserve">    </w:t>
      </w:r>
    </w:p>
    <w:p w:rsidR="00AA0487" w14:paraId="399EC6DC" w14:textId="77777777">
      <w:pPr>
        <w:ind w:left="166"/>
      </w:pPr>
      <w:r>
        <w:t xml:space="preserve">The appeals and grievance data form is an OMB approved form for use by Medicare Advantage organizations to disclose grievance and appeal data, upon request, to individuals eligible to elect an MA organization.  By utilizing the form, MA organizations will meet the disclosure requirements set forth in regulations at 42 C.F.R. 422.111(c)(3).  There are no revisions to the form in this iteration.  </w:t>
      </w:r>
    </w:p>
    <w:p w:rsidR="00AA0487" w14:paraId="1B3FB520" w14:textId="77777777">
      <w:pPr>
        <w:spacing w:after="0" w:line="259" w:lineRule="auto"/>
        <w:ind w:left="156" w:firstLine="0"/>
      </w:pPr>
      <w:r>
        <w:t xml:space="preserve"> </w:t>
      </w:r>
    </w:p>
    <w:p w:rsidR="00AA0487" w14:paraId="76143FDF" w14:textId="77777777">
      <w:pPr>
        <w:ind w:left="171"/>
      </w:pPr>
      <w:r>
        <w:t xml:space="preserve">Included in this PRA Package are instructions for completing the appeals and grievance data form.  The form instructions serve as a reference for MA organizations on the collection and disclosure requirements of grievance and appeal data.  There are no revisions to the instructions in this iteration. </w:t>
      </w:r>
    </w:p>
    <w:p w:rsidR="00AA0487" w14:paraId="01E35782" w14:textId="77777777">
      <w:pPr>
        <w:spacing w:after="2" w:line="259" w:lineRule="auto"/>
        <w:ind w:left="166" w:firstLine="0"/>
      </w:pPr>
      <w:r>
        <w:t xml:space="preserve">    </w:t>
      </w:r>
    </w:p>
    <w:p w:rsidR="00AA0487" w14:paraId="09A0D5B2" w14:textId="77777777">
      <w:pPr>
        <w:spacing w:after="39" w:line="259" w:lineRule="auto"/>
        <w:ind w:left="166"/>
      </w:pPr>
      <w:r>
        <w:t xml:space="preserve">13. </w:t>
      </w:r>
      <w:r>
        <w:rPr>
          <w:u w:val="single" w:color="000000"/>
        </w:rPr>
        <w:t>Capital Costs</w:t>
      </w:r>
      <w:r>
        <w:t xml:space="preserve">    </w:t>
      </w:r>
    </w:p>
    <w:p w:rsidR="00AA0487" w14:paraId="7A32BB5F" w14:textId="77777777">
      <w:pPr>
        <w:spacing w:after="0" w:line="259" w:lineRule="auto"/>
        <w:ind w:left="166" w:firstLine="0"/>
      </w:pPr>
      <w:r>
        <w:rPr>
          <w:rFonts w:ascii="Calibri" w:eastAsia="Calibri" w:hAnsi="Calibri" w:cs="Calibri"/>
          <w:sz w:val="26"/>
        </w:rPr>
        <w:t xml:space="preserve"> </w:t>
      </w:r>
      <w:r>
        <w:t xml:space="preserve">   </w:t>
      </w:r>
    </w:p>
    <w:p w:rsidR="00AA0487" w14:paraId="074B14B5" w14:textId="77777777">
      <w:pPr>
        <w:spacing w:after="39"/>
        <w:ind w:left="171"/>
      </w:pPr>
      <w:r>
        <w:t xml:space="preserve">There are no capitals costs associated with these information collection requirements.    </w:t>
      </w:r>
    </w:p>
    <w:p w:rsidR="00AA0487" w14:paraId="666608FE" w14:textId="77777777">
      <w:pPr>
        <w:spacing w:after="0" w:line="259" w:lineRule="auto"/>
        <w:ind w:left="166" w:firstLine="0"/>
      </w:pPr>
      <w:r>
        <w:rPr>
          <w:rFonts w:ascii="Calibri" w:eastAsia="Calibri" w:hAnsi="Calibri" w:cs="Calibri"/>
        </w:rPr>
        <w:t xml:space="preserve"> </w:t>
      </w:r>
      <w:r>
        <w:t xml:space="preserve">   </w:t>
      </w:r>
    </w:p>
    <w:p w:rsidR="00AA0487" w14:paraId="7373DCAD" w14:textId="77777777">
      <w:pPr>
        <w:pStyle w:val="Heading2"/>
        <w:ind w:left="166"/>
      </w:pPr>
      <w:r>
        <w:rPr>
          <w:u w:val="none"/>
        </w:rPr>
        <w:t xml:space="preserve">14. </w:t>
      </w:r>
      <w:r>
        <w:t>Cost to the Federal Government</w:t>
      </w:r>
      <w:r>
        <w:rPr>
          <w:u w:val="none"/>
        </w:rPr>
        <w:t xml:space="preserve">    </w:t>
      </w:r>
    </w:p>
    <w:p w:rsidR="00AA0487" w14:paraId="3EE5C1F9" w14:textId="77777777">
      <w:pPr>
        <w:spacing w:after="0" w:line="259" w:lineRule="auto"/>
        <w:ind w:left="166" w:firstLine="0"/>
      </w:pPr>
      <w:r>
        <w:t xml:space="preserve"> </w:t>
      </w:r>
    </w:p>
    <w:p w:rsidR="00AA0487" w14:paraId="0F4F414E" w14:textId="77777777">
      <w:pPr>
        <w:ind w:left="176"/>
      </w:pPr>
      <w:r>
        <w:t xml:space="preserve">The cost to the Federal government is on a triennial basis and is associated with the preparation and release of the updated notice and supplemental documents (e.g., form instructions and alternate versions). This includes the time it takes the employee to complete the PRA process, draft an HPMS memo announcing the release of the updated </w:t>
      </w:r>
      <w:r>
        <w:t xml:space="preserve">form, and posting the documents to CMS.gov. Because the notices will be printed and distributed by individual Medicare health plans, this alleviates additional </w:t>
      </w:r>
      <w:r>
        <w:t>cost</w:t>
      </w:r>
      <w:r>
        <w:t xml:space="preserve"> to the Federal government. </w:t>
      </w:r>
    </w:p>
    <w:p w:rsidR="00AA0487" w14:paraId="6E890AA0" w14:textId="77777777">
      <w:pPr>
        <w:spacing w:after="0" w:line="259" w:lineRule="auto"/>
        <w:ind w:left="166" w:firstLine="0"/>
      </w:pPr>
      <w:r>
        <w:t xml:space="preserve"> </w:t>
      </w:r>
    </w:p>
    <w:p w:rsidR="00AA0487" w14:paraId="1A698C4C" w14:textId="77777777">
      <w:pPr>
        <w:ind w:left="176"/>
      </w:pPr>
      <w:r>
        <w:t xml:space="preserve">The analysis and preparation of the PRA package and the subsequent release of documents </w:t>
      </w:r>
      <w:r>
        <w:t>is</w:t>
      </w:r>
      <w:r>
        <w:t xml:space="preserve"> performed by a CMS employee. The average salary of the employee who would be completing this task, which includes the </w:t>
      </w:r>
      <w:r>
        <w:t>locality</w:t>
      </w:r>
      <w:r>
        <w:t xml:space="preserve"> pay adjustment for the area of Washington-Baltimore-Arlington, is listed in the table below. </w:t>
      </w:r>
      <w:r>
        <w:rPr>
          <w:i/>
        </w:rPr>
        <w:t>See</w:t>
      </w:r>
      <w:r>
        <w:t xml:space="preserve"> OPM 2026 General Schedule (GS) Locality Pay Tables, https://www.opm.gov/policy-data-oversight/payleave/salaries-wages/salary-tables/pdf/2026/DCB_h.pdf. We estimate that on average it takes a CMS employee 15 hours to perform these activities and the triennial cost to the Federal government to be $912.45.  </w:t>
      </w:r>
    </w:p>
    <w:p w:rsidR="00AA0487" w14:paraId="5E37EFF0" w14:textId="77777777">
      <w:pPr>
        <w:spacing w:after="0" w:line="259" w:lineRule="auto"/>
        <w:ind w:left="94" w:firstLine="0"/>
      </w:pPr>
      <w:r>
        <w:t xml:space="preserve"> </w:t>
      </w:r>
    </w:p>
    <w:tbl>
      <w:tblPr>
        <w:tblStyle w:val="TableGrid"/>
        <w:tblW w:w="8047" w:type="dxa"/>
        <w:tblInd w:w="778" w:type="dxa"/>
        <w:tblCellMar>
          <w:top w:w="56" w:type="dxa"/>
          <w:left w:w="216" w:type="dxa"/>
          <w:right w:w="92" w:type="dxa"/>
        </w:tblCellMar>
        <w:tblLook w:val="04A0"/>
      </w:tblPr>
      <w:tblGrid>
        <w:gridCol w:w="1658"/>
        <w:gridCol w:w="1428"/>
        <w:gridCol w:w="2119"/>
        <w:gridCol w:w="2842"/>
      </w:tblGrid>
      <w:tr w14:paraId="1BD92E4E" w14:textId="77777777">
        <w:tblPrEx>
          <w:tblW w:w="8047" w:type="dxa"/>
          <w:tblInd w:w="778" w:type="dxa"/>
          <w:tblCellMar>
            <w:top w:w="56" w:type="dxa"/>
            <w:left w:w="216" w:type="dxa"/>
            <w:right w:w="92" w:type="dxa"/>
          </w:tblCellMar>
          <w:tblLook w:val="04A0"/>
        </w:tblPrEx>
        <w:trPr>
          <w:trHeight w:val="595"/>
        </w:trPr>
        <w:tc>
          <w:tcPr>
            <w:tcW w:w="1658" w:type="dxa"/>
            <w:tcBorders>
              <w:top w:val="single" w:sz="4" w:space="0" w:color="000000"/>
              <w:left w:val="single" w:sz="4" w:space="0" w:color="000000"/>
              <w:bottom w:val="single" w:sz="4" w:space="0" w:color="000000"/>
              <w:right w:val="single" w:sz="4" w:space="0" w:color="000000"/>
            </w:tcBorders>
          </w:tcPr>
          <w:p w:rsidR="00AA0487" w14:paraId="22FCAA19" w14:textId="77777777">
            <w:pPr>
              <w:spacing w:after="0" w:line="259" w:lineRule="auto"/>
              <w:ind w:left="2" w:firstLine="0"/>
            </w:pPr>
            <w:r>
              <w:rPr>
                <w:b/>
              </w:rPr>
              <w:t xml:space="preserve">Employee </w:t>
            </w:r>
          </w:p>
        </w:tc>
        <w:tc>
          <w:tcPr>
            <w:tcW w:w="1428" w:type="dxa"/>
            <w:tcBorders>
              <w:top w:val="single" w:sz="4" w:space="0" w:color="000000"/>
              <w:left w:val="single" w:sz="4" w:space="0" w:color="000000"/>
              <w:bottom w:val="single" w:sz="4" w:space="0" w:color="000000"/>
              <w:right w:val="single" w:sz="4" w:space="0" w:color="000000"/>
            </w:tcBorders>
          </w:tcPr>
          <w:p w:rsidR="00AA0487" w14:paraId="521647BD" w14:textId="77777777">
            <w:pPr>
              <w:spacing w:after="0" w:line="259" w:lineRule="auto"/>
              <w:ind w:left="7" w:hanging="5"/>
            </w:pPr>
            <w:r>
              <w:rPr>
                <w:b/>
              </w:rPr>
              <w:t xml:space="preserve">Hourly Wage </w:t>
            </w:r>
          </w:p>
        </w:tc>
        <w:tc>
          <w:tcPr>
            <w:tcW w:w="2119" w:type="dxa"/>
            <w:tcBorders>
              <w:top w:val="single" w:sz="4" w:space="0" w:color="000000"/>
              <w:left w:val="single" w:sz="4" w:space="0" w:color="000000"/>
              <w:bottom w:val="single" w:sz="4" w:space="0" w:color="000000"/>
              <w:right w:val="single" w:sz="4" w:space="0" w:color="000000"/>
            </w:tcBorders>
          </w:tcPr>
          <w:p w:rsidR="00AA0487" w14:paraId="3BCB0284" w14:textId="77777777">
            <w:pPr>
              <w:spacing w:after="0" w:line="259" w:lineRule="auto"/>
              <w:ind w:left="5" w:hanging="5"/>
            </w:pPr>
            <w:r>
              <w:rPr>
                <w:b/>
              </w:rPr>
              <w:t xml:space="preserve">Number of Hours </w:t>
            </w:r>
          </w:p>
        </w:tc>
        <w:tc>
          <w:tcPr>
            <w:tcW w:w="2842" w:type="dxa"/>
            <w:tcBorders>
              <w:top w:val="single" w:sz="4" w:space="0" w:color="000000"/>
              <w:left w:val="single" w:sz="4" w:space="0" w:color="000000"/>
              <w:bottom w:val="single" w:sz="4" w:space="0" w:color="000000"/>
              <w:right w:val="single" w:sz="4" w:space="0" w:color="000000"/>
            </w:tcBorders>
          </w:tcPr>
          <w:p w:rsidR="00AA0487" w14:paraId="762C4828" w14:textId="77777777">
            <w:pPr>
              <w:spacing w:after="0" w:line="259" w:lineRule="auto"/>
              <w:ind w:left="7" w:hanging="5"/>
            </w:pPr>
            <w:r>
              <w:rPr>
                <w:b/>
              </w:rPr>
              <w:t xml:space="preserve">Triennial Cost to Government </w:t>
            </w:r>
          </w:p>
        </w:tc>
      </w:tr>
      <w:tr w14:paraId="1A841A63" w14:textId="77777777">
        <w:tblPrEx>
          <w:tblW w:w="8047" w:type="dxa"/>
          <w:tblInd w:w="778" w:type="dxa"/>
          <w:tblCellMar>
            <w:top w:w="56" w:type="dxa"/>
            <w:left w:w="216" w:type="dxa"/>
            <w:right w:w="92" w:type="dxa"/>
          </w:tblCellMar>
          <w:tblLook w:val="04A0"/>
        </w:tblPrEx>
        <w:trPr>
          <w:trHeight w:val="595"/>
        </w:trPr>
        <w:tc>
          <w:tcPr>
            <w:tcW w:w="1658" w:type="dxa"/>
            <w:tcBorders>
              <w:top w:val="single" w:sz="4" w:space="0" w:color="000000"/>
              <w:left w:val="single" w:sz="4" w:space="0" w:color="000000"/>
              <w:bottom w:val="single" w:sz="4" w:space="0" w:color="000000"/>
              <w:right w:val="single" w:sz="4" w:space="0" w:color="000000"/>
            </w:tcBorders>
          </w:tcPr>
          <w:p w:rsidR="00AA0487" w14:paraId="75D21EE7" w14:textId="77777777">
            <w:pPr>
              <w:spacing w:after="0" w:line="259" w:lineRule="auto"/>
              <w:ind w:left="7" w:hanging="5"/>
            </w:pPr>
            <w:r>
              <w:t xml:space="preserve">GS-13, step 5 </w:t>
            </w:r>
          </w:p>
        </w:tc>
        <w:tc>
          <w:tcPr>
            <w:tcW w:w="1428" w:type="dxa"/>
            <w:tcBorders>
              <w:top w:val="single" w:sz="4" w:space="0" w:color="000000"/>
              <w:left w:val="single" w:sz="4" w:space="0" w:color="000000"/>
              <w:bottom w:val="single" w:sz="4" w:space="0" w:color="000000"/>
              <w:right w:val="single" w:sz="4" w:space="0" w:color="000000"/>
            </w:tcBorders>
          </w:tcPr>
          <w:p w:rsidR="00AA0487" w14:paraId="18F88971" w14:textId="77777777">
            <w:pPr>
              <w:spacing w:after="0" w:line="259" w:lineRule="auto"/>
              <w:ind w:left="2" w:firstLine="0"/>
            </w:pPr>
            <w:r>
              <w:t xml:space="preserve">$66.14 </w:t>
            </w:r>
          </w:p>
        </w:tc>
        <w:tc>
          <w:tcPr>
            <w:tcW w:w="2119" w:type="dxa"/>
            <w:tcBorders>
              <w:top w:val="single" w:sz="4" w:space="0" w:color="000000"/>
              <w:left w:val="single" w:sz="4" w:space="0" w:color="000000"/>
              <w:bottom w:val="single" w:sz="4" w:space="0" w:color="000000"/>
              <w:right w:val="single" w:sz="4" w:space="0" w:color="000000"/>
            </w:tcBorders>
          </w:tcPr>
          <w:p w:rsidR="00AA0487" w14:paraId="11BD81E8" w14:textId="77777777">
            <w:pPr>
              <w:spacing w:after="0" w:line="259" w:lineRule="auto"/>
              <w:ind w:left="0" w:firstLine="0"/>
            </w:pPr>
            <w:r>
              <w:t xml:space="preserve">15 </w:t>
            </w:r>
          </w:p>
        </w:tc>
        <w:tc>
          <w:tcPr>
            <w:tcW w:w="2842" w:type="dxa"/>
            <w:tcBorders>
              <w:top w:val="single" w:sz="4" w:space="0" w:color="000000"/>
              <w:left w:val="single" w:sz="4" w:space="0" w:color="000000"/>
              <w:bottom w:val="single" w:sz="4" w:space="0" w:color="000000"/>
              <w:right w:val="single" w:sz="4" w:space="0" w:color="000000"/>
            </w:tcBorders>
          </w:tcPr>
          <w:p w:rsidR="00AA0487" w14:paraId="2E2D4A32" w14:textId="77777777">
            <w:pPr>
              <w:spacing w:after="0" w:line="259" w:lineRule="auto"/>
              <w:ind w:left="2" w:firstLine="0"/>
            </w:pPr>
            <w:r>
              <w:t xml:space="preserve">$992.10 </w:t>
            </w:r>
          </w:p>
        </w:tc>
      </w:tr>
      <w:tr w14:paraId="597A1969" w14:textId="77777777">
        <w:tblPrEx>
          <w:tblW w:w="8047" w:type="dxa"/>
          <w:tblInd w:w="778" w:type="dxa"/>
          <w:tblCellMar>
            <w:top w:w="56" w:type="dxa"/>
            <w:left w:w="216" w:type="dxa"/>
            <w:right w:w="92" w:type="dxa"/>
          </w:tblCellMar>
          <w:tblLook w:val="04A0"/>
        </w:tblPrEx>
        <w:trPr>
          <w:trHeight w:val="305"/>
        </w:trPr>
        <w:tc>
          <w:tcPr>
            <w:tcW w:w="1658" w:type="dxa"/>
            <w:tcBorders>
              <w:top w:val="single" w:sz="4" w:space="0" w:color="000000"/>
              <w:left w:val="single" w:sz="4" w:space="0" w:color="000000"/>
              <w:bottom w:val="single" w:sz="4" w:space="0" w:color="000000"/>
              <w:right w:val="single" w:sz="4" w:space="0" w:color="000000"/>
            </w:tcBorders>
          </w:tcPr>
          <w:p w:rsidR="00AA0487" w14:paraId="58F5009C" w14:textId="77777777">
            <w:pPr>
              <w:spacing w:after="0" w:line="259" w:lineRule="auto"/>
              <w:ind w:left="2" w:firstLine="0"/>
            </w:pPr>
            <w:r>
              <w:t xml:space="preserve"> </w:t>
            </w:r>
          </w:p>
        </w:tc>
        <w:tc>
          <w:tcPr>
            <w:tcW w:w="1428" w:type="dxa"/>
            <w:tcBorders>
              <w:top w:val="single" w:sz="4" w:space="0" w:color="000000"/>
              <w:left w:val="single" w:sz="4" w:space="0" w:color="000000"/>
              <w:bottom w:val="single" w:sz="4" w:space="0" w:color="000000"/>
              <w:right w:val="single" w:sz="4" w:space="0" w:color="000000"/>
            </w:tcBorders>
          </w:tcPr>
          <w:p w:rsidR="00AA0487" w14:paraId="4A2546CD" w14:textId="77777777">
            <w:pPr>
              <w:spacing w:after="0" w:line="259" w:lineRule="auto"/>
              <w:ind w:left="2" w:firstLine="0"/>
            </w:pPr>
            <w:r>
              <w:rPr>
                <w:b/>
              </w:rPr>
              <w:t xml:space="preserve"> </w:t>
            </w:r>
          </w:p>
        </w:tc>
        <w:tc>
          <w:tcPr>
            <w:tcW w:w="2119" w:type="dxa"/>
            <w:tcBorders>
              <w:top w:val="single" w:sz="4" w:space="0" w:color="000000"/>
              <w:left w:val="single" w:sz="4" w:space="0" w:color="000000"/>
              <w:bottom w:val="single" w:sz="4" w:space="0" w:color="000000"/>
              <w:right w:val="single" w:sz="4" w:space="0" w:color="000000"/>
            </w:tcBorders>
          </w:tcPr>
          <w:p w:rsidR="00AA0487" w14:paraId="1319F00E" w14:textId="77777777">
            <w:pPr>
              <w:spacing w:after="0" w:line="259" w:lineRule="auto"/>
              <w:ind w:left="0" w:firstLine="0"/>
            </w:pPr>
            <w:r>
              <w:rPr>
                <w:b/>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AA0487" w14:paraId="651B0ACC" w14:textId="77777777">
            <w:pPr>
              <w:spacing w:after="0" w:line="259" w:lineRule="auto"/>
              <w:ind w:left="2" w:firstLine="0"/>
            </w:pPr>
            <w:r>
              <w:rPr>
                <w:b/>
              </w:rPr>
              <w:t>TOTAL:</w:t>
            </w:r>
            <w:r>
              <w:t xml:space="preserve">  $992.10 </w:t>
            </w:r>
          </w:p>
        </w:tc>
      </w:tr>
    </w:tbl>
    <w:p w:rsidR="00AA0487" w14:paraId="3C2DC12A" w14:textId="77777777">
      <w:pPr>
        <w:spacing w:after="0" w:line="259" w:lineRule="auto"/>
        <w:ind w:left="94" w:firstLine="0"/>
      </w:pPr>
      <w:r>
        <w:t xml:space="preserve"> </w:t>
      </w:r>
    </w:p>
    <w:p w:rsidR="00AA0487" w14:paraId="425830F0" w14:textId="77777777">
      <w:pPr>
        <w:spacing w:after="0" w:line="259" w:lineRule="auto"/>
        <w:ind w:left="14" w:firstLine="0"/>
      </w:pPr>
      <w:r>
        <w:t xml:space="preserve"> </w:t>
      </w:r>
    </w:p>
    <w:p w:rsidR="00AA0487" w14:paraId="4C5A485E" w14:textId="77777777">
      <w:pPr>
        <w:pStyle w:val="Heading2"/>
        <w:ind w:left="67"/>
      </w:pPr>
      <w:r>
        <w:rPr>
          <w:u w:val="none"/>
        </w:rPr>
        <w:t xml:space="preserve">15. </w:t>
      </w:r>
      <w:r>
        <w:t>Changes to Burden</w:t>
      </w:r>
      <w:r>
        <w:rPr>
          <w:u w:val="none"/>
        </w:rPr>
        <w:t xml:space="preserve">    </w:t>
      </w:r>
    </w:p>
    <w:p w:rsidR="00AA0487" w14:paraId="3E972E8B" w14:textId="77777777">
      <w:pPr>
        <w:spacing w:after="0" w:line="259" w:lineRule="auto"/>
        <w:ind w:left="14" w:firstLine="0"/>
      </w:pPr>
      <w:r>
        <w:rPr>
          <w:rFonts w:ascii="Calibri" w:eastAsia="Calibri" w:hAnsi="Calibri" w:cs="Calibri"/>
          <w:sz w:val="26"/>
        </w:rPr>
        <w:t xml:space="preserve"> </w:t>
      </w:r>
      <w:r>
        <w:t xml:space="preserve">   </w:t>
      </w:r>
    </w:p>
    <w:p w:rsidR="00AA0487" w14:paraId="48E14FA8" w14:textId="77777777">
      <w:pPr>
        <w:ind w:left="525"/>
      </w:pPr>
      <w:r>
        <w:t xml:space="preserve">The change in burden is due to:    </w:t>
      </w:r>
    </w:p>
    <w:p w:rsidR="00AA0487" w14:paraId="06B9AC9D" w14:textId="77777777">
      <w:pPr>
        <w:spacing w:after="0" w:line="259" w:lineRule="auto"/>
        <w:ind w:left="547" w:firstLine="0"/>
      </w:pPr>
      <w:r>
        <w:t xml:space="preserve">    </w:t>
      </w:r>
    </w:p>
    <w:p w:rsidR="00AA0487" w14:paraId="1C1FA894" w14:textId="77777777">
      <w:pPr>
        <w:numPr>
          <w:ilvl w:val="0"/>
          <w:numId w:val="2"/>
        </w:numPr>
        <w:ind w:left="702" w:hanging="187"/>
      </w:pPr>
      <w:r>
        <w:t xml:space="preserve">An increase in the number of MA eligible beneficiaries that may request this </w:t>
      </w:r>
      <w:r>
        <w:t>report  (</w:t>
      </w:r>
      <w:r>
        <w:t xml:space="preserve">due to an increased number of Medicare beneficiaries).    </w:t>
      </w:r>
    </w:p>
    <w:p w:rsidR="00AA0487" w14:paraId="0592E952" w14:textId="77777777">
      <w:pPr>
        <w:numPr>
          <w:ilvl w:val="0"/>
          <w:numId w:val="2"/>
        </w:numPr>
        <w:ind w:left="702" w:hanging="187"/>
      </w:pPr>
      <w:r>
        <w:t xml:space="preserve">Consequent revisions to our estimates to reflect the increases and costs associated with producing appeals and grievance data reports for the increased number of Medicare beneficiaries.   </w:t>
      </w:r>
    </w:p>
    <w:p w:rsidR="00AA0487" w14:paraId="700DA110" w14:textId="77777777">
      <w:pPr>
        <w:spacing w:after="0" w:line="259" w:lineRule="auto"/>
        <w:ind w:left="14" w:firstLine="0"/>
      </w:pPr>
      <w:r>
        <w:t xml:space="preserve">      </w:t>
      </w:r>
    </w:p>
    <w:p w:rsidR="00AA0487" w14:paraId="55E8DE71" w14:textId="77777777">
      <w:pPr>
        <w:spacing w:after="39" w:line="259" w:lineRule="auto"/>
        <w:ind w:left="67"/>
      </w:pPr>
      <w:r>
        <w:t xml:space="preserve">16. </w:t>
      </w:r>
      <w:r>
        <w:rPr>
          <w:u w:val="single" w:color="000000"/>
        </w:rPr>
        <w:t>Publication and Tabulation Dates</w:t>
      </w:r>
      <w:r>
        <w:t xml:space="preserve">    </w:t>
      </w:r>
    </w:p>
    <w:p w:rsidR="00AA0487" w14:paraId="61AA8A29" w14:textId="77777777">
      <w:pPr>
        <w:spacing w:after="0" w:line="259" w:lineRule="auto"/>
        <w:ind w:left="14" w:firstLine="0"/>
      </w:pPr>
      <w:r>
        <w:rPr>
          <w:rFonts w:ascii="Calibri" w:eastAsia="Calibri" w:hAnsi="Calibri" w:cs="Calibri"/>
        </w:rPr>
        <w:t xml:space="preserve"> </w:t>
      </w:r>
      <w:r>
        <w:t xml:space="preserve">   </w:t>
      </w:r>
    </w:p>
    <w:p w:rsidR="00AA0487" w14:paraId="6683436C" w14:textId="77777777">
      <w:pPr>
        <w:spacing w:after="53"/>
        <w:ind w:left="525"/>
      </w:pPr>
      <w:r>
        <w:t xml:space="preserve">CMS does not plan to publish this data. The data is for CMS internal use.    </w:t>
      </w:r>
    </w:p>
    <w:p w:rsidR="00AA0487" w14:paraId="54BE8217" w14:textId="77777777">
      <w:pPr>
        <w:spacing w:after="0" w:line="259" w:lineRule="auto"/>
        <w:ind w:left="14" w:firstLine="0"/>
      </w:pPr>
      <w:r>
        <w:rPr>
          <w:rFonts w:ascii="Calibri" w:eastAsia="Calibri" w:hAnsi="Calibri" w:cs="Calibri"/>
          <w:sz w:val="26"/>
        </w:rPr>
        <w:t xml:space="preserve"> </w:t>
      </w:r>
      <w:r>
        <w:t xml:space="preserve">   </w:t>
      </w:r>
    </w:p>
    <w:p w:rsidR="00AA0487" w14:paraId="2B918FDD" w14:textId="77777777">
      <w:pPr>
        <w:pStyle w:val="Heading2"/>
        <w:ind w:left="67"/>
      </w:pPr>
      <w:r>
        <w:rPr>
          <w:u w:val="none"/>
        </w:rPr>
        <w:t xml:space="preserve">17. </w:t>
      </w:r>
      <w:r>
        <w:t>Expiration Date</w:t>
      </w:r>
      <w:r>
        <w:rPr>
          <w:u w:val="none"/>
        </w:rPr>
        <w:t xml:space="preserve">   </w:t>
      </w:r>
    </w:p>
    <w:p w:rsidR="00AA0487" w14:paraId="0A48CD28" w14:textId="77777777">
      <w:pPr>
        <w:spacing w:after="0" w:line="259" w:lineRule="auto"/>
        <w:ind w:left="91" w:firstLine="0"/>
      </w:pPr>
      <w:r>
        <w:t xml:space="preserve">  </w:t>
      </w:r>
    </w:p>
    <w:p w:rsidR="00AA0487" w14:paraId="25F33007" w14:textId="77777777">
      <w:pPr>
        <w:spacing w:after="31"/>
        <w:ind w:left="525"/>
      </w:pPr>
      <w:r>
        <w:t xml:space="preserve">The expiration date and OMB control number will be displayed on the sample form and the form instructions.   </w:t>
      </w:r>
    </w:p>
    <w:p w:rsidR="00AA0487" w14:paraId="7D8654BB" w14:textId="77777777">
      <w:pPr>
        <w:spacing w:after="24" w:line="259" w:lineRule="auto"/>
        <w:ind w:left="523" w:firstLine="0"/>
      </w:pPr>
      <w:r>
        <w:t xml:space="preserve">  </w:t>
      </w:r>
    </w:p>
    <w:p w:rsidR="00AA0487" w14:paraId="256D821F" w14:textId="77777777">
      <w:pPr>
        <w:spacing w:after="39" w:line="259" w:lineRule="auto"/>
        <w:ind w:left="67"/>
      </w:pPr>
      <w:r>
        <w:t xml:space="preserve">18. </w:t>
      </w:r>
      <w:r>
        <w:rPr>
          <w:u w:val="single" w:color="000000"/>
        </w:rPr>
        <w:t>Certification Statement</w:t>
      </w:r>
      <w:r>
        <w:t xml:space="preserve">   </w:t>
      </w:r>
    </w:p>
    <w:p w:rsidR="00AA0487" w14:paraId="7525A039" w14:textId="77777777">
      <w:pPr>
        <w:spacing w:after="28" w:line="259" w:lineRule="auto"/>
        <w:ind w:left="14" w:firstLine="0"/>
      </w:pPr>
      <w:r>
        <w:t xml:space="preserve">  </w:t>
      </w:r>
    </w:p>
    <w:p w:rsidR="00AA0487" w14:paraId="3F80970E" w14:textId="77777777">
      <w:pPr>
        <w:ind w:left="525"/>
      </w:pPr>
      <w:r>
        <w:t xml:space="preserve">There are no exceptions to the certification statement.    </w:t>
      </w:r>
    </w:p>
    <w:p w:rsidR="00AA0487" w14:paraId="432FC0BD" w14:textId="77777777">
      <w:pPr>
        <w:spacing w:after="0" w:line="259" w:lineRule="auto"/>
        <w:ind w:left="523" w:firstLine="0"/>
      </w:pPr>
      <w:r>
        <w:t xml:space="preserve">  </w:t>
      </w:r>
    </w:p>
    <w:p w:rsidR="00AA0487" w14:paraId="1A01E589" w14:textId="77777777">
      <w:pPr>
        <w:pStyle w:val="Heading1"/>
        <w:spacing w:after="0"/>
        <w:ind w:left="67"/>
      </w:pPr>
      <w:r>
        <w:t xml:space="preserve">B. Collection of Information Employing Statistical Methods  </w:t>
      </w:r>
    </w:p>
    <w:p w:rsidR="00AA0487" w14:paraId="55CF6833" w14:textId="77777777">
      <w:pPr>
        <w:ind w:left="525"/>
      </w:pPr>
      <w:r>
        <w:t xml:space="preserve">N/A   </w:t>
      </w:r>
    </w:p>
    <w:sectPr>
      <w:footerReference w:type="even" r:id="rId7"/>
      <w:footerReference w:type="default" r:id="rId8"/>
      <w:footerReference w:type="first" r:id="rId9"/>
      <w:footnotePr>
        <w:numRestart w:val="eachPage"/>
      </w:footnotePr>
      <w:pgSz w:w="12240" w:h="15840"/>
      <w:pgMar w:top="1481" w:right="1304" w:bottom="1346" w:left="1325" w:header="720" w:footer="8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C5FA9" w14:paraId="420F5A0A" w14:textId="77777777">
      <w:pPr>
        <w:spacing w:after="0" w:line="240" w:lineRule="auto"/>
      </w:pPr>
      <w:r>
        <w:separator/>
      </w:r>
    </w:p>
  </w:endnote>
  <w:endnote w:type="continuationSeparator" w:id="1">
    <w:p w:rsidR="004C5FA9" w14:paraId="6A2A913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0487" w14:paraId="33861D6E" w14:textId="77777777">
    <w:pPr>
      <w:spacing w:after="0" w:line="259" w:lineRule="auto"/>
      <w:ind w:left="5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0487" w14:paraId="67B76C35" w14:textId="77777777">
    <w:pPr>
      <w:spacing w:after="0" w:line="259" w:lineRule="auto"/>
      <w:ind w:left="5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0487" w14:paraId="7737C19A" w14:textId="77777777">
    <w:pPr>
      <w:spacing w:after="0" w:line="259" w:lineRule="auto"/>
      <w:ind w:left="5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5FA9" w14:paraId="2ECBF7BC" w14:textId="77777777">
      <w:pPr>
        <w:spacing w:after="0" w:line="304" w:lineRule="auto"/>
        <w:ind w:left="14" w:firstLine="0"/>
      </w:pPr>
      <w:r>
        <w:separator/>
      </w:r>
    </w:p>
  </w:footnote>
  <w:footnote w:type="continuationSeparator" w:id="1">
    <w:p w:rsidR="004C5FA9" w14:paraId="29BF6B85" w14:textId="77777777">
      <w:pPr>
        <w:spacing w:after="0" w:line="304" w:lineRule="auto"/>
        <w:ind w:left="14" w:firstLine="0"/>
      </w:pPr>
      <w:r>
        <w:continuationSeparator/>
      </w:r>
    </w:p>
  </w:footnote>
  <w:footnote w:id="2">
    <w:p w:rsidR="00AA0487" w14:paraId="62B9D0EA" w14:textId="77777777">
      <w:pPr>
        <w:pStyle w:val="footnotedescription"/>
      </w:pPr>
      <w:r>
        <w:rPr>
          <w:rStyle w:val="footnotemark"/>
        </w:rPr>
        <w:footnoteRef/>
      </w:r>
      <w:r>
        <w:t xml:space="preserve"> </w:t>
      </w:r>
      <w:r>
        <w:rPr>
          <w:color w:val="000000"/>
          <w:u w:val="none" w:color="000000"/>
        </w:rPr>
        <w:t xml:space="preserve">December 2025 Monthly Contract Summary Report: </w:t>
      </w:r>
      <w:hyperlink r:id="rId1">
        <w:r>
          <w:rPr>
            <w:rFonts w:ascii="Arial" w:eastAsia="Arial" w:hAnsi="Arial" w:cs="Arial"/>
            <w:color w:val="000000"/>
            <w:sz w:val="24"/>
            <w:u w:val="none" w:color="000000"/>
          </w:rPr>
          <w:t xml:space="preserve"> </w:t>
        </w:r>
      </w:hyperlink>
      <w:hyperlink r:id="rId1">
        <w:r>
          <w:t xml:space="preserve"> h</w:t>
        </w:r>
      </w:hyperlink>
      <w:r>
        <w:t>ttps://www.cms.gov/files/zip/monthly-contract-summaryreport-december-2025.zip</w:t>
      </w:r>
      <w:hyperlink r:id="rId1">
        <w:r>
          <w:rPr>
            <w:rFonts w:ascii="Arial" w:eastAsia="Arial" w:hAnsi="Arial" w:cs="Arial"/>
            <w:color w:val="000000"/>
            <w:sz w:val="24"/>
            <w:u w:val="none" w:color="000000"/>
          </w:rPr>
          <w:t xml:space="preserve">. </w:t>
        </w:r>
      </w:hyperlink>
      <w:r>
        <w:rPr>
          <w:color w:val="000000"/>
          <w:u w:val="none" w:color="000000"/>
        </w:rPr>
        <w:t xml:space="preserve"> </w:t>
      </w:r>
      <w:r>
        <w:rPr>
          <w:color w:val="0000FF"/>
          <w:u w:val="none" w:color="000000"/>
        </w:rPr>
        <w:t xml:space="preserve"> </w:t>
      </w:r>
      <w:r>
        <w:rPr>
          <w:rFonts w:ascii="Arial" w:eastAsia="Arial" w:hAnsi="Arial" w:cs="Arial"/>
          <w:color w:val="000000"/>
          <w:sz w:val="24"/>
          <w:u w:val="none" w:color="000000"/>
        </w:rPr>
        <w:t xml:space="preserve"> </w:t>
      </w:r>
      <w:r>
        <w:rPr>
          <w:u w:val="none" w:color="000000"/>
        </w:rPr>
        <w:t xml:space="preserve"> </w:t>
      </w:r>
    </w:p>
    <w:p w:rsidR="00AA0487" w14:paraId="0D90893D" w14:textId="77777777">
      <w:pPr>
        <w:pStyle w:val="footnotedescription"/>
        <w:spacing w:line="259" w:lineRule="auto"/>
      </w:pPr>
      <w:r>
        <w:rPr>
          <w:color w:val="0000FF"/>
          <w:u w:val="none" w:color="000000"/>
        </w:rPr>
        <w:t xml:space="preserve">  </w:t>
      </w:r>
      <w:r>
        <w:rPr>
          <w:u w:val="none" w:color="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E6F429B"/>
    <w:multiLevelType w:val="hybridMultilevel"/>
    <w:tmpl w:val="F08A751C"/>
    <w:lvl w:ilvl="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765917F0"/>
    <w:multiLevelType w:val="hybridMultilevel"/>
    <w:tmpl w:val="183AB906"/>
    <w:lvl w:ilvl="0">
      <w:start w:val="1"/>
      <w:numFmt w:val="bullet"/>
      <w:lvlText w:val="•"/>
      <w:lvlJc w:val="left"/>
      <w:pPr>
        <w:ind w:left="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73291305">
    <w:abstractNumId w:val="0"/>
  </w:num>
  <w:num w:numId="2" w16cid:durableId="1606379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487"/>
    <w:rsid w:val="00164396"/>
    <w:rsid w:val="0019425C"/>
    <w:rsid w:val="00201536"/>
    <w:rsid w:val="00237672"/>
    <w:rsid w:val="004A6DD2"/>
    <w:rsid w:val="004C5FA9"/>
    <w:rsid w:val="0056486F"/>
    <w:rsid w:val="00652E14"/>
    <w:rsid w:val="00672EF6"/>
    <w:rsid w:val="00850D42"/>
    <w:rsid w:val="008823E6"/>
    <w:rsid w:val="00AA0487"/>
    <w:rsid w:val="00B64CF7"/>
    <w:rsid w:val="00CC077D"/>
    <w:rsid w:val="00D774A9"/>
    <w:rsid w:val="00E040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1050D8"/>
  <w15:docId w15:val="{62A3EA61-D15C-425D-AC2B-8AF88DE8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53" w:lineRule="auto"/>
      <w:ind w:left="109" w:hanging="10"/>
    </w:pPr>
    <w:rPr>
      <w:rFonts w:ascii="Arial" w:eastAsia="Arial" w:hAnsi="Arial" w:cs="Arial"/>
      <w:color w:val="000000"/>
    </w:rPr>
  </w:style>
  <w:style w:type="paragraph" w:styleId="Heading1">
    <w:name w:val="heading 1"/>
    <w:next w:val="Normal"/>
    <w:link w:val="Heading1Char"/>
    <w:uiPriority w:val="9"/>
    <w:qFormat/>
    <w:pPr>
      <w:keepNext/>
      <w:keepLines/>
      <w:spacing w:after="37" w:line="259" w:lineRule="auto"/>
      <w:ind w:left="82"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39" w:line="259" w:lineRule="auto"/>
      <w:ind w:left="82" w:hanging="10"/>
      <w:outlineLvl w:val="1"/>
    </w:pPr>
    <w:rPr>
      <w:rFonts w:ascii="Arial" w:eastAsia="Arial" w:hAnsi="Arial" w:cs="Arial"/>
      <w:color w:val="000000"/>
      <w:u w:val="single" w:color="000000"/>
    </w:rPr>
  </w:style>
  <w:style w:type="paragraph" w:styleId="Heading3">
    <w:name w:val="heading 3"/>
    <w:next w:val="Normal"/>
    <w:link w:val="Heading3Char"/>
    <w:uiPriority w:val="9"/>
    <w:unhideWhenUsed/>
    <w:qFormat/>
    <w:pPr>
      <w:keepNext/>
      <w:keepLines/>
      <w:spacing w:after="7" w:line="259" w:lineRule="auto"/>
      <w:ind w:left="75" w:hanging="10"/>
      <w:outlineLvl w:val="2"/>
    </w:pPr>
    <w:rPr>
      <w:rFonts w:ascii="Arial" w:eastAsia="Arial" w:hAnsi="Arial" w:cs="Arial"/>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4"/>
      <w:u w:val="single" w:color="000000"/>
    </w:rPr>
  </w:style>
  <w:style w:type="character" w:customStyle="1" w:styleId="Heading3Char">
    <w:name w:val="Heading 3 Char"/>
    <w:link w:val="Heading3"/>
    <w:rPr>
      <w:rFonts w:ascii="Arial" w:eastAsia="Arial" w:hAnsi="Arial" w:cs="Arial"/>
      <w:i/>
      <w:color w:val="000000"/>
      <w:sz w:val="24"/>
    </w:rPr>
  </w:style>
  <w:style w:type="character" w:customStyle="1" w:styleId="Heading1Char">
    <w:name w:val="Heading 1 Char"/>
    <w:link w:val="Heading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line="304" w:lineRule="auto"/>
      <w:ind w:left="14"/>
    </w:pPr>
    <w:rPr>
      <w:rFonts w:ascii="Calibri" w:eastAsia="Calibri" w:hAnsi="Calibri" w:cs="Calibri"/>
      <w:color w:val="0563C1"/>
      <w:sz w:val="20"/>
      <w:u w:val="single" w:color="0563C1"/>
    </w:rPr>
  </w:style>
  <w:style w:type="character" w:customStyle="1" w:styleId="footnotedescriptionChar">
    <w:name w:val="footnote description Char"/>
    <w:link w:val="footnotedescription"/>
    <w:rPr>
      <w:rFonts w:ascii="Calibri" w:eastAsia="Calibri" w:hAnsi="Calibri" w:cs="Calibri"/>
      <w:color w:val="0563C1"/>
      <w:sz w:val="20"/>
      <w:u w:val="single" w:color="0563C1"/>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E04071"/>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E04071"/>
    <w:rPr>
      <w:sz w:val="16"/>
      <w:szCs w:val="16"/>
    </w:rPr>
  </w:style>
  <w:style w:type="paragraph" w:styleId="CommentText">
    <w:name w:val="annotation text"/>
    <w:basedOn w:val="Normal"/>
    <w:link w:val="CommentTextChar"/>
    <w:uiPriority w:val="99"/>
    <w:unhideWhenUsed/>
    <w:rsid w:val="00E04071"/>
    <w:pPr>
      <w:spacing w:line="240" w:lineRule="auto"/>
    </w:pPr>
    <w:rPr>
      <w:sz w:val="20"/>
      <w:szCs w:val="20"/>
    </w:rPr>
  </w:style>
  <w:style w:type="character" w:customStyle="1" w:styleId="CommentTextChar">
    <w:name w:val="Comment Text Char"/>
    <w:basedOn w:val="DefaultParagraphFont"/>
    <w:link w:val="CommentText"/>
    <w:uiPriority w:val="99"/>
    <w:rsid w:val="00E0407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04071"/>
    <w:rPr>
      <w:b/>
      <w:bCs/>
    </w:rPr>
  </w:style>
  <w:style w:type="character" w:customStyle="1" w:styleId="CommentSubjectChar">
    <w:name w:val="Comment Subject Char"/>
    <w:basedOn w:val="CommentTextChar"/>
    <w:link w:val="CommentSubject"/>
    <w:uiPriority w:val="99"/>
    <w:semiHidden/>
    <w:rsid w:val="00E04071"/>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bls.gov/oes/current/oes_nat.htm"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zip/monthly-contract-summary-report-september-2022.zi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2186</Words>
  <Characters>12352</Characters>
  <Application>Microsoft Office Word</Application>
  <DocSecurity>0</DocSecurity>
  <Lines>386</Lines>
  <Paragraphs>175</Paragraphs>
  <ScaleCrop>false</ScaleCrop>
  <HeadingPairs>
    <vt:vector size="2" baseType="variant">
      <vt:variant>
        <vt:lpstr>Title</vt:lpstr>
      </vt:variant>
      <vt:variant>
        <vt:i4>1</vt:i4>
      </vt:variant>
    </vt:vector>
  </HeadingPairs>
  <TitlesOfParts>
    <vt:vector size="1" baseType="lpstr">
      <vt:lpstr>HCFA</vt:lpstr>
    </vt:vector>
  </TitlesOfParts>
  <Company>Center For Medicaid Services</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HCFA</dc:title>
  <dc:creator>CMS</dc:creator>
  <cp:lastModifiedBy>McKenzie, Stephan (CMS/OSORA)</cp:lastModifiedBy>
  <cp:revision>8</cp:revision>
  <dcterms:created xsi:type="dcterms:W3CDTF">2026-04-29T18:23:00Z</dcterms:created>
  <dcterms:modified xsi:type="dcterms:W3CDTF">2026-05-13T14:01:00Z</dcterms:modified>
</cp:coreProperties>
</file>