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7C8A" w:rsidP="00357C8A" w14:paraId="44AE17F4" w14:textId="77777777">
      <w:pPr>
        <w:jc w:val="center"/>
        <w:rPr>
          <w:rFonts w:eastAsia="Calibri"/>
        </w:rPr>
      </w:pPr>
      <w:r w:rsidRPr="00357C8A">
        <w:rPr>
          <w:rFonts w:eastAsia="Calibri"/>
        </w:rPr>
        <w:t>United States Food and Drug Administration</w:t>
      </w:r>
    </w:p>
    <w:p w:rsidR="00357C8A" w:rsidP="00357C8A" w14:paraId="65D9B30C" w14:textId="77777777">
      <w:pPr>
        <w:jc w:val="center"/>
        <w:rPr>
          <w:rFonts w:eastAsia="Calibri"/>
        </w:rPr>
      </w:pPr>
    </w:p>
    <w:p w:rsidR="009E6EA4" w:rsidP="00357C8A" w14:paraId="6BB6B12B" w14:textId="3328A00D">
      <w:pPr>
        <w:jc w:val="center"/>
        <w:rPr>
          <w:rFonts w:eastAsia="Calibri"/>
        </w:rPr>
      </w:pPr>
      <w:bookmarkStart w:id="0" w:name="_Hlk206513899"/>
      <w:r w:rsidRPr="009E6EA4">
        <w:rPr>
          <w:rFonts w:eastAsia="Calibri"/>
        </w:rPr>
        <w:t xml:space="preserve">Establishment, Maintenance, and Availability of Records; Additional Traceability Records for Certain </w:t>
      </w:r>
      <w:r w:rsidRPr="009E6EA4">
        <w:rPr>
          <w:rFonts w:eastAsia="Calibri"/>
        </w:rPr>
        <w:t>Foods</w:t>
      </w:r>
      <w:r w:rsidR="00B93433">
        <w:rPr>
          <w:rFonts w:eastAsia="Calibri"/>
        </w:rPr>
        <w:t>--</w:t>
      </w:r>
      <w:r w:rsidRPr="009E6EA4">
        <w:rPr>
          <w:rFonts w:eastAsia="Calibri"/>
        </w:rPr>
        <w:t>21</w:t>
      </w:r>
      <w:r w:rsidRPr="009E6EA4">
        <w:rPr>
          <w:rFonts w:eastAsia="Calibri"/>
        </w:rPr>
        <w:t xml:space="preserve"> CFR Part 1, Subparts J and S</w:t>
      </w:r>
    </w:p>
    <w:bookmarkEnd w:id="0"/>
    <w:p w:rsidR="002868A6" w:rsidP="00357C8A" w14:paraId="5AB7A858" w14:textId="77777777">
      <w:pPr>
        <w:jc w:val="center"/>
        <w:rPr>
          <w:rFonts w:eastAsia="Calibri"/>
        </w:rPr>
      </w:pPr>
    </w:p>
    <w:p w:rsidR="00357C8A" w:rsidP="00357C8A" w14:paraId="52C21D32" w14:textId="77777777">
      <w:pPr>
        <w:jc w:val="center"/>
        <w:rPr>
          <w:rFonts w:eastAsia="Calibri"/>
        </w:rPr>
      </w:pPr>
      <w:r w:rsidRPr="00357C8A">
        <w:rPr>
          <w:rFonts w:eastAsia="Calibri"/>
        </w:rPr>
        <w:t>OMB Control No. 0910-</w:t>
      </w:r>
      <w:r w:rsidR="002E5956">
        <w:rPr>
          <w:rFonts w:eastAsia="Calibri"/>
        </w:rPr>
        <w:t>0560</w:t>
      </w:r>
    </w:p>
    <w:p w:rsidR="00357C8A" w:rsidP="00357C8A" w14:paraId="7BE6F036" w14:textId="77777777">
      <w:pPr>
        <w:jc w:val="center"/>
        <w:rPr>
          <w:rFonts w:eastAsia="Calibri"/>
        </w:rPr>
      </w:pPr>
    </w:p>
    <w:p w:rsidR="00357C8A" w:rsidP="00357C8A" w14:paraId="659A3AC8" w14:textId="77777777">
      <w:pPr>
        <w:jc w:val="center"/>
        <w:rPr>
          <w:rFonts w:eastAsia="Calibri"/>
        </w:rPr>
      </w:pPr>
      <w:r w:rsidRPr="00357C8A">
        <w:rPr>
          <w:rFonts w:eastAsia="Calibri"/>
        </w:rPr>
        <w:t>SUPPORTING STATEMENT</w:t>
      </w:r>
    </w:p>
    <w:p w:rsidR="009B4DF2" w:rsidP="00357C8A" w14:paraId="68CDEB89" w14:textId="77777777">
      <w:pPr>
        <w:jc w:val="center"/>
        <w:rPr>
          <w:rFonts w:eastAsia="Calibri"/>
        </w:rPr>
      </w:pPr>
    </w:p>
    <w:p w:rsidR="00357C8A" w:rsidP="000D79CC" w14:paraId="3ED1E1A7" w14:textId="77777777">
      <w:pPr>
        <w:rPr>
          <w:rFonts w:eastAsia="Calibri"/>
        </w:rPr>
      </w:pPr>
      <w:r w:rsidRPr="00357C8A">
        <w:rPr>
          <w:rFonts w:eastAsia="Calibri"/>
          <w:b/>
        </w:rPr>
        <w:t>Part A</w:t>
      </w:r>
      <w:r w:rsidRPr="00357C8A">
        <w:rPr>
          <w:rFonts w:eastAsia="Calibri"/>
          <w:b/>
        </w:rPr>
        <w:t>:  Justification</w:t>
      </w:r>
      <w:r w:rsidRPr="00357C8A">
        <w:rPr>
          <w:rFonts w:eastAsia="Calibri"/>
        </w:rPr>
        <w:t>:</w:t>
      </w:r>
    </w:p>
    <w:p w:rsidR="000D79CC" w:rsidRPr="00357C8A" w:rsidP="000D79CC" w14:paraId="14CA9950" w14:textId="77777777">
      <w:pPr>
        <w:rPr>
          <w:rFonts w:eastAsia="Calibri"/>
        </w:rPr>
      </w:pPr>
    </w:p>
    <w:p w:rsidR="00357C8A" w:rsidRPr="00357C8A" w:rsidP="006705EA" w14:paraId="3B685D24"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2868A6" w:rsidP="00A863E7" w14:paraId="2DCA0812" w14:textId="5815402C">
      <w:pPr>
        <w:spacing w:after="200"/>
        <w:rPr>
          <w:rFonts w:eastAsia="Calibri"/>
        </w:rPr>
      </w:pPr>
      <w:r w:rsidRPr="009E6EA4">
        <w:rPr>
          <w:rFonts w:eastAsia="Calibri"/>
        </w:rPr>
        <w:t xml:space="preserve">This information collection supports Food and Drug Administration (FDA, </w:t>
      </w:r>
      <w:r>
        <w:rPr>
          <w:rFonts w:eastAsia="Calibri"/>
        </w:rPr>
        <w:t>agency,</w:t>
      </w:r>
      <w:r w:rsidRPr="009E6EA4">
        <w:rPr>
          <w:rFonts w:eastAsia="Calibri"/>
        </w:rPr>
        <w:t xml:space="preserve"> or we) regulations</w:t>
      </w:r>
      <w:r>
        <w:rPr>
          <w:rFonts w:eastAsia="Calibri"/>
        </w:rPr>
        <w:t xml:space="preserve"> and </w:t>
      </w:r>
      <w:r w:rsidRPr="009E6EA4">
        <w:rPr>
          <w:rFonts w:eastAsia="Calibri"/>
        </w:rPr>
        <w:t>programs</w:t>
      </w:r>
      <w:r>
        <w:rPr>
          <w:rFonts w:eastAsia="Calibri"/>
        </w:rPr>
        <w:t xml:space="preserve"> that</w:t>
      </w:r>
      <w:r w:rsidRPr="002E5956" w:rsidR="002E5956">
        <w:rPr>
          <w:rFonts w:eastAsia="Calibri"/>
        </w:rPr>
        <w:t xml:space="preserve"> help to implement provisions of the Food Safety and Modernization Act (FSMA) (Pub. L. 111</w:t>
      </w:r>
      <w:r w:rsidR="004F2C16">
        <w:rPr>
          <w:rFonts w:eastAsia="Calibri"/>
        </w:rPr>
        <w:t>-</w:t>
      </w:r>
      <w:r w:rsidRPr="002E5956" w:rsidR="002E5956">
        <w:rPr>
          <w:rFonts w:eastAsia="Calibri"/>
        </w:rPr>
        <w:t xml:space="preserve">353).  </w:t>
      </w:r>
      <w:r w:rsidRPr="009E6EA4">
        <w:rPr>
          <w:rFonts w:eastAsia="Calibri"/>
        </w:rPr>
        <w:t xml:space="preserve">The Public Health Security and Bioterrorism Preparedness and Response Act of 2002 added section 414 of the Federal Food, Drug, and Cosmetic Act (FD&amp;C Act) (21 U.S.C. 350c), which was added by the Public Health Security and Bioterrorism Preparedness and Response Act of 2002, which requires that persons who manufacture, process, pack, hold, receive, distribute, transport, or import food in the United States establish and maintain records identifying the immediate previous sources and immediate subsequent recipients of food.  These requirements are codified in the agency’s general enforcement regulations at 21 CFR part 1, subpart J.  The FDA Food Safety Modernization Act (FSMA) signed in 2011, required FDA to establish additional recordkeeping requirements for facilities that manufacture, process, pack, or hold foods the Agency designates as high-risk to facilitate the rapid and effective traceability of such foods.  These requirements are codified in the agency’s general enforcement regulations at 21 CFR part 1, subpart S.  Part 1, subpart J (21 CFR 1.326 through 1.368) sets forth the requirements for recordkeeping and records access.  Part 1, subpart S (21 CFR 1.1300 through 1.1465) provides additional recordkeeping requirements for persons who manufacture, process, pack, or hold foods FDA has designated as high-risk in accordance with factors specified by Congress; we have listed these foods on the Food Traceability List (FTL) on our website at </w:t>
      </w:r>
      <w:hyperlink r:id="rId4" w:history="1">
        <w:r w:rsidRPr="009E6EA4">
          <w:rPr>
            <w:rStyle w:val="Hyperlink"/>
            <w:rFonts w:eastAsia="Calibri"/>
          </w:rPr>
          <w:t>https://www.fda.gov/food/food-safety-modernization-act-fsma/food-traceability-list</w:t>
        </w:r>
      </w:hyperlink>
      <w:r w:rsidRPr="009E6EA4">
        <w:rPr>
          <w:rFonts w:eastAsia="Calibri"/>
        </w:rPr>
        <w:t>.  The requirement to establish and maintain records improves our ability to respond to, and further contain, threats of serious adverse health consequences or death from contaminated food.</w:t>
      </w:r>
    </w:p>
    <w:p w:rsidR="00A863E7" w:rsidRPr="002868A6" w:rsidP="00A863E7" w14:paraId="3AA453C9" w14:textId="77777777">
      <w:pPr>
        <w:spacing w:after="200"/>
        <w:rPr>
          <w:rFonts w:eastAsia="Calibri"/>
          <w:i/>
          <w:iCs/>
        </w:rPr>
      </w:pPr>
      <w:r w:rsidRPr="002868A6">
        <w:rPr>
          <w:rFonts w:eastAsia="Calibri"/>
          <w:i/>
          <w:iCs/>
        </w:rPr>
        <w:t>Part 1, Subpart J</w:t>
      </w:r>
    </w:p>
    <w:p w:rsidR="00A863E7" w:rsidRPr="00A863E7" w:rsidP="00A863E7" w14:paraId="4D2F172B" w14:textId="77777777">
      <w:pPr>
        <w:spacing w:after="200"/>
        <w:rPr>
          <w:rFonts w:eastAsia="Calibri"/>
        </w:rPr>
      </w:pPr>
      <w:r w:rsidRPr="00A863E7">
        <w:rPr>
          <w:rFonts w:eastAsia="Calibri"/>
        </w:rPr>
        <w:t xml:space="preserve">Information maintained under these regulations helps us identify and quickly locate contaminated or potentially contaminated food and inform the appropriate individuals and food facilities of specific terrorist threats.  Our regulations require that records for non-transporters include the name and full contact information of sources, recipients, and transporters; an adequate description of the food, including the quantity and packaging; and the receipt and shipping dates (§§ 1.337 and 1.345).  Required records for transporters include the names of consignor and consignee, points of origin and destination, date of shipment, number of packages, description of freight, route of movement and name of each carrier participating in the transportation, and transfer points through which shipment moved (§ 1.352).  Existing records may be used if they contain all the required information and are retained for the required </w:t>
      </w:r>
      <w:r w:rsidRPr="00A863E7">
        <w:rPr>
          <w:rFonts w:eastAsia="Calibri"/>
        </w:rPr>
        <w:t>time period</w:t>
      </w:r>
      <w:r w:rsidRPr="00A863E7">
        <w:rPr>
          <w:rFonts w:eastAsia="Calibri"/>
        </w:rPr>
        <w:t>.</w:t>
      </w:r>
    </w:p>
    <w:p w:rsidR="00A863E7" w:rsidRPr="00A863E7" w:rsidP="00A863E7" w14:paraId="22989B99" w14:textId="424BBD37">
      <w:pPr>
        <w:spacing w:after="200"/>
        <w:rPr>
          <w:rFonts w:eastAsia="Calibri"/>
        </w:rPr>
      </w:pPr>
      <w:r w:rsidRPr="00A863E7">
        <w:rPr>
          <w:rFonts w:eastAsia="Calibri"/>
        </w:rPr>
        <w:t xml:space="preserve">The information collection provisions of § 1.361 are exempt from OMB review under 44 U.S.C. 3518(c)(1)(B)(ii) and 5 CFR 1320.4(a)(2) as collections of information obtained during the conduct of an administrative action, investigation, or audit involving an agency against specific </w:t>
      </w:r>
      <w:r w:rsidRPr="00A863E7">
        <w:rPr>
          <w:rFonts w:eastAsia="Calibri"/>
        </w:rPr>
        <w:t>individuals or entities.  The regulations at 5 CFR 1320.3(c) provide that the exception in 5 CFR 1320.4(a)(2) applies during the entire course of the investigation, audit, or action, but only after a case file or equivalent is opened with respect to a particular party.  Such a case file would be opened as part of the request to access records under § 1.361.  Accordingly, we have not included an estimate of burden hours associated with § 1.361.</w:t>
      </w:r>
    </w:p>
    <w:p w:rsidR="00A863E7" w:rsidRPr="002868A6" w:rsidP="00A863E7" w14:paraId="5396014A" w14:textId="77777777">
      <w:pPr>
        <w:spacing w:after="200"/>
        <w:rPr>
          <w:rFonts w:eastAsia="Calibri"/>
          <w:i/>
          <w:iCs/>
        </w:rPr>
      </w:pPr>
      <w:r w:rsidRPr="002868A6">
        <w:rPr>
          <w:rFonts w:eastAsia="Calibri"/>
          <w:i/>
          <w:iCs/>
        </w:rPr>
        <w:t>Part 1, Subpart S</w:t>
      </w:r>
    </w:p>
    <w:p w:rsidR="00A863E7" w:rsidRPr="00A863E7" w:rsidP="00A863E7" w14:paraId="3CBC6360" w14:textId="0E3A4A39">
      <w:pPr>
        <w:spacing w:after="200"/>
        <w:rPr>
          <w:rFonts w:eastAsia="Calibri"/>
        </w:rPr>
      </w:pPr>
      <w:r w:rsidRPr="00A863E7">
        <w:rPr>
          <w:rFonts w:eastAsia="Calibri"/>
        </w:rPr>
        <w:t xml:space="preserve">Part 1, subpart S, in accordance with FSMA, establishes additional recordkeeping requirements for persons who manufacture, process, pack, or hold foods that the Agency has designated as high-risk foods (i.e., placed on the “Food Traceability List” (FTL)) in accordance with section 204(d)(2) of FSMA.  </w:t>
      </w:r>
      <w:r w:rsidRPr="00A863E7">
        <w:rPr>
          <w:rFonts w:eastAsia="Calibri"/>
        </w:rPr>
        <w:t>Persons</w:t>
      </w:r>
      <w:r w:rsidRPr="00A863E7">
        <w:rPr>
          <w:rFonts w:eastAsia="Calibri"/>
        </w:rPr>
        <w:t xml:space="preserve"> are required to maintain records containing information on critical tracking events in the supply chain for FTL foods.  Part 1, subpart S will help the Agency rapidly and effectively identify recipients of foods to prevent or mitigate foodborne illness outbreaks and address credible threats of serious adverse health consequences or death resulting from foods being adulterated or misbranded.  These additional recordkeeping requirements strengthen public health protections by documenting the movement of foods on the FTL throughout the supply chain, enabling FDA to more rapidly and effectively identify the source of contaminated foods and aid in the removal of contaminated products from the market.  Records required under this subpart must be maintained for 2 years from the date they were created or obtained.  For more information about requirements for additional traceability records for certain foods visit our website at </w:t>
      </w:r>
      <w:hyperlink r:id="rId5" w:history="1">
        <w:r w:rsidRPr="0015542E" w:rsidR="0015542E">
          <w:rPr>
            <w:color w:val="0000FF"/>
            <w:u w:val="single"/>
          </w:rPr>
          <w:t>https://www.fda.gov/food/food-safety-modernization-act-fsma/fsma-final-rule-requirements-additional-traceability-records-certain-foods</w:t>
        </w:r>
      </w:hyperlink>
      <w:r w:rsidRPr="00A863E7">
        <w:rPr>
          <w:rFonts w:eastAsia="Calibri"/>
        </w:rPr>
        <w:t>, which also includes a guide that provides key data elements for recordkeeping (</w:t>
      </w:r>
      <w:hyperlink r:id="rId6" w:history="1">
        <w:r w:rsidRPr="00A863E7">
          <w:rPr>
            <w:rStyle w:val="Hyperlink"/>
            <w:rFonts w:eastAsia="Calibri"/>
          </w:rPr>
          <w:t>https://www.fda.gov/media/163132/download?attachment</w:t>
        </w:r>
      </w:hyperlink>
      <w:r w:rsidRPr="00A863E7">
        <w:rPr>
          <w:rFonts w:eastAsia="Calibri"/>
        </w:rPr>
        <w:t>).</w:t>
      </w:r>
    </w:p>
    <w:p w:rsidR="00A863E7" w:rsidRPr="00A863E7" w:rsidP="00A863E7" w14:paraId="223D3E81" w14:textId="77777777">
      <w:pPr>
        <w:spacing w:after="200"/>
        <w:rPr>
          <w:rFonts w:eastAsia="Calibri"/>
        </w:rPr>
      </w:pPr>
      <w:r w:rsidRPr="00A863E7">
        <w:rPr>
          <w:rFonts w:eastAsia="Calibri"/>
        </w:rPr>
        <w:t xml:space="preserve">The information and records required under </w:t>
      </w:r>
      <w:r w:rsidRPr="00A863E7">
        <w:rPr>
          <w:rFonts w:eastAsia="Calibri"/>
        </w:rPr>
        <w:t>part</w:t>
      </w:r>
      <w:r w:rsidRPr="00A863E7">
        <w:rPr>
          <w:rFonts w:eastAsia="Calibri"/>
        </w:rPr>
        <w:t xml:space="preserve"> 1, subpart S vary depending on the type of supply chain activities performed with respect to </w:t>
      </w:r>
      <w:r w:rsidRPr="00A863E7">
        <w:rPr>
          <w:rFonts w:eastAsia="Calibri"/>
        </w:rPr>
        <w:t>an FTL</w:t>
      </w:r>
      <w:r w:rsidRPr="00A863E7">
        <w:rPr>
          <w:rFonts w:eastAsia="Calibri"/>
        </w:rPr>
        <w:t xml:space="preserve"> food.  For harvesting and cooling of foods on the FTL, records must include information about the location for the immediate subsequent recipient, commodity, quantity, location of farm and harvest area or cooling area, date of harvest or cooling, and the reference document type and reference document number (§ 1.1325).  For the initial packing of a raw agricultural commodity on the FTL, including sprouts, for each traceability lot you initially pack, records must include and link the traceability lot to information about the commodity, date harvested and received, quantity, location of farm and harvest and/or cooling area, name and phone number of harvester, and the reference document type and reference document number (§ 1.1330).  For the first land-based receiver of food on the FTL, for each traceability lot obtained from a fishing vessel, records must include and link the traceability lot to the traceability lot code assigned, product description, quantity, harvest date range and locations, location of land-based receiver, date the food landed, and the reference document type and reference document number (§ 1.1335).  For each traceability lot of a food on the FTL that you ship or receive, records must include and link the traceability lot to the traceability lot code, product description, quantity, location description of either the immediate subsequent recipient or the immediate previous source, location description of either from which you shipped or for where the food was received, date the food was shipped or received, location description for the traceability lot code source, and the reference document type and reference document number (§§ 1.1340 and 1.1345).  For each traceability lot of food that is on the FTL that is transformed, records must include and link the traceability lot to the traceability lot code, product description, quantity, date transformed, and the reference document type and reference document number (§ 1.1350).  Part 1, subpart S also requires that </w:t>
      </w:r>
      <w:r w:rsidRPr="00A863E7">
        <w:rPr>
          <w:rFonts w:eastAsia="Calibri"/>
        </w:rPr>
        <w:t>persons</w:t>
      </w:r>
      <w:r w:rsidRPr="00A863E7">
        <w:rPr>
          <w:rFonts w:eastAsia="Calibri"/>
        </w:rPr>
        <w:t xml:space="preserve"> who manufacture, process, pack, or hold foods listed on the FTL to maintain records demonstrating the creation and establishment of a traceability plan (§ 1.1315).</w:t>
      </w:r>
    </w:p>
    <w:p w:rsidR="00A863E7" w:rsidRPr="00A863E7" w:rsidP="00A863E7" w14:paraId="2293B288" w14:textId="77777777">
      <w:pPr>
        <w:spacing w:after="200"/>
        <w:rPr>
          <w:rFonts w:eastAsia="Calibri"/>
        </w:rPr>
      </w:pPr>
      <w:r w:rsidRPr="00A863E7">
        <w:rPr>
          <w:rFonts w:eastAsia="Calibri"/>
        </w:rPr>
        <w:t>A respondent may submit a citizen petition to FDA to request modified requirements or exemptions from the requirements of subpart S (§ 1.1370).  In addition to the requirements of a citizen petition (21 CFR 10.30), a respondent must: (a) specify the food or type of entity to which the modified requirements or exemption would apply; (b) specify the proposed modifications to the requirements; and (c) provide information demonstrating that the proposed modification or exemption of the requirements are not necessary to protect the public health.</w:t>
      </w:r>
    </w:p>
    <w:p w:rsidR="00A863E7" w:rsidRPr="00A863E7" w:rsidP="00A863E7" w14:paraId="1734D2D1" w14:textId="77777777">
      <w:pPr>
        <w:spacing w:after="200"/>
        <w:rPr>
          <w:rFonts w:eastAsia="Calibri"/>
        </w:rPr>
      </w:pPr>
      <w:r w:rsidRPr="00A863E7">
        <w:rPr>
          <w:rFonts w:eastAsia="Calibri"/>
        </w:rPr>
        <w:t>A respondent may submit to FDA a written request or a citizen petition to waive one or more requirements (§§ 1.1415 and 1.1425).  In addition to the requirements for submitting a citizen petition (§ 10.30), a respondent must: (a) specify the type of entity to which the waiver would apply; (b) provide information demonstrating why the requirements requested to be waived would result in an economic hardship for the entity, including information about the unique circumstances faced by the entity that result in unusual economic hardship from the application of these requirements; and (c) why the waiver will not significantly impair FDA’s ability to rapidly and effectively identify recipients of a food to prevent or mitigate a foodborne illness outbreak or to address credible threats of serious adverse health consequences or death to humans or animals as a result of such food being adulterated under section 402 of the FD&amp;C Act or misbranded under section 403(w) of the FD&amp;C Act; and (d) provide information demonstrating that the waiver would not otherwise be contrary to the public interest.</w:t>
      </w:r>
    </w:p>
    <w:p w:rsidR="00357C8A" w:rsidRPr="000D1D38" w:rsidP="0022425B" w14:paraId="6088535F" w14:textId="2AFC3FAE">
      <w:pPr>
        <w:spacing w:after="200"/>
        <w:rPr>
          <w:rFonts w:eastAsia="Calibri"/>
          <w:color w:val="000000"/>
        </w:rPr>
      </w:pPr>
      <w:r w:rsidRPr="00A863E7">
        <w:rPr>
          <w:rFonts w:eastAsia="Calibri"/>
        </w:rPr>
        <w:t>The information collection provision of § 1.1455(c)(3)(ii) is exempt from OMB review under 44 U.S.C. 3518(c)(1)(B)(ii) and 5 CFR 1320.4(a)(2) as collections of information obtained during the conduct of an administrative action, investigation, or audit involving an agency against specific individuals or entities.  The regulations at 5 CFR 1320.3(c) provide that the exception in 5 CFR 1320.4(a)(2) applies during the entire course of the investigation, audit, or action, but only after a case file or equivalent is opened with respect to a particular party.  Such a case file would be opened as part of the request to access records for which there is a requirement to provide the records in an electronic sortable spreadsheet under § 1.1455(c)(3)(ii).  Accordingly, we have not included an estimate of burden hours associated with § 1.1455(c)(3)(ii).</w:t>
      </w:r>
      <w:r w:rsidR="004F2C16">
        <w:rPr>
          <w:rFonts w:eastAsia="Calibri"/>
        </w:rPr>
        <w:t xml:space="preserve">  </w:t>
      </w:r>
      <w:r w:rsidRPr="002E5956" w:rsidR="002E5956">
        <w:rPr>
          <w:rFonts w:eastAsia="Calibri"/>
        </w:rPr>
        <w:t>We therefore request OMB approval for the information collection provisions discussed in this supporting statement</w:t>
      </w:r>
      <w:r w:rsidRPr="000D1D38" w:rsidR="002E5956">
        <w:rPr>
          <w:rFonts w:eastAsia="Calibri"/>
          <w:color w:val="000000"/>
        </w:rPr>
        <w:t>.</w:t>
      </w:r>
    </w:p>
    <w:p w:rsidR="00357C8A" w:rsidRPr="00357C8A" w:rsidP="006705EA" w14:paraId="68F34D3C"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E84CA6" w:rsidRPr="00E84CA6" w:rsidP="00E84CA6" w14:paraId="58E6DBF3" w14:textId="77777777">
      <w:pPr>
        <w:spacing w:after="200"/>
        <w:rPr>
          <w:rFonts w:eastAsia="Calibri"/>
        </w:rPr>
      </w:pPr>
      <w:r w:rsidRPr="00E84CA6">
        <w:rPr>
          <w:rFonts w:eastAsia="Calibri"/>
        </w:rPr>
        <w:t xml:space="preserve">Information in the records maintained under these regulations will assist FDA to quickly identify and locate contaminated or potentially contaminated food that might be affected by deliberate or accidental contamination and to inform the appropriate individuals and food facilities of specific terrorist threats.  </w:t>
      </w:r>
    </w:p>
    <w:p w:rsidR="002E5956" w:rsidP="002E5956" w14:paraId="2B90DB5C" w14:textId="04906F4D">
      <w:pPr>
        <w:spacing w:after="200"/>
        <w:rPr>
          <w:rFonts w:eastAsia="Calibri"/>
        </w:rPr>
      </w:pPr>
      <w:r w:rsidRPr="00C15708">
        <w:rPr>
          <w:rFonts w:eastAsia="Calibri"/>
        </w:rPr>
        <w:t>The</w:t>
      </w:r>
      <w:r>
        <w:rPr>
          <w:rFonts w:eastAsia="Calibri"/>
        </w:rPr>
        <w:t xml:space="preserve"> </w:t>
      </w:r>
      <w:r w:rsidRPr="00C15708">
        <w:rPr>
          <w:rFonts w:eastAsia="Calibri"/>
        </w:rPr>
        <w:t xml:space="preserve">recordkeeping requirements strengthen public health protections by documenting the movement of foods throughout the supply chain, enabling FDA to identify the source of contaminated foods and aid in the removal of contaminated products from the market.  The regulations also implement statutory provisions governing </w:t>
      </w:r>
      <w:r>
        <w:rPr>
          <w:rFonts w:eastAsia="Calibri"/>
        </w:rPr>
        <w:t xml:space="preserve">traceability of </w:t>
      </w:r>
      <w:r w:rsidRPr="00C15708">
        <w:rPr>
          <w:rFonts w:eastAsia="Calibri"/>
        </w:rPr>
        <w:t>high-risk foods.  Access to and utilization of traceability records better enables FDA to respond to and contain threats to the public health introduced through foods on the FTL.</w:t>
      </w:r>
    </w:p>
    <w:p w:rsidR="00357C8A" w:rsidRPr="000D1D38" w:rsidP="0022425B" w14:paraId="6F3C2958" w14:textId="134BE95A">
      <w:pPr>
        <w:spacing w:after="200"/>
        <w:rPr>
          <w:rFonts w:eastAsia="Calibri"/>
          <w:color w:val="000000"/>
        </w:rPr>
      </w:pPr>
      <w:r w:rsidRPr="00BC3EC3">
        <w:rPr>
          <w:rFonts w:eastAsia="Calibri"/>
          <w:i/>
        </w:rPr>
        <w:t>Description of Respondents</w:t>
      </w:r>
      <w:r w:rsidRPr="003E5AD8">
        <w:rPr>
          <w:rFonts w:eastAsia="Calibri"/>
        </w:rPr>
        <w:t xml:space="preserve">:  </w:t>
      </w:r>
      <w:r w:rsidRPr="007037A1" w:rsidR="007037A1">
        <w:rPr>
          <w:rFonts w:eastAsia="Calibri"/>
        </w:rPr>
        <w:t>Respondents to this collection of information are persons that manufacture, process, pack, hold, receive, distribute, transport, or import food in the United States who are required to establish, maintain, and provide records.</w:t>
      </w:r>
      <w:r w:rsidRPr="007037A1" w:rsidR="007037A1">
        <w:rPr>
          <w:rFonts w:eastAsia="Calibri"/>
        </w:rPr>
        <w:t xml:space="preserve"> </w:t>
      </w:r>
      <w:r w:rsidR="005654C4">
        <w:rPr>
          <w:rFonts w:eastAsia="Calibri"/>
        </w:rPr>
        <w:t xml:space="preserve"> </w:t>
      </w:r>
      <w:r w:rsidRPr="007037A1" w:rsidR="007037A1">
        <w:rPr>
          <w:rFonts w:eastAsia="Calibri"/>
        </w:rPr>
        <w:t>Respondents are from the private sector (for-profit businesses).</w:t>
      </w:r>
      <w:r w:rsidR="007037A1">
        <w:rPr>
          <w:rFonts w:eastAsia="Calibri"/>
        </w:rPr>
        <w:t xml:space="preserve"> </w:t>
      </w:r>
    </w:p>
    <w:p w:rsidR="00357C8A" w:rsidRPr="00357C8A" w:rsidP="006705EA" w14:paraId="720AF566"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0D1D38" w:rsidP="0022425B" w14:paraId="29754191" w14:textId="77777777">
      <w:pPr>
        <w:spacing w:after="200"/>
        <w:rPr>
          <w:rFonts w:eastAsia="Calibri"/>
          <w:color w:val="000000"/>
        </w:rPr>
      </w:pPr>
      <w:r>
        <w:rPr>
          <w:rFonts w:eastAsia="Calibri"/>
        </w:rPr>
        <w:t>We anticipate the use of electronic recordkeeping by respondents.</w:t>
      </w:r>
    </w:p>
    <w:p w:rsidR="00357C8A" w:rsidRPr="00357C8A" w:rsidP="006705EA" w14:paraId="126126BA"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0D1D38" w:rsidP="0053380B" w14:paraId="34177940" w14:textId="77777777">
      <w:pPr>
        <w:spacing w:after="200"/>
        <w:rPr>
          <w:rFonts w:eastAsia="Calibri"/>
          <w:color w:val="000000"/>
        </w:rPr>
      </w:pPr>
      <w:r w:rsidRPr="005C71CA">
        <w:t>We are unaware of duplicative information collection.</w:t>
      </w:r>
    </w:p>
    <w:p w:rsidR="00357C8A" w:rsidRPr="00357C8A" w:rsidP="006705EA" w14:paraId="03935143"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45A135FB" w14:textId="54D9502D">
      <w:pPr>
        <w:spacing w:after="200"/>
        <w:rPr>
          <w:rFonts w:eastAsia="Calibri"/>
        </w:rPr>
      </w:pPr>
      <w:r w:rsidRPr="00E57C22">
        <w:rPr>
          <w:rFonts w:eastAsia="Calibri"/>
        </w:rPr>
        <w:t xml:space="preserve">We estimate that </w:t>
      </w:r>
      <w:r>
        <w:rPr>
          <w:rFonts w:eastAsia="Calibri"/>
        </w:rPr>
        <w:t>98</w:t>
      </w:r>
      <w:r w:rsidRPr="00E57C22">
        <w:rPr>
          <w:rFonts w:eastAsia="Calibri"/>
        </w:rPr>
        <w:t xml:space="preserve">% of respondents are small businesses.  </w:t>
      </w:r>
      <w:r>
        <w:rPr>
          <w:rFonts w:eastAsia="Calibri"/>
        </w:rPr>
        <w:t xml:space="preserve">Although the </w:t>
      </w:r>
      <w:r w:rsidRPr="00E57C22">
        <w:rPr>
          <w:rFonts w:eastAsia="Calibri"/>
        </w:rPr>
        <w:t>recordkeeping requirements mandated by section 414 of the FD&amp;C Act</w:t>
      </w:r>
      <w:r>
        <w:rPr>
          <w:rFonts w:eastAsia="Calibri"/>
        </w:rPr>
        <w:t xml:space="preserve"> provide no </w:t>
      </w:r>
      <w:r w:rsidRPr="00E57C22">
        <w:rPr>
          <w:rFonts w:eastAsia="Calibri"/>
        </w:rPr>
        <w:t>exception</w:t>
      </w:r>
      <w:r>
        <w:rPr>
          <w:rFonts w:eastAsia="Calibri"/>
        </w:rPr>
        <w:t>s</w:t>
      </w:r>
      <w:r w:rsidRPr="00E57C22">
        <w:rPr>
          <w:rFonts w:eastAsia="Calibri"/>
        </w:rPr>
        <w:t xml:space="preserve"> for small businesses</w:t>
      </w:r>
      <w:r>
        <w:rPr>
          <w:rFonts w:eastAsia="Calibri"/>
        </w:rPr>
        <w:t>, some relief for small business</w:t>
      </w:r>
      <w:r w:rsidR="00B735D3">
        <w:rPr>
          <w:rFonts w:eastAsia="Calibri"/>
        </w:rPr>
        <w:t>es</w:t>
      </w:r>
      <w:r>
        <w:rPr>
          <w:rFonts w:eastAsia="Calibri"/>
        </w:rPr>
        <w:t xml:space="preserve"> in the form of exemptions and partial exemptions as set forth in </w:t>
      </w:r>
      <w:r w:rsidRPr="002B6E11">
        <w:rPr>
          <w:rFonts w:eastAsia="Calibri"/>
        </w:rPr>
        <w:t>§ 1.</w:t>
      </w:r>
      <w:r>
        <w:rPr>
          <w:rFonts w:eastAsia="Calibri"/>
        </w:rPr>
        <w:t>1</w:t>
      </w:r>
      <w:r w:rsidRPr="002B6E11">
        <w:rPr>
          <w:rFonts w:eastAsia="Calibri"/>
        </w:rPr>
        <w:t>3</w:t>
      </w:r>
      <w:r w:rsidRPr="00057E22">
        <w:rPr>
          <w:rFonts w:eastAsia="Calibri"/>
        </w:rPr>
        <w:t>05</w:t>
      </w:r>
      <w:r>
        <w:rPr>
          <w:rFonts w:eastAsia="Calibri"/>
        </w:rPr>
        <w:t xml:space="preserve"> is available.</w:t>
      </w:r>
      <w:r w:rsidRPr="00A77C14">
        <w:rPr>
          <w:rFonts w:eastAsia="Calibri"/>
        </w:rPr>
        <w:t xml:space="preserve"> </w:t>
      </w:r>
      <w:r w:rsidR="004F2C16">
        <w:rPr>
          <w:rFonts w:eastAsia="Calibri"/>
        </w:rPr>
        <w:t xml:space="preserve"> </w:t>
      </w:r>
      <w:r w:rsidRPr="00E57C22">
        <w:rPr>
          <w:rFonts w:eastAsia="Calibri"/>
        </w:rPr>
        <w:t xml:space="preserve">We </w:t>
      </w:r>
      <w:r>
        <w:rPr>
          <w:rFonts w:eastAsia="Calibri"/>
        </w:rPr>
        <w:t>also</w:t>
      </w:r>
      <w:r w:rsidRPr="00E57C22">
        <w:rPr>
          <w:rFonts w:eastAsia="Calibri"/>
        </w:rPr>
        <w:t xml:space="preserve"> help small businesses comply with </w:t>
      </w:r>
      <w:r>
        <w:rPr>
          <w:rFonts w:eastAsia="Calibri"/>
        </w:rPr>
        <w:t>FDA</w:t>
      </w:r>
      <w:r w:rsidRPr="00E57C22">
        <w:rPr>
          <w:rFonts w:eastAsia="Calibri"/>
        </w:rPr>
        <w:t xml:space="preserve"> requirements through our Regional Small Business Representatives</w:t>
      </w:r>
      <w:r w:rsidR="00EF5DED">
        <w:rPr>
          <w:rFonts w:eastAsia="Calibri"/>
        </w:rPr>
        <w:t>,</w:t>
      </w:r>
      <w:r w:rsidRPr="00E57C22">
        <w:rPr>
          <w:rFonts w:eastAsia="Calibri"/>
        </w:rPr>
        <w:t xml:space="preserve"> and </w:t>
      </w:r>
      <w:r>
        <w:rPr>
          <w:rFonts w:eastAsia="Calibri"/>
        </w:rPr>
        <w:t>we</w:t>
      </w:r>
      <w:r w:rsidRPr="00431F03">
        <w:rPr>
          <w:rFonts w:eastAsia="Calibri"/>
        </w:rPr>
        <w:t xml:space="preserve"> provide </w:t>
      </w:r>
      <w:r w:rsidR="00CD784B">
        <w:rPr>
          <w:rFonts w:eastAsia="Calibri"/>
        </w:rPr>
        <w:t>s</w:t>
      </w:r>
      <w:r w:rsidRPr="00431F03">
        <w:rPr>
          <w:rFonts w:eastAsia="Calibri"/>
        </w:rPr>
        <w:t xml:space="preserve">mall </w:t>
      </w:r>
      <w:r w:rsidR="00CD784B">
        <w:rPr>
          <w:rFonts w:eastAsia="Calibri"/>
        </w:rPr>
        <w:t>b</w:t>
      </w:r>
      <w:r w:rsidRPr="00431F03">
        <w:rPr>
          <w:rFonts w:eastAsia="Calibri"/>
        </w:rPr>
        <w:t xml:space="preserve">usiness assistance </w:t>
      </w:r>
      <w:r>
        <w:rPr>
          <w:rFonts w:eastAsia="Calibri"/>
        </w:rPr>
        <w:t xml:space="preserve">on our </w:t>
      </w:r>
      <w:r w:rsidRPr="00431F03">
        <w:rPr>
          <w:rFonts w:eastAsia="Calibri"/>
        </w:rPr>
        <w:t xml:space="preserve">website at </w:t>
      </w:r>
      <w:hyperlink r:id="rId7" w:history="1">
        <w:r w:rsidRPr="00F774E2">
          <w:rPr>
            <w:rStyle w:val="Hyperlink"/>
            <w:rFonts w:eastAsia="Calibri"/>
          </w:rPr>
          <w:t>https://www.fda.gov/industry/small-business-assistance</w:t>
        </w:r>
      </w:hyperlink>
      <w:r w:rsidRPr="00431F03">
        <w:rPr>
          <w:rFonts w:eastAsia="Calibri"/>
        </w:rPr>
        <w:t>.</w:t>
      </w:r>
    </w:p>
    <w:p w:rsidR="00357C8A" w:rsidRPr="00357C8A" w:rsidP="006705EA" w14:paraId="54A0B254" w14:textId="77777777">
      <w:pPr>
        <w:numPr>
          <w:ilvl w:val="0"/>
          <w:numId w:val="6"/>
        </w:numPr>
        <w:spacing w:after="200" w:line="276" w:lineRule="auto"/>
        <w:rPr>
          <w:rFonts w:eastAsia="Calibri"/>
          <w:u w:val="single"/>
        </w:rPr>
      </w:pPr>
      <w:r w:rsidRPr="00357C8A">
        <w:rPr>
          <w:rFonts w:eastAsia="Calibri"/>
          <w:u w:val="single"/>
        </w:rPr>
        <w:t xml:space="preserve">Consequences of Collecting </w:t>
      </w:r>
      <w:r w:rsidRPr="00357C8A">
        <w:rPr>
          <w:rFonts w:eastAsia="Calibri"/>
          <w:u w:val="single"/>
        </w:rPr>
        <w:t>the Information</w:t>
      </w:r>
      <w:r w:rsidRPr="00357C8A">
        <w:rPr>
          <w:rFonts w:eastAsia="Calibri"/>
          <w:u w:val="single"/>
        </w:rPr>
        <w:t xml:space="preserve"> Less Frequently</w:t>
      </w:r>
    </w:p>
    <w:p w:rsidR="00357C8A" w:rsidRPr="000D1D38" w:rsidP="00357C8A" w14:paraId="33E619AE" w14:textId="77777777">
      <w:pPr>
        <w:spacing w:after="200"/>
        <w:rPr>
          <w:rFonts w:eastAsia="Calibri"/>
          <w:color w:val="000000"/>
        </w:rPr>
      </w:pPr>
      <w:r w:rsidRPr="00431F03">
        <w:rPr>
          <w:rFonts w:eastAsia="Calibri"/>
        </w:rPr>
        <w:t xml:space="preserve">Data collection </w:t>
      </w:r>
      <w:r>
        <w:rPr>
          <w:rFonts w:eastAsia="Calibri"/>
        </w:rPr>
        <w:t>is conducted in accordance with statutory and regulatory requirements</w:t>
      </w:r>
      <w:r w:rsidRPr="00431F03">
        <w:rPr>
          <w:rFonts w:eastAsia="Calibri"/>
        </w:rPr>
        <w:t xml:space="preserve">.  Pursuant to the FD&amp;C Act and the </w:t>
      </w:r>
      <w:r w:rsidRPr="00431F03">
        <w:rPr>
          <w:rFonts w:eastAsia="Calibri"/>
        </w:rPr>
        <w:t>implementing</w:t>
      </w:r>
      <w:r w:rsidRPr="00431F03">
        <w:rPr>
          <w:rFonts w:eastAsia="Calibri"/>
        </w:rPr>
        <w:t xml:space="preserve"> regulations, a record is established for each transaction involving food at the time the transaction occurs.  The information cannot be collected less frequently.  If the collection is not conducted or is conducted less frequently, persons that manufacture, process, pack, hold, receive, distribute, transport, or import food in the United States would not </w:t>
      </w:r>
      <w:r w:rsidRPr="00431F03">
        <w:rPr>
          <w:rFonts w:eastAsia="Calibri"/>
        </w:rPr>
        <w:t>be in compliance with</w:t>
      </w:r>
      <w:r w:rsidRPr="00431F03">
        <w:rPr>
          <w:rFonts w:eastAsia="Calibri"/>
        </w:rPr>
        <w:t xml:space="preserve"> section 414 of the FD&amp;C Act.</w:t>
      </w:r>
    </w:p>
    <w:p w:rsidR="00357C8A" w:rsidRPr="00357C8A" w:rsidP="006705EA" w14:paraId="1D7407E6"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075FB450" w14:textId="77777777">
      <w:pPr>
        <w:spacing w:after="200"/>
        <w:rPr>
          <w:rFonts w:eastAsia="Calibri"/>
        </w:rPr>
      </w:pPr>
      <w:r w:rsidRPr="00431F03">
        <w:rPr>
          <w:rFonts w:eastAsia="Calibri"/>
        </w:rPr>
        <w:t>There are no special circumstances associated with this collection of information.</w:t>
      </w:r>
    </w:p>
    <w:p w:rsidR="00357C8A" w:rsidRPr="00357C8A" w:rsidP="006705EA" w14:paraId="7D95058D"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DF4C9E" w:rsidP="00AC5FBE" w14:paraId="02F3DAD5" w14:textId="32D9BB69">
      <w:r w:rsidRPr="00157851">
        <w:t xml:space="preserve">In accordance with 5 CFR 1320.8(d), we published a 60-day notice for public comment in the </w:t>
      </w:r>
      <w:r w:rsidRPr="00157851">
        <w:rPr>
          <w:i/>
          <w:iCs/>
        </w:rPr>
        <w:t>Federal Register</w:t>
      </w:r>
      <w:r w:rsidRPr="00157851">
        <w:t xml:space="preserve"> of December 9, 2025 (90 FR 57074). </w:t>
      </w:r>
      <w:r>
        <w:t xml:space="preserve"> </w:t>
      </w:r>
      <w:r w:rsidRPr="00157851">
        <w:t xml:space="preserve">One stakeholder provided </w:t>
      </w:r>
      <w:r>
        <w:t xml:space="preserve">multiple </w:t>
      </w:r>
      <w:r w:rsidRPr="00157851">
        <w:t>comments.</w:t>
      </w:r>
      <w:r>
        <w:t xml:space="preserve">  Although the commenter generally supported collections of information to support public safety, there were several comments that questioned the extent of the number of food facilities creating and maintaining records and whether the necessity to maintain such records had practical utility.  Another comment offered concern </w:t>
      </w:r>
      <w:r w:rsidR="00F962E2">
        <w:t>with</w:t>
      </w:r>
      <w:r>
        <w:t xml:space="preserve"> the cost to comply </w:t>
      </w:r>
      <w:r>
        <w:t>for</w:t>
      </w:r>
      <w:r>
        <w:t xml:space="preserve"> smaller businesses.</w:t>
      </w:r>
    </w:p>
    <w:p w:rsidR="00AC5FBE" w:rsidP="00AC5FBE" w14:paraId="28828DC9" w14:textId="11624B6A">
      <w:r>
        <w:t xml:space="preserve">    </w:t>
      </w:r>
    </w:p>
    <w:p w:rsidR="00DF4C9E" w:rsidP="00AC5FBE" w14:paraId="7EDB02CB" w14:textId="77777777">
      <w:r>
        <w:t>As explained earlier in this document, this collection of information supports regulations in 21 CFR part 1, subparts J and S.  FDA codified the subpart J regulations to support t</w:t>
      </w:r>
      <w:r w:rsidRPr="00694FE1">
        <w:t>he</w:t>
      </w:r>
      <w:r w:rsidRPr="0071234B">
        <w:t xml:space="preserve"> Bioterrorism Act</w:t>
      </w:r>
      <w:r w:rsidRPr="00694FE1">
        <w:t xml:space="preserve"> (</w:t>
      </w:r>
      <w:r w:rsidRPr="0095318C">
        <w:t>Pub. L. 1</w:t>
      </w:r>
      <w:r>
        <w:t>07-188</w:t>
      </w:r>
      <w:r w:rsidRPr="00694FE1">
        <w:t>)</w:t>
      </w:r>
      <w:r>
        <w:t xml:space="preserve"> and, subsequently, implemented additional recordkeeping requirements in subpart S for foods we have designated as high-risk foods in accordance with factors specified by Congress in FSMA </w:t>
      </w:r>
      <w:r w:rsidRPr="004F09DE">
        <w:t>(Pub. L. 111</w:t>
      </w:r>
      <w:r>
        <w:t>-</w:t>
      </w:r>
      <w:r w:rsidRPr="004F09DE">
        <w:t>353)</w:t>
      </w:r>
      <w:r>
        <w:t xml:space="preserve">.  In other words, FDA implemented these regulations and required this collection of information as directed by Congress. </w:t>
      </w:r>
    </w:p>
    <w:p w:rsidR="00AC5FBE" w:rsidP="00AC5FBE" w14:paraId="33860DF8" w14:textId="0831F044">
      <w:r>
        <w:t xml:space="preserve"> </w:t>
      </w:r>
    </w:p>
    <w:p w:rsidR="00357C8A" w:rsidRPr="000D1D38" w:rsidP="00455BF0" w14:paraId="17722B59" w14:textId="5D7D4F9F">
      <w:pPr>
        <w:spacing w:after="200"/>
        <w:rPr>
          <w:rFonts w:eastAsia="Calibri"/>
          <w:color w:val="000000"/>
        </w:rPr>
      </w:pPr>
      <w:r w:rsidRPr="07F710C6">
        <w:t xml:space="preserve">These recordkeeping requirements are appropriate and necessary to protect </w:t>
      </w:r>
      <w:r w:rsidRPr="07F710C6">
        <w:t>the public</w:t>
      </w:r>
      <w:r w:rsidRPr="07F710C6">
        <w:t xml:space="preserve"> health.  These traceability recordkeeping requirements help FDA rapidly and effectively identify recipients of certain foods to prevent or mitigate a foodborne illness outbreak and address threats of serious adverse health consequences or death </w:t>
      </w:r>
      <w:r w:rsidRPr="07F710C6">
        <w:t>as a result of</w:t>
      </w:r>
      <w:r w:rsidRPr="07F710C6">
        <w:t xml:space="preserve"> such foods being adulterated under the FD&amp;C Act.  The requirements will reduce the harm to public health caused by foodborne illness</w:t>
      </w:r>
      <w:r w:rsidR="009A0D98">
        <w:t xml:space="preserve"> </w:t>
      </w:r>
      <w:r w:rsidRPr="07F710C6">
        <w:t xml:space="preserve">outbreaks and limit adverse impacts on industry sectors affected by these outbreaks by improving </w:t>
      </w:r>
      <w:r w:rsidRPr="07F710C6">
        <w:t>the ability to quickly and efficiently trace the movement through the supply chain of foods identified as causing illness, identify and remove contaminated foods from the marketplace, and develop mitigation strategies to prevent future contamination.  If all facilities did not create and maintain records, there would be instances that FDA would not be able to quickly and effectively identify recipients of</w:t>
      </w:r>
      <w:r>
        <w:t xml:space="preserve"> </w:t>
      </w:r>
      <w:r w:rsidRPr="07F710C6">
        <w:t xml:space="preserve">contaminated food.  That could result in additional serious adverse health consequences or death.  It could also adversely impact the food industry by not being able to identify </w:t>
      </w:r>
      <w:r w:rsidRPr="07F710C6">
        <w:t>specific lot</w:t>
      </w:r>
      <w:r w:rsidRPr="07F710C6">
        <w:t xml:space="preserve"> numbers or batches of product in question, resulting in overly broad recall requests that affect entire segments of the industry.  </w:t>
      </w:r>
      <w:r w:rsidRPr="12C9CD92">
        <w:t>The recordkeeping requirements of these regulations are mandated by section 414 of the FD&amp;C Act, and there is no statutory exception for small businesses.  However, in the promulgating regulations to implement the statutory requirements, FDA provides relief for small businesses in the form of exemptions and partial exemptions set forth in §§</w:t>
      </w:r>
      <w:r>
        <w:t xml:space="preserve"> </w:t>
      </w:r>
      <w:r w:rsidRPr="12C9CD92">
        <w:t xml:space="preserve">1.327 and 1.1305. </w:t>
      </w:r>
      <w:r>
        <w:t xml:space="preserve"> </w:t>
      </w:r>
      <w:r w:rsidRPr="12C9CD92">
        <w:t xml:space="preserve">FDA also help small businesses comply with our requirements through our Regional Small Business Representatives and via the agency’s website at </w:t>
      </w:r>
      <w:hyperlink r:id="rId7">
        <w:r w:rsidRPr="12C9CD92">
          <w:rPr>
            <w:rStyle w:val="Hyperlink"/>
          </w:rPr>
          <w:t>https://www.fda.gov/industry/small-business-assistance</w:t>
        </w:r>
      </w:hyperlink>
      <w:r w:rsidRPr="12C9CD92">
        <w:t xml:space="preserve">.  The regulations also allow for requests to modify or exempt requirements and for waivers. </w:t>
      </w:r>
    </w:p>
    <w:p w:rsidR="00357C8A" w:rsidRPr="00357C8A" w:rsidP="006705EA" w14:paraId="11F5ABE2"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0D1D38" w:rsidP="00357C8A" w14:paraId="18CFB992" w14:textId="77777777">
      <w:pPr>
        <w:spacing w:after="200"/>
        <w:rPr>
          <w:rFonts w:eastAsia="Calibri"/>
          <w:color w:val="000000"/>
        </w:rPr>
      </w:pPr>
      <w:r w:rsidRPr="002074FE">
        <w:rPr>
          <w:rFonts w:eastAsia="Calibri"/>
        </w:rPr>
        <w:t>There are no incentives, payments or gifts associated with this information collection.</w:t>
      </w:r>
    </w:p>
    <w:p w:rsidR="00357C8A" w:rsidRPr="00357C8A" w:rsidP="006705EA" w14:paraId="740EDFEA"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2E5956" w:rsidRPr="00BC3EC3" w:rsidP="002E5956" w14:paraId="79B117F4" w14:textId="77777777">
      <w:pPr>
        <w:spacing w:after="200"/>
        <w:rPr>
          <w:rFonts w:eastAsia="Calibri"/>
          <w:i/>
        </w:rPr>
      </w:pPr>
      <w:r>
        <w:rPr>
          <w:rFonts w:eastAsia="Calibri"/>
          <w:i/>
        </w:rPr>
        <w:t xml:space="preserve">The </w:t>
      </w:r>
      <w:r w:rsidRPr="00BC3EC3">
        <w:rPr>
          <w:rFonts w:eastAsia="Calibri"/>
          <w:i/>
        </w:rPr>
        <w:t>Privacy Act</w:t>
      </w:r>
      <w:r>
        <w:rPr>
          <w:rFonts w:eastAsia="Calibri"/>
          <w:i/>
        </w:rPr>
        <w:t xml:space="preserve"> of 1974</w:t>
      </w:r>
    </w:p>
    <w:p w:rsidR="009E6EA4" w:rsidRPr="009E6EA4" w:rsidP="009E6EA4" w14:paraId="19F0E6E6" w14:textId="451CE2A5">
      <w:pPr>
        <w:spacing w:after="200"/>
        <w:rPr>
          <w:rFonts w:eastAsia="Calibri"/>
        </w:rPr>
      </w:pPr>
      <w:r w:rsidRPr="009E6EA4">
        <w:rPr>
          <w:rFonts w:eastAsia="Calibri"/>
        </w:rPr>
        <w:t xml:space="preserve">In preparing this </w:t>
      </w:r>
      <w:r w:rsidR="00E937A3">
        <w:rPr>
          <w:rFonts w:eastAsia="Calibri"/>
        </w:rPr>
        <w:t>s</w:t>
      </w:r>
      <w:r w:rsidRPr="009E6EA4">
        <w:rPr>
          <w:rFonts w:eastAsia="Calibri"/>
        </w:rPr>
        <w:t xml:space="preserve">upporting </w:t>
      </w:r>
      <w:r w:rsidR="00E937A3">
        <w:rPr>
          <w:rFonts w:eastAsia="Calibri"/>
        </w:rPr>
        <w:t>s</w:t>
      </w:r>
      <w:r w:rsidRPr="009E6EA4">
        <w:rPr>
          <w:rFonts w:eastAsia="Calibri"/>
        </w:rPr>
        <w:t>tatement, we consulted our Privacy Office to ensure appropriate identification and handling of information collected.</w:t>
      </w:r>
    </w:p>
    <w:p w:rsidR="009E6EA4" w:rsidP="002E5956" w14:paraId="521FC48E" w14:textId="04168CD0">
      <w:pPr>
        <w:spacing w:after="200"/>
        <w:rPr>
          <w:rFonts w:eastAsia="Calibri"/>
        </w:rPr>
      </w:pPr>
      <w:r w:rsidRPr="009E6EA4">
        <w:rPr>
          <w:rFonts w:eastAsia="Calibri"/>
        </w:rPr>
        <w:t xml:space="preserve">This ICR collects personally identifiable information (PII) or information of a personal nature. </w:t>
      </w:r>
      <w:r w:rsidR="004F2C16">
        <w:rPr>
          <w:rFonts w:eastAsia="Calibri"/>
        </w:rPr>
        <w:t xml:space="preserve"> </w:t>
      </w:r>
      <w:r w:rsidRPr="009E6EA4">
        <w:rPr>
          <w:rFonts w:eastAsia="Calibri"/>
        </w:rPr>
        <w:t xml:space="preserve">The PII collected is for business contact purposes only and includes business name, business address, </w:t>
      </w:r>
      <w:r w:rsidR="00C32D1F">
        <w:rPr>
          <w:rFonts w:eastAsia="Calibri"/>
        </w:rPr>
        <w:t xml:space="preserve">and </w:t>
      </w:r>
      <w:r w:rsidRPr="009E6EA4">
        <w:rPr>
          <w:rFonts w:eastAsia="Calibri"/>
        </w:rPr>
        <w:t>business telephone numbers.</w:t>
      </w:r>
      <w:r w:rsidR="004F2C16">
        <w:rPr>
          <w:rFonts w:eastAsia="Calibri"/>
        </w:rPr>
        <w:t xml:space="preserve"> </w:t>
      </w:r>
      <w:r w:rsidRPr="009E6EA4">
        <w:rPr>
          <w:rFonts w:eastAsia="Calibri"/>
        </w:rPr>
        <w:t xml:space="preserve"> The PII is collected and stored at the vendor facility. </w:t>
      </w:r>
      <w:r w:rsidR="004F2C16">
        <w:rPr>
          <w:rFonts w:eastAsia="Calibri"/>
        </w:rPr>
        <w:t xml:space="preserve"> </w:t>
      </w:r>
      <w:r w:rsidRPr="009E6EA4">
        <w:rPr>
          <w:rFonts w:eastAsia="Calibri"/>
        </w:rPr>
        <w:t>FDA determined that although PII is collected, the collection is not subject to the Privacy Act of 1974</w:t>
      </w:r>
      <w:r w:rsidR="00935A79">
        <w:rPr>
          <w:rFonts w:eastAsia="Calibri"/>
        </w:rPr>
        <w:t>,</w:t>
      </w:r>
      <w:r w:rsidRPr="009E6EA4">
        <w:rPr>
          <w:rFonts w:eastAsia="Calibri"/>
        </w:rPr>
        <w:t xml:space="preserve"> and the </w:t>
      </w:r>
      <w:r w:rsidRPr="009E6EA4">
        <w:rPr>
          <w:rFonts w:eastAsia="Calibri"/>
        </w:rPr>
        <w:t>particular notice</w:t>
      </w:r>
      <w:r w:rsidRPr="009E6EA4">
        <w:rPr>
          <w:rFonts w:eastAsia="Calibri"/>
        </w:rPr>
        <w:t xml:space="preserve"> and other requirements of the Act do not apply. </w:t>
      </w:r>
      <w:r w:rsidR="004F2C16">
        <w:rPr>
          <w:rFonts w:eastAsia="Calibri"/>
        </w:rPr>
        <w:t xml:space="preserve"> </w:t>
      </w:r>
      <w:r w:rsidRPr="009E6EA4">
        <w:rPr>
          <w:rFonts w:eastAsia="Calibri"/>
        </w:rPr>
        <w:t>Specifically, FDA does not use name or any other personal identifier to retrieve records from the information collected.</w:t>
      </w:r>
    </w:p>
    <w:p w:rsidR="002E5956" w:rsidRPr="002E5956" w:rsidP="002E5956" w14:paraId="27C45354" w14:textId="4D339447">
      <w:pPr>
        <w:rPr>
          <w:rFonts w:eastAsia="Calibri"/>
          <w:i/>
          <w:iCs/>
        </w:rPr>
      </w:pPr>
      <w:r w:rsidRPr="002E5956">
        <w:rPr>
          <w:rFonts w:eastAsia="Calibri"/>
          <w:i/>
          <w:iCs/>
        </w:rPr>
        <w:t>The Freedom of Information Act</w:t>
      </w:r>
    </w:p>
    <w:p w:rsidR="002E5956" w:rsidRPr="002E5956" w:rsidP="002E5956" w14:paraId="31BD8BE4" w14:textId="77777777">
      <w:pPr>
        <w:rPr>
          <w:rFonts w:eastAsia="Calibri"/>
        </w:rPr>
      </w:pPr>
    </w:p>
    <w:p w:rsidR="001075D3" w:rsidP="000450E7" w14:paraId="4FAC8384" w14:textId="6D87E606">
      <w:pPr>
        <w:rPr>
          <w:rFonts w:eastAsia="Calibri"/>
        </w:rPr>
      </w:pPr>
      <w:r w:rsidRPr="009E6EA4">
        <w:rPr>
          <w:rFonts w:eastAsia="Calibri"/>
        </w:rPr>
        <w:t xml:space="preserve">Under the Freedom of Information Act (FOIA) (5 U.S.C. 552), the public has broad access to government documents. </w:t>
      </w:r>
      <w:r w:rsidR="004F2C16">
        <w:rPr>
          <w:rFonts w:eastAsia="Calibri"/>
        </w:rPr>
        <w:t xml:space="preserve"> </w:t>
      </w:r>
      <w:r w:rsidRPr="009E6EA4">
        <w:rPr>
          <w:rFonts w:eastAsia="Calibri"/>
        </w:rPr>
        <w:t>However, FOIA provides certain exemptions from mandatory public disclosure of government records (5 U.S.C. 552(b) (1-9)).  FDA will make the fullest possible disclosure of records to the public, consistent with the rights of individuals to privacy, the property rights of persons in trade and confidential commercial or financial information.</w:t>
      </w:r>
    </w:p>
    <w:p w:rsidR="009E6EA4" w:rsidRPr="001075D3" w:rsidP="000450E7" w14:paraId="283E490E" w14:textId="77777777"/>
    <w:p w:rsidR="00357C8A" w:rsidRPr="00357C8A" w:rsidP="006705EA" w14:paraId="7885595A"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0D1D38" w:rsidP="0022425B" w14:paraId="2EC1C589" w14:textId="77777777">
      <w:pPr>
        <w:spacing w:after="200"/>
        <w:rPr>
          <w:rFonts w:eastAsia="Calibri"/>
          <w:color w:val="000000"/>
        </w:rPr>
      </w:pPr>
      <w:r w:rsidRPr="00A1203C">
        <w:rPr>
          <w:rFonts w:eastAsia="Calibri"/>
        </w:rPr>
        <w:t>This collection of information does not involve sensitive questions.</w:t>
      </w:r>
    </w:p>
    <w:p w:rsidR="00357C8A" w:rsidRPr="00357C8A" w:rsidP="006705EA" w14:paraId="5AC3EBB7"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2936A83E" w14:textId="77777777">
      <w:pPr>
        <w:spacing w:after="200"/>
        <w:ind w:left="360"/>
        <w:rPr>
          <w:rFonts w:eastAsia="Calibri"/>
        </w:rPr>
      </w:pPr>
      <w:r w:rsidRPr="005C71CA">
        <w:rPr>
          <w:rFonts w:eastAsia="Calibri"/>
        </w:rPr>
        <w:t>12a.  Annualized Hour Burden Estimate</w:t>
      </w:r>
    </w:p>
    <w:p w:rsidR="00857F7F" w:rsidRPr="00857F7F" w:rsidP="008F7462" w14:paraId="48B205FE" w14:textId="2286AF12">
      <w:pPr>
        <w:spacing w:line="480" w:lineRule="auto"/>
        <w:ind w:firstLine="360"/>
        <w:contextualSpacing/>
        <w:rPr>
          <w:b/>
          <w:u w:val="single"/>
          <w:vertAlign w:val="superscript"/>
          <w:lang w:bidi="he-IL"/>
        </w:rPr>
      </w:pPr>
      <w:r w:rsidRPr="00857F7F">
        <w:t xml:space="preserve">We estimate the burden of this collection of information as follows: </w:t>
      </w:r>
    </w:p>
    <w:p w:rsidR="00455BF0" w:rsidRPr="00455BF0" w:rsidP="00455BF0" w14:paraId="709CBE1B" w14:textId="23F713C4">
      <w:pPr>
        <w:widowControl w:val="0"/>
        <w:contextualSpacing/>
        <w:jc w:val="center"/>
        <w:rPr>
          <w:rFonts w:eastAsia="Calibri"/>
          <w:sz w:val="20"/>
          <w:szCs w:val="20"/>
        </w:rPr>
      </w:pPr>
      <w:r w:rsidRPr="00455BF0">
        <w:rPr>
          <w:rFonts w:eastAsia="Calibri"/>
          <w:sz w:val="20"/>
          <w:szCs w:val="20"/>
        </w:rPr>
        <w:t xml:space="preserve">Table </w:t>
      </w:r>
      <w:r w:rsidRPr="00455BF0">
        <w:rPr>
          <w:rFonts w:eastAsia="Calibri"/>
          <w:sz w:val="20"/>
          <w:szCs w:val="20"/>
        </w:rPr>
        <w:t>1</w:t>
      </w:r>
      <w:r w:rsidR="004F2C16">
        <w:rPr>
          <w:rFonts w:eastAsia="Calibri"/>
          <w:sz w:val="20"/>
          <w:szCs w:val="20"/>
        </w:rPr>
        <w:t>.--</w:t>
      </w:r>
      <w:r w:rsidRPr="00455BF0">
        <w:rPr>
          <w:sz w:val="20"/>
          <w:szCs w:val="20"/>
        </w:rPr>
        <w:t xml:space="preserve">Estimated Annual Reporting </w:t>
      </w:r>
      <w:r w:rsidRPr="00455BF0">
        <w:rPr>
          <w:rFonts w:eastAsia="Calibri"/>
          <w:sz w:val="20"/>
          <w:szCs w:val="20"/>
        </w:rPr>
        <w:t xml:space="preserve">Burden </w:t>
      </w:r>
      <w:r w:rsidRPr="00455BF0">
        <w:rPr>
          <w:rFonts w:eastAsia="Calibri"/>
          <w:sz w:val="20"/>
          <w:szCs w:val="20"/>
          <w:vertAlign w:val="superscript"/>
        </w:rPr>
        <w:t>1</w:t>
      </w:r>
    </w:p>
    <w:tbl>
      <w:tblPr>
        <w:tblW w:w="94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
      <w:tblGrid>
        <w:gridCol w:w="2610"/>
        <w:gridCol w:w="1445"/>
        <w:gridCol w:w="1655"/>
        <w:gridCol w:w="1350"/>
        <w:gridCol w:w="1620"/>
        <w:gridCol w:w="775"/>
      </w:tblGrid>
      <w:tr w14:paraId="73490485" w14:textId="77777777" w:rsidTr="008F7462">
        <w:tblPrEx>
          <w:tblW w:w="94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Ex>
        <w:tc>
          <w:tcPr>
            <w:tcW w:w="2610" w:type="dxa"/>
          </w:tcPr>
          <w:p w:rsidR="00455BF0" w:rsidRPr="008F7462" w:rsidP="00455BF0" w14:paraId="48361409" w14:textId="58BE11F4">
            <w:pPr>
              <w:contextualSpacing/>
              <w:jc w:val="center"/>
              <w:rPr>
                <w:sz w:val="20"/>
                <w:szCs w:val="20"/>
              </w:rPr>
            </w:pPr>
            <w:r w:rsidRPr="008F7462">
              <w:rPr>
                <w:sz w:val="20"/>
                <w:szCs w:val="20"/>
              </w:rPr>
              <w:t xml:space="preserve">Activity; 21 CFR </w:t>
            </w:r>
            <w:r w:rsidR="002A5FCA">
              <w:rPr>
                <w:sz w:val="20"/>
                <w:szCs w:val="20"/>
              </w:rPr>
              <w:t>S</w:t>
            </w:r>
            <w:r w:rsidRPr="008F7462">
              <w:rPr>
                <w:sz w:val="20"/>
                <w:szCs w:val="20"/>
              </w:rPr>
              <w:t>ection</w:t>
            </w:r>
          </w:p>
        </w:tc>
        <w:tc>
          <w:tcPr>
            <w:tcW w:w="1445" w:type="dxa"/>
          </w:tcPr>
          <w:p w:rsidR="00455BF0" w:rsidRPr="008F7462" w:rsidP="00455BF0" w14:paraId="5DAB6B6B" w14:textId="04431112">
            <w:pPr>
              <w:contextualSpacing/>
              <w:jc w:val="center"/>
              <w:rPr>
                <w:sz w:val="20"/>
                <w:szCs w:val="20"/>
              </w:rPr>
            </w:pPr>
            <w:r w:rsidRPr="008F7462">
              <w:rPr>
                <w:sz w:val="20"/>
                <w:szCs w:val="20"/>
              </w:rPr>
              <w:t>N</w:t>
            </w:r>
            <w:r w:rsidR="00A6352A">
              <w:rPr>
                <w:sz w:val="20"/>
                <w:szCs w:val="20"/>
              </w:rPr>
              <w:t>o.</w:t>
            </w:r>
            <w:r w:rsidRPr="008F7462">
              <w:rPr>
                <w:sz w:val="20"/>
                <w:szCs w:val="20"/>
              </w:rPr>
              <w:t xml:space="preserve"> of </w:t>
            </w:r>
            <w:r w:rsidR="00A6352A">
              <w:rPr>
                <w:sz w:val="20"/>
                <w:szCs w:val="20"/>
              </w:rPr>
              <w:t>R</w:t>
            </w:r>
            <w:r w:rsidRPr="008F7462">
              <w:rPr>
                <w:sz w:val="20"/>
                <w:szCs w:val="20"/>
              </w:rPr>
              <w:t>espondents</w:t>
            </w:r>
          </w:p>
        </w:tc>
        <w:tc>
          <w:tcPr>
            <w:tcW w:w="1655" w:type="dxa"/>
          </w:tcPr>
          <w:p w:rsidR="00455BF0" w:rsidRPr="008F7462" w:rsidP="00455BF0" w14:paraId="1444D306" w14:textId="0C4890C8">
            <w:pPr>
              <w:contextualSpacing/>
              <w:jc w:val="center"/>
              <w:rPr>
                <w:sz w:val="20"/>
                <w:szCs w:val="20"/>
              </w:rPr>
            </w:pPr>
            <w:r w:rsidRPr="008F7462">
              <w:rPr>
                <w:sz w:val="20"/>
                <w:szCs w:val="20"/>
              </w:rPr>
              <w:t>N</w:t>
            </w:r>
            <w:r w:rsidR="00A6352A">
              <w:rPr>
                <w:sz w:val="20"/>
                <w:szCs w:val="20"/>
              </w:rPr>
              <w:t>o.</w:t>
            </w:r>
            <w:r w:rsidRPr="008F7462">
              <w:rPr>
                <w:sz w:val="20"/>
                <w:szCs w:val="20"/>
              </w:rPr>
              <w:t xml:space="preserve"> of </w:t>
            </w:r>
            <w:r w:rsidR="00A6352A">
              <w:rPr>
                <w:sz w:val="20"/>
                <w:szCs w:val="20"/>
              </w:rPr>
              <w:t>R</w:t>
            </w:r>
            <w:r w:rsidRPr="008F7462">
              <w:rPr>
                <w:sz w:val="20"/>
                <w:szCs w:val="20"/>
              </w:rPr>
              <w:t xml:space="preserve">esponses per </w:t>
            </w:r>
            <w:r w:rsidR="00A6352A">
              <w:rPr>
                <w:sz w:val="20"/>
                <w:szCs w:val="20"/>
              </w:rPr>
              <w:t>R</w:t>
            </w:r>
            <w:r w:rsidRPr="008F7462">
              <w:rPr>
                <w:sz w:val="20"/>
                <w:szCs w:val="20"/>
              </w:rPr>
              <w:t>espondent</w:t>
            </w:r>
          </w:p>
        </w:tc>
        <w:tc>
          <w:tcPr>
            <w:tcW w:w="1350" w:type="dxa"/>
          </w:tcPr>
          <w:p w:rsidR="00455BF0" w:rsidRPr="008F7462" w:rsidP="00455BF0" w14:paraId="2F6036EB" w14:textId="766935C3">
            <w:pPr>
              <w:contextualSpacing/>
              <w:jc w:val="center"/>
              <w:rPr>
                <w:sz w:val="20"/>
                <w:szCs w:val="20"/>
              </w:rPr>
            </w:pPr>
            <w:r w:rsidRPr="008F7462">
              <w:rPr>
                <w:sz w:val="20"/>
                <w:szCs w:val="20"/>
              </w:rPr>
              <w:t xml:space="preserve">Total </w:t>
            </w:r>
            <w:r w:rsidR="00A6352A">
              <w:rPr>
                <w:sz w:val="20"/>
                <w:szCs w:val="20"/>
              </w:rPr>
              <w:t>A</w:t>
            </w:r>
            <w:r w:rsidRPr="008F7462">
              <w:rPr>
                <w:sz w:val="20"/>
                <w:szCs w:val="20"/>
              </w:rPr>
              <w:t xml:space="preserve">nnual </w:t>
            </w:r>
            <w:r w:rsidR="00A6352A">
              <w:rPr>
                <w:sz w:val="20"/>
                <w:szCs w:val="20"/>
              </w:rPr>
              <w:t>R</w:t>
            </w:r>
            <w:r w:rsidRPr="008F7462">
              <w:rPr>
                <w:sz w:val="20"/>
                <w:szCs w:val="20"/>
              </w:rPr>
              <w:t>esponses</w:t>
            </w:r>
          </w:p>
        </w:tc>
        <w:tc>
          <w:tcPr>
            <w:tcW w:w="1620" w:type="dxa"/>
          </w:tcPr>
          <w:p w:rsidR="00455BF0" w:rsidRPr="008F7462" w:rsidP="00455BF0" w14:paraId="19278F85" w14:textId="6C4958BE">
            <w:pPr>
              <w:contextualSpacing/>
              <w:jc w:val="center"/>
              <w:rPr>
                <w:sz w:val="20"/>
                <w:szCs w:val="20"/>
              </w:rPr>
            </w:pPr>
            <w:r w:rsidRPr="008F7462">
              <w:rPr>
                <w:sz w:val="20"/>
                <w:szCs w:val="20"/>
              </w:rPr>
              <w:t xml:space="preserve">Average </w:t>
            </w:r>
            <w:r w:rsidR="003A1C5C">
              <w:rPr>
                <w:sz w:val="20"/>
                <w:szCs w:val="20"/>
              </w:rPr>
              <w:t>B</w:t>
            </w:r>
            <w:r w:rsidRPr="008F7462">
              <w:rPr>
                <w:sz w:val="20"/>
                <w:szCs w:val="20"/>
              </w:rPr>
              <w:t xml:space="preserve">urden per </w:t>
            </w:r>
            <w:r w:rsidR="003A1C5C">
              <w:rPr>
                <w:sz w:val="20"/>
                <w:szCs w:val="20"/>
              </w:rPr>
              <w:t>R</w:t>
            </w:r>
            <w:r w:rsidRPr="008F7462">
              <w:rPr>
                <w:sz w:val="20"/>
                <w:szCs w:val="20"/>
              </w:rPr>
              <w:t>esponse</w:t>
            </w:r>
          </w:p>
        </w:tc>
        <w:tc>
          <w:tcPr>
            <w:tcW w:w="775" w:type="dxa"/>
          </w:tcPr>
          <w:p w:rsidR="00455BF0" w:rsidRPr="008F7462" w:rsidP="00455BF0" w14:paraId="1DB992FF" w14:textId="54DE6310">
            <w:pPr>
              <w:contextualSpacing/>
              <w:jc w:val="center"/>
              <w:rPr>
                <w:sz w:val="20"/>
                <w:szCs w:val="20"/>
              </w:rPr>
            </w:pPr>
            <w:r w:rsidRPr="008F7462">
              <w:rPr>
                <w:sz w:val="20"/>
                <w:szCs w:val="20"/>
              </w:rPr>
              <w:t xml:space="preserve">Total </w:t>
            </w:r>
            <w:r w:rsidR="003A1C5C">
              <w:rPr>
                <w:sz w:val="20"/>
                <w:szCs w:val="20"/>
              </w:rPr>
              <w:t>H</w:t>
            </w:r>
            <w:r w:rsidRPr="008F7462">
              <w:rPr>
                <w:sz w:val="20"/>
                <w:szCs w:val="20"/>
              </w:rPr>
              <w:t>ours</w:t>
            </w:r>
          </w:p>
        </w:tc>
      </w:tr>
      <w:tr w14:paraId="72D9A19C" w14:textId="77777777" w:rsidTr="008F7462">
        <w:tblPrEx>
          <w:tblW w:w="9455" w:type="dxa"/>
          <w:tblInd w:w="-10" w:type="dxa"/>
          <w:tblLayout w:type="fixed"/>
          <w:tblCellMar>
            <w:left w:w="120" w:type="dxa"/>
            <w:right w:w="120" w:type="dxa"/>
          </w:tblCellMar>
          <w:tblLook w:val="04A0"/>
        </w:tblPrEx>
        <w:tc>
          <w:tcPr>
            <w:tcW w:w="2610" w:type="dxa"/>
          </w:tcPr>
          <w:p w:rsidR="00455BF0" w:rsidRPr="008F7462" w:rsidP="00455BF0" w14:paraId="533F51E2" w14:textId="77777777">
            <w:pPr>
              <w:contextualSpacing/>
              <w:rPr>
                <w:sz w:val="20"/>
                <w:szCs w:val="20"/>
              </w:rPr>
            </w:pPr>
            <w:r w:rsidRPr="008F7462">
              <w:rPr>
                <w:sz w:val="20"/>
                <w:szCs w:val="20"/>
              </w:rPr>
              <w:t>Requests for modified requirements and exemptions; 1.1370</w:t>
            </w:r>
          </w:p>
        </w:tc>
        <w:tc>
          <w:tcPr>
            <w:tcW w:w="1445" w:type="dxa"/>
          </w:tcPr>
          <w:p w:rsidR="00455BF0" w:rsidRPr="008F7462" w:rsidP="00455BF0" w14:paraId="3F3536C6" w14:textId="77777777">
            <w:pPr>
              <w:contextualSpacing/>
              <w:jc w:val="right"/>
              <w:rPr>
                <w:sz w:val="20"/>
                <w:szCs w:val="20"/>
              </w:rPr>
            </w:pPr>
            <w:r w:rsidRPr="008F7462">
              <w:rPr>
                <w:sz w:val="20"/>
                <w:szCs w:val="20"/>
              </w:rPr>
              <w:t>5</w:t>
            </w:r>
          </w:p>
        </w:tc>
        <w:tc>
          <w:tcPr>
            <w:tcW w:w="1655" w:type="dxa"/>
          </w:tcPr>
          <w:p w:rsidR="00455BF0" w:rsidRPr="008F7462" w:rsidP="00455BF0" w14:paraId="77832471" w14:textId="77777777">
            <w:pPr>
              <w:contextualSpacing/>
              <w:jc w:val="right"/>
              <w:rPr>
                <w:sz w:val="20"/>
                <w:szCs w:val="20"/>
              </w:rPr>
            </w:pPr>
            <w:r w:rsidRPr="008F7462">
              <w:rPr>
                <w:sz w:val="20"/>
                <w:szCs w:val="20"/>
              </w:rPr>
              <w:t>1</w:t>
            </w:r>
          </w:p>
        </w:tc>
        <w:tc>
          <w:tcPr>
            <w:tcW w:w="1350" w:type="dxa"/>
          </w:tcPr>
          <w:p w:rsidR="00455BF0" w:rsidRPr="008F7462" w:rsidP="00455BF0" w14:paraId="7D19ED12" w14:textId="77777777">
            <w:pPr>
              <w:contextualSpacing/>
              <w:jc w:val="right"/>
              <w:rPr>
                <w:sz w:val="20"/>
                <w:szCs w:val="20"/>
              </w:rPr>
            </w:pPr>
            <w:r w:rsidRPr="008F7462">
              <w:rPr>
                <w:sz w:val="20"/>
                <w:szCs w:val="20"/>
              </w:rPr>
              <w:t>5</w:t>
            </w:r>
          </w:p>
        </w:tc>
        <w:tc>
          <w:tcPr>
            <w:tcW w:w="1620" w:type="dxa"/>
          </w:tcPr>
          <w:p w:rsidR="00455BF0" w:rsidRPr="008F7462" w:rsidP="00455BF0" w14:paraId="66A8CCA3" w14:textId="77777777">
            <w:pPr>
              <w:contextualSpacing/>
              <w:jc w:val="right"/>
              <w:rPr>
                <w:sz w:val="20"/>
                <w:szCs w:val="20"/>
              </w:rPr>
            </w:pPr>
            <w:r w:rsidRPr="008F7462">
              <w:rPr>
                <w:sz w:val="20"/>
                <w:szCs w:val="20"/>
              </w:rPr>
              <w:t>10</w:t>
            </w:r>
          </w:p>
        </w:tc>
        <w:tc>
          <w:tcPr>
            <w:tcW w:w="775" w:type="dxa"/>
          </w:tcPr>
          <w:p w:rsidR="00455BF0" w:rsidRPr="008F7462" w:rsidP="00455BF0" w14:paraId="74BF8837" w14:textId="77777777">
            <w:pPr>
              <w:contextualSpacing/>
              <w:jc w:val="right"/>
              <w:rPr>
                <w:sz w:val="20"/>
                <w:szCs w:val="20"/>
              </w:rPr>
            </w:pPr>
            <w:r w:rsidRPr="008F7462">
              <w:rPr>
                <w:sz w:val="20"/>
                <w:szCs w:val="20"/>
              </w:rPr>
              <w:t>50</w:t>
            </w:r>
          </w:p>
        </w:tc>
      </w:tr>
      <w:tr w14:paraId="6A66DF2A" w14:textId="77777777" w:rsidTr="008F7462">
        <w:tblPrEx>
          <w:tblW w:w="9455" w:type="dxa"/>
          <w:tblInd w:w="-10" w:type="dxa"/>
          <w:tblLayout w:type="fixed"/>
          <w:tblCellMar>
            <w:left w:w="120" w:type="dxa"/>
            <w:right w:w="120" w:type="dxa"/>
          </w:tblCellMar>
          <w:tblLook w:val="04A0"/>
        </w:tblPrEx>
        <w:tc>
          <w:tcPr>
            <w:tcW w:w="2610" w:type="dxa"/>
          </w:tcPr>
          <w:p w:rsidR="00455BF0" w:rsidRPr="008F7462" w:rsidP="00455BF0" w14:paraId="2219D2C9" w14:textId="77777777">
            <w:pPr>
              <w:contextualSpacing/>
              <w:rPr>
                <w:sz w:val="20"/>
                <w:szCs w:val="20"/>
              </w:rPr>
            </w:pPr>
            <w:r w:rsidRPr="008F7462">
              <w:rPr>
                <w:sz w:val="20"/>
                <w:szCs w:val="20"/>
              </w:rPr>
              <w:t>Requests for waivers; 1.1415 through 1.1425</w:t>
            </w:r>
          </w:p>
        </w:tc>
        <w:tc>
          <w:tcPr>
            <w:tcW w:w="1445" w:type="dxa"/>
          </w:tcPr>
          <w:p w:rsidR="00455BF0" w:rsidRPr="008F7462" w:rsidP="00455BF0" w14:paraId="53B83F43" w14:textId="77777777">
            <w:pPr>
              <w:contextualSpacing/>
              <w:jc w:val="right"/>
              <w:rPr>
                <w:sz w:val="20"/>
                <w:szCs w:val="20"/>
              </w:rPr>
            </w:pPr>
            <w:r w:rsidRPr="008F7462">
              <w:rPr>
                <w:sz w:val="20"/>
                <w:szCs w:val="20"/>
              </w:rPr>
              <w:t>15</w:t>
            </w:r>
          </w:p>
        </w:tc>
        <w:tc>
          <w:tcPr>
            <w:tcW w:w="1655" w:type="dxa"/>
          </w:tcPr>
          <w:p w:rsidR="00455BF0" w:rsidRPr="008F7462" w:rsidP="00455BF0" w14:paraId="5E5FC9CD" w14:textId="77777777">
            <w:pPr>
              <w:contextualSpacing/>
              <w:jc w:val="right"/>
              <w:rPr>
                <w:sz w:val="20"/>
                <w:szCs w:val="20"/>
              </w:rPr>
            </w:pPr>
            <w:r w:rsidRPr="008F7462">
              <w:rPr>
                <w:sz w:val="20"/>
                <w:szCs w:val="20"/>
              </w:rPr>
              <w:t>1</w:t>
            </w:r>
          </w:p>
        </w:tc>
        <w:tc>
          <w:tcPr>
            <w:tcW w:w="1350" w:type="dxa"/>
          </w:tcPr>
          <w:p w:rsidR="00455BF0" w:rsidRPr="008F7462" w:rsidP="00455BF0" w14:paraId="1BCD9CDC" w14:textId="77777777">
            <w:pPr>
              <w:contextualSpacing/>
              <w:jc w:val="right"/>
              <w:rPr>
                <w:sz w:val="20"/>
                <w:szCs w:val="20"/>
              </w:rPr>
            </w:pPr>
            <w:r w:rsidRPr="008F7462">
              <w:rPr>
                <w:sz w:val="20"/>
                <w:szCs w:val="20"/>
              </w:rPr>
              <w:t>15</w:t>
            </w:r>
          </w:p>
        </w:tc>
        <w:tc>
          <w:tcPr>
            <w:tcW w:w="1620" w:type="dxa"/>
          </w:tcPr>
          <w:p w:rsidR="00455BF0" w:rsidRPr="008F7462" w:rsidP="00455BF0" w14:paraId="3A07602A" w14:textId="77777777">
            <w:pPr>
              <w:contextualSpacing/>
              <w:jc w:val="right"/>
              <w:rPr>
                <w:sz w:val="20"/>
                <w:szCs w:val="20"/>
              </w:rPr>
            </w:pPr>
            <w:r w:rsidRPr="008F7462">
              <w:rPr>
                <w:sz w:val="20"/>
                <w:szCs w:val="20"/>
              </w:rPr>
              <w:t>10</w:t>
            </w:r>
          </w:p>
        </w:tc>
        <w:tc>
          <w:tcPr>
            <w:tcW w:w="775" w:type="dxa"/>
          </w:tcPr>
          <w:p w:rsidR="00455BF0" w:rsidRPr="008F7462" w:rsidP="00455BF0" w14:paraId="48010698" w14:textId="77777777">
            <w:pPr>
              <w:contextualSpacing/>
              <w:jc w:val="right"/>
              <w:rPr>
                <w:sz w:val="20"/>
                <w:szCs w:val="20"/>
              </w:rPr>
            </w:pPr>
            <w:r w:rsidRPr="008F7462">
              <w:rPr>
                <w:sz w:val="20"/>
                <w:szCs w:val="20"/>
              </w:rPr>
              <w:t>150</w:t>
            </w:r>
          </w:p>
        </w:tc>
      </w:tr>
      <w:tr w14:paraId="46EF051A" w14:textId="77777777" w:rsidTr="008F7462">
        <w:tblPrEx>
          <w:tblW w:w="9455" w:type="dxa"/>
          <w:tblInd w:w="-10" w:type="dxa"/>
          <w:tblLayout w:type="fixed"/>
          <w:tblCellMar>
            <w:left w:w="120" w:type="dxa"/>
            <w:right w:w="120" w:type="dxa"/>
          </w:tblCellMar>
          <w:tblLook w:val="04A0"/>
        </w:tblPrEx>
        <w:trPr>
          <w:trHeight w:val="286"/>
        </w:trPr>
        <w:tc>
          <w:tcPr>
            <w:tcW w:w="2610" w:type="dxa"/>
          </w:tcPr>
          <w:p w:rsidR="00455BF0" w:rsidRPr="008F7462" w:rsidP="00455BF0" w14:paraId="078C4852" w14:textId="77777777">
            <w:pPr>
              <w:contextualSpacing/>
              <w:rPr>
                <w:sz w:val="20"/>
                <w:szCs w:val="20"/>
              </w:rPr>
            </w:pPr>
            <w:r w:rsidRPr="008F7462">
              <w:rPr>
                <w:sz w:val="20"/>
                <w:szCs w:val="20"/>
              </w:rPr>
              <w:t>Total</w:t>
            </w:r>
          </w:p>
        </w:tc>
        <w:tc>
          <w:tcPr>
            <w:tcW w:w="1445" w:type="dxa"/>
          </w:tcPr>
          <w:p w:rsidR="00455BF0" w:rsidRPr="008F7462" w:rsidP="00455BF0" w14:paraId="2BBF2125" w14:textId="728B4855">
            <w:pPr>
              <w:contextualSpacing/>
              <w:jc w:val="right"/>
              <w:rPr>
                <w:sz w:val="20"/>
                <w:szCs w:val="20"/>
              </w:rPr>
            </w:pPr>
          </w:p>
        </w:tc>
        <w:tc>
          <w:tcPr>
            <w:tcW w:w="1655" w:type="dxa"/>
          </w:tcPr>
          <w:p w:rsidR="00455BF0" w:rsidRPr="008F7462" w:rsidP="00455BF0" w14:paraId="5E675A7D" w14:textId="77777777">
            <w:pPr>
              <w:contextualSpacing/>
              <w:jc w:val="right"/>
              <w:rPr>
                <w:sz w:val="20"/>
                <w:szCs w:val="20"/>
              </w:rPr>
            </w:pPr>
          </w:p>
        </w:tc>
        <w:tc>
          <w:tcPr>
            <w:tcW w:w="1350" w:type="dxa"/>
          </w:tcPr>
          <w:p w:rsidR="00455BF0" w:rsidRPr="008F7462" w:rsidP="00455BF0" w14:paraId="3E074347" w14:textId="6462D7D1">
            <w:pPr>
              <w:contextualSpacing/>
              <w:jc w:val="right"/>
              <w:rPr>
                <w:sz w:val="20"/>
                <w:szCs w:val="20"/>
              </w:rPr>
            </w:pPr>
            <w:r w:rsidRPr="008F7462">
              <w:rPr>
                <w:sz w:val="20"/>
                <w:szCs w:val="20"/>
              </w:rPr>
              <w:t>2</w:t>
            </w:r>
            <w:r w:rsidR="00873EE7">
              <w:rPr>
                <w:sz w:val="20"/>
                <w:szCs w:val="20"/>
              </w:rPr>
              <w:t>0</w:t>
            </w:r>
          </w:p>
        </w:tc>
        <w:tc>
          <w:tcPr>
            <w:tcW w:w="1620" w:type="dxa"/>
          </w:tcPr>
          <w:p w:rsidR="00455BF0" w:rsidRPr="008F7462" w:rsidP="00455BF0" w14:paraId="37ACDAC7" w14:textId="77777777">
            <w:pPr>
              <w:contextualSpacing/>
              <w:jc w:val="right"/>
              <w:rPr>
                <w:sz w:val="20"/>
                <w:szCs w:val="20"/>
              </w:rPr>
            </w:pPr>
          </w:p>
        </w:tc>
        <w:tc>
          <w:tcPr>
            <w:tcW w:w="775" w:type="dxa"/>
          </w:tcPr>
          <w:p w:rsidR="00455BF0" w:rsidRPr="008F7462" w:rsidP="00455BF0" w14:paraId="7D51D1EA" w14:textId="77777777">
            <w:pPr>
              <w:contextualSpacing/>
              <w:jc w:val="right"/>
              <w:rPr>
                <w:sz w:val="20"/>
                <w:szCs w:val="20"/>
              </w:rPr>
            </w:pPr>
            <w:r w:rsidRPr="008F7462">
              <w:rPr>
                <w:rFonts w:eastAsia="Calibri"/>
                <w:sz w:val="20"/>
                <w:szCs w:val="20"/>
              </w:rPr>
              <w:t>200</w:t>
            </w:r>
          </w:p>
        </w:tc>
      </w:tr>
    </w:tbl>
    <w:p w:rsidR="00455BF0" w:rsidRPr="00455BF0" w:rsidP="00455BF0" w14:paraId="5AA3A377" w14:textId="77777777">
      <w:pPr>
        <w:contextualSpacing/>
        <w:rPr>
          <w:rFonts w:eastAsia="Calibri"/>
          <w:bCs/>
          <w:sz w:val="20"/>
          <w:szCs w:val="20"/>
        </w:rPr>
      </w:pPr>
      <w:bookmarkStart w:id="1" w:name="_Hlk224831974"/>
      <w:r w:rsidRPr="00D85ED1">
        <w:rPr>
          <w:rFonts w:eastAsia="Calibri"/>
          <w:sz w:val="20"/>
          <w:szCs w:val="20"/>
          <w:vertAlign w:val="superscript"/>
        </w:rPr>
        <w:t>1</w:t>
      </w:r>
      <w:r w:rsidRPr="00D85ED1">
        <w:rPr>
          <w:rFonts w:eastAsia="Calibri"/>
          <w:sz w:val="20"/>
          <w:szCs w:val="20"/>
        </w:rPr>
        <w:t xml:space="preserve"> </w:t>
      </w:r>
      <w:r w:rsidRPr="008F7462">
        <w:rPr>
          <w:rFonts w:eastAsia="Calibri"/>
          <w:sz w:val="20"/>
          <w:szCs w:val="20"/>
        </w:rPr>
        <w:t>There are no capital costs or operating and maintenance costs associated with this collection of information.</w:t>
      </w:r>
      <w:r w:rsidRPr="00873EE7">
        <w:rPr>
          <w:rFonts w:eastAsia="Calibri"/>
          <w:sz w:val="20"/>
          <w:szCs w:val="20"/>
        </w:rPr>
        <w:t xml:space="preserve"> </w:t>
      </w:r>
    </w:p>
    <w:bookmarkEnd w:id="1"/>
    <w:p w:rsidR="00455BF0" w:rsidRPr="00455BF0" w:rsidP="00455BF0" w14:paraId="1BA79F3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u w:val="single"/>
          <w:vertAlign w:val="superscript"/>
          <w:lang w:bidi="he-IL"/>
        </w:rPr>
      </w:pPr>
    </w:p>
    <w:p w:rsidR="00455BF0" w:rsidRPr="00455BF0" w:rsidP="00455BF0" w14:paraId="089348F0" w14:textId="5D015006">
      <w:pPr>
        <w:widowControl w:val="0"/>
        <w:contextualSpacing/>
        <w:jc w:val="center"/>
        <w:rPr>
          <w:sz w:val="20"/>
          <w:szCs w:val="20"/>
        </w:rPr>
      </w:pPr>
      <w:r w:rsidRPr="00455BF0">
        <w:rPr>
          <w:sz w:val="20"/>
          <w:szCs w:val="20"/>
        </w:rPr>
        <w:t xml:space="preserve">Table </w:t>
      </w:r>
      <w:r w:rsidRPr="00455BF0">
        <w:rPr>
          <w:sz w:val="20"/>
          <w:szCs w:val="20"/>
        </w:rPr>
        <w:t>2</w:t>
      </w:r>
      <w:r w:rsidR="004F2C16">
        <w:rPr>
          <w:sz w:val="20"/>
          <w:szCs w:val="20"/>
        </w:rPr>
        <w:t>.--</w:t>
      </w:r>
      <w:r w:rsidRPr="00455BF0">
        <w:rPr>
          <w:sz w:val="20"/>
          <w:szCs w:val="20"/>
        </w:rPr>
        <w:t xml:space="preserve">Estimated Annual Recordkeeping </w:t>
      </w:r>
      <w:r w:rsidRPr="00455BF0">
        <w:rPr>
          <w:rFonts w:eastAsia="Calibri"/>
          <w:sz w:val="20"/>
          <w:szCs w:val="20"/>
        </w:rPr>
        <w:t>Burden</w:t>
      </w:r>
      <w:r w:rsidRPr="00455BF0">
        <w:rPr>
          <w:rFonts w:eastAsia="Calibri"/>
          <w:sz w:val="20"/>
          <w:szCs w:val="20"/>
          <w:vertAlign w:val="superscript"/>
        </w:rPr>
        <w:t>1</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440"/>
        <w:gridCol w:w="1620"/>
        <w:gridCol w:w="1440"/>
        <w:gridCol w:w="1800"/>
        <w:gridCol w:w="1237"/>
      </w:tblGrid>
      <w:tr w14:paraId="595FC559" w14:textId="77777777" w:rsidTr="008F7462">
        <w:tblPrEx>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4"/>
        </w:trPr>
        <w:tc>
          <w:tcPr>
            <w:tcW w:w="2093" w:type="dxa"/>
            <w:hideMark/>
          </w:tcPr>
          <w:p w:rsidR="00455BF0" w:rsidRPr="00455BF0" w:rsidP="00455BF0" w14:paraId="1561D7C3" w14:textId="1667CD79">
            <w:pPr>
              <w:contextualSpacing/>
              <w:rPr>
                <w:sz w:val="20"/>
                <w:szCs w:val="20"/>
              </w:rPr>
            </w:pPr>
            <w:r w:rsidRPr="00455BF0">
              <w:rPr>
                <w:sz w:val="20"/>
                <w:szCs w:val="20"/>
              </w:rPr>
              <w:t xml:space="preserve">Activity; 21 CFR </w:t>
            </w:r>
            <w:r w:rsidR="000E0B12">
              <w:rPr>
                <w:sz w:val="20"/>
                <w:szCs w:val="20"/>
              </w:rPr>
              <w:t>S</w:t>
            </w:r>
            <w:r w:rsidRPr="00455BF0">
              <w:rPr>
                <w:sz w:val="20"/>
                <w:szCs w:val="20"/>
              </w:rPr>
              <w:t>ection</w:t>
            </w:r>
          </w:p>
        </w:tc>
        <w:tc>
          <w:tcPr>
            <w:tcW w:w="1440" w:type="dxa"/>
            <w:hideMark/>
          </w:tcPr>
          <w:p w:rsidR="00455BF0" w:rsidRPr="00455BF0" w:rsidP="00455BF0" w14:paraId="659F0CA2" w14:textId="394B8185">
            <w:pPr>
              <w:contextualSpacing/>
              <w:jc w:val="center"/>
              <w:rPr>
                <w:sz w:val="20"/>
                <w:szCs w:val="20"/>
              </w:rPr>
            </w:pPr>
            <w:r w:rsidRPr="00455BF0">
              <w:rPr>
                <w:sz w:val="20"/>
                <w:szCs w:val="20"/>
              </w:rPr>
              <w:t>N</w:t>
            </w:r>
            <w:r w:rsidR="000E0B12">
              <w:rPr>
                <w:sz w:val="20"/>
                <w:szCs w:val="20"/>
              </w:rPr>
              <w:t>o.</w:t>
            </w:r>
            <w:r w:rsidRPr="00455BF0">
              <w:rPr>
                <w:sz w:val="20"/>
                <w:szCs w:val="20"/>
              </w:rPr>
              <w:t xml:space="preserve"> of </w:t>
            </w:r>
            <w:r w:rsidR="000E0B12">
              <w:rPr>
                <w:sz w:val="20"/>
                <w:szCs w:val="20"/>
              </w:rPr>
              <w:t>R</w:t>
            </w:r>
            <w:r w:rsidRPr="00455BF0">
              <w:rPr>
                <w:sz w:val="20"/>
                <w:szCs w:val="20"/>
              </w:rPr>
              <w:t>ecordkeepers</w:t>
            </w:r>
          </w:p>
        </w:tc>
        <w:tc>
          <w:tcPr>
            <w:tcW w:w="1620" w:type="dxa"/>
            <w:hideMark/>
          </w:tcPr>
          <w:p w:rsidR="00455BF0" w:rsidRPr="00455BF0" w:rsidP="008F7462" w14:paraId="21B496EB" w14:textId="630C52D0">
            <w:pPr>
              <w:ind w:left="-16"/>
              <w:contextualSpacing/>
              <w:jc w:val="center"/>
              <w:rPr>
                <w:sz w:val="20"/>
                <w:szCs w:val="20"/>
              </w:rPr>
            </w:pPr>
            <w:r w:rsidRPr="00455BF0">
              <w:rPr>
                <w:sz w:val="20"/>
                <w:szCs w:val="20"/>
              </w:rPr>
              <w:t>N</w:t>
            </w:r>
            <w:r w:rsidR="000E0B12">
              <w:rPr>
                <w:sz w:val="20"/>
                <w:szCs w:val="20"/>
              </w:rPr>
              <w:t>o.</w:t>
            </w:r>
            <w:r w:rsidRPr="00455BF0">
              <w:rPr>
                <w:sz w:val="20"/>
                <w:szCs w:val="20"/>
              </w:rPr>
              <w:t xml:space="preserve"> of </w:t>
            </w:r>
            <w:r w:rsidR="000E0B12">
              <w:rPr>
                <w:sz w:val="20"/>
                <w:szCs w:val="20"/>
              </w:rPr>
              <w:t>R</w:t>
            </w:r>
            <w:r w:rsidRPr="00455BF0">
              <w:rPr>
                <w:sz w:val="20"/>
                <w:szCs w:val="20"/>
              </w:rPr>
              <w:t xml:space="preserve">ecords per </w:t>
            </w:r>
            <w:r w:rsidR="000E0B12">
              <w:rPr>
                <w:sz w:val="20"/>
                <w:szCs w:val="20"/>
              </w:rPr>
              <w:t>R</w:t>
            </w:r>
            <w:r w:rsidRPr="00455BF0">
              <w:rPr>
                <w:sz w:val="20"/>
                <w:szCs w:val="20"/>
              </w:rPr>
              <w:t>ecordkeeper</w:t>
            </w:r>
          </w:p>
        </w:tc>
        <w:tc>
          <w:tcPr>
            <w:tcW w:w="1440" w:type="dxa"/>
            <w:hideMark/>
          </w:tcPr>
          <w:p w:rsidR="00455BF0" w:rsidRPr="00455BF0" w:rsidP="00455BF0" w14:paraId="280E76B6" w14:textId="1110D16F">
            <w:pPr>
              <w:contextualSpacing/>
              <w:jc w:val="center"/>
              <w:rPr>
                <w:sz w:val="20"/>
                <w:szCs w:val="20"/>
              </w:rPr>
            </w:pPr>
            <w:r w:rsidRPr="00455BF0">
              <w:rPr>
                <w:sz w:val="20"/>
                <w:szCs w:val="20"/>
              </w:rPr>
              <w:t xml:space="preserve">Total </w:t>
            </w:r>
            <w:r w:rsidR="000E0B12">
              <w:rPr>
                <w:sz w:val="20"/>
                <w:szCs w:val="20"/>
              </w:rPr>
              <w:t>A</w:t>
            </w:r>
            <w:r w:rsidRPr="00455BF0">
              <w:rPr>
                <w:sz w:val="20"/>
                <w:szCs w:val="20"/>
              </w:rPr>
              <w:t xml:space="preserve">nnual </w:t>
            </w:r>
            <w:r w:rsidR="000E0B12">
              <w:rPr>
                <w:sz w:val="20"/>
                <w:szCs w:val="20"/>
              </w:rPr>
              <w:t>R</w:t>
            </w:r>
            <w:r w:rsidRPr="00455BF0">
              <w:rPr>
                <w:sz w:val="20"/>
                <w:szCs w:val="20"/>
              </w:rPr>
              <w:t>ecords</w:t>
            </w:r>
          </w:p>
        </w:tc>
        <w:tc>
          <w:tcPr>
            <w:tcW w:w="1800" w:type="dxa"/>
            <w:hideMark/>
          </w:tcPr>
          <w:p w:rsidR="00455BF0" w:rsidRPr="00455BF0" w:rsidP="00455BF0" w14:paraId="4DECE694" w14:textId="101D76B3">
            <w:pPr>
              <w:contextualSpacing/>
              <w:jc w:val="center"/>
              <w:rPr>
                <w:sz w:val="20"/>
                <w:szCs w:val="20"/>
              </w:rPr>
            </w:pPr>
            <w:r w:rsidRPr="00455BF0">
              <w:rPr>
                <w:sz w:val="20"/>
                <w:szCs w:val="20"/>
              </w:rPr>
              <w:t xml:space="preserve">Average </w:t>
            </w:r>
            <w:r w:rsidR="000E0B12">
              <w:rPr>
                <w:sz w:val="20"/>
                <w:szCs w:val="20"/>
              </w:rPr>
              <w:t>B</w:t>
            </w:r>
            <w:r w:rsidRPr="00455BF0">
              <w:rPr>
                <w:sz w:val="20"/>
                <w:szCs w:val="20"/>
              </w:rPr>
              <w:t xml:space="preserve">urden per </w:t>
            </w:r>
            <w:r w:rsidR="000E0B12">
              <w:rPr>
                <w:sz w:val="20"/>
                <w:szCs w:val="20"/>
              </w:rPr>
              <w:t>R</w:t>
            </w:r>
            <w:r w:rsidRPr="00455BF0">
              <w:rPr>
                <w:sz w:val="20"/>
                <w:szCs w:val="20"/>
              </w:rPr>
              <w:t xml:space="preserve">ecordkeeping </w:t>
            </w:r>
          </w:p>
        </w:tc>
        <w:tc>
          <w:tcPr>
            <w:tcW w:w="1237" w:type="dxa"/>
            <w:hideMark/>
          </w:tcPr>
          <w:p w:rsidR="00455BF0" w:rsidRPr="00455BF0" w:rsidP="008F7462" w14:paraId="14569A07" w14:textId="555F5D75">
            <w:pPr>
              <w:ind w:right="52"/>
              <w:contextualSpacing/>
              <w:jc w:val="center"/>
              <w:rPr>
                <w:sz w:val="20"/>
                <w:szCs w:val="20"/>
              </w:rPr>
            </w:pPr>
            <w:r w:rsidRPr="00455BF0">
              <w:rPr>
                <w:sz w:val="20"/>
                <w:szCs w:val="20"/>
              </w:rPr>
              <w:t xml:space="preserve">Total </w:t>
            </w:r>
            <w:r w:rsidR="000E0B12">
              <w:rPr>
                <w:sz w:val="20"/>
                <w:szCs w:val="20"/>
              </w:rPr>
              <w:t>H</w:t>
            </w:r>
            <w:r w:rsidRPr="00455BF0">
              <w:rPr>
                <w:sz w:val="20"/>
                <w:szCs w:val="20"/>
              </w:rPr>
              <w:t>ours</w:t>
            </w:r>
          </w:p>
        </w:tc>
      </w:tr>
      <w:tr w14:paraId="2C05A47B" w14:textId="77777777" w:rsidTr="008F7462">
        <w:tblPrEx>
          <w:tblW w:w="9630" w:type="dxa"/>
          <w:tblInd w:w="-5" w:type="dxa"/>
          <w:tblLayout w:type="fixed"/>
          <w:tblLook w:val="04A0"/>
        </w:tblPrEx>
        <w:trPr>
          <w:trHeight w:val="557"/>
        </w:trPr>
        <w:tc>
          <w:tcPr>
            <w:tcW w:w="2093" w:type="dxa"/>
            <w:tcBorders>
              <w:top w:val="single" w:sz="4" w:space="0" w:color="auto"/>
              <w:left w:val="single" w:sz="4" w:space="0" w:color="auto"/>
              <w:bottom w:val="single" w:sz="4" w:space="0" w:color="auto"/>
              <w:right w:val="single" w:sz="4" w:space="0" w:color="auto"/>
            </w:tcBorders>
          </w:tcPr>
          <w:p w:rsidR="00455BF0" w:rsidRPr="00455BF0" w:rsidP="00455BF0" w14:paraId="4A22DA1F" w14:textId="77777777">
            <w:pPr>
              <w:contextualSpacing/>
              <w:rPr>
                <w:sz w:val="20"/>
                <w:szCs w:val="20"/>
              </w:rPr>
            </w:pPr>
            <w:r w:rsidRPr="00455BF0">
              <w:rPr>
                <w:sz w:val="20"/>
                <w:szCs w:val="20"/>
              </w:rPr>
              <w:t>Records maintenance; 1.337, 1.345, and 1.352</w:t>
            </w:r>
          </w:p>
        </w:tc>
        <w:tc>
          <w:tcPr>
            <w:tcW w:w="1440" w:type="dxa"/>
            <w:tcBorders>
              <w:top w:val="single" w:sz="4" w:space="0" w:color="auto"/>
              <w:left w:val="single" w:sz="4" w:space="0" w:color="auto"/>
              <w:bottom w:val="single" w:sz="4" w:space="0" w:color="auto"/>
              <w:right w:val="single" w:sz="4" w:space="0" w:color="auto"/>
            </w:tcBorders>
            <w:hideMark/>
          </w:tcPr>
          <w:p w:rsidR="00455BF0" w:rsidRPr="00455BF0" w:rsidP="00455BF0" w14:paraId="3616BB97" w14:textId="77777777">
            <w:pPr>
              <w:contextualSpacing/>
              <w:jc w:val="right"/>
              <w:rPr>
                <w:sz w:val="20"/>
                <w:szCs w:val="20"/>
              </w:rPr>
            </w:pPr>
            <w:r w:rsidRPr="00455BF0">
              <w:rPr>
                <w:sz w:val="20"/>
                <w:szCs w:val="20"/>
              </w:rPr>
              <w:t>379,493</w:t>
            </w:r>
          </w:p>
        </w:tc>
        <w:tc>
          <w:tcPr>
            <w:tcW w:w="1620" w:type="dxa"/>
            <w:tcBorders>
              <w:top w:val="single" w:sz="4" w:space="0" w:color="auto"/>
              <w:left w:val="single" w:sz="4" w:space="0" w:color="auto"/>
              <w:bottom w:val="single" w:sz="4" w:space="0" w:color="auto"/>
              <w:right w:val="single" w:sz="4" w:space="0" w:color="auto"/>
            </w:tcBorders>
            <w:hideMark/>
          </w:tcPr>
          <w:p w:rsidR="00455BF0" w:rsidRPr="00455BF0" w:rsidP="00455BF0" w14:paraId="21277204" w14:textId="77777777">
            <w:pPr>
              <w:contextualSpacing/>
              <w:jc w:val="right"/>
              <w:rPr>
                <w:sz w:val="20"/>
                <w:szCs w:val="20"/>
              </w:rPr>
            </w:pPr>
            <w:r w:rsidRPr="00455BF0">
              <w:rPr>
                <w:sz w:val="20"/>
                <w:szCs w:val="20"/>
              </w:rPr>
              <w:t>1</w:t>
            </w:r>
          </w:p>
        </w:tc>
        <w:tc>
          <w:tcPr>
            <w:tcW w:w="1440" w:type="dxa"/>
            <w:tcBorders>
              <w:top w:val="single" w:sz="4" w:space="0" w:color="auto"/>
              <w:left w:val="single" w:sz="4" w:space="0" w:color="auto"/>
              <w:bottom w:val="single" w:sz="4" w:space="0" w:color="auto"/>
              <w:right w:val="single" w:sz="4" w:space="0" w:color="auto"/>
            </w:tcBorders>
            <w:hideMark/>
          </w:tcPr>
          <w:p w:rsidR="00455BF0" w:rsidRPr="00455BF0" w:rsidP="00455BF0" w14:paraId="014DB4FC" w14:textId="77777777">
            <w:pPr>
              <w:contextualSpacing/>
              <w:jc w:val="right"/>
              <w:rPr>
                <w:sz w:val="20"/>
                <w:szCs w:val="20"/>
              </w:rPr>
            </w:pPr>
            <w:r w:rsidRPr="00455BF0">
              <w:rPr>
                <w:sz w:val="20"/>
                <w:szCs w:val="20"/>
              </w:rPr>
              <w:t>379,493</w:t>
            </w:r>
          </w:p>
        </w:tc>
        <w:tc>
          <w:tcPr>
            <w:tcW w:w="1800" w:type="dxa"/>
            <w:tcBorders>
              <w:top w:val="single" w:sz="4" w:space="0" w:color="auto"/>
              <w:left w:val="single" w:sz="4" w:space="0" w:color="auto"/>
              <w:bottom w:val="single" w:sz="4" w:space="0" w:color="auto"/>
              <w:right w:val="single" w:sz="4" w:space="0" w:color="auto"/>
            </w:tcBorders>
            <w:hideMark/>
          </w:tcPr>
          <w:p w:rsidR="00455BF0" w:rsidRPr="00455BF0" w:rsidP="00455BF0" w14:paraId="1D24DD7F" w14:textId="77777777">
            <w:pPr>
              <w:contextualSpacing/>
              <w:jc w:val="right"/>
              <w:rPr>
                <w:sz w:val="20"/>
                <w:szCs w:val="20"/>
              </w:rPr>
            </w:pPr>
            <w:r w:rsidRPr="00455BF0">
              <w:rPr>
                <w:sz w:val="20"/>
                <w:szCs w:val="20"/>
              </w:rPr>
              <w:t>7</w:t>
            </w:r>
          </w:p>
        </w:tc>
        <w:tc>
          <w:tcPr>
            <w:tcW w:w="1237" w:type="dxa"/>
            <w:tcBorders>
              <w:top w:val="single" w:sz="4" w:space="0" w:color="auto"/>
              <w:left w:val="single" w:sz="4" w:space="0" w:color="auto"/>
              <w:bottom w:val="single" w:sz="4" w:space="0" w:color="auto"/>
              <w:right w:val="single" w:sz="4" w:space="0" w:color="auto"/>
            </w:tcBorders>
            <w:hideMark/>
          </w:tcPr>
          <w:p w:rsidR="00455BF0" w:rsidRPr="00455BF0" w:rsidP="00455BF0" w14:paraId="2A522296" w14:textId="77777777">
            <w:pPr>
              <w:ind w:right="-20"/>
              <w:contextualSpacing/>
              <w:jc w:val="right"/>
              <w:rPr>
                <w:sz w:val="20"/>
                <w:szCs w:val="20"/>
              </w:rPr>
            </w:pPr>
            <w:r w:rsidRPr="00455BF0">
              <w:rPr>
                <w:sz w:val="20"/>
                <w:szCs w:val="20"/>
              </w:rPr>
              <w:t>2,656,451</w:t>
            </w:r>
          </w:p>
        </w:tc>
      </w:tr>
      <w:tr w14:paraId="3376CDAD" w14:textId="77777777" w:rsidTr="008F7462">
        <w:tblPrEx>
          <w:tblW w:w="9630" w:type="dxa"/>
          <w:tblInd w:w="-5" w:type="dxa"/>
          <w:tblLayout w:type="fixed"/>
          <w:tblLook w:val="04A0"/>
        </w:tblPrEx>
        <w:trPr>
          <w:trHeight w:val="390"/>
        </w:trPr>
        <w:tc>
          <w:tcPr>
            <w:tcW w:w="2093" w:type="dxa"/>
            <w:hideMark/>
          </w:tcPr>
          <w:p w:rsidR="00455BF0" w:rsidRPr="00455BF0" w:rsidP="00455BF0" w14:paraId="6F83C58E" w14:textId="77777777">
            <w:pPr>
              <w:contextualSpacing/>
              <w:rPr>
                <w:sz w:val="20"/>
                <w:szCs w:val="20"/>
              </w:rPr>
            </w:pPr>
            <w:r w:rsidRPr="00455BF0">
              <w:rPr>
                <w:sz w:val="20"/>
                <w:szCs w:val="20"/>
              </w:rPr>
              <w:t>Create and establish traceability plan; 1.1315</w:t>
            </w:r>
          </w:p>
        </w:tc>
        <w:tc>
          <w:tcPr>
            <w:tcW w:w="1440" w:type="dxa"/>
            <w:noWrap/>
            <w:hideMark/>
          </w:tcPr>
          <w:p w:rsidR="00455BF0" w:rsidRPr="00455BF0" w:rsidP="00455BF0" w14:paraId="2D3EC9FE" w14:textId="77777777">
            <w:pPr>
              <w:contextualSpacing/>
              <w:jc w:val="right"/>
              <w:rPr>
                <w:sz w:val="20"/>
                <w:szCs w:val="20"/>
              </w:rPr>
            </w:pPr>
            <w:r w:rsidRPr="00455BF0">
              <w:rPr>
                <w:sz w:val="20"/>
                <w:szCs w:val="20"/>
              </w:rPr>
              <w:t xml:space="preserve">212,368 </w:t>
            </w:r>
          </w:p>
        </w:tc>
        <w:tc>
          <w:tcPr>
            <w:tcW w:w="1620" w:type="dxa"/>
            <w:noWrap/>
            <w:hideMark/>
          </w:tcPr>
          <w:p w:rsidR="00455BF0" w:rsidRPr="00455BF0" w:rsidP="00455BF0" w14:paraId="5CD7D8A2" w14:textId="77777777">
            <w:pPr>
              <w:contextualSpacing/>
              <w:jc w:val="right"/>
              <w:rPr>
                <w:sz w:val="20"/>
                <w:szCs w:val="20"/>
              </w:rPr>
            </w:pPr>
            <w:r w:rsidRPr="00455BF0">
              <w:rPr>
                <w:sz w:val="20"/>
                <w:szCs w:val="20"/>
              </w:rPr>
              <w:t xml:space="preserve">1 </w:t>
            </w:r>
          </w:p>
        </w:tc>
        <w:tc>
          <w:tcPr>
            <w:tcW w:w="1440" w:type="dxa"/>
            <w:noWrap/>
            <w:hideMark/>
          </w:tcPr>
          <w:p w:rsidR="00455BF0" w:rsidRPr="00455BF0" w:rsidP="00455BF0" w14:paraId="5F9EA401" w14:textId="77777777">
            <w:pPr>
              <w:contextualSpacing/>
              <w:jc w:val="right"/>
              <w:rPr>
                <w:sz w:val="20"/>
                <w:szCs w:val="20"/>
              </w:rPr>
            </w:pPr>
            <w:r w:rsidRPr="00455BF0">
              <w:rPr>
                <w:sz w:val="20"/>
                <w:szCs w:val="20"/>
              </w:rPr>
              <w:t>212,368</w:t>
            </w:r>
          </w:p>
        </w:tc>
        <w:tc>
          <w:tcPr>
            <w:tcW w:w="1800" w:type="dxa"/>
            <w:noWrap/>
            <w:hideMark/>
          </w:tcPr>
          <w:p w:rsidR="00455BF0" w:rsidRPr="00455BF0" w:rsidP="00455BF0" w14:paraId="64069C71" w14:textId="77777777">
            <w:pPr>
              <w:contextualSpacing/>
              <w:jc w:val="right"/>
              <w:rPr>
                <w:sz w:val="20"/>
                <w:szCs w:val="20"/>
              </w:rPr>
            </w:pPr>
            <w:r w:rsidRPr="00455BF0">
              <w:rPr>
                <w:sz w:val="20"/>
                <w:szCs w:val="20"/>
              </w:rPr>
              <w:t xml:space="preserve">8 </w:t>
            </w:r>
          </w:p>
        </w:tc>
        <w:tc>
          <w:tcPr>
            <w:tcW w:w="1237" w:type="dxa"/>
            <w:noWrap/>
            <w:hideMark/>
          </w:tcPr>
          <w:p w:rsidR="00455BF0" w:rsidRPr="00455BF0" w:rsidP="00455BF0" w14:paraId="6CAC9256" w14:textId="77777777">
            <w:pPr>
              <w:contextualSpacing/>
              <w:jc w:val="right"/>
              <w:rPr>
                <w:sz w:val="20"/>
                <w:szCs w:val="20"/>
              </w:rPr>
            </w:pPr>
            <w:r w:rsidRPr="00455BF0">
              <w:rPr>
                <w:sz w:val="20"/>
                <w:szCs w:val="20"/>
              </w:rPr>
              <w:t>1,698,944</w:t>
            </w:r>
          </w:p>
        </w:tc>
      </w:tr>
      <w:tr w14:paraId="00CFE1A8" w14:textId="77777777" w:rsidTr="008F7462">
        <w:tblPrEx>
          <w:tblW w:w="9630" w:type="dxa"/>
          <w:tblInd w:w="-5" w:type="dxa"/>
          <w:tblLayout w:type="fixed"/>
          <w:tblLook w:val="04A0"/>
        </w:tblPrEx>
        <w:trPr>
          <w:trHeight w:val="390"/>
        </w:trPr>
        <w:tc>
          <w:tcPr>
            <w:tcW w:w="2093" w:type="dxa"/>
            <w:noWrap/>
            <w:hideMark/>
          </w:tcPr>
          <w:p w:rsidR="00455BF0" w:rsidRPr="00455BF0" w:rsidP="00455BF0" w14:paraId="6FBD36FE" w14:textId="77777777">
            <w:pPr>
              <w:contextualSpacing/>
              <w:rPr>
                <w:sz w:val="20"/>
                <w:szCs w:val="20"/>
              </w:rPr>
            </w:pPr>
            <w:r w:rsidRPr="00455BF0">
              <w:rPr>
                <w:sz w:val="20"/>
                <w:szCs w:val="20"/>
              </w:rPr>
              <w:t>Records for harvesting or cooling; 1.1325</w:t>
            </w:r>
          </w:p>
        </w:tc>
        <w:tc>
          <w:tcPr>
            <w:tcW w:w="1440" w:type="dxa"/>
            <w:noWrap/>
            <w:hideMark/>
          </w:tcPr>
          <w:p w:rsidR="00455BF0" w:rsidRPr="00455BF0" w:rsidP="00455BF0" w14:paraId="48F3A39C" w14:textId="77777777">
            <w:pPr>
              <w:contextualSpacing/>
              <w:jc w:val="right"/>
              <w:rPr>
                <w:sz w:val="20"/>
                <w:szCs w:val="20"/>
              </w:rPr>
            </w:pPr>
            <w:r w:rsidRPr="00455BF0">
              <w:rPr>
                <w:sz w:val="20"/>
                <w:szCs w:val="20"/>
              </w:rPr>
              <w:t xml:space="preserve">9,570 </w:t>
            </w:r>
          </w:p>
        </w:tc>
        <w:tc>
          <w:tcPr>
            <w:tcW w:w="1620" w:type="dxa"/>
            <w:noWrap/>
            <w:hideMark/>
          </w:tcPr>
          <w:p w:rsidR="00455BF0" w:rsidRPr="00455BF0" w:rsidP="00455BF0" w14:paraId="45D882E5" w14:textId="77777777">
            <w:pPr>
              <w:contextualSpacing/>
              <w:jc w:val="right"/>
              <w:rPr>
                <w:sz w:val="20"/>
                <w:szCs w:val="20"/>
              </w:rPr>
            </w:pPr>
            <w:r w:rsidRPr="00455BF0">
              <w:rPr>
                <w:sz w:val="20"/>
                <w:szCs w:val="20"/>
              </w:rPr>
              <w:t>575</w:t>
            </w:r>
          </w:p>
        </w:tc>
        <w:tc>
          <w:tcPr>
            <w:tcW w:w="1440" w:type="dxa"/>
            <w:noWrap/>
            <w:hideMark/>
          </w:tcPr>
          <w:p w:rsidR="00455BF0" w:rsidRPr="00455BF0" w:rsidP="00455BF0" w14:paraId="1E226243" w14:textId="77777777">
            <w:pPr>
              <w:contextualSpacing/>
              <w:jc w:val="right"/>
              <w:rPr>
                <w:sz w:val="20"/>
                <w:szCs w:val="20"/>
              </w:rPr>
            </w:pPr>
            <w:r w:rsidRPr="00455BF0">
              <w:rPr>
                <w:sz w:val="20"/>
                <w:szCs w:val="20"/>
              </w:rPr>
              <w:t>5,502,750</w:t>
            </w:r>
          </w:p>
        </w:tc>
        <w:tc>
          <w:tcPr>
            <w:tcW w:w="1800" w:type="dxa"/>
            <w:noWrap/>
            <w:hideMark/>
          </w:tcPr>
          <w:p w:rsidR="00455BF0" w:rsidRPr="00455BF0" w:rsidP="00455BF0" w14:paraId="28205A5D" w14:textId="77777777">
            <w:pPr>
              <w:contextualSpacing/>
              <w:jc w:val="right"/>
              <w:rPr>
                <w:sz w:val="20"/>
                <w:szCs w:val="20"/>
              </w:rPr>
            </w:pPr>
            <w:r w:rsidRPr="00455BF0">
              <w:rPr>
                <w:sz w:val="20"/>
                <w:szCs w:val="20"/>
              </w:rPr>
              <w:t xml:space="preserve">0.07 </w:t>
            </w:r>
          </w:p>
          <w:p w:rsidR="00455BF0" w:rsidRPr="00455BF0" w:rsidP="00455BF0" w14:paraId="7C377A32" w14:textId="77777777">
            <w:pPr>
              <w:contextualSpacing/>
              <w:jc w:val="right"/>
              <w:rPr>
                <w:sz w:val="20"/>
                <w:szCs w:val="20"/>
              </w:rPr>
            </w:pPr>
            <w:r w:rsidRPr="00455BF0">
              <w:rPr>
                <w:sz w:val="20"/>
                <w:szCs w:val="20"/>
              </w:rPr>
              <w:t>(4 minutes)</w:t>
            </w:r>
          </w:p>
        </w:tc>
        <w:tc>
          <w:tcPr>
            <w:tcW w:w="1237" w:type="dxa"/>
            <w:noWrap/>
            <w:hideMark/>
          </w:tcPr>
          <w:p w:rsidR="00455BF0" w:rsidRPr="00455BF0" w:rsidP="00455BF0" w14:paraId="7757DD40" w14:textId="77777777">
            <w:pPr>
              <w:contextualSpacing/>
              <w:jc w:val="right"/>
              <w:rPr>
                <w:sz w:val="20"/>
                <w:szCs w:val="20"/>
              </w:rPr>
            </w:pPr>
            <w:r w:rsidRPr="00455BF0">
              <w:rPr>
                <w:sz w:val="20"/>
                <w:szCs w:val="20"/>
              </w:rPr>
              <w:t xml:space="preserve">              385,193</w:t>
            </w:r>
          </w:p>
        </w:tc>
      </w:tr>
      <w:tr w14:paraId="0078D3C1" w14:textId="77777777" w:rsidTr="008F7462">
        <w:tblPrEx>
          <w:tblW w:w="9630" w:type="dxa"/>
          <w:tblInd w:w="-5" w:type="dxa"/>
          <w:tblLayout w:type="fixed"/>
          <w:tblLook w:val="04A0"/>
        </w:tblPrEx>
        <w:trPr>
          <w:trHeight w:val="390"/>
        </w:trPr>
        <w:tc>
          <w:tcPr>
            <w:tcW w:w="2093" w:type="dxa"/>
            <w:noWrap/>
            <w:hideMark/>
          </w:tcPr>
          <w:p w:rsidR="00455BF0" w:rsidRPr="00455BF0" w:rsidP="00455BF0" w14:paraId="421091D2" w14:textId="77777777">
            <w:pPr>
              <w:contextualSpacing/>
              <w:rPr>
                <w:sz w:val="20"/>
                <w:szCs w:val="20"/>
              </w:rPr>
            </w:pPr>
            <w:r w:rsidRPr="00455BF0">
              <w:rPr>
                <w:sz w:val="20"/>
                <w:szCs w:val="20"/>
              </w:rPr>
              <w:t xml:space="preserve">Records for initial packer; 1.1330; </w:t>
            </w:r>
          </w:p>
        </w:tc>
        <w:tc>
          <w:tcPr>
            <w:tcW w:w="1440" w:type="dxa"/>
            <w:noWrap/>
            <w:hideMark/>
          </w:tcPr>
          <w:p w:rsidR="00455BF0" w:rsidRPr="00455BF0" w:rsidP="00455BF0" w14:paraId="10B6EA14" w14:textId="77777777">
            <w:pPr>
              <w:contextualSpacing/>
              <w:jc w:val="right"/>
              <w:rPr>
                <w:sz w:val="20"/>
                <w:szCs w:val="20"/>
              </w:rPr>
            </w:pPr>
            <w:r w:rsidRPr="00455BF0">
              <w:rPr>
                <w:sz w:val="20"/>
                <w:szCs w:val="20"/>
              </w:rPr>
              <w:t xml:space="preserve">4,313 </w:t>
            </w:r>
          </w:p>
        </w:tc>
        <w:tc>
          <w:tcPr>
            <w:tcW w:w="1620" w:type="dxa"/>
            <w:noWrap/>
            <w:hideMark/>
          </w:tcPr>
          <w:p w:rsidR="00455BF0" w:rsidRPr="00455BF0" w:rsidP="00455BF0" w14:paraId="543EB677" w14:textId="77777777">
            <w:pPr>
              <w:contextualSpacing/>
              <w:jc w:val="right"/>
              <w:rPr>
                <w:sz w:val="20"/>
                <w:szCs w:val="20"/>
              </w:rPr>
            </w:pPr>
            <w:r w:rsidRPr="00455BF0">
              <w:rPr>
                <w:sz w:val="20"/>
                <w:szCs w:val="20"/>
              </w:rPr>
              <w:t xml:space="preserve">865 </w:t>
            </w:r>
          </w:p>
        </w:tc>
        <w:tc>
          <w:tcPr>
            <w:tcW w:w="1440" w:type="dxa"/>
            <w:noWrap/>
            <w:hideMark/>
          </w:tcPr>
          <w:p w:rsidR="00455BF0" w:rsidRPr="00455BF0" w:rsidP="00455BF0" w14:paraId="04EACBBA" w14:textId="77777777">
            <w:pPr>
              <w:contextualSpacing/>
              <w:jc w:val="right"/>
              <w:rPr>
                <w:sz w:val="20"/>
                <w:szCs w:val="20"/>
              </w:rPr>
            </w:pPr>
            <w:r w:rsidRPr="00455BF0">
              <w:rPr>
                <w:sz w:val="20"/>
                <w:szCs w:val="20"/>
              </w:rPr>
              <w:t>3,730,745</w:t>
            </w:r>
          </w:p>
        </w:tc>
        <w:tc>
          <w:tcPr>
            <w:tcW w:w="1800" w:type="dxa"/>
            <w:noWrap/>
            <w:hideMark/>
          </w:tcPr>
          <w:p w:rsidR="00455BF0" w:rsidRPr="00455BF0" w:rsidP="00455BF0" w14:paraId="3E963F8A" w14:textId="77777777">
            <w:pPr>
              <w:contextualSpacing/>
              <w:jc w:val="right"/>
              <w:rPr>
                <w:sz w:val="20"/>
                <w:szCs w:val="20"/>
              </w:rPr>
            </w:pPr>
            <w:r w:rsidRPr="00455BF0">
              <w:rPr>
                <w:sz w:val="20"/>
                <w:szCs w:val="20"/>
              </w:rPr>
              <w:t xml:space="preserve">0.07 </w:t>
            </w:r>
          </w:p>
          <w:p w:rsidR="00455BF0" w:rsidRPr="00455BF0" w:rsidP="00455BF0" w14:paraId="251067FA" w14:textId="77777777">
            <w:pPr>
              <w:contextualSpacing/>
              <w:jc w:val="right"/>
              <w:rPr>
                <w:sz w:val="20"/>
                <w:szCs w:val="20"/>
              </w:rPr>
            </w:pPr>
            <w:r w:rsidRPr="00455BF0">
              <w:rPr>
                <w:sz w:val="20"/>
                <w:szCs w:val="20"/>
              </w:rPr>
              <w:t>(4 minutes)</w:t>
            </w:r>
          </w:p>
        </w:tc>
        <w:tc>
          <w:tcPr>
            <w:tcW w:w="1237" w:type="dxa"/>
            <w:noWrap/>
            <w:hideMark/>
          </w:tcPr>
          <w:p w:rsidR="00455BF0" w:rsidRPr="00455BF0" w:rsidP="00455BF0" w14:paraId="0171A94E" w14:textId="77777777">
            <w:pPr>
              <w:contextualSpacing/>
              <w:jc w:val="right"/>
              <w:rPr>
                <w:sz w:val="20"/>
                <w:szCs w:val="20"/>
              </w:rPr>
            </w:pPr>
            <w:r w:rsidRPr="00455BF0">
              <w:rPr>
                <w:sz w:val="20"/>
                <w:szCs w:val="20"/>
              </w:rPr>
              <w:t xml:space="preserve">               261,152</w:t>
            </w:r>
          </w:p>
        </w:tc>
      </w:tr>
      <w:tr w14:paraId="28F586D2" w14:textId="77777777" w:rsidTr="008F7462">
        <w:tblPrEx>
          <w:tblW w:w="9630" w:type="dxa"/>
          <w:tblInd w:w="-5" w:type="dxa"/>
          <w:tblLayout w:type="fixed"/>
          <w:tblLook w:val="04A0"/>
        </w:tblPrEx>
        <w:trPr>
          <w:trHeight w:val="390"/>
        </w:trPr>
        <w:tc>
          <w:tcPr>
            <w:tcW w:w="2093" w:type="dxa"/>
            <w:noWrap/>
            <w:hideMark/>
          </w:tcPr>
          <w:p w:rsidR="00455BF0" w:rsidRPr="00455BF0" w:rsidP="00455BF0" w14:paraId="3660525B" w14:textId="469146B1">
            <w:pPr>
              <w:contextualSpacing/>
              <w:rPr>
                <w:sz w:val="20"/>
                <w:szCs w:val="20"/>
              </w:rPr>
            </w:pPr>
            <w:r w:rsidRPr="00455BF0">
              <w:rPr>
                <w:sz w:val="20"/>
                <w:szCs w:val="20"/>
              </w:rPr>
              <w:t>Records for first land-based receiver;</w:t>
            </w:r>
            <w:r w:rsidR="00C36E7F">
              <w:rPr>
                <w:sz w:val="20"/>
                <w:szCs w:val="20"/>
              </w:rPr>
              <w:t xml:space="preserve"> </w:t>
            </w:r>
            <w:r w:rsidRPr="00455BF0">
              <w:rPr>
                <w:sz w:val="20"/>
                <w:szCs w:val="20"/>
              </w:rPr>
              <w:t xml:space="preserve">1.1335 </w:t>
            </w:r>
          </w:p>
        </w:tc>
        <w:tc>
          <w:tcPr>
            <w:tcW w:w="1440" w:type="dxa"/>
            <w:noWrap/>
            <w:hideMark/>
          </w:tcPr>
          <w:p w:rsidR="00455BF0" w:rsidRPr="00455BF0" w:rsidP="00455BF0" w14:paraId="284437B9" w14:textId="77777777">
            <w:pPr>
              <w:contextualSpacing/>
              <w:jc w:val="right"/>
              <w:rPr>
                <w:sz w:val="20"/>
                <w:szCs w:val="20"/>
              </w:rPr>
            </w:pPr>
            <w:r w:rsidRPr="00455BF0">
              <w:rPr>
                <w:sz w:val="20"/>
                <w:szCs w:val="20"/>
              </w:rPr>
              <w:t xml:space="preserve">367 </w:t>
            </w:r>
          </w:p>
        </w:tc>
        <w:tc>
          <w:tcPr>
            <w:tcW w:w="1620" w:type="dxa"/>
            <w:noWrap/>
            <w:hideMark/>
          </w:tcPr>
          <w:p w:rsidR="00455BF0" w:rsidRPr="00455BF0" w:rsidP="00455BF0" w14:paraId="5C1A8A73" w14:textId="77777777">
            <w:pPr>
              <w:contextualSpacing/>
              <w:jc w:val="right"/>
              <w:rPr>
                <w:sz w:val="20"/>
                <w:szCs w:val="20"/>
              </w:rPr>
            </w:pPr>
            <w:r w:rsidRPr="00455BF0">
              <w:rPr>
                <w:sz w:val="20"/>
                <w:szCs w:val="20"/>
              </w:rPr>
              <w:t xml:space="preserve">1,471 </w:t>
            </w:r>
          </w:p>
        </w:tc>
        <w:tc>
          <w:tcPr>
            <w:tcW w:w="1440" w:type="dxa"/>
            <w:noWrap/>
            <w:hideMark/>
          </w:tcPr>
          <w:p w:rsidR="00455BF0" w:rsidRPr="00455BF0" w:rsidP="00455BF0" w14:paraId="013E3A3E" w14:textId="77777777">
            <w:pPr>
              <w:contextualSpacing/>
              <w:jc w:val="right"/>
              <w:rPr>
                <w:sz w:val="20"/>
                <w:szCs w:val="20"/>
              </w:rPr>
            </w:pPr>
            <w:r w:rsidRPr="00455BF0">
              <w:rPr>
                <w:sz w:val="20"/>
                <w:szCs w:val="20"/>
              </w:rPr>
              <w:t>539,857</w:t>
            </w:r>
          </w:p>
        </w:tc>
        <w:tc>
          <w:tcPr>
            <w:tcW w:w="1800" w:type="dxa"/>
            <w:noWrap/>
            <w:hideMark/>
          </w:tcPr>
          <w:p w:rsidR="00455BF0" w:rsidRPr="00455BF0" w:rsidP="00455BF0" w14:paraId="4B4D158B" w14:textId="77777777">
            <w:pPr>
              <w:contextualSpacing/>
              <w:jc w:val="right"/>
              <w:rPr>
                <w:sz w:val="20"/>
                <w:szCs w:val="20"/>
              </w:rPr>
            </w:pPr>
            <w:r w:rsidRPr="00455BF0">
              <w:rPr>
                <w:sz w:val="20"/>
                <w:szCs w:val="20"/>
              </w:rPr>
              <w:t xml:space="preserve">0.03 </w:t>
            </w:r>
          </w:p>
          <w:p w:rsidR="00455BF0" w:rsidRPr="00455BF0" w:rsidP="00455BF0" w14:paraId="6740581A" w14:textId="77777777">
            <w:pPr>
              <w:contextualSpacing/>
              <w:jc w:val="right"/>
              <w:rPr>
                <w:sz w:val="20"/>
                <w:szCs w:val="20"/>
              </w:rPr>
            </w:pPr>
            <w:r w:rsidRPr="00455BF0">
              <w:rPr>
                <w:sz w:val="20"/>
                <w:szCs w:val="20"/>
              </w:rPr>
              <w:t>(2 minutes)</w:t>
            </w:r>
          </w:p>
        </w:tc>
        <w:tc>
          <w:tcPr>
            <w:tcW w:w="1237" w:type="dxa"/>
            <w:noWrap/>
            <w:hideMark/>
          </w:tcPr>
          <w:p w:rsidR="00455BF0" w:rsidRPr="00455BF0" w:rsidP="00455BF0" w14:paraId="2A80C440" w14:textId="77777777">
            <w:pPr>
              <w:contextualSpacing/>
              <w:jc w:val="right"/>
              <w:rPr>
                <w:sz w:val="20"/>
                <w:szCs w:val="20"/>
              </w:rPr>
            </w:pPr>
            <w:r w:rsidRPr="00455BF0">
              <w:rPr>
                <w:sz w:val="20"/>
                <w:szCs w:val="20"/>
              </w:rPr>
              <w:t xml:space="preserve">               16,196</w:t>
            </w:r>
          </w:p>
        </w:tc>
      </w:tr>
      <w:tr w14:paraId="018AC40C" w14:textId="77777777" w:rsidTr="008F7462">
        <w:tblPrEx>
          <w:tblW w:w="9630" w:type="dxa"/>
          <w:tblInd w:w="-5" w:type="dxa"/>
          <w:tblLayout w:type="fixed"/>
          <w:tblLook w:val="04A0"/>
        </w:tblPrEx>
        <w:trPr>
          <w:trHeight w:val="390"/>
        </w:trPr>
        <w:tc>
          <w:tcPr>
            <w:tcW w:w="2093" w:type="dxa"/>
            <w:noWrap/>
            <w:hideMark/>
          </w:tcPr>
          <w:p w:rsidR="00455BF0" w:rsidRPr="00455BF0" w:rsidP="00455BF0" w14:paraId="6E41E946" w14:textId="77777777">
            <w:pPr>
              <w:contextualSpacing/>
              <w:rPr>
                <w:sz w:val="20"/>
                <w:szCs w:val="20"/>
              </w:rPr>
            </w:pPr>
            <w:r w:rsidRPr="00455BF0">
              <w:rPr>
                <w:sz w:val="20"/>
                <w:szCs w:val="20"/>
              </w:rPr>
              <w:t>Records for shipper</w:t>
            </w:r>
            <w:r w:rsidRPr="00455BF0">
              <w:rPr>
                <w:sz w:val="20"/>
                <w:szCs w:val="20"/>
              </w:rPr>
              <w:t xml:space="preserve"> </w:t>
            </w:r>
            <w:r w:rsidRPr="00455BF0">
              <w:rPr>
                <w:sz w:val="20"/>
                <w:szCs w:val="20"/>
              </w:rPr>
              <w:t>and receiver; 1.1340 and 1.1345</w:t>
            </w:r>
          </w:p>
        </w:tc>
        <w:tc>
          <w:tcPr>
            <w:tcW w:w="1440" w:type="dxa"/>
            <w:noWrap/>
            <w:hideMark/>
          </w:tcPr>
          <w:p w:rsidR="00455BF0" w:rsidRPr="00455BF0" w:rsidP="00455BF0" w14:paraId="719F0B1A" w14:textId="77777777">
            <w:pPr>
              <w:contextualSpacing/>
              <w:jc w:val="right"/>
              <w:rPr>
                <w:sz w:val="20"/>
                <w:szCs w:val="20"/>
              </w:rPr>
            </w:pPr>
            <w:r w:rsidRPr="00455BF0">
              <w:rPr>
                <w:sz w:val="20"/>
                <w:szCs w:val="20"/>
              </w:rPr>
              <w:t xml:space="preserve">502,000 </w:t>
            </w:r>
          </w:p>
        </w:tc>
        <w:tc>
          <w:tcPr>
            <w:tcW w:w="1620" w:type="dxa"/>
            <w:noWrap/>
            <w:hideMark/>
          </w:tcPr>
          <w:p w:rsidR="00455BF0" w:rsidRPr="00455BF0" w:rsidP="00455BF0" w14:paraId="7D79DB34" w14:textId="77777777">
            <w:pPr>
              <w:contextualSpacing/>
              <w:jc w:val="right"/>
              <w:rPr>
                <w:sz w:val="20"/>
                <w:szCs w:val="20"/>
              </w:rPr>
            </w:pPr>
            <w:r w:rsidRPr="00455BF0">
              <w:rPr>
                <w:sz w:val="20"/>
                <w:szCs w:val="20"/>
              </w:rPr>
              <w:t xml:space="preserve">5,900 </w:t>
            </w:r>
          </w:p>
        </w:tc>
        <w:tc>
          <w:tcPr>
            <w:tcW w:w="1440" w:type="dxa"/>
            <w:noWrap/>
            <w:hideMark/>
          </w:tcPr>
          <w:p w:rsidR="00455BF0" w:rsidRPr="00455BF0" w:rsidP="00455BF0" w14:paraId="46DB5659" w14:textId="77777777">
            <w:pPr>
              <w:contextualSpacing/>
              <w:jc w:val="right"/>
              <w:rPr>
                <w:sz w:val="20"/>
                <w:szCs w:val="20"/>
              </w:rPr>
            </w:pPr>
            <w:r w:rsidRPr="00455BF0">
              <w:rPr>
                <w:sz w:val="20"/>
                <w:szCs w:val="20"/>
              </w:rPr>
              <w:t>2,961,800,000</w:t>
            </w:r>
          </w:p>
        </w:tc>
        <w:tc>
          <w:tcPr>
            <w:tcW w:w="1800" w:type="dxa"/>
            <w:noWrap/>
            <w:hideMark/>
          </w:tcPr>
          <w:p w:rsidR="00455BF0" w:rsidRPr="00455BF0" w:rsidP="00455BF0" w14:paraId="678C62EE" w14:textId="77777777">
            <w:pPr>
              <w:contextualSpacing/>
              <w:jc w:val="right"/>
              <w:rPr>
                <w:sz w:val="20"/>
                <w:szCs w:val="20"/>
              </w:rPr>
            </w:pPr>
            <w:r w:rsidRPr="00455BF0">
              <w:rPr>
                <w:sz w:val="20"/>
                <w:szCs w:val="20"/>
              </w:rPr>
              <w:t xml:space="preserve">0.006 </w:t>
            </w:r>
          </w:p>
          <w:p w:rsidR="00455BF0" w:rsidRPr="00455BF0" w:rsidP="00455BF0" w14:paraId="0FBC330F" w14:textId="77777777">
            <w:pPr>
              <w:contextualSpacing/>
              <w:jc w:val="right"/>
              <w:rPr>
                <w:sz w:val="20"/>
                <w:szCs w:val="20"/>
              </w:rPr>
            </w:pPr>
            <w:r w:rsidRPr="00455BF0">
              <w:rPr>
                <w:sz w:val="20"/>
                <w:szCs w:val="20"/>
              </w:rPr>
              <w:t>(20 seconds)</w:t>
            </w:r>
          </w:p>
        </w:tc>
        <w:tc>
          <w:tcPr>
            <w:tcW w:w="1237" w:type="dxa"/>
            <w:noWrap/>
            <w:hideMark/>
          </w:tcPr>
          <w:p w:rsidR="00455BF0" w:rsidRPr="00455BF0" w:rsidP="00455BF0" w14:paraId="41FF7DD2" w14:textId="77777777">
            <w:pPr>
              <w:contextualSpacing/>
              <w:jc w:val="right"/>
              <w:rPr>
                <w:sz w:val="20"/>
                <w:szCs w:val="20"/>
              </w:rPr>
            </w:pPr>
            <w:r w:rsidRPr="00455BF0">
              <w:rPr>
                <w:sz w:val="20"/>
                <w:szCs w:val="20"/>
              </w:rPr>
              <w:t xml:space="preserve">              17,770,800</w:t>
            </w:r>
          </w:p>
        </w:tc>
      </w:tr>
      <w:tr w14:paraId="19F41ACF" w14:textId="77777777" w:rsidTr="008F7462">
        <w:tblPrEx>
          <w:tblW w:w="9630" w:type="dxa"/>
          <w:tblInd w:w="-5" w:type="dxa"/>
          <w:tblLayout w:type="fixed"/>
          <w:tblLook w:val="04A0"/>
        </w:tblPrEx>
        <w:trPr>
          <w:trHeight w:val="390"/>
        </w:trPr>
        <w:tc>
          <w:tcPr>
            <w:tcW w:w="2093" w:type="dxa"/>
            <w:noWrap/>
            <w:hideMark/>
          </w:tcPr>
          <w:p w:rsidR="00455BF0" w:rsidRPr="00455BF0" w:rsidP="00455BF0" w14:paraId="438FC345" w14:textId="4E51D170">
            <w:pPr>
              <w:contextualSpacing/>
              <w:rPr>
                <w:sz w:val="20"/>
                <w:szCs w:val="20"/>
              </w:rPr>
            </w:pPr>
            <w:r w:rsidRPr="00455BF0">
              <w:rPr>
                <w:sz w:val="20"/>
                <w:szCs w:val="20"/>
              </w:rPr>
              <w:t>Transformer;</w:t>
            </w:r>
            <w:r w:rsidRPr="00455BF0">
              <w:rPr>
                <w:sz w:val="20"/>
                <w:szCs w:val="20"/>
              </w:rPr>
              <w:t xml:space="preserve"> </w:t>
            </w:r>
            <w:r w:rsidRPr="00455BF0">
              <w:rPr>
                <w:sz w:val="20"/>
                <w:szCs w:val="20"/>
              </w:rPr>
              <w:t xml:space="preserve">1.1350 </w:t>
            </w:r>
          </w:p>
        </w:tc>
        <w:tc>
          <w:tcPr>
            <w:tcW w:w="1440" w:type="dxa"/>
            <w:noWrap/>
            <w:hideMark/>
          </w:tcPr>
          <w:p w:rsidR="00455BF0" w:rsidRPr="00455BF0" w:rsidP="00455BF0" w14:paraId="7D430FC5" w14:textId="77777777">
            <w:pPr>
              <w:contextualSpacing/>
              <w:jc w:val="right"/>
              <w:rPr>
                <w:sz w:val="20"/>
                <w:szCs w:val="20"/>
              </w:rPr>
            </w:pPr>
            <w:r w:rsidRPr="00455BF0">
              <w:rPr>
                <w:sz w:val="20"/>
                <w:szCs w:val="20"/>
              </w:rPr>
              <w:t xml:space="preserve">8,574 </w:t>
            </w:r>
          </w:p>
        </w:tc>
        <w:tc>
          <w:tcPr>
            <w:tcW w:w="1620" w:type="dxa"/>
            <w:noWrap/>
            <w:hideMark/>
          </w:tcPr>
          <w:p w:rsidR="00455BF0" w:rsidRPr="00455BF0" w:rsidP="00455BF0" w14:paraId="10C0FED7" w14:textId="77777777">
            <w:pPr>
              <w:contextualSpacing/>
              <w:jc w:val="right"/>
              <w:rPr>
                <w:sz w:val="20"/>
                <w:szCs w:val="20"/>
              </w:rPr>
            </w:pPr>
            <w:r w:rsidRPr="00455BF0">
              <w:rPr>
                <w:sz w:val="20"/>
                <w:szCs w:val="20"/>
              </w:rPr>
              <w:t xml:space="preserve">1,101 </w:t>
            </w:r>
          </w:p>
        </w:tc>
        <w:tc>
          <w:tcPr>
            <w:tcW w:w="1440" w:type="dxa"/>
            <w:noWrap/>
            <w:hideMark/>
          </w:tcPr>
          <w:p w:rsidR="00455BF0" w:rsidRPr="00455BF0" w:rsidP="00455BF0" w14:paraId="56FD44C3" w14:textId="77777777">
            <w:pPr>
              <w:contextualSpacing/>
              <w:jc w:val="right"/>
              <w:rPr>
                <w:sz w:val="20"/>
                <w:szCs w:val="20"/>
              </w:rPr>
            </w:pPr>
            <w:r w:rsidRPr="00455BF0">
              <w:rPr>
                <w:sz w:val="20"/>
                <w:szCs w:val="20"/>
              </w:rPr>
              <w:t xml:space="preserve">9,439,974 </w:t>
            </w:r>
          </w:p>
        </w:tc>
        <w:tc>
          <w:tcPr>
            <w:tcW w:w="1800" w:type="dxa"/>
            <w:noWrap/>
            <w:hideMark/>
          </w:tcPr>
          <w:p w:rsidR="00455BF0" w:rsidRPr="00455BF0" w:rsidP="00455BF0" w14:paraId="4D43D1B1" w14:textId="77777777">
            <w:pPr>
              <w:contextualSpacing/>
              <w:jc w:val="right"/>
              <w:rPr>
                <w:sz w:val="20"/>
                <w:szCs w:val="20"/>
              </w:rPr>
            </w:pPr>
            <w:r w:rsidRPr="00455BF0">
              <w:rPr>
                <w:sz w:val="20"/>
                <w:szCs w:val="20"/>
              </w:rPr>
              <w:t xml:space="preserve">0.03 </w:t>
            </w:r>
          </w:p>
          <w:p w:rsidR="00455BF0" w:rsidRPr="00455BF0" w:rsidP="00455BF0" w14:paraId="3DD05FDF" w14:textId="77777777">
            <w:pPr>
              <w:contextualSpacing/>
              <w:jc w:val="right"/>
              <w:rPr>
                <w:sz w:val="20"/>
                <w:szCs w:val="20"/>
              </w:rPr>
            </w:pPr>
            <w:r w:rsidRPr="00455BF0">
              <w:rPr>
                <w:sz w:val="20"/>
                <w:szCs w:val="20"/>
              </w:rPr>
              <w:t>(2 minutes)</w:t>
            </w:r>
          </w:p>
        </w:tc>
        <w:tc>
          <w:tcPr>
            <w:tcW w:w="1237" w:type="dxa"/>
            <w:noWrap/>
            <w:hideMark/>
          </w:tcPr>
          <w:p w:rsidR="00455BF0" w:rsidRPr="00455BF0" w:rsidP="00455BF0" w14:paraId="7DFACF6A" w14:textId="77777777">
            <w:pPr>
              <w:contextualSpacing/>
              <w:jc w:val="right"/>
              <w:rPr>
                <w:sz w:val="20"/>
                <w:szCs w:val="20"/>
              </w:rPr>
            </w:pPr>
            <w:r w:rsidRPr="00455BF0">
              <w:rPr>
                <w:sz w:val="20"/>
                <w:szCs w:val="20"/>
              </w:rPr>
              <w:t xml:space="preserve">              283,199</w:t>
            </w:r>
          </w:p>
        </w:tc>
      </w:tr>
      <w:tr w14:paraId="3D341E77" w14:textId="77777777" w:rsidTr="008F7462">
        <w:tblPrEx>
          <w:tblW w:w="9630" w:type="dxa"/>
          <w:tblInd w:w="-5" w:type="dxa"/>
          <w:tblLayout w:type="fixed"/>
          <w:tblLook w:val="04A0"/>
        </w:tblPrEx>
        <w:trPr>
          <w:trHeight w:val="290"/>
        </w:trPr>
        <w:tc>
          <w:tcPr>
            <w:tcW w:w="2093" w:type="dxa"/>
            <w:noWrap/>
            <w:hideMark/>
          </w:tcPr>
          <w:p w:rsidR="00455BF0" w:rsidRPr="00455BF0" w:rsidP="00455BF0" w14:paraId="44B53012" w14:textId="77777777">
            <w:pPr>
              <w:contextualSpacing/>
              <w:rPr>
                <w:sz w:val="20"/>
                <w:szCs w:val="20"/>
              </w:rPr>
            </w:pPr>
            <w:r w:rsidRPr="00455BF0">
              <w:rPr>
                <w:sz w:val="20"/>
                <w:szCs w:val="20"/>
              </w:rPr>
              <w:t>Total</w:t>
            </w:r>
          </w:p>
        </w:tc>
        <w:tc>
          <w:tcPr>
            <w:tcW w:w="1440" w:type="dxa"/>
            <w:noWrap/>
            <w:hideMark/>
          </w:tcPr>
          <w:p w:rsidR="00455BF0" w:rsidRPr="00455BF0" w:rsidP="00455BF0" w14:paraId="7601F734" w14:textId="77777777">
            <w:pPr>
              <w:contextualSpacing/>
              <w:jc w:val="right"/>
              <w:rPr>
                <w:sz w:val="20"/>
                <w:szCs w:val="20"/>
              </w:rPr>
            </w:pPr>
            <w:r w:rsidRPr="00455BF0">
              <w:rPr>
                <w:sz w:val="20"/>
                <w:szCs w:val="20"/>
              </w:rPr>
              <w:fldChar w:fldCharType="begin"/>
            </w:r>
            <w:r w:rsidRPr="00455BF0">
              <w:rPr>
                <w:sz w:val="20"/>
                <w:szCs w:val="20"/>
              </w:rPr>
              <w:instrText xml:space="preserve"> =SUM(ABOVE) </w:instrText>
            </w:r>
            <w:r w:rsidRPr="00455BF0">
              <w:rPr>
                <w:sz w:val="20"/>
                <w:szCs w:val="20"/>
              </w:rPr>
              <w:fldChar w:fldCharType="separate"/>
            </w:r>
            <w:r w:rsidRPr="00455BF0">
              <w:rPr>
                <w:noProof/>
                <w:sz w:val="20"/>
                <w:szCs w:val="20"/>
              </w:rPr>
              <w:t xml:space="preserve">    </w:t>
            </w:r>
            <w:r w:rsidRPr="00455BF0">
              <w:rPr>
                <w:sz w:val="20"/>
                <w:szCs w:val="20"/>
              </w:rPr>
              <w:fldChar w:fldCharType="end"/>
            </w:r>
          </w:p>
        </w:tc>
        <w:tc>
          <w:tcPr>
            <w:tcW w:w="1620" w:type="dxa"/>
            <w:noWrap/>
            <w:hideMark/>
          </w:tcPr>
          <w:p w:rsidR="00455BF0" w:rsidRPr="00455BF0" w:rsidP="00455BF0" w14:paraId="44758FD5" w14:textId="77777777">
            <w:pPr>
              <w:contextualSpacing/>
              <w:jc w:val="right"/>
              <w:rPr>
                <w:sz w:val="20"/>
                <w:szCs w:val="20"/>
              </w:rPr>
            </w:pPr>
            <w:r w:rsidRPr="00455BF0">
              <w:rPr>
                <w:sz w:val="20"/>
                <w:szCs w:val="20"/>
              </w:rPr>
              <w:t> </w:t>
            </w:r>
          </w:p>
        </w:tc>
        <w:tc>
          <w:tcPr>
            <w:tcW w:w="1440" w:type="dxa"/>
            <w:noWrap/>
          </w:tcPr>
          <w:p w:rsidR="00455BF0" w:rsidRPr="00455BF0" w:rsidP="00455BF0" w14:paraId="6D1BC7A7" w14:textId="77777777">
            <w:pPr>
              <w:contextualSpacing/>
              <w:jc w:val="right"/>
              <w:rPr>
                <w:sz w:val="20"/>
                <w:szCs w:val="20"/>
              </w:rPr>
            </w:pPr>
            <w:r w:rsidRPr="00455BF0">
              <w:rPr>
                <w:sz w:val="20"/>
                <w:szCs w:val="20"/>
              </w:rPr>
              <w:t>2,981,605,187</w:t>
            </w:r>
          </w:p>
        </w:tc>
        <w:tc>
          <w:tcPr>
            <w:tcW w:w="1800" w:type="dxa"/>
            <w:noWrap/>
            <w:hideMark/>
          </w:tcPr>
          <w:p w:rsidR="00455BF0" w:rsidRPr="00455BF0" w:rsidP="00455BF0" w14:paraId="5DC7335F" w14:textId="77777777">
            <w:pPr>
              <w:contextualSpacing/>
              <w:jc w:val="right"/>
              <w:rPr>
                <w:sz w:val="20"/>
                <w:szCs w:val="20"/>
              </w:rPr>
            </w:pPr>
            <w:r w:rsidRPr="00455BF0">
              <w:rPr>
                <w:sz w:val="20"/>
                <w:szCs w:val="20"/>
              </w:rPr>
              <w:t> </w:t>
            </w:r>
          </w:p>
        </w:tc>
        <w:tc>
          <w:tcPr>
            <w:tcW w:w="1237" w:type="dxa"/>
            <w:noWrap/>
            <w:hideMark/>
          </w:tcPr>
          <w:p w:rsidR="00455BF0" w:rsidRPr="00455BF0" w:rsidP="00455BF0" w14:paraId="3E0ABE52" w14:textId="77777777">
            <w:pPr>
              <w:jc w:val="right"/>
              <w:rPr>
                <w:sz w:val="20"/>
                <w:szCs w:val="20"/>
              </w:rPr>
            </w:pPr>
            <w:r w:rsidRPr="00455BF0">
              <w:rPr>
                <w:sz w:val="20"/>
                <w:szCs w:val="20"/>
              </w:rPr>
              <w:t> </w:t>
            </w:r>
            <w:r w:rsidRPr="00455BF0">
              <w:rPr>
                <w:color w:val="000000"/>
                <w:sz w:val="20"/>
                <w:szCs w:val="20"/>
              </w:rPr>
              <w:t>23,071,935</w:t>
            </w:r>
          </w:p>
        </w:tc>
      </w:tr>
    </w:tbl>
    <w:p w:rsidR="00455BF0" w:rsidRPr="00873EE7" w:rsidP="00455BF0" w14:paraId="13818A6F" w14:textId="77777777">
      <w:pPr>
        <w:contextualSpacing/>
        <w:rPr>
          <w:rFonts w:eastAsia="Calibri"/>
          <w:bCs/>
          <w:sz w:val="20"/>
          <w:szCs w:val="20"/>
        </w:rPr>
      </w:pPr>
      <w:r w:rsidRPr="00873EE7">
        <w:rPr>
          <w:rFonts w:eastAsia="Calibri"/>
          <w:sz w:val="20"/>
          <w:szCs w:val="20"/>
          <w:vertAlign w:val="superscript"/>
        </w:rPr>
        <w:t>1</w:t>
      </w:r>
      <w:r w:rsidRPr="00873EE7">
        <w:rPr>
          <w:rFonts w:eastAsia="Calibri"/>
          <w:sz w:val="20"/>
          <w:szCs w:val="20"/>
        </w:rPr>
        <w:t xml:space="preserve"> </w:t>
      </w:r>
      <w:r w:rsidRPr="008F7462">
        <w:rPr>
          <w:rFonts w:eastAsia="Calibri"/>
          <w:sz w:val="20"/>
          <w:szCs w:val="20"/>
        </w:rPr>
        <w:t>There are no capital costs or operating and maintenance costs associated with this collection of information.</w:t>
      </w:r>
      <w:r w:rsidRPr="00873EE7">
        <w:rPr>
          <w:rFonts w:eastAsia="Calibri"/>
          <w:sz w:val="20"/>
          <w:szCs w:val="20"/>
        </w:rPr>
        <w:t xml:space="preserve"> </w:t>
      </w:r>
    </w:p>
    <w:p w:rsidR="00857F7F" w:rsidRPr="00857F7F" w:rsidP="00857F7F" w14:paraId="6BA8779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u w:val="single"/>
          <w:vertAlign w:val="superscript"/>
          <w:lang w:bidi="he-IL"/>
        </w:rPr>
      </w:pPr>
    </w:p>
    <w:p w:rsidR="00455BF0" w:rsidP="00DC371B" w14:paraId="39002589" w14:textId="77777777">
      <w:pPr>
        <w:spacing w:after="200"/>
        <w:ind w:left="360"/>
        <w:rPr>
          <w:szCs w:val="20"/>
        </w:rPr>
      </w:pPr>
      <w:bookmarkStart w:id="2" w:name="_Hlk192246519"/>
      <w:r w:rsidRPr="00455BF0">
        <w:rPr>
          <w:bCs/>
          <w:lang w:bidi="he-IL"/>
        </w:rPr>
        <w:t xml:space="preserve">The revised estimated annual burden reflects updates to the consideration of burden.  We believe that the burden for part 1, subpart J was inadvertently omitted from the previous approval, so we are adding it here.  However, we believe some of the considerations for burden should have been incorporated with PRA activities instead of being considered independently.  Lastly, considerations of burden for §§ 1.1465(a) and 1.1455(c)(3)(ii) do not apply to the PRA so we have removed this burden.  Section 1.1465(a) is a general solicitation for comment, which is not considered “information” under the PRA regulations (5 CFR 1320.3(h)(4)).  Activities under § 1.1455(c)(3)(ii) </w:t>
      </w:r>
      <w:r w:rsidRPr="00455BF0">
        <w:rPr>
          <w:bCs/>
          <w:lang w:bidi="he-IL"/>
        </w:rPr>
        <w:t>applies</w:t>
      </w:r>
      <w:r w:rsidRPr="00455BF0">
        <w:rPr>
          <w:bCs/>
          <w:lang w:bidi="he-IL"/>
        </w:rPr>
        <w:t xml:space="preserve"> to an investigation, audit, or action after a case file is opened for a specific party, which is exempt from OMB review as discussed earlier in this document (5 CFR 1320.4(a)(2)).</w:t>
      </w:r>
      <w:bookmarkStart w:id="3" w:name="_Hlk192691589"/>
      <w:bookmarkEnd w:id="2"/>
      <w:r w:rsidRPr="00857F7F" w:rsidR="00857F7F">
        <w:rPr>
          <w:szCs w:val="20"/>
        </w:rPr>
        <w:t xml:space="preserve">  </w:t>
      </w:r>
      <w:bookmarkEnd w:id="3"/>
    </w:p>
    <w:p w:rsidR="00147474" w:rsidP="008F7462" w14:paraId="3F957BD8" w14:textId="2969588B">
      <w:pPr>
        <w:spacing w:after="200"/>
        <w:ind w:left="360"/>
        <w:rPr>
          <w:rFonts w:eastAsia="Calibri"/>
        </w:rPr>
      </w:pPr>
      <w:r w:rsidRPr="005C71CA">
        <w:rPr>
          <w:rFonts w:eastAsia="Calibri"/>
        </w:rPr>
        <w:t>12b. Annualized Cost Burden Estimate</w:t>
      </w:r>
    </w:p>
    <w:p w:rsidR="00147474" w:rsidP="00220A2A" w14:paraId="64BCF145" w14:textId="3314BC74">
      <w:pPr>
        <w:ind w:left="360"/>
        <w:rPr>
          <w:bCs/>
        </w:rPr>
      </w:pPr>
      <w:r w:rsidRPr="00807BA0">
        <w:t>The annual hour cost burden to re</w:t>
      </w:r>
      <w:r w:rsidR="00003797">
        <w:t>spondents</w:t>
      </w:r>
      <w:r w:rsidRPr="00807BA0">
        <w:t xml:space="preserve"> is $</w:t>
      </w:r>
      <w:r w:rsidR="008D5EFA">
        <w:t>1,030,401,549.10</w:t>
      </w:r>
      <w:r w:rsidRPr="00807BA0">
        <w:t xml:space="preserve"> per year.  </w:t>
      </w:r>
      <w:r w:rsidRPr="00807BA0">
        <w:rPr>
          <w:bCs/>
        </w:rPr>
        <w:t xml:space="preserve">We estimate that the average hourly wage for the employee maintaining records would be equivalent to a </w:t>
      </w:r>
      <w:r w:rsidRPr="00807BA0">
        <w:rPr>
          <w:color w:val="000000"/>
        </w:rPr>
        <w:t xml:space="preserve">GS-5/Step-1 </w:t>
      </w:r>
      <w:r w:rsidRPr="00807BA0">
        <w:rPr>
          <w:bCs/>
        </w:rPr>
        <w:t xml:space="preserve">level in the </w:t>
      </w:r>
      <w:r w:rsidRPr="00807BA0">
        <w:rPr>
          <w:bCs/>
        </w:rPr>
        <w:t>locality</w:t>
      </w:r>
      <w:r w:rsidRPr="00807BA0">
        <w:rPr>
          <w:bCs/>
        </w:rPr>
        <w:t xml:space="preserve"> pay area of Washington-Baltimore in 20</w:t>
      </w:r>
      <w:r>
        <w:rPr>
          <w:bCs/>
        </w:rPr>
        <w:t>2</w:t>
      </w:r>
      <w:r w:rsidR="00455BF0">
        <w:rPr>
          <w:bCs/>
        </w:rPr>
        <w:t>6</w:t>
      </w:r>
      <w:r w:rsidRPr="00807BA0">
        <w:rPr>
          <w:bCs/>
        </w:rPr>
        <w:t>, approximately $</w:t>
      </w:r>
      <w:r w:rsidR="007C088D">
        <w:rPr>
          <w:bCs/>
        </w:rPr>
        <w:t>22.</w:t>
      </w:r>
      <w:r w:rsidR="00CB0E2F">
        <w:rPr>
          <w:bCs/>
        </w:rPr>
        <w:t>33</w:t>
      </w:r>
      <w:r w:rsidRPr="00807BA0">
        <w:rPr>
          <w:bCs/>
        </w:rPr>
        <w:t xml:space="preserve">/hour.  </w:t>
      </w:r>
      <w:r w:rsidR="00F57C6B">
        <w:rPr>
          <w:bCs/>
        </w:rPr>
        <w:t>T</w:t>
      </w:r>
      <w:r w:rsidRPr="00807BA0">
        <w:rPr>
          <w:bCs/>
        </w:rPr>
        <w:t xml:space="preserve">o account for overhead costs, we </w:t>
      </w:r>
      <w:r>
        <w:rPr>
          <w:bCs/>
        </w:rPr>
        <w:t xml:space="preserve">double </w:t>
      </w:r>
      <w:r w:rsidR="00531107">
        <w:rPr>
          <w:bCs/>
        </w:rPr>
        <w:t>this wage to</w:t>
      </w:r>
      <w:r w:rsidRPr="00807BA0">
        <w:rPr>
          <w:bCs/>
        </w:rPr>
        <w:t xml:space="preserve"> $</w:t>
      </w:r>
      <w:r w:rsidR="007C088D">
        <w:rPr>
          <w:bCs/>
        </w:rPr>
        <w:t>44.</w:t>
      </w:r>
      <w:r w:rsidR="00CB0E2F">
        <w:rPr>
          <w:bCs/>
        </w:rPr>
        <w:t>66</w:t>
      </w:r>
      <w:r w:rsidRPr="00807BA0">
        <w:rPr>
          <w:bCs/>
        </w:rPr>
        <w:t xml:space="preserve">/hour.  Thus, the overall estimated cost incurred by </w:t>
      </w:r>
      <w:r w:rsidRPr="000F3FC9" w:rsidR="000F3FC9">
        <w:rPr>
          <w:bCs/>
        </w:rPr>
        <w:t>respondents</w:t>
      </w:r>
      <w:r w:rsidRPr="00807BA0">
        <w:rPr>
          <w:bCs/>
        </w:rPr>
        <w:t xml:space="preserve"> is $</w:t>
      </w:r>
      <w:r w:rsidR="008D5EFA">
        <w:rPr>
          <w:bCs/>
        </w:rPr>
        <w:t>1,030,401,549.10</w:t>
      </w:r>
      <w:r w:rsidRPr="00807BA0">
        <w:rPr>
          <w:bCs/>
        </w:rPr>
        <w:t xml:space="preserve"> (</w:t>
      </w:r>
      <w:r w:rsidRPr="00CB0E2F" w:rsidR="00CB0E2F">
        <w:rPr>
          <w:bCs/>
        </w:rPr>
        <w:t>23,07</w:t>
      </w:r>
      <w:r w:rsidR="002868A6">
        <w:rPr>
          <w:bCs/>
        </w:rPr>
        <w:t>2</w:t>
      </w:r>
      <w:r w:rsidRPr="00CB0E2F" w:rsidR="00CB0E2F">
        <w:rPr>
          <w:bCs/>
        </w:rPr>
        <w:t>,</w:t>
      </w:r>
      <w:r w:rsidR="002868A6">
        <w:rPr>
          <w:bCs/>
        </w:rPr>
        <w:t>1</w:t>
      </w:r>
      <w:r w:rsidRPr="00CB0E2F" w:rsidR="00CB0E2F">
        <w:rPr>
          <w:bCs/>
        </w:rPr>
        <w:t>35</w:t>
      </w:r>
      <w:r w:rsidR="00C97F34">
        <w:rPr>
          <w:bCs/>
        </w:rPr>
        <w:t xml:space="preserve"> </w:t>
      </w:r>
      <w:r w:rsidRPr="00807BA0">
        <w:rPr>
          <w:bCs/>
        </w:rPr>
        <w:t xml:space="preserve">burden hours </w:t>
      </w:r>
      <w:r w:rsidRPr="006449A0" w:rsidR="006449A0">
        <w:rPr>
          <w:bCs/>
        </w:rPr>
        <w:t>×</w:t>
      </w:r>
      <w:r w:rsidRPr="00807BA0">
        <w:rPr>
          <w:bCs/>
        </w:rPr>
        <w:t xml:space="preserve"> $</w:t>
      </w:r>
      <w:r w:rsidR="00CB0E2F">
        <w:rPr>
          <w:bCs/>
        </w:rPr>
        <w:t>44.66</w:t>
      </w:r>
      <w:r w:rsidRPr="00807BA0">
        <w:rPr>
          <w:bCs/>
        </w:rPr>
        <w:t>/</w:t>
      </w:r>
      <w:r w:rsidRPr="00807BA0">
        <w:rPr>
          <w:bCs/>
        </w:rPr>
        <w:t>hr</w:t>
      </w:r>
      <w:r w:rsidRPr="00807BA0">
        <w:rPr>
          <w:bCs/>
        </w:rPr>
        <w:t>).</w:t>
      </w:r>
    </w:p>
    <w:p w:rsidR="00147474" w:rsidP="00147474" w14:paraId="3F80E22C" w14:textId="77777777"/>
    <w:p w:rsidR="00147474" w:rsidRPr="008F7462" w:rsidP="00147474" w14:paraId="4E71805C" w14:textId="3D8E8D13">
      <w:pPr>
        <w:pStyle w:val="BodyText2"/>
        <w:ind w:left="720"/>
        <w:jc w:val="center"/>
        <w:rPr>
          <w:sz w:val="20"/>
        </w:rPr>
      </w:pPr>
      <w:bookmarkStart w:id="4" w:name="_Hlk228273262"/>
      <w:r w:rsidRPr="008F7462">
        <w:rPr>
          <w:sz w:val="20"/>
        </w:rPr>
        <w:t xml:space="preserve">Table </w:t>
      </w:r>
      <w:r w:rsidRPr="008F7462" w:rsidR="004B6C4A">
        <w:rPr>
          <w:sz w:val="20"/>
        </w:rPr>
        <w:t>3.--</w:t>
      </w:r>
      <w:r w:rsidRPr="008F7462">
        <w:rPr>
          <w:sz w:val="20"/>
        </w:rPr>
        <w:t xml:space="preserve">Estimated </w:t>
      </w:r>
      <w:bookmarkEnd w:id="4"/>
      <w:r w:rsidRPr="008F7462">
        <w:rPr>
          <w:sz w:val="20"/>
        </w:rPr>
        <w:t>Annual Cost Burden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1980"/>
        <w:gridCol w:w="1980"/>
        <w:gridCol w:w="2160"/>
      </w:tblGrid>
      <w:tr w14:paraId="36755EA9" w14:textId="77777777" w:rsidTr="009166FE">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2"/>
        </w:trPr>
        <w:tc>
          <w:tcPr>
            <w:tcW w:w="2790" w:type="dxa"/>
            <w:shd w:val="clear" w:color="auto" w:fill="auto"/>
          </w:tcPr>
          <w:p w:rsidR="00147474" w:rsidRPr="00BC3EC3" w:rsidP="009166FE" w14:paraId="7356231C" w14:textId="77777777">
            <w:pPr>
              <w:rPr>
                <w:sz w:val="20"/>
                <w:szCs w:val="20"/>
              </w:rPr>
            </w:pPr>
            <w:r w:rsidRPr="00BC3EC3">
              <w:rPr>
                <w:sz w:val="20"/>
                <w:szCs w:val="20"/>
              </w:rPr>
              <w:t>Activity</w:t>
            </w:r>
          </w:p>
        </w:tc>
        <w:tc>
          <w:tcPr>
            <w:tcW w:w="1980" w:type="dxa"/>
            <w:shd w:val="clear" w:color="auto" w:fill="auto"/>
          </w:tcPr>
          <w:p w:rsidR="00147474" w:rsidRPr="00BC3EC3" w:rsidP="009166FE" w14:paraId="4A8DD345" w14:textId="77777777">
            <w:pPr>
              <w:jc w:val="center"/>
              <w:rPr>
                <w:sz w:val="20"/>
                <w:szCs w:val="20"/>
              </w:rPr>
            </w:pPr>
            <w:r w:rsidRPr="00BC3EC3">
              <w:rPr>
                <w:sz w:val="20"/>
                <w:szCs w:val="20"/>
              </w:rPr>
              <w:t>Total Burden Hours</w:t>
            </w:r>
          </w:p>
        </w:tc>
        <w:tc>
          <w:tcPr>
            <w:tcW w:w="1980" w:type="dxa"/>
            <w:shd w:val="clear" w:color="auto" w:fill="auto"/>
          </w:tcPr>
          <w:p w:rsidR="00147474" w:rsidRPr="00BC3EC3" w:rsidP="009166FE" w14:paraId="3DEEDFB3" w14:textId="77777777">
            <w:pPr>
              <w:jc w:val="center"/>
              <w:rPr>
                <w:sz w:val="20"/>
                <w:szCs w:val="20"/>
              </w:rPr>
            </w:pPr>
            <w:r w:rsidRPr="00BC3EC3">
              <w:rPr>
                <w:sz w:val="20"/>
                <w:szCs w:val="20"/>
              </w:rPr>
              <w:t>Hourly Wage Rate</w:t>
            </w:r>
          </w:p>
        </w:tc>
        <w:tc>
          <w:tcPr>
            <w:tcW w:w="2160" w:type="dxa"/>
            <w:shd w:val="clear" w:color="auto" w:fill="auto"/>
          </w:tcPr>
          <w:p w:rsidR="00147474" w:rsidRPr="00BC3EC3" w:rsidP="009166FE" w14:paraId="1008A382" w14:textId="77777777">
            <w:pPr>
              <w:jc w:val="center"/>
              <w:rPr>
                <w:sz w:val="20"/>
                <w:szCs w:val="20"/>
              </w:rPr>
            </w:pPr>
            <w:r w:rsidRPr="00BC3EC3">
              <w:rPr>
                <w:sz w:val="20"/>
                <w:szCs w:val="20"/>
              </w:rPr>
              <w:t>Total Respondent Costs</w:t>
            </w:r>
          </w:p>
        </w:tc>
      </w:tr>
      <w:tr w14:paraId="3D86BB71" w14:textId="77777777" w:rsidTr="009166FE">
        <w:tblPrEx>
          <w:tblW w:w="0" w:type="auto"/>
          <w:tblInd w:w="198" w:type="dxa"/>
          <w:tblLook w:val="01E0"/>
        </w:tblPrEx>
        <w:tc>
          <w:tcPr>
            <w:tcW w:w="2790" w:type="dxa"/>
            <w:shd w:val="clear" w:color="auto" w:fill="auto"/>
          </w:tcPr>
          <w:p w:rsidR="00147474" w:rsidRPr="00BC3EC3" w:rsidP="009166FE" w14:paraId="4FBD4838" w14:textId="58244A43">
            <w:pPr>
              <w:rPr>
                <w:sz w:val="20"/>
                <w:szCs w:val="20"/>
              </w:rPr>
            </w:pPr>
            <w:r>
              <w:rPr>
                <w:sz w:val="20"/>
                <w:szCs w:val="20"/>
              </w:rPr>
              <w:t>Reporting</w:t>
            </w:r>
          </w:p>
        </w:tc>
        <w:tc>
          <w:tcPr>
            <w:tcW w:w="1980" w:type="dxa"/>
            <w:shd w:val="clear" w:color="auto" w:fill="auto"/>
          </w:tcPr>
          <w:p w:rsidR="00147474" w:rsidRPr="00BC3EC3" w:rsidP="009166FE" w14:paraId="2B88697B" w14:textId="77777777">
            <w:pPr>
              <w:jc w:val="right"/>
              <w:rPr>
                <w:sz w:val="20"/>
                <w:szCs w:val="20"/>
              </w:rPr>
            </w:pPr>
            <w:r>
              <w:rPr>
                <w:sz w:val="20"/>
                <w:szCs w:val="20"/>
              </w:rPr>
              <w:t>20</w:t>
            </w:r>
            <w:r w:rsidR="00455BF0">
              <w:rPr>
                <w:sz w:val="20"/>
                <w:szCs w:val="20"/>
              </w:rPr>
              <w:t>0</w:t>
            </w:r>
          </w:p>
        </w:tc>
        <w:tc>
          <w:tcPr>
            <w:tcW w:w="1980" w:type="dxa"/>
            <w:shd w:val="clear" w:color="auto" w:fill="auto"/>
          </w:tcPr>
          <w:p w:rsidR="00147474" w:rsidRPr="00BC3EC3" w:rsidP="009166FE" w14:paraId="2B43650F" w14:textId="77777777">
            <w:pPr>
              <w:jc w:val="right"/>
              <w:rPr>
                <w:sz w:val="20"/>
                <w:szCs w:val="20"/>
              </w:rPr>
            </w:pPr>
            <w:r w:rsidRPr="00BC3EC3">
              <w:rPr>
                <w:sz w:val="20"/>
                <w:szCs w:val="20"/>
              </w:rPr>
              <w:t>$</w:t>
            </w:r>
            <w:r w:rsidR="007C088D">
              <w:rPr>
                <w:sz w:val="20"/>
                <w:szCs w:val="20"/>
              </w:rPr>
              <w:t>44.</w:t>
            </w:r>
            <w:r w:rsidR="00CB0E2F">
              <w:rPr>
                <w:sz w:val="20"/>
                <w:szCs w:val="20"/>
              </w:rPr>
              <w:t>66</w:t>
            </w:r>
          </w:p>
        </w:tc>
        <w:tc>
          <w:tcPr>
            <w:tcW w:w="2160" w:type="dxa"/>
            <w:shd w:val="clear" w:color="auto" w:fill="auto"/>
          </w:tcPr>
          <w:p w:rsidR="00147474" w:rsidRPr="00BC3EC3" w:rsidP="009166FE" w14:paraId="5388ADF7" w14:textId="190E436E">
            <w:pPr>
              <w:jc w:val="right"/>
              <w:rPr>
                <w:sz w:val="20"/>
                <w:szCs w:val="20"/>
              </w:rPr>
            </w:pPr>
            <w:r w:rsidRPr="00BC3EC3">
              <w:rPr>
                <w:sz w:val="20"/>
                <w:szCs w:val="20"/>
              </w:rPr>
              <w:t>$</w:t>
            </w:r>
            <w:r w:rsidR="007C088D">
              <w:rPr>
                <w:sz w:val="20"/>
                <w:szCs w:val="20"/>
              </w:rPr>
              <w:t>8,</w:t>
            </w:r>
            <w:r w:rsidR="008D5EFA">
              <w:rPr>
                <w:sz w:val="20"/>
                <w:szCs w:val="20"/>
              </w:rPr>
              <w:t>932</w:t>
            </w:r>
            <w:r w:rsidR="00DC16C8">
              <w:rPr>
                <w:sz w:val="20"/>
                <w:szCs w:val="20"/>
              </w:rPr>
              <w:t>.00</w:t>
            </w:r>
          </w:p>
        </w:tc>
      </w:tr>
      <w:tr w14:paraId="28E60305" w14:textId="77777777" w:rsidTr="009166FE">
        <w:tblPrEx>
          <w:tblW w:w="0" w:type="auto"/>
          <w:tblInd w:w="198" w:type="dxa"/>
          <w:tblLook w:val="01E0"/>
        </w:tblPrEx>
        <w:tc>
          <w:tcPr>
            <w:tcW w:w="2790" w:type="dxa"/>
            <w:shd w:val="clear" w:color="auto" w:fill="auto"/>
          </w:tcPr>
          <w:p w:rsidR="007C088D" w:rsidRPr="00BC3EC3" w:rsidP="009166FE" w14:paraId="74D1A84D" w14:textId="0341CFC6">
            <w:pPr>
              <w:rPr>
                <w:sz w:val="20"/>
                <w:szCs w:val="20"/>
              </w:rPr>
            </w:pPr>
            <w:r>
              <w:rPr>
                <w:sz w:val="20"/>
                <w:szCs w:val="20"/>
              </w:rPr>
              <w:t>Recordkeeping</w:t>
            </w:r>
          </w:p>
        </w:tc>
        <w:tc>
          <w:tcPr>
            <w:tcW w:w="1980" w:type="dxa"/>
            <w:shd w:val="clear" w:color="auto" w:fill="auto"/>
          </w:tcPr>
          <w:p w:rsidR="007C088D" w:rsidRPr="00BC3EC3" w:rsidP="009166FE" w14:paraId="2A329267" w14:textId="77777777">
            <w:pPr>
              <w:jc w:val="right"/>
              <w:rPr>
                <w:sz w:val="20"/>
                <w:szCs w:val="20"/>
              </w:rPr>
            </w:pPr>
            <w:r w:rsidRPr="00455BF0">
              <w:rPr>
                <w:sz w:val="20"/>
                <w:szCs w:val="20"/>
              </w:rPr>
              <w:t>23,071,935</w:t>
            </w:r>
          </w:p>
        </w:tc>
        <w:tc>
          <w:tcPr>
            <w:tcW w:w="1980" w:type="dxa"/>
            <w:shd w:val="clear" w:color="auto" w:fill="auto"/>
          </w:tcPr>
          <w:p w:rsidR="007C088D" w:rsidRPr="00BC3EC3" w:rsidP="009166FE" w14:paraId="712739C7" w14:textId="678EA7C7">
            <w:pPr>
              <w:jc w:val="right"/>
              <w:rPr>
                <w:sz w:val="20"/>
                <w:szCs w:val="20"/>
              </w:rPr>
            </w:pPr>
            <w:r>
              <w:rPr>
                <w:sz w:val="20"/>
                <w:szCs w:val="20"/>
              </w:rPr>
              <w:t>$</w:t>
            </w:r>
            <w:r>
              <w:rPr>
                <w:sz w:val="20"/>
                <w:szCs w:val="20"/>
              </w:rPr>
              <w:t>44.</w:t>
            </w:r>
            <w:r w:rsidR="00CB0E2F">
              <w:rPr>
                <w:sz w:val="20"/>
                <w:szCs w:val="20"/>
              </w:rPr>
              <w:t>66</w:t>
            </w:r>
          </w:p>
        </w:tc>
        <w:tc>
          <w:tcPr>
            <w:tcW w:w="2160" w:type="dxa"/>
            <w:shd w:val="clear" w:color="auto" w:fill="auto"/>
          </w:tcPr>
          <w:p w:rsidR="007C088D" w:rsidRPr="00BC3EC3" w:rsidP="009166FE" w14:paraId="08E0889F" w14:textId="77777777">
            <w:pPr>
              <w:jc w:val="right"/>
              <w:rPr>
                <w:sz w:val="20"/>
                <w:szCs w:val="20"/>
              </w:rPr>
            </w:pPr>
            <w:r>
              <w:rPr>
                <w:sz w:val="20"/>
                <w:szCs w:val="20"/>
              </w:rPr>
              <w:t>$1,030,392,617.10</w:t>
            </w:r>
          </w:p>
        </w:tc>
      </w:tr>
      <w:tr w14:paraId="378C4553" w14:textId="77777777" w:rsidTr="009166FE">
        <w:tblPrEx>
          <w:tblW w:w="0" w:type="auto"/>
          <w:tblInd w:w="198" w:type="dxa"/>
          <w:tblLook w:val="01E0"/>
        </w:tblPrEx>
        <w:tc>
          <w:tcPr>
            <w:tcW w:w="6750" w:type="dxa"/>
            <w:gridSpan w:val="3"/>
            <w:shd w:val="clear" w:color="auto" w:fill="auto"/>
          </w:tcPr>
          <w:p w:rsidR="00147474" w:rsidRPr="00BC3EC3" w:rsidP="009166FE" w14:paraId="1B0EA6B1" w14:textId="77777777">
            <w:pPr>
              <w:rPr>
                <w:sz w:val="20"/>
                <w:szCs w:val="20"/>
              </w:rPr>
            </w:pPr>
            <w:r w:rsidRPr="00BC3EC3">
              <w:rPr>
                <w:sz w:val="20"/>
                <w:szCs w:val="20"/>
              </w:rPr>
              <w:t>Total</w:t>
            </w:r>
          </w:p>
        </w:tc>
        <w:tc>
          <w:tcPr>
            <w:tcW w:w="2160" w:type="dxa"/>
            <w:shd w:val="clear" w:color="auto" w:fill="auto"/>
          </w:tcPr>
          <w:p w:rsidR="00147474" w:rsidRPr="00BC3EC3" w:rsidP="009166FE" w14:paraId="1C1D9FE8" w14:textId="77777777">
            <w:pPr>
              <w:jc w:val="right"/>
              <w:rPr>
                <w:sz w:val="20"/>
                <w:szCs w:val="20"/>
              </w:rPr>
            </w:pPr>
            <w:r w:rsidRPr="00BC3EC3">
              <w:rPr>
                <w:sz w:val="20"/>
                <w:szCs w:val="20"/>
              </w:rPr>
              <w:t>$</w:t>
            </w:r>
            <w:r w:rsidR="008D5EFA">
              <w:rPr>
                <w:sz w:val="20"/>
                <w:szCs w:val="20"/>
              </w:rPr>
              <w:t>1,030,401,549.10</w:t>
            </w:r>
          </w:p>
        </w:tc>
      </w:tr>
    </w:tbl>
    <w:p w:rsidR="00357C8A" w:rsidRPr="00357C8A" w:rsidP="00357C8A" w14:paraId="1B4C43EB" w14:textId="77777777">
      <w:pPr>
        <w:rPr>
          <w:rFonts w:eastAsia="Calibri"/>
        </w:rPr>
      </w:pPr>
    </w:p>
    <w:p w:rsidR="00357C8A" w:rsidRPr="00357C8A" w:rsidP="006705EA" w14:paraId="57D63BC7"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0A2A" w14:paraId="50C01DFB" w14:textId="77777777">
      <w:pPr>
        <w:spacing w:after="200"/>
        <w:rPr>
          <w:rFonts w:eastAsia="Calibri"/>
          <w:u w:val="single"/>
        </w:rPr>
      </w:pPr>
      <w:r w:rsidRPr="002868A6">
        <w:t xml:space="preserve">There </w:t>
      </w:r>
      <w:r w:rsidRPr="002868A6">
        <w:t>are</w:t>
      </w:r>
      <w:r w:rsidRPr="002868A6">
        <w:t xml:space="preserve"> no capital, start-up, operating, or maintenance costs associated with this collection.</w:t>
      </w:r>
    </w:p>
    <w:p w:rsidR="00357C8A" w:rsidRPr="00357C8A" w:rsidP="006705EA" w14:paraId="754AF41B"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5783AC6A" w14:textId="59500EFF">
      <w:pPr>
        <w:spacing w:after="200"/>
        <w:rPr>
          <w:rFonts w:eastAsia="Calibri"/>
        </w:rPr>
      </w:pPr>
      <w:r w:rsidRPr="00A2634C">
        <w:rPr>
          <w:rFonts w:eastAsia="Calibri"/>
        </w:rPr>
        <w:t xml:space="preserve">Our review of the </w:t>
      </w:r>
      <w:r w:rsidRPr="00A2634C">
        <w:rPr>
          <w:rFonts w:eastAsia="Calibri"/>
        </w:rPr>
        <w:t>retained records</w:t>
      </w:r>
      <w:r w:rsidRPr="00A2634C">
        <w:rPr>
          <w:rFonts w:eastAsia="Calibri"/>
        </w:rPr>
        <w:t xml:space="preserve"> </w:t>
      </w:r>
      <w:r>
        <w:rPr>
          <w:rFonts w:eastAsia="Calibri"/>
        </w:rPr>
        <w:t xml:space="preserve">would </w:t>
      </w:r>
      <w:r w:rsidRPr="00A2634C">
        <w:rPr>
          <w:rFonts w:eastAsia="Calibri"/>
        </w:rPr>
        <w:t>occur as part of inspection activities.  We devote approximately 5 hours per inspection to the inspection of records.  We estimate the cost to the Federal government for the review of records retained by a firm to be $</w:t>
      </w:r>
      <w:r w:rsidR="00220A2A">
        <w:rPr>
          <w:rFonts w:eastAsia="Calibri"/>
        </w:rPr>
        <w:t>577.80</w:t>
      </w:r>
      <w:r w:rsidRPr="00A2634C">
        <w:rPr>
          <w:rFonts w:eastAsia="Calibri"/>
        </w:rPr>
        <w:t xml:space="preserve"> per review.  In this calculation of cost, we estimate the hourly cost for review and evaluation to be $</w:t>
      </w:r>
      <w:r w:rsidR="002868A6">
        <w:rPr>
          <w:rFonts w:eastAsia="Calibri"/>
        </w:rPr>
        <w:t>58.35</w:t>
      </w:r>
      <w:r w:rsidRPr="00A2634C">
        <w:rPr>
          <w:rFonts w:eastAsia="Calibri"/>
        </w:rPr>
        <w:t xml:space="preserve"> per hour, the GS-13/Step-1 rate for the Washington-Baltimore locality pay area </w:t>
      </w:r>
      <w:r w:rsidR="00D717B8">
        <w:rPr>
          <w:rFonts w:eastAsia="Calibri"/>
        </w:rPr>
        <w:t>in</w:t>
      </w:r>
      <w:r w:rsidRPr="00A2634C">
        <w:rPr>
          <w:rFonts w:eastAsia="Calibri"/>
        </w:rPr>
        <w:t xml:space="preserve"> 20</w:t>
      </w:r>
      <w:r>
        <w:rPr>
          <w:rFonts w:eastAsia="Calibri"/>
        </w:rPr>
        <w:t>2</w:t>
      </w:r>
      <w:r w:rsidR="002868A6">
        <w:rPr>
          <w:rFonts w:eastAsia="Calibri"/>
        </w:rPr>
        <w:t>6</w:t>
      </w:r>
      <w:r w:rsidRPr="00A2634C">
        <w:rPr>
          <w:rFonts w:eastAsia="Calibri"/>
        </w:rPr>
        <w:t>.  Five hours multiplied by $</w:t>
      </w:r>
      <w:r w:rsidR="002868A6">
        <w:rPr>
          <w:rFonts w:eastAsia="Calibri"/>
        </w:rPr>
        <w:t>58.35</w:t>
      </w:r>
      <w:r w:rsidRPr="00A2634C">
        <w:rPr>
          <w:rFonts w:eastAsia="Calibri"/>
        </w:rPr>
        <w:t xml:space="preserve"> per hour equals $</w:t>
      </w:r>
      <w:r w:rsidR="002868A6">
        <w:rPr>
          <w:rFonts w:eastAsia="Calibri"/>
        </w:rPr>
        <w:t>291.75</w:t>
      </w:r>
      <w:r w:rsidRPr="00A2634C">
        <w:rPr>
          <w:rFonts w:eastAsia="Calibri"/>
        </w:rPr>
        <w:t>.  To account for overhead, this cost is increased by 100 percent, making the total annualized cost to the Federal government $</w:t>
      </w:r>
      <w:r w:rsidR="002868A6">
        <w:rPr>
          <w:rFonts w:eastAsia="Calibri"/>
        </w:rPr>
        <w:t>583.50</w:t>
      </w:r>
      <w:r w:rsidRPr="00A2634C">
        <w:rPr>
          <w:rFonts w:eastAsia="Calibri"/>
        </w:rPr>
        <w:t xml:space="preserve"> per review.  If we inspected 1,000 firms annually, we estimate that the total annual cost to the Federal government would be $</w:t>
      </w:r>
      <w:r w:rsidR="002868A6">
        <w:rPr>
          <w:rFonts w:eastAsia="Calibri"/>
        </w:rPr>
        <w:t>583</w:t>
      </w:r>
      <w:r w:rsidR="00220A2A">
        <w:rPr>
          <w:rFonts w:eastAsia="Calibri"/>
        </w:rPr>
        <w:t>,</w:t>
      </w:r>
      <w:r w:rsidR="002868A6">
        <w:rPr>
          <w:rFonts w:eastAsia="Calibri"/>
        </w:rPr>
        <w:t>500</w:t>
      </w:r>
      <w:r w:rsidRPr="00A2634C" w:rsidR="002868A6">
        <w:rPr>
          <w:rFonts w:eastAsia="Calibri"/>
        </w:rPr>
        <w:t xml:space="preserve"> </w:t>
      </w:r>
      <w:r w:rsidRPr="00A2634C">
        <w:rPr>
          <w:rFonts w:eastAsia="Calibri"/>
        </w:rPr>
        <w:t>($</w:t>
      </w:r>
      <w:r w:rsidR="002868A6">
        <w:rPr>
          <w:rFonts w:eastAsia="Calibri"/>
        </w:rPr>
        <w:t>583.50</w:t>
      </w:r>
      <w:r w:rsidRPr="00A2634C">
        <w:rPr>
          <w:rFonts w:eastAsia="Calibri"/>
        </w:rPr>
        <w:t xml:space="preserve"> </w:t>
      </w:r>
      <w:r w:rsidR="0043213E">
        <w:rPr>
          <w:rFonts w:eastAsia="Calibri"/>
        </w:rPr>
        <w:t>×</w:t>
      </w:r>
      <w:r w:rsidRPr="00A2634C">
        <w:rPr>
          <w:rFonts w:eastAsia="Calibri"/>
        </w:rPr>
        <w:t xml:space="preserve"> 1,000).</w:t>
      </w:r>
    </w:p>
    <w:p w:rsidR="00357C8A" w:rsidP="006705EA" w14:paraId="717A3B0B" w14:textId="6F5C3B74">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P="00357C8A" w14:paraId="7937FB58" w14:textId="70FECB66">
      <w:pPr>
        <w:spacing w:after="200"/>
        <w:rPr>
          <w:rFonts w:eastAsia="Calibri"/>
        </w:rPr>
      </w:pPr>
      <w:r w:rsidRPr="0093503D">
        <w:rPr>
          <w:rFonts w:eastAsia="Calibri"/>
        </w:rPr>
        <w:t xml:space="preserve">Our estimated burden for the information collection reflects an overall increase of 4,227,299 hours but a corresponding decrease of </w:t>
      </w:r>
      <w:r w:rsidR="003D54AD">
        <w:rPr>
          <w:rFonts w:eastAsia="Calibri"/>
        </w:rPr>
        <w:t>5</w:t>
      </w:r>
      <w:r w:rsidRPr="0093503D">
        <w:rPr>
          <w:rFonts w:eastAsia="Calibri"/>
        </w:rPr>
        <w:t>,</w:t>
      </w:r>
      <w:r w:rsidR="00BC2966">
        <w:rPr>
          <w:rFonts w:eastAsia="Calibri"/>
        </w:rPr>
        <w:t>371</w:t>
      </w:r>
      <w:r w:rsidRPr="0093503D">
        <w:rPr>
          <w:rFonts w:eastAsia="Calibri"/>
        </w:rPr>
        <w:t>,</w:t>
      </w:r>
      <w:r w:rsidR="00BC2966">
        <w:rPr>
          <w:rFonts w:eastAsia="Calibri"/>
        </w:rPr>
        <w:t>888</w:t>
      </w:r>
      <w:r w:rsidRPr="0093503D">
        <w:rPr>
          <w:rFonts w:eastAsia="Calibri"/>
        </w:rPr>
        <w:t xml:space="preserve"> records.  We attribute the increase in hours to the return of burden for part 1, subpart J along with adjustments to the average burden per recordkeeping.  We attribute the decrease </w:t>
      </w:r>
      <w:r w:rsidRPr="0093503D" w:rsidR="009D7655">
        <w:rPr>
          <w:rFonts w:eastAsia="Calibri"/>
        </w:rPr>
        <w:t>in</w:t>
      </w:r>
      <w:r w:rsidRPr="0093503D">
        <w:rPr>
          <w:rFonts w:eastAsia="Calibri"/>
        </w:rPr>
        <w:t xml:space="preserve"> records due to the reconsideration of activities such as learning new requirements and training staff and incorporating the time for these activities as part of the actual information collection.</w:t>
      </w:r>
    </w:p>
    <w:p w:rsidR="00E83499" w:rsidP="008F7462" w14:paraId="00C14B05" w14:textId="6380EAC9">
      <w:pPr>
        <w:jc w:val="center"/>
        <w:rPr>
          <w:rFonts w:eastAsia="Calibri"/>
        </w:rPr>
      </w:pPr>
      <w:r w:rsidRPr="00A568AC">
        <w:rPr>
          <w:sz w:val="20"/>
          <w:szCs w:val="20"/>
        </w:rPr>
        <w:t xml:space="preserve">Table </w:t>
      </w:r>
      <w:r>
        <w:rPr>
          <w:sz w:val="20"/>
          <w:szCs w:val="20"/>
        </w:rPr>
        <w:t>4</w:t>
      </w:r>
      <w:r w:rsidRPr="00A568AC">
        <w:rPr>
          <w:sz w:val="20"/>
          <w:szCs w:val="20"/>
        </w:rPr>
        <w:t>.--</w:t>
      </w:r>
      <w:r w:rsidRPr="00E63505" w:rsidR="00E63505">
        <w:rPr>
          <w:sz w:val="20"/>
          <w:szCs w:val="20"/>
        </w:rPr>
        <w:t>Changes or Adjustments</w:t>
      </w:r>
      <w:r w:rsidR="00E63505">
        <w:rPr>
          <w:sz w:val="20"/>
          <w:szCs w:val="20"/>
        </w:rPr>
        <w:t xml:space="preserve"> to Burden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1739"/>
        <w:gridCol w:w="1575"/>
        <w:gridCol w:w="1494"/>
        <w:gridCol w:w="2638"/>
      </w:tblGrid>
      <w:tr w14:paraId="343071E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45"/>
        </w:trPr>
        <w:tc>
          <w:tcPr>
            <w:tcW w:w="2088" w:type="dxa"/>
            <w:tcBorders>
              <w:top w:val="single" w:sz="8" w:space="0" w:color="auto"/>
              <w:left w:val="single" w:sz="8" w:space="0" w:color="auto"/>
              <w:bottom w:val="single" w:sz="8" w:space="0" w:color="auto"/>
              <w:right w:val="single" w:sz="8" w:space="0" w:color="auto"/>
            </w:tcBorders>
            <w:shd w:val="clear" w:color="auto" w:fill="F2F2F2"/>
          </w:tcPr>
          <w:p w:rsidR="002C709C" w14:paraId="542F771E" w14:textId="1FF1869B">
            <w:pPr>
              <w:spacing w:after="200"/>
              <w:jc w:val="center"/>
              <w:rPr>
                <w:rFonts w:eastAsia="Calibri"/>
                <w:sz w:val="20"/>
                <w:szCs w:val="20"/>
              </w:rPr>
            </w:pPr>
            <w:r>
              <w:rPr>
                <w:sz w:val="20"/>
                <w:szCs w:val="20"/>
              </w:rPr>
              <w:t>Activity/CFR Section</w:t>
            </w:r>
          </w:p>
        </w:tc>
        <w:tc>
          <w:tcPr>
            <w:tcW w:w="1800" w:type="dxa"/>
            <w:tcBorders>
              <w:top w:val="single" w:sz="8" w:space="0" w:color="auto"/>
              <w:left w:val="nil"/>
              <w:bottom w:val="single" w:sz="8" w:space="0" w:color="auto"/>
              <w:right w:val="single" w:sz="8" w:space="0" w:color="auto"/>
            </w:tcBorders>
            <w:shd w:val="clear" w:color="auto" w:fill="F2F2F2"/>
          </w:tcPr>
          <w:p w:rsidR="002C709C" w14:paraId="3BF99FBA" w14:textId="031BAED8">
            <w:pPr>
              <w:spacing w:after="200"/>
              <w:jc w:val="center"/>
              <w:rPr>
                <w:rFonts w:eastAsia="Calibri"/>
                <w:sz w:val="20"/>
                <w:szCs w:val="20"/>
              </w:rPr>
            </w:pPr>
            <w:r>
              <w:rPr>
                <w:sz w:val="20"/>
                <w:szCs w:val="20"/>
              </w:rPr>
              <w:t>Previous</w:t>
            </w:r>
            <w:r w:rsidR="00E77F93">
              <w:rPr>
                <w:sz w:val="20"/>
                <w:szCs w:val="20"/>
              </w:rPr>
              <w:t>ly</w:t>
            </w:r>
            <w:r>
              <w:rPr>
                <w:sz w:val="20"/>
                <w:szCs w:val="20"/>
              </w:rPr>
              <w:t xml:space="preserve"> Approved Annual Burden Hours</w:t>
            </w:r>
          </w:p>
        </w:tc>
        <w:tc>
          <w:tcPr>
            <w:tcW w:w="1620" w:type="dxa"/>
            <w:tcBorders>
              <w:top w:val="single" w:sz="8" w:space="0" w:color="auto"/>
              <w:left w:val="nil"/>
              <w:bottom w:val="single" w:sz="8" w:space="0" w:color="auto"/>
              <w:right w:val="single" w:sz="8" w:space="0" w:color="auto"/>
            </w:tcBorders>
            <w:shd w:val="clear" w:color="auto" w:fill="F2F2F2"/>
          </w:tcPr>
          <w:p w:rsidR="002C709C" w14:paraId="727176A3" w14:textId="2B2CDD3C">
            <w:pPr>
              <w:spacing w:after="200"/>
              <w:jc w:val="center"/>
              <w:rPr>
                <w:rFonts w:eastAsia="Calibri"/>
                <w:sz w:val="20"/>
                <w:szCs w:val="20"/>
              </w:rPr>
            </w:pPr>
            <w:r>
              <w:rPr>
                <w:sz w:val="20"/>
                <w:szCs w:val="20"/>
              </w:rPr>
              <w:t>Requested Annual Burden Hours</w:t>
            </w:r>
          </w:p>
        </w:tc>
        <w:tc>
          <w:tcPr>
            <w:tcW w:w="1530" w:type="dxa"/>
            <w:tcBorders>
              <w:top w:val="single" w:sz="8" w:space="0" w:color="auto"/>
              <w:left w:val="nil"/>
              <w:bottom w:val="single" w:sz="8" w:space="0" w:color="auto"/>
              <w:right w:val="single" w:sz="8" w:space="0" w:color="auto"/>
            </w:tcBorders>
            <w:shd w:val="clear" w:color="auto" w:fill="F2F2F2"/>
          </w:tcPr>
          <w:p w:rsidR="002C709C" w14:paraId="73301E9C" w14:textId="77777777">
            <w:pPr>
              <w:jc w:val="center"/>
              <w:rPr>
                <w:sz w:val="20"/>
                <w:szCs w:val="20"/>
              </w:rPr>
            </w:pPr>
            <w:r>
              <w:rPr>
                <w:sz w:val="20"/>
                <w:szCs w:val="20"/>
              </w:rPr>
              <w:t>Difference (Hours)</w:t>
            </w:r>
          </w:p>
          <w:p w:rsidR="002C709C" w14:paraId="05E143C7" w14:textId="18134262">
            <w:pPr>
              <w:spacing w:after="200"/>
              <w:jc w:val="center"/>
              <w:rPr>
                <w:rFonts w:eastAsia="Calibri"/>
                <w:sz w:val="20"/>
                <w:szCs w:val="20"/>
              </w:rPr>
            </w:pPr>
            <w:r>
              <w:rPr>
                <w:sz w:val="20"/>
                <w:szCs w:val="20"/>
              </w:rPr>
              <w:t>(+/-)</w:t>
            </w:r>
          </w:p>
        </w:tc>
        <w:tc>
          <w:tcPr>
            <w:tcW w:w="2682" w:type="dxa"/>
            <w:tcBorders>
              <w:top w:val="single" w:sz="8" w:space="0" w:color="auto"/>
              <w:left w:val="nil"/>
              <w:bottom w:val="single" w:sz="8" w:space="0" w:color="auto"/>
              <w:right w:val="single" w:sz="8" w:space="0" w:color="auto"/>
            </w:tcBorders>
            <w:shd w:val="clear" w:color="auto" w:fill="F2F2F2"/>
          </w:tcPr>
          <w:p w:rsidR="002C709C" w14:paraId="35E658E2" w14:textId="77777777">
            <w:pPr>
              <w:jc w:val="center"/>
              <w:rPr>
                <w:sz w:val="20"/>
                <w:szCs w:val="20"/>
              </w:rPr>
            </w:pPr>
            <w:r>
              <w:rPr>
                <w:sz w:val="20"/>
                <w:szCs w:val="20"/>
              </w:rPr>
              <w:t>Rationale for Change</w:t>
            </w:r>
          </w:p>
          <w:p w:rsidR="002C709C" w14:paraId="2DF1E6CF" w14:textId="386FF8E9">
            <w:pPr>
              <w:jc w:val="center"/>
              <w:rPr>
                <w:sz w:val="20"/>
                <w:szCs w:val="20"/>
              </w:rPr>
            </w:pPr>
            <w:r>
              <w:rPr>
                <w:sz w:val="20"/>
                <w:szCs w:val="20"/>
              </w:rPr>
              <w:t>(Estimate Revision/Programmatic)</w:t>
            </w:r>
          </w:p>
        </w:tc>
      </w:tr>
      <w:tr w14:paraId="7B9C9855" w14:textId="77777777">
        <w:tblPrEx>
          <w:tblW w:w="0" w:type="auto"/>
          <w:tblLook w:val="04A0"/>
        </w:tblPrEx>
        <w:tc>
          <w:tcPr>
            <w:tcW w:w="2088" w:type="dxa"/>
            <w:shd w:val="clear" w:color="auto" w:fill="auto"/>
          </w:tcPr>
          <w:p w:rsidR="00677527" w14:paraId="418EC1E6" w14:textId="6E681F78">
            <w:pPr>
              <w:spacing w:after="200"/>
              <w:rPr>
                <w:rFonts w:eastAsia="Calibri"/>
                <w:sz w:val="20"/>
                <w:szCs w:val="20"/>
              </w:rPr>
            </w:pPr>
            <w:r>
              <w:rPr>
                <w:rFonts w:eastAsia="Calibri"/>
                <w:sz w:val="20"/>
                <w:szCs w:val="20"/>
              </w:rPr>
              <w:t xml:space="preserve">Part 1, </w:t>
            </w:r>
            <w:r w:rsidR="00754344">
              <w:rPr>
                <w:rFonts w:eastAsia="Calibri"/>
                <w:sz w:val="20"/>
                <w:szCs w:val="20"/>
              </w:rPr>
              <w:t>s</w:t>
            </w:r>
            <w:r>
              <w:rPr>
                <w:rFonts w:eastAsia="Calibri"/>
                <w:sz w:val="20"/>
                <w:szCs w:val="20"/>
              </w:rPr>
              <w:t>ubpart J (1.326 through 1.368)</w:t>
            </w:r>
          </w:p>
        </w:tc>
        <w:tc>
          <w:tcPr>
            <w:tcW w:w="1800" w:type="dxa"/>
            <w:shd w:val="clear" w:color="auto" w:fill="auto"/>
          </w:tcPr>
          <w:p w:rsidR="00677527" w14:paraId="1CB16E9F" w14:textId="2908D56C">
            <w:pPr>
              <w:spacing w:after="200"/>
              <w:jc w:val="right"/>
              <w:rPr>
                <w:rFonts w:eastAsia="Calibri"/>
                <w:sz w:val="20"/>
                <w:szCs w:val="20"/>
              </w:rPr>
            </w:pPr>
            <w:r>
              <w:rPr>
                <w:rFonts w:eastAsia="Calibri"/>
                <w:sz w:val="20"/>
                <w:szCs w:val="20"/>
              </w:rPr>
              <w:t>0</w:t>
            </w:r>
          </w:p>
        </w:tc>
        <w:tc>
          <w:tcPr>
            <w:tcW w:w="1620" w:type="dxa"/>
            <w:shd w:val="clear" w:color="auto" w:fill="auto"/>
          </w:tcPr>
          <w:p w:rsidR="00677527" w14:paraId="5DED89F9" w14:textId="2A342A1C">
            <w:pPr>
              <w:spacing w:after="200"/>
              <w:jc w:val="right"/>
              <w:rPr>
                <w:rFonts w:eastAsia="Calibri"/>
                <w:sz w:val="20"/>
                <w:szCs w:val="20"/>
              </w:rPr>
            </w:pPr>
            <w:r>
              <w:rPr>
                <w:rFonts w:eastAsia="Calibri"/>
                <w:sz w:val="20"/>
                <w:szCs w:val="20"/>
              </w:rPr>
              <w:t>2,656,451</w:t>
            </w:r>
          </w:p>
        </w:tc>
        <w:tc>
          <w:tcPr>
            <w:tcW w:w="1530" w:type="dxa"/>
            <w:shd w:val="clear" w:color="auto" w:fill="auto"/>
          </w:tcPr>
          <w:p w:rsidR="00677527" w14:paraId="7CD308D8" w14:textId="7650D020">
            <w:pPr>
              <w:spacing w:after="200"/>
              <w:jc w:val="right"/>
              <w:rPr>
                <w:rFonts w:eastAsia="Calibri"/>
                <w:sz w:val="20"/>
                <w:szCs w:val="20"/>
              </w:rPr>
            </w:pPr>
            <w:r>
              <w:rPr>
                <w:rFonts w:eastAsia="Calibri"/>
                <w:sz w:val="20"/>
                <w:szCs w:val="20"/>
              </w:rPr>
              <w:t>+</w:t>
            </w:r>
            <w:r w:rsidR="00223BFC">
              <w:rPr>
                <w:rFonts w:eastAsia="Calibri"/>
                <w:sz w:val="20"/>
                <w:szCs w:val="20"/>
              </w:rPr>
              <w:t>2,656,451</w:t>
            </w:r>
          </w:p>
        </w:tc>
        <w:tc>
          <w:tcPr>
            <w:tcW w:w="2682" w:type="dxa"/>
            <w:shd w:val="clear" w:color="auto" w:fill="auto"/>
          </w:tcPr>
          <w:p w:rsidR="00677527" w14:paraId="47073C2E" w14:textId="7FABCF66">
            <w:pPr>
              <w:spacing w:after="200"/>
              <w:rPr>
                <w:rFonts w:eastAsia="Calibri"/>
                <w:sz w:val="20"/>
                <w:szCs w:val="20"/>
              </w:rPr>
            </w:pPr>
            <w:r>
              <w:rPr>
                <w:rFonts w:eastAsia="Calibri"/>
                <w:sz w:val="20"/>
                <w:szCs w:val="20"/>
              </w:rPr>
              <w:t>The burden for part 1, subpart J was inadvertently omitted from the previous approval</w:t>
            </w:r>
            <w:r w:rsidR="007D069A">
              <w:rPr>
                <w:rFonts w:eastAsia="Calibri"/>
                <w:sz w:val="20"/>
                <w:szCs w:val="20"/>
              </w:rPr>
              <w:t>,</w:t>
            </w:r>
            <w:r w:rsidR="00905998">
              <w:rPr>
                <w:rFonts w:eastAsia="Calibri"/>
                <w:sz w:val="20"/>
                <w:szCs w:val="20"/>
              </w:rPr>
              <w:t xml:space="preserve"> so it is being added now</w:t>
            </w:r>
            <w:r>
              <w:rPr>
                <w:rFonts w:eastAsia="Calibri"/>
                <w:sz w:val="20"/>
                <w:szCs w:val="20"/>
              </w:rPr>
              <w:t>.</w:t>
            </w:r>
          </w:p>
        </w:tc>
      </w:tr>
      <w:tr w14:paraId="4A1BEB2C" w14:textId="77777777">
        <w:tblPrEx>
          <w:tblW w:w="0" w:type="auto"/>
          <w:tblLook w:val="04A0"/>
        </w:tblPrEx>
        <w:tc>
          <w:tcPr>
            <w:tcW w:w="2088" w:type="dxa"/>
            <w:shd w:val="clear" w:color="auto" w:fill="auto"/>
          </w:tcPr>
          <w:p w:rsidR="00677527" w14:paraId="418CFD19" w14:textId="495D9E41">
            <w:pPr>
              <w:spacing w:after="200"/>
              <w:rPr>
                <w:rFonts w:eastAsia="Calibri"/>
                <w:sz w:val="20"/>
                <w:szCs w:val="20"/>
              </w:rPr>
            </w:pPr>
            <w:r>
              <w:rPr>
                <w:rFonts w:eastAsia="Calibri"/>
                <w:sz w:val="20"/>
                <w:szCs w:val="20"/>
              </w:rPr>
              <w:t>ONE TIME: Reading and understanding the new requirements</w:t>
            </w:r>
          </w:p>
        </w:tc>
        <w:tc>
          <w:tcPr>
            <w:tcW w:w="1800" w:type="dxa"/>
            <w:shd w:val="clear" w:color="auto" w:fill="auto"/>
          </w:tcPr>
          <w:p w:rsidR="00677527" w14:paraId="58D68A9D" w14:textId="06AB80BD">
            <w:pPr>
              <w:spacing w:after="200"/>
              <w:jc w:val="right"/>
              <w:rPr>
                <w:rFonts w:eastAsia="Calibri"/>
                <w:sz w:val="20"/>
                <w:szCs w:val="20"/>
              </w:rPr>
            </w:pPr>
            <w:r>
              <w:rPr>
                <w:rFonts w:eastAsia="Calibri"/>
                <w:sz w:val="20"/>
                <w:szCs w:val="20"/>
              </w:rPr>
              <w:t>5,441,050</w:t>
            </w:r>
          </w:p>
        </w:tc>
        <w:tc>
          <w:tcPr>
            <w:tcW w:w="1620" w:type="dxa"/>
            <w:shd w:val="clear" w:color="auto" w:fill="auto"/>
          </w:tcPr>
          <w:p w:rsidR="00677527" w14:paraId="39907D68" w14:textId="3D9617B2">
            <w:pPr>
              <w:spacing w:after="200"/>
              <w:jc w:val="right"/>
              <w:rPr>
                <w:rFonts w:eastAsia="Calibri"/>
                <w:sz w:val="20"/>
                <w:szCs w:val="20"/>
              </w:rPr>
            </w:pPr>
            <w:r>
              <w:rPr>
                <w:rFonts w:eastAsia="Calibri"/>
                <w:sz w:val="20"/>
                <w:szCs w:val="20"/>
              </w:rPr>
              <w:t>0</w:t>
            </w:r>
          </w:p>
        </w:tc>
        <w:tc>
          <w:tcPr>
            <w:tcW w:w="1530" w:type="dxa"/>
            <w:shd w:val="clear" w:color="auto" w:fill="auto"/>
          </w:tcPr>
          <w:p w:rsidR="00677527" w14:paraId="7727C67C" w14:textId="7704031A">
            <w:pPr>
              <w:spacing w:after="200"/>
              <w:jc w:val="right"/>
              <w:rPr>
                <w:rFonts w:eastAsia="Calibri"/>
                <w:sz w:val="20"/>
                <w:szCs w:val="20"/>
              </w:rPr>
            </w:pPr>
            <w:r>
              <w:rPr>
                <w:rFonts w:eastAsia="Calibri"/>
                <w:sz w:val="20"/>
                <w:szCs w:val="20"/>
              </w:rPr>
              <w:t>-5,441,050</w:t>
            </w:r>
          </w:p>
        </w:tc>
        <w:tc>
          <w:tcPr>
            <w:tcW w:w="2682" w:type="dxa"/>
            <w:shd w:val="clear" w:color="auto" w:fill="auto"/>
          </w:tcPr>
          <w:p w:rsidR="00677527" w14:paraId="4BF67CBB" w14:textId="7BF6D0CB">
            <w:pPr>
              <w:spacing w:after="200"/>
              <w:rPr>
                <w:rFonts w:eastAsia="Calibri"/>
                <w:sz w:val="20"/>
                <w:szCs w:val="20"/>
              </w:rPr>
            </w:pPr>
            <w:r>
              <w:rPr>
                <w:rFonts w:eastAsia="Calibri"/>
                <w:sz w:val="20"/>
                <w:szCs w:val="20"/>
              </w:rPr>
              <w:t>Reading and understanding a policy does not in itself create an IC.</w:t>
            </w:r>
            <w:r w:rsidR="00340387">
              <w:rPr>
                <w:rFonts w:eastAsia="Calibri"/>
                <w:sz w:val="20"/>
                <w:szCs w:val="20"/>
              </w:rPr>
              <w:t xml:space="preserve"> </w:t>
            </w:r>
            <w:r w:rsidR="00C35098">
              <w:rPr>
                <w:rFonts w:eastAsia="Calibri"/>
                <w:sz w:val="20"/>
                <w:szCs w:val="20"/>
              </w:rPr>
              <w:t xml:space="preserve"> Reading and understanding the requirements of this </w:t>
            </w:r>
            <w:r w:rsidR="00A3480C">
              <w:rPr>
                <w:rFonts w:eastAsia="Calibri"/>
                <w:sz w:val="20"/>
                <w:szCs w:val="20"/>
              </w:rPr>
              <w:t xml:space="preserve">ICR has been </w:t>
            </w:r>
            <w:r w:rsidR="00884145">
              <w:rPr>
                <w:rFonts w:eastAsia="Calibri"/>
                <w:sz w:val="20"/>
                <w:szCs w:val="20"/>
              </w:rPr>
              <w:t>incorporated into the burden estimate</w:t>
            </w:r>
            <w:r w:rsidR="000033B9">
              <w:rPr>
                <w:rFonts w:eastAsia="Calibri"/>
                <w:sz w:val="20"/>
                <w:szCs w:val="20"/>
              </w:rPr>
              <w:t>s</w:t>
            </w:r>
            <w:r w:rsidR="00324794">
              <w:rPr>
                <w:rFonts w:eastAsia="Calibri"/>
                <w:sz w:val="20"/>
                <w:szCs w:val="20"/>
              </w:rPr>
              <w:t xml:space="preserve"> throughout. </w:t>
            </w:r>
            <w:r w:rsidR="00340387">
              <w:rPr>
                <w:rFonts w:eastAsia="Calibri"/>
                <w:sz w:val="20"/>
                <w:szCs w:val="20"/>
              </w:rPr>
              <w:t xml:space="preserve"> </w:t>
            </w:r>
          </w:p>
        </w:tc>
      </w:tr>
      <w:tr w14:paraId="7BB97437" w14:textId="77777777">
        <w:tblPrEx>
          <w:tblW w:w="0" w:type="auto"/>
          <w:tblLook w:val="04A0"/>
        </w:tblPrEx>
        <w:tc>
          <w:tcPr>
            <w:tcW w:w="2088" w:type="dxa"/>
            <w:shd w:val="clear" w:color="auto" w:fill="auto"/>
          </w:tcPr>
          <w:p w:rsidR="00B43A6E" w14:paraId="629C539E" w14:textId="6C7B173D">
            <w:pPr>
              <w:spacing w:after="200"/>
              <w:rPr>
                <w:rFonts w:eastAsia="Calibri"/>
                <w:sz w:val="20"/>
                <w:szCs w:val="20"/>
              </w:rPr>
            </w:pPr>
            <w:r>
              <w:rPr>
                <w:rFonts w:eastAsia="Calibri"/>
                <w:sz w:val="20"/>
                <w:szCs w:val="20"/>
              </w:rPr>
              <w:t>1.1315; traceability plan (one-time set-up</w:t>
            </w:r>
            <w:r w:rsidR="00D14146">
              <w:rPr>
                <w:rFonts w:eastAsia="Calibri"/>
                <w:sz w:val="20"/>
                <w:szCs w:val="20"/>
              </w:rPr>
              <w:t>)</w:t>
            </w:r>
          </w:p>
        </w:tc>
        <w:tc>
          <w:tcPr>
            <w:tcW w:w="1800" w:type="dxa"/>
            <w:shd w:val="clear" w:color="auto" w:fill="auto"/>
          </w:tcPr>
          <w:p w:rsidR="00B43A6E" w14:paraId="2240C791" w14:textId="4371B7B3">
            <w:pPr>
              <w:spacing w:after="200"/>
              <w:jc w:val="right"/>
              <w:rPr>
                <w:rFonts w:eastAsia="Calibri"/>
                <w:sz w:val="20"/>
                <w:szCs w:val="20"/>
              </w:rPr>
            </w:pPr>
            <w:r>
              <w:rPr>
                <w:rFonts w:eastAsia="Calibri"/>
                <w:sz w:val="20"/>
                <w:szCs w:val="20"/>
              </w:rPr>
              <w:t>1,316,682</w:t>
            </w:r>
          </w:p>
        </w:tc>
        <w:tc>
          <w:tcPr>
            <w:tcW w:w="1620" w:type="dxa"/>
            <w:shd w:val="clear" w:color="auto" w:fill="auto"/>
          </w:tcPr>
          <w:p w:rsidR="00B43A6E" w14:paraId="2A34C01F" w14:textId="241E7F15">
            <w:pPr>
              <w:spacing w:after="200"/>
              <w:jc w:val="right"/>
              <w:rPr>
                <w:rFonts w:eastAsia="Calibri"/>
                <w:sz w:val="20"/>
                <w:szCs w:val="20"/>
              </w:rPr>
            </w:pPr>
            <w:r>
              <w:rPr>
                <w:rFonts w:eastAsia="Calibri"/>
                <w:sz w:val="20"/>
                <w:szCs w:val="20"/>
              </w:rPr>
              <w:t>1,698,944</w:t>
            </w:r>
          </w:p>
        </w:tc>
        <w:tc>
          <w:tcPr>
            <w:tcW w:w="1530" w:type="dxa"/>
            <w:shd w:val="clear" w:color="auto" w:fill="auto"/>
          </w:tcPr>
          <w:p w:rsidR="00B43A6E" w14:paraId="44BB32D0" w14:textId="1DC0F809">
            <w:pPr>
              <w:spacing w:after="200"/>
              <w:jc w:val="right"/>
              <w:rPr>
                <w:rFonts w:eastAsia="Calibri"/>
                <w:sz w:val="20"/>
                <w:szCs w:val="20"/>
              </w:rPr>
            </w:pPr>
            <w:r>
              <w:rPr>
                <w:rFonts w:eastAsia="Calibri"/>
                <w:sz w:val="20"/>
                <w:szCs w:val="20"/>
              </w:rPr>
              <w:t>+382,262</w:t>
            </w:r>
          </w:p>
        </w:tc>
        <w:tc>
          <w:tcPr>
            <w:tcW w:w="2682" w:type="dxa"/>
            <w:shd w:val="clear" w:color="auto" w:fill="auto"/>
          </w:tcPr>
          <w:p w:rsidR="00B43A6E" w14:paraId="5C992F53" w14:textId="412DC8AC">
            <w:pPr>
              <w:spacing w:after="200"/>
              <w:rPr>
                <w:rFonts w:eastAsia="Calibri"/>
                <w:sz w:val="20"/>
                <w:szCs w:val="20"/>
              </w:rPr>
            </w:pPr>
            <w:r>
              <w:rPr>
                <w:rFonts w:eastAsia="Calibri"/>
                <w:sz w:val="20"/>
                <w:szCs w:val="20"/>
              </w:rPr>
              <w:t xml:space="preserve">The average burden per recordkeeping has been updated from </w:t>
            </w:r>
            <w:r w:rsidR="00B84B8C">
              <w:rPr>
                <w:rFonts w:eastAsia="Calibri"/>
                <w:sz w:val="20"/>
                <w:szCs w:val="20"/>
              </w:rPr>
              <w:t>6.2</w:t>
            </w:r>
            <w:r>
              <w:rPr>
                <w:rFonts w:eastAsia="Calibri"/>
                <w:sz w:val="20"/>
                <w:szCs w:val="20"/>
              </w:rPr>
              <w:t xml:space="preserve"> </w:t>
            </w:r>
            <w:r w:rsidR="00B84B8C">
              <w:rPr>
                <w:rFonts w:eastAsia="Calibri"/>
                <w:sz w:val="20"/>
                <w:szCs w:val="20"/>
              </w:rPr>
              <w:t>hours</w:t>
            </w:r>
            <w:r>
              <w:rPr>
                <w:rFonts w:eastAsia="Calibri"/>
                <w:sz w:val="20"/>
                <w:szCs w:val="20"/>
              </w:rPr>
              <w:t xml:space="preserve"> to </w:t>
            </w:r>
            <w:r w:rsidR="00B84B8C">
              <w:rPr>
                <w:rFonts w:eastAsia="Calibri"/>
                <w:sz w:val="20"/>
                <w:szCs w:val="20"/>
              </w:rPr>
              <w:t>8</w:t>
            </w:r>
            <w:r>
              <w:rPr>
                <w:rFonts w:eastAsia="Calibri"/>
                <w:sz w:val="20"/>
                <w:szCs w:val="20"/>
              </w:rPr>
              <w:t xml:space="preserve"> </w:t>
            </w:r>
            <w:r w:rsidR="00B84B8C">
              <w:rPr>
                <w:rFonts w:eastAsia="Calibri"/>
                <w:sz w:val="20"/>
                <w:szCs w:val="20"/>
              </w:rPr>
              <w:t>hours</w:t>
            </w:r>
            <w:r>
              <w:rPr>
                <w:rFonts w:eastAsia="Calibri"/>
                <w:sz w:val="20"/>
                <w:szCs w:val="20"/>
              </w:rPr>
              <w:t xml:space="preserve"> per recordkeeping.</w:t>
            </w:r>
            <w:r w:rsidR="00B84B8C">
              <w:rPr>
                <w:rFonts w:eastAsia="Calibri"/>
                <w:sz w:val="20"/>
                <w:szCs w:val="20"/>
              </w:rPr>
              <w:t xml:space="preserve">  This estimate also incorporates the </w:t>
            </w:r>
            <w:r w:rsidR="00763F16">
              <w:rPr>
                <w:rFonts w:eastAsia="Calibri"/>
                <w:sz w:val="20"/>
                <w:szCs w:val="20"/>
              </w:rPr>
              <w:t xml:space="preserve">time for </w:t>
            </w:r>
            <w:r w:rsidR="00763F16">
              <w:rPr>
                <w:rFonts w:eastAsia="Calibri"/>
                <w:sz w:val="20"/>
                <w:szCs w:val="20"/>
              </w:rPr>
              <w:t>reading and understanding the</w:t>
            </w:r>
            <w:r w:rsidR="00C21DDB">
              <w:rPr>
                <w:rFonts w:eastAsia="Calibri"/>
                <w:sz w:val="20"/>
                <w:szCs w:val="20"/>
              </w:rPr>
              <w:t xml:space="preserve"> </w:t>
            </w:r>
            <w:r w:rsidR="00763F16">
              <w:rPr>
                <w:rFonts w:eastAsia="Calibri"/>
                <w:sz w:val="20"/>
                <w:szCs w:val="20"/>
              </w:rPr>
              <w:t>requirements.</w:t>
            </w:r>
          </w:p>
        </w:tc>
      </w:tr>
      <w:tr w14:paraId="0555ED5A" w14:textId="77777777">
        <w:tblPrEx>
          <w:tblW w:w="0" w:type="auto"/>
          <w:tblLook w:val="04A0"/>
        </w:tblPrEx>
        <w:tc>
          <w:tcPr>
            <w:tcW w:w="2088" w:type="dxa"/>
            <w:shd w:val="clear" w:color="auto" w:fill="auto"/>
          </w:tcPr>
          <w:p w:rsidR="00677527" w14:paraId="2C19DDA3" w14:textId="11787ADD">
            <w:pPr>
              <w:spacing w:after="200"/>
              <w:rPr>
                <w:rFonts w:eastAsia="Calibri"/>
                <w:sz w:val="20"/>
                <w:szCs w:val="20"/>
              </w:rPr>
            </w:pPr>
            <w:r>
              <w:rPr>
                <w:rFonts w:eastAsia="Calibri"/>
                <w:sz w:val="20"/>
                <w:szCs w:val="20"/>
              </w:rPr>
              <w:t>Training personnel</w:t>
            </w:r>
            <w:r w:rsidR="008E09AA">
              <w:rPr>
                <w:rFonts w:eastAsia="Calibri"/>
                <w:sz w:val="20"/>
                <w:szCs w:val="20"/>
              </w:rPr>
              <w:t xml:space="preserve"> (</w:t>
            </w:r>
            <w:r w:rsidR="00B21746">
              <w:rPr>
                <w:rFonts w:eastAsia="Calibri"/>
                <w:sz w:val="20"/>
                <w:szCs w:val="20"/>
              </w:rPr>
              <w:t>one-time and recurring)</w:t>
            </w:r>
          </w:p>
        </w:tc>
        <w:tc>
          <w:tcPr>
            <w:tcW w:w="1800" w:type="dxa"/>
            <w:shd w:val="clear" w:color="auto" w:fill="auto"/>
          </w:tcPr>
          <w:p w:rsidR="00677527" w14:paraId="77588A35" w14:textId="53D5BE73">
            <w:pPr>
              <w:spacing w:after="200"/>
              <w:jc w:val="right"/>
              <w:rPr>
                <w:rFonts w:eastAsia="Calibri"/>
                <w:sz w:val="20"/>
                <w:szCs w:val="20"/>
              </w:rPr>
            </w:pPr>
            <w:r>
              <w:rPr>
                <w:rFonts w:eastAsia="Calibri"/>
                <w:sz w:val="20"/>
                <w:szCs w:val="20"/>
              </w:rPr>
              <w:t>2,270,</w:t>
            </w:r>
            <w:r w:rsidR="00A30E11">
              <w:rPr>
                <w:rFonts w:eastAsia="Calibri"/>
                <w:sz w:val="20"/>
                <w:szCs w:val="20"/>
              </w:rPr>
              <w:t>508</w:t>
            </w:r>
          </w:p>
        </w:tc>
        <w:tc>
          <w:tcPr>
            <w:tcW w:w="1620" w:type="dxa"/>
            <w:shd w:val="clear" w:color="auto" w:fill="auto"/>
          </w:tcPr>
          <w:p w:rsidR="00677527" w14:paraId="1ABB04D9" w14:textId="60720A1B">
            <w:pPr>
              <w:spacing w:after="200"/>
              <w:jc w:val="right"/>
              <w:rPr>
                <w:rFonts w:eastAsia="Calibri"/>
                <w:sz w:val="20"/>
                <w:szCs w:val="20"/>
              </w:rPr>
            </w:pPr>
            <w:r>
              <w:rPr>
                <w:rFonts w:eastAsia="Calibri"/>
                <w:sz w:val="20"/>
                <w:szCs w:val="20"/>
              </w:rPr>
              <w:t>0</w:t>
            </w:r>
          </w:p>
        </w:tc>
        <w:tc>
          <w:tcPr>
            <w:tcW w:w="1530" w:type="dxa"/>
            <w:shd w:val="clear" w:color="auto" w:fill="auto"/>
          </w:tcPr>
          <w:p w:rsidR="00677527" w14:paraId="13B5BA66" w14:textId="473BC3D5">
            <w:pPr>
              <w:spacing w:after="200"/>
              <w:jc w:val="right"/>
              <w:rPr>
                <w:rFonts w:eastAsia="Calibri"/>
                <w:sz w:val="20"/>
                <w:szCs w:val="20"/>
              </w:rPr>
            </w:pPr>
            <w:r>
              <w:rPr>
                <w:rFonts w:eastAsia="Calibri"/>
                <w:sz w:val="20"/>
                <w:szCs w:val="20"/>
              </w:rPr>
              <w:t>-</w:t>
            </w:r>
            <w:r w:rsidR="00A30E11">
              <w:rPr>
                <w:rFonts w:eastAsia="Calibri"/>
                <w:sz w:val="20"/>
                <w:szCs w:val="20"/>
              </w:rPr>
              <w:t>2,270,508</w:t>
            </w:r>
          </w:p>
        </w:tc>
        <w:tc>
          <w:tcPr>
            <w:tcW w:w="2682" w:type="dxa"/>
            <w:shd w:val="clear" w:color="auto" w:fill="auto"/>
          </w:tcPr>
          <w:p w:rsidR="00677527" w14:paraId="3DBC8C0F" w14:textId="1301975B">
            <w:pPr>
              <w:spacing w:after="200"/>
              <w:rPr>
                <w:rFonts w:eastAsia="Calibri"/>
                <w:sz w:val="20"/>
                <w:szCs w:val="20"/>
              </w:rPr>
            </w:pPr>
            <w:r>
              <w:rPr>
                <w:rFonts w:eastAsia="Calibri"/>
                <w:sz w:val="20"/>
                <w:szCs w:val="20"/>
              </w:rPr>
              <w:t>Training personnel is not a PRA activity.</w:t>
            </w:r>
            <w:r w:rsidR="003D3416">
              <w:t xml:space="preserve">  </w:t>
            </w:r>
            <w:r w:rsidRPr="008F7462" w:rsidR="003D3416">
              <w:rPr>
                <w:sz w:val="20"/>
                <w:szCs w:val="20"/>
              </w:rPr>
              <w:t>However, this activity</w:t>
            </w:r>
            <w:r w:rsidR="003D3416">
              <w:t xml:space="preserve"> </w:t>
            </w:r>
            <w:r w:rsidRPr="003D3416" w:rsidR="003D3416">
              <w:rPr>
                <w:rFonts w:eastAsia="Calibri"/>
                <w:sz w:val="20"/>
                <w:szCs w:val="20"/>
              </w:rPr>
              <w:t>has been incorporated into the burden estimates throughout.</w:t>
            </w:r>
          </w:p>
        </w:tc>
      </w:tr>
      <w:tr w14:paraId="795E8C19" w14:textId="77777777">
        <w:tblPrEx>
          <w:tblW w:w="0" w:type="auto"/>
          <w:tblLook w:val="04A0"/>
        </w:tblPrEx>
        <w:tc>
          <w:tcPr>
            <w:tcW w:w="2088" w:type="dxa"/>
            <w:shd w:val="clear" w:color="auto" w:fill="auto"/>
          </w:tcPr>
          <w:p w:rsidR="00677527" w14:paraId="4C7F3743" w14:textId="01123540">
            <w:pPr>
              <w:spacing w:after="200"/>
              <w:rPr>
                <w:rFonts w:eastAsia="Calibri"/>
                <w:sz w:val="20"/>
                <w:szCs w:val="20"/>
              </w:rPr>
            </w:pPr>
            <w:r>
              <w:rPr>
                <w:rFonts w:eastAsia="Calibri"/>
                <w:sz w:val="20"/>
                <w:szCs w:val="20"/>
              </w:rPr>
              <w:t>1.1465(a); Comments on proposed revisions to the Food Traceability List</w:t>
            </w:r>
          </w:p>
        </w:tc>
        <w:tc>
          <w:tcPr>
            <w:tcW w:w="1800" w:type="dxa"/>
            <w:shd w:val="clear" w:color="auto" w:fill="auto"/>
          </w:tcPr>
          <w:p w:rsidR="00677527" w14:paraId="4777ED91" w14:textId="695A1851">
            <w:pPr>
              <w:spacing w:after="200"/>
              <w:jc w:val="right"/>
              <w:rPr>
                <w:rFonts w:eastAsia="Calibri"/>
                <w:sz w:val="20"/>
                <w:szCs w:val="20"/>
              </w:rPr>
            </w:pPr>
            <w:r>
              <w:rPr>
                <w:rFonts w:eastAsia="Calibri"/>
                <w:sz w:val="20"/>
                <w:szCs w:val="20"/>
              </w:rPr>
              <w:t>1</w:t>
            </w:r>
          </w:p>
        </w:tc>
        <w:tc>
          <w:tcPr>
            <w:tcW w:w="1620" w:type="dxa"/>
            <w:shd w:val="clear" w:color="auto" w:fill="auto"/>
          </w:tcPr>
          <w:p w:rsidR="00677527" w14:paraId="5EE1A08D" w14:textId="688D5012">
            <w:pPr>
              <w:spacing w:after="200"/>
              <w:jc w:val="right"/>
              <w:rPr>
                <w:rFonts w:eastAsia="Calibri"/>
                <w:sz w:val="20"/>
                <w:szCs w:val="20"/>
              </w:rPr>
            </w:pPr>
            <w:r>
              <w:rPr>
                <w:rFonts w:eastAsia="Calibri"/>
                <w:sz w:val="20"/>
                <w:szCs w:val="20"/>
              </w:rPr>
              <w:t>0</w:t>
            </w:r>
          </w:p>
        </w:tc>
        <w:tc>
          <w:tcPr>
            <w:tcW w:w="1530" w:type="dxa"/>
            <w:shd w:val="clear" w:color="auto" w:fill="auto"/>
          </w:tcPr>
          <w:p w:rsidR="00677527" w14:paraId="10D92900" w14:textId="2321A54E">
            <w:pPr>
              <w:spacing w:after="200"/>
              <w:jc w:val="right"/>
              <w:rPr>
                <w:rFonts w:eastAsia="Calibri"/>
                <w:sz w:val="20"/>
                <w:szCs w:val="20"/>
              </w:rPr>
            </w:pPr>
            <w:r>
              <w:rPr>
                <w:rFonts w:eastAsia="Calibri"/>
                <w:sz w:val="20"/>
                <w:szCs w:val="20"/>
              </w:rPr>
              <w:t>-1</w:t>
            </w:r>
          </w:p>
        </w:tc>
        <w:tc>
          <w:tcPr>
            <w:tcW w:w="2682" w:type="dxa"/>
            <w:shd w:val="clear" w:color="auto" w:fill="auto"/>
          </w:tcPr>
          <w:p w:rsidR="00677527" w14:paraId="7606AE6D" w14:textId="3E57BF8F">
            <w:pPr>
              <w:spacing w:after="200"/>
              <w:rPr>
                <w:rFonts w:eastAsia="Calibri"/>
                <w:sz w:val="20"/>
                <w:szCs w:val="20"/>
              </w:rPr>
            </w:pPr>
            <w:r>
              <w:rPr>
                <w:rFonts w:eastAsia="Calibri"/>
                <w:sz w:val="20"/>
                <w:szCs w:val="20"/>
              </w:rPr>
              <w:t xml:space="preserve">“Information” does not generally include </w:t>
            </w:r>
            <w:r w:rsidR="002B6A7C">
              <w:rPr>
                <w:rFonts w:eastAsia="Calibri"/>
                <w:sz w:val="20"/>
                <w:szCs w:val="20"/>
              </w:rPr>
              <w:t xml:space="preserve">facts or opinions submitted in response to general solicitations of comments from the public, published in the </w:t>
            </w:r>
            <w:r w:rsidR="002B6A7C">
              <w:rPr>
                <w:rFonts w:eastAsia="Calibri"/>
                <w:i/>
                <w:iCs/>
                <w:sz w:val="20"/>
                <w:szCs w:val="20"/>
              </w:rPr>
              <w:t>Federal Register</w:t>
            </w:r>
            <w:r w:rsidR="0028471A">
              <w:rPr>
                <w:rFonts w:eastAsia="Calibri"/>
                <w:sz w:val="20"/>
                <w:szCs w:val="20"/>
              </w:rPr>
              <w:t>.</w:t>
            </w:r>
            <w:r w:rsidR="005421FC">
              <w:rPr>
                <w:rFonts w:eastAsia="Calibri"/>
                <w:sz w:val="20"/>
                <w:szCs w:val="20"/>
              </w:rPr>
              <w:t xml:space="preserve">  5 CFR 1320.3(h)(4).</w:t>
            </w:r>
          </w:p>
        </w:tc>
      </w:tr>
      <w:tr w14:paraId="71C81AFA" w14:textId="77777777">
        <w:tblPrEx>
          <w:tblW w:w="0" w:type="auto"/>
          <w:tblLook w:val="04A0"/>
        </w:tblPrEx>
        <w:tc>
          <w:tcPr>
            <w:tcW w:w="2088" w:type="dxa"/>
            <w:shd w:val="clear" w:color="auto" w:fill="auto"/>
          </w:tcPr>
          <w:p w:rsidR="002B6A7C" w14:paraId="3056EE82" w14:textId="47F76808">
            <w:pPr>
              <w:spacing w:after="200"/>
              <w:rPr>
                <w:rFonts w:eastAsia="Calibri"/>
                <w:sz w:val="20"/>
                <w:szCs w:val="20"/>
              </w:rPr>
            </w:pPr>
            <w:r>
              <w:rPr>
                <w:rFonts w:eastAsia="Calibri"/>
                <w:sz w:val="20"/>
                <w:szCs w:val="20"/>
              </w:rPr>
              <w:t>Seed lot records (sprout growers)</w:t>
            </w:r>
          </w:p>
        </w:tc>
        <w:tc>
          <w:tcPr>
            <w:tcW w:w="1800" w:type="dxa"/>
            <w:shd w:val="clear" w:color="auto" w:fill="auto"/>
          </w:tcPr>
          <w:p w:rsidR="002B6A7C" w14:paraId="1208BE2E" w14:textId="492AD278">
            <w:pPr>
              <w:spacing w:after="200"/>
              <w:jc w:val="right"/>
              <w:rPr>
                <w:rFonts w:eastAsia="Calibri"/>
                <w:sz w:val="20"/>
                <w:szCs w:val="20"/>
              </w:rPr>
            </w:pPr>
            <w:r>
              <w:rPr>
                <w:rFonts w:eastAsia="Calibri"/>
                <w:sz w:val="20"/>
                <w:szCs w:val="20"/>
              </w:rPr>
              <w:t>3,352</w:t>
            </w:r>
          </w:p>
        </w:tc>
        <w:tc>
          <w:tcPr>
            <w:tcW w:w="1620" w:type="dxa"/>
            <w:shd w:val="clear" w:color="auto" w:fill="auto"/>
          </w:tcPr>
          <w:p w:rsidR="002B6A7C" w14:paraId="7474B317" w14:textId="70E1E542">
            <w:pPr>
              <w:spacing w:after="200"/>
              <w:jc w:val="right"/>
              <w:rPr>
                <w:rFonts w:eastAsia="Calibri"/>
                <w:sz w:val="20"/>
                <w:szCs w:val="20"/>
              </w:rPr>
            </w:pPr>
            <w:r>
              <w:rPr>
                <w:rFonts w:eastAsia="Calibri"/>
                <w:sz w:val="20"/>
                <w:szCs w:val="20"/>
              </w:rPr>
              <w:t>0</w:t>
            </w:r>
          </w:p>
        </w:tc>
        <w:tc>
          <w:tcPr>
            <w:tcW w:w="1530" w:type="dxa"/>
            <w:shd w:val="clear" w:color="auto" w:fill="auto"/>
          </w:tcPr>
          <w:p w:rsidR="002B6A7C" w14:paraId="3C076507" w14:textId="11AEBB13">
            <w:pPr>
              <w:spacing w:after="200"/>
              <w:jc w:val="right"/>
              <w:rPr>
                <w:rFonts w:eastAsia="Calibri"/>
                <w:sz w:val="20"/>
                <w:szCs w:val="20"/>
              </w:rPr>
            </w:pPr>
            <w:r>
              <w:rPr>
                <w:rFonts w:eastAsia="Calibri"/>
                <w:sz w:val="20"/>
                <w:szCs w:val="20"/>
              </w:rPr>
              <w:t>-3,352</w:t>
            </w:r>
          </w:p>
        </w:tc>
        <w:tc>
          <w:tcPr>
            <w:tcW w:w="2682" w:type="dxa"/>
            <w:shd w:val="clear" w:color="auto" w:fill="auto"/>
          </w:tcPr>
          <w:p w:rsidR="002B6A7C" w14:paraId="02BB9823" w14:textId="0343A6EB">
            <w:pPr>
              <w:spacing w:after="200"/>
              <w:rPr>
                <w:rFonts w:eastAsia="Calibri"/>
                <w:sz w:val="20"/>
                <w:szCs w:val="20"/>
              </w:rPr>
            </w:pPr>
            <w:r>
              <w:rPr>
                <w:rFonts w:eastAsia="Calibri"/>
                <w:sz w:val="20"/>
                <w:szCs w:val="20"/>
              </w:rPr>
              <w:t xml:space="preserve">Burden related to this IC has been incorporated </w:t>
            </w:r>
            <w:r w:rsidR="00692C58">
              <w:rPr>
                <w:rFonts w:eastAsia="Calibri"/>
                <w:sz w:val="20"/>
                <w:szCs w:val="20"/>
              </w:rPr>
              <w:t xml:space="preserve">into the line for </w:t>
            </w:r>
            <w:r w:rsidR="00B46AE1">
              <w:rPr>
                <w:rFonts w:eastAsia="Calibri"/>
                <w:sz w:val="20"/>
                <w:szCs w:val="20"/>
              </w:rPr>
              <w:t xml:space="preserve">§ </w:t>
            </w:r>
            <w:r w:rsidR="00692C58">
              <w:rPr>
                <w:rFonts w:eastAsia="Calibri"/>
                <w:sz w:val="20"/>
                <w:szCs w:val="20"/>
              </w:rPr>
              <w:t xml:space="preserve">1.1330. </w:t>
            </w:r>
          </w:p>
        </w:tc>
      </w:tr>
      <w:tr w14:paraId="47FAF420" w14:textId="77777777">
        <w:tblPrEx>
          <w:tblW w:w="0" w:type="auto"/>
          <w:tblLook w:val="04A0"/>
        </w:tblPrEx>
        <w:tc>
          <w:tcPr>
            <w:tcW w:w="2088" w:type="dxa"/>
            <w:shd w:val="clear" w:color="auto" w:fill="auto"/>
          </w:tcPr>
          <w:p w:rsidR="002B6A7C" w14:paraId="1E24B1DE" w14:textId="41ACB81E">
            <w:pPr>
              <w:spacing w:after="200"/>
              <w:rPr>
                <w:rFonts w:eastAsia="Calibri"/>
                <w:sz w:val="20"/>
                <w:szCs w:val="20"/>
              </w:rPr>
            </w:pPr>
            <w:r>
              <w:rPr>
                <w:rFonts w:eastAsia="Calibri"/>
                <w:sz w:val="20"/>
                <w:szCs w:val="20"/>
              </w:rPr>
              <w:t>1.1325</w:t>
            </w:r>
            <w:r w:rsidR="00C92C7B">
              <w:rPr>
                <w:rFonts w:eastAsia="Calibri"/>
                <w:sz w:val="20"/>
                <w:szCs w:val="20"/>
              </w:rPr>
              <w:t xml:space="preserve">; </w:t>
            </w:r>
            <w:r w:rsidR="00754344">
              <w:rPr>
                <w:rFonts w:eastAsia="Calibri"/>
                <w:sz w:val="20"/>
                <w:szCs w:val="20"/>
              </w:rPr>
              <w:t>h</w:t>
            </w:r>
            <w:r w:rsidR="004A6921">
              <w:rPr>
                <w:rFonts w:eastAsia="Calibri"/>
                <w:sz w:val="20"/>
                <w:szCs w:val="20"/>
              </w:rPr>
              <w:t xml:space="preserve">arvester and </w:t>
            </w:r>
            <w:r w:rsidR="00754344">
              <w:rPr>
                <w:rFonts w:eastAsia="Calibri"/>
                <w:sz w:val="20"/>
                <w:szCs w:val="20"/>
              </w:rPr>
              <w:t>c</w:t>
            </w:r>
            <w:r w:rsidR="004A6921">
              <w:rPr>
                <w:rFonts w:eastAsia="Calibri"/>
                <w:sz w:val="20"/>
                <w:szCs w:val="20"/>
              </w:rPr>
              <w:t>ooler</w:t>
            </w:r>
          </w:p>
        </w:tc>
        <w:tc>
          <w:tcPr>
            <w:tcW w:w="1800" w:type="dxa"/>
            <w:shd w:val="clear" w:color="auto" w:fill="auto"/>
          </w:tcPr>
          <w:p w:rsidR="002B6A7C" w14:paraId="00C86712" w14:textId="5E7A0C15">
            <w:pPr>
              <w:spacing w:after="200"/>
              <w:jc w:val="right"/>
              <w:rPr>
                <w:rFonts w:eastAsia="Calibri"/>
                <w:sz w:val="20"/>
                <w:szCs w:val="20"/>
              </w:rPr>
            </w:pPr>
            <w:r>
              <w:rPr>
                <w:rFonts w:eastAsia="Calibri"/>
                <w:sz w:val="20"/>
                <w:szCs w:val="20"/>
              </w:rPr>
              <w:t>165,295</w:t>
            </w:r>
          </w:p>
        </w:tc>
        <w:tc>
          <w:tcPr>
            <w:tcW w:w="1620" w:type="dxa"/>
            <w:shd w:val="clear" w:color="auto" w:fill="auto"/>
          </w:tcPr>
          <w:p w:rsidR="002B6A7C" w14:paraId="2326D3B7" w14:textId="372D4ECE">
            <w:pPr>
              <w:spacing w:after="200"/>
              <w:jc w:val="right"/>
              <w:rPr>
                <w:rFonts w:eastAsia="Calibri"/>
                <w:sz w:val="20"/>
                <w:szCs w:val="20"/>
              </w:rPr>
            </w:pPr>
            <w:r>
              <w:rPr>
                <w:rFonts w:eastAsia="Calibri"/>
                <w:sz w:val="20"/>
                <w:szCs w:val="20"/>
              </w:rPr>
              <w:t>385,193</w:t>
            </w:r>
          </w:p>
        </w:tc>
        <w:tc>
          <w:tcPr>
            <w:tcW w:w="1530" w:type="dxa"/>
            <w:shd w:val="clear" w:color="auto" w:fill="auto"/>
          </w:tcPr>
          <w:p w:rsidR="002B6A7C" w14:paraId="2394D379" w14:textId="6989488A">
            <w:pPr>
              <w:spacing w:after="200"/>
              <w:jc w:val="right"/>
              <w:rPr>
                <w:rFonts w:eastAsia="Calibri"/>
                <w:sz w:val="20"/>
                <w:szCs w:val="20"/>
              </w:rPr>
            </w:pPr>
            <w:r>
              <w:rPr>
                <w:rFonts w:eastAsia="Calibri"/>
                <w:sz w:val="20"/>
                <w:szCs w:val="20"/>
              </w:rPr>
              <w:t>+</w:t>
            </w:r>
            <w:r w:rsidR="009A7AE8">
              <w:rPr>
                <w:rFonts w:eastAsia="Calibri"/>
                <w:sz w:val="20"/>
                <w:szCs w:val="20"/>
              </w:rPr>
              <w:t>219,898</w:t>
            </w:r>
          </w:p>
        </w:tc>
        <w:tc>
          <w:tcPr>
            <w:tcW w:w="2682" w:type="dxa"/>
            <w:shd w:val="clear" w:color="auto" w:fill="auto"/>
          </w:tcPr>
          <w:p w:rsidR="002B6A7C" w14:paraId="1F818C95" w14:textId="58345AFC">
            <w:pPr>
              <w:spacing w:after="200"/>
              <w:rPr>
                <w:rFonts w:eastAsia="Calibri"/>
                <w:sz w:val="20"/>
                <w:szCs w:val="20"/>
              </w:rPr>
            </w:pPr>
            <w:r>
              <w:rPr>
                <w:rFonts w:eastAsia="Calibri"/>
                <w:sz w:val="20"/>
                <w:szCs w:val="20"/>
              </w:rPr>
              <w:t>T</w:t>
            </w:r>
            <w:r w:rsidR="00F9084B">
              <w:rPr>
                <w:rFonts w:eastAsia="Calibri"/>
                <w:sz w:val="20"/>
                <w:szCs w:val="20"/>
              </w:rPr>
              <w:t>he a</w:t>
            </w:r>
            <w:r>
              <w:rPr>
                <w:rFonts w:eastAsia="Calibri"/>
                <w:sz w:val="20"/>
                <w:szCs w:val="20"/>
              </w:rPr>
              <w:t xml:space="preserve">verage </w:t>
            </w:r>
            <w:r w:rsidR="00F9084B">
              <w:rPr>
                <w:rFonts w:eastAsia="Calibri"/>
                <w:sz w:val="20"/>
                <w:szCs w:val="20"/>
              </w:rPr>
              <w:t>b</w:t>
            </w:r>
            <w:r>
              <w:rPr>
                <w:rFonts w:eastAsia="Calibri"/>
                <w:sz w:val="20"/>
                <w:szCs w:val="20"/>
              </w:rPr>
              <w:t xml:space="preserve">urden per </w:t>
            </w:r>
            <w:r w:rsidR="00F9084B">
              <w:rPr>
                <w:rFonts w:eastAsia="Calibri"/>
                <w:sz w:val="20"/>
                <w:szCs w:val="20"/>
              </w:rPr>
              <w:t>r</w:t>
            </w:r>
            <w:r>
              <w:rPr>
                <w:rFonts w:eastAsia="Calibri"/>
                <w:sz w:val="20"/>
                <w:szCs w:val="20"/>
              </w:rPr>
              <w:t>ecordkeeping</w:t>
            </w:r>
            <w:r w:rsidR="00F9084B">
              <w:rPr>
                <w:rFonts w:eastAsia="Calibri"/>
                <w:sz w:val="20"/>
                <w:szCs w:val="20"/>
              </w:rPr>
              <w:t xml:space="preserve"> has been updated from 1.8 minutes to 4 minutes per recordkeeping.</w:t>
            </w:r>
          </w:p>
        </w:tc>
      </w:tr>
      <w:tr w14:paraId="71F5FB70" w14:textId="77777777">
        <w:tblPrEx>
          <w:tblW w:w="0" w:type="auto"/>
          <w:tblLook w:val="04A0"/>
        </w:tblPrEx>
        <w:tc>
          <w:tcPr>
            <w:tcW w:w="2088" w:type="dxa"/>
            <w:shd w:val="clear" w:color="auto" w:fill="auto"/>
          </w:tcPr>
          <w:p w:rsidR="00AF21AB" w14:paraId="0C2F56C8" w14:textId="3426757E">
            <w:pPr>
              <w:spacing w:after="200"/>
              <w:rPr>
                <w:rFonts w:eastAsia="Calibri"/>
                <w:sz w:val="20"/>
                <w:szCs w:val="20"/>
              </w:rPr>
            </w:pPr>
            <w:r>
              <w:rPr>
                <w:rFonts w:eastAsia="Calibri"/>
                <w:sz w:val="20"/>
                <w:szCs w:val="20"/>
              </w:rPr>
              <w:t>1.1330; initial packer</w:t>
            </w:r>
          </w:p>
        </w:tc>
        <w:tc>
          <w:tcPr>
            <w:tcW w:w="1800" w:type="dxa"/>
            <w:shd w:val="clear" w:color="auto" w:fill="auto"/>
          </w:tcPr>
          <w:p w:rsidR="00AF21AB" w14:paraId="0F20F932" w14:textId="23E312BC">
            <w:pPr>
              <w:spacing w:after="200"/>
              <w:jc w:val="right"/>
              <w:rPr>
                <w:rFonts w:eastAsia="Calibri"/>
                <w:sz w:val="20"/>
                <w:szCs w:val="20"/>
              </w:rPr>
            </w:pPr>
            <w:r>
              <w:rPr>
                <w:rFonts w:eastAsia="Calibri"/>
                <w:sz w:val="20"/>
                <w:szCs w:val="20"/>
              </w:rPr>
              <w:t>72,634</w:t>
            </w:r>
          </w:p>
        </w:tc>
        <w:tc>
          <w:tcPr>
            <w:tcW w:w="1620" w:type="dxa"/>
            <w:shd w:val="clear" w:color="auto" w:fill="auto"/>
          </w:tcPr>
          <w:p w:rsidR="00AF21AB" w14:paraId="7F04B206" w14:textId="43A18A15">
            <w:pPr>
              <w:spacing w:after="200"/>
              <w:jc w:val="right"/>
              <w:rPr>
                <w:rFonts w:eastAsia="Calibri"/>
                <w:sz w:val="20"/>
                <w:szCs w:val="20"/>
              </w:rPr>
            </w:pPr>
            <w:r>
              <w:rPr>
                <w:rFonts w:eastAsia="Calibri"/>
                <w:sz w:val="20"/>
                <w:szCs w:val="20"/>
              </w:rPr>
              <w:t>261,152</w:t>
            </w:r>
          </w:p>
        </w:tc>
        <w:tc>
          <w:tcPr>
            <w:tcW w:w="1530" w:type="dxa"/>
            <w:shd w:val="clear" w:color="auto" w:fill="auto"/>
          </w:tcPr>
          <w:p w:rsidR="00AF21AB" w14:paraId="722E9F97" w14:textId="49755502">
            <w:pPr>
              <w:spacing w:after="200"/>
              <w:jc w:val="right"/>
              <w:rPr>
                <w:rFonts w:eastAsia="Calibri"/>
                <w:sz w:val="20"/>
                <w:szCs w:val="20"/>
              </w:rPr>
            </w:pPr>
            <w:r>
              <w:rPr>
                <w:rFonts w:eastAsia="Calibri"/>
                <w:sz w:val="20"/>
                <w:szCs w:val="20"/>
              </w:rPr>
              <w:t>+188,518</w:t>
            </w:r>
          </w:p>
        </w:tc>
        <w:tc>
          <w:tcPr>
            <w:tcW w:w="2682" w:type="dxa"/>
            <w:shd w:val="clear" w:color="auto" w:fill="auto"/>
          </w:tcPr>
          <w:p w:rsidR="00AF21AB" w14:paraId="01AD572D" w14:textId="576143B0">
            <w:pPr>
              <w:spacing w:after="200"/>
              <w:rPr>
                <w:rFonts w:eastAsia="Calibri"/>
                <w:sz w:val="20"/>
                <w:szCs w:val="20"/>
              </w:rPr>
            </w:pPr>
            <w:r>
              <w:rPr>
                <w:rFonts w:eastAsia="Calibri"/>
                <w:sz w:val="20"/>
                <w:szCs w:val="20"/>
              </w:rPr>
              <w:t>The average burden per recordkeeping has been updated from 1.2 minutes to 4 minutes per recordkeeping.  Further</w:t>
            </w:r>
            <w:r w:rsidR="00C60482">
              <w:rPr>
                <w:rFonts w:eastAsia="Calibri"/>
                <w:sz w:val="20"/>
                <w:szCs w:val="20"/>
              </w:rPr>
              <w:t>, the burden sep</w:t>
            </w:r>
            <w:r w:rsidR="00DE127F">
              <w:rPr>
                <w:rFonts w:eastAsia="Calibri"/>
                <w:sz w:val="20"/>
                <w:szCs w:val="20"/>
              </w:rPr>
              <w:t>a</w:t>
            </w:r>
            <w:r w:rsidR="00C60482">
              <w:rPr>
                <w:rFonts w:eastAsia="Calibri"/>
                <w:sz w:val="20"/>
                <w:szCs w:val="20"/>
              </w:rPr>
              <w:t>rate</w:t>
            </w:r>
            <w:r w:rsidR="00DE127F">
              <w:rPr>
                <w:rFonts w:eastAsia="Calibri"/>
                <w:sz w:val="20"/>
                <w:szCs w:val="20"/>
              </w:rPr>
              <w:t xml:space="preserve">ly </w:t>
            </w:r>
            <w:r w:rsidR="00C60482">
              <w:rPr>
                <w:rFonts w:eastAsia="Calibri"/>
                <w:sz w:val="20"/>
                <w:szCs w:val="20"/>
              </w:rPr>
              <w:t>attributed to seed lot records</w:t>
            </w:r>
            <w:r w:rsidR="00DE127F">
              <w:rPr>
                <w:rFonts w:eastAsia="Calibri"/>
                <w:sz w:val="20"/>
                <w:szCs w:val="20"/>
              </w:rPr>
              <w:t xml:space="preserve"> has been included here.</w:t>
            </w:r>
            <w:r w:rsidR="00C60482">
              <w:rPr>
                <w:rFonts w:eastAsia="Calibri"/>
                <w:sz w:val="20"/>
                <w:szCs w:val="20"/>
              </w:rPr>
              <w:t xml:space="preserve"> </w:t>
            </w:r>
          </w:p>
        </w:tc>
      </w:tr>
      <w:tr w14:paraId="7FA46E16" w14:textId="77777777">
        <w:tblPrEx>
          <w:tblW w:w="0" w:type="auto"/>
          <w:tblLook w:val="04A0"/>
        </w:tblPrEx>
        <w:tc>
          <w:tcPr>
            <w:tcW w:w="2088" w:type="dxa"/>
            <w:shd w:val="clear" w:color="auto" w:fill="auto"/>
          </w:tcPr>
          <w:p w:rsidR="00AF21AB" w14:paraId="7F32078C" w14:textId="323C5485">
            <w:pPr>
              <w:spacing w:after="200"/>
              <w:rPr>
                <w:rFonts w:eastAsia="Calibri"/>
                <w:sz w:val="20"/>
                <w:szCs w:val="20"/>
              </w:rPr>
            </w:pPr>
            <w:r>
              <w:rPr>
                <w:rFonts w:eastAsia="Calibri"/>
                <w:sz w:val="20"/>
                <w:szCs w:val="20"/>
              </w:rPr>
              <w:t>1.1335; first land-based receiver</w:t>
            </w:r>
          </w:p>
        </w:tc>
        <w:tc>
          <w:tcPr>
            <w:tcW w:w="1800" w:type="dxa"/>
            <w:shd w:val="clear" w:color="auto" w:fill="auto"/>
          </w:tcPr>
          <w:p w:rsidR="00AF21AB" w14:paraId="3D587A26" w14:textId="5DBAC246">
            <w:pPr>
              <w:spacing w:after="200"/>
              <w:jc w:val="right"/>
              <w:rPr>
                <w:rFonts w:eastAsia="Calibri"/>
                <w:sz w:val="20"/>
                <w:szCs w:val="20"/>
              </w:rPr>
            </w:pPr>
            <w:r>
              <w:rPr>
                <w:rFonts w:eastAsia="Calibri"/>
                <w:sz w:val="20"/>
                <w:szCs w:val="20"/>
              </w:rPr>
              <w:t>10,797</w:t>
            </w:r>
          </w:p>
        </w:tc>
        <w:tc>
          <w:tcPr>
            <w:tcW w:w="1620" w:type="dxa"/>
            <w:shd w:val="clear" w:color="auto" w:fill="auto"/>
          </w:tcPr>
          <w:p w:rsidR="00AF21AB" w14:paraId="0652DA0D" w14:textId="1EA669C4">
            <w:pPr>
              <w:spacing w:after="200"/>
              <w:jc w:val="right"/>
              <w:rPr>
                <w:rFonts w:eastAsia="Calibri"/>
                <w:sz w:val="20"/>
                <w:szCs w:val="20"/>
              </w:rPr>
            </w:pPr>
            <w:r>
              <w:rPr>
                <w:rFonts w:eastAsia="Calibri"/>
                <w:sz w:val="20"/>
                <w:szCs w:val="20"/>
              </w:rPr>
              <w:t>16,196</w:t>
            </w:r>
          </w:p>
        </w:tc>
        <w:tc>
          <w:tcPr>
            <w:tcW w:w="1530" w:type="dxa"/>
            <w:shd w:val="clear" w:color="auto" w:fill="auto"/>
          </w:tcPr>
          <w:p w:rsidR="00AF21AB" w14:paraId="3383DAD2" w14:textId="1F36A3FF">
            <w:pPr>
              <w:spacing w:after="200"/>
              <w:jc w:val="right"/>
              <w:rPr>
                <w:rFonts w:eastAsia="Calibri"/>
                <w:sz w:val="20"/>
                <w:szCs w:val="20"/>
              </w:rPr>
            </w:pPr>
            <w:r>
              <w:rPr>
                <w:rFonts w:eastAsia="Calibri"/>
                <w:sz w:val="20"/>
                <w:szCs w:val="20"/>
              </w:rPr>
              <w:t>+</w:t>
            </w:r>
            <w:r w:rsidR="00456B2D">
              <w:rPr>
                <w:rFonts w:eastAsia="Calibri"/>
                <w:sz w:val="20"/>
                <w:szCs w:val="20"/>
              </w:rPr>
              <w:t>5,399</w:t>
            </w:r>
          </w:p>
        </w:tc>
        <w:tc>
          <w:tcPr>
            <w:tcW w:w="2682" w:type="dxa"/>
            <w:shd w:val="clear" w:color="auto" w:fill="auto"/>
          </w:tcPr>
          <w:p w:rsidR="00AF21AB" w14:paraId="646E89AC" w14:textId="40F42E44">
            <w:pPr>
              <w:spacing w:after="200"/>
              <w:rPr>
                <w:rFonts w:eastAsia="Calibri"/>
                <w:sz w:val="20"/>
                <w:szCs w:val="20"/>
              </w:rPr>
            </w:pPr>
            <w:r>
              <w:rPr>
                <w:rFonts w:eastAsia="Calibri"/>
                <w:sz w:val="20"/>
                <w:szCs w:val="20"/>
              </w:rPr>
              <w:t>The average burden per recordkeeping has been updated from 1.</w:t>
            </w:r>
            <w:r w:rsidR="00BC4D4D">
              <w:rPr>
                <w:rFonts w:eastAsia="Calibri"/>
                <w:sz w:val="20"/>
                <w:szCs w:val="20"/>
              </w:rPr>
              <w:t>1</w:t>
            </w:r>
            <w:r>
              <w:rPr>
                <w:rFonts w:eastAsia="Calibri"/>
                <w:sz w:val="20"/>
                <w:szCs w:val="20"/>
              </w:rPr>
              <w:t xml:space="preserve"> minutes to </w:t>
            </w:r>
            <w:r w:rsidR="00BC4D4D">
              <w:rPr>
                <w:rFonts w:eastAsia="Calibri"/>
                <w:sz w:val="20"/>
                <w:szCs w:val="20"/>
              </w:rPr>
              <w:t>2</w:t>
            </w:r>
            <w:r>
              <w:rPr>
                <w:rFonts w:eastAsia="Calibri"/>
                <w:sz w:val="20"/>
                <w:szCs w:val="20"/>
              </w:rPr>
              <w:t xml:space="preserve"> minutes per recordkeeping.  </w:t>
            </w:r>
          </w:p>
        </w:tc>
      </w:tr>
      <w:tr w14:paraId="6C6EA65C" w14:textId="77777777">
        <w:tblPrEx>
          <w:tblW w:w="0" w:type="auto"/>
          <w:tblLook w:val="04A0"/>
        </w:tblPrEx>
        <w:tc>
          <w:tcPr>
            <w:tcW w:w="2088" w:type="dxa"/>
            <w:shd w:val="clear" w:color="auto" w:fill="auto"/>
          </w:tcPr>
          <w:p w:rsidR="00AF21AB" w14:paraId="4138A95F" w14:textId="3025E457">
            <w:pPr>
              <w:spacing w:after="200"/>
              <w:rPr>
                <w:rFonts w:eastAsia="Calibri"/>
                <w:sz w:val="20"/>
                <w:szCs w:val="20"/>
              </w:rPr>
            </w:pPr>
            <w:r>
              <w:rPr>
                <w:rFonts w:eastAsia="Calibri"/>
                <w:sz w:val="20"/>
                <w:szCs w:val="20"/>
              </w:rPr>
              <w:t>1.1340</w:t>
            </w:r>
            <w:r w:rsidR="002D22AD">
              <w:rPr>
                <w:rFonts w:eastAsia="Calibri"/>
                <w:sz w:val="20"/>
                <w:szCs w:val="20"/>
              </w:rPr>
              <w:t xml:space="preserve"> and 1.</w:t>
            </w:r>
            <w:r w:rsidR="00594B51">
              <w:rPr>
                <w:rFonts w:eastAsia="Calibri"/>
                <w:sz w:val="20"/>
                <w:szCs w:val="20"/>
              </w:rPr>
              <w:t>1345</w:t>
            </w:r>
            <w:r>
              <w:rPr>
                <w:rFonts w:eastAsia="Calibri"/>
                <w:sz w:val="20"/>
                <w:szCs w:val="20"/>
              </w:rPr>
              <w:t>; shipper</w:t>
            </w:r>
            <w:r w:rsidR="002D22AD">
              <w:rPr>
                <w:rFonts w:eastAsia="Calibri"/>
                <w:sz w:val="20"/>
                <w:szCs w:val="20"/>
              </w:rPr>
              <w:t xml:space="preserve"> and </w:t>
            </w:r>
            <w:r w:rsidR="002D22AD">
              <w:rPr>
                <w:sz w:val="20"/>
              </w:rPr>
              <w:t>receiver</w:t>
            </w:r>
          </w:p>
        </w:tc>
        <w:tc>
          <w:tcPr>
            <w:tcW w:w="1800" w:type="dxa"/>
            <w:shd w:val="clear" w:color="auto" w:fill="auto"/>
          </w:tcPr>
          <w:p w:rsidR="00AF21AB" w14:paraId="35C6713D" w14:textId="0ACE83E5">
            <w:pPr>
              <w:spacing w:after="200"/>
              <w:jc w:val="right"/>
              <w:rPr>
                <w:rFonts w:eastAsia="Calibri"/>
                <w:sz w:val="20"/>
                <w:szCs w:val="20"/>
              </w:rPr>
            </w:pPr>
            <w:r>
              <w:rPr>
                <w:rFonts w:eastAsia="Calibri"/>
                <w:sz w:val="20"/>
                <w:szCs w:val="20"/>
              </w:rPr>
              <w:t>9,374,319</w:t>
            </w:r>
          </w:p>
        </w:tc>
        <w:tc>
          <w:tcPr>
            <w:tcW w:w="1620" w:type="dxa"/>
            <w:shd w:val="clear" w:color="auto" w:fill="auto"/>
          </w:tcPr>
          <w:p w:rsidR="00AF21AB" w14:paraId="18F2EED4" w14:textId="41F065FF">
            <w:pPr>
              <w:spacing w:after="200"/>
              <w:jc w:val="right"/>
              <w:rPr>
                <w:rFonts w:eastAsia="Calibri"/>
                <w:sz w:val="20"/>
                <w:szCs w:val="20"/>
              </w:rPr>
            </w:pPr>
            <w:r>
              <w:rPr>
                <w:rFonts w:eastAsia="Calibri"/>
                <w:sz w:val="20"/>
                <w:szCs w:val="20"/>
              </w:rPr>
              <w:t>17,770,800</w:t>
            </w:r>
          </w:p>
        </w:tc>
        <w:tc>
          <w:tcPr>
            <w:tcW w:w="1530" w:type="dxa"/>
            <w:shd w:val="clear" w:color="auto" w:fill="auto"/>
          </w:tcPr>
          <w:p w:rsidR="00AF21AB" w14:paraId="3AC1014D" w14:textId="0ADEC6E7">
            <w:pPr>
              <w:spacing w:after="200"/>
              <w:jc w:val="right"/>
              <w:rPr>
                <w:rFonts w:eastAsia="Calibri"/>
                <w:sz w:val="20"/>
                <w:szCs w:val="20"/>
              </w:rPr>
            </w:pPr>
            <w:r>
              <w:rPr>
                <w:rFonts w:eastAsia="Calibri"/>
                <w:sz w:val="20"/>
                <w:szCs w:val="20"/>
              </w:rPr>
              <w:t>+8,396,481</w:t>
            </w:r>
          </w:p>
        </w:tc>
        <w:tc>
          <w:tcPr>
            <w:tcW w:w="2682" w:type="dxa"/>
            <w:shd w:val="clear" w:color="auto" w:fill="auto"/>
          </w:tcPr>
          <w:p w:rsidR="00AF21AB" w14:paraId="195BA8FD" w14:textId="11542CAA">
            <w:pPr>
              <w:spacing w:after="200"/>
              <w:rPr>
                <w:rFonts w:eastAsia="Calibri"/>
                <w:sz w:val="20"/>
                <w:szCs w:val="20"/>
              </w:rPr>
            </w:pPr>
            <w:r>
              <w:rPr>
                <w:rFonts w:eastAsia="Calibri"/>
                <w:sz w:val="20"/>
                <w:szCs w:val="20"/>
              </w:rPr>
              <w:t xml:space="preserve">The lines </w:t>
            </w:r>
            <w:r>
              <w:rPr>
                <w:rFonts w:eastAsia="Calibri"/>
                <w:sz w:val="20"/>
                <w:szCs w:val="20"/>
              </w:rPr>
              <w:t xml:space="preserve">for </w:t>
            </w:r>
            <w:r w:rsidR="00A645B7">
              <w:rPr>
                <w:rFonts w:eastAsia="Calibri"/>
                <w:sz w:val="20"/>
                <w:szCs w:val="20"/>
              </w:rPr>
              <w:t>§§</w:t>
            </w:r>
            <w:r w:rsidR="00A645B7">
              <w:rPr>
                <w:rFonts w:eastAsia="Calibri"/>
                <w:sz w:val="20"/>
                <w:szCs w:val="20"/>
              </w:rPr>
              <w:t xml:space="preserve"> 1.1340 and 1.1345 were combined </w:t>
            </w:r>
            <w:r w:rsidR="0015654F">
              <w:rPr>
                <w:rFonts w:eastAsia="Calibri"/>
                <w:sz w:val="20"/>
                <w:szCs w:val="20"/>
              </w:rPr>
              <w:t xml:space="preserve">due to </w:t>
            </w:r>
            <w:r w:rsidR="0027142A">
              <w:rPr>
                <w:rFonts w:eastAsia="Calibri"/>
                <w:sz w:val="20"/>
                <w:szCs w:val="20"/>
              </w:rPr>
              <w:t>very similar</w:t>
            </w:r>
            <w:r w:rsidR="0015654F">
              <w:rPr>
                <w:rFonts w:eastAsia="Calibri"/>
                <w:sz w:val="20"/>
                <w:szCs w:val="20"/>
              </w:rPr>
              <w:t xml:space="preserve"> recordkeeping activit</w:t>
            </w:r>
            <w:r w:rsidR="0027142A">
              <w:rPr>
                <w:rFonts w:eastAsia="Calibri"/>
                <w:sz w:val="20"/>
                <w:szCs w:val="20"/>
              </w:rPr>
              <w:t>ies</w:t>
            </w:r>
            <w:r w:rsidR="0015654F">
              <w:rPr>
                <w:rFonts w:eastAsia="Calibri"/>
                <w:sz w:val="20"/>
                <w:szCs w:val="20"/>
              </w:rPr>
              <w:t xml:space="preserve">.  </w:t>
            </w:r>
            <w:r w:rsidR="005E1DB5">
              <w:rPr>
                <w:rFonts w:eastAsia="Calibri"/>
                <w:sz w:val="20"/>
                <w:szCs w:val="20"/>
              </w:rPr>
              <w:t xml:space="preserve">The average burden per recordkeeping has been updated from </w:t>
            </w:r>
            <w:r w:rsidR="00CD5245">
              <w:rPr>
                <w:rFonts w:eastAsia="Calibri"/>
                <w:sz w:val="20"/>
                <w:szCs w:val="20"/>
              </w:rPr>
              <w:t xml:space="preserve">22 seconds for </w:t>
            </w:r>
            <w:r w:rsidR="0076629D">
              <w:rPr>
                <w:rFonts w:eastAsia="Calibri"/>
                <w:sz w:val="20"/>
                <w:szCs w:val="20"/>
              </w:rPr>
              <w:t xml:space="preserve">§ </w:t>
            </w:r>
            <w:r w:rsidR="00CD5245">
              <w:rPr>
                <w:rFonts w:eastAsia="Calibri"/>
                <w:sz w:val="20"/>
                <w:szCs w:val="20"/>
              </w:rPr>
              <w:t xml:space="preserve">1.1340 and </w:t>
            </w:r>
            <w:r w:rsidR="0090211B">
              <w:rPr>
                <w:rFonts w:eastAsia="Calibri"/>
                <w:sz w:val="20"/>
                <w:szCs w:val="20"/>
              </w:rPr>
              <w:t xml:space="preserve">11 seconds for </w:t>
            </w:r>
            <w:r w:rsidR="0076629D">
              <w:rPr>
                <w:rFonts w:eastAsia="Calibri"/>
                <w:sz w:val="20"/>
                <w:szCs w:val="20"/>
              </w:rPr>
              <w:t xml:space="preserve">§ </w:t>
            </w:r>
            <w:r w:rsidR="0090211B">
              <w:rPr>
                <w:rFonts w:eastAsia="Calibri"/>
                <w:sz w:val="20"/>
                <w:szCs w:val="20"/>
              </w:rPr>
              <w:t>1.1345</w:t>
            </w:r>
            <w:r w:rsidR="005E1DB5">
              <w:rPr>
                <w:rFonts w:eastAsia="Calibri"/>
                <w:sz w:val="20"/>
                <w:szCs w:val="20"/>
              </w:rPr>
              <w:t xml:space="preserve"> to </w:t>
            </w:r>
            <w:r w:rsidR="0090211B">
              <w:rPr>
                <w:rFonts w:eastAsia="Calibri"/>
                <w:sz w:val="20"/>
                <w:szCs w:val="20"/>
              </w:rPr>
              <w:t>20 seconds</w:t>
            </w:r>
            <w:r w:rsidR="005E1DB5">
              <w:rPr>
                <w:rFonts w:eastAsia="Calibri"/>
                <w:sz w:val="20"/>
                <w:szCs w:val="20"/>
              </w:rPr>
              <w:t xml:space="preserve"> per recordkeeping</w:t>
            </w:r>
            <w:r w:rsidR="0076629D">
              <w:rPr>
                <w:rFonts w:eastAsia="Calibri"/>
                <w:sz w:val="20"/>
                <w:szCs w:val="20"/>
              </w:rPr>
              <w:t xml:space="preserve"> for both sections</w:t>
            </w:r>
            <w:r w:rsidR="005E1DB5">
              <w:rPr>
                <w:rFonts w:eastAsia="Calibri"/>
                <w:sz w:val="20"/>
                <w:szCs w:val="20"/>
              </w:rPr>
              <w:t xml:space="preserve">.  </w:t>
            </w:r>
          </w:p>
        </w:tc>
      </w:tr>
      <w:tr w14:paraId="58CE9C62" w14:textId="77777777">
        <w:tblPrEx>
          <w:tblW w:w="0" w:type="auto"/>
          <w:tblLook w:val="04A0"/>
        </w:tblPrEx>
        <w:tc>
          <w:tcPr>
            <w:tcW w:w="2088" w:type="dxa"/>
            <w:shd w:val="clear" w:color="auto" w:fill="auto"/>
          </w:tcPr>
          <w:p w:rsidR="00AF21AB" w14:paraId="3CC69036" w14:textId="5F646465">
            <w:pPr>
              <w:spacing w:after="200"/>
              <w:rPr>
                <w:rFonts w:eastAsia="Calibri"/>
                <w:sz w:val="20"/>
                <w:szCs w:val="20"/>
              </w:rPr>
            </w:pPr>
            <w:r>
              <w:rPr>
                <w:rFonts w:eastAsia="Calibri"/>
                <w:sz w:val="20"/>
                <w:szCs w:val="20"/>
              </w:rPr>
              <w:t>1.1350; transformer</w:t>
            </w:r>
          </w:p>
        </w:tc>
        <w:tc>
          <w:tcPr>
            <w:tcW w:w="1800" w:type="dxa"/>
            <w:shd w:val="clear" w:color="auto" w:fill="auto"/>
          </w:tcPr>
          <w:p w:rsidR="00AF21AB" w14:paraId="28972E34" w14:textId="4F36D39F">
            <w:pPr>
              <w:spacing w:after="200"/>
              <w:jc w:val="right"/>
              <w:rPr>
                <w:rFonts w:eastAsia="Calibri"/>
                <w:sz w:val="20"/>
                <w:szCs w:val="20"/>
              </w:rPr>
            </w:pPr>
            <w:r>
              <w:rPr>
                <w:rFonts w:eastAsia="Calibri"/>
                <w:sz w:val="20"/>
                <w:szCs w:val="20"/>
              </w:rPr>
              <w:t>188,799</w:t>
            </w:r>
          </w:p>
        </w:tc>
        <w:tc>
          <w:tcPr>
            <w:tcW w:w="1620" w:type="dxa"/>
            <w:shd w:val="clear" w:color="auto" w:fill="auto"/>
          </w:tcPr>
          <w:p w:rsidR="00AF21AB" w14:paraId="4AD4386A" w14:textId="62E970DD">
            <w:pPr>
              <w:spacing w:after="200"/>
              <w:jc w:val="right"/>
              <w:rPr>
                <w:rFonts w:eastAsia="Calibri"/>
                <w:sz w:val="20"/>
                <w:szCs w:val="20"/>
              </w:rPr>
            </w:pPr>
            <w:r>
              <w:rPr>
                <w:rFonts w:eastAsia="Calibri"/>
                <w:sz w:val="20"/>
                <w:szCs w:val="20"/>
              </w:rPr>
              <w:t>283,199</w:t>
            </w:r>
          </w:p>
        </w:tc>
        <w:tc>
          <w:tcPr>
            <w:tcW w:w="1530" w:type="dxa"/>
            <w:shd w:val="clear" w:color="auto" w:fill="auto"/>
          </w:tcPr>
          <w:p w:rsidR="00AF21AB" w14:paraId="4A8504D6" w14:textId="6079B408">
            <w:pPr>
              <w:spacing w:after="200"/>
              <w:jc w:val="right"/>
              <w:rPr>
                <w:rFonts w:eastAsia="Calibri"/>
                <w:sz w:val="20"/>
                <w:szCs w:val="20"/>
              </w:rPr>
            </w:pPr>
            <w:r>
              <w:rPr>
                <w:rFonts w:eastAsia="Calibri"/>
                <w:sz w:val="20"/>
                <w:szCs w:val="20"/>
              </w:rPr>
              <w:t>+94,400</w:t>
            </w:r>
          </w:p>
        </w:tc>
        <w:tc>
          <w:tcPr>
            <w:tcW w:w="2682" w:type="dxa"/>
            <w:shd w:val="clear" w:color="auto" w:fill="auto"/>
          </w:tcPr>
          <w:p w:rsidR="00AF21AB" w14:paraId="6C1766C6" w14:textId="0866D62F">
            <w:pPr>
              <w:spacing w:after="200"/>
              <w:rPr>
                <w:rFonts w:eastAsia="Calibri"/>
                <w:sz w:val="20"/>
                <w:szCs w:val="20"/>
              </w:rPr>
            </w:pPr>
            <w:r>
              <w:rPr>
                <w:rFonts w:eastAsia="Calibri"/>
                <w:sz w:val="20"/>
                <w:szCs w:val="20"/>
              </w:rPr>
              <w:t>The average burden per recordkeeping has been updated from 1.</w:t>
            </w:r>
            <w:r w:rsidR="00CA5062">
              <w:rPr>
                <w:rFonts w:eastAsia="Calibri"/>
                <w:sz w:val="20"/>
                <w:szCs w:val="20"/>
              </w:rPr>
              <w:t>2</w:t>
            </w:r>
            <w:r>
              <w:rPr>
                <w:rFonts w:eastAsia="Calibri"/>
                <w:sz w:val="20"/>
                <w:szCs w:val="20"/>
              </w:rPr>
              <w:t xml:space="preserve"> minutes to 2 minutes per recordkeeping.</w:t>
            </w:r>
          </w:p>
        </w:tc>
      </w:tr>
      <w:tr w14:paraId="7A651277" w14:textId="77777777">
        <w:tblPrEx>
          <w:tblW w:w="0" w:type="auto"/>
          <w:tblLook w:val="04A0"/>
        </w:tblPrEx>
        <w:tc>
          <w:tcPr>
            <w:tcW w:w="2088" w:type="dxa"/>
            <w:shd w:val="clear" w:color="auto" w:fill="auto"/>
          </w:tcPr>
          <w:p w:rsidR="00CA5062" w14:paraId="661FC9EC" w14:textId="7566B285">
            <w:pPr>
              <w:spacing w:after="200"/>
              <w:rPr>
                <w:rFonts w:eastAsia="Calibri"/>
                <w:sz w:val="20"/>
                <w:szCs w:val="20"/>
              </w:rPr>
            </w:pPr>
            <w:r>
              <w:rPr>
                <w:rFonts w:eastAsia="Calibri"/>
                <w:sz w:val="20"/>
                <w:szCs w:val="20"/>
              </w:rPr>
              <w:t xml:space="preserve">1.1455(c)(3)(ii); electronic sortable </w:t>
            </w:r>
            <w:r>
              <w:rPr>
                <w:rFonts w:eastAsia="Calibri"/>
                <w:sz w:val="20"/>
                <w:szCs w:val="20"/>
              </w:rPr>
              <w:t>spreadsheet upon request</w:t>
            </w:r>
          </w:p>
        </w:tc>
        <w:tc>
          <w:tcPr>
            <w:tcW w:w="1800" w:type="dxa"/>
            <w:shd w:val="clear" w:color="auto" w:fill="auto"/>
          </w:tcPr>
          <w:p w:rsidR="00CA5062" w14:paraId="6C925C0A" w14:textId="77FAA99A">
            <w:pPr>
              <w:spacing w:after="200"/>
              <w:jc w:val="right"/>
              <w:rPr>
                <w:rFonts w:eastAsia="Calibri"/>
                <w:sz w:val="20"/>
                <w:szCs w:val="20"/>
              </w:rPr>
            </w:pPr>
            <w:r>
              <w:rPr>
                <w:rFonts w:eastAsia="Calibri"/>
                <w:sz w:val="20"/>
                <w:szCs w:val="20"/>
              </w:rPr>
              <w:t>1,200</w:t>
            </w:r>
          </w:p>
        </w:tc>
        <w:tc>
          <w:tcPr>
            <w:tcW w:w="1620" w:type="dxa"/>
            <w:shd w:val="clear" w:color="auto" w:fill="auto"/>
          </w:tcPr>
          <w:p w:rsidR="00CA5062" w14:paraId="45E1EEC2" w14:textId="1386DF46">
            <w:pPr>
              <w:spacing w:after="200"/>
              <w:jc w:val="right"/>
              <w:rPr>
                <w:rFonts w:eastAsia="Calibri"/>
                <w:sz w:val="20"/>
                <w:szCs w:val="20"/>
              </w:rPr>
            </w:pPr>
            <w:r>
              <w:rPr>
                <w:rFonts w:eastAsia="Calibri"/>
                <w:sz w:val="20"/>
                <w:szCs w:val="20"/>
              </w:rPr>
              <w:t>0</w:t>
            </w:r>
          </w:p>
        </w:tc>
        <w:tc>
          <w:tcPr>
            <w:tcW w:w="1530" w:type="dxa"/>
            <w:shd w:val="clear" w:color="auto" w:fill="auto"/>
          </w:tcPr>
          <w:p w:rsidR="00CA5062" w14:paraId="07915D86" w14:textId="06B8B0A8">
            <w:pPr>
              <w:spacing w:after="200"/>
              <w:jc w:val="right"/>
              <w:rPr>
                <w:rFonts w:eastAsia="Calibri"/>
                <w:sz w:val="20"/>
                <w:szCs w:val="20"/>
              </w:rPr>
            </w:pPr>
            <w:r>
              <w:rPr>
                <w:rFonts w:eastAsia="Calibri"/>
                <w:sz w:val="20"/>
                <w:szCs w:val="20"/>
              </w:rPr>
              <w:t>-1,200</w:t>
            </w:r>
          </w:p>
        </w:tc>
        <w:tc>
          <w:tcPr>
            <w:tcW w:w="2682" w:type="dxa"/>
            <w:shd w:val="clear" w:color="auto" w:fill="auto"/>
          </w:tcPr>
          <w:p w:rsidR="00CA5062" w14:paraId="6EBD975F" w14:textId="7FDB2511">
            <w:pPr>
              <w:spacing w:after="200"/>
              <w:rPr>
                <w:rFonts w:eastAsia="Calibri"/>
                <w:sz w:val="20"/>
                <w:szCs w:val="20"/>
              </w:rPr>
            </w:pPr>
            <w:r>
              <w:rPr>
                <w:rFonts w:eastAsia="Calibri"/>
                <w:sz w:val="20"/>
                <w:szCs w:val="20"/>
              </w:rPr>
              <w:t xml:space="preserve">Section 1.1455(c)(3)(ii) applies to an investigation, audit, or action after a case file is opened for a specific </w:t>
            </w:r>
            <w:r>
              <w:rPr>
                <w:rFonts w:eastAsia="Calibri"/>
                <w:sz w:val="20"/>
                <w:szCs w:val="20"/>
              </w:rPr>
              <w:t xml:space="preserve">party, which </w:t>
            </w:r>
            <w:r w:rsidR="00AB21CC">
              <w:rPr>
                <w:rFonts w:eastAsia="Calibri"/>
                <w:sz w:val="20"/>
                <w:szCs w:val="20"/>
              </w:rPr>
              <w:t>5 CFR 1320.4(a)(2)</w:t>
            </w:r>
            <w:r>
              <w:rPr>
                <w:rFonts w:eastAsia="Calibri"/>
                <w:sz w:val="20"/>
                <w:szCs w:val="20"/>
              </w:rPr>
              <w:t xml:space="preserve"> exempt</w:t>
            </w:r>
            <w:r w:rsidR="00AB21CC">
              <w:rPr>
                <w:rFonts w:eastAsia="Calibri"/>
                <w:sz w:val="20"/>
                <w:szCs w:val="20"/>
              </w:rPr>
              <w:t>s</w:t>
            </w:r>
            <w:r>
              <w:rPr>
                <w:rFonts w:eastAsia="Calibri"/>
                <w:sz w:val="20"/>
                <w:szCs w:val="20"/>
              </w:rPr>
              <w:t xml:space="preserve"> from OMB review</w:t>
            </w:r>
            <w:r w:rsidR="00AB21CC">
              <w:rPr>
                <w:rFonts w:eastAsia="Calibri"/>
                <w:sz w:val="20"/>
                <w:szCs w:val="20"/>
              </w:rPr>
              <w:t>.</w:t>
            </w:r>
          </w:p>
        </w:tc>
      </w:tr>
      <w:tr w14:paraId="102EBB86" w14:textId="77777777">
        <w:tblPrEx>
          <w:tblW w:w="0" w:type="auto"/>
          <w:tblLook w:val="04A0"/>
        </w:tblPrEx>
        <w:tc>
          <w:tcPr>
            <w:tcW w:w="2088" w:type="dxa"/>
            <w:shd w:val="clear" w:color="auto" w:fill="auto"/>
          </w:tcPr>
          <w:p w:rsidR="00CA5062" w14:paraId="6E0AD50D" w14:textId="77C97D33">
            <w:pPr>
              <w:spacing w:after="200"/>
              <w:rPr>
                <w:rFonts w:eastAsia="Calibri"/>
                <w:sz w:val="20"/>
                <w:szCs w:val="20"/>
              </w:rPr>
            </w:pPr>
            <w:r>
              <w:rPr>
                <w:rFonts w:eastAsia="Calibri"/>
                <w:sz w:val="20"/>
                <w:szCs w:val="20"/>
              </w:rPr>
              <w:t>Total</w:t>
            </w:r>
          </w:p>
        </w:tc>
        <w:tc>
          <w:tcPr>
            <w:tcW w:w="1800" w:type="dxa"/>
            <w:shd w:val="clear" w:color="auto" w:fill="auto"/>
          </w:tcPr>
          <w:p w:rsidR="00CA5062" w14:paraId="309C48D6" w14:textId="49921D84">
            <w:pPr>
              <w:spacing w:after="200"/>
              <w:jc w:val="right"/>
              <w:rPr>
                <w:rFonts w:eastAsia="Calibri"/>
                <w:sz w:val="20"/>
                <w:szCs w:val="20"/>
              </w:rPr>
            </w:pPr>
            <w:r>
              <w:rPr>
                <w:rFonts w:eastAsia="Calibri"/>
                <w:sz w:val="20"/>
                <w:szCs w:val="20"/>
              </w:rPr>
              <w:t>18,844,</w:t>
            </w:r>
            <w:r w:rsidR="00D95C02">
              <w:rPr>
                <w:rFonts w:eastAsia="Calibri"/>
                <w:sz w:val="20"/>
                <w:szCs w:val="20"/>
              </w:rPr>
              <w:t>6</w:t>
            </w:r>
            <w:r>
              <w:rPr>
                <w:rFonts w:eastAsia="Calibri"/>
                <w:sz w:val="20"/>
                <w:szCs w:val="20"/>
              </w:rPr>
              <w:t>36</w:t>
            </w:r>
          </w:p>
        </w:tc>
        <w:tc>
          <w:tcPr>
            <w:tcW w:w="1620" w:type="dxa"/>
            <w:shd w:val="clear" w:color="auto" w:fill="auto"/>
          </w:tcPr>
          <w:p w:rsidR="00CA5062" w14:paraId="76A30FFB" w14:textId="559215DA">
            <w:pPr>
              <w:spacing w:after="200"/>
              <w:jc w:val="right"/>
              <w:rPr>
                <w:rFonts w:eastAsia="Calibri"/>
                <w:sz w:val="20"/>
                <w:szCs w:val="20"/>
              </w:rPr>
            </w:pPr>
            <w:r>
              <w:rPr>
                <w:rFonts w:eastAsia="Calibri"/>
                <w:sz w:val="20"/>
                <w:szCs w:val="20"/>
              </w:rPr>
              <w:t>23,071,935</w:t>
            </w:r>
          </w:p>
        </w:tc>
        <w:tc>
          <w:tcPr>
            <w:tcW w:w="1530" w:type="dxa"/>
            <w:shd w:val="clear" w:color="auto" w:fill="auto"/>
          </w:tcPr>
          <w:p w:rsidR="00CA5062" w14:paraId="68A91302" w14:textId="3F57D443">
            <w:pPr>
              <w:spacing w:after="200"/>
              <w:jc w:val="right"/>
              <w:rPr>
                <w:rFonts w:eastAsia="Calibri"/>
                <w:sz w:val="20"/>
                <w:szCs w:val="20"/>
              </w:rPr>
            </w:pPr>
            <w:r>
              <w:rPr>
                <w:rFonts w:eastAsia="Calibri"/>
                <w:sz w:val="20"/>
                <w:szCs w:val="20"/>
              </w:rPr>
              <w:t>+</w:t>
            </w:r>
            <w:r w:rsidR="00717935">
              <w:rPr>
                <w:rFonts w:eastAsia="Calibri"/>
                <w:sz w:val="20"/>
                <w:szCs w:val="20"/>
              </w:rPr>
              <w:t>4,227,299</w:t>
            </w:r>
          </w:p>
        </w:tc>
        <w:tc>
          <w:tcPr>
            <w:tcW w:w="2682" w:type="dxa"/>
            <w:shd w:val="clear" w:color="auto" w:fill="auto"/>
          </w:tcPr>
          <w:p w:rsidR="00CA5062" w14:paraId="394B1343" w14:textId="77777777">
            <w:pPr>
              <w:spacing w:after="200"/>
              <w:rPr>
                <w:rFonts w:eastAsia="Calibri"/>
                <w:sz w:val="20"/>
                <w:szCs w:val="20"/>
              </w:rPr>
            </w:pPr>
          </w:p>
        </w:tc>
      </w:tr>
    </w:tbl>
    <w:p w:rsidR="0044374A" w:rsidRPr="000D1D38" w:rsidP="008F7462" w14:paraId="623944DA" w14:textId="77777777">
      <w:pPr>
        <w:rPr>
          <w:rFonts w:eastAsia="Calibri"/>
          <w:color w:val="000000"/>
        </w:rPr>
      </w:pPr>
    </w:p>
    <w:p w:rsidR="00357C8A" w:rsidRPr="00357C8A" w:rsidP="006705EA" w14:paraId="73B263F7"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0D1D38" w:rsidP="00357C8A" w14:paraId="1DB1E475" w14:textId="77777777">
      <w:pPr>
        <w:spacing w:after="200"/>
        <w:rPr>
          <w:rFonts w:eastAsia="Calibri"/>
          <w:color w:val="000000"/>
        </w:rPr>
      </w:pPr>
      <w:r w:rsidRPr="00A1203C">
        <w:t xml:space="preserve">The information </w:t>
      </w:r>
      <w:r>
        <w:t>c</w:t>
      </w:r>
      <w:r w:rsidRPr="00A1203C">
        <w:t>ollect</w:t>
      </w:r>
      <w:r>
        <w:t>ed</w:t>
      </w:r>
      <w:r w:rsidRPr="00A1203C">
        <w:t xml:space="preserve"> will not be published</w:t>
      </w:r>
      <w:r>
        <w:t xml:space="preserve"> or tabulated.</w:t>
      </w:r>
    </w:p>
    <w:p w:rsidR="00357C8A" w:rsidRPr="00357C8A" w:rsidP="006705EA" w14:paraId="4C961B5E"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0D1D38" w:rsidP="00357C8A" w14:paraId="35A4CE33" w14:textId="77777777">
      <w:pPr>
        <w:spacing w:after="200"/>
        <w:rPr>
          <w:rFonts w:eastAsia="Calibri"/>
          <w:color w:val="000000"/>
        </w:rPr>
      </w:pPr>
      <w:r>
        <w:rPr>
          <w:rFonts w:eastAsia="Calibri"/>
        </w:rPr>
        <w:t xml:space="preserve">FDA will </w:t>
      </w:r>
      <w:r w:rsidRPr="00A1203C">
        <w:rPr>
          <w:rFonts w:eastAsia="Calibri"/>
        </w:rPr>
        <w:t xml:space="preserve">display </w:t>
      </w:r>
      <w:r>
        <w:rPr>
          <w:rFonts w:eastAsia="Calibri"/>
        </w:rPr>
        <w:t xml:space="preserve">the OMB control no. </w:t>
      </w:r>
      <w:r w:rsidRPr="00A1203C">
        <w:rPr>
          <w:rFonts w:eastAsia="Calibri"/>
        </w:rPr>
        <w:t xml:space="preserve">expiration date </w:t>
      </w:r>
      <w:r>
        <w:rPr>
          <w:rFonts w:eastAsia="Calibri"/>
        </w:rPr>
        <w:t>and explain its significance to respondents as required under 5 CFR 1320.5</w:t>
      </w:r>
      <w:r w:rsidRPr="000D1D38">
        <w:rPr>
          <w:rFonts w:eastAsia="Calibri"/>
          <w:color w:val="000000"/>
        </w:rPr>
        <w:t>.</w:t>
      </w:r>
      <w:r w:rsidRPr="000D1D38">
        <w:rPr>
          <w:rFonts w:eastAsia="Calibri"/>
          <w:color w:val="000000"/>
          <w:u w:val="single"/>
        </w:rPr>
        <w:t xml:space="preserve"> </w:t>
      </w:r>
    </w:p>
    <w:p w:rsidR="00357C8A" w:rsidRPr="00357C8A" w:rsidP="006705EA" w14:paraId="0E874755"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857F7F" w:rsidP="00857F7F" w14:paraId="76C84252" w14:textId="77777777">
      <w:pPr>
        <w:spacing w:after="200"/>
        <w:rPr>
          <w:rFonts w:eastAsia="Calibri"/>
        </w:rPr>
      </w:pPr>
      <w:r w:rsidRPr="007E59A8">
        <w:rPr>
          <w:rFonts w:eastAsia="Calibri"/>
        </w:rPr>
        <w:t>There are no exceptions to the certification</w:t>
      </w:r>
      <w:r>
        <w:rPr>
          <w:rFonts w:eastAsia="Calibri"/>
        </w:rPr>
        <w:t>.</w:t>
      </w:r>
      <w:r w:rsidRPr="00357C8A">
        <w:rPr>
          <w:rFonts w:eastAsia="Calibri"/>
        </w:rPr>
        <w:t xml:space="preserve"> </w:t>
      </w:r>
    </w:p>
    <w:p w:rsidR="00544138" w:rsidRPr="00C20690" w:rsidP="00857F7F" w14:paraId="7BA537B3" w14:textId="77777777">
      <w:pPr>
        <w:spacing w:after="200"/>
        <w:rPr>
          <w:rFonts w:eastAsia="Calibri"/>
        </w:rPr>
      </w:pPr>
    </w:p>
    <w:sectPr w:rsidSect="005C71CA">
      <w:footerReference w:type="even" r:id="rId8"/>
      <w:footerReference w:type="default" r:id="rId9"/>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42D70D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6E4E68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89E8B0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4549521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9132289">
    <w:abstractNumId w:val="5"/>
  </w:num>
  <w:num w:numId="2" w16cid:durableId="1626040654">
    <w:abstractNumId w:val="1"/>
  </w:num>
  <w:num w:numId="3" w16cid:durableId="809833020">
    <w:abstractNumId w:val="6"/>
  </w:num>
  <w:num w:numId="4" w16cid:durableId="1160998301">
    <w:abstractNumId w:val="3"/>
  </w:num>
  <w:num w:numId="5" w16cid:durableId="1653221086">
    <w:abstractNumId w:val="7"/>
  </w:num>
  <w:num w:numId="6" w16cid:durableId="1339456715">
    <w:abstractNumId w:val="0"/>
  </w:num>
  <w:num w:numId="7" w16cid:durableId="1254897559">
    <w:abstractNumId w:val="2"/>
  </w:num>
  <w:num w:numId="8" w16cid:durableId="175767756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27D"/>
    <w:rsid w:val="000033B9"/>
    <w:rsid w:val="00003797"/>
    <w:rsid w:val="00013344"/>
    <w:rsid w:val="00031A2C"/>
    <w:rsid w:val="000375A9"/>
    <w:rsid w:val="00042B93"/>
    <w:rsid w:val="00043C7F"/>
    <w:rsid w:val="000450E7"/>
    <w:rsid w:val="000467A8"/>
    <w:rsid w:val="00057E22"/>
    <w:rsid w:val="000624EF"/>
    <w:rsid w:val="00063CC3"/>
    <w:rsid w:val="0006570F"/>
    <w:rsid w:val="00075DE8"/>
    <w:rsid w:val="00087439"/>
    <w:rsid w:val="00097ED9"/>
    <w:rsid w:val="000C1260"/>
    <w:rsid w:val="000C560C"/>
    <w:rsid w:val="000C587B"/>
    <w:rsid w:val="000D080B"/>
    <w:rsid w:val="000D1D38"/>
    <w:rsid w:val="000D48FD"/>
    <w:rsid w:val="000D79CC"/>
    <w:rsid w:val="000E0B12"/>
    <w:rsid w:val="000E1C64"/>
    <w:rsid w:val="000F3FC9"/>
    <w:rsid w:val="000F7119"/>
    <w:rsid w:val="00100739"/>
    <w:rsid w:val="0010493E"/>
    <w:rsid w:val="001075D3"/>
    <w:rsid w:val="00107885"/>
    <w:rsid w:val="00107AF3"/>
    <w:rsid w:val="00110D0C"/>
    <w:rsid w:val="00114FC4"/>
    <w:rsid w:val="0012329C"/>
    <w:rsid w:val="0012754B"/>
    <w:rsid w:val="00134FA7"/>
    <w:rsid w:val="00137950"/>
    <w:rsid w:val="00146F9F"/>
    <w:rsid w:val="00147474"/>
    <w:rsid w:val="00147D94"/>
    <w:rsid w:val="00152F29"/>
    <w:rsid w:val="0015542E"/>
    <w:rsid w:val="0015654F"/>
    <w:rsid w:val="00157851"/>
    <w:rsid w:val="0016666B"/>
    <w:rsid w:val="00166B46"/>
    <w:rsid w:val="00174D54"/>
    <w:rsid w:val="001766E7"/>
    <w:rsid w:val="0017702C"/>
    <w:rsid w:val="00183F72"/>
    <w:rsid w:val="00185270"/>
    <w:rsid w:val="001A3B5A"/>
    <w:rsid w:val="001A458C"/>
    <w:rsid w:val="001B7CE9"/>
    <w:rsid w:val="001C6989"/>
    <w:rsid w:val="001D495A"/>
    <w:rsid w:val="001E244C"/>
    <w:rsid w:val="001F1437"/>
    <w:rsid w:val="001F230E"/>
    <w:rsid w:val="00206799"/>
    <w:rsid w:val="002074FE"/>
    <w:rsid w:val="0021211B"/>
    <w:rsid w:val="00212649"/>
    <w:rsid w:val="00220A2A"/>
    <w:rsid w:val="00223BFC"/>
    <w:rsid w:val="0022425B"/>
    <w:rsid w:val="002259EF"/>
    <w:rsid w:val="0022770A"/>
    <w:rsid w:val="00242ED1"/>
    <w:rsid w:val="002444BB"/>
    <w:rsid w:val="00247D12"/>
    <w:rsid w:val="00254069"/>
    <w:rsid w:val="00270748"/>
    <w:rsid w:val="0027142A"/>
    <w:rsid w:val="002734E5"/>
    <w:rsid w:val="002746DB"/>
    <w:rsid w:val="00280CAF"/>
    <w:rsid w:val="00282F09"/>
    <w:rsid w:val="0028471A"/>
    <w:rsid w:val="0028488A"/>
    <w:rsid w:val="002868A6"/>
    <w:rsid w:val="00291810"/>
    <w:rsid w:val="00294D62"/>
    <w:rsid w:val="00297532"/>
    <w:rsid w:val="00297FFD"/>
    <w:rsid w:val="002A1210"/>
    <w:rsid w:val="002A1B02"/>
    <w:rsid w:val="002A47D2"/>
    <w:rsid w:val="002A5FCA"/>
    <w:rsid w:val="002A7FB5"/>
    <w:rsid w:val="002B11AD"/>
    <w:rsid w:val="002B2074"/>
    <w:rsid w:val="002B5E5E"/>
    <w:rsid w:val="002B6194"/>
    <w:rsid w:val="002B6A7C"/>
    <w:rsid w:val="002B6E11"/>
    <w:rsid w:val="002C6AEF"/>
    <w:rsid w:val="002C709C"/>
    <w:rsid w:val="002D14D8"/>
    <w:rsid w:val="002D22AD"/>
    <w:rsid w:val="002D4799"/>
    <w:rsid w:val="002E3FA4"/>
    <w:rsid w:val="002E53A5"/>
    <w:rsid w:val="002E5956"/>
    <w:rsid w:val="002E64B8"/>
    <w:rsid w:val="002E6834"/>
    <w:rsid w:val="00306810"/>
    <w:rsid w:val="003113FF"/>
    <w:rsid w:val="00312622"/>
    <w:rsid w:val="00316AA7"/>
    <w:rsid w:val="0032277F"/>
    <w:rsid w:val="00324794"/>
    <w:rsid w:val="00336B69"/>
    <w:rsid w:val="00340387"/>
    <w:rsid w:val="0034302B"/>
    <w:rsid w:val="00350523"/>
    <w:rsid w:val="0035189D"/>
    <w:rsid w:val="00355B62"/>
    <w:rsid w:val="00357C8A"/>
    <w:rsid w:val="00364589"/>
    <w:rsid w:val="003740BC"/>
    <w:rsid w:val="0037456B"/>
    <w:rsid w:val="003801A3"/>
    <w:rsid w:val="00383D90"/>
    <w:rsid w:val="003870AE"/>
    <w:rsid w:val="003973AA"/>
    <w:rsid w:val="003A1A27"/>
    <w:rsid w:val="003A1C5C"/>
    <w:rsid w:val="003A50CC"/>
    <w:rsid w:val="003B09DB"/>
    <w:rsid w:val="003B17C3"/>
    <w:rsid w:val="003B42B3"/>
    <w:rsid w:val="003B6384"/>
    <w:rsid w:val="003C0FE2"/>
    <w:rsid w:val="003C4EBB"/>
    <w:rsid w:val="003D1531"/>
    <w:rsid w:val="003D3416"/>
    <w:rsid w:val="003D54AD"/>
    <w:rsid w:val="003E4EC6"/>
    <w:rsid w:val="003E527E"/>
    <w:rsid w:val="003E553E"/>
    <w:rsid w:val="003E5AD8"/>
    <w:rsid w:val="003E7078"/>
    <w:rsid w:val="003F3DF5"/>
    <w:rsid w:val="003F73B8"/>
    <w:rsid w:val="0040297E"/>
    <w:rsid w:val="004112AE"/>
    <w:rsid w:val="00411D11"/>
    <w:rsid w:val="00414494"/>
    <w:rsid w:val="00415E23"/>
    <w:rsid w:val="0041670D"/>
    <w:rsid w:val="0042016A"/>
    <w:rsid w:val="00422B23"/>
    <w:rsid w:val="00423272"/>
    <w:rsid w:val="00424061"/>
    <w:rsid w:val="00431F03"/>
    <w:rsid w:val="0043213E"/>
    <w:rsid w:val="00440A7B"/>
    <w:rsid w:val="00442A3C"/>
    <w:rsid w:val="0044374A"/>
    <w:rsid w:val="00443969"/>
    <w:rsid w:val="00447D74"/>
    <w:rsid w:val="00450A74"/>
    <w:rsid w:val="00450B23"/>
    <w:rsid w:val="004546BF"/>
    <w:rsid w:val="00455BF0"/>
    <w:rsid w:val="00456B2D"/>
    <w:rsid w:val="00465350"/>
    <w:rsid w:val="00474A31"/>
    <w:rsid w:val="00476B91"/>
    <w:rsid w:val="004846BF"/>
    <w:rsid w:val="00494912"/>
    <w:rsid w:val="004A1392"/>
    <w:rsid w:val="004A5323"/>
    <w:rsid w:val="004A5A99"/>
    <w:rsid w:val="004A6921"/>
    <w:rsid w:val="004B6C4A"/>
    <w:rsid w:val="004C1165"/>
    <w:rsid w:val="004C6979"/>
    <w:rsid w:val="004D13A2"/>
    <w:rsid w:val="004D3E7A"/>
    <w:rsid w:val="004F09DE"/>
    <w:rsid w:val="004F2C16"/>
    <w:rsid w:val="004F594B"/>
    <w:rsid w:val="004F61E1"/>
    <w:rsid w:val="004F6778"/>
    <w:rsid w:val="00500410"/>
    <w:rsid w:val="00506EA7"/>
    <w:rsid w:val="00531107"/>
    <w:rsid w:val="0053380B"/>
    <w:rsid w:val="005421FC"/>
    <w:rsid w:val="00543194"/>
    <w:rsid w:val="00544138"/>
    <w:rsid w:val="00554E34"/>
    <w:rsid w:val="005654C4"/>
    <w:rsid w:val="0057581A"/>
    <w:rsid w:val="00584583"/>
    <w:rsid w:val="005862AF"/>
    <w:rsid w:val="00590E90"/>
    <w:rsid w:val="00590EEB"/>
    <w:rsid w:val="00594B51"/>
    <w:rsid w:val="00595A57"/>
    <w:rsid w:val="0059663B"/>
    <w:rsid w:val="005A4099"/>
    <w:rsid w:val="005B48CB"/>
    <w:rsid w:val="005B6F59"/>
    <w:rsid w:val="005C38B2"/>
    <w:rsid w:val="005C5029"/>
    <w:rsid w:val="005C55C2"/>
    <w:rsid w:val="005C71CA"/>
    <w:rsid w:val="005C745C"/>
    <w:rsid w:val="005D4DF5"/>
    <w:rsid w:val="005E1DB5"/>
    <w:rsid w:val="005E42BA"/>
    <w:rsid w:val="005E4DF8"/>
    <w:rsid w:val="00611D6B"/>
    <w:rsid w:val="00625CFD"/>
    <w:rsid w:val="006326EC"/>
    <w:rsid w:val="00637DF1"/>
    <w:rsid w:val="006449A0"/>
    <w:rsid w:val="00663A42"/>
    <w:rsid w:val="006641C7"/>
    <w:rsid w:val="006705EA"/>
    <w:rsid w:val="00670BE2"/>
    <w:rsid w:val="00673C00"/>
    <w:rsid w:val="00677527"/>
    <w:rsid w:val="006916D9"/>
    <w:rsid w:val="00692C58"/>
    <w:rsid w:val="00694FE1"/>
    <w:rsid w:val="006A0E05"/>
    <w:rsid w:val="006A26C6"/>
    <w:rsid w:val="006A465A"/>
    <w:rsid w:val="006A7D5D"/>
    <w:rsid w:val="006B1F34"/>
    <w:rsid w:val="006C4334"/>
    <w:rsid w:val="006D0C12"/>
    <w:rsid w:val="006D5D57"/>
    <w:rsid w:val="006E2538"/>
    <w:rsid w:val="006E302F"/>
    <w:rsid w:val="006F4D6D"/>
    <w:rsid w:val="007037A1"/>
    <w:rsid w:val="00704ABB"/>
    <w:rsid w:val="00705086"/>
    <w:rsid w:val="0071234B"/>
    <w:rsid w:val="00717935"/>
    <w:rsid w:val="00722001"/>
    <w:rsid w:val="00744525"/>
    <w:rsid w:val="007465FE"/>
    <w:rsid w:val="007503C3"/>
    <w:rsid w:val="00751E66"/>
    <w:rsid w:val="00754344"/>
    <w:rsid w:val="00754497"/>
    <w:rsid w:val="00763F16"/>
    <w:rsid w:val="0076629D"/>
    <w:rsid w:val="00773201"/>
    <w:rsid w:val="00787C39"/>
    <w:rsid w:val="00792947"/>
    <w:rsid w:val="00795DF3"/>
    <w:rsid w:val="007A373C"/>
    <w:rsid w:val="007B225C"/>
    <w:rsid w:val="007C088D"/>
    <w:rsid w:val="007C75B1"/>
    <w:rsid w:val="007D069A"/>
    <w:rsid w:val="007D1B68"/>
    <w:rsid w:val="007D3DFC"/>
    <w:rsid w:val="007E2F07"/>
    <w:rsid w:val="007E59A8"/>
    <w:rsid w:val="007F4207"/>
    <w:rsid w:val="00801141"/>
    <w:rsid w:val="0080776D"/>
    <w:rsid w:val="00807BA0"/>
    <w:rsid w:val="00810145"/>
    <w:rsid w:val="008108FA"/>
    <w:rsid w:val="00810FF1"/>
    <w:rsid w:val="00822336"/>
    <w:rsid w:val="00823DFA"/>
    <w:rsid w:val="00823E8D"/>
    <w:rsid w:val="00842515"/>
    <w:rsid w:val="00842DB7"/>
    <w:rsid w:val="00843752"/>
    <w:rsid w:val="0084479F"/>
    <w:rsid w:val="0085725E"/>
    <w:rsid w:val="00857F7F"/>
    <w:rsid w:val="00873D4F"/>
    <w:rsid w:val="00873EE7"/>
    <w:rsid w:val="0087509F"/>
    <w:rsid w:val="00884145"/>
    <w:rsid w:val="00885B09"/>
    <w:rsid w:val="00892400"/>
    <w:rsid w:val="00895F0B"/>
    <w:rsid w:val="008A209D"/>
    <w:rsid w:val="008A22BB"/>
    <w:rsid w:val="008B035D"/>
    <w:rsid w:val="008B0E29"/>
    <w:rsid w:val="008B0EFA"/>
    <w:rsid w:val="008B30AB"/>
    <w:rsid w:val="008C3BB8"/>
    <w:rsid w:val="008C4B65"/>
    <w:rsid w:val="008D5EFA"/>
    <w:rsid w:val="008E09AA"/>
    <w:rsid w:val="008E5F55"/>
    <w:rsid w:val="008E60F1"/>
    <w:rsid w:val="008E70EC"/>
    <w:rsid w:val="008F7462"/>
    <w:rsid w:val="009009E7"/>
    <w:rsid w:val="0090211B"/>
    <w:rsid w:val="00905998"/>
    <w:rsid w:val="00905DEF"/>
    <w:rsid w:val="00906056"/>
    <w:rsid w:val="009122AE"/>
    <w:rsid w:val="00913B43"/>
    <w:rsid w:val="009166FE"/>
    <w:rsid w:val="00920F0F"/>
    <w:rsid w:val="00930203"/>
    <w:rsid w:val="009311D2"/>
    <w:rsid w:val="009311E6"/>
    <w:rsid w:val="00931275"/>
    <w:rsid w:val="0093503D"/>
    <w:rsid w:val="00935A79"/>
    <w:rsid w:val="00936AC7"/>
    <w:rsid w:val="0094131B"/>
    <w:rsid w:val="0095318C"/>
    <w:rsid w:val="00953B64"/>
    <w:rsid w:val="009605CC"/>
    <w:rsid w:val="009646A7"/>
    <w:rsid w:val="00970A88"/>
    <w:rsid w:val="009818A1"/>
    <w:rsid w:val="00986A74"/>
    <w:rsid w:val="0099429D"/>
    <w:rsid w:val="00996B9C"/>
    <w:rsid w:val="009A0D98"/>
    <w:rsid w:val="009A1674"/>
    <w:rsid w:val="009A7AE8"/>
    <w:rsid w:val="009B38BE"/>
    <w:rsid w:val="009B4DF2"/>
    <w:rsid w:val="009C121D"/>
    <w:rsid w:val="009C684F"/>
    <w:rsid w:val="009D0068"/>
    <w:rsid w:val="009D074C"/>
    <w:rsid w:val="009D6E73"/>
    <w:rsid w:val="009D7655"/>
    <w:rsid w:val="009E6EA4"/>
    <w:rsid w:val="009F1F1D"/>
    <w:rsid w:val="009F2B4F"/>
    <w:rsid w:val="009F3C63"/>
    <w:rsid w:val="009F66B5"/>
    <w:rsid w:val="00A02F10"/>
    <w:rsid w:val="00A1060C"/>
    <w:rsid w:val="00A1203C"/>
    <w:rsid w:val="00A16221"/>
    <w:rsid w:val="00A20A7D"/>
    <w:rsid w:val="00A2634C"/>
    <w:rsid w:val="00A30E11"/>
    <w:rsid w:val="00A3480C"/>
    <w:rsid w:val="00A35D42"/>
    <w:rsid w:val="00A46CCF"/>
    <w:rsid w:val="00A506DE"/>
    <w:rsid w:val="00A52232"/>
    <w:rsid w:val="00A53451"/>
    <w:rsid w:val="00A568AC"/>
    <w:rsid w:val="00A6352A"/>
    <w:rsid w:val="00A645B7"/>
    <w:rsid w:val="00A70426"/>
    <w:rsid w:val="00A707CC"/>
    <w:rsid w:val="00A71410"/>
    <w:rsid w:val="00A76162"/>
    <w:rsid w:val="00A77C14"/>
    <w:rsid w:val="00A863E7"/>
    <w:rsid w:val="00A91E9A"/>
    <w:rsid w:val="00A93ED9"/>
    <w:rsid w:val="00A94C93"/>
    <w:rsid w:val="00A96221"/>
    <w:rsid w:val="00A97F42"/>
    <w:rsid w:val="00AA4164"/>
    <w:rsid w:val="00AA7A23"/>
    <w:rsid w:val="00AB21CC"/>
    <w:rsid w:val="00AB4939"/>
    <w:rsid w:val="00AC2DBB"/>
    <w:rsid w:val="00AC5FBE"/>
    <w:rsid w:val="00AC6A99"/>
    <w:rsid w:val="00AD6048"/>
    <w:rsid w:val="00AE3DCC"/>
    <w:rsid w:val="00AE6EE9"/>
    <w:rsid w:val="00AF040B"/>
    <w:rsid w:val="00AF21AB"/>
    <w:rsid w:val="00AF52B0"/>
    <w:rsid w:val="00B055EF"/>
    <w:rsid w:val="00B06B5B"/>
    <w:rsid w:val="00B21746"/>
    <w:rsid w:val="00B23769"/>
    <w:rsid w:val="00B33576"/>
    <w:rsid w:val="00B41789"/>
    <w:rsid w:val="00B43A6E"/>
    <w:rsid w:val="00B46AE1"/>
    <w:rsid w:val="00B57B41"/>
    <w:rsid w:val="00B735D3"/>
    <w:rsid w:val="00B81808"/>
    <w:rsid w:val="00B84B8C"/>
    <w:rsid w:val="00B86DFA"/>
    <w:rsid w:val="00B93433"/>
    <w:rsid w:val="00B936D0"/>
    <w:rsid w:val="00BB15FB"/>
    <w:rsid w:val="00BB2377"/>
    <w:rsid w:val="00BC1346"/>
    <w:rsid w:val="00BC2966"/>
    <w:rsid w:val="00BC3EC3"/>
    <w:rsid w:val="00BC4D4D"/>
    <w:rsid w:val="00BD3D5B"/>
    <w:rsid w:val="00BE3600"/>
    <w:rsid w:val="00C01F6F"/>
    <w:rsid w:val="00C041EA"/>
    <w:rsid w:val="00C11F3F"/>
    <w:rsid w:val="00C13BBD"/>
    <w:rsid w:val="00C149AB"/>
    <w:rsid w:val="00C15708"/>
    <w:rsid w:val="00C16929"/>
    <w:rsid w:val="00C20690"/>
    <w:rsid w:val="00C20D44"/>
    <w:rsid w:val="00C21DDB"/>
    <w:rsid w:val="00C21F37"/>
    <w:rsid w:val="00C30B12"/>
    <w:rsid w:val="00C32D1F"/>
    <w:rsid w:val="00C35098"/>
    <w:rsid w:val="00C36020"/>
    <w:rsid w:val="00C36E7F"/>
    <w:rsid w:val="00C40694"/>
    <w:rsid w:val="00C443F8"/>
    <w:rsid w:val="00C479BF"/>
    <w:rsid w:val="00C5124B"/>
    <w:rsid w:val="00C574CC"/>
    <w:rsid w:val="00C60482"/>
    <w:rsid w:val="00C70542"/>
    <w:rsid w:val="00C72857"/>
    <w:rsid w:val="00C75CBF"/>
    <w:rsid w:val="00C92C7B"/>
    <w:rsid w:val="00C97F34"/>
    <w:rsid w:val="00CA5062"/>
    <w:rsid w:val="00CB0E2F"/>
    <w:rsid w:val="00CC2894"/>
    <w:rsid w:val="00CD2181"/>
    <w:rsid w:val="00CD5245"/>
    <w:rsid w:val="00CD77C3"/>
    <w:rsid w:val="00CD784B"/>
    <w:rsid w:val="00CE112C"/>
    <w:rsid w:val="00CE4E1C"/>
    <w:rsid w:val="00CF55D4"/>
    <w:rsid w:val="00D14146"/>
    <w:rsid w:val="00D41196"/>
    <w:rsid w:val="00D608DA"/>
    <w:rsid w:val="00D717B8"/>
    <w:rsid w:val="00D730BF"/>
    <w:rsid w:val="00D819DF"/>
    <w:rsid w:val="00D852F4"/>
    <w:rsid w:val="00D85ED1"/>
    <w:rsid w:val="00D94AE4"/>
    <w:rsid w:val="00D95C02"/>
    <w:rsid w:val="00DA6BD7"/>
    <w:rsid w:val="00DA767D"/>
    <w:rsid w:val="00DB1110"/>
    <w:rsid w:val="00DB3730"/>
    <w:rsid w:val="00DC16C8"/>
    <w:rsid w:val="00DC371B"/>
    <w:rsid w:val="00DC3788"/>
    <w:rsid w:val="00DC76C7"/>
    <w:rsid w:val="00DD09F5"/>
    <w:rsid w:val="00DD0E02"/>
    <w:rsid w:val="00DD4201"/>
    <w:rsid w:val="00DD5E9F"/>
    <w:rsid w:val="00DE127F"/>
    <w:rsid w:val="00DE5711"/>
    <w:rsid w:val="00DF4C9E"/>
    <w:rsid w:val="00E00DAA"/>
    <w:rsid w:val="00E00EA0"/>
    <w:rsid w:val="00E021CB"/>
    <w:rsid w:val="00E138F1"/>
    <w:rsid w:val="00E2309D"/>
    <w:rsid w:val="00E26758"/>
    <w:rsid w:val="00E4357B"/>
    <w:rsid w:val="00E443A7"/>
    <w:rsid w:val="00E45904"/>
    <w:rsid w:val="00E57C22"/>
    <w:rsid w:val="00E60681"/>
    <w:rsid w:val="00E63505"/>
    <w:rsid w:val="00E63DE5"/>
    <w:rsid w:val="00E647AF"/>
    <w:rsid w:val="00E647C7"/>
    <w:rsid w:val="00E65A37"/>
    <w:rsid w:val="00E65EF7"/>
    <w:rsid w:val="00E67D9E"/>
    <w:rsid w:val="00E756AA"/>
    <w:rsid w:val="00E77B48"/>
    <w:rsid w:val="00E77F93"/>
    <w:rsid w:val="00E83499"/>
    <w:rsid w:val="00E84CA6"/>
    <w:rsid w:val="00E857FB"/>
    <w:rsid w:val="00E91799"/>
    <w:rsid w:val="00E92876"/>
    <w:rsid w:val="00E937A3"/>
    <w:rsid w:val="00E97DF8"/>
    <w:rsid w:val="00EA21FE"/>
    <w:rsid w:val="00EA34E3"/>
    <w:rsid w:val="00EB34F0"/>
    <w:rsid w:val="00EB7538"/>
    <w:rsid w:val="00EC1868"/>
    <w:rsid w:val="00EC4670"/>
    <w:rsid w:val="00EE6468"/>
    <w:rsid w:val="00EF5DED"/>
    <w:rsid w:val="00F1299B"/>
    <w:rsid w:val="00F16DC7"/>
    <w:rsid w:val="00F207A4"/>
    <w:rsid w:val="00F25173"/>
    <w:rsid w:val="00F331FC"/>
    <w:rsid w:val="00F355AC"/>
    <w:rsid w:val="00F40CF7"/>
    <w:rsid w:val="00F44194"/>
    <w:rsid w:val="00F57C6B"/>
    <w:rsid w:val="00F65751"/>
    <w:rsid w:val="00F71A5A"/>
    <w:rsid w:val="00F73A1A"/>
    <w:rsid w:val="00F769E0"/>
    <w:rsid w:val="00F774E2"/>
    <w:rsid w:val="00F9084B"/>
    <w:rsid w:val="00F962E2"/>
    <w:rsid w:val="00FA4A46"/>
    <w:rsid w:val="00FA75FE"/>
    <w:rsid w:val="00FB1032"/>
    <w:rsid w:val="00FB39BC"/>
    <w:rsid w:val="00FB6A53"/>
    <w:rsid w:val="00FC11CA"/>
    <w:rsid w:val="00FC6BDE"/>
    <w:rsid w:val="00FE3A29"/>
    <w:rsid w:val="00FF4863"/>
    <w:rsid w:val="00FF6138"/>
    <w:rsid w:val="07F710C6"/>
    <w:rsid w:val="12C9CD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55662D"/>
  <w15:chartTrackingRefBased/>
  <w15:docId w15:val="{CDE5163F-42BF-42A3-8CD0-A57A73E4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474A31"/>
    <w:rPr>
      <w:sz w:val="24"/>
      <w:szCs w:val="24"/>
    </w:rPr>
  </w:style>
  <w:style w:type="character" w:customStyle="1" w:styleId="BodyText2Char">
    <w:name w:val="Body Text 2 Char"/>
    <w:link w:val="BodyText2"/>
    <w:rsid w:val="00147474"/>
    <w:rPr>
      <w:sz w:val="24"/>
    </w:rPr>
  </w:style>
  <w:style w:type="character" w:styleId="CommentReference">
    <w:name w:val="annotation reference"/>
    <w:uiPriority w:val="99"/>
    <w:unhideWhenUsed/>
    <w:rsid w:val="00AC5FBE"/>
    <w:rPr>
      <w:sz w:val="16"/>
      <w:szCs w:val="16"/>
    </w:rPr>
  </w:style>
  <w:style w:type="paragraph" w:styleId="CommentText">
    <w:name w:val="annotation text"/>
    <w:basedOn w:val="Normal"/>
    <w:link w:val="CommentTextChar"/>
    <w:uiPriority w:val="99"/>
    <w:unhideWhenUsed/>
    <w:rsid w:val="00AC5FBE"/>
    <w:pPr>
      <w:spacing w:after="160"/>
    </w:pPr>
    <w:rPr>
      <w:rFonts w:ascii="Aptos" w:eastAsia="Aptos" w:hAnsi="Aptos" w:cs="Arial"/>
      <w:kern w:val="2"/>
      <w:sz w:val="20"/>
      <w:szCs w:val="20"/>
    </w:rPr>
  </w:style>
  <w:style w:type="character" w:customStyle="1" w:styleId="CommentTextChar">
    <w:name w:val="Comment Text Char"/>
    <w:link w:val="CommentText"/>
    <w:uiPriority w:val="99"/>
    <w:rsid w:val="00AC5FBE"/>
    <w:rPr>
      <w:rFonts w:ascii="Aptos" w:eastAsia="Aptos" w:hAnsi="Aptos" w:cs="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food/food-safety-modernization-act-fsma/food-traceability-list" TargetMode="External" /><Relationship Id="rId5" Type="http://schemas.openxmlformats.org/officeDocument/2006/relationships/hyperlink" Target="https://www.fda.gov/food/food-safety-modernization-act-fsma/fsma-final-rule-requirements-additional-traceability-records-certain-foods" TargetMode="External" /><Relationship Id="rId6" Type="http://schemas.openxmlformats.org/officeDocument/2006/relationships/hyperlink" Target="https://www.fda.gov/media/163132/download?attachment" TargetMode="External" /><Relationship Id="rId7" Type="http://schemas.openxmlformats.org/officeDocument/2006/relationships/hyperlink" Target="https://www.fda.gov/industry/small-business-assistance"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3823</Words>
  <Characters>22703</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Colburn, Christopher</cp:lastModifiedBy>
  <cp:revision>2</cp:revision>
  <cp:lastPrinted>2019-07-03T16:25:00Z</cp:lastPrinted>
  <dcterms:created xsi:type="dcterms:W3CDTF">2026-05-28T13:34:00Z</dcterms:created>
  <dcterms:modified xsi:type="dcterms:W3CDTF">2026-05-28T13:34:00Z</dcterms:modified>
</cp:coreProperties>
</file>