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B4588" w:rsidRPr="009B3429" w:rsidP="006F5EB5" w14:paraId="3698CDAB" w14:textId="4E52E656">
      <w:pPr>
        <w:spacing w:line="276" w:lineRule="auto"/>
        <w:ind w:left="360"/>
        <w:jc w:val="center"/>
        <w:rPr>
          <w:rFonts w:eastAsia="Times New Roman"/>
          <w:b/>
          <w:bCs/>
          <w:sz w:val="24"/>
          <w:szCs w:val="24"/>
        </w:rPr>
      </w:pPr>
      <w:r w:rsidRPr="009B3429">
        <w:rPr>
          <w:rFonts w:eastAsia="Times New Roman"/>
          <w:b/>
          <w:bCs/>
          <w:sz w:val="24"/>
          <w:szCs w:val="24"/>
        </w:rPr>
        <w:t>OMB Information Collection Request</w:t>
      </w:r>
    </w:p>
    <w:p w:rsidR="006B4588" w:rsidRPr="009B3429" w:rsidP="006B4588" w14:paraId="1F16D764" w14:textId="3D12A45D">
      <w:pPr>
        <w:spacing w:line="276" w:lineRule="auto"/>
        <w:ind w:left="360" w:hanging="360"/>
        <w:jc w:val="center"/>
        <w:rPr>
          <w:rFonts w:eastAsia="Times New Roman"/>
          <w:b/>
          <w:bCs/>
          <w:sz w:val="24"/>
          <w:szCs w:val="24"/>
        </w:rPr>
      </w:pPr>
      <w:r w:rsidRPr="009B3429">
        <w:rPr>
          <w:rFonts w:eastAsia="Times New Roman"/>
          <w:b/>
          <w:bCs/>
          <w:sz w:val="24"/>
          <w:szCs w:val="24"/>
        </w:rPr>
        <w:t>Supporting Statement B</w:t>
      </w:r>
    </w:p>
    <w:p w:rsidR="006B4588" w:rsidRPr="009B3429" w:rsidP="006B4588" w14:paraId="4A51C8A1" w14:textId="77777777">
      <w:pPr>
        <w:spacing w:line="276" w:lineRule="auto"/>
        <w:ind w:left="360" w:hanging="360"/>
        <w:jc w:val="center"/>
        <w:rPr>
          <w:rFonts w:eastAsia="Times New Roman"/>
          <w:b/>
          <w:bCs/>
          <w:sz w:val="24"/>
          <w:szCs w:val="24"/>
        </w:rPr>
      </w:pPr>
      <w:r w:rsidRPr="009B3429">
        <w:rPr>
          <w:rFonts w:eastAsia="Times New Roman"/>
          <w:b/>
          <w:bCs/>
          <w:sz w:val="24"/>
          <w:szCs w:val="24"/>
        </w:rPr>
        <w:t>U.S. Department of Commerce</w:t>
      </w:r>
    </w:p>
    <w:p w:rsidR="006B4588" w:rsidRPr="009B3429" w:rsidP="006B4588" w14:paraId="3E8AB642" w14:textId="77777777">
      <w:pPr>
        <w:spacing w:line="276" w:lineRule="auto"/>
        <w:ind w:left="360" w:hanging="360"/>
        <w:jc w:val="center"/>
        <w:rPr>
          <w:rFonts w:eastAsia="Times New Roman"/>
          <w:b/>
          <w:bCs/>
          <w:sz w:val="24"/>
          <w:szCs w:val="24"/>
        </w:rPr>
      </w:pPr>
      <w:r w:rsidRPr="009B3429">
        <w:rPr>
          <w:rFonts w:eastAsia="Times New Roman"/>
          <w:b/>
          <w:bCs/>
          <w:sz w:val="24"/>
          <w:szCs w:val="24"/>
        </w:rPr>
        <w:t>U.S. Census Bureau</w:t>
      </w:r>
    </w:p>
    <w:p w:rsidR="006B4588" w:rsidRPr="009B3429" w:rsidP="006B4588" w14:paraId="6A7EDFC9" w14:textId="77777777">
      <w:pPr>
        <w:spacing w:line="360" w:lineRule="auto"/>
        <w:jc w:val="center"/>
        <w:rPr>
          <w:rFonts w:eastAsia="Times New Roman"/>
          <w:b/>
          <w:color w:val="000000"/>
          <w:sz w:val="36"/>
          <w:szCs w:val="36"/>
        </w:rPr>
      </w:pPr>
    </w:p>
    <w:p w:rsidR="006B4588" w:rsidRPr="009B3429" w:rsidP="006B4588" w14:paraId="205C0BBF" w14:textId="77777777">
      <w:pPr>
        <w:spacing w:line="360" w:lineRule="auto"/>
        <w:jc w:val="center"/>
        <w:rPr>
          <w:rFonts w:eastAsia="Times New Roman"/>
          <w:b/>
          <w:color w:val="000000"/>
          <w:sz w:val="36"/>
          <w:szCs w:val="36"/>
        </w:rPr>
      </w:pPr>
      <w:r w:rsidRPr="009B3429">
        <w:rPr>
          <w:rFonts w:eastAsia="Times New Roman"/>
          <w:b/>
          <w:color w:val="000000"/>
          <w:sz w:val="36"/>
          <w:szCs w:val="36"/>
        </w:rPr>
        <w:t>High Frequency Surveys Program</w:t>
      </w:r>
    </w:p>
    <w:p w:rsidR="006B4588" w:rsidRPr="009B3429" w:rsidP="006B4588" w14:paraId="063B5D2E" w14:textId="77777777">
      <w:pPr>
        <w:spacing w:line="360" w:lineRule="auto"/>
        <w:jc w:val="center"/>
        <w:rPr>
          <w:rFonts w:eastAsia="Times New Roman"/>
          <w:b/>
          <w:sz w:val="36"/>
          <w:szCs w:val="36"/>
        </w:rPr>
      </w:pPr>
      <w:r w:rsidRPr="009B3429">
        <w:rPr>
          <w:rFonts w:eastAsia="Times New Roman"/>
          <w:b/>
          <w:color w:val="000000"/>
          <w:sz w:val="36"/>
          <w:szCs w:val="36"/>
        </w:rPr>
        <w:t xml:space="preserve">Household Trends and Outlook Pulse Survey </w:t>
      </w:r>
    </w:p>
    <w:p w:rsidR="006B4588" w:rsidRPr="009B3429" w:rsidP="006B4588" w14:paraId="2E72696E" w14:textId="77777777">
      <w:pPr>
        <w:tabs>
          <w:tab w:val="left" w:pos="0"/>
        </w:tabs>
        <w:spacing w:line="276" w:lineRule="auto"/>
        <w:ind w:left="360" w:hanging="360"/>
        <w:jc w:val="center"/>
        <w:rPr>
          <w:rFonts w:eastAsia="Times New Roman"/>
          <w:b/>
          <w:bCs/>
          <w:sz w:val="24"/>
          <w:szCs w:val="24"/>
        </w:rPr>
      </w:pPr>
      <w:r w:rsidRPr="009B3429">
        <w:rPr>
          <w:rFonts w:eastAsia="Times New Roman"/>
          <w:b/>
          <w:bCs/>
          <w:sz w:val="24"/>
          <w:szCs w:val="24"/>
        </w:rPr>
        <w:t>OMB Control Number 0607-1029</w:t>
      </w:r>
    </w:p>
    <w:p w:rsidR="00B955B7" w:rsidRPr="009B3429" w:rsidP="00B955B7" w14:paraId="7D653450" w14:textId="77777777">
      <w:pPr>
        <w:spacing w:before="80"/>
        <w:rPr>
          <w:b/>
          <w:color w:val="FF0000"/>
          <w:szCs w:val="20"/>
        </w:rPr>
      </w:pPr>
    </w:p>
    <w:p w:rsidR="00B955B7" w:rsidRPr="009B3429" w:rsidP="00942196" w14:paraId="6211CAAB" w14:textId="77777777">
      <w:pPr>
        <w:spacing w:before="161"/>
        <w:ind w:left="400" w:hanging="400"/>
        <w:rPr>
          <w:b/>
          <w:szCs w:val="20"/>
        </w:rPr>
      </w:pPr>
      <w:r w:rsidRPr="009B3429">
        <w:rPr>
          <w:b/>
          <w:szCs w:val="20"/>
        </w:rPr>
        <w:t>B. Collections of Information Employing Statistical Methods</w:t>
      </w:r>
    </w:p>
    <w:p w:rsidR="0027209F" w:rsidRPr="00CF5BF5" w:rsidP="00CF5BF5" w14:paraId="017D1FFE" w14:textId="2B95E187">
      <w:pPr>
        <w:pStyle w:val="Heading1"/>
        <w:numPr>
          <w:ilvl w:val="0"/>
          <w:numId w:val="1"/>
        </w:numPr>
        <w:tabs>
          <w:tab w:val="left" w:pos="669"/>
        </w:tabs>
        <w:spacing w:before="185"/>
        <w:ind w:hanging="400"/>
        <w:rPr>
          <w:sz w:val="22"/>
          <w:szCs w:val="22"/>
        </w:rPr>
      </w:pPr>
      <w:r w:rsidRPr="009B3429">
        <w:rPr>
          <w:sz w:val="22"/>
          <w:szCs w:val="22"/>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9B3429">
        <w:rPr>
          <w:spacing w:val="-2"/>
          <w:sz w:val="22"/>
          <w:szCs w:val="22"/>
        </w:rPr>
        <w:t xml:space="preserve">the </w:t>
      </w:r>
      <w:r w:rsidRPr="009B3429">
        <w:rPr>
          <w:sz w:val="22"/>
          <w:szCs w:val="22"/>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9B3429" w:rsidR="00774685">
        <w:rPr>
          <w:sz w:val="22"/>
          <w:szCs w:val="22"/>
        </w:rPr>
        <w:t xml:space="preserve"> </w:t>
      </w:r>
      <w:r w:rsidRPr="009B3429">
        <w:rPr>
          <w:sz w:val="22"/>
          <w:szCs w:val="22"/>
        </w:rPr>
        <w:t>collection.</w:t>
      </w:r>
    </w:p>
    <w:p w:rsidR="00E20FC6" w:rsidRPr="009B3429" w:rsidP="00E20FC6" w14:paraId="4A001170" w14:textId="7FED772D">
      <w:pPr>
        <w:spacing w:before="161"/>
        <w:ind w:left="400" w:right="362"/>
      </w:pPr>
      <w:r>
        <w:t xml:space="preserve">The samples for the </w:t>
      </w:r>
      <w:r w:rsidR="008D7F28">
        <w:t>July, September, and November</w:t>
      </w:r>
      <w:r>
        <w:t xml:space="preserve"> 2026 HTOPS </w:t>
      </w:r>
      <w:r w:rsidR="008D7F28">
        <w:t>surveys</w:t>
      </w:r>
      <w:r>
        <w:t xml:space="preserve"> will be drawn as independent cross-sectional samples rather than the longitudinal panel design employed in the prior topicals in 2025. To determine the overall sample size, the minimum sample sizes for </w:t>
      </w:r>
      <w:r w:rsidR="002475C7">
        <w:t xml:space="preserve">a </w:t>
      </w:r>
      <w:r>
        <w:t>given target lower-level geograph</w:t>
      </w:r>
      <w:r w:rsidR="002475C7">
        <w:t>y</w:t>
      </w:r>
      <w:r>
        <w:t xml:space="preserve"> – a Metropolitan Statistical Area (MSA) in the 10 largest MSAs</w:t>
      </w:r>
      <w:r w:rsidR="002475C7">
        <w:t xml:space="preserve"> or Census Region – was first determined based on an anticipated 10% response rate from recent historical response rate data from the HTOPS. This approach resulted in a national-level sample size for a given data collection period of approximately 135,645 addresses. </w:t>
      </w:r>
    </w:p>
    <w:p w:rsidR="008D5A21" w:rsidRPr="009B3429" w:rsidP="00A63C05" w14:paraId="4A21AB7B" w14:textId="37698A93">
      <w:pPr>
        <w:spacing w:before="161"/>
        <w:ind w:left="400" w:right="362"/>
        <w:rPr>
          <w:bCs/>
          <w:szCs w:val="20"/>
        </w:rPr>
      </w:pPr>
    </w:p>
    <w:p w:rsidR="00B955B7" w:rsidRPr="009B3429" w:rsidP="00942196" w14:paraId="568610C7" w14:textId="77777777">
      <w:pPr>
        <w:pStyle w:val="ListParagraph"/>
        <w:numPr>
          <w:ilvl w:val="0"/>
          <w:numId w:val="1"/>
        </w:numPr>
        <w:ind w:left="360" w:right="362" w:hanging="360"/>
        <w:rPr>
          <w:b/>
          <w:bCs/>
        </w:rPr>
      </w:pPr>
      <w:r w:rsidRPr="009B3429">
        <w:rPr>
          <w:b/>
          <w:bCs/>
        </w:rPr>
        <w:t>Describe the procedures for the collection of information including:</w:t>
      </w:r>
    </w:p>
    <w:p w:rsidR="00B955B7" w:rsidRPr="009B3429" w:rsidP="00B955B7" w14:paraId="703E7BFB" w14:textId="77777777">
      <w:pPr>
        <w:pStyle w:val="ListParagraph"/>
        <w:numPr>
          <w:ilvl w:val="1"/>
          <w:numId w:val="1"/>
        </w:numPr>
        <w:tabs>
          <w:tab w:val="left" w:pos="1119"/>
          <w:tab w:val="left" w:pos="1120"/>
        </w:tabs>
        <w:spacing w:before="183"/>
        <w:rPr>
          <w:b/>
          <w:szCs w:val="20"/>
        </w:rPr>
      </w:pPr>
      <w:r w:rsidRPr="009B3429">
        <w:rPr>
          <w:b/>
          <w:szCs w:val="20"/>
        </w:rPr>
        <w:t>Statistical methodology for stratification and sample</w:t>
      </w:r>
      <w:r w:rsidRPr="009B3429">
        <w:rPr>
          <w:b/>
          <w:spacing w:val="-32"/>
          <w:szCs w:val="20"/>
        </w:rPr>
        <w:t xml:space="preserve"> </w:t>
      </w:r>
      <w:r w:rsidRPr="009B3429">
        <w:rPr>
          <w:b/>
          <w:szCs w:val="20"/>
        </w:rPr>
        <w:t>selection,</w:t>
      </w:r>
    </w:p>
    <w:p w:rsidR="00B955B7" w:rsidRPr="009B3429" w:rsidP="00B955B7" w14:paraId="28273649" w14:textId="77777777">
      <w:pPr>
        <w:pStyle w:val="ListParagraph"/>
        <w:numPr>
          <w:ilvl w:val="1"/>
          <w:numId w:val="1"/>
        </w:numPr>
        <w:tabs>
          <w:tab w:val="left" w:pos="1119"/>
          <w:tab w:val="left" w:pos="1120"/>
        </w:tabs>
        <w:spacing w:before="182"/>
        <w:rPr>
          <w:b/>
          <w:szCs w:val="20"/>
        </w:rPr>
      </w:pPr>
      <w:r w:rsidRPr="009B3429">
        <w:rPr>
          <w:b/>
          <w:szCs w:val="20"/>
        </w:rPr>
        <w:t>Estimation</w:t>
      </w:r>
      <w:r w:rsidRPr="009B3429">
        <w:rPr>
          <w:b/>
          <w:spacing w:val="-2"/>
          <w:szCs w:val="20"/>
        </w:rPr>
        <w:t xml:space="preserve"> </w:t>
      </w:r>
      <w:r w:rsidRPr="009B3429">
        <w:rPr>
          <w:b/>
          <w:szCs w:val="20"/>
        </w:rPr>
        <w:t>procedure,</w:t>
      </w:r>
    </w:p>
    <w:p w:rsidR="00B955B7" w:rsidRPr="009B3429" w:rsidP="00B955B7" w14:paraId="035A49CB" w14:textId="77777777">
      <w:pPr>
        <w:pStyle w:val="ListParagraph"/>
        <w:numPr>
          <w:ilvl w:val="1"/>
          <w:numId w:val="1"/>
        </w:numPr>
        <w:tabs>
          <w:tab w:val="left" w:pos="1119"/>
          <w:tab w:val="left" w:pos="1120"/>
        </w:tabs>
        <w:spacing w:before="180"/>
        <w:rPr>
          <w:b/>
          <w:szCs w:val="20"/>
        </w:rPr>
      </w:pPr>
      <w:r w:rsidRPr="009B3429">
        <w:rPr>
          <w:b/>
          <w:szCs w:val="20"/>
        </w:rPr>
        <w:t>Degree of accuracy needed for the purpose described in the</w:t>
      </w:r>
      <w:r w:rsidRPr="009B3429">
        <w:rPr>
          <w:b/>
          <w:spacing w:val="-8"/>
          <w:szCs w:val="20"/>
        </w:rPr>
        <w:t xml:space="preserve"> </w:t>
      </w:r>
      <w:r w:rsidRPr="009B3429">
        <w:rPr>
          <w:b/>
          <w:szCs w:val="20"/>
        </w:rPr>
        <w:t>justification,</w:t>
      </w:r>
    </w:p>
    <w:p w:rsidR="00B955B7" w:rsidRPr="009B3429" w:rsidP="00B955B7" w14:paraId="39CD97DC" w14:textId="77777777">
      <w:pPr>
        <w:pStyle w:val="ListParagraph"/>
        <w:numPr>
          <w:ilvl w:val="1"/>
          <w:numId w:val="1"/>
        </w:numPr>
        <w:tabs>
          <w:tab w:val="left" w:pos="1119"/>
          <w:tab w:val="left" w:pos="1120"/>
        </w:tabs>
        <w:spacing w:before="182"/>
        <w:rPr>
          <w:b/>
          <w:szCs w:val="20"/>
        </w:rPr>
      </w:pPr>
      <w:r w:rsidRPr="009B3429">
        <w:rPr>
          <w:b/>
          <w:szCs w:val="20"/>
        </w:rPr>
        <w:t>Unusual problems requiring specialized sampling procedures,</w:t>
      </w:r>
      <w:r w:rsidRPr="009B3429">
        <w:rPr>
          <w:b/>
          <w:spacing w:val="-3"/>
          <w:szCs w:val="20"/>
        </w:rPr>
        <w:t xml:space="preserve"> </w:t>
      </w:r>
      <w:r w:rsidRPr="009B3429">
        <w:rPr>
          <w:b/>
          <w:szCs w:val="20"/>
        </w:rPr>
        <w:t>and</w:t>
      </w:r>
    </w:p>
    <w:p w:rsidR="00B955B7" w:rsidRPr="009B3429" w:rsidP="00B955B7" w14:paraId="1F47A5B8" w14:textId="77777777">
      <w:pPr>
        <w:pStyle w:val="ListParagraph"/>
        <w:numPr>
          <w:ilvl w:val="1"/>
          <w:numId w:val="1"/>
        </w:numPr>
        <w:tabs>
          <w:tab w:val="left" w:pos="1119"/>
          <w:tab w:val="left" w:pos="1120"/>
        </w:tabs>
        <w:spacing w:before="183"/>
        <w:rPr>
          <w:b/>
          <w:szCs w:val="20"/>
        </w:rPr>
      </w:pPr>
      <w:r w:rsidRPr="009B3429">
        <w:rPr>
          <w:b/>
          <w:szCs w:val="20"/>
        </w:rPr>
        <w:t>Any use of periodic (less frequent than annual) data collection cycles to reduce</w:t>
      </w:r>
      <w:r w:rsidRPr="009B3429">
        <w:rPr>
          <w:b/>
          <w:spacing w:val="-21"/>
          <w:szCs w:val="20"/>
        </w:rPr>
        <w:t xml:space="preserve"> </w:t>
      </w:r>
      <w:r w:rsidRPr="009B3429">
        <w:rPr>
          <w:b/>
          <w:szCs w:val="20"/>
        </w:rPr>
        <w:t>burden.</w:t>
      </w:r>
    </w:p>
    <w:p w:rsidR="009A01EE" w:rsidRPr="009B3429" w:rsidP="009A01EE" w14:paraId="624B51BB" w14:textId="1643F90E">
      <w:pPr>
        <w:pStyle w:val="BodyText"/>
        <w:spacing w:before="221" w:line="259" w:lineRule="auto"/>
        <w:ind w:right="340"/>
        <w:rPr>
          <w:sz w:val="22"/>
          <w:szCs w:val="22"/>
        </w:rPr>
      </w:pPr>
      <w:r w:rsidRPr="009B3429">
        <w:rPr>
          <w:sz w:val="22"/>
          <w:szCs w:val="22"/>
        </w:rPr>
        <w:t>The sample design is a stratified systematic sample of all eligible HUs from the Census Bureau’s Master Address File (MAF), which covers all 50 states and the District of Columbia.  Auxiliary data from the Demographic Frame (DF)</w:t>
      </w:r>
      <w:r w:rsidR="002475C7">
        <w:rPr>
          <w:sz w:val="22"/>
          <w:szCs w:val="22"/>
        </w:rPr>
        <w:t>,</w:t>
      </w:r>
      <w:r w:rsidRPr="009B3429">
        <w:rPr>
          <w:sz w:val="22"/>
          <w:szCs w:val="22"/>
        </w:rPr>
        <w:t xml:space="preserve"> Planning Data Base (PDB)</w:t>
      </w:r>
      <w:r w:rsidR="002475C7">
        <w:rPr>
          <w:sz w:val="22"/>
          <w:szCs w:val="22"/>
        </w:rPr>
        <w:t>, and Community Resilience Estimates (CRE)</w:t>
      </w:r>
      <w:r w:rsidRPr="009B3429">
        <w:rPr>
          <w:sz w:val="22"/>
          <w:szCs w:val="22"/>
        </w:rPr>
        <w:t xml:space="preserve"> will be linked to the MAF to stratify the housing units into stratum </w:t>
      </w:r>
      <w:r w:rsidRPr="009B3429">
        <w:rPr>
          <w:sz w:val="22"/>
          <w:szCs w:val="22"/>
        </w:rPr>
        <w:t xml:space="preserve">based on demographic variables within the </w:t>
      </w:r>
      <w:r w:rsidR="00EF7C23">
        <w:rPr>
          <w:sz w:val="22"/>
          <w:szCs w:val="22"/>
        </w:rPr>
        <w:t xml:space="preserve">four </w:t>
      </w:r>
      <w:r w:rsidRPr="009B3429">
        <w:rPr>
          <w:sz w:val="22"/>
          <w:szCs w:val="22"/>
        </w:rPr>
        <w:t xml:space="preserve">Census Bureau </w:t>
      </w:r>
      <w:r w:rsidR="00EF7C23">
        <w:rPr>
          <w:sz w:val="22"/>
          <w:szCs w:val="22"/>
        </w:rPr>
        <w:t>regions</w:t>
      </w:r>
      <w:r w:rsidRPr="009B3429">
        <w:rPr>
          <w:sz w:val="22"/>
          <w:szCs w:val="22"/>
        </w:rPr>
        <w:t>.  MAF records not stratified into a stratum based on the DF</w:t>
      </w:r>
      <w:r w:rsidR="002475C7">
        <w:rPr>
          <w:sz w:val="22"/>
          <w:szCs w:val="22"/>
        </w:rPr>
        <w:t>,</w:t>
      </w:r>
      <w:r w:rsidRPr="009B3429">
        <w:rPr>
          <w:sz w:val="22"/>
          <w:szCs w:val="22"/>
        </w:rPr>
        <w:t xml:space="preserve"> PDB</w:t>
      </w:r>
      <w:r w:rsidR="002475C7">
        <w:rPr>
          <w:sz w:val="22"/>
          <w:szCs w:val="22"/>
        </w:rPr>
        <w:t>, or CRE</w:t>
      </w:r>
      <w:r w:rsidRPr="009B3429">
        <w:rPr>
          <w:sz w:val="22"/>
          <w:szCs w:val="22"/>
        </w:rPr>
        <w:t xml:space="preserve"> will be defined as their own strata.  The sample will be distributed proportionately within </w:t>
      </w:r>
      <w:r w:rsidR="00EF7C23">
        <w:rPr>
          <w:sz w:val="22"/>
          <w:szCs w:val="22"/>
        </w:rPr>
        <w:t>regions</w:t>
      </w:r>
      <w:r w:rsidRPr="009B3429" w:rsidR="00EF7C23">
        <w:rPr>
          <w:sz w:val="22"/>
          <w:szCs w:val="22"/>
        </w:rPr>
        <w:t xml:space="preserve"> </w:t>
      </w:r>
      <w:r w:rsidRPr="009B3429">
        <w:rPr>
          <w:sz w:val="22"/>
          <w:szCs w:val="22"/>
        </w:rPr>
        <w:t xml:space="preserve">of the country to each stratum based on the number </w:t>
      </w:r>
      <w:r w:rsidRPr="009B3429" w:rsidR="5884989C">
        <w:rPr>
          <w:sz w:val="22"/>
          <w:szCs w:val="22"/>
        </w:rPr>
        <w:t xml:space="preserve">of </w:t>
      </w:r>
      <w:r w:rsidRPr="009B3429">
        <w:rPr>
          <w:sz w:val="22"/>
          <w:szCs w:val="22"/>
        </w:rPr>
        <w:t>housing units within the stratum.  We will conduct a subsampling operation in stratum that, based on results of other demographic surveys, have higher response rates.  Thus, the stratum where no subsampling occurs will be oversampled.</w:t>
      </w:r>
    </w:p>
    <w:p w:rsidR="009A01EE" w:rsidP="009A01EE" w14:paraId="0910DEE4" w14:textId="49E9AAF5">
      <w:pPr>
        <w:pStyle w:val="BodyText"/>
        <w:spacing w:before="221" w:line="259" w:lineRule="auto"/>
        <w:ind w:right="340"/>
        <w:rPr>
          <w:sz w:val="22"/>
          <w:szCs w:val="22"/>
        </w:rPr>
      </w:pPr>
      <w:r w:rsidRPr="009B3429">
        <w:rPr>
          <w:sz w:val="22"/>
          <w:szCs w:val="22"/>
        </w:rPr>
        <w:t xml:space="preserve">The final </w:t>
      </w:r>
      <w:r w:rsidRPr="009B3429" w:rsidR="006B4588">
        <w:rPr>
          <w:sz w:val="22"/>
          <w:szCs w:val="22"/>
        </w:rPr>
        <w:t>HTOPS survey</w:t>
      </w:r>
      <w:r w:rsidRPr="009B3429">
        <w:rPr>
          <w:sz w:val="22"/>
          <w:szCs w:val="22"/>
        </w:rPr>
        <w:t xml:space="preserve"> weights are designed to produce estimates for the total persons </w:t>
      </w:r>
      <w:r w:rsidRPr="009B3429" w:rsidR="000E7FA4">
        <w:rPr>
          <w:sz w:val="22"/>
          <w:szCs w:val="22"/>
        </w:rPr>
        <w:t>aged</w:t>
      </w:r>
      <w:r w:rsidRPr="009B3429">
        <w:rPr>
          <w:sz w:val="22"/>
          <w:szCs w:val="22"/>
        </w:rPr>
        <w:t xml:space="preserve"> 18 and older living within HUs (based on the person weight); and occupied household level estimates (based on the household weight). We will create these weights by adjusting the household-level sampling base weights by various factors to account for nonresponse, adults per household, and coverage.  The final </w:t>
      </w:r>
      <w:r w:rsidRPr="009B3429" w:rsidR="006B4588">
        <w:rPr>
          <w:sz w:val="22"/>
          <w:szCs w:val="22"/>
        </w:rPr>
        <w:t>HTOPS survey</w:t>
      </w:r>
      <w:r w:rsidRPr="009B3429">
        <w:rPr>
          <w:sz w:val="22"/>
          <w:szCs w:val="22"/>
        </w:rPr>
        <w:t xml:space="preserve"> weights are created by applying a Housing Unit adjustment, which converts the person level weight back into a housing unit (HU) weight by dividing the person level weight by the number of persons age 18 and older that were reported to live within the household, and the Occupied HU ratio adjustment, which ensures that the final </w:t>
      </w:r>
      <w:r w:rsidR="00EF7C23">
        <w:rPr>
          <w:sz w:val="22"/>
          <w:szCs w:val="22"/>
        </w:rPr>
        <w:t>HTOPS</w:t>
      </w:r>
      <w:r w:rsidRPr="009B3429">
        <w:rPr>
          <w:sz w:val="22"/>
          <w:szCs w:val="22"/>
        </w:rPr>
        <w:t xml:space="preserve"> weights will sum to the American Community Survey (ACS) one-year, state-level estimates of occupied HUs.</w:t>
      </w:r>
    </w:p>
    <w:p w:rsidR="00CF5BF5" w:rsidRPr="009B3429" w:rsidP="009A01EE" w14:paraId="7896DF6B" w14:textId="77777777">
      <w:pPr>
        <w:pStyle w:val="BodyText"/>
        <w:spacing w:before="221" w:line="259" w:lineRule="auto"/>
        <w:ind w:right="340"/>
        <w:rPr>
          <w:sz w:val="22"/>
          <w:szCs w:val="22"/>
        </w:rPr>
      </w:pPr>
    </w:p>
    <w:p w:rsidR="00B955B7" w:rsidRPr="009B3429" w:rsidP="00942196" w14:paraId="532BBA36" w14:textId="77777777">
      <w:pPr>
        <w:pStyle w:val="Heading1"/>
        <w:numPr>
          <w:ilvl w:val="0"/>
          <w:numId w:val="1"/>
        </w:numPr>
        <w:tabs>
          <w:tab w:val="left" w:pos="669"/>
        </w:tabs>
        <w:spacing w:before="159"/>
        <w:ind w:hanging="400"/>
        <w:rPr>
          <w:sz w:val="22"/>
          <w:szCs w:val="22"/>
        </w:rPr>
      </w:pPr>
      <w:r w:rsidRPr="009B3429">
        <w:rPr>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9B3429">
        <w:rPr>
          <w:spacing w:val="-32"/>
          <w:sz w:val="22"/>
          <w:szCs w:val="22"/>
        </w:rPr>
        <w:t xml:space="preserve"> </w:t>
      </w:r>
      <w:r w:rsidRPr="009B3429">
        <w:rPr>
          <w:sz w:val="22"/>
          <w:szCs w:val="22"/>
        </w:rPr>
        <w:t>studied.</w:t>
      </w:r>
    </w:p>
    <w:p w:rsidR="00D64EFA" w:rsidRPr="009B3429" w:rsidP="00A928BB" w14:paraId="7462578B" w14:textId="5CC65376">
      <w:pPr>
        <w:pStyle w:val="BodyText"/>
        <w:ind w:left="450"/>
        <w:rPr>
          <w:sz w:val="22"/>
          <w:szCs w:val="22"/>
        </w:rPr>
      </w:pPr>
      <w:r w:rsidRPr="009B3429">
        <w:rPr>
          <w:sz w:val="22"/>
          <w:szCs w:val="22"/>
        </w:rPr>
        <w:t>HTOPS</w:t>
      </w:r>
      <w:r w:rsidRPr="009B3429" w:rsidR="00C46AE3">
        <w:rPr>
          <w:sz w:val="22"/>
          <w:szCs w:val="22"/>
        </w:rPr>
        <w:t xml:space="preserve"> </w:t>
      </w:r>
      <w:r w:rsidR="00F1283C">
        <w:rPr>
          <w:sz w:val="22"/>
          <w:szCs w:val="22"/>
        </w:rPr>
        <w:t>sample members</w:t>
      </w:r>
      <w:r w:rsidRPr="009B3429" w:rsidR="00F1283C">
        <w:rPr>
          <w:sz w:val="22"/>
          <w:szCs w:val="22"/>
        </w:rPr>
        <w:t xml:space="preserve"> </w:t>
      </w:r>
      <w:r w:rsidRPr="009B3429">
        <w:rPr>
          <w:sz w:val="22"/>
          <w:szCs w:val="22"/>
        </w:rPr>
        <w:t>are</w:t>
      </w:r>
      <w:r w:rsidRPr="009B3429" w:rsidR="5E88C2A8">
        <w:rPr>
          <w:sz w:val="22"/>
          <w:szCs w:val="22"/>
        </w:rPr>
        <w:t xml:space="preserve"> invited to respond to monthly surveys. Invitations will be sent by </w:t>
      </w:r>
      <w:r w:rsidR="00F1283C">
        <w:rPr>
          <w:sz w:val="22"/>
          <w:szCs w:val="22"/>
        </w:rPr>
        <w:t>mail</w:t>
      </w:r>
      <w:r w:rsidRPr="009B3429" w:rsidR="5E88C2A8">
        <w:rPr>
          <w:sz w:val="22"/>
          <w:szCs w:val="22"/>
        </w:rPr>
        <w:t xml:space="preserve">, </w:t>
      </w:r>
      <w:r w:rsidR="0027209F">
        <w:rPr>
          <w:sz w:val="22"/>
          <w:szCs w:val="22"/>
        </w:rPr>
        <w:t>with limited outbound telephone calling to sample members who are less likely to self-respond</w:t>
      </w:r>
      <w:r w:rsidRPr="009B3429" w:rsidR="00AB0698">
        <w:rPr>
          <w:sz w:val="22"/>
          <w:szCs w:val="22"/>
        </w:rPr>
        <w:t xml:space="preserve">. </w:t>
      </w:r>
      <w:r w:rsidRPr="009B3429" w:rsidR="5E88C2A8">
        <w:rPr>
          <w:sz w:val="22"/>
          <w:szCs w:val="22"/>
        </w:rPr>
        <w:t xml:space="preserve">Using a unique login, </w:t>
      </w:r>
      <w:r w:rsidR="0027209F">
        <w:rPr>
          <w:sz w:val="22"/>
          <w:szCs w:val="22"/>
        </w:rPr>
        <w:t>sample members</w:t>
      </w:r>
      <w:r w:rsidRPr="009B3429" w:rsidR="0027209F">
        <w:rPr>
          <w:sz w:val="22"/>
          <w:szCs w:val="22"/>
        </w:rPr>
        <w:t xml:space="preserve"> </w:t>
      </w:r>
      <w:r w:rsidRPr="009B3429" w:rsidR="5E88C2A8">
        <w:rPr>
          <w:sz w:val="22"/>
          <w:szCs w:val="22"/>
        </w:rPr>
        <w:t xml:space="preserve">can access </w:t>
      </w:r>
      <w:r w:rsidR="00F1283C">
        <w:rPr>
          <w:sz w:val="22"/>
          <w:szCs w:val="22"/>
        </w:rPr>
        <w:t>the</w:t>
      </w:r>
      <w:r w:rsidRPr="009B3429" w:rsidR="5E88C2A8">
        <w:rPr>
          <w:sz w:val="22"/>
          <w:szCs w:val="22"/>
        </w:rPr>
        <w:t xml:space="preserve"> questionnaire by computer, tablet, or smartphone.</w:t>
      </w:r>
      <w:r w:rsidR="00254880">
        <w:rPr>
          <w:sz w:val="22"/>
          <w:szCs w:val="22"/>
        </w:rPr>
        <w:t xml:space="preserve"> Sample members who do not have internet access can use in-bound calling to respond to the survey.</w:t>
      </w:r>
      <w:r w:rsidRPr="009B3429" w:rsidR="5E88C2A8">
        <w:rPr>
          <w:sz w:val="22"/>
          <w:szCs w:val="22"/>
        </w:rPr>
        <w:t xml:space="preserve"> </w:t>
      </w:r>
    </w:p>
    <w:p w:rsidR="00A057FA" w:rsidP="00CF5BF5" w14:paraId="4E919211" w14:textId="1C6CA056">
      <w:pPr>
        <w:pStyle w:val="BodyText"/>
        <w:ind w:left="450"/>
        <w:rPr>
          <w:sz w:val="22"/>
          <w:szCs w:val="22"/>
        </w:rPr>
      </w:pPr>
      <w:r w:rsidRPr="009B3429">
        <w:rPr>
          <w:sz w:val="22"/>
          <w:szCs w:val="22"/>
        </w:rPr>
        <w:t xml:space="preserve">Data collection for </w:t>
      </w:r>
      <w:r w:rsidR="00F1283C">
        <w:rPr>
          <w:sz w:val="22"/>
          <w:szCs w:val="22"/>
        </w:rPr>
        <w:t>the</w:t>
      </w:r>
      <w:r w:rsidRPr="009B3429" w:rsidR="00F1283C">
        <w:rPr>
          <w:sz w:val="22"/>
          <w:szCs w:val="22"/>
        </w:rPr>
        <w:t xml:space="preserve"> </w:t>
      </w:r>
      <w:r w:rsidRPr="009B3429">
        <w:rPr>
          <w:sz w:val="22"/>
          <w:szCs w:val="22"/>
        </w:rPr>
        <w:t xml:space="preserve">survey will take place </w:t>
      </w:r>
      <w:r w:rsidR="00F1283C">
        <w:rPr>
          <w:sz w:val="22"/>
          <w:szCs w:val="22"/>
        </w:rPr>
        <w:t>within a</w:t>
      </w:r>
      <w:r w:rsidR="008C05FC">
        <w:rPr>
          <w:sz w:val="22"/>
          <w:szCs w:val="22"/>
        </w:rPr>
        <w:t>n approximately</w:t>
      </w:r>
      <w:r w:rsidR="00F1283C">
        <w:rPr>
          <w:sz w:val="22"/>
          <w:szCs w:val="22"/>
        </w:rPr>
        <w:t xml:space="preserve"> </w:t>
      </w:r>
      <w:r w:rsidR="008D7F28">
        <w:rPr>
          <w:sz w:val="22"/>
          <w:szCs w:val="22"/>
        </w:rPr>
        <w:t>two-week</w:t>
      </w:r>
      <w:r w:rsidR="00F1283C">
        <w:rPr>
          <w:sz w:val="22"/>
          <w:szCs w:val="22"/>
        </w:rPr>
        <w:t xml:space="preserve"> window</w:t>
      </w:r>
      <w:r w:rsidRPr="009B3429">
        <w:rPr>
          <w:sz w:val="22"/>
          <w:szCs w:val="22"/>
        </w:rPr>
        <w:t xml:space="preserve">. Each survey will be approximately </w:t>
      </w:r>
      <w:r w:rsidRPr="009B3429" w:rsidR="005B2CBD">
        <w:rPr>
          <w:sz w:val="22"/>
          <w:szCs w:val="22"/>
        </w:rPr>
        <w:t xml:space="preserve">20 </w:t>
      </w:r>
      <w:r w:rsidRPr="009B3429">
        <w:rPr>
          <w:sz w:val="22"/>
          <w:szCs w:val="22"/>
        </w:rPr>
        <w:t xml:space="preserve">minutes long and </w:t>
      </w:r>
      <w:r w:rsidR="00F1283C">
        <w:rPr>
          <w:sz w:val="22"/>
          <w:szCs w:val="22"/>
        </w:rPr>
        <w:t>sample members</w:t>
      </w:r>
      <w:r w:rsidRPr="009B3429" w:rsidR="00F1283C">
        <w:rPr>
          <w:sz w:val="22"/>
          <w:szCs w:val="22"/>
        </w:rPr>
        <w:t xml:space="preserve"> </w:t>
      </w:r>
      <w:r w:rsidRPr="009B3429">
        <w:rPr>
          <w:sz w:val="22"/>
          <w:szCs w:val="22"/>
        </w:rPr>
        <w:t xml:space="preserve">will receive up to </w:t>
      </w:r>
      <w:r w:rsidR="00F1283C">
        <w:rPr>
          <w:sz w:val="22"/>
          <w:szCs w:val="22"/>
        </w:rPr>
        <w:t>three mailed invitations</w:t>
      </w:r>
      <w:r w:rsidRPr="009B3429">
        <w:rPr>
          <w:sz w:val="22"/>
          <w:szCs w:val="22"/>
        </w:rPr>
        <w:t xml:space="preserve"> </w:t>
      </w:r>
      <w:r w:rsidR="008D7F28">
        <w:rPr>
          <w:sz w:val="22"/>
          <w:szCs w:val="22"/>
        </w:rPr>
        <w:t xml:space="preserve">and up to two phone reminders </w:t>
      </w:r>
      <w:r w:rsidRPr="009B3429">
        <w:rPr>
          <w:sz w:val="22"/>
          <w:szCs w:val="22"/>
        </w:rPr>
        <w:t xml:space="preserve">to complete </w:t>
      </w:r>
      <w:r w:rsidR="00F1283C">
        <w:rPr>
          <w:sz w:val="22"/>
          <w:szCs w:val="22"/>
        </w:rPr>
        <w:t>the</w:t>
      </w:r>
      <w:r w:rsidRPr="009B3429">
        <w:rPr>
          <w:sz w:val="22"/>
          <w:szCs w:val="22"/>
        </w:rPr>
        <w:t xml:space="preserve"> survey. </w:t>
      </w:r>
      <w:bookmarkStart w:id="0" w:name="_Toc78199018"/>
      <w:bookmarkStart w:id="1" w:name="_Toc78200110"/>
      <w:bookmarkStart w:id="2" w:name="_Toc78200166"/>
      <w:bookmarkStart w:id="3" w:name="_Toc78200222"/>
      <w:bookmarkStart w:id="4" w:name="_Toc78201529"/>
      <w:bookmarkStart w:id="5" w:name="_Toc78201651"/>
      <w:bookmarkStart w:id="6" w:name="_Toc78199019"/>
      <w:bookmarkStart w:id="7" w:name="_Toc78200111"/>
      <w:bookmarkStart w:id="8" w:name="_Toc78200167"/>
      <w:bookmarkStart w:id="9" w:name="_Toc78200223"/>
      <w:bookmarkStart w:id="10" w:name="_Toc78201530"/>
      <w:bookmarkStart w:id="11" w:name="_Toc78201652"/>
      <w:bookmarkEnd w:id="0"/>
      <w:bookmarkEnd w:id="1"/>
      <w:bookmarkEnd w:id="2"/>
      <w:bookmarkEnd w:id="3"/>
      <w:bookmarkEnd w:id="4"/>
      <w:bookmarkEnd w:id="5"/>
      <w:bookmarkEnd w:id="6"/>
      <w:bookmarkEnd w:id="7"/>
      <w:bookmarkEnd w:id="8"/>
      <w:bookmarkEnd w:id="9"/>
      <w:bookmarkEnd w:id="10"/>
      <w:bookmarkEnd w:id="11"/>
    </w:p>
    <w:p w:rsidR="00CF5BF5" w:rsidRPr="009B3429" w:rsidP="00CF5BF5" w14:paraId="34F33345" w14:textId="77777777">
      <w:pPr>
        <w:pStyle w:val="BodyText"/>
        <w:ind w:left="450"/>
        <w:rPr>
          <w:sz w:val="22"/>
          <w:szCs w:val="22"/>
        </w:rPr>
      </w:pPr>
    </w:p>
    <w:p w:rsidR="00B955B7" w:rsidRPr="009B3429" w:rsidP="00942196" w14:paraId="419D6334" w14:textId="77777777">
      <w:pPr>
        <w:pStyle w:val="Heading1"/>
        <w:numPr>
          <w:ilvl w:val="0"/>
          <w:numId w:val="1"/>
        </w:numPr>
        <w:tabs>
          <w:tab w:val="left" w:pos="669"/>
        </w:tabs>
        <w:spacing w:before="183"/>
        <w:ind w:hanging="400"/>
        <w:rPr>
          <w:sz w:val="22"/>
          <w:szCs w:val="22"/>
        </w:rPr>
      </w:pPr>
      <w:r w:rsidRPr="009B3429">
        <w:rPr>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9B3429">
        <w:rPr>
          <w:spacing w:val="-4"/>
          <w:sz w:val="22"/>
          <w:szCs w:val="22"/>
        </w:rPr>
        <w:t xml:space="preserve"> </w:t>
      </w:r>
      <w:r w:rsidRPr="009B3429">
        <w:rPr>
          <w:sz w:val="22"/>
          <w:szCs w:val="22"/>
        </w:rPr>
        <w:t>information.</w:t>
      </w:r>
    </w:p>
    <w:p w:rsidR="00A928BB" w:rsidP="6AB70D1D" w14:paraId="4BEEA6C1" w14:textId="23BC2BDE">
      <w:pPr>
        <w:pStyle w:val="BodyText"/>
        <w:spacing w:line="259" w:lineRule="auto"/>
        <w:ind w:right="407"/>
        <w:rPr>
          <w:sz w:val="22"/>
          <w:szCs w:val="22"/>
        </w:rPr>
      </w:pPr>
      <w:r>
        <w:rPr>
          <w:sz w:val="22"/>
          <w:szCs w:val="22"/>
        </w:rPr>
        <w:t>The September HTOPS survey will include a methodological test of three different methods to log into the internet self-response (ISR) data collection instrument</w:t>
      </w:r>
      <w:r w:rsidRPr="00C2202A" w:rsidR="000F7E1D">
        <w:rPr>
          <w:sz w:val="22"/>
          <w:szCs w:val="22"/>
        </w:rPr>
        <w:t>.</w:t>
      </w:r>
      <w:r>
        <w:rPr>
          <w:sz w:val="22"/>
          <w:szCs w:val="22"/>
        </w:rPr>
        <w:t xml:space="preserve"> As one of the first tasks for a respondent to complete in the process of responding to an internet-based survey, the log-in method can have a direct impact on overall survey response. Furthermore, different log-in methods allow for the retention of partially completed surveys for respondents to come back to continue response </w:t>
      </w:r>
      <w:r>
        <w:rPr>
          <w:sz w:val="22"/>
          <w:szCs w:val="22"/>
        </w:rPr>
        <w:t>at a later time</w:t>
      </w:r>
      <w:r>
        <w:rPr>
          <w:sz w:val="22"/>
          <w:szCs w:val="22"/>
        </w:rPr>
        <w:t xml:space="preserve">. The September HTOPS sample will be randomly divided into three distinct experimental groups receiving one of three log-in method options: </w:t>
      </w:r>
    </w:p>
    <w:p w:rsidR="008D7F28" w:rsidP="008D7F28" w14:paraId="5E730863" w14:textId="15C359B9">
      <w:pPr>
        <w:pStyle w:val="BodyText"/>
        <w:numPr>
          <w:ilvl w:val="0"/>
          <w:numId w:val="4"/>
        </w:numPr>
        <w:spacing w:line="259" w:lineRule="auto"/>
        <w:ind w:right="407"/>
        <w:rPr>
          <w:sz w:val="22"/>
          <w:szCs w:val="22"/>
        </w:rPr>
      </w:pPr>
      <w:r>
        <w:rPr>
          <w:sz w:val="22"/>
          <w:szCs w:val="22"/>
        </w:rPr>
        <w:t xml:space="preserve">Group 1 will receive </w:t>
      </w:r>
      <w:r w:rsidR="004E20E1">
        <w:rPr>
          <w:sz w:val="22"/>
          <w:szCs w:val="22"/>
        </w:rPr>
        <w:t xml:space="preserve">the current HTOPS log-in method asking the respondent to enter the User ID provided to them in the mailed invitation materials. </w:t>
      </w:r>
    </w:p>
    <w:p w:rsidR="004E20E1" w:rsidP="008D7F28" w14:paraId="2EC90A30" w14:textId="09564735">
      <w:pPr>
        <w:pStyle w:val="BodyText"/>
        <w:numPr>
          <w:ilvl w:val="0"/>
          <w:numId w:val="4"/>
        </w:numPr>
        <w:spacing w:line="259" w:lineRule="auto"/>
        <w:ind w:right="407"/>
        <w:rPr>
          <w:sz w:val="22"/>
          <w:szCs w:val="22"/>
        </w:rPr>
      </w:pPr>
      <w:r>
        <w:rPr>
          <w:sz w:val="22"/>
          <w:szCs w:val="22"/>
        </w:rPr>
        <w:t xml:space="preserve">Group 2 will receive a method asking the respondent to provide an email or phone number </w:t>
      </w:r>
      <w:r>
        <w:rPr>
          <w:sz w:val="22"/>
          <w:szCs w:val="22"/>
        </w:rPr>
        <w:t>in order to</w:t>
      </w:r>
      <w:r>
        <w:rPr>
          <w:sz w:val="22"/>
          <w:szCs w:val="22"/>
        </w:rPr>
        <w:t xml:space="preserve"> receive a one-time code to enter to verify that email or phone number. The respondent will then be asked to enter the </w:t>
      </w:r>
      <w:r>
        <w:rPr>
          <w:sz w:val="22"/>
          <w:szCs w:val="22"/>
        </w:rPr>
        <w:t>User ID provided to them in the mailed invitation materials.</w:t>
      </w:r>
      <w:r>
        <w:rPr>
          <w:sz w:val="22"/>
          <w:szCs w:val="22"/>
        </w:rPr>
        <w:t xml:space="preserve"> This method will allow a respondent to log in a </w:t>
      </w:r>
      <w:r>
        <w:rPr>
          <w:sz w:val="22"/>
          <w:szCs w:val="22"/>
        </w:rPr>
        <w:t>subsequent times</w:t>
      </w:r>
      <w:r>
        <w:rPr>
          <w:sz w:val="22"/>
          <w:szCs w:val="22"/>
        </w:rPr>
        <w:t xml:space="preserve"> with just their email or phone number and a one-time code.</w:t>
      </w:r>
    </w:p>
    <w:p w:rsidR="004E20E1" w:rsidP="008D7F28" w14:paraId="35D820EF" w14:textId="4CE2F91B">
      <w:pPr>
        <w:pStyle w:val="BodyText"/>
        <w:numPr>
          <w:ilvl w:val="0"/>
          <w:numId w:val="4"/>
        </w:numPr>
        <w:spacing w:line="259" w:lineRule="auto"/>
        <w:ind w:right="407"/>
        <w:rPr>
          <w:sz w:val="22"/>
          <w:szCs w:val="22"/>
        </w:rPr>
      </w:pPr>
      <w:r>
        <w:rPr>
          <w:sz w:val="22"/>
          <w:szCs w:val="22"/>
        </w:rPr>
        <w:t xml:space="preserve">Group 3 will receive a method </w:t>
      </w:r>
      <w:r>
        <w:rPr>
          <w:sz w:val="22"/>
          <w:szCs w:val="22"/>
        </w:rPr>
        <w:t>asking the respondent to enter the User ID provided to them in the mailed invitation materials</w:t>
      </w:r>
      <w:r>
        <w:rPr>
          <w:sz w:val="22"/>
          <w:szCs w:val="22"/>
        </w:rPr>
        <w:t xml:space="preserve">, and the be prompted to </w:t>
      </w:r>
      <w:r>
        <w:rPr>
          <w:sz w:val="22"/>
          <w:szCs w:val="22"/>
        </w:rPr>
        <w:t xml:space="preserve">provide an email or phone number </w:t>
      </w:r>
      <w:r>
        <w:rPr>
          <w:sz w:val="22"/>
          <w:szCs w:val="22"/>
        </w:rPr>
        <w:t>in order to</w:t>
      </w:r>
      <w:r>
        <w:rPr>
          <w:sz w:val="22"/>
          <w:szCs w:val="22"/>
        </w:rPr>
        <w:t xml:space="preserve"> receive a one-time code to enter to verify that email or phone number.</w:t>
      </w:r>
      <w:r>
        <w:rPr>
          <w:sz w:val="22"/>
          <w:szCs w:val="22"/>
        </w:rPr>
        <w:t xml:space="preserve"> </w:t>
      </w:r>
      <w:r>
        <w:rPr>
          <w:sz w:val="22"/>
          <w:szCs w:val="22"/>
        </w:rPr>
        <w:t xml:space="preserve">This method will allow a respondent to log in a </w:t>
      </w:r>
      <w:r>
        <w:rPr>
          <w:sz w:val="22"/>
          <w:szCs w:val="22"/>
        </w:rPr>
        <w:t>subsequent</w:t>
      </w:r>
      <w:r>
        <w:rPr>
          <w:sz w:val="22"/>
          <w:szCs w:val="22"/>
        </w:rPr>
        <w:t xml:space="preserve"> time</w:t>
      </w:r>
      <w:r>
        <w:rPr>
          <w:sz w:val="22"/>
          <w:szCs w:val="22"/>
        </w:rPr>
        <w:t>s</w:t>
      </w:r>
      <w:r>
        <w:rPr>
          <w:sz w:val="22"/>
          <w:szCs w:val="22"/>
        </w:rPr>
        <w:t xml:space="preserve"> with just their email or phone number and a one-time code.</w:t>
      </w:r>
    </w:p>
    <w:p w:rsidR="004E20E1" w:rsidP="004E20E1" w14:paraId="7C2F22DD" w14:textId="5DA82A2B">
      <w:pPr>
        <w:pStyle w:val="BodyText"/>
        <w:spacing w:line="259" w:lineRule="auto"/>
        <w:ind w:right="407"/>
        <w:rPr>
          <w:sz w:val="22"/>
          <w:szCs w:val="22"/>
        </w:rPr>
      </w:pPr>
      <w:r>
        <w:rPr>
          <w:sz w:val="22"/>
          <w:szCs w:val="22"/>
        </w:rPr>
        <w:t>These three methods are common for web log-in and authentication, but the inclusion of this experiment on the HTOPS allows for direct comparison of the impacts of each method on log-in rates and response to a survey.</w:t>
      </w:r>
    </w:p>
    <w:p w:rsidR="00CF5BF5" w:rsidRPr="00C2202A" w:rsidP="00CF5BF5" w14:paraId="1D424B48" w14:textId="134EC6D3">
      <w:pPr>
        <w:widowControl/>
        <w:autoSpaceDE/>
        <w:autoSpaceDN/>
        <w:spacing w:after="160" w:line="259" w:lineRule="auto"/>
      </w:pPr>
      <w:r>
        <w:br w:type="page"/>
      </w:r>
    </w:p>
    <w:p w:rsidR="00B955B7" w:rsidRPr="009B3429" w:rsidP="00942196" w14:paraId="7EFE81DD" w14:textId="77777777">
      <w:pPr>
        <w:pStyle w:val="Heading1"/>
        <w:numPr>
          <w:ilvl w:val="0"/>
          <w:numId w:val="1"/>
        </w:numPr>
        <w:tabs>
          <w:tab w:val="left" w:pos="669"/>
        </w:tabs>
        <w:spacing w:before="183"/>
        <w:ind w:hanging="400"/>
        <w:rPr>
          <w:sz w:val="22"/>
          <w:szCs w:val="22"/>
        </w:rPr>
      </w:pPr>
      <w:r w:rsidRPr="009B3429">
        <w:rPr>
          <w:sz w:val="22"/>
          <w:szCs w:val="22"/>
        </w:rPr>
        <w:t xml:space="preserve">Provide the name and telephone number of individuals consulted on statistical aspects of the design and the name of the agency unit, contractor(s), grantee(s), or other person(s) who will </w:t>
      </w:r>
      <w:r w:rsidRPr="009B3429">
        <w:rPr>
          <w:sz w:val="22"/>
          <w:szCs w:val="22"/>
        </w:rPr>
        <w:t>actually collect</w:t>
      </w:r>
      <w:r w:rsidRPr="009B3429">
        <w:rPr>
          <w:sz w:val="22"/>
          <w:szCs w:val="22"/>
        </w:rPr>
        <w:t xml:space="preserve"> and/or analyze the information for the</w:t>
      </w:r>
      <w:r w:rsidRPr="009B3429">
        <w:rPr>
          <w:spacing w:val="-6"/>
          <w:sz w:val="22"/>
          <w:szCs w:val="22"/>
        </w:rPr>
        <w:t xml:space="preserve"> </w:t>
      </w:r>
      <w:r w:rsidRPr="009B3429">
        <w:rPr>
          <w:sz w:val="22"/>
          <w:szCs w:val="22"/>
        </w:rPr>
        <w:t>agency.</w:t>
      </w:r>
    </w:p>
    <w:p w:rsidR="005A6942" w:rsidRPr="009B3429" w:rsidP="005A6942" w14:paraId="54B2BA22" w14:textId="77777777">
      <w:pPr>
        <w:numPr>
          <w:ilvl w:val="12"/>
          <w:numId w:val="0"/>
        </w:numPr>
        <w:tabs>
          <w:tab w:val="left" w:pos="480"/>
          <w:tab w:val="left" w:pos="990"/>
          <w:tab w:val="left" w:pos="1440"/>
          <w:tab w:val="left" w:pos="1920"/>
          <w:tab w:val="left" w:pos="2400"/>
          <w:tab w:val="left" w:pos="5850"/>
          <w:tab w:val="left" w:pos="9240"/>
        </w:tabs>
        <w:rPr>
          <w:u w:val="single"/>
        </w:rPr>
      </w:pPr>
    </w:p>
    <w:p w:rsidR="005A6942" w:rsidRPr="009B3429" w:rsidP="3F82DD94" w14:paraId="494774A8" w14:textId="679B870A">
      <w:pPr>
        <w:tabs>
          <w:tab w:val="left" w:pos="480"/>
          <w:tab w:val="left" w:pos="990"/>
          <w:tab w:val="left" w:pos="1440"/>
          <w:tab w:val="left" w:pos="1920"/>
          <w:tab w:val="left" w:pos="2400"/>
          <w:tab w:val="left" w:pos="5850"/>
          <w:tab w:val="left" w:pos="9240"/>
        </w:tabs>
        <w:ind w:left="450"/>
      </w:pPr>
      <w:r w:rsidRPr="009B3429">
        <w:rPr>
          <w:u w:val="single"/>
        </w:rPr>
        <w:t>Statistical Design</w:t>
      </w:r>
      <w:r w:rsidRPr="009B3429">
        <w:t xml:space="preserve">:                                                  </w:t>
      </w:r>
      <w:r w:rsidRPr="009B3429">
        <w:tab/>
      </w:r>
      <w:r w:rsidRPr="009B3429">
        <w:tab/>
      </w:r>
      <w:r w:rsidRPr="009B3429">
        <w:tab/>
      </w:r>
      <w:r w:rsidRPr="009B3429">
        <w:tab/>
      </w:r>
      <w:r w:rsidRPr="009B3429">
        <w:tab/>
      </w:r>
    </w:p>
    <w:p w:rsidR="005A6942" w:rsidRPr="009B3429"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Anthony Tersine</w:t>
      </w:r>
      <w:r w:rsidRPr="009B3429">
        <w:tab/>
      </w:r>
      <w:r w:rsidRPr="009B3429">
        <w:tab/>
      </w:r>
      <w:r w:rsidRPr="009B3429">
        <w:tab/>
      </w:r>
      <w:r w:rsidRPr="009B3429">
        <w:tab/>
      </w:r>
      <w:r w:rsidRPr="009B3429">
        <w:tab/>
      </w:r>
      <w:r w:rsidRPr="009B3429">
        <w:tab/>
      </w:r>
    </w:p>
    <w:p w:rsidR="005A6942" w:rsidRPr="009B3429"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Statistical Methods Division</w:t>
      </w:r>
      <w:r w:rsidRPr="009B3429">
        <w:tab/>
      </w:r>
    </w:p>
    <w:p w:rsidR="005A6942" w:rsidRPr="009B3429"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7348F9F1" w14:paraId="4A10B274" w14:textId="4FF4F45F">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Anthony.g.tersine</w:t>
      </w:r>
      <w:r w:rsidRPr="009B3429" w:rsidR="10D39956">
        <w:t>.jr</w:t>
      </w:r>
      <w:r w:rsidRPr="009B3429">
        <w:t>@census.gov</w:t>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p>
    <w:p w:rsidR="005A6942" w:rsidRPr="009B3429"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u w:val="single"/>
        </w:rPr>
      </w:pPr>
      <w:r w:rsidRPr="009B3429">
        <w:rPr>
          <w:u w:val="single"/>
        </w:rPr>
        <w:t>Data Collection/Survey Design:</w:t>
      </w:r>
    </w:p>
    <w:p w:rsidR="005A6942" w:rsidRPr="009B3429"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pPr>
      <w:r w:rsidRPr="009B3429">
        <w:tab/>
      </w:r>
      <w:r w:rsidRPr="009B3429">
        <w:tab/>
      </w:r>
    </w:p>
    <w:p w:rsidR="005A6942" w:rsidRPr="009B3429"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Jennifer Hunter Childs</w:t>
      </w:r>
    </w:p>
    <w:p w:rsidR="0AF29544" w:rsidRPr="009B3429" w:rsidP="39F9E1A1" w14:paraId="17798594" w14:textId="5FF67F0B">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00335A8F" w14:paraId="76ED51DC" w14:textId="0BF1543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 xml:space="preserve">jennifer.hunter.childs@census.gov                                    </w:t>
      </w:r>
      <w:r w:rsidRPr="009B3429">
        <w:tab/>
      </w:r>
      <w:r w:rsidRPr="009B3429">
        <w:tab/>
      </w:r>
      <w:r w:rsidRPr="009B3429">
        <w:tab/>
      </w:r>
      <w:r w:rsidRPr="009B3429">
        <w:tab/>
      </w:r>
      <w:r w:rsidRPr="009B3429">
        <w:tab/>
      </w:r>
    </w:p>
    <w:p w:rsidR="005A6942" w:rsidRPr="009B3429"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pPr>
      <w:r w:rsidRPr="009B3429">
        <w:tab/>
        <w:t xml:space="preserve">   </w:t>
      </w:r>
      <w:r w:rsidRPr="009B3429">
        <w:tab/>
      </w:r>
    </w:p>
    <w:p w:rsidR="005A6942" w:rsidRPr="009B3429"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r w:rsidRPr="009B3429">
        <w:rPr>
          <w:u w:val="single"/>
        </w:rPr>
        <w:t>Statistical Analysis:</w:t>
      </w:r>
    </w:p>
    <w:p w:rsidR="005A6942" w:rsidRPr="009B3429"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p>
    <w:p w:rsidR="005A6942" w:rsidRPr="009B3429" w:rsidP="3F82DD94" w14:paraId="5434C6AD" w14:textId="5670181C">
      <w:pPr>
        <w:tabs>
          <w:tab w:val="left" w:pos="960"/>
          <w:tab w:val="left" w:pos="1170"/>
          <w:tab w:val="left" w:pos="1350"/>
          <w:tab w:val="left" w:pos="1440"/>
          <w:tab w:val="left" w:pos="1920"/>
          <w:tab w:val="left" w:pos="2400"/>
          <w:tab w:val="left" w:pos="5850"/>
          <w:tab w:val="left" w:pos="9240"/>
        </w:tabs>
        <w:ind w:left="450"/>
      </w:pPr>
      <w:r w:rsidRPr="009B3429">
        <w:t>David Waddington</w:t>
      </w:r>
    </w:p>
    <w:p w:rsidR="005A6942" w:rsidRPr="009B3429" w:rsidP="3F82DD94" w14:paraId="3AE48DE7" w14:textId="77777777">
      <w:pPr>
        <w:tabs>
          <w:tab w:val="left" w:pos="960"/>
          <w:tab w:val="left" w:pos="1170"/>
          <w:tab w:val="left" w:pos="1350"/>
          <w:tab w:val="left" w:pos="1440"/>
          <w:tab w:val="left" w:pos="1920"/>
          <w:tab w:val="left" w:pos="2400"/>
          <w:tab w:val="left" w:pos="5850"/>
          <w:tab w:val="left" w:pos="9240"/>
        </w:tabs>
        <w:ind w:left="450"/>
      </w:pPr>
      <w:r w:rsidRPr="009B3429">
        <w:t>Social Economic and Housing Statistics Division</w:t>
      </w:r>
    </w:p>
    <w:p w:rsidR="005A6942" w:rsidRPr="009B3429"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pPr>
      <w:r w:rsidRPr="009B3429">
        <w:t>Demographic Programs Directorate</w:t>
      </w:r>
    </w:p>
    <w:p w:rsidR="005A6942" w:rsidRPr="009B3429" w:rsidP="005A6942" w14:paraId="0E5BB11B" w14:textId="59B804B6">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pPr>
      <w:r w:rsidRPr="009B3429">
        <w:t>david.g.waddington@census.gov</w:t>
      </w:r>
    </w:p>
    <w:p w:rsidR="00A057FA" w:rsidRPr="009B3429" w:rsidP="00942196" w14:paraId="53F5F7C1" w14:textId="77777777">
      <w:pPr>
        <w:pStyle w:val="BodyText"/>
        <w:spacing w:before="160" w:line="259" w:lineRule="auto"/>
        <w:rPr>
          <w:color w:val="0070C0"/>
          <w:sz w:val="22"/>
          <w:szCs w:val="22"/>
        </w:rPr>
      </w:pPr>
    </w:p>
    <w:sectPr w:rsidSect="00942196">
      <w:footerReference w:type="default" r:id="rId7"/>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672EBF78"/>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auto"/>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3">
    <w:nsid w:val="6D773616"/>
    <w:multiLevelType w:val="hybridMultilevel"/>
    <w:tmpl w:val="6CE86DE8"/>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878662976">
    <w:abstractNumId w:val="0"/>
  </w:num>
  <w:num w:numId="2" w16cid:durableId="640161664">
    <w:abstractNumId w:val="2"/>
  </w:num>
  <w:num w:numId="3" w16cid:durableId="300426526">
    <w:abstractNumId w:val="1"/>
  </w:num>
  <w:num w:numId="4" w16cid:durableId="1931112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3008E"/>
    <w:rsid w:val="00053A18"/>
    <w:rsid w:val="000719BC"/>
    <w:rsid w:val="00092834"/>
    <w:rsid w:val="000A6203"/>
    <w:rsid w:val="000B2AA7"/>
    <w:rsid w:val="000B515B"/>
    <w:rsid w:val="000E7FA4"/>
    <w:rsid w:val="000F7E1D"/>
    <w:rsid w:val="00107CB9"/>
    <w:rsid w:val="001304CC"/>
    <w:rsid w:val="00130530"/>
    <w:rsid w:val="00170A53"/>
    <w:rsid w:val="00172512"/>
    <w:rsid w:val="00177824"/>
    <w:rsid w:val="0019678B"/>
    <w:rsid w:val="001A5E6C"/>
    <w:rsid w:val="001B4B57"/>
    <w:rsid w:val="001C384F"/>
    <w:rsid w:val="001C6FCA"/>
    <w:rsid w:val="001D3CA4"/>
    <w:rsid w:val="001D5A72"/>
    <w:rsid w:val="00202891"/>
    <w:rsid w:val="002038D4"/>
    <w:rsid w:val="00203961"/>
    <w:rsid w:val="0022547B"/>
    <w:rsid w:val="00225878"/>
    <w:rsid w:val="0023781D"/>
    <w:rsid w:val="002475C7"/>
    <w:rsid w:val="00253AEE"/>
    <w:rsid w:val="00254880"/>
    <w:rsid w:val="0027209F"/>
    <w:rsid w:val="00287D06"/>
    <w:rsid w:val="00292D2F"/>
    <w:rsid w:val="002B3CDB"/>
    <w:rsid w:val="002C4F0F"/>
    <w:rsid w:val="002D438C"/>
    <w:rsid w:val="002E5377"/>
    <w:rsid w:val="002F426E"/>
    <w:rsid w:val="002F4974"/>
    <w:rsid w:val="002F57F7"/>
    <w:rsid w:val="0032471E"/>
    <w:rsid w:val="00325F54"/>
    <w:rsid w:val="00332063"/>
    <w:rsid w:val="00335A8F"/>
    <w:rsid w:val="003436E2"/>
    <w:rsid w:val="00351911"/>
    <w:rsid w:val="00353F8C"/>
    <w:rsid w:val="003902F3"/>
    <w:rsid w:val="003A0215"/>
    <w:rsid w:val="003B3ABF"/>
    <w:rsid w:val="003E0710"/>
    <w:rsid w:val="00401686"/>
    <w:rsid w:val="00442F57"/>
    <w:rsid w:val="00471C90"/>
    <w:rsid w:val="004724D0"/>
    <w:rsid w:val="00490FD9"/>
    <w:rsid w:val="004A140A"/>
    <w:rsid w:val="004B3F5D"/>
    <w:rsid w:val="004C1BE9"/>
    <w:rsid w:val="004E20E1"/>
    <w:rsid w:val="004E2561"/>
    <w:rsid w:val="004E7FF6"/>
    <w:rsid w:val="00505C26"/>
    <w:rsid w:val="00512BBE"/>
    <w:rsid w:val="00520E6E"/>
    <w:rsid w:val="005367D0"/>
    <w:rsid w:val="005561F6"/>
    <w:rsid w:val="0056245B"/>
    <w:rsid w:val="00596850"/>
    <w:rsid w:val="005A14B9"/>
    <w:rsid w:val="005A1D38"/>
    <w:rsid w:val="005A6942"/>
    <w:rsid w:val="005B2CBD"/>
    <w:rsid w:val="005B4897"/>
    <w:rsid w:val="005B6D52"/>
    <w:rsid w:val="00615B02"/>
    <w:rsid w:val="00647934"/>
    <w:rsid w:val="006533B0"/>
    <w:rsid w:val="006722A9"/>
    <w:rsid w:val="00677C42"/>
    <w:rsid w:val="006B4588"/>
    <w:rsid w:val="006C0921"/>
    <w:rsid w:val="006E3171"/>
    <w:rsid w:val="006E4953"/>
    <w:rsid w:val="006F5EB5"/>
    <w:rsid w:val="00705089"/>
    <w:rsid w:val="00725D68"/>
    <w:rsid w:val="00774685"/>
    <w:rsid w:val="007B055E"/>
    <w:rsid w:val="007B36BA"/>
    <w:rsid w:val="007E0B54"/>
    <w:rsid w:val="007E5C90"/>
    <w:rsid w:val="007F660B"/>
    <w:rsid w:val="00806B1B"/>
    <w:rsid w:val="00810A59"/>
    <w:rsid w:val="00817764"/>
    <w:rsid w:val="008253AA"/>
    <w:rsid w:val="00833FE2"/>
    <w:rsid w:val="00837B80"/>
    <w:rsid w:val="00867799"/>
    <w:rsid w:val="00892982"/>
    <w:rsid w:val="00893405"/>
    <w:rsid w:val="008A1A1D"/>
    <w:rsid w:val="008C05FC"/>
    <w:rsid w:val="008C13B9"/>
    <w:rsid w:val="008D126D"/>
    <w:rsid w:val="008D5A21"/>
    <w:rsid w:val="008D7F28"/>
    <w:rsid w:val="009305D3"/>
    <w:rsid w:val="00933B30"/>
    <w:rsid w:val="00942196"/>
    <w:rsid w:val="00945CFB"/>
    <w:rsid w:val="0098249B"/>
    <w:rsid w:val="009A01EE"/>
    <w:rsid w:val="009A05A9"/>
    <w:rsid w:val="009A51FF"/>
    <w:rsid w:val="009B3429"/>
    <w:rsid w:val="009C500B"/>
    <w:rsid w:val="009D1016"/>
    <w:rsid w:val="009E506C"/>
    <w:rsid w:val="00A057FA"/>
    <w:rsid w:val="00A24E2B"/>
    <w:rsid w:val="00A34CD1"/>
    <w:rsid w:val="00A61ECF"/>
    <w:rsid w:val="00A63C05"/>
    <w:rsid w:val="00A928BB"/>
    <w:rsid w:val="00AA5146"/>
    <w:rsid w:val="00AA5F2D"/>
    <w:rsid w:val="00AB0698"/>
    <w:rsid w:val="00AE74AE"/>
    <w:rsid w:val="00AF392F"/>
    <w:rsid w:val="00B90413"/>
    <w:rsid w:val="00B955B7"/>
    <w:rsid w:val="00BB37F0"/>
    <w:rsid w:val="00BC1E42"/>
    <w:rsid w:val="00C2202A"/>
    <w:rsid w:val="00C30F3D"/>
    <w:rsid w:val="00C31A66"/>
    <w:rsid w:val="00C46AE3"/>
    <w:rsid w:val="00C46F35"/>
    <w:rsid w:val="00C96CF5"/>
    <w:rsid w:val="00CA059D"/>
    <w:rsid w:val="00CB3829"/>
    <w:rsid w:val="00CB6264"/>
    <w:rsid w:val="00CD3BD1"/>
    <w:rsid w:val="00CF5BF5"/>
    <w:rsid w:val="00D36A12"/>
    <w:rsid w:val="00D455B4"/>
    <w:rsid w:val="00D548D5"/>
    <w:rsid w:val="00D64EFA"/>
    <w:rsid w:val="00D704EC"/>
    <w:rsid w:val="00D7274A"/>
    <w:rsid w:val="00DA1574"/>
    <w:rsid w:val="00DE34FB"/>
    <w:rsid w:val="00DE3F25"/>
    <w:rsid w:val="00DE5F61"/>
    <w:rsid w:val="00DF539A"/>
    <w:rsid w:val="00E023A4"/>
    <w:rsid w:val="00E20FC6"/>
    <w:rsid w:val="00E21840"/>
    <w:rsid w:val="00E4076A"/>
    <w:rsid w:val="00E7588B"/>
    <w:rsid w:val="00E81031"/>
    <w:rsid w:val="00E971A9"/>
    <w:rsid w:val="00EC6FA3"/>
    <w:rsid w:val="00EF7C23"/>
    <w:rsid w:val="00F1283C"/>
    <w:rsid w:val="00F31AA9"/>
    <w:rsid w:val="00F34B4B"/>
    <w:rsid w:val="00F85551"/>
    <w:rsid w:val="00F85EDB"/>
    <w:rsid w:val="02DB1C3A"/>
    <w:rsid w:val="03EF97A0"/>
    <w:rsid w:val="057BAA3C"/>
    <w:rsid w:val="067208CF"/>
    <w:rsid w:val="085D056E"/>
    <w:rsid w:val="0AF29544"/>
    <w:rsid w:val="0BF75780"/>
    <w:rsid w:val="0C4603B0"/>
    <w:rsid w:val="0C98DAC5"/>
    <w:rsid w:val="0E6A75DD"/>
    <w:rsid w:val="10D39956"/>
    <w:rsid w:val="10FF0A87"/>
    <w:rsid w:val="11E0F258"/>
    <w:rsid w:val="171C3C0A"/>
    <w:rsid w:val="195E4359"/>
    <w:rsid w:val="1B67911E"/>
    <w:rsid w:val="1BA5ED54"/>
    <w:rsid w:val="1DA01EDD"/>
    <w:rsid w:val="2094DAD7"/>
    <w:rsid w:val="2129F4FD"/>
    <w:rsid w:val="22B33671"/>
    <w:rsid w:val="22BE80E5"/>
    <w:rsid w:val="239B71D9"/>
    <w:rsid w:val="241BAF37"/>
    <w:rsid w:val="24EF7087"/>
    <w:rsid w:val="25652BD8"/>
    <w:rsid w:val="27FDB1A9"/>
    <w:rsid w:val="29507A02"/>
    <w:rsid w:val="2953C2EA"/>
    <w:rsid w:val="2AC76220"/>
    <w:rsid w:val="2B7476F5"/>
    <w:rsid w:val="2BBD66B9"/>
    <w:rsid w:val="2F698E8A"/>
    <w:rsid w:val="2FBE3795"/>
    <w:rsid w:val="3014C738"/>
    <w:rsid w:val="328C5171"/>
    <w:rsid w:val="32AD7CAC"/>
    <w:rsid w:val="34908F70"/>
    <w:rsid w:val="34FFA383"/>
    <w:rsid w:val="392C8C28"/>
    <w:rsid w:val="39F9E1A1"/>
    <w:rsid w:val="3AF4A5F5"/>
    <w:rsid w:val="3D49A21E"/>
    <w:rsid w:val="3F82DD94"/>
    <w:rsid w:val="400D6AE6"/>
    <w:rsid w:val="41F3F71C"/>
    <w:rsid w:val="42C6A1A1"/>
    <w:rsid w:val="432EB2F6"/>
    <w:rsid w:val="43D7FDE0"/>
    <w:rsid w:val="4468FD5D"/>
    <w:rsid w:val="474F9928"/>
    <w:rsid w:val="47CAA914"/>
    <w:rsid w:val="48019FCA"/>
    <w:rsid w:val="49A9731F"/>
    <w:rsid w:val="4B00FF06"/>
    <w:rsid w:val="4D0A7959"/>
    <w:rsid w:val="4DCC55FF"/>
    <w:rsid w:val="4FDB6910"/>
    <w:rsid w:val="50F5AA2C"/>
    <w:rsid w:val="50F8F9C7"/>
    <w:rsid w:val="51DC39C0"/>
    <w:rsid w:val="53441DD3"/>
    <w:rsid w:val="543110C2"/>
    <w:rsid w:val="56360999"/>
    <w:rsid w:val="582D2CA5"/>
    <w:rsid w:val="5884989C"/>
    <w:rsid w:val="5A78B66F"/>
    <w:rsid w:val="5A82690F"/>
    <w:rsid w:val="5B181AFD"/>
    <w:rsid w:val="5C9E1594"/>
    <w:rsid w:val="5E88C2A8"/>
    <w:rsid w:val="613B04BD"/>
    <w:rsid w:val="61E186F4"/>
    <w:rsid w:val="63A0CF57"/>
    <w:rsid w:val="6426B7D8"/>
    <w:rsid w:val="65F9CD7C"/>
    <w:rsid w:val="6609F8EC"/>
    <w:rsid w:val="6710F5FB"/>
    <w:rsid w:val="69D92356"/>
    <w:rsid w:val="6AB70D1D"/>
    <w:rsid w:val="6D10C418"/>
    <w:rsid w:val="6EF3E171"/>
    <w:rsid w:val="6F67C515"/>
    <w:rsid w:val="702524E6"/>
    <w:rsid w:val="71B0063C"/>
    <w:rsid w:val="720327F0"/>
    <w:rsid w:val="7348F9F1"/>
    <w:rsid w:val="75263C8C"/>
    <w:rsid w:val="7959DAD9"/>
    <w:rsid w:val="79F4A6D1"/>
    <w:rsid w:val="7A4349AC"/>
    <w:rsid w:val="7C7EDA74"/>
    <w:rsid w:val="7D14C280"/>
    <w:rsid w:val="7D5BC91A"/>
    <w:rsid w:val="7ED3AB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BCEE7921-03EF-47EF-A7EC-8E48EC0C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table" w:styleId="TableGrid">
    <w:name w:val="Table Grid"/>
    <w:basedOn w:val="TableNormal"/>
    <w:uiPriority w:val="39"/>
    <w:rsid w:val="00C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9B342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1965</Parent_ICR>
    <ICR_ID xmlns="f762c95d-3cca-4969-a35b-3d8ab5bf0d48">1965</ICR_ID>
    <DocumentType xmlns="f762c95d-3cca-4969-a35b-3d8ab5bf0d48">Supporting Statement B</DocumentType>
  </documentManagement>
</p:properties>
</file>

<file path=customXml/itemProps1.xml><?xml version="1.0" encoding="utf-8"?>
<ds:datastoreItem xmlns:ds="http://schemas.openxmlformats.org/officeDocument/2006/customXml" ds:itemID="{139C865F-D32B-4A8D-BF09-FBED4E7B6249}">
  <ds:schemaRefs/>
</ds:datastoreItem>
</file>

<file path=customXml/itemProps2.xml><?xml version="1.0" encoding="utf-8"?>
<ds:datastoreItem xmlns:ds="http://schemas.openxmlformats.org/officeDocument/2006/customXml" ds:itemID="{1C5637B5-F07D-4FD2-ABBC-BA3A86844491}">
  <ds:schemaRefs/>
</ds:datastoreItem>
</file>

<file path=customXml/itemProps3.xml><?xml version="1.0" encoding="utf-8"?>
<ds:datastoreItem xmlns:ds="http://schemas.openxmlformats.org/officeDocument/2006/customXml" ds:itemID="{A53FE812-D852-43D7-8AFE-00AA02F72FC6}">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Jul Sep Nov Supporting Statement B</dc:title>
  <dc:creator>Cassandra Logan (CENSUS/ADDP FED)</dc:creator>
  <cp:lastModifiedBy>Timothy R Gilbert (CENSUS/ADDP FED)</cp:lastModifiedBy>
  <cp:revision>3</cp:revision>
  <dcterms:created xsi:type="dcterms:W3CDTF">2026-04-27T16:45:00Z</dcterms:created>
  <dcterms:modified xsi:type="dcterms:W3CDTF">2026-04-29T20:31:00Z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docLang">
    <vt:lpwstr>en</vt:lpwstr>
  </property>
  <property fmtid="{D5CDD505-2E9C-101B-9397-08002B2CF9AE}" pid="4" name="MediaServiceImageTags">
    <vt:lpwstr/>
  </property>
</Properties>
</file>