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367D0" w:rsidRPr="00E12A81" w:rsidP="64247381" w14:paraId="52479DEF" w14:textId="0F211616">
      <w:pPr>
        <w:pStyle w:val="NoSpacing"/>
        <w:jc w:val="center"/>
        <w:rPr>
          <w:rFonts w:ascii="Calibri" w:hAnsi="Calibri" w:cs="Calibri"/>
          <w:b/>
          <w:bCs/>
          <w:sz w:val="24"/>
          <w:szCs w:val="24"/>
        </w:rPr>
      </w:pPr>
      <w:r w:rsidRPr="64247381">
        <w:rPr>
          <w:rFonts w:ascii="Calibri" w:hAnsi="Calibri" w:cs="Calibri"/>
          <w:b/>
          <w:bCs/>
          <w:sz w:val="24"/>
          <w:szCs w:val="24"/>
        </w:rPr>
        <w:t>SUPPORTING STATEMENT</w:t>
      </w:r>
      <w:r w:rsidRPr="64247381" w:rsidR="31E2E3B5">
        <w:rPr>
          <w:rFonts w:ascii="Calibri" w:hAnsi="Calibri" w:cs="Calibri"/>
          <w:b/>
          <w:bCs/>
          <w:sz w:val="24"/>
          <w:szCs w:val="24"/>
        </w:rPr>
        <w:t xml:space="preserve"> B</w:t>
      </w:r>
    </w:p>
    <w:p w:rsidR="005367D0" w:rsidRPr="00E12A81" w:rsidP="64247381" w14:paraId="374D3517" w14:textId="54CD10E2">
      <w:pPr>
        <w:pStyle w:val="NoSpacing"/>
        <w:jc w:val="center"/>
        <w:rPr>
          <w:rFonts w:ascii="Calibri" w:hAnsi="Calibri" w:cs="Calibri"/>
          <w:b/>
          <w:bCs/>
          <w:sz w:val="24"/>
          <w:szCs w:val="24"/>
        </w:rPr>
      </w:pPr>
      <w:r w:rsidRPr="64247381">
        <w:rPr>
          <w:rFonts w:ascii="Calibri" w:hAnsi="Calibri" w:cs="Calibri"/>
          <w:b/>
          <w:bCs/>
          <w:sz w:val="24"/>
          <w:szCs w:val="24"/>
        </w:rPr>
        <w:t xml:space="preserve"> </w:t>
      </w:r>
      <w:r w:rsidRPr="64247381" w:rsidR="00360E87">
        <w:rPr>
          <w:rFonts w:ascii="Calibri" w:hAnsi="Calibri" w:cs="Calibri"/>
          <w:b/>
          <w:bCs/>
          <w:sz w:val="24"/>
          <w:szCs w:val="24"/>
        </w:rPr>
        <w:t>U</w:t>
      </w:r>
      <w:r w:rsidRPr="64247381">
        <w:rPr>
          <w:rFonts w:ascii="Calibri" w:hAnsi="Calibri" w:cs="Calibri"/>
          <w:b/>
          <w:bCs/>
          <w:sz w:val="24"/>
          <w:szCs w:val="24"/>
        </w:rPr>
        <w:t>.S. Department of Commerce</w:t>
      </w:r>
    </w:p>
    <w:p w:rsidR="005367D0" w:rsidRPr="00E12A81" w:rsidP="005367D0" w14:paraId="27FA7BBE" w14:textId="77777777">
      <w:pPr>
        <w:pStyle w:val="NoSpacing"/>
        <w:jc w:val="center"/>
        <w:rPr>
          <w:rFonts w:ascii="Calibri" w:hAnsi="Calibri" w:cs="Calibri"/>
          <w:b/>
          <w:sz w:val="24"/>
        </w:rPr>
      </w:pPr>
      <w:r>
        <w:rPr>
          <w:rFonts w:ascii="Calibri" w:hAnsi="Calibri" w:cs="Calibri"/>
          <w:b/>
          <w:sz w:val="24"/>
        </w:rPr>
        <w:t>U.S. Census Bureau</w:t>
      </w:r>
    </w:p>
    <w:p w:rsidR="00E46CD5" w:rsidRPr="00E46CD5" w:rsidP="00E46CD5" w14:paraId="23419E98" w14:textId="34DDCB55">
      <w:pPr>
        <w:pStyle w:val="NoSpacing"/>
        <w:jc w:val="center"/>
        <w:rPr>
          <w:rFonts w:ascii="Calibri" w:hAnsi="Calibri" w:cs="Calibri"/>
          <w:b/>
          <w:sz w:val="24"/>
        </w:rPr>
      </w:pPr>
      <w:r>
        <w:rPr>
          <w:rFonts w:ascii="Calibri" w:hAnsi="Calibri" w:cs="Calibri"/>
          <w:b/>
          <w:sz w:val="24"/>
        </w:rPr>
        <w:t xml:space="preserve">The </w:t>
      </w:r>
      <w:r w:rsidRPr="00E46CD5">
        <w:rPr>
          <w:rFonts w:ascii="Calibri" w:hAnsi="Calibri" w:cs="Calibri"/>
          <w:b/>
          <w:sz w:val="24"/>
        </w:rPr>
        <w:t xml:space="preserve">American Community Survey </w:t>
      </w:r>
    </w:p>
    <w:p w:rsidR="005367D0" w:rsidRPr="00E46CD5" w:rsidP="005367D0" w14:paraId="2B756AE8" w14:textId="19A04E29">
      <w:pPr>
        <w:pStyle w:val="NoSpacing"/>
        <w:jc w:val="center"/>
        <w:rPr>
          <w:rFonts w:ascii="Calibri" w:hAnsi="Calibri" w:cs="Calibri"/>
          <w:b/>
          <w:sz w:val="24"/>
        </w:rPr>
      </w:pPr>
      <w:r w:rsidRPr="00E46CD5">
        <w:rPr>
          <w:rFonts w:ascii="Calibri" w:hAnsi="Calibri" w:cs="Calibri"/>
          <w:b/>
          <w:sz w:val="24"/>
        </w:rPr>
        <w:t>OMB Control No. 0607-</w:t>
      </w:r>
      <w:r w:rsidRPr="00E46CD5" w:rsidR="00D11730">
        <w:rPr>
          <w:rFonts w:ascii="Calibri" w:hAnsi="Calibri" w:cs="Calibri"/>
          <w:b/>
          <w:sz w:val="24"/>
        </w:rPr>
        <w:t>0</w:t>
      </w:r>
      <w:r w:rsidR="00D11730">
        <w:rPr>
          <w:rFonts w:ascii="Calibri" w:hAnsi="Calibri" w:cs="Calibri"/>
          <w:b/>
          <w:sz w:val="24"/>
        </w:rPr>
        <w:t>810</w:t>
      </w:r>
    </w:p>
    <w:p w:rsidR="00B955B7" w:rsidP="00B955B7" w14:paraId="52930AC4" w14:textId="77777777">
      <w:pPr>
        <w:spacing w:before="80"/>
        <w:rPr>
          <w:rFonts w:ascii="Calibri" w:hAnsi="Calibri" w:cs="Calibri"/>
          <w:b/>
          <w:color w:val="FF0000"/>
          <w:sz w:val="24"/>
        </w:rPr>
      </w:pPr>
    </w:p>
    <w:p w:rsidR="00B955B7" w:rsidRPr="00124446" w:rsidP="00942196" w14:paraId="7560F95E" w14:textId="2085DA55">
      <w:pPr>
        <w:spacing w:before="161"/>
        <w:ind w:left="400" w:hanging="400"/>
        <w:rPr>
          <w:rFonts w:ascii="Calibri" w:hAnsi="Calibri" w:cs="Calibri"/>
          <w:b/>
          <w:sz w:val="24"/>
        </w:rPr>
      </w:pPr>
      <w:r w:rsidRPr="00124446">
        <w:rPr>
          <w:rFonts w:ascii="Calibri" w:hAnsi="Calibri" w:cs="Calibri"/>
          <w:b/>
          <w:sz w:val="24"/>
        </w:rPr>
        <w:t>B. Collections of Information Employing Statistical Method</w:t>
      </w:r>
    </w:p>
    <w:p w:rsidR="00B955B7" w:rsidRPr="00124446" w:rsidP="00F42517" w14:paraId="7CF7DDDC" w14:textId="56711A7E">
      <w:pPr>
        <w:pStyle w:val="Heading1"/>
        <w:numPr>
          <w:ilvl w:val="0"/>
          <w:numId w:val="2"/>
        </w:numPr>
        <w:tabs>
          <w:tab w:val="left" w:pos="669"/>
        </w:tabs>
        <w:spacing w:before="185" w:after="240"/>
        <w:ind w:left="403" w:hanging="403"/>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r w:rsidRPr="00124446">
        <w:rPr>
          <w:rFonts w:ascii="Calibri" w:hAnsi="Calibri" w:cs="Calibri"/>
        </w:rPr>
        <w:t>collection as a whole</w:t>
      </w:r>
      <w:r w:rsidRPr="00124446">
        <w:rPr>
          <w:rFonts w:ascii="Calibri" w:hAnsi="Calibri" w:cs="Calibri"/>
        </w:rPr>
        <w:t>. If the collection had been conducted previously, include the actual response rate achieved during th</w:t>
      </w:r>
      <w:r w:rsidR="003D6293">
        <w:rPr>
          <w:rFonts w:ascii="Calibri" w:hAnsi="Calibri" w:cs="Calibri"/>
        </w:rPr>
        <w:t>e last collection</w:t>
      </w:r>
      <w:r w:rsidRPr="00124446">
        <w:rPr>
          <w:rFonts w:ascii="Calibri" w:hAnsi="Calibri" w:cs="Calibri"/>
        </w:rPr>
        <w:t>.</w:t>
      </w:r>
    </w:p>
    <w:p w:rsidR="00936A60" w:rsidRPr="00157AFB" w:rsidP="3A436180" w14:paraId="0DACB9B4" w14:textId="792684EF">
      <w:pPr>
        <w:tabs>
          <w:tab w:val="left" w:pos="450"/>
        </w:tabs>
        <w:ind w:left="450"/>
        <w:rPr>
          <w:rFonts w:ascii="Calibri" w:hAnsi="Calibri" w:cstheme="minorBidi"/>
          <w:b/>
          <w:bCs/>
          <w:sz w:val="24"/>
          <w:szCs w:val="24"/>
        </w:rPr>
      </w:pPr>
      <w:r w:rsidRPr="3A436180">
        <w:rPr>
          <w:rFonts w:ascii="Calibri" w:hAnsi="Calibri" w:cstheme="minorBidi"/>
          <w:b/>
          <w:bCs/>
          <w:sz w:val="24"/>
          <w:szCs w:val="24"/>
        </w:rPr>
        <w:t>ACS</w:t>
      </w:r>
      <w:r>
        <w:rPr>
          <w:rStyle w:val="FootnoteReference"/>
          <w:rFonts w:ascii="Calibri" w:hAnsi="Calibri" w:cstheme="minorBidi"/>
          <w:b/>
          <w:bCs/>
          <w:sz w:val="24"/>
          <w:szCs w:val="24"/>
        </w:rPr>
        <w:footnoteReference w:id="3"/>
      </w:r>
      <w:r w:rsidRPr="3A436180">
        <w:rPr>
          <w:rFonts w:ascii="Calibri" w:hAnsi="Calibri" w:cstheme="minorBidi"/>
          <w:b/>
          <w:bCs/>
          <w:sz w:val="24"/>
          <w:szCs w:val="24"/>
        </w:rPr>
        <w:t xml:space="preserve"> Households</w:t>
      </w:r>
    </w:p>
    <w:p w:rsidR="00936A60" w:rsidRPr="00157AFB" w:rsidP="00936A60" w14:paraId="365CE131" w14:textId="77777777">
      <w:pPr>
        <w:tabs>
          <w:tab w:val="left" w:pos="1080"/>
        </w:tabs>
        <w:ind w:left="1080"/>
        <w:rPr>
          <w:rFonts w:ascii="Calibri" w:hAnsi="Calibri" w:cstheme="minorHAnsi"/>
          <w:sz w:val="24"/>
        </w:rPr>
      </w:pPr>
    </w:p>
    <w:p w:rsidR="00936A60" w:rsidRPr="00157AFB" w:rsidP="3F3DED48" w14:paraId="2437F47C" w14:textId="4CA9BCF2">
      <w:pPr>
        <w:tabs>
          <w:tab w:val="left" w:pos="450"/>
        </w:tabs>
        <w:ind w:left="450"/>
        <w:rPr>
          <w:rFonts w:ascii="Calibri" w:hAnsi="Calibri" w:cstheme="minorBidi"/>
          <w:i/>
          <w:iCs/>
          <w:sz w:val="24"/>
          <w:szCs w:val="24"/>
        </w:rPr>
      </w:pPr>
      <w:r w:rsidRPr="007139CD">
        <w:rPr>
          <w:rFonts w:ascii="Calibri" w:hAnsi="Calibri" w:cstheme="minorBidi"/>
          <w:sz w:val="24"/>
          <w:szCs w:val="24"/>
        </w:rPr>
        <w:t xml:space="preserve">The </w:t>
      </w:r>
      <w:r w:rsidRPr="007139CD" w:rsidR="404104F1">
        <w:rPr>
          <w:rFonts w:ascii="Calibri" w:hAnsi="Calibri" w:cstheme="minorBidi"/>
          <w:sz w:val="24"/>
          <w:szCs w:val="24"/>
        </w:rPr>
        <w:t xml:space="preserve">U.S. </w:t>
      </w:r>
      <w:r w:rsidRPr="007139CD">
        <w:rPr>
          <w:rFonts w:ascii="Calibri" w:hAnsi="Calibri" w:cstheme="minorBidi"/>
          <w:sz w:val="24"/>
          <w:szCs w:val="24"/>
        </w:rPr>
        <w:t xml:space="preserve">Census Bureau </w:t>
      </w:r>
      <w:r w:rsidRPr="007139CD" w:rsidR="0724BDDC">
        <w:rPr>
          <w:rFonts w:ascii="Calibri" w:hAnsi="Calibri" w:cstheme="minorBidi"/>
          <w:sz w:val="24"/>
          <w:szCs w:val="24"/>
        </w:rPr>
        <w:t xml:space="preserve">samples </w:t>
      </w:r>
      <w:r w:rsidRPr="007139CD">
        <w:rPr>
          <w:rFonts w:ascii="Calibri" w:hAnsi="Calibri" w:cstheme="minorBidi"/>
          <w:sz w:val="24"/>
          <w:szCs w:val="24"/>
        </w:rPr>
        <w:t xml:space="preserve">about </w:t>
      </w:r>
      <w:r w:rsidRPr="007139CD" w:rsidR="7F518580">
        <w:rPr>
          <w:rFonts w:ascii="Calibri" w:hAnsi="Calibri" w:cstheme="minorBidi"/>
          <w:sz w:val="24"/>
          <w:szCs w:val="24"/>
        </w:rPr>
        <w:t>2</w:t>
      </w:r>
      <w:r w:rsidR="008F3A8B">
        <w:rPr>
          <w:rFonts w:ascii="Calibri" w:hAnsi="Calibri" w:cstheme="minorBidi"/>
          <w:sz w:val="24"/>
          <w:szCs w:val="24"/>
        </w:rPr>
        <w:t>98,000</w:t>
      </w:r>
      <w:r w:rsidRPr="007139CD">
        <w:rPr>
          <w:rFonts w:ascii="Calibri" w:hAnsi="Calibri" w:cstheme="minorBidi"/>
          <w:sz w:val="24"/>
          <w:szCs w:val="24"/>
        </w:rPr>
        <w:t xml:space="preserve"> </w:t>
      </w:r>
      <w:r w:rsidRPr="007139CD" w:rsidR="445250AB">
        <w:rPr>
          <w:rFonts w:ascii="Calibri" w:hAnsi="Calibri" w:cstheme="minorBidi"/>
          <w:sz w:val="24"/>
          <w:szCs w:val="24"/>
        </w:rPr>
        <w:t>h</w:t>
      </w:r>
      <w:r w:rsidRPr="007139CD" w:rsidR="0D71B257">
        <w:rPr>
          <w:rFonts w:ascii="Calibri" w:hAnsi="Calibri" w:cstheme="minorBidi"/>
          <w:sz w:val="24"/>
          <w:szCs w:val="24"/>
        </w:rPr>
        <w:t xml:space="preserve">ousing </w:t>
      </w:r>
      <w:r w:rsidRPr="007139CD" w:rsidR="56C2E074">
        <w:rPr>
          <w:rFonts w:ascii="Calibri" w:hAnsi="Calibri" w:cstheme="minorBidi"/>
          <w:sz w:val="24"/>
          <w:szCs w:val="24"/>
        </w:rPr>
        <w:t>u</w:t>
      </w:r>
      <w:r w:rsidRPr="007139CD" w:rsidR="0D71B257">
        <w:rPr>
          <w:rFonts w:ascii="Calibri" w:hAnsi="Calibri" w:cstheme="minorBidi"/>
          <w:sz w:val="24"/>
          <w:szCs w:val="24"/>
        </w:rPr>
        <w:t>nit (</w:t>
      </w:r>
      <w:r w:rsidRPr="007139CD">
        <w:rPr>
          <w:rFonts w:ascii="Calibri" w:hAnsi="Calibri" w:cstheme="minorBidi"/>
          <w:sz w:val="24"/>
          <w:szCs w:val="24"/>
        </w:rPr>
        <w:t>HU</w:t>
      </w:r>
      <w:r w:rsidRPr="007139CD" w:rsidR="1626A4D8">
        <w:rPr>
          <w:rFonts w:ascii="Calibri" w:hAnsi="Calibri" w:cstheme="minorBidi"/>
          <w:sz w:val="24"/>
          <w:szCs w:val="24"/>
        </w:rPr>
        <w:t>)</w:t>
      </w:r>
      <w:r w:rsidRPr="007139CD">
        <w:rPr>
          <w:rFonts w:ascii="Calibri" w:hAnsi="Calibri" w:cstheme="minorBidi"/>
          <w:sz w:val="24"/>
          <w:szCs w:val="24"/>
        </w:rPr>
        <w:t xml:space="preserve"> addresses each month</w:t>
      </w:r>
      <w:r w:rsidRPr="007139CD" w:rsidR="066E49F9">
        <w:rPr>
          <w:rFonts w:ascii="Calibri" w:hAnsi="Calibri" w:cstheme="minorBidi"/>
          <w:sz w:val="24"/>
          <w:szCs w:val="24"/>
        </w:rPr>
        <w:t xml:space="preserve"> including Puerto Rico</w:t>
      </w:r>
      <w:r w:rsidRPr="007139CD" w:rsidR="4DCE5153">
        <w:rPr>
          <w:rFonts w:ascii="Calibri" w:hAnsi="Calibri" w:cstheme="minorBidi"/>
          <w:sz w:val="24"/>
          <w:szCs w:val="24"/>
        </w:rPr>
        <w:t>; about 2</w:t>
      </w:r>
      <w:r w:rsidR="008F3A8B">
        <w:rPr>
          <w:rFonts w:ascii="Calibri" w:hAnsi="Calibri" w:cstheme="minorBidi"/>
          <w:sz w:val="24"/>
          <w:szCs w:val="24"/>
        </w:rPr>
        <w:t>93,500</w:t>
      </w:r>
      <w:r w:rsidRPr="007139CD" w:rsidR="4DCE5153">
        <w:rPr>
          <w:rFonts w:ascii="Calibri" w:hAnsi="Calibri" w:cstheme="minorBidi"/>
          <w:sz w:val="24"/>
          <w:szCs w:val="24"/>
        </w:rPr>
        <w:t xml:space="preserve"> are </w:t>
      </w:r>
      <w:r w:rsidRPr="007139CD" w:rsidR="1D30B3A1">
        <w:rPr>
          <w:rFonts w:ascii="Calibri" w:hAnsi="Calibri" w:cstheme="minorBidi"/>
          <w:sz w:val="24"/>
          <w:szCs w:val="24"/>
        </w:rPr>
        <w:t>mailable addresses</w:t>
      </w:r>
      <w:r w:rsidRPr="007139CD">
        <w:rPr>
          <w:rFonts w:ascii="Calibri" w:hAnsi="Calibri" w:cstheme="minorBidi"/>
          <w:sz w:val="24"/>
          <w:szCs w:val="24"/>
        </w:rPr>
        <w:t>.</w:t>
      </w:r>
      <w:r w:rsidRPr="3F3DED48">
        <w:rPr>
          <w:rFonts w:ascii="Calibri" w:hAnsi="Calibri" w:cstheme="minorBidi"/>
          <w:sz w:val="24"/>
          <w:szCs w:val="24"/>
        </w:rPr>
        <w:t xml:space="preserve"> The mailing operations are conducted through the U.S. Postal Service and use first-class postage rates for all pieces. For addresses that were mailed materials but did not respond by mail, internet, or by calling our telephone questionnaire assistance line, the Census Bureau selects a subsample of all households and assign</w:t>
      </w:r>
      <w:r w:rsidRPr="3F3DED48" w:rsidR="57118069">
        <w:rPr>
          <w:rFonts w:ascii="Calibri" w:hAnsi="Calibri" w:cstheme="minorBidi"/>
          <w:sz w:val="24"/>
          <w:szCs w:val="24"/>
        </w:rPr>
        <w:t>s</w:t>
      </w:r>
      <w:r w:rsidRPr="3F3DED48">
        <w:rPr>
          <w:rFonts w:ascii="Calibri" w:hAnsi="Calibri" w:cstheme="minorBidi"/>
          <w:sz w:val="24"/>
          <w:szCs w:val="24"/>
        </w:rPr>
        <w:t xml:space="preserve"> them to the</w:t>
      </w:r>
      <w:r w:rsidRPr="3F3DED48" w:rsidR="53671D94">
        <w:rPr>
          <w:rFonts w:ascii="Calibri" w:hAnsi="Calibri" w:cstheme="minorBidi"/>
          <w:sz w:val="24"/>
          <w:szCs w:val="24"/>
        </w:rPr>
        <w:t xml:space="preserve"> </w:t>
      </w:r>
      <w:r w:rsidRPr="3F3DED48">
        <w:rPr>
          <w:rFonts w:ascii="Calibri" w:hAnsi="Calibri" w:cstheme="minorBidi"/>
          <w:sz w:val="24"/>
          <w:szCs w:val="24"/>
        </w:rPr>
        <w:t>nonresponse follow</w:t>
      </w:r>
      <w:r w:rsidRPr="3F3DED48" w:rsidR="3719716A">
        <w:rPr>
          <w:rFonts w:ascii="Calibri" w:hAnsi="Calibri" w:cstheme="minorBidi"/>
          <w:sz w:val="24"/>
          <w:szCs w:val="24"/>
        </w:rPr>
        <w:t>-</w:t>
      </w:r>
      <w:r w:rsidRPr="3F3DED48">
        <w:rPr>
          <w:rFonts w:ascii="Calibri" w:hAnsi="Calibri" w:cstheme="minorBidi"/>
          <w:sz w:val="24"/>
          <w:szCs w:val="24"/>
        </w:rPr>
        <w:t>up</w:t>
      </w:r>
      <w:r w:rsidRPr="3F3DED48" w:rsidR="00FC7E38">
        <w:rPr>
          <w:rFonts w:ascii="Calibri" w:hAnsi="Calibri" w:cstheme="minorBidi"/>
          <w:sz w:val="24"/>
          <w:szCs w:val="24"/>
        </w:rPr>
        <w:t xml:space="preserve"> </w:t>
      </w:r>
      <w:r w:rsidRPr="3F3DED48">
        <w:rPr>
          <w:rFonts w:ascii="Calibri" w:hAnsi="Calibri" w:cstheme="minorBidi"/>
          <w:sz w:val="24"/>
          <w:szCs w:val="24"/>
        </w:rPr>
        <w:t>data collection mode</w:t>
      </w:r>
      <w:r w:rsidRPr="3F3DED48" w:rsidR="7C7EF4ED">
        <w:rPr>
          <w:rFonts w:ascii="Calibri" w:hAnsi="Calibri" w:cstheme="minorBidi"/>
          <w:sz w:val="24"/>
          <w:szCs w:val="24"/>
        </w:rPr>
        <w:t xml:space="preserve"> (</w:t>
      </w:r>
      <w:r w:rsidRPr="3F3DED48" w:rsidR="59263781">
        <w:rPr>
          <w:rFonts w:ascii="Calibri" w:hAnsi="Calibri" w:cstheme="minorBidi"/>
          <w:sz w:val="24"/>
          <w:szCs w:val="24"/>
        </w:rPr>
        <w:t>also referred to as CAPI</w:t>
      </w:r>
      <w:r w:rsidRPr="3F3DED48" w:rsidR="7C7EF4ED">
        <w:rPr>
          <w:rFonts w:ascii="Calibri" w:hAnsi="Calibri" w:cstheme="minorBidi"/>
          <w:sz w:val="24"/>
          <w:szCs w:val="24"/>
        </w:rPr>
        <w:t>)</w:t>
      </w:r>
      <w:r w:rsidRPr="3F3DED48">
        <w:rPr>
          <w:rFonts w:ascii="Calibri" w:hAnsi="Calibri" w:cstheme="minorBidi"/>
          <w:sz w:val="24"/>
          <w:szCs w:val="24"/>
        </w:rPr>
        <w:t xml:space="preserve">. Unmailable household addresses are sampled and included in the </w:t>
      </w:r>
      <w:r w:rsidRPr="3F3DED48" w:rsidR="1D30B3A1">
        <w:rPr>
          <w:rFonts w:ascii="Calibri" w:hAnsi="Calibri" w:cstheme="minorBidi"/>
          <w:sz w:val="24"/>
          <w:szCs w:val="24"/>
        </w:rPr>
        <w:t xml:space="preserve">nonresponse follow-up </w:t>
      </w:r>
      <w:r w:rsidRPr="3F3DED48">
        <w:rPr>
          <w:rFonts w:ascii="Calibri" w:hAnsi="Calibri" w:cstheme="minorBidi"/>
          <w:sz w:val="24"/>
          <w:szCs w:val="24"/>
        </w:rPr>
        <w:t>data collection mode</w:t>
      </w:r>
      <w:r w:rsidRPr="3F3DED48">
        <w:rPr>
          <w:rFonts w:ascii="Calibri" w:hAnsi="Calibri" w:cstheme="minorBidi"/>
          <w:i/>
          <w:iCs/>
          <w:sz w:val="24"/>
          <w:szCs w:val="24"/>
        </w:rPr>
        <w:t>.</w:t>
      </w:r>
    </w:p>
    <w:p w:rsidR="00936A60" w:rsidRPr="00157AFB" w:rsidP="00936A60" w14:paraId="11AB112A" w14:textId="77777777">
      <w:pPr>
        <w:tabs>
          <w:tab w:val="left" w:pos="1080"/>
        </w:tabs>
        <w:ind w:left="1080"/>
        <w:rPr>
          <w:rFonts w:ascii="Calibri" w:hAnsi="Calibri" w:cstheme="minorHAnsi"/>
          <w:i/>
          <w:iCs/>
          <w:sz w:val="24"/>
        </w:rPr>
      </w:pPr>
    </w:p>
    <w:p w:rsidR="00E31D5E" w:rsidRPr="00157AFB" w:rsidP="7B12BB46" w14:paraId="499DD4FE" w14:textId="05ABB7FF">
      <w:pPr>
        <w:tabs>
          <w:tab w:val="left" w:pos="1080"/>
        </w:tabs>
        <w:ind w:left="450"/>
        <w:rPr>
          <w:rFonts w:ascii="Segoe UI" w:eastAsia="Segoe UI" w:hAnsi="Segoe UI" w:cs="Segoe UI"/>
          <w:color w:val="333333"/>
          <w:sz w:val="18"/>
          <w:szCs w:val="18"/>
        </w:rPr>
      </w:pPr>
      <w:r w:rsidRPr="3A436180">
        <w:rPr>
          <w:rFonts w:ascii="Calibri" w:hAnsi="Calibri" w:cstheme="minorBidi"/>
          <w:sz w:val="24"/>
          <w:szCs w:val="24"/>
        </w:rPr>
        <w:t xml:space="preserve">In </w:t>
      </w:r>
      <w:r w:rsidRPr="3A436180" w:rsidR="51D22C10">
        <w:rPr>
          <w:rFonts w:ascii="Calibri" w:hAnsi="Calibri" w:cstheme="minorBidi"/>
          <w:sz w:val="24"/>
          <w:szCs w:val="24"/>
        </w:rPr>
        <w:t>202</w:t>
      </w:r>
      <w:r w:rsidRPr="3A436180" w:rsidR="4555234D">
        <w:rPr>
          <w:rFonts w:ascii="Calibri" w:hAnsi="Calibri" w:cstheme="minorBidi"/>
          <w:sz w:val="24"/>
          <w:szCs w:val="24"/>
        </w:rPr>
        <w:t>4</w:t>
      </w:r>
      <w:r w:rsidRPr="3A436180">
        <w:rPr>
          <w:rFonts w:ascii="Calibri" w:hAnsi="Calibri" w:cstheme="minorBidi"/>
          <w:sz w:val="24"/>
          <w:szCs w:val="24"/>
        </w:rPr>
        <w:t xml:space="preserve">, the HU sample yielded </w:t>
      </w:r>
      <w:r w:rsidRPr="3A436180" w:rsidR="0A538DA0">
        <w:rPr>
          <w:rFonts w:ascii="Calibri" w:hAnsi="Calibri" w:cstheme="minorBidi"/>
          <w:sz w:val="24"/>
          <w:szCs w:val="24"/>
        </w:rPr>
        <w:t xml:space="preserve">an estimated </w:t>
      </w:r>
      <w:r w:rsidRPr="3A436180" w:rsidR="64735ADF">
        <w:rPr>
          <w:rFonts w:ascii="Calibri" w:hAnsi="Calibri" w:cstheme="minorBidi"/>
          <w:sz w:val="24"/>
          <w:szCs w:val="24"/>
        </w:rPr>
        <w:t xml:space="preserve">combined </w:t>
      </w:r>
      <w:r w:rsidRPr="3A436180" w:rsidR="0A538DA0">
        <w:rPr>
          <w:rFonts w:ascii="Calibri" w:hAnsi="Calibri" w:cstheme="minorBidi"/>
          <w:sz w:val="24"/>
          <w:szCs w:val="24"/>
        </w:rPr>
        <w:t xml:space="preserve">response rate of </w:t>
      </w:r>
      <w:r w:rsidRPr="3A436180" w:rsidR="4555234D">
        <w:rPr>
          <w:rFonts w:ascii="Calibri" w:hAnsi="Calibri" w:cstheme="minorBidi"/>
          <w:sz w:val="24"/>
          <w:szCs w:val="24"/>
        </w:rPr>
        <w:t>63</w:t>
      </w:r>
      <w:r w:rsidRPr="3A436180" w:rsidR="0A538DA0">
        <w:rPr>
          <w:rFonts w:ascii="Calibri" w:hAnsi="Calibri" w:cstheme="minorBidi"/>
          <w:sz w:val="24"/>
          <w:szCs w:val="24"/>
        </w:rPr>
        <w:t xml:space="preserve"> percent</w:t>
      </w:r>
      <w:r w:rsidRPr="3A436180" w:rsidR="420BB9D9">
        <w:rPr>
          <w:rFonts w:ascii="Calibri" w:hAnsi="Calibri" w:cstheme="minorBidi"/>
          <w:sz w:val="24"/>
          <w:szCs w:val="24"/>
        </w:rPr>
        <w:t xml:space="preserve"> for the self-response modes</w:t>
      </w:r>
      <w:r w:rsidRPr="3A436180" w:rsidR="1514B18B">
        <w:rPr>
          <w:rFonts w:ascii="Calibri" w:hAnsi="Calibri" w:cstheme="minorBidi"/>
          <w:sz w:val="24"/>
          <w:szCs w:val="24"/>
        </w:rPr>
        <w:t xml:space="preserve">. </w:t>
      </w:r>
      <w:r w:rsidRPr="3A436180">
        <w:rPr>
          <w:rFonts w:ascii="Calibri" w:hAnsi="Calibri" w:cstheme="minorBidi"/>
          <w:sz w:val="24"/>
          <w:szCs w:val="24"/>
        </w:rPr>
        <w:t xml:space="preserve">The HU </w:t>
      </w:r>
      <w:r w:rsidRPr="3A436180" w:rsidR="62E50ED7">
        <w:rPr>
          <w:rFonts w:ascii="Calibri" w:hAnsi="Calibri" w:cstheme="minorBidi"/>
          <w:sz w:val="24"/>
          <w:szCs w:val="24"/>
        </w:rPr>
        <w:t>nonresponse follow-up</w:t>
      </w:r>
      <w:r w:rsidRPr="3A436180">
        <w:rPr>
          <w:rFonts w:ascii="Calibri" w:hAnsi="Calibri" w:cstheme="minorBidi"/>
          <w:sz w:val="24"/>
          <w:szCs w:val="24"/>
        </w:rPr>
        <w:t xml:space="preserve"> yielded an estimated response rate of approximately </w:t>
      </w:r>
      <w:r w:rsidRPr="3A436180" w:rsidR="4555234D">
        <w:rPr>
          <w:rFonts w:ascii="Calibri" w:hAnsi="Calibri" w:cstheme="minorBidi"/>
          <w:sz w:val="24"/>
          <w:szCs w:val="24"/>
        </w:rPr>
        <w:t>58</w:t>
      </w:r>
      <w:r w:rsidRPr="3A436180" w:rsidR="51D22C10">
        <w:rPr>
          <w:rFonts w:ascii="Calibri" w:hAnsi="Calibri" w:cstheme="minorBidi"/>
          <w:sz w:val="24"/>
          <w:szCs w:val="24"/>
        </w:rPr>
        <w:t xml:space="preserve"> </w:t>
      </w:r>
      <w:r w:rsidRPr="3A436180">
        <w:rPr>
          <w:rFonts w:ascii="Calibri" w:hAnsi="Calibri" w:cstheme="minorBidi"/>
          <w:sz w:val="24"/>
          <w:szCs w:val="24"/>
        </w:rPr>
        <w:t xml:space="preserve">percent in </w:t>
      </w:r>
      <w:r w:rsidRPr="3A436180" w:rsidR="51D22C10">
        <w:rPr>
          <w:rFonts w:ascii="Calibri" w:hAnsi="Calibri" w:cstheme="minorBidi"/>
          <w:sz w:val="24"/>
          <w:szCs w:val="24"/>
        </w:rPr>
        <w:t>202</w:t>
      </w:r>
      <w:r w:rsidRPr="3A436180" w:rsidR="4555234D">
        <w:rPr>
          <w:rFonts w:ascii="Calibri" w:hAnsi="Calibri" w:cstheme="minorBidi"/>
          <w:sz w:val="24"/>
          <w:szCs w:val="24"/>
        </w:rPr>
        <w:t>4</w:t>
      </w:r>
      <w:r w:rsidRPr="3A436180">
        <w:rPr>
          <w:rFonts w:ascii="Calibri" w:hAnsi="Calibri" w:cstheme="minorBidi"/>
          <w:sz w:val="24"/>
          <w:szCs w:val="24"/>
        </w:rPr>
        <w:t xml:space="preserve">. The </w:t>
      </w:r>
      <w:r w:rsidRPr="3A436180" w:rsidR="51D22C10">
        <w:rPr>
          <w:rFonts w:ascii="Calibri" w:hAnsi="Calibri" w:cstheme="minorBidi"/>
          <w:sz w:val="24"/>
          <w:szCs w:val="24"/>
        </w:rPr>
        <w:t>202</w:t>
      </w:r>
      <w:r w:rsidRPr="3A436180" w:rsidR="4555234D">
        <w:rPr>
          <w:rFonts w:ascii="Calibri" w:hAnsi="Calibri" w:cstheme="minorBidi"/>
          <w:sz w:val="24"/>
          <w:szCs w:val="24"/>
        </w:rPr>
        <w:t>4</w:t>
      </w:r>
      <w:r w:rsidRPr="3A436180" w:rsidR="51D22C10">
        <w:rPr>
          <w:rFonts w:ascii="Calibri" w:hAnsi="Calibri" w:cstheme="minorBidi"/>
          <w:sz w:val="24"/>
          <w:szCs w:val="24"/>
        </w:rPr>
        <w:t xml:space="preserve"> </w:t>
      </w:r>
      <w:r w:rsidRPr="3A436180">
        <w:rPr>
          <w:rFonts w:ascii="Calibri" w:hAnsi="Calibri" w:cstheme="minorBidi"/>
          <w:sz w:val="24"/>
          <w:szCs w:val="24"/>
        </w:rPr>
        <w:t xml:space="preserve">final weighted </w:t>
      </w:r>
      <w:r w:rsidRPr="3A436180" w:rsidR="5BED42BC">
        <w:rPr>
          <w:rFonts w:ascii="Calibri" w:hAnsi="Calibri" w:cstheme="minorBidi"/>
          <w:sz w:val="24"/>
          <w:szCs w:val="24"/>
        </w:rPr>
        <w:t xml:space="preserve">HU </w:t>
      </w:r>
      <w:r w:rsidRPr="3A436180">
        <w:rPr>
          <w:rFonts w:ascii="Calibri" w:hAnsi="Calibri" w:cstheme="minorBidi"/>
          <w:sz w:val="24"/>
          <w:szCs w:val="24"/>
        </w:rPr>
        <w:t>response rate</w:t>
      </w:r>
      <w:r>
        <w:rPr>
          <w:rStyle w:val="FootnoteReference"/>
          <w:rFonts w:ascii="Calibri" w:hAnsi="Calibri" w:cstheme="minorBidi"/>
          <w:sz w:val="24"/>
          <w:szCs w:val="24"/>
        </w:rPr>
        <w:footnoteReference w:id="4"/>
      </w:r>
      <w:r w:rsidRPr="3A436180">
        <w:rPr>
          <w:rFonts w:ascii="Calibri" w:hAnsi="Calibri" w:cstheme="minorBidi"/>
          <w:sz w:val="24"/>
          <w:szCs w:val="24"/>
        </w:rPr>
        <w:t xml:space="preserve"> for ACS was </w:t>
      </w:r>
      <w:r w:rsidRPr="3A436180" w:rsidR="4555234D">
        <w:rPr>
          <w:rFonts w:ascii="Calibri" w:hAnsi="Calibri" w:cstheme="minorBidi"/>
          <w:sz w:val="24"/>
          <w:szCs w:val="24"/>
        </w:rPr>
        <w:t>81</w:t>
      </w:r>
      <w:r w:rsidRPr="3A436180" w:rsidR="0A538DA0">
        <w:rPr>
          <w:rFonts w:ascii="Calibri" w:hAnsi="Calibri" w:cstheme="minorBidi"/>
          <w:sz w:val="24"/>
          <w:szCs w:val="24"/>
        </w:rPr>
        <w:t xml:space="preserve"> </w:t>
      </w:r>
      <w:r w:rsidRPr="3A436180">
        <w:rPr>
          <w:rFonts w:ascii="Calibri" w:hAnsi="Calibri" w:cstheme="minorBidi"/>
          <w:sz w:val="24"/>
          <w:szCs w:val="24"/>
        </w:rPr>
        <w:t>percent.</w:t>
      </w:r>
      <w:r w:rsidRPr="3A436180" w:rsidR="58955C42">
        <w:rPr>
          <w:rFonts w:asciiTheme="minorHAnsi" w:eastAsiaTheme="minorEastAsia" w:hAnsiTheme="minorHAnsi" w:cstheme="minorBidi"/>
        </w:rPr>
        <w:t xml:space="preserve">  </w:t>
      </w:r>
    </w:p>
    <w:p w:rsidR="7B12BB46" w:rsidP="7B12BB46" w14:paraId="647FC2A6" w14:textId="636ED4D7">
      <w:pPr>
        <w:tabs>
          <w:tab w:val="left" w:pos="1080"/>
        </w:tabs>
        <w:ind w:left="450"/>
        <w:rPr>
          <w:rFonts w:asciiTheme="minorHAnsi" w:eastAsiaTheme="minorEastAsia" w:hAnsiTheme="minorHAnsi" w:cstheme="minorBidi"/>
        </w:rPr>
      </w:pPr>
    </w:p>
    <w:p w:rsidR="00936A60" w:rsidRPr="00157AFB" w:rsidP="008A7DEB" w14:paraId="3E83BD5F" w14:textId="4EB2C2BC">
      <w:pPr>
        <w:tabs>
          <w:tab w:val="left" w:pos="1080"/>
        </w:tabs>
        <w:ind w:left="450"/>
        <w:rPr>
          <w:rFonts w:ascii="Calibri" w:hAnsi="Calibri" w:cstheme="minorBidi"/>
          <w:b/>
          <w:bCs/>
          <w:sz w:val="24"/>
          <w:szCs w:val="24"/>
        </w:rPr>
      </w:pPr>
      <w:r w:rsidRPr="7B12BB46">
        <w:rPr>
          <w:rFonts w:ascii="Calibri" w:hAnsi="Calibri" w:cstheme="minorBidi"/>
          <w:b/>
          <w:bCs/>
          <w:sz w:val="24"/>
          <w:szCs w:val="24"/>
        </w:rPr>
        <w:t>ACS Group Quarters</w:t>
      </w:r>
    </w:p>
    <w:p w:rsidR="00936A60" w:rsidRPr="00157AFB" w:rsidP="00936A60" w14:paraId="5F04B589" w14:textId="77777777">
      <w:pPr>
        <w:tabs>
          <w:tab w:val="left" w:pos="1080"/>
        </w:tabs>
        <w:ind w:left="1080"/>
        <w:rPr>
          <w:rFonts w:ascii="Calibri" w:hAnsi="Calibri" w:cstheme="minorHAnsi"/>
          <w:sz w:val="24"/>
        </w:rPr>
      </w:pPr>
      <w:r w:rsidRPr="00157AFB">
        <w:rPr>
          <w:rFonts w:ascii="Calibri" w:hAnsi="Calibri" w:cstheme="minorHAnsi"/>
          <w:sz w:val="24"/>
        </w:rPr>
        <w:tab/>
      </w:r>
      <w:r w:rsidRPr="00157AFB">
        <w:rPr>
          <w:rFonts w:ascii="Calibri" w:hAnsi="Calibri" w:cstheme="minorHAnsi"/>
          <w:sz w:val="24"/>
        </w:rPr>
        <w:tab/>
      </w:r>
    </w:p>
    <w:p w:rsidR="00936A60" w:rsidRPr="00157AFB" w:rsidP="3A436180" w14:paraId="0492CAAB" w14:textId="79E483A8">
      <w:pPr>
        <w:tabs>
          <w:tab w:val="left" w:pos="450"/>
        </w:tabs>
        <w:ind w:left="450"/>
        <w:rPr>
          <w:rFonts w:ascii="Calibri" w:hAnsi="Calibri" w:cstheme="minorBidi"/>
          <w:sz w:val="24"/>
          <w:szCs w:val="24"/>
        </w:rPr>
      </w:pPr>
      <w:r w:rsidRPr="08122567">
        <w:rPr>
          <w:rFonts w:ascii="Calibri" w:hAnsi="Calibri" w:cstheme="minorBidi"/>
          <w:sz w:val="24"/>
          <w:szCs w:val="24"/>
        </w:rPr>
        <w:t xml:space="preserve">In addition to the ACS data collection from households, the data </w:t>
      </w:r>
      <w:r w:rsidRPr="08122567">
        <w:rPr>
          <w:rFonts w:ascii="Calibri" w:hAnsi="Calibri" w:cstheme="minorBidi"/>
          <w:sz w:val="24"/>
          <w:szCs w:val="24"/>
        </w:rPr>
        <w:t>are</w:t>
      </w:r>
      <w:r w:rsidRPr="08122567">
        <w:rPr>
          <w:rFonts w:ascii="Calibri" w:hAnsi="Calibri" w:cstheme="minorBidi"/>
          <w:sz w:val="24"/>
          <w:szCs w:val="24"/>
        </w:rPr>
        <w:t xml:space="preserve"> also collected from a sample of group quarters (GQ) facilities and residents. </w:t>
      </w:r>
      <w:r w:rsidRPr="08122567" w:rsidR="2BCAB9E0">
        <w:rPr>
          <w:rFonts w:ascii="Calibri" w:hAnsi="Calibri" w:cstheme="minorBidi"/>
          <w:sz w:val="24"/>
          <w:szCs w:val="24"/>
        </w:rPr>
        <w:t xml:space="preserve">At the facility-level, </w:t>
      </w:r>
      <w:r w:rsidRPr="08122567" w:rsidR="439E6AB0">
        <w:rPr>
          <w:rFonts w:ascii="Calibri" w:hAnsi="Calibri" w:cstheme="minorBidi"/>
          <w:sz w:val="24"/>
          <w:szCs w:val="24"/>
        </w:rPr>
        <w:t>i</w:t>
      </w:r>
      <w:r w:rsidRPr="08122567" w:rsidR="4226F506">
        <w:rPr>
          <w:rFonts w:ascii="Calibri" w:hAnsi="Calibri" w:cstheme="minorBidi"/>
          <w:sz w:val="24"/>
          <w:szCs w:val="24"/>
        </w:rPr>
        <w:t>nterviewers</w:t>
      </w:r>
      <w:r w:rsidRPr="08122567">
        <w:rPr>
          <w:rFonts w:ascii="Calibri" w:hAnsi="Calibri" w:cstheme="minorBidi"/>
          <w:sz w:val="24"/>
          <w:szCs w:val="24"/>
        </w:rPr>
        <w:t xml:space="preserve"> use the CAPI Group Quarters Facility questionnaire (GQFQ) in English or Spanish when making initial telephone contact to schedule an appointment </w:t>
      </w:r>
      <w:r w:rsidRPr="08122567" w:rsidR="05B6B075">
        <w:rPr>
          <w:rFonts w:ascii="Calibri" w:hAnsi="Calibri" w:cstheme="minorBidi"/>
          <w:sz w:val="24"/>
          <w:szCs w:val="24"/>
        </w:rPr>
        <w:t xml:space="preserve">and </w:t>
      </w:r>
      <w:r w:rsidRPr="08122567">
        <w:rPr>
          <w:rFonts w:ascii="Calibri" w:hAnsi="Calibri" w:cstheme="minorBidi"/>
          <w:sz w:val="24"/>
          <w:szCs w:val="24"/>
        </w:rPr>
        <w:t xml:space="preserve">to conduct a </w:t>
      </w:r>
      <w:r w:rsidRPr="08122567" w:rsidR="55E7CE49">
        <w:rPr>
          <w:rFonts w:ascii="Calibri" w:hAnsi="Calibri" w:cstheme="minorBidi"/>
          <w:sz w:val="24"/>
          <w:szCs w:val="24"/>
        </w:rPr>
        <w:t xml:space="preserve">telephone or </w:t>
      </w:r>
      <w:r w:rsidRPr="08122567">
        <w:rPr>
          <w:rFonts w:ascii="Calibri" w:hAnsi="Calibri" w:cstheme="minorBidi"/>
          <w:sz w:val="24"/>
          <w:szCs w:val="24"/>
        </w:rPr>
        <w:t xml:space="preserve">personal visit at the sample GQ </w:t>
      </w:r>
      <w:r w:rsidRPr="08122567">
        <w:rPr>
          <w:rFonts w:ascii="Calibri" w:hAnsi="Calibri" w:cstheme="minorBidi"/>
          <w:sz w:val="24"/>
          <w:szCs w:val="24"/>
        </w:rPr>
        <w:t>and also</w:t>
      </w:r>
      <w:r w:rsidRPr="08122567">
        <w:rPr>
          <w:rFonts w:ascii="Calibri" w:hAnsi="Calibri" w:cstheme="minorBidi"/>
          <w:sz w:val="24"/>
          <w:szCs w:val="24"/>
        </w:rPr>
        <w:t xml:space="preserve"> to generate the subsample of persons for ACS interviews.</w:t>
      </w:r>
      <w:r w:rsidR="6C53FE08">
        <w:t xml:space="preserve"> </w:t>
      </w:r>
      <w:r w:rsidRPr="08122567" w:rsidR="6C53FE08">
        <w:rPr>
          <w:rFonts w:ascii="Calibri" w:hAnsi="Calibri" w:cstheme="minorBidi"/>
          <w:sz w:val="24"/>
          <w:szCs w:val="24"/>
        </w:rPr>
        <w:t xml:space="preserve">The GQ </w:t>
      </w:r>
      <w:r w:rsidRPr="08122567" w:rsidR="18A63F70">
        <w:rPr>
          <w:rFonts w:ascii="Calibri" w:hAnsi="Calibri" w:cstheme="minorBidi"/>
          <w:sz w:val="24"/>
          <w:szCs w:val="24"/>
        </w:rPr>
        <w:t xml:space="preserve">facility </w:t>
      </w:r>
      <w:r w:rsidRPr="08122567" w:rsidR="18A63F70">
        <w:rPr>
          <w:rFonts w:ascii="Calibri" w:hAnsi="Calibri" w:cstheme="minorBidi"/>
          <w:sz w:val="24"/>
          <w:szCs w:val="24"/>
        </w:rPr>
        <w:t>administrator</w:t>
      </w:r>
      <w:r w:rsidRPr="08122567" w:rsidR="6C53FE08">
        <w:rPr>
          <w:rFonts w:ascii="Calibri" w:hAnsi="Calibri" w:cstheme="minorBidi"/>
          <w:sz w:val="24"/>
          <w:szCs w:val="24"/>
        </w:rPr>
        <w:t xml:space="preserve"> has the option to provide the </w:t>
      </w:r>
      <w:r w:rsidRPr="08122567" w:rsidR="4226F506">
        <w:rPr>
          <w:rFonts w:ascii="Calibri" w:hAnsi="Calibri" w:cstheme="minorBidi"/>
          <w:sz w:val="24"/>
          <w:szCs w:val="24"/>
        </w:rPr>
        <w:t>interviewer</w:t>
      </w:r>
      <w:r w:rsidRPr="08122567" w:rsidR="6C53FE08">
        <w:rPr>
          <w:rFonts w:ascii="Calibri" w:hAnsi="Calibri" w:cstheme="minorBidi"/>
          <w:sz w:val="24"/>
          <w:szCs w:val="24"/>
        </w:rPr>
        <w:t xml:space="preserve"> with a hard copy of the listing information or upload an electronic listing of the residents in the online </w:t>
      </w:r>
      <w:r w:rsidRPr="08122567" w:rsidR="6C53FE08">
        <w:rPr>
          <w:rFonts w:ascii="Calibri" w:hAnsi="Calibri" w:cstheme="minorBidi"/>
          <w:sz w:val="24"/>
          <w:szCs w:val="24"/>
        </w:rPr>
        <w:t>eListing</w:t>
      </w:r>
      <w:r w:rsidRPr="08122567" w:rsidR="6C53FE08">
        <w:rPr>
          <w:rFonts w:ascii="Calibri" w:hAnsi="Calibri" w:cstheme="minorBidi"/>
          <w:sz w:val="24"/>
          <w:szCs w:val="24"/>
        </w:rPr>
        <w:t xml:space="preserve"> application to generate the sub-sample of </w:t>
      </w:r>
      <w:r w:rsidRPr="08122567" w:rsidR="6C53FE08">
        <w:rPr>
          <w:rFonts w:ascii="Calibri" w:hAnsi="Calibri" w:cstheme="minorBidi"/>
          <w:sz w:val="24"/>
          <w:szCs w:val="24"/>
        </w:rPr>
        <w:t>persons</w:t>
      </w:r>
      <w:r w:rsidRPr="08122567" w:rsidR="6C53FE08">
        <w:rPr>
          <w:rFonts w:ascii="Calibri" w:hAnsi="Calibri" w:cstheme="minorBidi"/>
          <w:sz w:val="24"/>
          <w:szCs w:val="24"/>
        </w:rPr>
        <w:t xml:space="preserve"> for ACS interviews</w:t>
      </w:r>
      <w:r w:rsidRPr="08122567" w:rsidR="0D28AE62">
        <w:rPr>
          <w:rFonts w:ascii="Calibri" w:hAnsi="Calibri" w:cstheme="minorBidi"/>
          <w:sz w:val="24"/>
          <w:szCs w:val="24"/>
        </w:rPr>
        <w:t>.</w:t>
      </w:r>
    </w:p>
    <w:p w:rsidR="00936A60" w:rsidRPr="00157AFB" w:rsidP="3A436180" w14:paraId="02C0E0A1" w14:textId="217C315B">
      <w:pPr>
        <w:tabs>
          <w:tab w:val="left" w:pos="450"/>
        </w:tabs>
        <w:ind w:left="450"/>
        <w:rPr>
          <w:rFonts w:ascii="Calibri" w:hAnsi="Calibri" w:cstheme="minorBidi"/>
          <w:sz w:val="24"/>
          <w:szCs w:val="24"/>
        </w:rPr>
      </w:pPr>
    </w:p>
    <w:p w:rsidR="00936A60" w:rsidRPr="00157AFB" w:rsidP="3A436180" w14:paraId="52B5224F" w14:textId="1D0D4191">
      <w:pPr>
        <w:tabs>
          <w:tab w:val="left" w:pos="450"/>
        </w:tabs>
        <w:ind w:left="450"/>
        <w:rPr>
          <w:rFonts w:ascii="Calibri" w:hAnsi="Calibri" w:cstheme="minorBidi"/>
          <w:sz w:val="24"/>
          <w:szCs w:val="24"/>
        </w:rPr>
      </w:pPr>
      <w:r w:rsidRPr="08122567">
        <w:rPr>
          <w:rFonts w:ascii="Calibri" w:hAnsi="Calibri" w:cstheme="minorBidi"/>
          <w:sz w:val="24"/>
          <w:szCs w:val="24"/>
        </w:rPr>
        <w:t xml:space="preserve">At the resident-level, </w:t>
      </w:r>
      <w:r w:rsidRPr="08122567" w:rsidR="38B21B42">
        <w:rPr>
          <w:rFonts w:ascii="Calibri" w:hAnsi="Calibri" w:cstheme="minorBidi"/>
          <w:sz w:val="24"/>
          <w:szCs w:val="24"/>
        </w:rPr>
        <w:t>a</w:t>
      </w:r>
      <w:r w:rsidRPr="08122567" w:rsidR="06EF2D31">
        <w:rPr>
          <w:rFonts w:ascii="Calibri" w:hAnsi="Calibri" w:cstheme="minorBidi"/>
          <w:sz w:val="24"/>
          <w:szCs w:val="24"/>
        </w:rPr>
        <w:t xml:space="preserve"> subset of the ACS HU questions is used for </w:t>
      </w:r>
      <w:r w:rsidRPr="08122567" w:rsidR="06EF2D31">
        <w:rPr>
          <w:rFonts w:ascii="Calibri" w:hAnsi="Calibri" w:cstheme="minorBidi"/>
          <w:sz w:val="24"/>
          <w:szCs w:val="24"/>
        </w:rPr>
        <w:t>the interviews</w:t>
      </w:r>
      <w:r w:rsidRPr="08122567" w:rsidR="06EF2D31">
        <w:rPr>
          <w:rFonts w:ascii="Calibri" w:hAnsi="Calibri" w:cstheme="minorBidi"/>
          <w:sz w:val="24"/>
          <w:szCs w:val="24"/>
        </w:rPr>
        <w:t xml:space="preserve"> with sample residents in GQs. Resident-level personal interviews with sampled GQ residents are conducted </w:t>
      </w:r>
      <w:r w:rsidRPr="08122567" w:rsidR="74D968D1">
        <w:rPr>
          <w:rFonts w:ascii="Calibri" w:hAnsi="Calibri" w:cstheme="minorBidi"/>
          <w:sz w:val="24"/>
          <w:szCs w:val="24"/>
        </w:rPr>
        <w:t xml:space="preserve">in English and Spanish </w:t>
      </w:r>
      <w:r w:rsidRPr="08122567" w:rsidR="06EF2D31">
        <w:rPr>
          <w:rFonts w:ascii="Calibri" w:hAnsi="Calibri" w:cstheme="minorBidi"/>
          <w:sz w:val="24"/>
          <w:szCs w:val="24"/>
        </w:rPr>
        <w:t>using CAPI, but bilingual</w:t>
      </w:r>
      <w:r w:rsidRPr="08122567" w:rsidR="74D968D1">
        <w:rPr>
          <w:rFonts w:ascii="Calibri" w:hAnsi="Calibri" w:cstheme="minorBidi"/>
          <w:sz w:val="24"/>
          <w:szCs w:val="24"/>
        </w:rPr>
        <w:t xml:space="preserve"> (English/Spanish)</w:t>
      </w:r>
      <w:r w:rsidRPr="08122567" w:rsidR="06EF2D31">
        <w:rPr>
          <w:rFonts w:ascii="Calibri" w:hAnsi="Calibri" w:cstheme="minorBidi"/>
          <w:sz w:val="24"/>
          <w:szCs w:val="24"/>
        </w:rPr>
        <w:t xml:space="preserve"> paper questionnaires can also be used for self-response. </w:t>
      </w:r>
      <w:r w:rsidRPr="08122567" w:rsidR="161E4737">
        <w:rPr>
          <w:rFonts w:ascii="Calibri" w:eastAsia="Calibri" w:hAnsi="Calibri" w:cs="Calibri"/>
          <w:color w:val="000000" w:themeColor="text1"/>
          <w:sz w:val="24"/>
          <w:szCs w:val="24"/>
        </w:rPr>
        <w:t>GQ residents in some GQs will have the option to self-respond to the survey online. The GQ CAPI, internet, and paper questionnaires contain questions for one person.</w:t>
      </w:r>
      <w:r w:rsidRPr="08122567" w:rsidR="161E4737">
        <w:rPr>
          <w:rFonts w:ascii="Calibri" w:eastAsia="Calibri" w:hAnsi="Calibri" w:cs="Calibri"/>
          <w:sz w:val="24"/>
          <w:szCs w:val="24"/>
        </w:rPr>
        <w:t xml:space="preserve"> </w:t>
      </w:r>
      <w:r w:rsidRPr="08122567" w:rsidR="531FEF4A">
        <w:rPr>
          <w:rFonts w:ascii="Calibri" w:hAnsi="Calibri" w:cstheme="minorBidi"/>
          <w:sz w:val="24"/>
          <w:szCs w:val="24"/>
        </w:rPr>
        <w:t>The GQ CAPI also excludes certain questions for residents and institutional group quarters that are out o</w:t>
      </w:r>
      <w:r w:rsidRPr="08122567" w:rsidR="386CB778">
        <w:rPr>
          <w:rFonts w:ascii="Calibri" w:hAnsi="Calibri" w:cstheme="minorBidi"/>
          <w:sz w:val="24"/>
          <w:szCs w:val="24"/>
        </w:rPr>
        <w:t>f scope to reduce burden</w:t>
      </w:r>
      <w:r w:rsidRPr="08122567" w:rsidR="14E8264D">
        <w:rPr>
          <w:rFonts w:ascii="Calibri" w:hAnsi="Calibri" w:cstheme="minorBidi"/>
          <w:sz w:val="24"/>
          <w:szCs w:val="24"/>
        </w:rPr>
        <w:t xml:space="preserve">. </w:t>
      </w:r>
      <w:r w:rsidRPr="08122567" w:rsidR="4226F506">
        <w:rPr>
          <w:rFonts w:ascii="Calibri" w:hAnsi="Calibri" w:cstheme="minorBidi"/>
          <w:sz w:val="24"/>
          <w:szCs w:val="24"/>
        </w:rPr>
        <w:t>Interviewers</w:t>
      </w:r>
      <w:r w:rsidRPr="08122567" w:rsidR="06EF2D31">
        <w:rPr>
          <w:rFonts w:ascii="Calibri" w:hAnsi="Calibri" w:cstheme="minorBidi"/>
          <w:sz w:val="24"/>
          <w:szCs w:val="24"/>
        </w:rPr>
        <w:t xml:space="preserve"> may call or conduct additional personal visits to the GQ and/or sample residents to obtain missing or incomplete ACS GQ forms until the closeout of each sample panel.</w:t>
      </w:r>
    </w:p>
    <w:p w:rsidR="7B12BB46" w:rsidP="7B12BB46" w14:paraId="217D7E91" w14:textId="1AD174F4">
      <w:pPr>
        <w:tabs>
          <w:tab w:val="left" w:pos="450"/>
        </w:tabs>
        <w:ind w:left="450"/>
        <w:rPr>
          <w:rFonts w:ascii="Calibri" w:hAnsi="Calibri" w:cstheme="minorBidi"/>
          <w:sz w:val="24"/>
          <w:szCs w:val="24"/>
        </w:rPr>
      </w:pPr>
    </w:p>
    <w:p w:rsidR="2AB5785A" w:rsidP="7B12BB46" w14:paraId="0FA735B9" w14:textId="6250A8EB">
      <w:pPr>
        <w:tabs>
          <w:tab w:val="left" w:pos="450"/>
        </w:tabs>
        <w:ind w:firstLine="450"/>
        <w:rPr>
          <w:rFonts w:ascii="Calibri" w:eastAsia="Calibri" w:hAnsi="Calibri" w:cs="Calibri"/>
          <w:sz w:val="24"/>
          <w:szCs w:val="24"/>
        </w:rPr>
      </w:pPr>
      <w:r w:rsidRPr="7B12BB46">
        <w:rPr>
          <w:rFonts w:ascii="Calibri" w:eastAsia="Calibri" w:hAnsi="Calibri" w:cs="Calibri"/>
          <w:sz w:val="24"/>
          <w:szCs w:val="24"/>
        </w:rPr>
        <w:t>In 202</w:t>
      </w:r>
      <w:r w:rsidR="4555234D">
        <w:rPr>
          <w:rFonts w:ascii="Calibri" w:eastAsia="Calibri" w:hAnsi="Calibri" w:cs="Calibri"/>
          <w:sz w:val="24"/>
          <w:szCs w:val="24"/>
        </w:rPr>
        <w:t>4</w:t>
      </w:r>
      <w:r w:rsidRPr="7B12BB46">
        <w:rPr>
          <w:rFonts w:ascii="Calibri" w:eastAsia="Calibri" w:hAnsi="Calibri" w:cs="Calibri"/>
          <w:sz w:val="24"/>
          <w:szCs w:val="24"/>
        </w:rPr>
        <w:t>, the final weighted GQ response rate</w:t>
      </w:r>
      <w:r>
        <w:rPr>
          <w:rStyle w:val="FootnoteReference"/>
          <w:rFonts w:ascii="Calibri" w:eastAsia="Calibri" w:hAnsi="Calibri" w:cs="Calibri"/>
          <w:sz w:val="24"/>
          <w:szCs w:val="24"/>
        </w:rPr>
        <w:footnoteReference w:id="5"/>
      </w:r>
      <w:r w:rsidRPr="7B12BB46">
        <w:rPr>
          <w:rFonts w:ascii="Calibri" w:eastAsia="Calibri" w:hAnsi="Calibri" w:cs="Calibri"/>
          <w:sz w:val="24"/>
          <w:szCs w:val="24"/>
        </w:rPr>
        <w:t xml:space="preserve"> for ACS</w:t>
      </w:r>
      <w:r w:rsidRPr="7B12BB46" w:rsidR="3BBBD6B5">
        <w:rPr>
          <w:rFonts w:ascii="Calibri" w:eastAsia="Calibri" w:hAnsi="Calibri" w:cs="Calibri"/>
          <w:sz w:val="24"/>
          <w:szCs w:val="24"/>
        </w:rPr>
        <w:t xml:space="preserve"> (including Puerto Rico)</w:t>
      </w:r>
      <w:r w:rsidRPr="7B12BB46">
        <w:rPr>
          <w:rFonts w:ascii="Calibri" w:eastAsia="Calibri" w:hAnsi="Calibri" w:cs="Calibri"/>
          <w:sz w:val="24"/>
          <w:szCs w:val="24"/>
        </w:rPr>
        <w:t xml:space="preserve"> was </w:t>
      </w:r>
      <w:r w:rsidR="4555234D">
        <w:rPr>
          <w:rFonts w:ascii="Calibri" w:eastAsia="Calibri" w:hAnsi="Calibri" w:cs="Calibri"/>
          <w:sz w:val="24"/>
          <w:szCs w:val="24"/>
        </w:rPr>
        <w:t>81</w:t>
      </w:r>
      <w:r w:rsidRPr="7B12BB46">
        <w:rPr>
          <w:rFonts w:ascii="Calibri" w:eastAsia="Calibri" w:hAnsi="Calibri" w:cs="Calibri"/>
          <w:sz w:val="24"/>
          <w:szCs w:val="24"/>
        </w:rPr>
        <w:t xml:space="preserve"> percent.</w:t>
      </w:r>
    </w:p>
    <w:p w:rsidR="7B12BB46" w:rsidP="7B12BB46" w14:paraId="19B67093" w14:textId="35AE306A">
      <w:pPr>
        <w:tabs>
          <w:tab w:val="left" w:pos="450"/>
        </w:tabs>
        <w:ind w:left="450"/>
        <w:rPr>
          <w:rFonts w:ascii="Calibri" w:hAnsi="Calibri" w:cstheme="minorBidi"/>
          <w:sz w:val="24"/>
          <w:szCs w:val="24"/>
        </w:rPr>
      </w:pPr>
    </w:p>
    <w:p w:rsidR="00B955B7" w:rsidRPr="007D0D5C" w:rsidP="00942196" w14:paraId="518EE131" w14:textId="77777777">
      <w:pPr>
        <w:pStyle w:val="ListParagraph"/>
        <w:numPr>
          <w:ilvl w:val="0"/>
          <w:numId w:val="2"/>
        </w:numPr>
        <w:ind w:left="360" w:right="362" w:hanging="360"/>
        <w:rPr>
          <w:rFonts w:ascii="Calibri" w:hAnsi="Calibri" w:cs="Calibri"/>
          <w:b/>
          <w:bCs/>
          <w:sz w:val="24"/>
          <w:szCs w:val="24"/>
        </w:rPr>
      </w:pPr>
      <w:r w:rsidRPr="007D0D5C">
        <w:rPr>
          <w:rFonts w:ascii="Calibri" w:hAnsi="Calibri" w:cs="Calibri"/>
          <w:b/>
          <w:bCs/>
          <w:sz w:val="24"/>
          <w:szCs w:val="24"/>
        </w:rPr>
        <w:t>Describe the procedures for the collection of information including:</w:t>
      </w:r>
    </w:p>
    <w:p w:rsidR="00B955B7" w:rsidRPr="008171EF" w:rsidP="001A21CC" w14:paraId="7161EA97" w14:textId="77777777">
      <w:pPr>
        <w:pStyle w:val="ListParagraph"/>
        <w:numPr>
          <w:ilvl w:val="0"/>
          <w:numId w:val="7"/>
        </w:numPr>
        <w:rPr>
          <w:rFonts w:asciiTheme="minorHAnsi" w:hAnsiTheme="minorHAnsi" w:cstheme="minorHAnsi"/>
          <w:b/>
          <w:bCs/>
          <w:sz w:val="24"/>
          <w:szCs w:val="24"/>
        </w:rPr>
      </w:pPr>
      <w:r w:rsidRPr="008171EF">
        <w:rPr>
          <w:rFonts w:asciiTheme="minorHAnsi" w:hAnsiTheme="minorHAnsi" w:cstheme="minorHAnsi"/>
          <w:b/>
          <w:bCs/>
          <w:sz w:val="24"/>
          <w:szCs w:val="24"/>
        </w:rPr>
        <w:t>Statistical methodology for stratification and sample selection,</w:t>
      </w:r>
    </w:p>
    <w:p w:rsidR="00B955B7" w:rsidRPr="008171EF" w:rsidP="001A21CC" w14:paraId="5471A23C" w14:textId="77777777">
      <w:pPr>
        <w:pStyle w:val="ListParagraph"/>
        <w:numPr>
          <w:ilvl w:val="0"/>
          <w:numId w:val="7"/>
        </w:numPr>
        <w:rPr>
          <w:rFonts w:asciiTheme="minorHAnsi" w:hAnsiTheme="minorHAnsi" w:cstheme="minorHAnsi"/>
          <w:b/>
          <w:bCs/>
          <w:sz w:val="24"/>
          <w:szCs w:val="24"/>
        </w:rPr>
      </w:pPr>
      <w:r w:rsidRPr="008171EF">
        <w:rPr>
          <w:rFonts w:asciiTheme="minorHAnsi" w:hAnsiTheme="minorHAnsi" w:cstheme="minorHAnsi"/>
          <w:b/>
          <w:bCs/>
          <w:sz w:val="24"/>
          <w:szCs w:val="24"/>
        </w:rPr>
        <w:t>Estimation procedure,</w:t>
      </w:r>
    </w:p>
    <w:p w:rsidR="00B955B7" w:rsidRPr="008171EF" w:rsidP="001A21CC" w14:paraId="2669A98C" w14:textId="77777777">
      <w:pPr>
        <w:pStyle w:val="ListParagraph"/>
        <w:numPr>
          <w:ilvl w:val="0"/>
          <w:numId w:val="7"/>
        </w:numPr>
        <w:rPr>
          <w:rFonts w:asciiTheme="minorHAnsi" w:hAnsiTheme="minorHAnsi" w:cstheme="minorHAnsi"/>
          <w:b/>
          <w:bCs/>
          <w:sz w:val="24"/>
          <w:szCs w:val="24"/>
        </w:rPr>
      </w:pPr>
      <w:r w:rsidRPr="008171EF">
        <w:rPr>
          <w:rFonts w:asciiTheme="minorHAnsi" w:hAnsiTheme="minorHAnsi" w:cstheme="minorHAnsi"/>
          <w:b/>
          <w:bCs/>
          <w:sz w:val="24"/>
          <w:szCs w:val="24"/>
        </w:rPr>
        <w:t>Degree of accuracy needed for the purpose described in the justification,</w:t>
      </w:r>
    </w:p>
    <w:p w:rsidR="00B955B7" w:rsidRPr="008171EF" w:rsidP="001A21CC" w14:paraId="3E9A19DB" w14:textId="77777777">
      <w:pPr>
        <w:pStyle w:val="ListParagraph"/>
        <w:numPr>
          <w:ilvl w:val="0"/>
          <w:numId w:val="7"/>
        </w:numPr>
        <w:rPr>
          <w:rFonts w:asciiTheme="minorHAnsi" w:hAnsiTheme="minorHAnsi" w:cstheme="minorHAnsi"/>
          <w:b/>
          <w:bCs/>
          <w:sz w:val="24"/>
          <w:szCs w:val="24"/>
        </w:rPr>
      </w:pPr>
      <w:r w:rsidRPr="008171EF">
        <w:rPr>
          <w:rFonts w:asciiTheme="minorHAnsi" w:hAnsiTheme="minorHAnsi" w:cstheme="minorHAnsi"/>
          <w:b/>
          <w:bCs/>
          <w:sz w:val="24"/>
          <w:szCs w:val="24"/>
        </w:rPr>
        <w:t xml:space="preserve">Unusual problems </w:t>
      </w:r>
      <w:r w:rsidRPr="008171EF">
        <w:rPr>
          <w:rFonts w:asciiTheme="minorHAnsi" w:hAnsiTheme="minorHAnsi" w:cstheme="minorHAnsi"/>
          <w:b/>
          <w:bCs/>
          <w:sz w:val="24"/>
          <w:szCs w:val="24"/>
        </w:rPr>
        <w:t>requiring</w:t>
      </w:r>
      <w:r w:rsidRPr="008171EF">
        <w:rPr>
          <w:rFonts w:asciiTheme="minorHAnsi" w:hAnsiTheme="minorHAnsi" w:cstheme="minorHAnsi"/>
          <w:b/>
          <w:bCs/>
          <w:sz w:val="24"/>
          <w:szCs w:val="24"/>
        </w:rPr>
        <w:t xml:space="preserve"> specialized sampling procedures, and</w:t>
      </w:r>
    </w:p>
    <w:p w:rsidR="00B955B7" w:rsidRPr="008171EF" w:rsidP="001A21CC" w14:paraId="38DEB0AA" w14:textId="77777777">
      <w:pPr>
        <w:pStyle w:val="ListParagraph"/>
        <w:numPr>
          <w:ilvl w:val="0"/>
          <w:numId w:val="7"/>
        </w:numPr>
        <w:rPr>
          <w:rFonts w:asciiTheme="minorHAnsi" w:hAnsiTheme="minorHAnsi" w:cstheme="minorHAnsi"/>
          <w:b/>
          <w:bCs/>
          <w:sz w:val="24"/>
          <w:szCs w:val="24"/>
        </w:rPr>
      </w:pPr>
      <w:r w:rsidRPr="008171EF">
        <w:rPr>
          <w:rFonts w:asciiTheme="minorHAnsi" w:hAnsiTheme="minorHAnsi" w:cstheme="minorHAnsi"/>
          <w:b/>
          <w:bCs/>
          <w:sz w:val="24"/>
          <w:szCs w:val="24"/>
        </w:rPr>
        <w:t>Any use of periodic (less frequent than annual) data collection cycles to reduce burden.</w:t>
      </w:r>
    </w:p>
    <w:p w:rsidR="0095610E" w:rsidRPr="007C4159" w:rsidP="00936A60" w14:paraId="367301A0" w14:textId="77777777">
      <w:pPr>
        <w:pStyle w:val="Heading3"/>
        <w:ind w:firstLine="403"/>
        <w:rPr>
          <w:rFonts w:ascii="Calibri" w:hAnsi="Calibri" w:cstheme="minorHAnsi"/>
        </w:rPr>
      </w:pPr>
    </w:p>
    <w:p w:rsidR="00936A60" w:rsidRPr="00F40710" w:rsidP="2A1FFAB0" w14:paraId="651B4FE8" w14:textId="6D0A1275">
      <w:pPr>
        <w:pStyle w:val="Heading3"/>
        <w:ind w:firstLine="403"/>
        <w:rPr>
          <w:rFonts w:ascii="Calibri" w:hAnsi="Calibri" w:cstheme="minorBidi"/>
          <w:b/>
          <w:bCs/>
        </w:rPr>
      </w:pPr>
      <w:r w:rsidRPr="3A436180">
        <w:rPr>
          <w:rFonts w:ascii="Calibri" w:hAnsi="Calibri" w:cstheme="minorBidi"/>
          <w:b/>
          <w:bCs/>
          <w:color w:val="2B579A"/>
        </w:rPr>
        <w:fldChar w:fldCharType="begin"/>
      </w:r>
      <w:r w:rsidRPr="3A436180">
        <w:rPr>
          <w:rFonts w:ascii="Calibri" w:hAnsi="Calibri" w:cstheme="minorBidi"/>
          <w:b/>
          <w:bCs/>
        </w:rPr>
        <w:instrText xml:space="preserve"> SEQ CHAPTER \h \r 1</w:instrText>
      </w:r>
      <w:r w:rsidRPr="3A436180">
        <w:rPr>
          <w:rFonts w:ascii="Calibri" w:hAnsi="Calibri" w:cstheme="minorBidi"/>
          <w:b/>
          <w:bCs/>
          <w:color w:val="2B579A"/>
        </w:rPr>
        <w:fldChar w:fldCharType="separate"/>
      </w:r>
      <w:r w:rsidRPr="3A436180">
        <w:rPr>
          <w:rFonts w:ascii="Calibri" w:hAnsi="Calibri" w:cstheme="minorBidi"/>
          <w:b/>
          <w:bCs/>
          <w:color w:val="2B579A"/>
        </w:rPr>
        <w:fldChar w:fldCharType="end"/>
      </w:r>
      <w:bookmarkStart w:id="0" w:name="_Toc489876572"/>
      <w:r w:rsidRPr="3A436180" w:rsidR="514F82F6">
        <w:rPr>
          <w:rFonts w:ascii="Calibri" w:hAnsi="Calibri" w:cstheme="minorBidi"/>
          <w:b/>
          <w:bCs/>
        </w:rPr>
        <w:t>Housing Units</w:t>
      </w:r>
      <w:bookmarkEnd w:id="0"/>
    </w:p>
    <w:p w:rsidR="00936A60" w:rsidRPr="002E00C7" w:rsidP="00936A60" w14:paraId="63D55FF4" w14:textId="77777777"/>
    <w:p w:rsidR="00936A60" w:rsidRPr="00157AFB" w:rsidP="7B12BB46" w14:paraId="0BCF0A55" w14:textId="582CE010">
      <w:pPr>
        <w:pStyle w:val="Normal2"/>
        <w:rPr>
          <w:rFonts w:ascii="Calibri" w:hAnsi="Calibri" w:cstheme="minorBidi"/>
        </w:rPr>
      </w:pPr>
      <w:r w:rsidRPr="7B12BB46">
        <w:rPr>
          <w:rFonts w:ascii="Calibri" w:hAnsi="Calibri" w:cstheme="minorBidi"/>
        </w:rPr>
        <w:t xml:space="preserve">The ACS employs a two-phase, two-stage sample design. The first-phase sample consists of two separate address samples: Period 1 and Period 2. These samples are chosen at different points in time. Both samples are selected in two stages of sampling, a </w:t>
      </w:r>
      <w:r w:rsidRPr="7B12BB46">
        <w:rPr>
          <w:rFonts w:ascii="Calibri" w:hAnsi="Calibri" w:cstheme="minorBidi"/>
        </w:rPr>
        <w:t>first-stage</w:t>
      </w:r>
      <w:r w:rsidRPr="7B12BB46">
        <w:rPr>
          <w:rFonts w:ascii="Calibri" w:hAnsi="Calibri" w:cstheme="minorBidi"/>
        </w:rPr>
        <w:t xml:space="preserve"> and a </w:t>
      </w:r>
      <w:r w:rsidRPr="7B12BB46">
        <w:rPr>
          <w:rFonts w:ascii="Calibri" w:hAnsi="Calibri" w:cstheme="minorBidi"/>
        </w:rPr>
        <w:t>second-stage</w:t>
      </w:r>
      <w:r w:rsidRPr="7B12BB46">
        <w:rPr>
          <w:rFonts w:ascii="Calibri" w:hAnsi="Calibri" w:cstheme="minorBidi"/>
        </w:rPr>
        <w:t xml:space="preserve">. </w:t>
      </w:r>
      <w:r w:rsidRPr="7B12BB46">
        <w:rPr>
          <w:rFonts w:ascii="Calibri" w:hAnsi="Calibri" w:cstheme="minorBidi"/>
        </w:rPr>
        <w:t>Subsequent to</w:t>
      </w:r>
      <w:r w:rsidRPr="7B12BB46">
        <w:rPr>
          <w:rFonts w:ascii="Calibri" w:hAnsi="Calibri" w:cstheme="minorBidi"/>
        </w:rPr>
        <w:t xml:space="preserve"> second-stage sampling, </w:t>
      </w:r>
      <w:r w:rsidRPr="7B12BB46">
        <w:rPr>
          <w:rFonts w:ascii="Calibri" w:hAnsi="Calibri" w:cstheme="minorBidi"/>
        </w:rPr>
        <w:t>the majority of</w:t>
      </w:r>
      <w:r w:rsidRPr="7B12BB46">
        <w:rPr>
          <w:rFonts w:ascii="Calibri" w:hAnsi="Calibri" w:cstheme="minorBidi"/>
        </w:rPr>
        <w:t xml:space="preserve"> sample addresses are randomly assigned to one of the 12 months of the sample year (the exception is for addresses in remote Alaska, which are assigned to either January or </w:t>
      </w:r>
      <w:r w:rsidRPr="7B12BB46" w:rsidR="2B570B3E">
        <w:rPr>
          <w:rFonts w:ascii="Calibri" w:hAnsi="Calibri" w:cstheme="minorBidi"/>
        </w:rPr>
        <w:t>July</w:t>
      </w:r>
      <w:r w:rsidRPr="7B12BB46">
        <w:rPr>
          <w:rFonts w:ascii="Calibri" w:hAnsi="Calibri" w:cstheme="minorBidi"/>
        </w:rPr>
        <w:t xml:space="preserve">). The </w:t>
      </w:r>
      <w:r w:rsidRPr="7B12BB46">
        <w:rPr>
          <w:rFonts w:ascii="Calibri" w:hAnsi="Calibri" w:cstheme="minorBidi"/>
        </w:rPr>
        <w:t>second-phase</w:t>
      </w:r>
      <w:r w:rsidRPr="7B12BB46">
        <w:rPr>
          <w:rFonts w:ascii="Calibri" w:hAnsi="Calibri" w:cstheme="minorBidi"/>
        </w:rPr>
        <w:t xml:space="preserve"> of sampling occurs when the CAPI sample is selected</w:t>
      </w:r>
      <w:r w:rsidRPr="7B12BB46" w:rsidR="588C8A07">
        <w:rPr>
          <w:rFonts w:ascii="Calibri" w:hAnsi="Calibri" w:cstheme="minorBidi"/>
        </w:rPr>
        <w:t xml:space="preserve">. </w:t>
      </w:r>
      <w:r w:rsidRPr="7B12BB46" w:rsidR="4AC652BF">
        <w:rPr>
          <w:rFonts w:ascii="Calibri" w:hAnsi="Calibri" w:cstheme="minorBidi"/>
        </w:rPr>
        <w:t xml:space="preserve">This document describes the sampling for </w:t>
      </w:r>
      <w:r w:rsidR="00DF340E">
        <w:rPr>
          <w:rFonts w:ascii="Calibri" w:hAnsi="Calibri" w:cstheme="minorBidi"/>
        </w:rPr>
        <w:t>2024</w:t>
      </w:r>
      <w:r w:rsidRPr="7B12BB46" w:rsidR="4AC652BF">
        <w:rPr>
          <w:rFonts w:ascii="Calibri" w:hAnsi="Calibri" w:cstheme="minorBidi"/>
        </w:rPr>
        <w:t>; the methods used in 2025 are the same.</w:t>
      </w:r>
    </w:p>
    <w:p w:rsidR="00936A60" w:rsidRPr="00157AFB" w:rsidP="3A436180" w14:paraId="20CC0791" w14:textId="0216993A">
      <w:pPr>
        <w:pStyle w:val="Normal2"/>
        <w:rPr>
          <w:rFonts w:ascii="Calibri" w:hAnsi="Calibri" w:cstheme="minorBidi"/>
        </w:rPr>
      </w:pPr>
      <w:r w:rsidRPr="08122567">
        <w:rPr>
          <w:rFonts w:ascii="Calibri" w:hAnsi="Calibri" w:cstheme="minorBidi"/>
        </w:rPr>
        <w:t>The Period 1 sample is selected during October of the year prior to the sample year (</w:t>
      </w:r>
      <w:r w:rsidRPr="08122567" w:rsidR="29C85523">
        <w:rPr>
          <w:rFonts w:ascii="Calibri" w:hAnsi="Calibri" w:cstheme="minorBidi"/>
        </w:rPr>
        <w:t>e.g.,</w:t>
      </w:r>
      <w:r w:rsidRPr="08122567">
        <w:rPr>
          <w:rFonts w:ascii="Calibri" w:hAnsi="Calibri" w:cstheme="minorBidi"/>
        </w:rPr>
        <w:t xml:space="preserve"> the </w:t>
      </w:r>
      <w:r w:rsidRPr="08122567" w:rsidR="2536B762">
        <w:rPr>
          <w:rFonts w:ascii="Calibri" w:hAnsi="Calibri" w:cstheme="minorBidi"/>
        </w:rPr>
        <w:t>202</w:t>
      </w:r>
      <w:r w:rsidRPr="08122567" w:rsidR="6977E8D8">
        <w:rPr>
          <w:rFonts w:ascii="Calibri" w:hAnsi="Calibri" w:cstheme="minorBidi"/>
        </w:rPr>
        <w:t>4</w:t>
      </w:r>
      <w:r w:rsidRPr="08122567" w:rsidR="484EB994">
        <w:rPr>
          <w:rFonts w:ascii="Calibri" w:hAnsi="Calibri" w:cstheme="minorBidi"/>
        </w:rPr>
        <w:t xml:space="preserve"> </w:t>
      </w:r>
      <w:r w:rsidRPr="08122567">
        <w:rPr>
          <w:rFonts w:ascii="Calibri" w:hAnsi="Calibri" w:cstheme="minorBidi"/>
        </w:rPr>
        <w:t>Period 1 sample was selected in October of 20</w:t>
      </w:r>
      <w:r w:rsidRPr="08122567" w:rsidR="33FD40C2">
        <w:rPr>
          <w:rFonts w:ascii="Calibri" w:hAnsi="Calibri" w:cstheme="minorBidi"/>
        </w:rPr>
        <w:t>2</w:t>
      </w:r>
      <w:r w:rsidRPr="08122567" w:rsidR="6977E8D8">
        <w:rPr>
          <w:rFonts w:ascii="Calibri" w:hAnsi="Calibri" w:cstheme="minorBidi"/>
        </w:rPr>
        <w:t>3</w:t>
      </w:r>
      <w:r w:rsidRPr="08122567">
        <w:rPr>
          <w:rFonts w:ascii="Calibri" w:hAnsi="Calibri" w:cstheme="minorBidi"/>
        </w:rPr>
        <w:t xml:space="preserve">). Approximately half of a year’s sample is selected </w:t>
      </w:r>
      <w:r w:rsidRPr="08122567">
        <w:rPr>
          <w:rFonts w:ascii="Calibri" w:hAnsi="Calibri" w:cstheme="minorBidi"/>
        </w:rPr>
        <w:t>at this time</w:t>
      </w:r>
      <w:r w:rsidRPr="08122567">
        <w:rPr>
          <w:rFonts w:ascii="Calibri" w:hAnsi="Calibri" w:cstheme="minorBidi"/>
        </w:rPr>
        <w:t xml:space="preserve">. Sample addresses that are not in remote Alaska are randomly assigned to </w:t>
      </w:r>
      <w:r w:rsidRPr="08122567">
        <w:rPr>
          <w:rFonts w:ascii="Calibri" w:hAnsi="Calibri" w:cstheme="minorBidi"/>
        </w:rPr>
        <w:t xml:space="preserve">one of the first six months of the sample year; </w:t>
      </w:r>
      <w:r w:rsidRPr="08122567" w:rsidR="09FC1F5C">
        <w:rPr>
          <w:rFonts w:ascii="Calibri" w:hAnsi="Calibri" w:cstheme="minorBidi"/>
        </w:rPr>
        <w:t xml:space="preserve">Period 1 </w:t>
      </w:r>
      <w:r w:rsidRPr="08122567">
        <w:rPr>
          <w:rFonts w:ascii="Calibri" w:hAnsi="Calibri" w:cstheme="minorBidi"/>
        </w:rPr>
        <w:t xml:space="preserve">sample addresses in remote Alaska are assigned </w:t>
      </w:r>
      <w:r w:rsidRPr="08122567" w:rsidR="1C7F2176">
        <w:rPr>
          <w:rFonts w:ascii="Calibri" w:hAnsi="Calibri" w:cstheme="minorBidi"/>
        </w:rPr>
        <w:t xml:space="preserve">to January and </w:t>
      </w:r>
      <w:r w:rsidRPr="08122567" w:rsidR="6A6B36B1">
        <w:rPr>
          <w:rFonts w:ascii="Calibri" w:hAnsi="Calibri" w:cstheme="minorBidi"/>
        </w:rPr>
        <w:t>the</w:t>
      </w:r>
      <w:r w:rsidRPr="08122567" w:rsidR="1C7F2176">
        <w:rPr>
          <w:rFonts w:ascii="Calibri" w:hAnsi="Calibri" w:cstheme="minorBidi"/>
        </w:rPr>
        <w:t xml:space="preserve"> </w:t>
      </w:r>
      <w:r w:rsidRPr="08122567" w:rsidR="57FCFBE0">
        <w:rPr>
          <w:rFonts w:ascii="Calibri" w:hAnsi="Calibri" w:cstheme="minorBidi"/>
        </w:rPr>
        <w:t xml:space="preserve">data collection </w:t>
      </w:r>
      <w:r w:rsidRPr="08122567" w:rsidR="6A6B36B1">
        <w:rPr>
          <w:rFonts w:ascii="Calibri" w:hAnsi="Calibri" w:cstheme="minorBidi"/>
        </w:rPr>
        <w:t>period is</w:t>
      </w:r>
      <w:r w:rsidRPr="08122567" w:rsidR="1C7F2176">
        <w:rPr>
          <w:rFonts w:ascii="Calibri" w:hAnsi="Calibri" w:cstheme="minorBidi"/>
        </w:rPr>
        <w:t xml:space="preserve"> open f</w:t>
      </w:r>
      <w:r w:rsidRPr="08122567">
        <w:rPr>
          <w:rFonts w:ascii="Calibri" w:hAnsi="Calibri" w:cstheme="minorBidi"/>
        </w:rPr>
        <w:t>o</w:t>
      </w:r>
      <w:r w:rsidRPr="08122567" w:rsidR="1C7F2176">
        <w:rPr>
          <w:rFonts w:ascii="Calibri" w:hAnsi="Calibri" w:cstheme="minorBidi"/>
        </w:rPr>
        <w:t>r</w:t>
      </w:r>
      <w:r w:rsidRPr="08122567">
        <w:rPr>
          <w:rFonts w:ascii="Calibri" w:hAnsi="Calibri" w:cstheme="minorBidi"/>
        </w:rPr>
        <w:t xml:space="preserve"> </w:t>
      </w:r>
      <w:r w:rsidRPr="08122567" w:rsidR="6BA597A6">
        <w:rPr>
          <w:rFonts w:ascii="Calibri" w:hAnsi="Calibri" w:cstheme="minorBidi"/>
        </w:rPr>
        <w:t xml:space="preserve">the first six months </w:t>
      </w:r>
      <w:r w:rsidRPr="08122567" w:rsidR="6BA597A6">
        <w:rPr>
          <w:rFonts w:ascii="Calibri" w:hAnsi="Calibri" w:cstheme="minorBidi"/>
        </w:rPr>
        <w:t>as a whole</w:t>
      </w:r>
      <w:r w:rsidRPr="08122567">
        <w:rPr>
          <w:rFonts w:ascii="Calibri" w:hAnsi="Calibri" w:cstheme="minorBidi"/>
        </w:rPr>
        <w:t xml:space="preserve"> to</w:t>
      </w:r>
      <w:r w:rsidRPr="08122567">
        <w:rPr>
          <w:rFonts w:ascii="Calibri" w:hAnsi="Calibri" w:cstheme="minorBidi"/>
        </w:rPr>
        <w:t xml:space="preserve"> </w:t>
      </w:r>
      <w:r w:rsidRPr="08122567" w:rsidR="4B189EC8">
        <w:rPr>
          <w:rFonts w:ascii="Calibri" w:hAnsi="Calibri" w:cstheme="minorBidi"/>
        </w:rPr>
        <w:t xml:space="preserve">remedy </w:t>
      </w:r>
      <w:r w:rsidRPr="08122567">
        <w:rPr>
          <w:rFonts w:ascii="Calibri" w:hAnsi="Calibri" w:cstheme="minorBidi"/>
        </w:rPr>
        <w:t xml:space="preserve">access issues. </w:t>
      </w:r>
    </w:p>
    <w:p w:rsidR="00936A60" w:rsidRPr="00157AFB" w:rsidP="2E0452FD" w14:paraId="4E4B115A" w14:textId="75440575">
      <w:pPr>
        <w:pStyle w:val="Normal2"/>
        <w:rPr>
          <w:rFonts w:ascii="Calibri" w:hAnsi="Calibri" w:cstheme="minorBidi"/>
        </w:rPr>
      </w:pPr>
      <w:r w:rsidRPr="3A436180">
        <w:rPr>
          <w:rFonts w:ascii="Calibri" w:hAnsi="Calibri" w:cstheme="minorBidi"/>
        </w:rPr>
        <w:t xml:space="preserve">Period 2 sampling occurs in </w:t>
      </w:r>
      <w:r w:rsidRPr="3A436180" w:rsidR="38885A53">
        <w:rPr>
          <w:rFonts w:ascii="Calibri" w:hAnsi="Calibri" w:cstheme="minorBidi"/>
        </w:rPr>
        <w:t xml:space="preserve">March </w:t>
      </w:r>
      <w:r w:rsidRPr="3A436180">
        <w:rPr>
          <w:rFonts w:ascii="Calibri" w:hAnsi="Calibri" w:cstheme="minorBidi"/>
        </w:rPr>
        <w:t>of the sample year (e.g.</w:t>
      </w:r>
      <w:r w:rsidRPr="3A436180" w:rsidR="011D6846">
        <w:rPr>
          <w:rFonts w:ascii="Calibri" w:hAnsi="Calibri" w:cstheme="minorBidi"/>
        </w:rPr>
        <w:t>,</w:t>
      </w:r>
      <w:r w:rsidRPr="3A436180">
        <w:rPr>
          <w:rFonts w:ascii="Calibri" w:hAnsi="Calibri" w:cstheme="minorBidi"/>
        </w:rPr>
        <w:t xml:space="preserve"> the </w:t>
      </w:r>
      <w:r w:rsidRPr="3A436180" w:rsidR="62960007">
        <w:rPr>
          <w:rFonts w:ascii="Calibri" w:hAnsi="Calibri" w:cstheme="minorBidi"/>
        </w:rPr>
        <w:t>20</w:t>
      </w:r>
      <w:r w:rsidRPr="3A436180" w:rsidR="153DC961">
        <w:rPr>
          <w:rFonts w:ascii="Calibri" w:hAnsi="Calibri" w:cstheme="minorBidi"/>
        </w:rPr>
        <w:t>2</w:t>
      </w:r>
      <w:r w:rsidRPr="3A436180" w:rsidR="6977E8D8">
        <w:rPr>
          <w:rFonts w:ascii="Calibri" w:hAnsi="Calibri" w:cstheme="minorBidi"/>
        </w:rPr>
        <w:t>4</w:t>
      </w:r>
      <w:r w:rsidRPr="3A436180">
        <w:rPr>
          <w:rFonts w:ascii="Calibri" w:hAnsi="Calibri" w:cstheme="minorBidi"/>
        </w:rPr>
        <w:t xml:space="preserve"> Period 2 sample was selected during </w:t>
      </w:r>
      <w:r w:rsidRPr="3A436180" w:rsidR="44A9BA94">
        <w:rPr>
          <w:rFonts w:ascii="Calibri" w:hAnsi="Calibri" w:cstheme="minorBidi"/>
        </w:rPr>
        <w:t xml:space="preserve">March </w:t>
      </w:r>
      <w:r w:rsidRPr="3A436180">
        <w:rPr>
          <w:rFonts w:ascii="Calibri" w:hAnsi="Calibri" w:cstheme="minorBidi"/>
        </w:rPr>
        <w:t xml:space="preserve">of </w:t>
      </w:r>
      <w:r w:rsidRPr="3A436180" w:rsidR="394944CF">
        <w:rPr>
          <w:rFonts w:ascii="Calibri" w:hAnsi="Calibri" w:cstheme="minorBidi"/>
        </w:rPr>
        <w:t>2024</w:t>
      </w:r>
      <w:r w:rsidRPr="3A436180">
        <w:rPr>
          <w:rFonts w:ascii="Calibri" w:hAnsi="Calibri" w:cstheme="minorBidi"/>
        </w:rPr>
        <w:t xml:space="preserve">). This sample accounts for the remaining half of the overall first-phase sample. Period 2 sample addresses that are not in remote Alaska are randomly assigned to one of the last six months of the sample year; Period 2 sample addresses in remote Alaska are assigned to </w:t>
      </w:r>
      <w:r w:rsidRPr="3A436180" w:rsidR="1C7F2176">
        <w:rPr>
          <w:rFonts w:ascii="Calibri" w:hAnsi="Calibri" w:cstheme="minorBidi"/>
        </w:rPr>
        <w:t xml:space="preserve">July and </w:t>
      </w:r>
      <w:r w:rsidRPr="3A436180" w:rsidR="6A6B36B1">
        <w:rPr>
          <w:rFonts w:ascii="Calibri" w:hAnsi="Calibri" w:cstheme="minorBidi"/>
        </w:rPr>
        <w:t>the data collection period is</w:t>
      </w:r>
      <w:r w:rsidRPr="3A436180" w:rsidR="1C7F2176">
        <w:rPr>
          <w:rFonts w:ascii="Calibri" w:hAnsi="Calibri" w:cstheme="minorBidi"/>
        </w:rPr>
        <w:t xml:space="preserve"> open for </w:t>
      </w:r>
      <w:r w:rsidRPr="3A436180" w:rsidR="22DB94DA">
        <w:rPr>
          <w:rFonts w:ascii="Calibri" w:hAnsi="Calibri" w:cstheme="minorBidi"/>
        </w:rPr>
        <w:t xml:space="preserve">the last six </w:t>
      </w:r>
      <w:r w:rsidRPr="3A436180" w:rsidR="22DB94DA">
        <w:rPr>
          <w:rFonts w:ascii="Calibri" w:hAnsi="Calibri" w:cstheme="minorBidi"/>
        </w:rPr>
        <w:t>months as a whole</w:t>
      </w:r>
      <w:r w:rsidRPr="3A436180">
        <w:rPr>
          <w:rFonts w:ascii="Calibri" w:hAnsi="Calibri" w:cstheme="minorBidi"/>
        </w:rPr>
        <w:t>.</w:t>
      </w:r>
      <w:r>
        <w:rPr>
          <w:rStyle w:val="FootnoteReference"/>
          <w:rFonts w:ascii="Calibri" w:hAnsi="Calibri" w:cstheme="minorBidi"/>
        </w:rPr>
        <w:footnoteReference w:id="6"/>
      </w:r>
      <w:r w:rsidRPr="3A436180">
        <w:rPr>
          <w:rFonts w:ascii="Calibri" w:hAnsi="Calibri" w:cstheme="minorBidi"/>
        </w:rPr>
        <w:t xml:space="preserve"> </w:t>
      </w:r>
    </w:p>
    <w:p w:rsidR="00936A60" w:rsidRPr="00157AFB" w:rsidP="4EB1A4FE" w14:paraId="30E59512" w14:textId="593CC4AF">
      <w:pPr>
        <w:pStyle w:val="Normal2"/>
        <w:rPr>
          <w:rFonts w:ascii="Calibri" w:hAnsi="Calibri" w:cstheme="minorBidi"/>
        </w:rPr>
      </w:pPr>
      <w:r w:rsidRPr="3A436180">
        <w:rPr>
          <w:rFonts w:ascii="Calibri" w:hAnsi="Calibri" w:cstheme="minorBidi"/>
        </w:rPr>
        <w:t>A subsample of nonresponding addresses and of any addresses deemed unmailable is selected for the CAPI data collection mode.</w:t>
      </w:r>
      <w:r>
        <w:rPr>
          <w:rStyle w:val="FootnoteReference"/>
          <w:rFonts w:ascii="Calibri" w:hAnsi="Calibri" w:cstheme="minorBidi"/>
        </w:rPr>
        <w:footnoteReference w:id="7"/>
      </w:r>
    </w:p>
    <w:p w:rsidR="00936A60" w:rsidRPr="00157AFB" w:rsidP="00936A60" w14:paraId="7294922D" w14:textId="77777777">
      <w:pPr>
        <w:pStyle w:val="Normal2"/>
        <w:rPr>
          <w:rFonts w:ascii="Calibri" w:hAnsi="Calibri" w:cstheme="minorHAnsi"/>
        </w:rPr>
      </w:pPr>
      <w:r w:rsidRPr="00157AFB">
        <w:rPr>
          <w:rFonts w:ascii="Calibri" w:hAnsi="Calibri" w:cstheme="minorHAnsi"/>
        </w:rPr>
        <w:t xml:space="preserve">The following steps are used to select the </w:t>
      </w:r>
      <w:r w:rsidRPr="00157AFB">
        <w:rPr>
          <w:rFonts w:ascii="Calibri" w:hAnsi="Calibri" w:cstheme="minorHAnsi"/>
        </w:rPr>
        <w:t>first-phase</w:t>
      </w:r>
      <w:r w:rsidRPr="00157AFB">
        <w:rPr>
          <w:rFonts w:ascii="Calibri" w:hAnsi="Calibri" w:cstheme="minorHAnsi"/>
        </w:rPr>
        <w:t xml:space="preserve"> and second-phase samples in both periods.</w:t>
      </w:r>
    </w:p>
    <w:p w:rsidR="00936A60" w:rsidRPr="007C4159" w:rsidP="3A436180" w14:paraId="48B8C2DB" w14:textId="77777777">
      <w:pPr>
        <w:pStyle w:val="Heading4"/>
        <w:ind w:firstLine="720"/>
        <w:rPr>
          <w:rFonts w:ascii="Calibri" w:hAnsi="Calibri" w:cstheme="minorBidi"/>
        </w:rPr>
      </w:pPr>
      <w:r w:rsidRPr="08122567">
        <w:rPr>
          <w:rFonts w:ascii="Calibri" w:hAnsi="Calibri" w:cstheme="minorBidi"/>
        </w:rPr>
        <w:t>First-Phase Housing Unit Sample Selection</w:t>
      </w:r>
    </w:p>
    <w:p w:rsidR="00936A60" w:rsidRPr="007C4159" w:rsidP="004C418B" w14:paraId="731824CC" w14:textId="77777777">
      <w:pPr>
        <w:pStyle w:val="Heading5"/>
        <w:ind w:left="360" w:firstLine="720"/>
        <w:rPr>
          <w:rFonts w:ascii="Calibri" w:hAnsi="Calibri" w:cstheme="minorBidi"/>
          <w:b/>
          <w:bCs/>
        </w:rPr>
      </w:pPr>
      <w:r w:rsidRPr="08122567">
        <w:rPr>
          <w:rFonts w:ascii="Calibri" w:hAnsi="Calibri" w:cstheme="minorBidi"/>
          <w:color w:val="2B579A"/>
        </w:rPr>
        <w:fldChar w:fldCharType="begin"/>
      </w:r>
      <w:r w:rsidRPr="08122567">
        <w:rPr>
          <w:rFonts w:ascii="Calibri" w:hAnsi="Calibri" w:cstheme="minorBidi"/>
        </w:rPr>
        <w:instrText xml:space="preserve"> SEQ CHAPTER \h \r 1</w:instrText>
      </w:r>
      <w:r w:rsidRPr="08122567">
        <w:rPr>
          <w:rFonts w:ascii="Calibri" w:hAnsi="Calibri" w:cstheme="minorBidi"/>
          <w:color w:val="2B579A"/>
        </w:rPr>
        <w:fldChar w:fldCharType="separate"/>
      </w:r>
      <w:r w:rsidRPr="08122567">
        <w:rPr>
          <w:rFonts w:ascii="Calibri" w:hAnsi="Calibri" w:cstheme="minorBidi"/>
          <w:color w:val="2B579A"/>
        </w:rPr>
        <w:fldChar w:fldCharType="end"/>
      </w:r>
      <w:r w:rsidRPr="08122567" w:rsidR="514F82F6">
        <w:rPr>
          <w:rFonts w:ascii="Calibri" w:hAnsi="Calibri" w:cstheme="minorBidi"/>
          <w:b/>
          <w:bCs/>
        </w:rPr>
        <w:t>First-Stage Sampling for Housing Units</w:t>
      </w:r>
    </w:p>
    <w:p w:rsidR="00936A60" w:rsidP="2E0452FD" w14:paraId="00488CC4" w14:textId="3F92402E">
      <w:pPr>
        <w:pStyle w:val="Normal5"/>
        <w:rPr>
          <w:rFonts w:ascii="Calibri" w:hAnsi="Calibri" w:cstheme="minorBidi"/>
        </w:rPr>
      </w:pPr>
      <w:r w:rsidRPr="3A436180">
        <w:rPr>
          <w:rFonts w:ascii="Calibri" w:hAnsi="Calibri" w:cstheme="minorBidi"/>
        </w:rPr>
        <w:t xml:space="preserve">First stage sampling defines the universe for the second stage of sampling through three steps. First, all addresses that were in a first-phase sample within the past four years are excluded from eligibility. This ensures that no address is in </w:t>
      </w:r>
      <w:r w:rsidRPr="3A436180">
        <w:rPr>
          <w:rFonts w:ascii="Calibri" w:hAnsi="Calibri" w:cstheme="minorBidi"/>
        </w:rPr>
        <w:t>sample</w:t>
      </w:r>
      <w:r w:rsidRPr="3A436180">
        <w:rPr>
          <w:rFonts w:ascii="Calibri" w:hAnsi="Calibri" w:cstheme="minorBidi"/>
        </w:rPr>
        <w:t xml:space="preserve"> more than once </w:t>
      </w:r>
      <w:r w:rsidRPr="3A436180" w:rsidR="181F5826">
        <w:rPr>
          <w:rFonts w:ascii="Calibri" w:hAnsi="Calibri" w:cstheme="minorBidi"/>
        </w:rPr>
        <w:t>every five years</w:t>
      </w:r>
      <w:r w:rsidRPr="3A436180">
        <w:rPr>
          <w:rFonts w:ascii="Calibri" w:hAnsi="Calibri" w:cstheme="minorBidi"/>
        </w:rPr>
        <w:t xml:space="preserve">. The second step is to select a 20 percent systematic sample of “new” units, i.e., those units that have never appeared on a previous Master Address File extract. Each new address is systematically assigned either to the current year or to one of four back-samples. This procedure maintains five equal partitions (samples) of the universe. The third step is to randomly assign all eligible addresses to a </w:t>
      </w:r>
      <w:r w:rsidRPr="3A436180" w:rsidR="6169016B">
        <w:rPr>
          <w:rFonts w:ascii="Calibri" w:hAnsi="Calibri" w:cstheme="minorBidi"/>
        </w:rPr>
        <w:t>partition</w:t>
      </w:r>
      <w:r w:rsidRPr="3A436180">
        <w:rPr>
          <w:rFonts w:ascii="Calibri" w:hAnsi="Calibri" w:cstheme="minorBidi"/>
        </w:rPr>
        <w:t>.</w:t>
      </w:r>
      <w:r>
        <w:rPr>
          <w:rStyle w:val="FootnoteReference"/>
          <w:rFonts w:ascii="Calibri" w:hAnsi="Calibri" w:cstheme="minorBidi"/>
        </w:rPr>
        <w:footnoteReference w:id="8"/>
      </w:r>
    </w:p>
    <w:p w:rsidR="00936A60" w:rsidRPr="007C4159" w:rsidP="004C418B" w14:paraId="7A4CE8FB" w14:textId="77777777">
      <w:pPr>
        <w:pStyle w:val="Heading5"/>
        <w:ind w:left="360" w:firstLine="720"/>
        <w:rPr>
          <w:rFonts w:ascii="Calibri" w:hAnsi="Calibri" w:cstheme="minorBidi"/>
          <w:b/>
          <w:bCs/>
        </w:rPr>
      </w:pPr>
      <w:r w:rsidRPr="08122567">
        <w:rPr>
          <w:rFonts w:ascii="Calibri" w:hAnsi="Calibri" w:cstheme="minorBidi"/>
          <w:color w:val="2B579A"/>
        </w:rPr>
        <w:fldChar w:fldCharType="begin"/>
      </w:r>
      <w:r w:rsidRPr="08122567">
        <w:rPr>
          <w:rFonts w:ascii="Calibri" w:hAnsi="Calibri" w:cstheme="minorBidi"/>
        </w:rPr>
        <w:instrText xml:space="preserve"> SEQ CHAPTER \h \r 1</w:instrText>
      </w:r>
      <w:r w:rsidRPr="08122567">
        <w:rPr>
          <w:rFonts w:ascii="Calibri" w:hAnsi="Calibri" w:cstheme="minorBidi"/>
          <w:color w:val="2B579A"/>
        </w:rPr>
        <w:fldChar w:fldCharType="separate"/>
      </w:r>
      <w:r w:rsidRPr="08122567">
        <w:rPr>
          <w:rFonts w:ascii="Calibri" w:hAnsi="Calibri" w:cstheme="minorBidi"/>
          <w:color w:val="2B579A"/>
        </w:rPr>
        <w:fldChar w:fldCharType="end"/>
      </w:r>
      <w:r w:rsidRPr="08122567" w:rsidR="514F82F6">
        <w:rPr>
          <w:rFonts w:ascii="Calibri" w:hAnsi="Calibri" w:cstheme="minorBidi"/>
          <w:b/>
          <w:bCs/>
        </w:rPr>
        <w:t>Assignment of Blocks to a Second-Stage Sampling Stratum for Housing Units</w:t>
      </w:r>
    </w:p>
    <w:p w:rsidR="00936A60" w:rsidRPr="00157AFB" w:rsidP="7B12BB46" w14:paraId="7392E4B6" w14:textId="77777777">
      <w:pPr>
        <w:pStyle w:val="Normal5"/>
        <w:rPr>
          <w:rFonts w:ascii="Calibri" w:hAnsi="Calibri" w:cstheme="minorBidi"/>
        </w:rPr>
      </w:pPr>
      <w:r w:rsidRPr="3A436180">
        <w:rPr>
          <w:rFonts w:ascii="Calibri" w:hAnsi="Calibri" w:cstheme="minorBidi"/>
        </w:rPr>
        <w:t>Second-stage sampling uses 16 sampling strata in the United States.</w:t>
      </w:r>
      <w:r>
        <w:rPr>
          <w:rStyle w:val="FootnoteReference"/>
          <w:rFonts w:ascii="Calibri" w:hAnsi="Calibri" w:cstheme="minorBidi"/>
        </w:rPr>
        <w:footnoteReference w:id="9"/>
      </w:r>
      <w:r w:rsidRPr="3A436180">
        <w:rPr>
          <w:rFonts w:ascii="Calibri" w:hAnsi="Calibri" w:cstheme="minorBidi"/>
        </w:rPr>
        <w:t xml:space="preserve"> The stratum-level rates used in second-stage sampling account for the first-stage selection probabilities. These rates are applied at a block level to addresses in the United States by calculating a measure of size for each of the following geographic entities:</w:t>
      </w:r>
    </w:p>
    <w:p w:rsidR="00936A60" w:rsidRPr="00157AFB" w:rsidP="00936A60" w14:paraId="655D082F" w14:textId="77777777">
      <w:pPr>
        <w:pStyle w:val="Level1"/>
        <w:numPr>
          <w:ilvl w:val="1"/>
          <w:numId w:val="4"/>
        </w:numPr>
        <w:ind w:left="1890"/>
        <w:rPr>
          <w:rFonts w:ascii="Calibri" w:hAnsi="Calibri" w:cstheme="minorHAnsi"/>
        </w:rPr>
      </w:pPr>
      <w:r w:rsidRPr="00157AFB">
        <w:rPr>
          <w:rFonts w:ascii="Calibri" w:hAnsi="Calibri" w:cstheme="minorHAnsi"/>
        </w:rPr>
        <w:t>Counties.</w:t>
      </w:r>
    </w:p>
    <w:p w:rsidR="00936A60" w:rsidRPr="00157AFB" w:rsidP="00936A60" w14:paraId="3D0FECD5" w14:textId="77777777">
      <w:pPr>
        <w:pStyle w:val="Level1"/>
        <w:numPr>
          <w:ilvl w:val="1"/>
          <w:numId w:val="4"/>
        </w:numPr>
        <w:ind w:left="1890"/>
        <w:rPr>
          <w:rFonts w:ascii="Calibri" w:hAnsi="Calibri" w:cstheme="minorHAnsi"/>
        </w:rPr>
      </w:pPr>
      <w:r w:rsidRPr="00157AFB">
        <w:rPr>
          <w:rFonts w:ascii="Calibri" w:hAnsi="Calibri" w:cstheme="minorHAnsi"/>
        </w:rPr>
        <w:t>Places.</w:t>
      </w:r>
    </w:p>
    <w:p w:rsidR="00936A60" w:rsidRPr="00157AFB" w:rsidP="00936A60" w14:paraId="26FD8797" w14:textId="77777777">
      <w:pPr>
        <w:pStyle w:val="Level1"/>
        <w:numPr>
          <w:ilvl w:val="1"/>
          <w:numId w:val="4"/>
        </w:numPr>
        <w:ind w:left="1890"/>
        <w:rPr>
          <w:rFonts w:ascii="Calibri" w:hAnsi="Calibri" w:cstheme="minorHAnsi"/>
        </w:rPr>
      </w:pPr>
      <w:r w:rsidRPr="00157AFB">
        <w:rPr>
          <w:rFonts w:ascii="Calibri" w:hAnsi="Calibri" w:cstheme="minorHAnsi"/>
        </w:rPr>
        <w:t>School Districts (elementary, secondary, and unified).</w:t>
      </w:r>
    </w:p>
    <w:p w:rsidR="00936A60" w:rsidRPr="00157AFB" w:rsidP="00936A60" w14:paraId="67476805" w14:textId="18B4408E">
      <w:pPr>
        <w:pStyle w:val="Level1"/>
        <w:numPr>
          <w:ilvl w:val="1"/>
          <w:numId w:val="4"/>
        </w:numPr>
        <w:ind w:left="1890"/>
        <w:rPr>
          <w:rFonts w:ascii="Calibri" w:hAnsi="Calibri" w:cstheme="minorHAnsi"/>
        </w:rPr>
      </w:pPr>
      <w:r w:rsidRPr="00157AFB">
        <w:rPr>
          <w:rFonts w:ascii="Calibri" w:hAnsi="Calibri" w:cstheme="minorHAnsi"/>
        </w:rPr>
        <w:t>American Indian Areas</w:t>
      </w:r>
      <w:r w:rsidR="0046504C">
        <w:rPr>
          <w:rFonts w:ascii="Calibri" w:hAnsi="Calibri" w:cstheme="minorHAnsi"/>
        </w:rPr>
        <w:t xml:space="preserve"> (AI)</w:t>
      </w:r>
      <w:r w:rsidRPr="00157AFB">
        <w:rPr>
          <w:rFonts w:ascii="Calibri" w:hAnsi="Calibri" w:cstheme="minorHAnsi"/>
        </w:rPr>
        <w:t>.</w:t>
      </w:r>
    </w:p>
    <w:p w:rsidR="00936A60" w:rsidRPr="00157AFB" w:rsidP="00936A60" w14:paraId="396E828D" w14:textId="77777777">
      <w:pPr>
        <w:pStyle w:val="Level1"/>
        <w:numPr>
          <w:ilvl w:val="1"/>
          <w:numId w:val="4"/>
        </w:numPr>
        <w:ind w:left="1890"/>
        <w:rPr>
          <w:rFonts w:ascii="Calibri" w:hAnsi="Calibri" w:cstheme="minorHAnsi"/>
        </w:rPr>
      </w:pPr>
      <w:r w:rsidRPr="00157AFB">
        <w:rPr>
          <w:rFonts w:ascii="Calibri" w:hAnsi="Calibri" w:cstheme="minorHAnsi"/>
        </w:rPr>
        <w:t>Tribal Subdivisions.</w:t>
      </w:r>
    </w:p>
    <w:p w:rsidR="00936A60" w:rsidRPr="00157AFB" w:rsidP="00936A60" w14:paraId="5F9322ED" w14:textId="7C5AB28F">
      <w:pPr>
        <w:pStyle w:val="Level1"/>
        <w:numPr>
          <w:ilvl w:val="1"/>
          <w:numId w:val="4"/>
        </w:numPr>
        <w:ind w:left="1890"/>
        <w:rPr>
          <w:rFonts w:ascii="Calibri" w:hAnsi="Calibri" w:cstheme="minorHAnsi"/>
        </w:rPr>
      </w:pPr>
      <w:r w:rsidRPr="00157AFB">
        <w:rPr>
          <w:rFonts w:ascii="Calibri" w:hAnsi="Calibri" w:cstheme="minorHAnsi"/>
        </w:rPr>
        <w:t>Alaska Native Village Statistical Areas</w:t>
      </w:r>
      <w:r w:rsidR="0046504C">
        <w:rPr>
          <w:rFonts w:ascii="Calibri" w:hAnsi="Calibri" w:cstheme="minorHAnsi"/>
        </w:rPr>
        <w:t xml:space="preserve"> (ANVSA)</w:t>
      </w:r>
      <w:r w:rsidRPr="00157AFB">
        <w:rPr>
          <w:rFonts w:ascii="Calibri" w:hAnsi="Calibri" w:cstheme="minorHAnsi"/>
        </w:rPr>
        <w:t>.</w:t>
      </w:r>
    </w:p>
    <w:p w:rsidR="00936A60" w:rsidRPr="00157AFB" w:rsidP="00936A60" w14:paraId="2AAFD7C8" w14:textId="35923F6C">
      <w:pPr>
        <w:pStyle w:val="Level1"/>
        <w:numPr>
          <w:ilvl w:val="1"/>
          <w:numId w:val="4"/>
        </w:numPr>
        <w:ind w:left="1890"/>
        <w:rPr>
          <w:rFonts w:ascii="Calibri" w:hAnsi="Calibri" w:cstheme="minorHAnsi"/>
        </w:rPr>
      </w:pPr>
      <w:r w:rsidRPr="00157AFB">
        <w:rPr>
          <w:rFonts w:ascii="Calibri" w:hAnsi="Calibri" w:cstheme="minorHAnsi"/>
        </w:rPr>
        <w:t>Hawaiian Homelands</w:t>
      </w:r>
      <w:r w:rsidR="0046504C">
        <w:rPr>
          <w:rFonts w:ascii="Calibri" w:hAnsi="Calibri" w:cstheme="minorHAnsi"/>
        </w:rPr>
        <w:t xml:space="preserve"> (HH)</w:t>
      </w:r>
      <w:r w:rsidRPr="00157AFB">
        <w:rPr>
          <w:rFonts w:ascii="Calibri" w:hAnsi="Calibri" w:cstheme="minorHAnsi"/>
        </w:rPr>
        <w:t>.</w:t>
      </w:r>
    </w:p>
    <w:p w:rsidR="00936A60" w:rsidRPr="00157AFB" w:rsidP="00936A60" w14:paraId="36F5ECE6" w14:textId="77777777">
      <w:pPr>
        <w:pStyle w:val="Level1"/>
        <w:numPr>
          <w:ilvl w:val="1"/>
          <w:numId w:val="4"/>
        </w:numPr>
        <w:ind w:left="1890"/>
        <w:rPr>
          <w:rFonts w:ascii="Calibri" w:hAnsi="Calibri" w:cstheme="minorHAnsi"/>
        </w:rPr>
      </w:pPr>
      <w:r w:rsidRPr="3A436180">
        <w:rPr>
          <w:rFonts w:ascii="Calibri" w:hAnsi="Calibri" w:cstheme="minorBidi"/>
        </w:rPr>
        <w:t>Minor Civil Divisions – in Connecticut, Maine, Massachusetts, Michigan, Minnesota, New Hampshire, New Jersey, New York, Pennsylvania, Rhode Island, Vermont, and Wisconsin.</w:t>
      </w:r>
      <w:r>
        <w:rPr>
          <w:rStyle w:val="FootnoteReference"/>
          <w:rFonts w:ascii="Calibri" w:hAnsi="Calibri" w:cstheme="minorBidi"/>
        </w:rPr>
        <w:footnoteReference w:id="10"/>
      </w:r>
    </w:p>
    <w:p w:rsidR="00936A60" w:rsidRPr="00157AFB" w:rsidP="00936A60" w14:paraId="138DF3D9" w14:textId="77777777">
      <w:pPr>
        <w:pStyle w:val="Level1"/>
        <w:numPr>
          <w:ilvl w:val="1"/>
          <w:numId w:val="4"/>
        </w:numPr>
        <w:ind w:left="1890"/>
        <w:rPr>
          <w:rFonts w:ascii="Calibri" w:hAnsi="Calibri" w:cstheme="minorHAnsi"/>
        </w:rPr>
      </w:pPr>
      <w:r w:rsidRPr="00157AFB">
        <w:rPr>
          <w:rFonts w:ascii="Calibri" w:hAnsi="Calibri" w:cstheme="minorHAnsi"/>
        </w:rPr>
        <w:t>Census Designated Places – in Hawaii only.</w:t>
      </w:r>
      <w:r w:rsidRPr="00157AFB">
        <w:rPr>
          <w:rFonts w:ascii="Calibri" w:hAnsi="Calibri" w:cstheme="minorHAnsi"/>
        </w:rPr>
        <w:br/>
      </w:r>
    </w:p>
    <w:p w:rsidR="00936A60" w:rsidRPr="00157AFB" w:rsidP="7B12BB46" w14:paraId="47D07977" w14:textId="2EBAF653">
      <w:pPr>
        <w:pStyle w:val="Normal5"/>
        <w:rPr>
          <w:rFonts w:ascii="Calibri" w:hAnsi="Calibri" w:cstheme="minorBidi"/>
        </w:rPr>
      </w:pPr>
      <w:r w:rsidRPr="7B12BB46">
        <w:rPr>
          <w:rFonts w:ascii="Calibri" w:hAnsi="Calibri" w:cstheme="minorBidi"/>
          <w:color w:val="2B579A"/>
          <w:lang w:val="en-CA"/>
        </w:rPr>
        <w:fldChar w:fldCharType="begin"/>
      </w:r>
      <w:r w:rsidRPr="7B12BB46">
        <w:rPr>
          <w:rFonts w:ascii="Calibri" w:hAnsi="Calibri" w:cstheme="minorBidi"/>
          <w:lang w:val="en-CA"/>
        </w:rPr>
        <w:instrText xml:space="preserve"> SEQ CHAPTER \h \r 1</w:instrText>
      </w:r>
      <w:r w:rsidRPr="7B12BB46">
        <w:rPr>
          <w:rFonts w:ascii="Calibri" w:hAnsi="Calibri" w:cstheme="minorBidi"/>
          <w:color w:val="2B579A"/>
          <w:lang w:val="en-CA"/>
        </w:rPr>
        <w:fldChar w:fldCharType="separate"/>
      </w:r>
      <w:r w:rsidRPr="7B12BB46">
        <w:rPr>
          <w:rFonts w:ascii="Calibri" w:hAnsi="Calibri" w:cstheme="minorBidi"/>
          <w:color w:val="2B579A"/>
          <w:lang w:val="en-CA"/>
        </w:rPr>
        <w:fldChar w:fldCharType="end"/>
      </w:r>
      <w:r w:rsidRPr="7B12BB46" w:rsidR="6EA155A5">
        <w:rPr>
          <w:rFonts w:ascii="Calibri" w:hAnsi="Calibri" w:cstheme="minorBidi"/>
        </w:rPr>
        <w:t xml:space="preserve">The measure of size for all areas </w:t>
      </w:r>
      <w:r w:rsidRPr="7B12BB46" w:rsidR="35D39D44">
        <w:rPr>
          <w:rFonts w:ascii="Calibri" w:hAnsi="Calibri" w:cstheme="minorBidi"/>
        </w:rPr>
        <w:t xml:space="preserve">is an estimate of the number of occupied HUs in the area </w:t>
      </w:r>
      <w:r w:rsidRPr="7B12BB46" w:rsidR="6EA155A5">
        <w:rPr>
          <w:rFonts w:ascii="Calibri" w:hAnsi="Calibri" w:cstheme="minorBidi"/>
        </w:rPr>
        <w:t xml:space="preserve">except </w:t>
      </w:r>
      <w:r w:rsidRPr="7B12BB46" w:rsidR="4D28CEA8">
        <w:rPr>
          <w:rFonts w:ascii="Calibri" w:hAnsi="Calibri" w:cstheme="minorBidi"/>
        </w:rPr>
        <w:t xml:space="preserve">for </w:t>
      </w:r>
      <w:r w:rsidRPr="7B12BB46" w:rsidR="6EA155A5">
        <w:rPr>
          <w:rFonts w:ascii="Calibri" w:hAnsi="Calibri" w:cstheme="minorBidi"/>
        </w:rPr>
        <w:t>A</w:t>
      </w:r>
      <w:r w:rsidR="004F4FC6">
        <w:rPr>
          <w:rFonts w:ascii="Calibri" w:hAnsi="Calibri" w:cstheme="minorBidi"/>
        </w:rPr>
        <w:t>I</w:t>
      </w:r>
      <w:r w:rsidRPr="7B12BB46" w:rsidR="6EA155A5">
        <w:rPr>
          <w:rFonts w:ascii="Calibri" w:hAnsi="Calibri" w:cstheme="minorBidi"/>
        </w:rPr>
        <w:t xml:space="preserve"> areas, Tribal Subdivisions, </w:t>
      </w:r>
      <w:r w:rsidR="004F4FC6">
        <w:rPr>
          <w:rFonts w:ascii="Calibri" w:hAnsi="Calibri" w:cstheme="minorBidi"/>
        </w:rPr>
        <w:t>ANVSA</w:t>
      </w:r>
      <w:r w:rsidRPr="7B12BB46" w:rsidR="6EA155A5">
        <w:rPr>
          <w:rFonts w:ascii="Calibri" w:hAnsi="Calibri" w:cstheme="minorBidi"/>
        </w:rPr>
        <w:t>, and H</w:t>
      </w:r>
      <w:r w:rsidR="004F4FC6">
        <w:rPr>
          <w:rFonts w:ascii="Calibri" w:hAnsi="Calibri" w:cstheme="minorBidi"/>
        </w:rPr>
        <w:t>H</w:t>
      </w:r>
      <w:r w:rsidRPr="7B12BB46" w:rsidR="6EA155A5">
        <w:rPr>
          <w:rFonts w:ascii="Calibri" w:hAnsi="Calibri" w:cstheme="minorBidi"/>
        </w:rPr>
        <w:t xml:space="preserve">. This is calculated by multiplying the number of ACS addresses by an estimated occupancy rate at the block level. A measure of size for each census tract is also calculated in the same manner. </w:t>
      </w:r>
    </w:p>
    <w:p w:rsidR="00936A60" w:rsidRPr="00157AFB" w:rsidP="7B12BB46" w14:paraId="23D09576" w14:textId="2DD68E94">
      <w:pPr>
        <w:pStyle w:val="Normal4"/>
        <w:rPr>
          <w:rFonts w:ascii="Calibri" w:hAnsi="Calibri" w:cstheme="minorBidi"/>
        </w:rPr>
      </w:pPr>
      <w:r w:rsidRPr="7B12BB46">
        <w:rPr>
          <w:rFonts w:ascii="Calibri" w:hAnsi="Calibri" w:cstheme="minorBidi"/>
        </w:rPr>
        <w:t>For A</w:t>
      </w:r>
      <w:r w:rsidR="004F4FC6">
        <w:rPr>
          <w:rFonts w:ascii="Calibri" w:hAnsi="Calibri" w:cstheme="minorBidi"/>
        </w:rPr>
        <w:t>I</w:t>
      </w:r>
      <w:r w:rsidRPr="7B12BB46">
        <w:rPr>
          <w:rFonts w:ascii="Calibri" w:hAnsi="Calibri" w:cstheme="minorBidi"/>
        </w:rPr>
        <w:t xml:space="preserve"> areas, </w:t>
      </w:r>
      <w:r w:rsidR="0046504C">
        <w:rPr>
          <w:rFonts w:ascii="Calibri" w:hAnsi="Calibri" w:cstheme="minorBidi"/>
        </w:rPr>
        <w:t>T</w:t>
      </w:r>
      <w:r w:rsidRPr="7B12BB46">
        <w:rPr>
          <w:rFonts w:ascii="Calibri" w:hAnsi="Calibri" w:cstheme="minorBidi"/>
        </w:rPr>
        <w:t xml:space="preserve">ribal </w:t>
      </w:r>
      <w:r w:rsidR="0046504C">
        <w:rPr>
          <w:rFonts w:ascii="Calibri" w:hAnsi="Calibri" w:cstheme="minorBidi"/>
        </w:rPr>
        <w:t>S</w:t>
      </w:r>
      <w:r w:rsidRPr="7B12BB46">
        <w:rPr>
          <w:rFonts w:ascii="Calibri" w:hAnsi="Calibri" w:cstheme="minorBidi"/>
        </w:rPr>
        <w:t>ubdivisions areas, and A</w:t>
      </w:r>
      <w:r w:rsidR="004F4FC6">
        <w:rPr>
          <w:rFonts w:ascii="Calibri" w:hAnsi="Calibri" w:cstheme="minorBidi"/>
        </w:rPr>
        <w:t>NVSA</w:t>
      </w:r>
      <w:r w:rsidRPr="7B12BB46">
        <w:rPr>
          <w:rFonts w:ascii="Calibri" w:hAnsi="Calibri" w:cstheme="minorBidi"/>
        </w:rPr>
        <w:t>, the measure of size is the estimated number of occupied HUs multiplied by the proportion of people reporting A</w:t>
      </w:r>
      <w:r w:rsidR="004F4FC6">
        <w:rPr>
          <w:rFonts w:ascii="Calibri" w:hAnsi="Calibri" w:cstheme="minorBidi"/>
        </w:rPr>
        <w:t>I</w:t>
      </w:r>
      <w:r w:rsidRPr="7B12BB46">
        <w:rPr>
          <w:rFonts w:ascii="Calibri" w:hAnsi="Calibri" w:cstheme="minorBidi"/>
        </w:rPr>
        <w:t xml:space="preserve"> or Alaska Native (alone or in combination) in the 20</w:t>
      </w:r>
      <w:r w:rsidRPr="7B12BB46" w:rsidR="46631769">
        <w:rPr>
          <w:rFonts w:ascii="Calibri" w:hAnsi="Calibri" w:cstheme="minorBidi"/>
        </w:rPr>
        <w:t>2</w:t>
      </w:r>
      <w:r w:rsidRPr="7B12BB46">
        <w:rPr>
          <w:rFonts w:ascii="Calibri" w:hAnsi="Calibri" w:cstheme="minorBidi"/>
        </w:rPr>
        <w:t xml:space="preserve">0 Census. </w:t>
      </w:r>
    </w:p>
    <w:p w:rsidR="00936A60" w:rsidRPr="00157AFB" w:rsidP="7B12BB46" w14:paraId="1402916F" w14:textId="3A45F874">
      <w:pPr>
        <w:pStyle w:val="Normal4"/>
        <w:rPr>
          <w:rFonts w:ascii="Calibri" w:hAnsi="Calibri" w:cstheme="minorBidi"/>
        </w:rPr>
      </w:pPr>
      <w:r w:rsidRPr="7B12BB46">
        <w:rPr>
          <w:rFonts w:ascii="Calibri" w:hAnsi="Calibri" w:cstheme="minorBidi"/>
        </w:rPr>
        <w:t>For H</w:t>
      </w:r>
      <w:r w:rsidR="004F4FC6">
        <w:rPr>
          <w:rFonts w:ascii="Calibri" w:hAnsi="Calibri" w:cstheme="minorBidi"/>
        </w:rPr>
        <w:t>H</w:t>
      </w:r>
      <w:r w:rsidRPr="7B12BB46">
        <w:rPr>
          <w:rFonts w:ascii="Calibri" w:hAnsi="Calibri" w:cstheme="minorBidi"/>
        </w:rPr>
        <w:t>, the measure of size is the estimated number of occupied HUs multiplied by the proportion of people reporting Native Hawaiian (alone or in combination) in the 20</w:t>
      </w:r>
      <w:r w:rsidRPr="7B12BB46" w:rsidR="41AACD98">
        <w:rPr>
          <w:rFonts w:ascii="Calibri" w:hAnsi="Calibri" w:cstheme="minorBidi"/>
        </w:rPr>
        <w:t>2</w:t>
      </w:r>
      <w:r w:rsidRPr="7B12BB46">
        <w:rPr>
          <w:rFonts w:ascii="Calibri" w:hAnsi="Calibri" w:cstheme="minorBidi"/>
        </w:rPr>
        <w:t xml:space="preserve">0 Census. </w:t>
      </w:r>
    </w:p>
    <w:p w:rsidR="008A7DEB" w:rsidP="008A7DEB" w14:paraId="10275547" w14:textId="35285B82">
      <w:pPr>
        <w:pStyle w:val="Normal4"/>
        <w:rPr>
          <w:rFonts w:ascii="Calibri" w:hAnsi="Calibri" w:cstheme="minorBidi"/>
        </w:rPr>
      </w:pPr>
      <w:r w:rsidRPr="7B12BB46">
        <w:rPr>
          <w:rFonts w:ascii="Calibri" w:hAnsi="Calibri" w:cstheme="minorBidi"/>
        </w:rPr>
        <w:t xml:space="preserve">Each block is then assigned the smallest positive, nonzero measure of size from the set of all entities of which it is a part. The </w:t>
      </w:r>
      <w:r w:rsidR="0056193D">
        <w:rPr>
          <w:rFonts w:ascii="Calibri" w:hAnsi="Calibri" w:cstheme="minorBidi"/>
        </w:rPr>
        <w:t>2024</w:t>
      </w:r>
      <w:r w:rsidRPr="7B12BB46" w:rsidR="0056193D">
        <w:rPr>
          <w:rFonts w:ascii="Calibri" w:hAnsi="Calibri" w:cstheme="minorBidi"/>
        </w:rPr>
        <w:t xml:space="preserve"> </w:t>
      </w:r>
      <w:r w:rsidRPr="7B12BB46">
        <w:rPr>
          <w:rFonts w:ascii="Calibri" w:hAnsi="Calibri" w:cstheme="minorBidi"/>
        </w:rPr>
        <w:t>second-stage sampling strata and the overall first-phase sampling rates are shown in Table 1. Table 2 includes the rates used in Puerto Rico.</w:t>
      </w:r>
    </w:p>
    <w:p w:rsidR="00936A60" w:rsidRPr="007C4159" w:rsidP="00936A60" w14:paraId="1923686A" w14:textId="6CB5A928">
      <w:pPr>
        <w:pStyle w:val="Heading4"/>
        <w:ind w:firstLine="720"/>
        <w:rPr>
          <w:rFonts w:ascii="Calibri" w:hAnsi="Calibri" w:cstheme="minorHAnsi"/>
        </w:rPr>
      </w:pPr>
      <w:r w:rsidRPr="007C4159">
        <w:rPr>
          <w:rFonts w:ascii="Calibri" w:hAnsi="Calibri" w:cstheme="minorHAnsi"/>
          <w:color w:val="2B579A"/>
          <w:shd w:val="clear" w:color="auto" w:fill="E6E6E6"/>
        </w:rPr>
        <w:fldChar w:fldCharType="begin"/>
      </w:r>
      <w:r w:rsidRPr="007C4159">
        <w:rPr>
          <w:rFonts w:ascii="Calibri" w:hAnsi="Calibri" w:cstheme="minorHAnsi"/>
        </w:rPr>
        <w:instrText xml:space="preserve"> SEQ CHAPTER \h \r 1</w:instrText>
      </w:r>
      <w:r w:rsidRPr="007C4159">
        <w:rPr>
          <w:rFonts w:ascii="Calibri" w:hAnsi="Calibri" w:cstheme="minorHAnsi"/>
          <w:color w:val="2B579A"/>
          <w:shd w:val="clear" w:color="auto" w:fill="E6E6E6"/>
        </w:rPr>
        <w:fldChar w:fldCharType="separate"/>
      </w:r>
      <w:r w:rsidRPr="007C4159">
        <w:rPr>
          <w:rFonts w:ascii="Calibri" w:hAnsi="Calibri" w:cstheme="minorHAnsi"/>
          <w:color w:val="2B579A"/>
          <w:shd w:val="clear" w:color="auto" w:fill="E6E6E6"/>
        </w:rPr>
        <w:fldChar w:fldCharType="end"/>
      </w:r>
      <w:r w:rsidRPr="007C4159">
        <w:rPr>
          <w:rFonts w:ascii="Calibri" w:hAnsi="Calibri" w:cstheme="minorHAnsi"/>
        </w:rPr>
        <w:t>Calculation of the Second-Stage Sampling Rates for Housing Units</w:t>
      </w:r>
    </w:p>
    <w:p w:rsidR="00936A60" w:rsidP="18509EE2" w14:paraId="7E69726F" w14:textId="7F67BD9D">
      <w:pPr>
        <w:pStyle w:val="Normal4"/>
        <w:rPr>
          <w:rFonts w:ascii="Calibri" w:hAnsi="Calibri" w:cstheme="minorBidi"/>
        </w:rPr>
      </w:pPr>
      <w:r w:rsidRPr="18509EE2">
        <w:rPr>
          <w:rFonts w:ascii="Calibri" w:hAnsi="Calibri" w:cstheme="minorBidi"/>
        </w:rPr>
        <w:t xml:space="preserve">The overall first-phase sampling rates are calculated using the distribution of ACS valid addresses by second-stage sampling stratum in such a way as to yield an overall target sample size for the year of </w:t>
      </w:r>
      <w:r w:rsidR="008F3A8B">
        <w:rPr>
          <w:rFonts w:ascii="Calibri" w:hAnsi="Calibri" w:cstheme="minorBidi"/>
        </w:rPr>
        <w:t>3,576,000</w:t>
      </w:r>
      <w:r w:rsidRPr="005C6D5B">
        <w:rPr>
          <w:rFonts w:ascii="Calibri" w:hAnsi="Calibri" w:cstheme="minorBidi"/>
        </w:rPr>
        <w:t xml:space="preserve"> (1,</w:t>
      </w:r>
      <w:r w:rsidR="008F3A8B">
        <w:rPr>
          <w:rFonts w:ascii="Calibri" w:hAnsi="Calibri" w:cstheme="minorBidi"/>
        </w:rPr>
        <w:t>788,000</w:t>
      </w:r>
      <w:r w:rsidRPr="005C6D5B">
        <w:rPr>
          <w:rFonts w:ascii="Calibri" w:hAnsi="Calibri" w:cstheme="minorBidi"/>
        </w:rPr>
        <w:t xml:space="preserve"> for each period</w:t>
      </w:r>
      <w:r w:rsidRPr="18509EE2">
        <w:rPr>
          <w:rFonts w:ascii="Calibri" w:hAnsi="Calibri" w:cstheme="minorBidi"/>
        </w:rPr>
        <w:t>) in the United States</w:t>
      </w:r>
      <w:r w:rsidRPr="18509EE2" w:rsidR="6B137496">
        <w:rPr>
          <w:rFonts w:ascii="Calibri" w:hAnsi="Calibri" w:cstheme="minorBidi"/>
        </w:rPr>
        <w:t xml:space="preserve"> and Puerto Rico</w:t>
      </w:r>
      <w:r w:rsidRPr="18509EE2">
        <w:rPr>
          <w:rFonts w:ascii="Calibri" w:hAnsi="Calibri" w:cstheme="minorBidi"/>
        </w:rPr>
        <w:t>. The first-phase rates are adjusted for the first-stage sample to yield the second-stage selection probabilities.</w:t>
      </w:r>
    </w:p>
    <w:p w:rsidR="00E96CA3" w:rsidP="2A1FFAB0" w14:paraId="20097A88" w14:textId="77777777">
      <w:pPr>
        <w:pStyle w:val="Normal4"/>
        <w:rPr>
          <w:rFonts w:ascii="Calibri" w:hAnsi="Calibri" w:cstheme="minorBidi"/>
        </w:rPr>
      </w:pPr>
    </w:p>
    <w:p w:rsidR="00A02EA1" w:rsidP="2A1FFAB0" w14:paraId="79561AFF" w14:textId="77777777">
      <w:pPr>
        <w:pStyle w:val="Normal4"/>
        <w:rPr>
          <w:rFonts w:ascii="Calibri" w:hAnsi="Calibri" w:cstheme="minorBidi"/>
        </w:rPr>
      </w:pPr>
    </w:p>
    <w:p w:rsidR="00A02EA1" w:rsidP="2A1FFAB0" w14:paraId="0555DAFB" w14:textId="77777777">
      <w:pPr>
        <w:pStyle w:val="Normal4"/>
        <w:rPr>
          <w:rFonts w:ascii="Calibri" w:hAnsi="Calibri" w:cstheme="minorBidi"/>
        </w:rPr>
      </w:pPr>
    </w:p>
    <w:p w:rsidR="00936A60" w:rsidP="4743B207" w14:paraId="02842739" w14:textId="10B1192C">
      <w:pPr>
        <w:pStyle w:val="Normal4"/>
        <w:ind w:left="0" w:firstLine="720"/>
        <w:rPr>
          <w:rFonts w:ascii="Calibri" w:hAnsi="Calibri" w:cstheme="minorBidi"/>
          <w:b/>
          <w:bCs/>
        </w:rPr>
      </w:pPr>
      <w:r w:rsidRPr="4743B207">
        <w:rPr>
          <w:rFonts w:ascii="Calibri" w:hAnsi="Calibri" w:cstheme="minorBidi"/>
          <w:b/>
          <w:bCs/>
        </w:rPr>
        <w:t>Table 1. First-phase Sampling Rate Categories for the United States</w:t>
      </w:r>
    </w:p>
    <w:tbl>
      <w:tblPr>
        <w:tblW w:w="8912" w:type="dxa"/>
        <w:jc w:val="center"/>
        <w:tblBorders>
          <w:top w:val="single" w:sz="18" w:space="0" w:color="auto"/>
          <w:bottom w:val="single" w:sz="18" w:space="0" w:color="auto"/>
        </w:tblBorders>
        <w:tblLayout w:type="fixed"/>
        <w:tblCellMar>
          <w:left w:w="57" w:type="dxa"/>
          <w:right w:w="57" w:type="dxa"/>
        </w:tblCellMar>
        <w:tblLook w:val="0000"/>
      </w:tblPr>
      <w:tblGrid>
        <w:gridCol w:w="922"/>
        <w:gridCol w:w="4478"/>
        <w:gridCol w:w="1717"/>
        <w:gridCol w:w="893"/>
        <w:gridCol w:w="768"/>
        <w:gridCol w:w="134"/>
      </w:tblGrid>
      <w:tr w14:paraId="74D63D22" w14:textId="77777777" w:rsidTr="7B12BB46">
        <w:tblPrEx>
          <w:tblW w:w="8912" w:type="dxa"/>
          <w:jc w:val="center"/>
          <w:tblBorders>
            <w:top w:val="single" w:sz="18" w:space="0" w:color="auto"/>
            <w:bottom w:val="single" w:sz="18" w:space="0" w:color="auto"/>
          </w:tblBorders>
          <w:tblLayout w:type="fixed"/>
          <w:tblCellMar>
            <w:left w:w="57" w:type="dxa"/>
            <w:right w:w="57" w:type="dxa"/>
          </w:tblCellMar>
          <w:tblLook w:val="0000"/>
        </w:tblPrEx>
        <w:trPr>
          <w:cantSplit/>
          <w:trHeight w:val="19"/>
          <w:tblHeader/>
          <w:jc w:val="center"/>
        </w:trPr>
        <w:tc>
          <w:tcPr>
            <w:tcW w:w="922" w:type="dxa"/>
            <w:tcBorders>
              <w:top w:val="single" w:sz="18" w:space="0" w:color="auto"/>
            </w:tcBorders>
            <w:vAlign w:val="center"/>
          </w:tcPr>
          <w:p w:rsidR="00E303C3" w:rsidRPr="006D49C5" w:rsidP="00E303C3" w14:paraId="36E0B5BD" w14:textId="77777777">
            <w:pPr>
              <w:pStyle w:val="MemoBody"/>
              <w:spacing w:after="0"/>
              <w:ind w:left="-50"/>
              <w:jc w:val="center"/>
              <w:rPr>
                <w:rFonts w:asciiTheme="minorHAnsi" w:hAnsiTheme="minorHAnsi" w:cstheme="minorHAnsi"/>
                <w:sz w:val="20"/>
              </w:rPr>
            </w:pPr>
            <w:r w:rsidRPr="006D49C5">
              <w:rPr>
                <w:rFonts w:asciiTheme="minorHAnsi" w:hAnsiTheme="minorHAnsi" w:cstheme="minorHAnsi"/>
                <w:sz w:val="20"/>
              </w:rPr>
              <w:t xml:space="preserve">Sampling </w:t>
            </w:r>
          </w:p>
        </w:tc>
        <w:tc>
          <w:tcPr>
            <w:tcW w:w="4478" w:type="dxa"/>
            <w:tcBorders>
              <w:top w:val="single" w:sz="18" w:space="0" w:color="auto"/>
            </w:tcBorders>
            <w:vAlign w:val="center"/>
          </w:tcPr>
          <w:p w:rsidR="00E303C3" w:rsidRPr="006D49C5" w:rsidP="00E303C3" w14:paraId="65A8D4B2" w14:textId="77777777">
            <w:pPr>
              <w:pStyle w:val="MemoBody"/>
              <w:spacing w:after="0"/>
              <w:ind w:left="-52"/>
              <w:jc w:val="center"/>
              <w:rPr>
                <w:rFonts w:asciiTheme="minorHAnsi" w:hAnsiTheme="minorHAnsi" w:cstheme="minorHAnsi"/>
                <w:sz w:val="20"/>
              </w:rPr>
            </w:pPr>
            <w:r w:rsidRPr="006D49C5">
              <w:rPr>
                <w:rFonts w:asciiTheme="minorHAnsi" w:hAnsiTheme="minorHAnsi" w:cstheme="minorHAnsi"/>
                <w:sz w:val="20"/>
              </w:rPr>
              <w:t>Type of Area</w:t>
            </w:r>
          </w:p>
        </w:tc>
        <w:tc>
          <w:tcPr>
            <w:tcW w:w="1717" w:type="dxa"/>
            <w:tcBorders>
              <w:top w:val="single" w:sz="18" w:space="0" w:color="auto"/>
              <w:right w:val="single" w:sz="8" w:space="0" w:color="auto"/>
            </w:tcBorders>
            <w:vAlign w:val="center"/>
          </w:tcPr>
          <w:p w:rsidR="00E303C3" w:rsidRPr="006D49C5" w:rsidP="00E303C3" w14:paraId="18F4A3FB" w14:textId="77777777">
            <w:pPr>
              <w:ind w:left="-44"/>
              <w:jc w:val="center"/>
              <w:rPr>
                <w:rFonts w:asciiTheme="minorHAnsi" w:hAnsiTheme="minorHAnsi" w:cstheme="minorHAnsi"/>
                <w:sz w:val="20"/>
                <w:szCs w:val="20"/>
              </w:rPr>
            </w:pPr>
            <w:r w:rsidRPr="006D49C5">
              <w:rPr>
                <w:rFonts w:asciiTheme="minorHAnsi" w:hAnsiTheme="minorHAnsi" w:cstheme="minorHAnsi"/>
                <w:sz w:val="20"/>
                <w:szCs w:val="20"/>
              </w:rPr>
              <w:t>Rate Definitions</w:t>
            </w:r>
          </w:p>
        </w:tc>
        <w:tc>
          <w:tcPr>
            <w:tcW w:w="1661" w:type="dxa"/>
            <w:gridSpan w:val="2"/>
            <w:tcBorders>
              <w:top w:val="single" w:sz="18" w:space="0" w:color="auto"/>
              <w:left w:val="single" w:sz="8" w:space="0" w:color="auto"/>
              <w:bottom w:val="single" w:sz="8" w:space="0" w:color="auto"/>
              <w:right w:val="nil"/>
            </w:tcBorders>
            <w:vAlign w:val="center"/>
          </w:tcPr>
          <w:p w:rsidR="44860A06" w:rsidRPr="00DE1629" w:rsidP="7B12BB46" w14:paraId="059EFA54" w14:textId="726D03E1">
            <w:pPr>
              <w:jc w:val="center"/>
              <w:rPr>
                <w:rFonts w:eastAsia="Times New Roman" w:asciiTheme="minorHAnsi" w:hAnsiTheme="minorHAnsi" w:cstheme="minorHAnsi"/>
                <w:color w:val="000000" w:themeColor="text1"/>
                <w:sz w:val="20"/>
                <w:szCs w:val="20"/>
              </w:rPr>
            </w:pPr>
            <w:r>
              <w:rPr>
                <w:rFonts w:eastAsia="Times New Roman" w:asciiTheme="minorHAnsi" w:hAnsiTheme="minorHAnsi" w:cstheme="minorHAnsi"/>
                <w:color w:val="000000" w:themeColor="text1"/>
                <w:sz w:val="20"/>
                <w:szCs w:val="20"/>
              </w:rPr>
              <w:t>2024</w:t>
            </w:r>
            <w:r w:rsidRPr="00DE1629">
              <w:rPr>
                <w:rFonts w:eastAsia="Times New Roman" w:asciiTheme="minorHAnsi" w:hAnsiTheme="minorHAnsi" w:cstheme="minorHAnsi"/>
                <w:color w:val="000000" w:themeColor="text1"/>
                <w:sz w:val="20"/>
                <w:szCs w:val="20"/>
              </w:rPr>
              <w:t xml:space="preserve"> </w:t>
            </w:r>
            <w:r w:rsidRPr="00DE1629" w:rsidR="6674E10A">
              <w:rPr>
                <w:rFonts w:eastAsia="Times New Roman" w:asciiTheme="minorHAnsi" w:hAnsiTheme="minorHAnsi" w:cstheme="minorHAnsi"/>
                <w:color w:val="000000" w:themeColor="text1"/>
                <w:sz w:val="20"/>
                <w:szCs w:val="20"/>
              </w:rPr>
              <w:t>Sampling Rates</w:t>
            </w:r>
          </w:p>
        </w:tc>
        <w:tc>
          <w:tcPr>
            <w:tcW w:w="134" w:type="dxa"/>
            <w:tcBorders>
              <w:top w:val="single" w:sz="18" w:space="0" w:color="auto"/>
              <w:left w:val="nil"/>
              <w:bottom w:val="single" w:sz="8" w:space="0" w:color="auto"/>
              <w:right w:val="nil"/>
            </w:tcBorders>
            <w:vAlign w:val="center"/>
          </w:tcPr>
          <w:p w:rsidR="00E303C3" w:rsidRPr="006D49C5" w:rsidP="7B12BB46" w14:paraId="48DA2BFC" w14:textId="4659D5B7">
            <w:pPr>
              <w:pStyle w:val="MemoBody"/>
              <w:spacing w:after="0"/>
              <w:ind w:left="-22"/>
              <w:jc w:val="center"/>
              <w:rPr>
                <w:rFonts w:asciiTheme="minorHAnsi" w:hAnsiTheme="minorHAnsi" w:cstheme="minorHAnsi"/>
                <w:sz w:val="20"/>
              </w:rPr>
            </w:pPr>
          </w:p>
        </w:tc>
      </w:tr>
      <w:tr w14:paraId="380DDF75"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bottom w:val="single" w:sz="18" w:space="0" w:color="auto"/>
            </w:tcBorders>
            <w:vAlign w:val="center"/>
          </w:tcPr>
          <w:p w:rsidR="00E303C3" w:rsidRPr="006D49C5" w:rsidP="00E303C3" w14:paraId="59F43258" w14:textId="77777777">
            <w:pPr>
              <w:pStyle w:val="MemoBody"/>
              <w:spacing w:after="0"/>
              <w:ind w:left="36"/>
              <w:jc w:val="center"/>
              <w:rPr>
                <w:rFonts w:asciiTheme="minorHAnsi" w:hAnsiTheme="minorHAnsi" w:cstheme="minorHAnsi"/>
                <w:sz w:val="20"/>
              </w:rPr>
            </w:pPr>
            <w:r w:rsidRPr="006D49C5">
              <w:rPr>
                <w:rFonts w:asciiTheme="minorHAnsi" w:hAnsiTheme="minorHAnsi" w:cstheme="minorHAnsi"/>
                <w:sz w:val="20"/>
              </w:rPr>
              <w:t>Stratum</w:t>
            </w:r>
          </w:p>
        </w:tc>
        <w:tc>
          <w:tcPr>
            <w:tcW w:w="4478" w:type="dxa"/>
            <w:tcBorders>
              <w:bottom w:val="single" w:sz="18" w:space="0" w:color="auto"/>
            </w:tcBorders>
            <w:vAlign w:val="center"/>
          </w:tcPr>
          <w:p w:rsidR="00E303C3" w:rsidRPr="006D49C5" w:rsidP="00E303C3" w14:paraId="083C3084" w14:textId="77777777">
            <w:pPr>
              <w:pStyle w:val="MemoBody"/>
              <w:spacing w:after="0"/>
              <w:jc w:val="center"/>
              <w:rPr>
                <w:rFonts w:asciiTheme="minorHAnsi" w:hAnsiTheme="minorHAnsi" w:cstheme="minorHAnsi"/>
                <w:sz w:val="20"/>
              </w:rPr>
            </w:pPr>
          </w:p>
        </w:tc>
        <w:tc>
          <w:tcPr>
            <w:tcW w:w="1717" w:type="dxa"/>
            <w:tcBorders>
              <w:bottom w:val="single" w:sz="18" w:space="0" w:color="auto"/>
              <w:right w:val="single" w:sz="8" w:space="0" w:color="auto"/>
            </w:tcBorders>
            <w:vAlign w:val="center"/>
          </w:tcPr>
          <w:p w:rsidR="00E303C3" w:rsidRPr="006D49C5" w:rsidP="00E303C3" w14:paraId="081DE391" w14:textId="77777777">
            <w:pPr>
              <w:jc w:val="center"/>
              <w:rPr>
                <w:rFonts w:asciiTheme="minorHAnsi" w:hAnsiTheme="minorHAnsi" w:cstheme="minorHAnsi"/>
                <w:sz w:val="20"/>
                <w:szCs w:val="20"/>
              </w:rPr>
            </w:pPr>
          </w:p>
        </w:tc>
        <w:tc>
          <w:tcPr>
            <w:tcW w:w="893" w:type="dxa"/>
            <w:tcBorders>
              <w:top w:val="single" w:sz="8" w:space="0" w:color="auto"/>
              <w:left w:val="single" w:sz="8" w:space="0" w:color="auto"/>
              <w:bottom w:val="single" w:sz="18" w:space="0" w:color="auto"/>
              <w:right w:val="single" w:sz="8" w:space="0" w:color="auto"/>
            </w:tcBorders>
            <w:vAlign w:val="center"/>
          </w:tcPr>
          <w:p w:rsidR="44860A06" w:rsidRPr="00DE1629" w:rsidP="005C6D5B" w14:paraId="2F3F96D3" w14:textId="707C0E4E">
            <w:pPr>
              <w:jc w:val="center"/>
              <w:rPr>
                <w:rFonts w:eastAsia="Times New Roman" w:asciiTheme="minorHAnsi" w:hAnsiTheme="minorHAnsi" w:cstheme="minorHAnsi"/>
                <w:sz w:val="20"/>
                <w:szCs w:val="20"/>
              </w:rPr>
            </w:pPr>
            <w:r>
              <w:rPr>
                <w:rFonts w:eastAsia="Times New Roman" w:asciiTheme="minorHAnsi" w:hAnsiTheme="minorHAnsi" w:cstheme="minorHAnsi"/>
                <w:sz w:val="20"/>
                <w:szCs w:val="20"/>
              </w:rPr>
              <w:t>Period 1</w:t>
            </w:r>
          </w:p>
        </w:tc>
        <w:tc>
          <w:tcPr>
            <w:tcW w:w="902" w:type="dxa"/>
            <w:gridSpan w:val="2"/>
            <w:tcBorders>
              <w:top w:val="single" w:sz="8" w:space="0" w:color="auto"/>
              <w:left w:val="single" w:sz="8" w:space="0" w:color="auto"/>
              <w:bottom w:val="single" w:sz="18" w:space="0" w:color="auto"/>
            </w:tcBorders>
            <w:vAlign w:val="center"/>
          </w:tcPr>
          <w:p w:rsidR="44860A06" w:rsidRPr="00DE1629" w:rsidP="005C6D5B" w14:paraId="11B5EC4B" w14:textId="567CEBBD">
            <w:pPr>
              <w:jc w:val="center"/>
              <w:rPr>
                <w:rFonts w:eastAsia="Times New Roman" w:asciiTheme="minorHAnsi" w:hAnsiTheme="minorHAnsi" w:cstheme="minorHAnsi"/>
                <w:sz w:val="20"/>
                <w:szCs w:val="20"/>
              </w:rPr>
            </w:pPr>
            <w:r>
              <w:rPr>
                <w:rFonts w:eastAsia="Times New Roman" w:asciiTheme="minorHAnsi" w:hAnsiTheme="minorHAnsi" w:cstheme="minorHAnsi"/>
                <w:sz w:val="20"/>
                <w:szCs w:val="20"/>
              </w:rPr>
              <w:t>Period 2</w:t>
            </w:r>
          </w:p>
        </w:tc>
      </w:tr>
      <w:tr w14:paraId="6196BB78"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single" w:sz="18" w:space="0" w:color="auto"/>
              <w:bottom w:val="nil"/>
            </w:tcBorders>
            <w:vAlign w:val="center"/>
          </w:tcPr>
          <w:p w:rsidR="00E303C3" w:rsidRPr="006D49C5" w:rsidP="00E303C3" w14:paraId="07426FC3" w14:textId="77777777">
            <w:pPr>
              <w:jc w:val="center"/>
              <w:rPr>
                <w:rFonts w:asciiTheme="minorHAnsi" w:hAnsiTheme="minorHAnsi" w:cstheme="minorHAnsi"/>
                <w:sz w:val="20"/>
                <w:szCs w:val="20"/>
              </w:rPr>
            </w:pPr>
            <w:r w:rsidRPr="006D49C5">
              <w:rPr>
                <w:rFonts w:asciiTheme="minorHAnsi" w:hAnsiTheme="minorHAnsi" w:cstheme="minorHAnsi"/>
                <w:sz w:val="20"/>
                <w:szCs w:val="20"/>
              </w:rPr>
              <w:t>1</w:t>
            </w:r>
          </w:p>
        </w:tc>
        <w:tc>
          <w:tcPr>
            <w:tcW w:w="4478" w:type="dxa"/>
            <w:tcBorders>
              <w:top w:val="single" w:sz="18" w:space="0" w:color="auto"/>
              <w:bottom w:val="nil"/>
            </w:tcBorders>
            <w:vAlign w:val="center"/>
          </w:tcPr>
          <w:p w:rsidR="00E303C3" w:rsidRPr="006D49C5" w:rsidP="00E303C3" w14:paraId="1AC640AB" w14:textId="77777777">
            <w:pPr>
              <w:tabs>
                <w:tab w:val="left" w:pos="282"/>
                <w:tab w:val="left" w:pos="372"/>
              </w:tabs>
              <w:ind w:left="-29"/>
              <w:rPr>
                <w:rFonts w:asciiTheme="minorHAnsi" w:hAnsiTheme="minorHAnsi" w:cstheme="minorHAnsi"/>
                <w:sz w:val="20"/>
                <w:szCs w:val="20"/>
                <w:vertAlign w:val="superscript"/>
              </w:rPr>
            </w:pPr>
            <w:r w:rsidRPr="006D49C5">
              <w:rPr>
                <w:rFonts w:asciiTheme="minorHAnsi" w:hAnsiTheme="minorHAnsi" w:cstheme="minorHAnsi"/>
                <w:sz w:val="20"/>
                <w:szCs w:val="20"/>
              </w:rPr>
              <w:t xml:space="preserve">      0 &lt; MOS</w:t>
            </w:r>
            <w:r w:rsidRPr="006D49C5">
              <w:rPr>
                <w:rFonts w:asciiTheme="minorHAnsi" w:hAnsiTheme="minorHAnsi" w:cstheme="minorHAnsi"/>
                <w:sz w:val="20"/>
                <w:szCs w:val="20"/>
                <w:vertAlign w:val="superscript"/>
              </w:rPr>
              <w:t>1</w:t>
            </w:r>
            <w:r w:rsidRPr="006D49C5">
              <w:rPr>
                <w:rFonts w:asciiTheme="minorHAnsi" w:hAnsiTheme="minorHAnsi" w:cstheme="minorHAnsi"/>
                <w:sz w:val="20"/>
                <w:szCs w:val="20"/>
              </w:rPr>
              <w:t xml:space="preserve"> </w:t>
            </w:r>
            <w:r w:rsidRPr="006D49C5">
              <w:rPr>
                <w:rFonts w:asciiTheme="minorHAnsi" w:hAnsiTheme="minorHAnsi" w:cstheme="minorHAnsi"/>
                <w:sz w:val="20"/>
                <w:szCs w:val="20"/>
              </w:rPr>
              <w:t>&lt;  200</w:t>
            </w:r>
          </w:p>
        </w:tc>
        <w:tc>
          <w:tcPr>
            <w:tcW w:w="1717" w:type="dxa"/>
            <w:tcBorders>
              <w:top w:val="single" w:sz="18" w:space="0" w:color="auto"/>
              <w:bottom w:val="nil"/>
              <w:right w:val="single" w:sz="8" w:space="0" w:color="auto"/>
            </w:tcBorders>
            <w:vAlign w:val="center"/>
          </w:tcPr>
          <w:p w:rsidR="00E303C3" w:rsidRPr="006D49C5" w:rsidP="00E303C3" w14:paraId="42AB95C5"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15.00%</w:t>
            </w:r>
          </w:p>
        </w:tc>
        <w:tc>
          <w:tcPr>
            <w:tcW w:w="893" w:type="dxa"/>
            <w:tcBorders>
              <w:top w:val="single" w:sz="18" w:space="0" w:color="auto"/>
              <w:left w:val="single" w:sz="8" w:space="0" w:color="auto"/>
              <w:bottom w:val="nil"/>
              <w:right w:val="single" w:sz="8" w:space="0" w:color="auto"/>
            </w:tcBorders>
            <w:vAlign w:val="center"/>
          </w:tcPr>
          <w:p w:rsidR="44860A06" w:rsidRPr="00DE1629" w:rsidP="7B12BB46" w14:paraId="5E198A47" w14:textId="4F13EA0F">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15.00%</w:t>
            </w:r>
          </w:p>
        </w:tc>
        <w:tc>
          <w:tcPr>
            <w:tcW w:w="902" w:type="dxa"/>
            <w:gridSpan w:val="2"/>
            <w:tcBorders>
              <w:top w:val="single" w:sz="18" w:space="0" w:color="auto"/>
              <w:left w:val="single" w:sz="8" w:space="0" w:color="auto"/>
              <w:bottom w:val="nil"/>
            </w:tcBorders>
            <w:vAlign w:val="center"/>
          </w:tcPr>
          <w:p w:rsidR="44860A06" w:rsidRPr="00DE1629" w:rsidP="7B12BB46" w14:paraId="46B93410" w14:textId="021ED38F">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15.00%</w:t>
            </w:r>
          </w:p>
        </w:tc>
      </w:tr>
      <w:tr w14:paraId="7D6E14F7"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vAlign w:val="center"/>
          </w:tcPr>
          <w:p w:rsidR="00E303C3" w:rsidRPr="006D49C5" w:rsidP="00E303C3" w14:paraId="6EA2C362" w14:textId="77777777">
            <w:pPr>
              <w:jc w:val="center"/>
              <w:rPr>
                <w:rFonts w:asciiTheme="minorHAnsi" w:hAnsiTheme="minorHAnsi" w:cstheme="minorHAnsi"/>
                <w:sz w:val="20"/>
                <w:szCs w:val="20"/>
              </w:rPr>
            </w:pPr>
            <w:r w:rsidRPr="006D49C5">
              <w:rPr>
                <w:rFonts w:asciiTheme="minorHAnsi" w:hAnsiTheme="minorHAnsi" w:cstheme="minorHAnsi"/>
                <w:sz w:val="20"/>
                <w:szCs w:val="20"/>
              </w:rPr>
              <w:t>2</w:t>
            </w:r>
          </w:p>
        </w:tc>
        <w:tc>
          <w:tcPr>
            <w:tcW w:w="4478" w:type="dxa"/>
            <w:tcBorders>
              <w:top w:val="nil"/>
              <w:left w:val="nil"/>
              <w:bottom w:val="nil"/>
              <w:right w:val="nil"/>
            </w:tcBorders>
            <w:vAlign w:val="center"/>
          </w:tcPr>
          <w:p w:rsidR="00E303C3" w:rsidRPr="006D49C5" w:rsidP="00E303C3" w14:paraId="752E69CE"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  200 ≤ </w:t>
            </w:r>
            <w:r w:rsidRPr="006D49C5">
              <w:rPr>
                <w:rFonts w:asciiTheme="minorHAnsi" w:hAnsiTheme="minorHAnsi" w:cstheme="minorHAnsi"/>
                <w:sz w:val="20"/>
              </w:rPr>
              <w:t>MOS  &lt;</w:t>
            </w:r>
            <w:r w:rsidRPr="006D49C5">
              <w:rPr>
                <w:rFonts w:asciiTheme="minorHAnsi" w:hAnsiTheme="minorHAnsi" w:cstheme="minorHAnsi"/>
                <w:sz w:val="20"/>
              </w:rPr>
              <w:t xml:space="preserve">   400</w:t>
            </w:r>
          </w:p>
        </w:tc>
        <w:tc>
          <w:tcPr>
            <w:tcW w:w="1717" w:type="dxa"/>
            <w:tcBorders>
              <w:top w:val="nil"/>
              <w:left w:val="nil"/>
              <w:bottom w:val="nil"/>
              <w:right w:val="single" w:sz="8" w:space="0" w:color="auto"/>
            </w:tcBorders>
            <w:vAlign w:val="center"/>
          </w:tcPr>
          <w:p w:rsidR="00E303C3" w:rsidRPr="006D49C5" w:rsidP="00E303C3" w14:paraId="109DF08F"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10.00%</w:t>
            </w:r>
          </w:p>
        </w:tc>
        <w:tc>
          <w:tcPr>
            <w:tcW w:w="893" w:type="dxa"/>
            <w:tcBorders>
              <w:top w:val="nil"/>
              <w:left w:val="single" w:sz="8" w:space="0" w:color="auto"/>
              <w:bottom w:val="nil"/>
              <w:right w:val="single" w:sz="8" w:space="0" w:color="auto"/>
            </w:tcBorders>
            <w:vAlign w:val="center"/>
          </w:tcPr>
          <w:p w:rsidR="44860A06" w:rsidRPr="00DE1629" w:rsidP="7B12BB46" w14:paraId="1F69B5C3" w14:textId="498E3101">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10.00%</w:t>
            </w:r>
          </w:p>
        </w:tc>
        <w:tc>
          <w:tcPr>
            <w:tcW w:w="902" w:type="dxa"/>
            <w:gridSpan w:val="2"/>
            <w:tcBorders>
              <w:top w:val="nil"/>
              <w:left w:val="single" w:sz="8" w:space="0" w:color="auto"/>
              <w:bottom w:val="nil"/>
            </w:tcBorders>
            <w:vAlign w:val="center"/>
          </w:tcPr>
          <w:p w:rsidR="44860A06" w:rsidRPr="00DE1629" w:rsidP="7B12BB46" w14:paraId="36547F02" w14:textId="3EE586FA">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10.00%</w:t>
            </w:r>
          </w:p>
        </w:tc>
      </w:tr>
      <w:tr w14:paraId="772C742E"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6D49C5" w:rsidP="00E303C3" w14:paraId="03273521" w14:textId="77777777">
            <w:pPr>
              <w:jc w:val="center"/>
              <w:rPr>
                <w:rFonts w:asciiTheme="minorHAnsi" w:hAnsiTheme="minorHAnsi" w:cstheme="minorHAnsi"/>
                <w:sz w:val="20"/>
                <w:szCs w:val="20"/>
              </w:rPr>
            </w:pPr>
            <w:r w:rsidRPr="006D49C5">
              <w:rPr>
                <w:rFonts w:asciiTheme="minorHAnsi" w:hAnsiTheme="minorHAnsi" w:cstheme="minorHAnsi"/>
                <w:sz w:val="20"/>
                <w:szCs w:val="20"/>
              </w:rPr>
              <w:t>3</w:t>
            </w:r>
          </w:p>
        </w:tc>
        <w:tc>
          <w:tcPr>
            <w:tcW w:w="4478" w:type="dxa"/>
            <w:tcBorders>
              <w:top w:val="nil"/>
              <w:bottom w:val="nil"/>
            </w:tcBorders>
            <w:vAlign w:val="center"/>
          </w:tcPr>
          <w:p w:rsidR="00E303C3" w:rsidRPr="006D49C5" w:rsidP="00E303C3" w14:paraId="122DEDF6"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  400 ≤ </w:t>
            </w:r>
            <w:r w:rsidRPr="006D49C5">
              <w:rPr>
                <w:rFonts w:asciiTheme="minorHAnsi" w:hAnsiTheme="minorHAnsi" w:cstheme="minorHAnsi"/>
                <w:sz w:val="20"/>
              </w:rPr>
              <w:t>MOS  &lt;</w:t>
            </w:r>
            <w:r w:rsidRPr="006D49C5">
              <w:rPr>
                <w:rFonts w:asciiTheme="minorHAnsi" w:hAnsiTheme="minorHAnsi" w:cstheme="minorHAnsi"/>
                <w:sz w:val="20"/>
              </w:rPr>
              <w:t xml:space="preserve">   800</w:t>
            </w:r>
          </w:p>
        </w:tc>
        <w:tc>
          <w:tcPr>
            <w:tcW w:w="1717" w:type="dxa"/>
            <w:tcBorders>
              <w:top w:val="nil"/>
              <w:bottom w:val="nil"/>
              <w:right w:val="single" w:sz="8" w:space="0" w:color="auto"/>
            </w:tcBorders>
            <w:vAlign w:val="center"/>
          </w:tcPr>
          <w:p w:rsidR="00E303C3" w:rsidRPr="006D49C5" w:rsidP="00E303C3" w14:paraId="070EA7FA"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7.00%</w:t>
            </w:r>
          </w:p>
        </w:tc>
        <w:tc>
          <w:tcPr>
            <w:tcW w:w="893" w:type="dxa"/>
            <w:tcBorders>
              <w:top w:val="nil"/>
              <w:left w:val="single" w:sz="8" w:space="0" w:color="auto"/>
              <w:bottom w:val="nil"/>
              <w:right w:val="single" w:sz="8" w:space="0" w:color="auto"/>
            </w:tcBorders>
            <w:vAlign w:val="center"/>
          </w:tcPr>
          <w:p w:rsidR="44860A06" w:rsidRPr="00DE1629" w:rsidP="7B12BB46" w14:paraId="6FB9455B" w14:textId="27C6AC42">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7.00%</w:t>
            </w:r>
          </w:p>
        </w:tc>
        <w:tc>
          <w:tcPr>
            <w:tcW w:w="902" w:type="dxa"/>
            <w:gridSpan w:val="2"/>
            <w:tcBorders>
              <w:top w:val="nil"/>
              <w:left w:val="single" w:sz="8" w:space="0" w:color="auto"/>
              <w:bottom w:val="nil"/>
            </w:tcBorders>
            <w:vAlign w:val="center"/>
          </w:tcPr>
          <w:p w:rsidR="44860A06" w:rsidRPr="00DE1629" w:rsidP="7B12BB46" w14:paraId="3747CAED" w14:textId="271A7242">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7.00%</w:t>
            </w:r>
          </w:p>
        </w:tc>
      </w:tr>
      <w:tr w14:paraId="5C4546C3"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vAlign w:val="center"/>
          </w:tcPr>
          <w:p w:rsidR="00E303C3" w:rsidRPr="006D49C5" w:rsidP="00E303C3" w14:paraId="7F720610" w14:textId="77777777">
            <w:pPr>
              <w:jc w:val="center"/>
              <w:rPr>
                <w:rFonts w:asciiTheme="minorHAnsi" w:hAnsiTheme="minorHAnsi" w:cstheme="minorHAnsi"/>
                <w:sz w:val="20"/>
                <w:szCs w:val="20"/>
              </w:rPr>
            </w:pPr>
            <w:r w:rsidRPr="006D49C5">
              <w:rPr>
                <w:rFonts w:asciiTheme="minorHAnsi" w:hAnsiTheme="minorHAnsi" w:cstheme="minorHAnsi"/>
                <w:sz w:val="20"/>
                <w:szCs w:val="20"/>
              </w:rPr>
              <w:t>4</w:t>
            </w:r>
          </w:p>
        </w:tc>
        <w:tc>
          <w:tcPr>
            <w:tcW w:w="4478" w:type="dxa"/>
            <w:tcBorders>
              <w:top w:val="nil"/>
              <w:left w:val="nil"/>
              <w:bottom w:val="nil"/>
              <w:right w:val="nil"/>
            </w:tcBorders>
            <w:vAlign w:val="center"/>
          </w:tcPr>
          <w:p w:rsidR="00E303C3" w:rsidRPr="006D49C5" w:rsidP="00E303C3" w14:paraId="545F8FAB"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  800 ≤ </w:t>
            </w:r>
            <w:r w:rsidRPr="006D49C5">
              <w:rPr>
                <w:rFonts w:asciiTheme="minorHAnsi" w:hAnsiTheme="minorHAnsi" w:cstheme="minorHAnsi"/>
                <w:sz w:val="20"/>
              </w:rPr>
              <w:t>MOS  &lt;</w:t>
            </w:r>
            <w:r w:rsidRPr="006D49C5">
              <w:rPr>
                <w:rFonts w:asciiTheme="minorHAnsi" w:hAnsiTheme="minorHAnsi" w:cstheme="minorHAnsi"/>
                <w:sz w:val="20"/>
              </w:rPr>
              <w:t xml:space="preserve"> 1200</w:t>
            </w:r>
          </w:p>
        </w:tc>
        <w:tc>
          <w:tcPr>
            <w:tcW w:w="1717" w:type="dxa"/>
            <w:tcBorders>
              <w:top w:val="nil"/>
              <w:left w:val="nil"/>
              <w:bottom w:val="nil"/>
              <w:right w:val="single" w:sz="8" w:space="0" w:color="auto"/>
            </w:tcBorders>
            <w:vAlign w:val="center"/>
          </w:tcPr>
          <w:p w:rsidR="00E303C3" w:rsidRPr="006D49C5" w:rsidP="00E303C3" w14:paraId="711776B3"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2.80 × BR</w:t>
            </w:r>
          </w:p>
        </w:tc>
        <w:tc>
          <w:tcPr>
            <w:tcW w:w="893" w:type="dxa"/>
            <w:tcBorders>
              <w:top w:val="nil"/>
              <w:left w:val="single" w:sz="8" w:space="0" w:color="auto"/>
              <w:bottom w:val="nil"/>
              <w:right w:val="single" w:sz="8" w:space="0" w:color="auto"/>
            </w:tcBorders>
            <w:vAlign w:val="center"/>
          </w:tcPr>
          <w:p w:rsidR="44860A06" w:rsidRPr="00DE1629" w:rsidP="7B12BB46" w14:paraId="5B7978ED" w14:textId="5239B814">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3.</w:t>
            </w:r>
            <w:r w:rsidR="00CE034C">
              <w:rPr>
                <w:rFonts w:eastAsia="Times New Roman" w:asciiTheme="minorHAnsi" w:hAnsiTheme="minorHAnsi" w:cstheme="minorHAnsi"/>
                <w:color w:val="000000" w:themeColor="text1"/>
                <w:sz w:val="20"/>
                <w:szCs w:val="20"/>
              </w:rPr>
              <w:t>89</w:t>
            </w:r>
            <w:r w:rsidRPr="00DE1629">
              <w:rPr>
                <w:rFonts w:eastAsia="Times New Roman" w:asciiTheme="minorHAnsi" w:hAnsiTheme="minorHAnsi" w:cstheme="minorHAnsi"/>
                <w:color w:val="000000" w:themeColor="text1"/>
                <w:sz w:val="20"/>
                <w:szCs w:val="20"/>
              </w:rPr>
              <w:t>%</w:t>
            </w:r>
          </w:p>
        </w:tc>
        <w:tc>
          <w:tcPr>
            <w:tcW w:w="902" w:type="dxa"/>
            <w:gridSpan w:val="2"/>
            <w:tcBorders>
              <w:top w:val="nil"/>
              <w:left w:val="single" w:sz="8" w:space="0" w:color="auto"/>
              <w:bottom w:val="nil"/>
            </w:tcBorders>
            <w:vAlign w:val="center"/>
          </w:tcPr>
          <w:p w:rsidR="44860A06" w:rsidRPr="00DE1629" w:rsidP="7B12BB46" w14:paraId="12B72321" w14:textId="4AFBB9A1">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3.</w:t>
            </w:r>
            <w:r w:rsidR="00CE034C">
              <w:rPr>
                <w:rFonts w:eastAsia="Times New Roman" w:asciiTheme="minorHAnsi" w:hAnsiTheme="minorHAnsi" w:cstheme="minorHAnsi"/>
                <w:color w:val="000000" w:themeColor="text1"/>
                <w:sz w:val="20"/>
                <w:szCs w:val="20"/>
              </w:rPr>
              <w:t>88</w:t>
            </w:r>
            <w:r w:rsidRPr="00DE1629">
              <w:rPr>
                <w:rFonts w:eastAsia="Times New Roman" w:asciiTheme="minorHAnsi" w:hAnsiTheme="minorHAnsi" w:cstheme="minorHAnsi"/>
                <w:color w:val="000000" w:themeColor="text1"/>
                <w:sz w:val="20"/>
                <w:szCs w:val="20"/>
              </w:rPr>
              <w:t>%</w:t>
            </w:r>
          </w:p>
        </w:tc>
      </w:tr>
      <w:tr w14:paraId="31F06E99"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6D49C5" w:rsidP="00E303C3" w14:paraId="68B89B80" w14:textId="77777777">
            <w:pPr>
              <w:jc w:val="center"/>
              <w:rPr>
                <w:rFonts w:asciiTheme="minorHAnsi" w:hAnsiTheme="minorHAnsi" w:cstheme="minorHAnsi"/>
                <w:sz w:val="20"/>
                <w:szCs w:val="20"/>
              </w:rPr>
            </w:pPr>
            <w:r w:rsidRPr="006D49C5">
              <w:rPr>
                <w:rFonts w:asciiTheme="minorHAnsi" w:hAnsiTheme="minorHAnsi" w:cstheme="minorHAnsi"/>
                <w:sz w:val="20"/>
                <w:szCs w:val="20"/>
              </w:rPr>
              <w:t>5</w:t>
            </w:r>
          </w:p>
        </w:tc>
        <w:tc>
          <w:tcPr>
            <w:tcW w:w="4478" w:type="dxa"/>
            <w:tcBorders>
              <w:top w:val="nil"/>
              <w:bottom w:val="nil"/>
            </w:tcBorders>
            <w:vAlign w:val="center"/>
          </w:tcPr>
          <w:p w:rsidR="00E303C3" w:rsidRPr="006D49C5" w:rsidP="00E303C3" w14:paraId="0D327696"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sz w:val="20"/>
              </w:rPr>
              <w:t xml:space="preserve">         0 &lt; TRACTMOS</w:t>
            </w:r>
            <w:r w:rsidRPr="006D49C5">
              <w:rPr>
                <w:rFonts w:asciiTheme="minorHAnsi" w:hAnsiTheme="minorHAnsi" w:cstheme="minorHAnsi"/>
                <w:sz w:val="20"/>
                <w:vertAlign w:val="superscript"/>
              </w:rPr>
              <w:t>2</w:t>
            </w:r>
            <w:r w:rsidRPr="006D49C5">
              <w:rPr>
                <w:rFonts w:asciiTheme="minorHAnsi" w:hAnsiTheme="minorHAnsi" w:cstheme="minorHAnsi"/>
                <w:sz w:val="20"/>
              </w:rPr>
              <w:t xml:space="preserve"> &lt;   400</w:t>
            </w:r>
          </w:p>
        </w:tc>
        <w:tc>
          <w:tcPr>
            <w:tcW w:w="1717" w:type="dxa"/>
            <w:tcBorders>
              <w:top w:val="nil"/>
              <w:bottom w:val="nil"/>
              <w:right w:val="single" w:sz="8" w:space="0" w:color="auto"/>
            </w:tcBorders>
            <w:vAlign w:val="center"/>
          </w:tcPr>
          <w:p w:rsidR="00E303C3" w:rsidRPr="006D49C5" w:rsidP="00E303C3" w14:paraId="63FC2059"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3.50 × BR</w:t>
            </w:r>
          </w:p>
        </w:tc>
        <w:tc>
          <w:tcPr>
            <w:tcW w:w="893" w:type="dxa"/>
            <w:tcBorders>
              <w:top w:val="nil"/>
              <w:left w:val="single" w:sz="8" w:space="0" w:color="auto"/>
              <w:bottom w:val="nil"/>
              <w:right w:val="single" w:sz="8" w:space="0" w:color="auto"/>
            </w:tcBorders>
            <w:vAlign w:val="center"/>
          </w:tcPr>
          <w:p w:rsidR="44860A06" w:rsidRPr="00DE1629" w:rsidP="7B12BB46" w14:paraId="691E52F8" w14:textId="61CEA164">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4.</w:t>
            </w:r>
            <w:r w:rsidR="00CE034C">
              <w:rPr>
                <w:rFonts w:eastAsia="Times New Roman" w:asciiTheme="minorHAnsi" w:hAnsiTheme="minorHAnsi" w:cstheme="minorHAnsi"/>
                <w:sz w:val="20"/>
                <w:szCs w:val="20"/>
              </w:rPr>
              <w:t>87</w:t>
            </w:r>
            <w:r w:rsidRPr="00DE1629">
              <w:rPr>
                <w:rFonts w:eastAsia="Times New Roman" w:asciiTheme="minorHAnsi" w:hAnsiTheme="minorHAnsi" w:cstheme="minorHAnsi"/>
                <w:sz w:val="20"/>
                <w:szCs w:val="20"/>
              </w:rPr>
              <w:t>%</w:t>
            </w:r>
          </w:p>
        </w:tc>
        <w:tc>
          <w:tcPr>
            <w:tcW w:w="902" w:type="dxa"/>
            <w:gridSpan w:val="2"/>
            <w:tcBorders>
              <w:top w:val="nil"/>
              <w:left w:val="single" w:sz="8" w:space="0" w:color="auto"/>
              <w:bottom w:val="nil"/>
            </w:tcBorders>
            <w:vAlign w:val="center"/>
          </w:tcPr>
          <w:p w:rsidR="44860A06" w:rsidRPr="00DE1629" w:rsidP="7B12BB46" w14:paraId="11BBBD8D" w14:textId="1BEF5050">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4.</w:t>
            </w:r>
            <w:r w:rsidR="00CE034C">
              <w:rPr>
                <w:rFonts w:eastAsia="Times New Roman" w:asciiTheme="minorHAnsi" w:hAnsiTheme="minorHAnsi" w:cstheme="minorHAnsi"/>
                <w:sz w:val="20"/>
                <w:szCs w:val="20"/>
              </w:rPr>
              <w:t>85</w:t>
            </w:r>
            <w:r w:rsidRPr="00DE1629">
              <w:rPr>
                <w:rFonts w:eastAsia="Times New Roman" w:asciiTheme="minorHAnsi" w:hAnsiTheme="minorHAnsi" w:cstheme="minorHAnsi"/>
                <w:sz w:val="20"/>
                <w:szCs w:val="20"/>
              </w:rPr>
              <w:t>%</w:t>
            </w:r>
          </w:p>
        </w:tc>
      </w:tr>
      <w:tr w14:paraId="7D154E7C"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vAlign w:val="center"/>
          </w:tcPr>
          <w:p w:rsidR="00E303C3" w:rsidRPr="006D49C5" w:rsidP="00E303C3" w14:paraId="6FCFB088" w14:textId="77777777">
            <w:pPr>
              <w:jc w:val="center"/>
              <w:rPr>
                <w:rFonts w:asciiTheme="minorHAnsi" w:hAnsiTheme="minorHAnsi" w:cstheme="minorHAnsi"/>
                <w:sz w:val="20"/>
                <w:szCs w:val="20"/>
              </w:rPr>
            </w:pPr>
            <w:r w:rsidRPr="006D49C5">
              <w:rPr>
                <w:rFonts w:asciiTheme="minorHAnsi" w:hAnsiTheme="minorHAnsi" w:cstheme="minorHAnsi"/>
                <w:sz w:val="20"/>
                <w:szCs w:val="20"/>
              </w:rPr>
              <w:t>6</w:t>
            </w:r>
          </w:p>
        </w:tc>
        <w:tc>
          <w:tcPr>
            <w:tcW w:w="4478" w:type="dxa"/>
            <w:tcBorders>
              <w:top w:val="nil"/>
              <w:left w:val="nil"/>
              <w:bottom w:val="nil"/>
              <w:right w:val="nil"/>
            </w:tcBorders>
            <w:vAlign w:val="center"/>
          </w:tcPr>
          <w:p w:rsidR="00E303C3" w:rsidRPr="006D49C5" w:rsidP="00E303C3" w14:paraId="0DB44027"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sz w:val="20"/>
              </w:rPr>
              <w:t xml:space="preserve">         0 &lt; </w:t>
            </w:r>
            <w:r w:rsidRPr="006D49C5">
              <w:rPr>
                <w:rFonts w:asciiTheme="minorHAnsi" w:hAnsiTheme="minorHAnsi" w:cstheme="minorHAnsi"/>
                <w:sz w:val="20"/>
              </w:rPr>
              <w:t>TRACTMOS  &lt;</w:t>
            </w:r>
            <w:r w:rsidRPr="006D49C5">
              <w:rPr>
                <w:rFonts w:asciiTheme="minorHAnsi" w:hAnsiTheme="minorHAnsi" w:cstheme="minorHAnsi"/>
                <w:sz w:val="20"/>
              </w:rPr>
              <w:t xml:space="preserve">   400 HR</w:t>
            </w:r>
            <w:r w:rsidRPr="006D49C5">
              <w:rPr>
                <w:rFonts w:asciiTheme="minorHAnsi" w:hAnsiTheme="minorHAnsi" w:cstheme="minorHAnsi"/>
                <w:sz w:val="20"/>
                <w:vertAlign w:val="superscript"/>
              </w:rPr>
              <w:t>3</w:t>
            </w:r>
          </w:p>
        </w:tc>
        <w:tc>
          <w:tcPr>
            <w:tcW w:w="1717" w:type="dxa"/>
            <w:tcBorders>
              <w:top w:val="nil"/>
              <w:left w:val="nil"/>
              <w:bottom w:val="nil"/>
              <w:right w:val="single" w:sz="8" w:space="0" w:color="auto"/>
            </w:tcBorders>
            <w:vAlign w:val="center"/>
          </w:tcPr>
          <w:p w:rsidR="00E303C3" w:rsidRPr="006D49C5" w:rsidP="00E303C3" w14:paraId="570DDDA0"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0.92 × 3.50 × BR</w:t>
            </w:r>
          </w:p>
        </w:tc>
        <w:tc>
          <w:tcPr>
            <w:tcW w:w="893" w:type="dxa"/>
            <w:tcBorders>
              <w:top w:val="nil"/>
              <w:left w:val="single" w:sz="8" w:space="0" w:color="auto"/>
              <w:bottom w:val="nil"/>
              <w:right w:val="single" w:sz="8" w:space="0" w:color="auto"/>
            </w:tcBorders>
            <w:vAlign w:val="center"/>
          </w:tcPr>
          <w:p w:rsidR="44860A06" w:rsidRPr="00DE1629" w:rsidP="7B12BB46" w14:paraId="68E89D43" w14:textId="53207C03">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4.</w:t>
            </w:r>
            <w:r w:rsidR="00CE034C">
              <w:rPr>
                <w:rFonts w:eastAsia="Times New Roman" w:asciiTheme="minorHAnsi" w:hAnsiTheme="minorHAnsi" w:cstheme="minorHAnsi"/>
                <w:color w:val="000000" w:themeColor="text1"/>
                <w:sz w:val="20"/>
                <w:szCs w:val="20"/>
              </w:rPr>
              <w:t>48</w:t>
            </w:r>
            <w:r w:rsidRPr="00DE1629">
              <w:rPr>
                <w:rFonts w:eastAsia="Times New Roman" w:asciiTheme="minorHAnsi" w:hAnsiTheme="minorHAnsi" w:cstheme="minorHAnsi"/>
                <w:color w:val="000000" w:themeColor="text1"/>
                <w:sz w:val="20"/>
                <w:szCs w:val="20"/>
              </w:rPr>
              <w:t>%</w:t>
            </w:r>
          </w:p>
        </w:tc>
        <w:tc>
          <w:tcPr>
            <w:tcW w:w="902" w:type="dxa"/>
            <w:gridSpan w:val="2"/>
            <w:tcBorders>
              <w:top w:val="nil"/>
              <w:left w:val="single" w:sz="8" w:space="0" w:color="auto"/>
              <w:bottom w:val="nil"/>
            </w:tcBorders>
            <w:vAlign w:val="center"/>
          </w:tcPr>
          <w:p w:rsidR="44860A06" w:rsidRPr="00DE1629" w:rsidP="7B12BB46" w14:paraId="634F94CE" w14:textId="162036E5">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4.</w:t>
            </w:r>
            <w:r w:rsidR="00CE034C">
              <w:rPr>
                <w:rFonts w:eastAsia="Times New Roman" w:asciiTheme="minorHAnsi" w:hAnsiTheme="minorHAnsi" w:cstheme="minorHAnsi"/>
                <w:color w:val="000000" w:themeColor="text1"/>
                <w:sz w:val="20"/>
                <w:szCs w:val="20"/>
              </w:rPr>
              <w:t>47</w:t>
            </w:r>
            <w:r w:rsidRPr="00DE1629">
              <w:rPr>
                <w:rFonts w:eastAsia="Times New Roman" w:asciiTheme="minorHAnsi" w:hAnsiTheme="minorHAnsi" w:cstheme="minorHAnsi"/>
                <w:color w:val="000000" w:themeColor="text1"/>
                <w:sz w:val="20"/>
                <w:szCs w:val="20"/>
              </w:rPr>
              <w:t>%</w:t>
            </w:r>
          </w:p>
        </w:tc>
      </w:tr>
      <w:tr w14:paraId="3E4C45B6"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6D49C5" w:rsidP="00E303C3" w14:paraId="3570DBF7" w14:textId="77777777">
            <w:pPr>
              <w:jc w:val="center"/>
              <w:rPr>
                <w:rFonts w:asciiTheme="minorHAnsi" w:hAnsiTheme="minorHAnsi" w:cstheme="minorHAnsi"/>
                <w:sz w:val="20"/>
                <w:szCs w:val="20"/>
              </w:rPr>
            </w:pPr>
            <w:r w:rsidRPr="006D49C5">
              <w:rPr>
                <w:rFonts w:asciiTheme="minorHAnsi" w:hAnsiTheme="minorHAnsi" w:cstheme="minorHAnsi"/>
                <w:sz w:val="20"/>
                <w:szCs w:val="20"/>
              </w:rPr>
              <w:t>7</w:t>
            </w:r>
          </w:p>
        </w:tc>
        <w:tc>
          <w:tcPr>
            <w:tcW w:w="4478" w:type="dxa"/>
            <w:tcBorders>
              <w:top w:val="nil"/>
              <w:bottom w:val="nil"/>
            </w:tcBorders>
            <w:vAlign w:val="center"/>
          </w:tcPr>
          <w:p w:rsidR="00E303C3" w:rsidRPr="006D49C5" w:rsidP="00E303C3" w14:paraId="45B36261"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sz w:val="20"/>
              </w:rPr>
              <w:t xml:space="preserve">     400 ≤ </w:t>
            </w:r>
            <w:r w:rsidRPr="006D49C5">
              <w:rPr>
                <w:rFonts w:asciiTheme="minorHAnsi" w:hAnsiTheme="minorHAnsi" w:cstheme="minorHAnsi"/>
                <w:sz w:val="20"/>
              </w:rPr>
              <w:t>TRACTMOS  &lt;</w:t>
            </w:r>
            <w:r w:rsidRPr="006D49C5">
              <w:rPr>
                <w:rFonts w:asciiTheme="minorHAnsi" w:hAnsiTheme="minorHAnsi" w:cstheme="minorHAnsi"/>
                <w:sz w:val="20"/>
              </w:rPr>
              <w:t xml:space="preserve"> 1000</w:t>
            </w:r>
          </w:p>
        </w:tc>
        <w:tc>
          <w:tcPr>
            <w:tcW w:w="1717" w:type="dxa"/>
            <w:tcBorders>
              <w:top w:val="nil"/>
              <w:bottom w:val="nil"/>
              <w:right w:val="single" w:sz="8" w:space="0" w:color="auto"/>
            </w:tcBorders>
            <w:vAlign w:val="center"/>
          </w:tcPr>
          <w:p w:rsidR="00E303C3" w:rsidRPr="006D49C5" w:rsidP="00E303C3" w14:paraId="0DD2004D"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2.80 × BR</w:t>
            </w:r>
          </w:p>
        </w:tc>
        <w:tc>
          <w:tcPr>
            <w:tcW w:w="893" w:type="dxa"/>
            <w:tcBorders>
              <w:top w:val="nil"/>
              <w:left w:val="single" w:sz="8" w:space="0" w:color="auto"/>
              <w:bottom w:val="nil"/>
              <w:right w:val="single" w:sz="8" w:space="0" w:color="auto"/>
            </w:tcBorders>
            <w:vAlign w:val="center"/>
          </w:tcPr>
          <w:p w:rsidR="44860A06" w:rsidRPr="00DE1629" w:rsidP="7B12BB46" w14:paraId="2C74F7C9" w14:textId="4ED4068C">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3.</w:t>
            </w:r>
            <w:r w:rsidR="00CE034C">
              <w:rPr>
                <w:rFonts w:eastAsia="Times New Roman" w:asciiTheme="minorHAnsi" w:hAnsiTheme="minorHAnsi" w:cstheme="minorHAnsi"/>
                <w:sz w:val="20"/>
                <w:szCs w:val="20"/>
              </w:rPr>
              <w:t>89</w:t>
            </w:r>
            <w:r w:rsidRPr="00DE1629">
              <w:rPr>
                <w:rFonts w:eastAsia="Times New Roman" w:asciiTheme="minorHAnsi" w:hAnsiTheme="minorHAnsi" w:cstheme="minorHAnsi"/>
                <w:sz w:val="20"/>
                <w:szCs w:val="20"/>
              </w:rPr>
              <w:t>%</w:t>
            </w:r>
          </w:p>
        </w:tc>
        <w:tc>
          <w:tcPr>
            <w:tcW w:w="902" w:type="dxa"/>
            <w:gridSpan w:val="2"/>
            <w:tcBorders>
              <w:top w:val="nil"/>
              <w:left w:val="single" w:sz="8" w:space="0" w:color="auto"/>
              <w:bottom w:val="nil"/>
            </w:tcBorders>
            <w:vAlign w:val="center"/>
          </w:tcPr>
          <w:p w:rsidR="44860A06" w:rsidRPr="00DE1629" w:rsidP="7B12BB46" w14:paraId="22BBEA02" w14:textId="337CF075">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3.</w:t>
            </w:r>
            <w:r w:rsidR="00CE034C">
              <w:rPr>
                <w:rFonts w:eastAsia="Times New Roman" w:asciiTheme="minorHAnsi" w:hAnsiTheme="minorHAnsi" w:cstheme="minorHAnsi"/>
                <w:sz w:val="20"/>
                <w:szCs w:val="20"/>
              </w:rPr>
              <w:t>88</w:t>
            </w:r>
            <w:r w:rsidRPr="00DE1629">
              <w:rPr>
                <w:rFonts w:eastAsia="Times New Roman" w:asciiTheme="minorHAnsi" w:hAnsiTheme="minorHAnsi" w:cstheme="minorHAnsi"/>
                <w:sz w:val="20"/>
                <w:szCs w:val="20"/>
              </w:rPr>
              <w:t>%</w:t>
            </w:r>
          </w:p>
        </w:tc>
      </w:tr>
      <w:tr w14:paraId="0D1862CB"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vAlign w:val="center"/>
          </w:tcPr>
          <w:p w:rsidR="00E303C3" w:rsidRPr="006D49C5" w:rsidP="00E303C3" w14:paraId="0F1B24F9" w14:textId="77777777">
            <w:pPr>
              <w:jc w:val="center"/>
              <w:rPr>
                <w:rFonts w:asciiTheme="minorHAnsi" w:hAnsiTheme="minorHAnsi" w:cstheme="minorHAnsi"/>
                <w:sz w:val="20"/>
                <w:szCs w:val="20"/>
              </w:rPr>
            </w:pPr>
            <w:r w:rsidRPr="006D49C5">
              <w:rPr>
                <w:rFonts w:asciiTheme="minorHAnsi" w:hAnsiTheme="minorHAnsi" w:cstheme="minorHAnsi"/>
                <w:sz w:val="20"/>
                <w:szCs w:val="20"/>
              </w:rPr>
              <w:t>8</w:t>
            </w:r>
          </w:p>
        </w:tc>
        <w:tc>
          <w:tcPr>
            <w:tcW w:w="4478" w:type="dxa"/>
            <w:tcBorders>
              <w:top w:val="nil"/>
              <w:left w:val="nil"/>
              <w:bottom w:val="nil"/>
              <w:right w:val="nil"/>
            </w:tcBorders>
            <w:vAlign w:val="center"/>
          </w:tcPr>
          <w:p w:rsidR="00E303C3" w:rsidRPr="006D49C5" w:rsidP="00E303C3" w14:paraId="1F660D5F"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i/>
                <w:sz w:val="20"/>
              </w:rPr>
              <w:t xml:space="preserve">     </w:t>
            </w:r>
            <w:r w:rsidRPr="006D49C5">
              <w:rPr>
                <w:rFonts w:asciiTheme="minorHAnsi" w:hAnsiTheme="minorHAnsi" w:cstheme="minorHAnsi"/>
                <w:sz w:val="20"/>
              </w:rPr>
              <w:t xml:space="preserve">400 ≤ </w:t>
            </w:r>
            <w:r w:rsidRPr="006D49C5">
              <w:rPr>
                <w:rFonts w:asciiTheme="minorHAnsi" w:hAnsiTheme="minorHAnsi" w:cstheme="minorHAnsi"/>
                <w:sz w:val="20"/>
              </w:rPr>
              <w:t>TRACTMOS  &lt;</w:t>
            </w:r>
            <w:r w:rsidRPr="006D49C5">
              <w:rPr>
                <w:rFonts w:asciiTheme="minorHAnsi" w:hAnsiTheme="minorHAnsi" w:cstheme="minorHAnsi"/>
                <w:sz w:val="20"/>
              </w:rPr>
              <w:t xml:space="preserve"> 1000 HR</w:t>
            </w:r>
          </w:p>
        </w:tc>
        <w:tc>
          <w:tcPr>
            <w:tcW w:w="1717" w:type="dxa"/>
            <w:tcBorders>
              <w:top w:val="nil"/>
              <w:left w:val="nil"/>
              <w:bottom w:val="nil"/>
              <w:right w:val="single" w:sz="8" w:space="0" w:color="auto"/>
            </w:tcBorders>
            <w:vAlign w:val="center"/>
          </w:tcPr>
          <w:p w:rsidR="00E303C3" w:rsidRPr="006D49C5" w:rsidP="00E303C3" w14:paraId="291BAFBC"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0.92 × 2.80 × BR</w:t>
            </w:r>
          </w:p>
        </w:tc>
        <w:tc>
          <w:tcPr>
            <w:tcW w:w="893" w:type="dxa"/>
            <w:tcBorders>
              <w:top w:val="nil"/>
              <w:left w:val="single" w:sz="8" w:space="0" w:color="auto"/>
              <w:bottom w:val="nil"/>
              <w:right w:val="single" w:sz="8" w:space="0" w:color="auto"/>
            </w:tcBorders>
            <w:vAlign w:val="center"/>
          </w:tcPr>
          <w:p w:rsidR="44860A06" w:rsidRPr="00DE1629" w:rsidP="7B12BB46" w14:paraId="6E0E5976" w14:textId="1AAB9449">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3.</w:t>
            </w:r>
            <w:r w:rsidR="00CE034C">
              <w:rPr>
                <w:rFonts w:eastAsia="Times New Roman" w:asciiTheme="minorHAnsi" w:hAnsiTheme="minorHAnsi" w:cstheme="minorHAnsi"/>
                <w:color w:val="000000" w:themeColor="text1"/>
                <w:sz w:val="20"/>
                <w:szCs w:val="20"/>
              </w:rPr>
              <w:t>58</w:t>
            </w:r>
            <w:r w:rsidRPr="00DE1629">
              <w:rPr>
                <w:rFonts w:eastAsia="Times New Roman" w:asciiTheme="minorHAnsi" w:hAnsiTheme="minorHAnsi" w:cstheme="minorHAnsi"/>
                <w:color w:val="000000" w:themeColor="text1"/>
                <w:sz w:val="20"/>
                <w:szCs w:val="20"/>
              </w:rPr>
              <w:t>%</w:t>
            </w:r>
          </w:p>
        </w:tc>
        <w:tc>
          <w:tcPr>
            <w:tcW w:w="902" w:type="dxa"/>
            <w:gridSpan w:val="2"/>
            <w:tcBorders>
              <w:top w:val="nil"/>
              <w:left w:val="single" w:sz="8" w:space="0" w:color="auto"/>
              <w:bottom w:val="nil"/>
            </w:tcBorders>
            <w:vAlign w:val="center"/>
          </w:tcPr>
          <w:p w:rsidR="44860A06" w:rsidRPr="00DE1629" w:rsidP="7B12BB46" w14:paraId="5A8BD7CD" w14:textId="54D3CA8A">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3.</w:t>
            </w:r>
            <w:r w:rsidR="00CE034C">
              <w:rPr>
                <w:rFonts w:eastAsia="Times New Roman" w:asciiTheme="minorHAnsi" w:hAnsiTheme="minorHAnsi" w:cstheme="minorHAnsi"/>
                <w:color w:val="000000" w:themeColor="text1"/>
                <w:sz w:val="20"/>
                <w:szCs w:val="20"/>
              </w:rPr>
              <w:t>57</w:t>
            </w:r>
            <w:r w:rsidRPr="00DE1629">
              <w:rPr>
                <w:rFonts w:eastAsia="Times New Roman" w:asciiTheme="minorHAnsi" w:hAnsiTheme="minorHAnsi" w:cstheme="minorHAnsi"/>
                <w:color w:val="000000" w:themeColor="text1"/>
                <w:sz w:val="20"/>
                <w:szCs w:val="20"/>
              </w:rPr>
              <w:t>%</w:t>
            </w:r>
          </w:p>
        </w:tc>
      </w:tr>
      <w:tr w14:paraId="1DDAF300"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6D49C5" w:rsidP="00E303C3" w14:paraId="7B92C774" w14:textId="77777777">
            <w:pPr>
              <w:jc w:val="center"/>
              <w:rPr>
                <w:rFonts w:asciiTheme="minorHAnsi" w:hAnsiTheme="minorHAnsi" w:cstheme="minorHAnsi"/>
                <w:sz w:val="20"/>
                <w:szCs w:val="20"/>
              </w:rPr>
            </w:pPr>
            <w:r w:rsidRPr="006D49C5">
              <w:rPr>
                <w:rFonts w:asciiTheme="minorHAnsi" w:hAnsiTheme="minorHAnsi" w:cstheme="minorHAnsi"/>
                <w:sz w:val="20"/>
                <w:szCs w:val="20"/>
              </w:rPr>
              <w:t>9</w:t>
            </w:r>
          </w:p>
        </w:tc>
        <w:tc>
          <w:tcPr>
            <w:tcW w:w="4478" w:type="dxa"/>
            <w:tcBorders>
              <w:top w:val="nil"/>
              <w:bottom w:val="nil"/>
            </w:tcBorders>
            <w:vAlign w:val="center"/>
          </w:tcPr>
          <w:p w:rsidR="00E303C3" w:rsidRPr="006D49C5" w:rsidP="00E303C3" w14:paraId="48FAB8CF"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sz w:val="20"/>
              </w:rPr>
              <w:t xml:space="preserve">   1000 ≤ </w:t>
            </w:r>
            <w:r w:rsidRPr="006D49C5">
              <w:rPr>
                <w:rFonts w:asciiTheme="minorHAnsi" w:hAnsiTheme="minorHAnsi" w:cstheme="minorHAnsi"/>
                <w:sz w:val="20"/>
              </w:rPr>
              <w:t>TRACTMOS  &lt;</w:t>
            </w:r>
            <w:r w:rsidRPr="006D49C5">
              <w:rPr>
                <w:rFonts w:asciiTheme="minorHAnsi" w:hAnsiTheme="minorHAnsi" w:cstheme="minorHAnsi"/>
                <w:sz w:val="20"/>
              </w:rPr>
              <w:t xml:space="preserve"> 2000</w:t>
            </w:r>
          </w:p>
        </w:tc>
        <w:tc>
          <w:tcPr>
            <w:tcW w:w="1717" w:type="dxa"/>
            <w:tcBorders>
              <w:top w:val="nil"/>
              <w:bottom w:val="nil"/>
              <w:right w:val="single" w:sz="8" w:space="0" w:color="auto"/>
            </w:tcBorders>
            <w:vAlign w:val="center"/>
          </w:tcPr>
          <w:p w:rsidR="00E303C3" w:rsidRPr="006D49C5" w:rsidP="00E303C3" w14:paraId="5590A6DA"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1.70 × BR</w:t>
            </w:r>
          </w:p>
        </w:tc>
        <w:tc>
          <w:tcPr>
            <w:tcW w:w="893" w:type="dxa"/>
            <w:tcBorders>
              <w:top w:val="nil"/>
              <w:left w:val="single" w:sz="8" w:space="0" w:color="auto"/>
              <w:bottom w:val="nil"/>
              <w:right w:val="single" w:sz="8" w:space="0" w:color="auto"/>
            </w:tcBorders>
            <w:vAlign w:val="center"/>
          </w:tcPr>
          <w:p w:rsidR="44860A06" w:rsidRPr="00DE1629" w:rsidP="7B12BB46" w14:paraId="5A64C12B" w14:textId="24128E1F">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2.</w:t>
            </w:r>
            <w:r w:rsidR="00CE034C">
              <w:rPr>
                <w:rFonts w:eastAsia="Times New Roman" w:asciiTheme="minorHAnsi" w:hAnsiTheme="minorHAnsi" w:cstheme="minorHAnsi"/>
                <w:sz w:val="20"/>
                <w:szCs w:val="20"/>
              </w:rPr>
              <w:t>36</w:t>
            </w:r>
            <w:r w:rsidRPr="00DE1629">
              <w:rPr>
                <w:rFonts w:eastAsia="Times New Roman" w:asciiTheme="minorHAnsi" w:hAnsiTheme="minorHAnsi" w:cstheme="minorHAnsi"/>
                <w:sz w:val="20"/>
                <w:szCs w:val="20"/>
              </w:rPr>
              <w:t>%</w:t>
            </w:r>
          </w:p>
        </w:tc>
        <w:tc>
          <w:tcPr>
            <w:tcW w:w="902" w:type="dxa"/>
            <w:gridSpan w:val="2"/>
            <w:tcBorders>
              <w:top w:val="nil"/>
              <w:left w:val="single" w:sz="8" w:space="0" w:color="auto"/>
              <w:bottom w:val="nil"/>
            </w:tcBorders>
            <w:vAlign w:val="center"/>
          </w:tcPr>
          <w:p w:rsidR="44860A06" w:rsidRPr="00DE1629" w:rsidP="7B12BB46" w14:paraId="0680E785" w14:textId="4C1CB02F">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2.3</w:t>
            </w:r>
            <w:r w:rsidR="00CE034C">
              <w:rPr>
                <w:rFonts w:eastAsia="Times New Roman" w:asciiTheme="minorHAnsi" w:hAnsiTheme="minorHAnsi" w:cstheme="minorHAnsi"/>
                <w:sz w:val="20"/>
                <w:szCs w:val="20"/>
              </w:rPr>
              <w:t>6</w:t>
            </w:r>
            <w:r w:rsidRPr="00DE1629">
              <w:rPr>
                <w:rFonts w:eastAsia="Times New Roman" w:asciiTheme="minorHAnsi" w:hAnsiTheme="minorHAnsi" w:cstheme="minorHAnsi"/>
                <w:sz w:val="20"/>
                <w:szCs w:val="20"/>
              </w:rPr>
              <w:t>%</w:t>
            </w:r>
          </w:p>
        </w:tc>
      </w:tr>
      <w:tr w14:paraId="0687BE48"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vAlign w:val="center"/>
          </w:tcPr>
          <w:p w:rsidR="00E303C3" w:rsidRPr="006D49C5" w:rsidP="00E303C3" w14:paraId="73A90C28" w14:textId="77777777">
            <w:pPr>
              <w:jc w:val="center"/>
              <w:rPr>
                <w:rFonts w:asciiTheme="minorHAnsi" w:hAnsiTheme="minorHAnsi" w:cstheme="minorHAnsi"/>
                <w:sz w:val="20"/>
                <w:szCs w:val="20"/>
              </w:rPr>
            </w:pPr>
            <w:r w:rsidRPr="006D49C5">
              <w:rPr>
                <w:rFonts w:asciiTheme="minorHAnsi" w:hAnsiTheme="minorHAnsi" w:cstheme="minorHAnsi"/>
                <w:sz w:val="20"/>
                <w:szCs w:val="20"/>
              </w:rPr>
              <w:t>10</w:t>
            </w:r>
          </w:p>
        </w:tc>
        <w:tc>
          <w:tcPr>
            <w:tcW w:w="4478" w:type="dxa"/>
            <w:tcBorders>
              <w:top w:val="nil"/>
              <w:left w:val="nil"/>
              <w:bottom w:val="nil"/>
              <w:right w:val="nil"/>
            </w:tcBorders>
            <w:vAlign w:val="center"/>
          </w:tcPr>
          <w:p w:rsidR="00E303C3" w:rsidRPr="006D49C5" w:rsidP="00E303C3" w14:paraId="37444D79"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sz w:val="20"/>
              </w:rPr>
              <w:t xml:space="preserve">   1000 ≤ </w:t>
            </w:r>
            <w:r w:rsidRPr="006D49C5">
              <w:rPr>
                <w:rFonts w:asciiTheme="minorHAnsi" w:hAnsiTheme="minorHAnsi" w:cstheme="minorHAnsi"/>
                <w:sz w:val="20"/>
              </w:rPr>
              <w:t>TRACTMOS  &lt;</w:t>
            </w:r>
            <w:r w:rsidRPr="006D49C5">
              <w:rPr>
                <w:rFonts w:asciiTheme="minorHAnsi" w:hAnsiTheme="minorHAnsi" w:cstheme="minorHAnsi"/>
                <w:sz w:val="20"/>
              </w:rPr>
              <w:t xml:space="preserve"> 2000 HR</w:t>
            </w:r>
          </w:p>
        </w:tc>
        <w:tc>
          <w:tcPr>
            <w:tcW w:w="1717" w:type="dxa"/>
            <w:tcBorders>
              <w:top w:val="nil"/>
              <w:left w:val="nil"/>
              <w:bottom w:val="nil"/>
              <w:right w:val="single" w:sz="8" w:space="0" w:color="auto"/>
            </w:tcBorders>
            <w:vAlign w:val="center"/>
          </w:tcPr>
          <w:p w:rsidR="00E303C3" w:rsidRPr="006D49C5" w:rsidP="00E303C3" w14:paraId="525CE702"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0.92 × 1.70 × BR</w:t>
            </w:r>
          </w:p>
        </w:tc>
        <w:tc>
          <w:tcPr>
            <w:tcW w:w="893" w:type="dxa"/>
            <w:tcBorders>
              <w:top w:val="nil"/>
              <w:left w:val="single" w:sz="8" w:space="0" w:color="auto"/>
              <w:bottom w:val="nil"/>
              <w:right w:val="single" w:sz="8" w:space="0" w:color="auto"/>
            </w:tcBorders>
            <w:vAlign w:val="center"/>
          </w:tcPr>
          <w:p w:rsidR="44860A06" w:rsidRPr="00DE1629" w:rsidP="7B12BB46" w14:paraId="5DD2FC11" w14:textId="32EBF01C">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2.</w:t>
            </w:r>
            <w:r w:rsidR="00CE034C">
              <w:rPr>
                <w:rFonts w:eastAsia="Times New Roman" w:asciiTheme="minorHAnsi" w:hAnsiTheme="minorHAnsi" w:cstheme="minorHAnsi"/>
                <w:color w:val="000000" w:themeColor="text1"/>
                <w:sz w:val="20"/>
                <w:szCs w:val="20"/>
              </w:rPr>
              <w:t>18</w:t>
            </w:r>
            <w:r w:rsidRPr="00DE1629">
              <w:rPr>
                <w:rFonts w:eastAsia="Times New Roman" w:asciiTheme="minorHAnsi" w:hAnsiTheme="minorHAnsi" w:cstheme="minorHAnsi"/>
                <w:color w:val="000000" w:themeColor="text1"/>
                <w:sz w:val="20"/>
                <w:szCs w:val="20"/>
              </w:rPr>
              <w:t>%</w:t>
            </w:r>
          </w:p>
        </w:tc>
        <w:tc>
          <w:tcPr>
            <w:tcW w:w="902" w:type="dxa"/>
            <w:gridSpan w:val="2"/>
            <w:tcBorders>
              <w:top w:val="nil"/>
              <w:left w:val="single" w:sz="8" w:space="0" w:color="auto"/>
              <w:bottom w:val="nil"/>
            </w:tcBorders>
            <w:vAlign w:val="center"/>
          </w:tcPr>
          <w:p w:rsidR="44860A06" w:rsidRPr="00DE1629" w:rsidP="7B12BB46" w14:paraId="2FD537FA" w14:textId="0517D73B">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2.</w:t>
            </w:r>
            <w:r w:rsidR="00CE034C">
              <w:rPr>
                <w:rFonts w:eastAsia="Times New Roman" w:asciiTheme="minorHAnsi" w:hAnsiTheme="minorHAnsi" w:cstheme="minorHAnsi"/>
                <w:color w:val="000000" w:themeColor="text1"/>
                <w:sz w:val="20"/>
                <w:szCs w:val="20"/>
              </w:rPr>
              <w:t>17</w:t>
            </w:r>
            <w:r w:rsidRPr="00DE1629">
              <w:rPr>
                <w:rFonts w:eastAsia="Times New Roman" w:asciiTheme="minorHAnsi" w:hAnsiTheme="minorHAnsi" w:cstheme="minorHAnsi"/>
                <w:color w:val="000000" w:themeColor="text1"/>
                <w:sz w:val="20"/>
                <w:szCs w:val="20"/>
              </w:rPr>
              <w:t>%</w:t>
            </w:r>
          </w:p>
        </w:tc>
      </w:tr>
      <w:tr w14:paraId="5AA404CF"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6D49C5" w:rsidP="00E303C3" w14:paraId="209B715A" w14:textId="77777777">
            <w:pPr>
              <w:jc w:val="center"/>
              <w:rPr>
                <w:rFonts w:asciiTheme="minorHAnsi" w:hAnsiTheme="minorHAnsi" w:cstheme="minorHAnsi"/>
                <w:sz w:val="20"/>
                <w:szCs w:val="20"/>
              </w:rPr>
            </w:pPr>
            <w:r w:rsidRPr="006D49C5">
              <w:rPr>
                <w:rFonts w:asciiTheme="minorHAnsi" w:hAnsiTheme="minorHAnsi" w:cstheme="minorHAnsi"/>
                <w:sz w:val="20"/>
                <w:szCs w:val="20"/>
              </w:rPr>
              <w:t>11</w:t>
            </w:r>
          </w:p>
        </w:tc>
        <w:tc>
          <w:tcPr>
            <w:tcW w:w="4478" w:type="dxa"/>
            <w:tcBorders>
              <w:top w:val="nil"/>
              <w:bottom w:val="nil"/>
            </w:tcBorders>
            <w:vAlign w:val="center"/>
          </w:tcPr>
          <w:p w:rsidR="00E303C3" w:rsidRPr="006D49C5" w:rsidP="00E303C3" w14:paraId="06584F15"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sz w:val="20"/>
              </w:rPr>
              <w:t xml:space="preserve">   2000 ≤ </w:t>
            </w:r>
            <w:r w:rsidRPr="006D49C5">
              <w:rPr>
                <w:rFonts w:asciiTheme="minorHAnsi" w:hAnsiTheme="minorHAnsi" w:cstheme="minorHAnsi"/>
                <w:sz w:val="20"/>
              </w:rPr>
              <w:t>TRACTMOS  &lt;</w:t>
            </w:r>
            <w:r w:rsidRPr="006D49C5">
              <w:rPr>
                <w:rFonts w:asciiTheme="minorHAnsi" w:hAnsiTheme="minorHAnsi" w:cstheme="minorHAnsi"/>
                <w:sz w:val="20"/>
              </w:rPr>
              <w:t xml:space="preserve"> 4000</w:t>
            </w:r>
          </w:p>
        </w:tc>
        <w:tc>
          <w:tcPr>
            <w:tcW w:w="1717" w:type="dxa"/>
            <w:tcBorders>
              <w:top w:val="nil"/>
              <w:bottom w:val="nil"/>
              <w:right w:val="single" w:sz="8" w:space="0" w:color="auto"/>
            </w:tcBorders>
            <w:vAlign w:val="center"/>
          </w:tcPr>
          <w:p w:rsidR="00E303C3" w:rsidRPr="006D49C5" w:rsidP="00E303C3" w14:paraId="04DE93C0"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BR</w:t>
            </w:r>
            <w:r w:rsidRPr="006D49C5">
              <w:rPr>
                <w:rFonts w:asciiTheme="minorHAnsi" w:hAnsiTheme="minorHAnsi" w:cstheme="minorHAnsi"/>
                <w:sz w:val="20"/>
                <w:szCs w:val="20"/>
                <w:vertAlign w:val="superscript"/>
              </w:rPr>
              <w:t>4</w:t>
            </w:r>
          </w:p>
        </w:tc>
        <w:tc>
          <w:tcPr>
            <w:tcW w:w="893" w:type="dxa"/>
            <w:tcBorders>
              <w:top w:val="nil"/>
              <w:left w:val="single" w:sz="8" w:space="0" w:color="auto"/>
              <w:bottom w:val="nil"/>
              <w:right w:val="single" w:sz="8" w:space="0" w:color="auto"/>
            </w:tcBorders>
            <w:vAlign w:val="center"/>
          </w:tcPr>
          <w:p w:rsidR="44860A06" w:rsidRPr="00DE1629" w:rsidP="7B12BB46" w14:paraId="59233153" w14:textId="311325F6">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1.</w:t>
            </w:r>
            <w:r w:rsidR="00CE034C">
              <w:rPr>
                <w:rFonts w:eastAsia="Times New Roman" w:asciiTheme="minorHAnsi" w:hAnsiTheme="minorHAnsi" w:cstheme="minorHAnsi"/>
                <w:sz w:val="20"/>
                <w:szCs w:val="20"/>
              </w:rPr>
              <w:t>39</w:t>
            </w:r>
            <w:r w:rsidRPr="00DE1629">
              <w:rPr>
                <w:rFonts w:eastAsia="Times New Roman" w:asciiTheme="minorHAnsi" w:hAnsiTheme="minorHAnsi" w:cstheme="minorHAnsi"/>
                <w:sz w:val="20"/>
                <w:szCs w:val="20"/>
              </w:rPr>
              <w:t>%</w:t>
            </w:r>
          </w:p>
        </w:tc>
        <w:tc>
          <w:tcPr>
            <w:tcW w:w="902" w:type="dxa"/>
            <w:gridSpan w:val="2"/>
            <w:tcBorders>
              <w:top w:val="nil"/>
              <w:left w:val="single" w:sz="8" w:space="0" w:color="auto"/>
              <w:bottom w:val="nil"/>
            </w:tcBorders>
            <w:vAlign w:val="center"/>
          </w:tcPr>
          <w:p w:rsidR="44860A06" w:rsidRPr="00DE1629" w:rsidP="7B12BB46" w14:paraId="7AAA899D" w14:textId="47CBE2AE">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1.</w:t>
            </w:r>
            <w:r w:rsidR="00CE034C">
              <w:rPr>
                <w:rFonts w:eastAsia="Times New Roman" w:asciiTheme="minorHAnsi" w:hAnsiTheme="minorHAnsi" w:cstheme="minorHAnsi"/>
                <w:sz w:val="20"/>
                <w:szCs w:val="20"/>
              </w:rPr>
              <w:t>39</w:t>
            </w:r>
            <w:r w:rsidRPr="00DE1629">
              <w:rPr>
                <w:rFonts w:eastAsia="Times New Roman" w:asciiTheme="minorHAnsi" w:hAnsiTheme="minorHAnsi" w:cstheme="minorHAnsi"/>
                <w:sz w:val="20"/>
                <w:szCs w:val="20"/>
              </w:rPr>
              <w:t>%</w:t>
            </w:r>
          </w:p>
        </w:tc>
      </w:tr>
      <w:tr w14:paraId="28C1C42A"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vAlign w:val="center"/>
          </w:tcPr>
          <w:p w:rsidR="00E303C3" w:rsidRPr="006D49C5" w:rsidP="00E303C3" w14:paraId="61595D87" w14:textId="77777777">
            <w:pPr>
              <w:jc w:val="center"/>
              <w:rPr>
                <w:rFonts w:asciiTheme="minorHAnsi" w:hAnsiTheme="minorHAnsi" w:cstheme="minorHAnsi"/>
                <w:sz w:val="20"/>
                <w:szCs w:val="20"/>
              </w:rPr>
            </w:pPr>
            <w:r w:rsidRPr="006D49C5">
              <w:rPr>
                <w:rFonts w:asciiTheme="minorHAnsi" w:hAnsiTheme="minorHAnsi" w:cstheme="minorHAnsi"/>
                <w:sz w:val="20"/>
                <w:szCs w:val="20"/>
              </w:rPr>
              <w:t>12</w:t>
            </w:r>
          </w:p>
        </w:tc>
        <w:tc>
          <w:tcPr>
            <w:tcW w:w="4478" w:type="dxa"/>
            <w:tcBorders>
              <w:top w:val="nil"/>
              <w:left w:val="nil"/>
              <w:bottom w:val="nil"/>
              <w:right w:val="nil"/>
            </w:tcBorders>
            <w:vAlign w:val="center"/>
          </w:tcPr>
          <w:p w:rsidR="00E303C3" w:rsidRPr="006D49C5" w:rsidP="00E303C3" w14:paraId="3C65E633"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sz w:val="20"/>
              </w:rPr>
              <w:t xml:space="preserve">   2000 ≤ </w:t>
            </w:r>
            <w:r w:rsidRPr="006D49C5">
              <w:rPr>
                <w:rFonts w:asciiTheme="minorHAnsi" w:hAnsiTheme="minorHAnsi" w:cstheme="minorHAnsi"/>
                <w:sz w:val="20"/>
              </w:rPr>
              <w:t>TRACTMOS  &lt;</w:t>
            </w:r>
            <w:r w:rsidRPr="006D49C5">
              <w:rPr>
                <w:rFonts w:asciiTheme="minorHAnsi" w:hAnsiTheme="minorHAnsi" w:cstheme="minorHAnsi"/>
                <w:sz w:val="20"/>
              </w:rPr>
              <w:t xml:space="preserve"> 4000 HR</w:t>
            </w:r>
          </w:p>
        </w:tc>
        <w:tc>
          <w:tcPr>
            <w:tcW w:w="1717" w:type="dxa"/>
            <w:tcBorders>
              <w:top w:val="nil"/>
              <w:left w:val="nil"/>
              <w:bottom w:val="nil"/>
              <w:right w:val="single" w:sz="8" w:space="0" w:color="auto"/>
            </w:tcBorders>
            <w:vAlign w:val="center"/>
          </w:tcPr>
          <w:p w:rsidR="00E303C3" w:rsidRPr="006D49C5" w:rsidP="00E303C3" w14:paraId="2C3D0A6B" w14:textId="77777777">
            <w:pPr>
              <w:ind w:left="24"/>
              <w:rPr>
                <w:rFonts w:asciiTheme="minorHAnsi" w:hAnsiTheme="minorHAnsi" w:cstheme="minorHAnsi"/>
                <w:sz w:val="20"/>
                <w:szCs w:val="20"/>
                <w:vertAlign w:val="superscript"/>
              </w:rPr>
            </w:pPr>
            <w:r w:rsidRPr="006D49C5">
              <w:rPr>
                <w:rFonts w:asciiTheme="minorHAnsi" w:hAnsiTheme="minorHAnsi" w:cstheme="minorHAnsi"/>
                <w:sz w:val="20"/>
                <w:szCs w:val="20"/>
              </w:rPr>
              <w:t xml:space="preserve">  0.92 × BR</w:t>
            </w:r>
          </w:p>
        </w:tc>
        <w:tc>
          <w:tcPr>
            <w:tcW w:w="893" w:type="dxa"/>
            <w:tcBorders>
              <w:top w:val="nil"/>
              <w:left w:val="single" w:sz="8" w:space="0" w:color="auto"/>
              <w:bottom w:val="nil"/>
              <w:right w:val="single" w:sz="8" w:space="0" w:color="auto"/>
            </w:tcBorders>
            <w:vAlign w:val="center"/>
          </w:tcPr>
          <w:p w:rsidR="44860A06" w:rsidRPr="00DE1629" w:rsidP="7B12BB46" w14:paraId="2325B8E6" w14:textId="55F0FD2E">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1.</w:t>
            </w:r>
            <w:r w:rsidR="00CE034C">
              <w:rPr>
                <w:rFonts w:eastAsia="Times New Roman" w:asciiTheme="minorHAnsi" w:hAnsiTheme="minorHAnsi" w:cstheme="minorHAnsi"/>
                <w:color w:val="000000" w:themeColor="text1"/>
                <w:sz w:val="20"/>
                <w:szCs w:val="20"/>
              </w:rPr>
              <w:t>28</w:t>
            </w:r>
            <w:r w:rsidRPr="00DE1629">
              <w:rPr>
                <w:rFonts w:eastAsia="Times New Roman" w:asciiTheme="minorHAnsi" w:hAnsiTheme="minorHAnsi" w:cstheme="minorHAnsi"/>
                <w:color w:val="000000" w:themeColor="text1"/>
                <w:sz w:val="20"/>
                <w:szCs w:val="20"/>
              </w:rPr>
              <w:t>%</w:t>
            </w:r>
          </w:p>
        </w:tc>
        <w:tc>
          <w:tcPr>
            <w:tcW w:w="902" w:type="dxa"/>
            <w:gridSpan w:val="2"/>
            <w:tcBorders>
              <w:top w:val="nil"/>
              <w:left w:val="single" w:sz="8" w:space="0" w:color="auto"/>
              <w:bottom w:val="nil"/>
            </w:tcBorders>
            <w:vAlign w:val="center"/>
          </w:tcPr>
          <w:p w:rsidR="44860A06" w:rsidRPr="00DE1629" w:rsidP="7B12BB46" w14:paraId="432C7F2E" w14:textId="378C8AFC">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1.2</w:t>
            </w:r>
            <w:r w:rsidR="00CE034C">
              <w:rPr>
                <w:rFonts w:eastAsia="Times New Roman" w:asciiTheme="minorHAnsi" w:hAnsiTheme="minorHAnsi" w:cstheme="minorHAnsi"/>
                <w:color w:val="000000" w:themeColor="text1"/>
                <w:sz w:val="20"/>
                <w:szCs w:val="20"/>
              </w:rPr>
              <w:t>8</w:t>
            </w:r>
            <w:r w:rsidRPr="00DE1629">
              <w:rPr>
                <w:rFonts w:eastAsia="Times New Roman" w:asciiTheme="minorHAnsi" w:hAnsiTheme="minorHAnsi" w:cstheme="minorHAnsi"/>
                <w:color w:val="000000" w:themeColor="text1"/>
                <w:sz w:val="20"/>
                <w:szCs w:val="20"/>
              </w:rPr>
              <w:t>%</w:t>
            </w:r>
          </w:p>
        </w:tc>
      </w:tr>
      <w:tr w14:paraId="18EEFD4B"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6D49C5" w:rsidP="00E303C3" w14:paraId="2C8F59D9" w14:textId="77777777">
            <w:pPr>
              <w:jc w:val="center"/>
              <w:rPr>
                <w:rFonts w:asciiTheme="minorHAnsi" w:hAnsiTheme="minorHAnsi" w:cstheme="minorHAnsi"/>
                <w:sz w:val="20"/>
                <w:szCs w:val="20"/>
              </w:rPr>
            </w:pPr>
            <w:r w:rsidRPr="006D49C5">
              <w:rPr>
                <w:rFonts w:asciiTheme="minorHAnsi" w:hAnsiTheme="minorHAnsi" w:cstheme="minorHAnsi"/>
                <w:sz w:val="20"/>
                <w:szCs w:val="20"/>
              </w:rPr>
              <w:t>13</w:t>
            </w:r>
          </w:p>
        </w:tc>
        <w:tc>
          <w:tcPr>
            <w:tcW w:w="4478" w:type="dxa"/>
            <w:tcBorders>
              <w:top w:val="nil"/>
              <w:bottom w:val="nil"/>
            </w:tcBorders>
            <w:vAlign w:val="center"/>
          </w:tcPr>
          <w:p w:rsidR="00E303C3" w:rsidRPr="006D49C5" w:rsidP="00E303C3" w14:paraId="1276AFF7"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i/>
                <w:sz w:val="20"/>
              </w:rPr>
              <w:t xml:space="preserve">   </w:t>
            </w:r>
            <w:r w:rsidRPr="006D49C5">
              <w:rPr>
                <w:rFonts w:asciiTheme="minorHAnsi" w:hAnsiTheme="minorHAnsi" w:cstheme="minorHAnsi"/>
                <w:sz w:val="20"/>
              </w:rPr>
              <w:t xml:space="preserve">4000 ≤ </w:t>
            </w:r>
            <w:r w:rsidRPr="006D49C5">
              <w:rPr>
                <w:rFonts w:asciiTheme="minorHAnsi" w:hAnsiTheme="minorHAnsi" w:cstheme="minorHAnsi"/>
                <w:sz w:val="20"/>
              </w:rPr>
              <w:t>TRACTMOS  &lt;</w:t>
            </w:r>
            <w:r w:rsidRPr="006D49C5">
              <w:rPr>
                <w:rFonts w:asciiTheme="minorHAnsi" w:hAnsiTheme="minorHAnsi" w:cstheme="minorHAnsi"/>
                <w:sz w:val="20"/>
              </w:rPr>
              <w:t xml:space="preserve"> 6000</w:t>
            </w:r>
          </w:p>
        </w:tc>
        <w:tc>
          <w:tcPr>
            <w:tcW w:w="1717" w:type="dxa"/>
            <w:tcBorders>
              <w:top w:val="nil"/>
              <w:bottom w:val="nil"/>
              <w:right w:val="single" w:sz="8" w:space="0" w:color="auto"/>
            </w:tcBorders>
            <w:vAlign w:val="center"/>
          </w:tcPr>
          <w:p w:rsidR="00E303C3" w:rsidRPr="006D49C5" w:rsidP="00E303C3" w14:paraId="6E49558E"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0.60 × BR</w:t>
            </w:r>
          </w:p>
        </w:tc>
        <w:tc>
          <w:tcPr>
            <w:tcW w:w="893" w:type="dxa"/>
            <w:tcBorders>
              <w:top w:val="nil"/>
              <w:left w:val="single" w:sz="8" w:space="0" w:color="auto"/>
              <w:bottom w:val="nil"/>
              <w:right w:val="single" w:sz="8" w:space="0" w:color="auto"/>
            </w:tcBorders>
            <w:vAlign w:val="center"/>
          </w:tcPr>
          <w:p w:rsidR="44860A06" w:rsidRPr="00DE1629" w:rsidP="7B12BB46" w14:paraId="6296AE8C" w14:textId="70446355">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0.8</w:t>
            </w:r>
            <w:r w:rsidR="00CE034C">
              <w:rPr>
                <w:rFonts w:eastAsia="Times New Roman" w:asciiTheme="minorHAnsi" w:hAnsiTheme="minorHAnsi" w:cstheme="minorHAnsi"/>
                <w:sz w:val="20"/>
                <w:szCs w:val="20"/>
              </w:rPr>
              <w:t>3</w:t>
            </w:r>
            <w:r w:rsidRPr="00DE1629">
              <w:rPr>
                <w:rFonts w:eastAsia="Times New Roman" w:asciiTheme="minorHAnsi" w:hAnsiTheme="minorHAnsi" w:cstheme="minorHAnsi"/>
                <w:sz w:val="20"/>
                <w:szCs w:val="20"/>
              </w:rPr>
              <w:t>%</w:t>
            </w:r>
          </w:p>
        </w:tc>
        <w:tc>
          <w:tcPr>
            <w:tcW w:w="902" w:type="dxa"/>
            <w:gridSpan w:val="2"/>
            <w:tcBorders>
              <w:top w:val="nil"/>
              <w:left w:val="single" w:sz="8" w:space="0" w:color="auto"/>
              <w:bottom w:val="nil"/>
            </w:tcBorders>
            <w:vAlign w:val="center"/>
          </w:tcPr>
          <w:p w:rsidR="44860A06" w:rsidRPr="00DE1629" w:rsidP="7B12BB46" w14:paraId="64CE9665" w14:textId="60F0884E">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0.8</w:t>
            </w:r>
            <w:r w:rsidR="00CE034C">
              <w:rPr>
                <w:rFonts w:eastAsia="Times New Roman" w:asciiTheme="minorHAnsi" w:hAnsiTheme="minorHAnsi" w:cstheme="minorHAnsi"/>
                <w:sz w:val="20"/>
                <w:szCs w:val="20"/>
              </w:rPr>
              <w:t>3</w:t>
            </w:r>
            <w:r w:rsidRPr="00DE1629">
              <w:rPr>
                <w:rFonts w:eastAsia="Times New Roman" w:asciiTheme="minorHAnsi" w:hAnsiTheme="minorHAnsi" w:cstheme="minorHAnsi"/>
                <w:sz w:val="20"/>
                <w:szCs w:val="20"/>
              </w:rPr>
              <w:t>%</w:t>
            </w:r>
          </w:p>
        </w:tc>
      </w:tr>
      <w:tr w14:paraId="0F19611F"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vAlign w:val="center"/>
          </w:tcPr>
          <w:p w:rsidR="00E303C3" w:rsidRPr="006D49C5" w:rsidP="00E303C3" w14:paraId="2377E051" w14:textId="77777777">
            <w:pPr>
              <w:jc w:val="center"/>
              <w:rPr>
                <w:rFonts w:asciiTheme="minorHAnsi" w:hAnsiTheme="minorHAnsi" w:cstheme="minorHAnsi"/>
                <w:sz w:val="20"/>
                <w:szCs w:val="20"/>
              </w:rPr>
            </w:pPr>
            <w:r w:rsidRPr="006D49C5">
              <w:rPr>
                <w:rFonts w:asciiTheme="minorHAnsi" w:hAnsiTheme="minorHAnsi" w:cstheme="minorHAnsi"/>
                <w:sz w:val="20"/>
                <w:szCs w:val="20"/>
              </w:rPr>
              <w:t>14</w:t>
            </w:r>
          </w:p>
        </w:tc>
        <w:tc>
          <w:tcPr>
            <w:tcW w:w="4478" w:type="dxa"/>
            <w:tcBorders>
              <w:top w:val="nil"/>
              <w:left w:val="nil"/>
              <w:bottom w:val="nil"/>
              <w:right w:val="nil"/>
            </w:tcBorders>
            <w:vAlign w:val="center"/>
          </w:tcPr>
          <w:p w:rsidR="00E303C3" w:rsidRPr="006D49C5" w:rsidP="00E303C3" w14:paraId="48E5547F"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sz w:val="20"/>
              </w:rPr>
              <w:t xml:space="preserve">   4000 ≤ </w:t>
            </w:r>
            <w:r w:rsidRPr="006D49C5">
              <w:rPr>
                <w:rFonts w:asciiTheme="minorHAnsi" w:hAnsiTheme="minorHAnsi" w:cstheme="minorHAnsi"/>
                <w:sz w:val="20"/>
              </w:rPr>
              <w:t>TRACTMOS  &lt;</w:t>
            </w:r>
            <w:r w:rsidRPr="006D49C5">
              <w:rPr>
                <w:rFonts w:asciiTheme="minorHAnsi" w:hAnsiTheme="minorHAnsi" w:cstheme="minorHAnsi"/>
                <w:sz w:val="20"/>
              </w:rPr>
              <w:t xml:space="preserve"> 6000 HR</w:t>
            </w:r>
          </w:p>
        </w:tc>
        <w:tc>
          <w:tcPr>
            <w:tcW w:w="1717" w:type="dxa"/>
            <w:tcBorders>
              <w:top w:val="nil"/>
              <w:left w:val="nil"/>
              <w:bottom w:val="nil"/>
              <w:right w:val="single" w:sz="8" w:space="0" w:color="auto"/>
            </w:tcBorders>
            <w:vAlign w:val="center"/>
          </w:tcPr>
          <w:p w:rsidR="00E303C3" w:rsidRPr="006D49C5" w:rsidP="00E303C3" w14:paraId="20E77A82"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0.92 × 0.60 × BR</w:t>
            </w:r>
          </w:p>
        </w:tc>
        <w:tc>
          <w:tcPr>
            <w:tcW w:w="893" w:type="dxa"/>
            <w:tcBorders>
              <w:top w:val="nil"/>
              <w:left w:val="single" w:sz="8" w:space="0" w:color="auto"/>
              <w:bottom w:val="nil"/>
              <w:right w:val="single" w:sz="8" w:space="0" w:color="auto"/>
            </w:tcBorders>
            <w:vAlign w:val="center"/>
          </w:tcPr>
          <w:p w:rsidR="44860A06" w:rsidRPr="00DE1629" w:rsidP="7B12BB46" w14:paraId="45D1BC2E" w14:textId="552C49EA">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0.7</w:t>
            </w:r>
            <w:r w:rsidR="00CE034C">
              <w:rPr>
                <w:rFonts w:eastAsia="Times New Roman" w:asciiTheme="minorHAnsi" w:hAnsiTheme="minorHAnsi" w:cstheme="minorHAnsi"/>
                <w:color w:val="000000" w:themeColor="text1"/>
                <w:sz w:val="20"/>
                <w:szCs w:val="20"/>
              </w:rPr>
              <w:t>7</w:t>
            </w:r>
            <w:r w:rsidRPr="00DE1629">
              <w:rPr>
                <w:rFonts w:eastAsia="Times New Roman" w:asciiTheme="minorHAnsi" w:hAnsiTheme="minorHAnsi" w:cstheme="minorHAnsi"/>
                <w:color w:val="000000" w:themeColor="text1"/>
                <w:sz w:val="20"/>
                <w:szCs w:val="20"/>
              </w:rPr>
              <w:t>%</w:t>
            </w:r>
          </w:p>
        </w:tc>
        <w:tc>
          <w:tcPr>
            <w:tcW w:w="902" w:type="dxa"/>
            <w:gridSpan w:val="2"/>
            <w:tcBorders>
              <w:top w:val="nil"/>
              <w:left w:val="single" w:sz="8" w:space="0" w:color="auto"/>
              <w:bottom w:val="nil"/>
            </w:tcBorders>
            <w:vAlign w:val="center"/>
          </w:tcPr>
          <w:p w:rsidR="44860A06" w:rsidRPr="00DE1629" w:rsidP="7B12BB46" w14:paraId="732954CF" w14:textId="7C2136CC">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0.7</w:t>
            </w:r>
            <w:r w:rsidR="00CE034C">
              <w:rPr>
                <w:rFonts w:eastAsia="Times New Roman" w:asciiTheme="minorHAnsi" w:hAnsiTheme="minorHAnsi" w:cstheme="minorHAnsi"/>
                <w:color w:val="000000" w:themeColor="text1"/>
                <w:sz w:val="20"/>
                <w:szCs w:val="20"/>
              </w:rPr>
              <w:t>7</w:t>
            </w:r>
            <w:r w:rsidRPr="00DE1629">
              <w:rPr>
                <w:rFonts w:eastAsia="Times New Roman" w:asciiTheme="minorHAnsi" w:hAnsiTheme="minorHAnsi" w:cstheme="minorHAnsi"/>
                <w:color w:val="000000" w:themeColor="text1"/>
                <w:sz w:val="20"/>
                <w:szCs w:val="20"/>
              </w:rPr>
              <w:t>%</w:t>
            </w:r>
          </w:p>
        </w:tc>
      </w:tr>
      <w:tr w14:paraId="4252758E"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6D49C5" w:rsidP="00E303C3" w14:paraId="5BAF88C6" w14:textId="77777777">
            <w:pPr>
              <w:jc w:val="center"/>
              <w:rPr>
                <w:rFonts w:asciiTheme="minorHAnsi" w:hAnsiTheme="minorHAnsi" w:cstheme="minorHAnsi"/>
                <w:sz w:val="20"/>
                <w:szCs w:val="20"/>
              </w:rPr>
            </w:pPr>
            <w:r w:rsidRPr="006D49C5">
              <w:rPr>
                <w:rFonts w:asciiTheme="minorHAnsi" w:hAnsiTheme="minorHAnsi" w:cstheme="minorHAnsi"/>
                <w:sz w:val="20"/>
                <w:szCs w:val="20"/>
              </w:rPr>
              <w:t>15</w:t>
            </w:r>
          </w:p>
        </w:tc>
        <w:tc>
          <w:tcPr>
            <w:tcW w:w="4478" w:type="dxa"/>
            <w:tcBorders>
              <w:top w:val="nil"/>
              <w:bottom w:val="nil"/>
            </w:tcBorders>
            <w:vAlign w:val="center"/>
          </w:tcPr>
          <w:p w:rsidR="00E303C3" w:rsidRPr="006D49C5" w:rsidP="00E303C3" w14:paraId="781F0734"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sz w:val="20"/>
              </w:rPr>
              <w:t xml:space="preserve">   6000 ≤ TRACTMOS</w:t>
            </w:r>
          </w:p>
        </w:tc>
        <w:tc>
          <w:tcPr>
            <w:tcW w:w="1717" w:type="dxa"/>
            <w:tcBorders>
              <w:top w:val="nil"/>
              <w:bottom w:val="nil"/>
              <w:right w:val="single" w:sz="8" w:space="0" w:color="auto"/>
            </w:tcBorders>
            <w:vAlign w:val="center"/>
          </w:tcPr>
          <w:p w:rsidR="00E303C3" w:rsidRPr="006D49C5" w:rsidP="00E303C3" w14:paraId="5964545E"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0.35 × BR</w:t>
            </w:r>
          </w:p>
        </w:tc>
        <w:tc>
          <w:tcPr>
            <w:tcW w:w="893" w:type="dxa"/>
            <w:tcBorders>
              <w:top w:val="nil"/>
              <w:left w:val="single" w:sz="8" w:space="0" w:color="auto"/>
              <w:bottom w:val="nil"/>
              <w:right w:val="single" w:sz="8" w:space="0" w:color="auto"/>
            </w:tcBorders>
            <w:vAlign w:val="center"/>
          </w:tcPr>
          <w:p w:rsidR="44860A06" w:rsidRPr="00DE1629" w:rsidP="7B12BB46" w14:paraId="339E4831" w14:textId="66B5F8D3">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0.49%</w:t>
            </w:r>
          </w:p>
        </w:tc>
        <w:tc>
          <w:tcPr>
            <w:tcW w:w="902" w:type="dxa"/>
            <w:gridSpan w:val="2"/>
            <w:tcBorders>
              <w:top w:val="nil"/>
              <w:left w:val="single" w:sz="8" w:space="0" w:color="auto"/>
              <w:bottom w:val="nil"/>
            </w:tcBorders>
            <w:vAlign w:val="center"/>
          </w:tcPr>
          <w:p w:rsidR="44860A06" w:rsidRPr="00DE1629" w:rsidP="7B12BB46" w14:paraId="142F70B0" w14:textId="6564B0E3">
            <w:pPr>
              <w:jc w:val="right"/>
              <w:rPr>
                <w:rFonts w:eastAsia="Times New Roman" w:asciiTheme="minorHAnsi" w:hAnsiTheme="minorHAnsi" w:cstheme="minorHAnsi"/>
                <w:sz w:val="20"/>
                <w:szCs w:val="20"/>
              </w:rPr>
            </w:pPr>
            <w:r w:rsidRPr="00DE1629">
              <w:rPr>
                <w:rFonts w:eastAsia="Times New Roman" w:asciiTheme="minorHAnsi" w:hAnsiTheme="minorHAnsi" w:cstheme="minorHAnsi"/>
                <w:sz w:val="20"/>
                <w:szCs w:val="20"/>
              </w:rPr>
              <w:t>0.49%</w:t>
            </w:r>
          </w:p>
        </w:tc>
      </w:tr>
      <w:tr w14:paraId="44F90FF9"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single" w:sz="18" w:space="0" w:color="000000" w:themeColor="text1"/>
              <w:right w:val="nil"/>
            </w:tcBorders>
            <w:vAlign w:val="center"/>
          </w:tcPr>
          <w:p w:rsidR="00E303C3" w:rsidRPr="006D49C5" w:rsidP="00E303C3" w14:paraId="7074A68B" w14:textId="77777777">
            <w:pPr>
              <w:jc w:val="center"/>
              <w:rPr>
                <w:rFonts w:asciiTheme="minorHAnsi" w:hAnsiTheme="minorHAnsi" w:cstheme="minorHAnsi"/>
                <w:sz w:val="20"/>
                <w:szCs w:val="20"/>
              </w:rPr>
            </w:pPr>
            <w:r w:rsidRPr="006D49C5">
              <w:rPr>
                <w:rFonts w:asciiTheme="minorHAnsi" w:hAnsiTheme="minorHAnsi" w:cstheme="minorHAnsi"/>
                <w:sz w:val="20"/>
                <w:szCs w:val="20"/>
              </w:rPr>
              <w:t>16</w:t>
            </w:r>
          </w:p>
        </w:tc>
        <w:tc>
          <w:tcPr>
            <w:tcW w:w="4478" w:type="dxa"/>
            <w:tcBorders>
              <w:top w:val="nil"/>
              <w:left w:val="nil"/>
              <w:bottom w:val="single" w:sz="18" w:space="0" w:color="000000" w:themeColor="text1"/>
              <w:right w:val="nil"/>
            </w:tcBorders>
            <w:vAlign w:val="center"/>
          </w:tcPr>
          <w:p w:rsidR="00E303C3" w:rsidRPr="006D49C5" w:rsidP="00E303C3" w14:paraId="46261A28" w14:textId="77777777">
            <w:pPr>
              <w:pStyle w:val="MemoBody"/>
              <w:spacing w:after="0"/>
              <w:ind w:left="-29"/>
              <w:rPr>
                <w:rFonts w:asciiTheme="minorHAnsi" w:hAnsiTheme="minorHAnsi" w:cstheme="minorHAnsi"/>
                <w:sz w:val="20"/>
              </w:rPr>
            </w:pPr>
            <w:r w:rsidRPr="006D49C5">
              <w:rPr>
                <w:rFonts w:asciiTheme="minorHAnsi" w:hAnsiTheme="minorHAnsi" w:cstheme="minorHAnsi"/>
                <w:sz w:val="20"/>
              </w:rPr>
              <w:t xml:space="preserve">1200 ≤ </w:t>
            </w:r>
            <w:r w:rsidRPr="006D49C5">
              <w:rPr>
                <w:rFonts w:asciiTheme="minorHAnsi" w:hAnsiTheme="minorHAnsi" w:cstheme="minorHAnsi"/>
                <w:sz w:val="20"/>
              </w:rPr>
              <w:t xml:space="preserve">MOS  </w:t>
            </w:r>
            <w:r w:rsidRPr="006D49C5">
              <w:rPr>
                <w:rFonts w:asciiTheme="minorHAnsi" w:hAnsiTheme="minorHAnsi" w:cstheme="minorHAnsi"/>
                <w:i/>
                <w:sz w:val="20"/>
              </w:rPr>
              <w:t>and</w:t>
            </w:r>
            <w:r w:rsidRPr="006D49C5">
              <w:rPr>
                <w:rFonts w:asciiTheme="minorHAnsi" w:hAnsiTheme="minorHAnsi" w:cstheme="minorHAnsi"/>
                <w:sz w:val="20"/>
              </w:rPr>
              <w:t xml:space="preserve">   6000 ≤ TRACTMOS HR</w:t>
            </w:r>
          </w:p>
        </w:tc>
        <w:tc>
          <w:tcPr>
            <w:tcW w:w="1717" w:type="dxa"/>
            <w:tcBorders>
              <w:top w:val="nil"/>
              <w:left w:val="nil"/>
              <w:bottom w:val="single" w:sz="18" w:space="0" w:color="000000" w:themeColor="text1"/>
              <w:right w:val="single" w:sz="8" w:space="0" w:color="auto"/>
            </w:tcBorders>
            <w:vAlign w:val="center"/>
          </w:tcPr>
          <w:p w:rsidR="00E303C3" w:rsidRPr="006D49C5" w:rsidP="00E303C3" w14:paraId="3EC64D85" w14:textId="77777777">
            <w:pPr>
              <w:ind w:left="24"/>
              <w:rPr>
                <w:rFonts w:asciiTheme="minorHAnsi" w:hAnsiTheme="minorHAnsi" w:cstheme="minorHAnsi"/>
                <w:sz w:val="20"/>
                <w:szCs w:val="20"/>
              </w:rPr>
            </w:pPr>
            <w:r w:rsidRPr="006D49C5">
              <w:rPr>
                <w:rFonts w:asciiTheme="minorHAnsi" w:hAnsiTheme="minorHAnsi" w:cstheme="minorHAnsi"/>
                <w:sz w:val="20"/>
                <w:szCs w:val="20"/>
              </w:rPr>
              <w:t xml:space="preserve">  0.92 × 0.35 × BR</w:t>
            </w:r>
          </w:p>
        </w:tc>
        <w:tc>
          <w:tcPr>
            <w:tcW w:w="893" w:type="dxa"/>
            <w:tcBorders>
              <w:top w:val="nil"/>
              <w:left w:val="single" w:sz="8" w:space="0" w:color="auto"/>
              <w:bottom w:val="single" w:sz="18" w:space="0" w:color="000000" w:themeColor="text1"/>
              <w:right w:val="single" w:sz="8" w:space="0" w:color="auto"/>
            </w:tcBorders>
            <w:vAlign w:val="center"/>
          </w:tcPr>
          <w:p w:rsidR="44860A06" w:rsidRPr="00DE1629" w:rsidP="7B12BB46" w14:paraId="553BF61B" w14:textId="6E70B5FA">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0.45%</w:t>
            </w:r>
          </w:p>
        </w:tc>
        <w:tc>
          <w:tcPr>
            <w:tcW w:w="902" w:type="dxa"/>
            <w:gridSpan w:val="2"/>
            <w:tcBorders>
              <w:top w:val="nil"/>
              <w:left w:val="single" w:sz="8" w:space="0" w:color="auto"/>
              <w:bottom w:val="single" w:sz="18" w:space="0" w:color="000000" w:themeColor="text1"/>
            </w:tcBorders>
            <w:vAlign w:val="center"/>
          </w:tcPr>
          <w:p w:rsidR="44860A06" w:rsidRPr="00DE1629" w:rsidP="7B12BB46" w14:paraId="4DB25F2E" w14:textId="563FE684">
            <w:pPr>
              <w:jc w:val="right"/>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0.45%</w:t>
            </w:r>
          </w:p>
        </w:tc>
      </w:tr>
    </w:tbl>
    <w:p w:rsidR="00E303C3" w:rsidP="009C55B8" w14:paraId="73315914" w14:textId="17E143EC">
      <w:pPr>
        <w:widowControl/>
        <w:autoSpaceDE/>
        <w:autoSpaceDN/>
        <w:rPr>
          <w:rFonts w:ascii="Calibri" w:hAnsi="Calibri" w:cstheme="minorBidi"/>
          <w:sz w:val="20"/>
          <w:szCs w:val="20"/>
        </w:rPr>
      </w:pPr>
      <w:r>
        <w:rPr>
          <w:rFonts w:ascii="Calibri" w:hAnsi="Calibri" w:cstheme="minorBidi"/>
          <w:b/>
          <w:bCs/>
        </w:rPr>
        <w:tab/>
      </w:r>
      <w:r w:rsidRPr="009C55B8">
        <w:rPr>
          <w:rFonts w:ascii="Calibri" w:hAnsi="Calibri" w:cstheme="minorBidi"/>
          <w:sz w:val="20"/>
          <w:szCs w:val="20"/>
          <w:vertAlign w:val="superscript"/>
        </w:rPr>
        <w:t>1</w:t>
      </w:r>
      <w:r w:rsidRPr="009C55B8">
        <w:rPr>
          <w:rFonts w:ascii="Calibri" w:hAnsi="Calibri" w:cstheme="minorBidi"/>
          <w:sz w:val="20"/>
          <w:szCs w:val="20"/>
        </w:rPr>
        <w:t>MOS = measure of size (estimated number occupied housing units) of the smallest governmental entity</w:t>
      </w:r>
    </w:p>
    <w:p w:rsidR="009C55B8" w:rsidP="009C55B8" w14:paraId="02294A6B" w14:textId="37F7660A">
      <w:pPr>
        <w:widowControl/>
        <w:autoSpaceDE/>
        <w:autoSpaceDN/>
        <w:rPr>
          <w:rFonts w:ascii="Calibri" w:hAnsi="Calibri" w:cstheme="minorBidi"/>
          <w:sz w:val="20"/>
          <w:szCs w:val="20"/>
        </w:rPr>
      </w:pPr>
      <w:r>
        <w:rPr>
          <w:rFonts w:ascii="Calibri" w:hAnsi="Calibri" w:cstheme="minorBidi"/>
          <w:sz w:val="20"/>
          <w:szCs w:val="20"/>
        </w:rPr>
        <w:tab/>
      </w:r>
      <w:r w:rsidRPr="009C55B8">
        <w:rPr>
          <w:rFonts w:ascii="Calibri" w:hAnsi="Calibri" w:cstheme="minorBidi"/>
          <w:sz w:val="20"/>
          <w:szCs w:val="20"/>
          <w:vertAlign w:val="superscript"/>
        </w:rPr>
        <w:t>2</w:t>
      </w:r>
      <w:r w:rsidRPr="009C55B8">
        <w:rPr>
          <w:rFonts w:ascii="Calibri" w:hAnsi="Calibri" w:cstheme="minorBidi"/>
          <w:sz w:val="20"/>
          <w:szCs w:val="20"/>
        </w:rPr>
        <w:t>TRACTMOS = the measure of size (MOS) at the census tract level</w:t>
      </w:r>
    </w:p>
    <w:p w:rsidR="009C55B8" w:rsidP="009C55B8" w14:paraId="0FE393F2" w14:textId="319F0A00">
      <w:pPr>
        <w:widowControl/>
        <w:autoSpaceDE/>
        <w:autoSpaceDN/>
        <w:rPr>
          <w:rFonts w:ascii="Calibri" w:hAnsi="Calibri" w:cstheme="minorBidi"/>
          <w:sz w:val="20"/>
          <w:szCs w:val="20"/>
        </w:rPr>
      </w:pPr>
      <w:r>
        <w:rPr>
          <w:rFonts w:ascii="Calibri" w:hAnsi="Calibri" w:cstheme="minorBidi"/>
          <w:sz w:val="20"/>
          <w:szCs w:val="20"/>
        </w:rPr>
        <w:tab/>
      </w:r>
      <w:r w:rsidRPr="009C55B8">
        <w:rPr>
          <w:rFonts w:ascii="Calibri" w:hAnsi="Calibri" w:cstheme="minorBidi"/>
          <w:sz w:val="20"/>
          <w:szCs w:val="20"/>
          <w:vertAlign w:val="superscript"/>
        </w:rPr>
        <w:t>3</w:t>
      </w:r>
      <w:r w:rsidRPr="009C55B8">
        <w:rPr>
          <w:rFonts w:ascii="Calibri" w:hAnsi="Calibri" w:cstheme="minorBidi"/>
          <w:sz w:val="20"/>
          <w:szCs w:val="20"/>
        </w:rPr>
        <w:t xml:space="preserve">HR = areas where predicted levels of completed mail and </w:t>
      </w:r>
      <w:r w:rsidR="002A30C6">
        <w:rPr>
          <w:rFonts w:ascii="Calibri" w:hAnsi="Calibri" w:cstheme="minorBidi"/>
          <w:sz w:val="20"/>
          <w:szCs w:val="20"/>
        </w:rPr>
        <w:t>internet</w:t>
      </w:r>
      <w:r w:rsidRPr="009C55B8">
        <w:rPr>
          <w:rFonts w:ascii="Calibri" w:hAnsi="Calibri" w:cstheme="minorBidi"/>
          <w:sz w:val="20"/>
          <w:szCs w:val="20"/>
        </w:rPr>
        <w:t xml:space="preserve"> interviews are &gt; 60%</w:t>
      </w:r>
    </w:p>
    <w:p w:rsidR="009C55B8" w:rsidRPr="009C55B8" w:rsidP="009C55B8" w14:paraId="0399013D" w14:textId="3F553E72">
      <w:pPr>
        <w:widowControl/>
        <w:autoSpaceDE/>
        <w:autoSpaceDN/>
        <w:rPr>
          <w:rFonts w:ascii="Calibri" w:hAnsi="Calibri" w:cstheme="minorBidi"/>
          <w:sz w:val="20"/>
          <w:szCs w:val="20"/>
        </w:rPr>
      </w:pPr>
      <w:r>
        <w:rPr>
          <w:rFonts w:ascii="Calibri" w:hAnsi="Calibri" w:cstheme="minorBidi"/>
          <w:sz w:val="20"/>
          <w:szCs w:val="20"/>
        </w:rPr>
        <w:tab/>
      </w:r>
      <w:r w:rsidRPr="009C55B8">
        <w:rPr>
          <w:rFonts w:ascii="Calibri" w:hAnsi="Calibri" w:cstheme="minorBidi"/>
          <w:sz w:val="20"/>
          <w:szCs w:val="20"/>
          <w:vertAlign w:val="superscript"/>
        </w:rPr>
        <w:t>4</w:t>
      </w:r>
      <w:r w:rsidRPr="009C55B8">
        <w:rPr>
          <w:rFonts w:ascii="Calibri" w:hAnsi="Calibri" w:cstheme="minorBidi"/>
          <w:sz w:val="20"/>
          <w:szCs w:val="20"/>
        </w:rPr>
        <w:t>BR = base sampling rate</w:t>
      </w:r>
    </w:p>
    <w:p w:rsidR="00936A60" w:rsidP="00936A60" w14:paraId="381D2DAF" w14:textId="77777777">
      <w:pPr>
        <w:pStyle w:val="Normal4"/>
        <w:ind w:left="450"/>
        <w:rPr>
          <w:rFonts w:ascii="Calibri" w:hAnsi="Calibri" w:cstheme="minorHAnsi"/>
        </w:rPr>
      </w:pPr>
      <w:r>
        <w:rPr>
          <w:rFonts w:ascii="Calibri" w:hAnsi="Calibri" w:cstheme="minorHAnsi"/>
        </w:rPr>
        <w:tab/>
      </w:r>
      <w:r>
        <w:rPr>
          <w:rFonts w:ascii="Calibri" w:hAnsi="Calibri" w:cstheme="minorHAnsi"/>
        </w:rPr>
        <w:tab/>
      </w:r>
    </w:p>
    <w:p w:rsidR="00936A60" w:rsidP="4743B207" w14:paraId="526E5629" w14:textId="746CB03E">
      <w:pPr>
        <w:pStyle w:val="Normal4"/>
        <w:ind w:left="540"/>
        <w:rPr>
          <w:rFonts w:ascii="Calibri" w:hAnsi="Calibri" w:cstheme="minorBidi"/>
          <w:b/>
          <w:bCs/>
        </w:rPr>
      </w:pPr>
      <w:r w:rsidRPr="4743B207">
        <w:rPr>
          <w:rFonts w:ascii="Calibri" w:hAnsi="Calibri" w:cstheme="minorBidi"/>
          <w:b/>
          <w:bCs/>
        </w:rPr>
        <w:t xml:space="preserve">   </w:t>
      </w:r>
      <w:r w:rsidRPr="4743B207" w:rsidR="1AFDF181">
        <w:rPr>
          <w:rFonts w:ascii="Calibri" w:hAnsi="Calibri" w:cstheme="minorBidi"/>
          <w:b/>
          <w:bCs/>
        </w:rPr>
        <w:t>Table 2. First-phase Sampling Rate Categories for Puerto Rico</w:t>
      </w:r>
    </w:p>
    <w:tbl>
      <w:tblPr>
        <w:tblW w:w="8912" w:type="dxa"/>
        <w:jc w:val="center"/>
        <w:tblBorders>
          <w:top w:val="single" w:sz="18" w:space="0" w:color="auto"/>
          <w:bottom w:val="single" w:sz="18" w:space="0" w:color="auto"/>
        </w:tblBorders>
        <w:tblLayout w:type="fixed"/>
        <w:tblCellMar>
          <w:left w:w="57" w:type="dxa"/>
          <w:right w:w="57" w:type="dxa"/>
        </w:tblCellMar>
        <w:tblLook w:val="0000"/>
      </w:tblPr>
      <w:tblGrid>
        <w:gridCol w:w="922"/>
        <w:gridCol w:w="4478"/>
        <w:gridCol w:w="1717"/>
        <w:gridCol w:w="893"/>
        <w:gridCol w:w="768"/>
        <w:gridCol w:w="134"/>
      </w:tblGrid>
      <w:tr w14:paraId="1A17A322" w14:textId="77777777" w:rsidTr="08122567">
        <w:tblPrEx>
          <w:tblW w:w="8912" w:type="dxa"/>
          <w:jc w:val="center"/>
          <w:tblBorders>
            <w:top w:val="single" w:sz="18" w:space="0" w:color="auto"/>
            <w:bottom w:val="single" w:sz="18" w:space="0" w:color="auto"/>
          </w:tblBorders>
          <w:tblLayout w:type="fixed"/>
          <w:tblCellMar>
            <w:left w:w="57" w:type="dxa"/>
            <w:right w:w="57" w:type="dxa"/>
          </w:tblCellMar>
          <w:tblLook w:val="0000"/>
        </w:tblPrEx>
        <w:trPr>
          <w:cantSplit/>
          <w:trHeight w:val="19"/>
          <w:tblHeader/>
          <w:jc w:val="center"/>
        </w:trPr>
        <w:tc>
          <w:tcPr>
            <w:tcW w:w="922" w:type="dxa"/>
            <w:tcBorders>
              <w:top w:val="single" w:sz="18" w:space="0" w:color="auto"/>
            </w:tcBorders>
            <w:vAlign w:val="center"/>
          </w:tcPr>
          <w:p w:rsidR="00D53F08" w:rsidRPr="00DE1629" w:rsidP="3A436180" w14:paraId="138A4763" w14:textId="179138AD">
            <w:pPr>
              <w:pStyle w:val="MemoBody"/>
              <w:spacing w:after="0"/>
              <w:ind w:left="-50"/>
              <w:jc w:val="center"/>
              <w:rPr>
                <w:rFonts w:asciiTheme="minorHAnsi" w:hAnsiTheme="minorHAnsi" w:cstheme="minorBidi"/>
                <w:sz w:val="20"/>
              </w:rPr>
            </w:pPr>
            <w:r w:rsidRPr="3A436180">
              <w:rPr>
                <w:rFonts w:asciiTheme="minorHAnsi" w:hAnsiTheme="minorHAnsi" w:cstheme="minorBidi"/>
                <w:sz w:val="20"/>
              </w:rPr>
              <w:t xml:space="preserve"> </w:t>
            </w:r>
            <w:r w:rsidRPr="3A436180" w:rsidR="2FD3D190">
              <w:rPr>
                <w:rFonts w:asciiTheme="minorHAnsi" w:hAnsiTheme="minorHAnsi" w:cstheme="minorBidi"/>
                <w:sz w:val="20"/>
              </w:rPr>
              <w:t xml:space="preserve">Sampling </w:t>
            </w:r>
          </w:p>
        </w:tc>
        <w:tc>
          <w:tcPr>
            <w:tcW w:w="4478" w:type="dxa"/>
            <w:tcBorders>
              <w:top w:val="single" w:sz="18" w:space="0" w:color="auto"/>
            </w:tcBorders>
            <w:vAlign w:val="center"/>
          </w:tcPr>
          <w:p w:rsidR="00D53F08" w:rsidRPr="00DE1629" w:rsidP="001F7636" w14:paraId="3AE1611B" w14:textId="77777777">
            <w:pPr>
              <w:pStyle w:val="MemoBody"/>
              <w:spacing w:after="0"/>
              <w:ind w:left="-52"/>
              <w:jc w:val="center"/>
              <w:rPr>
                <w:rFonts w:asciiTheme="minorHAnsi" w:hAnsiTheme="minorHAnsi" w:cstheme="minorHAnsi"/>
                <w:sz w:val="20"/>
              </w:rPr>
            </w:pPr>
            <w:r w:rsidRPr="00DE1629">
              <w:rPr>
                <w:rFonts w:asciiTheme="minorHAnsi" w:hAnsiTheme="minorHAnsi" w:cstheme="minorHAnsi"/>
                <w:sz w:val="20"/>
              </w:rPr>
              <w:t>Type of Area</w:t>
            </w:r>
          </w:p>
        </w:tc>
        <w:tc>
          <w:tcPr>
            <w:tcW w:w="1717" w:type="dxa"/>
            <w:tcBorders>
              <w:top w:val="single" w:sz="18" w:space="0" w:color="auto"/>
              <w:right w:val="single" w:sz="8" w:space="0" w:color="auto"/>
            </w:tcBorders>
            <w:vAlign w:val="center"/>
          </w:tcPr>
          <w:p w:rsidR="00D53F08" w:rsidRPr="00DE1629" w:rsidP="001F7636" w14:paraId="73570EDD" w14:textId="77777777">
            <w:pPr>
              <w:ind w:left="-44"/>
              <w:jc w:val="center"/>
              <w:rPr>
                <w:rFonts w:asciiTheme="minorHAnsi" w:hAnsiTheme="minorHAnsi" w:cstheme="minorHAnsi"/>
                <w:sz w:val="20"/>
                <w:szCs w:val="20"/>
              </w:rPr>
            </w:pPr>
            <w:r w:rsidRPr="00DE1629">
              <w:rPr>
                <w:rFonts w:asciiTheme="minorHAnsi" w:hAnsiTheme="minorHAnsi" w:cstheme="minorHAnsi"/>
                <w:sz w:val="20"/>
                <w:szCs w:val="20"/>
              </w:rPr>
              <w:t>Rate Definitions</w:t>
            </w:r>
          </w:p>
        </w:tc>
        <w:tc>
          <w:tcPr>
            <w:tcW w:w="1661" w:type="dxa"/>
            <w:gridSpan w:val="2"/>
            <w:tcBorders>
              <w:top w:val="single" w:sz="18" w:space="0" w:color="auto"/>
              <w:left w:val="single" w:sz="8" w:space="0" w:color="auto"/>
              <w:bottom w:val="single" w:sz="8" w:space="0" w:color="auto"/>
              <w:right w:val="nil"/>
            </w:tcBorders>
            <w:vAlign w:val="center"/>
          </w:tcPr>
          <w:p w:rsidR="00D53F08" w:rsidRPr="00DE1629" w:rsidP="7B12BB46" w14:paraId="6DE22E1E" w14:textId="7DDDB0B8">
            <w:pPr>
              <w:pStyle w:val="MemoBody"/>
              <w:spacing w:after="0"/>
              <w:ind w:left="-63" w:right="-99"/>
              <w:jc w:val="center"/>
              <w:rPr>
                <w:rFonts w:asciiTheme="minorHAnsi" w:hAnsiTheme="minorHAnsi" w:cstheme="minorHAnsi"/>
                <w:sz w:val="20"/>
              </w:rPr>
            </w:pPr>
            <w:r w:rsidRPr="08122567">
              <w:rPr>
                <w:rFonts w:asciiTheme="minorHAnsi" w:hAnsiTheme="minorHAnsi" w:cstheme="minorBidi"/>
                <w:sz w:val="20"/>
              </w:rPr>
              <w:t xml:space="preserve">2024 </w:t>
            </w:r>
            <w:r w:rsidRPr="08122567" w:rsidR="3EB040CD">
              <w:rPr>
                <w:rFonts w:asciiTheme="minorHAnsi" w:hAnsiTheme="minorHAnsi" w:cstheme="minorBidi"/>
                <w:sz w:val="20"/>
              </w:rPr>
              <w:t>Sampling Rates</w:t>
            </w:r>
          </w:p>
        </w:tc>
        <w:tc>
          <w:tcPr>
            <w:tcW w:w="134" w:type="dxa"/>
            <w:tcBorders>
              <w:top w:val="single" w:sz="18" w:space="0" w:color="auto"/>
              <w:left w:val="nil"/>
              <w:bottom w:val="single" w:sz="8" w:space="0" w:color="auto"/>
              <w:right w:val="nil"/>
            </w:tcBorders>
            <w:vAlign w:val="center"/>
          </w:tcPr>
          <w:p w:rsidR="00D53F08" w:rsidRPr="00DE1629" w:rsidP="001F7636" w14:paraId="19101C3A" w14:textId="77777777">
            <w:pPr>
              <w:pStyle w:val="MemoBody"/>
              <w:spacing w:after="0"/>
              <w:ind w:left="-22"/>
              <w:jc w:val="center"/>
              <w:rPr>
                <w:rFonts w:asciiTheme="minorHAnsi" w:hAnsiTheme="minorHAnsi" w:cstheme="minorHAnsi"/>
                <w:sz w:val="20"/>
              </w:rPr>
            </w:pPr>
            <w:r w:rsidRPr="00DE1629">
              <w:rPr>
                <w:rFonts w:asciiTheme="minorHAnsi" w:hAnsiTheme="minorHAnsi" w:cstheme="minorHAnsi"/>
                <w:sz w:val="20"/>
              </w:rPr>
              <w:t xml:space="preserve"> </w:t>
            </w:r>
          </w:p>
        </w:tc>
      </w:tr>
      <w:tr w14:paraId="42680C39" w14:textId="77777777" w:rsidTr="08122567">
        <w:tblPrEx>
          <w:tblW w:w="8912" w:type="dxa"/>
          <w:jc w:val="center"/>
          <w:tblLayout w:type="fixed"/>
          <w:tblCellMar>
            <w:left w:w="57" w:type="dxa"/>
            <w:right w:w="57" w:type="dxa"/>
          </w:tblCellMar>
          <w:tblLook w:val="0000"/>
        </w:tblPrEx>
        <w:trPr>
          <w:trHeight w:val="19"/>
          <w:tblHeader/>
          <w:jc w:val="center"/>
        </w:trPr>
        <w:tc>
          <w:tcPr>
            <w:tcW w:w="922" w:type="dxa"/>
            <w:tcBorders>
              <w:bottom w:val="single" w:sz="18" w:space="0" w:color="auto"/>
            </w:tcBorders>
            <w:vAlign w:val="center"/>
          </w:tcPr>
          <w:p w:rsidR="00D53F08" w:rsidRPr="00DE1629" w:rsidP="001F7636" w14:paraId="17D9FC76" w14:textId="77777777">
            <w:pPr>
              <w:pStyle w:val="MemoBody"/>
              <w:spacing w:after="0"/>
              <w:ind w:left="36"/>
              <w:jc w:val="center"/>
              <w:rPr>
                <w:rFonts w:asciiTheme="minorHAnsi" w:hAnsiTheme="minorHAnsi" w:cstheme="minorHAnsi"/>
                <w:sz w:val="20"/>
              </w:rPr>
            </w:pPr>
            <w:r w:rsidRPr="00DE1629">
              <w:rPr>
                <w:rFonts w:asciiTheme="minorHAnsi" w:hAnsiTheme="minorHAnsi" w:cstheme="minorHAnsi"/>
                <w:sz w:val="20"/>
              </w:rPr>
              <w:t>Stratum</w:t>
            </w:r>
          </w:p>
        </w:tc>
        <w:tc>
          <w:tcPr>
            <w:tcW w:w="4478" w:type="dxa"/>
            <w:tcBorders>
              <w:bottom w:val="single" w:sz="18" w:space="0" w:color="auto"/>
            </w:tcBorders>
            <w:vAlign w:val="center"/>
          </w:tcPr>
          <w:p w:rsidR="00D53F08" w:rsidRPr="00DE1629" w:rsidP="001F7636" w14:paraId="20B6FBAF" w14:textId="77777777">
            <w:pPr>
              <w:pStyle w:val="MemoBody"/>
              <w:spacing w:after="0"/>
              <w:jc w:val="center"/>
              <w:rPr>
                <w:rFonts w:asciiTheme="minorHAnsi" w:hAnsiTheme="minorHAnsi" w:cstheme="minorHAnsi"/>
                <w:sz w:val="20"/>
              </w:rPr>
            </w:pPr>
          </w:p>
        </w:tc>
        <w:tc>
          <w:tcPr>
            <w:tcW w:w="1717" w:type="dxa"/>
            <w:tcBorders>
              <w:bottom w:val="single" w:sz="18" w:space="0" w:color="auto"/>
              <w:right w:val="single" w:sz="8" w:space="0" w:color="auto"/>
            </w:tcBorders>
            <w:vAlign w:val="center"/>
          </w:tcPr>
          <w:p w:rsidR="00D53F08" w:rsidRPr="00DE1629" w:rsidP="001F7636" w14:paraId="26E2209F" w14:textId="77777777">
            <w:pPr>
              <w:jc w:val="center"/>
              <w:rPr>
                <w:rFonts w:asciiTheme="minorHAnsi" w:hAnsiTheme="minorHAnsi" w:cstheme="minorHAnsi"/>
                <w:sz w:val="20"/>
                <w:szCs w:val="20"/>
              </w:rPr>
            </w:pPr>
          </w:p>
        </w:tc>
        <w:tc>
          <w:tcPr>
            <w:tcW w:w="893" w:type="dxa"/>
            <w:tcBorders>
              <w:top w:val="single" w:sz="8" w:space="0" w:color="auto"/>
              <w:left w:val="single" w:sz="8" w:space="0" w:color="auto"/>
              <w:bottom w:val="single" w:sz="18" w:space="0" w:color="auto"/>
              <w:right w:val="single" w:sz="8" w:space="0" w:color="auto"/>
            </w:tcBorders>
            <w:vAlign w:val="center"/>
          </w:tcPr>
          <w:p w:rsidR="00D53F08" w:rsidRPr="00DE1629" w:rsidP="001F7636" w14:paraId="4C0A4881" w14:textId="77777777">
            <w:pPr>
              <w:pStyle w:val="MemoBody"/>
              <w:spacing w:after="0"/>
              <w:ind w:left="-22"/>
              <w:jc w:val="center"/>
              <w:rPr>
                <w:rFonts w:asciiTheme="minorHAnsi" w:hAnsiTheme="minorHAnsi" w:cstheme="minorHAnsi"/>
                <w:sz w:val="20"/>
              </w:rPr>
            </w:pPr>
            <w:r w:rsidRPr="00DE1629">
              <w:rPr>
                <w:rFonts w:asciiTheme="minorHAnsi" w:hAnsiTheme="minorHAnsi" w:cstheme="minorHAnsi"/>
                <w:sz w:val="20"/>
              </w:rPr>
              <w:t>Period 1</w:t>
            </w:r>
          </w:p>
        </w:tc>
        <w:tc>
          <w:tcPr>
            <w:tcW w:w="902" w:type="dxa"/>
            <w:gridSpan w:val="2"/>
            <w:tcBorders>
              <w:top w:val="single" w:sz="8" w:space="0" w:color="auto"/>
              <w:left w:val="single" w:sz="8" w:space="0" w:color="auto"/>
              <w:bottom w:val="single" w:sz="18" w:space="0" w:color="auto"/>
            </w:tcBorders>
            <w:vAlign w:val="center"/>
          </w:tcPr>
          <w:p w:rsidR="00D53F08" w:rsidRPr="00DE1629" w:rsidP="001F7636" w14:paraId="418C6769" w14:textId="77777777">
            <w:pPr>
              <w:pStyle w:val="MemoBody"/>
              <w:spacing w:after="0"/>
              <w:ind w:left="-53"/>
              <w:jc w:val="center"/>
              <w:rPr>
                <w:rFonts w:asciiTheme="minorHAnsi" w:hAnsiTheme="minorHAnsi" w:cstheme="minorHAnsi"/>
                <w:sz w:val="20"/>
              </w:rPr>
            </w:pPr>
            <w:r w:rsidRPr="00DE1629">
              <w:rPr>
                <w:rFonts w:asciiTheme="minorHAnsi" w:hAnsiTheme="minorHAnsi" w:cstheme="minorHAnsi"/>
                <w:sz w:val="20"/>
              </w:rPr>
              <w:t>Period 2</w:t>
            </w:r>
          </w:p>
        </w:tc>
      </w:tr>
      <w:tr w14:paraId="19DF57E6" w14:textId="77777777" w:rsidTr="08122567">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D53F08" w:rsidRPr="00DE1629" w:rsidP="001F7636" w14:paraId="2CA9C1D2" w14:textId="77777777">
            <w:pPr>
              <w:jc w:val="center"/>
              <w:rPr>
                <w:rFonts w:asciiTheme="minorHAnsi" w:hAnsiTheme="minorHAnsi" w:cstheme="minorHAnsi"/>
                <w:sz w:val="20"/>
                <w:szCs w:val="20"/>
              </w:rPr>
            </w:pPr>
            <w:r w:rsidRPr="00DE1629">
              <w:rPr>
                <w:rFonts w:asciiTheme="minorHAnsi" w:hAnsiTheme="minorHAnsi" w:cstheme="minorHAnsi"/>
                <w:sz w:val="20"/>
                <w:szCs w:val="20"/>
              </w:rPr>
              <w:t>3</w:t>
            </w:r>
          </w:p>
        </w:tc>
        <w:tc>
          <w:tcPr>
            <w:tcW w:w="4478" w:type="dxa"/>
            <w:tcBorders>
              <w:top w:val="nil"/>
              <w:bottom w:val="nil"/>
            </w:tcBorders>
            <w:vAlign w:val="center"/>
          </w:tcPr>
          <w:p w:rsidR="00D53F08" w:rsidRPr="00DE1629" w:rsidP="001F7636" w14:paraId="077D6A56" w14:textId="77777777">
            <w:pPr>
              <w:pStyle w:val="MemoBody"/>
              <w:spacing w:after="0"/>
              <w:ind w:left="-29"/>
              <w:rPr>
                <w:rFonts w:asciiTheme="minorHAnsi" w:hAnsiTheme="minorHAnsi" w:cstheme="minorHAnsi"/>
                <w:sz w:val="20"/>
              </w:rPr>
            </w:pPr>
            <w:r w:rsidRPr="00DE1629">
              <w:rPr>
                <w:rFonts w:asciiTheme="minorHAnsi" w:hAnsiTheme="minorHAnsi" w:cstheme="minorHAnsi"/>
                <w:sz w:val="20"/>
              </w:rPr>
              <w:t xml:space="preserve">  400 ≤ MOS</w:t>
            </w:r>
            <w:r w:rsidRPr="00DE1629">
              <w:rPr>
                <w:rFonts w:asciiTheme="minorHAnsi" w:hAnsiTheme="minorHAnsi" w:cstheme="minorHAnsi"/>
                <w:sz w:val="20"/>
                <w:vertAlign w:val="superscript"/>
              </w:rPr>
              <w:t>1</w:t>
            </w:r>
            <w:r w:rsidRPr="00DE1629">
              <w:rPr>
                <w:rFonts w:asciiTheme="minorHAnsi" w:hAnsiTheme="minorHAnsi" w:cstheme="minorHAnsi"/>
                <w:sz w:val="20"/>
              </w:rPr>
              <w:t xml:space="preserve">  &lt;</w:t>
            </w:r>
            <w:r w:rsidRPr="00DE1629">
              <w:rPr>
                <w:rFonts w:asciiTheme="minorHAnsi" w:hAnsiTheme="minorHAnsi" w:cstheme="minorHAnsi"/>
                <w:sz w:val="20"/>
              </w:rPr>
              <w:t xml:space="preserve">   800</w:t>
            </w:r>
          </w:p>
        </w:tc>
        <w:tc>
          <w:tcPr>
            <w:tcW w:w="1717" w:type="dxa"/>
            <w:tcBorders>
              <w:top w:val="nil"/>
              <w:bottom w:val="nil"/>
              <w:right w:val="single" w:sz="8" w:space="0" w:color="auto"/>
            </w:tcBorders>
            <w:vAlign w:val="center"/>
          </w:tcPr>
          <w:p w:rsidR="00D53F08" w:rsidRPr="00DE1629" w:rsidP="001F7636" w14:paraId="71651EEF" w14:textId="77777777">
            <w:pPr>
              <w:ind w:left="24"/>
              <w:rPr>
                <w:rFonts w:asciiTheme="minorHAnsi" w:hAnsiTheme="minorHAnsi" w:cstheme="minorHAnsi"/>
                <w:sz w:val="20"/>
                <w:szCs w:val="20"/>
              </w:rPr>
            </w:pPr>
            <w:r w:rsidRPr="00DE1629">
              <w:rPr>
                <w:rFonts w:asciiTheme="minorHAnsi" w:hAnsiTheme="minorHAnsi" w:cstheme="minorHAnsi"/>
                <w:sz w:val="20"/>
                <w:szCs w:val="20"/>
              </w:rPr>
              <w:t xml:space="preserve">  7.00%</w:t>
            </w:r>
          </w:p>
        </w:tc>
        <w:tc>
          <w:tcPr>
            <w:tcW w:w="893" w:type="dxa"/>
            <w:tcBorders>
              <w:top w:val="nil"/>
              <w:left w:val="single" w:sz="8" w:space="0" w:color="auto"/>
              <w:bottom w:val="nil"/>
              <w:right w:val="single" w:sz="8" w:space="0" w:color="auto"/>
            </w:tcBorders>
          </w:tcPr>
          <w:p w:rsidR="31E4EB29" w:rsidRPr="00DE1629" w:rsidP="7B12BB46" w14:paraId="7100AC65" w14:textId="60257E1D">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 xml:space="preserve"> </w:t>
            </w:r>
            <w:r w:rsidRPr="00DE1629" w:rsidR="6674E10A">
              <w:rPr>
                <w:rFonts w:eastAsia="Calibri" w:asciiTheme="minorHAnsi" w:hAnsiTheme="minorHAnsi" w:cstheme="minorHAnsi"/>
                <w:color w:val="000000" w:themeColor="text1"/>
              </w:rPr>
              <w:t>7.00%</w:t>
            </w:r>
          </w:p>
        </w:tc>
        <w:tc>
          <w:tcPr>
            <w:tcW w:w="902" w:type="dxa"/>
            <w:gridSpan w:val="2"/>
            <w:tcBorders>
              <w:top w:val="nil"/>
              <w:left w:val="single" w:sz="8" w:space="0" w:color="auto"/>
              <w:bottom w:val="nil"/>
            </w:tcBorders>
          </w:tcPr>
          <w:p w:rsidR="44860A06" w:rsidRPr="00DE1629" w:rsidP="7B12BB46" w14:paraId="3232A3E3" w14:textId="063F5628">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7.00%</w:t>
            </w:r>
          </w:p>
        </w:tc>
      </w:tr>
      <w:tr w14:paraId="10639EE8" w14:textId="77777777" w:rsidTr="08122567">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D53F08" w:rsidRPr="00DE1629" w:rsidP="001F7636" w14:paraId="283BC270" w14:textId="77777777">
            <w:pPr>
              <w:jc w:val="center"/>
              <w:rPr>
                <w:rFonts w:asciiTheme="minorHAnsi" w:hAnsiTheme="minorHAnsi" w:cstheme="minorHAnsi"/>
                <w:sz w:val="20"/>
                <w:szCs w:val="20"/>
              </w:rPr>
            </w:pPr>
            <w:r w:rsidRPr="00DE1629">
              <w:rPr>
                <w:rFonts w:asciiTheme="minorHAnsi" w:hAnsiTheme="minorHAnsi" w:cstheme="minorHAnsi"/>
                <w:sz w:val="20"/>
                <w:szCs w:val="20"/>
              </w:rPr>
              <w:t>5</w:t>
            </w:r>
          </w:p>
        </w:tc>
        <w:tc>
          <w:tcPr>
            <w:tcW w:w="4478" w:type="dxa"/>
            <w:tcBorders>
              <w:top w:val="nil"/>
              <w:bottom w:val="nil"/>
            </w:tcBorders>
            <w:vAlign w:val="center"/>
          </w:tcPr>
          <w:p w:rsidR="00D53F08" w:rsidRPr="00DE1629" w:rsidP="001F7636" w14:paraId="179EF8CA" w14:textId="77777777">
            <w:pPr>
              <w:pStyle w:val="MemoBody"/>
              <w:spacing w:after="0"/>
              <w:ind w:left="-29"/>
              <w:rPr>
                <w:rFonts w:asciiTheme="minorHAnsi" w:hAnsiTheme="minorHAnsi" w:cstheme="minorHAnsi"/>
                <w:sz w:val="20"/>
              </w:rPr>
            </w:pPr>
            <w:r w:rsidRPr="00DE1629">
              <w:rPr>
                <w:rFonts w:asciiTheme="minorHAnsi" w:hAnsiTheme="minorHAnsi" w:cstheme="minorHAnsi"/>
                <w:sz w:val="20"/>
              </w:rPr>
              <w:t xml:space="preserve">1200 ≤ </w:t>
            </w:r>
            <w:r w:rsidRPr="00DE1629">
              <w:rPr>
                <w:rFonts w:asciiTheme="minorHAnsi" w:hAnsiTheme="minorHAnsi" w:cstheme="minorHAnsi"/>
                <w:sz w:val="20"/>
              </w:rPr>
              <w:t xml:space="preserve">MOS  </w:t>
            </w:r>
            <w:r w:rsidRPr="00DE1629">
              <w:rPr>
                <w:rFonts w:asciiTheme="minorHAnsi" w:hAnsiTheme="minorHAnsi" w:cstheme="minorHAnsi"/>
                <w:i/>
                <w:sz w:val="20"/>
              </w:rPr>
              <w:t>and</w:t>
            </w:r>
            <w:r w:rsidRPr="00DE1629">
              <w:rPr>
                <w:rFonts w:asciiTheme="minorHAnsi" w:hAnsiTheme="minorHAnsi" w:cstheme="minorHAnsi"/>
                <w:sz w:val="20"/>
              </w:rPr>
              <w:t xml:space="preserve">         0 &lt; TRACTMOS</w:t>
            </w:r>
            <w:r w:rsidRPr="00DE1629">
              <w:rPr>
                <w:rFonts w:asciiTheme="minorHAnsi" w:hAnsiTheme="minorHAnsi" w:cstheme="minorHAnsi"/>
                <w:sz w:val="20"/>
                <w:vertAlign w:val="superscript"/>
              </w:rPr>
              <w:t>2</w:t>
            </w:r>
            <w:r w:rsidRPr="00DE1629">
              <w:rPr>
                <w:rFonts w:asciiTheme="minorHAnsi" w:hAnsiTheme="minorHAnsi" w:cstheme="minorHAnsi"/>
                <w:sz w:val="20"/>
              </w:rPr>
              <w:t xml:space="preserve"> &lt;   400</w:t>
            </w:r>
          </w:p>
        </w:tc>
        <w:tc>
          <w:tcPr>
            <w:tcW w:w="1717" w:type="dxa"/>
            <w:tcBorders>
              <w:top w:val="nil"/>
              <w:bottom w:val="nil"/>
              <w:right w:val="single" w:sz="8" w:space="0" w:color="auto"/>
            </w:tcBorders>
            <w:vAlign w:val="center"/>
          </w:tcPr>
          <w:p w:rsidR="00D53F08" w:rsidRPr="00DE1629" w:rsidP="40C90E09" w14:paraId="48BB1667" w14:textId="7C5FDD77">
            <w:pPr>
              <w:ind w:left="24"/>
              <w:rPr>
                <w:rFonts w:asciiTheme="minorHAnsi" w:hAnsiTheme="minorHAnsi" w:cstheme="minorHAnsi"/>
                <w:sz w:val="20"/>
                <w:szCs w:val="20"/>
              </w:rPr>
            </w:pPr>
            <w:r w:rsidRPr="00DE1629">
              <w:rPr>
                <w:rFonts w:asciiTheme="minorHAnsi" w:hAnsiTheme="minorHAnsi" w:cstheme="minorHAnsi"/>
                <w:sz w:val="20"/>
                <w:szCs w:val="20"/>
              </w:rPr>
              <w:t xml:space="preserve">  3.50 × BR</w:t>
            </w:r>
          </w:p>
        </w:tc>
        <w:tc>
          <w:tcPr>
            <w:tcW w:w="893" w:type="dxa"/>
            <w:tcBorders>
              <w:top w:val="nil"/>
              <w:left w:val="single" w:sz="8" w:space="0" w:color="auto"/>
              <w:bottom w:val="nil"/>
              <w:right w:val="single" w:sz="8" w:space="0" w:color="auto"/>
            </w:tcBorders>
          </w:tcPr>
          <w:p w:rsidR="44860A06" w:rsidRPr="00DE1629" w:rsidP="7B12BB46" w14:paraId="605FE94C" w14:textId="1BCCD9C4">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4.</w:t>
            </w:r>
            <w:r w:rsidR="00F31191">
              <w:rPr>
                <w:rFonts w:eastAsia="Calibri" w:asciiTheme="minorHAnsi" w:hAnsiTheme="minorHAnsi" w:cstheme="minorHAnsi"/>
                <w:color w:val="000000" w:themeColor="text1"/>
              </w:rPr>
              <w:t>79</w:t>
            </w:r>
            <w:r w:rsidRPr="00DE1629">
              <w:rPr>
                <w:rFonts w:eastAsia="Calibri" w:asciiTheme="minorHAnsi" w:hAnsiTheme="minorHAnsi" w:cstheme="minorHAnsi"/>
                <w:color w:val="000000" w:themeColor="text1"/>
              </w:rPr>
              <w:t>%</w:t>
            </w:r>
          </w:p>
        </w:tc>
        <w:tc>
          <w:tcPr>
            <w:tcW w:w="902" w:type="dxa"/>
            <w:gridSpan w:val="2"/>
            <w:tcBorders>
              <w:top w:val="nil"/>
              <w:left w:val="single" w:sz="8" w:space="0" w:color="auto"/>
              <w:bottom w:val="nil"/>
            </w:tcBorders>
          </w:tcPr>
          <w:p w:rsidR="44860A06" w:rsidRPr="00DE1629" w:rsidP="7B12BB46" w14:paraId="76FB06BE" w14:textId="6BF014DB">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4.</w:t>
            </w:r>
            <w:r w:rsidR="00F31191">
              <w:rPr>
                <w:rFonts w:eastAsia="Calibri" w:asciiTheme="minorHAnsi" w:hAnsiTheme="minorHAnsi" w:cstheme="minorHAnsi"/>
                <w:color w:val="000000" w:themeColor="text1"/>
              </w:rPr>
              <w:t>79</w:t>
            </w:r>
            <w:r w:rsidRPr="00DE1629">
              <w:rPr>
                <w:rFonts w:eastAsia="Calibri" w:asciiTheme="minorHAnsi" w:hAnsiTheme="minorHAnsi" w:cstheme="minorHAnsi"/>
                <w:color w:val="000000" w:themeColor="text1"/>
              </w:rPr>
              <w:t>%</w:t>
            </w:r>
          </w:p>
        </w:tc>
      </w:tr>
      <w:tr w14:paraId="7B754B46" w14:textId="77777777" w:rsidTr="08122567">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D53F08" w:rsidRPr="00DE1629" w:rsidP="001F7636" w14:paraId="58D3D79D" w14:textId="77777777">
            <w:pPr>
              <w:jc w:val="center"/>
              <w:rPr>
                <w:rFonts w:asciiTheme="minorHAnsi" w:hAnsiTheme="minorHAnsi" w:cstheme="minorHAnsi"/>
                <w:sz w:val="20"/>
                <w:szCs w:val="20"/>
              </w:rPr>
            </w:pPr>
            <w:r w:rsidRPr="00DE1629">
              <w:rPr>
                <w:rFonts w:asciiTheme="minorHAnsi" w:hAnsiTheme="minorHAnsi" w:cstheme="minorHAnsi"/>
                <w:sz w:val="20"/>
                <w:szCs w:val="20"/>
              </w:rPr>
              <w:t>7</w:t>
            </w:r>
          </w:p>
        </w:tc>
        <w:tc>
          <w:tcPr>
            <w:tcW w:w="4478" w:type="dxa"/>
            <w:tcBorders>
              <w:top w:val="nil"/>
              <w:bottom w:val="nil"/>
            </w:tcBorders>
            <w:vAlign w:val="center"/>
          </w:tcPr>
          <w:p w:rsidR="00D53F08" w:rsidRPr="00DE1629" w:rsidP="001F7636" w14:paraId="520377C1" w14:textId="77777777">
            <w:pPr>
              <w:pStyle w:val="MemoBody"/>
              <w:spacing w:after="0"/>
              <w:ind w:left="-29"/>
              <w:rPr>
                <w:rFonts w:asciiTheme="minorHAnsi" w:hAnsiTheme="minorHAnsi" w:cstheme="minorHAnsi"/>
                <w:sz w:val="20"/>
              </w:rPr>
            </w:pPr>
            <w:r w:rsidRPr="00DE1629">
              <w:rPr>
                <w:rFonts w:asciiTheme="minorHAnsi" w:hAnsiTheme="minorHAnsi" w:cstheme="minorHAnsi"/>
                <w:sz w:val="20"/>
              </w:rPr>
              <w:t xml:space="preserve">1200 ≤ </w:t>
            </w:r>
            <w:r w:rsidRPr="00DE1629">
              <w:rPr>
                <w:rFonts w:asciiTheme="minorHAnsi" w:hAnsiTheme="minorHAnsi" w:cstheme="minorHAnsi"/>
                <w:sz w:val="20"/>
              </w:rPr>
              <w:t xml:space="preserve">MOS  </w:t>
            </w:r>
            <w:r w:rsidRPr="00DE1629">
              <w:rPr>
                <w:rFonts w:asciiTheme="minorHAnsi" w:hAnsiTheme="minorHAnsi" w:cstheme="minorHAnsi"/>
                <w:i/>
                <w:sz w:val="20"/>
              </w:rPr>
              <w:t>and</w:t>
            </w:r>
            <w:r w:rsidRPr="00DE1629">
              <w:rPr>
                <w:rFonts w:asciiTheme="minorHAnsi" w:hAnsiTheme="minorHAnsi" w:cstheme="minorHAnsi"/>
                <w:sz w:val="20"/>
              </w:rPr>
              <w:t xml:space="preserve">     400 ≤ </w:t>
            </w:r>
            <w:r w:rsidRPr="00DE1629">
              <w:rPr>
                <w:rFonts w:asciiTheme="minorHAnsi" w:hAnsiTheme="minorHAnsi" w:cstheme="minorHAnsi"/>
                <w:sz w:val="20"/>
              </w:rPr>
              <w:t>TRACTMOS  &lt;</w:t>
            </w:r>
            <w:r w:rsidRPr="00DE1629">
              <w:rPr>
                <w:rFonts w:asciiTheme="minorHAnsi" w:hAnsiTheme="minorHAnsi" w:cstheme="minorHAnsi"/>
                <w:sz w:val="20"/>
              </w:rPr>
              <w:t xml:space="preserve"> 1000</w:t>
            </w:r>
          </w:p>
        </w:tc>
        <w:tc>
          <w:tcPr>
            <w:tcW w:w="1717" w:type="dxa"/>
            <w:tcBorders>
              <w:top w:val="nil"/>
              <w:bottom w:val="nil"/>
              <w:right w:val="single" w:sz="8" w:space="0" w:color="auto"/>
            </w:tcBorders>
            <w:vAlign w:val="center"/>
          </w:tcPr>
          <w:p w:rsidR="00D53F08" w:rsidRPr="00DE1629" w:rsidP="001F7636" w14:paraId="6A15F928" w14:textId="77777777">
            <w:pPr>
              <w:ind w:left="24"/>
              <w:rPr>
                <w:rFonts w:asciiTheme="minorHAnsi" w:hAnsiTheme="minorHAnsi" w:cstheme="minorHAnsi"/>
                <w:sz w:val="20"/>
                <w:szCs w:val="20"/>
              </w:rPr>
            </w:pPr>
            <w:r w:rsidRPr="00DE1629">
              <w:rPr>
                <w:rFonts w:asciiTheme="minorHAnsi" w:hAnsiTheme="minorHAnsi" w:cstheme="minorHAnsi"/>
                <w:sz w:val="20"/>
                <w:szCs w:val="20"/>
              </w:rPr>
              <w:t xml:space="preserve">  2.80 × BR</w:t>
            </w:r>
          </w:p>
        </w:tc>
        <w:tc>
          <w:tcPr>
            <w:tcW w:w="893" w:type="dxa"/>
            <w:tcBorders>
              <w:top w:val="nil"/>
              <w:left w:val="single" w:sz="8" w:space="0" w:color="auto"/>
              <w:bottom w:val="nil"/>
              <w:right w:val="single" w:sz="8" w:space="0" w:color="auto"/>
            </w:tcBorders>
          </w:tcPr>
          <w:p w:rsidR="44860A06" w:rsidRPr="00DE1629" w:rsidP="7B12BB46" w14:paraId="1FC9B0B4" w14:textId="7E4F2284">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3.</w:t>
            </w:r>
            <w:r w:rsidR="00F31191">
              <w:rPr>
                <w:rFonts w:eastAsia="Calibri" w:asciiTheme="minorHAnsi" w:hAnsiTheme="minorHAnsi" w:cstheme="minorHAnsi"/>
                <w:color w:val="000000" w:themeColor="text1"/>
              </w:rPr>
              <w:t>83</w:t>
            </w:r>
            <w:r w:rsidRPr="00DE1629">
              <w:rPr>
                <w:rFonts w:eastAsia="Calibri" w:asciiTheme="minorHAnsi" w:hAnsiTheme="minorHAnsi" w:cstheme="minorHAnsi"/>
                <w:color w:val="000000" w:themeColor="text1"/>
              </w:rPr>
              <w:t>%</w:t>
            </w:r>
          </w:p>
        </w:tc>
        <w:tc>
          <w:tcPr>
            <w:tcW w:w="902" w:type="dxa"/>
            <w:gridSpan w:val="2"/>
            <w:tcBorders>
              <w:top w:val="nil"/>
              <w:left w:val="single" w:sz="8" w:space="0" w:color="auto"/>
              <w:bottom w:val="nil"/>
            </w:tcBorders>
          </w:tcPr>
          <w:p w:rsidR="44860A06" w:rsidRPr="00DE1629" w:rsidP="7B12BB46" w14:paraId="03E10F8A" w14:textId="1E507BBD">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3.</w:t>
            </w:r>
            <w:r w:rsidR="00F31191">
              <w:rPr>
                <w:rFonts w:eastAsia="Calibri" w:asciiTheme="minorHAnsi" w:hAnsiTheme="minorHAnsi" w:cstheme="minorHAnsi"/>
                <w:color w:val="000000" w:themeColor="text1"/>
              </w:rPr>
              <w:t>83</w:t>
            </w:r>
            <w:r w:rsidRPr="00DE1629">
              <w:rPr>
                <w:rFonts w:eastAsia="Calibri" w:asciiTheme="minorHAnsi" w:hAnsiTheme="minorHAnsi" w:cstheme="minorHAnsi"/>
                <w:color w:val="000000" w:themeColor="text1"/>
              </w:rPr>
              <w:t>%</w:t>
            </w:r>
          </w:p>
        </w:tc>
      </w:tr>
      <w:tr w14:paraId="72CC4585" w14:textId="77777777" w:rsidTr="08122567">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D53F08" w:rsidRPr="00DE1629" w:rsidP="001F7636" w14:paraId="5DD5C386" w14:textId="77777777">
            <w:pPr>
              <w:jc w:val="center"/>
              <w:rPr>
                <w:rFonts w:asciiTheme="minorHAnsi" w:hAnsiTheme="minorHAnsi" w:cstheme="minorHAnsi"/>
                <w:sz w:val="20"/>
                <w:szCs w:val="20"/>
              </w:rPr>
            </w:pPr>
            <w:r w:rsidRPr="00DE1629">
              <w:rPr>
                <w:rFonts w:asciiTheme="minorHAnsi" w:hAnsiTheme="minorHAnsi" w:cstheme="minorHAnsi"/>
                <w:sz w:val="20"/>
                <w:szCs w:val="20"/>
              </w:rPr>
              <w:t>9</w:t>
            </w:r>
          </w:p>
        </w:tc>
        <w:tc>
          <w:tcPr>
            <w:tcW w:w="4478" w:type="dxa"/>
            <w:tcBorders>
              <w:top w:val="nil"/>
              <w:bottom w:val="nil"/>
            </w:tcBorders>
            <w:vAlign w:val="center"/>
          </w:tcPr>
          <w:p w:rsidR="00D53F08" w:rsidRPr="00DE1629" w:rsidP="001F7636" w14:paraId="6CBAD8B3" w14:textId="77777777">
            <w:pPr>
              <w:pStyle w:val="MemoBody"/>
              <w:spacing w:after="0"/>
              <w:ind w:left="-29"/>
              <w:rPr>
                <w:rFonts w:asciiTheme="minorHAnsi" w:hAnsiTheme="minorHAnsi" w:cstheme="minorHAnsi"/>
                <w:sz w:val="20"/>
              </w:rPr>
            </w:pPr>
            <w:r w:rsidRPr="00DE1629">
              <w:rPr>
                <w:rFonts w:asciiTheme="minorHAnsi" w:hAnsiTheme="minorHAnsi" w:cstheme="minorHAnsi"/>
                <w:sz w:val="20"/>
              </w:rPr>
              <w:t xml:space="preserve">1200 ≤ </w:t>
            </w:r>
            <w:r w:rsidRPr="00DE1629">
              <w:rPr>
                <w:rFonts w:asciiTheme="minorHAnsi" w:hAnsiTheme="minorHAnsi" w:cstheme="minorHAnsi"/>
                <w:sz w:val="20"/>
              </w:rPr>
              <w:t xml:space="preserve">MOS  </w:t>
            </w:r>
            <w:r w:rsidRPr="00DE1629">
              <w:rPr>
                <w:rFonts w:asciiTheme="minorHAnsi" w:hAnsiTheme="minorHAnsi" w:cstheme="minorHAnsi"/>
                <w:i/>
                <w:sz w:val="20"/>
              </w:rPr>
              <w:t>and</w:t>
            </w:r>
            <w:r w:rsidRPr="00DE1629">
              <w:rPr>
                <w:rFonts w:asciiTheme="minorHAnsi" w:hAnsiTheme="minorHAnsi" w:cstheme="minorHAnsi"/>
                <w:sz w:val="20"/>
              </w:rPr>
              <w:t xml:space="preserve">   1000 ≤ </w:t>
            </w:r>
            <w:r w:rsidRPr="00DE1629">
              <w:rPr>
                <w:rFonts w:asciiTheme="minorHAnsi" w:hAnsiTheme="minorHAnsi" w:cstheme="minorHAnsi"/>
                <w:sz w:val="20"/>
              </w:rPr>
              <w:t>TRACTMOS  &lt;</w:t>
            </w:r>
            <w:r w:rsidRPr="00DE1629">
              <w:rPr>
                <w:rFonts w:asciiTheme="minorHAnsi" w:hAnsiTheme="minorHAnsi" w:cstheme="minorHAnsi"/>
                <w:sz w:val="20"/>
              </w:rPr>
              <w:t xml:space="preserve"> 2000</w:t>
            </w:r>
          </w:p>
        </w:tc>
        <w:tc>
          <w:tcPr>
            <w:tcW w:w="1717" w:type="dxa"/>
            <w:tcBorders>
              <w:top w:val="nil"/>
              <w:bottom w:val="nil"/>
              <w:right w:val="single" w:sz="8" w:space="0" w:color="auto"/>
            </w:tcBorders>
            <w:vAlign w:val="center"/>
          </w:tcPr>
          <w:p w:rsidR="00D53F08" w:rsidRPr="00DE1629" w:rsidP="001F7636" w14:paraId="57182FE1" w14:textId="77777777">
            <w:pPr>
              <w:ind w:left="24"/>
              <w:rPr>
                <w:rFonts w:asciiTheme="minorHAnsi" w:hAnsiTheme="minorHAnsi" w:cstheme="minorHAnsi"/>
                <w:sz w:val="20"/>
                <w:szCs w:val="20"/>
              </w:rPr>
            </w:pPr>
            <w:r w:rsidRPr="00DE1629">
              <w:rPr>
                <w:rFonts w:asciiTheme="minorHAnsi" w:hAnsiTheme="minorHAnsi" w:cstheme="minorHAnsi"/>
                <w:sz w:val="20"/>
                <w:szCs w:val="20"/>
              </w:rPr>
              <w:t xml:space="preserve">  1.70 × BR</w:t>
            </w:r>
          </w:p>
        </w:tc>
        <w:tc>
          <w:tcPr>
            <w:tcW w:w="893" w:type="dxa"/>
            <w:tcBorders>
              <w:top w:val="nil"/>
              <w:left w:val="single" w:sz="8" w:space="0" w:color="auto"/>
              <w:bottom w:val="nil"/>
              <w:right w:val="single" w:sz="8" w:space="0" w:color="auto"/>
            </w:tcBorders>
          </w:tcPr>
          <w:p w:rsidR="44860A06" w:rsidRPr="00DE1629" w:rsidP="7B12BB46" w14:paraId="3CFC5215" w14:textId="44538D1B">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w:t>
            </w:r>
            <w:r w:rsidR="00F31191">
              <w:rPr>
                <w:rFonts w:eastAsia="Calibri" w:asciiTheme="minorHAnsi" w:hAnsiTheme="minorHAnsi" w:cstheme="minorHAnsi"/>
                <w:color w:val="000000" w:themeColor="text1"/>
              </w:rPr>
              <w:t>33</w:t>
            </w:r>
            <w:r w:rsidRPr="00DE1629">
              <w:rPr>
                <w:rFonts w:eastAsia="Calibri" w:asciiTheme="minorHAnsi" w:hAnsiTheme="minorHAnsi" w:cstheme="minorHAnsi"/>
                <w:color w:val="000000" w:themeColor="text1"/>
              </w:rPr>
              <w:t>%</w:t>
            </w:r>
          </w:p>
        </w:tc>
        <w:tc>
          <w:tcPr>
            <w:tcW w:w="902" w:type="dxa"/>
            <w:gridSpan w:val="2"/>
            <w:tcBorders>
              <w:top w:val="nil"/>
              <w:left w:val="single" w:sz="8" w:space="0" w:color="auto"/>
              <w:bottom w:val="nil"/>
            </w:tcBorders>
          </w:tcPr>
          <w:p w:rsidR="44860A06" w:rsidRPr="00DE1629" w:rsidP="7B12BB46" w14:paraId="78591F91" w14:textId="12FB599F">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2.</w:t>
            </w:r>
            <w:r w:rsidR="00F31191">
              <w:rPr>
                <w:rFonts w:eastAsia="Calibri" w:asciiTheme="minorHAnsi" w:hAnsiTheme="minorHAnsi" w:cstheme="minorHAnsi"/>
                <w:color w:val="000000" w:themeColor="text1"/>
              </w:rPr>
              <w:t>33</w:t>
            </w:r>
            <w:r w:rsidRPr="00DE1629">
              <w:rPr>
                <w:rFonts w:eastAsia="Calibri" w:asciiTheme="minorHAnsi" w:hAnsiTheme="minorHAnsi" w:cstheme="minorHAnsi"/>
                <w:color w:val="000000" w:themeColor="text1"/>
              </w:rPr>
              <w:t>%</w:t>
            </w:r>
          </w:p>
        </w:tc>
      </w:tr>
      <w:tr w14:paraId="7CC65A8D" w14:textId="77777777" w:rsidTr="08122567">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single" w:sz="24" w:space="0" w:color="auto"/>
            </w:tcBorders>
            <w:vAlign w:val="center"/>
          </w:tcPr>
          <w:p w:rsidR="00D53F08" w:rsidRPr="00DE1629" w:rsidP="001F7636" w14:paraId="21940597" w14:textId="77777777">
            <w:pPr>
              <w:jc w:val="center"/>
              <w:rPr>
                <w:rFonts w:asciiTheme="minorHAnsi" w:hAnsiTheme="minorHAnsi" w:cstheme="minorHAnsi"/>
                <w:sz w:val="20"/>
                <w:szCs w:val="20"/>
              </w:rPr>
            </w:pPr>
            <w:r w:rsidRPr="00DE1629">
              <w:rPr>
                <w:rFonts w:asciiTheme="minorHAnsi" w:hAnsiTheme="minorHAnsi" w:cstheme="minorHAnsi"/>
                <w:sz w:val="20"/>
                <w:szCs w:val="20"/>
              </w:rPr>
              <w:t>11</w:t>
            </w:r>
          </w:p>
        </w:tc>
        <w:tc>
          <w:tcPr>
            <w:tcW w:w="4478" w:type="dxa"/>
            <w:tcBorders>
              <w:top w:val="nil"/>
              <w:bottom w:val="single" w:sz="24" w:space="0" w:color="auto"/>
            </w:tcBorders>
            <w:vAlign w:val="center"/>
          </w:tcPr>
          <w:p w:rsidR="00D53F08" w:rsidRPr="00DE1629" w:rsidP="001F7636" w14:paraId="46A73883" w14:textId="77777777">
            <w:pPr>
              <w:pStyle w:val="MemoBody"/>
              <w:spacing w:after="0"/>
              <w:ind w:left="-29"/>
              <w:rPr>
                <w:rFonts w:asciiTheme="minorHAnsi" w:hAnsiTheme="minorHAnsi" w:cstheme="minorHAnsi"/>
                <w:sz w:val="20"/>
              </w:rPr>
            </w:pPr>
            <w:r w:rsidRPr="00DE1629">
              <w:rPr>
                <w:rFonts w:asciiTheme="minorHAnsi" w:hAnsiTheme="minorHAnsi" w:cstheme="minorHAnsi"/>
                <w:sz w:val="20"/>
              </w:rPr>
              <w:t xml:space="preserve">1200 ≤ </w:t>
            </w:r>
            <w:r w:rsidRPr="00DE1629">
              <w:rPr>
                <w:rFonts w:asciiTheme="minorHAnsi" w:hAnsiTheme="minorHAnsi" w:cstheme="minorHAnsi"/>
                <w:sz w:val="20"/>
              </w:rPr>
              <w:t xml:space="preserve">MOS  </w:t>
            </w:r>
            <w:r w:rsidRPr="00DE1629">
              <w:rPr>
                <w:rFonts w:asciiTheme="minorHAnsi" w:hAnsiTheme="minorHAnsi" w:cstheme="minorHAnsi"/>
                <w:i/>
                <w:sz w:val="20"/>
              </w:rPr>
              <w:t>and</w:t>
            </w:r>
            <w:r w:rsidRPr="00DE1629">
              <w:rPr>
                <w:rFonts w:asciiTheme="minorHAnsi" w:hAnsiTheme="minorHAnsi" w:cstheme="minorHAnsi"/>
                <w:sz w:val="20"/>
              </w:rPr>
              <w:t xml:space="preserve">   2000 ≤ </w:t>
            </w:r>
            <w:r w:rsidRPr="00DE1629">
              <w:rPr>
                <w:rFonts w:asciiTheme="minorHAnsi" w:hAnsiTheme="minorHAnsi" w:cstheme="minorHAnsi"/>
                <w:sz w:val="20"/>
              </w:rPr>
              <w:t>TRACTMOS  &lt;</w:t>
            </w:r>
            <w:r w:rsidRPr="00DE1629">
              <w:rPr>
                <w:rFonts w:asciiTheme="minorHAnsi" w:hAnsiTheme="minorHAnsi" w:cstheme="minorHAnsi"/>
                <w:sz w:val="20"/>
              </w:rPr>
              <w:t xml:space="preserve"> 4000</w:t>
            </w:r>
          </w:p>
        </w:tc>
        <w:tc>
          <w:tcPr>
            <w:tcW w:w="1717" w:type="dxa"/>
            <w:tcBorders>
              <w:top w:val="nil"/>
              <w:bottom w:val="single" w:sz="24" w:space="0" w:color="auto"/>
              <w:right w:val="single" w:sz="8" w:space="0" w:color="auto"/>
            </w:tcBorders>
            <w:vAlign w:val="center"/>
          </w:tcPr>
          <w:p w:rsidR="00D53F08" w:rsidRPr="00DE1629" w:rsidP="40C90E09" w14:paraId="182FDE72" w14:textId="555E025E">
            <w:pPr>
              <w:ind w:left="24"/>
              <w:rPr>
                <w:rFonts w:asciiTheme="minorHAnsi" w:hAnsiTheme="minorHAnsi" w:cstheme="minorHAnsi"/>
                <w:sz w:val="20"/>
                <w:szCs w:val="20"/>
              </w:rPr>
            </w:pPr>
            <w:r w:rsidRPr="00DE1629">
              <w:rPr>
                <w:rFonts w:asciiTheme="minorHAnsi" w:hAnsiTheme="minorHAnsi" w:cstheme="minorHAnsi"/>
                <w:sz w:val="20"/>
                <w:szCs w:val="20"/>
              </w:rPr>
              <w:t xml:space="preserve">  BR</w:t>
            </w:r>
            <w:r w:rsidRPr="00DE1629" w:rsidR="4FBCD290">
              <w:rPr>
                <w:rFonts w:asciiTheme="minorHAnsi" w:hAnsiTheme="minorHAnsi" w:cstheme="minorHAnsi"/>
                <w:sz w:val="20"/>
                <w:szCs w:val="20"/>
                <w:vertAlign w:val="superscript"/>
              </w:rPr>
              <w:t>3</w:t>
            </w:r>
          </w:p>
        </w:tc>
        <w:tc>
          <w:tcPr>
            <w:tcW w:w="893" w:type="dxa"/>
            <w:tcBorders>
              <w:top w:val="nil"/>
              <w:left w:val="single" w:sz="8" w:space="0" w:color="auto"/>
              <w:bottom w:val="single" w:sz="24" w:space="0" w:color="auto"/>
              <w:right w:val="single" w:sz="8" w:space="0" w:color="auto"/>
            </w:tcBorders>
          </w:tcPr>
          <w:p w:rsidR="44860A06" w:rsidRPr="00DE1629" w:rsidP="7B12BB46" w14:paraId="505C963D" w14:textId="11B18B31">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1.</w:t>
            </w:r>
            <w:r w:rsidR="00F31191">
              <w:rPr>
                <w:rFonts w:eastAsia="Calibri" w:asciiTheme="minorHAnsi" w:hAnsiTheme="minorHAnsi" w:cstheme="minorHAnsi"/>
                <w:color w:val="000000" w:themeColor="text1"/>
              </w:rPr>
              <w:t>37</w:t>
            </w:r>
            <w:r w:rsidRPr="00DE1629">
              <w:rPr>
                <w:rFonts w:eastAsia="Calibri" w:asciiTheme="minorHAnsi" w:hAnsiTheme="minorHAnsi" w:cstheme="minorHAnsi"/>
                <w:color w:val="000000" w:themeColor="text1"/>
              </w:rPr>
              <w:t>%</w:t>
            </w:r>
          </w:p>
        </w:tc>
        <w:tc>
          <w:tcPr>
            <w:tcW w:w="902" w:type="dxa"/>
            <w:gridSpan w:val="2"/>
            <w:tcBorders>
              <w:top w:val="nil"/>
              <w:left w:val="single" w:sz="8" w:space="0" w:color="auto"/>
              <w:bottom w:val="single" w:sz="24" w:space="0" w:color="auto"/>
            </w:tcBorders>
          </w:tcPr>
          <w:p w:rsidR="44860A06" w:rsidRPr="00DE1629" w:rsidP="7B12BB46" w14:paraId="6C564E70" w14:textId="1C91EA79">
            <w:pPr>
              <w:jc w:val="right"/>
              <w:rPr>
                <w:rFonts w:eastAsia="Calibri" w:asciiTheme="minorHAnsi" w:hAnsiTheme="minorHAnsi" w:cstheme="minorHAnsi"/>
                <w:color w:val="000000" w:themeColor="text1"/>
              </w:rPr>
            </w:pPr>
            <w:r w:rsidRPr="00DE1629">
              <w:rPr>
                <w:rFonts w:eastAsia="Calibri" w:asciiTheme="minorHAnsi" w:hAnsiTheme="minorHAnsi" w:cstheme="minorHAnsi"/>
                <w:color w:val="000000" w:themeColor="text1"/>
              </w:rPr>
              <w:t>1.</w:t>
            </w:r>
            <w:r w:rsidR="00F31191">
              <w:rPr>
                <w:rFonts w:eastAsia="Calibri" w:asciiTheme="minorHAnsi" w:hAnsiTheme="minorHAnsi" w:cstheme="minorHAnsi"/>
                <w:color w:val="000000" w:themeColor="text1"/>
              </w:rPr>
              <w:t>37</w:t>
            </w:r>
            <w:r w:rsidRPr="00DE1629">
              <w:rPr>
                <w:rFonts w:eastAsia="Calibri" w:asciiTheme="minorHAnsi" w:hAnsiTheme="minorHAnsi" w:cstheme="minorHAnsi"/>
                <w:color w:val="000000" w:themeColor="text1"/>
              </w:rPr>
              <w:t>%</w:t>
            </w:r>
          </w:p>
        </w:tc>
      </w:tr>
    </w:tbl>
    <w:p w:rsidR="00D53F08" w:rsidRPr="00D53F08" w:rsidP="007D4350" w14:paraId="6FABDFAB" w14:textId="77777777">
      <w:pPr>
        <w:pStyle w:val="Normal4"/>
        <w:spacing w:after="0"/>
        <w:ind w:left="540" w:firstLine="274"/>
        <w:rPr>
          <w:rFonts w:ascii="Calibri" w:hAnsi="Calibri" w:cstheme="minorBidi"/>
          <w:sz w:val="20"/>
          <w:szCs w:val="20"/>
        </w:rPr>
      </w:pPr>
      <w:r w:rsidRPr="40C90E09">
        <w:rPr>
          <w:rFonts w:ascii="Calibri" w:hAnsi="Calibri" w:cstheme="minorBidi"/>
          <w:sz w:val="20"/>
          <w:szCs w:val="20"/>
          <w:vertAlign w:val="superscript"/>
        </w:rPr>
        <w:t>1</w:t>
      </w:r>
      <w:r w:rsidRPr="40C90E09">
        <w:rPr>
          <w:rFonts w:ascii="Calibri" w:hAnsi="Calibri" w:cstheme="minorBidi"/>
          <w:sz w:val="20"/>
          <w:szCs w:val="20"/>
        </w:rPr>
        <w:t>MOS = measure of size (estimated number occupied housing units) of the smallest governmental entity</w:t>
      </w:r>
    </w:p>
    <w:p w:rsidR="00D53F08" w:rsidRPr="00D53F08" w:rsidP="007D4350" w14:paraId="2FB0A51F" w14:textId="77777777">
      <w:pPr>
        <w:pStyle w:val="Normal4"/>
        <w:spacing w:after="0"/>
        <w:ind w:left="540" w:firstLine="274"/>
        <w:rPr>
          <w:rFonts w:ascii="Calibri" w:hAnsi="Calibri" w:cstheme="minorBidi"/>
          <w:sz w:val="20"/>
          <w:szCs w:val="20"/>
        </w:rPr>
      </w:pPr>
      <w:r w:rsidRPr="40C90E09">
        <w:rPr>
          <w:rFonts w:ascii="Calibri" w:hAnsi="Calibri" w:cstheme="minorBidi"/>
          <w:sz w:val="20"/>
          <w:szCs w:val="20"/>
          <w:vertAlign w:val="superscript"/>
        </w:rPr>
        <w:t>2</w:t>
      </w:r>
      <w:r w:rsidRPr="40C90E09">
        <w:rPr>
          <w:rFonts w:ascii="Calibri" w:hAnsi="Calibri" w:cstheme="minorBidi"/>
          <w:sz w:val="20"/>
          <w:szCs w:val="20"/>
        </w:rPr>
        <w:t xml:space="preserve">TRACTMOS = the measure of size (MOS) at the census tract level </w:t>
      </w:r>
    </w:p>
    <w:p w:rsidR="00D53F08" w:rsidRPr="00D53F08" w:rsidP="3E55B57A" w14:paraId="333E4CE1" w14:textId="128DC1BE">
      <w:pPr>
        <w:pStyle w:val="Normal4"/>
        <w:spacing w:after="0"/>
        <w:ind w:left="540" w:firstLine="274"/>
        <w:rPr>
          <w:rFonts w:ascii="Calibri" w:hAnsi="Calibri" w:cstheme="minorBidi"/>
          <w:sz w:val="20"/>
          <w:szCs w:val="20"/>
        </w:rPr>
      </w:pPr>
      <w:r w:rsidRPr="3E55B57A">
        <w:rPr>
          <w:rFonts w:ascii="Calibri" w:hAnsi="Calibri" w:cstheme="minorBidi"/>
          <w:sz w:val="20"/>
          <w:szCs w:val="20"/>
          <w:vertAlign w:val="superscript"/>
        </w:rPr>
        <w:t>3</w:t>
      </w:r>
      <w:r w:rsidRPr="3E55B57A" w:rsidR="4D7F4034">
        <w:rPr>
          <w:rFonts w:ascii="Calibri" w:hAnsi="Calibri" w:cstheme="minorBidi"/>
          <w:sz w:val="20"/>
          <w:szCs w:val="20"/>
        </w:rPr>
        <w:t>BR = base sampling rate</w:t>
      </w:r>
    </w:p>
    <w:p w:rsidR="00D53F08" w:rsidP="58EE7093" w14:paraId="4EE4C31D" w14:textId="391E1A29">
      <w:pPr>
        <w:pStyle w:val="Normal4"/>
        <w:ind w:left="1170" w:firstLine="270"/>
        <w:rPr>
          <w:rFonts w:ascii="Calibri" w:hAnsi="Calibri" w:cstheme="minorBidi"/>
          <w:b/>
          <w:bCs/>
        </w:rPr>
      </w:pPr>
    </w:p>
    <w:p w:rsidR="00936A60" w:rsidRPr="007C4159" w:rsidP="7B12BB46" w14:paraId="4E45C8AC" w14:textId="77777777">
      <w:pPr>
        <w:pStyle w:val="Heading4"/>
        <w:ind w:firstLine="720"/>
        <w:rPr>
          <w:rFonts w:ascii="Calibri" w:hAnsi="Calibri" w:cstheme="minorBidi"/>
          <w:b/>
          <w:bCs/>
          <w:i w:val="0"/>
          <w:iCs w:val="0"/>
        </w:rPr>
      </w:pPr>
      <w:r w:rsidRPr="7B12BB46">
        <w:rPr>
          <w:rFonts w:ascii="Calibri" w:hAnsi="Calibri" w:cstheme="minorBidi"/>
          <w:b/>
          <w:bCs/>
          <w:i w:val="0"/>
          <w:iCs w:val="0"/>
          <w:color w:val="2B579A"/>
          <w:shd w:val="clear" w:color="auto" w:fill="E6E6E6"/>
        </w:rPr>
        <w:fldChar w:fldCharType="begin"/>
      </w:r>
      <w:r w:rsidRPr="7B12BB46">
        <w:rPr>
          <w:rFonts w:ascii="Calibri" w:hAnsi="Calibri" w:cstheme="minorBidi"/>
          <w:b/>
          <w:bCs/>
          <w:i w:val="0"/>
          <w:iCs w:val="0"/>
        </w:rPr>
        <w:instrText xml:space="preserve"> SEQ CHAPTER \h \r 1</w:instrText>
      </w:r>
      <w:r w:rsidRPr="7B12BB46">
        <w:rPr>
          <w:rFonts w:ascii="Calibri" w:hAnsi="Calibri" w:cstheme="minorBidi"/>
          <w:b/>
          <w:bCs/>
          <w:i w:val="0"/>
          <w:iCs w:val="0"/>
          <w:color w:val="2B579A"/>
          <w:shd w:val="clear" w:color="auto" w:fill="E6E6E6"/>
        </w:rPr>
        <w:fldChar w:fldCharType="separate"/>
      </w:r>
      <w:r w:rsidRPr="7B12BB46">
        <w:rPr>
          <w:rFonts w:ascii="Calibri" w:hAnsi="Calibri" w:cstheme="minorBidi"/>
          <w:b/>
          <w:bCs/>
          <w:i w:val="0"/>
          <w:iCs w:val="0"/>
          <w:color w:val="2B579A"/>
          <w:shd w:val="clear" w:color="auto" w:fill="E6E6E6"/>
        </w:rPr>
        <w:fldChar w:fldCharType="end"/>
      </w:r>
      <w:r w:rsidRPr="7B12BB46" w:rsidR="520CA5A1">
        <w:rPr>
          <w:rFonts w:ascii="Calibri" w:hAnsi="Calibri" w:cstheme="minorBidi"/>
          <w:b/>
          <w:bCs/>
          <w:i w:val="0"/>
          <w:iCs w:val="0"/>
        </w:rPr>
        <w:t>Second-Stage Sample Selection for Housing Units</w:t>
      </w:r>
    </w:p>
    <w:p w:rsidR="00936A60" w:rsidRPr="00157AFB" w:rsidP="7B12BB46" w14:paraId="66304938" w14:textId="40777E52">
      <w:pPr>
        <w:pStyle w:val="Normal4"/>
        <w:rPr>
          <w:rFonts w:ascii="Calibri" w:hAnsi="Calibri" w:cstheme="minorBidi"/>
        </w:rPr>
      </w:pPr>
      <w:r w:rsidRPr="7B12BB46">
        <w:rPr>
          <w:rFonts w:ascii="Calibri" w:hAnsi="Calibri" w:cstheme="minorBidi"/>
        </w:rPr>
        <w:t>After each block is assigned to a second-stage sampling stratum in each period, a systematic sample of addresses is selected from the second-stage universe (</w:t>
      </w:r>
      <w:r w:rsidRPr="7B12BB46" w:rsidR="22C0E68B">
        <w:rPr>
          <w:rFonts w:ascii="Calibri" w:hAnsi="Calibri" w:cstheme="minorBidi"/>
        </w:rPr>
        <w:t xml:space="preserve">equal to the </w:t>
      </w:r>
      <w:r w:rsidRPr="7B12BB46">
        <w:rPr>
          <w:rFonts w:ascii="Calibri" w:hAnsi="Calibri" w:cstheme="minorBidi"/>
        </w:rPr>
        <w:t>first-stage sample) within each county and county equivalent.</w:t>
      </w:r>
    </w:p>
    <w:p w:rsidR="00936A60" w:rsidRPr="007C4159" w:rsidP="00936A60" w14:paraId="6575E845" w14:textId="77777777">
      <w:pPr>
        <w:pStyle w:val="Heading4"/>
        <w:ind w:firstLine="720"/>
        <w:rPr>
          <w:rFonts w:ascii="Calibri" w:hAnsi="Calibri" w:cstheme="minorHAnsi"/>
          <w:b/>
          <w:bCs/>
          <w:i w:val="0"/>
          <w:iCs w:val="0"/>
        </w:rPr>
      </w:pPr>
      <w:r w:rsidRPr="007C4159">
        <w:rPr>
          <w:rFonts w:ascii="Calibri" w:hAnsi="Calibri" w:cstheme="minorHAnsi"/>
          <w:b/>
          <w:bCs/>
          <w:i w:val="0"/>
          <w:iCs w:val="0"/>
          <w:color w:val="2B579A"/>
          <w:shd w:val="clear" w:color="auto" w:fill="E6E6E6"/>
        </w:rPr>
        <w:fldChar w:fldCharType="begin"/>
      </w:r>
      <w:r w:rsidRPr="007C4159">
        <w:rPr>
          <w:rFonts w:ascii="Calibri" w:hAnsi="Calibri" w:cstheme="minorHAnsi"/>
          <w:b/>
          <w:bCs/>
          <w:i w:val="0"/>
          <w:iCs w:val="0"/>
        </w:rPr>
        <w:instrText xml:space="preserve"> SEQ CHAPTER \h \r 1</w:instrText>
      </w:r>
      <w:r w:rsidRPr="007C4159">
        <w:rPr>
          <w:rFonts w:ascii="Calibri" w:hAnsi="Calibri" w:cstheme="minorHAnsi"/>
          <w:b/>
          <w:bCs/>
          <w:i w:val="0"/>
          <w:iCs w:val="0"/>
          <w:color w:val="2B579A"/>
          <w:shd w:val="clear" w:color="auto" w:fill="E6E6E6"/>
        </w:rPr>
        <w:fldChar w:fldCharType="separate"/>
      </w:r>
      <w:r w:rsidRPr="007C4159">
        <w:rPr>
          <w:rFonts w:ascii="Calibri" w:hAnsi="Calibri" w:cstheme="minorHAnsi"/>
          <w:b/>
          <w:bCs/>
          <w:i w:val="0"/>
          <w:iCs w:val="0"/>
          <w:color w:val="2B579A"/>
          <w:shd w:val="clear" w:color="auto" w:fill="E6E6E6"/>
        </w:rPr>
        <w:fldChar w:fldCharType="end"/>
      </w:r>
      <w:r w:rsidRPr="007C4159">
        <w:rPr>
          <w:rFonts w:ascii="Calibri" w:hAnsi="Calibri" w:cstheme="minorHAnsi"/>
          <w:b/>
          <w:bCs/>
          <w:i w:val="0"/>
          <w:iCs w:val="0"/>
        </w:rPr>
        <w:t>Sample Month Assignment for Housing Units</w:t>
      </w:r>
    </w:p>
    <w:p w:rsidR="00FC3E72" w:rsidP="40C90E09" w14:paraId="1DAE968E" w14:textId="77777777">
      <w:pPr>
        <w:pStyle w:val="Normal4"/>
        <w:rPr>
          <w:rFonts w:ascii="Calibri" w:hAnsi="Calibri" w:cstheme="minorBidi"/>
        </w:rPr>
      </w:pPr>
      <w:r w:rsidRPr="40C90E09">
        <w:rPr>
          <w:rFonts w:ascii="Calibri" w:hAnsi="Calibri" w:cstheme="minorBidi"/>
        </w:rPr>
        <w:t xml:space="preserve">After the second stage of sampling, sample addresses selected during Period 1 sampling that are not in remote Alaska are allocated to one of the first six months of the sample year. </w:t>
      </w:r>
      <w:r w:rsidRPr="40C90E09">
        <w:rPr>
          <w:rFonts w:ascii="Calibri" w:hAnsi="Calibri" w:cstheme="minorBidi"/>
        </w:rPr>
        <w:t>Sample addresses selected during Period 2 sampling that are not in remote Alaska are assigned to a month between July through December, inclusive</w:t>
      </w:r>
      <w:r w:rsidRPr="40C90E09" w:rsidR="21513C6F">
        <w:rPr>
          <w:rFonts w:ascii="Calibri" w:hAnsi="Calibri" w:cstheme="minorBidi"/>
        </w:rPr>
        <w:t>ly</w:t>
      </w:r>
      <w:r w:rsidRPr="40C90E09" w:rsidR="767AADDE">
        <w:rPr>
          <w:rFonts w:ascii="Calibri" w:hAnsi="Calibri" w:cstheme="minorBidi"/>
        </w:rPr>
        <w:t xml:space="preserve">. </w:t>
      </w:r>
      <w:r w:rsidRPr="40C90E09">
        <w:rPr>
          <w:rFonts w:ascii="Calibri" w:hAnsi="Calibri" w:cstheme="minorBidi"/>
        </w:rPr>
        <w:t xml:space="preserve">Sample addresses in remote Alaska are assigned to January or </w:t>
      </w:r>
      <w:r w:rsidRPr="40C90E09" w:rsidR="4B718B20">
        <w:rPr>
          <w:rFonts w:ascii="Calibri" w:hAnsi="Calibri" w:cstheme="minorBidi"/>
        </w:rPr>
        <w:t xml:space="preserve">July </w:t>
      </w:r>
      <w:r w:rsidRPr="40C90E09">
        <w:rPr>
          <w:rFonts w:ascii="Calibri" w:hAnsi="Calibri" w:cstheme="minorBidi"/>
        </w:rPr>
        <w:t>in Period 1 and Period 2 sampling, respectively</w:t>
      </w:r>
      <w:r w:rsidRPr="40C90E09" w:rsidR="767AADDE">
        <w:rPr>
          <w:rFonts w:ascii="Calibri" w:hAnsi="Calibri" w:cstheme="minorBidi"/>
        </w:rPr>
        <w:t xml:space="preserve">. </w:t>
      </w:r>
    </w:p>
    <w:p w:rsidR="295A8F43" w:rsidP="3A436180" w14:paraId="0D99DE12" w14:textId="67EF50E1">
      <w:pPr>
        <w:pStyle w:val="Normal4"/>
        <w:spacing w:after="0"/>
        <w:rPr>
          <w:rFonts w:ascii="Calibri" w:hAnsi="Calibri" w:cstheme="minorBidi"/>
        </w:rPr>
      </w:pPr>
      <w:r w:rsidRPr="2E0452FD">
        <w:rPr>
          <w:rFonts w:ascii="Calibri" w:hAnsi="Calibri" w:cstheme="minorBidi"/>
        </w:rPr>
        <w:t xml:space="preserve">Due to the difficulties in field operations during specific months of the year and the extremely seasonal population in these areas, data collection operations in Remote Alaska differ from the rest of the country. In both the main and supplemental HU address samples, the month assigned for each Remote Alaska HU address is based on the county, place, ANVSA, or block group (in that order) in which it is contained. The Census Bureau assigns all designated addresses located in each of these geographical entities to either the first half or the second half of the year in such a way as to balance workloads between the halves of the year and to keep groups of cases together geographically. </w:t>
      </w:r>
      <w:r w:rsidRPr="08122567">
        <w:rPr>
          <w:rFonts w:ascii="Calibri" w:hAnsi="Calibri" w:cstheme="minorBidi"/>
        </w:rPr>
        <w:t xml:space="preserve">Addresses are sorted for each month by county and geographical order in the address frame and all sample addresses are sent directly to CAPI (bypassing mail for the HU sample) in </w:t>
      </w:r>
      <w:r w:rsidRPr="08122567" w:rsidR="00D9AB81">
        <w:rPr>
          <w:rFonts w:ascii="Calibri" w:hAnsi="Calibri" w:cstheme="minorBidi"/>
        </w:rPr>
        <w:t xml:space="preserve">the appropriate month. </w:t>
      </w:r>
    </w:p>
    <w:p w:rsidR="3A436180" w:rsidP="3A436180" w14:paraId="3ECB81EB" w14:textId="00757D27">
      <w:pPr>
        <w:pStyle w:val="Normal4"/>
        <w:spacing w:after="0"/>
        <w:rPr>
          <w:rFonts w:ascii="Calibri" w:hAnsi="Calibri" w:cstheme="minorBidi"/>
        </w:rPr>
      </w:pPr>
    </w:p>
    <w:p w:rsidR="00936A60" w:rsidRPr="007C4159" w:rsidP="00936A60" w14:paraId="359C3FA8" w14:textId="77777777">
      <w:pPr>
        <w:pStyle w:val="Heading4"/>
        <w:ind w:firstLine="720"/>
        <w:rPr>
          <w:rFonts w:ascii="Calibri" w:hAnsi="Calibri" w:cstheme="minorHAnsi"/>
          <w:b/>
          <w:bCs/>
          <w:i w:val="0"/>
          <w:iCs w:val="0"/>
        </w:rPr>
      </w:pPr>
      <w:r w:rsidRPr="007C4159">
        <w:rPr>
          <w:rFonts w:ascii="Calibri" w:hAnsi="Calibri" w:cstheme="minorHAnsi"/>
          <w:b/>
          <w:bCs/>
          <w:i w:val="0"/>
          <w:iCs w:val="0"/>
        </w:rPr>
        <w:t xml:space="preserve">Second-Phase Housing Unit Sample Selection – CAPI Subsampling </w:t>
      </w:r>
    </w:p>
    <w:p w:rsidR="00936A60" w:rsidRPr="00157AFB" w:rsidP="3A436180" w14:paraId="19C5BCFF" w14:textId="41D9CA38">
      <w:pPr>
        <w:pStyle w:val="Normal2"/>
        <w:ind w:left="1080"/>
        <w:rPr>
          <w:rFonts w:ascii="Calibri" w:hAnsi="Calibri" w:cstheme="minorBidi"/>
        </w:rPr>
      </w:pPr>
      <w:r w:rsidRPr="08122567">
        <w:rPr>
          <w:rFonts w:ascii="Calibri" w:hAnsi="Calibri" w:cstheme="minorBidi"/>
        </w:rPr>
        <w:t>The addresses from which CAPI subsamples are selected can be divided into two groups</w:t>
      </w:r>
      <w:r w:rsidRPr="08122567" w:rsidR="6F6A607E">
        <w:rPr>
          <w:rFonts w:ascii="Calibri" w:hAnsi="Calibri" w:cstheme="minorBidi"/>
        </w:rPr>
        <w:t>:</w:t>
      </w:r>
      <w:r w:rsidRPr="08122567">
        <w:rPr>
          <w:rFonts w:ascii="Calibri" w:hAnsi="Calibri" w:cstheme="minorBidi"/>
        </w:rPr>
        <w:t xml:space="preserve"> </w:t>
      </w:r>
    </w:p>
    <w:p w:rsidR="00936A60" w:rsidRPr="00157AFB" w:rsidP="08122567" w14:paraId="3EBAA5A8" w14:textId="43352617">
      <w:pPr>
        <w:pStyle w:val="Normal2"/>
        <w:numPr>
          <w:ilvl w:val="0"/>
          <w:numId w:val="1"/>
        </w:numPr>
        <w:rPr>
          <w:rFonts w:ascii="Calibri" w:hAnsi="Calibri" w:cstheme="minorBidi"/>
        </w:rPr>
      </w:pPr>
      <w:r w:rsidRPr="08122567">
        <w:rPr>
          <w:rFonts w:ascii="Calibri" w:hAnsi="Calibri" w:cstheme="minorBidi"/>
        </w:rPr>
        <w:t>T</w:t>
      </w:r>
      <w:r w:rsidRPr="08122567" w:rsidR="6AC8230D">
        <w:rPr>
          <w:rFonts w:ascii="Calibri" w:hAnsi="Calibri" w:cstheme="minorBidi"/>
        </w:rPr>
        <w:t>he first</w:t>
      </w:r>
      <w:r w:rsidRPr="08122567" w:rsidR="7DBB5822">
        <w:rPr>
          <w:rFonts w:ascii="Calibri" w:hAnsi="Calibri" w:cstheme="minorBidi"/>
        </w:rPr>
        <w:t xml:space="preserve"> group includes addresses that are not eligible for any other data collection operation; these consist of </w:t>
      </w:r>
      <w:r w:rsidRPr="08122567" w:rsidR="6AC8230D">
        <w:rPr>
          <w:rFonts w:ascii="Calibri" w:hAnsi="Calibri" w:cstheme="minorBidi"/>
        </w:rPr>
        <w:t xml:space="preserve">a) </w:t>
      </w:r>
      <w:r w:rsidRPr="08122567" w:rsidR="7DBB5822">
        <w:rPr>
          <w:rFonts w:ascii="Calibri" w:hAnsi="Calibri" w:cstheme="minorBidi"/>
        </w:rPr>
        <w:t xml:space="preserve">unmailable addresses and </w:t>
      </w:r>
      <w:r w:rsidRPr="08122567" w:rsidR="6AC8230D">
        <w:rPr>
          <w:rFonts w:ascii="Calibri" w:hAnsi="Calibri" w:cstheme="minorBidi"/>
        </w:rPr>
        <w:t xml:space="preserve">b) </w:t>
      </w:r>
      <w:r w:rsidRPr="08122567" w:rsidR="7DBB5822">
        <w:rPr>
          <w:rFonts w:ascii="Calibri" w:hAnsi="Calibri" w:cstheme="minorBidi"/>
        </w:rPr>
        <w:t>those in remote Alaska areas.</w:t>
      </w:r>
    </w:p>
    <w:p w:rsidR="00936A60" w:rsidRPr="00157AFB" w:rsidP="08122567" w14:paraId="4642D7E3" w14:textId="4DCF1E32">
      <w:pPr>
        <w:pStyle w:val="Normal2"/>
        <w:numPr>
          <w:ilvl w:val="0"/>
          <w:numId w:val="1"/>
        </w:numPr>
        <w:rPr>
          <w:rFonts w:ascii="Calibri" w:hAnsi="Calibri" w:cstheme="minorBidi"/>
        </w:rPr>
      </w:pPr>
      <w:r w:rsidRPr="08122567">
        <w:rPr>
          <w:rFonts w:ascii="Calibri" w:hAnsi="Calibri" w:cstheme="minorBidi"/>
        </w:rPr>
        <w:t>T</w:t>
      </w:r>
      <w:r w:rsidRPr="08122567" w:rsidR="7DBB5822">
        <w:rPr>
          <w:rFonts w:ascii="Calibri" w:hAnsi="Calibri" w:cstheme="minorBidi"/>
        </w:rPr>
        <w:t>he second group includes addresses that are eligible for the other data collection operations but for which no response was obtained prior to CAPI subsampling</w:t>
      </w:r>
      <w:r w:rsidRPr="08122567" w:rsidR="7979D071">
        <w:rPr>
          <w:rFonts w:ascii="Calibri" w:hAnsi="Calibri" w:cs="Calibri"/>
        </w:rPr>
        <w:t>—</w:t>
      </w:r>
      <w:r w:rsidRPr="08122567" w:rsidR="7DBB5822">
        <w:rPr>
          <w:rFonts w:ascii="Calibri" w:hAnsi="Calibri" w:cstheme="minorBidi"/>
        </w:rPr>
        <w:t>these consist of mailable addresses not in a remote Alaska area.</w:t>
      </w:r>
    </w:p>
    <w:p w:rsidR="00C74D78" w:rsidRPr="00DC0112" w:rsidP="08122567" w14:paraId="46B7D3EA" w14:textId="7A584F90">
      <w:pPr>
        <w:pStyle w:val="Normal2"/>
        <w:ind w:left="1080"/>
        <w:rPr>
          <w:rFonts w:ascii="Calibri" w:hAnsi="Calibri" w:cstheme="minorBidi"/>
        </w:rPr>
      </w:pPr>
      <w:r w:rsidRPr="08122567">
        <w:rPr>
          <w:rFonts w:ascii="Calibri" w:hAnsi="Calibri" w:cstheme="minorBidi"/>
        </w:rPr>
        <w:t>Most unmailable addresses are selected for CAPI at a rate of 2-in-3</w:t>
      </w:r>
      <w:r w:rsidRPr="08122567" w:rsidR="4AEFB133">
        <w:rPr>
          <w:rFonts w:ascii="Calibri" w:hAnsi="Calibri" w:cstheme="minorBidi"/>
        </w:rPr>
        <w:t>. Mailable addresses from which a response was not obtained by the time of the CAPI operation are sampled at rates of 1-in-2, 2-in-5, and 1-in-3; these rates are set at the tract level. All sample addresses (unmailable and mailable) in HH, ANVSA, AI areas, and remote Alaska are selected for CAPI.  See Table 3 for</w:t>
      </w:r>
      <w:r w:rsidRPr="08122567" w:rsidR="578FCAD8">
        <w:rPr>
          <w:rFonts w:ascii="Calibri" w:hAnsi="Calibri" w:cstheme="minorBidi"/>
        </w:rPr>
        <w:t xml:space="preserve"> </w:t>
      </w:r>
      <w:r w:rsidRPr="08122567" w:rsidR="4AEFB133">
        <w:rPr>
          <w:rFonts w:ascii="Calibri" w:hAnsi="Calibri" w:cstheme="minorBidi"/>
        </w:rPr>
        <w:t>the CAPI subsampling rates.</w:t>
      </w:r>
    </w:p>
    <w:p w:rsidR="00936A60" w:rsidP="00936A60" w14:paraId="1B73D44B" w14:textId="77777777">
      <w:pPr>
        <w:pStyle w:val="Normal2"/>
        <w:ind w:left="1080"/>
        <w:rPr>
          <w:rFonts w:ascii="Calibri" w:hAnsi="Calibri" w:cstheme="minorHAnsi"/>
        </w:rPr>
      </w:pPr>
      <w:r w:rsidRPr="005C6D5B">
        <w:rPr>
          <w:rFonts w:ascii="Calibri" w:hAnsi="Calibri" w:cstheme="minorHAnsi"/>
        </w:rPr>
        <w:t>All non-responding addresses in Puerto Rico are subsampled for CAPI at a 1-in-2 rate.</w:t>
      </w:r>
    </w:p>
    <w:p w:rsidR="00F13A7C" w:rsidP="58EE7093" w14:paraId="31EC7866" w14:textId="77777777">
      <w:pPr>
        <w:widowControl/>
        <w:autoSpaceDE/>
        <w:autoSpaceDN/>
        <w:spacing w:after="160" w:line="259" w:lineRule="auto"/>
        <w:rPr>
          <w:rFonts w:ascii="Calibri" w:eastAsia="Times New Roman" w:hAnsi="Calibri" w:cstheme="minorBidi"/>
          <w:b/>
          <w:bCs/>
          <w:sz w:val="24"/>
          <w:szCs w:val="24"/>
          <w:lang w:bidi="ar-SA"/>
        </w:rPr>
      </w:pPr>
      <w:r w:rsidRPr="58EE7093">
        <w:rPr>
          <w:rFonts w:ascii="Calibri" w:hAnsi="Calibri" w:cstheme="minorBidi"/>
          <w:b/>
          <w:bCs/>
        </w:rPr>
        <w:br w:type="page"/>
      </w:r>
    </w:p>
    <w:p w:rsidR="00936A60" w:rsidP="00481F62" w14:paraId="45A40E33" w14:textId="7D3FA345">
      <w:pPr>
        <w:pStyle w:val="Normal2"/>
        <w:ind w:left="1080" w:hanging="450"/>
        <w:rPr>
          <w:rFonts w:ascii="Calibri" w:hAnsi="Calibri" w:cstheme="minorHAnsi"/>
          <w:b/>
        </w:rPr>
      </w:pPr>
      <w:r w:rsidRPr="08122567">
        <w:rPr>
          <w:rFonts w:ascii="Calibri" w:hAnsi="Calibri" w:cstheme="minorBidi"/>
          <w:b/>
          <w:bCs/>
        </w:rPr>
        <w:t>Table 3. Second-Phase (CAPI) Subsampling Rates for the United States</w:t>
      </w:r>
    </w:p>
    <w:tbl>
      <w:tblPr>
        <w:tblW w:w="8820" w:type="dxa"/>
        <w:jc w:val="center"/>
        <w:tblBorders>
          <w:top w:val="single" w:sz="18" w:space="0" w:color="000000"/>
          <w:bottom w:val="single" w:sz="18" w:space="0" w:color="000000"/>
        </w:tblBorders>
        <w:tblLayout w:type="fixed"/>
        <w:tblCellMar>
          <w:left w:w="39" w:type="dxa"/>
          <w:right w:w="39" w:type="dxa"/>
        </w:tblCellMar>
        <w:tblLook w:val="0000"/>
      </w:tblPr>
      <w:tblGrid>
        <w:gridCol w:w="7110"/>
        <w:gridCol w:w="1710"/>
      </w:tblGrid>
      <w:tr w14:paraId="6F7F97BC" w14:textId="77777777" w:rsidTr="3A436180">
        <w:tblPrEx>
          <w:tblW w:w="8820" w:type="dxa"/>
          <w:jc w:val="center"/>
          <w:tblBorders>
            <w:top w:val="single" w:sz="18" w:space="0" w:color="000000"/>
            <w:bottom w:val="single" w:sz="18" w:space="0" w:color="000000"/>
          </w:tblBorders>
          <w:tblLayout w:type="fixed"/>
          <w:tblCellMar>
            <w:left w:w="39" w:type="dxa"/>
            <w:right w:w="39" w:type="dxa"/>
          </w:tblCellMar>
          <w:tblLook w:val="0000"/>
        </w:tblPrEx>
        <w:trPr>
          <w:trHeight w:val="549"/>
          <w:tblHeader/>
          <w:jc w:val="center"/>
        </w:trPr>
        <w:tc>
          <w:tcPr>
            <w:tcW w:w="7110" w:type="dxa"/>
            <w:tcBorders>
              <w:top w:val="single" w:sz="18" w:space="0" w:color="000000" w:themeColor="text1"/>
              <w:bottom w:val="single" w:sz="12" w:space="0" w:color="000000" w:themeColor="text1"/>
            </w:tcBorders>
            <w:vAlign w:val="center"/>
          </w:tcPr>
          <w:p w:rsidR="00C931D2" w:rsidRPr="00C931D2" w:rsidP="001F7636" w14:paraId="52403851" w14:textId="77777777">
            <w:pPr>
              <w:jc w:val="center"/>
              <w:rPr>
                <w:rFonts w:ascii="Calibri" w:hAnsi="Calibri" w:cstheme="minorHAnsi"/>
                <w:sz w:val="20"/>
                <w:szCs w:val="20"/>
              </w:rPr>
            </w:pPr>
            <w:r w:rsidRPr="00C931D2">
              <w:rPr>
                <w:rFonts w:ascii="Calibri" w:hAnsi="Calibri" w:cstheme="minorHAnsi"/>
                <w:sz w:val="20"/>
                <w:szCs w:val="20"/>
              </w:rPr>
              <w:t xml:space="preserve">Address and Tract Characteristics </w:t>
            </w:r>
            <w:r>
              <w:rPr>
                <w:rFonts w:ascii="Calibri" w:hAnsi="Calibri" w:cstheme="minorHAnsi"/>
                <w:sz w:val="20"/>
                <w:szCs w:val="20"/>
              </w:rPr>
              <w:fldChar w:fldCharType="begin"/>
            </w:r>
            <w:r w:rsidRPr="00C931D2">
              <w:rPr>
                <w:rFonts w:ascii="Calibri" w:hAnsi="Calibri" w:cstheme="minorHAnsi"/>
                <w:sz w:val="20"/>
                <w:szCs w:val="20"/>
              </w:rPr>
              <w:instrText>tc "Address and Tract Characteristics " \l 4</w:instrText>
            </w:r>
            <w:r>
              <w:rPr>
                <w:rFonts w:ascii="Calibri" w:hAnsi="Calibri" w:cstheme="minorHAnsi"/>
                <w:sz w:val="20"/>
                <w:szCs w:val="20"/>
              </w:rPr>
              <w:fldChar w:fldCharType="end"/>
            </w:r>
          </w:p>
        </w:tc>
        <w:tc>
          <w:tcPr>
            <w:tcW w:w="1710" w:type="dxa"/>
            <w:tcBorders>
              <w:top w:val="single" w:sz="18" w:space="0" w:color="000000" w:themeColor="text1"/>
              <w:bottom w:val="single" w:sz="12" w:space="0" w:color="000000" w:themeColor="text1"/>
            </w:tcBorders>
            <w:vAlign w:val="center"/>
          </w:tcPr>
          <w:p w:rsidR="00C931D2" w:rsidRPr="00C931D2" w:rsidP="001F7636" w14:paraId="04BD5C03" w14:textId="77777777">
            <w:pPr>
              <w:jc w:val="center"/>
              <w:rPr>
                <w:rFonts w:ascii="Calibri" w:hAnsi="Calibri" w:cstheme="minorHAnsi"/>
                <w:sz w:val="20"/>
                <w:szCs w:val="20"/>
              </w:rPr>
            </w:pPr>
            <w:r w:rsidRPr="00C931D2">
              <w:rPr>
                <w:rFonts w:ascii="Calibri" w:hAnsi="Calibri" w:cstheme="minorHAnsi"/>
                <w:sz w:val="20"/>
                <w:szCs w:val="20"/>
              </w:rPr>
              <w:t>CAPI Subsampling Rate</w:t>
            </w:r>
          </w:p>
        </w:tc>
      </w:tr>
      <w:tr w14:paraId="2B43DE4C" w14:textId="77777777" w:rsidTr="3A436180">
        <w:tblPrEx>
          <w:tblW w:w="8820" w:type="dxa"/>
          <w:jc w:val="center"/>
          <w:tblLayout w:type="fixed"/>
          <w:tblCellMar>
            <w:left w:w="39" w:type="dxa"/>
            <w:right w:w="39" w:type="dxa"/>
          </w:tblCellMar>
          <w:tblLook w:val="0000"/>
        </w:tblPrEx>
        <w:trPr>
          <w:trHeight w:val="342"/>
          <w:jc w:val="center"/>
        </w:trPr>
        <w:tc>
          <w:tcPr>
            <w:tcW w:w="71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931D2" w:rsidRPr="00E96CA3" w:rsidP="001F7636" w14:paraId="0CECED6D" w14:textId="52049C24">
            <w:pPr>
              <w:ind w:right="-43"/>
              <w:rPr>
                <w:rFonts w:ascii="Calibri" w:hAnsi="Calibri" w:cstheme="minorHAnsi"/>
                <w:sz w:val="20"/>
                <w:szCs w:val="20"/>
              </w:rPr>
            </w:pPr>
            <w:r w:rsidRPr="00C931D2">
              <w:rPr>
                <w:rFonts w:ascii="Calibri" w:hAnsi="Calibri" w:cstheme="minorHAnsi"/>
                <w:sz w:val="20"/>
                <w:szCs w:val="20"/>
              </w:rPr>
              <w:t>Addresses in Remote Alaska</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931D2" w:rsidRPr="00C931D2" w:rsidP="001F7636" w14:paraId="785D3840" w14:textId="77777777">
            <w:pPr>
              <w:ind w:right="141"/>
              <w:jc w:val="center"/>
              <w:rPr>
                <w:rFonts w:ascii="Calibri" w:hAnsi="Calibri" w:cstheme="minorHAnsi"/>
                <w:sz w:val="20"/>
                <w:szCs w:val="20"/>
              </w:rPr>
            </w:pPr>
            <w:r w:rsidRPr="00C931D2">
              <w:rPr>
                <w:rFonts w:ascii="Calibri" w:hAnsi="Calibri" w:cstheme="minorHAnsi"/>
                <w:sz w:val="20"/>
                <w:szCs w:val="20"/>
              </w:rPr>
              <w:t>Take all (100.0%)</w:t>
            </w:r>
          </w:p>
        </w:tc>
      </w:tr>
      <w:tr w14:paraId="77789E36" w14:textId="77777777" w:rsidTr="3A436180">
        <w:tblPrEx>
          <w:tblW w:w="8820" w:type="dxa"/>
          <w:jc w:val="center"/>
          <w:tblLayout w:type="fixed"/>
          <w:tblCellMar>
            <w:left w:w="39" w:type="dxa"/>
            <w:right w:w="39" w:type="dxa"/>
          </w:tblCellMar>
          <w:tblLook w:val="0000"/>
        </w:tblPrEx>
        <w:trPr>
          <w:trHeight w:val="20"/>
          <w:jc w:val="center"/>
        </w:trPr>
        <w:tc>
          <w:tcPr>
            <w:tcW w:w="71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931D2" w:rsidRPr="00C931D2" w:rsidP="001F7636" w14:paraId="65B3C493" w14:textId="77777777">
            <w:pPr>
              <w:pStyle w:val="table"/>
              <w:ind w:right="-43"/>
              <w:jc w:val="left"/>
              <w:rPr>
                <w:rFonts w:ascii="Calibri" w:hAnsi="Calibri" w:cstheme="minorHAnsi"/>
                <w:sz w:val="20"/>
                <w:szCs w:val="20"/>
                <w:vertAlign w:val="superscript"/>
              </w:rPr>
            </w:pPr>
            <w:r w:rsidRPr="00C931D2">
              <w:rPr>
                <w:rFonts w:ascii="Calibri" w:hAnsi="Calibri" w:cstheme="minorHAnsi"/>
                <w:sz w:val="20"/>
                <w:szCs w:val="20"/>
              </w:rPr>
              <w:t>Addresses in Hawaiian Homelands, Alaska Native Village statistical areas and a subset of American Indian areas</w:t>
            </w:r>
            <w:r w:rsidRPr="00C931D2">
              <w:rPr>
                <w:rFonts w:ascii="Calibri" w:hAnsi="Calibri" w:cstheme="minorHAnsi"/>
                <w:sz w:val="20"/>
                <w:szCs w:val="20"/>
                <w:vertAlign w:val="superscript"/>
              </w:rPr>
              <w:t>*</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931D2" w:rsidRPr="00C931D2" w:rsidP="001F7636" w14:paraId="3C8939BB" w14:textId="77777777">
            <w:pPr>
              <w:pStyle w:val="MemoVersion"/>
              <w:numPr>
                <w:ilvl w:val="12"/>
                <w:numId w:val="0"/>
              </w:numPr>
              <w:tabs>
                <w:tab w:val="left" w:pos="360"/>
                <w:tab w:val="left" w:pos="1080"/>
                <w:tab w:val="clear" w:pos="2160"/>
                <w:tab w:val="clear" w:pos="2880"/>
                <w:tab w:val="clear" w:pos="3600"/>
                <w:tab w:val="clear" w:pos="4320"/>
                <w:tab w:val="clear" w:pos="5040"/>
                <w:tab w:val="clear" w:pos="5760"/>
                <w:tab w:val="clear" w:pos="6480"/>
                <w:tab w:val="clear" w:pos="7200"/>
                <w:tab w:val="clear" w:pos="7920"/>
              </w:tabs>
              <w:ind w:right="141"/>
              <w:jc w:val="center"/>
              <w:rPr>
                <w:rFonts w:ascii="Calibri" w:hAnsi="Calibri" w:cstheme="minorHAnsi"/>
                <w:smallCaps w:val="0"/>
                <w:sz w:val="20"/>
                <w:szCs w:val="20"/>
              </w:rPr>
            </w:pPr>
            <w:r w:rsidRPr="00C931D2">
              <w:rPr>
                <w:rFonts w:ascii="Calibri" w:hAnsi="Calibri" w:cstheme="minorHAnsi"/>
                <w:smallCaps w:val="0"/>
                <w:sz w:val="20"/>
                <w:szCs w:val="20"/>
              </w:rPr>
              <w:t>Take all (100.0%)</w:t>
            </w:r>
          </w:p>
        </w:tc>
      </w:tr>
      <w:tr w14:paraId="66844D04" w14:textId="77777777" w:rsidTr="3A436180">
        <w:tblPrEx>
          <w:tblW w:w="8820" w:type="dxa"/>
          <w:jc w:val="center"/>
          <w:tblLayout w:type="fixed"/>
          <w:tblCellMar>
            <w:left w:w="39" w:type="dxa"/>
            <w:right w:w="39" w:type="dxa"/>
          </w:tblCellMar>
          <w:tblLook w:val="0000"/>
        </w:tblPrEx>
        <w:trPr>
          <w:trHeight w:val="423"/>
          <w:jc w:val="center"/>
        </w:trPr>
        <w:tc>
          <w:tcPr>
            <w:tcW w:w="71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931D2" w:rsidRPr="00C931D2" w:rsidP="2E0452FD" w14:paraId="695A714E" w14:textId="77777777">
            <w:pPr>
              <w:ind w:right="-43"/>
              <w:rPr>
                <w:rFonts w:ascii="Calibri" w:hAnsi="Calibri" w:cstheme="minorBidi"/>
                <w:sz w:val="20"/>
                <w:szCs w:val="20"/>
              </w:rPr>
            </w:pPr>
            <w:r w:rsidRPr="2E0452FD">
              <w:rPr>
                <w:rFonts w:ascii="Calibri" w:hAnsi="Calibri" w:cstheme="minorBidi"/>
                <w:sz w:val="20"/>
                <w:szCs w:val="20"/>
              </w:rPr>
              <w:t>Unmailable addresses that are not in the previous two categories</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931D2" w:rsidRPr="00C931D2" w:rsidP="001F7636" w14:paraId="4DB9A88F" w14:textId="77777777">
            <w:pPr>
              <w:pStyle w:val="MemoVersion"/>
              <w:numPr>
                <w:ilvl w:val="12"/>
                <w:numId w:val="0"/>
              </w:numPr>
              <w:tabs>
                <w:tab w:val="left" w:pos="360"/>
                <w:tab w:val="clear" w:pos="720"/>
                <w:tab w:val="left" w:pos="862"/>
                <w:tab w:val="left" w:pos="978"/>
                <w:tab w:val="left" w:pos="1080"/>
                <w:tab w:val="left" w:pos="1221"/>
                <w:tab w:val="clear" w:pos="1440"/>
                <w:tab w:val="clear" w:pos="2160"/>
                <w:tab w:val="clear" w:pos="2880"/>
                <w:tab w:val="clear" w:pos="3600"/>
                <w:tab w:val="clear" w:pos="4320"/>
                <w:tab w:val="clear" w:pos="5040"/>
                <w:tab w:val="clear" w:pos="5760"/>
                <w:tab w:val="clear" w:pos="6480"/>
                <w:tab w:val="clear" w:pos="7200"/>
                <w:tab w:val="clear" w:pos="7920"/>
              </w:tabs>
              <w:ind w:right="229"/>
              <w:jc w:val="center"/>
              <w:rPr>
                <w:rFonts w:ascii="Calibri" w:hAnsi="Calibri" w:cstheme="minorHAnsi"/>
                <w:smallCaps w:val="0"/>
                <w:sz w:val="20"/>
                <w:szCs w:val="20"/>
              </w:rPr>
            </w:pPr>
            <w:r w:rsidRPr="00C931D2">
              <w:rPr>
                <w:rFonts w:ascii="Calibri" w:hAnsi="Calibri" w:cstheme="minorHAnsi"/>
                <w:smallCaps w:val="0"/>
                <w:sz w:val="20"/>
                <w:szCs w:val="20"/>
              </w:rPr>
              <w:t>66.7%</w:t>
            </w:r>
          </w:p>
        </w:tc>
      </w:tr>
      <w:tr w14:paraId="768F030A" w14:textId="77777777" w:rsidTr="3A436180">
        <w:tblPrEx>
          <w:tblW w:w="8820" w:type="dxa"/>
          <w:jc w:val="center"/>
          <w:tblLayout w:type="fixed"/>
          <w:tblCellMar>
            <w:left w:w="39" w:type="dxa"/>
            <w:right w:w="39" w:type="dxa"/>
          </w:tblCellMar>
          <w:tblLook w:val="0000"/>
        </w:tblPrEx>
        <w:trPr>
          <w:trHeight w:val="630"/>
          <w:jc w:val="center"/>
        </w:trPr>
        <w:tc>
          <w:tcPr>
            <w:tcW w:w="71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931D2" w:rsidRPr="00C931D2" w:rsidP="7B12BB46" w14:paraId="7C8B6ED6" w14:textId="03771F5D">
            <w:pPr>
              <w:ind w:right="-43"/>
              <w:rPr>
                <w:rFonts w:ascii="Calibri" w:hAnsi="Calibri" w:cstheme="minorBidi"/>
                <w:sz w:val="20"/>
                <w:szCs w:val="20"/>
              </w:rPr>
            </w:pPr>
            <w:r w:rsidRPr="7B12BB46">
              <w:rPr>
                <w:rFonts w:ascii="Calibri" w:hAnsi="Calibri" w:cstheme="minorBidi"/>
                <w:sz w:val="20"/>
                <w:szCs w:val="20"/>
              </w:rPr>
              <w:t xml:space="preserve">Mailable addresses in tracts with predicted levels of completed mail and </w:t>
            </w:r>
            <w:r w:rsidRPr="7B12BB46" w:rsidR="7FDEB930">
              <w:rPr>
                <w:rFonts w:ascii="Calibri" w:hAnsi="Calibri" w:cstheme="minorBidi"/>
                <w:sz w:val="20"/>
                <w:szCs w:val="20"/>
              </w:rPr>
              <w:t xml:space="preserve">Internet </w:t>
            </w:r>
            <w:r w:rsidRPr="7B12BB46">
              <w:rPr>
                <w:rFonts w:ascii="Calibri" w:hAnsi="Calibri" w:cstheme="minorBidi"/>
                <w:sz w:val="20"/>
                <w:szCs w:val="20"/>
              </w:rPr>
              <w:t>interviews prior to CAPI subsampling between 0% and 35%, inclusive</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931D2" w:rsidRPr="00C931D2" w:rsidP="001F7636" w14:paraId="0C280686" w14:textId="77777777">
            <w:pPr>
              <w:pStyle w:val="MemoVersion"/>
              <w:numPr>
                <w:ilvl w:val="12"/>
                <w:numId w:val="0"/>
              </w:numPr>
              <w:tabs>
                <w:tab w:val="left" w:pos="360"/>
                <w:tab w:val="left" w:pos="1080"/>
                <w:tab w:val="left" w:pos="1221"/>
                <w:tab w:val="clear" w:pos="1440"/>
                <w:tab w:val="clear" w:pos="2160"/>
                <w:tab w:val="clear" w:pos="2880"/>
                <w:tab w:val="clear" w:pos="3600"/>
                <w:tab w:val="clear" w:pos="4320"/>
                <w:tab w:val="clear" w:pos="5040"/>
                <w:tab w:val="clear" w:pos="5760"/>
                <w:tab w:val="clear" w:pos="6480"/>
                <w:tab w:val="clear" w:pos="7200"/>
                <w:tab w:val="clear" w:pos="7920"/>
              </w:tabs>
              <w:ind w:right="229"/>
              <w:jc w:val="center"/>
              <w:rPr>
                <w:rFonts w:ascii="Calibri" w:hAnsi="Calibri" w:cstheme="minorHAnsi"/>
                <w:smallCaps w:val="0"/>
                <w:sz w:val="20"/>
                <w:szCs w:val="20"/>
              </w:rPr>
            </w:pPr>
            <w:r w:rsidRPr="00C931D2">
              <w:rPr>
                <w:rFonts w:ascii="Calibri" w:hAnsi="Calibri" w:cstheme="minorHAnsi"/>
                <w:smallCaps w:val="0"/>
                <w:sz w:val="20"/>
                <w:szCs w:val="20"/>
              </w:rPr>
              <w:t>50.0%</w:t>
            </w:r>
          </w:p>
        </w:tc>
      </w:tr>
      <w:tr w14:paraId="518AECFF" w14:textId="77777777" w:rsidTr="3A436180">
        <w:tblPrEx>
          <w:tblW w:w="8820" w:type="dxa"/>
          <w:jc w:val="center"/>
          <w:tblLayout w:type="fixed"/>
          <w:tblCellMar>
            <w:left w:w="39" w:type="dxa"/>
            <w:right w:w="39" w:type="dxa"/>
          </w:tblCellMar>
          <w:tblLook w:val="0000"/>
        </w:tblPrEx>
        <w:trPr>
          <w:trHeight w:val="540"/>
          <w:jc w:val="center"/>
        </w:trPr>
        <w:tc>
          <w:tcPr>
            <w:tcW w:w="71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931D2" w:rsidRPr="00C931D2" w:rsidP="7B12BB46" w14:paraId="677497F5" w14:textId="5DAE156C">
            <w:pPr>
              <w:ind w:right="-43"/>
              <w:rPr>
                <w:rFonts w:ascii="Calibri" w:hAnsi="Calibri" w:cstheme="minorBidi"/>
                <w:sz w:val="20"/>
                <w:szCs w:val="20"/>
              </w:rPr>
            </w:pPr>
            <w:r w:rsidRPr="7B12BB46">
              <w:rPr>
                <w:rFonts w:ascii="Calibri" w:hAnsi="Calibri" w:cstheme="minorBidi"/>
                <w:sz w:val="20"/>
                <w:szCs w:val="20"/>
              </w:rPr>
              <w:t xml:space="preserve">Mailable addresses in tracts with predicted levels of completed mail and </w:t>
            </w:r>
            <w:r w:rsidRPr="7B12BB46" w:rsidR="695FD7D5">
              <w:rPr>
                <w:rFonts w:ascii="Calibri" w:hAnsi="Calibri" w:cstheme="minorBidi"/>
                <w:sz w:val="20"/>
                <w:szCs w:val="20"/>
              </w:rPr>
              <w:t xml:space="preserve">Internet </w:t>
            </w:r>
            <w:r w:rsidRPr="7B12BB46">
              <w:rPr>
                <w:rFonts w:ascii="Calibri" w:hAnsi="Calibri" w:cstheme="minorBidi"/>
                <w:sz w:val="20"/>
                <w:szCs w:val="20"/>
              </w:rPr>
              <w:t>interviews prior to CAPI subsampling greater than 35% and less than or equal to 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931D2" w:rsidRPr="00C931D2" w:rsidP="001F7636" w14:paraId="7EF67F9F" w14:textId="77777777">
            <w:pPr>
              <w:pStyle w:val="MemoVersion"/>
              <w:numPr>
                <w:ilvl w:val="12"/>
                <w:numId w:val="0"/>
              </w:numPr>
              <w:tabs>
                <w:tab w:val="left" w:pos="1221"/>
                <w:tab w:val="clear" w:pos="1440"/>
                <w:tab w:val="clear" w:pos="2160"/>
                <w:tab w:val="clear" w:pos="2880"/>
                <w:tab w:val="clear" w:pos="3600"/>
                <w:tab w:val="clear" w:pos="4320"/>
                <w:tab w:val="clear" w:pos="5040"/>
                <w:tab w:val="clear" w:pos="5760"/>
                <w:tab w:val="clear" w:pos="6480"/>
                <w:tab w:val="clear" w:pos="7200"/>
                <w:tab w:val="clear" w:pos="7920"/>
              </w:tabs>
              <w:ind w:right="229"/>
              <w:jc w:val="center"/>
              <w:rPr>
                <w:rFonts w:ascii="Calibri" w:hAnsi="Calibri" w:cstheme="minorHAnsi"/>
                <w:smallCaps w:val="0"/>
                <w:sz w:val="20"/>
                <w:szCs w:val="20"/>
              </w:rPr>
            </w:pPr>
            <w:r w:rsidRPr="00C931D2">
              <w:rPr>
                <w:rFonts w:ascii="Calibri" w:hAnsi="Calibri" w:cstheme="minorHAnsi"/>
                <w:smallCaps w:val="0"/>
                <w:sz w:val="20"/>
                <w:szCs w:val="20"/>
              </w:rPr>
              <w:t>40.0%</w:t>
            </w:r>
          </w:p>
        </w:tc>
      </w:tr>
      <w:tr w14:paraId="46512F3D" w14:textId="77777777" w:rsidTr="3A436180">
        <w:tblPrEx>
          <w:tblW w:w="8820" w:type="dxa"/>
          <w:jc w:val="center"/>
          <w:tblLayout w:type="fixed"/>
          <w:tblCellMar>
            <w:left w:w="39" w:type="dxa"/>
            <w:right w:w="39" w:type="dxa"/>
          </w:tblCellMar>
          <w:tblLook w:val="0000"/>
        </w:tblPrEx>
        <w:trPr>
          <w:trHeight w:val="360"/>
          <w:jc w:val="center"/>
        </w:trPr>
        <w:tc>
          <w:tcPr>
            <w:tcW w:w="71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931D2" w:rsidRPr="00C931D2" w:rsidP="001F7636" w14:paraId="59B2E4C0" w14:textId="77777777">
            <w:pPr>
              <w:ind w:right="-43"/>
              <w:rPr>
                <w:rFonts w:ascii="Calibri" w:hAnsi="Calibri" w:cstheme="minorHAnsi"/>
                <w:sz w:val="20"/>
                <w:szCs w:val="20"/>
              </w:rPr>
            </w:pPr>
            <w:r w:rsidRPr="00C931D2">
              <w:rPr>
                <w:rFonts w:ascii="Calibri" w:hAnsi="Calibri" w:cstheme="minorHAnsi"/>
                <w:sz w:val="20"/>
                <w:szCs w:val="20"/>
              </w:rPr>
              <w:t>Mailable addresses in all other tracts</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931D2" w:rsidRPr="00C931D2" w:rsidP="001F7636" w14:paraId="3EFE8C17" w14:textId="77777777">
            <w:pPr>
              <w:tabs>
                <w:tab w:val="left" w:pos="1221"/>
              </w:tabs>
              <w:ind w:right="229"/>
              <w:jc w:val="center"/>
              <w:rPr>
                <w:rFonts w:ascii="Calibri" w:hAnsi="Calibri" w:cstheme="minorHAnsi"/>
                <w:sz w:val="20"/>
                <w:szCs w:val="20"/>
              </w:rPr>
            </w:pPr>
            <w:r w:rsidRPr="00C931D2">
              <w:rPr>
                <w:rFonts w:ascii="Calibri" w:hAnsi="Calibri" w:cstheme="minorHAnsi"/>
                <w:sz w:val="20"/>
                <w:szCs w:val="20"/>
              </w:rPr>
              <w:t>33.3%</w:t>
            </w:r>
          </w:p>
        </w:tc>
      </w:tr>
    </w:tbl>
    <w:p w:rsidR="00C931D2" w:rsidP="00936A60" w14:paraId="2F778F7F" w14:textId="77777777">
      <w:pPr>
        <w:pStyle w:val="Normal2"/>
        <w:ind w:left="1080"/>
        <w:rPr>
          <w:rFonts w:ascii="Calibri" w:hAnsi="Calibri" w:cstheme="minorHAnsi"/>
        </w:rPr>
      </w:pPr>
    </w:p>
    <w:p w:rsidR="00936A60" w:rsidRPr="002E00C7" w:rsidP="004C418B" w14:paraId="5CDACAB5" w14:textId="3EB011AE">
      <w:pPr>
        <w:pStyle w:val="Heading3"/>
        <w:ind w:firstLine="720"/>
        <w:rPr>
          <w:rFonts w:ascii="Calibri" w:hAnsi="Calibri" w:cstheme="minorBidi"/>
          <w:b/>
          <w:bCs/>
        </w:rPr>
      </w:pPr>
      <w:r w:rsidRPr="3A436180">
        <w:rPr>
          <w:rFonts w:ascii="Calibri" w:hAnsi="Calibri" w:cstheme="minorBidi"/>
          <w:b/>
          <w:bCs/>
          <w:color w:val="2B579A"/>
        </w:rPr>
        <w:fldChar w:fldCharType="begin"/>
      </w:r>
      <w:r w:rsidRPr="3A436180">
        <w:rPr>
          <w:rFonts w:ascii="Calibri" w:hAnsi="Calibri" w:cstheme="minorBidi"/>
          <w:b/>
          <w:bCs/>
        </w:rPr>
        <w:instrText xml:space="preserve"> SEQ CHAPTER \h \r 1</w:instrText>
      </w:r>
      <w:r w:rsidRPr="3A436180">
        <w:rPr>
          <w:rFonts w:ascii="Calibri" w:hAnsi="Calibri" w:cstheme="minorBidi"/>
          <w:b/>
          <w:bCs/>
          <w:color w:val="2B579A"/>
        </w:rPr>
        <w:fldChar w:fldCharType="separate"/>
      </w:r>
      <w:r w:rsidRPr="3A436180">
        <w:rPr>
          <w:rFonts w:ascii="Calibri" w:hAnsi="Calibri" w:cstheme="minorBidi"/>
          <w:b/>
          <w:bCs/>
          <w:color w:val="2B579A"/>
        </w:rPr>
        <w:fldChar w:fldCharType="end"/>
      </w:r>
      <w:bookmarkStart w:id="1" w:name="_Toc489876573"/>
      <w:r w:rsidRPr="3A436180" w:rsidR="514F82F6">
        <w:rPr>
          <w:rFonts w:ascii="Calibri" w:hAnsi="Calibri" w:cstheme="minorBidi"/>
          <w:b/>
          <w:bCs/>
        </w:rPr>
        <w:t>Group Quarters</w:t>
      </w:r>
      <w:bookmarkEnd w:id="1"/>
    </w:p>
    <w:p w:rsidR="00936A60" w:rsidRPr="00157AFB" w:rsidP="65E9A64F" w14:paraId="509F6076" w14:textId="133A6FCA">
      <w:pPr>
        <w:pStyle w:val="Normal2"/>
        <w:ind w:left="1080"/>
        <w:rPr>
          <w:rFonts w:ascii="Calibri" w:hAnsi="Calibri" w:cstheme="minorBidi"/>
        </w:rPr>
      </w:pPr>
      <w:r w:rsidRPr="65E9A64F">
        <w:rPr>
          <w:rFonts w:ascii="Calibri" w:hAnsi="Calibri" w:cstheme="minorBidi"/>
        </w:rPr>
        <w:t xml:space="preserve">The </w:t>
      </w:r>
      <w:r w:rsidR="00D85E2E">
        <w:rPr>
          <w:rFonts w:ascii="Calibri" w:hAnsi="Calibri" w:cstheme="minorBidi"/>
        </w:rPr>
        <w:t>2024</w:t>
      </w:r>
      <w:r w:rsidRPr="65E9A64F" w:rsidR="00D85E2E">
        <w:rPr>
          <w:rFonts w:ascii="Calibri" w:hAnsi="Calibri" w:cstheme="minorBidi"/>
        </w:rPr>
        <w:t xml:space="preserve"> </w:t>
      </w:r>
      <w:r w:rsidRPr="65E9A64F">
        <w:rPr>
          <w:rFonts w:ascii="Calibri" w:hAnsi="Calibri" w:cstheme="minorBidi"/>
        </w:rPr>
        <w:t xml:space="preserve">group quarters (GQ) sampling frame was divided into two strata: a small GQ stratum and a large GQ stratum. Small GQs have expected populations of 15 or fewer </w:t>
      </w:r>
      <w:r w:rsidRPr="65E9A64F" w:rsidR="010CA75C">
        <w:rPr>
          <w:rFonts w:ascii="Calibri" w:hAnsi="Calibri" w:cstheme="minorBidi"/>
        </w:rPr>
        <w:t>people residing at the GQ</w:t>
      </w:r>
      <w:r w:rsidRPr="65E9A64F">
        <w:rPr>
          <w:rFonts w:ascii="Calibri" w:hAnsi="Calibri" w:cstheme="minorBidi"/>
        </w:rPr>
        <w:t xml:space="preserve">, while large GQs have expected populations of more than 15 </w:t>
      </w:r>
      <w:r w:rsidRPr="65E9A64F" w:rsidR="010CA75C">
        <w:rPr>
          <w:rFonts w:ascii="Calibri" w:hAnsi="Calibri" w:cstheme="minorBidi"/>
        </w:rPr>
        <w:t>people residing at the GQ</w:t>
      </w:r>
      <w:r w:rsidRPr="65E9A64F">
        <w:rPr>
          <w:rFonts w:ascii="Calibri" w:hAnsi="Calibri" w:cstheme="minorBidi"/>
        </w:rPr>
        <w:t xml:space="preserve">. </w:t>
      </w:r>
    </w:p>
    <w:p w:rsidR="00936A60" w:rsidRPr="00157AFB" w:rsidP="7B12BB46" w14:paraId="0D447F7D" w14:textId="6F433F92">
      <w:pPr>
        <w:pStyle w:val="Normal2"/>
        <w:ind w:left="1080"/>
        <w:rPr>
          <w:rFonts w:ascii="Calibri" w:hAnsi="Calibri" w:cstheme="minorBidi"/>
        </w:rPr>
      </w:pPr>
      <w:r w:rsidRPr="7B12BB46">
        <w:rPr>
          <w:rFonts w:ascii="Calibri" w:hAnsi="Calibri" w:cstheme="minorBidi"/>
        </w:rPr>
        <w:t>Samples were selected in two phases within each stratum. In general, GQs were selected in the first phase and then</w:t>
      </w:r>
      <w:r w:rsidRPr="7B12BB46" w:rsidR="6543C782">
        <w:rPr>
          <w:rFonts w:ascii="Calibri" w:hAnsi="Calibri" w:cstheme="minorBidi"/>
        </w:rPr>
        <w:t xml:space="preserve"> </w:t>
      </w:r>
      <w:r w:rsidRPr="7B12BB46" w:rsidR="3AB79081">
        <w:rPr>
          <w:rFonts w:ascii="Calibri" w:hAnsi="Calibri" w:cstheme="minorBidi"/>
        </w:rPr>
        <w:t>resident</w:t>
      </w:r>
      <w:r w:rsidRPr="7B12BB46" w:rsidR="3BA3A1B4">
        <w:rPr>
          <w:rFonts w:ascii="Calibri" w:hAnsi="Calibri" w:cstheme="minorBidi"/>
        </w:rPr>
        <w:t>s</w:t>
      </w:r>
      <w:r w:rsidRPr="7B12BB46" w:rsidR="244D0EE7">
        <w:rPr>
          <w:rFonts w:ascii="Calibri" w:hAnsi="Calibri" w:cstheme="minorBidi"/>
        </w:rPr>
        <w:t xml:space="preserve"> of</w:t>
      </w:r>
      <w:r w:rsidRPr="7B12BB46" w:rsidR="343E3FA3">
        <w:rPr>
          <w:rFonts w:ascii="Calibri" w:hAnsi="Calibri" w:cstheme="minorBidi"/>
        </w:rPr>
        <w:t xml:space="preserve"> sampled</w:t>
      </w:r>
      <w:r w:rsidRPr="7B12BB46" w:rsidR="244D0EE7">
        <w:rPr>
          <w:rFonts w:ascii="Calibri" w:hAnsi="Calibri" w:cstheme="minorBidi"/>
        </w:rPr>
        <w:t xml:space="preserve"> GQ</w:t>
      </w:r>
      <w:r w:rsidRPr="7B12BB46" w:rsidR="343E3FA3">
        <w:rPr>
          <w:rFonts w:ascii="Calibri" w:hAnsi="Calibri" w:cstheme="minorBidi"/>
        </w:rPr>
        <w:t>s</w:t>
      </w:r>
      <w:r w:rsidRPr="7B12BB46" w:rsidR="244D0EE7">
        <w:rPr>
          <w:rFonts w:ascii="Calibri" w:hAnsi="Calibri" w:cstheme="minorBidi"/>
        </w:rPr>
        <w:t xml:space="preserve"> </w:t>
      </w:r>
      <w:r w:rsidRPr="7B12BB46">
        <w:rPr>
          <w:rFonts w:ascii="Calibri" w:hAnsi="Calibri" w:cstheme="minorBidi"/>
        </w:rPr>
        <w:t>were selected in the second phase. Both phases differ between the two strata</w:t>
      </w:r>
      <w:r w:rsidR="00EC5593">
        <w:rPr>
          <w:rFonts w:ascii="Calibri" w:hAnsi="Calibri" w:cstheme="minorBidi"/>
        </w:rPr>
        <w:t>, as described in detail below</w:t>
      </w:r>
      <w:r w:rsidRPr="7B12BB46">
        <w:rPr>
          <w:rFonts w:ascii="Calibri" w:hAnsi="Calibri" w:cstheme="minorBidi"/>
        </w:rPr>
        <w:t xml:space="preserve">. Each sampled GQ was randomly assigned to one or more months in </w:t>
      </w:r>
      <w:r w:rsidR="00D85E2E">
        <w:rPr>
          <w:rFonts w:ascii="Calibri" w:hAnsi="Calibri" w:cstheme="minorBidi"/>
        </w:rPr>
        <w:t>2024</w:t>
      </w:r>
      <w:r w:rsidRPr="7B12BB46">
        <w:rPr>
          <w:rFonts w:ascii="Calibri" w:hAnsi="Calibri" w:cstheme="minorBidi"/>
        </w:rPr>
        <w:t>; it was in these months that their person samples were selected.</w:t>
      </w:r>
    </w:p>
    <w:p w:rsidR="00936A60" w:rsidRPr="007C4159" w:rsidP="00936A60" w14:paraId="17DB921D" w14:textId="77777777">
      <w:pPr>
        <w:pStyle w:val="Heading4"/>
        <w:ind w:firstLine="720"/>
        <w:rPr>
          <w:rFonts w:ascii="Calibri" w:hAnsi="Calibri" w:cstheme="minorHAnsi"/>
          <w:b/>
          <w:bCs/>
          <w:i w:val="0"/>
          <w:iCs w:val="0"/>
        </w:rPr>
      </w:pPr>
      <w:r w:rsidRPr="007C4159">
        <w:rPr>
          <w:rFonts w:ascii="Calibri" w:hAnsi="Calibri" w:cstheme="minorHAnsi"/>
          <w:b/>
          <w:bCs/>
          <w:i w:val="0"/>
          <w:iCs w:val="0"/>
        </w:rPr>
        <w:t>Small GQ Stratum</w:t>
      </w:r>
    </w:p>
    <w:p w:rsidR="00936A60" w:rsidRPr="007C4159" w:rsidP="00936A60" w14:paraId="5D8122BF" w14:textId="77777777">
      <w:pPr>
        <w:pStyle w:val="Heading5"/>
        <w:ind w:left="1080"/>
        <w:rPr>
          <w:rFonts w:ascii="Calibri" w:hAnsi="Calibri" w:cstheme="minorHAnsi"/>
        </w:rPr>
      </w:pPr>
      <w:r w:rsidRPr="007C4159">
        <w:rPr>
          <w:rFonts w:ascii="Calibri" w:hAnsi="Calibri" w:cstheme="minorHAnsi"/>
        </w:rPr>
        <w:t>First Phase of Sample Selection for Small GQs</w:t>
      </w:r>
    </w:p>
    <w:p w:rsidR="00936A60" w:rsidRPr="00157AFB" w:rsidP="00936A60" w14:paraId="3E1EECC7" w14:textId="77777777">
      <w:pPr>
        <w:pStyle w:val="Normal4"/>
        <w:rPr>
          <w:rFonts w:ascii="Calibri" w:hAnsi="Calibri" w:cstheme="minorHAnsi"/>
        </w:rPr>
      </w:pPr>
      <w:r w:rsidRPr="00157AFB">
        <w:rPr>
          <w:rFonts w:ascii="Calibri" w:hAnsi="Calibri" w:cstheme="minorHAnsi"/>
        </w:rPr>
        <w:t>There were two stages of selecting small GQs for sample.</w:t>
      </w:r>
    </w:p>
    <w:p w:rsidR="00936A60" w:rsidRPr="00157AFB" w:rsidP="00CF3BFF" w14:paraId="436E5DA4" w14:textId="77777777">
      <w:pPr>
        <w:pStyle w:val="Normal4"/>
        <w:numPr>
          <w:ilvl w:val="0"/>
          <w:numId w:val="5"/>
        </w:numPr>
        <w:spacing w:after="0"/>
        <w:ind w:left="1440"/>
        <w:rPr>
          <w:rFonts w:ascii="Calibri" w:hAnsi="Calibri" w:cstheme="minorHAnsi"/>
        </w:rPr>
      </w:pPr>
      <w:r w:rsidRPr="3A436180">
        <w:rPr>
          <w:rFonts w:ascii="Calibri" w:hAnsi="Calibri" w:cstheme="minorBidi"/>
        </w:rPr>
        <w:t xml:space="preserve">First stage </w:t>
      </w:r>
    </w:p>
    <w:p w:rsidR="00936A60" w:rsidP="3A436180" w14:paraId="7C0B4420" w14:textId="58523F9C">
      <w:pPr>
        <w:pStyle w:val="Normal4"/>
        <w:spacing w:after="0"/>
        <w:rPr>
          <w:rFonts w:ascii="Calibri" w:hAnsi="Calibri" w:cstheme="minorBidi"/>
        </w:rPr>
      </w:pPr>
      <w:r w:rsidRPr="08122567">
        <w:rPr>
          <w:rFonts w:ascii="Calibri" w:hAnsi="Calibri" w:cstheme="minorBidi"/>
        </w:rPr>
        <w:t xml:space="preserve">The small GQ universe is divided into five groups that are approximately equal in size. All new small GQs are systematically assigned to one of these five groups on a yearly basis, with about the same probability (20 percent) of being assigned to any given group. Each group represents a second-stage sampling frame, from which GQs are selected once every five years. The </w:t>
      </w:r>
      <w:r w:rsidRPr="08122567" w:rsidR="26527FC7">
        <w:rPr>
          <w:rFonts w:ascii="Calibri" w:hAnsi="Calibri" w:cstheme="minorBidi"/>
        </w:rPr>
        <w:t xml:space="preserve">2024 </w:t>
      </w:r>
      <w:r w:rsidRPr="08122567">
        <w:rPr>
          <w:rFonts w:ascii="Calibri" w:hAnsi="Calibri" w:cstheme="minorBidi"/>
        </w:rPr>
        <w:t xml:space="preserve">second-stage sampling frame was used in </w:t>
      </w:r>
      <w:r w:rsidRPr="08122567" w:rsidR="26527FC7">
        <w:rPr>
          <w:rFonts w:ascii="Calibri" w:hAnsi="Calibri" w:cstheme="minorBidi"/>
        </w:rPr>
        <w:t xml:space="preserve">2019 </w:t>
      </w:r>
      <w:r w:rsidRPr="08122567">
        <w:rPr>
          <w:rFonts w:ascii="Calibri" w:hAnsi="Calibri" w:cstheme="minorBidi"/>
        </w:rPr>
        <w:t xml:space="preserve">as well, and </w:t>
      </w:r>
      <w:r w:rsidRPr="08122567" w:rsidR="7BA9F53D">
        <w:rPr>
          <w:rFonts w:ascii="Calibri" w:hAnsi="Calibri" w:cstheme="minorBidi"/>
        </w:rPr>
        <w:t xml:space="preserve">will </w:t>
      </w:r>
      <w:r w:rsidRPr="08122567">
        <w:rPr>
          <w:rFonts w:ascii="Calibri" w:hAnsi="Calibri" w:cstheme="minorBidi"/>
        </w:rPr>
        <w:t xml:space="preserve">be used in </w:t>
      </w:r>
      <w:r w:rsidRPr="08122567" w:rsidR="26527FC7">
        <w:rPr>
          <w:rFonts w:ascii="Calibri" w:hAnsi="Calibri" w:cstheme="minorBidi"/>
        </w:rPr>
        <w:t>2029</w:t>
      </w:r>
      <w:r w:rsidRPr="08122567">
        <w:rPr>
          <w:rFonts w:ascii="Calibri" w:hAnsi="Calibri" w:cstheme="minorBidi"/>
        </w:rPr>
        <w:t xml:space="preserve">, </w:t>
      </w:r>
      <w:r w:rsidRPr="08122567" w:rsidR="26527FC7">
        <w:rPr>
          <w:rFonts w:ascii="Calibri" w:hAnsi="Calibri" w:cstheme="minorBidi"/>
        </w:rPr>
        <w:t>2034</w:t>
      </w:r>
      <w:r w:rsidRPr="08122567">
        <w:rPr>
          <w:rFonts w:ascii="Calibri" w:hAnsi="Calibri" w:cstheme="minorBidi"/>
        </w:rPr>
        <w:t>, etc.</w:t>
      </w:r>
    </w:p>
    <w:p w:rsidR="00CF3BFF" w:rsidRPr="00157AFB" w:rsidP="00CF3BFF" w14:paraId="7C43639F" w14:textId="77777777">
      <w:pPr>
        <w:pStyle w:val="Normal4"/>
        <w:spacing w:after="0"/>
        <w:rPr>
          <w:rFonts w:ascii="Calibri" w:hAnsi="Calibri" w:cstheme="minorBidi"/>
        </w:rPr>
      </w:pPr>
    </w:p>
    <w:p w:rsidR="00936A60" w:rsidRPr="00157AFB" w:rsidP="00CF3BFF" w14:paraId="574180E0" w14:textId="77777777">
      <w:pPr>
        <w:pStyle w:val="Normal4"/>
        <w:numPr>
          <w:ilvl w:val="0"/>
          <w:numId w:val="5"/>
        </w:numPr>
        <w:tabs>
          <w:tab w:val="left" w:pos="1440"/>
        </w:tabs>
        <w:spacing w:after="0"/>
        <w:ind w:left="1440"/>
        <w:rPr>
          <w:rFonts w:ascii="Calibri" w:hAnsi="Calibri" w:cstheme="minorHAnsi"/>
        </w:rPr>
      </w:pPr>
      <w:r w:rsidRPr="00157AFB">
        <w:rPr>
          <w:rFonts w:ascii="Calibri" w:hAnsi="Calibri" w:cstheme="minorHAnsi"/>
        </w:rPr>
        <w:t xml:space="preserve">Second stage </w:t>
      </w:r>
    </w:p>
    <w:p w:rsidR="0ABF0534" w:rsidP="08122567" w14:paraId="1082362C" w14:textId="330123E5">
      <w:pPr>
        <w:pStyle w:val="Normal4"/>
        <w:spacing w:after="0"/>
        <w:rPr>
          <w:rFonts w:ascii="Calibri" w:hAnsi="Calibri" w:cstheme="minorBidi"/>
          <w:b/>
          <w:bCs/>
        </w:rPr>
      </w:pPr>
      <w:r w:rsidRPr="08122567">
        <w:rPr>
          <w:rFonts w:ascii="Calibri" w:hAnsi="Calibri" w:cstheme="minorBidi"/>
        </w:rPr>
        <w:t xml:space="preserve">Small </w:t>
      </w:r>
      <w:r w:rsidRPr="08122567" w:rsidR="04376677">
        <w:rPr>
          <w:rFonts w:ascii="Calibri" w:hAnsi="Calibri" w:cstheme="minorBidi"/>
        </w:rPr>
        <w:t xml:space="preserve">GQs were systematically selected from the </w:t>
      </w:r>
      <w:r w:rsidRPr="08122567" w:rsidR="26527FC7">
        <w:rPr>
          <w:rFonts w:ascii="Calibri" w:hAnsi="Calibri" w:cstheme="minorBidi"/>
        </w:rPr>
        <w:t xml:space="preserve">2024 </w:t>
      </w:r>
      <w:r w:rsidRPr="08122567" w:rsidR="04376677">
        <w:rPr>
          <w:rFonts w:ascii="Calibri" w:hAnsi="Calibri" w:cstheme="minorBidi"/>
        </w:rPr>
        <w:t>second-stage sampling frame</w:t>
      </w:r>
      <w:r w:rsidRPr="08122567" w:rsidR="04376677">
        <w:rPr>
          <w:rFonts w:ascii="Calibri" w:hAnsi="Calibri" w:cstheme="minorBidi"/>
        </w:rPr>
        <w:t xml:space="preserve">. Each GQ had the same second-stage probability of being selected within a given state, where the </w:t>
      </w:r>
      <w:r w:rsidRPr="08122567" w:rsidR="04376677">
        <w:rPr>
          <w:rFonts w:ascii="Calibri" w:hAnsi="Calibri" w:cstheme="minorBidi"/>
        </w:rPr>
        <w:t>probabilities varied between states. Table 4 below shows these probabilities.</w:t>
      </w:r>
      <w:r w:rsidRPr="08122567" w:rsidR="60C6BCD1">
        <w:rPr>
          <w:rFonts w:ascii="Calibri" w:hAnsi="Calibri" w:cstheme="minorBidi"/>
        </w:rPr>
        <w:t xml:space="preserve"> (Note that the GQ sampling rate for Puerto Rico was 2.31.)</w:t>
      </w:r>
    </w:p>
    <w:p w:rsidR="0ABF0534" w:rsidP="08122567" w14:paraId="28F92C74" w14:textId="65AA27A4">
      <w:pPr>
        <w:pStyle w:val="Normal4"/>
        <w:spacing w:after="0"/>
        <w:rPr>
          <w:rFonts w:ascii="Calibri" w:hAnsi="Calibri" w:cstheme="minorBidi"/>
          <w:b/>
          <w:bCs/>
        </w:rPr>
      </w:pPr>
    </w:p>
    <w:p w:rsidR="0ABF0534" w:rsidP="08122567" w14:paraId="0039AEFD" w14:textId="47F518FC">
      <w:pPr>
        <w:pStyle w:val="Normal4"/>
        <w:spacing w:after="0"/>
        <w:rPr>
          <w:rFonts w:ascii="Calibri" w:hAnsi="Calibri" w:cstheme="minorBidi"/>
          <w:b/>
          <w:bCs/>
        </w:rPr>
      </w:pPr>
      <w:r w:rsidRPr="08122567">
        <w:rPr>
          <w:rFonts w:ascii="Calibri" w:hAnsi="Calibri" w:cstheme="minorBidi"/>
          <w:b/>
          <w:bCs/>
        </w:rPr>
        <w:t xml:space="preserve">Table 4. </w:t>
      </w:r>
      <w:r w:rsidRPr="08122567" w:rsidR="004760BF">
        <w:rPr>
          <w:rFonts w:ascii="Calibri" w:hAnsi="Calibri" w:cstheme="minorBidi"/>
          <w:b/>
          <w:bCs/>
        </w:rPr>
        <w:t xml:space="preserve">2024 </w:t>
      </w:r>
      <w:r w:rsidRPr="08122567">
        <w:rPr>
          <w:rFonts w:ascii="Calibri" w:hAnsi="Calibri" w:cstheme="minorBidi"/>
          <w:b/>
          <w:bCs/>
        </w:rPr>
        <w:t>Group Quarter Targeted Sampling Rates for the U.S.</w:t>
      </w:r>
      <w:r w:rsidRPr="08122567" w:rsidR="00D3686F">
        <w:rPr>
          <w:rFonts w:ascii="Calibri" w:hAnsi="Calibri" w:cstheme="minorBidi"/>
          <w:b/>
          <w:bCs/>
        </w:rPr>
        <w:t xml:space="preserve"> by State</w:t>
      </w:r>
    </w:p>
    <w:p w:rsidR="40C90E09" w14:paraId="739CEBF8" w14:textId="45304744"/>
    <w:tbl>
      <w:tblPr>
        <w:tblW w:w="0" w:type="auto"/>
        <w:jc w:val="center"/>
        <w:tblLayout w:type="fixed"/>
        <w:tblLook w:val="06A0"/>
      </w:tblPr>
      <w:tblGrid>
        <w:gridCol w:w="1980"/>
        <w:gridCol w:w="780"/>
        <w:gridCol w:w="1875"/>
        <w:gridCol w:w="1035"/>
        <w:gridCol w:w="1725"/>
        <w:gridCol w:w="1035"/>
      </w:tblGrid>
      <w:tr w14:paraId="4911E4A3" w14:textId="77777777" w:rsidTr="004C418B">
        <w:tblPrEx>
          <w:tblW w:w="0" w:type="auto"/>
          <w:jc w:val="center"/>
          <w:tblLayout w:type="fixed"/>
          <w:tblLook w:val="06A0"/>
        </w:tblPrEx>
        <w:trPr>
          <w:trHeight w:val="360"/>
          <w:jc w:val="center"/>
        </w:trPr>
        <w:tc>
          <w:tcPr>
            <w:tcW w:w="1980" w:type="dxa"/>
            <w:tcBorders>
              <w:top w:val="single" w:sz="18" w:space="0" w:color="auto"/>
              <w:left w:val="nil"/>
              <w:bottom w:val="nil"/>
              <w:right w:val="nil"/>
            </w:tcBorders>
            <w:shd w:val="clear" w:color="auto" w:fill="CCCCCC"/>
            <w:vAlign w:val="center"/>
          </w:tcPr>
          <w:p w:rsidR="44860A06" w:rsidRPr="00DE1629" w:rsidP="7B12BB46" w14:paraId="4BC9F457" w14:textId="7CFE5167">
            <w:pPr>
              <w:jc w:val="cente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 xml:space="preserve"> State</w:t>
            </w:r>
          </w:p>
        </w:tc>
        <w:tc>
          <w:tcPr>
            <w:tcW w:w="780" w:type="dxa"/>
            <w:tcBorders>
              <w:top w:val="single" w:sz="18" w:space="0" w:color="000000" w:themeColor="text1"/>
              <w:left w:val="nil"/>
              <w:bottom w:val="single" w:sz="18" w:space="0" w:color="000000" w:themeColor="text1"/>
              <w:right w:val="single" w:sz="8" w:space="0" w:color="000000" w:themeColor="text1"/>
            </w:tcBorders>
            <w:shd w:val="clear" w:color="auto" w:fill="CCCCCC"/>
            <w:vAlign w:val="center"/>
          </w:tcPr>
          <w:p w:rsidR="44860A06" w:rsidRPr="00DE1629" w:rsidP="7B12BB46" w14:paraId="680A2B5F" w14:textId="31608FCD">
            <w:pPr>
              <w:jc w:val="cente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Target Rate</w:t>
            </w:r>
          </w:p>
        </w:tc>
        <w:tc>
          <w:tcPr>
            <w:tcW w:w="1875" w:type="dxa"/>
            <w:tcBorders>
              <w:top w:val="single" w:sz="18" w:space="0" w:color="000000" w:themeColor="text1"/>
              <w:left w:val="single" w:sz="8" w:space="0" w:color="000000" w:themeColor="text1"/>
              <w:bottom w:val="single" w:sz="18" w:space="0" w:color="000000" w:themeColor="text1"/>
              <w:right w:val="nil"/>
            </w:tcBorders>
            <w:shd w:val="clear" w:color="auto" w:fill="CCCCCC"/>
            <w:vAlign w:val="center"/>
          </w:tcPr>
          <w:p w:rsidR="44860A06" w:rsidRPr="00DE1629" w:rsidP="7B12BB46" w14:paraId="68CEE2E9" w14:textId="3569BEAC">
            <w:pPr>
              <w:jc w:val="cente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State</w:t>
            </w:r>
          </w:p>
        </w:tc>
        <w:tc>
          <w:tcPr>
            <w:tcW w:w="1035" w:type="dxa"/>
            <w:tcBorders>
              <w:top w:val="single" w:sz="18" w:space="0" w:color="000000" w:themeColor="text1"/>
              <w:left w:val="nil"/>
              <w:bottom w:val="single" w:sz="18" w:space="0" w:color="000000" w:themeColor="text1"/>
              <w:right w:val="single" w:sz="8" w:space="0" w:color="000000" w:themeColor="text1"/>
            </w:tcBorders>
            <w:shd w:val="clear" w:color="auto" w:fill="CCCCCC"/>
            <w:vAlign w:val="center"/>
          </w:tcPr>
          <w:p w:rsidR="44860A06" w:rsidRPr="00DE1629" w:rsidP="7B12BB46" w14:paraId="16675270" w14:textId="67042EE7">
            <w:pPr>
              <w:jc w:val="cente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Target Rate</w:t>
            </w:r>
          </w:p>
        </w:tc>
        <w:tc>
          <w:tcPr>
            <w:tcW w:w="1725" w:type="dxa"/>
            <w:tcBorders>
              <w:top w:val="single" w:sz="18" w:space="0" w:color="000000" w:themeColor="text1"/>
              <w:left w:val="single" w:sz="8" w:space="0" w:color="000000" w:themeColor="text1"/>
              <w:bottom w:val="single" w:sz="18" w:space="0" w:color="000000" w:themeColor="text1"/>
              <w:right w:val="nil"/>
            </w:tcBorders>
            <w:shd w:val="clear" w:color="auto" w:fill="CCCCCC"/>
            <w:vAlign w:val="center"/>
          </w:tcPr>
          <w:p w:rsidR="44860A06" w:rsidRPr="00DE1629" w:rsidP="7B12BB46" w14:paraId="46898526" w14:textId="65F6C1BE">
            <w:pPr>
              <w:jc w:val="cente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State</w:t>
            </w:r>
          </w:p>
        </w:tc>
        <w:tc>
          <w:tcPr>
            <w:tcW w:w="1035" w:type="dxa"/>
            <w:tcBorders>
              <w:top w:val="single" w:sz="18" w:space="0" w:color="auto"/>
              <w:left w:val="nil"/>
              <w:bottom w:val="nil"/>
              <w:right w:val="nil"/>
            </w:tcBorders>
            <w:shd w:val="clear" w:color="auto" w:fill="CCCCCC"/>
            <w:vAlign w:val="center"/>
          </w:tcPr>
          <w:p w:rsidR="44860A06" w:rsidRPr="00DE1629" w:rsidP="7B12BB46" w14:paraId="1FABA154" w14:textId="7921DD4A">
            <w:pPr>
              <w:jc w:val="center"/>
              <w:rPr>
                <w:rFonts w:eastAsia="Times New Roman" w:asciiTheme="minorHAnsi" w:hAnsiTheme="minorHAnsi" w:cstheme="minorHAnsi"/>
                <w:color w:val="000000" w:themeColor="text1"/>
                <w:sz w:val="20"/>
                <w:szCs w:val="20"/>
              </w:rPr>
            </w:pPr>
            <w:r w:rsidRPr="00DE1629">
              <w:rPr>
                <w:rFonts w:eastAsia="Times New Roman" w:asciiTheme="minorHAnsi" w:hAnsiTheme="minorHAnsi" w:cstheme="minorHAnsi"/>
                <w:color w:val="000000" w:themeColor="text1"/>
                <w:sz w:val="20"/>
                <w:szCs w:val="20"/>
              </w:rPr>
              <w:t>Target Rate</w:t>
            </w:r>
          </w:p>
        </w:tc>
      </w:tr>
      <w:tr w14:paraId="562921A0" w14:textId="77777777" w:rsidTr="004C418B">
        <w:tblPrEx>
          <w:tblW w:w="0" w:type="auto"/>
          <w:jc w:val="center"/>
          <w:tblLayout w:type="fixed"/>
          <w:tblLook w:val="06A0"/>
        </w:tblPrEx>
        <w:trPr>
          <w:trHeight w:val="315"/>
          <w:jc w:val="center"/>
        </w:trPr>
        <w:tc>
          <w:tcPr>
            <w:tcW w:w="1980" w:type="dxa"/>
            <w:tcBorders>
              <w:top w:val="single" w:sz="18" w:space="0" w:color="auto"/>
              <w:left w:val="nil"/>
              <w:bottom w:val="nil"/>
              <w:right w:val="nil"/>
            </w:tcBorders>
          </w:tcPr>
          <w:p w:rsidR="004760BF" w:rsidRPr="004760BF" w:rsidP="004760BF" w14:paraId="45F2526C" w14:textId="0B93FA70">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Alabama</w:t>
            </w:r>
          </w:p>
        </w:tc>
        <w:tc>
          <w:tcPr>
            <w:tcW w:w="780" w:type="dxa"/>
            <w:tcBorders>
              <w:top w:val="single" w:sz="18" w:space="0" w:color="000000" w:themeColor="text1"/>
              <w:left w:val="nil"/>
              <w:bottom w:val="nil"/>
              <w:right w:val="single" w:sz="8" w:space="0" w:color="000000" w:themeColor="text1"/>
            </w:tcBorders>
          </w:tcPr>
          <w:p w:rsidR="004760BF" w:rsidRPr="005C6D5B" w:rsidP="004760BF" w14:paraId="7701BDE7" w14:textId="4ED74661">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1.89%</w:t>
            </w:r>
          </w:p>
        </w:tc>
        <w:tc>
          <w:tcPr>
            <w:tcW w:w="1875" w:type="dxa"/>
            <w:tcBorders>
              <w:top w:val="single" w:sz="18" w:space="0" w:color="000000" w:themeColor="text1"/>
              <w:left w:val="single" w:sz="8" w:space="0" w:color="000000" w:themeColor="text1"/>
              <w:bottom w:val="nil"/>
              <w:right w:val="nil"/>
            </w:tcBorders>
          </w:tcPr>
          <w:p w:rsidR="004760BF" w:rsidRPr="004760BF" w:rsidP="004760BF" w14:paraId="2C9F9935" w14:textId="2FF2344F">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Kentucky</w:t>
            </w:r>
          </w:p>
        </w:tc>
        <w:tc>
          <w:tcPr>
            <w:tcW w:w="1035" w:type="dxa"/>
            <w:tcBorders>
              <w:top w:val="single" w:sz="18" w:space="0" w:color="000000" w:themeColor="text1"/>
              <w:left w:val="nil"/>
              <w:bottom w:val="nil"/>
              <w:right w:val="single" w:sz="8" w:space="0" w:color="000000" w:themeColor="text1"/>
            </w:tcBorders>
          </w:tcPr>
          <w:p w:rsidR="004760BF" w:rsidRPr="005C6D5B" w:rsidP="004760BF" w14:paraId="5AAE9A03" w14:textId="5F8EAFF3">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2.37%</w:t>
            </w:r>
          </w:p>
        </w:tc>
        <w:tc>
          <w:tcPr>
            <w:tcW w:w="1725" w:type="dxa"/>
            <w:tcBorders>
              <w:top w:val="single" w:sz="18" w:space="0" w:color="000000" w:themeColor="text1"/>
              <w:left w:val="single" w:sz="8" w:space="0" w:color="000000" w:themeColor="text1"/>
              <w:bottom w:val="nil"/>
              <w:right w:val="nil"/>
            </w:tcBorders>
          </w:tcPr>
          <w:p w:rsidR="004760BF" w:rsidRPr="004760BF" w:rsidP="004760BF" w14:paraId="05F6225F" w14:textId="1FAC6F45">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North Dakota</w:t>
            </w:r>
          </w:p>
        </w:tc>
        <w:tc>
          <w:tcPr>
            <w:tcW w:w="1035" w:type="dxa"/>
            <w:tcBorders>
              <w:top w:val="single" w:sz="18" w:space="0" w:color="auto"/>
              <w:left w:val="nil"/>
              <w:bottom w:val="nil"/>
              <w:right w:val="nil"/>
            </w:tcBorders>
          </w:tcPr>
          <w:p w:rsidR="004760BF" w:rsidRPr="005C6D5B" w:rsidP="004760BF" w14:paraId="390856FD" w14:textId="62B3C3C0">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4.05%</w:t>
            </w:r>
          </w:p>
        </w:tc>
      </w:tr>
      <w:tr w14:paraId="3A9A534B" w14:textId="77777777" w:rsidTr="004C418B">
        <w:tblPrEx>
          <w:tblW w:w="0" w:type="auto"/>
          <w:jc w:val="center"/>
          <w:tblLayout w:type="fixed"/>
          <w:tblLook w:val="06A0"/>
        </w:tblPrEx>
        <w:trPr>
          <w:trHeight w:val="315"/>
          <w:jc w:val="center"/>
        </w:trPr>
        <w:tc>
          <w:tcPr>
            <w:tcW w:w="1980" w:type="dxa"/>
            <w:tcBorders>
              <w:top w:val="nil"/>
              <w:left w:val="nil"/>
              <w:bottom w:val="nil"/>
              <w:right w:val="nil"/>
            </w:tcBorders>
            <w:shd w:val="clear" w:color="auto" w:fill="DFDFDF"/>
          </w:tcPr>
          <w:p w:rsidR="004760BF" w:rsidRPr="004760BF" w:rsidP="004760BF" w14:paraId="73FF0AD5" w14:textId="41CA53DA">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Alaska</w:t>
            </w:r>
          </w:p>
        </w:tc>
        <w:tc>
          <w:tcPr>
            <w:tcW w:w="780" w:type="dxa"/>
            <w:tcBorders>
              <w:top w:val="nil"/>
              <w:left w:val="nil"/>
              <w:bottom w:val="nil"/>
              <w:right w:val="single" w:sz="8" w:space="0" w:color="000000" w:themeColor="text1"/>
            </w:tcBorders>
            <w:shd w:val="clear" w:color="auto" w:fill="DFDFDF"/>
          </w:tcPr>
          <w:p w:rsidR="004760BF" w:rsidRPr="005C6D5B" w:rsidP="004760BF" w14:paraId="3B42B660" w14:textId="6AA13AA3">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3.26%</w:t>
            </w:r>
          </w:p>
        </w:tc>
        <w:tc>
          <w:tcPr>
            <w:tcW w:w="1875" w:type="dxa"/>
            <w:tcBorders>
              <w:top w:val="nil"/>
              <w:left w:val="single" w:sz="8" w:space="0" w:color="000000" w:themeColor="text1"/>
              <w:bottom w:val="nil"/>
              <w:right w:val="nil"/>
            </w:tcBorders>
            <w:shd w:val="clear" w:color="auto" w:fill="DFDFDF"/>
          </w:tcPr>
          <w:p w:rsidR="004760BF" w:rsidRPr="004760BF" w:rsidP="004760BF" w14:paraId="2762F313" w14:textId="228A8F7C">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Louisiana</w:t>
            </w:r>
          </w:p>
        </w:tc>
        <w:tc>
          <w:tcPr>
            <w:tcW w:w="1035" w:type="dxa"/>
            <w:tcBorders>
              <w:top w:val="nil"/>
              <w:left w:val="nil"/>
              <w:bottom w:val="nil"/>
              <w:right w:val="single" w:sz="8" w:space="0" w:color="000000" w:themeColor="text1"/>
            </w:tcBorders>
            <w:shd w:val="clear" w:color="auto" w:fill="DFDFDF"/>
          </w:tcPr>
          <w:p w:rsidR="004760BF" w:rsidRPr="005C6D5B" w:rsidP="004760BF" w14:paraId="517E2B0A" w14:textId="7359A50E">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2.47%</w:t>
            </w:r>
          </w:p>
        </w:tc>
        <w:tc>
          <w:tcPr>
            <w:tcW w:w="1725" w:type="dxa"/>
            <w:tcBorders>
              <w:top w:val="nil"/>
              <w:left w:val="single" w:sz="8" w:space="0" w:color="000000" w:themeColor="text1"/>
              <w:bottom w:val="nil"/>
              <w:right w:val="nil"/>
            </w:tcBorders>
            <w:shd w:val="clear" w:color="auto" w:fill="DFDFDF"/>
          </w:tcPr>
          <w:p w:rsidR="004760BF" w:rsidRPr="004760BF" w:rsidP="004760BF" w14:paraId="192DEBA2" w14:textId="75D0D75E">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Ohio</w:t>
            </w:r>
          </w:p>
        </w:tc>
        <w:tc>
          <w:tcPr>
            <w:tcW w:w="1035" w:type="dxa"/>
            <w:tcBorders>
              <w:top w:val="nil"/>
              <w:left w:val="nil"/>
              <w:bottom w:val="nil"/>
              <w:right w:val="nil"/>
            </w:tcBorders>
            <w:shd w:val="clear" w:color="auto" w:fill="DFDFDF"/>
          </w:tcPr>
          <w:p w:rsidR="004760BF" w:rsidRPr="005C6D5B" w:rsidP="004760BF" w14:paraId="191D68D5" w14:textId="5AFA4751">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2.49%</w:t>
            </w:r>
          </w:p>
        </w:tc>
      </w:tr>
      <w:tr w14:paraId="381DA4A9" w14:textId="77777777" w:rsidTr="004C418B">
        <w:tblPrEx>
          <w:tblW w:w="0" w:type="auto"/>
          <w:jc w:val="center"/>
          <w:tblLayout w:type="fixed"/>
          <w:tblLook w:val="06A0"/>
        </w:tblPrEx>
        <w:trPr>
          <w:trHeight w:val="315"/>
          <w:jc w:val="center"/>
        </w:trPr>
        <w:tc>
          <w:tcPr>
            <w:tcW w:w="1980" w:type="dxa"/>
            <w:tcBorders>
              <w:top w:val="nil"/>
              <w:left w:val="nil"/>
              <w:bottom w:val="nil"/>
              <w:right w:val="nil"/>
            </w:tcBorders>
          </w:tcPr>
          <w:p w:rsidR="004760BF" w:rsidRPr="004760BF" w:rsidP="004760BF" w14:paraId="13160430" w14:textId="6EDE29B9">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Arizona</w:t>
            </w:r>
          </w:p>
        </w:tc>
        <w:tc>
          <w:tcPr>
            <w:tcW w:w="780" w:type="dxa"/>
            <w:tcBorders>
              <w:top w:val="nil"/>
              <w:left w:val="nil"/>
              <w:bottom w:val="nil"/>
              <w:right w:val="single" w:sz="8" w:space="0" w:color="000000" w:themeColor="text1"/>
            </w:tcBorders>
          </w:tcPr>
          <w:p w:rsidR="004760BF" w:rsidRPr="005C6D5B" w:rsidP="004760BF" w14:paraId="1A1435F4" w14:textId="406E0786">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1.89%</w:t>
            </w:r>
          </w:p>
        </w:tc>
        <w:tc>
          <w:tcPr>
            <w:tcW w:w="1875" w:type="dxa"/>
            <w:tcBorders>
              <w:top w:val="nil"/>
              <w:left w:val="single" w:sz="8" w:space="0" w:color="000000" w:themeColor="text1"/>
              <w:bottom w:val="nil"/>
              <w:right w:val="nil"/>
            </w:tcBorders>
          </w:tcPr>
          <w:p w:rsidR="004760BF" w:rsidRPr="004760BF" w:rsidP="004760BF" w14:paraId="2103883C" w14:textId="12821A94">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Maine</w:t>
            </w:r>
          </w:p>
        </w:tc>
        <w:tc>
          <w:tcPr>
            <w:tcW w:w="1035" w:type="dxa"/>
            <w:tcBorders>
              <w:top w:val="nil"/>
              <w:left w:val="nil"/>
              <w:bottom w:val="nil"/>
              <w:right w:val="single" w:sz="8" w:space="0" w:color="000000" w:themeColor="text1"/>
            </w:tcBorders>
          </w:tcPr>
          <w:p w:rsidR="004760BF" w:rsidRPr="005C6D5B" w:rsidP="004760BF" w14:paraId="5E23E0C2" w14:textId="31478B61">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2.87%</w:t>
            </w:r>
          </w:p>
        </w:tc>
        <w:tc>
          <w:tcPr>
            <w:tcW w:w="1725" w:type="dxa"/>
            <w:tcBorders>
              <w:top w:val="nil"/>
              <w:left w:val="single" w:sz="8" w:space="0" w:color="000000" w:themeColor="text1"/>
              <w:bottom w:val="nil"/>
              <w:right w:val="nil"/>
            </w:tcBorders>
          </w:tcPr>
          <w:p w:rsidR="004760BF" w:rsidRPr="004760BF" w:rsidP="004760BF" w14:paraId="016D23E2" w14:textId="0604BA06">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Oklahoma</w:t>
            </w:r>
          </w:p>
        </w:tc>
        <w:tc>
          <w:tcPr>
            <w:tcW w:w="1035" w:type="dxa"/>
            <w:tcBorders>
              <w:top w:val="nil"/>
              <w:left w:val="nil"/>
              <w:bottom w:val="nil"/>
              <w:right w:val="nil"/>
            </w:tcBorders>
          </w:tcPr>
          <w:p w:rsidR="004760BF" w:rsidRPr="005C6D5B" w:rsidP="004760BF" w14:paraId="63170A6F" w14:textId="658A92EA">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2.42%</w:t>
            </w:r>
          </w:p>
        </w:tc>
      </w:tr>
      <w:tr w14:paraId="09C91017" w14:textId="77777777" w:rsidTr="004C418B">
        <w:tblPrEx>
          <w:tblW w:w="0" w:type="auto"/>
          <w:jc w:val="center"/>
          <w:tblLayout w:type="fixed"/>
          <w:tblLook w:val="06A0"/>
        </w:tblPrEx>
        <w:trPr>
          <w:trHeight w:val="315"/>
          <w:jc w:val="center"/>
        </w:trPr>
        <w:tc>
          <w:tcPr>
            <w:tcW w:w="1980" w:type="dxa"/>
            <w:tcBorders>
              <w:top w:val="nil"/>
              <w:left w:val="nil"/>
              <w:bottom w:val="nil"/>
              <w:right w:val="nil"/>
            </w:tcBorders>
            <w:shd w:val="clear" w:color="auto" w:fill="DFDFDF"/>
          </w:tcPr>
          <w:p w:rsidR="004760BF" w:rsidRPr="004760BF" w:rsidP="004760BF" w14:paraId="6E81808C" w14:textId="663D9BC9">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Arkansas</w:t>
            </w:r>
          </w:p>
        </w:tc>
        <w:tc>
          <w:tcPr>
            <w:tcW w:w="780" w:type="dxa"/>
            <w:tcBorders>
              <w:top w:val="nil"/>
              <w:left w:val="nil"/>
              <w:bottom w:val="nil"/>
              <w:right w:val="single" w:sz="8" w:space="0" w:color="000000" w:themeColor="text1"/>
            </w:tcBorders>
            <w:shd w:val="clear" w:color="auto" w:fill="DFDFDF"/>
          </w:tcPr>
          <w:p w:rsidR="004760BF" w:rsidRPr="005C6D5B" w:rsidP="004760BF" w14:paraId="3DC77C7F" w14:textId="68A603EF">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2.02%</w:t>
            </w:r>
          </w:p>
        </w:tc>
        <w:tc>
          <w:tcPr>
            <w:tcW w:w="1875" w:type="dxa"/>
            <w:tcBorders>
              <w:top w:val="nil"/>
              <w:left w:val="single" w:sz="8" w:space="0" w:color="000000" w:themeColor="text1"/>
              <w:bottom w:val="nil"/>
              <w:right w:val="nil"/>
            </w:tcBorders>
            <w:shd w:val="clear" w:color="auto" w:fill="DFDFDF"/>
          </w:tcPr>
          <w:p w:rsidR="004760BF" w:rsidRPr="004760BF" w:rsidP="004760BF" w14:paraId="1335282D" w14:textId="6C5A6976">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Maryland</w:t>
            </w:r>
          </w:p>
        </w:tc>
        <w:tc>
          <w:tcPr>
            <w:tcW w:w="1035" w:type="dxa"/>
            <w:tcBorders>
              <w:top w:val="nil"/>
              <w:left w:val="nil"/>
              <w:bottom w:val="nil"/>
              <w:right w:val="single" w:sz="8" w:space="0" w:color="000000" w:themeColor="text1"/>
            </w:tcBorders>
            <w:shd w:val="clear" w:color="auto" w:fill="DFDFDF"/>
          </w:tcPr>
          <w:p w:rsidR="004760BF" w:rsidRPr="005C6D5B" w:rsidP="004760BF" w14:paraId="3BEFB236" w14:textId="22B673E3">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2.47%</w:t>
            </w:r>
          </w:p>
        </w:tc>
        <w:tc>
          <w:tcPr>
            <w:tcW w:w="1725" w:type="dxa"/>
            <w:tcBorders>
              <w:top w:val="nil"/>
              <w:left w:val="single" w:sz="8" w:space="0" w:color="000000" w:themeColor="text1"/>
              <w:bottom w:val="nil"/>
              <w:right w:val="nil"/>
            </w:tcBorders>
            <w:shd w:val="clear" w:color="auto" w:fill="DFDFDF"/>
          </w:tcPr>
          <w:p w:rsidR="004760BF" w:rsidRPr="004760BF" w:rsidP="004760BF" w14:paraId="4E2FEC15" w14:textId="3B2774FF">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Oregon</w:t>
            </w:r>
          </w:p>
        </w:tc>
        <w:tc>
          <w:tcPr>
            <w:tcW w:w="1035" w:type="dxa"/>
            <w:tcBorders>
              <w:top w:val="nil"/>
              <w:left w:val="nil"/>
              <w:bottom w:val="nil"/>
              <w:right w:val="nil"/>
            </w:tcBorders>
            <w:shd w:val="clear" w:color="auto" w:fill="DFDFDF"/>
          </w:tcPr>
          <w:p w:rsidR="004760BF" w:rsidRPr="005C6D5B" w:rsidP="004760BF" w14:paraId="1A78CCA5" w14:textId="2FD9D883">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2.44%</w:t>
            </w:r>
          </w:p>
        </w:tc>
      </w:tr>
      <w:tr w14:paraId="31DC5D00" w14:textId="77777777" w:rsidTr="004C418B">
        <w:tblPrEx>
          <w:tblW w:w="0" w:type="auto"/>
          <w:jc w:val="center"/>
          <w:tblLayout w:type="fixed"/>
          <w:tblLook w:val="06A0"/>
        </w:tblPrEx>
        <w:trPr>
          <w:trHeight w:val="315"/>
          <w:jc w:val="center"/>
        </w:trPr>
        <w:tc>
          <w:tcPr>
            <w:tcW w:w="1980" w:type="dxa"/>
            <w:tcBorders>
              <w:top w:val="nil"/>
              <w:left w:val="nil"/>
              <w:bottom w:val="nil"/>
              <w:right w:val="nil"/>
            </w:tcBorders>
          </w:tcPr>
          <w:p w:rsidR="004760BF" w:rsidRPr="004760BF" w:rsidP="004760BF" w14:paraId="7EC29819" w14:textId="0DD2FC27">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California</w:t>
            </w:r>
          </w:p>
        </w:tc>
        <w:tc>
          <w:tcPr>
            <w:tcW w:w="780" w:type="dxa"/>
            <w:tcBorders>
              <w:top w:val="nil"/>
              <w:left w:val="nil"/>
              <w:bottom w:val="nil"/>
              <w:right w:val="single" w:sz="8" w:space="0" w:color="000000" w:themeColor="text1"/>
            </w:tcBorders>
          </w:tcPr>
          <w:p w:rsidR="004760BF" w:rsidRPr="005C6D5B" w:rsidP="004760BF" w14:paraId="41EDA428" w14:textId="74F05BC3">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2.43%</w:t>
            </w:r>
          </w:p>
        </w:tc>
        <w:tc>
          <w:tcPr>
            <w:tcW w:w="1875" w:type="dxa"/>
            <w:tcBorders>
              <w:top w:val="nil"/>
              <w:left w:val="single" w:sz="8" w:space="0" w:color="000000" w:themeColor="text1"/>
              <w:bottom w:val="nil"/>
              <w:right w:val="nil"/>
            </w:tcBorders>
          </w:tcPr>
          <w:p w:rsidR="004760BF" w:rsidRPr="004760BF" w:rsidP="004760BF" w14:paraId="7EE0D6AC" w14:textId="2CD7171F">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Massachusetts</w:t>
            </w:r>
          </w:p>
        </w:tc>
        <w:tc>
          <w:tcPr>
            <w:tcW w:w="1035" w:type="dxa"/>
            <w:tcBorders>
              <w:top w:val="nil"/>
              <w:left w:val="nil"/>
              <w:bottom w:val="nil"/>
              <w:right w:val="single" w:sz="8" w:space="0" w:color="000000" w:themeColor="text1"/>
            </w:tcBorders>
          </w:tcPr>
          <w:p w:rsidR="004760BF" w:rsidRPr="005C6D5B" w:rsidP="004760BF" w14:paraId="4AB3D571" w14:textId="76FFFCE9">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2.19%</w:t>
            </w:r>
          </w:p>
        </w:tc>
        <w:tc>
          <w:tcPr>
            <w:tcW w:w="1725" w:type="dxa"/>
            <w:tcBorders>
              <w:top w:val="nil"/>
              <w:left w:val="single" w:sz="8" w:space="0" w:color="000000" w:themeColor="text1"/>
              <w:bottom w:val="nil"/>
              <w:right w:val="nil"/>
            </w:tcBorders>
          </w:tcPr>
          <w:p w:rsidR="004760BF" w:rsidRPr="004760BF" w:rsidP="004760BF" w14:paraId="4D95B9E0" w14:textId="26823CFA">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Pennsylvania</w:t>
            </w:r>
          </w:p>
        </w:tc>
        <w:tc>
          <w:tcPr>
            <w:tcW w:w="1035" w:type="dxa"/>
            <w:tcBorders>
              <w:top w:val="nil"/>
              <w:left w:val="nil"/>
              <w:bottom w:val="nil"/>
              <w:right w:val="nil"/>
            </w:tcBorders>
          </w:tcPr>
          <w:p w:rsidR="004760BF" w:rsidRPr="005C6D5B" w:rsidP="004760BF" w14:paraId="5468C0BD" w14:textId="4D211BD7">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2.78%</w:t>
            </w:r>
          </w:p>
        </w:tc>
      </w:tr>
      <w:tr w14:paraId="1D0DC94A" w14:textId="77777777" w:rsidTr="004C418B">
        <w:tblPrEx>
          <w:tblW w:w="0" w:type="auto"/>
          <w:jc w:val="center"/>
          <w:tblLayout w:type="fixed"/>
          <w:tblLook w:val="06A0"/>
        </w:tblPrEx>
        <w:trPr>
          <w:trHeight w:val="315"/>
          <w:jc w:val="center"/>
        </w:trPr>
        <w:tc>
          <w:tcPr>
            <w:tcW w:w="1980" w:type="dxa"/>
            <w:tcBorders>
              <w:top w:val="nil"/>
              <w:left w:val="nil"/>
              <w:bottom w:val="nil"/>
              <w:right w:val="nil"/>
            </w:tcBorders>
            <w:shd w:val="clear" w:color="auto" w:fill="DFDFDF"/>
          </w:tcPr>
          <w:p w:rsidR="004760BF" w:rsidRPr="004760BF" w:rsidP="004760BF" w14:paraId="673ED6E7" w14:textId="17431633">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Colorado</w:t>
            </w:r>
          </w:p>
        </w:tc>
        <w:tc>
          <w:tcPr>
            <w:tcW w:w="780" w:type="dxa"/>
            <w:tcBorders>
              <w:top w:val="nil"/>
              <w:left w:val="nil"/>
              <w:bottom w:val="nil"/>
              <w:right w:val="single" w:sz="8" w:space="0" w:color="000000" w:themeColor="text1"/>
            </w:tcBorders>
            <w:shd w:val="clear" w:color="auto" w:fill="DFDFDF"/>
          </w:tcPr>
          <w:p w:rsidR="004760BF" w:rsidRPr="005C6D5B" w:rsidP="004760BF" w14:paraId="3C05C154" w14:textId="227CBCF9">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1.79%</w:t>
            </w:r>
          </w:p>
        </w:tc>
        <w:tc>
          <w:tcPr>
            <w:tcW w:w="1875" w:type="dxa"/>
            <w:tcBorders>
              <w:top w:val="nil"/>
              <w:left w:val="single" w:sz="8" w:space="0" w:color="000000" w:themeColor="text1"/>
              <w:bottom w:val="nil"/>
              <w:right w:val="nil"/>
            </w:tcBorders>
            <w:shd w:val="clear" w:color="auto" w:fill="DFDFDF"/>
          </w:tcPr>
          <w:p w:rsidR="004760BF" w:rsidRPr="004760BF" w:rsidP="004760BF" w14:paraId="593F7722" w14:textId="1AC8D397">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Michigan</w:t>
            </w:r>
          </w:p>
        </w:tc>
        <w:tc>
          <w:tcPr>
            <w:tcW w:w="1035" w:type="dxa"/>
            <w:tcBorders>
              <w:top w:val="nil"/>
              <w:left w:val="nil"/>
              <w:bottom w:val="nil"/>
              <w:right w:val="single" w:sz="8" w:space="0" w:color="000000" w:themeColor="text1"/>
            </w:tcBorders>
            <w:shd w:val="clear" w:color="auto" w:fill="DFDFDF"/>
          </w:tcPr>
          <w:p w:rsidR="004760BF" w:rsidRPr="005C6D5B" w:rsidP="004760BF" w14:paraId="029F8AE5" w14:textId="4912DD85">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2.80%</w:t>
            </w:r>
          </w:p>
        </w:tc>
        <w:tc>
          <w:tcPr>
            <w:tcW w:w="1725" w:type="dxa"/>
            <w:tcBorders>
              <w:top w:val="nil"/>
              <w:left w:val="single" w:sz="8" w:space="0" w:color="000000" w:themeColor="text1"/>
              <w:bottom w:val="nil"/>
              <w:right w:val="nil"/>
            </w:tcBorders>
            <w:shd w:val="clear" w:color="auto" w:fill="DFDFDF"/>
          </w:tcPr>
          <w:p w:rsidR="004760BF" w:rsidRPr="004760BF" w:rsidP="004760BF" w14:paraId="42D2A1C1" w14:textId="4056377C">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Rhode Island</w:t>
            </w:r>
          </w:p>
        </w:tc>
        <w:tc>
          <w:tcPr>
            <w:tcW w:w="1035" w:type="dxa"/>
            <w:tcBorders>
              <w:top w:val="nil"/>
              <w:left w:val="nil"/>
              <w:bottom w:val="nil"/>
              <w:right w:val="nil"/>
            </w:tcBorders>
            <w:shd w:val="clear" w:color="auto" w:fill="DFDFDF"/>
          </w:tcPr>
          <w:p w:rsidR="004760BF" w:rsidRPr="005C6D5B" w:rsidP="004760BF" w14:paraId="0CC00BA0" w14:textId="1673692F">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2.63%</w:t>
            </w:r>
          </w:p>
        </w:tc>
      </w:tr>
      <w:tr w14:paraId="183E1B6A" w14:textId="77777777" w:rsidTr="004C418B">
        <w:tblPrEx>
          <w:tblW w:w="0" w:type="auto"/>
          <w:jc w:val="center"/>
          <w:tblLayout w:type="fixed"/>
          <w:tblLook w:val="06A0"/>
        </w:tblPrEx>
        <w:trPr>
          <w:trHeight w:val="315"/>
          <w:jc w:val="center"/>
        </w:trPr>
        <w:tc>
          <w:tcPr>
            <w:tcW w:w="1980" w:type="dxa"/>
            <w:tcBorders>
              <w:top w:val="nil"/>
              <w:left w:val="nil"/>
              <w:bottom w:val="nil"/>
              <w:right w:val="nil"/>
            </w:tcBorders>
          </w:tcPr>
          <w:p w:rsidR="004760BF" w:rsidRPr="004760BF" w:rsidP="004760BF" w14:paraId="4BCD16D9" w14:textId="17525AD3">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Connecticut</w:t>
            </w:r>
          </w:p>
        </w:tc>
        <w:tc>
          <w:tcPr>
            <w:tcW w:w="780" w:type="dxa"/>
            <w:tcBorders>
              <w:top w:val="nil"/>
              <w:left w:val="nil"/>
              <w:bottom w:val="nil"/>
              <w:right w:val="single" w:sz="8" w:space="0" w:color="000000" w:themeColor="text1"/>
            </w:tcBorders>
          </w:tcPr>
          <w:p w:rsidR="004760BF" w:rsidRPr="005C6D5B" w:rsidP="004760BF" w14:paraId="152D2705" w14:textId="18DC8B59">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2.50%</w:t>
            </w:r>
          </w:p>
        </w:tc>
        <w:tc>
          <w:tcPr>
            <w:tcW w:w="1875" w:type="dxa"/>
            <w:tcBorders>
              <w:top w:val="nil"/>
              <w:left w:val="single" w:sz="8" w:space="0" w:color="000000" w:themeColor="text1"/>
              <w:bottom w:val="nil"/>
              <w:right w:val="nil"/>
            </w:tcBorders>
          </w:tcPr>
          <w:p w:rsidR="004760BF" w:rsidRPr="004760BF" w:rsidP="004760BF" w14:paraId="309DF9D3" w14:textId="6A492730">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Minnesota</w:t>
            </w:r>
          </w:p>
        </w:tc>
        <w:tc>
          <w:tcPr>
            <w:tcW w:w="1035" w:type="dxa"/>
            <w:tcBorders>
              <w:top w:val="nil"/>
              <w:left w:val="nil"/>
              <w:bottom w:val="nil"/>
              <w:right w:val="single" w:sz="8" w:space="0" w:color="000000" w:themeColor="text1"/>
            </w:tcBorders>
          </w:tcPr>
          <w:p w:rsidR="004760BF" w:rsidRPr="005C6D5B" w:rsidP="004760BF" w14:paraId="60641BF7" w14:textId="077208C9">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2.48%</w:t>
            </w:r>
          </w:p>
        </w:tc>
        <w:tc>
          <w:tcPr>
            <w:tcW w:w="1725" w:type="dxa"/>
            <w:tcBorders>
              <w:top w:val="nil"/>
              <w:left w:val="single" w:sz="8" w:space="0" w:color="000000" w:themeColor="text1"/>
              <w:bottom w:val="nil"/>
              <w:right w:val="nil"/>
            </w:tcBorders>
          </w:tcPr>
          <w:p w:rsidR="004760BF" w:rsidRPr="004760BF" w:rsidP="004760BF" w14:paraId="2809F067" w14:textId="7AFAEF41">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South Carolina</w:t>
            </w:r>
          </w:p>
        </w:tc>
        <w:tc>
          <w:tcPr>
            <w:tcW w:w="1035" w:type="dxa"/>
            <w:tcBorders>
              <w:top w:val="nil"/>
              <w:left w:val="nil"/>
              <w:bottom w:val="nil"/>
              <w:right w:val="nil"/>
            </w:tcBorders>
          </w:tcPr>
          <w:p w:rsidR="004760BF" w:rsidRPr="005C6D5B" w:rsidP="004760BF" w14:paraId="726DB6C4" w14:textId="78B2D17D">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2.00%</w:t>
            </w:r>
          </w:p>
        </w:tc>
      </w:tr>
      <w:tr w14:paraId="679E1DC5" w14:textId="77777777" w:rsidTr="004C418B">
        <w:tblPrEx>
          <w:tblW w:w="0" w:type="auto"/>
          <w:jc w:val="center"/>
          <w:tblLayout w:type="fixed"/>
          <w:tblLook w:val="06A0"/>
        </w:tblPrEx>
        <w:trPr>
          <w:trHeight w:val="315"/>
          <w:jc w:val="center"/>
        </w:trPr>
        <w:tc>
          <w:tcPr>
            <w:tcW w:w="1980" w:type="dxa"/>
            <w:tcBorders>
              <w:top w:val="nil"/>
              <w:left w:val="nil"/>
              <w:bottom w:val="nil"/>
              <w:right w:val="nil"/>
            </w:tcBorders>
            <w:shd w:val="clear" w:color="auto" w:fill="DFDFDF"/>
          </w:tcPr>
          <w:p w:rsidR="004760BF" w:rsidRPr="004760BF" w:rsidP="004760BF" w14:paraId="6B0BC1C1" w14:textId="48068AF7">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Delaware</w:t>
            </w:r>
          </w:p>
        </w:tc>
        <w:tc>
          <w:tcPr>
            <w:tcW w:w="780" w:type="dxa"/>
            <w:tcBorders>
              <w:top w:val="nil"/>
              <w:left w:val="nil"/>
              <w:bottom w:val="nil"/>
              <w:right w:val="single" w:sz="8" w:space="0" w:color="000000" w:themeColor="text1"/>
            </w:tcBorders>
            <w:shd w:val="clear" w:color="auto" w:fill="DFDFDF"/>
          </w:tcPr>
          <w:p w:rsidR="004760BF" w:rsidRPr="005C6D5B" w:rsidP="004760BF" w14:paraId="5F27B724" w14:textId="17B3CEAE">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5.37%</w:t>
            </w:r>
          </w:p>
        </w:tc>
        <w:tc>
          <w:tcPr>
            <w:tcW w:w="1875" w:type="dxa"/>
            <w:tcBorders>
              <w:top w:val="nil"/>
              <w:left w:val="single" w:sz="8" w:space="0" w:color="000000" w:themeColor="text1"/>
              <w:bottom w:val="nil"/>
              <w:right w:val="nil"/>
            </w:tcBorders>
            <w:shd w:val="clear" w:color="auto" w:fill="DFDFDF"/>
          </w:tcPr>
          <w:p w:rsidR="004760BF" w:rsidRPr="004760BF" w:rsidP="004760BF" w14:paraId="2B9664AB" w14:textId="0EFDBEEA">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Mississippi</w:t>
            </w:r>
          </w:p>
        </w:tc>
        <w:tc>
          <w:tcPr>
            <w:tcW w:w="1035" w:type="dxa"/>
            <w:tcBorders>
              <w:top w:val="nil"/>
              <w:left w:val="nil"/>
              <w:bottom w:val="nil"/>
              <w:right w:val="single" w:sz="8" w:space="0" w:color="000000" w:themeColor="text1"/>
            </w:tcBorders>
            <w:shd w:val="clear" w:color="auto" w:fill="DFDFDF"/>
          </w:tcPr>
          <w:p w:rsidR="004760BF" w:rsidRPr="005C6D5B" w:rsidP="004760BF" w14:paraId="79A7E5D2" w14:textId="46E866AD">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2.39%</w:t>
            </w:r>
          </w:p>
        </w:tc>
        <w:tc>
          <w:tcPr>
            <w:tcW w:w="1725" w:type="dxa"/>
            <w:tcBorders>
              <w:top w:val="nil"/>
              <w:left w:val="single" w:sz="8" w:space="0" w:color="000000" w:themeColor="text1"/>
              <w:bottom w:val="nil"/>
              <w:right w:val="nil"/>
            </w:tcBorders>
            <w:shd w:val="clear" w:color="auto" w:fill="DFDFDF"/>
          </w:tcPr>
          <w:p w:rsidR="004760BF" w:rsidRPr="004760BF" w:rsidP="004760BF" w14:paraId="1E9B42F7" w14:textId="15AF6A5D">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South Dakota</w:t>
            </w:r>
          </w:p>
        </w:tc>
        <w:tc>
          <w:tcPr>
            <w:tcW w:w="1035" w:type="dxa"/>
            <w:tcBorders>
              <w:top w:val="nil"/>
              <w:left w:val="nil"/>
              <w:bottom w:val="nil"/>
              <w:right w:val="nil"/>
            </w:tcBorders>
            <w:shd w:val="clear" w:color="auto" w:fill="DFDFDF"/>
          </w:tcPr>
          <w:p w:rsidR="004760BF" w:rsidRPr="005C6D5B" w:rsidP="004760BF" w14:paraId="7789B87D" w14:textId="4B57AB14">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3.98%</w:t>
            </w:r>
          </w:p>
        </w:tc>
      </w:tr>
      <w:tr w14:paraId="242E17B7" w14:textId="77777777" w:rsidTr="004C418B">
        <w:tblPrEx>
          <w:tblW w:w="0" w:type="auto"/>
          <w:jc w:val="center"/>
          <w:tblLayout w:type="fixed"/>
          <w:tblLook w:val="06A0"/>
        </w:tblPrEx>
        <w:trPr>
          <w:trHeight w:val="315"/>
          <w:jc w:val="center"/>
        </w:trPr>
        <w:tc>
          <w:tcPr>
            <w:tcW w:w="1980" w:type="dxa"/>
            <w:tcBorders>
              <w:top w:val="nil"/>
              <w:left w:val="nil"/>
              <w:bottom w:val="nil"/>
              <w:right w:val="nil"/>
            </w:tcBorders>
          </w:tcPr>
          <w:p w:rsidR="004760BF" w:rsidRPr="004760BF" w:rsidP="004760BF" w14:paraId="3246FE1D" w14:textId="11A8A6EA">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District of Columbia</w:t>
            </w:r>
          </w:p>
        </w:tc>
        <w:tc>
          <w:tcPr>
            <w:tcW w:w="780" w:type="dxa"/>
            <w:tcBorders>
              <w:top w:val="nil"/>
              <w:left w:val="nil"/>
              <w:bottom w:val="nil"/>
              <w:right w:val="single" w:sz="8" w:space="0" w:color="000000" w:themeColor="text1"/>
            </w:tcBorders>
          </w:tcPr>
          <w:p w:rsidR="004760BF" w:rsidRPr="005C6D5B" w:rsidP="004760BF" w14:paraId="2B5FFCA2" w14:textId="31F04F64">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2.96%</w:t>
            </w:r>
          </w:p>
        </w:tc>
        <w:tc>
          <w:tcPr>
            <w:tcW w:w="1875" w:type="dxa"/>
            <w:tcBorders>
              <w:top w:val="nil"/>
              <w:left w:val="single" w:sz="8" w:space="0" w:color="000000" w:themeColor="text1"/>
              <w:bottom w:val="nil"/>
              <w:right w:val="nil"/>
            </w:tcBorders>
          </w:tcPr>
          <w:p w:rsidR="004760BF" w:rsidRPr="004760BF" w:rsidP="004760BF" w14:paraId="71931D9B" w14:textId="7D4FF38D">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Missouri</w:t>
            </w:r>
          </w:p>
        </w:tc>
        <w:tc>
          <w:tcPr>
            <w:tcW w:w="1035" w:type="dxa"/>
            <w:tcBorders>
              <w:top w:val="nil"/>
              <w:left w:val="nil"/>
              <w:bottom w:val="nil"/>
              <w:right w:val="single" w:sz="8" w:space="0" w:color="000000" w:themeColor="text1"/>
            </w:tcBorders>
          </w:tcPr>
          <w:p w:rsidR="004760BF" w:rsidRPr="005C6D5B" w:rsidP="004760BF" w14:paraId="3A17C8DE" w14:textId="17FD4AD5">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2.31%</w:t>
            </w:r>
          </w:p>
        </w:tc>
        <w:tc>
          <w:tcPr>
            <w:tcW w:w="1725" w:type="dxa"/>
            <w:tcBorders>
              <w:top w:val="nil"/>
              <w:left w:val="single" w:sz="8" w:space="0" w:color="000000" w:themeColor="text1"/>
              <w:bottom w:val="nil"/>
              <w:right w:val="nil"/>
            </w:tcBorders>
          </w:tcPr>
          <w:p w:rsidR="004760BF" w:rsidRPr="004760BF" w:rsidP="004760BF" w14:paraId="39ED64A6" w14:textId="1656DE33">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Tennessee</w:t>
            </w:r>
          </w:p>
        </w:tc>
        <w:tc>
          <w:tcPr>
            <w:tcW w:w="1035" w:type="dxa"/>
            <w:tcBorders>
              <w:top w:val="nil"/>
              <w:left w:val="nil"/>
              <w:bottom w:val="nil"/>
              <w:right w:val="nil"/>
            </w:tcBorders>
          </w:tcPr>
          <w:p w:rsidR="004760BF" w:rsidRPr="005C6D5B" w:rsidP="004760BF" w14:paraId="72D1B784" w14:textId="5959A553">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2.34%</w:t>
            </w:r>
          </w:p>
        </w:tc>
      </w:tr>
      <w:tr w14:paraId="57C78229" w14:textId="77777777" w:rsidTr="004C418B">
        <w:tblPrEx>
          <w:tblW w:w="0" w:type="auto"/>
          <w:jc w:val="center"/>
          <w:tblLayout w:type="fixed"/>
          <w:tblLook w:val="06A0"/>
        </w:tblPrEx>
        <w:trPr>
          <w:trHeight w:val="315"/>
          <w:jc w:val="center"/>
        </w:trPr>
        <w:tc>
          <w:tcPr>
            <w:tcW w:w="1980" w:type="dxa"/>
            <w:tcBorders>
              <w:top w:val="nil"/>
              <w:left w:val="nil"/>
              <w:bottom w:val="nil"/>
              <w:right w:val="nil"/>
            </w:tcBorders>
            <w:shd w:val="clear" w:color="auto" w:fill="DFDFDF"/>
          </w:tcPr>
          <w:p w:rsidR="004760BF" w:rsidRPr="004760BF" w:rsidP="004760BF" w14:paraId="6A8E3C0A" w14:textId="0C01760C">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Florida</w:t>
            </w:r>
          </w:p>
        </w:tc>
        <w:tc>
          <w:tcPr>
            <w:tcW w:w="780" w:type="dxa"/>
            <w:tcBorders>
              <w:top w:val="nil"/>
              <w:left w:val="nil"/>
              <w:bottom w:val="nil"/>
              <w:right w:val="single" w:sz="8" w:space="0" w:color="000000" w:themeColor="text1"/>
            </w:tcBorders>
            <w:shd w:val="clear" w:color="auto" w:fill="DFDFDF"/>
          </w:tcPr>
          <w:p w:rsidR="004760BF" w:rsidRPr="005C6D5B" w:rsidP="004760BF" w14:paraId="5D742B3E" w14:textId="338A1E28">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2.14%</w:t>
            </w:r>
          </w:p>
        </w:tc>
        <w:tc>
          <w:tcPr>
            <w:tcW w:w="1875" w:type="dxa"/>
            <w:tcBorders>
              <w:top w:val="nil"/>
              <w:left w:val="single" w:sz="8" w:space="0" w:color="000000" w:themeColor="text1"/>
              <w:bottom w:val="nil"/>
              <w:right w:val="nil"/>
            </w:tcBorders>
            <w:shd w:val="clear" w:color="auto" w:fill="DFDFDF"/>
          </w:tcPr>
          <w:p w:rsidR="004760BF" w:rsidRPr="004760BF" w:rsidP="004760BF" w14:paraId="19A53D2B" w14:textId="0C33E123">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Montana</w:t>
            </w:r>
          </w:p>
        </w:tc>
        <w:tc>
          <w:tcPr>
            <w:tcW w:w="1035" w:type="dxa"/>
            <w:tcBorders>
              <w:top w:val="nil"/>
              <w:left w:val="nil"/>
              <w:bottom w:val="nil"/>
              <w:right w:val="single" w:sz="8" w:space="0" w:color="000000" w:themeColor="text1"/>
            </w:tcBorders>
            <w:shd w:val="clear" w:color="auto" w:fill="DFDFDF"/>
          </w:tcPr>
          <w:p w:rsidR="004760BF" w:rsidRPr="005C6D5B" w:rsidP="004760BF" w14:paraId="22AE6B03" w14:textId="0E01F78B">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3.63%</w:t>
            </w:r>
          </w:p>
        </w:tc>
        <w:tc>
          <w:tcPr>
            <w:tcW w:w="1725" w:type="dxa"/>
            <w:tcBorders>
              <w:top w:val="nil"/>
              <w:left w:val="single" w:sz="8" w:space="0" w:color="000000" w:themeColor="text1"/>
              <w:bottom w:val="nil"/>
              <w:right w:val="nil"/>
            </w:tcBorders>
            <w:shd w:val="clear" w:color="auto" w:fill="DFDFDF"/>
          </w:tcPr>
          <w:p w:rsidR="004760BF" w:rsidRPr="004760BF" w:rsidP="004760BF" w14:paraId="52B57FA6" w14:textId="7807B3B4">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Texas</w:t>
            </w:r>
          </w:p>
        </w:tc>
        <w:tc>
          <w:tcPr>
            <w:tcW w:w="1035" w:type="dxa"/>
            <w:tcBorders>
              <w:top w:val="nil"/>
              <w:left w:val="nil"/>
              <w:bottom w:val="nil"/>
              <w:right w:val="nil"/>
            </w:tcBorders>
            <w:shd w:val="clear" w:color="auto" w:fill="DFDFDF"/>
          </w:tcPr>
          <w:p w:rsidR="004760BF" w:rsidRPr="005C6D5B" w:rsidP="004760BF" w14:paraId="5EFF9D77" w14:textId="7768CB2E">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2.18%</w:t>
            </w:r>
          </w:p>
        </w:tc>
      </w:tr>
      <w:tr w14:paraId="187D84D7" w14:textId="77777777" w:rsidTr="004C418B">
        <w:tblPrEx>
          <w:tblW w:w="0" w:type="auto"/>
          <w:jc w:val="center"/>
          <w:tblLayout w:type="fixed"/>
          <w:tblLook w:val="06A0"/>
        </w:tblPrEx>
        <w:trPr>
          <w:trHeight w:val="315"/>
          <w:jc w:val="center"/>
        </w:trPr>
        <w:tc>
          <w:tcPr>
            <w:tcW w:w="1980" w:type="dxa"/>
            <w:tcBorders>
              <w:top w:val="nil"/>
              <w:left w:val="nil"/>
              <w:bottom w:val="nil"/>
              <w:right w:val="nil"/>
            </w:tcBorders>
          </w:tcPr>
          <w:p w:rsidR="004760BF" w:rsidRPr="004760BF" w:rsidP="004760BF" w14:paraId="05382DD4" w14:textId="42F12A10">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Georgia</w:t>
            </w:r>
          </w:p>
        </w:tc>
        <w:tc>
          <w:tcPr>
            <w:tcW w:w="780" w:type="dxa"/>
            <w:tcBorders>
              <w:top w:val="nil"/>
              <w:left w:val="nil"/>
              <w:bottom w:val="nil"/>
              <w:right w:val="single" w:sz="8" w:space="0" w:color="000000" w:themeColor="text1"/>
            </w:tcBorders>
          </w:tcPr>
          <w:p w:rsidR="004760BF" w:rsidRPr="005C6D5B" w:rsidP="004760BF" w14:paraId="4E65715B" w14:textId="638AC8EB">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2.44%</w:t>
            </w:r>
          </w:p>
        </w:tc>
        <w:tc>
          <w:tcPr>
            <w:tcW w:w="1875" w:type="dxa"/>
            <w:tcBorders>
              <w:top w:val="nil"/>
              <w:left w:val="single" w:sz="8" w:space="0" w:color="000000" w:themeColor="text1"/>
              <w:bottom w:val="nil"/>
              <w:right w:val="nil"/>
            </w:tcBorders>
          </w:tcPr>
          <w:p w:rsidR="004760BF" w:rsidRPr="004760BF" w:rsidP="004760BF" w14:paraId="256B974B" w14:textId="150E14FA">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Nebraska</w:t>
            </w:r>
          </w:p>
        </w:tc>
        <w:tc>
          <w:tcPr>
            <w:tcW w:w="1035" w:type="dxa"/>
            <w:tcBorders>
              <w:top w:val="nil"/>
              <w:left w:val="nil"/>
              <w:bottom w:val="nil"/>
              <w:right w:val="single" w:sz="8" w:space="0" w:color="000000" w:themeColor="text1"/>
            </w:tcBorders>
          </w:tcPr>
          <w:p w:rsidR="004760BF" w:rsidRPr="005C6D5B" w:rsidP="004760BF" w14:paraId="46905BE4" w14:textId="3699944A">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2.54%</w:t>
            </w:r>
          </w:p>
        </w:tc>
        <w:tc>
          <w:tcPr>
            <w:tcW w:w="1725" w:type="dxa"/>
            <w:tcBorders>
              <w:top w:val="nil"/>
              <w:left w:val="single" w:sz="8" w:space="0" w:color="000000" w:themeColor="text1"/>
              <w:bottom w:val="nil"/>
              <w:right w:val="nil"/>
            </w:tcBorders>
          </w:tcPr>
          <w:p w:rsidR="004760BF" w:rsidRPr="004760BF" w:rsidP="004760BF" w14:paraId="27BCED7D" w14:textId="703A61B1">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Utah</w:t>
            </w:r>
          </w:p>
        </w:tc>
        <w:tc>
          <w:tcPr>
            <w:tcW w:w="1035" w:type="dxa"/>
            <w:tcBorders>
              <w:top w:val="nil"/>
              <w:left w:val="nil"/>
              <w:bottom w:val="nil"/>
              <w:right w:val="nil"/>
            </w:tcBorders>
          </w:tcPr>
          <w:p w:rsidR="004760BF" w:rsidRPr="005C6D5B" w:rsidP="004760BF" w14:paraId="1975439A" w14:textId="40BDB078">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1.83%</w:t>
            </w:r>
          </w:p>
        </w:tc>
      </w:tr>
      <w:tr w14:paraId="1897D9AF" w14:textId="77777777" w:rsidTr="004C418B">
        <w:tblPrEx>
          <w:tblW w:w="0" w:type="auto"/>
          <w:jc w:val="center"/>
          <w:tblLayout w:type="fixed"/>
          <w:tblLook w:val="06A0"/>
        </w:tblPrEx>
        <w:trPr>
          <w:trHeight w:val="315"/>
          <w:jc w:val="center"/>
        </w:trPr>
        <w:tc>
          <w:tcPr>
            <w:tcW w:w="1980" w:type="dxa"/>
            <w:tcBorders>
              <w:top w:val="nil"/>
              <w:left w:val="nil"/>
              <w:bottom w:val="nil"/>
              <w:right w:val="nil"/>
            </w:tcBorders>
            <w:shd w:val="clear" w:color="auto" w:fill="DFDFDF"/>
          </w:tcPr>
          <w:p w:rsidR="004760BF" w:rsidRPr="004760BF" w:rsidP="004760BF" w14:paraId="76106944" w14:textId="4480F101">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Hawaii</w:t>
            </w:r>
          </w:p>
        </w:tc>
        <w:tc>
          <w:tcPr>
            <w:tcW w:w="780" w:type="dxa"/>
            <w:tcBorders>
              <w:top w:val="nil"/>
              <w:left w:val="nil"/>
              <w:bottom w:val="nil"/>
              <w:right w:val="single" w:sz="8" w:space="0" w:color="000000" w:themeColor="text1"/>
            </w:tcBorders>
            <w:shd w:val="clear" w:color="auto" w:fill="DFDFDF"/>
          </w:tcPr>
          <w:p w:rsidR="004760BF" w:rsidRPr="005C6D5B" w:rsidP="004760BF" w14:paraId="530E5249" w14:textId="64A3D06B">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3.48%</w:t>
            </w:r>
          </w:p>
        </w:tc>
        <w:tc>
          <w:tcPr>
            <w:tcW w:w="1875" w:type="dxa"/>
            <w:tcBorders>
              <w:top w:val="nil"/>
              <w:left w:val="single" w:sz="8" w:space="0" w:color="000000" w:themeColor="text1"/>
              <w:bottom w:val="nil"/>
              <w:right w:val="nil"/>
            </w:tcBorders>
            <w:shd w:val="clear" w:color="auto" w:fill="DFDFDF"/>
          </w:tcPr>
          <w:p w:rsidR="004760BF" w:rsidRPr="004760BF" w:rsidP="004760BF" w14:paraId="4C89EE86" w14:textId="3F15F3E6">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Nevada</w:t>
            </w:r>
          </w:p>
        </w:tc>
        <w:tc>
          <w:tcPr>
            <w:tcW w:w="1035" w:type="dxa"/>
            <w:tcBorders>
              <w:top w:val="nil"/>
              <w:left w:val="nil"/>
              <w:bottom w:val="nil"/>
              <w:right w:val="single" w:sz="8" w:space="0" w:color="000000" w:themeColor="text1"/>
            </w:tcBorders>
            <w:shd w:val="clear" w:color="auto" w:fill="DFDFDF"/>
          </w:tcPr>
          <w:p w:rsidR="004760BF" w:rsidRPr="005C6D5B" w:rsidP="004760BF" w14:paraId="1E555462" w14:textId="5E29A1F7">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4.03%</w:t>
            </w:r>
          </w:p>
        </w:tc>
        <w:tc>
          <w:tcPr>
            <w:tcW w:w="1725" w:type="dxa"/>
            <w:tcBorders>
              <w:top w:val="nil"/>
              <w:left w:val="single" w:sz="8" w:space="0" w:color="000000" w:themeColor="text1"/>
              <w:bottom w:val="nil"/>
              <w:right w:val="nil"/>
            </w:tcBorders>
            <w:shd w:val="clear" w:color="auto" w:fill="DFDFDF"/>
          </w:tcPr>
          <w:p w:rsidR="004760BF" w:rsidRPr="004760BF" w:rsidP="004760BF" w14:paraId="7CC061E5" w14:textId="2C830DAA">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Vermont</w:t>
            </w:r>
          </w:p>
        </w:tc>
        <w:tc>
          <w:tcPr>
            <w:tcW w:w="1035" w:type="dxa"/>
            <w:tcBorders>
              <w:top w:val="nil"/>
              <w:left w:val="nil"/>
              <w:bottom w:val="nil"/>
              <w:right w:val="nil"/>
            </w:tcBorders>
            <w:shd w:val="clear" w:color="auto" w:fill="DFDFDF"/>
          </w:tcPr>
          <w:p w:rsidR="004760BF" w:rsidRPr="005C6D5B" w:rsidP="004760BF" w14:paraId="69D7B1D0" w14:textId="087E2304">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4.61%</w:t>
            </w:r>
          </w:p>
        </w:tc>
      </w:tr>
      <w:tr w14:paraId="419E3483" w14:textId="77777777" w:rsidTr="004C418B">
        <w:tblPrEx>
          <w:tblW w:w="0" w:type="auto"/>
          <w:jc w:val="center"/>
          <w:tblLayout w:type="fixed"/>
          <w:tblLook w:val="06A0"/>
        </w:tblPrEx>
        <w:trPr>
          <w:trHeight w:val="315"/>
          <w:jc w:val="center"/>
        </w:trPr>
        <w:tc>
          <w:tcPr>
            <w:tcW w:w="1980" w:type="dxa"/>
            <w:tcBorders>
              <w:top w:val="nil"/>
              <w:left w:val="nil"/>
              <w:bottom w:val="nil"/>
              <w:right w:val="nil"/>
            </w:tcBorders>
          </w:tcPr>
          <w:p w:rsidR="004760BF" w:rsidRPr="004760BF" w:rsidP="004760BF" w14:paraId="1E024F3E" w14:textId="47390743">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Idaho</w:t>
            </w:r>
          </w:p>
        </w:tc>
        <w:tc>
          <w:tcPr>
            <w:tcW w:w="780" w:type="dxa"/>
            <w:tcBorders>
              <w:top w:val="nil"/>
              <w:left w:val="nil"/>
              <w:bottom w:val="nil"/>
              <w:right w:val="single" w:sz="8" w:space="0" w:color="000000" w:themeColor="text1"/>
            </w:tcBorders>
          </w:tcPr>
          <w:p w:rsidR="004760BF" w:rsidRPr="005C6D5B" w:rsidP="004760BF" w14:paraId="7F864FD8" w14:textId="2FB7DC4D">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2.32%</w:t>
            </w:r>
          </w:p>
        </w:tc>
        <w:tc>
          <w:tcPr>
            <w:tcW w:w="1875" w:type="dxa"/>
            <w:tcBorders>
              <w:top w:val="nil"/>
              <w:left w:val="single" w:sz="8" w:space="0" w:color="000000" w:themeColor="text1"/>
              <w:bottom w:val="nil"/>
              <w:right w:val="nil"/>
            </w:tcBorders>
          </w:tcPr>
          <w:p w:rsidR="004760BF" w:rsidRPr="004760BF" w:rsidP="004760BF" w14:paraId="1961C9A4" w14:textId="1C7835B5">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 xml:space="preserve">New </w:t>
            </w:r>
            <w:r w:rsidRPr="005C6D5B" w:rsidR="004C418B">
              <w:rPr>
                <w:rFonts w:asciiTheme="minorHAnsi" w:hAnsiTheme="minorHAnsi" w:cstheme="minorHAnsi"/>
                <w:sz w:val="20"/>
                <w:szCs w:val="20"/>
              </w:rPr>
              <w:t>Hampshire</w:t>
            </w:r>
          </w:p>
        </w:tc>
        <w:tc>
          <w:tcPr>
            <w:tcW w:w="1035" w:type="dxa"/>
            <w:tcBorders>
              <w:top w:val="nil"/>
              <w:left w:val="nil"/>
              <w:bottom w:val="nil"/>
              <w:right w:val="single" w:sz="8" w:space="0" w:color="000000" w:themeColor="text1"/>
            </w:tcBorders>
          </w:tcPr>
          <w:p w:rsidR="004760BF" w:rsidRPr="005C6D5B" w:rsidP="004760BF" w14:paraId="6D3DFC6B" w14:textId="094D3F66">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2.77%</w:t>
            </w:r>
          </w:p>
        </w:tc>
        <w:tc>
          <w:tcPr>
            <w:tcW w:w="1725" w:type="dxa"/>
            <w:tcBorders>
              <w:top w:val="nil"/>
              <w:left w:val="single" w:sz="8" w:space="0" w:color="000000" w:themeColor="text1"/>
              <w:bottom w:val="nil"/>
              <w:right w:val="nil"/>
            </w:tcBorders>
          </w:tcPr>
          <w:p w:rsidR="004760BF" w:rsidRPr="004760BF" w:rsidP="004760BF" w14:paraId="7B9A0B6A" w14:textId="5C05DC9F">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Virginia</w:t>
            </w:r>
          </w:p>
        </w:tc>
        <w:tc>
          <w:tcPr>
            <w:tcW w:w="1035" w:type="dxa"/>
            <w:tcBorders>
              <w:top w:val="nil"/>
              <w:left w:val="nil"/>
              <w:bottom w:val="nil"/>
              <w:right w:val="nil"/>
            </w:tcBorders>
          </w:tcPr>
          <w:p w:rsidR="004760BF" w:rsidRPr="005C6D5B" w:rsidP="004760BF" w14:paraId="32FE25C7" w14:textId="74792888">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2.50%</w:t>
            </w:r>
          </w:p>
        </w:tc>
      </w:tr>
      <w:tr w14:paraId="4AB29827" w14:textId="77777777" w:rsidTr="004C418B">
        <w:tblPrEx>
          <w:tblW w:w="0" w:type="auto"/>
          <w:jc w:val="center"/>
          <w:tblLayout w:type="fixed"/>
          <w:tblLook w:val="06A0"/>
        </w:tblPrEx>
        <w:trPr>
          <w:trHeight w:val="315"/>
          <w:jc w:val="center"/>
        </w:trPr>
        <w:tc>
          <w:tcPr>
            <w:tcW w:w="1980" w:type="dxa"/>
            <w:tcBorders>
              <w:top w:val="nil"/>
              <w:left w:val="nil"/>
              <w:bottom w:val="nil"/>
              <w:right w:val="nil"/>
            </w:tcBorders>
            <w:shd w:val="clear" w:color="auto" w:fill="DFDFDF"/>
          </w:tcPr>
          <w:p w:rsidR="004760BF" w:rsidRPr="004760BF" w:rsidP="004760BF" w14:paraId="7B9624B2" w14:textId="05BC50E5">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Illinois</w:t>
            </w:r>
          </w:p>
        </w:tc>
        <w:tc>
          <w:tcPr>
            <w:tcW w:w="780" w:type="dxa"/>
            <w:tcBorders>
              <w:top w:val="nil"/>
              <w:left w:val="nil"/>
              <w:bottom w:val="nil"/>
              <w:right w:val="single" w:sz="8" w:space="0" w:color="000000" w:themeColor="text1"/>
            </w:tcBorders>
            <w:shd w:val="clear" w:color="auto" w:fill="DFDFDF"/>
          </w:tcPr>
          <w:p w:rsidR="004760BF" w:rsidRPr="005C6D5B" w:rsidP="004760BF" w14:paraId="4647F4E4" w14:textId="3EE1F0BD">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2.66%</w:t>
            </w:r>
          </w:p>
        </w:tc>
        <w:tc>
          <w:tcPr>
            <w:tcW w:w="1875" w:type="dxa"/>
            <w:tcBorders>
              <w:top w:val="nil"/>
              <w:left w:val="single" w:sz="8" w:space="0" w:color="000000" w:themeColor="text1"/>
              <w:bottom w:val="nil"/>
              <w:right w:val="nil"/>
            </w:tcBorders>
            <w:shd w:val="clear" w:color="auto" w:fill="DFDFDF"/>
          </w:tcPr>
          <w:p w:rsidR="004760BF" w:rsidRPr="004760BF" w:rsidP="004760BF" w14:paraId="7744F830" w14:textId="3562CA43">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New Jersey</w:t>
            </w:r>
          </w:p>
        </w:tc>
        <w:tc>
          <w:tcPr>
            <w:tcW w:w="1035" w:type="dxa"/>
            <w:tcBorders>
              <w:top w:val="nil"/>
              <w:left w:val="nil"/>
              <w:bottom w:val="nil"/>
              <w:right w:val="single" w:sz="8" w:space="0" w:color="000000" w:themeColor="text1"/>
            </w:tcBorders>
            <w:shd w:val="clear" w:color="auto" w:fill="DFDFDF"/>
          </w:tcPr>
          <w:p w:rsidR="004760BF" w:rsidRPr="005C6D5B" w:rsidP="004760BF" w14:paraId="1E684DEE" w14:textId="65EB1A42">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2.95%</w:t>
            </w:r>
          </w:p>
        </w:tc>
        <w:tc>
          <w:tcPr>
            <w:tcW w:w="1725" w:type="dxa"/>
            <w:tcBorders>
              <w:top w:val="nil"/>
              <w:left w:val="single" w:sz="8" w:space="0" w:color="000000" w:themeColor="text1"/>
              <w:bottom w:val="nil"/>
              <w:right w:val="nil"/>
            </w:tcBorders>
            <w:shd w:val="clear" w:color="auto" w:fill="DFDFDF"/>
          </w:tcPr>
          <w:p w:rsidR="004760BF" w:rsidRPr="004760BF" w:rsidP="004760BF" w14:paraId="0B40BF51" w14:textId="073CE57C">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Washington</w:t>
            </w:r>
          </w:p>
        </w:tc>
        <w:tc>
          <w:tcPr>
            <w:tcW w:w="1035" w:type="dxa"/>
            <w:tcBorders>
              <w:top w:val="nil"/>
              <w:left w:val="nil"/>
              <w:bottom w:val="nil"/>
              <w:right w:val="nil"/>
            </w:tcBorders>
            <w:shd w:val="clear" w:color="auto" w:fill="DFDFDF"/>
          </w:tcPr>
          <w:p w:rsidR="004760BF" w:rsidRPr="005C6D5B" w:rsidP="004760BF" w14:paraId="1ED221E2" w14:textId="6EA2B322">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1.95%</w:t>
            </w:r>
          </w:p>
        </w:tc>
      </w:tr>
      <w:tr w14:paraId="3ECB426C" w14:textId="77777777" w:rsidTr="004C418B">
        <w:tblPrEx>
          <w:tblW w:w="0" w:type="auto"/>
          <w:jc w:val="center"/>
          <w:tblLayout w:type="fixed"/>
          <w:tblLook w:val="06A0"/>
        </w:tblPrEx>
        <w:trPr>
          <w:trHeight w:val="315"/>
          <w:jc w:val="center"/>
        </w:trPr>
        <w:tc>
          <w:tcPr>
            <w:tcW w:w="1980" w:type="dxa"/>
            <w:tcBorders>
              <w:top w:val="nil"/>
              <w:left w:val="nil"/>
              <w:bottom w:val="nil"/>
              <w:right w:val="nil"/>
            </w:tcBorders>
          </w:tcPr>
          <w:p w:rsidR="004760BF" w:rsidRPr="004760BF" w:rsidP="004760BF" w14:paraId="3487F8DE" w14:textId="0702F215">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Indiana</w:t>
            </w:r>
          </w:p>
        </w:tc>
        <w:tc>
          <w:tcPr>
            <w:tcW w:w="780" w:type="dxa"/>
            <w:tcBorders>
              <w:top w:val="nil"/>
              <w:left w:val="nil"/>
              <w:bottom w:val="nil"/>
              <w:right w:val="single" w:sz="8" w:space="0" w:color="000000" w:themeColor="text1"/>
            </w:tcBorders>
          </w:tcPr>
          <w:p w:rsidR="004760BF" w:rsidRPr="005C6D5B" w:rsidP="004760BF" w14:paraId="7253E87B" w14:textId="3BDAA929">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2.41%</w:t>
            </w:r>
          </w:p>
        </w:tc>
        <w:tc>
          <w:tcPr>
            <w:tcW w:w="1875" w:type="dxa"/>
            <w:tcBorders>
              <w:top w:val="nil"/>
              <w:left w:val="single" w:sz="8" w:space="0" w:color="000000" w:themeColor="text1"/>
              <w:bottom w:val="nil"/>
              <w:right w:val="nil"/>
            </w:tcBorders>
          </w:tcPr>
          <w:p w:rsidR="004760BF" w:rsidRPr="004760BF" w:rsidP="004760BF" w14:paraId="257A326B" w14:textId="0570E731">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New Mexico</w:t>
            </w:r>
          </w:p>
        </w:tc>
        <w:tc>
          <w:tcPr>
            <w:tcW w:w="1035" w:type="dxa"/>
            <w:tcBorders>
              <w:top w:val="nil"/>
              <w:left w:val="nil"/>
              <w:bottom w:val="nil"/>
              <w:right w:val="single" w:sz="8" w:space="0" w:color="000000" w:themeColor="text1"/>
            </w:tcBorders>
          </w:tcPr>
          <w:p w:rsidR="004760BF" w:rsidRPr="005C6D5B" w:rsidP="004760BF" w14:paraId="2F4E2C09" w14:textId="5E117202">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2.88%</w:t>
            </w:r>
          </w:p>
        </w:tc>
        <w:tc>
          <w:tcPr>
            <w:tcW w:w="1725" w:type="dxa"/>
            <w:tcBorders>
              <w:top w:val="nil"/>
              <w:left w:val="single" w:sz="8" w:space="0" w:color="000000" w:themeColor="text1"/>
              <w:bottom w:val="nil"/>
              <w:right w:val="nil"/>
            </w:tcBorders>
          </w:tcPr>
          <w:p w:rsidR="004760BF" w:rsidRPr="004760BF" w:rsidP="004760BF" w14:paraId="492CEE96" w14:textId="2F3E5A2F">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West Virginia</w:t>
            </w:r>
          </w:p>
        </w:tc>
        <w:tc>
          <w:tcPr>
            <w:tcW w:w="1035" w:type="dxa"/>
            <w:tcBorders>
              <w:top w:val="nil"/>
              <w:left w:val="nil"/>
              <w:bottom w:val="nil"/>
              <w:right w:val="nil"/>
            </w:tcBorders>
          </w:tcPr>
          <w:p w:rsidR="004760BF" w:rsidRPr="005C6D5B" w:rsidP="004760BF" w14:paraId="7D60F32E" w14:textId="12A9A137">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2.38%</w:t>
            </w:r>
          </w:p>
        </w:tc>
      </w:tr>
      <w:tr w14:paraId="78BC2519" w14:textId="77777777" w:rsidTr="004C418B">
        <w:tblPrEx>
          <w:tblW w:w="0" w:type="auto"/>
          <w:jc w:val="center"/>
          <w:tblLayout w:type="fixed"/>
          <w:tblLook w:val="06A0"/>
        </w:tblPrEx>
        <w:trPr>
          <w:trHeight w:val="315"/>
          <w:jc w:val="center"/>
        </w:trPr>
        <w:tc>
          <w:tcPr>
            <w:tcW w:w="1980" w:type="dxa"/>
            <w:tcBorders>
              <w:top w:val="nil"/>
              <w:left w:val="nil"/>
              <w:bottom w:val="nil"/>
              <w:right w:val="nil"/>
            </w:tcBorders>
            <w:shd w:val="clear" w:color="auto" w:fill="DFDFDF"/>
          </w:tcPr>
          <w:p w:rsidR="004760BF" w:rsidRPr="004760BF" w:rsidP="004760BF" w14:paraId="7551D72F" w14:textId="1851C47A">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Iowa</w:t>
            </w:r>
          </w:p>
        </w:tc>
        <w:tc>
          <w:tcPr>
            <w:tcW w:w="780" w:type="dxa"/>
            <w:tcBorders>
              <w:top w:val="nil"/>
              <w:left w:val="nil"/>
              <w:bottom w:val="nil"/>
              <w:right w:val="single" w:sz="8" w:space="0" w:color="000000" w:themeColor="text1"/>
            </w:tcBorders>
            <w:shd w:val="clear" w:color="auto" w:fill="DFDFDF"/>
          </w:tcPr>
          <w:p w:rsidR="004760BF" w:rsidRPr="005C6D5B" w:rsidP="004760BF" w14:paraId="5FBB1AA9" w14:textId="5ECC2443">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2.28%</w:t>
            </w:r>
          </w:p>
        </w:tc>
        <w:tc>
          <w:tcPr>
            <w:tcW w:w="1875" w:type="dxa"/>
            <w:tcBorders>
              <w:top w:val="nil"/>
              <w:left w:val="single" w:sz="8" w:space="0" w:color="000000" w:themeColor="text1"/>
              <w:bottom w:val="nil"/>
              <w:right w:val="nil"/>
            </w:tcBorders>
            <w:shd w:val="clear" w:color="auto" w:fill="DFDFDF"/>
          </w:tcPr>
          <w:p w:rsidR="004760BF" w:rsidRPr="004760BF" w:rsidP="004760BF" w14:paraId="50763BCF" w14:textId="36999AAF">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New York</w:t>
            </w:r>
          </w:p>
        </w:tc>
        <w:tc>
          <w:tcPr>
            <w:tcW w:w="1035" w:type="dxa"/>
            <w:tcBorders>
              <w:top w:val="nil"/>
              <w:left w:val="nil"/>
              <w:bottom w:val="nil"/>
              <w:right w:val="single" w:sz="8" w:space="0" w:color="000000" w:themeColor="text1"/>
            </w:tcBorders>
            <w:shd w:val="clear" w:color="auto" w:fill="DFDFDF"/>
          </w:tcPr>
          <w:p w:rsidR="004760BF" w:rsidRPr="005C6D5B" w:rsidP="004760BF" w14:paraId="73A3FC84" w14:textId="2AAA1CAA">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2.26%</w:t>
            </w:r>
          </w:p>
        </w:tc>
        <w:tc>
          <w:tcPr>
            <w:tcW w:w="1725" w:type="dxa"/>
            <w:tcBorders>
              <w:top w:val="nil"/>
              <w:left w:val="single" w:sz="8" w:space="0" w:color="000000" w:themeColor="text1"/>
              <w:bottom w:val="nil"/>
              <w:right w:val="nil"/>
            </w:tcBorders>
            <w:shd w:val="clear" w:color="auto" w:fill="DFDFDF"/>
          </w:tcPr>
          <w:p w:rsidR="004760BF" w:rsidRPr="004760BF" w:rsidP="004760BF" w14:paraId="5ED450A2" w14:textId="25A832A6">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Wisconsin</w:t>
            </w:r>
          </w:p>
        </w:tc>
        <w:tc>
          <w:tcPr>
            <w:tcW w:w="1035" w:type="dxa"/>
            <w:tcBorders>
              <w:top w:val="nil"/>
              <w:left w:val="nil"/>
              <w:bottom w:val="nil"/>
              <w:right w:val="nil"/>
            </w:tcBorders>
            <w:shd w:val="clear" w:color="auto" w:fill="DFDFDF"/>
          </w:tcPr>
          <w:p w:rsidR="004760BF" w:rsidRPr="005C6D5B" w:rsidP="004760BF" w14:paraId="7E9B2B6C" w14:textId="3356D2D4">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2.34%</w:t>
            </w:r>
          </w:p>
        </w:tc>
      </w:tr>
      <w:tr w14:paraId="53485B2A" w14:textId="77777777" w:rsidTr="004C418B">
        <w:tblPrEx>
          <w:tblW w:w="0" w:type="auto"/>
          <w:jc w:val="center"/>
          <w:tblLayout w:type="fixed"/>
          <w:tblLook w:val="06A0"/>
        </w:tblPrEx>
        <w:trPr>
          <w:trHeight w:val="315"/>
          <w:jc w:val="center"/>
        </w:trPr>
        <w:tc>
          <w:tcPr>
            <w:tcW w:w="1980" w:type="dxa"/>
            <w:tcBorders>
              <w:top w:val="nil"/>
              <w:left w:val="nil"/>
              <w:bottom w:val="single" w:sz="18" w:space="0" w:color="000000" w:themeColor="text1"/>
              <w:right w:val="nil"/>
            </w:tcBorders>
          </w:tcPr>
          <w:p w:rsidR="004760BF" w:rsidRPr="004760BF" w:rsidP="004760BF" w14:paraId="1F563603" w14:textId="16DBAD72">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Kansas</w:t>
            </w:r>
          </w:p>
        </w:tc>
        <w:tc>
          <w:tcPr>
            <w:tcW w:w="780" w:type="dxa"/>
            <w:tcBorders>
              <w:top w:val="nil"/>
              <w:left w:val="nil"/>
              <w:bottom w:val="single" w:sz="18" w:space="0" w:color="000000" w:themeColor="text1"/>
              <w:right w:val="single" w:sz="8" w:space="0" w:color="000000" w:themeColor="text1"/>
            </w:tcBorders>
          </w:tcPr>
          <w:p w:rsidR="004760BF" w:rsidRPr="005C6D5B" w:rsidP="004760BF" w14:paraId="5BC26EE5" w14:textId="45A26045">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2.38%</w:t>
            </w:r>
          </w:p>
        </w:tc>
        <w:tc>
          <w:tcPr>
            <w:tcW w:w="1875" w:type="dxa"/>
            <w:tcBorders>
              <w:top w:val="nil"/>
              <w:left w:val="single" w:sz="8" w:space="0" w:color="000000" w:themeColor="text1"/>
              <w:bottom w:val="single" w:sz="18" w:space="0" w:color="000000" w:themeColor="text1"/>
              <w:right w:val="nil"/>
            </w:tcBorders>
          </w:tcPr>
          <w:p w:rsidR="004760BF" w:rsidRPr="004760BF" w:rsidP="004760BF" w14:paraId="62DC4F7B" w14:textId="0A161586">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North Carolina</w:t>
            </w:r>
          </w:p>
        </w:tc>
        <w:tc>
          <w:tcPr>
            <w:tcW w:w="1035" w:type="dxa"/>
            <w:tcBorders>
              <w:top w:val="nil"/>
              <w:left w:val="nil"/>
              <w:bottom w:val="single" w:sz="18" w:space="0" w:color="000000" w:themeColor="text1"/>
              <w:right w:val="single" w:sz="8" w:space="0" w:color="000000" w:themeColor="text1"/>
            </w:tcBorders>
          </w:tcPr>
          <w:p w:rsidR="004760BF" w:rsidRPr="005C6D5B" w:rsidP="004760BF" w14:paraId="5BE3B7A9" w14:textId="12C8DFD5">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2.05%</w:t>
            </w:r>
          </w:p>
        </w:tc>
        <w:tc>
          <w:tcPr>
            <w:tcW w:w="1725" w:type="dxa"/>
            <w:tcBorders>
              <w:top w:val="nil"/>
              <w:left w:val="single" w:sz="8" w:space="0" w:color="000000" w:themeColor="text1"/>
              <w:bottom w:val="single" w:sz="18" w:space="0" w:color="000000" w:themeColor="text1"/>
              <w:right w:val="nil"/>
            </w:tcBorders>
          </w:tcPr>
          <w:p w:rsidR="004760BF" w:rsidRPr="004760BF" w:rsidP="004760BF" w14:paraId="640808EF" w14:textId="5139245E">
            <w:pPr>
              <w:rPr>
                <w:rFonts w:eastAsia="Times New Roman" w:asciiTheme="minorHAnsi" w:hAnsiTheme="minorHAnsi" w:cstheme="minorHAnsi"/>
                <w:color w:val="000000" w:themeColor="text1"/>
                <w:sz w:val="20"/>
                <w:szCs w:val="20"/>
              </w:rPr>
            </w:pPr>
            <w:r w:rsidRPr="005C6D5B">
              <w:rPr>
                <w:rFonts w:asciiTheme="minorHAnsi" w:hAnsiTheme="minorHAnsi" w:cstheme="minorHAnsi"/>
                <w:sz w:val="20"/>
                <w:szCs w:val="20"/>
              </w:rPr>
              <w:t>Wyoming</w:t>
            </w:r>
          </w:p>
        </w:tc>
        <w:tc>
          <w:tcPr>
            <w:tcW w:w="1035" w:type="dxa"/>
            <w:tcBorders>
              <w:top w:val="nil"/>
              <w:left w:val="nil"/>
              <w:bottom w:val="single" w:sz="18" w:space="0" w:color="000000" w:themeColor="text1"/>
              <w:right w:val="nil"/>
            </w:tcBorders>
          </w:tcPr>
          <w:p w:rsidR="004760BF" w:rsidRPr="005C6D5B" w:rsidP="004760BF" w14:paraId="611A104D" w14:textId="50474197">
            <w:pPr>
              <w:jc w:val="right"/>
              <w:rPr>
                <w:rFonts w:eastAsia="Calibri" w:asciiTheme="minorHAnsi" w:hAnsiTheme="minorHAnsi" w:cstheme="minorHAnsi"/>
                <w:color w:val="000000" w:themeColor="text1"/>
                <w:sz w:val="20"/>
                <w:szCs w:val="20"/>
              </w:rPr>
            </w:pPr>
            <w:r w:rsidRPr="005C6D5B">
              <w:rPr>
                <w:rFonts w:asciiTheme="minorHAnsi" w:hAnsiTheme="minorHAnsi" w:cstheme="minorHAnsi"/>
                <w:sz w:val="20"/>
                <w:szCs w:val="20"/>
              </w:rPr>
              <w:t>6.81%</w:t>
            </w:r>
          </w:p>
        </w:tc>
      </w:tr>
    </w:tbl>
    <w:p w:rsidR="40C90E09" w:rsidP="40C90E09" w14:paraId="2EEF4CF1" w14:textId="4C6DE387"/>
    <w:p w:rsidR="40C90E09" w14:paraId="2BCC028F" w14:textId="0CBB436E"/>
    <w:p w:rsidR="00936A60" w:rsidRPr="004C418B" w:rsidP="004C418B" w14:paraId="53F2CD64" w14:textId="2F0AFC89">
      <w:pPr>
        <w:pStyle w:val="Normal4"/>
        <w:ind w:left="0" w:firstLine="720"/>
        <w:rPr>
          <w:rFonts w:ascii="Calibri" w:hAnsi="Calibri" w:cstheme="minorBidi"/>
          <w:b/>
          <w:bCs/>
          <w:color w:val="2E74B5" w:themeColor="accent1" w:themeShade="BF"/>
        </w:rPr>
      </w:pPr>
      <w:r w:rsidRPr="004C418B">
        <w:rPr>
          <w:rFonts w:ascii="Calibri" w:hAnsi="Calibri" w:cstheme="minorBidi"/>
          <w:b/>
          <w:bCs/>
          <w:color w:val="2E74B5" w:themeColor="accent1" w:themeShade="BF"/>
        </w:rPr>
        <w:t>Second Phase of Sample Selection for Small GQs</w:t>
      </w:r>
    </w:p>
    <w:p w:rsidR="00936A60" w:rsidRPr="00157AFB" w:rsidP="3A436180" w14:paraId="24BE53D1" w14:textId="11954CD1">
      <w:pPr>
        <w:pStyle w:val="Normal4"/>
        <w:rPr>
          <w:rFonts w:ascii="Calibri" w:hAnsi="Calibri" w:cstheme="minorBidi"/>
        </w:rPr>
      </w:pPr>
      <w:r w:rsidRPr="08122567">
        <w:rPr>
          <w:rFonts w:ascii="Calibri" w:hAnsi="Calibri" w:cstheme="minorBidi"/>
        </w:rPr>
        <w:t>Individuals were selected for sample from each GQ that was selected for sample in the first phase of sample selection. If 15 or fewer people were residing at a GQ at the time a</w:t>
      </w:r>
      <w:r w:rsidRPr="08122567" w:rsidR="41BC933C">
        <w:rPr>
          <w:rFonts w:ascii="Calibri" w:hAnsi="Calibri" w:cstheme="minorBidi"/>
        </w:rPr>
        <w:t>n interviewer</w:t>
      </w:r>
      <w:r w:rsidRPr="08122567">
        <w:rPr>
          <w:rFonts w:ascii="Calibri" w:hAnsi="Calibri" w:cstheme="minorBidi"/>
        </w:rPr>
        <w:t xml:space="preserve"> visited the GQ, then all of them were selected for sample. Otherwise, if more than 15 people were residing at the GQ, then the </w:t>
      </w:r>
      <w:r w:rsidRPr="08122567" w:rsidR="41BC933C">
        <w:rPr>
          <w:rFonts w:ascii="Calibri" w:hAnsi="Calibri" w:cstheme="minorBidi"/>
        </w:rPr>
        <w:t>interviewer</w:t>
      </w:r>
      <w:r w:rsidRPr="08122567">
        <w:rPr>
          <w:rFonts w:ascii="Calibri" w:hAnsi="Calibri" w:cstheme="minorBidi"/>
        </w:rPr>
        <w:t xml:space="preserve"> selected a systematic sample of ten people from the GQ’s roster.</w:t>
      </w:r>
    </w:p>
    <w:p w:rsidR="00936A60" w:rsidRPr="002E00C7" w:rsidP="00936A60" w14:paraId="34A22E47" w14:textId="77777777">
      <w:pPr>
        <w:pStyle w:val="Heading5"/>
        <w:ind w:firstLine="720"/>
        <w:rPr>
          <w:rFonts w:ascii="Calibri" w:hAnsi="Calibri" w:cstheme="minorHAnsi"/>
          <w:b/>
          <w:bCs/>
        </w:rPr>
      </w:pPr>
      <w:r w:rsidRPr="002E00C7">
        <w:rPr>
          <w:rFonts w:ascii="Calibri" w:hAnsi="Calibri" w:cstheme="minorHAnsi"/>
          <w:b/>
          <w:bCs/>
        </w:rPr>
        <w:t>Targeted Sampling Rate (Probability of Selection) for Small GQs</w:t>
      </w:r>
    </w:p>
    <w:p w:rsidR="00936A60" w:rsidRPr="00157AFB" w:rsidP="7B12BB46" w14:paraId="4CD619DB" w14:textId="2D1A6272">
      <w:pPr>
        <w:pStyle w:val="Normal4"/>
        <w:rPr>
          <w:rFonts w:ascii="Calibri" w:hAnsi="Calibri" w:cstheme="minorBidi"/>
        </w:rPr>
      </w:pPr>
      <w:r w:rsidRPr="7B12BB46">
        <w:rPr>
          <w:rFonts w:ascii="Calibri" w:hAnsi="Calibri" w:cstheme="minorBidi"/>
        </w:rPr>
        <w:t xml:space="preserve">The targeted state-level sampling rates are the </w:t>
      </w:r>
      <w:r w:rsidRPr="7B12BB46">
        <w:rPr>
          <w:rFonts w:ascii="Calibri" w:hAnsi="Calibri" w:cstheme="minorBidi"/>
        </w:rPr>
        <w:t>probabilities</w:t>
      </w:r>
      <w:r w:rsidRPr="7B12BB46">
        <w:rPr>
          <w:rFonts w:ascii="Calibri" w:hAnsi="Calibri" w:cstheme="minorBidi"/>
        </w:rPr>
        <w:t xml:space="preserve"> of selecting any given person in a GQ; it is around these probabilities that the sample design is based. These probabilities reflect both phases of sample selection, and they varied by state. The probabilities for </w:t>
      </w:r>
      <w:r w:rsidR="004760BF">
        <w:rPr>
          <w:rFonts w:ascii="Calibri" w:hAnsi="Calibri" w:cstheme="minorBidi"/>
        </w:rPr>
        <w:t>2024</w:t>
      </w:r>
      <w:r w:rsidRPr="7B12BB46" w:rsidR="004760BF">
        <w:rPr>
          <w:rFonts w:ascii="Calibri" w:hAnsi="Calibri" w:cstheme="minorBidi"/>
        </w:rPr>
        <w:t xml:space="preserve"> </w:t>
      </w:r>
      <w:r w:rsidRPr="7B12BB46">
        <w:rPr>
          <w:rFonts w:ascii="Calibri" w:hAnsi="Calibri" w:cstheme="minorBidi"/>
        </w:rPr>
        <w:t xml:space="preserve">are shown in Table </w:t>
      </w:r>
      <w:r w:rsidRPr="7B12BB46" w:rsidR="5BC3A023">
        <w:rPr>
          <w:rFonts w:ascii="Calibri" w:hAnsi="Calibri" w:cstheme="minorBidi"/>
        </w:rPr>
        <w:t>4</w:t>
      </w:r>
      <w:r w:rsidRPr="7B12BB46">
        <w:rPr>
          <w:rFonts w:ascii="Calibri" w:hAnsi="Calibri" w:cstheme="minorBidi"/>
        </w:rPr>
        <w:t>.</w:t>
      </w:r>
    </w:p>
    <w:p w:rsidR="00936A60" w:rsidRPr="00157AFB" w:rsidP="18509EE2" w14:paraId="4CAACC03" w14:textId="31D27C95">
      <w:pPr>
        <w:pStyle w:val="Normal4"/>
        <w:rPr>
          <w:rFonts w:ascii="Calibri" w:hAnsi="Calibri" w:cstheme="minorBidi"/>
          <w:strike/>
        </w:rPr>
      </w:pPr>
      <w:r w:rsidRPr="18509EE2">
        <w:rPr>
          <w:rFonts w:ascii="Calibri" w:hAnsi="Calibri" w:cstheme="minorBidi"/>
        </w:rPr>
        <w:t xml:space="preserve">The sample was designed so that the second-phase sampling rate would be 100 percent for small GQs (i.e., select the entire expected population of 15 or fewer people for sample in </w:t>
      </w:r>
      <w:r w:rsidRPr="18509EE2">
        <w:rPr>
          <w:rFonts w:ascii="Calibri" w:hAnsi="Calibri" w:cstheme="minorBidi"/>
        </w:rPr>
        <w:t xml:space="preserve">every </w:t>
      </w:r>
      <w:r w:rsidRPr="18509EE2">
        <w:rPr>
          <w:rFonts w:ascii="Calibri" w:hAnsi="Calibri" w:cstheme="minorBidi"/>
        </w:rPr>
        <w:t xml:space="preserve">sampled </w:t>
      </w:r>
      <w:r w:rsidRPr="18509EE2" w:rsidR="3ADC9CA3">
        <w:rPr>
          <w:rFonts w:ascii="Calibri" w:hAnsi="Calibri" w:cstheme="minorBidi"/>
        </w:rPr>
        <w:t xml:space="preserve">small </w:t>
      </w:r>
      <w:r w:rsidRPr="18509EE2">
        <w:rPr>
          <w:rFonts w:ascii="Calibri" w:hAnsi="Calibri" w:cstheme="minorBidi"/>
        </w:rPr>
        <w:t>GQ</w:t>
      </w:r>
      <w:r w:rsidRPr="18509EE2">
        <w:rPr>
          <w:rFonts w:ascii="Calibri" w:hAnsi="Calibri" w:cstheme="minorBidi"/>
        </w:rPr>
        <w:t>). This means the probability of selecting any person in a small GQ was designed to equal the probability of selecting the small GQ itself.</w:t>
      </w:r>
    </w:p>
    <w:p w:rsidR="00936A60" w:rsidRPr="002E00C7" w:rsidP="00936A60" w14:paraId="4F6166AE" w14:textId="77777777">
      <w:pPr>
        <w:pStyle w:val="Heading4"/>
        <w:ind w:firstLine="720"/>
        <w:rPr>
          <w:rFonts w:ascii="Calibri" w:hAnsi="Calibri" w:cstheme="minorHAnsi"/>
          <w:b/>
          <w:bCs/>
          <w:i w:val="0"/>
          <w:iCs w:val="0"/>
          <w:strike/>
        </w:rPr>
      </w:pPr>
      <w:r w:rsidRPr="3A436180">
        <w:rPr>
          <w:rFonts w:ascii="Calibri" w:hAnsi="Calibri" w:cstheme="minorBidi"/>
          <w:b/>
          <w:bCs/>
          <w:i w:val="0"/>
          <w:iCs w:val="0"/>
        </w:rPr>
        <w:t>Large GQ Stratum</w:t>
      </w:r>
    </w:p>
    <w:p w:rsidR="00936A60" w:rsidP="08122567" w14:paraId="66AD0803" w14:textId="77777777">
      <w:pPr>
        <w:pStyle w:val="Heading5"/>
        <w:ind w:left="360" w:firstLine="720"/>
        <w:rPr>
          <w:rFonts w:ascii="Calibri" w:hAnsi="Calibri" w:cstheme="minorBidi"/>
          <w:i/>
          <w:iCs/>
          <w:sz w:val="24"/>
          <w:szCs w:val="24"/>
        </w:rPr>
      </w:pPr>
      <w:r w:rsidRPr="08122567">
        <w:rPr>
          <w:rFonts w:ascii="Calibri" w:hAnsi="Calibri" w:cstheme="minorBidi"/>
          <w:i/>
          <w:iCs/>
          <w:sz w:val="24"/>
          <w:szCs w:val="24"/>
        </w:rPr>
        <w:t>First phase of Sample Selection for Large GQs</w:t>
      </w:r>
    </w:p>
    <w:p w:rsidR="00936A60" w:rsidRPr="002E00C7" w:rsidP="00936A60" w14:paraId="17193D06" w14:textId="77777777"/>
    <w:p w:rsidR="00936A60" w:rsidRPr="00157AFB" w:rsidP="3A436180" w14:paraId="3E46D22A" w14:textId="69C4D992">
      <w:pPr>
        <w:pStyle w:val="Normal4"/>
        <w:rPr>
          <w:rFonts w:ascii="Calibri" w:hAnsi="Calibri" w:cstheme="minorBidi"/>
        </w:rPr>
      </w:pPr>
      <w:r w:rsidRPr="08122567">
        <w:rPr>
          <w:rFonts w:ascii="Calibri" w:hAnsi="Calibri" w:cstheme="minorBidi"/>
        </w:rPr>
        <w:t xml:space="preserve">All large GQs </w:t>
      </w:r>
      <w:r w:rsidRPr="08122567" w:rsidR="34D64C77">
        <w:rPr>
          <w:rFonts w:ascii="Calibri" w:hAnsi="Calibri" w:cstheme="minorBidi"/>
        </w:rPr>
        <w:t xml:space="preserve">in scope for the ACS </w:t>
      </w:r>
      <w:r w:rsidRPr="08122567">
        <w:rPr>
          <w:rFonts w:ascii="Calibri" w:hAnsi="Calibri" w:cstheme="minorBidi"/>
        </w:rPr>
        <w:t xml:space="preserve">were eligible </w:t>
      </w:r>
      <w:r w:rsidRPr="08122567" w:rsidR="2140503A">
        <w:rPr>
          <w:rFonts w:ascii="Calibri" w:hAnsi="Calibri" w:cstheme="minorBidi"/>
        </w:rPr>
        <w:t>to</w:t>
      </w:r>
      <w:r w:rsidRPr="08122567">
        <w:rPr>
          <w:rFonts w:ascii="Calibri" w:hAnsi="Calibri" w:cstheme="minorBidi"/>
        </w:rPr>
        <w:t xml:space="preserve"> be sampled in </w:t>
      </w:r>
      <w:r w:rsidRPr="08122567" w:rsidR="25A8B390">
        <w:rPr>
          <w:rFonts w:ascii="Calibri" w:hAnsi="Calibri" w:cstheme="minorBidi"/>
        </w:rPr>
        <w:t>2024</w:t>
      </w:r>
      <w:r w:rsidRPr="08122567" w:rsidR="2583941F">
        <w:rPr>
          <w:rFonts w:ascii="Calibri" w:hAnsi="Calibri" w:cstheme="minorBidi"/>
        </w:rPr>
        <w:t xml:space="preserve">. </w:t>
      </w:r>
      <w:r w:rsidRPr="08122567">
        <w:rPr>
          <w:rFonts w:ascii="Calibri" w:hAnsi="Calibri" w:cstheme="minorBidi"/>
        </w:rPr>
        <w:t>This means there was only a single stage of sampling in this phase. This stage consists of systematically assigning “hits” to GQs independently in each state, where each hit represents ten people to be sampled.</w:t>
      </w:r>
    </w:p>
    <w:p w:rsidR="00936A60" w:rsidRPr="00157AFB" w:rsidP="2E0452FD" w14:paraId="3DF97DEF" w14:textId="770518B1">
      <w:pPr>
        <w:pStyle w:val="Normal4"/>
        <w:rPr>
          <w:rFonts w:ascii="Calibri" w:hAnsi="Calibri" w:cstheme="minorBidi"/>
        </w:rPr>
      </w:pPr>
      <w:r w:rsidRPr="2E0452FD">
        <w:rPr>
          <w:rFonts w:ascii="Calibri" w:hAnsi="Calibri" w:cstheme="minorBidi"/>
        </w:rPr>
        <w:t>In general, a</w:t>
      </w:r>
      <w:r w:rsidRPr="2E0452FD" w:rsidR="40D198DE">
        <w:rPr>
          <w:rFonts w:ascii="Calibri" w:hAnsi="Calibri" w:cstheme="minorBidi"/>
        </w:rPr>
        <w:t xml:space="preserve"> large</w:t>
      </w:r>
      <w:r w:rsidRPr="2E0452FD">
        <w:rPr>
          <w:rFonts w:ascii="Calibri" w:hAnsi="Calibri" w:cstheme="minorBidi"/>
        </w:rPr>
        <w:t xml:space="preserve"> GQ has either Z or Z+1 hits assigned to it. The value for Z is dependent on both the GQ’s expected population size and its within-state target sampling rate, shown in Table </w:t>
      </w:r>
      <w:r w:rsidRPr="2E0452FD" w:rsidR="2902CBBF">
        <w:rPr>
          <w:rFonts w:ascii="Calibri" w:hAnsi="Calibri" w:cstheme="minorBidi"/>
        </w:rPr>
        <w:t>4</w:t>
      </w:r>
      <w:r w:rsidRPr="2E0452FD">
        <w:rPr>
          <w:rFonts w:ascii="Calibri" w:hAnsi="Calibri" w:cstheme="minorBidi"/>
        </w:rPr>
        <w:t xml:space="preserve">. When this rate is multiplied by a GQ’s expected population, the result is a GQ’s expected person sample size. If a GQ’s expected person sample size is less than ten, then Z = 0; if it is at least ten but less than 20, then Z = 1; if it is at least 20 but less than 30, then Z = 2; and so on. </w:t>
      </w:r>
    </w:p>
    <w:p w:rsidR="00936A60" w:rsidRPr="00157AFB" w:rsidP="00936A60" w14:paraId="27610A26" w14:textId="77777777">
      <w:pPr>
        <w:pStyle w:val="Normal4"/>
        <w:rPr>
          <w:rFonts w:ascii="Calibri" w:hAnsi="Calibri" w:cstheme="minorHAnsi"/>
        </w:rPr>
      </w:pPr>
      <w:r w:rsidRPr="00157AFB">
        <w:rPr>
          <w:rFonts w:ascii="Calibri" w:hAnsi="Calibri" w:cstheme="minorHAnsi"/>
        </w:rPr>
        <w:t>If a GQ has an expected person sample size that is less than ten, then this method effectively gives the GQ a probability of selection that is proportional to its size; this probability is the expected person sample size divided by ten. If a GQ has an expected person sample size of ten or more, then it is in sample with certainty and is assigned one or more hits.</w:t>
      </w:r>
    </w:p>
    <w:p w:rsidR="00936A60" w:rsidRPr="004C418B" w:rsidP="3A436180" w14:paraId="50CF22DA" w14:textId="77777777">
      <w:pPr>
        <w:pStyle w:val="Heading5"/>
        <w:ind w:left="360" w:firstLine="720"/>
        <w:rPr>
          <w:rFonts w:ascii="Calibri" w:hAnsi="Calibri" w:cstheme="minorBidi"/>
          <w:i/>
          <w:iCs/>
          <w:sz w:val="24"/>
          <w:szCs w:val="24"/>
        </w:rPr>
      </w:pPr>
      <w:r w:rsidRPr="004C418B">
        <w:rPr>
          <w:rFonts w:ascii="Calibri" w:hAnsi="Calibri" w:cstheme="minorBidi"/>
          <w:i/>
          <w:iCs/>
          <w:sz w:val="24"/>
          <w:szCs w:val="24"/>
        </w:rPr>
        <w:t>Second Phase of Sample Selection for Large GQs</w:t>
      </w:r>
    </w:p>
    <w:p w:rsidR="00936A60" w:rsidRPr="002E00C7" w:rsidP="00936A60" w14:paraId="3578F73D" w14:textId="77777777"/>
    <w:p w:rsidR="00936A60" w:rsidRPr="00157AFB" w:rsidP="3A436180" w14:paraId="7CB1A42A" w14:textId="5E372936">
      <w:pPr>
        <w:pStyle w:val="Normal4"/>
        <w:rPr>
          <w:rFonts w:ascii="Calibri" w:hAnsi="Calibri" w:cstheme="minorBidi"/>
        </w:rPr>
      </w:pPr>
      <w:r w:rsidRPr="08122567">
        <w:rPr>
          <w:rFonts w:ascii="Calibri" w:hAnsi="Calibri" w:cstheme="minorBidi"/>
        </w:rPr>
        <w:t>Individuals are selected within each GQ to which one or more hits are assigned in the first phase of selection. There are ten people selected at a GQ for every hit assigned to the GQ. The individuals are systematically sampled from a roster of people residing at the GQ at the time of a</w:t>
      </w:r>
      <w:r w:rsidRPr="08122567" w:rsidR="58896F89">
        <w:rPr>
          <w:rFonts w:ascii="Calibri" w:hAnsi="Calibri" w:cstheme="minorBidi"/>
        </w:rPr>
        <w:t>n interviewer</w:t>
      </w:r>
      <w:r w:rsidRPr="08122567">
        <w:rPr>
          <w:rFonts w:ascii="Calibri" w:hAnsi="Calibri" w:cstheme="minorBidi"/>
        </w:rPr>
        <w:t xml:space="preserve">’s visit. The exception is if there are far fewer </w:t>
      </w:r>
      <w:r w:rsidRPr="08122567">
        <w:rPr>
          <w:rFonts w:ascii="Calibri" w:hAnsi="Calibri" w:cstheme="minorBidi"/>
        </w:rPr>
        <w:t>persons</w:t>
      </w:r>
      <w:r w:rsidRPr="08122567">
        <w:rPr>
          <w:rFonts w:ascii="Calibri" w:hAnsi="Calibri" w:cstheme="minorBidi"/>
        </w:rPr>
        <w:t xml:space="preserve"> residing in a GQ than expected</w:t>
      </w:r>
      <w:r w:rsidRPr="08122567" w:rsidR="7979D071">
        <w:rPr>
          <w:rFonts w:ascii="Calibri" w:hAnsi="Calibri" w:cs="Calibri"/>
        </w:rPr>
        <w:t>—</w:t>
      </w:r>
      <w:r w:rsidRPr="08122567">
        <w:rPr>
          <w:rFonts w:ascii="Calibri" w:hAnsi="Calibri" w:cstheme="minorBidi"/>
        </w:rPr>
        <w:t xml:space="preserve">in these situations, the number of people to sample at the GQ is reduced to reflect the GQ’s actual population. In cases where fewer than ten people reside in a GQ at the time of a visit, the </w:t>
      </w:r>
      <w:r w:rsidRPr="08122567" w:rsidR="58896F89">
        <w:rPr>
          <w:rFonts w:ascii="Calibri" w:hAnsi="Calibri" w:cstheme="minorBidi"/>
        </w:rPr>
        <w:t>interviewer</w:t>
      </w:r>
      <w:r w:rsidRPr="08122567">
        <w:rPr>
          <w:rFonts w:ascii="Calibri" w:hAnsi="Calibri" w:cstheme="minorBidi"/>
        </w:rPr>
        <w:t xml:space="preserve"> will select all of them for </w:t>
      </w:r>
      <w:r w:rsidRPr="08122567">
        <w:rPr>
          <w:rFonts w:ascii="Calibri" w:hAnsi="Calibri" w:cstheme="minorBidi"/>
        </w:rPr>
        <w:t>sample</w:t>
      </w:r>
      <w:r w:rsidRPr="08122567">
        <w:rPr>
          <w:rFonts w:ascii="Calibri" w:hAnsi="Calibri" w:cstheme="minorBidi"/>
        </w:rPr>
        <w:t xml:space="preserve">. </w:t>
      </w:r>
    </w:p>
    <w:p w:rsidR="00936A60" w:rsidRPr="004C418B" w:rsidP="3A436180" w14:paraId="45F3EAA0" w14:textId="77777777">
      <w:pPr>
        <w:pStyle w:val="Heading5"/>
        <w:ind w:left="360" w:firstLine="720"/>
        <w:rPr>
          <w:rFonts w:ascii="Calibri" w:hAnsi="Calibri" w:cstheme="minorBidi"/>
          <w:i/>
          <w:iCs/>
          <w:sz w:val="24"/>
          <w:szCs w:val="24"/>
        </w:rPr>
      </w:pPr>
      <w:r w:rsidRPr="004C418B">
        <w:rPr>
          <w:rFonts w:ascii="Calibri" w:hAnsi="Calibri" w:cstheme="minorBidi"/>
          <w:i/>
          <w:iCs/>
          <w:sz w:val="24"/>
          <w:szCs w:val="24"/>
        </w:rPr>
        <w:t>Targeted Sampling Rate (Probability of Selection) for Large GQs</w:t>
      </w:r>
    </w:p>
    <w:p w:rsidR="00936A60" w:rsidRPr="002E00C7" w:rsidP="00936A60" w14:paraId="397CD045" w14:textId="77777777"/>
    <w:p w:rsidR="00936A60" w:rsidRPr="00157AFB" w:rsidP="7B12BB46" w14:paraId="044EC03C" w14:textId="002B0BD1">
      <w:pPr>
        <w:pStyle w:val="Normal4"/>
        <w:rPr>
          <w:rFonts w:ascii="Calibri" w:hAnsi="Calibri" w:cstheme="minorBidi"/>
        </w:rPr>
      </w:pPr>
      <w:r w:rsidRPr="7B12BB46">
        <w:rPr>
          <w:rFonts w:ascii="Calibri" w:hAnsi="Calibri" w:cstheme="minorBidi"/>
        </w:rPr>
        <w:t xml:space="preserve">As for small GQs, the targeted state-level sampling rates are the </w:t>
      </w:r>
      <w:r w:rsidRPr="7B12BB46">
        <w:rPr>
          <w:rFonts w:ascii="Calibri" w:hAnsi="Calibri" w:cstheme="minorBidi"/>
        </w:rPr>
        <w:t>probabilities</w:t>
      </w:r>
      <w:r w:rsidRPr="7B12BB46">
        <w:rPr>
          <w:rFonts w:ascii="Calibri" w:hAnsi="Calibri" w:cstheme="minorBidi"/>
        </w:rPr>
        <w:t xml:space="preserve"> of selecting any given person in a GQ. The probabilities are shown in Table </w:t>
      </w:r>
      <w:r w:rsidRPr="7B12BB46" w:rsidR="3A153341">
        <w:rPr>
          <w:rFonts w:ascii="Calibri" w:hAnsi="Calibri" w:cstheme="minorBidi"/>
        </w:rPr>
        <w:t>4</w:t>
      </w:r>
      <w:r w:rsidRPr="7B12BB46">
        <w:rPr>
          <w:rFonts w:ascii="Calibri" w:hAnsi="Calibri" w:cstheme="minorBidi"/>
        </w:rPr>
        <w:t>. Note that these rates are the same as for everyone in small GQs.</w:t>
      </w:r>
    </w:p>
    <w:p w:rsidR="00936A60" w:rsidRPr="00157AFB" w:rsidP="7B12BB46" w14:paraId="5C31771E" w14:textId="4A5D4AAB">
      <w:pPr>
        <w:pStyle w:val="Normal4"/>
        <w:rPr>
          <w:rFonts w:ascii="Calibri" w:hAnsi="Calibri" w:cstheme="minorBidi"/>
        </w:rPr>
      </w:pPr>
      <w:r w:rsidRPr="7B12BB46">
        <w:rPr>
          <w:rFonts w:ascii="Calibri" w:hAnsi="Calibri" w:cstheme="minorBidi"/>
        </w:rPr>
        <w:t xml:space="preserve">As an example, suppose a GQ in Indiana has an expected population of 250. The target sampling rate in Indiana is </w:t>
      </w:r>
      <w:r w:rsidRPr="7B12BB46" w:rsidR="0C98AD70">
        <w:rPr>
          <w:rFonts w:ascii="Calibri" w:hAnsi="Calibri" w:cstheme="minorBidi"/>
        </w:rPr>
        <w:t>2.</w:t>
      </w:r>
      <w:r w:rsidR="004760BF">
        <w:rPr>
          <w:rFonts w:ascii="Calibri" w:hAnsi="Calibri" w:cstheme="minorBidi"/>
        </w:rPr>
        <w:t>41</w:t>
      </w:r>
      <w:r w:rsidRPr="7B12BB46" w:rsidR="004760BF">
        <w:rPr>
          <w:rFonts w:ascii="Calibri" w:hAnsi="Calibri" w:cstheme="minorBidi"/>
        </w:rPr>
        <w:t xml:space="preserve"> </w:t>
      </w:r>
      <w:r w:rsidRPr="7B12BB46">
        <w:rPr>
          <w:rFonts w:ascii="Calibri" w:hAnsi="Calibri" w:cstheme="minorBidi"/>
        </w:rPr>
        <w:t>percent, meaning any given person in a GQ in Indiana has about a 1-in-</w:t>
      </w:r>
      <w:r w:rsidR="004760BF">
        <w:rPr>
          <w:rFonts w:ascii="Calibri" w:hAnsi="Calibri" w:cstheme="minorBidi"/>
        </w:rPr>
        <w:t>41.5</w:t>
      </w:r>
      <w:r w:rsidRPr="7B12BB46">
        <w:rPr>
          <w:rFonts w:ascii="Calibri" w:hAnsi="Calibri" w:cstheme="minorBidi"/>
        </w:rPr>
        <w:t xml:space="preserve"> chance of being selected. This rate, combined with the GQ’s expected population of 250, means that the expected number of individuals selected for sample in this GQ is </w:t>
      </w:r>
      <w:r w:rsidR="00DF340E">
        <w:rPr>
          <w:rFonts w:ascii="Calibri" w:hAnsi="Calibri" w:cstheme="minorBidi"/>
        </w:rPr>
        <w:t>6.0</w:t>
      </w:r>
      <w:r w:rsidRPr="7B12BB46">
        <w:rPr>
          <w:rFonts w:ascii="Calibri" w:hAnsi="Calibri" w:cstheme="minorBidi"/>
        </w:rPr>
        <w:t xml:space="preserve"> (</w:t>
      </w:r>
      <w:r w:rsidRPr="7B12BB46" w:rsidR="0C98AD70">
        <w:rPr>
          <w:rFonts w:ascii="Calibri" w:hAnsi="Calibri" w:cstheme="minorBidi"/>
        </w:rPr>
        <w:t>2.</w:t>
      </w:r>
      <w:r w:rsidR="00DF340E">
        <w:rPr>
          <w:rFonts w:ascii="Calibri" w:hAnsi="Calibri" w:cstheme="minorBidi"/>
        </w:rPr>
        <w:t>41</w:t>
      </w:r>
      <w:r w:rsidRPr="7B12BB46" w:rsidR="00DF340E">
        <w:rPr>
          <w:rFonts w:ascii="Calibri" w:hAnsi="Calibri" w:cstheme="minorBidi"/>
        </w:rPr>
        <w:t xml:space="preserve"> </w:t>
      </w:r>
      <w:r w:rsidRPr="7B12BB46">
        <w:rPr>
          <w:rFonts w:ascii="Calibri" w:hAnsi="Calibri" w:cstheme="minorBidi"/>
        </w:rPr>
        <w:t xml:space="preserve">percent × 250). Since this is less than ten, this GQ has either 0 or 1 hits </w:t>
      </w:r>
      <w:r w:rsidRPr="7B12BB46">
        <w:rPr>
          <w:rFonts w:ascii="Calibri" w:hAnsi="Calibri" w:cstheme="minorBidi"/>
        </w:rPr>
        <w:t xml:space="preserve">assigned to it (Z = 0). The probability of it being assigned a hit is the GQ’s expected person sample size of </w:t>
      </w:r>
      <w:r w:rsidR="00DF340E">
        <w:rPr>
          <w:rFonts w:ascii="Calibri" w:hAnsi="Calibri" w:cstheme="minorBidi"/>
        </w:rPr>
        <w:t>6.0</w:t>
      </w:r>
      <w:r w:rsidRPr="7B12BB46">
        <w:rPr>
          <w:rFonts w:ascii="Calibri" w:hAnsi="Calibri" w:cstheme="minorBidi"/>
        </w:rPr>
        <w:t xml:space="preserve"> divided by 10, or </w:t>
      </w:r>
      <w:r w:rsidR="00DF340E">
        <w:rPr>
          <w:rFonts w:ascii="Calibri" w:hAnsi="Calibri" w:cstheme="minorBidi"/>
        </w:rPr>
        <w:t>60</w:t>
      </w:r>
      <w:r w:rsidRPr="7B12BB46" w:rsidR="00DF340E">
        <w:rPr>
          <w:rFonts w:ascii="Calibri" w:hAnsi="Calibri" w:cstheme="minorBidi"/>
        </w:rPr>
        <w:t xml:space="preserve"> </w:t>
      </w:r>
      <w:r w:rsidRPr="7B12BB46">
        <w:rPr>
          <w:rFonts w:ascii="Calibri" w:hAnsi="Calibri" w:cstheme="minorBidi"/>
        </w:rPr>
        <w:t>percent.</w:t>
      </w:r>
    </w:p>
    <w:p w:rsidR="00936A60" w:rsidRPr="00157AFB" w:rsidP="7B12BB46" w14:paraId="70B39203" w14:textId="1031A7F1">
      <w:pPr>
        <w:pStyle w:val="Normal4"/>
        <w:rPr>
          <w:rFonts w:ascii="Calibri" w:hAnsi="Calibri" w:cstheme="minorBidi"/>
        </w:rPr>
      </w:pPr>
      <w:r w:rsidRPr="7B12BB46">
        <w:rPr>
          <w:rFonts w:ascii="Calibri" w:hAnsi="Calibri" w:cstheme="minorBidi"/>
        </w:rPr>
        <w:t xml:space="preserve">As a second example, suppose a GQ in Idaho has an expected population of 1,000. The target sampling rate in Idaho is </w:t>
      </w:r>
      <w:r w:rsidRPr="7B12BB46" w:rsidR="3F378914">
        <w:rPr>
          <w:rFonts w:ascii="Calibri" w:hAnsi="Calibri" w:cstheme="minorBidi"/>
        </w:rPr>
        <w:t>2.</w:t>
      </w:r>
      <w:r w:rsidR="00DF340E">
        <w:rPr>
          <w:rFonts w:ascii="Calibri" w:hAnsi="Calibri" w:cstheme="minorBidi"/>
        </w:rPr>
        <w:t>32</w:t>
      </w:r>
      <w:r w:rsidRPr="7B12BB46" w:rsidR="00DF340E">
        <w:rPr>
          <w:rFonts w:ascii="Calibri" w:hAnsi="Calibri" w:cstheme="minorBidi"/>
        </w:rPr>
        <w:t xml:space="preserve"> </w:t>
      </w:r>
      <w:r w:rsidRPr="7B12BB46">
        <w:rPr>
          <w:rFonts w:ascii="Calibri" w:hAnsi="Calibri" w:cstheme="minorBidi"/>
        </w:rPr>
        <w:t>percent, meaning any given person in a GQ in Idaho has about a 1-in-</w:t>
      </w:r>
      <w:r w:rsidR="00DF340E">
        <w:rPr>
          <w:rFonts w:ascii="Calibri" w:hAnsi="Calibri" w:cstheme="minorBidi"/>
        </w:rPr>
        <w:t>43.1</w:t>
      </w:r>
      <w:r w:rsidRPr="7B12BB46">
        <w:rPr>
          <w:rFonts w:ascii="Calibri" w:hAnsi="Calibri" w:cstheme="minorBidi"/>
        </w:rPr>
        <w:t xml:space="preserve"> chance of being selected. This rate, combined with the GQ’s expected population of 1,000, means that the expected number of individuals selected for sample in the GQ is </w:t>
      </w:r>
      <w:r w:rsidR="00DF340E">
        <w:rPr>
          <w:rFonts w:ascii="Calibri" w:hAnsi="Calibri" w:cstheme="minorBidi"/>
        </w:rPr>
        <w:t>23.2</w:t>
      </w:r>
      <w:r w:rsidRPr="7B12BB46">
        <w:rPr>
          <w:rFonts w:ascii="Calibri" w:hAnsi="Calibri" w:cstheme="minorBidi"/>
        </w:rPr>
        <w:t xml:space="preserve"> (</w:t>
      </w:r>
      <w:r w:rsidRPr="7B12BB46" w:rsidR="0D652245">
        <w:rPr>
          <w:rFonts w:ascii="Calibri" w:hAnsi="Calibri" w:cstheme="minorBidi"/>
        </w:rPr>
        <w:t>2.</w:t>
      </w:r>
      <w:r w:rsidR="00DF340E">
        <w:rPr>
          <w:rFonts w:ascii="Calibri" w:hAnsi="Calibri" w:cstheme="minorBidi"/>
        </w:rPr>
        <w:t>32</w:t>
      </w:r>
      <w:r w:rsidRPr="7B12BB46" w:rsidR="00DF340E">
        <w:rPr>
          <w:rFonts w:ascii="Calibri" w:hAnsi="Calibri" w:cstheme="minorBidi"/>
        </w:rPr>
        <w:t xml:space="preserve"> </w:t>
      </w:r>
      <w:r w:rsidRPr="7B12BB46">
        <w:rPr>
          <w:rFonts w:ascii="Calibri" w:hAnsi="Calibri" w:cstheme="minorBidi"/>
        </w:rPr>
        <w:t xml:space="preserve">percent × 1,000); this GQ is assigned either </w:t>
      </w:r>
      <w:r w:rsidRPr="7B12BB46" w:rsidR="0BFBC6B9">
        <w:rPr>
          <w:rFonts w:ascii="Calibri" w:hAnsi="Calibri" w:cstheme="minorBidi"/>
        </w:rPr>
        <w:t>two or three</w:t>
      </w:r>
      <w:r w:rsidRPr="7B12BB46">
        <w:rPr>
          <w:rFonts w:ascii="Calibri" w:hAnsi="Calibri" w:cstheme="minorBidi"/>
        </w:rPr>
        <w:t xml:space="preserve"> hits (Z = </w:t>
      </w:r>
      <w:r w:rsidRPr="7B12BB46" w:rsidR="08A2E8BA">
        <w:rPr>
          <w:rFonts w:ascii="Calibri" w:hAnsi="Calibri" w:cstheme="minorBidi"/>
        </w:rPr>
        <w:t>2</w:t>
      </w:r>
      <w:r w:rsidRPr="7B12BB46">
        <w:rPr>
          <w:rFonts w:ascii="Calibri" w:hAnsi="Calibri" w:cstheme="minorBidi"/>
        </w:rPr>
        <w:t>)</w:t>
      </w:r>
      <w:r w:rsidRPr="7B12BB46" w:rsidR="657693EE">
        <w:rPr>
          <w:rFonts w:ascii="Calibri" w:hAnsi="Calibri" w:cstheme="minorBidi"/>
        </w:rPr>
        <w:t xml:space="preserve">. To decide whether it is assigned </w:t>
      </w:r>
      <w:r w:rsidRPr="7B12BB46" w:rsidR="794C35AE">
        <w:rPr>
          <w:rFonts w:ascii="Calibri" w:hAnsi="Calibri" w:cstheme="minorBidi"/>
        </w:rPr>
        <w:t>two or three</w:t>
      </w:r>
      <w:r w:rsidRPr="7B12BB46" w:rsidR="657693EE">
        <w:rPr>
          <w:rFonts w:ascii="Calibri" w:hAnsi="Calibri" w:cstheme="minorBidi"/>
        </w:rPr>
        <w:t xml:space="preserve"> hits, we consider the remainder above </w:t>
      </w:r>
      <w:r w:rsidRPr="7B12BB46" w:rsidR="4BB63A59">
        <w:rPr>
          <w:rFonts w:ascii="Calibri" w:hAnsi="Calibri" w:cstheme="minorBidi"/>
        </w:rPr>
        <w:t>20</w:t>
      </w:r>
      <w:r w:rsidRPr="7B12BB46" w:rsidR="657693EE">
        <w:rPr>
          <w:rFonts w:ascii="Calibri" w:hAnsi="Calibri" w:cstheme="minorBidi"/>
        </w:rPr>
        <w:t xml:space="preserve">, i.e., </w:t>
      </w:r>
      <w:r w:rsidR="00DF340E">
        <w:rPr>
          <w:rFonts w:ascii="Calibri" w:hAnsi="Calibri" w:cstheme="minorBidi"/>
        </w:rPr>
        <w:t>3.2</w:t>
      </w:r>
      <w:r w:rsidRPr="7B12BB46" w:rsidR="157F57B4">
        <w:rPr>
          <w:rFonts w:ascii="Calibri" w:hAnsi="Calibri" w:cstheme="minorBidi"/>
        </w:rPr>
        <w:t xml:space="preserve"> </w:t>
      </w:r>
      <w:r w:rsidRPr="7B12BB46" w:rsidR="721F488A">
        <w:rPr>
          <w:rFonts w:ascii="Calibri" w:hAnsi="Calibri" w:cstheme="minorBidi"/>
        </w:rPr>
        <w:t>and use the same calculation as the previous example</w:t>
      </w:r>
      <w:r w:rsidRPr="7B12BB46" w:rsidR="24B29DCD">
        <w:rPr>
          <w:rFonts w:ascii="Calibri" w:hAnsi="Calibri" w:cstheme="minorBidi"/>
        </w:rPr>
        <w:t xml:space="preserve"> to determine the probability of assigning an additional hit</w:t>
      </w:r>
      <w:r w:rsidRPr="7B12BB46" w:rsidR="721F488A">
        <w:rPr>
          <w:rFonts w:ascii="Calibri" w:hAnsi="Calibri" w:cstheme="minorBidi"/>
        </w:rPr>
        <w:t xml:space="preserve">. Dividing </w:t>
      </w:r>
      <w:r w:rsidR="00DF340E">
        <w:rPr>
          <w:rFonts w:ascii="Calibri" w:hAnsi="Calibri" w:cstheme="minorBidi"/>
        </w:rPr>
        <w:t>3.2</w:t>
      </w:r>
      <w:r w:rsidRPr="7B12BB46" w:rsidR="721F488A">
        <w:rPr>
          <w:rFonts w:ascii="Calibri" w:hAnsi="Calibri" w:cstheme="minorBidi"/>
        </w:rPr>
        <w:t xml:space="preserve"> by 10 yields</w:t>
      </w:r>
      <w:r w:rsidRPr="7B12BB46" w:rsidR="486C7D54">
        <w:rPr>
          <w:rFonts w:ascii="Calibri" w:hAnsi="Calibri" w:cstheme="minorBidi"/>
        </w:rPr>
        <w:t xml:space="preserve"> a </w:t>
      </w:r>
      <w:r w:rsidR="00DF340E">
        <w:rPr>
          <w:rFonts w:ascii="Calibri" w:hAnsi="Calibri" w:cstheme="minorBidi"/>
        </w:rPr>
        <w:t>32</w:t>
      </w:r>
      <w:r w:rsidRPr="7B12BB46" w:rsidR="00DF340E">
        <w:rPr>
          <w:rFonts w:ascii="Calibri" w:hAnsi="Calibri" w:cstheme="minorBidi"/>
        </w:rPr>
        <w:t xml:space="preserve"> </w:t>
      </w:r>
      <w:r w:rsidRPr="7B12BB46" w:rsidR="73FFA399">
        <w:rPr>
          <w:rFonts w:ascii="Calibri" w:hAnsi="Calibri" w:cstheme="minorBidi"/>
        </w:rPr>
        <w:t>percent</w:t>
      </w:r>
      <w:r w:rsidRPr="7B12BB46" w:rsidR="486C7D54">
        <w:rPr>
          <w:rFonts w:ascii="Calibri" w:hAnsi="Calibri" w:cstheme="minorBidi"/>
        </w:rPr>
        <w:t xml:space="preserve"> chance of being assigned </w:t>
      </w:r>
      <w:r w:rsidRPr="7B12BB46" w:rsidR="3848AB4E">
        <w:rPr>
          <w:rFonts w:ascii="Calibri" w:hAnsi="Calibri" w:cstheme="minorBidi"/>
        </w:rPr>
        <w:t xml:space="preserve">three </w:t>
      </w:r>
      <w:r w:rsidRPr="7B12BB46" w:rsidR="486C7D54">
        <w:rPr>
          <w:rFonts w:ascii="Calibri" w:hAnsi="Calibri" w:cstheme="minorBidi"/>
        </w:rPr>
        <w:t>hit</w:t>
      </w:r>
      <w:r w:rsidRPr="7B12BB46" w:rsidR="551D463F">
        <w:rPr>
          <w:rFonts w:ascii="Calibri" w:hAnsi="Calibri" w:cstheme="minorBidi"/>
        </w:rPr>
        <w:t>s</w:t>
      </w:r>
      <w:r w:rsidRPr="7B12BB46" w:rsidR="486C7D54">
        <w:rPr>
          <w:rFonts w:ascii="Calibri" w:hAnsi="Calibri" w:cstheme="minorBidi"/>
        </w:rPr>
        <w:t xml:space="preserve"> </w:t>
      </w:r>
      <w:r w:rsidRPr="7B12BB46" w:rsidR="471AAC14">
        <w:rPr>
          <w:rFonts w:ascii="Calibri" w:hAnsi="Calibri" w:cstheme="minorBidi"/>
        </w:rPr>
        <w:t>and a</w:t>
      </w:r>
      <w:r w:rsidRPr="7B12BB46" w:rsidR="28DE8CD6">
        <w:rPr>
          <w:rFonts w:ascii="Calibri" w:hAnsi="Calibri" w:cstheme="minorBidi"/>
        </w:rPr>
        <w:t xml:space="preserve"> </w:t>
      </w:r>
      <w:r w:rsidR="00DF340E">
        <w:rPr>
          <w:rFonts w:ascii="Calibri" w:hAnsi="Calibri" w:cstheme="minorBidi"/>
        </w:rPr>
        <w:t>68</w:t>
      </w:r>
      <w:r w:rsidRPr="7B12BB46" w:rsidR="00DF340E">
        <w:rPr>
          <w:rFonts w:ascii="Calibri" w:hAnsi="Calibri" w:cstheme="minorBidi"/>
        </w:rPr>
        <w:t xml:space="preserve"> </w:t>
      </w:r>
      <w:r w:rsidRPr="7B12BB46" w:rsidR="70337AE7">
        <w:rPr>
          <w:rFonts w:ascii="Calibri" w:hAnsi="Calibri" w:cstheme="minorBidi"/>
        </w:rPr>
        <w:t>percent</w:t>
      </w:r>
      <w:r w:rsidRPr="7B12BB46" w:rsidR="471AAC14">
        <w:rPr>
          <w:rFonts w:ascii="Calibri" w:hAnsi="Calibri" w:cstheme="minorBidi"/>
        </w:rPr>
        <w:t xml:space="preserve"> chance of </w:t>
      </w:r>
      <w:r w:rsidRPr="7B12BB46" w:rsidR="4C5DA49E">
        <w:rPr>
          <w:rFonts w:ascii="Calibri" w:hAnsi="Calibri" w:cstheme="minorBidi"/>
        </w:rPr>
        <w:t>remaining with the</w:t>
      </w:r>
      <w:r w:rsidRPr="7B12BB46" w:rsidR="471AAC14">
        <w:rPr>
          <w:rFonts w:ascii="Calibri" w:hAnsi="Calibri" w:cstheme="minorBidi"/>
        </w:rPr>
        <w:t xml:space="preserve"> assigned </w:t>
      </w:r>
      <w:r w:rsidRPr="7B12BB46" w:rsidR="1339C745">
        <w:rPr>
          <w:rFonts w:ascii="Calibri" w:hAnsi="Calibri" w:cstheme="minorBidi"/>
        </w:rPr>
        <w:t xml:space="preserve">two </w:t>
      </w:r>
      <w:r w:rsidRPr="7B12BB46" w:rsidR="471AAC14">
        <w:rPr>
          <w:rFonts w:ascii="Calibri" w:hAnsi="Calibri" w:cstheme="minorBidi"/>
        </w:rPr>
        <w:t>hits</w:t>
      </w:r>
      <w:r w:rsidRPr="7B12BB46">
        <w:rPr>
          <w:rFonts w:ascii="Calibri" w:hAnsi="Calibri" w:cstheme="minorBidi"/>
        </w:rPr>
        <w:t>.</w:t>
      </w:r>
    </w:p>
    <w:p w:rsidR="00936A60" w:rsidRPr="002E00C7" w:rsidP="00936A60" w14:paraId="33F56E4F" w14:textId="77777777">
      <w:pPr>
        <w:pStyle w:val="Heading4"/>
        <w:ind w:firstLine="1080"/>
        <w:rPr>
          <w:rFonts w:ascii="Calibri" w:hAnsi="Calibri" w:cstheme="minorHAnsi"/>
          <w:b/>
          <w:bCs/>
          <w:i w:val="0"/>
          <w:iCs w:val="0"/>
        </w:rPr>
      </w:pPr>
      <w:r w:rsidRPr="002E00C7">
        <w:rPr>
          <w:rFonts w:ascii="Calibri" w:hAnsi="Calibri" w:cstheme="minorHAnsi"/>
          <w:b/>
          <w:bCs/>
          <w:i w:val="0"/>
          <w:iCs w:val="0"/>
        </w:rPr>
        <w:t>Group Quarters Sample Month Assignment</w:t>
      </w:r>
    </w:p>
    <w:p w:rsidR="00936A60" w:rsidRPr="002E00C7" w:rsidP="00936A60" w14:paraId="699591DB" w14:textId="77777777"/>
    <w:p w:rsidR="00936A60" w:rsidRPr="00157AFB" w:rsidP="58EE7093" w14:paraId="2A097180" w14:textId="286702FD">
      <w:pPr>
        <w:pStyle w:val="Normal2"/>
        <w:ind w:left="1080"/>
        <w:rPr>
          <w:rFonts w:ascii="Calibri" w:hAnsi="Calibri" w:cstheme="minorBidi"/>
        </w:rPr>
      </w:pPr>
      <w:r w:rsidRPr="58EE7093">
        <w:rPr>
          <w:rFonts w:ascii="Calibri" w:hAnsi="Calibri" w:cstheme="minorBidi"/>
        </w:rPr>
        <w:t xml:space="preserve">All sample GQs are assigned to one or more months (interview months); these are the months in which </w:t>
      </w:r>
      <w:r w:rsidR="002419C7">
        <w:rPr>
          <w:rFonts w:ascii="Calibri" w:hAnsi="Calibri" w:cstheme="minorBidi"/>
        </w:rPr>
        <w:t>interviewers</w:t>
      </w:r>
      <w:r w:rsidRPr="58EE7093">
        <w:rPr>
          <w:rFonts w:ascii="Calibri" w:hAnsi="Calibri" w:cstheme="minorBidi"/>
        </w:rPr>
        <w:t xml:space="preserve"> will visit a GQ to select a person sample and conduct interviews. All small GQs, all large GQs that are assigned only one hit, all remote Alaska GQs, all sampled military facilities, and all sampled correctional facilities (regardless of how many hits a military or correctional facility is assigned) are assigned to a single interview month. Remote Alaska GQs </w:t>
      </w:r>
      <w:r w:rsidRPr="58EE7093">
        <w:rPr>
          <w:rFonts w:ascii="Calibri" w:hAnsi="Calibri" w:cstheme="minorBidi"/>
        </w:rPr>
        <w:t>are</w:t>
      </w:r>
      <w:r w:rsidRPr="58EE7093">
        <w:rPr>
          <w:rFonts w:ascii="Calibri" w:hAnsi="Calibri" w:cstheme="minorBidi"/>
        </w:rPr>
        <w:t xml:space="preserve"> assigned to either </w:t>
      </w:r>
      <w:r w:rsidRPr="58EE7093" w:rsidR="26A66930">
        <w:rPr>
          <w:rFonts w:ascii="Calibri" w:hAnsi="Calibri" w:cstheme="minorBidi"/>
        </w:rPr>
        <w:t xml:space="preserve">the first </w:t>
      </w:r>
      <w:r w:rsidRPr="58EE7093" w:rsidR="09C848B4">
        <w:rPr>
          <w:rFonts w:ascii="Calibri" w:hAnsi="Calibri" w:cstheme="minorBidi"/>
        </w:rPr>
        <w:t xml:space="preserve">half </w:t>
      </w:r>
      <w:r w:rsidRPr="58EE7093" w:rsidR="26A66930">
        <w:rPr>
          <w:rFonts w:ascii="Calibri" w:hAnsi="Calibri" w:cstheme="minorBidi"/>
        </w:rPr>
        <w:t>or second half of the year</w:t>
      </w:r>
      <w:r w:rsidRPr="58EE7093">
        <w:rPr>
          <w:rFonts w:ascii="Calibri" w:hAnsi="Calibri" w:cstheme="minorBidi"/>
        </w:rPr>
        <w:t xml:space="preserve">; federal prisons are assigned to September; </w:t>
      </w:r>
      <w:r w:rsidRPr="58EE7093" w:rsidR="4B1A686D">
        <w:rPr>
          <w:rFonts w:ascii="Calibri" w:hAnsi="Calibri" w:cstheme="minorBidi"/>
        </w:rPr>
        <w:t>all</w:t>
      </w:r>
      <w:r w:rsidRPr="58EE7093">
        <w:rPr>
          <w:rFonts w:ascii="Calibri" w:hAnsi="Calibri" w:cstheme="minorBidi"/>
        </w:rPr>
        <w:t xml:space="preserve"> the others are randomly assigned one interview month. Military ships are restricted to March–December to allow time for the Census Bureau to let the point of contact for these ships know what month the sampled ships are in.</w:t>
      </w:r>
    </w:p>
    <w:p w:rsidR="008A7DEB" w:rsidP="7B12BB46" w14:paraId="72505342" w14:textId="77777777">
      <w:pPr>
        <w:pStyle w:val="Normal2"/>
        <w:ind w:left="1080"/>
        <w:rPr>
          <w:rFonts w:ascii="Calibri" w:hAnsi="Calibri" w:cstheme="minorBidi"/>
        </w:rPr>
      </w:pPr>
      <w:r w:rsidRPr="7B12BB46">
        <w:rPr>
          <w:rFonts w:ascii="Calibri" w:hAnsi="Calibri" w:cstheme="minorBidi"/>
        </w:rPr>
        <w:t xml:space="preserve">All large GQs that are assigned multiple hits, but are not in any of the categories above, have each hit randomly assigned to a different interview month. If a GQ has more than 12 hits assigned to it, then multiple hits are assigned to one or more interview months for the GQ. For example, if a GQ has 15 hits assigned to it, then there are three interview months in which two hits are assigned and nine interview months in which one hit is assigned. One restriction is applied to college dormitories, whose hits are randomly assigned to </w:t>
      </w:r>
      <w:r w:rsidRPr="7B12BB46">
        <w:rPr>
          <w:rFonts w:ascii="Calibri" w:hAnsi="Calibri" w:cstheme="minorBidi"/>
        </w:rPr>
        <w:t>nonsummer</w:t>
      </w:r>
      <w:r w:rsidRPr="7B12BB46">
        <w:rPr>
          <w:rFonts w:ascii="Calibri" w:hAnsi="Calibri" w:cstheme="minorBidi"/>
        </w:rPr>
        <w:t xml:space="preserve"> months only</w:t>
      </w:r>
      <w:r w:rsidRPr="7B12BB46" w:rsidR="57857DDA">
        <w:rPr>
          <w:rFonts w:ascii="Calibri" w:hAnsi="Calibri" w:cstheme="minorBidi"/>
        </w:rPr>
        <w:t xml:space="preserve"> (</w:t>
      </w:r>
      <w:r w:rsidRPr="7B12BB46">
        <w:rPr>
          <w:rFonts w:ascii="Calibri" w:hAnsi="Calibri" w:cstheme="minorBidi"/>
        </w:rPr>
        <w:t>i.e., January through April and September through December</w:t>
      </w:r>
      <w:r w:rsidRPr="7B12BB46" w:rsidR="30A74A0D">
        <w:rPr>
          <w:rFonts w:ascii="Calibri" w:hAnsi="Calibri" w:cstheme="minorBidi"/>
        </w:rPr>
        <w:t>)</w:t>
      </w:r>
      <w:r w:rsidRPr="7B12BB46">
        <w:rPr>
          <w:rFonts w:ascii="Calibri" w:hAnsi="Calibri" w:cstheme="minorBidi"/>
        </w:rPr>
        <w:t xml:space="preserve">. </w:t>
      </w:r>
    </w:p>
    <w:p w:rsidR="004C418B" w:rsidP="3A436180" w14:paraId="2C1CD749" w14:textId="77777777">
      <w:pPr>
        <w:pStyle w:val="Normal2"/>
        <w:ind w:left="1080"/>
        <w:rPr>
          <w:rFonts w:ascii="Calibri" w:hAnsi="Calibri" w:cstheme="minorBidi"/>
          <w:b/>
          <w:bCs/>
          <w:color w:val="2E74B5" w:themeColor="accent1" w:themeShade="BF"/>
          <w:sz w:val="22"/>
          <w:szCs w:val="22"/>
        </w:rPr>
      </w:pPr>
      <w:r w:rsidRPr="08122567">
        <w:rPr>
          <w:rFonts w:ascii="Calibri" w:hAnsi="Calibri" w:cstheme="minorBidi"/>
          <w:b/>
          <w:bCs/>
          <w:color w:val="2E74B5" w:themeColor="accent1" w:themeShade="BF"/>
          <w:sz w:val="22"/>
          <w:szCs w:val="22"/>
        </w:rPr>
        <w:t>Group Quarters – Bureau of Prisons</w:t>
      </w:r>
    </w:p>
    <w:p w:rsidR="00936A60" w:rsidRPr="00157AFB" w:rsidP="3A436180" w14:paraId="30C058A9" w14:textId="15DBCB8F">
      <w:pPr>
        <w:pStyle w:val="Normal2"/>
        <w:ind w:left="1080"/>
        <w:rPr>
          <w:rFonts w:ascii="Calibri" w:hAnsi="Calibri" w:cstheme="minorBidi"/>
        </w:rPr>
      </w:pPr>
      <w:r w:rsidRPr="4743B207">
        <w:rPr>
          <w:rFonts w:ascii="Calibri" w:hAnsi="Calibri" w:cstheme="minorBidi"/>
        </w:rPr>
        <w:t>Bureau of Prison</w:t>
      </w:r>
      <w:r w:rsidRPr="4743B207" w:rsidR="65261AEF">
        <w:rPr>
          <w:rFonts w:ascii="Calibri" w:hAnsi="Calibri" w:cstheme="minorBidi"/>
        </w:rPr>
        <w:t xml:space="preserve"> group quarters (GQs)</w:t>
      </w:r>
      <w:r w:rsidRPr="4743B207">
        <w:rPr>
          <w:rFonts w:ascii="Calibri" w:hAnsi="Calibri" w:cstheme="minorBidi"/>
        </w:rPr>
        <w:t xml:space="preserve"> </w:t>
      </w:r>
      <w:r w:rsidRPr="4743B207" w:rsidR="7DBB5822">
        <w:rPr>
          <w:rFonts w:ascii="Calibri" w:hAnsi="Calibri" w:cstheme="minorBidi"/>
        </w:rPr>
        <w:t xml:space="preserve">are sampled </w:t>
      </w:r>
      <w:r w:rsidRPr="4743B207" w:rsidR="4F3EB744">
        <w:rPr>
          <w:rFonts w:ascii="Calibri" w:hAnsi="Calibri" w:cstheme="minorBidi"/>
        </w:rPr>
        <w:t xml:space="preserve">separately from other GQs </w:t>
      </w:r>
      <w:r w:rsidRPr="4743B207" w:rsidR="7DBB5822">
        <w:rPr>
          <w:rFonts w:ascii="Calibri" w:hAnsi="Calibri" w:cstheme="minorBidi"/>
        </w:rPr>
        <w:t xml:space="preserve">using the same procedure shown </w:t>
      </w:r>
      <w:r w:rsidRPr="4743B207" w:rsidR="1943A34F">
        <w:rPr>
          <w:rFonts w:ascii="Calibri" w:hAnsi="Calibri" w:cstheme="minorBidi"/>
        </w:rPr>
        <w:t>above and</w:t>
      </w:r>
      <w:r w:rsidRPr="4743B207" w:rsidR="7DBB5822">
        <w:rPr>
          <w:rFonts w:ascii="Calibri" w:hAnsi="Calibri" w:cstheme="minorBidi"/>
        </w:rPr>
        <w:t xml:space="preserve"> are all assigned to the September interview month</w:t>
      </w:r>
      <w:r w:rsidRPr="4743B207" w:rsidR="3BA326F4">
        <w:rPr>
          <w:rFonts w:ascii="Calibri" w:hAnsi="Calibri" w:cstheme="minorBidi"/>
        </w:rPr>
        <w:t>.</w:t>
      </w:r>
      <w:r w:rsidRPr="4743B207" w:rsidR="7DBB5822">
        <w:rPr>
          <w:rFonts w:ascii="Calibri" w:hAnsi="Calibri" w:cstheme="minorBidi"/>
        </w:rPr>
        <w:t xml:space="preserve">  The Census Bureau uses the most up-to-date information through two files delivered from the Bureau of Prisons–a facilities file listing each federal prison including address and contact information, and a list of all federal inmates. The Census Bureau samples inmates directly from the file, and the questionnaires for inmates in federal prisons are preprinted with the names of inmates in sample.</w:t>
      </w:r>
    </w:p>
    <w:p w:rsidR="00936A60" w:rsidRPr="002E00C7" w:rsidP="00936A60" w14:paraId="5E1620F6" w14:textId="2EAC1052">
      <w:pPr>
        <w:pStyle w:val="Normal4"/>
        <w:rPr>
          <w:rFonts w:ascii="Calibri" w:hAnsi="Calibri" w:cstheme="minorHAnsi"/>
          <w:b/>
          <w:bCs/>
        </w:rPr>
      </w:pPr>
      <w:r w:rsidRPr="002E00C7">
        <w:rPr>
          <w:rFonts w:ascii="Calibri" w:hAnsi="Calibri" w:cstheme="minorHAnsi"/>
          <w:b/>
          <w:bCs/>
        </w:rPr>
        <w:t>Remote Alaska</w:t>
      </w:r>
    </w:p>
    <w:p w:rsidR="00936A60" w:rsidP="2E0452FD" w14:paraId="11FB67D8" w14:textId="3C359137">
      <w:pPr>
        <w:pStyle w:val="Normal4"/>
        <w:rPr>
          <w:rStyle w:val="eop"/>
          <w:color w:val="000000"/>
          <w:shd w:val="clear" w:color="auto" w:fill="FFFFFF"/>
        </w:rPr>
      </w:pPr>
      <w:r w:rsidRPr="08122567">
        <w:rPr>
          <w:rFonts w:ascii="Calibri" w:hAnsi="Calibri" w:cstheme="minorBidi"/>
        </w:rPr>
        <w:t xml:space="preserve">Remote Alaska is a set of rural areas in Alaska that are difficult to access and for which all addresses are treated as unmailable. There are approximately 30,000 HU addresses and 500 GQs in Remote Alaska. </w:t>
      </w:r>
      <w:r w:rsidRPr="08122567" w:rsidR="78F579FA">
        <w:rPr>
          <w:rFonts w:ascii="Calibri" w:hAnsi="Calibri" w:cstheme="minorBidi"/>
        </w:rPr>
        <w:t>Using the same procedure as the housing unit sample, t</w:t>
      </w:r>
      <w:r w:rsidRPr="08122567" w:rsidR="4F8CD8EB">
        <w:rPr>
          <w:rFonts w:ascii="Calibri" w:hAnsi="Calibri" w:cstheme="minorBidi"/>
        </w:rPr>
        <w:t>he</w:t>
      </w:r>
      <w:r w:rsidRPr="08122567">
        <w:rPr>
          <w:rFonts w:ascii="Calibri" w:hAnsi="Calibri" w:cstheme="minorBidi"/>
        </w:rPr>
        <w:t xml:space="preserve"> GQ </w:t>
      </w:r>
      <w:r w:rsidRPr="08122567" w:rsidR="128B3707">
        <w:rPr>
          <w:rFonts w:ascii="Calibri" w:hAnsi="Calibri" w:cstheme="minorBidi"/>
        </w:rPr>
        <w:t>r</w:t>
      </w:r>
      <w:r w:rsidRPr="08122567">
        <w:rPr>
          <w:rFonts w:ascii="Calibri" w:hAnsi="Calibri" w:cstheme="minorBidi"/>
        </w:rPr>
        <w:t>emote Alaska</w:t>
      </w:r>
      <w:r w:rsidRPr="08122567" w:rsidR="78F579FA">
        <w:rPr>
          <w:rFonts w:ascii="Calibri" w:hAnsi="Calibri" w:cstheme="minorBidi"/>
        </w:rPr>
        <w:t xml:space="preserve"> sample</w:t>
      </w:r>
      <w:r w:rsidRPr="08122567">
        <w:rPr>
          <w:rFonts w:ascii="Calibri" w:hAnsi="Calibri" w:cstheme="minorBidi"/>
        </w:rPr>
        <w:t xml:space="preserve"> </w:t>
      </w:r>
      <w:r w:rsidRPr="08122567" w:rsidR="78F579FA">
        <w:rPr>
          <w:rFonts w:ascii="Calibri" w:hAnsi="Calibri" w:cstheme="minorBidi"/>
        </w:rPr>
        <w:t xml:space="preserve">is assigned twice a year. </w:t>
      </w:r>
      <w:r w:rsidRPr="08122567" w:rsidR="128B3707">
        <w:rPr>
          <w:rFonts w:ascii="Calibri" w:hAnsi="Calibri" w:cstheme="minorBidi"/>
        </w:rPr>
        <w:t xml:space="preserve"> </w:t>
      </w:r>
      <w:r w:rsidRPr="08122567" w:rsidR="78F579FA">
        <w:rPr>
          <w:rFonts w:ascii="Calibri" w:hAnsi="Calibri" w:cstheme="minorBidi"/>
        </w:rPr>
        <w:t xml:space="preserve">We </w:t>
      </w:r>
      <w:r w:rsidRPr="08122567">
        <w:rPr>
          <w:rFonts w:ascii="Calibri" w:hAnsi="Calibri" w:cstheme="minorBidi"/>
        </w:rPr>
        <w:t xml:space="preserve">allow up to </w:t>
      </w:r>
      <w:r w:rsidRPr="08122567" w:rsidR="62933088">
        <w:rPr>
          <w:rFonts w:ascii="Calibri" w:hAnsi="Calibri" w:cstheme="minorBidi"/>
        </w:rPr>
        <w:t>six</w:t>
      </w:r>
      <w:r w:rsidRPr="08122567">
        <w:rPr>
          <w:rFonts w:ascii="Calibri" w:hAnsi="Calibri" w:cstheme="minorBidi"/>
        </w:rPr>
        <w:t xml:space="preserve"> months to complete the HU and GQ data collection for each of the two data collection periods.</w:t>
      </w:r>
      <w:r>
        <w:rPr>
          <w:rStyle w:val="eop"/>
          <w:color w:val="000000"/>
          <w:shd w:val="clear" w:color="auto" w:fill="FFFFFF"/>
        </w:rPr>
        <w:t> </w:t>
      </w:r>
    </w:p>
    <w:p w:rsidR="00D779E8" w:rsidRPr="00157AFB" w:rsidP="2E0452FD" w14:paraId="529FC241" w14:textId="77777777">
      <w:pPr>
        <w:pStyle w:val="Normal4"/>
        <w:rPr>
          <w:rFonts w:ascii="Calibri" w:hAnsi="Calibri" w:cstheme="minorBidi"/>
        </w:rPr>
      </w:pPr>
    </w:p>
    <w:p w:rsidR="00B955B7" w:rsidRPr="00124446" w:rsidP="00BE65E2" w14:paraId="0D67C07C" w14:textId="77777777">
      <w:pPr>
        <w:pStyle w:val="Heading1"/>
        <w:numPr>
          <w:ilvl w:val="0"/>
          <w:numId w:val="2"/>
        </w:numPr>
        <w:tabs>
          <w:tab w:val="left" w:pos="669"/>
        </w:tabs>
        <w:spacing w:before="0" w:after="120"/>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A903D6" w:rsidRPr="00DC2C83" w:rsidP="08122567" w14:paraId="42A4CB57" w14:textId="7C57CA67">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after="120"/>
        <w:ind w:left="400"/>
        <w:rPr>
          <w:rFonts w:asciiTheme="minorHAnsi" w:hAnsiTheme="minorHAnsi" w:cstheme="minorBidi"/>
          <w:sz w:val="24"/>
          <w:szCs w:val="24"/>
        </w:rPr>
      </w:pPr>
      <w:r w:rsidRPr="08122567">
        <w:rPr>
          <w:rFonts w:asciiTheme="minorHAnsi" w:hAnsiTheme="minorHAnsi" w:cstheme="minorBidi"/>
          <w:sz w:val="24"/>
          <w:szCs w:val="24"/>
        </w:rPr>
        <w:t>The data collection operation for housing units</w:t>
      </w:r>
      <w:r w:rsidRPr="08122567" w:rsidR="00244E22">
        <w:rPr>
          <w:rFonts w:asciiTheme="minorHAnsi" w:hAnsiTheme="minorHAnsi" w:cstheme="minorBidi"/>
          <w:sz w:val="24"/>
          <w:szCs w:val="24"/>
        </w:rPr>
        <w:t xml:space="preserve"> and GQs</w:t>
      </w:r>
      <w:r w:rsidRPr="08122567">
        <w:rPr>
          <w:rFonts w:asciiTheme="minorHAnsi" w:hAnsiTheme="minorHAnsi" w:cstheme="minorBidi"/>
          <w:sz w:val="24"/>
          <w:szCs w:val="24"/>
        </w:rPr>
        <w:t xml:space="preserve"> includes internet, paper, telephone, and personal visit. </w:t>
      </w:r>
      <w:r w:rsidRPr="08122567" w:rsidR="78FD8181">
        <w:rPr>
          <w:rFonts w:asciiTheme="minorHAnsi" w:hAnsiTheme="minorHAnsi" w:cstheme="minorBidi"/>
          <w:sz w:val="24"/>
          <w:szCs w:val="24"/>
        </w:rPr>
        <w:t xml:space="preserve">Data collection instruments are available to respondents and interviewers in English and Spanish. </w:t>
      </w:r>
      <w:r w:rsidRPr="08122567" w:rsidR="00244E22">
        <w:rPr>
          <w:rFonts w:asciiTheme="minorHAnsi" w:hAnsiTheme="minorHAnsi" w:cstheme="minorBidi"/>
          <w:sz w:val="24"/>
          <w:szCs w:val="24"/>
        </w:rPr>
        <w:t>Housing unit r</w:t>
      </w:r>
      <w:r w:rsidRPr="08122567" w:rsidR="4307D9E6">
        <w:rPr>
          <w:rFonts w:asciiTheme="minorHAnsi" w:hAnsiTheme="minorHAnsi" w:cstheme="minorBidi"/>
          <w:sz w:val="24"/>
          <w:szCs w:val="24"/>
        </w:rPr>
        <w:t>espondents may also complete the survey via a phone interview</w:t>
      </w:r>
      <w:r w:rsidRPr="08122567" w:rsidR="15CC8301">
        <w:rPr>
          <w:rFonts w:asciiTheme="minorHAnsi" w:hAnsiTheme="minorHAnsi" w:cstheme="minorBidi"/>
          <w:sz w:val="24"/>
          <w:szCs w:val="24"/>
        </w:rPr>
        <w:t xml:space="preserve"> with bilingual staff</w:t>
      </w:r>
      <w:r w:rsidRPr="08122567" w:rsidR="4307D9E6">
        <w:rPr>
          <w:rFonts w:asciiTheme="minorHAnsi" w:hAnsiTheme="minorHAnsi" w:cstheme="minorBidi"/>
          <w:sz w:val="24"/>
          <w:szCs w:val="24"/>
        </w:rPr>
        <w:t xml:space="preserve"> in</w:t>
      </w:r>
      <w:r w:rsidRPr="08122567" w:rsidR="4723B1E5">
        <w:rPr>
          <w:rFonts w:asciiTheme="minorHAnsi" w:hAnsiTheme="minorHAnsi" w:cstheme="minorBidi"/>
          <w:sz w:val="24"/>
          <w:szCs w:val="24"/>
        </w:rPr>
        <w:t xml:space="preserve"> about 15 languages. There are toll-free numbers to receive assistance in Spanish, Chinese, Russian, Korean, and Vietnamese.</w:t>
      </w:r>
      <w:r w:rsidRPr="08122567" w:rsidR="4307D9E6">
        <w:rPr>
          <w:rFonts w:asciiTheme="minorHAnsi" w:hAnsiTheme="minorHAnsi" w:cstheme="minorBidi"/>
          <w:sz w:val="24"/>
          <w:szCs w:val="24"/>
        </w:rPr>
        <w:t xml:space="preserve"> </w:t>
      </w:r>
    </w:p>
    <w:p w:rsidR="00A903D6" w:rsidP="08122567" w14:paraId="47199A0D" w14:textId="03CA90B9">
      <w:pPr>
        <w:pStyle w:val="Level1"/>
        <w:autoSpaceDE/>
        <w:autoSpaceDN/>
        <w:adjustRightInd/>
        <w:spacing w:after="120"/>
        <w:ind w:left="400"/>
        <w:rPr>
          <w:rFonts w:asciiTheme="minorHAnsi" w:hAnsiTheme="minorHAnsi" w:cstheme="minorBidi"/>
        </w:rPr>
      </w:pPr>
      <w:r w:rsidRPr="08122567">
        <w:rPr>
          <w:rFonts w:asciiTheme="minorHAnsi" w:hAnsiTheme="minorHAnsi" w:cstheme="minorBidi"/>
        </w:rPr>
        <w:t xml:space="preserve">Additional methods for maximizing response are explored as part of </w:t>
      </w:r>
      <w:r w:rsidRPr="08122567" w:rsidR="68532123">
        <w:rPr>
          <w:rFonts w:asciiTheme="minorHAnsi" w:hAnsiTheme="minorHAnsi" w:cstheme="minorBidi"/>
        </w:rPr>
        <w:t>testing conducted by the ACS, called</w:t>
      </w:r>
      <w:r w:rsidRPr="08122567" w:rsidR="50039870">
        <w:rPr>
          <w:rFonts w:asciiTheme="minorHAnsi" w:hAnsiTheme="minorHAnsi" w:cstheme="minorBidi"/>
        </w:rPr>
        <w:t xml:space="preserve"> methods panel </w:t>
      </w:r>
      <w:r w:rsidRPr="08122567">
        <w:rPr>
          <w:rFonts w:asciiTheme="minorHAnsi" w:hAnsiTheme="minorHAnsi" w:cstheme="minorBidi"/>
        </w:rPr>
        <w:t>tests</w:t>
      </w:r>
      <w:r w:rsidRPr="08122567" w:rsidR="6A9110A0">
        <w:rPr>
          <w:rFonts w:asciiTheme="minorHAnsi" w:hAnsiTheme="minorHAnsi" w:cstheme="minorBidi"/>
        </w:rPr>
        <w:t xml:space="preserve"> (OMB Control No. 0607-0936)</w:t>
      </w:r>
      <w:r w:rsidRPr="08122567" w:rsidR="305146C8">
        <w:rPr>
          <w:rFonts w:asciiTheme="minorHAnsi" w:hAnsiTheme="minorHAnsi" w:cstheme="minorBidi"/>
        </w:rPr>
        <w:t xml:space="preserve">. </w:t>
      </w:r>
      <w:r w:rsidRPr="08122567" w:rsidR="4ED23C9E">
        <w:rPr>
          <w:rFonts w:asciiTheme="minorHAnsi" w:hAnsiTheme="minorHAnsi" w:cstheme="minorBidi"/>
        </w:rPr>
        <w:t>As</w:t>
      </w:r>
      <w:r w:rsidRPr="08122567">
        <w:rPr>
          <w:rFonts w:asciiTheme="minorHAnsi" w:hAnsiTheme="minorHAnsi" w:cstheme="minorBidi"/>
        </w:rPr>
        <w:t xml:space="preserve"> details of specific strategies </w:t>
      </w:r>
      <w:r w:rsidRPr="08122567" w:rsidR="59E9967A">
        <w:rPr>
          <w:rFonts w:asciiTheme="minorHAnsi" w:hAnsiTheme="minorHAnsi" w:cstheme="minorBidi"/>
        </w:rPr>
        <w:t xml:space="preserve">for testing </w:t>
      </w:r>
      <w:r w:rsidRPr="08122567">
        <w:rPr>
          <w:rFonts w:asciiTheme="minorHAnsi" w:hAnsiTheme="minorHAnsi" w:cstheme="minorBidi"/>
        </w:rPr>
        <w:t>are determined they will be provided as part of a non-substantive change request.</w:t>
      </w:r>
    </w:p>
    <w:p w:rsidR="00D779E8" w:rsidRPr="00DC2C83" w:rsidP="7B12BB46" w14:paraId="75CFB943" w14:textId="77777777">
      <w:pPr>
        <w:pStyle w:val="Level1"/>
        <w:autoSpaceDE/>
        <w:autoSpaceDN/>
        <w:adjustRightInd/>
        <w:spacing w:after="120"/>
        <w:ind w:left="400"/>
        <w:rPr>
          <w:rFonts w:asciiTheme="minorHAnsi" w:hAnsiTheme="minorHAnsi" w:cstheme="minorBidi"/>
        </w:rPr>
      </w:pPr>
    </w:p>
    <w:p w:rsidR="00B955B7" w:rsidRPr="00124446" w:rsidP="00BE65E2" w14:paraId="11B8DA64" w14:textId="77777777">
      <w:pPr>
        <w:pStyle w:val="Heading1"/>
        <w:numPr>
          <w:ilvl w:val="0"/>
          <w:numId w:val="2"/>
        </w:numPr>
        <w:tabs>
          <w:tab w:val="left" w:pos="669"/>
        </w:tabs>
        <w:spacing w:before="0" w:after="120"/>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4E1DD8" w:rsidRPr="00162785" w:rsidP="18E18806" w14:paraId="553E88E3" w14:textId="07C0610F">
      <w:pPr>
        <w:spacing w:after="120"/>
        <w:ind w:left="400" w:right="362"/>
        <w:rPr>
          <w:rFonts w:asciiTheme="minorHAnsi" w:hAnsiTheme="minorHAnsi" w:cstheme="minorBidi"/>
          <w:sz w:val="24"/>
          <w:szCs w:val="24"/>
        </w:rPr>
      </w:pPr>
      <w:r w:rsidRPr="3F3DED48">
        <w:rPr>
          <w:rFonts w:asciiTheme="minorHAnsi" w:hAnsiTheme="minorHAnsi" w:cstheme="minorBidi"/>
          <w:sz w:val="24"/>
          <w:szCs w:val="24"/>
        </w:rPr>
        <w:t>The Census Bureau is continuously engaging and responding to stakeholders to adapt the way we gather data</w:t>
      </w:r>
      <w:r w:rsidRPr="3F3DED48" w:rsidR="66E21850">
        <w:rPr>
          <w:rFonts w:asciiTheme="minorHAnsi" w:hAnsiTheme="minorHAnsi" w:cstheme="minorBidi"/>
          <w:sz w:val="24"/>
          <w:szCs w:val="24"/>
        </w:rPr>
        <w:t xml:space="preserve"> and</w:t>
      </w:r>
      <w:r w:rsidRPr="3F3DED48" w:rsidR="548CCE94">
        <w:rPr>
          <w:rFonts w:asciiTheme="minorHAnsi" w:hAnsiTheme="minorHAnsi" w:cstheme="minorBidi"/>
          <w:sz w:val="24"/>
          <w:szCs w:val="24"/>
        </w:rPr>
        <w:t xml:space="preserve"> </w:t>
      </w:r>
      <w:r w:rsidRPr="3F3DED48">
        <w:rPr>
          <w:rFonts w:asciiTheme="minorHAnsi" w:hAnsiTheme="minorHAnsi" w:cstheme="minorBidi"/>
          <w:sz w:val="24"/>
          <w:szCs w:val="24"/>
        </w:rPr>
        <w:t>administer the survey</w:t>
      </w:r>
      <w:r w:rsidRPr="3F3DED48" w:rsidR="66E21850">
        <w:rPr>
          <w:rFonts w:asciiTheme="minorHAnsi" w:hAnsiTheme="minorHAnsi" w:cstheme="minorBidi"/>
          <w:sz w:val="24"/>
          <w:szCs w:val="24"/>
        </w:rPr>
        <w:t>.</w:t>
      </w:r>
      <w:r w:rsidRPr="3F3DED48">
        <w:rPr>
          <w:rFonts w:asciiTheme="minorHAnsi" w:hAnsiTheme="minorHAnsi" w:cstheme="minorBidi"/>
          <w:sz w:val="24"/>
          <w:szCs w:val="24"/>
        </w:rPr>
        <w:t xml:space="preserve"> The ACS Methods Panel </w:t>
      </w:r>
      <w:r w:rsidRPr="3F3DED48" w:rsidR="54034C58">
        <w:rPr>
          <w:rFonts w:asciiTheme="minorHAnsi" w:hAnsiTheme="minorHAnsi" w:cstheme="minorBidi"/>
          <w:sz w:val="24"/>
          <w:szCs w:val="24"/>
        </w:rPr>
        <w:t xml:space="preserve">Tests </w:t>
      </w:r>
      <w:r w:rsidRPr="3F3DED48">
        <w:rPr>
          <w:rFonts w:asciiTheme="minorHAnsi" w:hAnsiTheme="minorHAnsi" w:cstheme="minorBidi"/>
          <w:sz w:val="24"/>
          <w:szCs w:val="24"/>
        </w:rPr>
        <w:t>program</w:t>
      </w:r>
      <w:r w:rsidRPr="3F3DED48" w:rsidR="54034C58">
        <w:rPr>
          <w:rFonts w:asciiTheme="minorHAnsi" w:hAnsiTheme="minorHAnsi" w:cstheme="minorBidi"/>
          <w:sz w:val="24"/>
          <w:szCs w:val="24"/>
        </w:rPr>
        <w:t xml:space="preserve"> (OMB Control No. 0607-0936) </w:t>
      </w:r>
      <w:r w:rsidRPr="3F3DED48">
        <w:rPr>
          <w:rFonts w:asciiTheme="minorHAnsi" w:hAnsiTheme="minorHAnsi" w:cstheme="minorBidi"/>
          <w:sz w:val="24"/>
          <w:szCs w:val="24"/>
        </w:rPr>
        <w:t xml:space="preserve">allows the Census Bureau to respond to emerging trends </w:t>
      </w:r>
      <w:r w:rsidRPr="3F3DED48" w:rsidR="2E825852">
        <w:rPr>
          <w:rFonts w:asciiTheme="minorHAnsi" w:hAnsiTheme="minorHAnsi" w:cstheme="minorBidi"/>
          <w:sz w:val="24"/>
          <w:szCs w:val="24"/>
        </w:rPr>
        <w:t xml:space="preserve">and changes in our nation that spawn new data needs by </w:t>
      </w:r>
      <w:r w:rsidRPr="3F3DED48">
        <w:rPr>
          <w:rFonts w:asciiTheme="minorHAnsi" w:hAnsiTheme="minorHAnsi" w:cstheme="minorBidi"/>
          <w:sz w:val="24"/>
          <w:szCs w:val="24"/>
        </w:rPr>
        <w:t>build</w:t>
      </w:r>
      <w:r w:rsidRPr="3F3DED48" w:rsidR="2E825852">
        <w:rPr>
          <w:rFonts w:asciiTheme="minorHAnsi" w:hAnsiTheme="minorHAnsi" w:cstheme="minorBidi"/>
          <w:sz w:val="24"/>
          <w:szCs w:val="24"/>
        </w:rPr>
        <w:t>ing</w:t>
      </w:r>
      <w:r w:rsidRPr="3F3DED48">
        <w:rPr>
          <w:rFonts w:asciiTheme="minorHAnsi" w:hAnsiTheme="minorHAnsi" w:cstheme="minorBidi"/>
          <w:sz w:val="24"/>
          <w:szCs w:val="24"/>
        </w:rPr>
        <w:t xml:space="preserve"> on </w:t>
      </w:r>
      <w:r w:rsidRPr="3F3DED48" w:rsidR="2E825852">
        <w:rPr>
          <w:rFonts w:asciiTheme="minorHAnsi" w:hAnsiTheme="minorHAnsi" w:cstheme="minorBidi"/>
          <w:sz w:val="24"/>
          <w:szCs w:val="24"/>
        </w:rPr>
        <w:t>our</w:t>
      </w:r>
      <w:r w:rsidRPr="3F3DED48">
        <w:rPr>
          <w:rFonts w:asciiTheme="minorHAnsi" w:hAnsiTheme="minorHAnsi" w:cstheme="minorBidi"/>
          <w:sz w:val="24"/>
          <w:szCs w:val="24"/>
        </w:rPr>
        <w:t xml:space="preserve"> comprehensive research agenda. This work not only improves the </w:t>
      </w:r>
      <w:r w:rsidRPr="3F3DED48">
        <w:rPr>
          <w:rFonts w:asciiTheme="minorHAnsi" w:hAnsiTheme="minorHAnsi" w:cstheme="minorBidi"/>
          <w:sz w:val="24"/>
          <w:szCs w:val="24"/>
        </w:rPr>
        <w:t>ACS, but</w:t>
      </w:r>
      <w:r w:rsidRPr="3F3DED48">
        <w:rPr>
          <w:rFonts w:asciiTheme="minorHAnsi" w:hAnsiTheme="minorHAnsi" w:cstheme="minorBidi"/>
          <w:sz w:val="24"/>
          <w:szCs w:val="24"/>
        </w:rPr>
        <w:t xml:space="preserve"> also allows the Census Bureau to innovate responsively across key aspects of our work.</w:t>
      </w:r>
      <w:r w:rsidRPr="3F3DED48" w:rsidR="2E825852">
        <w:rPr>
          <w:rFonts w:asciiTheme="minorHAnsi" w:hAnsiTheme="minorHAnsi" w:cstheme="minorBidi"/>
          <w:sz w:val="24"/>
          <w:szCs w:val="24"/>
        </w:rPr>
        <w:t xml:space="preserve"> The ACS Methods Panel </w:t>
      </w:r>
      <w:r w:rsidRPr="3F3DED48" w:rsidR="54034C58">
        <w:rPr>
          <w:rFonts w:asciiTheme="minorHAnsi" w:hAnsiTheme="minorHAnsi" w:cstheme="minorBidi"/>
          <w:sz w:val="24"/>
          <w:szCs w:val="24"/>
        </w:rPr>
        <w:t xml:space="preserve">Tests </w:t>
      </w:r>
      <w:r w:rsidRPr="3F3DED48" w:rsidR="2E825852">
        <w:rPr>
          <w:rFonts w:asciiTheme="minorHAnsi" w:hAnsiTheme="minorHAnsi" w:cstheme="minorBidi"/>
          <w:sz w:val="24"/>
          <w:szCs w:val="24"/>
        </w:rPr>
        <w:t>program also provides an opportunity to research and test elements of survey data collection that relate to the decennial census.</w:t>
      </w:r>
    </w:p>
    <w:p w:rsidR="004E1DD8" w:rsidP="08122567" w14:paraId="564DCF3E" w14:textId="176C1712">
      <w:pPr>
        <w:spacing w:after="120"/>
        <w:ind w:left="400" w:right="362"/>
        <w:rPr>
          <w:rFonts w:asciiTheme="minorHAnsi" w:hAnsiTheme="minorHAnsi" w:cstheme="minorBidi"/>
          <w:sz w:val="24"/>
          <w:szCs w:val="24"/>
        </w:rPr>
      </w:pPr>
      <w:r w:rsidRPr="08122567">
        <w:rPr>
          <w:rFonts w:asciiTheme="minorHAnsi" w:hAnsiTheme="minorHAnsi" w:cstheme="minorBidi"/>
          <w:sz w:val="24"/>
          <w:szCs w:val="24"/>
        </w:rPr>
        <w:t>T</w:t>
      </w:r>
      <w:r w:rsidRPr="08122567" w:rsidR="00C47349">
        <w:rPr>
          <w:rFonts w:asciiTheme="minorHAnsi" w:hAnsiTheme="minorHAnsi" w:cstheme="minorBidi"/>
          <w:sz w:val="24"/>
          <w:szCs w:val="24"/>
        </w:rPr>
        <w:t>est</w:t>
      </w:r>
      <w:r w:rsidRPr="08122567" w:rsidR="1F13F955">
        <w:rPr>
          <w:rFonts w:asciiTheme="minorHAnsi" w:hAnsiTheme="minorHAnsi" w:cstheme="minorBidi"/>
          <w:sz w:val="24"/>
          <w:szCs w:val="24"/>
        </w:rPr>
        <w:t xml:space="preserve">ing </w:t>
      </w:r>
      <w:r w:rsidRPr="08122567" w:rsidR="00C47349">
        <w:rPr>
          <w:rFonts w:asciiTheme="minorHAnsi" w:hAnsiTheme="minorHAnsi" w:cstheme="minorBidi"/>
          <w:sz w:val="24"/>
          <w:szCs w:val="24"/>
        </w:rPr>
        <w:t>allow</w:t>
      </w:r>
      <w:r w:rsidRPr="08122567" w:rsidR="6D34BEE9">
        <w:rPr>
          <w:rFonts w:asciiTheme="minorHAnsi" w:hAnsiTheme="minorHAnsi" w:cstheme="minorBidi"/>
          <w:sz w:val="24"/>
          <w:szCs w:val="24"/>
        </w:rPr>
        <w:t>s</w:t>
      </w:r>
      <w:r w:rsidRPr="08122567" w:rsidR="00C47349">
        <w:rPr>
          <w:rFonts w:asciiTheme="minorHAnsi" w:hAnsiTheme="minorHAnsi" w:cstheme="minorBidi"/>
          <w:sz w:val="24"/>
          <w:szCs w:val="24"/>
        </w:rPr>
        <w:t xml:space="preserve"> the Census Bureau the opportunity to improve data quality, reduce data collection costs, improve questionnaire content and data collection materials, as well as react to emerging needs.</w:t>
      </w:r>
      <w:r w:rsidRPr="08122567" w:rsidR="004B43EA">
        <w:rPr>
          <w:rFonts w:asciiTheme="minorHAnsi" w:hAnsiTheme="minorHAnsi" w:cstheme="minorBidi"/>
          <w:sz w:val="24"/>
          <w:szCs w:val="24"/>
        </w:rPr>
        <w:t xml:space="preserve"> </w:t>
      </w:r>
    </w:p>
    <w:p w:rsidR="000E6E0A" w:rsidRPr="00162785" w:rsidP="00BE65E2" w14:paraId="258577D6" w14:textId="77777777">
      <w:pPr>
        <w:spacing w:after="120"/>
        <w:ind w:left="400" w:right="362"/>
        <w:rPr>
          <w:rFonts w:asciiTheme="minorHAnsi" w:hAnsiTheme="minorHAnsi" w:cstheme="minorBidi"/>
          <w:sz w:val="24"/>
          <w:szCs w:val="24"/>
        </w:rPr>
      </w:pPr>
    </w:p>
    <w:p w:rsidR="00B955B7" w:rsidRPr="00124446" w:rsidP="00BE65E2" w14:paraId="512617D4" w14:textId="77777777">
      <w:pPr>
        <w:pStyle w:val="Heading1"/>
        <w:numPr>
          <w:ilvl w:val="0"/>
          <w:numId w:val="2"/>
        </w:numPr>
        <w:tabs>
          <w:tab w:val="left" w:pos="669"/>
        </w:tabs>
        <w:spacing w:before="0" w:after="120"/>
        <w:ind w:hanging="400"/>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r w:rsidRPr="00124446">
        <w:rPr>
          <w:rFonts w:ascii="Calibri" w:hAnsi="Calibri" w:cs="Calibri"/>
        </w:rPr>
        <w:t>actually collect</w:t>
      </w:r>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00A903D6" w:rsidRPr="00DC2C83" w:rsidP="00BE65E2" w14:paraId="6E6A850A" w14:textId="5389D456">
      <w:pPr>
        <w:pStyle w:val="BodyTextIndent"/>
        <w:keepNext/>
        <w:keepLines/>
        <w:rPr>
          <w:rFonts w:asciiTheme="minorHAnsi" w:hAnsiTheme="minorHAnsi" w:cstheme="minorBidi"/>
          <w:sz w:val="24"/>
          <w:szCs w:val="24"/>
        </w:rPr>
      </w:pPr>
      <w:r w:rsidRPr="00C712B2">
        <w:rPr>
          <w:rFonts w:asciiTheme="minorHAnsi" w:hAnsiTheme="minorHAnsi" w:cstheme="minorBidi"/>
          <w:sz w:val="24"/>
          <w:szCs w:val="24"/>
        </w:rPr>
        <w:t>The Census Bureau will collect and process these data</w:t>
      </w:r>
      <w:r w:rsidRPr="00C712B2" w:rsidR="13CB9FAE">
        <w:rPr>
          <w:rFonts w:asciiTheme="minorHAnsi" w:hAnsiTheme="minorHAnsi" w:cstheme="minorBidi"/>
          <w:sz w:val="24"/>
          <w:szCs w:val="24"/>
        </w:rPr>
        <w:t xml:space="preserve">. </w:t>
      </w:r>
      <w:r w:rsidRPr="00C712B2">
        <w:rPr>
          <w:rFonts w:asciiTheme="minorHAnsi" w:hAnsiTheme="minorHAnsi" w:cstheme="minorBidi"/>
          <w:sz w:val="24"/>
          <w:szCs w:val="24"/>
        </w:rPr>
        <w:t>Within the Census Bureau, please consult the following individuals for further information on their area of expertise.</w:t>
      </w:r>
    </w:p>
    <w:p w:rsidR="00A903D6" w:rsidRPr="00DC2C83" w:rsidP="00BE65E2" w14:paraId="077ED017" w14:textId="77777777">
      <w:pPr>
        <w:spacing w:after="120"/>
        <w:ind w:left="360"/>
        <w:rPr>
          <w:rFonts w:asciiTheme="minorHAnsi" w:hAnsiTheme="minorHAnsi" w:cstheme="minorHAnsi"/>
          <w:sz w:val="24"/>
          <w:szCs w:val="24"/>
        </w:rPr>
      </w:pPr>
    </w:p>
    <w:p w:rsidR="00A903D6" w:rsidRPr="00DC2C83" w:rsidP="2E0452FD" w14:paraId="2701B4C9" w14:textId="77777777">
      <w:pPr>
        <w:keepNext/>
        <w:spacing w:after="120"/>
        <w:ind w:left="360"/>
        <w:rPr>
          <w:rFonts w:asciiTheme="minorHAnsi" w:hAnsiTheme="minorHAnsi" w:cstheme="minorBidi"/>
          <w:sz w:val="24"/>
          <w:szCs w:val="24"/>
          <w:u w:val="single"/>
        </w:rPr>
      </w:pPr>
      <w:r w:rsidRPr="2E0452FD">
        <w:rPr>
          <w:rFonts w:asciiTheme="minorHAnsi" w:hAnsiTheme="minorHAnsi" w:cstheme="minorBidi"/>
          <w:sz w:val="24"/>
          <w:szCs w:val="24"/>
          <w:u w:val="single"/>
        </w:rPr>
        <w:t>Statistical Aspects</w:t>
      </w:r>
    </w:p>
    <w:p w:rsidR="00A903D6" w:rsidRPr="00DC2C83" w:rsidP="00BE65E2" w14:paraId="07813FDD" w14:textId="77777777">
      <w:pPr>
        <w:keepNext/>
        <w:spacing w:after="120"/>
        <w:ind w:left="360"/>
        <w:rPr>
          <w:rFonts w:asciiTheme="minorHAnsi" w:hAnsiTheme="minorHAnsi" w:cstheme="minorHAnsi"/>
          <w:sz w:val="24"/>
          <w:szCs w:val="24"/>
        </w:rPr>
      </w:pPr>
    </w:p>
    <w:p w:rsidR="00A903D6" w:rsidRPr="00DC2C83" w:rsidP="0CBF49C3" w14:paraId="047BC7A6" w14:textId="33CF6382">
      <w:pPr>
        <w:keepNext/>
        <w:tabs>
          <w:tab w:val="left" w:pos="2880"/>
        </w:tabs>
        <w:spacing w:after="120"/>
        <w:ind w:left="360"/>
        <w:rPr>
          <w:rFonts w:asciiTheme="minorHAnsi" w:hAnsiTheme="minorHAnsi" w:cstheme="minorBidi"/>
          <w:sz w:val="24"/>
          <w:szCs w:val="24"/>
        </w:rPr>
      </w:pPr>
      <w:r w:rsidRPr="0CBF49C3">
        <w:rPr>
          <w:rFonts w:asciiTheme="minorHAnsi" w:hAnsiTheme="minorHAnsi" w:cstheme="minorBidi"/>
          <w:sz w:val="24"/>
          <w:szCs w:val="24"/>
        </w:rPr>
        <w:t xml:space="preserve">Michael </w:t>
      </w:r>
      <w:r w:rsidRPr="0CBF49C3">
        <w:rPr>
          <w:rFonts w:asciiTheme="minorHAnsi" w:hAnsiTheme="minorHAnsi" w:cstheme="minorBidi"/>
          <w:sz w:val="24"/>
          <w:szCs w:val="24"/>
        </w:rPr>
        <w:t>Bentley</w:t>
      </w:r>
      <w:r w:rsidRPr="0CBF49C3" w:rsidR="66D8FC4B">
        <w:rPr>
          <w:rFonts w:asciiTheme="minorHAnsi" w:hAnsiTheme="minorHAnsi" w:cstheme="minorBidi"/>
          <w:sz w:val="24"/>
          <w:szCs w:val="24"/>
        </w:rPr>
        <w:t xml:space="preserve">  </w:t>
      </w:r>
      <w:r w:rsidR="008D57F5">
        <w:rPr>
          <w:rFonts w:asciiTheme="minorHAnsi" w:hAnsiTheme="minorHAnsi" w:cstheme="minorBidi"/>
          <w:sz w:val="24"/>
          <w:szCs w:val="24"/>
        </w:rPr>
        <w:tab/>
      </w:r>
      <w:r w:rsidR="008D57F5">
        <w:rPr>
          <w:rFonts w:asciiTheme="minorHAnsi" w:hAnsiTheme="minorHAnsi" w:cstheme="minorBidi"/>
          <w:sz w:val="24"/>
          <w:szCs w:val="24"/>
        </w:rPr>
        <w:tab/>
      </w:r>
      <w:r w:rsidRPr="0CBF49C3" w:rsidR="2EE0597C">
        <w:rPr>
          <w:rFonts w:asciiTheme="minorHAnsi" w:hAnsiTheme="minorHAnsi" w:cstheme="minorBidi"/>
          <w:sz w:val="24"/>
          <w:szCs w:val="24"/>
        </w:rPr>
        <w:t xml:space="preserve">Division </w:t>
      </w:r>
      <w:r w:rsidRPr="0CBF49C3" w:rsidR="3F2DDAEA">
        <w:rPr>
          <w:rFonts w:asciiTheme="minorHAnsi" w:hAnsiTheme="minorHAnsi" w:cstheme="minorBidi"/>
          <w:sz w:val="24"/>
          <w:szCs w:val="24"/>
        </w:rPr>
        <w:t>Chief</w:t>
      </w:r>
    </w:p>
    <w:p w:rsidR="00A903D6" w:rsidRPr="00DC2C83" w:rsidP="359DFCBF" w14:paraId="1BA6CDED" w14:textId="3C24165E">
      <w:pPr>
        <w:keepNext/>
        <w:tabs>
          <w:tab w:val="left" w:pos="2880"/>
        </w:tabs>
        <w:spacing w:after="120"/>
        <w:ind w:left="2880" w:firstLine="720"/>
        <w:rPr>
          <w:rFonts w:asciiTheme="minorHAnsi" w:hAnsiTheme="minorHAnsi" w:cstheme="minorBidi"/>
          <w:sz w:val="24"/>
          <w:szCs w:val="24"/>
        </w:rPr>
      </w:pPr>
      <w:r w:rsidRPr="359DFCBF">
        <w:rPr>
          <w:rFonts w:asciiTheme="minorHAnsi" w:hAnsiTheme="minorHAnsi" w:cstheme="minorBidi"/>
          <w:sz w:val="24"/>
          <w:szCs w:val="24"/>
        </w:rPr>
        <w:t>Decennial Statistical Studies Division</w:t>
      </w:r>
    </w:p>
    <w:p w:rsidR="00A903D6" w:rsidRPr="00DC2C83" w:rsidP="0CBF49C3" w14:paraId="6936AD6D" w14:textId="6E9BB494">
      <w:pPr>
        <w:keepNext/>
        <w:tabs>
          <w:tab w:val="left" w:pos="2880"/>
        </w:tabs>
        <w:spacing w:after="120"/>
        <w:ind w:left="2880" w:firstLine="720"/>
        <w:rPr>
          <w:rFonts w:asciiTheme="minorHAnsi" w:hAnsiTheme="minorHAnsi" w:cstheme="minorBidi"/>
          <w:sz w:val="24"/>
          <w:szCs w:val="24"/>
        </w:rPr>
      </w:pPr>
      <w:r w:rsidRPr="0CBF49C3">
        <w:rPr>
          <w:rFonts w:asciiTheme="minorHAnsi" w:hAnsiTheme="minorHAnsi" w:cstheme="minorBidi"/>
          <w:sz w:val="24"/>
          <w:szCs w:val="24"/>
        </w:rPr>
        <w:t>Phone: (301) 763-</w:t>
      </w:r>
      <w:r w:rsidRPr="0CBF49C3" w:rsidR="3B4DD880">
        <w:rPr>
          <w:rFonts w:asciiTheme="minorHAnsi" w:hAnsiTheme="minorHAnsi" w:cstheme="minorBidi"/>
          <w:sz w:val="24"/>
          <w:szCs w:val="24"/>
        </w:rPr>
        <w:t>4</w:t>
      </w:r>
      <w:r w:rsidRPr="0CBF49C3" w:rsidR="57A41A58">
        <w:rPr>
          <w:rFonts w:asciiTheme="minorHAnsi" w:hAnsiTheme="minorHAnsi" w:cstheme="minorBidi"/>
          <w:sz w:val="24"/>
          <w:szCs w:val="24"/>
        </w:rPr>
        <w:t>3</w:t>
      </w:r>
      <w:r w:rsidRPr="0CBF49C3" w:rsidR="02448A16">
        <w:rPr>
          <w:rFonts w:asciiTheme="minorHAnsi" w:hAnsiTheme="minorHAnsi" w:cstheme="minorBidi"/>
          <w:sz w:val="24"/>
          <w:szCs w:val="24"/>
        </w:rPr>
        <w:t>06</w:t>
      </w:r>
    </w:p>
    <w:p w:rsidR="00A903D6" w:rsidRPr="00DC2C83" w:rsidP="00BE65E2" w14:paraId="71A80E81" w14:textId="77777777">
      <w:pPr>
        <w:tabs>
          <w:tab w:val="left" w:pos="2880"/>
        </w:tabs>
        <w:spacing w:after="120"/>
        <w:ind w:left="360"/>
        <w:rPr>
          <w:rFonts w:asciiTheme="minorHAnsi" w:hAnsiTheme="minorHAnsi" w:cstheme="minorBidi"/>
          <w:sz w:val="24"/>
          <w:szCs w:val="24"/>
        </w:rPr>
      </w:pPr>
    </w:p>
    <w:p w:rsidR="00A903D6" w:rsidRPr="00DC2C83" w:rsidP="00BE65E2" w14:paraId="574157E2" w14:textId="77777777">
      <w:pPr>
        <w:tabs>
          <w:tab w:val="left" w:pos="2880"/>
        </w:tabs>
        <w:spacing w:after="120"/>
        <w:ind w:left="360"/>
        <w:rPr>
          <w:rFonts w:asciiTheme="minorHAnsi" w:hAnsiTheme="minorHAnsi" w:cstheme="minorBidi"/>
          <w:sz w:val="24"/>
          <w:szCs w:val="24"/>
          <w:u w:val="single"/>
        </w:rPr>
      </w:pPr>
      <w:r w:rsidRPr="18509EE2">
        <w:rPr>
          <w:rFonts w:asciiTheme="minorHAnsi" w:hAnsiTheme="minorHAnsi" w:cstheme="minorBidi"/>
          <w:sz w:val="24"/>
          <w:szCs w:val="24"/>
          <w:u w:val="single"/>
        </w:rPr>
        <w:t>Overall Data Collection</w:t>
      </w:r>
    </w:p>
    <w:p w:rsidR="00A903D6" w:rsidRPr="00DC2C83" w:rsidP="00BE65E2" w14:paraId="00D55E09" w14:textId="77777777">
      <w:pPr>
        <w:tabs>
          <w:tab w:val="left" w:pos="2880"/>
        </w:tabs>
        <w:spacing w:after="120"/>
        <w:ind w:left="360"/>
        <w:rPr>
          <w:rFonts w:asciiTheme="minorHAnsi" w:hAnsiTheme="minorHAnsi" w:cstheme="minorBidi"/>
          <w:sz w:val="24"/>
          <w:szCs w:val="24"/>
        </w:rPr>
      </w:pPr>
    </w:p>
    <w:p w:rsidR="0020270A" w:rsidP="7B12BB46" w14:paraId="44FD8B15" w14:textId="7242507A">
      <w:pPr>
        <w:tabs>
          <w:tab w:val="left" w:pos="2880"/>
        </w:tabs>
        <w:spacing w:after="120"/>
        <w:ind w:left="360"/>
        <w:rPr>
          <w:rFonts w:asciiTheme="minorHAnsi" w:hAnsiTheme="minorHAnsi" w:cstheme="minorBidi"/>
          <w:sz w:val="24"/>
          <w:szCs w:val="24"/>
        </w:rPr>
      </w:pPr>
      <w:r>
        <w:rPr>
          <w:rFonts w:asciiTheme="minorHAnsi" w:hAnsiTheme="minorHAnsi" w:cstheme="minorBidi"/>
          <w:sz w:val="24"/>
          <w:szCs w:val="24"/>
        </w:rPr>
        <w:t>Nicole Butler</w:t>
      </w:r>
      <w:r w:rsidR="41A8E7C0">
        <w:tab/>
      </w:r>
      <w:r w:rsidR="41A8E7C0">
        <w:tab/>
      </w:r>
      <w:r w:rsidRPr="003F2177">
        <w:rPr>
          <w:rFonts w:asciiTheme="minorHAnsi" w:hAnsiTheme="minorHAnsi" w:cstheme="minorHAnsi"/>
          <w:sz w:val="24"/>
          <w:szCs w:val="24"/>
        </w:rPr>
        <w:t xml:space="preserve">Assistant Division </w:t>
      </w:r>
      <w:r w:rsidRPr="00DE1629" w:rsidR="5C08D619">
        <w:rPr>
          <w:rFonts w:asciiTheme="minorHAnsi" w:hAnsiTheme="minorHAnsi" w:cstheme="minorHAnsi"/>
          <w:sz w:val="24"/>
          <w:szCs w:val="24"/>
        </w:rPr>
        <w:t>Chief</w:t>
      </w:r>
      <w:r w:rsidRPr="00DE1629">
        <w:rPr>
          <w:rFonts w:asciiTheme="minorHAnsi" w:hAnsiTheme="minorHAnsi" w:cstheme="minorHAnsi"/>
          <w:sz w:val="24"/>
          <w:szCs w:val="24"/>
        </w:rPr>
        <w:t xml:space="preserve"> for Data Collection</w:t>
      </w:r>
      <w:r w:rsidRPr="7B12BB46" w:rsidR="0293ED47">
        <w:rPr>
          <w:rFonts w:asciiTheme="minorHAnsi" w:hAnsiTheme="minorHAnsi" w:cstheme="minorBidi"/>
          <w:sz w:val="24"/>
          <w:szCs w:val="24"/>
        </w:rPr>
        <w:t xml:space="preserve"> </w:t>
      </w:r>
    </w:p>
    <w:p w:rsidR="00A903D6" w:rsidRPr="00DC2C83" w:rsidP="00BE65E2" w14:paraId="07A962AF" w14:textId="0202EAFD">
      <w:pPr>
        <w:tabs>
          <w:tab w:val="left" w:pos="2880"/>
        </w:tabs>
        <w:spacing w:after="120"/>
        <w:ind w:left="2880" w:firstLine="720"/>
        <w:rPr>
          <w:rFonts w:asciiTheme="minorHAnsi" w:hAnsiTheme="minorHAnsi" w:cstheme="minorBidi"/>
          <w:sz w:val="24"/>
          <w:szCs w:val="24"/>
        </w:rPr>
      </w:pPr>
      <w:r w:rsidRPr="18509EE2">
        <w:rPr>
          <w:rFonts w:asciiTheme="minorHAnsi" w:hAnsiTheme="minorHAnsi" w:cstheme="minorBidi"/>
          <w:sz w:val="24"/>
          <w:szCs w:val="24"/>
        </w:rPr>
        <w:t>American Community Survey Office</w:t>
      </w:r>
    </w:p>
    <w:p w:rsidR="00677C42" w:rsidP="2E0452FD" w14:paraId="47F55A39" w14:textId="6A287B0F">
      <w:pPr>
        <w:tabs>
          <w:tab w:val="left" w:pos="2880"/>
        </w:tabs>
        <w:spacing w:after="120"/>
        <w:ind w:left="2880" w:firstLine="720"/>
        <w:rPr>
          <w:rFonts w:asciiTheme="minorHAnsi" w:hAnsiTheme="minorHAnsi" w:cstheme="minorBidi"/>
          <w:sz w:val="24"/>
          <w:szCs w:val="24"/>
        </w:rPr>
      </w:pPr>
      <w:r w:rsidRPr="2E0452FD">
        <w:rPr>
          <w:rFonts w:asciiTheme="minorHAnsi" w:hAnsiTheme="minorHAnsi" w:cstheme="minorBidi"/>
          <w:sz w:val="24"/>
          <w:szCs w:val="24"/>
        </w:rPr>
        <w:t>Phone: (301)</w:t>
      </w:r>
      <w:r w:rsidRPr="2E0452FD" w:rsidR="75E32C25">
        <w:rPr>
          <w:rFonts w:asciiTheme="minorHAnsi" w:hAnsiTheme="minorHAnsi" w:cstheme="minorBidi"/>
          <w:sz w:val="24"/>
          <w:szCs w:val="24"/>
        </w:rPr>
        <w:t xml:space="preserve"> </w:t>
      </w:r>
      <w:r w:rsidRPr="2E0452FD">
        <w:rPr>
          <w:rFonts w:asciiTheme="minorHAnsi" w:hAnsiTheme="minorHAnsi" w:cstheme="minorBidi"/>
          <w:sz w:val="24"/>
          <w:szCs w:val="24"/>
        </w:rPr>
        <w:t>763-</w:t>
      </w:r>
      <w:r w:rsidRPr="2E0452FD" w:rsidR="1324099E">
        <w:rPr>
          <w:rFonts w:asciiTheme="minorHAnsi" w:hAnsiTheme="minorHAnsi" w:cstheme="minorBidi"/>
          <w:sz w:val="24"/>
          <w:szCs w:val="24"/>
        </w:rPr>
        <w:t>3928</w:t>
      </w:r>
    </w:p>
    <w:p w:rsidR="00605B1B" w:rsidRPr="00DE1629" w:rsidP="00497BC9" w14:paraId="49A323D9" w14:textId="77777777">
      <w:pPr>
        <w:tabs>
          <w:tab w:val="left" w:pos="450"/>
        </w:tabs>
        <w:ind w:left="450"/>
        <w:rPr>
          <w:rFonts w:asciiTheme="minorHAnsi" w:hAnsiTheme="minorHAnsi" w:cstheme="minorHAnsi"/>
          <w:sz w:val="24"/>
          <w:szCs w:val="24"/>
        </w:rPr>
      </w:pPr>
    </w:p>
    <w:sectPr w:rsidSect="00942196">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3C3" w14:paraId="52ACD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E303C3" w14:paraId="20521854" w14:textId="77777777">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sdtContent>
  </w:sdt>
  <w:p w:rsidR="00E303C3" w14:paraId="087C0F4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3C3" w14:paraId="717868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0B43" w:rsidP="00BC1E42" w14:paraId="7DDED0BF" w14:textId="77777777">
      <w:r>
        <w:separator/>
      </w:r>
    </w:p>
  </w:footnote>
  <w:footnote w:type="continuationSeparator" w:id="1">
    <w:p w:rsidR="006E0B43" w:rsidP="00BC1E42" w14:paraId="278C05FD" w14:textId="77777777">
      <w:r>
        <w:continuationSeparator/>
      </w:r>
    </w:p>
  </w:footnote>
  <w:footnote w:type="continuationNotice" w:id="2">
    <w:p w:rsidR="006E0B43" w14:paraId="2CE57EA8" w14:textId="77777777"/>
  </w:footnote>
  <w:footnote w:id="3">
    <w:p w:rsidR="3A436180" w:rsidP="004C418B" w14:paraId="116806CA" w14:textId="39DE377F">
      <w:pPr>
        <w:pStyle w:val="FootnoteText"/>
      </w:pPr>
      <w:r w:rsidRPr="3A436180">
        <w:rPr>
          <w:rStyle w:val="FootnoteReference"/>
        </w:rPr>
        <w:footnoteRef/>
      </w:r>
      <w:r w:rsidR="08122567">
        <w:t xml:space="preserve"> For the purposes of Supporting Statement B, the acronym ACS also includes Puerto Rico cases, where the survey is referred to as the PRCS (Puerto Rico Community Survey).</w:t>
      </w:r>
    </w:p>
  </w:footnote>
  <w:footnote w:id="4">
    <w:p w:rsidR="7B12BB46" w:rsidP="7B12BB46" w14:paraId="4F89FEE4" w14:textId="2FDF8A88">
      <w:pPr>
        <w:pStyle w:val="FootnoteText"/>
      </w:pPr>
      <w:r w:rsidRPr="7B12BB46">
        <w:rPr>
          <w:rStyle w:val="FootnoteReference"/>
        </w:rPr>
        <w:footnoteRef/>
      </w:r>
      <w:r>
        <w:t xml:space="preserve"> This represents the final weighted response rate for the sample which was selected for 202</w:t>
      </w:r>
      <w:r w:rsidR="001437D1">
        <w:t>4</w:t>
      </w:r>
      <w:r>
        <w:t xml:space="preserve">. This differs from the </w:t>
      </w:r>
      <w:r w:rsidR="007B3CCC">
        <w:t>r</w:t>
      </w:r>
      <w:r>
        <w:t xml:space="preserve">esponse rate published for </w:t>
      </w:r>
      <w:r w:rsidR="006D49C5">
        <w:t xml:space="preserve">our </w:t>
      </w:r>
      <w:r>
        <w:t>1-year data products as the universe for that rate differs slightly than for the rate shown here.</w:t>
      </w:r>
    </w:p>
  </w:footnote>
  <w:footnote w:id="5">
    <w:p w:rsidR="7B12BB46" w:rsidP="008A7DEB" w14:paraId="5DC4701C" w14:textId="7875C0E5">
      <w:pPr>
        <w:pStyle w:val="FootnoteText"/>
      </w:pPr>
      <w:r>
        <w:rPr>
          <w:rStyle w:val="FootnoteReference"/>
        </w:rPr>
        <w:footnoteRef/>
      </w:r>
      <w:r>
        <w:t xml:space="preserve"> </w:t>
      </w:r>
      <w:r>
        <w:t>This represents the final weighted response rate for the sample which was selected for 202</w:t>
      </w:r>
      <w:r w:rsidR="001437D1">
        <w:t>4</w:t>
      </w:r>
      <w:r>
        <w:t>.  This differs from the response rate published for out 1-year data products as the universe for that rate differs slightly than for the rate shown here.</w:t>
      </w:r>
    </w:p>
  </w:footnote>
  <w:footnote w:id="6">
    <w:p w:rsidR="00E303C3" w:rsidRPr="00157AFB" w:rsidP="00936A60" w14:paraId="74CB8136" w14:textId="77777777">
      <w:pPr>
        <w:pStyle w:val="FootnoteText"/>
        <w:rPr>
          <w:rFonts w:ascii="Calibri" w:hAnsi="Calibri" w:cs="Times New Roman"/>
        </w:rPr>
      </w:pPr>
      <w:r w:rsidRPr="00157AFB">
        <w:rPr>
          <w:rStyle w:val="FootnoteReference"/>
          <w:rFonts w:ascii="Calibri" w:hAnsi="Calibri" w:cs="Times New Roman"/>
        </w:rPr>
        <w:footnoteRef/>
      </w:r>
      <w:r w:rsidRPr="00157AFB">
        <w:rPr>
          <w:rFonts w:ascii="Calibri" w:hAnsi="Calibri" w:cs="Times New Roman"/>
        </w:rPr>
        <w:t xml:space="preserve"> Remote Alaska assignments are made so that the sample addresses are approximately evenly distributed between the two data collection periods.</w:t>
      </w:r>
    </w:p>
  </w:footnote>
  <w:footnote w:id="7">
    <w:p w:rsidR="00E303C3" w:rsidRPr="00FD1D62" w:rsidP="00936A60" w14:paraId="3E28FA37" w14:textId="28A92686">
      <w:pPr>
        <w:pStyle w:val="FootnoteText"/>
        <w:rPr>
          <w:sz w:val="8"/>
          <w:szCs w:val="8"/>
        </w:rPr>
      </w:pPr>
      <w:r w:rsidRPr="00157AFB">
        <w:rPr>
          <w:rStyle w:val="FootnoteReference"/>
          <w:rFonts w:ascii="Calibri" w:hAnsi="Calibri" w:cs="Times New Roman"/>
        </w:rPr>
        <w:footnoteRef/>
      </w:r>
      <w:r w:rsidRPr="00157AFB">
        <w:rPr>
          <w:rFonts w:ascii="Calibri" w:hAnsi="Calibri" w:cs="Times New Roman"/>
        </w:rPr>
        <w:t xml:space="preserve"> All nonmailable and nonresponding addresses in the following areas are now sent to CAPI:  all Hawaiian Homelands, all Alaska Native Village statistical areas, American Indian areas with an estimated proportion of American Indian population ≥ 10%.</w:t>
      </w:r>
      <w:r>
        <w:br/>
      </w:r>
    </w:p>
  </w:footnote>
  <w:footnote w:id="8">
    <w:p w:rsidR="00E303C3" w:rsidRPr="00157AFB" w:rsidP="00936A60" w14:paraId="4513E4B9" w14:textId="333D4B3D">
      <w:pPr>
        <w:pStyle w:val="FootnoteText"/>
        <w:rPr>
          <w:rFonts w:cs="Times New Roman"/>
          <w:sz w:val="4"/>
        </w:rPr>
      </w:pPr>
      <w:r w:rsidRPr="00157AFB">
        <w:rPr>
          <w:rStyle w:val="FootnoteReference"/>
        </w:rPr>
        <w:footnoteRef/>
      </w:r>
      <w:r w:rsidRPr="00157AFB">
        <w:t xml:space="preserve"> </w:t>
      </w:r>
      <w:r w:rsidRPr="00157AFB">
        <w:rPr>
          <w:rFonts w:cs="Times New Roman"/>
        </w:rPr>
        <w:t>Most of the period assignments are made during Period 1 sampling</w:t>
      </w:r>
      <w:r>
        <w:rPr>
          <w:rFonts w:cs="Times New Roman"/>
        </w:rPr>
        <w:t xml:space="preserve">. </w:t>
      </w:r>
      <w:r w:rsidRPr="00157AFB">
        <w:rPr>
          <w:rFonts w:cs="Times New Roman"/>
        </w:rPr>
        <w:t>The only assignments in Period 2 sampling are made for addresses that were not part of the process in Period 1, e.g., new addresses.</w:t>
      </w:r>
      <w:r w:rsidRPr="00157AFB">
        <w:rPr>
          <w:rFonts w:cs="Times New Roman"/>
        </w:rPr>
        <w:br/>
      </w:r>
      <w:r w:rsidRPr="00157AFB">
        <w:rPr>
          <w:rFonts w:cs="Times New Roman"/>
        </w:rPr>
        <w:br/>
      </w:r>
    </w:p>
  </w:footnote>
  <w:footnote w:id="9">
    <w:p w:rsidR="00E303C3" w:rsidRPr="00157AFB" w:rsidP="00936A60" w14:paraId="273A77C2" w14:textId="241AD33F">
      <w:pPr>
        <w:pStyle w:val="FootnoteText"/>
        <w:rPr>
          <w:rFonts w:cs="Times New Roman"/>
        </w:rPr>
      </w:pPr>
      <w:r w:rsidRPr="00157AFB">
        <w:rPr>
          <w:rStyle w:val="FootnoteReference"/>
          <w:rFonts w:cs="Times New Roman"/>
        </w:rPr>
        <w:footnoteRef/>
      </w:r>
      <w:r w:rsidRPr="00157AFB">
        <w:rPr>
          <w:rFonts w:cs="Times New Roman"/>
        </w:rPr>
        <w:t xml:space="preserve"> Beginning with the 2011 sample the ACS implemented a change to the stratification, increasing the number of sampling strata and changing how the sampling rates are defined</w:t>
      </w:r>
      <w:r>
        <w:rPr>
          <w:rFonts w:cs="Times New Roman"/>
        </w:rPr>
        <w:t xml:space="preserve">. </w:t>
      </w:r>
      <w:r w:rsidRPr="00157AFB">
        <w:rPr>
          <w:rFonts w:cs="Times New Roman"/>
        </w:rPr>
        <w:t>Prior to 2011 there were seven strata; there are now 16 sampling strata</w:t>
      </w:r>
      <w:r>
        <w:rPr>
          <w:rFonts w:cs="Times New Roman"/>
        </w:rPr>
        <w:t xml:space="preserve">. </w:t>
      </w:r>
      <w:r w:rsidRPr="00157AFB">
        <w:rPr>
          <w:rFonts w:cs="Times New Roman"/>
        </w:rPr>
        <w:t>Table 1 gives a summary of these strata and the rates.</w:t>
      </w:r>
      <w:r w:rsidRPr="00157AFB">
        <w:rPr>
          <w:rFonts w:cs="Times New Roman"/>
        </w:rPr>
        <w:br/>
      </w:r>
    </w:p>
  </w:footnote>
  <w:footnote w:id="10">
    <w:p w:rsidR="00E303C3" w:rsidP="00936A60" w14:paraId="09110C32" w14:textId="77777777">
      <w:pPr>
        <w:pStyle w:val="FootnoteText"/>
      </w:pPr>
      <w:r w:rsidRPr="00157AFB">
        <w:rPr>
          <w:rStyle w:val="FootnoteReference"/>
          <w:rFonts w:cs="Times New Roman"/>
        </w:rPr>
        <w:footnoteRef/>
      </w:r>
      <w:r w:rsidRPr="00157AFB">
        <w:rPr>
          <w:rFonts w:cs="Times New Roman"/>
        </w:rPr>
        <w:t xml:space="preserve"> These are the states where MCDs are active, functioning governmental units.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3C3" w14:paraId="408F38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3C3" w:rsidP="00936B68" w14:paraId="6524D1C6" w14:textId="4834E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3C3" w14:paraId="646DEE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3006C630"/>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14A12913"/>
    <w:multiLevelType w:val="hybridMultilevel"/>
    <w:tmpl w:val="77289CD4"/>
    <w:lvl w:ilvl="0">
      <w:start w:val="1"/>
      <w:numFmt w:val="decimal"/>
      <w:lvlText w:val="%1."/>
      <w:lvlJc w:val="left"/>
      <w:pPr>
        <w:ind w:left="1260" w:hanging="360"/>
      </w:pPr>
      <w:rPr>
        <w:rFonts w:hint="default"/>
        <w:u w:val="none"/>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1853610B"/>
    <w:multiLevelType w:val="hybridMultilevel"/>
    <w:tmpl w:val="56A689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1F369FA"/>
    <w:multiLevelType w:val="hybridMultilevel"/>
    <w:tmpl w:val="5BD208AA"/>
    <w:lvl w:ilvl="0">
      <w:start w:val="1"/>
      <w:numFmt w:val="bullet"/>
      <w:lvlText w:val="•"/>
      <w:lvlJc w:val="left"/>
      <w:pPr>
        <w:ind w:left="900" w:hanging="360"/>
      </w:pPr>
      <w:rPr>
        <w:rFonts w:ascii="Times New Roman" w:hAnsi="Times New Roman" w:hint="default"/>
      </w:rPr>
    </w:lvl>
    <w:lvl w:ilvl="1">
      <w:start w:val="1"/>
      <w:numFmt w:val="bullet"/>
      <w:lvlText w:val="•"/>
      <w:lvlJc w:val="left"/>
      <w:pPr>
        <w:ind w:left="1620" w:hanging="360"/>
      </w:pPr>
      <w:rPr>
        <w:rFonts w:ascii="Times New Roman" w:hAnsi="Times New Roman"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5A4017D8"/>
    <w:multiLevelType w:val="hybridMultilevel"/>
    <w:tmpl w:val="6CF67186"/>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1"/>
      <w:numFmt w:val="bullet"/>
      <w:lvlText w:val=""/>
      <w:lvlJc w:val="left"/>
      <w:pPr>
        <w:ind w:left="3426" w:hanging="360"/>
      </w:pPr>
      <w:rPr>
        <w:rFonts w:ascii="Symbol" w:hAnsi="Symbol"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5">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6">
    <w:nsid w:val="6FD78450"/>
    <w:multiLevelType w:val="hybridMultilevel"/>
    <w:tmpl w:val="7C1CD54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612930298">
    <w:abstractNumId w:val="6"/>
  </w:num>
  <w:num w:numId="2" w16cid:durableId="244458791">
    <w:abstractNumId w:val="0"/>
  </w:num>
  <w:num w:numId="3" w16cid:durableId="1143279819">
    <w:abstractNumId w:val="5"/>
  </w:num>
  <w:num w:numId="4" w16cid:durableId="899631396">
    <w:abstractNumId w:val="3"/>
  </w:num>
  <w:num w:numId="5" w16cid:durableId="587276324">
    <w:abstractNumId w:val="1"/>
  </w:num>
  <w:num w:numId="6" w16cid:durableId="881136596">
    <w:abstractNumId w:val="4"/>
  </w:num>
  <w:num w:numId="7" w16cid:durableId="1900630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B7"/>
    <w:rsid w:val="00000976"/>
    <w:rsid w:val="00010806"/>
    <w:rsid w:val="00015FB6"/>
    <w:rsid w:val="00016323"/>
    <w:rsid w:val="00023007"/>
    <w:rsid w:val="00027C26"/>
    <w:rsid w:val="00030710"/>
    <w:rsid w:val="0003354B"/>
    <w:rsid w:val="0003635F"/>
    <w:rsid w:val="00036FD2"/>
    <w:rsid w:val="00040F11"/>
    <w:rsid w:val="00042D05"/>
    <w:rsid w:val="000431D7"/>
    <w:rsid w:val="0005251F"/>
    <w:rsid w:val="000634BF"/>
    <w:rsid w:val="000844AC"/>
    <w:rsid w:val="000A165E"/>
    <w:rsid w:val="000A2DFB"/>
    <w:rsid w:val="000A3181"/>
    <w:rsid w:val="000A4C30"/>
    <w:rsid w:val="000A7501"/>
    <w:rsid w:val="000B2AA7"/>
    <w:rsid w:val="000B2CE0"/>
    <w:rsid w:val="000C6453"/>
    <w:rsid w:val="000D1825"/>
    <w:rsid w:val="000D5B63"/>
    <w:rsid w:val="000D6393"/>
    <w:rsid w:val="000E6E0A"/>
    <w:rsid w:val="000E7BA4"/>
    <w:rsid w:val="000F1785"/>
    <w:rsid w:val="000F4EE2"/>
    <w:rsid w:val="00106113"/>
    <w:rsid w:val="0010695C"/>
    <w:rsid w:val="00115B6D"/>
    <w:rsid w:val="0011670D"/>
    <w:rsid w:val="00122E30"/>
    <w:rsid w:val="001234CE"/>
    <w:rsid w:val="00124446"/>
    <w:rsid w:val="00124D17"/>
    <w:rsid w:val="00130530"/>
    <w:rsid w:val="001328D2"/>
    <w:rsid w:val="001339CD"/>
    <w:rsid w:val="001356C9"/>
    <w:rsid w:val="00136B5D"/>
    <w:rsid w:val="00141176"/>
    <w:rsid w:val="001437D1"/>
    <w:rsid w:val="00143AE9"/>
    <w:rsid w:val="00146C98"/>
    <w:rsid w:val="0015098D"/>
    <w:rsid w:val="00153DFB"/>
    <w:rsid w:val="00157AFB"/>
    <w:rsid w:val="00161028"/>
    <w:rsid w:val="00162785"/>
    <w:rsid w:val="00165F72"/>
    <w:rsid w:val="001744FE"/>
    <w:rsid w:val="00174716"/>
    <w:rsid w:val="0017539E"/>
    <w:rsid w:val="0018259C"/>
    <w:rsid w:val="0018521A"/>
    <w:rsid w:val="00193CBA"/>
    <w:rsid w:val="001942F6"/>
    <w:rsid w:val="001955BB"/>
    <w:rsid w:val="001A21CC"/>
    <w:rsid w:val="001E0FC4"/>
    <w:rsid w:val="001F7636"/>
    <w:rsid w:val="001F769B"/>
    <w:rsid w:val="0020270A"/>
    <w:rsid w:val="00204184"/>
    <w:rsid w:val="00215A65"/>
    <w:rsid w:val="0022002A"/>
    <w:rsid w:val="002204F6"/>
    <w:rsid w:val="002218C4"/>
    <w:rsid w:val="00230159"/>
    <w:rsid w:val="002312D3"/>
    <w:rsid w:val="0023F489"/>
    <w:rsid w:val="002419C7"/>
    <w:rsid w:val="00244E22"/>
    <w:rsid w:val="00245665"/>
    <w:rsid w:val="0024682B"/>
    <w:rsid w:val="00254135"/>
    <w:rsid w:val="00260395"/>
    <w:rsid w:val="00261731"/>
    <w:rsid w:val="002A30C6"/>
    <w:rsid w:val="002A4718"/>
    <w:rsid w:val="002A7642"/>
    <w:rsid w:val="002C173C"/>
    <w:rsid w:val="002C2C88"/>
    <w:rsid w:val="002C6AD9"/>
    <w:rsid w:val="002D3709"/>
    <w:rsid w:val="002E00C7"/>
    <w:rsid w:val="002E56F6"/>
    <w:rsid w:val="002E5CC7"/>
    <w:rsid w:val="002F3AFF"/>
    <w:rsid w:val="002F6343"/>
    <w:rsid w:val="002F73A3"/>
    <w:rsid w:val="003113C2"/>
    <w:rsid w:val="00324143"/>
    <w:rsid w:val="003257DD"/>
    <w:rsid w:val="003263D8"/>
    <w:rsid w:val="00326F51"/>
    <w:rsid w:val="00330000"/>
    <w:rsid w:val="00330150"/>
    <w:rsid w:val="003323AE"/>
    <w:rsid w:val="003419F7"/>
    <w:rsid w:val="00350538"/>
    <w:rsid w:val="00353710"/>
    <w:rsid w:val="00360E87"/>
    <w:rsid w:val="00363538"/>
    <w:rsid w:val="0037195E"/>
    <w:rsid w:val="00374385"/>
    <w:rsid w:val="0037DE3E"/>
    <w:rsid w:val="003966EC"/>
    <w:rsid w:val="003B1E33"/>
    <w:rsid w:val="003B4E7C"/>
    <w:rsid w:val="003B64AD"/>
    <w:rsid w:val="003C3D02"/>
    <w:rsid w:val="003C4DC6"/>
    <w:rsid w:val="003C6A64"/>
    <w:rsid w:val="003D5350"/>
    <w:rsid w:val="003D6293"/>
    <w:rsid w:val="003D6BFA"/>
    <w:rsid w:val="003D7254"/>
    <w:rsid w:val="003F2177"/>
    <w:rsid w:val="003F6307"/>
    <w:rsid w:val="00405F00"/>
    <w:rsid w:val="00415CD3"/>
    <w:rsid w:val="00423F13"/>
    <w:rsid w:val="004243FD"/>
    <w:rsid w:val="0042780F"/>
    <w:rsid w:val="0043281A"/>
    <w:rsid w:val="00442F57"/>
    <w:rsid w:val="00447022"/>
    <w:rsid w:val="00450A79"/>
    <w:rsid w:val="00454272"/>
    <w:rsid w:val="0045481F"/>
    <w:rsid w:val="00455BD6"/>
    <w:rsid w:val="00457E3A"/>
    <w:rsid w:val="00463BA1"/>
    <w:rsid w:val="0046504C"/>
    <w:rsid w:val="00466300"/>
    <w:rsid w:val="004760BF"/>
    <w:rsid w:val="00481F62"/>
    <w:rsid w:val="00484961"/>
    <w:rsid w:val="0049295A"/>
    <w:rsid w:val="00495FEC"/>
    <w:rsid w:val="00496401"/>
    <w:rsid w:val="00497BC9"/>
    <w:rsid w:val="004A2889"/>
    <w:rsid w:val="004A5650"/>
    <w:rsid w:val="004A6C9F"/>
    <w:rsid w:val="004B43EA"/>
    <w:rsid w:val="004C418B"/>
    <w:rsid w:val="004C5148"/>
    <w:rsid w:val="004C6A31"/>
    <w:rsid w:val="004D0992"/>
    <w:rsid w:val="004D2C17"/>
    <w:rsid w:val="004D74B2"/>
    <w:rsid w:val="004E1DD8"/>
    <w:rsid w:val="004E6446"/>
    <w:rsid w:val="004F4FC6"/>
    <w:rsid w:val="004F57CC"/>
    <w:rsid w:val="00527879"/>
    <w:rsid w:val="00527EC7"/>
    <w:rsid w:val="0053509D"/>
    <w:rsid w:val="005353FA"/>
    <w:rsid w:val="005367D0"/>
    <w:rsid w:val="00540B6E"/>
    <w:rsid w:val="0054BC36"/>
    <w:rsid w:val="0055103B"/>
    <w:rsid w:val="0056085A"/>
    <w:rsid w:val="0056193D"/>
    <w:rsid w:val="00567157"/>
    <w:rsid w:val="005743F7"/>
    <w:rsid w:val="00581EB3"/>
    <w:rsid w:val="00584056"/>
    <w:rsid w:val="00591D7E"/>
    <w:rsid w:val="005A0257"/>
    <w:rsid w:val="005A16B5"/>
    <w:rsid w:val="005B775D"/>
    <w:rsid w:val="005C6D5B"/>
    <w:rsid w:val="005C7F00"/>
    <w:rsid w:val="005D61E1"/>
    <w:rsid w:val="005E2E85"/>
    <w:rsid w:val="005E6E29"/>
    <w:rsid w:val="005F5130"/>
    <w:rsid w:val="006035F3"/>
    <w:rsid w:val="006056AA"/>
    <w:rsid w:val="00605B1B"/>
    <w:rsid w:val="00611AA3"/>
    <w:rsid w:val="00614858"/>
    <w:rsid w:val="00615B02"/>
    <w:rsid w:val="00620017"/>
    <w:rsid w:val="006214DD"/>
    <w:rsid w:val="00623134"/>
    <w:rsid w:val="006317F7"/>
    <w:rsid w:val="00633861"/>
    <w:rsid w:val="00641746"/>
    <w:rsid w:val="0064418F"/>
    <w:rsid w:val="00645BC6"/>
    <w:rsid w:val="00646CF1"/>
    <w:rsid w:val="00656164"/>
    <w:rsid w:val="00656AA8"/>
    <w:rsid w:val="00657684"/>
    <w:rsid w:val="006646D8"/>
    <w:rsid w:val="00677C42"/>
    <w:rsid w:val="006827F0"/>
    <w:rsid w:val="006848E9"/>
    <w:rsid w:val="00692AAB"/>
    <w:rsid w:val="0069744C"/>
    <w:rsid w:val="006A17BE"/>
    <w:rsid w:val="006C063B"/>
    <w:rsid w:val="006C183B"/>
    <w:rsid w:val="006C2A69"/>
    <w:rsid w:val="006C412B"/>
    <w:rsid w:val="006C54DB"/>
    <w:rsid w:val="006D49C5"/>
    <w:rsid w:val="006E04F9"/>
    <w:rsid w:val="006E0B43"/>
    <w:rsid w:val="006F0ACF"/>
    <w:rsid w:val="006F5F45"/>
    <w:rsid w:val="006F76B7"/>
    <w:rsid w:val="00700311"/>
    <w:rsid w:val="0070413B"/>
    <w:rsid w:val="00712B11"/>
    <w:rsid w:val="007139CD"/>
    <w:rsid w:val="00724C11"/>
    <w:rsid w:val="007262A1"/>
    <w:rsid w:val="0072636B"/>
    <w:rsid w:val="00727248"/>
    <w:rsid w:val="00732101"/>
    <w:rsid w:val="007450CA"/>
    <w:rsid w:val="007465CF"/>
    <w:rsid w:val="00750BCC"/>
    <w:rsid w:val="00752853"/>
    <w:rsid w:val="0075513C"/>
    <w:rsid w:val="007574CD"/>
    <w:rsid w:val="00766EE6"/>
    <w:rsid w:val="00775829"/>
    <w:rsid w:val="00780769"/>
    <w:rsid w:val="007B15F3"/>
    <w:rsid w:val="007B36BA"/>
    <w:rsid w:val="007B3CCC"/>
    <w:rsid w:val="007C0F3B"/>
    <w:rsid w:val="007C3DD5"/>
    <w:rsid w:val="007C4159"/>
    <w:rsid w:val="007D0D5C"/>
    <w:rsid w:val="007D3D27"/>
    <w:rsid w:val="007D4350"/>
    <w:rsid w:val="007D788E"/>
    <w:rsid w:val="007E7030"/>
    <w:rsid w:val="007F0701"/>
    <w:rsid w:val="007F0AAA"/>
    <w:rsid w:val="007F56F9"/>
    <w:rsid w:val="007F5730"/>
    <w:rsid w:val="007F676E"/>
    <w:rsid w:val="00800952"/>
    <w:rsid w:val="00805AB3"/>
    <w:rsid w:val="00807771"/>
    <w:rsid w:val="00811BD9"/>
    <w:rsid w:val="00813C35"/>
    <w:rsid w:val="00816AF2"/>
    <w:rsid w:val="008171EF"/>
    <w:rsid w:val="008215A6"/>
    <w:rsid w:val="0082201F"/>
    <w:rsid w:val="00837B80"/>
    <w:rsid w:val="0084688A"/>
    <w:rsid w:val="0085616F"/>
    <w:rsid w:val="008632E4"/>
    <w:rsid w:val="00863CFC"/>
    <w:rsid w:val="00866078"/>
    <w:rsid w:val="0087188F"/>
    <w:rsid w:val="008768F1"/>
    <w:rsid w:val="00876D59"/>
    <w:rsid w:val="008779BB"/>
    <w:rsid w:val="00881330"/>
    <w:rsid w:val="0088691C"/>
    <w:rsid w:val="00891917"/>
    <w:rsid w:val="00893C9F"/>
    <w:rsid w:val="008A14E6"/>
    <w:rsid w:val="008A796C"/>
    <w:rsid w:val="008A7DEB"/>
    <w:rsid w:val="008B1140"/>
    <w:rsid w:val="008B22A0"/>
    <w:rsid w:val="008BCCAF"/>
    <w:rsid w:val="008D57F5"/>
    <w:rsid w:val="008D7F19"/>
    <w:rsid w:val="008F1FB0"/>
    <w:rsid w:val="008F28BB"/>
    <w:rsid w:val="008F3A8B"/>
    <w:rsid w:val="0090131A"/>
    <w:rsid w:val="00905819"/>
    <w:rsid w:val="0090784B"/>
    <w:rsid w:val="00923CDE"/>
    <w:rsid w:val="009255F5"/>
    <w:rsid w:val="00926176"/>
    <w:rsid w:val="00936A60"/>
    <w:rsid w:val="00936B68"/>
    <w:rsid w:val="00941AD0"/>
    <w:rsid w:val="00942196"/>
    <w:rsid w:val="00946555"/>
    <w:rsid w:val="0095610E"/>
    <w:rsid w:val="0096034A"/>
    <w:rsid w:val="009673EC"/>
    <w:rsid w:val="009862DC"/>
    <w:rsid w:val="00990BFE"/>
    <w:rsid w:val="00995CFB"/>
    <w:rsid w:val="009965B7"/>
    <w:rsid w:val="009A7164"/>
    <w:rsid w:val="009A78A0"/>
    <w:rsid w:val="009C17F1"/>
    <w:rsid w:val="009C1B40"/>
    <w:rsid w:val="009C55B8"/>
    <w:rsid w:val="009C5BB7"/>
    <w:rsid w:val="009D1139"/>
    <w:rsid w:val="009E6607"/>
    <w:rsid w:val="009F1339"/>
    <w:rsid w:val="00A02EA1"/>
    <w:rsid w:val="00A039E1"/>
    <w:rsid w:val="00A044D0"/>
    <w:rsid w:val="00A057FA"/>
    <w:rsid w:val="00A0710E"/>
    <w:rsid w:val="00A0730D"/>
    <w:rsid w:val="00A12643"/>
    <w:rsid w:val="00A1404B"/>
    <w:rsid w:val="00A17469"/>
    <w:rsid w:val="00A25C97"/>
    <w:rsid w:val="00A33F77"/>
    <w:rsid w:val="00A35DDE"/>
    <w:rsid w:val="00A440A1"/>
    <w:rsid w:val="00A44A63"/>
    <w:rsid w:val="00A52E43"/>
    <w:rsid w:val="00A541D3"/>
    <w:rsid w:val="00A55743"/>
    <w:rsid w:val="00A63C05"/>
    <w:rsid w:val="00A67770"/>
    <w:rsid w:val="00A73408"/>
    <w:rsid w:val="00A75BC9"/>
    <w:rsid w:val="00A903D6"/>
    <w:rsid w:val="00A9094E"/>
    <w:rsid w:val="00A92895"/>
    <w:rsid w:val="00A962CE"/>
    <w:rsid w:val="00AB19A6"/>
    <w:rsid w:val="00AB6CA0"/>
    <w:rsid w:val="00ABCC2F"/>
    <w:rsid w:val="00AC01A9"/>
    <w:rsid w:val="00AC5082"/>
    <w:rsid w:val="00AD4EEF"/>
    <w:rsid w:val="00AD71D6"/>
    <w:rsid w:val="00AE171D"/>
    <w:rsid w:val="00AE4666"/>
    <w:rsid w:val="00AE6A09"/>
    <w:rsid w:val="00B0147D"/>
    <w:rsid w:val="00B01842"/>
    <w:rsid w:val="00B01874"/>
    <w:rsid w:val="00B0638D"/>
    <w:rsid w:val="00B065FA"/>
    <w:rsid w:val="00B21FCB"/>
    <w:rsid w:val="00B349A1"/>
    <w:rsid w:val="00B34A03"/>
    <w:rsid w:val="00B36BDF"/>
    <w:rsid w:val="00B4061D"/>
    <w:rsid w:val="00B537DB"/>
    <w:rsid w:val="00B6022F"/>
    <w:rsid w:val="00B61772"/>
    <w:rsid w:val="00B64AFE"/>
    <w:rsid w:val="00B72850"/>
    <w:rsid w:val="00B8159B"/>
    <w:rsid w:val="00B8205A"/>
    <w:rsid w:val="00B90413"/>
    <w:rsid w:val="00B91031"/>
    <w:rsid w:val="00B9483E"/>
    <w:rsid w:val="00B955B7"/>
    <w:rsid w:val="00BA2923"/>
    <w:rsid w:val="00BC1E42"/>
    <w:rsid w:val="00BC5438"/>
    <w:rsid w:val="00BC5FE5"/>
    <w:rsid w:val="00BC7742"/>
    <w:rsid w:val="00BD10E4"/>
    <w:rsid w:val="00BD28E4"/>
    <w:rsid w:val="00BD30EB"/>
    <w:rsid w:val="00BD33E3"/>
    <w:rsid w:val="00BD3B3F"/>
    <w:rsid w:val="00BD4724"/>
    <w:rsid w:val="00BD6BFA"/>
    <w:rsid w:val="00BE65E2"/>
    <w:rsid w:val="00BF0769"/>
    <w:rsid w:val="00BF09DA"/>
    <w:rsid w:val="00BF30DB"/>
    <w:rsid w:val="00BF3D2C"/>
    <w:rsid w:val="00BF7FDD"/>
    <w:rsid w:val="00C034BB"/>
    <w:rsid w:val="00C04B07"/>
    <w:rsid w:val="00C067F9"/>
    <w:rsid w:val="00C20BB3"/>
    <w:rsid w:val="00C20C25"/>
    <w:rsid w:val="00C3046C"/>
    <w:rsid w:val="00C31ACA"/>
    <w:rsid w:val="00C468B7"/>
    <w:rsid w:val="00C47349"/>
    <w:rsid w:val="00C5177F"/>
    <w:rsid w:val="00C55A6F"/>
    <w:rsid w:val="00C712B2"/>
    <w:rsid w:val="00C74A86"/>
    <w:rsid w:val="00C74D78"/>
    <w:rsid w:val="00C83357"/>
    <w:rsid w:val="00C91527"/>
    <w:rsid w:val="00C91BA9"/>
    <w:rsid w:val="00C931D2"/>
    <w:rsid w:val="00C93761"/>
    <w:rsid w:val="00C972E0"/>
    <w:rsid w:val="00CB18AA"/>
    <w:rsid w:val="00CB6940"/>
    <w:rsid w:val="00CE034C"/>
    <w:rsid w:val="00CE5F82"/>
    <w:rsid w:val="00CE7736"/>
    <w:rsid w:val="00CF3BFF"/>
    <w:rsid w:val="00D006E7"/>
    <w:rsid w:val="00D00CB1"/>
    <w:rsid w:val="00D11428"/>
    <w:rsid w:val="00D11730"/>
    <w:rsid w:val="00D14467"/>
    <w:rsid w:val="00D207BD"/>
    <w:rsid w:val="00D22DB3"/>
    <w:rsid w:val="00D2488D"/>
    <w:rsid w:val="00D31304"/>
    <w:rsid w:val="00D3686F"/>
    <w:rsid w:val="00D53F08"/>
    <w:rsid w:val="00D61CD7"/>
    <w:rsid w:val="00D6610E"/>
    <w:rsid w:val="00D71288"/>
    <w:rsid w:val="00D7459A"/>
    <w:rsid w:val="00D7619D"/>
    <w:rsid w:val="00D76868"/>
    <w:rsid w:val="00D779E8"/>
    <w:rsid w:val="00D81E9F"/>
    <w:rsid w:val="00D82155"/>
    <w:rsid w:val="00D82817"/>
    <w:rsid w:val="00D85E2E"/>
    <w:rsid w:val="00D86A5A"/>
    <w:rsid w:val="00D912CA"/>
    <w:rsid w:val="00D93049"/>
    <w:rsid w:val="00D9AB81"/>
    <w:rsid w:val="00DA601D"/>
    <w:rsid w:val="00DB2143"/>
    <w:rsid w:val="00DB2CC8"/>
    <w:rsid w:val="00DC0112"/>
    <w:rsid w:val="00DC2C83"/>
    <w:rsid w:val="00DD3628"/>
    <w:rsid w:val="00DD3F9A"/>
    <w:rsid w:val="00DE1629"/>
    <w:rsid w:val="00DE171C"/>
    <w:rsid w:val="00DF340E"/>
    <w:rsid w:val="00DF5ABF"/>
    <w:rsid w:val="00E023A4"/>
    <w:rsid w:val="00E06B3D"/>
    <w:rsid w:val="00E12A81"/>
    <w:rsid w:val="00E16E6D"/>
    <w:rsid w:val="00E30123"/>
    <w:rsid w:val="00E303C3"/>
    <w:rsid w:val="00E31D5E"/>
    <w:rsid w:val="00E43DB3"/>
    <w:rsid w:val="00E46CD5"/>
    <w:rsid w:val="00E51A7B"/>
    <w:rsid w:val="00E868B7"/>
    <w:rsid w:val="00E96CA3"/>
    <w:rsid w:val="00EA2003"/>
    <w:rsid w:val="00EA30BB"/>
    <w:rsid w:val="00EB00D5"/>
    <w:rsid w:val="00EC01C1"/>
    <w:rsid w:val="00EC4446"/>
    <w:rsid w:val="00EC5593"/>
    <w:rsid w:val="00EC5C67"/>
    <w:rsid w:val="00ED0B3E"/>
    <w:rsid w:val="00ED6D10"/>
    <w:rsid w:val="00EE0AE8"/>
    <w:rsid w:val="00EE1335"/>
    <w:rsid w:val="00EE4207"/>
    <w:rsid w:val="00EE6928"/>
    <w:rsid w:val="00EF25D7"/>
    <w:rsid w:val="00F10E75"/>
    <w:rsid w:val="00F13473"/>
    <w:rsid w:val="00F13A7C"/>
    <w:rsid w:val="00F21EB4"/>
    <w:rsid w:val="00F2346B"/>
    <w:rsid w:val="00F2406A"/>
    <w:rsid w:val="00F31191"/>
    <w:rsid w:val="00F40710"/>
    <w:rsid w:val="00F42517"/>
    <w:rsid w:val="00F4340B"/>
    <w:rsid w:val="00F44CD1"/>
    <w:rsid w:val="00F470D8"/>
    <w:rsid w:val="00F622F5"/>
    <w:rsid w:val="00F646E2"/>
    <w:rsid w:val="00F66381"/>
    <w:rsid w:val="00F762CF"/>
    <w:rsid w:val="00F8270A"/>
    <w:rsid w:val="00F82CF5"/>
    <w:rsid w:val="00FB4BF2"/>
    <w:rsid w:val="00FC2393"/>
    <w:rsid w:val="00FC3E72"/>
    <w:rsid w:val="00FC7E38"/>
    <w:rsid w:val="00FD1D62"/>
    <w:rsid w:val="00FE1111"/>
    <w:rsid w:val="00FF59EE"/>
    <w:rsid w:val="010CA75C"/>
    <w:rsid w:val="011D6846"/>
    <w:rsid w:val="013C2C24"/>
    <w:rsid w:val="014C57C4"/>
    <w:rsid w:val="017CFE06"/>
    <w:rsid w:val="01978592"/>
    <w:rsid w:val="019A65F4"/>
    <w:rsid w:val="01D3AE9F"/>
    <w:rsid w:val="01E366FD"/>
    <w:rsid w:val="01E9C26C"/>
    <w:rsid w:val="021E9995"/>
    <w:rsid w:val="02448A16"/>
    <w:rsid w:val="02636D79"/>
    <w:rsid w:val="0293ED47"/>
    <w:rsid w:val="029ABBCB"/>
    <w:rsid w:val="02A6A785"/>
    <w:rsid w:val="02C44A64"/>
    <w:rsid w:val="02D936BB"/>
    <w:rsid w:val="02E22C45"/>
    <w:rsid w:val="02E5EE35"/>
    <w:rsid w:val="030D7A56"/>
    <w:rsid w:val="0337739E"/>
    <w:rsid w:val="033ED9A3"/>
    <w:rsid w:val="036A08A7"/>
    <w:rsid w:val="036FBB6F"/>
    <w:rsid w:val="03700F0E"/>
    <w:rsid w:val="03786CC2"/>
    <w:rsid w:val="03988085"/>
    <w:rsid w:val="03A273E2"/>
    <w:rsid w:val="03B2A777"/>
    <w:rsid w:val="04376677"/>
    <w:rsid w:val="04390C98"/>
    <w:rsid w:val="043E16DF"/>
    <w:rsid w:val="04621B6B"/>
    <w:rsid w:val="0464EA77"/>
    <w:rsid w:val="049D06B0"/>
    <w:rsid w:val="04C7A1ED"/>
    <w:rsid w:val="04CF049A"/>
    <w:rsid w:val="050691FC"/>
    <w:rsid w:val="052CEDF0"/>
    <w:rsid w:val="052F8DFF"/>
    <w:rsid w:val="0548931A"/>
    <w:rsid w:val="056BF558"/>
    <w:rsid w:val="0576EE88"/>
    <w:rsid w:val="058B50BA"/>
    <w:rsid w:val="058E18A4"/>
    <w:rsid w:val="05B6B075"/>
    <w:rsid w:val="05FFC8E1"/>
    <w:rsid w:val="062CB5EC"/>
    <w:rsid w:val="066E49F9"/>
    <w:rsid w:val="0690A657"/>
    <w:rsid w:val="06BC7DC2"/>
    <w:rsid w:val="06C59D0D"/>
    <w:rsid w:val="06D616DA"/>
    <w:rsid w:val="06EF2D31"/>
    <w:rsid w:val="06F60EB7"/>
    <w:rsid w:val="070964E3"/>
    <w:rsid w:val="0724BDDC"/>
    <w:rsid w:val="0746177F"/>
    <w:rsid w:val="07A06A59"/>
    <w:rsid w:val="07A205AC"/>
    <w:rsid w:val="07A3E144"/>
    <w:rsid w:val="07A8237C"/>
    <w:rsid w:val="07BB9672"/>
    <w:rsid w:val="07BE2146"/>
    <w:rsid w:val="07C96D3A"/>
    <w:rsid w:val="07CDED78"/>
    <w:rsid w:val="0800F0A4"/>
    <w:rsid w:val="08122567"/>
    <w:rsid w:val="08170E1C"/>
    <w:rsid w:val="0827438A"/>
    <w:rsid w:val="083BF105"/>
    <w:rsid w:val="08A2E8BA"/>
    <w:rsid w:val="09047A2F"/>
    <w:rsid w:val="090EAF58"/>
    <w:rsid w:val="091FC08D"/>
    <w:rsid w:val="0939A31B"/>
    <w:rsid w:val="095F853B"/>
    <w:rsid w:val="09671CFB"/>
    <w:rsid w:val="09AD49F3"/>
    <w:rsid w:val="09C313EB"/>
    <w:rsid w:val="09C848B4"/>
    <w:rsid w:val="09FC1F5C"/>
    <w:rsid w:val="0A0D653D"/>
    <w:rsid w:val="0A0E41B9"/>
    <w:rsid w:val="0A1897E1"/>
    <w:rsid w:val="0A18F46E"/>
    <w:rsid w:val="0A4CBBF9"/>
    <w:rsid w:val="0A538DA0"/>
    <w:rsid w:val="0A871136"/>
    <w:rsid w:val="0ABF0534"/>
    <w:rsid w:val="0ACE1FB0"/>
    <w:rsid w:val="0ACE7F58"/>
    <w:rsid w:val="0AECD634"/>
    <w:rsid w:val="0B5466E3"/>
    <w:rsid w:val="0B5F99E3"/>
    <w:rsid w:val="0B72CB84"/>
    <w:rsid w:val="0B77B522"/>
    <w:rsid w:val="0B8BB827"/>
    <w:rsid w:val="0B94BFF9"/>
    <w:rsid w:val="0BC5A788"/>
    <w:rsid w:val="0BE6019B"/>
    <w:rsid w:val="0BEF8839"/>
    <w:rsid w:val="0BFBC6B9"/>
    <w:rsid w:val="0C0882E8"/>
    <w:rsid w:val="0C14DFA2"/>
    <w:rsid w:val="0C5DEA43"/>
    <w:rsid w:val="0C633C49"/>
    <w:rsid w:val="0C63C50A"/>
    <w:rsid w:val="0C98AD70"/>
    <w:rsid w:val="0CA2D12B"/>
    <w:rsid w:val="0CABCAF9"/>
    <w:rsid w:val="0CB13361"/>
    <w:rsid w:val="0CBAABAA"/>
    <w:rsid w:val="0CBF49C3"/>
    <w:rsid w:val="0CCB532E"/>
    <w:rsid w:val="0CD1A639"/>
    <w:rsid w:val="0CD1C4E9"/>
    <w:rsid w:val="0CE09446"/>
    <w:rsid w:val="0CE1003E"/>
    <w:rsid w:val="0D033204"/>
    <w:rsid w:val="0D0FE019"/>
    <w:rsid w:val="0D19DE9B"/>
    <w:rsid w:val="0D28AE62"/>
    <w:rsid w:val="0D652245"/>
    <w:rsid w:val="0D71B257"/>
    <w:rsid w:val="0D7DD9E8"/>
    <w:rsid w:val="0D86D047"/>
    <w:rsid w:val="0D9A72B2"/>
    <w:rsid w:val="0DD54C33"/>
    <w:rsid w:val="0DDDAFB6"/>
    <w:rsid w:val="0DF23646"/>
    <w:rsid w:val="0E1465A7"/>
    <w:rsid w:val="0E3D7670"/>
    <w:rsid w:val="0E4DE428"/>
    <w:rsid w:val="0E4FDC40"/>
    <w:rsid w:val="0E565D93"/>
    <w:rsid w:val="0E973AA5"/>
    <w:rsid w:val="0EB729D3"/>
    <w:rsid w:val="0EC4AB01"/>
    <w:rsid w:val="0F14F679"/>
    <w:rsid w:val="0F1830C5"/>
    <w:rsid w:val="0F24C70E"/>
    <w:rsid w:val="0F294570"/>
    <w:rsid w:val="0F39E8CC"/>
    <w:rsid w:val="0F4023AA"/>
    <w:rsid w:val="0F4D369C"/>
    <w:rsid w:val="0F895D53"/>
    <w:rsid w:val="0F9BC95D"/>
    <w:rsid w:val="0FB37C45"/>
    <w:rsid w:val="0FC5B2A2"/>
    <w:rsid w:val="0FEF00D6"/>
    <w:rsid w:val="0FF5DEDF"/>
    <w:rsid w:val="0FFD06CF"/>
    <w:rsid w:val="100EDACD"/>
    <w:rsid w:val="105485BD"/>
    <w:rsid w:val="1072F613"/>
    <w:rsid w:val="10891EA8"/>
    <w:rsid w:val="10A8001F"/>
    <w:rsid w:val="10C6FA44"/>
    <w:rsid w:val="10CAC3BF"/>
    <w:rsid w:val="10EC659D"/>
    <w:rsid w:val="1108DDD0"/>
    <w:rsid w:val="11259B98"/>
    <w:rsid w:val="1144766D"/>
    <w:rsid w:val="115217DC"/>
    <w:rsid w:val="11AB0252"/>
    <w:rsid w:val="11B2B4B4"/>
    <w:rsid w:val="11BB0311"/>
    <w:rsid w:val="11BBF709"/>
    <w:rsid w:val="11BC7D33"/>
    <w:rsid w:val="11EF1BA9"/>
    <w:rsid w:val="11FAC393"/>
    <w:rsid w:val="121C22EB"/>
    <w:rsid w:val="1228DE98"/>
    <w:rsid w:val="123DE6FE"/>
    <w:rsid w:val="12663D66"/>
    <w:rsid w:val="128B3707"/>
    <w:rsid w:val="1293BF90"/>
    <w:rsid w:val="129E748D"/>
    <w:rsid w:val="12A9C658"/>
    <w:rsid w:val="12C15396"/>
    <w:rsid w:val="12C53676"/>
    <w:rsid w:val="130F2643"/>
    <w:rsid w:val="1314A128"/>
    <w:rsid w:val="131BA9F5"/>
    <w:rsid w:val="1324099E"/>
    <w:rsid w:val="1339C745"/>
    <w:rsid w:val="137AB6B0"/>
    <w:rsid w:val="13818961"/>
    <w:rsid w:val="13CB9FAE"/>
    <w:rsid w:val="13CEC79E"/>
    <w:rsid w:val="13DB7BCB"/>
    <w:rsid w:val="141D2038"/>
    <w:rsid w:val="1435B849"/>
    <w:rsid w:val="144DD1B8"/>
    <w:rsid w:val="1485B0C8"/>
    <w:rsid w:val="14946098"/>
    <w:rsid w:val="14B46D45"/>
    <w:rsid w:val="14B528EB"/>
    <w:rsid w:val="14E8264D"/>
    <w:rsid w:val="1514B18B"/>
    <w:rsid w:val="1517673B"/>
    <w:rsid w:val="152CBEB4"/>
    <w:rsid w:val="1538FE17"/>
    <w:rsid w:val="153DC961"/>
    <w:rsid w:val="15534C98"/>
    <w:rsid w:val="155E8FF3"/>
    <w:rsid w:val="15701AB2"/>
    <w:rsid w:val="157F57B4"/>
    <w:rsid w:val="15B8F099"/>
    <w:rsid w:val="15CC8301"/>
    <w:rsid w:val="161E4737"/>
    <w:rsid w:val="1626A4D8"/>
    <w:rsid w:val="162B1A84"/>
    <w:rsid w:val="162F0C43"/>
    <w:rsid w:val="16448F5D"/>
    <w:rsid w:val="16710FE2"/>
    <w:rsid w:val="16A6D51D"/>
    <w:rsid w:val="16CBDC05"/>
    <w:rsid w:val="16D55784"/>
    <w:rsid w:val="17071AFA"/>
    <w:rsid w:val="17097AF1"/>
    <w:rsid w:val="170B0734"/>
    <w:rsid w:val="171216A4"/>
    <w:rsid w:val="173B5E5C"/>
    <w:rsid w:val="1774D8F7"/>
    <w:rsid w:val="179B63CB"/>
    <w:rsid w:val="17D1DF30"/>
    <w:rsid w:val="17EDD904"/>
    <w:rsid w:val="1807FBFA"/>
    <w:rsid w:val="181F5826"/>
    <w:rsid w:val="183E1119"/>
    <w:rsid w:val="184A41FE"/>
    <w:rsid w:val="18509EE2"/>
    <w:rsid w:val="188879E7"/>
    <w:rsid w:val="189B147A"/>
    <w:rsid w:val="189C88D9"/>
    <w:rsid w:val="18A63F70"/>
    <w:rsid w:val="18BB630B"/>
    <w:rsid w:val="18E0D298"/>
    <w:rsid w:val="18E18806"/>
    <w:rsid w:val="1910B9C9"/>
    <w:rsid w:val="191766A7"/>
    <w:rsid w:val="1920603C"/>
    <w:rsid w:val="192219D0"/>
    <w:rsid w:val="1943A34F"/>
    <w:rsid w:val="1945B35D"/>
    <w:rsid w:val="197A626C"/>
    <w:rsid w:val="199EBD20"/>
    <w:rsid w:val="1A1B66C6"/>
    <w:rsid w:val="1A244A48"/>
    <w:rsid w:val="1A274D5F"/>
    <w:rsid w:val="1A5E7A07"/>
    <w:rsid w:val="1AB46A39"/>
    <w:rsid w:val="1ABD213D"/>
    <w:rsid w:val="1AC4FEF8"/>
    <w:rsid w:val="1AE183BE"/>
    <w:rsid w:val="1AE205B3"/>
    <w:rsid w:val="1AFAF6FC"/>
    <w:rsid w:val="1AFDF181"/>
    <w:rsid w:val="1B27DBA5"/>
    <w:rsid w:val="1B2D1AC5"/>
    <w:rsid w:val="1B639914"/>
    <w:rsid w:val="1B86446A"/>
    <w:rsid w:val="1B974074"/>
    <w:rsid w:val="1BA4EDBF"/>
    <w:rsid w:val="1BFDC962"/>
    <w:rsid w:val="1C523BF0"/>
    <w:rsid w:val="1C54FF54"/>
    <w:rsid w:val="1C7F2176"/>
    <w:rsid w:val="1C85E279"/>
    <w:rsid w:val="1C8EA01C"/>
    <w:rsid w:val="1C9A45B1"/>
    <w:rsid w:val="1CBCCF0D"/>
    <w:rsid w:val="1CE422BE"/>
    <w:rsid w:val="1CF061FC"/>
    <w:rsid w:val="1D30B3A1"/>
    <w:rsid w:val="1D535027"/>
    <w:rsid w:val="1D646AAF"/>
    <w:rsid w:val="1D708A78"/>
    <w:rsid w:val="1D7E6AA1"/>
    <w:rsid w:val="1DD8E23B"/>
    <w:rsid w:val="1DEB730D"/>
    <w:rsid w:val="1E071FA6"/>
    <w:rsid w:val="1E20755B"/>
    <w:rsid w:val="1E2C7A26"/>
    <w:rsid w:val="1E357650"/>
    <w:rsid w:val="1E3D3101"/>
    <w:rsid w:val="1E7BD3B8"/>
    <w:rsid w:val="1E8409A3"/>
    <w:rsid w:val="1E884EA0"/>
    <w:rsid w:val="1E8F5E66"/>
    <w:rsid w:val="1EB5BA9B"/>
    <w:rsid w:val="1EB9D68D"/>
    <w:rsid w:val="1EDB4172"/>
    <w:rsid w:val="1F01AADE"/>
    <w:rsid w:val="1F02CEDE"/>
    <w:rsid w:val="1F0C4727"/>
    <w:rsid w:val="1F0D4489"/>
    <w:rsid w:val="1F13F955"/>
    <w:rsid w:val="1F192774"/>
    <w:rsid w:val="1F237F72"/>
    <w:rsid w:val="1F3E03EB"/>
    <w:rsid w:val="1F5127D8"/>
    <w:rsid w:val="1F67A951"/>
    <w:rsid w:val="1F94AE5F"/>
    <w:rsid w:val="1FA6CC0D"/>
    <w:rsid w:val="1FD3F094"/>
    <w:rsid w:val="1FF79FCD"/>
    <w:rsid w:val="1FFD445E"/>
    <w:rsid w:val="2009F7B7"/>
    <w:rsid w:val="2014B7AD"/>
    <w:rsid w:val="204F4258"/>
    <w:rsid w:val="205830D9"/>
    <w:rsid w:val="20B34504"/>
    <w:rsid w:val="20BA71B0"/>
    <w:rsid w:val="20DBA1D9"/>
    <w:rsid w:val="20FD4031"/>
    <w:rsid w:val="2140503A"/>
    <w:rsid w:val="21513C6F"/>
    <w:rsid w:val="2198BE7F"/>
    <w:rsid w:val="21A541AC"/>
    <w:rsid w:val="21A5C818"/>
    <w:rsid w:val="21B70AF0"/>
    <w:rsid w:val="21C09010"/>
    <w:rsid w:val="2206FC2D"/>
    <w:rsid w:val="220DDC7C"/>
    <w:rsid w:val="220FDB7C"/>
    <w:rsid w:val="2235CEBD"/>
    <w:rsid w:val="22553672"/>
    <w:rsid w:val="2263909F"/>
    <w:rsid w:val="22705F46"/>
    <w:rsid w:val="228C6D70"/>
    <w:rsid w:val="2292756F"/>
    <w:rsid w:val="2295EC52"/>
    <w:rsid w:val="229A69D4"/>
    <w:rsid w:val="22C0E68B"/>
    <w:rsid w:val="22DB94DA"/>
    <w:rsid w:val="22E2436E"/>
    <w:rsid w:val="231EE097"/>
    <w:rsid w:val="23391AC8"/>
    <w:rsid w:val="233F4A9A"/>
    <w:rsid w:val="233FEAE4"/>
    <w:rsid w:val="23442436"/>
    <w:rsid w:val="234689FF"/>
    <w:rsid w:val="236D4988"/>
    <w:rsid w:val="23778403"/>
    <w:rsid w:val="238E4B95"/>
    <w:rsid w:val="239C8F07"/>
    <w:rsid w:val="23A059B8"/>
    <w:rsid w:val="23EAE39F"/>
    <w:rsid w:val="24235B64"/>
    <w:rsid w:val="244D0EE7"/>
    <w:rsid w:val="24901866"/>
    <w:rsid w:val="24971ACD"/>
    <w:rsid w:val="2498F678"/>
    <w:rsid w:val="24A1D68F"/>
    <w:rsid w:val="24B29DCD"/>
    <w:rsid w:val="24B86B70"/>
    <w:rsid w:val="2536B762"/>
    <w:rsid w:val="2544CDBB"/>
    <w:rsid w:val="2583941F"/>
    <w:rsid w:val="25896F08"/>
    <w:rsid w:val="25A8B390"/>
    <w:rsid w:val="25B03871"/>
    <w:rsid w:val="25B676F0"/>
    <w:rsid w:val="25BD191B"/>
    <w:rsid w:val="25E51BC3"/>
    <w:rsid w:val="25EB67F0"/>
    <w:rsid w:val="25F95891"/>
    <w:rsid w:val="262BE8C7"/>
    <w:rsid w:val="26527FC7"/>
    <w:rsid w:val="26792621"/>
    <w:rsid w:val="26894554"/>
    <w:rsid w:val="26A66930"/>
    <w:rsid w:val="27159E46"/>
    <w:rsid w:val="271871A4"/>
    <w:rsid w:val="27224DF3"/>
    <w:rsid w:val="272EFE6F"/>
    <w:rsid w:val="276714E1"/>
    <w:rsid w:val="2770135A"/>
    <w:rsid w:val="27A77A44"/>
    <w:rsid w:val="27B93857"/>
    <w:rsid w:val="27BD4F1D"/>
    <w:rsid w:val="28080003"/>
    <w:rsid w:val="280B9FA5"/>
    <w:rsid w:val="28189883"/>
    <w:rsid w:val="282825AC"/>
    <w:rsid w:val="282EBC09"/>
    <w:rsid w:val="2888BCAB"/>
    <w:rsid w:val="28B44205"/>
    <w:rsid w:val="28DE8CD6"/>
    <w:rsid w:val="28EF5BE0"/>
    <w:rsid w:val="2902CBBF"/>
    <w:rsid w:val="29301403"/>
    <w:rsid w:val="295A8F43"/>
    <w:rsid w:val="299D3228"/>
    <w:rsid w:val="29B2469C"/>
    <w:rsid w:val="29C4B80D"/>
    <w:rsid w:val="29C85523"/>
    <w:rsid w:val="29EBACBD"/>
    <w:rsid w:val="29FC872F"/>
    <w:rsid w:val="2A019391"/>
    <w:rsid w:val="2A1DA49E"/>
    <w:rsid w:val="2A1FFAB0"/>
    <w:rsid w:val="2A25524A"/>
    <w:rsid w:val="2A290EED"/>
    <w:rsid w:val="2A51AB15"/>
    <w:rsid w:val="2A52A50F"/>
    <w:rsid w:val="2A534520"/>
    <w:rsid w:val="2A5801A4"/>
    <w:rsid w:val="2A903B31"/>
    <w:rsid w:val="2A975E32"/>
    <w:rsid w:val="2AB5785A"/>
    <w:rsid w:val="2AC5F35E"/>
    <w:rsid w:val="2ACCF400"/>
    <w:rsid w:val="2AE7DCCE"/>
    <w:rsid w:val="2AF0E00D"/>
    <w:rsid w:val="2B01B6E7"/>
    <w:rsid w:val="2B29A513"/>
    <w:rsid w:val="2B570B3E"/>
    <w:rsid w:val="2B71E2C5"/>
    <w:rsid w:val="2B751FEC"/>
    <w:rsid w:val="2B7D201C"/>
    <w:rsid w:val="2B8E1E7C"/>
    <w:rsid w:val="2BA7A984"/>
    <w:rsid w:val="2BB8AD50"/>
    <w:rsid w:val="2BCAB9E0"/>
    <w:rsid w:val="2BDDE4AE"/>
    <w:rsid w:val="2BE95F4A"/>
    <w:rsid w:val="2BEBE2C7"/>
    <w:rsid w:val="2C41A113"/>
    <w:rsid w:val="2C52D95D"/>
    <w:rsid w:val="2C558C10"/>
    <w:rsid w:val="2C75238C"/>
    <w:rsid w:val="2C7576E0"/>
    <w:rsid w:val="2C896095"/>
    <w:rsid w:val="2CA6D599"/>
    <w:rsid w:val="2CA76DE3"/>
    <w:rsid w:val="2CB232BA"/>
    <w:rsid w:val="2CB48322"/>
    <w:rsid w:val="2CB5AA4A"/>
    <w:rsid w:val="2CBBB81A"/>
    <w:rsid w:val="2CCEB2E7"/>
    <w:rsid w:val="2CCF6F53"/>
    <w:rsid w:val="2CF05DE0"/>
    <w:rsid w:val="2D480B95"/>
    <w:rsid w:val="2D59ED63"/>
    <w:rsid w:val="2D6B41A1"/>
    <w:rsid w:val="2D7095B0"/>
    <w:rsid w:val="2D77B5D7"/>
    <w:rsid w:val="2DA141FD"/>
    <w:rsid w:val="2DB0537A"/>
    <w:rsid w:val="2DDD215E"/>
    <w:rsid w:val="2DE0DDF6"/>
    <w:rsid w:val="2E0452FD"/>
    <w:rsid w:val="2E1A6E5D"/>
    <w:rsid w:val="2E7320B6"/>
    <w:rsid w:val="2E825852"/>
    <w:rsid w:val="2E8CB7B8"/>
    <w:rsid w:val="2E9F6304"/>
    <w:rsid w:val="2EDB579B"/>
    <w:rsid w:val="2EE0597C"/>
    <w:rsid w:val="2F273809"/>
    <w:rsid w:val="2F28C6EE"/>
    <w:rsid w:val="2F334C3F"/>
    <w:rsid w:val="2F3BCE37"/>
    <w:rsid w:val="2F62A096"/>
    <w:rsid w:val="2F64B73A"/>
    <w:rsid w:val="2F78AD89"/>
    <w:rsid w:val="2F842CD7"/>
    <w:rsid w:val="2FA9179B"/>
    <w:rsid w:val="2FD3D190"/>
    <w:rsid w:val="2FE77633"/>
    <w:rsid w:val="301F5FAD"/>
    <w:rsid w:val="302C0FF4"/>
    <w:rsid w:val="3040F6E4"/>
    <w:rsid w:val="3042C38D"/>
    <w:rsid w:val="3050913F"/>
    <w:rsid w:val="305146C8"/>
    <w:rsid w:val="306C1AA3"/>
    <w:rsid w:val="30A74A0D"/>
    <w:rsid w:val="30C7A39C"/>
    <w:rsid w:val="30DC7583"/>
    <w:rsid w:val="30E19120"/>
    <w:rsid w:val="310BEB2C"/>
    <w:rsid w:val="3113717A"/>
    <w:rsid w:val="3115C63A"/>
    <w:rsid w:val="313C16CE"/>
    <w:rsid w:val="315CD1B8"/>
    <w:rsid w:val="3162C0E2"/>
    <w:rsid w:val="316E0193"/>
    <w:rsid w:val="3188ABC4"/>
    <w:rsid w:val="31AA016A"/>
    <w:rsid w:val="31AEA6C3"/>
    <w:rsid w:val="31B72866"/>
    <w:rsid w:val="31CEA701"/>
    <w:rsid w:val="31E2E3B5"/>
    <w:rsid w:val="31E4EB29"/>
    <w:rsid w:val="31F25B5A"/>
    <w:rsid w:val="320CE921"/>
    <w:rsid w:val="3241B11F"/>
    <w:rsid w:val="325755F0"/>
    <w:rsid w:val="3296A8FF"/>
    <w:rsid w:val="32AF41DB"/>
    <w:rsid w:val="32F887F8"/>
    <w:rsid w:val="332C417D"/>
    <w:rsid w:val="332D32F9"/>
    <w:rsid w:val="3352A030"/>
    <w:rsid w:val="338DBDC2"/>
    <w:rsid w:val="33A5F8C7"/>
    <w:rsid w:val="33AAB1F8"/>
    <w:rsid w:val="33AE05BA"/>
    <w:rsid w:val="33E44987"/>
    <w:rsid w:val="33FD40C2"/>
    <w:rsid w:val="3414D0FA"/>
    <w:rsid w:val="343E3FA3"/>
    <w:rsid w:val="343EA4B0"/>
    <w:rsid w:val="34A5359A"/>
    <w:rsid w:val="34D64C77"/>
    <w:rsid w:val="34E1B28B"/>
    <w:rsid w:val="3514C077"/>
    <w:rsid w:val="35274CAA"/>
    <w:rsid w:val="353202FD"/>
    <w:rsid w:val="353CD933"/>
    <w:rsid w:val="355F72AD"/>
    <w:rsid w:val="356166DD"/>
    <w:rsid w:val="359791E3"/>
    <w:rsid w:val="359DFCBF"/>
    <w:rsid w:val="35BAE636"/>
    <w:rsid w:val="35C9FC23"/>
    <w:rsid w:val="35D39D44"/>
    <w:rsid w:val="35DFE4F5"/>
    <w:rsid w:val="35F22EBC"/>
    <w:rsid w:val="35FCF915"/>
    <w:rsid w:val="3604CFE5"/>
    <w:rsid w:val="3619C970"/>
    <w:rsid w:val="3633F876"/>
    <w:rsid w:val="364703DB"/>
    <w:rsid w:val="36862473"/>
    <w:rsid w:val="3689BABA"/>
    <w:rsid w:val="3692EC1A"/>
    <w:rsid w:val="36ED77F8"/>
    <w:rsid w:val="370E9347"/>
    <w:rsid w:val="3719716A"/>
    <w:rsid w:val="372AA67D"/>
    <w:rsid w:val="37727F8B"/>
    <w:rsid w:val="3783F18D"/>
    <w:rsid w:val="37A2AD32"/>
    <w:rsid w:val="37D07F6C"/>
    <w:rsid w:val="37E37D9B"/>
    <w:rsid w:val="38261153"/>
    <w:rsid w:val="3848AB4E"/>
    <w:rsid w:val="3851A2E9"/>
    <w:rsid w:val="385A053F"/>
    <w:rsid w:val="386CB778"/>
    <w:rsid w:val="387AD930"/>
    <w:rsid w:val="38885A53"/>
    <w:rsid w:val="388BEDC2"/>
    <w:rsid w:val="3891A1AA"/>
    <w:rsid w:val="38B21B42"/>
    <w:rsid w:val="38BE1CEC"/>
    <w:rsid w:val="38F04014"/>
    <w:rsid w:val="393E89E4"/>
    <w:rsid w:val="394944CF"/>
    <w:rsid w:val="396B3458"/>
    <w:rsid w:val="39888826"/>
    <w:rsid w:val="398F170F"/>
    <w:rsid w:val="39AA35AD"/>
    <w:rsid w:val="39C1E1B4"/>
    <w:rsid w:val="39C23549"/>
    <w:rsid w:val="39DEF766"/>
    <w:rsid w:val="39E7CCD5"/>
    <w:rsid w:val="39FE6D5E"/>
    <w:rsid w:val="3A153341"/>
    <w:rsid w:val="3A15D1C3"/>
    <w:rsid w:val="3A436180"/>
    <w:rsid w:val="3A5BBD41"/>
    <w:rsid w:val="3A61AE86"/>
    <w:rsid w:val="3A66164B"/>
    <w:rsid w:val="3A8C1075"/>
    <w:rsid w:val="3A920614"/>
    <w:rsid w:val="3A98ECBC"/>
    <w:rsid w:val="3A9CF975"/>
    <w:rsid w:val="3AB79081"/>
    <w:rsid w:val="3ADC9CA3"/>
    <w:rsid w:val="3B09D854"/>
    <w:rsid w:val="3B1D8083"/>
    <w:rsid w:val="3B273361"/>
    <w:rsid w:val="3B33A875"/>
    <w:rsid w:val="3B3EC173"/>
    <w:rsid w:val="3B4DD880"/>
    <w:rsid w:val="3BA326F4"/>
    <w:rsid w:val="3BA3A1B4"/>
    <w:rsid w:val="3BA84EB9"/>
    <w:rsid w:val="3BAE35F0"/>
    <w:rsid w:val="3BB01B61"/>
    <w:rsid w:val="3BB81F69"/>
    <w:rsid w:val="3BBBD6B5"/>
    <w:rsid w:val="3BE3D502"/>
    <w:rsid w:val="3C0C71A0"/>
    <w:rsid w:val="3C224BA9"/>
    <w:rsid w:val="3C3662C9"/>
    <w:rsid w:val="3C4AE8B8"/>
    <w:rsid w:val="3C53AF68"/>
    <w:rsid w:val="3C5BA293"/>
    <w:rsid w:val="3C97A584"/>
    <w:rsid w:val="3CBD1689"/>
    <w:rsid w:val="3CC6DCBA"/>
    <w:rsid w:val="3CD24543"/>
    <w:rsid w:val="3CE7A830"/>
    <w:rsid w:val="3D2A9C03"/>
    <w:rsid w:val="3D73FFE2"/>
    <w:rsid w:val="3D971000"/>
    <w:rsid w:val="3DA2F11A"/>
    <w:rsid w:val="3DED2DC4"/>
    <w:rsid w:val="3DFBA260"/>
    <w:rsid w:val="3E3E7E33"/>
    <w:rsid w:val="3E55B57A"/>
    <w:rsid w:val="3E61D0D9"/>
    <w:rsid w:val="3E9D0EEF"/>
    <w:rsid w:val="3E9DFDF6"/>
    <w:rsid w:val="3E9EBB04"/>
    <w:rsid w:val="3EA8A6AC"/>
    <w:rsid w:val="3EB040CD"/>
    <w:rsid w:val="3EF27B43"/>
    <w:rsid w:val="3F2DDAEA"/>
    <w:rsid w:val="3F378914"/>
    <w:rsid w:val="3F3DED48"/>
    <w:rsid w:val="3F71FCA3"/>
    <w:rsid w:val="3F745319"/>
    <w:rsid w:val="3F924417"/>
    <w:rsid w:val="3F9799C4"/>
    <w:rsid w:val="3FA2502B"/>
    <w:rsid w:val="3FC0FD8E"/>
    <w:rsid w:val="3FCE6A0F"/>
    <w:rsid w:val="3FDB3897"/>
    <w:rsid w:val="3FFC4B02"/>
    <w:rsid w:val="4004AEE4"/>
    <w:rsid w:val="4005950D"/>
    <w:rsid w:val="400728FA"/>
    <w:rsid w:val="400F1BD5"/>
    <w:rsid w:val="402DD03A"/>
    <w:rsid w:val="40312338"/>
    <w:rsid w:val="404104F1"/>
    <w:rsid w:val="405A12F6"/>
    <w:rsid w:val="40644369"/>
    <w:rsid w:val="406538D4"/>
    <w:rsid w:val="40BDB32E"/>
    <w:rsid w:val="40C90E09"/>
    <w:rsid w:val="40CA33B0"/>
    <w:rsid w:val="40D198DE"/>
    <w:rsid w:val="410C86A0"/>
    <w:rsid w:val="411915E3"/>
    <w:rsid w:val="4121A5D4"/>
    <w:rsid w:val="4185A731"/>
    <w:rsid w:val="41A8E7C0"/>
    <w:rsid w:val="41A9E93E"/>
    <w:rsid w:val="41AACD98"/>
    <w:rsid w:val="41BC933C"/>
    <w:rsid w:val="41F56745"/>
    <w:rsid w:val="4200E785"/>
    <w:rsid w:val="4204256B"/>
    <w:rsid w:val="4207F974"/>
    <w:rsid w:val="420BB9D9"/>
    <w:rsid w:val="42210A2D"/>
    <w:rsid w:val="4226F506"/>
    <w:rsid w:val="42CDC4B9"/>
    <w:rsid w:val="42F3A081"/>
    <w:rsid w:val="4307D9E6"/>
    <w:rsid w:val="430D34D4"/>
    <w:rsid w:val="431832D4"/>
    <w:rsid w:val="4322F175"/>
    <w:rsid w:val="43271FAD"/>
    <w:rsid w:val="432EA728"/>
    <w:rsid w:val="4342471A"/>
    <w:rsid w:val="43431524"/>
    <w:rsid w:val="43542A8A"/>
    <w:rsid w:val="4378DDB1"/>
    <w:rsid w:val="43940A46"/>
    <w:rsid w:val="439E6AB0"/>
    <w:rsid w:val="43D333E6"/>
    <w:rsid w:val="43E96079"/>
    <w:rsid w:val="4409A9F6"/>
    <w:rsid w:val="442DB7E0"/>
    <w:rsid w:val="4432F825"/>
    <w:rsid w:val="4447174F"/>
    <w:rsid w:val="445250AB"/>
    <w:rsid w:val="4472E470"/>
    <w:rsid w:val="4481EB51"/>
    <w:rsid w:val="448428A4"/>
    <w:rsid w:val="44860A06"/>
    <w:rsid w:val="4496FF4C"/>
    <w:rsid w:val="449B4762"/>
    <w:rsid w:val="44A9BA94"/>
    <w:rsid w:val="44BB6377"/>
    <w:rsid w:val="44C0873C"/>
    <w:rsid w:val="44EAE5C6"/>
    <w:rsid w:val="44EE0528"/>
    <w:rsid w:val="4514C459"/>
    <w:rsid w:val="4555234D"/>
    <w:rsid w:val="455F69F0"/>
    <w:rsid w:val="4581F0BF"/>
    <w:rsid w:val="459735B4"/>
    <w:rsid w:val="45CB9E74"/>
    <w:rsid w:val="45E56293"/>
    <w:rsid w:val="46631769"/>
    <w:rsid w:val="466937BE"/>
    <w:rsid w:val="469833D9"/>
    <w:rsid w:val="469F3D4F"/>
    <w:rsid w:val="46AA4624"/>
    <w:rsid w:val="46C527A4"/>
    <w:rsid w:val="46E1D100"/>
    <w:rsid w:val="46E9F042"/>
    <w:rsid w:val="471AAC14"/>
    <w:rsid w:val="4723B1E5"/>
    <w:rsid w:val="473F8A17"/>
    <w:rsid w:val="4743B207"/>
    <w:rsid w:val="474884FC"/>
    <w:rsid w:val="4793DF23"/>
    <w:rsid w:val="47A57497"/>
    <w:rsid w:val="47AFFC31"/>
    <w:rsid w:val="47CE57E9"/>
    <w:rsid w:val="47D24547"/>
    <w:rsid w:val="481DCCEA"/>
    <w:rsid w:val="483D9653"/>
    <w:rsid w:val="484EB994"/>
    <w:rsid w:val="486C7D54"/>
    <w:rsid w:val="48B63318"/>
    <w:rsid w:val="48F1E31C"/>
    <w:rsid w:val="48F38248"/>
    <w:rsid w:val="48FDE944"/>
    <w:rsid w:val="493703AA"/>
    <w:rsid w:val="49487E04"/>
    <w:rsid w:val="4958DCC4"/>
    <w:rsid w:val="49824E65"/>
    <w:rsid w:val="49ABA31E"/>
    <w:rsid w:val="49C84219"/>
    <w:rsid w:val="49D54987"/>
    <w:rsid w:val="49DF11F1"/>
    <w:rsid w:val="49F80875"/>
    <w:rsid w:val="4A18B8F6"/>
    <w:rsid w:val="4A9B3D2B"/>
    <w:rsid w:val="4AB2A014"/>
    <w:rsid w:val="4AC4BA95"/>
    <w:rsid w:val="4AC652BF"/>
    <w:rsid w:val="4AD414D6"/>
    <w:rsid w:val="4AE91488"/>
    <w:rsid w:val="4AEFB133"/>
    <w:rsid w:val="4B03797E"/>
    <w:rsid w:val="4B189EC8"/>
    <w:rsid w:val="4B1A686D"/>
    <w:rsid w:val="4B21236B"/>
    <w:rsid w:val="4B227805"/>
    <w:rsid w:val="4B2A907E"/>
    <w:rsid w:val="4B545135"/>
    <w:rsid w:val="4B5DB5AC"/>
    <w:rsid w:val="4B6AB513"/>
    <w:rsid w:val="4B718B20"/>
    <w:rsid w:val="4B87A85C"/>
    <w:rsid w:val="4BA07017"/>
    <w:rsid w:val="4BA47925"/>
    <w:rsid w:val="4BB102AB"/>
    <w:rsid w:val="4BB51DF9"/>
    <w:rsid w:val="4BB63A59"/>
    <w:rsid w:val="4BBB6458"/>
    <w:rsid w:val="4BFC74CE"/>
    <w:rsid w:val="4C02FF60"/>
    <w:rsid w:val="4C1BEF79"/>
    <w:rsid w:val="4C3A7E9B"/>
    <w:rsid w:val="4C519100"/>
    <w:rsid w:val="4C5B7A0E"/>
    <w:rsid w:val="4C5DA49E"/>
    <w:rsid w:val="4C6E366E"/>
    <w:rsid w:val="4C9222B9"/>
    <w:rsid w:val="4C925394"/>
    <w:rsid w:val="4CD7D3A5"/>
    <w:rsid w:val="4CF35859"/>
    <w:rsid w:val="4D12F516"/>
    <w:rsid w:val="4D28CEA8"/>
    <w:rsid w:val="4D3B7A86"/>
    <w:rsid w:val="4D484D65"/>
    <w:rsid w:val="4D7F4034"/>
    <w:rsid w:val="4D9BF440"/>
    <w:rsid w:val="4DADA082"/>
    <w:rsid w:val="4DC2C601"/>
    <w:rsid w:val="4DC31EEB"/>
    <w:rsid w:val="4DCE5153"/>
    <w:rsid w:val="4DDC3E73"/>
    <w:rsid w:val="4DDFC1B4"/>
    <w:rsid w:val="4DE49B75"/>
    <w:rsid w:val="4DEA40D6"/>
    <w:rsid w:val="4E02DB09"/>
    <w:rsid w:val="4E603A36"/>
    <w:rsid w:val="4E6A297A"/>
    <w:rsid w:val="4E72004C"/>
    <w:rsid w:val="4EB1A4FE"/>
    <w:rsid w:val="4EB45FCE"/>
    <w:rsid w:val="4ED23C9E"/>
    <w:rsid w:val="4EE65C98"/>
    <w:rsid w:val="4EEE33C7"/>
    <w:rsid w:val="4EFA4ADD"/>
    <w:rsid w:val="4F3EB744"/>
    <w:rsid w:val="4F87DC98"/>
    <w:rsid w:val="4F8CD8EB"/>
    <w:rsid w:val="4F998403"/>
    <w:rsid w:val="4FAF6992"/>
    <w:rsid w:val="4FB1A2CD"/>
    <w:rsid w:val="4FBA580A"/>
    <w:rsid w:val="4FBCD290"/>
    <w:rsid w:val="4FD35895"/>
    <w:rsid w:val="4FE4AC16"/>
    <w:rsid w:val="50039870"/>
    <w:rsid w:val="500D1724"/>
    <w:rsid w:val="500DD0AD"/>
    <w:rsid w:val="500E6697"/>
    <w:rsid w:val="501C4EE2"/>
    <w:rsid w:val="503AE282"/>
    <w:rsid w:val="5083102C"/>
    <w:rsid w:val="508AE910"/>
    <w:rsid w:val="5096ED03"/>
    <w:rsid w:val="50A70E3B"/>
    <w:rsid w:val="50BB5CBB"/>
    <w:rsid w:val="50BFF6B0"/>
    <w:rsid w:val="50DC1895"/>
    <w:rsid w:val="50F80E40"/>
    <w:rsid w:val="51252120"/>
    <w:rsid w:val="5137209D"/>
    <w:rsid w:val="513E34B9"/>
    <w:rsid w:val="514023F0"/>
    <w:rsid w:val="514F82F6"/>
    <w:rsid w:val="51516ED0"/>
    <w:rsid w:val="516AAB94"/>
    <w:rsid w:val="5187FE66"/>
    <w:rsid w:val="518BE0D4"/>
    <w:rsid w:val="51A2DAAE"/>
    <w:rsid w:val="51A9A10E"/>
    <w:rsid w:val="51C7F52D"/>
    <w:rsid w:val="51CBCCE6"/>
    <w:rsid w:val="51D22C10"/>
    <w:rsid w:val="51DF3FEA"/>
    <w:rsid w:val="51E113FF"/>
    <w:rsid w:val="520CA5A1"/>
    <w:rsid w:val="52205E74"/>
    <w:rsid w:val="5247F0F1"/>
    <w:rsid w:val="524ADAE8"/>
    <w:rsid w:val="52522592"/>
    <w:rsid w:val="5253A71E"/>
    <w:rsid w:val="528E833F"/>
    <w:rsid w:val="529F913B"/>
    <w:rsid w:val="52A02416"/>
    <w:rsid w:val="531FEF4A"/>
    <w:rsid w:val="53205480"/>
    <w:rsid w:val="53223C3B"/>
    <w:rsid w:val="533F88E2"/>
    <w:rsid w:val="5345716F"/>
    <w:rsid w:val="534DCBAE"/>
    <w:rsid w:val="5361674B"/>
    <w:rsid w:val="53655E4B"/>
    <w:rsid w:val="53671D94"/>
    <w:rsid w:val="536CBD01"/>
    <w:rsid w:val="538A0C19"/>
    <w:rsid w:val="53B05F54"/>
    <w:rsid w:val="54017F94"/>
    <w:rsid w:val="54034C58"/>
    <w:rsid w:val="5404E4C2"/>
    <w:rsid w:val="5433ECBD"/>
    <w:rsid w:val="543A11B1"/>
    <w:rsid w:val="54441063"/>
    <w:rsid w:val="5459825A"/>
    <w:rsid w:val="548CCE94"/>
    <w:rsid w:val="548D7646"/>
    <w:rsid w:val="549AF6C3"/>
    <w:rsid w:val="54EF3709"/>
    <w:rsid w:val="55160176"/>
    <w:rsid w:val="551D463F"/>
    <w:rsid w:val="554D3B00"/>
    <w:rsid w:val="5555312E"/>
    <w:rsid w:val="5557D288"/>
    <w:rsid w:val="5570E451"/>
    <w:rsid w:val="559D4FF5"/>
    <w:rsid w:val="55A0B4A4"/>
    <w:rsid w:val="55E5D42D"/>
    <w:rsid w:val="55E7CE49"/>
    <w:rsid w:val="56407E8E"/>
    <w:rsid w:val="565B916B"/>
    <w:rsid w:val="56B7E9BC"/>
    <w:rsid w:val="56C2E074"/>
    <w:rsid w:val="56C95A65"/>
    <w:rsid w:val="56E2F64A"/>
    <w:rsid w:val="56ED9020"/>
    <w:rsid w:val="570BAE74"/>
    <w:rsid w:val="57118069"/>
    <w:rsid w:val="5719990E"/>
    <w:rsid w:val="5743BEAD"/>
    <w:rsid w:val="57654A3D"/>
    <w:rsid w:val="5782EF74"/>
    <w:rsid w:val="57857DDA"/>
    <w:rsid w:val="578FCAD8"/>
    <w:rsid w:val="57A41A58"/>
    <w:rsid w:val="57C0CD27"/>
    <w:rsid w:val="57C58712"/>
    <w:rsid w:val="57FCFBE0"/>
    <w:rsid w:val="58055EDC"/>
    <w:rsid w:val="5818E292"/>
    <w:rsid w:val="581D6F4F"/>
    <w:rsid w:val="5887510E"/>
    <w:rsid w:val="58896F89"/>
    <w:rsid w:val="588C8A07"/>
    <w:rsid w:val="58955C42"/>
    <w:rsid w:val="58A9D52F"/>
    <w:rsid w:val="58B66E20"/>
    <w:rsid w:val="58EE7093"/>
    <w:rsid w:val="5917F072"/>
    <w:rsid w:val="59263781"/>
    <w:rsid w:val="592E29F2"/>
    <w:rsid w:val="5983048F"/>
    <w:rsid w:val="59B7EA5A"/>
    <w:rsid w:val="59C1C22F"/>
    <w:rsid w:val="59E9967A"/>
    <w:rsid w:val="5A03F83D"/>
    <w:rsid w:val="5A351E94"/>
    <w:rsid w:val="5A4DB099"/>
    <w:rsid w:val="5A5A099A"/>
    <w:rsid w:val="5AB3C0D3"/>
    <w:rsid w:val="5AC0D698"/>
    <w:rsid w:val="5B283313"/>
    <w:rsid w:val="5B3B2FC8"/>
    <w:rsid w:val="5B4727F3"/>
    <w:rsid w:val="5B60D522"/>
    <w:rsid w:val="5B663E55"/>
    <w:rsid w:val="5B7036C1"/>
    <w:rsid w:val="5B70BA7D"/>
    <w:rsid w:val="5B7244E0"/>
    <w:rsid w:val="5B7CCEA0"/>
    <w:rsid w:val="5BA5F944"/>
    <w:rsid w:val="5BAA4CAA"/>
    <w:rsid w:val="5BB301CA"/>
    <w:rsid w:val="5BB678CD"/>
    <w:rsid w:val="5BC3A023"/>
    <w:rsid w:val="5BED42BC"/>
    <w:rsid w:val="5BF00B25"/>
    <w:rsid w:val="5C08D619"/>
    <w:rsid w:val="5C22AF99"/>
    <w:rsid w:val="5C325644"/>
    <w:rsid w:val="5C3F9FE8"/>
    <w:rsid w:val="5C401F4F"/>
    <w:rsid w:val="5C4F68E2"/>
    <w:rsid w:val="5C78FEC4"/>
    <w:rsid w:val="5C973D82"/>
    <w:rsid w:val="5CAF7C77"/>
    <w:rsid w:val="5CB31A71"/>
    <w:rsid w:val="5CBCADF4"/>
    <w:rsid w:val="5CFF9E61"/>
    <w:rsid w:val="5D3430E8"/>
    <w:rsid w:val="5D363A04"/>
    <w:rsid w:val="5D59DFBD"/>
    <w:rsid w:val="5D638048"/>
    <w:rsid w:val="5DB7FDF7"/>
    <w:rsid w:val="5DC5A59B"/>
    <w:rsid w:val="5E150DB0"/>
    <w:rsid w:val="5E2AAA60"/>
    <w:rsid w:val="5E8F8904"/>
    <w:rsid w:val="5EC7AF5E"/>
    <w:rsid w:val="5ED648D5"/>
    <w:rsid w:val="5EFF50A9"/>
    <w:rsid w:val="5F158E21"/>
    <w:rsid w:val="5F48A5C3"/>
    <w:rsid w:val="5F4C486B"/>
    <w:rsid w:val="5F7BD0F0"/>
    <w:rsid w:val="5F82406F"/>
    <w:rsid w:val="5FAF183D"/>
    <w:rsid w:val="5FB17C7D"/>
    <w:rsid w:val="5FC70461"/>
    <w:rsid w:val="5FEF85EF"/>
    <w:rsid w:val="608E5F07"/>
    <w:rsid w:val="609FC0AA"/>
    <w:rsid w:val="60A70239"/>
    <w:rsid w:val="60C6BCD1"/>
    <w:rsid w:val="6131A441"/>
    <w:rsid w:val="614E3E1B"/>
    <w:rsid w:val="61618668"/>
    <w:rsid w:val="6162D4C2"/>
    <w:rsid w:val="6169016B"/>
    <w:rsid w:val="62013AD0"/>
    <w:rsid w:val="6204DB3B"/>
    <w:rsid w:val="620D6AD1"/>
    <w:rsid w:val="62378F18"/>
    <w:rsid w:val="62393AB2"/>
    <w:rsid w:val="6258BF53"/>
    <w:rsid w:val="62933088"/>
    <w:rsid w:val="629405F0"/>
    <w:rsid w:val="62960007"/>
    <w:rsid w:val="62BEFDBB"/>
    <w:rsid w:val="62D74C52"/>
    <w:rsid w:val="62E50ED7"/>
    <w:rsid w:val="630FB735"/>
    <w:rsid w:val="6317546E"/>
    <w:rsid w:val="6328301E"/>
    <w:rsid w:val="6328A1C3"/>
    <w:rsid w:val="63399C19"/>
    <w:rsid w:val="636498B4"/>
    <w:rsid w:val="636694DD"/>
    <w:rsid w:val="6375F97C"/>
    <w:rsid w:val="637D4467"/>
    <w:rsid w:val="63980159"/>
    <w:rsid w:val="63A2E151"/>
    <w:rsid w:val="63B30C1A"/>
    <w:rsid w:val="63CE3A53"/>
    <w:rsid w:val="64247381"/>
    <w:rsid w:val="64735ADF"/>
    <w:rsid w:val="64741B9A"/>
    <w:rsid w:val="64808830"/>
    <w:rsid w:val="649B05B2"/>
    <w:rsid w:val="64A1188B"/>
    <w:rsid w:val="64A1A4CD"/>
    <w:rsid w:val="64A1AE4A"/>
    <w:rsid w:val="64CECB75"/>
    <w:rsid w:val="64D3FC7A"/>
    <w:rsid w:val="64F29873"/>
    <w:rsid w:val="64FF7981"/>
    <w:rsid w:val="65261AEF"/>
    <w:rsid w:val="6543C782"/>
    <w:rsid w:val="654AF4BF"/>
    <w:rsid w:val="6557F029"/>
    <w:rsid w:val="655B2E24"/>
    <w:rsid w:val="655CA101"/>
    <w:rsid w:val="656E223A"/>
    <w:rsid w:val="65731B6C"/>
    <w:rsid w:val="657693EE"/>
    <w:rsid w:val="657B10FE"/>
    <w:rsid w:val="65C27862"/>
    <w:rsid w:val="65DFD92F"/>
    <w:rsid w:val="65E9A64F"/>
    <w:rsid w:val="65F3C185"/>
    <w:rsid w:val="660736D4"/>
    <w:rsid w:val="661FF86E"/>
    <w:rsid w:val="66288972"/>
    <w:rsid w:val="663CBC66"/>
    <w:rsid w:val="6674E10A"/>
    <w:rsid w:val="66767731"/>
    <w:rsid w:val="66776721"/>
    <w:rsid w:val="6692CA8E"/>
    <w:rsid w:val="66D8FC4B"/>
    <w:rsid w:val="66D95410"/>
    <w:rsid w:val="66E21850"/>
    <w:rsid w:val="671BCFC8"/>
    <w:rsid w:val="67212FEB"/>
    <w:rsid w:val="6727F4A8"/>
    <w:rsid w:val="673C2117"/>
    <w:rsid w:val="6786CEFC"/>
    <w:rsid w:val="679E8E61"/>
    <w:rsid w:val="67CE7763"/>
    <w:rsid w:val="67E2A2CF"/>
    <w:rsid w:val="6800B070"/>
    <w:rsid w:val="684E04CE"/>
    <w:rsid w:val="68532123"/>
    <w:rsid w:val="687D32A1"/>
    <w:rsid w:val="68816EE4"/>
    <w:rsid w:val="68B257BC"/>
    <w:rsid w:val="68CFFB1F"/>
    <w:rsid w:val="68D42A46"/>
    <w:rsid w:val="68D4A17E"/>
    <w:rsid w:val="68DB1CFD"/>
    <w:rsid w:val="6907BEF9"/>
    <w:rsid w:val="691FF02A"/>
    <w:rsid w:val="695FD7D5"/>
    <w:rsid w:val="6977E8D8"/>
    <w:rsid w:val="69A10FAF"/>
    <w:rsid w:val="6A1631C1"/>
    <w:rsid w:val="6A1D3F45"/>
    <w:rsid w:val="6A233045"/>
    <w:rsid w:val="6A2ECDB0"/>
    <w:rsid w:val="6A6B36B1"/>
    <w:rsid w:val="6A9110A0"/>
    <w:rsid w:val="6AA737D1"/>
    <w:rsid w:val="6AB648AD"/>
    <w:rsid w:val="6AC72081"/>
    <w:rsid w:val="6AC8230D"/>
    <w:rsid w:val="6ACB88A5"/>
    <w:rsid w:val="6AD8CBA8"/>
    <w:rsid w:val="6ADEA461"/>
    <w:rsid w:val="6AF8B52E"/>
    <w:rsid w:val="6AFEE9C9"/>
    <w:rsid w:val="6B137496"/>
    <w:rsid w:val="6B1AF3E9"/>
    <w:rsid w:val="6B583EDA"/>
    <w:rsid w:val="6B7991EE"/>
    <w:rsid w:val="6B8F0114"/>
    <w:rsid w:val="6BA597A6"/>
    <w:rsid w:val="6BBE2767"/>
    <w:rsid w:val="6BC2B531"/>
    <w:rsid w:val="6BE513D4"/>
    <w:rsid w:val="6BEB019A"/>
    <w:rsid w:val="6C53FE08"/>
    <w:rsid w:val="6C5C787A"/>
    <w:rsid w:val="6C659137"/>
    <w:rsid w:val="6C882C93"/>
    <w:rsid w:val="6CD050F1"/>
    <w:rsid w:val="6CD9C255"/>
    <w:rsid w:val="6D31CC93"/>
    <w:rsid w:val="6D33ABF3"/>
    <w:rsid w:val="6D34BEE9"/>
    <w:rsid w:val="6D43AF59"/>
    <w:rsid w:val="6D495662"/>
    <w:rsid w:val="6D4D2E2B"/>
    <w:rsid w:val="6DA159D2"/>
    <w:rsid w:val="6DA5E9A0"/>
    <w:rsid w:val="6DA942AE"/>
    <w:rsid w:val="6DAA2463"/>
    <w:rsid w:val="6DB28305"/>
    <w:rsid w:val="6DDD1215"/>
    <w:rsid w:val="6E511F33"/>
    <w:rsid w:val="6E637AA6"/>
    <w:rsid w:val="6E6E04B2"/>
    <w:rsid w:val="6EA155A5"/>
    <w:rsid w:val="6EF858A5"/>
    <w:rsid w:val="6EFDC023"/>
    <w:rsid w:val="6F6A607E"/>
    <w:rsid w:val="6F78E276"/>
    <w:rsid w:val="6F8ACAF0"/>
    <w:rsid w:val="6FAA5263"/>
    <w:rsid w:val="6FB87F27"/>
    <w:rsid w:val="6FC26459"/>
    <w:rsid w:val="6FD511E0"/>
    <w:rsid w:val="6FDEB3B2"/>
    <w:rsid w:val="7000B998"/>
    <w:rsid w:val="70337AE7"/>
    <w:rsid w:val="7044CBB6"/>
    <w:rsid w:val="704B0942"/>
    <w:rsid w:val="7053F10C"/>
    <w:rsid w:val="7079086A"/>
    <w:rsid w:val="7080F724"/>
    <w:rsid w:val="709A62A4"/>
    <w:rsid w:val="709E8306"/>
    <w:rsid w:val="70B3AF67"/>
    <w:rsid w:val="70C20280"/>
    <w:rsid w:val="70C7F93C"/>
    <w:rsid w:val="70C8308F"/>
    <w:rsid w:val="70CAF68B"/>
    <w:rsid w:val="70E850BD"/>
    <w:rsid w:val="70F638D3"/>
    <w:rsid w:val="713E1E4F"/>
    <w:rsid w:val="7142EDEF"/>
    <w:rsid w:val="7149F7EE"/>
    <w:rsid w:val="717F14FE"/>
    <w:rsid w:val="7182DE0A"/>
    <w:rsid w:val="7185D9DF"/>
    <w:rsid w:val="721CC785"/>
    <w:rsid w:val="721F488A"/>
    <w:rsid w:val="7266C6EC"/>
    <w:rsid w:val="7299654E"/>
    <w:rsid w:val="729B915A"/>
    <w:rsid w:val="72BBB528"/>
    <w:rsid w:val="72CD46D9"/>
    <w:rsid w:val="72D23266"/>
    <w:rsid w:val="72F6D323"/>
    <w:rsid w:val="73072E8F"/>
    <w:rsid w:val="731A190F"/>
    <w:rsid w:val="731AE55F"/>
    <w:rsid w:val="734D1EA2"/>
    <w:rsid w:val="7390E7B8"/>
    <w:rsid w:val="739D61D4"/>
    <w:rsid w:val="73BB91AB"/>
    <w:rsid w:val="73CDC270"/>
    <w:rsid w:val="73FFA399"/>
    <w:rsid w:val="740A5665"/>
    <w:rsid w:val="741BC68E"/>
    <w:rsid w:val="7434362C"/>
    <w:rsid w:val="7469D9D3"/>
    <w:rsid w:val="746B617B"/>
    <w:rsid w:val="74776470"/>
    <w:rsid w:val="74888C75"/>
    <w:rsid w:val="74A379B4"/>
    <w:rsid w:val="74D7E721"/>
    <w:rsid w:val="74D968D1"/>
    <w:rsid w:val="75083D30"/>
    <w:rsid w:val="752FDB2D"/>
    <w:rsid w:val="753EBDD8"/>
    <w:rsid w:val="7556C29B"/>
    <w:rsid w:val="755973B8"/>
    <w:rsid w:val="755D996C"/>
    <w:rsid w:val="75983046"/>
    <w:rsid w:val="75B67BEC"/>
    <w:rsid w:val="75CE90C1"/>
    <w:rsid w:val="75E32C25"/>
    <w:rsid w:val="75FE4823"/>
    <w:rsid w:val="76052DBE"/>
    <w:rsid w:val="7628EC6C"/>
    <w:rsid w:val="764CEEE2"/>
    <w:rsid w:val="767AADDE"/>
    <w:rsid w:val="767AEEE6"/>
    <w:rsid w:val="76B465C2"/>
    <w:rsid w:val="76B66260"/>
    <w:rsid w:val="76CBAB8E"/>
    <w:rsid w:val="76DA8E39"/>
    <w:rsid w:val="76E7B033"/>
    <w:rsid w:val="76F303FC"/>
    <w:rsid w:val="77010E69"/>
    <w:rsid w:val="7714C54B"/>
    <w:rsid w:val="772451C8"/>
    <w:rsid w:val="77281691"/>
    <w:rsid w:val="774A96BC"/>
    <w:rsid w:val="774EB2C7"/>
    <w:rsid w:val="775DFB01"/>
    <w:rsid w:val="776604B4"/>
    <w:rsid w:val="777CD3EC"/>
    <w:rsid w:val="77AD098B"/>
    <w:rsid w:val="78006A25"/>
    <w:rsid w:val="78051C76"/>
    <w:rsid w:val="7843F491"/>
    <w:rsid w:val="788C1C93"/>
    <w:rsid w:val="7893EB0C"/>
    <w:rsid w:val="78F579FA"/>
    <w:rsid w:val="78FD8181"/>
    <w:rsid w:val="7902E94C"/>
    <w:rsid w:val="791A5587"/>
    <w:rsid w:val="793726F7"/>
    <w:rsid w:val="793A4AF6"/>
    <w:rsid w:val="79496170"/>
    <w:rsid w:val="794C35AE"/>
    <w:rsid w:val="79720D29"/>
    <w:rsid w:val="7979D071"/>
    <w:rsid w:val="797BF426"/>
    <w:rsid w:val="7A0413BA"/>
    <w:rsid w:val="7A3BDF48"/>
    <w:rsid w:val="7A5922A9"/>
    <w:rsid w:val="7AD52267"/>
    <w:rsid w:val="7AE0CEEA"/>
    <w:rsid w:val="7AE531D1"/>
    <w:rsid w:val="7AEB2962"/>
    <w:rsid w:val="7B071817"/>
    <w:rsid w:val="7B12BB46"/>
    <w:rsid w:val="7B7CC0B5"/>
    <w:rsid w:val="7BA383BB"/>
    <w:rsid w:val="7BA5B8B6"/>
    <w:rsid w:val="7BA9F53D"/>
    <w:rsid w:val="7BB2120C"/>
    <w:rsid w:val="7BBB77DB"/>
    <w:rsid w:val="7BCAECA9"/>
    <w:rsid w:val="7C00EBE9"/>
    <w:rsid w:val="7C03A611"/>
    <w:rsid w:val="7C1F02F4"/>
    <w:rsid w:val="7C2AEC25"/>
    <w:rsid w:val="7C334173"/>
    <w:rsid w:val="7C373A53"/>
    <w:rsid w:val="7C6EC7B9"/>
    <w:rsid w:val="7C7EF4ED"/>
    <w:rsid w:val="7CBB5124"/>
    <w:rsid w:val="7CDFE3AB"/>
    <w:rsid w:val="7CE8B495"/>
    <w:rsid w:val="7CFBBC80"/>
    <w:rsid w:val="7CFCB80A"/>
    <w:rsid w:val="7D1E715C"/>
    <w:rsid w:val="7D2C26D1"/>
    <w:rsid w:val="7D5C4030"/>
    <w:rsid w:val="7D7B5BAF"/>
    <w:rsid w:val="7D82A7AA"/>
    <w:rsid w:val="7D8B5CB6"/>
    <w:rsid w:val="7D973A90"/>
    <w:rsid w:val="7DB9FEC1"/>
    <w:rsid w:val="7DBB5822"/>
    <w:rsid w:val="7DD6F882"/>
    <w:rsid w:val="7E3E69AC"/>
    <w:rsid w:val="7E3EB8D9"/>
    <w:rsid w:val="7E45D4C2"/>
    <w:rsid w:val="7ED23CBE"/>
    <w:rsid w:val="7EFAE77B"/>
    <w:rsid w:val="7F01FF3E"/>
    <w:rsid w:val="7F2E233A"/>
    <w:rsid w:val="7F3315C5"/>
    <w:rsid w:val="7F518580"/>
    <w:rsid w:val="7F55CF22"/>
    <w:rsid w:val="7F843662"/>
    <w:rsid w:val="7FBDFB14"/>
    <w:rsid w:val="7FDEB93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540961"/>
  <w15:docId w15:val="{93F120B7-0513-4C93-82B9-C924BC8E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paragraph" w:styleId="Heading3">
    <w:name w:val="heading 3"/>
    <w:basedOn w:val="Normal"/>
    <w:next w:val="Normal"/>
    <w:link w:val="Heading3Char"/>
    <w:uiPriority w:val="9"/>
    <w:semiHidden/>
    <w:unhideWhenUsed/>
    <w:qFormat/>
    <w:rsid w:val="00A962C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40F1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40F1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customStyle="1" w:styleId="Heading3Char">
    <w:name w:val="Heading 3 Char"/>
    <w:basedOn w:val="DefaultParagraphFont"/>
    <w:link w:val="Heading3"/>
    <w:uiPriority w:val="9"/>
    <w:semiHidden/>
    <w:rsid w:val="00A962CE"/>
    <w:rPr>
      <w:rFonts w:asciiTheme="majorHAnsi" w:eastAsiaTheme="majorEastAsia" w:hAnsiTheme="majorHAnsi" w:cstheme="majorBidi"/>
      <w:color w:val="1F4D78" w:themeColor="accent1" w:themeShade="7F"/>
      <w:sz w:val="24"/>
      <w:szCs w:val="24"/>
      <w:lang w:bidi="en-US"/>
    </w:rPr>
  </w:style>
  <w:style w:type="character" w:styleId="CommentReference">
    <w:name w:val="annotation reference"/>
    <w:basedOn w:val="DefaultParagraphFont"/>
    <w:uiPriority w:val="99"/>
    <w:semiHidden/>
    <w:unhideWhenUsed/>
    <w:rsid w:val="0085616F"/>
    <w:rPr>
      <w:sz w:val="16"/>
      <w:szCs w:val="16"/>
    </w:rPr>
  </w:style>
  <w:style w:type="paragraph" w:styleId="CommentText">
    <w:name w:val="annotation text"/>
    <w:basedOn w:val="Normal"/>
    <w:link w:val="CommentTextChar"/>
    <w:uiPriority w:val="99"/>
    <w:unhideWhenUsed/>
    <w:rsid w:val="0085616F"/>
    <w:rPr>
      <w:sz w:val="20"/>
      <w:szCs w:val="20"/>
    </w:rPr>
  </w:style>
  <w:style w:type="character" w:customStyle="1" w:styleId="CommentTextChar">
    <w:name w:val="Comment Text Char"/>
    <w:basedOn w:val="DefaultParagraphFont"/>
    <w:link w:val="CommentText"/>
    <w:uiPriority w:val="99"/>
    <w:rsid w:val="0085616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5616F"/>
    <w:rPr>
      <w:b/>
      <w:bCs/>
    </w:rPr>
  </w:style>
  <w:style w:type="character" w:customStyle="1" w:styleId="CommentSubjectChar">
    <w:name w:val="Comment Subject Char"/>
    <w:basedOn w:val="CommentTextChar"/>
    <w:link w:val="CommentSubject"/>
    <w:uiPriority w:val="99"/>
    <w:semiHidden/>
    <w:rsid w:val="0085616F"/>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8561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16F"/>
    <w:rPr>
      <w:rFonts w:ascii="Segoe UI" w:eastAsia="Arial" w:hAnsi="Segoe UI" w:cs="Segoe UI"/>
      <w:sz w:val="18"/>
      <w:szCs w:val="18"/>
      <w:lang w:bidi="en-US"/>
    </w:rPr>
  </w:style>
  <w:style w:type="paragraph" w:customStyle="1" w:styleId="Level1">
    <w:name w:val="Level 1"/>
    <w:rsid w:val="00A903D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A903D6"/>
    <w:pPr>
      <w:spacing w:after="120"/>
      <w:ind w:left="360"/>
    </w:pPr>
  </w:style>
  <w:style w:type="character" w:customStyle="1" w:styleId="BodyTextIndentChar">
    <w:name w:val="Body Text Indent Char"/>
    <w:basedOn w:val="DefaultParagraphFont"/>
    <w:link w:val="BodyTextIndent"/>
    <w:uiPriority w:val="99"/>
    <w:semiHidden/>
    <w:rsid w:val="00A903D6"/>
    <w:rPr>
      <w:rFonts w:ascii="Arial" w:eastAsia="Arial" w:hAnsi="Arial" w:cs="Arial"/>
      <w:lang w:bidi="en-US"/>
    </w:rPr>
  </w:style>
  <w:style w:type="paragraph" w:styleId="Bibliography">
    <w:name w:val="Bibliography"/>
    <w:basedOn w:val="Normal"/>
    <w:next w:val="Normal"/>
    <w:uiPriority w:val="37"/>
    <w:unhideWhenUsed/>
    <w:rsid w:val="00A903D6"/>
    <w:pPr>
      <w:widowControl/>
      <w:autoSpaceDE/>
      <w:autoSpaceDN/>
    </w:pPr>
    <w:rPr>
      <w:rFonts w:ascii="NewCenturySchlbk" w:eastAsia="Times New Roman" w:hAnsi="NewCenturySchlbk" w:cs="Times New Roman"/>
      <w:sz w:val="24"/>
      <w:szCs w:val="24"/>
      <w:lang w:bidi="ar-SA"/>
    </w:rPr>
  </w:style>
  <w:style w:type="paragraph" w:styleId="FootnoteText">
    <w:name w:val="footnote text"/>
    <w:basedOn w:val="Normal"/>
    <w:link w:val="FootnoteTextChar"/>
    <w:rsid w:val="00645BC6"/>
    <w:pPr>
      <w:widowControl/>
      <w:tabs>
        <w:tab w:val="left" w:pos="216"/>
      </w:tabs>
      <w:autoSpaceDE/>
      <w:autoSpaceDN/>
      <w:ind w:left="216" w:hanging="216"/>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rsid w:val="00645BC6"/>
    <w:rPr>
      <w:sz w:val="20"/>
      <w:szCs w:val="20"/>
    </w:rPr>
  </w:style>
  <w:style w:type="character" w:styleId="FootnoteReference">
    <w:name w:val="footnote reference"/>
    <w:basedOn w:val="DefaultParagraphFont"/>
    <w:uiPriority w:val="99"/>
    <w:rsid w:val="00645BC6"/>
    <w:rPr>
      <w:vertAlign w:val="superscript"/>
    </w:rPr>
  </w:style>
  <w:style w:type="character" w:styleId="Hyperlink">
    <w:name w:val="Hyperlink"/>
    <w:basedOn w:val="DefaultParagraphFont"/>
    <w:uiPriority w:val="99"/>
    <w:unhideWhenUsed/>
    <w:rsid w:val="007574CD"/>
    <w:rPr>
      <w:color w:val="0563C1" w:themeColor="hyperlink"/>
      <w:u w:val="single"/>
    </w:rPr>
  </w:style>
  <w:style w:type="paragraph" w:customStyle="1" w:styleId="REFERENCES">
    <w:name w:val="REFERENCES"/>
    <w:basedOn w:val="Normal"/>
    <w:uiPriority w:val="5"/>
    <w:qFormat/>
    <w:rsid w:val="007574CD"/>
    <w:pPr>
      <w:keepLines/>
      <w:widowControl/>
      <w:autoSpaceDE/>
      <w:autoSpaceDN/>
      <w:spacing w:after="160" w:line="259" w:lineRule="auto"/>
      <w:ind w:left="720" w:hanging="720"/>
    </w:pPr>
    <w:rPr>
      <w:rFonts w:asciiTheme="minorHAnsi" w:eastAsiaTheme="minorHAnsi" w:hAnsiTheme="minorHAnsi" w:cstheme="minorBidi"/>
      <w:sz w:val="24"/>
      <w:szCs w:val="24"/>
      <w:lang w:bidi="ar-SA"/>
    </w:rPr>
  </w:style>
  <w:style w:type="character" w:styleId="UnresolvedMention">
    <w:name w:val="Unresolved Mention"/>
    <w:basedOn w:val="DefaultParagraphFont"/>
    <w:uiPriority w:val="99"/>
    <w:semiHidden/>
    <w:unhideWhenUsed/>
    <w:rsid w:val="00027C26"/>
    <w:rPr>
      <w:color w:val="605E5C"/>
      <w:shd w:val="clear" w:color="auto" w:fill="E1DFDD"/>
    </w:rPr>
  </w:style>
  <w:style w:type="character" w:customStyle="1" w:styleId="Heading4Char">
    <w:name w:val="Heading 4 Char"/>
    <w:basedOn w:val="DefaultParagraphFont"/>
    <w:link w:val="Heading4"/>
    <w:uiPriority w:val="9"/>
    <w:semiHidden/>
    <w:rsid w:val="00040F11"/>
    <w:rPr>
      <w:rFonts w:asciiTheme="majorHAnsi" w:eastAsiaTheme="majorEastAsia" w:hAnsiTheme="majorHAnsi" w:cstheme="majorBidi"/>
      <w:i/>
      <w:iCs/>
      <w:color w:val="2E74B5" w:themeColor="accent1" w:themeShade="BF"/>
      <w:lang w:bidi="en-US"/>
    </w:rPr>
  </w:style>
  <w:style w:type="character" w:customStyle="1" w:styleId="Heading5Char">
    <w:name w:val="Heading 5 Char"/>
    <w:basedOn w:val="DefaultParagraphFont"/>
    <w:link w:val="Heading5"/>
    <w:uiPriority w:val="9"/>
    <w:semiHidden/>
    <w:rsid w:val="00040F11"/>
    <w:rPr>
      <w:rFonts w:asciiTheme="majorHAnsi" w:eastAsiaTheme="majorEastAsia" w:hAnsiTheme="majorHAnsi" w:cstheme="majorBidi"/>
      <w:color w:val="2E74B5" w:themeColor="accent1" w:themeShade="BF"/>
      <w:lang w:bidi="en-US"/>
    </w:rPr>
  </w:style>
  <w:style w:type="paragraph" w:customStyle="1" w:styleId="Normal4">
    <w:name w:val="Normal4"/>
    <w:basedOn w:val="Normal"/>
    <w:link w:val="Normal4Char"/>
    <w:qFormat/>
    <w:rsid w:val="00040F11"/>
    <w:pPr>
      <w:widowControl/>
      <w:autoSpaceDE/>
      <w:autoSpaceDN/>
      <w:spacing w:after="240"/>
      <w:ind w:left="1080"/>
    </w:pPr>
    <w:rPr>
      <w:rFonts w:ascii="Times New Roman" w:eastAsia="Times New Roman" w:hAnsi="Times New Roman" w:cs="Times New Roman"/>
      <w:sz w:val="24"/>
      <w:szCs w:val="24"/>
      <w:lang w:bidi="ar-SA"/>
    </w:rPr>
  </w:style>
  <w:style w:type="character" w:customStyle="1" w:styleId="Normal4Char">
    <w:name w:val="Normal4 Char"/>
    <w:basedOn w:val="DefaultParagraphFont"/>
    <w:link w:val="Normal4"/>
    <w:rsid w:val="00040F11"/>
    <w:rPr>
      <w:rFonts w:ascii="Times New Roman" w:eastAsia="Times New Roman" w:hAnsi="Times New Roman" w:cs="Times New Roman"/>
      <w:sz w:val="24"/>
      <w:szCs w:val="24"/>
    </w:rPr>
  </w:style>
  <w:style w:type="paragraph" w:customStyle="1" w:styleId="Normal2">
    <w:name w:val="Normal 2"/>
    <w:basedOn w:val="Normal"/>
    <w:link w:val="Normal2Char"/>
    <w:qFormat/>
    <w:rsid w:val="00040F11"/>
    <w:pPr>
      <w:widowControl/>
      <w:autoSpaceDE/>
      <w:autoSpaceDN/>
      <w:spacing w:after="240"/>
      <w:ind w:left="720"/>
    </w:pPr>
    <w:rPr>
      <w:rFonts w:ascii="Times New Roman" w:eastAsia="Times New Roman" w:hAnsi="Times New Roman" w:cs="Times New Roman"/>
      <w:sz w:val="24"/>
      <w:szCs w:val="24"/>
      <w:lang w:bidi="ar-SA"/>
    </w:rPr>
  </w:style>
  <w:style w:type="character" w:customStyle="1" w:styleId="Normal2Char">
    <w:name w:val="Normal 2 Char"/>
    <w:basedOn w:val="DefaultParagraphFont"/>
    <w:link w:val="Normal2"/>
    <w:rsid w:val="00040F11"/>
    <w:rPr>
      <w:rFonts w:ascii="Times New Roman" w:eastAsia="Times New Roman" w:hAnsi="Times New Roman" w:cs="Times New Roman"/>
      <w:sz w:val="24"/>
      <w:szCs w:val="24"/>
    </w:rPr>
  </w:style>
  <w:style w:type="paragraph" w:customStyle="1" w:styleId="Normal5">
    <w:name w:val="Normal5"/>
    <w:basedOn w:val="Normal4"/>
    <w:qFormat/>
    <w:rsid w:val="00040F11"/>
  </w:style>
  <w:style w:type="paragraph" w:customStyle="1" w:styleId="MemoBody">
    <w:name w:val="Memo Body"/>
    <w:basedOn w:val="Normal"/>
    <w:rsid w:val="00040F11"/>
    <w:pPr>
      <w:widowControl/>
      <w:autoSpaceDE/>
      <w:autoSpaceDN/>
      <w:spacing w:after="240"/>
      <w:ind w:left="180"/>
    </w:pPr>
    <w:rPr>
      <w:rFonts w:ascii="Times New Roman" w:eastAsia="Times New Roman" w:hAnsi="Times New Roman" w:cs="Times New Roman"/>
      <w:sz w:val="24"/>
      <w:szCs w:val="20"/>
      <w:lang w:bidi="ar-SA"/>
    </w:rPr>
  </w:style>
  <w:style w:type="paragraph" w:customStyle="1" w:styleId="MemoVersion">
    <w:name w:val="Memo Version"/>
    <w:rsid w:val="00EE0A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pPr>
    <w:rPr>
      <w:rFonts w:ascii="Times New Roman" w:eastAsia="Times New Roman" w:hAnsi="Times New Roman" w:cs="Times New Roman"/>
      <w:smallCaps/>
      <w:sz w:val="24"/>
      <w:szCs w:val="24"/>
    </w:rPr>
  </w:style>
  <w:style w:type="paragraph" w:customStyle="1" w:styleId="table">
    <w:name w:val="table"/>
    <w:basedOn w:val="Normal"/>
    <w:link w:val="tableChar"/>
    <w:qFormat/>
    <w:rsid w:val="00EE0AE8"/>
    <w:pPr>
      <w:widowControl/>
      <w:autoSpaceDE/>
      <w:autoSpaceDN/>
      <w:jc w:val="center"/>
    </w:pPr>
    <w:rPr>
      <w:rFonts w:ascii="Times New Roman" w:eastAsia="Times New Roman" w:hAnsi="Times New Roman" w:cs="Times New Roman"/>
      <w:lang w:bidi="ar-SA"/>
    </w:rPr>
  </w:style>
  <w:style w:type="character" w:customStyle="1" w:styleId="tableChar">
    <w:name w:val="table Char"/>
    <w:basedOn w:val="DefaultParagraphFont"/>
    <w:link w:val="table"/>
    <w:rsid w:val="00EE0AE8"/>
    <w:rPr>
      <w:rFonts w:ascii="Times New Roman" w:eastAsia="Times New Roman" w:hAnsi="Times New Roman" w:cs="Times New Roman"/>
    </w:rPr>
  </w:style>
  <w:style w:type="character" w:customStyle="1" w:styleId="normaltextrun">
    <w:name w:val="normaltextrun"/>
    <w:basedOn w:val="DefaultParagraphFont"/>
    <w:rsid w:val="005A16B5"/>
  </w:style>
  <w:style w:type="character" w:customStyle="1" w:styleId="spellingerror">
    <w:name w:val="spellingerror"/>
    <w:basedOn w:val="DefaultParagraphFont"/>
    <w:rsid w:val="005A16B5"/>
  </w:style>
  <w:style w:type="character" w:customStyle="1" w:styleId="eop">
    <w:name w:val="eop"/>
    <w:basedOn w:val="DefaultParagraphFont"/>
    <w:rsid w:val="005A16B5"/>
  </w:style>
  <w:style w:type="character" w:customStyle="1" w:styleId="contextualspellingandgrammarerror">
    <w:name w:val="contextualspellingandgrammarerror"/>
    <w:basedOn w:val="DefaultParagraphFont"/>
    <w:rsid w:val="005A16B5"/>
  </w:style>
  <w:style w:type="paragraph" w:styleId="Revision">
    <w:name w:val="Revision"/>
    <w:hidden/>
    <w:uiPriority w:val="99"/>
    <w:semiHidden/>
    <w:rsid w:val="00D86A5A"/>
    <w:pPr>
      <w:spacing w:after="0" w:line="240" w:lineRule="auto"/>
    </w:pPr>
    <w:rPr>
      <w:rFonts w:ascii="Arial" w:eastAsia="Arial" w:hAnsi="Arial" w:cs="Arial"/>
      <w:lang w:bidi="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Nicole Butler</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1948</Parent_ICR>
    <ICR_ID xmlns="f762c95d-3cca-4969-a35b-3d8ab5bf0d48">1948</ICR_ID>
    <DocumentType xmlns="f762c95d-3cca-4969-a35b-3d8ab5bf0d48">Supporting Statement B</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14c8ebfd437c949168a42e393e392c5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62635cd84e6a6ff8026d7ece884fd695"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b:Source>
    <b:Tag>USC14</b:Tag>
    <b:SourceType>Report</b:SourceType>
    <b:Guid>{C9F8672A-596A-44B5-8216-9DEAA79A3EA4}</b:Guid>
    <b:Title>American Community Survey Design and Methodology</b:Title>
    <b:Year>2014</b:Year>
    <b:Publisher>U.S. Census Bureau</b:Publisher>
    <b:City>Washington, D.C.</b:City>
    <b:Author>
      <b:Author>
        <b:NameList>
          <b:Person>
            <b:Last>U.S. Census Bureau</b:Last>
          </b:Person>
        </b:NameList>
      </b:Author>
    </b:Author>
    <b:YearAccessed>2018</b:YearAccessed>
    <b:MonthAccessed>February</b:MonthAccessed>
    <b:DayAccessed>1</b:DayAccessed>
    <b:URL>https://www.census.gov/programs-surveys/acs/methodology/design-and-methodology.html</b:URL>
    <b:RefOrder>1</b:RefOrder>
  </b:Source>
</b:Sources>
</file>

<file path=customXml/itemProps1.xml><?xml version="1.0" encoding="utf-8"?>
<ds:datastoreItem xmlns:ds="http://schemas.openxmlformats.org/officeDocument/2006/customXml" ds:itemID="{76FCDDA4-CCA0-40D1-B2E1-DDEC4E6A9DD1}">
  <ds:schemaRefs>
    <ds:schemaRef ds:uri="http://purl.org/dc/elements/1.1/"/>
    <ds:schemaRef ds:uri="http://schemas.microsoft.com/office/2006/documentManagement/types"/>
    <ds:schemaRef ds:uri="http://schemas.microsoft.com/office/infopath/2007/PartnerControls"/>
    <ds:schemaRef ds:uri="f762c95d-3cca-4969-a35b-3d8ab5bf0d48"/>
    <ds:schemaRef ds:uri="http://www.w3.org/XML/1998/namespace"/>
    <ds:schemaRef ds:uri="http://purl.org/dc/dcmitype/"/>
    <ds:schemaRef ds:uri="http://purl.org/dc/terms/"/>
    <ds:schemaRef ds:uri="http://schemas.microsoft.com/office/2006/metadata/properties"/>
    <ds:schemaRef ds:uri="http://schemas.openxmlformats.org/package/2006/metadata/core-properties"/>
    <ds:schemaRef ds:uri="67e9e401-0492-4107-8ab8-e7caf78996f7"/>
  </ds:schemaRefs>
</ds:datastoreItem>
</file>

<file path=customXml/itemProps2.xml><?xml version="1.0" encoding="utf-8"?>
<ds:datastoreItem xmlns:ds="http://schemas.openxmlformats.org/officeDocument/2006/customXml" ds:itemID="{7AF34F47-D210-4CE6-8647-7CCFC79DF14C}">
  <ds:schemaRefs>
    <ds:schemaRef ds:uri="http://schemas.microsoft.com/sharepoint/v3/contenttype/forms"/>
  </ds:schemaRefs>
</ds:datastoreItem>
</file>

<file path=customXml/itemProps3.xml><?xml version="1.0" encoding="utf-8"?>
<ds:datastoreItem xmlns:ds="http://schemas.openxmlformats.org/officeDocument/2006/customXml" ds:itemID="{959BFF38-D23A-4F5B-83ED-B1CBD55AD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F4CA0B-1494-42F3-AB76-C1307A7834C2}">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4093</Words>
  <Characters>23333</Characters>
  <Application>Microsoft Office Word</Application>
  <DocSecurity>0</DocSecurity>
  <Lines>194</Lines>
  <Paragraphs>54</Paragraphs>
  <ScaleCrop>false</ScaleCrop>
  <Company>Bureau of the Census</Company>
  <LinksUpToDate>false</LinksUpToDate>
  <CharactersWithSpaces>27372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 ACS SupportingStatement B_5-1-2026</dc:title>
  <dc:creator>Mary Reuling Lenaiyasa (CENSUS/PCO FED)</dc:creator>
  <cp:lastModifiedBy>Kenneth A Turner (CENSUS/DCMD FED)</cp:lastModifiedBy>
  <cp:revision>2</cp:revision>
  <dcterms:created xsi:type="dcterms:W3CDTF">2026-05-11T14:59:00Z</dcterms:created>
  <dcterms:modified xsi:type="dcterms:W3CDTF">2026-05-11T14:59:00Z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y fmtid="{D5CDD505-2E9C-101B-9397-08002B2CF9AE}" pid="4" name="WorkflowChangePath">
    <vt:lpwstr>fc4fcf7f-7c53-4270-8d7a-2220063620a7,4;fc4fcf7f-7c53-4270-8d7a-2220063620a7,5;ab213ec4-deba-4553-b82a-af5d21a3ff69,6;e9c422f0-b101-44c8-aa5f-338a5297d242,7;ab213ec4-deba-4553-b82a-af5d21a3ff69,12;</vt:lpwstr>
  </property>
  <property fmtid="{D5CDD505-2E9C-101B-9397-08002B2CF9AE}" pid="5" name="_dlc_DocIdItemGuid">
    <vt:lpwstr>0f9dc2cf-e084-4674-a63a-221aa2265ef3</vt:lpwstr>
  </property>
</Properties>
</file>