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6907570B" w14:textId="581B423C">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w:t>
      </w:r>
      <w:r w:rsidR="005F6102">
        <w:rPr>
          <w:rFonts w:ascii="Times New Roman" w:hAnsi="Times New Roman"/>
          <w:b/>
          <w:szCs w:val="24"/>
          <w:lang w:val=""/>
        </w:rPr>
        <w:t>0524</w:t>
      </w:r>
      <w:r w:rsidRPr="00BD1DD0">
        <w:rPr>
          <w:rFonts w:ascii="Times New Roman" w:hAnsi="Times New Roman"/>
          <w:b/>
          <w:szCs w:val="24"/>
          <w:lang w:val=""/>
        </w:rPr>
        <w:t>-</w:t>
      </w:r>
      <w:r w:rsidR="005F6102">
        <w:rPr>
          <w:rFonts w:ascii="Times New Roman" w:hAnsi="Times New Roman"/>
          <w:b/>
          <w:szCs w:val="24"/>
          <w:lang w:val=""/>
        </w:rPr>
        <w:t>0044</w:t>
      </w:r>
      <w:r w:rsidRPr="00BD1DD0" w:rsidR="00B335C9">
        <w:rPr>
          <w:rFonts w:ascii="Times New Roman" w:hAnsi="Times New Roman"/>
          <w:b/>
          <w:szCs w:val="24"/>
          <w:lang w:val=""/>
        </w:rPr>
        <w:t xml:space="preserve">:  </w:t>
      </w:r>
    </w:p>
    <w:p w:rsidR="00447C1E" w:rsidRPr="00BD1DD0" w:rsidP="00447C1E" w14:paraId="6907570C" w14:textId="420A3FA3">
      <w:pPr>
        <w:tabs>
          <w:tab w:val="right" w:pos="9360"/>
        </w:tabs>
        <w:spacing w:line="480" w:lineRule="auto"/>
        <w:jc w:val="center"/>
        <w:rPr>
          <w:rFonts w:ascii="Times New Roman" w:hAnsi="Times New Roman"/>
          <w:b/>
          <w:szCs w:val="24"/>
        </w:rPr>
      </w:pPr>
      <w:r>
        <w:rPr>
          <w:rFonts w:ascii="Times New Roman" w:hAnsi="Times New Roman"/>
          <w:b/>
          <w:szCs w:val="24"/>
        </w:rPr>
        <w:t>Expanded Food and Nutrition Education Program (EFNEP)</w:t>
      </w:r>
    </w:p>
    <w:p w:rsidR="00447C1E" w:rsidRPr="002568E6" w:rsidP="00447C1E" w14:paraId="69075711" w14:textId="069AE4B3">
      <w:pPr>
        <w:spacing w:line="480" w:lineRule="auto"/>
        <w:jc w:val="center"/>
        <w:rPr>
          <w:rFonts w:ascii="Times New Roman" w:hAnsi="Times New Roman"/>
          <w:szCs w:val="24"/>
          <w:lang w:val=""/>
        </w:rPr>
      </w:pPr>
      <w:r>
        <w:rPr>
          <w:rFonts w:ascii="Times New Roman" w:hAnsi="Times New Roman"/>
          <w:szCs w:val="24"/>
          <w:lang w:val=""/>
        </w:rPr>
        <w:t>Carinthia Cherry</w:t>
      </w:r>
    </w:p>
    <w:p w:rsidR="00447C1E" w:rsidRPr="002568E6" w:rsidP="00447C1E" w14:paraId="69075712" w14:textId="5B214E01">
      <w:pPr>
        <w:spacing w:line="480" w:lineRule="auto"/>
        <w:jc w:val="center"/>
        <w:rPr>
          <w:rFonts w:ascii="Times New Roman" w:hAnsi="Times New Roman"/>
          <w:szCs w:val="24"/>
        </w:rPr>
      </w:pPr>
      <w:r>
        <w:rPr>
          <w:rFonts w:ascii="Times New Roman" w:hAnsi="Times New Roman"/>
          <w:szCs w:val="24"/>
        </w:rPr>
        <w:t>National Program Leader</w:t>
      </w:r>
    </w:p>
    <w:p w:rsidR="00447C1E" w:rsidRPr="002568E6" w:rsidP="00447C1E" w14:paraId="69075713" w14:textId="57871C87">
      <w:pPr>
        <w:tabs>
          <w:tab w:val="left" w:pos="-720"/>
        </w:tabs>
        <w:suppressAutoHyphens/>
        <w:spacing w:line="480" w:lineRule="auto"/>
        <w:jc w:val="center"/>
        <w:rPr>
          <w:rFonts w:ascii="Times New Roman" w:hAnsi="Times New Roman"/>
          <w:szCs w:val="24"/>
        </w:rPr>
      </w:pPr>
      <w:r>
        <w:rPr>
          <w:rFonts w:ascii="Times New Roman" w:hAnsi="Times New Roman"/>
          <w:szCs w:val="24"/>
        </w:rPr>
        <w:t>Expanded Food and Nutrition Education Program</w:t>
      </w:r>
    </w:p>
    <w:p w:rsidR="00447C1E" w:rsidRPr="002568E6" w:rsidP="00447C1E" w14:paraId="69075715" w14:textId="13D1C526">
      <w:pPr>
        <w:spacing w:line="480" w:lineRule="auto"/>
        <w:jc w:val="center"/>
        <w:rPr>
          <w:rFonts w:ascii="Times New Roman" w:hAnsi="Times New Roman"/>
          <w:szCs w:val="24"/>
        </w:rPr>
      </w:pPr>
      <w:r w:rsidRPr="002568E6">
        <w:rPr>
          <w:rFonts w:ascii="Times New Roman" w:hAnsi="Times New Roman"/>
          <w:szCs w:val="24"/>
        </w:rPr>
        <w:t xml:space="preserve">USDA, </w:t>
      </w:r>
      <w:r w:rsidR="005F6102">
        <w:rPr>
          <w:rFonts w:ascii="Times New Roman" w:hAnsi="Times New Roman"/>
          <w:szCs w:val="24"/>
        </w:rPr>
        <w:t>National Institute of Agriculture</w:t>
      </w:r>
    </w:p>
    <w:p w:rsidR="00447C1E" w:rsidRPr="002568E6" w:rsidP="00447C1E" w14:paraId="69075716" w14:textId="4FFA88C0">
      <w:pPr>
        <w:spacing w:line="480" w:lineRule="auto"/>
        <w:jc w:val="center"/>
        <w:rPr>
          <w:rFonts w:ascii="Times New Roman" w:hAnsi="Times New Roman"/>
          <w:szCs w:val="24"/>
        </w:rPr>
      </w:pPr>
      <w:r>
        <w:rPr>
          <w:rFonts w:ascii="Times New Roman" w:hAnsi="Times New Roman"/>
          <w:szCs w:val="24"/>
        </w:rPr>
        <w:t>805 Pennsylvania Ave</w:t>
      </w:r>
      <w:r w:rsidR="00D35509">
        <w:rPr>
          <w:rFonts w:ascii="Times New Roman" w:hAnsi="Times New Roman"/>
          <w:szCs w:val="24"/>
        </w:rPr>
        <w:t>nue</w:t>
      </w:r>
    </w:p>
    <w:p w:rsidR="00447C1E" w:rsidRPr="002568E6" w:rsidP="00447C1E" w14:paraId="69075717" w14:textId="6210BCE4">
      <w:pPr>
        <w:spacing w:line="480" w:lineRule="auto"/>
        <w:jc w:val="center"/>
        <w:rPr>
          <w:rFonts w:ascii="Times New Roman" w:hAnsi="Times New Roman"/>
          <w:szCs w:val="24"/>
        </w:rPr>
      </w:pPr>
      <w:r>
        <w:rPr>
          <w:rFonts w:ascii="Times New Roman" w:hAnsi="Times New Roman"/>
          <w:szCs w:val="24"/>
        </w:rPr>
        <w:t>Kansas City, MO 64105</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4E13E8AE">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7FEE0399">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4</w:t>
        </w:r>
        <w:r>
          <w:rPr>
            <w:webHidden/>
          </w:rPr>
          <w:fldChar w:fldCharType="end"/>
        </w:r>
      </w:hyperlink>
    </w:p>
    <w:p w:rsidR="00BD1DD0" w14:paraId="6907571D" w14:textId="59DC5599">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w:t>
        </w:r>
        <w:r>
          <w:rPr>
            <w:rStyle w:val="Hyperlink"/>
          </w:rPr>
          <w:t xml:space="preserve">. </w:t>
        </w:r>
        <w:r w:rsidRPr="00F2228F">
          <w:rPr>
            <w:rStyle w:val="Hyperlink"/>
          </w:rPr>
          <w:t>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5</w:t>
        </w:r>
        <w:r>
          <w:rPr>
            <w:webHidden/>
          </w:rPr>
          <w:fldChar w:fldCharType="end"/>
        </w:r>
      </w:hyperlink>
    </w:p>
    <w:p w:rsidR="00BD1DD0" w14:paraId="6907571E" w14:textId="2E4C88FE">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w:t>
        </w:r>
        <w:r>
          <w:rPr>
            <w:rStyle w:val="Hyperlink"/>
          </w:rPr>
          <w:t xml:space="preserve">. </w:t>
        </w:r>
        <w:r w:rsidRPr="00F2228F">
          <w:rPr>
            <w:rStyle w:val="Hyperlink"/>
          </w:rPr>
          <w:t>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5</w:t>
        </w:r>
        <w:r>
          <w:rPr>
            <w:webHidden/>
          </w:rPr>
          <w:fldChar w:fldCharType="end"/>
        </w:r>
      </w:hyperlink>
    </w:p>
    <w:p w:rsidR="00BD1DD0" w14:paraId="6907571F" w14:textId="6D315C23">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w:t>
        </w:r>
        <w:r>
          <w:rPr>
            <w:rStyle w:val="Hyperlink"/>
          </w:rPr>
          <w:t xml:space="preserve">. </w:t>
        </w:r>
        <w:r w:rsidRPr="00F2228F">
          <w:rPr>
            <w:rStyle w:val="Hyperlink"/>
          </w:rPr>
          <w:t>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6</w:t>
        </w:r>
        <w:r>
          <w:rPr>
            <w:webHidden/>
          </w:rPr>
          <w:fldChar w:fldCharType="end"/>
        </w:r>
      </w:hyperlink>
    </w:p>
    <w:p w:rsidR="00BD1DD0" w14:paraId="69075720" w14:textId="7E0025FF">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w:t>
        </w:r>
        <w:r>
          <w:rPr>
            <w:rStyle w:val="Hyperlink"/>
          </w:rPr>
          <w:t xml:space="preserve">. </w:t>
        </w:r>
        <w:r w:rsidRPr="00F2228F">
          <w:rPr>
            <w:rStyle w:val="Hyperlink"/>
          </w:rPr>
          <w:t>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6</w:t>
        </w:r>
        <w:r>
          <w:rPr>
            <w:webHidden/>
          </w:rPr>
          <w:fldChar w:fldCharType="end"/>
        </w:r>
      </w:hyperlink>
    </w:p>
    <w:p w:rsidR="00BD1DD0" w14:paraId="69075721" w14:textId="24F1F7E4">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w:t>
        </w:r>
        <w:r>
          <w:rPr>
            <w:rStyle w:val="Hyperlink"/>
          </w:rPr>
          <w:t xml:space="preserve">. </w:t>
        </w:r>
        <w:r w:rsidRPr="00F2228F">
          <w:rPr>
            <w:rStyle w:val="Hyperlink"/>
          </w:rPr>
          <w:t>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6</w:t>
        </w:r>
        <w:r>
          <w:rPr>
            <w:webHidden/>
          </w:rPr>
          <w:fldChar w:fldCharType="end"/>
        </w:r>
      </w:hyperlink>
    </w:p>
    <w:p w:rsidR="00BD1DD0" w14:paraId="69075722" w14:textId="444FD118">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w:t>
        </w:r>
        <w:r>
          <w:rPr>
            <w:rStyle w:val="Hyperlink"/>
          </w:rPr>
          <w:t xml:space="preserve">. </w:t>
        </w:r>
        <w:r w:rsidRPr="00F2228F">
          <w:rPr>
            <w:rStyle w:val="Hyperlink"/>
          </w:rPr>
          <w:t>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7</w:t>
        </w:r>
        <w:r>
          <w:rPr>
            <w:webHidden/>
          </w:rPr>
          <w:fldChar w:fldCharType="end"/>
        </w:r>
      </w:hyperlink>
    </w:p>
    <w:p w:rsidR="00BD1DD0" w14:paraId="69075723" w14:textId="13653DE5">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w:t>
        </w:r>
        <w:r>
          <w:rPr>
            <w:rStyle w:val="Hyperlink"/>
          </w:rPr>
          <w:t xml:space="preserve">. </w:t>
        </w:r>
        <w:r w:rsidRPr="00F2228F">
          <w:rPr>
            <w:rStyle w:val="Hyperlink"/>
          </w:rPr>
          <w:t>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8</w:t>
        </w:r>
        <w:r>
          <w:rPr>
            <w:webHidden/>
          </w:rPr>
          <w:fldChar w:fldCharType="end"/>
        </w:r>
      </w:hyperlink>
    </w:p>
    <w:p w:rsidR="00BD1DD0" w14:paraId="69075724" w14:textId="522092BE">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w:t>
        </w:r>
        <w:r>
          <w:rPr>
            <w:rStyle w:val="Hyperlink"/>
          </w:rPr>
          <w:t xml:space="preserve">. </w:t>
        </w:r>
        <w:r w:rsidRPr="00F2228F">
          <w:rPr>
            <w:rStyle w:val="Hyperlink"/>
          </w:rPr>
          <w:t>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8</w:t>
        </w:r>
        <w:r>
          <w:rPr>
            <w:webHidden/>
          </w:rPr>
          <w:fldChar w:fldCharType="end"/>
        </w:r>
      </w:hyperlink>
    </w:p>
    <w:p w:rsidR="00BD1DD0" w14:paraId="69075725" w14:textId="09E8F8CE">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w:t>
        </w:r>
        <w:r>
          <w:rPr>
            <w:rStyle w:val="Hyperlink"/>
          </w:rPr>
          <w:t xml:space="preserve">. </w:t>
        </w:r>
        <w:r w:rsidRPr="00F2228F">
          <w:rPr>
            <w:rStyle w:val="Hyperlink"/>
          </w:rPr>
          <w:t>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8</w:t>
        </w:r>
        <w:r>
          <w:rPr>
            <w:webHidden/>
          </w:rPr>
          <w:fldChar w:fldCharType="end"/>
        </w:r>
      </w:hyperlink>
    </w:p>
    <w:p w:rsidR="00BD1DD0" w14:paraId="69075726" w14:textId="3F60919D">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w:t>
        </w:r>
        <w:r>
          <w:rPr>
            <w:rStyle w:val="Hyperlink"/>
          </w:rPr>
          <w:t xml:space="preserve">. </w:t>
        </w:r>
        <w:r w:rsidRPr="00F2228F">
          <w:rPr>
            <w:rStyle w:val="Hyperlink"/>
          </w:rPr>
          <w:t>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8</w:t>
        </w:r>
        <w:r>
          <w:rPr>
            <w:webHidden/>
          </w:rPr>
          <w:fldChar w:fldCharType="end"/>
        </w:r>
      </w:hyperlink>
    </w:p>
    <w:p w:rsidR="00BD1DD0" w14:paraId="69075727" w14:textId="32032DD8">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w:t>
        </w:r>
        <w:r>
          <w:rPr>
            <w:rStyle w:val="Hyperlink"/>
          </w:rPr>
          <w:t xml:space="preserve">. </w:t>
        </w:r>
        <w:r w:rsidRPr="00F2228F">
          <w:rPr>
            <w:rStyle w:val="Hyperlink"/>
          </w:rPr>
          <w:t>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10</w:t>
        </w:r>
        <w:r>
          <w:rPr>
            <w:webHidden/>
          </w:rPr>
          <w:fldChar w:fldCharType="end"/>
        </w:r>
      </w:hyperlink>
    </w:p>
    <w:p w:rsidR="00BD1DD0" w14:paraId="69075728" w14:textId="130C4BB2">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w:t>
        </w:r>
        <w:r>
          <w:rPr>
            <w:rStyle w:val="Hyperlink"/>
          </w:rPr>
          <w:t xml:space="preserve">. </w:t>
        </w:r>
        <w:r w:rsidRPr="00F2228F">
          <w:rPr>
            <w:rStyle w:val="Hyperlink"/>
          </w:rPr>
          <w:t>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10</w:t>
        </w:r>
        <w:r>
          <w:rPr>
            <w:webHidden/>
          </w:rPr>
          <w:fldChar w:fldCharType="end"/>
        </w:r>
      </w:hyperlink>
    </w:p>
    <w:p w:rsidR="00BD1DD0" w14:paraId="69075729" w14:textId="4FA16D92">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w:t>
        </w:r>
        <w:r>
          <w:rPr>
            <w:rStyle w:val="Hyperlink"/>
          </w:rPr>
          <w:t xml:space="preserve">. </w:t>
        </w:r>
        <w:r w:rsidRPr="00F2228F">
          <w:rPr>
            <w:rStyle w:val="Hyperlink"/>
          </w:rPr>
          <w:t>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10</w:t>
        </w:r>
        <w:r>
          <w:rPr>
            <w:webHidden/>
          </w:rPr>
          <w:fldChar w:fldCharType="end"/>
        </w:r>
      </w:hyperlink>
    </w:p>
    <w:p w:rsidR="00BD1DD0" w14:paraId="6907572A" w14:textId="6AEEAACA">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w:t>
        </w:r>
        <w:r>
          <w:rPr>
            <w:rStyle w:val="Hyperlink"/>
          </w:rPr>
          <w:t xml:space="preserve">. </w:t>
        </w:r>
        <w:r w:rsidRPr="00F2228F">
          <w:rPr>
            <w:rStyle w:val="Hyperlink"/>
          </w:rPr>
          <w:t>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11</w:t>
        </w:r>
        <w:r>
          <w:rPr>
            <w:webHidden/>
          </w:rPr>
          <w:fldChar w:fldCharType="end"/>
        </w:r>
      </w:hyperlink>
    </w:p>
    <w:p w:rsidR="00BD1DD0" w14:paraId="6907572B" w14:textId="4EBEF007">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w:t>
        </w:r>
        <w:r>
          <w:rPr>
            <w:rStyle w:val="Hyperlink"/>
          </w:rPr>
          <w:t xml:space="preserve">. </w:t>
        </w:r>
        <w:r w:rsidRPr="00F2228F">
          <w:rPr>
            <w:rStyle w:val="Hyperlink"/>
          </w:rPr>
          <w:t>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11</w:t>
        </w:r>
        <w:r>
          <w:rPr>
            <w:webHidden/>
          </w:rPr>
          <w:fldChar w:fldCharType="end"/>
        </w:r>
      </w:hyperlink>
    </w:p>
    <w:p w:rsidR="00BD1DD0" w14:paraId="6907572C" w14:textId="38C59986">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w:t>
        </w:r>
        <w:r>
          <w:rPr>
            <w:rStyle w:val="Hyperlink"/>
          </w:rPr>
          <w:t xml:space="preserve">. </w:t>
        </w:r>
        <w:r w:rsidRPr="00F2228F">
          <w:rPr>
            <w:rStyle w:val="Hyperlink"/>
          </w:rPr>
          <w:t>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11</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905A5F" w:rsidP="009F7E1A" w14:paraId="6907572F" w14:textId="77777777">
      <w:pPr>
        <w:tabs>
          <w:tab w:val="center" w:pos="4680"/>
        </w:tabs>
        <w:rPr>
          <w:rFonts w:ascii="Times New Roman" w:hAnsi="Times New Roman"/>
          <w:b/>
          <w:szCs w:val="24"/>
          <w:u w:val="single"/>
        </w:rPr>
      </w:pPr>
    </w:p>
    <w:p w:rsidR="002568E6" w14:paraId="6907573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1266EB" w:rsidRPr="00B006ED" w:rsidP="00D35509" w14:paraId="560195B4" w14:textId="6066BA02">
      <w:pPr>
        <w:widowControl/>
        <w:overflowPunct/>
        <w:textAlignment w:val="auto"/>
        <w:rPr>
          <w:rFonts w:ascii="Times New Roman" w:hAnsi="Times New Roman"/>
          <w:sz w:val="20"/>
        </w:rPr>
      </w:pPr>
      <w:bookmarkStart w:id="2" w:name="OLE_LINK5"/>
      <w:bookmarkStart w:id="3" w:name="OLE_LINK6"/>
      <w:r>
        <w:rPr>
          <w:rFonts w:ascii="Times New Roman" w:hAnsi="Times New Roman"/>
          <w:szCs w:val="24"/>
        </w:rPr>
        <w:t xml:space="preserve">This is a </w:t>
      </w:r>
      <w:r w:rsidR="003C6A15">
        <w:rPr>
          <w:rFonts w:ascii="Times New Roman" w:hAnsi="Times New Roman"/>
          <w:szCs w:val="24"/>
        </w:rPr>
        <w:t>revi</w:t>
      </w:r>
      <w:r>
        <w:rPr>
          <w:rFonts w:ascii="Times New Roman" w:hAnsi="Times New Roman"/>
          <w:szCs w:val="24"/>
        </w:rPr>
        <w:t xml:space="preserve">sion of a currently approved information collection request. </w:t>
      </w:r>
      <w:r w:rsidRPr="001266EB" w:rsidR="00AC35D2">
        <w:rPr>
          <w:rFonts w:ascii="Times New Roman" w:hAnsi="Times New Roman"/>
          <w:szCs w:val="24"/>
        </w:rPr>
        <w:t>The Expanded Food and Nutrition Education Program (EFNEP) is a Federal Extension (community outreach) program that currently operates through 1862 and 1890 Land-Grant Universities in every state, the District of Columbia, and the six U.S. territories. The program uses education to support participants’ efforts towards self-sufficiency, nutritional health, and well-being. EFNEP combines hands-on learning, applied science, and program data to ensure program effectiveness, efficiency, and accountability. The Expanded Food and Nutrition Education Program is the largest single Extension program in the National Institute of Food and Agriculture’s (NIFA) budget, funded as a separate line item at $70 million in 2025. The data collected through the Web-based Nutrition Education Evaluation and Reporting System (WebNEERS) is a significant component of the program</w:t>
      </w:r>
      <w:r w:rsidR="00AC35D2">
        <w:rPr>
          <w:rFonts w:ascii="Times New Roman" w:hAnsi="Times New Roman"/>
          <w:szCs w:val="24"/>
        </w:rPr>
        <w:t>.</w:t>
      </w:r>
    </w:p>
    <w:p w:rsidR="001266EB" w:rsidRPr="001266EB" w:rsidP="00D35509" w14:paraId="49B28A72" w14:textId="77777777">
      <w:pPr>
        <w:widowControl/>
        <w:overflowPunct/>
        <w:textAlignment w:val="auto"/>
        <w:rPr>
          <w:rFonts w:ascii="Times New Roman" w:hAnsi="Times New Roman"/>
          <w:szCs w:val="24"/>
        </w:rPr>
      </w:pPr>
    </w:p>
    <w:p w:rsidR="001266EB" w:rsidRPr="001266EB" w:rsidP="00D35509" w14:paraId="6176020A" w14:textId="67C6E2ED">
      <w:pPr>
        <w:widowControl/>
        <w:overflowPunct/>
        <w:textAlignment w:val="auto"/>
        <w:rPr>
          <w:rFonts w:ascii="Times New Roman" w:hAnsi="Times New Roman"/>
          <w:szCs w:val="24"/>
        </w:rPr>
      </w:pPr>
      <w:r w:rsidRPr="001266EB">
        <w:rPr>
          <w:rFonts w:ascii="Times New Roman" w:hAnsi="Times New Roman"/>
          <w:szCs w:val="24"/>
        </w:rPr>
        <w:t>EFNEP is a unique program that began in 1969. It is designed to reach families with young children and youth/children with limited financial resources. Extension professionals train and supervise paraprofessionals and volunteers who teach food and nutrition information and skills to families and youth with limited financial resources.</w:t>
      </w:r>
    </w:p>
    <w:p w:rsidR="001266EB" w:rsidRPr="001266EB" w:rsidP="00D35509" w14:paraId="0739368B" w14:textId="77777777">
      <w:pPr>
        <w:widowControl/>
        <w:overflowPunct/>
        <w:textAlignment w:val="auto"/>
        <w:rPr>
          <w:rFonts w:ascii="Times New Roman" w:hAnsi="Times New Roman"/>
          <w:szCs w:val="24"/>
        </w:rPr>
      </w:pPr>
    </w:p>
    <w:p w:rsidR="001266EB" w:rsidRPr="001266EB" w:rsidP="00D35509" w14:paraId="38EE1E1B" w14:textId="77777777">
      <w:pPr>
        <w:widowControl/>
        <w:overflowPunct/>
        <w:textAlignment w:val="auto"/>
        <w:rPr>
          <w:rFonts w:ascii="Times New Roman" w:hAnsi="Times New Roman"/>
          <w:szCs w:val="24"/>
        </w:rPr>
      </w:pPr>
      <w:r w:rsidRPr="001266EB">
        <w:rPr>
          <w:rFonts w:ascii="Times New Roman" w:hAnsi="Times New Roman"/>
          <w:szCs w:val="24"/>
        </w:rPr>
        <w:t xml:space="preserve">The EFNEP program data collection requirements have existed since 1969. In 1990, the House Committee on Agriculture voiced their displeasure with existing data that was being provided on EFNEP and demanded greater accountability and the ability to show the degree to which the program achieved its objectives. A new evaluation system was developed, and an expert panel was convened to look at the data elements and determine which data would be most critical for use by policy makers. The panel included representatives from other USDA agencies with whom EFNEP partners (Economic Research Service and Food and Nutrition Service), the USDA Office of Budget and Program Analysis, and evaluation specialists from the Federal Extension Service and its university partners. Concurrence was received from staff for the House Committee on Agriculture. The panel identified the most valuable behaviors to measure, which then became the core components of this information collection. Since the information collection was initially approved, the system has been upgraded to align with technological advancements and to address changes in data collection standards and requirements (e.g., data collection on race/ethnicity, updates to dietary guidelines, etc.). In 2012, in response to a review of the information collection, stakeholder feedback, and an evaluation of stakeholder needs, NIFA created the WebNEERS system as a platform for collecting data for this information collection. Since its initial development, WebNEERS has been regularly evaluated to ensure that only data necessary for the implementation of EFNEP is collected. </w:t>
      </w:r>
    </w:p>
    <w:p w:rsidR="001266EB" w:rsidRPr="001266EB" w:rsidP="00D35509" w14:paraId="2205C0B6" w14:textId="77777777">
      <w:pPr>
        <w:widowControl/>
        <w:overflowPunct/>
        <w:textAlignment w:val="auto"/>
        <w:rPr>
          <w:rFonts w:ascii="Times New Roman" w:hAnsi="Times New Roman"/>
          <w:szCs w:val="24"/>
        </w:rPr>
      </w:pPr>
    </w:p>
    <w:p w:rsidR="005A3F80" w:rsidRPr="002568E6" w:rsidP="00D35509" w14:paraId="6907573A" w14:textId="40B5D9CC">
      <w:pPr>
        <w:widowControl/>
        <w:overflowPunct/>
        <w:textAlignment w:val="auto"/>
        <w:rPr>
          <w:rFonts w:ascii="Times New Roman" w:hAnsi="Times New Roman"/>
          <w:szCs w:val="24"/>
        </w:rPr>
      </w:pPr>
      <w:r w:rsidRPr="001266EB">
        <w:rPr>
          <w:rFonts w:ascii="Times New Roman" w:hAnsi="Times New Roman"/>
          <w:szCs w:val="24"/>
        </w:rPr>
        <w:t xml:space="preserve">The evaluation processes of EFNEP remain consistent with the requirements of Congressional legislation and OMB and supports the reporting requirements requested in the Government Performance and Results Act of 1993 (GPRA) (Pub. L. 103–62), the Federal Activities Inventory Reform Act of 1998 (FAIR Act) (Pub. L. 105–270), and the Agricultural, Research, Extension </w:t>
      </w:r>
      <w:r w:rsidRPr="001266EB">
        <w:rPr>
          <w:rFonts w:ascii="Times New Roman" w:hAnsi="Times New Roman"/>
          <w:szCs w:val="24"/>
        </w:rPr>
        <w:t>and Education Reform Act of 1998 AREERA) (Pub. L. 105–185</w:t>
      </w:r>
      <w:r>
        <w:rPr>
          <w:rFonts w:ascii="Times New Roman" w:hAnsi="Times New Roman"/>
          <w:szCs w:val="24"/>
        </w:rPr>
        <w:t xml:space="preserve">. </w:t>
      </w:r>
      <w:r w:rsidRPr="001266EB">
        <w:rPr>
          <w:rFonts w:ascii="Times New Roman" w:hAnsi="Times New Roman"/>
          <w:szCs w:val="24"/>
        </w:rPr>
        <w:t xml:space="preserve">The FAIR Act requires the development and implementation of a system to monitor and evaluate agricultural research and extension activities in order to measure the impact and effectiveness of research, extension, and education programs. AREERA requires a performance evaluation to be conducted to determine whether federally funded agricultural research, extension, and education programs result in public goods that have national or multistate significance. EFNEP data is also available to the public via public </w:t>
      </w:r>
      <w:bookmarkEnd w:id="2"/>
      <w:bookmarkEnd w:id="3"/>
    </w:p>
    <w:p w:rsidR="00354DDB" w:rsidP="0062567E" w14:paraId="2A691107" w14:textId="77777777">
      <w:pPr>
        <w:pStyle w:val="Heading1"/>
        <w:rPr>
          <w:szCs w:val="24"/>
        </w:rPr>
      </w:pPr>
      <w:bookmarkStart w:id="4" w:name="_Toc401831358"/>
      <w:bookmarkStart w:id="5" w:name="_Toc401832402"/>
    </w:p>
    <w:p w:rsidR="00354DDB" w:rsidP="0062567E" w14:paraId="0A29C15E" w14:textId="77777777">
      <w:pPr>
        <w:pStyle w:val="Heading1"/>
        <w:rPr>
          <w:szCs w:val="24"/>
        </w:rPr>
      </w:pPr>
    </w:p>
    <w:p w:rsidR="00A308DB" w:rsidRPr="002568E6" w:rsidP="0062567E" w14:paraId="6907573C" w14:textId="1BBF04D9">
      <w:pPr>
        <w:pStyle w:val="Heading1"/>
        <w:rPr>
          <w:szCs w:val="24"/>
        </w:rPr>
      </w:pPr>
      <w:r w:rsidRPr="002568E6">
        <w:rPr>
          <w:szCs w:val="24"/>
        </w:rPr>
        <w:t xml:space="preserve">A2. </w:t>
      </w:r>
      <w:r w:rsidRPr="002568E6" w:rsidR="00447C1E">
        <w:rPr>
          <w:szCs w:val="24"/>
        </w:rPr>
        <w:t>Purpose and Use of the Information.</w:t>
      </w:r>
      <w:bookmarkEnd w:id="4"/>
      <w:bookmarkEnd w:id="5"/>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22C62BB6">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35120A">
        <w:rPr>
          <w:rFonts w:ascii="Times New Roman" w:hAnsi="Times New Roman"/>
          <w:b/>
          <w:szCs w:val="24"/>
        </w:rPr>
        <w:t xml:space="preserve">. </w:t>
      </w:r>
      <w:r w:rsidRPr="002568E6" w:rsidR="009F0786">
        <w:rPr>
          <w:rFonts w:ascii="Times New Roman" w:hAnsi="Times New Roman"/>
          <w:b/>
          <w:szCs w:val="24"/>
        </w:rPr>
        <w:t>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1266EB" w:rsidRPr="001266EB" w:rsidP="00AA4962" w14:paraId="5931111C" w14:textId="77777777">
      <w:pPr>
        <w:widowControl/>
        <w:overflowPunct/>
        <w:textAlignment w:val="auto"/>
        <w:rPr>
          <w:rFonts w:ascii="Times New Roman" w:hAnsi="Times New Roman"/>
          <w:szCs w:val="24"/>
        </w:rPr>
      </w:pPr>
      <w:r w:rsidRPr="001266EB">
        <w:rPr>
          <w:rFonts w:ascii="Times New Roman" w:hAnsi="Times New Roman"/>
          <w:szCs w:val="24"/>
        </w:rPr>
        <w:t xml:space="preserve">The general purpose of the Web-based Nutrition Education Evaluation and Reporting System (WebNEERS) is to provide the data needed to assure the quality of the educational program and the alignment of plans, budgets, and results with program policies and expectations. Information is collected federally on an annual basis. WebNEERS is a secure system designed, hosted, and maintained by Clemson University. It is hosted on an https:// secure server which is password protected. The system provides a variety of reports that are useful for federal (NIFA), institutional (1862 and 1890 Land-Grant Universities) and local (county) management purposes, including the ability to provide diagnostic assessments of participant needs, summarize data for institutional and federal assessment of the program’s impact, and to prepare strategic plans for the upcoming year. </w:t>
      </w:r>
    </w:p>
    <w:p w:rsidR="001266EB" w:rsidRPr="001266EB" w:rsidP="00354DDB" w14:paraId="4A6A4DC4" w14:textId="77777777">
      <w:pPr>
        <w:widowControl/>
        <w:overflowPunct/>
        <w:ind w:left="90"/>
        <w:textAlignment w:val="auto"/>
        <w:rPr>
          <w:rFonts w:ascii="Times New Roman" w:hAnsi="Times New Roman"/>
          <w:szCs w:val="24"/>
        </w:rPr>
      </w:pPr>
    </w:p>
    <w:p w:rsidR="001266EB" w:rsidRPr="001266EB" w:rsidP="00AA4962" w14:paraId="6B3635F0" w14:textId="77777777">
      <w:pPr>
        <w:widowControl/>
        <w:overflowPunct/>
        <w:autoSpaceDE/>
        <w:autoSpaceDN/>
        <w:adjustRightInd/>
        <w:textAlignment w:val="auto"/>
        <w:rPr>
          <w:rFonts w:ascii="Times New Roman" w:hAnsi="Times New Roman"/>
          <w:szCs w:val="24"/>
        </w:rPr>
      </w:pPr>
      <w:r w:rsidRPr="001266EB">
        <w:rPr>
          <w:rFonts w:ascii="Times New Roman" w:hAnsi="Times New Roman"/>
          <w:szCs w:val="24"/>
        </w:rPr>
        <w:t xml:space="preserve">At the federal level, the data is critical for assuring program accountability. WebNEERS reports include demographic, outcome and impact data on program participants and staff as well as program plans, budgets and qualitative program impacts. As the reports are submitted from each 1862 and 1890 Land-Grant Institution, they are reviewed in the federal office for completeness, accuracy, and adherence to EFNEP programmatic and fiscal policies. Specific feedback is given to each institution on the quality and effectiveness of its program results, program plan, and the appropriateness of its budget statement. </w:t>
      </w:r>
    </w:p>
    <w:p w:rsidR="001266EB" w:rsidRPr="001266EB" w:rsidP="00354DDB" w14:paraId="19C01AF2" w14:textId="77777777">
      <w:pPr>
        <w:widowControl/>
        <w:overflowPunct/>
        <w:ind w:left="90"/>
        <w:textAlignment w:val="auto"/>
        <w:rPr>
          <w:rFonts w:ascii="Times New Roman" w:hAnsi="Times New Roman"/>
          <w:szCs w:val="24"/>
        </w:rPr>
      </w:pPr>
    </w:p>
    <w:p w:rsidR="001266EB" w:rsidRPr="00794189" w:rsidP="00AA4962" w14:paraId="79D678F9" w14:textId="1142ED86">
      <w:pPr>
        <w:widowControl/>
        <w:overflowPunct/>
        <w:textAlignment w:val="auto"/>
        <w:rPr>
          <w:rFonts w:ascii="Times New Roman" w:hAnsi="Times New Roman"/>
          <w:szCs w:val="24"/>
        </w:rPr>
      </w:pPr>
      <w:r w:rsidRPr="001266EB">
        <w:rPr>
          <w:rFonts w:ascii="Times New Roman" w:hAnsi="Times New Roman"/>
          <w:szCs w:val="24"/>
        </w:rPr>
        <w:t xml:space="preserve">Each year the federal data is analyzed and used to create national impact reports (see  </w:t>
      </w:r>
      <w:hyperlink r:id="rId10">
        <w:r w:rsidRPr="001266EB">
          <w:rPr>
            <w:rFonts w:ascii="Times New Roman" w:hAnsi="Times New Roman"/>
            <w:color w:val="0000FF"/>
            <w:szCs w:val="24"/>
            <w:u w:val="single"/>
          </w:rPr>
          <w:t>Impacts and Reporting: National EFNEP Reports | National Institute of Food and Agriculture (usda.gov)</w:t>
        </w:r>
      </w:hyperlink>
      <w:r w:rsidRPr="001266EB">
        <w:rPr>
          <w:rFonts w:ascii="Times New Roman" w:hAnsi="Times New Roman"/>
          <w:szCs w:val="24"/>
        </w:rPr>
        <w:t xml:space="preserve">), identify partners and stakeholders, and respond to congressional questions. It is also used to justify the need for continued and increased funding for EFNEP. Institution data is compiled by tiers and sent to the institutions to allow for programmatic comparisons by funding allocation and to inform program management decisions (see </w:t>
      </w:r>
      <w:hyperlink r:id="rId11">
        <w:r w:rsidRPr="001266EB">
          <w:rPr>
            <w:rFonts w:ascii="Times New Roman" w:hAnsi="Times New Roman"/>
            <w:color w:val="0000FF"/>
            <w:szCs w:val="24"/>
            <w:u w:val="single"/>
          </w:rPr>
          <w:t>EFNEP | REEIS (usda.gov)</w:t>
        </w:r>
      </w:hyperlink>
      <w:r w:rsidRPr="001266EB">
        <w:rPr>
          <w:rFonts w:ascii="Times New Roman" w:hAnsi="Times New Roman"/>
          <w:szCs w:val="24"/>
        </w:rPr>
        <w:t xml:space="preserve">). </w:t>
      </w:r>
      <w:r w:rsidRPr="001266EB">
        <w:rPr>
          <w:rFonts w:ascii="Times New Roman" w:hAnsi="Times New Roman"/>
          <w:i/>
          <w:iCs/>
          <w:szCs w:val="24"/>
        </w:rPr>
        <w:t xml:space="preserve">Note: Tiers are established based on funding levels (see </w:t>
      </w:r>
      <w:hyperlink r:id="rId12">
        <w:r w:rsidRPr="001266EB">
          <w:rPr>
            <w:rFonts w:ascii="Times New Roman" w:hAnsi="Times New Roman"/>
            <w:color w:val="0000FF"/>
            <w:szCs w:val="24"/>
            <w:u w:val="single"/>
          </w:rPr>
          <w:t>EFNEP Basics - New Coordinator Guide - rev 04.01.2016.pdf (usda.gov)</w:t>
        </w:r>
      </w:hyperlink>
      <w:r w:rsidRPr="001266EB">
        <w:rPr>
          <w:rFonts w:ascii="Times New Roman" w:hAnsi="Times New Roman"/>
          <w:i/>
          <w:iCs/>
          <w:szCs w:val="24"/>
        </w:rPr>
        <w:t xml:space="preserve">, p.9 for descriptions of funding tiers). </w:t>
      </w:r>
    </w:p>
    <w:p w:rsidR="001266EB" w:rsidRPr="001266EB" w:rsidP="001266EB" w14:paraId="33EBD81A" w14:textId="77777777">
      <w:pPr>
        <w:widowControl/>
        <w:overflowPunct/>
        <w:autoSpaceDE/>
        <w:autoSpaceDN/>
        <w:adjustRightInd/>
        <w:textAlignment w:val="auto"/>
        <w:rPr>
          <w:rFonts w:ascii="Times New Roman" w:hAnsi="Times New Roman"/>
          <w:szCs w:val="24"/>
        </w:rPr>
      </w:pPr>
    </w:p>
    <w:p w:rsidR="001266EB" w:rsidRPr="001266EB" w:rsidP="00354DDB" w14:paraId="79CE29CB" w14:textId="77777777">
      <w:pPr>
        <w:widowControl/>
        <w:overflowPunct/>
        <w:autoSpaceDE/>
        <w:autoSpaceDN/>
        <w:adjustRightInd/>
        <w:textAlignment w:val="auto"/>
        <w:rPr>
          <w:rFonts w:ascii="Times New Roman" w:hAnsi="Times New Roman"/>
          <w:szCs w:val="24"/>
        </w:rPr>
      </w:pPr>
      <w:r w:rsidRPr="001266EB">
        <w:rPr>
          <w:rFonts w:ascii="Times New Roman" w:hAnsi="Times New Roman"/>
          <w:szCs w:val="24"/>
        </w:rPr>
        <w:t xml:space="preserve">At the federal level the impact data is periodically analyzed in other ways, such as by race and ethnicity to determine the degree to which the program is effective across low-income populations. This analysis has consistently shown that EFNEP participants of all backgrounds, </w:t>
      </w:r>
      <w:r w:rsidRPr="001266EB">
        <w:rPr>
          <w:rFonts w:ascii="Times New Roman" w:hAnsi="Times New Roman"/>
          <w:szCs w:val="24"/>
        </w:rPr>
        <w:t xml:space="preserve">demonstrate a significant improvement in dietary quality and food related practices. Data from these analyses have been shared through various federal reports and at national conferences, along with lessons learned in delivering an effective nutrition education program. </w:t>
      </w:r>
    </w:p>
    <w:p w:rsidR="001266EB" w:rsidRPr="001266EB" w:rsidP="001266EB" w14:paraId="75265478" w14:textId="77777777">
      <w:pPr>
        <w:widowControl/>
        <w:overflowPunct/>
        <w:autoSpaceDE/>
        <w:autoSpaceDN/>
        <w:adjustRightInd/>
        <w:textAlignment w:val="auto"/>
        <w:rPr>
          <w:rFonts w:ascii="Times New Roman" w:hAnsi="Times New Roman"/>
          <w:szCs w:val="24"/>
        </w:rPr>
      </w:pPr>
    </w:p>
    <w:p w:rsidR="001266EB" w:rsidRPr="001266EB" w:rsidP="00354DDB" w14:paraId="5A836605" w14:textId="77777777">
      <w:pPr>
        <w:widowControl/>
        <w:overflowPunct/>
        <w:autoSpaceDE/>
        <w:autoSpaceDN/>
        <w:adjustRightInd/>
        <w:textAlignment w:val="auto"/>
        <w:rPr>
          <w:rFonts w:ascii="Times New Roman" w:hAnsi="Times New Roman"/>
          <w:szCs w:val="24"/>
        </w:rPr>
      </w:pPr>
      <w:r w:rsidRPr="001266EB">
        <w:rPr>
          <w:rFonts w:ascii="Times New Roman" w:hAnsi="Times New Roman"/>
          <w:szCs w:val="24"/>
        </w:rPr>
        <w:t xml:space="preserve">At the institution level, university staff generate institution-level reports for institution-level stakeholders and use results to guide strategic planning and program management decisions. Data is exportable for additional analyses and research. </w:t>
      </w:r>
    </w:p>
    <w:p w:rsidR="00341DEE" w:rsidRPr="002568E6" w:rsidP="00E11A38" w14:paraId="69075741" w14:textId="77777777">
      <w:pPr>
        <w:pStyle w:val="Heading2"/>
        <w:jc w:val="left"/>
        <w:rPr>
          <w:szCs w:val="24"/>
        </w:rPr>
      </w:pPr>
    </w:p>
    <w:p w:rsidR="00A308DB" w:rsidRPr="002568E6" w:rsidP="0062567E" w14:paraId="69075742" w14:textId="65015D7B">
      <w:pPr>
        <w:pStyle w:val="Heading1"/>
        <w:rPr>
          <w:szCs w:val="24"/>
        </w:rPr>
      </w:pPr>
      <w:bookmarkStart w:id="6" w:name="_Toc401831359"/>
      <w:bookmarkStart w:id="7" w:name="_Toc401832403"/>
      <w:r w:rsidRPr="002568E6">
        <w:rPr>
          <w:szCs w:val="24"/>
        </w:rPr>
        <w:t>A3</w:t>
      </w:r>
      <w:r w:rsidR="0035120A">
        <w:rPr>
          <w:szCs w:val="24"/>
        </w:rPr>
        <w:t xml:space="preserve">.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bookmarkEnd w:id="6"/>
      <w:bookmarkEnd w:id="7"/>
      <w:r w:rsidR="0035120A">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P="00354DDB" w14:paraId="69075745" w14:textId="77777777">
      <w:pPr>
        <w:suppressAutoHyphens/>
        <w:rPr>
          <w:rFonts w:ascii="Times New Roman" w:hAnsi="Times New Roman"/>
          <w:szCs w:val="24"/>
        </w:rPr>
      </w:pPr>
    </w:p>
    <w:p w:rsidR="00312876" w:rsidP="00354DDB" w14:paraId="7E792ED6" w14:textId="41263D34">
      <w:pPr>
        <w:widowControl/>
        <w:numPr>
          <w:ilvl w:val="12"/>
          <w:numId w:val="0"/>
        </w:numPr>
        <w:overflowPunct/>
        <w:textAlignment w:val="auto"/>
        <w:rPr>
          <w:rFonts w:ascii="Times New Roman" w:hAnsi="Times New Roman"/>
          <w:szCs w:val="24"/>
        </w:rPr>
      </w:pPr>
      <w:r w:rsidRPr="00312876">
        <w:rPr>
          <w:rFonts w:ascii="Times New Roman" w:hAnsi="Times New Roman"/>
          <w:szCs w:val="24"/>
        </w:rPr>
        <w:t>NIFA makes every effort to comply with the E-Government Act, 2002 (E-Gov) (Pub. L. 107-347) and to provide for alternative submission of information collections.</w:t>
      </w:r>
    </w:p>
    <w:p w:rsidR="00312876" w:rsidP="00354DDB" w14:paraId="2C4D2766" w14:textId="77777777">
      <w:pPr>
        <w:widowControl/>
        <w:numPr>
          <w:ilvl w:val="12"/>
          <w:numId w:val="0"/>
        </w:numPr>
        <w:overflowPunct/>
        <w:textAlignment w:val="auto"/>
        <w:rPr>
          <w:rFonts w:ascii="Times New Roman" w:hAnsi="Times New Roman"/>
          <w:szCs w:val="24"/>
        </w:rPr>
      </w:pPr>
    </w:p>
    <w:p w:rsidR="003D1BDA" w:rsidRPr="003D1BDA" w:rsidP="00354DDB" w14:paraId="35C2B6A4" w14:textId="6251FD8E">
      <w:pPr>
        <w:widowControl/>
        <w:numPr>
          <w:ilvl w:val="12"/>
          <w:numId w:val="0"/>
        </w:numPr>
        <w:overflowPunct/>
        <w:textAlignment w:val="auto"/>
        <w:rPr>
          <w:rFonts w:ascii="Times New Roman" w:hAnsi="Times New Roman"/>
          <w:szCs w:val="24"/>
        </w:rPr>
      </w:pPr>
      <w:r w:rsidRPr="003D1BDA">
        <w:rPr>
          <w:rFonts w:ascii="Times New Roman" w:hAnsi="Times New Roman"/>
          <w:szCs w:val="24"/>
        </w:rPr>
        <w:t xml:space="preserve">WebNEERS is a secure system designed, hosted, and maintained by Clemson University. It is hosted on an https:// secure server which is password protected. The system is user-friendly, provides powerful filters for aggregating the data, complies with OMB standards for data, and protects personally identifiable information. Data is stored on a secure server and users must be logged in to enter, analyze, download, review, or submit data. Screens have been simplified to improve the data entry process. Data can be entered from any computer, tablet, or device with an internet connection, which also reduces the overall burden. Data is available to users in real time, again improving the system’s ease of use. </w:t>
      </w:r>
    </w:p>
    <w:p w:rsidR="000B6F96" w:rsidP="00354DDB" w14:paraId="70B6342D" w14:textId="77777777">
      <w:pPr>
        <w:widowControl/>
        <w:overflowPunct/>
        <w:textAlignment w:val="auto"/>
        <w:rPr>
          <w:rFonts w:ascii="Times New Roman" w:hAnsi="Times New Roman"/>
          <w:szCs w:val="24"/>
        </w:rPr>
      </w:pPr>
    </w:p>
    <w:p w:rsidR="00E50A08" w:rsidRPr="00794189" w:rsidP="00E50A08" w14:paraId="7A033A0B" w14:textId="2CD5ACD4">
      <w:pPr>
        <w:widowControl/>
        <w:overflowPunct/>
        <w:textAlignment w:val="auto"/>
        <w:rPr>
          <w:rFonts w:ascii="Times New Roman" w:hAnsi="Times New Roman"/>
          <w:szCs w:val="24"/>
        </w:rPr>
      </w:pPr>
      <w:r w:rsidRPr="003D1BDA">
        <w:rPr>
          <w:rFonts w:ascii="Times New Roman" w:hAnsi="Times New Roman"/>
          <w:szCs w:val="24"/>
        </w:rPr>
        <w:t>A direct data app</w:t>
      </w:r>
      <w:r>
        <w:rPr>
          <w:rFonts w:ascii="Times New Roman" w:hAnsi="Times New Roman"/>
          <w:szCs w:val="24"/>
        </w:rPr>
        <w:t xml:space="preserve"> component </w:t>
      </w:r>
      <w:r w:rsidRPr="003D1BDA">
        <w:rPr>
          <w:rFonts w:ascii="Times New Roman" w:hAnsi="Times New Roman"/>
          <w:szCs w:val="24"/>
        </w:rPr>
        <w:t xml:space="preserve">has been </w:t>
      </w:r>
      <w:r>
        <w:rPr>
          <w:rFonts w:ascii="Times New Roman" w:hAnsi="Times New Roman"/>
          <w:szCs w:val="24"/>
        </w:rPr>
        <w:t xml:space="preserve">implemented </w:t>
      </w:r>
      <w:r w:rsidRPr="003D1BDA">
        <w:rPr>
          <w:rFonts w:ascii="Times New Roman" w:hAnsi="Times New Roman"/>
          <w:szCs w:val="24"/>
        </w:rPr>
        <w:t xml:space="preserve">for adult pre-/post demographic questionnaires and behavior questionnaires, which allows participants to enter data directly rather than have staff enter the data. This feature gives participants greater autonomy in what they </w:t>
      </w:r>
      <w:r w:rsidRPr="003D1BDA" w:rsidR="00B006ED">
        <w:rPr>
          <w:rFonts w:ascii="Times New Roman" w:hAnsi="Times New Roman"/>
          <w:szCs w:val="24"/>
        </w:rPr>
        <w:t>submit and</w:t>
      </w:r>
      <w:r w:rsidRPr="003D1BDA">
        <w:rPr>
          <w:rFonts w:ascii="Times New Roman" w:hAnsi="Times New Roman"/>
          <w:szCs w:val="24"/>
        </w:rPr>
        <w:t xml:space="preserve"> potentially could reduce their data submission burden. Two versions have been created to allow for participants to use their own devices or to use university devices offline which can be uploaded later. The latter feature allows participants to enter their own data even where they may lack an electronic device or where internet connectivity is limited</w:t>
      </w:r>
      <w:r>
        <w:rPr>
          <w:rFonts w:ascii="Times New Roman" w:hAnsi="Times New Roman"/>
          <w:szCs w:val="24"/>
        </w:rPr>
        <w:t>.</w:t>
      </w:r>
      <w:r>
        <w:rPr>
          <w:rFonts w:ascii="Times New Roman" w:hAnsi="Times New Roman"/>
          <w:szCs w:val="24"/>
        </w:rPr>
        <w:t xml:space="preserve">  NIFA anticipates 100 percent of respondents will submit data electronically</w:t>
      </w:r>
      <w:r w:rsidR="009E2F9A">
        <w:rPr>
          <w:rFonts w:ascii="Times New Roman" w:hAnsi="Times New Roman"/>
          <w:szCs w:val="24"/>
        </w:rPr>
        <w:t xml:space="preserve"> at </w:t>
      </w:r>
      <w:r w:rsidRPr="009E2F9A" w:rsidR="009E2F9A">
        <w:rPr>
          <w:rFonts w:ascii="Times New Roman" w:hAnsi="Times New Roman"/>
          <w:szCs w:val="24"/>
        </w:rPr>
        <w:t>https://www.webneers.net/user/login?return_url=%2F</w:t>
      </w:r>
      <w:r>
        <w:rPr>
          <w:rFonts w:ascii="Times New Roman" w:hAnsi="Times New Roman"/>
          <w:szCs w:val="24"/>
        </w:rPr>
        <w:t>.  T</w:t>
      </w:r>
      <w:r w:rsidRPr="00794189">
        <w:rPr>
          <w:rFonts w:ascii="Times New Roman" w:hAnsi="Times New Roman"/>
          <w:szCs w:val="24"/>
        </w:rPr>
        <w:t>he screenshots are provided with this collection request.</w:t>
      </w:r>
    </w:p>
    <w:p w:rsidR="003D1BDA" w:rsidRPr="003D1BDA" w:rsidP="00354DDB" w14:paraId="4573016F" w14:textId="68D6AAB6">
      <w:pPr>
        <w:widowControl/>
        <w:overflowPunct/>
        <w:textAlignment w:val="auto"/>
        <w:rPr>
          <w:rFonts w:ascii="Times New Roman" w:hAnsi="Times New Roman"/>
          <w:szCs w:val="24"/>
        </w:rPr>
      </w:pPr>
    </w:p>
    <w:p w:rsidR="005A3F80" w:rsidRPr="002568E6" w14:paraId="69075747" w14:textId="77777777">
      <w:pPr>
        <w:tabs>
          <w:tab w:val="left" w:pos="0"/>
        </w:tabs>
        <w:suppressAutoHyphens/>
        <w:rPr>
          <w:rFonts w:ascii="Times New Roman" w:hAnsi="Times New Roman"/>
          <w:szCs w:val="24"/>
        </w:rPr>
      </w:pPr>
    </w:p>
    <w:p w:rsidR="00A308DB" w:rsidRPr="002568E6" w:rsidP="0062567E" w14:paraId="69075748" w14:textId="4E6A4205">
      <w:pPr>
        <w:pStyle w:val="Heading1"/>
        <w:rPr>
          <w:szCs w:val="24"/>
        </w:rPr>
      </w:pPr>
      <w:bookmarkStart w:id="8" w:name="_Toc401831360"/>
      <w:bookmarkStart w:id="9" w:name="_Toc401832404"/>
      <w:r w:rsidRPr="002568E6">
        <w:rPr>
          <w:szCs w:val="24"/>
        </w:rPr>
        <w:t>A4</w:t>
      </w:r>
      <w:r w:rsidR="0035120A">
        <w:rPr>
          <w:szCs w:val="24"/>
        </w:rPr>
        <w:t xml:space="preserve">. </w:t>
      </w:r>
      <w:r w:rsidR="002568E6">
        <w:rPr>
          <w:szCs w:val="24"/>
        </w:rPr>
        <w:t>E</w:t>
      </w:r>
      <w:r w:rsidRPr="002568E6">
        <w:rPr>
          <w:szCs w:val="24"/>
        </w:rPr>
        <w:t>fforts to identify duplication.</w:t>
      </w:r>
      <w:bookmarkEnd w:id="8"/>
      <w:bookmarkEnd w:id="9"/>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395E49DA">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0035120A">
        <w:rPr>
          <w:rFonts w:ascii="Times New Roman" w:hAnsi="Times New Roman"/>
          <w:b/>
          <w:szCs w:val="24"/>
        </w:rPr>
        <w:t xml:space="preserve">. </w:t>
      </w:r>
      <w:r w:rsidRPr="002568E6" w:rsidR="00751946">
        <w:rPr>
          <w:rFonts w:ascii="Times New Roman" w:hAnsi="Times New Roman"/>
          <w:b/>
          <w:szCs w:val="24"/>
        </w:rPr>
        <w:t>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9F7E1A" w:rsidRPr="002568E6" w:rsidP="00354DDB" w14:paraId="6907574C" w14:textId="1E4C41E2">
      <w:pPr>
        <w:tabs>
          <w:tab w:val="left" w:pos="-720"/>
        </w:tabs>
        <w:suppressAutoHyphens/>
        <w:rPr>
          <w:rFonts w:ascii="Times New Roman" w:hAnsi="Times New Roman"/>
          <w:szCs w:val="24"/>
        </w:rPr>
      </w:pPr>
      <w:r w:rsidRPr="003D1BDA">
        <w:rPr>
          <w:rFonts w:ascii="Times New Roman" w:hAnsi="Times New Roman"/>
          <w:szCs w:val="24"/>
        </w:rPr>
        <w:t>No duplication is involved. There is no similar information available which can be used or modified to meet the information needs of this program. NIFA has evaluated the forms</w:t>
      </w:r>
      <w:r w:rsidR="00B006ED">
        <w:rPr>
          <w:rFonts w:ascii="Times New Roman" w:hAnsi="Times New Roman"/>
          <w:szCs w:val="24"/>
        </w:rPr>
        <w:t xml:space="preserve"> (screens</w:t>
      </w:r>
      <w:r w:rsidR="00C12392">
        <w:rPr>
          <w:rFonts w:ascii="Times New Roman" w:hAnsi="Times New Roman"/>
          <w:szCs w:val="24"/>
        </w:rPr>
        <w:t>hots</w:t>
      </w:r>
      <w:r w:rsidR="00B006ED">
        <w:rPr>
          <w:rFonts w:ascii="Times New Roman" w:hAnsi="Times New Roman"/>
          <w:szCs w:val="24"/>
        </w:rPr>
        <w:t>)</w:t>
      </w:r>
      <w:r w:rsidRPr="003D1BDA">
        <w:rPr>
          <w:rFonts w:ascii="Times New Roman" w:hAnsi="Times New Roman"/>
          <w:szCs w:val="24"/>
        </w:rPr>
        <w:t xml:space="preserve"> included in this collection and has eliminated redundant and repetitive questions.</w:t>
      </w:r>
      <w:r w:rsidRPr="002568E6">
        <w:rPr>
          <w:rFonts w:ascii="Times New Roman" w:hAnsi="Times New Roman"/>
          <w:szCs w:val="24"/>
        </w:rPr>
        <w:t xml:space="preserve"> </w:t>
      </w:r>
    </w:p>
    <w:p w:rsidR="00E11A38" w:rsidRPr="002568E6" w:rsidP="009F7E1A" w14:paraId="6907574D" w14:textId="77777777">
      <w:pPr>
        <w:tabs>
          <w:tab w:val="left" w:pos="-720"/>
        </w:tabs>
        <w:suppressAutoHyphens/>
        <w:spacing w:line="480" w:lineRule="auto"/>
        <w:rPr>
          <w:rFonts w:ascii="Times New Roman" w:hAnsi="Times New Roman"/>
          <w:szCs w:val="24"/>
        </w:rPr>
      </w:pPr>
    </w:p>
    <w:p w:rsidR="00A308DB" w:rsidRPr="002568E6" w:rsidP="0062567E" w14:paraId="6907574E" w14:textId="358E126C">
      <w:pPr>
        <w:pStyle w:val="Heading1"/>
        <w:rPr>
          <w:szCs w:val="24"/>
        </w:rPr>
      </w:pPr>
      <w:bookmarkStart w:id="10" w:name="_Toc401831361"/>
      <w:bookmarkStart w:id="11" w:name="_Toc401832405"/>
      <w:r w:rsidRPr="002568E6">
        <w:rPr>
          <w:szCs w:val="24"/>
        </w:rPr>
        <w:t>A5</w:t>
      </w:r>
      <w:r w:rsidR="0035120A">
        <w:rPr>
          <w:szCs w:val="24"/>
        </w:rPr>
        <w:t xml:space="preserve">. </w:t>
      </w:r>
      <w:r w:rsidRPr="002568E6">
        <w:rPr>
          <w:szCs w:val="24"/>
        </w:rPr>
        <w:t>Impacts on small businesses or other small entities</w:t>
      </w:r>
      <w:bookmarkEnd w:id="10"/>
      <w:bookmarkEnd w:id="11"/>
      <w:r w:rsidR="0035120A">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B006ED" w:rsidRPr="00B006ED" w:rsidP="00B006ED" w14:paraId="4D8E3D37" w14:textId="77777777">
      <w:pPr>
        <w:pStyle w:val="Heading1"/>
        <w:rPr>
          <w:b w:val="0"/>
          <w:bCs/>
          <w:szCs w:val="24"/>
        </w:rPr>
      </w:pPr>
      <w:bookmarkStart w:id="12" w:name="_Toc401831362"/>
      <w:bookmarkStart w:id="13" w:name="_Toc401832406"/>
      <w:r w:rsidRPr="00B006ED">
        <w:rPr>
          <w:b w:val="0"/>
          <w:bCs/>
          <w:szCs w:val="24"/>
        </w:rPr>
        <w:t>This information collection will have no impact on small businesses or small entities as the respondents do not include any small businesses or entities.</w:t>
      </w:r>
    </w:p>
    <w:p w:rsidR="00354DDB" w:rsidP="0062567E" w14:paraId="3F3CA513" w14:textId="77777777">
      <w:pPr>
        <w:pStyle w:val="Heading1"/>
        <w:rPr>
          <w:szCs w:val="24"/>
        </w:rPr>
      </w:pPr>
    </w:p>
    <w:p w:rsidR="00354DDB" w:rsidP="0062567E" w14:paraId="4DC869E6" w14:textId="77777777">
      <w:pPr>
        <w:pStyle w:val="Heading1"/>
        <w:rPr>
          <w:szCs w:val="24"/>
        </w:rPr>
      </w:pPr>
    </w:p>
    <w:p w:rsidR="00A308DB" w:rsidRPr="002568E6" w:rsidP="0062567E" w14:paraId="69075754" w14:textId="5A5F9834">
      <w:pPr>
        <w:pStyle w:val="Heading1"/>
        <w:rPr>
          <w:szCs w:val="24"/>
        </w:rPr>
      </w:pPr>
      <w:r w:rsidRPr="002568E6">
        <w:rPr>
          <w:szCs w:val="24"/>
        </w:rPr>
        <w:t>A6</w:t>
      </w:r>
      <w:r w:rsidR="0035120A">
        <w:rPr>
          <w:szCs w:val="24"/>
        </w:rPr>
        <w:t xml:space="preserve">. </w:t>
      </w:r>
      <w:r w:rsidRPr="002568E6">
        <w:rPr>
          <w:szCs w:val="24"/>
        </w:rPr>
        <w:t xml:space="preserve">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2"/>
      <w:bookmarkEnd w:id="13"/>
      <w:r w:rsidR="0035120A">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69075757" w14:textId="77777777">
      <w:pPr>
        <w:tabs>
          <w:tab w:val="left" w:pos="-720"/>
        </w:tabs>
        <w:suppressAutoHyphens/>
        <w:rPr>
          <w:rFonts w:ascii="Times New Roman" w:hAnsi="Times New Roman"/>
          <w:szCs w:val="24"/>
        </w:rPr>
      </w:pPr>
    </w:p>
    <w:p w:rsidR="00E11A38" w:rsidRPr="002568E6" w:rsidP="00354DDB" w14:paraId="69075758" w14:textId="6E1A648E">
      <w:pPr>
        <w:tabs>
          <w:tab w:val="left" w:pos="-720"/>
        </w:tabs>
        <w:suppressAutoHyphens/>
        <w:rPr>
          <w:rFonts w:ascii="Times New Roman" w:hAnsi="Times New Roman"/>
          <w:szCs w:val="24"/>
        </w:rPr>
      </w:pPr>
      <w:r w:rsidRPr="003D1BDA">
        <w:rPr>
          <w:rFonts w:ascii="Times New Roman" w:hAnsi="Times New Roman"/>
          <w:szCs w:val="24"/>
        </w:rPr>
        <w:t xml:space="preserve">NIFA would be unable to </w:t>
      </w:r>
      <w:r w:rsidR="00896626">
        <w:rPr>
          <w:rFonts w:ascii="Times New Roman" w:hAnsi="Times New Roman"/>
          <w:szCs w:val="24"/>
        </w:rPr>
        <w:t xml:space="preserve">ensure program integrity, </w:t>
      </w:r>
      <w:r w:rsidRPr="003D1BDA">
        <w:rPr>
          <w:rFonts w:ascii="Times New Roman" w:hAnsi="Times New Roman"/>
          <w:szCs w:val="24"/>
        </w:rPr>
        <w:t>compare, assess, and analyze the effectiveness and the impact of EFNEP without the annual collection of data. Also, it would be difficult for NIFA to provide appropriate guidance and leadership without having an awareness of the institutions’ programming efforts and effectiveness, their program plans, and their projected budgets</w:t>
      </w:r>
      <w:r w:rsidR="003A3816">
        <w:rPr>
          <w:rFonts w:ascii="Times New Roman" w:hAnsi="Times New Roman"/>
          <w:szCs w:val="24"/>
        </w:rPr>
        <w:t>.</w:t>
      </w:r>
      <w:r w:rsidRPr="002568E6">
        <w:rPr>
          <w:rFonts w:ascii="Times New Roman" w:hAnsi="Times New Roman"/>
          <w:szCs w:val="24"/>
        </w:rPr>
        <w:t xml:space="preserve"> </w:t>
      </w:r>
    </w:p>
    <w:p w:rsidR="00E11A38" w:rsidRPr="002568E6" w:rsidP="00E11A38" w14:paraId="69075759" w14:textId="77777777">
      <w:pPr>
        <w:tabs>
          <w:tab w:val="left" w:pos="-720"/>
        </w:tabs>
        <w:suppressAutoHyphens/>
        <w:spacing w:line="480" w:lineRule="auto"/>
        <w:rPr>
          <w:rFonts w:ascii="Times New Roman" w:hAnsi="Times New Roman"/>
          <w:szCs w:val="24"/>
        </w:rPr>
      </w:pPr>
    </w:p>
    <w:p w:rsidR="00A308DB" w:rsidRPr="002568E6" w:rsidP="0062567E" w14:paraId="6907575A" w14:textId="3912F131">
      <w:pPr>
        <w:pStyle w:val="Heading1"/>
        <w:rPr>
          <w:szCs w:val="24"/>
        </w:rPr>
      </w:pPr>
      <w:bookmarkStart w:id="14" w:name="_Toc401831363"/>
      <w:bookmarkStart w:id="15" w:name="_Toc401832407"/>
      <w:r w:rsidRPr="002568E6">
        <w:rPr>
          <w:szCs w:val="24"/>
        </w:rPr>
        <w:t>A7</w:t>
      </w:r>
      <w:r w:rsidR="0035120A">
        <w:rPr>
          <w:szCs w:val="24"/>
        </w:rPr>
        <w:t xml:space="preserve">.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bookmarkEnd w:id="14"/>
      <w:bookmarkEnd w:id="15"/>
      <w:r w:rsidR="0035120A">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3333DF" w:rsidRPr="002568E6" w:rsidP="0062567E" w14:paraId="6907575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6907575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6907575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6907575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6907576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2568E6" w:rsidP="0062567E"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62567E"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6907576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54DDB" w:rsidP="00354DDB" w14:paraId="153FF23A" w14:textId="77777777">
      <w:pPr>
        <w:tabs>
          <w:tab w:val="left" w:pos="0"/>
        </w:tabs>
        <w:suppressAutoHyphens/>
        <w:rPr>
          <w:rFonts w:ascii="Times New Roman" w:hAnsi="Times New Roman"/>
          <w:szCs w:val="24"/>
        </w:rPr>
      </w:pPr>
    </w:p>
    <w:p w:rsidR="00354DDB" w:rsidP="00354DDB" w14:paraId="048CB652" w14:textId="5AC3667F">
      <w:pPr>
        <w:tabs>
          <w:tab w:val="left" w:pos="0"/>
        </w:tabs>
        <w:suppressAutoHyphens/>
        <w:rPr>
          <w:rFonts w:ascii="Times New Roman" w:hAnsi="Times New Roman"/>
          <w:szCs w:val="24"/>
        </w:rPr>
      </w:pPr>
      <w:r>
        <w:rPr>
          <w:rFonts w:ascii="Times New Roman" w:hAnsi="Times New Roman"/>
          <w:szCs w:val="24"/>
        </w:rPr>
        <w:t>There are no special circumstances. The collection of information is conducted in a manner consistent with the guidelines in 5 CFR 1320.5.</w:t>
      </w:r>
    </w:p>
    <w:p w:rsidR="003A3816" w:rsidP="003A3816" w14:paraId="0B47A8A8" w14:textId="77777777">
      <w:pPr>
        <w:widowControl/>
        <w:numPr>
          <w:ilvl w:val="12"/>
          <w:numId w:val="0"/>
        </w:numPr>
        <w:overflowPunct/>
        <w:textAlignment w:val="auto"/>
        <w:outlineLvl w:val="0"/>
        <w:rPr>
          <w:rFonts w:ascii="Times New Roman" w:hAnsi="Times New Roman"/>
          <w:b/>
          <w:bCs/>
          <w:szCs w:val="24"/>
        </w:rPr>
      </w:pPr>
    </w:p>
    <w:p w:rsidR="00354DDB" w:rsidP="003A3816" w14:paraId="19272E95" w14:textId="77777777">
      <w:pPr>
        <w:widowControl/>
        <w:numPr>
          <w:ilvl w:val="12"/>
          <w:numId w:val="0"/>
        </w:numPr>
        <w:overflowPunct/>
        <w:textAlignment w:val="auto"/>
        <w:outlineLvl w:val="0"/>
        <w:rPr>
          <w:rFonts w:ascii="Times New Roman" w:hAnsi="Times New Roman"/>
          <w:b/>
          <w:bCs/>
          <w:szCs w:val="24"/>
        </w:rPr>
      </w:pPr>
    </w:p>
    <w:p w:rsidR="00BE0B08" w:rsidRPr="002568E6" w:rsidP="0062567E" w14:paraId="69075769" w14:textId="367A3796">
      <w:pPr>
        <w:pStyle w:val="Heading1"/>
        <w:rPr>
          <w:szCs w:val="24"/>
        </w:rPr>
      </w:pPr>
      <w:bookmarkStart w:id="16" w:name="_Toc401831364"/>
      <w:bookmarkStart w:id="17" w:name="_Toc401832408"/>
      <w:r w:rsidRPr="002568E6">
        <w:rPr>
          <w:szCs w:val="24"/>
        </w:rPr>
        <w:t>A8</w:t>
      </w:r>
      <w:r w:rsidR="0035120A">
        <w:rPr>
          <w:szCs w:val="24"/>
        </w:rPr>
        <w:t xml:space="preserve">.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bookmarkEnd w:id="16"/>
      <w:bookmarkEnd w:id="17"/>
      <w:r w:rsidR="0035120A">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3F8F9AB2">
      <w:pPr>
        <w:rPr>
          <w:rFonts w:ascii="Times New Roman" w:hAnsi="Times New Roman"/>
          <w:b/>
          <w:szCs w:val="24"/>
        </w:rPr>
      </w:pPr>
      <w:r w:rsidRPr="002568E6">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120A">
        <w:rPr>
          <w:rFonts w:ascii="Times New Roman" w:hAnsi="Times New Roman"/>
          <w:b/>
          <w:szCs w:val="24"/>
        </w:rPr>
        <w:t xml:space="preserve">.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8" w:name="OLE_LINK1"/>
      <w:bookmarkStart w:id="19" w:name="OLE_LINK2"/>
    </w:p>
    <w:p w:rsidR="003A3816" w:rsidP="00354DDB" w14:paraId="469A75DE" w14:textId="4D90C1F2">
      <w:pPr>
        <w:widowControl/>
        <w:numPr>
          <w:ilvl w:val="12"/>
          <w:numId w:val="0"/>
        </w:numPr>
        <w:overflowPunct/>
        <w:textAlignment w:val="auto"/>
        <w:rPr>
          <w:rFonts w:ascii="Times New Roman" w:hAnsi="Times New Roman"/>
          <w:szCs w:val="24"/>
        </w:rPr>
      </w:pPr>
      <w:r w:rsidRPr="003A3816">
        <w:rPr>
          <w:rFonts w:ascii="Times New Roman" w:hAnsi="Times New Roman"/>
          <w:szCs w:val="24"/>
        </w:rPr>
        <w:t xml:space="preserve">The notice for this proposed information collection appeared in the </w:t>
      </w:r>
      <w:r w:rsidRPr="003A3816">
        <w:rPr>
          <w:rFonts w:ascii="Times New Roman" w:hAnsi="Times New Roman"/>
          <w:i/>
          <w:iCs/>
          <w:szCs w:val="24"/>
        </w:rPr>
        <w:t>Federal Register</w:t>
      </w:r>
      <w:r w:rsidRPr="003A3816">
        <w:rPr>
          <w:rFonts w:ascii="Times New Roman" w:hAnsi="Times New Roman"/>
          <w:szCs w:val="24"/>
        </w:rPr>
        <w:t xml:space="preserve"> on </w:t>
      </w:r>
      <w:r>
        <w:rPr>
          <w:rFonts w:ascii="Times New Roman" w:hAnsi="Times New Roman"/>
          <w:szCs w:val="24"/>
        </w:rPr>
        <w:t>Thursday</w:t>
      </w:r>
      <w:r w:rsidRPr="003A3816">
        <w:rPr>
          <w:rFonts w:ascii="Times New Roman" w:hAnsi="Times New Roman"/>
          <w:szCs w:val="24"/>
        </w:rPr>
        <w:t xml:space="preserve">, </w:t>
      </w:r>
      <w:r>
        <w:rPr>
          <w:rFonts w:ascii="Times New Roman" w:hAnsi="Times New Roman"/>
          <w:szCs w:val="24"/>
        </w:rPr>
        <w:t>January</w:t>
      </w:r>
      <w:r w:rsidRPr="003A3816">
        <w:rPr>
          <w:rFonts w:ascii="Times New Roman" w:hAnsi="Times New Roman"/>
          <w:szCs w:val="24"/>
        </w:rPr>
        <w:t xml:space="preserve"> </w:t>
      </w:r>
      <w:r>
        <w:rPr>
          <w:rFonts w:ascii="Times New Roman" w:hAnsi="Times New Roman"/>
          <w:szCs w:val="24"/>
        </w:rPr>
        <w:t>22</w:t>
      </w:r>
      <w:r w:rsidRPr="003A3816">
        <w:rPr>
          <w:rFonts w:ascii="Times New Roman" w:hAnsi="Times New Roman"/>
          <w:szCs w:val="24"/>
        </w:rPr>
        <w:t>, 202</w:t>
      </w:r>
      <w:r>
        <w:rPr>
          <w:rFonts w:ascii="Times New Roman" w:hAnsi="Times New Roman"/>
          <w:szCs w:val="24"/>
        </w:rPr>
        <w:t>6</w:t>
      </w:r>
      <w:r w:rsidR="00B715A1">
        <w:rPr>
          <w:rFonts w:ascii="Times New Roman" w:hAnsi="Times New Roman"/>
          <w:szCs w:val="24"/>
        </w:rPr>
        <w:t>, Vol. 91, No. 14</w:t>
      </w:r>
      <w:r w:rsidRPr="003A3816">
        <w:rPr>
          <w:rFonts w:ascii="Times New Roman" w:hAnsi="Times New Roman"/>
          <w:szCs w:val="24"/>
        </w:rPr>
        <w:t xml:space="preserve"> (91 FR 2723). Two comments were received</w:t>
      </w:r>
      <w:r w:rsidR="00291634">
        <w:rPr>
          <w:rFonts w:ascii="Times New Roman" w:hAnsi="Times New Roman"/>
          <w:szCs w:val="24"/>
        </w:rPr>
        <w:t xml:space="preserve">, </w:t>
      </w:r>
      <w:r w:rsidR="00B006ED">
        <w:rPr>
          <w:rFonts w:ascii="Times New Roman" w:hAnsi="Times New Roman"/>
          <w:szCs w:val="24"/>
        </w:rPr>
        <w:t>one of which</w:t>
      </w:r>
      <w:r w:rsidR="00291634">
        <w:rPr>
          <w:rFonts w:ascii="Times New Roman" w:hAnsi="Times New Roman"/>
          <w:szCs w:val="24"/>
        </w:rPr>
        <w:t xml:space="preserve"> </w:t>
      </w:r>
      <w:r w:rsidR="00B006ED">
        <w:rPr>
          <w:rFonts w:ascii="Times New Roman" w:hAnsi="Times New Roman"/>
          <w:szCs w:val="24"/>
        </w:rPr>
        <w:t>was not</w:t>
      </w:r>
      <w:r w:rsidR="00291634">
        <w:rPr>
          <w:rFonts w:ascii="Times New Roman" w:hAnsi="Times New Roman"/>
          <w:szCs w:val="24"/>
        </w:rPr>
        <w:t xml:space="preserve"> relevant to this information collection</w:t>
      </w:r>
      <w:r w:rsidR="00B006ED">
        <w:rPr>
          <w:rFonts w:ascii="Times New Roman" w:hAnsi="Times New Roman"/>
          <w:szCs w:val="24"/>
        </w:rPr>
        <w:t xml:space="preserve"> and the other offered general support for the program overall</w:t>
      </w:r>
      <w:r w:rsidRPr="003A3816">
        <w:rPr>
          <w:rFonts w:ascii="Times New Roman" w:hAnsi="Times New Roman"/>
          <w:szCs w:val="24"/>
        </w:rPr>
        <w:t>.</w:t>
      </w:r>
      <w:r w:rsidR="00291634">
        <w:rPr>
          <w:rFonts w:ascii="Times New Roman" w:hAnsi="Times New Roman"/>
          <w:szCs w:val="24"/>
        </w:rPr>
        <w:t xml:space="preserve"> No specific changes were made to this collection in response to the comments.</w:t>
      </w:r>
    </w:p>
    <w:p w:rsidR="00B006ED" w:rsidP="00354DDB" w14:paraId="0B4B6617" w14:textId="77777777">
      <w:pPr>
        <w:widowControl/>
        <w:numPr>
          <w:ilvl w:val="12"/>
          <w:numId w:val="0"/>
        </w:numPr>
        <w:overflowPunct/>
        <w:textAlignment w:val="auto"/>
        <w:rPr>
          <w:rFonts w:ascii="Times New Roman" w:hAnsi="Times New Roman"/>
          <w:szCs w:val="24"/>
        </w:rPr>
      </w:pPr>
    </w:p>
    <w:p w:rsidR="00B006ED" w:rsidRPr="00B006ED" w:rsidP="00354DDB" w14:paraId="77A4A893" w14:textId="6A2955EE">
      <w:pPr>
        <w:widowControl/>
        <w:numPr>
          <w:ilvl w:val="12"/>
          <w:numId w:val="0"/>
        </w:numPr>
        <w:overflowPunct/>
        <w:textAlignment w:val="auto"/>
        <w:rPr>
          <w:rFonts w:ascii="Times New Roman" w:hAnsi="Times New Roman"/>
          <w:b/>
          <w:bCs/>
          <w:szCs w:val="24"/>
        </w:rPr>
      </w:pPr>
      <w:r w:rsidRPr="00B006ED">
        <w:rPr>
          <w:rFonts w:ascii="Times New Roman" w:hAnsi="Times New Roman"/>
          <w:b/>
          <w:bCs/>
          <w:szCs w:val="24"/>
        </w:rPr>
        <w:t>Consultation with persons outside the agency:</w:t>
      </w:r>
    </w:p>
    <w:p w:rsidR="009F5909" w:rsidRPr="003A3816" w:rsidP="003A3816" w14:paraId="48843338" w14:textId="77777777">
      <w:pPr>
        <w:widowControl/>
        <w:numPr>
          <w:ilvl w:val="12"/>
          <w:numId w:val="0"/>
        </w:numPr>
        <w:overflowPunct/>
        <w:ind w:left="720"/>
        <w:textAlignment w:val="auto"/>
        <w:rPr>
          <w:rFonts w:ascii="Times New Roman" w:hAnsi="Times New Roman"/>
          <w:szCs w:val="24"/>
        </w:rPr>
      </w:pPr>
    </w:p>
    <w:tbl>
      <w:tblPr>
        <w:tblW w:w="9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39"/>
        <w:gridCol w:w="2318"/>
        <w:gridCol w:w="3550"/>
      </w:tblGrid>
      <w:tr w14:paraId="4DFD4B1E" w14:textId="77777777" w:rsidTr="00E34C21">
        <w:tblPrEx>
          <w:tblW w:w="9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3439" w:type="dxa"/>
            <w:tcMar>
              <w:top w:w="0" w:type="dxa"/>
              <w:left w:w="108" w:type="dxa"/>
              <w:bottom w:w="0" w:type="dxa"/>
              <w:right w:w="108" w:type="dxa"/>
            </w:tcMar>
            <w:hideMark/>
          </w:tcPr>
          <w:p w:rsidR="0084458B" w:rsidRPr="0084458B" w:rsidP="0084458B" w14:paraId="62188E96" w14:textId="77777777">
            <w:pPr>
              <w:widowControl/>
              <w:overflowPunct/>
              <w:textAlignment w:val="auto"/>
              <w:rPr>
                <w:rFonts w:ascii="Times New Roman" w:hAnsi="Times New Roman"/>
                <w:b/>
                <w:bCs/>
                <w:szCs w:val="24"/>
              </w:rPr>
            </w:pPr>
            <w:r w:rsidRPr="0084458B">
              <w:rPr>
                <w:rFonts w:ascii="Times New Roman" w:hAnsi="Times New Roman"/>
                <w:b/>
                <w:bCs/>
                <w:szCs w:val="24"/>
              </w:rPr>
              <w:t>UNIVERSITY</w:t>
            </w:r>
          </w:p>
        </w:tc>
        <w:tc>
          <w:tcPr>
            <w:tcW w:w="5868" w:type="dxa"/>
            <w:gridSpan w:val="2"/>
            <w:tcMar>
              <w:top w:w="0" w:type="dxa"/>
              <w:left w:w="108" w:type="dxa"/>
              <w:bottom w:w="0" w:type="dxa"/>
              <w:right w:w="108" w:type="dxa"/>
            </w:tcMar>
            <w:hideMark/>
          </w:tcPr>
          <w:p w:rsidR="0084458B" w:rsidRPr="0084458B" w:rsidP="0084458B" w14:paraId="6322ED7A" w14:textId="77777777">
            <w:pPr>
              <w:widowControl/>
              <w:overflowPunct/>
              <w:jc w:val="center"/>
              <w:textAlignment w:val="auto"/>
              <w:rPr>
                <w:rFonts w:ascii="Times New Roman" w:hAnsi="Times New Roman"/>
                <w:b/>
                <w:bCs/>
                <w:szCs w:val="24"/>
              </w:rPr>
            </w:pPr>
            <w:r w:rsidRPr="0084458B">
              <w:rPr>
                <w:rFonts w:ascii="Times New Roman" w:hAnsi="Times New Roman"/>
                <w:b/>
                <w:bCs/>
                <w:szCs w:val="24"/>
              </w:rPr>
              <w:t>CONTACT INFORMATION</w:t>
            </w:r>
          </w:p>
        </w:tc>
      </w:tr>
      <w:tr w14:paraId="3C2CC3D8" w14:textId="77777777" w:rsidTr="00E34C21">
        <w:tblPrEx>
          <w:tblW w:w="9307" w:type="dxa"/>
          <w:tblCellMar>
            <w:left w:w="0" w:type="dxa"/>
            <w:right w:w="0" w:type="dxa"/>
          </w:tblCellMar>
          <w:tblLook w:val="04A0"/>
        </w:tblPrEx>
        <w:tc>
          <w:tcPr>
            <w:tcW w:w="3439" w:type="dxa"/>
            <w:tcMar>
              <w:top w:w="0" w:type="dxa"/>
              <w:left w:w="108" w:type="dxa"/>
              <w:bottom w:w="0" w:type="dxa"/>
              <w:right w:w="108" w:type="dxa"/>
            </w:tcMar>
            <w:hideMark/>
          </w:tcPr>
          <w:p w:rsidR="0084458B" w:rsidRPr="0084458B" w:rsidP="0084458B" w14:paraId="7E48B0F4" w14:textId="00B8C618">
            <w:pPr>
              <w:widowControl/>
              <w:overflowPunct/>
              <w:textAlignment w:val="auto"/>
              <w:rPr>
                <w:rFonts w:ascii="Times New Roman" w:hAnsi="Times New Roman"/>
                <w:sz w:val="22"/>
                <w:szCs w:val="22"/>
              </w:rPr>
            </w:pPr>
            <w:r w:rsidRPr="009F5909">
              <w:rPr>
                <w:rFonts w:ascii="Times New Roman" w:hAnsi="Times New Roman"/>
                <w:sz w:val="22"/>
                <w:szCs w:val="22"/>
              </w:rPr>
              <w:t>North Carolina State University</w:t>
            </w:r>
          </w:p>
        </w:tc>
        <w:tc>
          <w:tcPr>
            <w:tcW w:w="2318" w:type="dxa"/>
            <w:tcMar>
              <w:top w:w="0" w:type="dxa"/>
              <w:left w:w="108" w:type="dxa"/>
              <w:bottom w:w="0" w:type="dxa"/>
              <w:right w:w="108" w:type="dxa"/>
            </w:tcMar>
            <w:hideMark/>
          </w:tcPr>
          <w:p w:rsidR="0084458B" w:rsidRPr="0084458B" w:rsidP="0084458B" w14:paraId="45B98809" w14:textId="5C8BACDD">
            <w:pPr>
              <w:widowControl/>
              <w:overflowPunct/>
              <w:textAlignment w:val="auto"/>
              <w:rPr>
                <w:rFonts w:ascii="Times New Roman" w:hAnsi="Times New Roman"/>
                <w:sz w:val="22"/>
                <w:szCs w:val="22"/>
              </w:rPr>
            </w:pPr>
            <w:r w:rsidRPr="009F5909">
              <w:rPr>
                <w:rFonts w:ascii="Times New Roman" w:hAnsi="Times New Roman"/>
                <w:sz w:val="22"/>
                <w:szCs w:val="22"/>
              </w:rPr>
              <w:t>Lisa Benavente</w:t>
            </w:r>
          </w:p>
        </w:tc>
        <w:tc>
          <w:tcPr>
            <w:tcW w:w="3550" w:type="dxa"/>
            <w:tcMar>
              <w:top w:w="0" w:type="dxa"/>
              <w:left w:w="108" w:type="dxa"/>
              <w:bottom w:w="0" w:type="dxa"/>
              <w:right w:w="108" w:type="dxa"/>
            </w:tcMar>
            <w:hideMark/>
          </w:tcPr>
          <w:p w:rsidR="0084458B" w:rsidRPr="0084458B" w:rsidP="0084458B" w14:paraId="79A4A3CC" w14:textId="3E5EF776">
            <w:pPr>
              <w:widowControl/>
              <w:overflowPunct/>
              <w:textAlignment w:val="auto"/>
              <w:rPr>
                <w:rFonts w:ascii="Times New Roman" w:hAnsi="Times New Roman"/>
                <w:sz w:val="22"/>
                <w:szCs w:val="22"/>
              </w:rPr>
            </w:pPr>
            <w:hyperlink r:id="rId13" w:history="1">
              <w:r w:rsidRPr="009F5909">
                <w:rPr>
                  <w:rStyle w:val="Hyperlink"/>
                  <w:rFonts w:ascii="Times New Roman" w:hAnsi="Times New Roman"/>
                  <w:sz w:val="22"/>
                  <w:szCs w:val="22"/>
                </w:rPr>
                <w:t>labenave@ncsu.edu</w:t>
              </w:r>
            </w:hyperlink>
          </w:p>
        </w:tc>
      </w:tr>
      <w:tr w14:paraId="3A9F0F8E" w14:textId="77777777" w:rsidTr="00E34C21">
        <w:tblPrEx>
          <w:tblW w:w="9307" w:type="dxa"/>
          <w:tblCellMar>
            <w:left w:w="0" w:type="dxa"/>
            <w:right w:w="0" w:type="dxa"/>
          </w:tblCellMar>
          <w:tblLook w:val="04A0"/>
        </w:tblPrEx>
        <w:tc>
          <w:tcPr>
            <w:tcW w:w="3439" w:type="dxa"/>
            <w:tcMar>
              <w:top w:w="0" w:type="dxa"/>
              <w:left w:w="108" w:type="dxa"/>
              <w:bottom w:w="0" w:type="dxa"/>
              <w:right w:w="108" w:type="dxa"/>
            </w:tcMar>
            <w:hideMark/>
          </w:tcPr>
          <w:p w:rsidR="0084458B" w:rsidRPr="0084458B" w:rsidP="0084458B" w14:paraId="1C61FD54" w14:textId="10020023">
            <w:pPr>
              <w:widowControl/>
              <w:overflowPunct/>
              <w:textAlignment w:val="auto"/>
              <w:rPr>
                <w:rFonts w:ascii="Times New Roman" w:hAnsi="Times New Roman"/>
                <w:sz w:val="22"/>
                <w:szCs w:val="22"/>
              </w:rPr>
            </w:pPr>
            <w:r w:rsidRPr="009F5909">
              <w:rPr>
                <w:rFonts w:ascii="Times New Roman" w:hAnsi="Times New Roman"/>
                <w:sz w:val="22"/>
                <w:szCs w:val="22"/>
              </w:rPr>
              <w:t>South Dakota State University</w:t>
            </w:r>
          </w:p>
        </w:tc>
        <w:tc>
          <w:tcPr>
            <w:tcW w:w="2318" w:type="dxa"/>
            <w:tcMar>
              <w:top w:w="0" w:type="dxa"/>
              <w:left w:w="108" w:type="dxa"/>
              <w:bottom w:w="0" w:type="dxa"/>
              <w:right w:w="108" w:type="dxa"/>
            </w:tcMar>
            <w:hideMark/>
          </w:tcPr>
          <w:p w:rsidR="0084458B" w:rsidRPr="0084458B" w:rsidP="0084458B" w14:paraId="76403A68" w14:textId="14976FA9">
            <w:pPr>
              <w:widowControl/>
              <w:overflowPunct/>
              <w:textAlignment w:val="auto"/>
              <w:rPr>
                <w:rFonts w:ascii="Times New Roman" w:hAnsi="Times New Roman"/>
                <w:sz w:val="22"/>
                <w:szCs w:val="22"/>
              </w:rPr>
            </w:pPr>
            <w:r w:rsidRPr="009F5909">
              <w:rPr>
                <w:rFonts w:ascii="Times New Roman" w:hAnsi="Times New Roman"/>
                <w:sz w:val="22"/>
                <w:szCs w:val="22"/>
              </w:rPr>
              <w:t>Samantha Devaney</w:t>
            </w:r>
          </w:p>
        </w:tc>
        <w:tc>
          <w:tcPr>
            <w:tcW w:w="3550" w:type="dxa"/>
            <w:tcMar>
              <w:top w:w="0" w:type="dxa"/>
              <w:left w:w="108" w:type="dxa"/>
              <w:bottom w:w="0" w:type="dxa"/>
              <w:right w:w="108" w:type="dxa"/>
            </w:tcMar>
            <w:hideMark/>
          </w:tcPr>
          <w:p w:rsidR="0084458B" w:rsidRPr="0084458B" w:rsidP="0084458B" w14:paraId="190D9F25" w14:textId="6F0D8234">
            <w:pPr>
              <w:widowControl/>
              <w:overflowPunct/>
              <w:textAlignment w:val="auto"/>
              <w:rPr>
                <w:rFonts w:ascii="Times New Roman" w:hAnsi="Times New Roman"/>
                <w:sz w:val="22"/>
                <w:szCs w:val="22"/>
              </w:rPr>
            </w:pPr>
            <w:hyperlink r:id="rId14" w:history="1">
              <w:r w:rsidRPr="009F5909">
                <w:rPr>
                  <w:rStyle w:val="Hyperlink"/>
                  <w:rFonts w:ascii="Times New Roman" w:hAnsi="Times New Roman"/>
                  <w:sz w:val="22"/>
                  <w:szCs w:val="22"/>
                </w:rPr>
                <w:t>samantha.devaney@sdstate.edu</w:t>
              </w:r>
            </w:hyperlink>
          </w:p>
        </w:tc>
      </w:tr>
      <w:tr w14:paraId="6723A0B6" w14:textId="77777777" w:rsidTr="00E34C21">
        <w:tblPrEx>
          <w:tblW w:w="9307" w:type="dxa"/>
          <w:tblCellMar>
            <w:left w:w="0" w:type="dxa"/>
            <w:right w:w="0" w:type="dxa"/>
          </w:tblCellMar>
          <w:tblLook w:val="04A0"/>
        </w:tblPrEx>
        <w:tc>
          <w:tcPr>
            <w:tcW w:w="3439" w:type="dxa"/>
            <w:tcMar>
              <w:top w:w="0" w:type="dxa"/>
              <w:left w:w="108" w:type="dxa"/>
              <w:bottom w:w="0" w:type="dxa"/>
              <w:right w:w="108" w:type="dxa"/>
            </w:tcMar>
            <w:hideMark/>
          </w:tcPr>
          <w:p w:rsidR="0084458B" w:rsidRPr="0084458B" w:rsidP="0084458B" w14:paraId="03248E82" w14:textId="7E9E7AC4">
            <w:pPr>
              <w:widowControl/>
              <w:overflowPunct/>
              <w:textAlignment w:val="auto"/>
              <w:rPr>
                <w:rFonts w:ascii="Times New Roman" w:hAnsi="Times New Roman"/>
                <w:sz w:val="22"/>
                <w:szCs w:val="22"/>
              </w:rPr>
            </w:pPr>
            <w:r w:rsidRPr="0084458B">
              <w:rPr>
                <w:rFonts w:ascii="Times New Roman" w:hAnsi="Times New Roman"/>
                <w:sz w:val="22"/>
                <w:szCs w:val="22"/>
              </w:rPr>
              <w:t xml:space="preserve">University of </w:t>
            </w:r>
            <w:r w:rsidRPr="009F5909" w:rsidR="00E34C21">
              <w:rPr>
                <w:rFonts w:ascii="Times New Roman" w:hAnsi="Times New Roman"/>
                <w:sz w:val="22"/>
                <w:szCs w:val="22"/>
              </w:rPr>
              <w:t>Idaho</w:t>
            </w:r>
          </w:p>
        </w:tc>
        <w:tc>
          <w:tcPr>
            <w:tcW w:w="2318" w:type="dxa"/>
            <w:tcMar>
              <w:top w:w="0" w:type="dxa"/>
              <w:left w:w="108" w:type="dxa"/>
              <w:bottom w:w="0" w:type="dxa"/>
              <w:right w:w="108" w:type="dxa"/>
            </w:tcMar>
            <w:hideMark/>
          </w:tcPr>
          <w:p w:rsidR="0084458B" w:rsidRPr="0084458B" w:rsidP="0084458B" w14:paraId="2C7BD57D" w14:textId="12FA7D29">
            <w:pPr>
              <w:widowControl/>
              <w:overflowPunct/>
              <w:textAlignment w:val="auto"/>
              <w:rPr>
                <w:rFonts w:ascii="Times New Roman" w:hAnsi="Times New Roman"/>
                <w:sz w:val="22"/>
                <w:szCs w:val="22"/>
              </w:rPr>
            </w:pPr>
            <w:r w:rsidRPr="009F5909">
              <w:rPr>
                <w:rFonts w:ascii="Times New Roman" w:hAnsi="Times New Roman"/>
                <w:sz w:val="22"/>
                <w:szCs w:val="22"/>
              </w:rPr>
              <w:t>Annie Roe</w:t>
            </w:r>
          </w:p>
        </w:tc>
        <w:tc>
          <w:tcPr>
            <w:tcW w:w="3550" w:type="dxa"/>
            <w:tcMar>
              <w:top w:w="0" w:type="dxa"/>
              <w:left w:w="108" w:type="dxa"/>
              <w:bottom w:w="0" w:type="dxa"/>
              <w:right w:w="108" w:type="dxa"/>
            </w:tcMar>
            <w:hideMark/>
          </w:tcPr>
          <w:p w:rsidR="0084458B" w:rsidRPr="0084458B" w:rsidP="0084458B" w14:paraId="25B9E219" w14:textId="462A646E">
            <w:pPr>
              <w:widowControl/>
              <w:overflowPunct/>
              <w:textAlignment w:val="auto"/>
              <w:rPr>
                <w:rFonts w:ascii="Times New Roman" w:hAnsi="Times New Roman"/>
                <w:color w:val="366092"/>
                <w:sz w:val="22"/>
                <w:szCs w:val="22"/>
              </w:rPr>
            </w:pPr>
            <w:hyperlink r:id="rId15" w:history="1">
              <w:r w:rsidRPr="009F5909">
                <w:rPr>
                  <w:rStyle w:val="Hyperlink"/>
                  <w:rFonts w:ascii="Times New Roman" w:hAnsi="Times New Roman"/>
                  <w:sz w:val="22"/>
                  <w:szCs w:val="22"/>
                </w:rPr>
                <w:t>aroe@uidaho.edu</w:t>
              </w:r>
            </w:hyperlink>
          </w:p>
        </w:tc>
      </w:tr>
      <w:tr w14:paraId="5A49E6B4" w14:textId="77777777" w:rsidTr="00E34C21">
        <w:tblPrEx>
          <w:tblW w:w="9307" w:type="dxa"/>
          <w:tblCellMar>
            <w:left w:w="0" w:type="dxa"/>
            <w:right w:w="0" w:type="dxa"/>
          </w:tblCellMar>
          <w:tblLook w:val="04A0"/>
        </w:tblPrEx>
        <w:tc>
          <w:tcPr>
            <w:tcW w:w="3439" w:type="dxa"/>
            <w:tcMar>
              <w:top w:w="0" w:type="dxa"/>
              <w:left w:w="108" w:type="dxa"/>
              <w:bottom w:w="0" w:type="dxa"/>
              <w:right w:w="108" w:type="dxa"/>
            </w:tcMar>
            <w:hideMark/>
          </w:tcPr>
          <w:p w:rsidR="0084458B" w:rsidRPr="0084458B" w:rsidP="0084458B" w14:paraId="5CD958D5" w14:textId="58CEE1E2">
            <w:pPr>
              <w:widowControl/>
              <w:overflowPunct/>
              <w:textAlignment w:val="auto"/>
              <w:rPr>
                <w:rFonts w:ascii="Times New Roman" w:hAnsi="Times New Roman"/>
                <w:sz w:val="22"/>
                <w:szCs w:val="22"/>
              </w:rPr>
            </w:pPr>
            <w:r w:rsidRPr="009F5909">
              <w:rPr>
                <w:rFonts w:ascii="Times New Roman" w:hAnsi="Times New Roman"/>
                <w:sz w:val="22"/>
                <w:szCs w:val="22"/>
              </w:rPr>
              <w:t>University of Maryland Eastern Shore</w:t>
            </w:r>
          </w:p>
        </w:tc>
        <w:tc>
          <w:tcPr>
            <w:tcW w:w="2318" w:type="dxa"/>
            <w:tcMar>
              <w:top w:w="0" w:type="dxa"/>
              <w:left w:w="108" w:type="dxa"/>
              <w:bottom w:w="0" w:type="dxa"/>
              <w:right w:w="108" w:type="dxa"/>
            </w:tcMar>
            <w:hideMark/>
          </w:tcPr>
          <w:p w:rsidR="0084458B" w:rsidRPr="0084458B" w:rsidP="0084458B" w14:paraId="1931C0BE" w14:textId="42935488">
            <w:pPr>
              <w:widowControl/>
              <w:overflowPunct/>
              <w:textAlignment w:val="auto"/>
              <w:rPr>
                <w:rFonts w:ascii="Times New Roman" w:hAnsi="Times New Roman"/>
                <w:sz w:val="22"/>
                <w:szCs w:val="22"/>
              </w:rPr>
            </w:pPr>
            <w:r w:rsidRPr="009F5909">
              <w:rPr>
                <w:rFonts w:ascii="Times New Roman" w:hAnsi="Times New Roman"/>
                <w:sz w:val="22"/>
                <w:szCs w:val="22"/>
              </w:rPr>
              <w:t>Virginie Zoumenou</w:t>
            </w:r>
          </w:p>
        </w:tc>
        <w:tc>
          <w:tcPr>
            <w:tcW w:w="3550" w:type="dxa"/>
            <w:tcMar>
              <w:top w:w="0" w:type="dxa"/>
              <w:left w:w="108" w:type="dxa"/>
              <w:bottom w:w="0" w:type="dxa"/>
              <w:right w:w="108" w:type="dxa"/>
            </w:tcMar>
            <w:hideMark/>
          </w:tcPr>
          <w:p w:rsidR="0084458B" w:rsidRPr="0084458B" w:rsidP="0084458B" w14:paraId="24BBF8F0" w14:textId="0E1F0C1E">
            <w:pPr>
              <w:widowControl/>
              <w:overflowPunct/>
              <w:textAlignment w:val="auto"/>
              <w:rPr>
                <w:rFonts w:ascii="Times New Roman" w:hAnsi="Times New Roman"/>
                <w:sz w:val="22"/>
                <w:szCs w:val="22"/>
              </w:rPr>
            </w:pPr>
            <w:hyperlink r:id="rId16" w:history="1">
              <w:r w:rsidRPr="009F5909">
                <w:rPr>
                  <w:rStyle w:val="Hyperlink"/>
                  <w:rFonts w:ascii="Times New Roman" w:hAnsi="Times New Roman"/>
                  <w:sz w:val="22"/>
                  <w:szCs w:val="22"/>
                </w:rPr>
                <w:t>vmzoumenou@umes.edu</w:t>
              </w:r>
            </w:hyperlink>
          </w:p>
        </w:tc>
      </w:tr>
      <w:tr w14:paraId="08D25BE6" w14:textId="77777777" w:rsidTr="00E34C21">
        <w:tblPrEx>
          <w:tblW w:w="9307" w:type="dxa"/>
          <w:tblCellMar>
            <w:left w:w="0" w:type="dxa"/>
            <w:right w:w="0" w:type="dxa"/>
          </w:tblCellMar>
          <w:tblLook w:val="04A0"/>
        </w:tblPrEx>
        <w:tc>
          <w:tcPr>
            <w:tcW w:w="3439" w:type="dxa"/>
            <w:tcMar>
              <w:top w:w="0" w:type="dxa"/>
              <w:left w:w="108" w:type="dxa"/>
              <w:bottom w:w="0" w:type="dxa"/>
              <w:right w:w="108" w:type="dxa"/>
            </w:tcMar>
          </w:tcPr>
          <w:p w:rsidR="00E34C21" w:rsidRPr="009F5909" w:rsidP="0084458B" w14:paraId="3585EFF3" w14:textId="64D4649C">
            <w:pPr>
              <w:widowControl/>
              <w:overflowPunct/>
              <w:textAlignment w:val="auto"/>
              <w:rPr>
                <w:rFonts w:ascii="Times New Roman" w:hAnsi="Times New Roman"/>
                <w:sz w:val="22"/>
                <w:szCs w:val="22"/>
              </w:rPr>
            </w:pPr>
            <w:r w:rsidRPr="009F5909">
              <w:rPr>
                <w:rFonts w:ascii="Times New Roman" w:hAnsi="Times New Roman"/>
                <w:sz w:val="22"/>
                <w:szCs w:val="22"/>
              </w:rPr>
              <w:t>University of New Mexico</w:t>
            </w:r>
          </w:p>
        </w:tc>
        <w:tc>
          <w:tcPr>
            <w:tcW w:w="2318" w:type="dxa"/>
            <w:tcMar>
              <w:top w:w="0" w:type="dxa"/>
              <w:left w:w="108" w:type="dxa"/>
              <w:bottom w:w="0" w:type="dxa"/>
              <w:right w:w="108" w:type="dxa"/>
            </w:tcMar>
          </w:tcPr>
          <w:p w:rsidR="00E34C21" w:rsidRPr="009F5909" w:rsidP="0084458B" w14:paraId="6E531B03" w14:textId="7A166E7C">
            <w:pPr>
              <w:widowControl/>
              <w:overflowPunct/>
              <w:textAlignment w:val="auto"/>
              <w:rPr>
                <w:rFonts w:ascii="Times New Roman" w:hAnsi="Times New Roman"/>
                <w:sz w:val="22"/>
                <w:szCs w:val="22"/>
              </w:rPr>
            </w:pPr>
            <w:r w:rsidRPr="009F5909">
              <w:rPr>
                <w:rFonts w:ascii="Times New Roman" w:hAnsi="Times New Roman"/>
                <w:sz w:val="22"/>
                <w:szCs w:val="22"/>
              </w:rPr>
              <w:t>Donna Sauter</w:t>
            </w:r>
          </w:p>
        </w:tc>
        <w:tc>
          <w:tcPr>
            <w:tcW w:w="3550" w:type="dxa"/>
            <w:tcMar>
              <w:top w:w="0" w:type="dxa"/>
              <w:left w:w="108" w:type="dxa"/>
              <w:bottom w:w="0" w:type="dxa"/>
              <w:right w:w="108" w:type="dxa"/>
            </w:tcMar>
          </w:tcPr>
          <w:p w:rsidR="00E34C21" w:rsidRPr="009F5909" w:rsidP="0084458B" w14:paraId="054024D9" w14:textId="6453A48D">
            <w:pPr>
              <w:widowControl/>
              <w:overflowPunct/>
              <w:textAlignment w:val="auto"/>
              <w:rPr>
                <w:rFonts w:ascii="Times New Roman" w:hAnsi="Times New Roman"/>
                <w:sz w:val="22"/>
                <w:szCs w:val="22"/>
              </w:rPr>
            </w:pPr>
            <w:hyperlink r:id="rId17" w:history="1">
              <w:r w:rsidRPr="009F5909">
                <w:rPr>
                  <w:rStyle w:val="Hyperlink"/>
                  <w:rFonts w:ascii="Times New Roman" w:hAnsi="Times New Roman"/>
                  <w:sz w:val="22"/>
                  <w:szCs w:val="22"/>
                </w:rPr>
                <w:t>sauter@nmsu.edu</w:t>
              </w:r>
            </w:hyperlink>
          </w:p>
        </w:tc>
      </w:tr>
      <w:tr w14:paraId="12534A0D" w14:textId="77777777" w:rsidTr="00E34C21">
        <w:tblPrEx>
          <w:tblW w:w="9307" w:type="dxa"/>
          <w:tblCellMar>
            <w:left w:w="0" w:type="dxa"/>
            <w:right w:w="0" w:type="dxa"/>
          </w:tblCellMar>
          <w:tblLook w:val="04A0"/>
        </w:tblPrEx>
        <w:tc>
          <w:tcPr>
            <w:tcW w:w="3439" w:type="dxa"/>
            <w:tcBorders>
              <w:bottom w:val="single" w:sz="8" w:space="0" w:color="auto"/>
            </w:tcBorders>
            <w:tcMar>
              <w:top w:w="0" w:type="dxa"/>
              <w:left w:w="108" w:type="dxa"/>
              <w:bottom w:w="0" w:type="dxa"/>
              <w:right w:w="108" w:type="dxa"/>
            </w:tcMar>
            <w:hideMark/>
          </w:tcPr>
          <w:p w:rsidR="0084458B" w:rsidRPr="0084458B" w:rsidP="0084458B" w14:paraId="60246739" w14:textId="16BACA39">
            <w:pPr>
              <w:widowControl/>
              <w:overflowPunct/>
              <w:textAlignment w:val="auto"/>
              <w:rPr>
                <w:rFonts w:ascii="Times New Roman" w:hAnsi="Times New Roman"/>
                <w:sz w:val="22"/>
                <w:szCs w:val="22"/>
              </w:rPr>
            </w:pPr>
            <w:r w:rsidRPr="009F5909">
              <w:rPr>
                <w:rFonts w:ascii="Times New Roman" w:hAnsi="Times New Roman"/>
                <w:sz w:val="22"/>
                <w:szCs w:val="22"/>
              </w:rPr>
              <w:t>University of Vermont</w:t>
            </w:r>
          </w:p>
        </w:tc>
        <w:tc>
          <w:tcPr>
            <w:tcW w:w="2318" w:type="dxa"/>
            <w:tcBorders>
              <w:bottom w:val="single" w:sz="8" w:space="0" w:color="auto"/>
            </w:tcBorders>
            <w:tcMar>
              <w:top w:w="0" w:type="dxa"/>
              <w:left w:w="108" w:type="dxa"/>
              <w:bottom w:w="0" w:type="dxa"/>
              <w:right w:w="108" w:type="dxa"/>
            </w:tcMar>
            <w:hideMark/>
          </w:tcPr>
          <w:p w:rsidR="0084458B" w:rsidRPr="0084458B" w:rsidP="0084458B" w14:paraId="6F98DBC2" w14:textId="6B77D54F">
            <w:pPr>
              <w:widowControl/>
              <w:overflowPunct/>
              <w:textAlignment w:val="auto"/>
              <w:rPr>
                <w:rFonts w:ascii="Times New Roman" w:hAnsi="Times New Roman"/>
                <w:sz w:val="22"/>
                <w:szCs w:val="22"/>
              </w:rPr>
            </w:pPr>
            <w:r w:rsidRPr="009F5909">
              <w:rPr>
                <w:rFonts w:ascii="Times New Roman" w:hAnsi="Times New Roman"/>
                <w:sz w:val="22"/>
                <w:szCs w:val="22"/>
              </w:rPr>
              <w:t>Maire Folan</w:t>
            </w:r>
          </w:p>
        </w:tc>
        <w:tc>
          <w:tcPr>
            <w:tcW w:w="3550" w:type="dxa"/>
            <w:tcBorders>
              <w:bottom w:val="single" w:sz="8" w:space="0" w:color="auto"/>
            </w:tcBorders>
            <w:tcMar>
              <w:top w:w="0" w:type="dxa"/>
              <w:left w:w="108" w:type="dxa"/>
              <w:bottom w:w="0" w:type="dxa"/>
              <w:right w:w="108" w:type="dxa"/>
            </w:tcMar>
            <w:hideMark/>
          </w:tcPr>
          <w:p w:rsidR="0084458B" w:rsidRPr="0084458B" w:rsidP="0084458B" w14:paraId="56338A73" w14:textId="6D832F93">
            <w:pPr>
              <w:widowControl/>
              <w:overflowPunct/>
              <w:textAlignment w:val="auto"/>
              <w:rPr>
                <w:rFonts w:ascii="Times New Roman" w:hAnsi="Times New Roman"/>
                <w:color w:val="366092"/>
                <w:sz w:val="22"/>
                <w:szCs w:val="22"/>
              </w:rPr>
            </w:pPr>
            <w:hyperlink r:id="rId18" w:history="1">
              <w:r w:rsidRPr="009F5909">
                <w:rPr>
                  <w:rStyle w:val="Hyperlink"/>
                  <w:rFonts w:ascii="Times New Roman" w:hAnsi="Times New Roman"/>
                  <w:sz w:val="22"/>
                  <w:szCs w:val="22"/>
                </w:rPr>
                <w:t>maire.folan@uvm.edu</w:t>
              </w:r>
            </w:hyperlink>
          </w:p>
        </w:tc>
      </w:tr>
      <w:tr w14:paraId="02F43D78" w14:textId="77777777" w:rsidTr="00E34C21">
        <w:tblPrEx>
          <w:tblW w:w="9307" w:type="dxa"/>
          <w:tblCellMar>
            <w:left w:w="0" w:type="dxa"/>
            <w:right w:w="0" w:type="dxa"/>
          </w:tblCellMar>
          <w:tblLook w:val="04A0"/>
        </w:tblPrEx>
        <w:trPr>
          <w:trHeight w:val="66"/>
        </w:trPr>
        <w:tc>
          <w:tcPr>
            <w:tcW w:w="3439" w:type="dxa"/>
            <w:tcMar>
              <w:top w:w="0" w:type="dxa"/>
              <w:left w:w="108" w:type="dxa"/>
              <w:bottom w:w="0" w:type="dxa"/>
              <w:right w:w="108" w:type="dxa"/>
            </w:tcMar>
          </w:tcPr>
          <w:p w:rsidR="0084458B" w:rsidRPr="0084458B" w:rsidP="0084458B" w14:paraId="204C9A42" w14:textId="3D135A9A">
            <w:pPr>
              <w:widowControl/>
              <w:overflowPunct/>
              <w:textAlignment w:val="auto"/>
              <w:rPr>
                <w:rFonts w:ascii="Times New Roman" w:hAnsi="Times New Roman"/>
                <w:sz w:val="22"/>
                <w:szCs w:val="22"/>
              </w:rPr>
            </w:pPr>
            <w:r w:rsidRPr="009F5909">
              <w:rPr>
                <w:rFonts w:ascii="Times New Roman" w:hAnsi="Times New Roman"/>
                <w:sz w:val="22"/>
                <w:szCs w:val="22"/>
              </w:rPr>
              <w:t>University of Wisconsin</w:t>
            </w:r>
          </w:p>
        </w:tc>
        <w:tc>
          <w:tcPr>
            <w:tcW w:w="2318" w:type="dxa"/>
            <w:tcMar>
              <w:top w:w="0" w:type="dxa"/>
              <w:left w:w="108" w:type="dxa"/>
              <w:bottom w:w="0" w:type="dxa"/>
              <w:right w:w="108" w:type="dxa"/>
            </w:tcMar>
          </w:tcPr>
          <w:p w:rsidR="0084458B" w:rsidRPr="0084458B" w:rsidP="0084458B" w14:paraId="35C69F08" w14:textId="0297E058">
            <w:pPr>
              <w:widowControl/>
              <w:overflowPunct/>
              <w:textAlignment w:val="auto"/>
              <w:rPr>
                <w:rFonts w:ascii="Times New Roman" w:hAnsi="Times New Roman"/>
                <w:sz w:val="22"/>
                <w:szCs w:val="22"/>
              </w:rPr>
            </w:pPr>
            <w:r w:rsidRPr="009F5909">
              <w:rPr>
                <w:rFonts w:ascii="Times New Roman" w:hAnsi="Times New Roman"/>
                <w:sz w:val="22"/>
                <w:szCs w:val="22"/>
              </w:rPr>
              <w:t>Kathryn Boryc Smock</w:t>
            </w:r>
          </w:p>
        </w:tc>
        <w:tc>
          <w:tcPr>
            <w:tcW w:w="3550" w:type="dxa"/>
            <w:tcMar>
              <w:top w:w="0" w:type="dxa"/>
              <w:left w:w="108" w:type="dxa"/>
              <w:bottom w:w="0" w:type="dxa"/>
              <w:right w:w="108" w:type="dxa"/>
            </w:tcMar>
          </w:tcPr>
          <w:p w:rsidR="0084458B" w:rsidRPr="0084458B" w:rsidP="0084458B" w14:paraId="1FCFD392" w14:textId="1424EB39">
            <w:pPr>
              <w:widowControl/>
              <w:overflowPunct/>
              <w:textAlignment w:val="auto"/>
              <w:rPr>
                <w:rFonts w:ascii="Times New Roman" w:hAnsi="Times New Roman"/>
                <w:sz w:val="22"/>
                <w:szCs w:val="22"/>
              </w:rPr>
            </w:pPr>
            <w:hyperlink r:id="rId19" w:history="1">
              <w:r w:rsidRPr="009F5909">
                <w:rPr>
                  <w:rStyle w:val="Hyperlink"/>
                  <w:rFonts w:ascii="Times New Roman" w:hAnsi="Times New Roman"/>
                  <w:sz w:val="22"/>
                  <w:szCs w:val="22"/>
                </w:rPr>
                <w:t>kathryn.boryc@wisc.edu</w:t>
              </w:r>
            </w:hyperlink>
          </w:p>
        </w:tc>
      </w:tr>
    </w:tbl>
    <w:p w:rsidR="00CD705D" w:rsidP="00CD705D" w14:paraId="130F079C" w14:textId="77777777">
      <w:pPr>
        <w:tabs>
          <w:tab w:val="left" w:pos="-720"/>
        </w:tabs>
        <w:suppressAutoHyphens/>
        <w:ind w:left="720"/>
        <w:rPr>
          <w:rFonts w:ascii="Times New Roman" w:hAnsi="Times New Roman"/>
          <w:szCs w:val="24"/>
        </w:rPr>
      </w:pPr>
    </w:p>
    <w:p w:rsidR="00ED28F2" w:rsidP="00354DDB" w14:paraId="69075772" w14:textId="0CCE2E8C">
      <w:pPr>
        <w:tabs>
          <w:tab w:val="left" w:pos="-720"/>
        </w:tabs>
        <w:suppressAutoHyphens/>
        <w:ind w:left="-90"/>
        <w:rPr>
          <w:rFonts w:ascii="Times New Roman" w:hAnsi="Times New Roman"/>
          <w:szCs w:val="24"/>
        </w:rPr>
      </w:pPr>
      <w:r w:rsidRPr="00CD705D">
        <w:rPr>
          <w:rFonts w:ascii="Times New Roman" w:hAnsi="Times New Roman"/>
          <w:szCs w:val="24"/>
        </w:rPr>
        <w:t xml:space="preserve">Stakeholders provided information related to time needed to complete the collection as well as </w:t>
      </w:r>
      <w:r w:rsidRPr="00CD705D">
        <w:rPr>
          <w:rFonts w:ascii="Times New Roman" w:hAnsi="Times New Roman"/>
          <w:szCs w:val="24"/>
        </w:rPr>
        <w:t xml:space="preserve">suggestions on content and format of reporting capabilities to ensure that the collection meets program and user needs. </w:t>
      </w:r>
      <w:r w:rsidR="00312876">
        <w:rPr>
          <w:rFonts w:ascii="Times New Roman" w:hAnsi="Times New Roman"/>
          <w:szCs w:val="24"/>
        </w:rPr>
        <w:t>NIFA has taken this feedback into consideration and determined that the information asked for in this collection is necessary to complete the risk assessment required by current regulations.</w:t>
      </w:r>
    </w:p>
    <w:p w:rsidR="00CD705D" w:rsidRPr="00CD705D" w:rsidP="00CD705D" w14:paraId="31E6EDB7" w14:textId="77777777">
      <w:pPr>
        <w:tabs>
          <w:tab w:val="left" w:pos="-720"/>
        </w:tabs>
        <w:suppressAutoHyphens/>
        <w:rPr>
          <w:rFonts w:ascii="Times New Roman" w:hAnsi="Times New Roman"/>
          <w:szCs w:val="24"/>
        </w:rPr>
      </w:pPr>
    </w:p>
    <w:p w:rsidR="00BE0B08" w:rsidRPr="002568E6" w:rsidP="0062567E" w14:paraId="69075773" w14:textId="0490C3BF">
      <w:pPr>
        <w:pStyle w:val="Heading1"/>
        <w:rPr>
          <w:szCs w:val="24"/>
        </w:rPr>
      </w:pPr>
      <w:bookmarkStart w:id="20" w:name="_Toc401831365"/>
      <w:bookmarkStart w:id="21" w:name="_Toc401832409"/>
      <w:bookmarkEnd w:id="18"/>
      <w:bookmarkEnd w:id="19"/>
      <w:r w:rsidRPr="002568E6">
        <w:rPr>
          <w:szCs w:val="24"/>
        </w:rPr>
        <w:t>A9</w:t>
      </w:r>
      <w:r w:rsidR="0035120A">
        <w:rPr>
          <w:szCs w:val="24"/>
        </w:rPr>
        <w:t xml:space="preserve">. </w:t>
      </w:r>
      <w:r w:rsidRPr="002568E6">
        <w:rPr>
          <w:szCs w:val="24"/>
        </w:rPr>
        <w:t>Explain any decisions to provide any payment or gift to respondents</w:t>
      </w:r>
      <w:bookmarkEnd w:id="20"/>
      <w:bookmarkEnd w:id="21"/>
      <w:r w:rsidR="0035120A">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P="00354DDB" w14:paraId="69075778" w14:textId="12ADD3A6">
      <w:pPr>
        <w:widowControl/>
        <w:overflowPunct/>
        <w:textAlignment w:val="auto"/>
        <w:rPr>
          <w:rFonts w:ascii="Times New Roman" w:hAnsi="Times New Roman"/>
          <w:szCs w:val="24"/>
        </w:rPr>
      </w:pPr>
      <w:r w:rsidRPr="003A3816">
        <w:rPr>
          <w:rFonts w:ascii="Times New Roman" w:hAnsi="Times New Roman"/>
          <w:szCs w:val="24"/>
        </w:rPr>
        <w:t>The agency does not provide payment or gift to respondents, other than remuneration of contractors or grantees.</w:t>
      </w:r>
    </w:p>
    <w:p w:rsidR="00312876" w:rsidP="00354DDB" w14:paraId="67E1525B" w14:textId="77777777">
      <w:pPr>
        <w:widowControl/>
        <w:overflowPunct/>
        <w:textAlignment w:val="auto"/>
        <w:rPr>
          <w:rFonts w:ascii="Times New Roman" w:hAnsi="Times New Roman"/>
          <w:szCs w:val="24"/>
        </w:rPr>
      </w:pPr>
    </w:p>
    <w:p w:rsidR="00312876" w:rsidRPr="002568E6" w:rsidP="00354DDB" w14:paraId="7DE84657" w14:textId="77777777">
      <w:pPr>
        <w:widowControl/>
        <w:overflowPunct/>
        <w:textAlignment w:val="auto"/>
        <w:rPr>
          <w:rFonts w:ascii="Times New Roman" w:hAnsi="Times New Roman"/>
          <w:szCs w:val="24"/>
        </w:rPr>
      </w:pPr>
    </w:p>
    <w:p w:rsidR="00BE0B08" w:rsidRPr="002568E6" w:rsidP="0062567E" w14:paraId="69075779" w14:textId="169124A9">
      <w:pPr>
        <w:pStyle w:val="Heading1"/>
        <w:rPr>
          <w:szCs w:val="24"/>
        </w:rPr>
      </w:pPr>
      <w:bookmarkStart w:id="22" w:name="_Toc401831366"/>
      <w:bookmarkStart w:id="23" w:name="_Toc401832410"/>
      <w:r w:rsidRPr="002568E6">
        <w:rPr>
          <w:szCs w:val="24"/>
        </w:rPr>
        <w:t>A10</w:t>
      </w:r>
      <w:r w:rsidR="0035120A">
        <w:rPr>
          <w:szCs w:val="24"/>
        </w:rPr>
        <w:t xml:space="preserve">. </w:t>
      </w:r>
      <w:r w:rsidRPr="002568E6">
        <w:rPr>
          <w:szCs w:val="24"/>
        </w:rPr>
        <w:t>Assurances of confidentiality provided to respondents</w:t>
      </w:r>
      <w:bookmarkEnd w:id="22"/>
      <w:bookmarkEnd w:id="23"/>
      <w:r w:rsidR="0035120A">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291634" w:rsidP="00291634" w14:paraId="508C9550" w14:textId="3B7B78F7">
      <w:pPr>
        <w:numPr>
          <w:ilvl w:val="12"/>
          <w:numId w:val="0"/>
        </w:numPr>
        <w:rPr>
          <w:rFonts w:ascii="CG Times" w:hAnsi="CG Times"/>
          <w:szCs w:val="24"/>
        </w:rPr>
      </w:pPr>
      <w:r>
        <w:rPr>
          <w:rFonts w:ascii="Times New Roman" w:hAnsi="Times New Roman" w:cs="Goudy Old Style"/>
          <w:szCs w:val="24"/>
        </w:rPr>
        <w:t xml:space="preserve">There is no data that will be released. </w:t>
      </w:r>
      <w:r>
        <w:rPr>
          <w:rFonts w:ascii="Times New Roman" w:hAnsi="Times New Roman"/>
          <w:szCs w:val="24"/>
        </w:rPr>
        <w:t>The agency has determined this request does not need to be reviewed by the Privacy Officer and this request complies with the Privacy Act of 1974.</w:t>
      </w:r>
    </w:p>
    <w:p w:rsidR="00ED28F2" w:rsidRPr="002568E6" w:rsidP="00ED28F2" w14:paraId="6907577E" w14:textId="77777777">
      <w:pPr>
        <w:tabs>
          <w:tab w:val="left" w:pos="-720"/>
        </w:tabs>
        <w:suppressAutoHyphens/>
        <w:spacing w:line="480" w:lineRule="auto"/>
        <w:rPr>
          <w:rFonts w:ascii="Times New Roman" w:hAnsi="Times New Roman"/>
          <w:szCs w:val="24"/>
        </w:rPr>
      </w:pPr>
    </w:p>
    <w:p w:rsidR="00A308DB" w:rsidRPr="002568E6" w:rsidP="0062567E" w14:paraId="6907577F" w14:textId="2E660BD6">
      <w:pPr>
        <w:pStyle w:val="Heading1"/>
        <w:rPr>
          <w:szCs w:val="24"/>
        </w:rPr>
      </w:pPr>
      <w:bookmarkStart w:id="24" w:name="_Toc401831367"/>
      <w:bookmarkStart w:id="25" w:name="_Toc401832411"/>
      <w:r w:rsidRPr="002568E6">
        <w:rPr>
          <w:szCs w:val="24"/>
        </w:rPr>
        <w:t>A11</w:t>
      </w:r>
      <w:r w:rsidR="0035120A">
        <w:rPr>
          <w:szCs w:val="24"/>
        </w:rPr>
        <w:t xml:space="preserve">. </w:t>
      </w:r>
      <w:r w:rsidRPr="002568E6">
        <w:rPr>
          <w:szCs w:val="24"/>
        </w:rPr>
        <w:t>Justification for any questions of a sensitive nature</w:t>
      </w:r>
      <w:bookmarkEnd w:id="24"/>
      <w:bookmarkEnd w:id="25"/>
      <w:r w:rsidR="0035120A">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1EDEE471">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w:t>
      </w:r>
      <w:r w:rsidR="0035120A">
        <w:rPr>
          <w:rFonts w:ascii="Times New Roman" w:hAnsi="Times New Roman"/>
          <w:b/>
          <w:szCs w:val="24"/>
        </w:rPr>
        <w:t xml:space="preserve">. </w:t>
      </w:r>
      <w:r w:rsidRPr="002568E6">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84458B" w:rsidRPr="0084458B" w:rsidP="00291634" w14:paraId="79F2DA29" w14:textId="72894DF2">
      <w:pPr>
        <w:widowControl/>
        <w:numPr>
          <w:ilvl w:val="12"/>
          <w:numId w:val="0"/>
        </w:numPr>
        <w:overflowPunct/>
        <w:textAlignment w:val="auto"/>
        <w:rPr>
          <w:rFonts w:ascii="Times New Roman" w:hAnsi="Times New Roman"/>
          <w:color w:val="000000" w:themeColor="text1"/>
          <w:szCs w:val="24"/>
        </w:rPr>
      </w:pPr>
      <w:r w:rsidRPr="0084458B">
        <w:rPr>
          <w:rFonts w:ascii="Times New Roman" w:hAnsi="Times New Roman"/>
          <w:color w:val="000000" w:themeColor="text1"/>
          <w:szCs w:val="24"/>
          <w:shd w:val="clear" w:color="auto" w:fill="FFFFFF"/>
        </w:rPr>
        <w:t xml:space="preserve">No questions of a sensitive or personal nature are included in </w:t>
      </w:r>
      <w:r w:rsidR="000D1806">
        <w:rPr>
          <w:rFonts w:ascii="Times New Roman" w:hAnsi="Times New Roman"/>
          <w:color w:val="000000" w:themeColor="text1"/>
          <w:szCs w:val="24"/>
          <w:shd w:val="clear" w:color="auto" w:fill="FFFFFF"/>
        </w:rPr>
        <w:t>this collection</w:t>
      </w:r>
      <w:r>
        <w:rPr>
          <w:rFonts w:ascii="Times New Roman" w:hAnsi="Times New Roman"/>
          <w:color w:val="000000" w:themeColor="text1"/>
          <w:szCs w:val="24"/>
          <w:shd w:val="clear" w:color="auto" w:fill="FFFFFF"/>
        </w:rPr>
        <w:t>.</w:t>
      </w:r>
      <w:r w:rsidRPr="0084458B">
        <w:rPr>
          <w:rFonts w:ascii="Times New Roman" w:hAnsi="Times New Roman"/>
          <w:color w:val="000000" w:themeColor="text1"/>
          <w:szCs w:val="24"/>
          <w:shd w:val="clear" w:color="auto" w:fill="FFFFFF"/>
        </w:rPr>
        <w:t xml:space="preserve"> </w:t>
      </w:r>
    </w:p>
    <w:p w:rsidR="00ED28F2" w:rsidRPr="002568E6" w:rsidP="00ED28F2" w14:paraId="69075784" w14:textId="77777777">
      <w:pPr>
        <w:tabs>
          <w:tab w:val="left" w:pos="-720"/>
        </w:tabs>
        <w:suppressAutoHyphens/>
        <w:spacing w:line="480" w:lineRule="auto"/>
        <w:rPr>
          <w:rFonts w:ascii="Times New Roman" w:hAnsi="Times New Roman"/>
          <w:szCs w:val="24"/>
        </w:rPr>
      </w:pPr>
    </w:p>
    <w:p w:rsidR="000438E8" w:rsidRPr="002568E6" w:rsidP="0062567E" w14:paraId="69075785" w14:textId="79835883">
      <w:pPr>
        <w:pStyle w:val="Heading1"/>
        <w:rPr>
          <w:szCs w:val="24"/>
        </w:rPr>
      </w:pPr>
      <w:bookmarkStart w:id="26" w:name="_Toc401831368"/>
      <w:bookmarkStart w:id="27" w:name="_Toc401832412"/>
      <w:r w:rsidRPr="002568E6">
        <w:rPr>
          <w:szCs w:val="24"/>
        </w:rPr>
        <w:t>A12</w:t>
      </w:r>
      <w:r w:rsidR="0035120A">
        <w:rPr>
          <w:szCs w:val="24"/>
        </w:rPr>
        <w:t xml:space="preserve">. </w:t>
      </w:r>
      <w:r w:rsidRPr="002568E6">
        <w:rPr>
          <w:szCs w:val="24"/>
        </w:rPr>
        <w:t>Estimates of the hour burden of the collection of information</w:t>
      </w:r>
      <w:bookmarkEnd w:id="26"/>
      <w:bookmarkEnd w:id="27"/>
      <w:r w:rsidR="0035120A">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52DEF6B4">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w:t>
      </w:r>
      <w:r w:rsidR="0035120A">
        <w:rPr>
          <w:rFonts w:ascii="Times New Roman" w:hAnsi="Times New Roman"/>
          <w:b/>
          <w:szCs w:val="24"/>
        </w:rPr>
        <w:t xml:space="preserve">. </w:t>
      </w:r>
      <w:r w:rsidRPr="002568E6">
        <w:rPr>
          <w:rFonts w:ascii="Times New Roman" w:hAnsi="Times New Roman"/>
          <w:b/>
          <w:szCs w:val="24"/>
        </w:rPr>
        <w:t>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015C31" w:rsidP="00015C31" w14:paraId="3F25F432" w14:textId="19F985A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w:t>
      </w:r>
      <w:r w:rsidR="0035120A">
        <w:rPr>
          <w:rFonts w:ascii="Times New Roman" w:hAnsi="Times New Roman"/>
          <w:b/>
          <w:szCs w:val="24"/>
        </w:rPr>
        <w:t xml:space="preserve">. </w:t>
      </w:r>
      <w:r w:rsidRPr="002568E6">
        <w:rPr>
          <w:rFonts w:ascii="Times New Roman" w:hAnsi="Times New Roman"/>
          <w:b/>
          <w:szCs w:val="24"/>
        </w:rPr>
        <w:t>If this request for approval covers more than one form, provide separate hour burden estimates for each form and aggregate the hour burdens in Item 13 of OMB Form 83-I.</w:t>
      </w:r>
      <w:r w:rsidRPr="00015C31">
        <w:rPr>
          <w:rFonts w:ascii="Times New Roman" w:hAnsi="Times New Roman"/>
          <w:b/>
          <w:szCs w:val="24"/>
        </w:rPr>
        <w:t xml:space="preserve"> </w:t>
      </w:r>
    </w:p>
    <w:p w:rsidR="00015C31" w:rsidP="00015C31" w14:paraId="1BE78A3F" w14:textId="77777777">
      <w:pPr>
        <w:tabs>
          <w:tab w:val="left" w:pos="0"/>
        </w:tabs>
        <w:suppressAutoHyphens/>
        <w:rPr>
          <w:rFonts w:ascii="Times New Roman" w:hAnsi="Times New Roman"/>
          <w:b/>
          <w:szCs w:val="24"/>
        </w:rPr>
      </w:pPr>
    </w:p>
    <w:p w:rsidR="00015C31" w:rsidRPr="002568E6" w:rsidP="00015C31" w14:paraId="4CB58D92" w14:textId="2E15F86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015C31" w:rsidRPr="002568E6" w:rsidP="00015C31" w14:paraId="6C04F4ED" w14:textId="77777777">
      <w:pPr>
        <w:tabs>
          <w:tab w:val="left" w:pos="0"/>
        </w:tabs>
        <w:suppressAutoHyphens/>
        <w:rPr>
          <w:rFonts w:ascii="Times New Roman" w:hAnsi="Times New Roman"/>
          <w:b/>
          <w:szCs w:val="24"/>
        </w:rPr>
      </w:pPr>
    </w:p>
    <w:p w:rsidR="00312876" w:rsidP="000D1806" w14:paraId="78DD9B58" w14:textId="77777777">
      <w:pPr>
        <w:ind w:left="720"/>
        <w:rPr>
          <w:rFonts w:ascii="Times New Roman" w:hAnsi="Times New Roman"/>
          <w:szCs w:val="24"/>
        </w:rPr>
      </w:pPr>
    </w:p>
    <w:p w:rsidR="00312876" w:rsidP="000D1806" w14:paraId="7A9AE9F5" w14:textId="77777777">
      <w:pPr>
        <w:ind w:left="720"/>
        <w:rPr>
          <w:rFonts w:ascii="Times New Roman" w:hAnsi="Times New Roman"/>
          <w:szCs w:val="24"/>
        </w:rPr>
      </w:pPr>
    </w:p>
    <w:p w:rsidR="000D1806" w:rsidP="000D1806" w14:paraId="12980A70" w14:textId="1C78D38B">
      <w:pPr>
        <w:ind w:left="720"/>
        <w:rPr>
          <w:rFonts w:ascii="Times New Roman" w:hAnsi="Times New Roman"/>
          <w:szCs w:val="24"/>
        </w:rPr>
      </w:pPr>
      <w:r w:rsidRPr="002568E6">
        <w:rPr>
          <w:rFonts w:ascii="Times New Roman" w:hAnsi="Times New Roman"/>
          <w:szCs w:val="24"/>
        </w:rPr>
        <w:t xml:space="preserve"> </w:t>
      </w:r>
      <w:r>
        <w:rPr>
          <w:rFonts w:ascii="Times New Roman" w:hAnsi="Times New Roman"/>
          <w:b/>
          <w:szCs w:val="24"/>
        </w:rPr>
        <w:t xml:space="preserve">Estimated Annual Burden – Table 1 </w:t>
      </w:r>
    </w:p>
    <w:p w:rsidR="000D1806" w:rsidP="000D1806" w14:paraId="6DD52C66" w14:textId="77777777">
      <w:pPr>
        <w:ind w:left="720"/>
        <w:rPr>
          <w:rFonts w:ascii="Times New Roman" w:hAnsi="Times New Roman"/>
          <w:b/>
          <w:szCs w:val="24"/>
        </w:rPr>
      </w:pPr>
    </w:p>
    <w:tbl>
      <w:tblPr>
        <w:tblStyle w:val="TableGrid"/>
        <w:tblW w:w="9350" w:type="dxa"/>
        <w:tblLook w:val="04A0"/>
      </w:tblPr>
      <w:tblGrid>
        <w:gridCol w:w="1737"/>
        <w:gridCol w:w="1774"/>
        <w:gridCol w:w="1430"/>
        <w:gridCol w:w="1270"/>
        <w:gridCol w:w="1883"/>
        <w:gridCol w:w="1256"/>
      </w:tblGrid>
      <w:tr w14:paraId="255CF451" w14:textId="77777777" w:rsidTr="000D1806">
        <w:tblPrEx>
          <w:tblW w:w="9350" w:type="dxa"/>
          <w:tblLook w:val="04A0"/>
        </w:tblPrEx>
        <w:trPr>
          <w:trHeight w:val="1275"/>
        </w:trPr>
        <w:tc>
          <w:tcPr>
            <w:tcW w:w="1737" w:type="dxa"/>
            <w:tcBorders>
              <w:top w:val="single" w:sz="4" w:space="0" w:color="auto"/>
              <w:left w:val="single" w:sz="4" w:space="0" w:color="auto"/>
              <w:bottom w:val="single" w:sz="4" w:space="0" w:color="auto"/>
              <w:right w:val="single" w:sz="4" w:space="0" w:color="auto"/>
            </w:tcBorders>
            <w:hideMark/>
          </w:tcPr>
          <w:p w:rsidR="000D1806" w14:paraId="26152A5C" w14:textId="6C501BF1">
            <w:pPr>
              <w:autoSpaceDE/>
              <w:adjustRightInd/>
              <w:jc w:val="center"/>
              <w:rPr>
                <w:rFonts w:ascii="Times New Roman" w:hAnsi="Times New Roman"/>
                <w:b/>
                <w:bCs/>
                <w:szCs w:val="24"/>
              </w:rPr>
            </w:pPr>
            <w:bookmarkStart w:id="28" w:name="_Hlk92265869"/>
            <w:r>
              <w:rPr>
                <w:rFonts w:ascii="Times New Roman" w:hAnsi="Times New Roman"/>
                <w:b/>
                <w:bCs/>
                <w:szCs w:val="24"/>
              </w:rPr>
              <w:t>Description</w:t>
            </w:r>
          </w:p>
        </w:tc>
        <w:tc>
          <w:tcPr>
            <w:tcW w:w="1774" w:type="dxa"/>
            <w:tcBorders>
              <w:top w:val="single" w:sz="4" w:space="0" w:color="auto"/>
              <w:left w:val="single" w:sz="4" w:space="0" w:color="auto"/>
              <w:bottom w:val="single" w:sz="4" w:space="0" w:color="auto"/>
              <w:right w:val="single" w:sz="4" w:space="0" w:color="auto"/>
            </w:tcBorders>
            <w:hideMark/>
          </w:tcPr>
          <w:p w:rsidR="000D1806" w14:paraId="1506D514" w14:textId="77777777">
            <w:pPr>
              <w:autoSpaceDE/>
              <w:adjustRightInd/>
              <w:jc w:val="center"/>
              <w:rPr>
                <w:rFonts w:ascii="Times New Roman" w:hAnsi="Times New Roman"/>
                <w:b/>
                <w:bCs/>
                <w:szCs w:val="24"/>
              </w:rPr>
            </w:pPr>
            <w:r>
              <w:rPr>
                <w:rFonts w:ascii="Times New Roman" w:hAnsi="Times New Roman"/>
                <w:b/>
                <w:bCs/>
                <w:szCs w:val="24"/>
              </w:rPr>
              <w:t>Estimated Number of Respondents</w:t>
            </w:r>
          </w:p>
        </w:tc>
        <w:tc>
          <w:tcPr>
            <w:tcW w:w="1430" w:type="dxa"/>
            <w:tcBorders>
              <w:top w:val="single" w:sz="4" w:space="0" w:color="auto"/>
              <w:left w:val="single" w:sz="4" w:space="0" w:color="auto"/>
              <w:bottom w:val="single" w:sz="4" w:space="0" w:color="auto"/>
              <w:right w:val="single" w:sz="4" w:space="0" w:color="auto"/>
            </w:tcBorders>
            <w:hideMark/>
          </w:tcPr>
          <w:p w:rsidR="000D1806" w14:paraId="422928F2" w14:textId="77777777">
            <w:pPr>
              <w:autoSpaceDE/>
              <w:adjustRightInd/>
              <w:jc w:val="center"/>
              <w:rPr>
                <w:rFonts w:ascii="Times New Roman" w:hAnsi="Times New Roman"/>
                <w:b/>
                <w:bCs/>
                <w:szCs w:val="24"/>
              </w:rPr>
            </w:pPr>
            <w:r>
              <w:rPr>
                <w:rFonts w:ascii="Times New Roman" w:hAnsi="Times New Roman"/>
                <w:b/>
                <w:bCs/>
                <w:szCs w:val="24"/>
              </w:rPr>
              <w:t>Estimated Number of Responses Per Respondent</w:t>
            </w:r>
          </w:p>
        </w:tc>
        <w:tc>
          <w:tcPr>
            <w:tcW w:w="1270" w:type="dxa"/>
            <w:tcBorders>
              <w:top w:val="single" w:sz="4" w:space="0" w:color="auto"/>
              <w:left w:val="single" w:sz="4" w:space="0" w:color="auto"/>
              <w:bottom w:val="single" w:sz="4" w:space="0" w:color="auto"/>
              <w:right w:val="single" w:sz="4" w:space="0" w:color="auto"/>
            </w:tcBorders>
            <w:hideMark/>
          </w:tcPr>
          <w:p w:rsidR="000D1806" w14:paraId="4014AD19" w14:textId="77777777">
            <w:pPr>
              <w:autoSpaceDE/>
              <w:adjustRightInd/>
              <w:jc w:val="center"/>
              <w:rPr>
                <w:rFonts w:ascii="Times New Roman" w:hAnsi="Times New Roman"/>
                <w:b/>
                <w:bCs/>
                <w:szCs w:val="24"/>
              </w:rPr>
            </w:pPr>
            <w:r>
              <w:rPr>
                <w:rFonts w:ascii="Times New Roman" w:hAnsi="Times New Roman"/>
                <w:b/>
                <w:bCs/>
                <w:szCs w:val="24"/>
              </w:rPr>
              <w:t>Estimated Total Annual Responses</w:t>
            </w:r>
          </w:p>
        </w:tc>
        <w:tc>
          <w:tcPr>
            <w:tcW w:w="1883" w:type="dxa"/>
            <w:tcBorders>
              <w:top w:val="single" w:sz="4" w:space="0" w:color="auto"/>
              <w:left w:val="single" w:sz="4" w:space="0" w:color="auto"/>
              <w:bottom w:val="single" w:sz="4" w:space="0" w:color="auto"/>
              <w:right w:val="single" w:sz="4" w:space="0" w:color="auto"/>
            </w:tcBorders>
            <w:hideMark/>
          </w:tcPr>
          <w:p w:rsidR="000D1806" w14:paraId="7441621C" w14:textId="77777777">
            <w:pPr>
              <w:autoSpaceDE/>
              <w:adjustRightInd/>
              <w:jc w:val="center"/>
              <w:rPr>
                <w:rFonts w:ascii="Times New Roman" w:hAnsi="Times New Roman"/>
                <w:b/>
                <w:bCs/>
                <w:szCs w:val="24"/>
              </w:rPr>
            </w:pPr>
            <w:r>
              <w:rPr>
                <w:rFonts w:ascii="Times New Roman" w:hAnsi="Times New Roman"/>
                <w:b/>
                <w:bCs/>
                <w:szCs w:val="24"/>
              </w:rPr>
              <w:t>Estimated Hours/Response</w:t>
            </w:r>
          </w:p>
        </w:tc>
        <w:tc>
          <w:tcPr>
            <w:tcW w:w="1256" w:type="dxa"/>
            <w:tcBorders>
              <w:top w:val="single" w:sz="4" w:space="0" w:color="auto"/>
              <w:left w:val="single" w:sz="4" w:space="0" w:color="auto"/>
              <w:bottom w:val="single" w:sz="4" w:space="0" w:color="auto"/>
              <w:right w:val="single" w:sz="4" w:space="0" w:color="auto"/>
            </w:tcBorders>
            <w:hideMark/>
          </w:tcPr>
          <w:p w:rsidR="000D1806" w14:paraId="0B5DB7B3" w14:textId="77777777">
            <w:pPr>
              <w:autoSpaceDE/>
              <w:adjustRightInd/>
              <w:jc w:val="center"/>
              <w:rPr>
                <w:rFonts w:ascii="Times New Roman" w:hAnsi="Times New Roman"/>
                <w:b/>
                <w:bCs/>
                <w:szCs w:val="24"/>
              </w:rPr>
            </w:pPr>
            <w:r>
              <w:rPr>
                <w:rFonts w:ascii="Times New Roman" w:hAnsi="Times New Roman"/>
                <w:b/>
                <w:bCs/>
                <w:szCs w:val="24"/>
              </w:rPr>
              <w:t>Estimated Annual Burden Hours</w:t>
            </w:r>
          </w:p>
        </w:tc>
      </w:tr>
      <w:tr w14:paraId="736210E3" w14:textId="77777777" w:rsidTr="000D1806">
        <w:tblPrEx>
          <w:tblW w:w="9350" w:type="dxa"/>
          <w:tblLook w:val="04A0"/>
        </w:tblPrEx>
        <w:trPr>
          <w:trHeight w:val="330"/>
        </w:trPr>
        <w:tc>
          <w:tcPr>
            <w:tcW w:w="1737" w:type="dxa"/>
            <w:tcBorders>
              <w:top w:val="single" w:sz="4" w:space="0" w:color="auto"/>
              <w:left w:val="single" w:sz="4" w:space="0" w:color="auto"/>
              <w:bottom w:val="single" w:sz="4" w:space="0" w:color="auto"/>
              <w:right w:val="single" w:sz="4" w:space="0" w:color="auto"/>
            </w:tcBorders>
            <w:hideMark/>
          </w:tcPr>
          <w:p w:rsidR="000D1806" w14:paraId="7A159A4B" w14:textId="43C62401">
            <w:pPr>
              <w:autoSpaceDE/>
              <w:adjustRightInd/>
              <w:rPr>
                <w:rFonts w:ascii="Times New Roman" w:hAnsi="Times New Roman"/>
                <w:szCs w:val="24"/>
              </w:rPr>
            </w:pPr>
            <w:r>
              <w:rPr>
                <w:rFonts w:ascii="Times New Roman" w:hAnsi="Times New Roman"/>
                <w:szCs w:val="24"/>
              </w:rPr>
              <w:t>EFNEP Screens</w:t>
            </w:r>
          </w:p>
        </w:tc>
        <w:tc>
          <w:tcPr>
            <w:tcW w:w="1774" w:type="dxa"/>
            <w:tcBorders>
              <w:top w:val="single" w:sz="4" w:space="0" w:color="auto"/>
              <w:left w:val="single" w:sz="4" w:space="0" w:color="auto"/>
              <w:bottom w:val="single" w:sz="4" w:space="0" w:color="auto"/>
              <w:right w:val="single" w:sz="4" w:space="0" w:color="auto"/>
            </w:tcBorders>
            <w:hideMark/>
          </w:tcPr>
          <w:p w:rsidR="000D1806" w14:paraId="29CD2B67" w14:textId="74A7D5D7">
            <w:pPr>
              <w:autoSpaceDE/>
              <w:adjustRightInd/>
              <w:jc w:val="center"/>
              <w:rPr>
                <w:rFonts w:ascii="Times New Roman" w:hAnsi="Times New Roman"/>
                <w:szCs w:val="24"/>
              </w:rPr>
            </w:pPr>
            <w:r>
              <w:rPr>
                <w:rFonts w:ascii="Times New Roman" w:hAnsi="Times New Roman"/>
                <w:szCs w:val="24"/>
              </w:rPr>
              <w:t>76</w:t>
            </w:r>
          </w:p>
        </w:tc>
        <w:tc>
          <w:tcPr>
            <w:tcW w:w="1430" w:type="dxa"/>
            <w:tcBorders>
              <w:top w:val="single" w:sz="4" w:space="0" w:color="auto"/>
              <w:left w:val="single" w:sz="4" w:space="0" w:color="auto"/>
              <w:bottom w:val="single" w:sz="4" w:space="0" w:color="auto"/>
              <w:right w:val="single" w:sz="4" w:space="0" w:color="auto"/>
            </w:tcBorders>
            <w:hideMark/>
          </w:tcPr>
          <w:p w:rsidR="000D1806" w14:paraId="3F06E782" w14:textId="77777777">
            <w:pPr>
              <w:autoSpaceDE/>
              <w:adjustRightInd/>
              <w:jc w:val="center"/>
              <w:rPr>
                <w:rFonts w:ascii="Times New Roman" w:hAnsi="Times New Roman"/>
                <w:szCs w:val="24"/>
              </w:rPr>
            </w:pPr>
            <w:r>
              <w:rPr>
                <w:rFonts w:ascii="Times New Roman" w:hAnsi="Times New Roman"/>
                <w:szCs w:val="24"/>
              </w:rPr>
              <w:t>1</w:t>
            </w:r>
          </w:p>
        </w:tc>
        <w:tc>
          <w:tcPr>
            <w:tcW w:w="1270" w:type="dxa"/>
            <w:tcBorders>
              <w:top w:val="single" w:sz="4" w:space="0" w:color="auto"/>
              <w:left w:val="single" w:sz="4" w:space="0" w:color="auto"/>
              <w:bottom w:val="single" w:sz="4" w:space="0" w:color="auto"/>
              <w:right w:val="single" w:sz="4" w:space="0" w:color="auto"/>
            </w:tcBorders>
            <w:hideMark/>
          </w:tcPr>
          <w:p w:rsidR="000D1806" w14:paraId="06EC3EF2" w14:textId="6A4A2A6C">
            <w:pPr>
              <w:autoSpaceDE/>
              <w:adjustRightInd/>
              <w:jc w:val="center"/>
              <w:rPr>
                <w:rFonts w:ascii="Times New Roman" w:hAnsi="Times New Roman"/>
                <w:szCs w:val="24"/>
              </w:rPr>
            </w:pPr>
            <w:r>
              <w:rPr>
                <w:rFonts w:ascii="Times New Roman" w:hAnsi="Times New Roman"/>
                <w:szCs w:val="24"/>
              </w:rPr>
              <w:t>76</w:t>
            </w:r>
          </w:p>
        </w:tc>
        <w:tc>
          <w:tcPr>
            <w:tcW w:w="1883" w:type="dxa"/>
            <w:tcBorders>
              <w:top w:val="single" w:sz="4" w:space="0" w:color="auto"/>
              <w:left w:val="single" w:sz="4" w:space="0" w:color="auto"/>
              <w:bottom w:val="single" w:sz="4" w:space="0" w:color="auto"/>
              <w:right w:val="single" w:sz="4" w:space="0" w:color="auto"/>
            </w:tcBorders>
            <w:hideMark/>
          </w:tcPr>
          <w:p w:rsidR="000D1806" w14:paraId="30377FCA" w14:textId="42F3CA53">
            <w:pPr>
              <w:autoSpaceDE/>
              <w:adjustRightInd/>
              <w:jc w:val="center"/>
              <w:rPr>
                <w:rFonts w:ascii="Times New Roman" w:hAnsi="Times New Roman"/>
                <w:szCs w:val="24"/>
              </w:rPr>
            </w:pPr>
            <w:r>
              <w:rPr>
                <w:rFonts w:ascii="Times New Roman" w:hAnsi="Times New Roman"/>
                <w:szCs w:val="24"/>
              </w:rPr>
              <w:t>247</w:t>
            </w:r>
          </w:p>
        </w:tc>
        <w:tc>
          <w:tcPr>
            <w:tcW w:w="1256" w:type="dxa"/>
            <w:tcBorders>
              <w:top w:val="single" w:sz="4" w:space="0" w:color="auto"/>
              <w:left w:val="single" w:sz="4" w:space="0" w:color="auto"/>
              <w:bottom w:val="single" w:sz="4" w:space="0" w:color="auto"/>
              <w:right w:val="single" w:sz="4" w:space="0" w:color="auto"/>
            </w:tcBorders>
            <w:hideMark/>
          </w:tcPr>
          <w:p w:rsidR="000D1806" w14:paraId="5C2E32DC" w14:textId="5FFAC5D4">
            <w:pPr>
              <w:autoSpaceDE/>
              <w:adjustRightInd/>
              <w:jc w:val="center"/>
              <w:rPr>
                <w:rFonts w:ascii="Times New Roman" w:hAnsi="Times New Roman"/>
                <w:szCs w:val="24"/>
              </w:rPr>
            </w:pPr>
            <w:r>
              <w:rPr>
                <w:rFonts w:ascii="Times New Roman" w:hAnsi="Times New Roman"/>
                <w:szCs w:val="24"/>
              </w:rPr>
              <w:t>18,</w:t>
            </w:r>
            <w:r w:rsidR="00052143">
              <w:rPr>
                <w:rFonts w:ascii="Times New Roman" w:hAnsi="Times New Roman"/>
                <w:szCs w:val="24"/>
              </w:rPr>
              <w:t>772</w:t>
            </w:r>
          </w:p>
        </w:tc>
      </w:tr>
      <w:tr w14:paraId="47B5E79C" w14:textId="77777777" w:rsidTr="000D1806">
        <w:tblPrEx>
          <w:tblW w:w="9350" w:type="dxa"/>
          <w:tblLook w:val="04A0"/>
        </w:tblPrEx>
        <w:trPr>
          <w:trHeight w:val="330"/>
        </w:trPr>
        <w:tc>
          <w:tcPr>
            <w:tcW w:w="1737" w:type="dxa"/>
            <w:tcBorders>
              <w:top w:val="single" w:sz="4" w:space="0" w:color="auto"/>
              <w:left w:val="single" w:sz="4" w:space="0" w:color="auto"/>
              <w:bottom w:val="single" w:sz="4" w:space="0" w:color="auto"/>
              <w:right w:val="single" w:sz="4" w:space="0" w:color="auto"/>
            </w:tcBorders>
            <w:hideMark/>
          </w:tcPr>
          <w:p w:rsidR="000D1806" w14:paraId="142ED50B" w14:textId="77777777">
            <w:pPr>
              <w:autoSpaceDE/>
              <w:adjustRightInd/>
              <w:rPr>
                <w:rFonts w:ascii="Times New Roman" w:hAnsi="Times New Roman"/>
                <w:szCs w:val="24"/>
              </w:rPr>
            </w:pPr>
            <w:r>
              <w:rPr>
                <w:rFonts w:ascii="Times New Roman" w:hAnsi="Times New Roman"/>
                <w:b/>
                <w:bCs/>
                <w:i/>
                <w:iCs/>
                <w:szCs w:val="24"/>
              </w:rPr>
              <w:t>Total</w:t>
            </w:r>
          </w:p>
        </w:tc>
        <w:tc>
          <w:tcPr>
            <w:tcW w:w="1774" w:type="dxa"/>
            <w:tcBorders>
              <w:top w:val="single" w:sz="4" w:space="0" w:color="auto"/>
              <w:left w:val="single" w:sz="4" w:space="0" w:color="auto"/>
              <w:bottom w:val="single" w:sz="4" w:space="0" w:color="auto"/>
              <w:right w:val="single" w:sz="4" w:space="0" w:color="auto"/>
            </w:tcBorders>
            <w:hideMark/>
          </w:tcPr>
          <w:p w:rsidR="000D1806" w14:paraId="63AFD525" w14:textId="7621ACDF">
            <w:pPr>
              <w:autoSpaceDE/>
              <w:adjustRightInd/>
              <w:jc w:val="center"/>
              <w:rPr>
                <w:rFonts w:ascii="Times New Roman" w:hAnsi="Times New Roman"/>
                <w:b/>
                <w:bCs/>
                <w:i/>
                <w:iCs/>
                <w:szCs w:val="24"/>
              </w:rPr>
            </w:pPr>
            <w:r>
              <w:rPr>
                <w:rFonts w:ascii="Times New Roman" w:hAnsi="Times New Roman"/>
                <w:b/>
                <w:bCs/>
                <w:i/>
                <w:iCs/>
                <w:szCs w:val="24"/>
              </w:rPr>
              <w:t>76</w:t>
            </w:r>
          </w:p>
        </w:tc>
        <w:tc>
          <w:tcPr>
            <w:tcW w:w="1430" w:type="dxa"/>
            <w:tcBorders>
              <w:top w:val="single" w:sz="4" w:space="0" w:color="auto"/>
              <w:left w:val="single" w:sz="4" w:space="0" w:color="auto"/>
              <w:bottom w:val="single" w:sz="4" w:space="0" w:color="auto"/>
              <w:right w:val="single" w:sz="4" w:space="0" w:color="auto"/>
            </w:tcBorders>
            <w:hideMark/>
          </w:tcPr>
          <w:p w:rsidR="000D1806" w14:paraId="6B90D796" w14:textId="77777777">
            <w:pPr>
              <w:autoSpaceDE/>
              <w:adjustRightInd/>
              <w:jc w:val="center"/>
              <w:rPr>
                <w:rFonts w:ascii="Times New Roman" w:hAnsi="Times New Roman"/>
                <w:b/>
                <w:bCs/>
                <w:i/>
                <w:iCs/>
                <w:szCs w:val="24"/>
              </w:rPr>
            </w:pPr>
            <w:r>
              <w:rPr>
                <w:rFonts w:ascii="Times New Roman" w:hAnsi="Times New Roman"/>
                <w:b/>
                <w:bCs/>
                <w:i/>
                <w:iCs/>
                <w:szCs w:val="24"/>
              </w:rPr>
              <w:t>1</w:t>
            </w:r>
          </w:p>
        </w:tc>
        <w:tc>
          <w:tcPr>
            <w:tcW w:w="1270" w:type="dxa"/>
            <w:tcBorders>
              <w:top w:val="single" w:sz="4" w:space="0" w:color="auto"/>
              <w:left w:val="single" w:sz="4" w:space="0" w:color="auto"/>
              <w:bottom w:val="single" w:sz="4" w:space="0" w:color="auto"/>
              <w:right w:val="single" w:sz="4" w:space="0" w:color="auto"/>
            </w:tcBorders>
            <w:hideMark/>
          </w:tcPr>
          <w:p w:rsidR="000D1806" w14:paraId="2EAB8BF5" w14:textId="7FF9F6B2">
            <w:pPr>
              <w:autoSpaceDE/>
              <w:adjustRightInd/>
              <w:jc w:val="center"/>
              <w:rPr>
                <w:rFonts w:ascii="Times New Roman" w:hAnsi="Times New Roman"/>
                <w:b/>
                <w:bCs/>
                <w:i/>
                <w:iCs/>
                <w:szCs w:val="24"/>
              </w:rPr>
            </w:pPr>
            <w:r>
              <w:rPr>
                <w:rFonts w:ascii="Times New Roman" w:hAnsi="Times New Roman"/>
                <w:b/>
                <w:bCs/>
                <w:i/>
                <w:iCs/>
                <w:szCs w:val="24"/>
              </w:rPr>
              <w:t>76</w:t>
            </w:r>
          </w:p>
        </w:tc>
        <w:tc>
          <w:tcPr>
            <w:tcW w:w="1883" w:type="dxa"/>
            <w:tcBorders>
              <w:top w:val="single" w:sz="4" w:space="0" w:color="auto"/>
              <w:left w:val="single" w:sz="4" w:space="0" w:color="auto"/>
              <w:bottom w:val="single" w:sz="4" w:space="0" w:color="auto"/>
              <w:right w:val="single" w:sz="4" w:space="0" w:color="auto"/>
            </w:tcBorders>
            <w:hideMark/>
          </w:tcPr>
          <w:p w:rsidR="000D1806" w14:paraId="0624F03A" w14:textId="012E28D2">
            <w:pPr>
              <w:autoSpaceDE/>
              <w:adjustRightInd/>
              <w:jc w:val="center"/>
              <w:rPr>
                <w:rFonts w:ascii="Times New Roman" w:hAnsi="Times New Roman"/>
                <w:b/>
                <w:bCs/>
                <w:i/>
                <w:iCs/>
                <w:szCs w:val="24"/>
              </w:rPr>
            </w:pPr>
            <w:r>
              <w:rPr>
                <w:rFonts w:ascii="Times New Roman" w:hAnsi="Times New Roman"/>
                <w:b/>
                <w:bCs/>
                <w:i/>
                <w:iCs/>
                <w:szCs w:val="24"/>
              </w:rPr>
              <w:t>247</w:t>
            </w:r>
          </w:p>
        </w:tc>
        <w:tc>
          <w:tcPr>
            <w:tcW w:w="1256" w:type="dxa"/>
            <w:tcBorders>
              <w:top w:val="single" w:sz="4" w:space="0" w:color="auto"/>
              <w:left w:val="single" w:sz="4" w:space="0" w:color="auto"/>
              <w:bottom w:val="single" w:sz="4" w:space="0" w:color="auto"/>
              <w:right w:val="single" w:sz="4" w:space="0" w:color="auto"/>
            </w:tcBorders>
            <w:hideMark/>
          </w:tcPr>
          <w:p w:rsidR="000D1806" w14:paraId="522099B7" w14:textId="13D0BA5F">
            <w:pPr>
              <w:autoSpaceDE/>
              <w:adjustRightInd/>
              <w:jc w:val="center"/>
              <w:rPr>
                <w:rFonts w:ascii="Times New Roman" w:hAnsi="Times New Roman"/>
                <w:b/>
                <w:bCs/>
                <w:i/>
                <w:iCs/>
                <w:szCs w:val="24"/>
              </w:rPr>
            </w:pPr>
            <w:r>
              <w:rPr>
                <w:rFonts w:ascii="Times New Roman" w:hAnsi="Times New Roman"/>
                <w:b/>
                <w:bCs/>
                <w:i/>
                <w:iCs/>
                <w:szCs w:val="24"/>
              </w:rPr>
              <w:t>1</w:t>
            </w:r>
            <w:r w:rsidR="00697568">
              <w:rPr>
                <w:rFonts w:ascii="Times New Roman" w:hAnsi="Times New Roman"/>
                <w:b/>
                <w:bCs/>
                <w:i/>
                <w:iCs/>
                <w:szCs w:val="24"/>
              </w:rPr>
              <w:t>8</w:t>
            </w:r>
            <w:r>
              <w:rPr>
                <w:rFonts w:ascii="Times New Roman" w:hAnsi="Times New Roman"/>
                <w:b/>
                <w:bCs/>
                <w:i/>
                <w:iCs/>
                <w:szCs w:val="24"/>
              </w:rPr>
              <w:t>,</w:t>
            </w:r>
            <w:r w:rsidR="00052143">
              <w:rPr>
                <w:rFonts w:ascii="Times New Roman" w:hAnsi="Times New Roman"/>
                <w:b/>
                <w:bCs/>
                <w:i/>
                <w:iCs/>
                <w:szCs w:val="24"/>
              </w:rPr>
              <w:t>772</w:t>
            </w:r>
          </w:p>
        </w:tc>
        <w:bookmarkEnd w:id="28"/>
      </w:tr>
    </w:tbl>
    <w:p w:rsidR="00015C31" w:rsidP="00015C31" w14:paraId="15350E9A" w14:textId="28831541">
      <w:pPr>
        <w:tabs>
          <w:tab w:val="left" w:pos="-720"/>
        </w:tabs>
        <w:suppressAutoHyphens/>
        <w:spacing w:line="480" w:lineRule="auto"/>
        <w:rPr>
          <w:rFonts w:ascii="Times New Roman" w:hAnsi="Times New Roman"/>
          <w:szCs w:val="24"/>
        </w:rPr>
      </w:pPr>
    </w:p>
    <w:p w:rsidR="000D1806" w:rsidP="000D1806" w14:paraId="7BF31FD7" w14:textId="77777777">
      <w:pPr>
        <w:ind w:left="720"/>
        <w:rPr>
          <w:rFonts w:ascii="Times New Roman" w:hAnsi="Times New Roman"/>
          <w:b/>
          <w:bCs/>
          <w:szCs w:val="24"/>
        </w:rPr>
      </w:pPr>
      <w:r>
        <w:rPr>
          <w:rFonts w:ascii="Times New Roman" w:hAnsi="Times New Roman"/>
          <w:b/>
          <w:bCs/>
          <w:szCs w:val="24"/>
        </w:rPr>
        <w:t>Annualized Cost to Respondents* - Table 2</w:t>
      </w:r>
    </w:p>
    <w:p w:rsidR="000D1806" w:rsidP="000D1806" w14:paraId="2BA0FD8C" w14:textId="77777777">
      <w:pPr>
        <w:ind w:left="720"/>
        <w:rPr>
          <w:rFonts w:ascii="Times New Roman" w:hAnsi="Times New Roman"/>
          <w:b/>
          <w:bCs/>
          <w:szCs w:val="24"/>
        </w:rPr>
      </w:pPr>
    </w:p>
    <w:tbl>
      <w:tblPr>
        <w:tblStyle w:val="TableGrid"/>
        <w:tblW w:w="8815" w:type="dxa"/>
        <w:tblLayout w:type="fixed"/>
        <w:tblLook w:val="04A0"/>
      </w:tblPr>
      <w:tblGrid>
        <w:gridCol w:w="1975"/>
        <w:gridCol w:w="1170"/>
        <w:gridCol w:w="1620"/>
        <w:gridCol w:w="4050"/>
      </w:tblGrid>
      <w:tr w14:paraId="69C3FFF3" w14:textId="77777777" w:rsidTr="00BF405C">
        <w:tblPrEx>
          <w:tblW w:w="8815" w:type="dxa"/>
          <w:tblLayout w:type="fixed"/>
          <w:tblLook w:val="04A0"/>
        </w:tblPrEx>
        <w:trPr>
          <w:trHeight w:val="745"/>
        </w:trPr>
        <w:tc>
          <w:tcPr>
            <w:tcW w:w="1975" w:type="dxa"/>
            <w:tcBorders>
              <w:top w:val="single" w:sz="4" w:space="0" w:color="auto"/>
              <w:left w:val="single" w:sz="4" w:space="0" w:color="auto"/>
              <w:bottom w:val="single" w:sz="4" w:space="0" w:color="auto"/>
              <w:right w:val="single" w:sz="4" w:space="0" w:color="auto"/>
            </w:tcBorders>
            <w:hideMark/>
          </w:tcPr>
          <w:p w:rsidR="00BF405C" w14:paraId="7A3ABC2F" w14:textId="0EEDA516">
            <w:pPr>
              <w:autoSpaceDE/>
              <w:adjustRightInd/>
              <w:jc w:val="center"/>
              <w:rPr>
                <w:rFonts w:ascii="Times New Roman" w:hAnsi="Times New Roman"/>
                <w:b/>
                <w:bCs/>
                <w:szCs w:val="24"/>
              </w:rPr>
            </w:pPr>
            <w:r>
              <w:rPr>
                <w:rFonts w:ascii="Times New Roman" w:hAnsi="Times New Roman"/>
                <w:b/>
                <w:bCs/>
                <w:szCs w:val="24"/>
              </w:rPr>
              <w:t>Type of Respondent</w:t>
            </w:r>
          </w:p>
        </w:tc>
        <w:tc>
          <w:tcPr>
            <w:tcW w:w="1170" w:type="dxa"/>
            <w:tcBorders>
              <w:top w:val="single" w:sz="4" w:space="0" w:color="auto"/>
              <w:left w:val="single" w:sz="4" w:space="0" w:color="auto"/>
              <w:bottom w:val="single" w:sz="4" w:space="0" w:color="auto"/>
              <w:right w:val="single" w:sz="4" w:space="0" w:color="auto"/>
            </w:tcBorders>
            <w:hideMark/>
          </w:tcPr>
          <w:p w:rsidR="00BF405C" w14:paraId="3A525BB3" w14:textId="5C51A54E">
            <w:pPr>
              <w:autoSpaceDE/>
              <w:adjustRightInd/>
              <w:jc w:val="center"/>
              <w:rPr>
                <w:rFonts w:ascii="Times New Roman" w:hAnsi="Times New Roman"/>
                <w:b/>
                <w:bCs/>
                <w:szCs w:val="24"/>
              </w:rPr>
            </w:pPr>
            <w:r>
              <w:rPr>
                <w:rFonts w:ascii="Times New Roman" w:hAnsi="Times New Roman"/>
                <w:b/>
                <w:bCs/>
                <w:szCs w:val="24"/>
              </w:rPr>
              <w:t>Total Hours</w:t>
            </w:r>
          </w:p>
        </w:tc>
        <w:tc>
          <w:tcPr>
            <w:tcW w:w="1620" w:type="dxa"/>
            <w:tcBorders>
              <w:top w:val="single" w:sz="4" w:space="0" w:color="auto"/>
              <w:left w:val="single" w:sz="4" w:space="0" w:color="auto"/>
              <w:bottom w:val="single" w:sz="4" w:space="0" w:color="auto"/>
              <w:right w:val="single" w:sz="4" w:space="0" w:color="auto"/>
            </w:tcBorders>
            <w:hideMark/>
          </w:tcPr>
          <w:p w:rsidR="00BF405C" w14:paraId="0494A8FD" w14:textId="7C6622FC">
            <w:pPr>
              <w:autoSpaceDE/>
              <w:adjustRightInd/>
              <w:jc w:val="center"/>
              <w:rPr>
                <w:rFonts w:ascii="Times New Roman" w:hAnsi="Times New Roman"/>
                <w:b/>
                <w:bCs/>
                <w:szCs w:val="24"/>
              </w:rPr>
            </w:pPr>
            <w:r>
              <w:rPr>
                <w:rFonts w:ascii="Times New Roman" w:hAnsi="Times New Roman"/>
                <w:b/>
                <w:bCs/>
                <w:szCs w:val="24"/>
              </w:rPr>
              <w:t>Hourly Wage*</w:t>
            </w:r>
          </w:p>
        </w:tc>
        <w:tc>
          <w:tcPr>
            <w:tcW w:w="4050" w:type="dxa"/>
            <w:tcBorders>
              <w:top w:val="single" w:sz="4" w:space="0" w:color="auto"/>
              <w:left w:val="single" w:sz="4" w:space="0" w:color="auto"/>
              <w:bottom w:val="single" w:sz="4" w:space="0" w:color="auto"/>
              <w:right w:val="single" w:sz="4" w:space="0" w:color="auto"/>
            </w:tcBorders>
            <w:hideMark/>
          </w:tcPr>
          <w:p w:rsidR="00BF405C" w14:paraId="20B563D7" w14:textId="77777777">
            <w:pPr>
              <w:autoSpaceDE/>
              <w:adjustRightInd/>
              <w:jc w:val="center"/>
              <w:rPr>
                <w:rFonts w:ascii="Times New Roman" w:hAnsi="Times New Roman"/>
                <w:b/>
                <w:bCs/>
                <w:szCs w:val="24"/>
              </w:rPr>
            </w:pPr>
            <w:r>
              <w:rPr>
                <w:rFonts w:ascii="Times New Roman" w:hAnsi="Times New Roman"/>
                <w:b/>
                <w:bCs/>
                <w:szCs w:val="24"/>
              </w:rPr>
              <w:t>Annual Burden Cost</w:t>
            </w:r>
          </w:p>
        </w:tc>
      </w:tr>
      <w:tr w14:paraId="116E887D" w14:textId="77777777" w:rsidTr="00BF405C">
        <w:tblPrEx>
          <w:tblW w:w="8815"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hideMark/>
          </w:tcPr>
          <w:p w:rsidR="00BF405C" w14:paraId="1F3F0D1B" w14:textId="5DDE669A">
            <w:pPr>
              <w:autoSpaceDE/>
              <w:adjustRightInd/>
              <w:rPr>
                <w:rFonts w:ascii="Times New Roman" w:hAnsi="Times New Roman"/>
                <w:szCs w:val="24"/>
              </w:rPr>
            </w:pPr>
            <w:r>
              <w:rPr>
                <w:rFonts w:ascii="Times New Roman" w:hAnsi="Times New Roman"/>
                <w:szCs w:val="24"/>
              </w:rPr>
              <w:t>Paraprofessional staff</w:t>
            </w:r>
          </w:p>
        </w:tc>
        <w:tc>
          <w:tcPr>
            <w:tcW w:w="1170" w:type="dxa"/>
            <w:tcBorders>
              <w:top w:val="single" w:sz="4" w:space="0" w:color="auto"/>
              <w:left w:val="single" w:sz="4" w:space="0" w:color="auto"/>
              <w:bottom w:val="single" w:sz="4" w:space="0" w:color="auto"/>
              <w:right w:val="single" w:sz="4" w:space="0" w:color="auto"/>
            </w:tcBorders>
            <w:hideMark/>
          </w:tcPr>
          <w:p w:rsidR="00BF405C" w14:paraId="50E69A00" w14:textId="64E31938">
            <w:pPr>
              <w:autoSpaceDE/>
              <w:adjustRightInd/>
              <w:jc w:val="center"/>
              <w:rPr>
                <w:rFonts w:ascii="Times New Roman" w:hAnsi="Times New Roman"/>
                <w:szCs w:val="24"/>
              </w:rPr>
            </w:pPr>
            <w:r>
              <w:rPr>
                <w:rFonts w:ascii="Times New Roman" w:hAnsi="Times New Roman"/>
                <w:szCs w:val="24"/>
              </w:rPr>
              <w:t>2,255</w:t>
            </w:r>
          </w:p>
        </w:tc>
        <w:tc>
          <w:tcPr>
            <w:tcW w:w="1620" w:type="dxa"/>
            <w:tcBorders>
              <w:top w:val="single" w:sz="4" w:space="0" w:color="auto"/>
              <w:left w:val="single" w:sz="4" w:space="0" w:color="auto"/>
              <w:bottom w:val="single" w:sz="4" w:space="0" w:color="auto"/>
              <w:right w:val="single" w:sz="4" w:space="0" w:color="auto"/>
            </w:tcBorders>
            <w:hideMark/>
          </w:tcPr>
          <w:p w:rsidR="00BF405C" w14:paraId="39AEDFFF" w14:textId="746F8E08">
            <w:pPr>
              <w:autoSpaceDE/>
              <w:adjustRightInd/>
              <w:jc w:val="center"/>
              <w:rPr>
                <w:rFonts w:ascii="Times New Roman" w:hAnsi="Times New Roman"/>
                <w:szCs w:val="24"/>
              </w:rPr>
            </w:pPr>
            <w:r>
              <w:rPr>
                <w:rFonts w:ascii="Times New Roman" w:hAnsi="Times New Roman"/>
                <w:szCs w:val="24"/>
              </w:rPr>
              <w:t>$16.94</w:t>
            </w:r>
          </w:p>
        </w:tc>
        <w:tc>
          <w:tcPr>
            <w:tcW w:w="4050" w:type="dxa"/>
            <w:tcBorders>
              <w:top w:val="single" w:sz="4" w:space="0" w:color="auto"/>
              <w:left w:val="single" w:sz="4" w:space="0" w:color="auto"/>
              <w:bottom w:val="single" w:sz="4" w:space="0" w:color="auto"/>
              <w:right w:val="single" w:sz="4" w:space="0" w:color="auto"/>
            </w:tcBorders>
            <w:hideMark/>
          </w:tcPr>
          <w:p w:rsidR="00BF405C" w14:paraId="133C7559" w14:textId="623B525A">
            <w:pPr>
              <w:autoSpaceDE/>
              <w:adjustRightInd/>
              <w:jc w:val="center"/>
              <w:rPr>
                <w:rFonts w:ascii="Times New Roman" w:hAnsi="Times New Roman"/>
                <w:szCs w:val="24"/>
              </w:rPr>
            </w:pPr>
            <w:r>
              <w:rPr>
                <w:rFonts w:ascii="Times New Roman" w:hAnsi="Times New Roman"/>
                <w:szCs w:val="24"/>
              </w:rPr>
              <w:t>$</w:t>
            </w:r>
            <w:r w:rsidR="00202259">
              <w:rPr>
                <w:rFonts w:ascii="Times New Roman" w:hAnsi="Times New Roman"/>
                <w:szCs w:val="24"/>
              </w:rPr>
              <w:t>38,</w:t>
            </w:r>
            <w:r w:rsidR="00CC0640">
              <w:rPr>
                <w:rFonts w:ascii="Times New Roman" w:hAnsi="Times New Roman"/>
                <w:szCs w:val="24"/>
              </w:rPr>
              <w:t>160</w:t>
            </w:r>
          </w:p>
        </w:tc>
      </w:tr>
      <w:tr w14:paraId="5C7180C5" w14:textId="77777777" w:rsidTr="00BF405C">
        <w:tblPrEx>
          <w:tblW w:w="8815"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hideMark/>
          </w:tcPr>
          <w:p w:rsidR="00BF405C" w14:paraId="5876DCE1" w14:textId="57F34312">
            <w:pPr>
              <w:autoSpaceDE/>
              <w:adjustRightInd/>
              <w:rPr>
                <w:rFonts w:ascii="Times New Roman" w:hAnsi="Times New Roman"/>
                <w:szCs w:val="24"/>
              </w:rPr>
            </w:pPr>
            <w:r>
              <w:rPr>
                <w:rFonts w:ascii="Times New Roman" w:hAnsi="Times New Roman"/>
                <w:szCs w:val="24"/>
              </w:rPr>
              <w:t>Professional Staff</w:t>
            </w:r>
          </w:p>
        </w:tc>
        <w:tc>
          <w:tcPr>
            <w:tcW w:w="1170" w:type="dxa"/>
            <w:tcBorders>
              <w:top w:val="single" w:sz="4" w:space="0" w:color="auto"/>
              <w:left w:val="single" w:sz="4" w:space="0" w:color="auto"/>
              <w:bottom w:val="single" w:sz="4" w:space="0" w:color="auto"/>
              <w:right w:val="single" w:sz="4" w:space="0" w:color="auto"/>
            </w:tcBorders>
            <w:hideMark/>
          </w:tcPr>
          <w:p w:rsidR="00BF405C" w14:paraId="630489CA" w14:textId="6F7AC481">
            <w:pPr>
              <w:autoSpaceDE/>
              <w:adjustRightInd/>
              <w:jc w:val="center"/>
              <w:rPr>
                <w:rFonts w:ascii="Times New Roman" w:hAnsi="Times New Roman"/>
                <w:szCs w:val="24"/>
              </w:rPr>
            </w:pPr>
            <w:r>
              <w:rPr>
                <w:rFonts w:ascii="Times New Roman" w:hAnsi="Times New Roman"/>
                <w:szCs w:val="24"/>
              </w:rPr>
              <w:t>16,534</w:t>
            </w:r>
          </w:p>
        </w:tc>
        <w:tc>
          <w:tcPr>
            <w:tcW w:w="1620" w:type="dxa"/>
            <w:tcBorders>
              <w:top w:val="single" w:sz="4" w:space="0" w:color="auto"/>
              <w:left w:val="single" w:sz="4" w:space="0" w:color="auto"/>
              <w:bottom w:val="single" w:sz="4" w:space="0" w:color="auto"/>
              <w:right w:val="single" w:sz="4" w:space="0" w:color="auto"/>
            </w:tcBorders>
            <w:hideMark/>
          </w:tcPr>
          <w:p w:rsidR="00BF405C" w14:paraId="4026F35C" w14:textId="25428778">
            <w:pPr>
              <w:autoSpaceDE/>
              <w:adjustRightInd/>
              <w:jc w:val="center"/>
              <w:rPr>
                <w:rFonts w:ascii="Times New Roman" w:hAnsi="Times New Roman"/>
                <w:szCs w:val="24"/>
              </w:rPr>
            </w:pPr>
            <w:r>
              <w:rPr>
                <w:rFonts w:ascii="Times New Roman" w:hAnsi="Times New Roman"/>
                <w:szCs w:val="24"/>
              </w:rPr>
              <w:t>$40.38</w:t>
            </w:r>
          </w:p>
        </w:tc>
        <w:tc>
          <w:tcPr>
            <w:tcW w:w="4050" w:type="dxa"/>
            <w:tcBorders>
              <w:top w:val="single" w:sz="4" w:space="0" w:color="auto"/>
              <w:left w:val="single" w:sz="4" w:space="0" w:color="auto"/>
              <w:bottom w:val="single" w:sz="4" w:space="0" w:color="auto"/>
              <w:right w:val="single" w:sz="4" w:space="0" w:color="auto"/>
            </w:tcBorders>
            <w:hideMark/>
          </w:tcPr>
          <w:p w:rsidR="00BF405C" w14:paraId="5A6E81AC" w14:textId="376ECCD6">
            <w:pPr>
              <w:autoSpaceDE/>
              <w:adjustRightInd/>
              <w:jc w:val="center"/>
              <w:rPr>
                <w:rFonts w:ascii="Times New Roman" w:hAnsi="Times New Roman"/>
                <w:szCs w:val="24"/>
              </w:rPr>
            </w:pPr>
            <w:r>
              <w:rPr>
                <w:rFonts w:ascii="Times New Roman" w:hAnsi="Times New Roman"/>
                <w:szCs w:val="24"/>
              </w:rPr>
              <w:t>$</w:t>
            </w:r>
            <w:r w:rsidR="00202259">
              <w:rPr>
                <w:rFonts w:ascii="Times New Roman" w:hAnsi="Times New Roman"/>
                <w:szCs w:val="24"/>
              </w:rPr>
              <w:t>667,6</w:t>
            </w:r>
            <w:r w:rsidR="00CC0640">
              <w:rPr>
                <w:rFonts w:ascii="Times New Roman" w:hAnsi="Times New Roman"/>
                <w:szCs w:val="24"/>
              </w:rPr>
              <w:t>56</w:t>
            </w:r>
          </w:p>
        </w:tc>
      </w:tr>
      <w:tr w14:paraId="663D24AD" w14:textId="77777777" w:rsidTr="00BF405C">
        <w:tblPrEx>
          <w:tblW w:w="8815" w:type="dxa"/>
          <w:tblLayout w:type="fixed"/>
          <w:tblLook w:val="04A0"/>
        </w:tblPrEx>
        <w:trPr>
          <w:trHeight w:val="330"/>
        </w:trPr>
        <w:tc>
          <w:tcPr>
            <w:tcW w:w="1975" w:type="dxa"/>
            <w:tcBorders>
              <w:top w:val="single" w:sz="4" w:space="0" w:color="auto"/>
              <w:left w:val="single" w:sz="4" w:space="0" w:color="auto"/>
              <w:bottom w:val="single" w:sz="4" w:space="0" w:color="auto"/>
              <w:right w:val="single" w:sz="4" w:space="0" w:color="auto"/>
            </w:tcBorders>
            <w:hideMark/>
          </w:tcPr>
          <w:p w:rsidR="00BF405C" w14:paraId="0965E4E1" w14:textId="77777777">
            <w:pPr>
              <w:autoSpaceDE/>
              <w:adjustRightInd/>
              <w:rPr>
                <w:rFonts w:ascii="Times New Roman" w:hAnsi="Times New Roman"/>
                <w:b/>
                <w:bCs/>
                <w:i/>
                <w:iCs/>
                <w:szCs w:val="24"/>
              </w:rPr>
            </w:pPr>
            <w:r>
              <w:rPr>
                <w:rFonts w:ascii="Times New Roman" w:hAnsi="Times New Roman"/>
                <w:b/>
                <w:bCs/>
                <w:i/>
                <w:iCs/>
                <w:szCs w:val="24"/>
              </w:rPr>
              <w:t>Total</w:t>
            </w:r>
          </w:p>
        </w:tc>
        <w:tc>
          <w:tcPr>
            <w:tcW w:w="1170" w:type="dxa"/>
            <w:tcBorders>
              <w:top w:val="single" w:sz="4" w:space="0" w:color="auto"/>
              <w:left w:val="single" w:sz="4" w:space="0" w:color="auto"/>
              <w:bottom w:val="single" w:sz="4" w:space="0" w:color="auto"/>
              <w:right w:val="single" w:sz="4" w:space="0" w:color="auto"/>
            </w:tcBorders>
          </w:tcPr>
          <w:p w:rsidR="00BF405C" w:rsidRPr="00202259" w14:paraId="250A4104" w14:textId="498A9252">
            <w:pPr>
              <w:autoSpaceDE/>
              <w:adjustRightInd/>
              <w:jc w:val="center"/>
              <w:rPr>
                <w:rFonts w:ascii="Times New Roman" w:hAnsi="Times New Roman"/>
                <w:b/>
                <w:bCs/>
                <w:i/>
                <w:iCs/>
                <w:szCs w:val="24"/>
              </w:rPr>
            </w:pPr>
            <w:r w:rsidRPr="00202259">
              <w:rPr>
                <w:rFonts w:ascii="Times New Roman" w:hAnsi="Times New Roman"/>
                <w:b/>
                <w:bCs/>
                <w:i/>
                <w:iCs/>
                <w:szCs w:val="24"/>
              </w:rPr>
              <w:t>18,</w:t>
            </w:r>
            <w:r w:rsidRPr="00202259" w:rsidR="001B4B04">
              <w:rPr>
                <w:rFonts w:ascii="Times New Roman" w:hAnsi="Times New Roman"/>
                <w:b/>
                <w:bCs/>
                <w:i/>
                <w:iCs/>
                <w:szCs w:val="24"/>
              </w:rPr>
              <w:t>7</w:t>
            </w:r>
            <w:r w:rsidR="001B4B04">
              <w:rPr>
                <w:rFonts w:ascii="Times New Roman" w:hAnsi="Times New Roman"/>
                <w:b/>
                <w:bCs/>
                <w:i/>
                <w:iCs/>
                <w:szCs w:val="24"/>
              </w:rPr>
              <w:t>72</w:t>
            </w:r>
          </w:p>
        </w:tc>
        <w:tc>
          <w:tcPr>
            <w:tcW w:w="1620" w:type="dxa"/>
            <w:tcBorders>
              <w:top w:val="single" w:sz="4" w:space="0" w:color="auto"/>
              <w:left w:val="single" w:sz="4" w:space="0" w:color="auto"/>
              <w:bottom w:val="single" w:sz="4" w:space="0" w:color="auto"/>
              <w:right w:val="single" w:sz="4" w:space="0" w:color="auto"/>
            </w:tcBorders>
          </w:tcPr>
          <w:p w:rsidR="00BF405C" w14:paraId="156CEF8D" w14:textId="77777777">
            <w:pPr>
              <w:autoSpaceDE/>
              <w:adjustRightInd/>
              <w:jc w:val="center"/>
              <w:rPr>
                <w:rFonts w:ascii="Times New Roman" w:hAnsi="Times New Roman"/>
                <w:szCs w:val="24"/>
              </w:rPr>
            </w:pPr>
          </w:p>
        </w:tc>
        <w:tc>
          <w:tcPr>
            <w:tcW w:w="4050" w:type="dxa"/>
            <w:tcBorders>
              <w:top w:val="single" w:sz="4" w:space="0" w:color="auto"/>
              <w:left w:val="single" w:sz="4" w:space="0" w:color="auto"/>
              <w:bottom w:val="single" w:sz="4" w:space="0" w:color="auto"/>
              <w:right w:val="single" w:sz="4" w:space="0" w:color="auto"/>
            </w:tcBorders>
            <w:hideMark/>
          </w:tcPr>
          <w:p w:rsidR="00BF405C" w14:paraId="46953C75" w14:textId="6D887477">
            <w:pPr>
              <w:autoSpaceDE/>
              <w:adjustRightInd/>
              <w:jc w:val="center"/>
              <w:rPr>
                <w:rFonts w:ascii="Times New Roman" w:hAnsi="Times New Roman"/>
                <w:b/>
                <w:bCs/>
                <w:i/>
                <w:iCs/>
                <w:szCs w:val="24"/>
              </w:rPr>
            </w:pPr>
            <w:r>
              <w:rPr>
                <w:rFonts w:ascii="Times New Roman" w:hAnsi="Times New Roman"/>
                <w:b/>
                <w:bCs/>
                <w:i/>
                <w:iCs/>
                <w:szCs w:val="24"/>
              </w:rPr>
              <w:t>$</w:t>
            </w:r>
            <w:r w:rsidR="00202259">
              <w:rPr>
                <w:rFonts w:ascii="Times New Roman" w:hAnsi="Times New Roman"/>
                <w:b/>
                <w:bCs/>
                <w:i/>
                <w:iCs/>
                <w:szCs w:val="24"/>
              </w:rPr>
              <w:t>705,8</w:t>
            </w:r>
            <w:r w:rsidR="00CC0640">
              <w:rPr>
                <w:rFonts w:ascii="Times New Roman" w:hAnsi="Times New Roman"/>
                <w:b/>
                <w:bCs/>
                <w:i/>
                <w:iCs/>
                <w:szCs w:val="24"/>
              </w:rPr>
              <w:t>16</w:t>
            </w:r>
          </w:p>
        </w:tc>
      </w:tr>
    </w:tbl>
    <w:p w:rsidR="00015C31" w:rsidRPr="002568E6" w:rsidP="003333DF" w14:paraId="4A2D4B29" w14:textId="77777777">
      <w:pPr>
        <w:tabs>
          <w:tab w:val="left" w:pos="0"/>
        </w:tabs>
        <w:suppressAutoHyphens/>
        <w:rPr>
          <w:rFonts w:ascii="Times New Roman" w:hAnsi="Times New Roman"/>
          <w:b/>
          <w:szCs w:val="24"/>
        </w:rPr>
      </w:pPr>
    </w:p>
    <w:p w:rsidR="0084458B" w:rsidRPr="0084458B" w:rsidP="000D1806" w14:paraId="27FA1D09" w14:textId="36581E69">
      <w:pPr>
        <w:widowControl/>
        <w:numPr>
          <w:ilvl w:val="12"/>
          <w:numId w:val="0"/>
        </w:numPr>
        <w:overflowPunct/>
        <w:textAlignment w:val="auto"/>
        <w:outlineLvl w:val="0"/>
        <w:rPr>
          <w:rFonts w:ascii="Times New Roman" w:hAnsi="Times New Roman"/>
          <w:szCs w:val="24"/>
        </w:rPr>
      </w:pPr>
      <w:r w:rsidRPr="0084458B">
        <w:rPr>
          <w:rFonts w:ascii="Times New Roman" w:hAnsi="Times New Roman"/>
          <w:szCs w:val="24"/>
        </w:rPr>
        <w:t>Respondents’ salary estimates are based on Bureau of Labor Statistics data - Occupational Outlook Handbook 202</w:t>
      </w:r>
      <w:r w:rsidR="009F5909">
        <w:rPr>
          <w:rFonts w:ascii="Times New Roman" w:hAnsi="Times New Roman"/>
          <w:szCs w:val="24"/>
        </w:rPr>
        <w:t>4</w:t>
      </w:r>
      <w:r w:rsidRPr="0084458B">
        <w:rPr>
          <w:rFonts w:ascii="Times New Roman" w:hAnsi="Times New Roman"/>
          <w:szCs w:val="24"/>
        </w:rPr>
        <w:t xml:space="preserve"> Median pay. Estimates assume that paraprofessional staff complete data entry (time stamp data - </w:t>
      </w:r>
      <w:r w:rsidRPr="00DD7935">
        <w:rPr>
          <w:rFonts w:ascii="Times New Roman" w:hAnsi="Times New Roman"/>
          <w:szCs w:val="24"/>
        </w:rPr>
        <w:t>12 %</w:t>
      </w:r>
      <w:r w:rsidRPr="0084458B">
        <w:rPr>
          <w:rFonts w:ascii="Times New Roman" w:hAnsi="Times New Roman"/>
          <w:szCs w:val="24"/>
        </w:rPr>
        <w:t xml:space="preserve"> of burden hours) and professional staff review and submit the data, and prepare, review and submit program plans and budgets (staff surveys - </w:t>
      </w:r>
      <w:r w:rsidRPr="00DD7935">
        <w:rPr>
          <w:rFonts w:ascii="Times New Roman" w:hAnsi="Times New Roman"/>
          <w:szCs w:val="24"/>
        </w:rPr>
        <w:t>88% of</w:t>
      </w:r>
      <w:r w:rsidRPr="0084458B">
        <w:rPr>
          <w:rFonts w:ascii="Times New Roman" w:hAnsi="Times New Roman"/>
          <w:szCs w:val="24"/>
        </w:rPr>
        <w:t xml:space="preserve"> total burden).</w:t>
      </w:r>
      <w:r w:rsidR="00202259">
        <w:rPr>
          <w:rFonts w:ascii="Times New Roman" w:hAnsi="Times New Roman"/>
          <w:szCs w:val="24"/>
        </w:rPr>
        <w:t xml:space="preserve"> This estimate accounts for the cost of fringe benefits for the respondents.</w:t>
      </w:r>
    </w:p>
    <w:p w:rsidR="0084458B" w:rsidRPr="0084458B" w:rsidP="000D1806" w14:paraId="4138A927" w14:textId="77777777">
      <w:pPr>
        <w:widowControl/>
        <w:numPr>
          <w:ilvl w:val="12"/>
          <w:numId w:val="0"/>
        </w:numPr>
        <w:overflowPunct/>
        <w:textAlignment w:val="auto"/>
        <w:outlineLvl w:val="0"/>
        <w:rPr>
          <w:rFonts w:ascii="Times New Roman" w:hAnsi="Times New Roman"/>
          <w:szCs w:val="24"/>
        </w:rPr>
      </w:pPr>
    </w:p>
    <w:p w:rsidR="0084458B" w:rsidRPr="0084458B" w:rsidP="000D1806" w14:paraId="35BE1090" w14:textId="75591D72">
      <w:pPr>
        <w:widowControl/>
        <w:numPr>
          <w:ilvl w:val="12"/>
          <w:numId w:val="0"/>
        </w:numPr>
        <w:overflowPunct/>
        <w:textAlignment w:val="auto"/>
        <w:outlineLvl w:val="0"/>
        <w:rPr>
          <w:rFonts w:ascii="Times New Roman" w:hAnsi="Times New Roman"/>
          <w:szCs w:val="24"/>
        </w:rPr>
      </w:pPr>
      <w:r>
        <w:rPr>
          <w:rFonts w:ascii="Times New Roman" w:hAnsi="Times New Roman"/>
          <w:szCs w:val="24"/>
        </w:rPr>
        <w:t>*</w:t>
      </w:r>
      <w:r w:rsidRPr="0084458B">
        <w:rPr>
          <w:rFonts w:ascii="Times New Roman" w:hAnsi="Times New Roman"/>
          <w:szCs w:val="24"/>
        </w:rPr>
        <w:t>Breakdown of wage rate:</w:t>
      </w:r>
    </w:p>
    <w:p w:rsidR="0084458B" w:rsidRPr="0084458B" w:rsidP="000D1806" w14:paraId="578E4485" w14:textId="77777777">
      <w:pPr>
        <w:widowControl/>
        <w:numPr>
          <w:ilvl w:val="12"/>
          <w:numId w:val="0"/>
        </w:numPr>
        <w:overflowPunct/>
        <w:textAlignment w:val="auto"/>
        <w:outlineLvl w:val="0"/>
        <w:rPr>
          <w:rFonts w:ascii="Times New Roman" w:hAnsi="Times New Roman"/>
          <w:szCs w:val="24"/>
        </w:rPr>
      </w:pPr>
    </w:p>
    <w:p w:rsidR="0084458B" w:rsidRPr="0084458B" w:rsidP="000D1806" w14:paraId="07E784DA" w14:textId="7599ECBC">
      <w:pPr>
        <w:widowControl/>
        <w:numPr>
          <w:ilvl w:val="0"/>
          <w:numId w:val="23"/>
        </w:numPr>
        <w:overflowPunct/>
        <w:ind w:left="0"/>
        <w:contextualSpacing/>
        <w:textAlignment w:val="auto"/>
        <w:outlineLvl w:val="0"/>
        <w:rPr>
          <w:rFonts w:ascii="Times New Roman" w:hAnsi="Times New Roman"/>
          <w:color w:val="0000FF"/>
          <w:szCs w:val="24"/>
          <w:u w:val="single"/>
        </w:rPr>
      </w:pPr>
      <w:r w:rsidRPr="0084458B">
        <w:rPr>
          <w:rFonts w:ascii="Times New Roman" w:hAnsi="Times New Roman"/>
          <w:szCs w:val="24"/>
        </w:rPr>
        <w:t>Paraprofessional staff: $</w:t>
      </w:r>
      <w:r w:rsidR="009F5909">
        <w:rPr>
          <w:rFonts w:ascii="Times New Roman" w:hAnsi="Times New Roman"/>
          <w:szCs w:val="24"/>
        </w:rPr>
        <w:t>35,240</w:t>
      </w:r>
      <w:r w:rsidRPr="0084458B">
        <w:rPr>
          <w:rFonts w:ascii="Times New Roman" w:hAnsi="Times New Roman"/>
          <w:szCs w:val="24"/>
        </w:rPr>
        <w:t>/year (approximately $</w:t>
      </w:r>
      <w:r w:rsidR="009F5909">
        <w:rPr>
          <w:rFonts w:ascii="Times New Roman" w:hAnsi="Times New Roman"/>
          <w:szCs w:val="24"/>
        </w:rPr>
        <w:t>16.94</w:t>
      </w:r>
      <w:r w:rsidRPr="0084458B">
        <w:rPr>
          <w:rFonts w:ascii="Times New Roman" w:hAnsi="Times New Roman"/>
          <w:szCs w:val="24"/>
        </w:rPr>
        <w:t xml:space="preserve">/hour). Searched “paraprofessional.” Closest match “Teacher Assistant” (some college/no degree). </w:t>
      </w:r>
      <w:hyperlink r:id="rId20">
        <w:r w:rsidRPr="0084458B">
          <w:rPr>
            <w:rFonts w:ascii="Times New Roman" w:hAnsi="Times New Roman"/>
            <w:color w:val="0000FF"/>
            <w:szCs w:val="24"/>
            <w:u w:val="single"/>
          </w:rPr>
          <w:t>Teacher Assistants: Occupational Outlook Handbook: U.S. Bureau of Labor Statistics (bls.gov)</w:t>
        </w:r>
      </w:hyperlink>
      <w:r w:rsidRPr="0084458B">
        <w:rPr>
          <w:rFonts w:ascii="Times New Roman" w:hAnsi="Times New Roman"/>
          <w:color w:val="0000FF"/>
          <w:szCs w:val="24"/>
          <w:u w:val="single"/>
        </w:rPr>
        <w:t xml:space="preserve"> non-degree:</w:t>
      </w:r>
    </w:p>
    <w:p w:rsidR="0084458B" w:rsidRPr="0084458B" w:rsidP="000D1806" w14:paraId="57E04D33" w14:textId="77777777">
      <w:pPr>
        <w:widowControl/>
        <w:overflowPunct/>
        <w:contextualSpacing/>
        <w:textAlignment w:val="auto"/>
        <w:outlineLvl w:val="0"/>
        <w:rPr>
          <w:rFonts w:ascii="Times New Roman" w:hAnsi="Times New Roman"/>
          <w:szCs w:val="24"/>
        </w:rPr>
      </w:pPr>
    </w:p>
    <w:p w:rsidR="0084458B" w:rsidRPr="0084458B" w:rsidP="000D1806" w14:paraId="52FE8B99" w14:textId="4EE27DFC">
      <w:pPr>
        <w:widowControl/>
        <w:overflowPunct/>
        <w:ind w:left="1080"/>
        <w:contextualSpacing/>
        <w:textAlignment w:val="auto"/>
        <w:outlineLvl w:val="0"/>
        <w:rPr>
          <w:rFonts w:ascii="Times New Roman" w:hAnsi="Times New Roman"/>
          <w:szCs w:val="24"/>
        </w:rPr>
      </w:pPr>
      <w:r>
        <w:rPr>
          <w:rFonts w:ascii="Times New Roman" w:hAnsi="Times New Roman"/>
          <w:szCs w:val="24"/>
        </w:rPr>
        <w:t>18,7</w:t>
      </w:r>
      <w:r w:rsidR="00CC0640">
        <w:rPr>
          <w:rFonts w:ascii="Times New Roman" w:hAnsi="Times New Roman"/>
          <w:szCs w:val="24"/>
        </w:rPr>
        <w:t>72</w:t>
      </w:r>
      <w:r w:rsidRPr="0084458B">
        <w:rPr>
          <w:rFonts w:ascii="Times New Roman" w:hAnsi="Times New Roman"/>
          <w:szCs w:val="24"/>
        </w:rPr>
        <w:t xml:space="preserve"> hours * </w:t>
      </w:r>
      <w:r w:rsidRPr="00DD7935">
        <w:rPr>
          <w:rFonts w:ascii="Times New Roman" w:hAnsi="Times New Roman"/>
          <w:szCs w:val="24"/>
        </w:rPr>
        <w:t>.12</w:t>
      </w:r>
      <w:r w:rsidRPr="0084458B">
        <w:rPr>
          <w:rFonts w:ascii="Times New Roman" w:hAnsi="Times New Roman"/>
          <w:szCs w:val="24"/>
        </w:rPr>
        <w:t xml:space="preserve"> (burden hours) * $</w:t>
      </w:r>
      <w:r>
        <w:rPr>
          <w:rFonts w:ascii="Times New Roman" w:hAnsi="Times New Roman"/>
          <w:szCs w:val="24"/>
        </w:rPr>
        <w:t>16.94</w:t>
      </w:r>
      <w:r w:rsidRPr="0084458B">
        <w:rPr>
          <w:rFonts w:ascii="Times New Roman" w:hAnsi="Times New Roman"/>
          <w:szCs w:val="24"/>
        </w:rPr>
        <w:t xml:space="preserve"> /hour = $</w:t>
      </w:r>
      <w:r w:rsidR="00181240">
        <w:rPr>
          <w:rFonts w:ascii="Times New Roman" w:hAnsi="Times New Roman"/>
          <w:szCs w:val="24"/>
        </w:rPr>
        <w:t>38,</w:t>
      </w:r>
      <w:r w:rsidR="00CC0640">
        <w:rPr>
          <w:rFonts w:ascii="Times New Roman" w:hAnsi="Times New Roman"/>
          <w:szCs w:val="24"/>
        </w:rPr>
        <w:t>160</w:t>
      </w:r>
      <w:r w:rsidR="00202259">
        <w:rPr>
          <w:rFonts w:ascii="Times New Roman" w:hAnsi="Times New Roman"/>
          <w:szCs w:val="24"/>
        </w:rPr>
        <w:t xml:space="preserve"> (rounded)</w:t>
      </w:r>
    </w:p>
    <w:p w:rsidR="0084458B" w:rsidRPr="0084458B" w:rsidP="000D1806" w14:paraId="0A3E3FE8" w14:textId="77777777">
      <w:pPr>
        <w:widowControl/>
        <w:overflowPunct/>
        <w:textAlignment w:val="auto"/>
        <w:outlineLvl w:val="0"/>
        <w:rPr>
          <w:rFonts w:ascii="Times New Roman" w:hAnsi="Times New Roman"/>
          <w:szCs w:val="24"/>
        </w:rPr>
      </w:pPr>
    </w:p>
    <w:p w:rsidR="0084458B" w:rsidRPr="0084458B" w:rsidP="000D1806" w14:paraId="11265A29" w14:textId="557880C0">
      <w:pPr>
        <w:widowControl/>
        <w:numPr>
          <w:ilvl w:val="0"/>
          <w:numId w:val="23"/>
        </w:numPr>
        <w:overflowPunct/>
        <w:ind w:left="0"/>
        <w:contextualSpacing/>
        <w:textAlignment w:val="auto"/>
        <w:outlineLvl w:val="0"/>
        <w:rPr>
          <w:rFonts w:ascii="Times New Roman" w:hAnsi="Times New Roman"/>
          <w:szCs w:val="24"/>
        </w:rPr>
      </w:pPr>
      <w:r w:rsidRPr="0084458B">
        <w:rPr>
          <w:rFonts w:ascii="Times New Roman" w:hAnsi="Times New Roman"/>
          <w:szCs w:val="24"/>
        </w:rPr>
        <w:t>Professional staff: $</w:t>
      </w:r>
      <w:r w:rsidR="00FA6174">
        <w:rPr>
          <w:rFonts w:ascii="Times New Roman" w:hAnsi="Times New Roman"/>
          <w:szCs w:val="24"/>
        </w:rPr>
        <w:t>83,980</w:t>
      </w:r>
      <w:r w:rsidRPr="0084458B">
        <w:rPr>
          <w:rFonts w:ascii="Times New Roman" w:hAnsi="Times New Roman"/>
          <w:szCs w:val="24"/>
        </w:rPr>
        <w:t>/year (approximately $</w:t>
      </w:r>
      <w:r w:rsidR="00FA6174">
        <w:rPr>
          <w:rFonts w:ascii="Times New Roman" w:hAnsi="Times New Roman"/>
          <w:szCs w:val="24"/>
        </w:rPr>
        <w:t>40.38</w:t>
      </w:r>
      <w:r w:rsidRPr="0084458B">
        <w:rPr>
          <w:rFonts w:ascii="Times New Roman" w:hAnsi="Times New Roman"/>
          <w:szCs w:val="24"/>
        </w:rPr>
        <w:t xml:space="preserve">/hour). Searched “university faculty”. Closest match Post-secondary Teachers </w:t>
      </w:r>
      <w:hyperlink r:id="rId21">
        <w:r w:rsidRPr="0084458B">
          <w:rPr>
            <w:rFonts w:ascii="Times New Roman" w:hAnsi="Times New Roman"/>
            <w:color w:val="0000FF"/>
            <w:szCs w:val="24"/>
            <w:u w:val="single"/>
          </w:rPr>
          <w:t>Postsecondary Teachers: Occupational Outlook Handbook: U.S. Bureau of Labor Statistics (bls.gov)</w:t>
        </w:r>
      </w:hyperlink>
      <w:r w:rsidRPr="0084458B">
        <w:rPr>
          <w:rFonts w:ascii="Times New Roman" w:hAnsi="Times New Roman"/>
          <w:color w:val="0000FF"/>
          <w:szCs w:val="24"/>
          <w:u w:val="single"/>
        </w:rPr>
        <w:t>:</w:t>
      </w:r>
    </w:p>
    <w:p w:rsidR="0084458B" w:rsidRPr="0084458B" w:rsidP="000D1806" w14:paraId="075D9730" w14:textId="77777777">
      <w:pPr>
        <w:widowControl/>
        <w:overflowPunct/>
        <w:contextualSpacing/>
        <w:textAlignment w:val="auto"/>
        <w:outlineLvl w:val="0"/>
        <w:rPr>
          <w:rFonts w:ascii="Times New Roman" w:hAnsi="Times New Roman"/>
          <w:szCs w:val="24"/>
        </w:rPr>
      </w:pPr>
    </w:p>
    <w:p w:rsidR="0084458B" w:rsidRPr="0084458B" w:rsidP="000D1806" w14:paraId="2C7DBA12" w14:textId="0D8D2F65">
      <w:pPr>
        <w:widowControl/>
        <w:overflowPunct/>
        <w:ind w:left="1080"/>
        <w:contextualSpacing/>
        <w:textAlignment w:val="auto"/>
        <w:rPr>
          <w:rFonts w:ascii="Times New Roman" w:hAnsi="Times New Roman"/>
          <w:szCs w:val="24"/>
        </w:rPr>
      </w:pPr>
      <w:r>
        <w:rPr>
          <w:rFonts w:ascii="Times New Roman" w:hAnsi="Times New Roman"/>
          <w:szCs w:val="24"/>
        </w:rPr>
        <w:t>18,789</w:t>
      </w:r>
      <w:r w:rsidRPr="0084458B">
        <w:rPr>
          <w:rFonts w:ascii="Times New Roman" w:hAnsi="Times New Roman"/>
          <w:szCs w:val="24"/>
        </w:rPr>
        <w:t xml:space="preserve"> </w:t>
      </w:r>
      <w:r w:rsidRPr="00DD7935">
        <w:rPr>
          <w:rFonts w:ascii="Times New Roman" w:hAnsi="Times New Roman"/>
          <w:szCs w:val="24"/>
        </w:rPr>
        <w:t>hours * .88</w:t>
      </w:r>
      <w:r w:rsidRPr="0084458B">
        <w:rPr>
          <w:rFonts w:ascii="Times New Roman" w:hAnsi="Times New Roman"/>
          <w:szCs w:val="24"/>
        </w:rPr>
        <w:t xml:space="preserve"> (burden hour) * </w:t>
      </w:r>
      <w:r w:rsidR="00FA6174">
        <w:rPr>
          <w:rFonts w:ascii="Times New Roman" w:hAnsi="Times New Roman"/>
          <w:szCs w:val="24"/>
        </w:rPr>
        <w:t>$40.38</w:t>
      </w:r>
      <w:r w:rsidRPr="0084458B">
        <w:rPr>
          <w:rFonts w:ascii="Times New Roman" w:hAnsi="Times New Roman"/>
          <w:szCs w:val="24"/>
        </w:rPr>
        <w:t>/hour = $</w:t>
      </w:r>
      <w:r w:rsidR="00E27F18">
        <w:rPr>
          <w:rFonts w:ascii="Times New Roman" w:hAnsi="Times New Roman"/>
          <w:szCs w:val="24"/>
        </w:rPr>
        <w:t>667,</w:t>
      </w:r>
      <w:r w:rsidR="00202259">
        <w:rPr>
          <w:rFonts w:ascii="Times New Roman" w:hAnsi="Times New Roman"/>
          <w:szCs w:val="24"/>
        </w:rPr>
        <w:t>6</w:t>
      </w:r>
      <w:r w:rsidR="00CC0640">
        <w:rPr>
          <w:rFonts w:ascii="Times New Roman" w:hAnsi="Times New Roman"/>
          <w:szCs w:val="24"/>
        </w:rPr>
        <w:t>56</w:t>
      </w:r>
      <w:r w:rsidR="00202259">
        <w:rPr>
          <w:rFonts w:ascii="Times New Roman" w:hAnsi="Times New Roman"/>
          <w:szCs w:val="24"/>
        </w:rPr>
        <w:t xml:space="preserve"> (rounded)</w:t>
      </w:r>
    </w:p>
    <w:p w:rsidR="0084458B" w:rsidRPr="0084458B" w:rsidP="000D1806" w14:paraId="6E580FC4" w14:textId="77777777">
      <w:pPr>
        <w:widowControl/>
        <w:tabs>
          <w:tab w:val="left" w:pos="720"/>
        </w:tabs>
        <w:overflowPunct/>
        <w:contextualSpacing/>
        <w:textAlignment w:val="auto"/>
        <w:rPr>
          <w:rFonts w:ascii="Times New Roman" w:hAnsi="Times New Roman"/>
          <w:szCs w:val="24"/>
        </w:rPr>
      </w:pPr>
    </w:p>
    <w:p w:rsidR="0084458B" w:rsidRPr="0084458B" w:rsidP="000D1806" w14:paraId="4361BA21" w14:textId="04E040CD">
      <w:pPr>
        <w:widowControl/>
        <w:overflowPunct/>
        <w:textAlignment w:val="auto"/>
        <w:rPr>
          <w:rFonts w:ascii="Times New Roman" w:hAnsi="Times New Roman"/>
          <w:szCs w:val="24"/>
        </w:rPr>
      </w:pPr>
      <w:r w:rsidRPr="0084458B">
        <w:rPr>
          <w:rFonts w:ascii="Times New Roman" w:hAnsi="Times New Roman"/>
          <w:szCs w:val="24"/>
        </w:rPr>
        <w:t>Total cost burden hours (paraprofessional plus professional) $</w:t>
      </w:r>
      <w:r w:rsidR="00181240">
        <w:rPr>
          <w:rFonts w:ascii="Times New Roman" w:hAnsi="Times New Roman"/>
          <w:szCs w:val="24"/>
        </w:rPr>
        <w:t>38,</w:t>
      </w:r>
      <w:r w:rsidR="00CC0640">
        <w:rPr>
          <w:rFonts w:ascii="Times New Roman" w:hAnsi="Times New Roman"/>
          <w:szCs w:val="24"/>
        </w:rPr>
        <w:t xml:space="preserve">160 </w:t>
      </w:r>
      <w:r w:rsidRPr="0084458B">
        <w:rPr>
          <w:rFonts w:ascii="Times New Roman" w:hAnsi="Times New Roman"/>
          <w:szCs w:val="24"/>
        </w:rPr>
        <w:t>+ $</w:t>
      </w:r>
      <w:r w:rsidR="00E27F18">
        <w:rPr>
          <w:rFonts w:ascii="Times New Roman" w:hAnsi="Times New Roman"/>
          <w:szCs w:val="24"/>
        </w:rPr>
        <w:t>667,</w:t>
      </w:r>
      <w:r w:rsidR="00CC0640">
        <w:rPr>
          <w:rFonts w:ascii="Times New Roman" w:hAnsi="Times New Roman"/>
          <w:szCs w:val="24"/>
        </w:rPr>
        <w:t>656</w:t>
      </w:r>
      <w:r w:rsidR="00202259">
        <w:rPr>
          <w:rFonts w:ascii="Times New Roman" w:hAnsi="Times New Roman"/>
          <w:szCs w:val="24"/>
        </w:rPr>
        <w:t xml:space="preserve"> </w:t>
      </w:r>
      <w:r w:rsidRPr="0084458B">
        <w:rPr>
          <w:rFonts w:ascii="Times New Roman" w:hAnsi="Times New Roman"/>
          <w:szCs w:val="24"/>
        </w:rPr>
        <w:t>= $</w:t>
      </w:r>
      <w:r w:rsidR="00902699">
        <w:rPr>
          <w:rFonts w:ascii="Times New Roman" w:hAnsi="Times New Roman"/>
          <w:szCs w:val="24"/>
        </w:rPr>
        <w:t>705,8</w:t>
      </w:r>
      <w:r w:rsidR="00CC0640">
        <w:rPr>
          <w:rFonts w:ascii="Times New Roman" w:hAnsi="Times New Roman"/>
          <w:szCs w:val="24"/>
        </w:rPr>
        <w:t>16</w:t>
      </w:r>
      <w:r w:rsidRPr="0084458B">
        <w:rPr>
          <w:rFonts w:ascii="Times New Roman" w:hAnsi="Times New Roman"/>
          <w:szCs w:val="24"/>
        </w:rPr>
        <w:t xml:space="preserve">. </w:t>
      </w:r>
    </w:p>
    <w:p w:rsidR="00ED28F2" w:rsidRPr="002568E6" w:rsidP="00ED28F2" w14:paraId="69075790" w14:textId="77777777">
      <w:pPr>
        <w:tabs>
          <w:tab w:val="left" w:pos="-720"/>
        </w:tabs>
        <w:suppressAutoHyphens/>
        <w:spacing w:line="480" w:lineRule="auto"/>
        <w:rPr>
          <w:rFonts w:ascii="Times New Roman" w:hAnsi="Times New Roman"/>
          <w:szCs w:val="24"/>
        </w:rPr>
      </w:pPr>
    </w:p>
    <w:p w:rsidR="000438E8" w:rsidRPr="002568E6" w:rsidP="0062567E" w14:paraId="69075791" w14:textId="18781382">
      <w:pPr>
        <w:pStyle w:val="Heading1"/>
        <w:rPr>
          <w:szCs w:val="24"/>
        </w:rPr>
      </w:pPr>
      <w:bookmarkStart w:id="29" w:name="_Toc401831369"/>
      <w:bookmarkStart w:id="30" w:name="_Toc401832413"/>
      <w:r w:rsidRPr="002568E6">
        <w:rPr>
          <w:szCs w:val="24"/>
        </w:rPr>
        <w:t>A13</w:t>
      </w:r>
      <w:r w:rsidR="0035120A">
        <w:rPr>
          <w:szCs w:val="24"/>
        </w:rPr>
        <w:t xml:space="preserve">. </w:t>
      </w:r>
      <w:r w:rsidRPr="002568E6">
        <w:rPr>
          <w:szCs w:val="24"/>
        </w:rPr>
        <w:t xml:space="preserve">Estimates of other total annual cost </w:t>
      </w:r>
      <w:r w:rsidRPr="002568E6" w:rsidR="00ED28F2">
        <w:rPr>
          <w:szCs w:val="24"/>
        </w:rPr>
        <w:t>burden</w:t>
      </w:r>
      <w:r w:rsidRPr="002568E6">
        <w:rPr>
          <w:szCs w:val="24"/>
        </w:rPr>
        <w:t>.</w:t>
      </w:r>
      <w:bookmarkEnd w:id="29"/>
      <w:bookmarkEnd w:id="30"/>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45D50DBE">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w:t>
      </w:r>
      <w:r w:rsidR="0035120A">
        <w:rPr>
          <w:rFonts w:ascii="Times New Roman" w:hAnsi="Times New Roman"/>
          <w:b/>
          <w:szCs w:val="24"/>
        </w:rPr>
        <w:t xml:space="preserve">. </w:t>
      </w:r>
      <w:r w:rsidRPr="002568E6">
        <w:rPr>
          <w:rFonts w:ascii="Times New Roman" w:hAnsi="Times New Roman"/>
          <w:b/>
          <w:szCs w:val="24"/>
        </w:rPr>
        <w:t>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312876" w:rsidRPr="00312876" w:rsidP="00312876" w14:paraId="4AC41B3A" w14:textId="77777777">
      <w:pPr>
        <w:tabs>
          <w:tab w:val="left" w:pos="-720"/>
        </w:tabs>
        <w:suppressAutoHyphens/>
        <w:rPr>
          <w:rFonts w:ascii="Times New Roman" w:hAnsi="Times New Roman" w:cs="Goudy Old Style"/>
          <w:szCs w:val="24"/>
        </w:rPr>
      </w:pPr>
      <w:r w:rsidRPr="00312876">
        <w:rPr>
          <w:rFonts w:ascii="Times New Roman" w:hAnsi="Times New Roman" w:cs="Goudy Old Style"/>
          <w:szCs w:val="24"/>
        </w:rPr>
        <w:t>There are no capital/startup costs or ongoing operation/maintenance costs associated with this information collection.</w:t>
      </w:r>
    </w:p>
    <w:p w:rsidR="00ED28F2" w:rsidRPr="002568E6" w:rsidP="00ED28F2" w14:paraId="69075796" w14:textId="77777777">
      <w:pPr>
        <w:tabs>
          <w:tab w:val="left" w:pos="-720"/>
        </w:tabs>
        <w:suppressAutoHyphens/>
        <w:spacing w:line="480" w:lineRule="auto"/>
        <w:rPr>
          <w:rFonts w:ascii="Times New Roman" w:hAnsi="Times New Roman"/>
          <w:szCs w:val="24"/>
        </w:rPr>
      </w:pPr>
    </w:p>
    <w:p w:rsidR="00A308DB" w:rsidRPr="002568E6" w:rsidP="0062567E" w14:paraId="69075797" w14:textId="33C3D703">
      <w:pPr>
        <w:pStyle w:val="Heading1"/>
        <w:rPr>
          <w:szCs w:val="24"/>
        </w:rPr>
      </w:pPr>
      <w:bookmarkStart w:id="31" w:name="_Toc401831370"/>
      <w:bookmarkStart w:id="32" w:name="_Toc401832414"/>
      <w:r w:rsidRPr="002568E6">
        <w:rPr>
          <w:szCs w:val="24"/>
        </w:rPr>
        <w:t>A14</w:t>
      </w:r>
      <w:r w:rsidR="0035120A">
        <w:rPr>
          <w:szCs w:val="24"/>
        </w:rPr>
        <w:t xml:space="preserve">. </w:t>
      </w:r>
      <w:r w:rsidRPr="002568E6">
        <w:rPr>
          <w:szCs w:val="24"/>
        </w:rPr>
        <w:t>Provide estimates of annualized cost to the Federal government</w:t>
      </w:r>
      <w:bookmarkEnd w:id="31"/>
      <w:bookmarkEnd w:id="32"/>
      <w:r w:rsidR="0035120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84458B" w:rsidRPr="002568E6" w:rsidP="0062567E" w14:paraId="5C887423" w14:textId="0B4A8CF5">
      <w:pPr>
        <w:pStyle w:val="ListParagraph"/>
        <w:widowControl/>
        <w:spacing w:line="240" w:lineRule="auto"/>
        <w:ind w:left="0"/>
        <w:rPr>
          <w:b/>
          <w:szCs w:val="24"/>
        </w:rPr>
      </w:pPr>
      <w:r w:rsidRPr="002568E6">
        <w:rPr>
          <w:b/>
          <w:szCs w:val="24"/>
        </w:rPr>
        <w:t>Provide estimates of annualized cost to the Federal government</w:t>
      </w:r>
      <w:r w:rsidR="0035120A">
        <w:rPr>
          <w:b/>
          <w:szCs w:val="24"/>
        </w:rPr>
        <w:t xml:space="preserve">. </w:t>
      </w:r>
      <w:r w:rsidRPr="002568E6">
        <w:rPr>
          <w:b/>
          <w:szCs w:val="24"/>
        </w:rPr>
        <w:t>Provide a description of the method used to estimate cost and any other expense that would not have been incurred without this collection of information</w:t>
      </w:r>
      <w:r w:rsidR="00C10B81">
        <w:rPr>
          <w:b/>
          <w:szCs w:val="24"/>
        </w:rPr>
        <w:t>.</w:t>
      </w:r>
    </w:p>
    <w:p w:rsidR="0062567E" w:rsidRPr="002568E6" w:rsidP="000438E8" w14:paraId="6907579A" w14:textId="77777777">
      <w:pPr>
        <w:tabs>
          <w:tab w:val="left" w:pos="0"/>
        </w:tabs>
        <w:suppressAutoHyphens/>
        <w:rPr>
          <w:rFonts w:ascii="Times New Roman" w:hAnsi="Times New Roman"/>
          <w:szCs w:val="24"/>
        </w:rPr>
      </w:pPr>
    </w:p>
    <w:tbl>
      <w:tblPr>
        <w:tblW w:w="10080" w:type="dxa"/>
        <w:tblInd w:w="81" w:type="dxa"/>
        <w:tblLayout w:type="fixed"/>
        <w:tblCellMar>
          <w:left w:w="81" w:type="dxa"/>
          <w:right w:w="81" w:type="dxa"/>
        </w:tblCellMar>
        <w:tblLook w:val="04A0"/>
      </w:tblPr>
      <w:tblGrid>
        <w:gridCol w:w="6120"/>
        <w:gridCol w:w="1260"/>
        <w:gridCol w:w="900"/>
        <w:gridCol w:w="1800"/>
      </w:tblGrid>
      <w:tr w14:paraId="2B968E8E" w14:textId="77777777">
        <w:tblPrEx>
          <w:tblW w:w="10080" w:type="dxa"/>
          <w:tblInd w:w="81" w:type="dxa"/>
          <w:tblLayout w:type="fixed"/>
          <w:tblCellMar>
            <w:left w:w="81" w:type="dxa"/>
            <w:right w:w="81" w:type="dxa"/>
          </w:tblCellMar>
          <w:tblLook w:val="04A0"/>
        </w:tblPrEx>
        <w:trPr>
          <w:cantSplit/>
          <w:tblHeader/>
        </w:trPr>
        <w:tc>
          <w:tcPr>
            <w:tcW w:w="6120" w:type="dxa"/>
            <w:tcBorders>
              <w:top w:val="double" w:sz="12" w:space="0" w:color="000000"/>
              <w:left w:val="double" w:sz="12" w:space="0" w:color="000000"/>
              <w:bottom w:val="double" w:sz="12" w:space="0" w:color="000000"/>
              <w:right w:val="nil"/>
            </w:tcBorders>
          </w:tcPr>
          <w:p w:rsidR="0084458B" w:rsidRPr="0084458B" w14:paraId="7FE7FA14" w14:textId="77777777">
            <w:pPr>
              <w:widowControl/>
              <w:numPr>
                <w:ilvl w:val="12"/>
                <w:numId w:val="0"/>
              </w:numPr>
              <w:overflowPunct/>
              <w:textAlignment w:val="auto"/>
              <w:rPr>
                <w:rFonts w:ascii="Times New Roman" w:hAnsi="Times New Roman"/>
                <w:szCs w:val="24"/>
              </w:rPr>
            </w:pPr>
            <w:r w:rsidRPr="0084458B">
              <w:rPr>
                <w:rFonts w:ascii="Times New Roman" w:hAnsi="Times New Roman"/>
                <w:b/>
                <w:bCs/>
                <w:szCs w:val="24"/>
              </w:rPr>
              <w:t>Activity</w:t>
            </w:r>
          </w:p>
        </w:tc>
        <w:tc>
          <w:tcPr>
            <w:tcW w:w="1260" w:type="dxa"/>
            <w:tcBorders>
              <w:top w:val="double" w:sz="12" w:space="0" w:color="000000"/>
              <w:left w:val="single" w:sz="6" w:space="0" w:color="000000"/>
              <w:bottom w:val="double" w:sz="12" w:space="0" w:color="000000"/>
              <w:right w:val="nil"/>
            </w:tcBorders>
          </w:tcPr>
          <w:p w:rsidR="0084458B" w:rsidRPr="0084458B" w14:paraId="0171CA34" w14:textId="77777777">
            <w:pPr>
              <w:widowControl/>
              <w:numPr>
                <w:ilvl w:val="12"/>
                <w:numId w:val="0"/>
              </w:numPr>
              <w:overflowPunct/>
              <w:textAlignment w:val="auto"/>
              <w:rPr>
                <w:rFonts w:ascii="Times New Roman" w:hAnsi="Times New Roman"/>
                <w:szCs w:val="24"/>
              </w:rPr>
            </w:pPr>
            <w:r w:rsidRPr="0084458B">
              <w:rPr>
                <w:rFonts w:ascii="Times New Roman" w:hAnsi="Times New Roman"/>
                <w:b/>
                <w:bCs/>
                <w:szCs w:val="24"/>
              </w:rPr>
              <w:t>Grade</w:t>
            </w:r>
          </w:p>
        </w:tc>
        <w:tc>
          <w:tcPr>
            <w:tcW w:w="900" w:type="dxa"/>
            <w:tcBorders>
              <w:top w:val="double" w:sz="12" w:space="0" w:color="000000"/>
              <w:left w:val="single" w:sz="6" w:space="0" w:color="000000"/>
              <w:bottom w:val="double" w:sz="12" w:space="0" w:color="000000"/>
              <w:right w:val="nil"/>
            </w:tcBorders>
          </w:tcPr>
          <w:p w:rsidR="0084458B" w:rsidRPr="0084458B" w14:paraId="0566E6F7" w14:textId="77777777">
            <w:pPr>
              <w:widowControl/>
              <w:numPr>
                <w:ilvl w:val="12"/>
                <w:numId w:val="0"/>
              </w:numPr>
              <w:overflowPunct/>
              <w:textAlignment w:val="auto"/>
              <w:rPr>
                <w:rFonts w:ascii="Times New Roman" w:hAnsi="Times New Roman"/>
                <w:szCs w:val="24"/>
              </w:rPr>
            </w:pPr>
            <w:r w:rsidRPr="0084458B">
              <w:rPr>
                <w:rFonts w:ascii="Times New Roman" w:hAnsi="Times New Roman"/>
                <w:b/>
                <w:bCs/>
                <w:szCs w:val="24"/>
              </w:rPr>
              <w:t>Hours</w:t>
            </w:r>
          </w:p>
        </w:tc>
        <w:tc>
          <w:tcPr>
            <w:tcW w:w="1800" w:type="dxa"/>
            <w:tcBorders>
              <w:top w:val="double" w:sz="12" w:space="0" w:color="000000"/>
              <w:left w:val="single" w:sz="6" w:space="0" w:color="000000"/>
              <w:bottom w:val="double" w:sz="12" w:space="0" w:color="000000"/>
              <w:right w:val="double" w:sz="12" w:space="0" w:color="000000"/>
            </w:tcBorders>
          </w:tcPr>
          <w:p w:rsidR="0084458B" w:rsidRPr="0084458B" w14:paraId="57B73C71" w14:textId="77777777">
            <w:pPr>
              <w:widowControl/>
              <w:numPr>
                <w:ilvl w:val="12"/>
                <w:numId w:val="0"/>
              </w:numPr>
              <w:overflowPunct/>
              <w:textAlignment w:val="auto"/>
              <w:rPr>
                <w:rFonts w:ascii="Times New Roman" w:hAnsi="Times New Roman"/>
                <w:szCs w:val="24"/>
              </w:rPr>
            </w:pPr>
            <w:r w:rsidRPr="0084458B">
              <w:rPr>
                <w:rFonts w:ascii="Times New Roman" w:hAnsi="Times New Roman"/>
                <w:b/>
                <w:bCs/>
                <w:szCs w:val="24"/>
              </w:rPr>
              <w:t>Cost</w:t>
            </w:r>
          </w:p>
        </w:tc>
      </w:tr>
      <w:tr w14:paraId="17E80594"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49E7AD76"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Reviewing, providing feedback to universities and verifying data</w:t>
            </w:r>
          </w:p>
        </w:tc>
        <w:tc>
          <w:tcPr>
            <w:tcW w:w="1260" w:type="dxa"/>
            <w:tcBorders>
              <w:top w:val="single" w:sz="6" w:space="0" w:color="000000"/>
              <w:left w:val="single" w:sz="6" w:space="0" w:color="000000"/>
              <w:bottom w:val="nil"/>
              <w:right w:val="nil"/>
            </w:tcBorders>
          </w:tcPr>
          <w:p w:rsidR="0084458B" w:rsidRPr="0084458B" w14:paraId="57F65378"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GS13</w:t>
            </w:r>
          </w:p>
          <w:p w:rsidR="0084458B" w:rsidRPr="0084458B" w14:paraId="1FED0700"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GS7</w:t>
            </w:r>
          </w:p>
        </w:tc>
        <w:tc>
          <w:tcPr>
            <w:tcW w:w="900" w:type="dxa"/>
            <w:tcBorders>
              <w:top w:val="single" w:sz="6" w:space="0" w:color="000000"/>
              <w:left w:val="single" w:sz="6" w:space="0" w:color="000000"/>
              <w:bottom w:val="nil"/>
              <w:right w:val="nil"/>
            </w:tcBorders>
          </w:tcPr>
          <w:p w:rsidR="0084458B" w:rsidRPr="0084458B" w14:paraId="63324DC2"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10</w:t>
            </w:r>
          </w:p>
          <w:p w:rsidR="0084458B" w:rsidRPr="0084458B" w14:paraId="1BDE059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60</w:t>
            </w:r>
          </w:p>
        </w:tc>
        <w:tc>
          <w:tcPr>
            <w:tcW w:w="1800" w:type="dxa"/>
            <w:tcBorders>
              <w:top w:val="single" w:sz="6" w:space="0" w:color="000000"/>
              <w:left w:val="single" w:sz="6" w:space="0" w:color="000000"/>
              <w:bottom w:val="nil"/>
              <w:right w:val="double" w:sz="12" w:space="0" w:color="000000"/>
            </w:tcBorders>
          </w:tcPr>
          <w:p w:rsidR="0084458B" w:rsidRPr="0084458B" w14:paraId="2F8A0E5C" w14:textId="2156AC8A">
            <w:pPr>
              <w:widowControl/>
              <w:numPr>
                <w:ilvl w:val="12"/>
                <w:numId w:val="0"/>
              </w:numPr>
              <w:overflowPunct/>
              <w:textAlignment w:val="auto"/>
              <w:rPr>
                <w:rFonts w:ascii="Times New Roman" w:hAnsi="Times New Roman"/>
                <w:szCs w:val="24"/>
              </w:rPr>
            </w:pPr>
            <w:r w:rsidRPr="0084458B">
              <w:rPr>
                <w:rFonts w:ascii="Times New Roman" w:hAnsi="Times New Roman"/>
                <w:szCs w:val="24"/>
              </w:rPr>
              <w:t>$</w:t>
            </w:r>
            <w:r w:rsidR="007B0F83">
              <w:rPr>
                <w:rFonts w:ascii="Times New Roman" w:hAnsi="Times New Roman"/>
                <w:szCs w:val="24"/>
              </w:rPr>
              <w:t>5</w:t>
            </w:r>
            <w:r w:rsidR="00202259">
              <w:rPr>
                <w:rFonts w:ascii="Times New Roman" w:hAnsi="Times New Roman"/>
                <w:szCs w:val="24"/>
              </w:rPr>
              <w:t>82</w:t>
            </w:r>
            <w:r w:rsidR="0013030A">
              <w:rPr>
                <w:rFonts w:ascii="Times New Roman" w:hAnsi="Times New Roman"/>
                <w:szCs w:val="24"/>
              </w:rPr>
              <w:t xml:space="preserve"> </w:t>
            </w:r>
          </w:p>
          <w:p w:rsidR="0084458B" w:rsidRPr="0084458B" w14:paraId="5E55AD59" w14:textId="46BA0A79">
            <w:pPr>
              <w:widowControl/>
              <w:numPr>
                <w:ilvl w:val="12"/>
                <w:numId w:val="0"/>
              </w:numPr>
              <w:overflowPunct/>
              <w:textAlignment w:val="auto"/>
              <w:rPr>
                <w:rFonts w:ascii="Times New Roman" w:hAnsi="Times New Roman"/>
                <w:szCs w:val="24"/>
              </w:rPr>
            </w:pPr>
            <w:r w:rsidRPr="0084458B">
              <w:rPr>
                <w:rFonts w:ascii="Times New Roman" w:hAnsi="Times New Roman"/>
                <w:szCs w:val="24"/>
              </w:rPr>
              <w:t>$1,</w:t>
            </w:r>
            <w:r w:rsidR="00371896">
              <w:rPr>
                <w:rFonts w:ascii="Times New Roman" w:hAnsi="Times New Roman"/>
                <w:szCs w:val="24"/>
              </w:rPr>
              <w:t>6</w:t>
            </w:r>
            <w:r w:rsidR="00202259">
              <w:rPr>
                <w:rFonts w:ascii="Times New Roman" w:hAnsi="Times New Roman"/>
                <w:szCs w:val="24"/>
              </w:rPr>
              <w:t>54</w:t>
            </w:r>
          </w:p>
        </w:tc>
      </w:tr>
      <w:tr w14:paraId="3AA4373B"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3B2AB4D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Validating data accuracy</w:t>
            </w:r>
          </w:p>
        </w:tc>
        <w:tc>
          <w:tcPr>
            <w:tcW w:w="1260" w:type="dxa"/>
            <w:tcBorders>
              <w:top w:val="single" w:sz="6" w:space="0" w:color="000000"/>
              <w:left w:val="single" w:sz="6" w:space="0" w:color="000000"/>
              <w:bottom w:val="nil"/>
              <w:right w:val="nil"/>
            </w:tcBorders>
          </w:tcPr>
          <w:p w:rsidR="0084458B" w:rsidRPr="0084458B" w14:paraId="706961AB"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GS13</w:t>
            </w:r>
          </w:p>
        </w:tc>
        <w:tc>
          <w:tcPr>
            <w:tcW w:w="900" w:type="dxa"/>
            <w:tcBorders>
              <w:top w:val="single" w:sz="6" w:space="0" w:color="000000"/>
              <w:left w:val="single" w:sz="6" w:space="0" w:color="000000"/>
              <w:bottom w:val="nil"/>
              <w:right w:val="nil"/>
            </w:tcBorders>
          </w:tcPr>
          <w:p w:rsidR="0084458B" w:rsidRPr="0084458B" w14:paraId="15D4BFBB"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100</w:t>
            </w:r>
          </w:p>
        </w:tc>
        <w:tc>
          <w:tcPr>
            <w:tcW w:w="1800" w:type="dxa"/>
            <w:tcBorders>
              <w:top w:val="single" w:sz="6" w:space="0" w:color="000000"/>
              <w:left w:val="single" w:sz="6" w:space="0" w:color="000000"/>
              <w:bottom w:val="nil"/>
              <w:right w:val="double" w:sz="12" w:space="0" w:color="000000"/>
            </w:tcBorders>
          </w:tcPr>
          <w:p w:rsidR="0084458B" w:rsidRPr="0084458B" w14:paraId="1DCC1DE9" w14:textId="0C5F9AA8">
            <w:pPr>
              <w:widowControl/>
              <w:numPr>
                <w:ilvl w:val="12"/>
                <w:numId w:val="0"/>
              </w:numPr>
              <w:overflowPunct/>
              <w:textAlignment w:val="auto"/>
              <w:rPr>
                <w:rFonts w:ascii="Times New Roman" w:hAnsi="Times New Roman"/>
                <w:szCs w:val="24"/>
              </w:rPr>
            </w:pPr>
            <w:r w:rsidRPr="0084458B">
              <w:rPr>
                <w:rFonts w:ascii="Times New Roman" w:hAnsi="Times New Roman"/>
                <w:szCs w:val="24"/>
              </w:rPr>
              <w:t>$</w:t>
            </w:r>
            <w:r w:rsidR="003F27A2">
              <w:rPr>
                <w:rFonts w:ascii="Times New Roman" w:hAnsi="Times New Roman"/>
                <w:szCs w:val="24"/>
              </w:rPr>
              <w:t>5</w:t>
            </w:r>
            <w:r w:rsidR="00C903AB">
              <w:rPr>
                <w:rFonts w:ascii="Times New Roman" w:hAnsi="Times New Roman"/>
                <w:szCs w:val="24"/>
              </w:rPr>
              <w:t>,</w:t>
            </w:r>
            <w:r w:rsidR="00202259">
              <w:rPr>
                <w:rFonts w:ascii="Times New Roman" w:hAnsi="Times New Roman"/>
                <w:szCs w:val="24"/>
              </w:rPr>
              <w:t>816</w:t>
            </w:r>
          </w:p>
        </w:tc>
      </w:tr>
      <w:tr w14:paraId="78060175"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48E7A621"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Preparing charts and graphs, summary reports for use in several annual publications, and downloading FOIA data</w:t>
            </w:r>
          </w:p>
        </w:tc>
        <w:tc>
          <w:tcPr>
            <w:tcW w:w="1260" w:type="dxa"/>
            <w:tcBorders>
              <w:top w:val="single" w:sz="6" w:space="0" w:color="000000"/>
              <w:left w:val="single" w:sz="6" w:space="0" w:color="000000"/>
              <w:bottom w:val="nil"/>
              <w:right w:val="nil"/>
            </w:tcBorders>
          </w:tcPr>
          <w:p w:rsidR="0084458B" w:rsidRPr="0084458B" w14:paraId="79DD15B4"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GS13</w:t>
            </w:r>
          </w:p>
        </w:tc>
        <w:tc>
          <w:tcPr>
            <w:tcW w:w="900" w:type="dxa"/>
            <w:tcBorders>
              <w:top w:val="single" w:sz="6" w:space="0" w:color="000000"/>
              <w:left w:val="single" w:sz="6" w:space="0" w:color="000000"/>
              <w:bottom w:val="nil"/>
              <w:right w:val="nil"/>
            </w:tcBorders>
          </w:tcPr>
          <w:p w:rsidR="0084458B" w:rsidRPr="0084458B" w14:paraId="319692C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15</w:t>
            </w:r>
          </w:p>
        </w:tc>
        <w:tc>
          <w:tcPr>
            <w:tcW w:w="1800" w:type="dxa"/>
            <w:tcBorders>
              <w:top w:val="single" w:sz="6" w:space="0" w:color="000000"/>
              <w:left w:val="single" w:sz="6" w:space="0" w:color="000000"/>
              <w:bottom w:val="nil"/>
              <w:right w:val="double" w:sz="12" w:space="0" w:color="000000"/>
            </w:tcBorders>
          </w:tcPr>
          <w:p w:rsidR="0084458B" w:rsidRPr="0084458B" w14:paraId="788A986A" w14:textId="5B36D96D">
            <w:pPr>
              <w:widowControl/>
              <w:numPr>
                <w:ilvl w:val="12"/>
                <w:numId w:val="0"/>
              </w:numPr>
              <w:overflowPunct/>
              <w:textAlignment w:val="auto"/>
              <w:rPr>
                <w:rFonts w:ascii="Times New Roman" w:hAnsi="Times New Roman"/>
                <w:szCs w:val="24"/>
              </w:rPr>
            </w:pPr>
            <w:r w:rsidRPr="0084458B">
              <w:rPr>
                <w:rFonts w:ascii="Times New Roman" w:hAnsi="Times New Roman"/>
                <w:szCs w:val="24"/>
              </w:rPr>
              <w:t>$8</w:t>
            </w:r>
            <w:r w:rsidR="00202259">
              <w:rPr>
                <w:rFonts w:ascii="Times New Roman" w:hAnsi="Times New Roman"/>
                <w:szCs w:val="24"/>
              </w:rPr>
              <w:t>72</w:t>
            </w:r>
          </w:p>
        </w:tc>
      </w:tr>
      <w:tr w14:paraId="164442F8"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1972D586"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Preparing annual impact report for website.</w:t>
            </w:r>
          </w:p>
        </w:tc>
        <w:tc>
          <w:tcPr>
            <w:tcW w:w="1260" w:type="dxa"/>
            <w:tcBorders>
              <w:top w:val="single" w:sz="6" w:space="0" w:color="000000"/>
              <w:left w:val="single" w:sz="6" w:space="0" w:color="000000"/>
              <w:bottom w:val="nil"/>
              <w:right w:val="nil"/>
            </w:tcBorders>
          </w:tcPr>
          <w:p w:rsidR="0084458B" w:rsidRPr="0084458B" w14:paraId="65763E6F"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GS12</w:t>
            </w:r>
          </w:p>
        </w:tc>
        <w:tc>
          <w:tcPr>
            <w:tcW w:w="900" w:type="dxa"/>
            <w:tcBorders>
              <w:top w:val="single" w:sz="6" w:space="0" w:color="000000"/>
              <w:left w:val="single" w:sz="6" w:space="0" w:color="000000"/>
              <w:bottom w:val="nil"/>
              <w:right w:val="nil"/>
            </w:tcBorders>
          </w:tcPr>
          <w:p w:rsidR="0084458B" w:rsidRPr="0084458B" w14:paraId="0446107A"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5</w:t>
            </w:r>
          </w:p>
        </w:tc>
        <w:tc>
          <w:tcPr>
            <w:tcW w:w="1800" w:type="dxa"/>
            <w:tcBorders>
              <w:top w:val="single" w:sz="6" w:space="0" w:color="000000"/>
              <w:left w:val="single" w:sz="6" w:space="0" w:color="000000"/>
              <w:bottom w:val="nil"/>
              <w:right w:val="double" w:sz="12" w:space="0" w:color="000000"/>
            </w:tcBorders>
          </w:tcPr>
          <w:p w:rsidR="0084458B" w:rsidRPr="0084458B" w14:paraId="0EF2DE3B" w14:textId="3B2C39A7">
            <w:pPr>
              <w:widowControl/>
              <w:numPr>
                <w:ilvl w:val="12"/>
                <w:numId w:val="0"/>
              </w:numPr>
              <w:overflowPunct/>
              <w:textAlignment w:val="auto"/>
              <w:rPr>
                <w:rFonts w:ascii="Times New Roman" w:hAnsi="Times New Roman"/>
                <w:szCs w:val="24"/>
              </w:rPr>
            </w:pPr>
            <w:r w:rsidRPr="0084458B">
              <w:rPr>
                <w:rFonts w:ascii="Times New Roman" w:hAnsi="Times New Roman"/>
                <w:szCs w:val="24"/>
              </w:rPr>
              <w:t>$2</w:t>
            </w:r>
            <w:r w:rsidR="00B54B30">
              <w:rPr>
                <w:rFonts w:ascii="Times New Roman" w:hAnsi="Times New Roman"/>
                <w:szCs w:val="24"/>
              </w:rPr>
              <w:t>4</w:t>
            </w:r>
            <w:r w:rsidR="00434E7B">
              <w:rPr>
                <w:rFonts w:ascii="Times New Roman" w:hAnsi="Times New Roman"/>
                <w:szCs w:val="24"/>
              </w:rPr>
              <w:t>5</w:t>
            </w:r>
          </w:p>
        </w:tc>
      </w:tr>
      <w:tr w14:paraId="1E0B552B"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53C9ED26"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Reviewing and providing feedback to universities on Program Plans</w:t>
            </w:r>
          </w:p>
        </w:tc>
        <w:tc>
          <w:tcPr>
            <w:tcW w:w="1260" w:type="dxa"/>
            <w:tcBorders>
              <w:top w:val="single" w:sz="6" w:space="0" w:color="000000"/>
              <w:left w:val="single" w:sz="6" w:space="0" w:color="000000"/>
              <w:bottom w:val="nil"/>
              <w:right w:val="nil"/>
            </w:tcBorders>
          </w:tcPr>
          <w:p w:rsidR="0084458B" w:rsidRPr="0084458B" w14:paraId="049BA878"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GS7</w:t>
            </w:r>
          </w:p>
        </w:tc>
        <w:tc>
          <w:tcPr>
            <w:tcW w:w="900" w:type="dxa"/>
            <w:tcBorders>
              <w:top w:val="single" w:sz="6" w:space="0" w:color="000000"/>
              <w:left w:val="single" w:sz="6" w:space="0" w:color="000000"/>
              <w:bottom w:val="nil"/>
              <w:right w:val="nil"/>
            </w:tcBorders>
          </w:tcPr>
          <w:p w:rsidR="0084458B" w:rsidRPr="0084458B" w14:paraId="629AB904"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75</w:t>
            </w:r>
          </w:p>
        </w:tc>
        <w:tc>
          <w:tcPr>
            <w:tcW w:w="1800" w:type="dxa"/>
            <w:tcBorders>
              <w:top w:val="single" w:sz="6" w:space="0" w:color="000000"/>
              <w:left w:val="single" w:sz="6" w:space="0" w:color="000000"/>
              <w:bottom w:val="nil"/>
              <w:right w:val="double" w:sz="12" w:space="0" w:color="000000"/>
            </w:tcBorders>
          </w:tcPr>
          <w:p w:rsidR="0084458B" w:rsidRPr="0084458B" w14:paraId="64B8BBD9" w14:textId="6F66399D">
            <w:pPr>
              <w:widowControl/>
              <w:numPr>
                <w:ilvl w:val="12"/>
                <w:numId w:val="0"/>
              </w:numPr>
              <w:overflowPunct/>
              <w:textAlignment w:val="auto"/>
              <w:rPr>
                <w:rFonts w:ascii="Times New Roman" w:hAnsi="Times New Roman"/>
                <w:szCs w:val="24"/>
              </w:rPr>
            </w:pPr>
            <w:r w:rsidRPr="0084458B">
              <w:rPr>
                <w:rFonts w:ascii="Times New Roman" w:hAnsi="Times New Roman"/>
                <w:szCs w:val="24"/>
              </w:rPr>
              <w:t>$</w:t>
            </w:r>
            <w:r w:rsidR="008E751B">
              <w:rPr>
                <w:rFonts w:ascii="Times New Roman" w:hAnsi="Times New Roman"/>
                <w:szCs w:val="24"/>
              </w:rPr>
              <w:t>2,0</w:t>
            </w:r>
            <w:r w:rsidR="00434E7B">
              <w:rPr>
                <w:rFonts w:ascii="Times New Roman" w:hAnsi="Times New Roman"/>
                <w:szCs w:val="24"/>
              </w:rPr>
              <w:t>68</w:t>
            </w:r>
          </w:p>
        </w:tc>
      </w:tr>
      <w:tr w14:paraId="1252552A"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33CF043A"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Reviewing and providing feedback to universities on Budget information</w:t>
            </w:r>
          </w:p>
        </w:tc>
        <w:tc>
          <w:tcPr>
            <w:tcW w:w="1260" w:type="dxa"/>
            <w:tcBorders>
              <w:top w:val="single" w:sz="6" w:space="0" w:color="000000"/>
              <w:left w:val="single" w:sz="6" w:space="0" w:color="000000"/>
              <w:bottom w:val="nil"/>
              <w:right w:val="nil"/>
            </w:tcBorders>
          </w:tcPr>
          <w:p w:rsidR="0084458B" w:rsidRPr="0084458B" w14:paraId="27E1E1F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GS7</w:t>
            </w:r>
          </w:p>
          <w:p w:rsidR="0084458B" w:rsidRPr="0084458B" w14:paraId="1FA7743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GS7</w:t>
            </w:r>
          </w:p>
        </w:tc>
        <w:tc>
          <w:tcPr>
            <w:tcW w:w="900" w:type="dxa"/>
            <w:tcBorders>
              <w:top w:val="single" w:sz="6" w:space="0" w:color="000000"/>
              <w:left w:val="single" w:sz="6" w:space="0" w:color="000000"/>
              <w:bottom w:val="nil"/>
              <w:right w:val="nil"/>
            </w:tcBorders>
          </w:tcPr>
          <w:p w:rsidR="0084458B" w:rsidRPr="0084458B" w14:paraId="76230D04"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5</w:t>
            </w:r>
          </w:p>
          <w:p w:rsidR="0084458B" w:rsidRPr="0084458B" w14:paraId="39B74FE2"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80</w:t>
            </w:r>
          </w:p>
        </w:tc>
        <w:tc>
          <w:tcPr>
            <w:tcW w:w="1800" w:type="dxa"/>
            <w:tcBorders>
              <w:top w:val="single" w:sz="6" w:space="0" w:color="000000"/>
              <w:left w:val="single" w:sz="6" w:space="0" w:color="000000"/>
              <w:bottom w:val="nil"/>
              <w:right w:val="double" w:sz="12" w:space="0" w:color="000000"/>
            </w:tcBorders>
          </w:tcPr>
          <w:p w:rsidR="0084458B" w:rsidRPr="0084458B" w14:paraId="48806DA3" w14:textId="1654CC9D">
            <w:pPr>
              <w:widowControl/>
              <w:numPr>
                <w:ilvl w:val="12"/>
                <w:numId w:val="0"/>
              </w:numPr>
              <w:overflowPunct/>
              <w:textAlignment w:val="auto"/>
              <w:rPr>
                <w:rFonts w:ascii="Times New Roman" w:hAnsi="Times New Roman"/>
                <w:szCs w:val="24"/>
              </w:rPr>
            </w:pPr>
            <w:r w:rsidRPr="0084458B">
              <w:rPr>
                <w:rFonts w:ascii="Times New Roman" w:hAnsi="Times New Roman"/>
                <w:szCs w:val="24"/>
              </w:rPr>
              <w:t>$1</w:t>
            </w:r>
            <w:r w:rsidR="00434E7B">
              <w:rPr>
                <w:rFonts w:ascii="Times New Roman" w:hAnsi="Times New Roman"/>
                <w:szCs w:val="24"/>
              </w:rPr>
              <w:t>38</w:t>
            </w:r>
          </w:p>
          <w:p w:rsidR="0084458B" w:rsidRPr="0084458B" w14:paraId="01FAEC92" w14:textId="54182234">
            <w:pPr>
              <w:widowControl/>
              <w:numPr>
                <w:ilvl w:val="12"/>
                <w:numId w:val="0"/>
              </w:numPr>
              <w:overflowPunct/>
              <w:textAlignment w:val="auto"/>
              <w:rPr>
                <w:rFonts w:ascii="Times New Roman" w:hAnsi="Times New Roman"/>
                <w:szCs w:val="24"/>
              </w:rPr>
            </w:pPr>
            <w:r w:rsidRPr="0084458B">
              <w:rPr>
                <w:rFonts w:ascii="Times New Roman" w:hAnsi="Times New Roman"/>
                <w:szCs w:val="24"/>
              </w:rPr>
              <w:t>$2,</w:t>
            </w:r>
            <w:r w:rsidR="00434E7B">
              <w:rPr>
                <w:rFonts w:ascii="Times New Roman" w:hAnsi="Times New Roman"/>
                <w:szCs w:val="24"/>
              </w:rPr>
              <w:t>206</w:t>
            </w:r>
          </w:p>
        </w:tc>
      </w:tr>
      <w:tr w14:paraId="72D16422"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nil"/>
              <w:right w:val="nil"/>
            </w:tcBorders>
          </w:tcPr>
          <w:p w:rsidR="0084458B" w:rsidRPr="0084458B" w14:paraId="7B99E19B"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Analyzing, evaluating, summarizing and/or reporting on the collected information.</w:t>
            </w:r>
          </w:p>
        </w:tc>
        <w:tc>
          <w:tcPr>
            <w:tcW w:w="1260" w:type="dxa"/>
            <w:tcBorders>
              <w:top w:val="single" w:sz="6" w:space="0" w:color="000000"/>
              <w:left w:val="single" w:sz="6" w:space="0" w:color="000000"/>
              <w:bottom w:val="nil"/>
              <w:right w:val="nil"/>
            </w:tcBorders>
          </w:tcPr>
          <w:p w:rsidR="0084458B" w:rsidRPr="0084458B" w14:paraId="5970F4BD"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GS13</w:t>
            </w:r>
          </w:p>
          <w:p w:rsidR="0084458B" w:rsidRPr="0084458B" w14:paraId="5D69D332"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GS15</w:t>
            </w:r>
          </w:p>
        </w:tc>
        <w:tc>
          <w:tcPr>
            <w:tcW w:w="900" w:type="dxa"/>
            <w:tcBorders>
              <w:top w:val="single" w:sz="6" w:space="0" w:color="000000"/>
              <w:left w:val="single" w:sz="6" w:space="0" w:color="000000"/>
              <w:bottom w:val="nil"/>
              <w:right w:val="nil"/>
            </w:tcBorders>
          </w:tcPr>
          <w:p w:rsidR="0084458B" w:rsidRPr="0084458B" w14:paraId="3FD80B84"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20</w:t>
            </w:r>
          </w:p>
          <w:p w:rsidR="0084458B" w:rsidRPr="0084458B" w14:paraId="5E3EA570" w14:textId="77777777">
            <w:pPr>
              <w:widowControl/>
              <w:numPr>
                <w:ilvl w:val="12"/>
                <w:numId w:val="0"/>
              </w:numPr>
              <w:overflowPunct/>
              <w:textAlignment w:val="auto"/>
              <w:rPr>
                <w:rFonts w:ascii="Times New Roman" w:hAnsi="Times New Roman"/>
                <w:szCs w:val="24"/>
              </w:rPr>
            </w:pPr>
            <w:r w:rsidRPr="0084458B">
              <w:rPr>
                <w:rFonts w:ascii="Times New Roman" w:hAnsi="Times New Roman"/>
                <w:szCs w:val="24"/>
              </w:rPr>
              <w:t>5</w:t>
            </w:r>
          </w:p>
        </w:tc>
        <w:tc>
          <w:tcPr>
            <w:tcW w:w="1800" w:type="dxa"/>
            <w:tcBorders>
              <w:top w:val="single" w:sz="6" w:space="0" w:color="000000"/>
              <w:left w:val="single" w:sz="6" w:space="0" w:color="000000"/>
              <w:bottom w:val="nil"/>
              <w:right w:val="double" w:sz="12" w:space="0" w:color="000000"/>
            </w:tcBorders>
          </w:tcPr>
          <w:p w:rsidR="0084458B" w:rsidRPr="0084458B" w14:paraId="245D9567" w14:textId="36BD9831">
            <w:pPr>
              <w:widowControl/>
              <w:numPr>
                <w:ilvl w:val="12"/>
                <w:numId w:val="0"/>
              </w:numPr>
              <w:overflowPunct/>
              <w:textAlignment w:val="auto"/>
              <w:rPr>
                <w:rFonts w:ascii="Times New Roman" w:hAnsi="Times New Roman"/>
                <w:szCs w:val="24"/>
              </w:rPr>
            </w:pPr>
            <w:r w:rsidRPr="0084458B">
              <w:rPr>
                <w:rFonts w:ascii="Times New Roman" w:hAnsi="Times New Roman"/>
                <w:szCs w:val="24"/>
              </w:rPr>
              <w:t>$1,</w:t>
            </w:r>
            <w:r w:rsidR="003B4FB3">
              <w:rPr>
                <w:rFonts w:ascii="Times New Roman" w:hAnsi="Times New Roman"/>
                <w:szCs w:val="24"/>
              </w:rPr>
              <w:t>1</w:t>
            </w:r>
            <w:r w:rsidR="00202259">
              <w:rPr>
                <w:rFonts w:ascii="Times New Roman" w:hAnsi="Times New Roman"/>
                <w:szCs w:val="24"/>
              </w:rPr>
              <w:t>63</w:t>
            </w:r>
          </w:p>
          <w:p w:rsidR="0084458B" w:rsidRPr="0084458B" w14:paraId="3539507C" w14:textId="2593C41E">
            <w:pPr>
              <w:widowControl/>
              <w:numPr>
                <w:ilvl w:val="12"/>
                <w:numId w:val="0"/>
              </w:numPr>
              <w:overflowPunct/>
              <w:textAlignment w:val="auto"/>
              <w:rPr>
                <w:rFonts w:ascii="Times New Roman" w:hAnsi="Times New Roman"/>
                <w:szCs w:val="24"/>
              </w:rPr>
            </w:pPr>
            <w:r w:rsidRPr="0084458B">
              <w:rPr>
                <w:rFonts w:ascii="Times New Roman" w:hAnsi="Times New Roman"/>
                <w:szCs w:val="24"/>
              </w:rPr>
              <w:t>$</w:t>
            </w:r>
            <w:r w:rsidR="00434E7B">
              <w:rPr>
                <w:rFonts w:ascii="Times New Roman" w:hAnsi="Times New Roman"/>
                <w:szCs w:val="24"/>
              </w:rPr>
              <w:t>404</w:t>
            </w:r>
          </w:p>
        </w:tc>
      </w:tr>
      <w:tr w14:paraId="707823C2" w14:textId="77777777">
        <w:tblPrEx>
          <w:tblW w:w="10080" w:type="dxa"/>
          <w:tblInd w:w="81" w:type="dxa"/>
          <w:tblLayout w:type="fixed"/>
          <w:tblCellMar>
            <w:left w:w="81" w:type="dxa"/>
            <w:right w:w="81" w:type="dxa"/>
          </w:tblCellMar>
          <w:tblLook w:val="04A0"/>
        </w:tblPrEx>
        <w:trPr>
          <w:cantSplit/>
        </w:trPr>
        <w:tc>
          <w:tcPr>
            <w:tcW w:w="6120" w:type="dxa"/>
            <w:tcBorders>
              <w:top w:val="single" w:sz="6" w:space="0" w:color="000000"/>
              <w:left w:val="double" w:sz="12" w:space="0" w:color="000000"/>
              <w:bottom w:val="double" w:sz="12" w:space="0" w:color="000000"/>
              <w:right w:val="nil"/>
            </w:tcBorders>
          </w:tcPr>
          <w:p w:rsidR="0084458B" w:rsidRPr="00434E7B" w14:paraId="65FB6A4E" w14:textId="77777777">
            <w:pPr>
              <w:widowControl/>
              <w:numPr>
                <w:ilvl w:val="12"/>
                <w:numId w:val="0"/>
              </w:numPr>
              <w:overflowPunct/>
              <w:textAlignment w:val="auto"/>
              <w:rPr>
                <w:rFonts w:ascii="Times New Roman" w:hAnsi="Times New Roman"/>
                <w:b/>
                <w:bCs/>
                <w:szCs w:val="24"/>
              </w:rPr>
            </w:pPr>
            <w:r w:rsidRPr="00434E7B">
              <w:rPr>
                <w:rFonts w:ascii="Times New Roman" w:hAnsi="Times New Roman"/>
                <w:b/>
                <w:bCs/>
                <w:szCs w:val="24"/>
              </w:rPr>
              <w:t>TOTAL</w:t>
            </w:r>
          </w:p>
        </w:tc>
        <w:tc>
          <w:tcPr>
            <w:tcW w:w="1260" w:type="dxa"/>
            <w:tcBorders>
              <w:top w:val="single" w:sz="6" w:space="0" w:color="000000"/>
              <w:left w:val="single" w:sz="6" w:space="0" w:color="000000"/>
              <w:bottom w:val="double" w:sz="12" w:space="0" w:color="000000"/>
              <w:right w:val="nil"/>
            </w:tcBorders>
          </w:tcPr>
          <w:p w:rsidR="0084458B" w:rsidRPr="0084458B" w14:paraId="792A1936" w14:textId="77777777">
            <w:pPr>
              <w:widowControl/>
              <w:numPr>
                <w:ilvl w:val="12"/>
                <w:numId w:val="0"/>
              </w:numPr>
              <w:overflowPunct/>
              <w:textAlignment w:val="auto"/>
              <w:rPr>
                <w:rFonts w:ascii="Times New Roman" w:hAnsi="Times New Roman"/>
                <w:szCs w:val="24"/>
              </w:rPr>
            </w:pPr>
          </w:p>
        </w:tc>
        <w:tc>
          <w:tcPr>
            <w:tcW w:w="900" w:type="dxa"/>
            <w:tcBorders>
              <w:top w:val="single" w:sz="6" w:space="0" w:color="000000"/>
              <w:left w:val="single" w:sz="6" w:space="0" w:color="000000"/>
              <w:bottom w:val="double" w:sz="12" w:space="0" w:color="000000"/>
              <w:right w:val="nil"/>
            </w:tcBorders>
          </w:tcPr>
          <w:p w:rsidR="0084458B" w:rsidRPr="00434E7B" w14:paraId="5F161584" w14:textId="77777777">
            <w:pPr>
              <w:widowControl/>
              <w:numPr>
                <w:ilvl w:val="12"/>
                <w:numId w:val="0"/>
              </w:numPr>
              <w:overflowPunct/>
              <w:textAlignment w:val="auto"/>
              <w:rPr>
                <w:rFonts w:ascii="Times New Roman" w:hAnsi="Times New Roman"/>
                <w:b/>
                <w:bCs/>
                <w:szCs w:val="24"/>
              </w:rPr>
            </w:pPr>
            <w:r w:rsidRPr="00434E7B">
              <w:rPr>
                <w:rFonts w:ascii="Times New Roman" w:hAnsi="Times New Roman"/>
                <w:b/>
                <w:bCs/>
                <w:szCs w:val="24"/>
              </w:rPr>
              <w:t>375</w:t>
            </w:r>
          </w:p>
        </w:tc>
        <w:tc>
          <w:tcPr>
            <w:tcW w:w="1800" w:type="dxa"/>
            <w:tcBorders>
              <w:top w:val="single" w:sz="6" w:space="0" w:color="000000"/>
              <w:left w:val="single" w:sz="6" w:space="0" w:color="000000"/>
              <w:bottom w:val="double" w:sz="12" w:space="0" w:color="000000"/>
              <w:right w:val="double" w:sz="12" w:space="0" w:color="000000"/>
            </w:tcBorders>
          </w:tcPr>
          <w:p w:rsidR="0084458B" w:rsidRPr="00434E7B" w14:paraId="6D444E2E" w14:textId="2F60236C">
            <w:pPr>
              <w:widowControl/>
              <w:numPr>
                <w:ilvl w:val="12"/>
                <w:numId w:val="0"/>
              </w:numPr>
              <w:overflowPunct/>
              <w:textAlignment w:val="auto"/>
              <w:rPr>
                <w:rFonts w:ascii="Times New Roman" w:hAnsi="Times New Roman"/>
                <w:b/>
                <w:bCs/>
                <w:szCs w:val="24"/>
              </w:rPr>
            </w:pPr>
            <w:r w:rsidRPr="00434E7B">
              <w:rPr>
                <w:rFonts w:ascii="Times New Roman" w:hAnsi="Times New Roman"/>
                <w:b/>
                <w:bCs/>
                <w:szCs w:val="24"/>
              </w:rPr>
              <w:t>$</w:t>
            </w:r>
            <w:r w:rsidRPr="00434E7B" w:rsidR="00434E7B">
              <w:rPr>
                <w:rFonts w:ascii="Times New Roman" w:hAnsi="Times New Roman"/>
                <w:b/>
                <w:bCs/>
                <w:szCs w:val="24"/>
              </w:rPr>
              <w:t>15,148</w:t>
            </w:r>
          </w:p>
        </w:tc>
      </w:tr>
    </w:tbl>
    <w:p w:rsidR="00202259" w:rsidP="00202259" w14:paraId="330325B9" w14:textId="77777777">
      <w:pPr>
        <w:ind w:left="90"/>
        <w:rPr>
          <w:rFonts w:ascii="Times New Roman" w:hAnsi="Times New Roman"/>
          <w:szCs w:val="24"/>
        </w:rPr>
      </w:pPr>
      <w:bookmarkStart w:id="33" w:name="_Toc401831371"/>
      <w:bookmarkStart w:id="34" w:name="_Toc401832415"/>
      <w:r>
        <w:rPr>
          <w:rFonts w:ascii="Times New Roman" w:hAnsi="Times New Roman"/>
          <w:szCs w:val="24"/>
        </w:rPr>
        <w:t xml:space="preserve">*Dollar amounts derived from the 2026 Federal Pay Tables for Kansas City-Overland Park-Kansas City, MO-KS assuming each step 5 annual salary for each GS level listed. </w:t>
      </w:r>
    </w:p>
    <w:p w:rsidR="00C10B81" w:rsidRPr="003030CD" w:rsidP="003030CD" w14:paraId="40818E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720"/>
        <w:textAlignment w:val="auto"/>
        <w:rPr>
          <w:rFonts w:ascii="Times New Roman" w:hAnsi="Times New Roman"/>
          <w:sz w:val="20"/>
        </w:rPr>
      </w:pPr>
    </w:p>
    <w:p w:rsidR="000438E8" w:rsidRPr="002568E6" w:rsidP="0062567E" w14:paraId="6907579D" w14:textId="2BAFF9FF">
      <w:pPr>
        <w:pStyle w:val="Heading1"/>
        <w:rPr>
          <w:szCs w:val="24"/>
        </w:rPr>
      </w:pPr>
      <w:r w:rsidRPr="002568E6">
        <w:rPr>
          <w:szCs w:val="24"/>
        </w:rPr>
        <w:t>A15</w:t>
      </w:r>
      <w:r w:rsidR="0035120A">
        <w:rPr>
          <w:szCs w:val="24"/>
        </w:rPr>
        <w:t xml:space="preserve">.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3"/>
      <w:bookmarkEnd w:id="34"/>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35120A" w14:paraId="6907579F" w14:textId="77777777">
      <w:pPr>
        <w:pStyle w:val="ListParagraph"/>
        <w:widowControl/>
        <w:spacing w:line="24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A9778E" w:rsidP="00ED28F2" w14:paraId="690757A0" w14:textId="77777777">
      <w:pPr>
        <w:tabs>
          <w:tab w:val="left" w:pos="-720"/>
        </w:tabs>
        <w:suppressAutoHyphens/>
        <w:rPr>
          <w:rFonts w:ascii="Times New Roman" w:hAnsi="Times New Roman"/>
          <w:szCs w:val="24"/>
        </w:rPr>
      </w:pPr>
    </w:p>
    <w:p w:rsidR="00ED28F2" w:rsidP="0035120A" w14:paraId="690757A1" w14:textId="681711D4">
      <w:pPr>
        <w:widowControl/>
        <w:overflowPunct/>
        <w:textAlignment w:val="auto"/>
        <w:rPr>
          <w:rFonts w:ascii="Times New Roman" w:hAnsi="Times New Roman"/>
          <w:color w:val="000000"/>
        </w:rPr>
      </w:pPr>
      <w:r>
        <w:rPr>
          <w:rFonts w:ascii="Times New Roman" w:hAnsi="Times New Roman"/>
          <w:szCs w:val="24"/>
        </w:rPr>
        <w:t xml:space="preserve">This is a </w:t>
      </w:r>
      <w:r w:rsidR="00D36F7E">
        <w:rPr>
          <w:rFonts w:ascii="Times New Roman" w:hAnsi="Times New Roman"/>
          <w:szCs w:val="24"/>
        </w:rPr>
        <w:t>revis</w:t>
      </w:r>
      <w:r>
        <w:rPr>
          <w:rFonts w:ascii="Times New Roman" w:hAnsi="Times New Roman"/>
          <w:szCs w:val="24"/>
        </w:rPr>
        <w:t xml:space="preserve">ion of a currently approved information collection request.  </w:t>
      </w:r>
      <w:r w:rsidRPr="00A9778E" w:rsidR="00AC35D2">
        <w:rPr>
          <w:rFonts w:ascii="Times New Roman" w:hAnsi="Times New Roman"/>
          <w:szCs w:val="24"/>
        </w:rPr>
        <w:t xml:space="preserve">The </w:t>
      </w:r>
      <w:r w:rsidR="00D36F7E">
        <w:rPr>
          <w:rFonts w:ascii="Times New Roman" w:hAnsi="Times New Roman"/>
          <w:szCs w:val="24"/>
        </w:rPr>
        <w:t xml:space="preserve">current burden inventory for this request is </w:t>
      </w:r>
      <w:r w:rsidR="008D1549">
        <w:rPr>
          <w:rFonts w:ascii="Times New Roman" w:hAnsi="Times New Roman"/>
          <w:szCs w:val="24"/>
        </w:rPr>
        <w:t>76</w:t>
      </w:r>
      <w:r w:rsidR="002D47DD">
        <w:rPr>
          <w:rFonts w:ascii="Times New Roman" w:hAnsi="Times New Roman"/>
          <w:szCs w:val="24"/>
        </w:rPr>
        <w:t xml:space="preserve"> </w:t>
      </w:r>
      <w:r w:rsidR="00C3625A">
        <w:rPr>
          <w:rFonts w:ascii="Times New Roman" w:hAnsi="Times New Roman"/>
          <w:szCs w:val="24"/>
        </w:rPr>
        <w:t>respondents’</w:t>
      </w:r>
      <w:r w:rsidR="002D47DD">
        <w:rPr>
          <w:rFonts w:ascii="Times New Roman" w:hAnsi="Times New Roman"/>
          <w:szCs w:val="24"/>
        </w:rPr>
        <w:t xml:space="preserve"> </w:t>
      </w:r>
      <w:r w:rsidR="008D1549">
        <w:rPr>
          <w:rFonts w:ascii="Times New Roman" w:hAnsi="Times New Roman"/>
          <w:szCs w:val="24"/>
        </w:rPr>
        <w:t>1</w:t>
      </w:r>
      <w:r w:rsidR="002D47DD">
        <w:rPr>
          <w:rFonts w:ascii="Times New Roman" w:hAnsi="Times New Roman"/>
          <w:szCs w:val="24"/>
        </w:rPr>
        <w:t xml:space="preserve"> total annual responses and </w:t>
      </w:r>
      <w:r w:rsidR="008D1549">
        <w:rPr>
          <w:rFonts w:ascii="Times New Roman" w:hAnsi="Times New Roman"/>
          <w:szCs w:val="24"/>
        </w:rPr>
        <w:t>18,772</w:t>
      </w:r>
      <w:r w:rsidR="002D47DD">
        <w:rPr>
          <w:rFonts w:ascii="Times New Roman" w:hAnsi="Times New Roman"/>
          <w:szCs w:val="24"/>
        </w:rPr>
        <w:t xml:space="preserve"> total annual burden hours.  The </w:t>
      </w:r>
      <w:r w:rsidRPr="00A9778E" w:rsidR="00AC35D2">
        <w:rPr>
          <w:rFonts w:ascii="Times New Roman" w:hAnsi="Times New Roman"/>
          <w:szCs w:val="24"/>
        </w:rPr>
        <w:t xml:space="preserve">burden estimate has increased from </w:t>
      </w:r>
      <w:r w:rsidR="008D1549">
        <w:rPr>
          <w:rFonts w:ascii="Times New Roman" w:hAnsi="Times New Roman"/>
          <w:szCs w:val="24"/>
        </w:rPr>
        <w:t>14,744</w:t>
      </w:r>
      <w:r w:rsidRPr="00A9778E" w:rsidR="008D1549">
        <w:rPr>
          <w:rFonts w:ascii="Times New Roman" w:hAnsi="Times New Roman"/>
          <w:szCs w:val="24"/>
        </w:rPr>
        <w:t xml:space="preserve"> </w:t>
      </w:r>
      <w:r w:rsidRPr="00A9778E" w:rsidR="00C47992">
        <w:rPr>
          <w:rFonts w:ascii="Times New Roman" w:hAnsi="Times New Roman"/>
          <w:szCs w:val="24"/>
        </w:rPr>
        <w:t>hours</w:t>
      </w:r>
      <w:r w:rsidRPr="00A9778E" w:rsidR="00D40BB7">
        <w:rPr>
          <w:rFonts w:ascii="Times New Roman" w:hAnsi="Times New Roman"/>
          <w:szCs w:val="24"/>
        </w:rPr>
        <w:t xml:space="preserve"> </w:t>
      </w:r>
      <w:r w:rsidRPr="00A9778E" w:rsidR="00C47992">
        <w:rPr>
          <w:rFonts w:ascii="Times New Roman" w:hAnsi="Times New Roman"/>
          <w:szCs w:val="24"/>
        </w:rPr>
        <w:t xml:space="preserve">to </w:t>
      </w:r>
      <w:r w:rsidRPr="00A9778E" w:rsidR="00F23C21">
        <w:rPr>
          <w:rFonts w:ascii="Times New Roman" w:hAnsi="Times New Roman"/>
          <w:szCs w:val="24"/>
        </w:rPr>
        <w:t xml:space="preserve">a current, revised estimate of </w:t>
      </w:r>
      <w:r w:rsidR="008D1549">
        <w:rPr>
          <w:rFonts w:ascii="Times New Roman" w:hAnsi="Times New Roman"/>
          <w:szCs w:val="24"/>
        </w:rPr>
        <w:t xml:space="preserve">18,772 </w:t>
      </w:r>
      <w:r w:rsidRPr="00A9778E" w:rsidR="00C47992">
        <w:rPr>
          <w:rFonts w:ascii="Times New Roman" w:hAnsi="Times New Roman"/>
          <w:szCs w:val="24"/>
        </w:rPr>
        <w:t>hours</w:t>
      </w:r>
      <w:r w:rsidRPr="00A9778E" w:rsidR="00F23C21">
        <w:rPr>
          <w:rFonts w:ascii="Times New Roman" w:hAnsi="Times New Roman"/>
          <w:szCs w:val="24"/>
        </w:rPr>
        <w:t xml:space="preserve">. </w:t>
      </w:r>
      <w:r w:rsidRPr="00A9778E" w:rsidR="00E96001">
        <w:rPr>
          <w:rFonts w:ascii="Times New Roman" w:hAnsi="Times New Roman"/>
          <w:szCs w:val="24"/>
        </w:rPr>
        <w:t>There a</w:t>
      </w:r>
      <w:r w:rsidR="002D5B04">
        <w:rPr>
          <w:rFonts w:ascii="Times New Roman" w:hAnsi="Times New Roman"/>
          <w:szCs w:val="24"/>
        </w:rPr>
        <w:t>re</w:t>
      </w:r>
      <w:r w:rsidRPr="00A9778E" w:rsidR="00E96001">
        <w:rPr>
          <w:rFonts w:ascii="Times New Roman" w:hAnsi="Times New Roman"/>
          <w:szCs w:val="24"/>
        </w:rPr>
        <w:t xml:space="preserve"> several contributing factors, including</w:t>
      </w:r>
      <w:r w:rsidR="0035120A">
        <w:rPr>
          <w:rFonts w:ascii="Times New Roman" w:hAnsi="Times New Roman"/>
          <w:szCs w:val="24"/>
        </w:rPr>
        <w:t xml:space="preserve"> increased</w:t>
      </w:r>
      <w:r w:rsidRPr="00A9778E" w:rsidR="00E96001">
        <w:rPr>
          <w:rFonts w:ascii="Times New Roman" w:hAnsi="Times New Roman"/>
          <w:szCs w:val="24"/>
        </w:rPr>
        <w:t xml:space="preserve"> </w:t>
      </w:r>
      <w:r w:rsidRPr="00A9778E" w:rsidR="00A9778E">
        <w:rPr>
          <w:rFonts w:ascii="Times New Roman" w:hAnsi="Times New Roman"/>
          <w:szCs w:val="24"/>
        </w:rPr>
        <w:t xml:space="preserve">program participation and </w:t>
      </w:r>
      <w:r w:rsidRPr="00A9778E" w:rsidR="002D05D2">
        <w:rPr>
          <w:rFonts w:ascii="Times New Roman" w:hAnsi="Times New Roman"/>
          <w:szCs w:val="24"/>
        </w:rPr>
        <w:t>w</w:t>
      </w:r>
      <w:r w:rsidRPr="00A9778E" w:rsidR="00204587">
        <w:rPr>
          <w:rFonts w:ascii="Times New Roman" w:hAnsi="Times New Roman"/>
          <w:szCs w:val="24"/>
        </w:rPr>
        <w:t xml:space="preserve">orkforce </w:t>
      </w:r>
      <w:r w:rsidRPr="00A9778E" w:rsidR="00ED5A7A">
        <w:rPr>
          <w:rFonts w:ascii="Times New Roman" w:hAnsi="Times New Roman"/>
          <w:szCs w:val="24"/>
        </w:rPr>
        <w:t>challenges</w:t>
      </w:r>
      <w:r w:rsidR="0035120A">
        <w:rPr>
          <w:rFonts w:ascii="Times New Roman" w:hAnsi="Times New Roman"/>
          <w:szCs w:val="24"/>
        </w:rPr>
        <w:t xml:space="preserve"> such as short or new staffing</w:t>
      </w:r>
      <w:r w:rsidR="002D5B04">
        <w:rPr>
          <w:rFonts w:ascii="Times New Roman" w:hAnsi="Times New Roman"/>
          <w:szCs w:val="24"/>
        </w:rPr>
        <w:t>.</w:t>
      </w:r>
      <w:r w:rsidRPr="00A9778E" w:rsidR="00204587">
        <w:rPr>
          <w:rFonts w:ascii="Times New Roman" w:hAnsi="Times New Roman"/>
          <w:szCs w:val="24"/>
        </w:rPr>
        <w:t xml:space="preserve"> </w:t>
      </w:r>
      <w:r w:rsidR="00DB6222">
        <w:rPr>
          <w:rFonts w:ascii="Times New Roman" w:hAnsi="Times New Roman"/>
          <w:szCs w:val="24"/>
        </w:rPr>
        <w:t>T</w:t>
      </w:r>
      <w:r w:rsidRPr="00A9778E" w:rsidR="00A9778E">
        <w:rPr>
          <w:rFonts w:ascii="Times New Roman" w:hAnsi="Times New Roman"/>
          <w:szCs w:val="24"/>
        </w:rPr>
        <w:t>he amount of information collected and the time it takes to complete a response is dependent on program participation.</w:t>
      </w:r>
      <w:r w:rsidR="00DB6222">
        <w:rPr>
          <w:rFonts w:ascii="Times New Roman" w:hAnsi="Times New Roman"/>
          <w:szCs w:val="24"/>
        </w:rPr>
        <w:t xml:space="preserve"> The incr</w:t>
      </w:r>
      <w:r w:rsidR="00052DD2">
        <w:rPr>
          <w:rFonts w:ascii="Times New Roman" w:hAnsi="Times New Roman"/>
          <w:szCs w:val="24"/>
        </w:rPr>
        <w:t>eased burden reflects an increase</w:t>
      </w:r>
      <w:r w:rsidR="004336B4">
        <w:rPr>
          <w:rFonts w:ascii="Times New Roman" w:hAnsi="Times New Roman"/>
          <w:szCs w:val="24"/>
        </w:rPr>
        <w:t xml:space="preserve"> in program participants</w:t>
      </w:r>
      <w:r w:rsidR="0085418D">
        <w:rPr>
          <w:rFonts w:ascii="Times New Roman" w:hAnsi="Times New Roman"/>
          <w:szCs w:val="24"/>
        </w:rPr>
        <w:t xml:space="preserve"> which continues to rebound </w:t>
      </w:r>
      <w:r w:rsidR="000A1C34">
        <w:rPr>
          <w:rFonts w:ascii="Times New Roman" w:hAnsi="Times New Roman"/>
          <w:szCs w:val="24"/>
        </w:rPr>
        <w:t xml:space="preserve">from </w:t>
      </w:r>
      <w:r w:rsidR="00203B73">
        <w:rPr>
          <w:rFonts w:ascii="Times New Roman" w:hAnsi="Times New Roman"/>
          <w:szCs w:val="24"/>
        </w:rPr>
        <w:t xml:space="preserve">declines in </w:t>
      </w:r>
      <w:r w:rsidR="0016441A">
        <w:rPr>
          <w:rFonts w:ascii="Times New Roman" w:hAnsi="Times New Roman"/>
          <w:szCs w:val="24"/>
        </w:rPr>
        <w:t>previous years</w:t>
      </w:r>
      <w:r w:rsidR="004336B4">
        <w:rPr>
          <w:rFonts w:ascii="Times New Roman" w:hAnsi="Times New Roman"/>
          <w:szCs w:val="24"/>
        </w:rPr>
        <w:t xml:space="preserve">. </w:t>
      </w:r>
      <w:r w:rsidR="003F7E20">
        <w:rPr>
          <w:rFonts w:ascii="Times New Roman" w:hAnsi="Times New Roman"/>
          <w:szCs w:val="24"/>
        </w:rPr>
        <w:t>Additionally</w:t>
      </w:r>
      <w:r w:rsidR="0016441A">
        <w:rPr>
          <w:rFonts w:ascii="Times New Roman" w:hAnsi="Times New Roman"/>
          <w:szCs w:val="24"/>
        </w:rPr>
        <w:t xml:space="preserve">, workforce challenges impact the number of individuals available to </w:t>
      </w:r>
      <w:r w:rsidR="003F7E20">
        <w:rPr>
          <w:rFonts w:ascii="Times New Roman" w:hAnsi="Times New Roman"/>
          <w:szCs w:val="24"/>
        </w:rPr>
        <w:t>support data collection processes</w:t>
      </w:r>
      <w:r w:rsidR="0035120A">
        <w:rPr>
          <w:rFonts w:ascii="Times New Roman" w:hAnsi="Times New Roman"/>
          <w:szCs w:val="24"/>
        </w:rPr>
        <w:t xml:space="preserve">. </w:t>
      </w:r>
      <w:r w:rsidR="004336B4">
        <w:rPr>
          <w:rFonts w:ascii="Times New Roman" w:hAnsi="Times New Roman"/>
          <w:szCs w:val="24"/>
        </w:rPr>
        <w:t xml:space="preserve">While </w:t>
      </w:r>
      <w:r w:rsidR="00BB23A1">
        <w:rPr>
          <w:rFonts w:ascii="Times New Roman" w:hAnsi="Times New Roman"/>
          <w:szCs w:val="24"/>
        </w:rPr>
        <w:t xml:space="preserve">program participation </w:t>
      </w:r>
      <w:r w:rsidR="00F32CA6">
        <w:rPr>
          <w:rFonts w:ascii="Times New Roman" w:hAnsi="Times New Roman"/>
          <w:szCs w:val="24"/>
        </w:rPr>
        <w:t>is increasing</w:t>
      </w:r>
      <w:r w:rsidR="0035120A">
        <w:rPr>
          <w:rFonts w:ascii="Times New Roman" w:hAnsi="Times New Roman"/>
          <w:szCs w:val="24"/>
        </w:rPr>
        <w:t>,</w:t>
      </w:r>
      <w:r w:rsidR="00F32CA6">
        <w:rPr>
          <w:rFonts w:ascii="Times New Roman" w:hAnsi="Times New Roman"/>
          <w:szCs w:val="24"/>
        </w:rPr>
        <w:t xml:space="preserve"> the workforce has </w:t>
      </w:r>
      <w:r w:rsidR="00A860FA">
        <w:rPr>
          <w:rFonts w:ascii="Times New Roman" w:hAnsi="Times New Roman"/>
          <w:szCs w:val="24"/>
        </w:rPr>
        <w:t xml:space="preserve">not experienced similar growth for professional </w:t>
      </w:r>
      <w:r w:rsidR="00AF58AE">
        <w:rPr>
          <w:rFonts w:ascii="Times New Roman" w:hAnsi="Times New Roman"/>
          <w:szCs w:val="24"/>
        </w:rPr>
        <w:t xml:space="preserve">or paraprofessional staff. </w:t>
      </w:r>
      <w:r w:rsidR="0065410D">
        <w:rPr>
          <w:rFonts w:ascii="Times New Roman" w:hAnsi="Times New Roman"/>
          <w:szCs w:val="24"/>
        </w:rPr>
        <w:t xml:space="preserve">These factors </w:t>
      </w:r>
      <w:r w:rsidR="00DF561F">
        <w:rPr>
          <w:rFonts w:ascii="Times New Roman" w:hAnsi="Times New Roman"/>
          <w:szCs w:val="24"/>
        </w:rPr>
        <w:t>contribute to a higher estimated burden</w:t>
      </w:r>
      <w:r w:rsidR="0035120A">
        <w:rPr>
          <w:rFonts w:ascii="Times New Roman" w:hAnsi="Times New Roman"/>
          <w:szCs w:val="24"/>
        </w:rPr>
        <w:t xml:space="preserve">. </w:t>
      </w:r>
      <w:r w:rsidRPr="001C0506" w:rsidR="001C0506">
        <w:rPr>
          <w:rFonts w:ascii="Times New Roman" w:hAnsi="Times New Roman"/>
          <w:color w:val="000000"/>
        </w:rPr>
        <w:t>NIFA remains committed to implementing strategies that effectively reduce burden to the greatest extent practicable</w:t>
      </w:r>
      <w:r w:rsidR="0035120A">
        <w:rPr>
          <w:rFonts w:ascii="Times New Roman" w:hAnsi="Times New Roman"/>
          <w:color w:val="000000"/>
        </w:rPr>
        <w:t xml:space="preserve">. </w:t>
      </w:r>
    </w:p>
    <w:p w:rsidR="00F06844" w:rsidP="0035120A" w14:paraId="2DCB45A8" w14:textId="77777777">
      <w:pPr>
        <w:widowControl/>
        <w:overflowPunct/>
        <w:textAlignment w:val="auto"/>
        <w:rPr>
          <w:rFonts w:ascii="Times New Roman" w:hAnsi="Times New Roman"/>
          <w:color w:val="000000"/>
        </w:rPr>
      </w:pPr>
    </w:p>
    <w:p w:rsidR="00F06844" w:rsidRPr="00A9778E" w:rsidP="0035120A" w14:paraId="1EB47474" w14:textId="3BDCE4AE">
      <w:pPr>
        <w:widowControl/>
        <w:overflowPunct/>
        <w:textAlignment w:val="auto"/>
        <w:rPr>
          <w:rFonts w:ascii="Times New Roman" w:hAnsi="Times New Roman"/>
          <w:szCs w:val="24"/>
        </w:rPr>
      </w:pPr>
      <w:r>
        <w:rPr>
          <w:rFonts w:ascii="Times New Roman" w:hAnsi="Times New Roman"/>
          <w:color w:val="000000"/>
        </w:rPr>
        <w:t>There were no substantive changes to the webNEERS screens from the previously approved EFNEP information collection renewal. Minor changes consist of required SPD-15 changes and required Executive Order 14168 revisions (as noted in the mockups submitted as part of this collection).</w:t>
      </w:r>
    </w:p>
    <w:p w:rsidR="006B4BFE" w:rsidRPr="002568E6" w:rsidP="000438E8" w14:paraId="690757A2" w14:textId="77777777">
      <w:pPr>
        <w:tabs>
          <w:tab w:val="left" w:pos="0"/>
        </w:tabs>
        <w:suppressAutoHyphens/>
        <w:rPr>
          <w:rFonts w:ascii="Times New Roman" w:hAnsi="Times New Roman"/>
          <w:szCs w:val="24"/>
        </w:rPr>
      </w:pPr>
    </w:p>
    <w:p w:rsidR="00A308DB" w:rsidRPr="002568E6" w:rsidP="0062567E" w14:paraId="690757A3" w14:textId="705EB368">
      <w:pPr>
        <w:pStyle w:val="Heading1"/>
        <w:rPr>
          <w:szCs w:val="24"/>
        </w:rPr>
      </w:pPr>
      <w:bookmarkStart w:id="35" w:name="_Toc401831372"/>
      <w:bookmarkStart w:id="36" w:name="_Toc401832416"/>
      <w:r w:rsidRPr="002568E6">
        <w:rPr>
          <w:szCs w:val="24"/>
        </w:rPr>
        <w:t>A16</w:t>
      </w:r>
      <w:r w:rsidR="0035120A">
        <w:rPr>
          <w:szCs w:val="24"/>
        </w:rPr>
        <w:t xml:space="preserve">.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5"/>
      <w:bookmarkEnd w:id="36"/>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AA4962" w14:paraId="690757A5" w14:textId="7777777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84458B" w:rsidRPr="0084458B" w:rsidP="0035120A" w14:paraId="50B2F1BC" w14:textId="4704BD6A">
      <w:pPr>
        <w:widowControl/>
        <w:overflowPunct/>
        <w:textAlignment w:val="auto"/>
        <w:rPr>
          <w:rFonts w:ascii="Times New Roman" w:hAnsi="Times New Roman"/>
          <w:szCs w:val="24"/>
        </w:rPr>
      </w:pPr>
      <w:r w:rsidRPr="0084458B">
        <w:rPr>
          <w:rFonts w:ascii="Times New Roman" w:hAnsi="Times New Roman"/>
          <w:szCs w:val="24"/>
        </w:rPr>
        <w:t xml:space="preserve">USDA/NIFA provides funding for the EFNEP impact reports. Impact reports include a brief synopsis of the federal data, including aggregated demographic and food behavior change data. They also include personal testimonies and success stories from selected universities, which vary from year to year. Copies of the report are shared with the agency administration, colleagues throughout the agency, other federal agencies, various task forces, committees, and decision makers. They are made available to the public via the NIFA, EFNEP website – see </w:t>
      </w:r>
      <w:hyperlink r:id="rId22" w:history="1">
        <w:r w:rsidRPr="0084458B">
          <w:rPr>
            <w:rFonts w:ascii="Times New Roman" w:hAnsi="Times New Roman"/>
            <w:color w:val="0000FF"/>
            <w:szCs w:val="24"/>
            <w:u w:val="single"/>
          </w:rPr>
          <w:t>EFNEP National Data Reports</w:t>
        </w:r>
      </w:hyperlink>
      <w:r w:rsidRPr="0084458B">
        <w:rPr>
          <w:rFonts w:ascii="Times New Roman" w:hAnsi="Times New Roman"/>
          <w:szCs w:val="24"/>
        </w:rPr>
        <w:t xml:space="preserve">. Key data points for each university are also complied into Tier Data reports. Tiers are established based on funding levels (see </w:t>
      </w:r>
      <w:hyperlink r:id="rId12" w:history="1">
        <w:r w:rsidRPr="0084458B">
          <w:rPr>
            <w:rFonts w:ascii="Times New Roman" w:hAnsi="Times New Roman"/>
            <w:color w:val="0000FF"/>
            <w:szCs w:val="24"/>
            <w:u w:val="single"/>
          </w:rPr>
          <w:t>EFNEP New Coordinator Guide</w:t>
        </w:r>
      </w:hyperlink>
      <w:r w:rsidRPr="0084458B">
        <w:rPr>
          <w:rFonts w:ascii="Times New Roman" w:hAnsi="Times New Roman"/>
          <w:szCs w:val="24"/>
        </w:rPr>
        <w:t xml:space="preserve">, p.9 for descriptions of funding tiers). This report allows for comparisons by funding allocation and to federal averages which helps inform program management decisions. These reports are sent to our partners via the listserv and made available to the public on our website (see </w:t>
      </w:r>
      <w:hyperlink r:id="rId11" w:history="1">
        <w:r w:rsidRPr="0084458B">
          <w:rPr>
            <w:rFonts w:ascii="Times New Roman" w:hAnsi="Times New Roman"/>
            <w:color w:val="0000FF"/>
            <w:szCs w:val="24"/>
            <w:u w:val="single"/>
          </w:rPr>
          <w:t>EFNEP | REEIS (usda.gov)</w:t>
        </w:r>
      </w:hyperlink>
      <w:r w:rsidRPr="0084458B">
        <w:rPr>
          <w:rFonts w:ascii="Times New Roman" w:hAnsi="Times New Roman"/>
          <w:szCs w:val="24"/>
        </w:rPr>
        <w:t>).</w:t>
      </w:r>
    </w:p>
    <w:p w:rsidR="000438E8" w:rsidRPr="002568E6" w:rsidP="000438E8" w14:paraId="690757A8" w14:textId="77777777">
      <w:pPr>
        <w:tabs>
          <w:tab w:val="left" w:pos="0"/>
        </w:tabs>
        <w:suppressAutoHyphens/>
        <w:rPr>
          <w:rFonts w:ascii="Times New Roman" w:hAnsi="Times New Roman"/>
          <w:szCs w:val="24"/>
        </w:rPr>
      </w:pPr>
    </w:p>
    <w:p w:rsidR="00A308DB" w:rsidRPr="002568E6" w:rsidP="0062567E" w14:paraId="690757A9" w14:textId="50A2D523">
      <w:pPr>
        <w:pStyle w:val="Heading1"/>
        <w:rPr>
          <w:szCs w:val="24"/>
        </w:rPr>
      </w:pPr>
      <w:bookmarkStart w:id="37" w:name="_Toc401831373"/>
      <w:bookmarkStart w:id="38" w:name="_Toc401832417"/>
      <w:r w:rsidRPr="002568E6">
        <w:rPr>
          <w:szCs w:val="24"/>
        </w:rPr>
        <w:t>A17</w:t>
      </w:r>
      <w:r w:rsidR="0035120A">
        <w:rPr>
          <w:szCs w:val="24"/>
        </w:rPr>
        <w:t xml:space="preserve">. </w:t>
      </w:r>
      <w:r w:rsidRPr="002568E6" w:rsidR="001C6CBE">
        <w:rPr>
          <w:szCs w:val="24"/>
        </w:rPr>
        <w:t>Displaying the OMB Approval Expiration Date.</w:t>
      </w:r>
      <w:bookmarkEnd w:id="37"/>
      <w:bookmarkEnd w:id="38"/>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84458B" w:rsidRPr="0084458B" w:rsidP="00AA4962" w14:paraId="56F13FAE" w14:textId="21241973">
      <w:pPr>
        <w:widowControl/>
        <w:overflowPunct/>
        <w:spacing w:line="272" w:lineRule="exact"/>
        <w:jc w:val="both"/>
        <w:textAlignment w:val="auto"/>
        <w:rPr>
          <w:rFonts w:ascii="Times New Roman" w:hAnsi="Times New Roman"/>
          <w:szCs w:val="24"/>
        </w:rPr>
      </w:pPr>
      <w:r w:rsidRPr="0084458B">
        <w:rPr>
          <w:rFonts w:ascii="Times New Roman" w:hAnsi="Times New Roman"/>
          <w:szCs w:val="24"/>
        </w:rPr>
        <w:t>The expiration date, OMB approval number and burden statement are included at the bottom of every page</w:t>
      </w:r>
      <w:r w:rsidR="00AA4962">
        <w:rPr>
          <w:rFonts w:ascii="Times New Roman" w:hAnsi="Times New Roman"/>
          <w:szCs w:val="24"/>
        </w:rPr>
        <w:t>/screen</w:t>
      </w:r>
      <w:r w:rsidRPr="0084458B">
        <w:rPr>
          <w:rFonts w:ascii="Times New Roman" w:hAnsi="Times New Roman"/>
          <w:szCs w:val="24"/>
        </w:rPr>
        <w:t xml:space="preserve"> within WebNEERS.</w:t>
      </w:r>
    </w:p>
    <w:p w:rsidR="000438E8" w:rsidRPr="002568E6" w:rsidP="000438E8" w14:paraId="690757AE" w14:textId="77777777">
      <w:pPr>
        <w:tabs>
          <w:tab w:val="left" w:pos="0"/>
        </w:tabs>
        <w:suppressAutoHyphens/>
        <w:rPr>
          <w:rFonts w:ascii="Times New Roman" w:hAnsi="Times New Roman"/>
          <w:szCs w:val="24"/>
        </w:rPr>
      </w:pPr>
    </w:p>
    <w:p w:rsidR="00A308DB" w:rsidRPr="002568E6" w:rsidP="0062567E" w14:paraId="690757AF" w14:textId="1599E286">
      <w:pPr>
        <w:pStyle w:val="Heading1"/>
        <w:rPr>
          <w:szCs w:val="24"/>
        </w:rPr>
      </w:pPr>
      <w:bookmarkStart w:id="39" w:name="_Toc401831374"/>
      <w:bookmarkStart w:id="40" w:name="_Toc401832418"/>
      <w:r w:rsidRPr="002568E6">
        <w:rPr>
          <w:szCs w:val="24"/>
        </w:rPr>
        <w:t>A18</w:t>
      </w:r>
      <w:r w:rsidR="0035120A">
        <w:rPr>
          <w:szCs w:val="24"/>
        </w:rPr>
        <w:t xml:space="preserve">. </w:t>
      </w:r>
      <w:r w:rsidRPr="002568E6">
        <w:rPr>
          <w:szCs w:val="24"/>
        </w:rPr>
        <w:t>Exception</w:t>
      </w:r>
      <w:r w:rsidR="002568E6">
        <w:rPr>
          <w:szCs w:val="24"/>
        </w:rPr>
        <w:t>s</w:t>
      </w:r>
      <w:r w:rsidRPr="002568E6">
        <w:rPr>
          <w:szCs w:val="24"/>
        </w:rPr>
        <w:t xml:space="preserve"> to the certification statement identified in Item 19</w:t>
      </w:r>
      <w:bookmarkEnd w:id="39"/>
      <w:bookmarkEnd w:id="40"/>
      <w:r w:rsidR="0035120A">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84458B" w:rsidP="00ED28F2" w14:paraId="690757B2" w14:textId="77777777">
      <w:pPr>
        <w:tabs>
          <w:tab w:val="left" w:pos="-720"/>
        </w:tabs>
        <w:suppressAutoHyphens/>
        <w:rPr>
          <w:rFonts w:ascii="Times New Roman" w:hAnsi="Times New Roman"/>
          <w:szCs w:val="24"/>
        </w:rPr>
      </w:pPr>
    </w:p>
    <w:p w:rsidR="007E4EEE" w:rsidP="00914B57" w14:paraId="0469B9F6" w14:textId="100B82C4">
      <w:r>
        <w:rPr>
          <w:rFonts w:ascii="Times New Roman" w:hAnsi="Times New Roman"/>
          <w:szCs w:val="24"/>
        </w:rPr>
        <w:t xml:space="preserve">There are no exceptions to item 19 of OMB Form 83-I. </w:t>
      </w:r>
    </w:p>
    <w:sectPr w:rsidSect="002568E6">
      <w:footerReference w:type="default" r:id="rId2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5743" w14:paraId="2049E11A" w14:textId="77777777">
      <w:pPr>
        <w:spacing w:line="20" w:lineRule="exact"/>
      </w:pPr>
    </w:p>
  </w:endnote>
  <w:endnote w:type="continuationSeparator" w:id="1">
    <w:p w:rsidR="00255743" w14:paraId="2AC0B217" w14:textId="77777777">
      <w:r>
        <w:t xml:space="preserve"> </w:t>
      </w:r>
    </w:p>
  </w:endnote>
  <w:endnote w:type="continuationNotice" w:id="2">
    <w:p w:rsidR="00255743" w14:paraId="7A74369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743" w14:paraId="72AC4529" w14:textId="77777777">
      <w:r>
        <w:separator/>
      </w:r>
    </w:p>
  </w:footnote>
  <w:footnote w:type="continuationSeparator" w:id="1">
    <w:p w:rsidR="00255743" w14:paraId="78C7F0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8E70C6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790486"/>
    <w:multiLevelType w:val="hybridMultilevel"/>
    <w:tmpl w:val="FD208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A861A9"/>
    <w:multiLevelType w:val="multilevel"/>
    <w:tmpl w:val="BD3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C2C281E"/>
    <w:multiLevelType w:val="multilevel"/>
    <w:tmpl w:val="7BE6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118585B"/>
    <w:multiLevelType w:val="multilevel"/>
    <w:tmpl w:val="DC3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E2778A"/>
    <w:multiLevelType w:val="multilevel"/>
    <w:tmpl w:val="824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EF0CB1"/>
    <w:multiLevelType w:val="multilevel"/>
    <w:tmpl w:val="40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683150"/>
    <w:multiLevelType w:val="multilevel"/>
    <w:tmpl w:val="04F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046825"/>
    <w:multiLevelType w:val="multilevel"/>
    <w:tmpl w:val="3A44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97064B"/>
    <w:multiLevelType w:val="multilevel"/>
    <w:tmpl w:val="4D9A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461B18"/>
    <w:multiLevelType w:val="multilevel"/>
    <w:tmpl w:val="2EEE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F664B"/>
    <w:multiLevelType w:val="multilevel"/>
    <w:tmpl w:val="3F2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607F5"/>
    <w:multiLevelType w:val="multilevel"/>
    <w:tmpl w:val="DF1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1B500A"/>
    <w:multiLevelType w:val="multilevel"/>
    <w:tmpl w:val="9D7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B2801"/>
    <w:multiLevelType w:val="multilevel"/>
    <w:tmpl w:val="EC7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D7365A"/>
    <w:multiLevelType w:val="multilevel"/>
    <w:tmpl w:val="AA06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4B196E"/>
    <w:multiLevelType w:val="hybridMultilevel"/>
    <w:tmpl w:val="B38A4624"/>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3BA178E"/>
    <w:multiLevelType w:val="multilevel"/>
    <w:tmpl w:val="D17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4F29B0"/>
    <w:multiLevelType w:val="multilevel"/>
    <w:tmpl w:val="254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171343"/>
    <w:multiLevelType w:val="multilevel"/>
    <w:tmpl w:val="302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6">
    <w:nsid w:val="6DB9325B"/>
    <w:multiLevelType w:val="multilevel"/>
    <w:tmpl w:val="035A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5625A1"/>
    <w:multiLevelType w:val="multilevel"/>
    <w:tmpl w:val="99D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67176F"/>
    <w:multiLevelType w:val="multilevel"/>
    <w:tmpl w:val="7CD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0">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6"/>
  </w:num>
  <w:num w:numId="2" w16cid:durableId="824974414">
    <w:abstractNumId w:val="39"/>
  </w:num>
  <w:num w:numId="3" w16cid:durableId="1818456814">
    <w:abstractNumId w:val="35"/>
  </w:num>
  <w:num w:numId="4" w16cid:durableId="1067462822">
    <w:abstractNumId w:val="13"/>
  </w:num>
  <w:num w:numId="5" w16cid:durableId="1841114690">
    <w:abstractNumId w:val="41"/>
  </w:num>
  <w:num w:numId="6" w16cid:durableId="973099555">
    <w:abstractNumId w:val="15"/>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31"/>
  </w:num>
  <w:num w:numId="18" w16cid:durableId="717242431">
    <w:abstractNumId w:val="17"/>
  </w:num>
  <w:num w:numId="19" w16cid:durableId="1070081644">
    <w:abstractNumId w:val="10"/>
  </w:num>
  <w:num w:numId="20" w16cid:durableId="8487872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7580759">
    <w:abstractNumId w:val="11"/>
  </w:num>
  <w:num w:numId="22" w16cid:durableId="1461531069">
    <w:abstractNumId w:val="40"/>
  </w:num>
  <w:num w:numId="23" w16cid:durableId="1642808257">
    <w:abstractNumId w:val="30"/>
  </w:num>
  <w:num w:numId="24" w16cid:durableId="1535342613">
    <w:abstractNumId w:val="27"/>
  </w:num>
  <w:num w:numId="25" w16cid:durableId="568543849">
    <w:abstractNumId w:val="34"/>
  </w:num>
  <w:num w:numId="26" w16cid:durableId="1841266527">
    <w:abstractNumId w:val="23"/>
  </w:num>
  <w:num w:numId="27" w16cid:durableId="1621305360">
    <w:abstractNumId w:val="32"/>
  </w:num>
  <w:num w:numId="28" w16cid:durableId="524683856">
    <w:abstractNumId w:val="12"/>
  </w:num>
  <w:num w:numId="29" w16cid:durableId="1492210107">
    <w:abstractNumId w:val="37"/>
  </w:num>
  <w:num w:numId="30" w16cid:durableId="1138571916">
    <w:abstractNumId w:val="19"/>
  </w:num>
  <w:num w:numId="31" w16cid:durableId="2086416374">
    <w:abstractNumId w:val="22"/>
  </w:num>
  <w:num w:numId="32" w16cid:durableId="1114517110">
    <w:abstractNumId w:val="25"/>
  </w:num>
  <w:num w:numId="33" w16cid:durableId="1105149812">
    <w:abstractNumId w:val="28"/>
  </w:num>
  <w:num w:numId="34" w16cid:durableId="1779062462">
    <w:abstractNumId w:val="21"/>
  </w:num>
  <w:num w:numId="35" w16cid:durableId="1082797417">
    <w:abstractNumId w:val="26"/>
  </w:num>
  <w:num w:numId="36" w16cid:durableId="533495775">
    <w:abstractNumId w:val="29"/>
  </w:num>
  <w:num w:numId="37" w16cid:durableId="1097293951">
    <w:abstractNumId w:val="24"/>
  </w:num>
  <w:num w:numId="38" w16cid:durableId="785781027">
    <w:abstractNumId w:val="18"/>
  </w:num>
  <w:num w:numId="39" w16cid:durableId="2023896335">
    <w:abstractNumId w:val="20"/>
  </w:num>
  <w:num w:numId="40" w16cid:durableId="1058087975">
    <w:abstractNumId w:val="33"/>
  </w:num>
  <w:num w:numId="41" w16cid:durableId="2101640225">
    <w:abstractNumId w:val="36"/>
  </w:num>
  <w:num w:numId="42" w16cid:durableId="1039009542">
    <w:abstractNumId w:val="38"/>
  </w:num>
  <w:num w:numId="43" w16cid:durableId="1504205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1C7"/>
    <w:rsid w:val="00015C31"/>
    <w:rsid w:val="00015FCF"/>
    <w:rsid w:val="000223C1"/>
    <w:rsid w:val="00022592"/>
    <w:rsid w:val="000230FD"/>
    <w:rsid w:val="000234FF"/>
    <w:rsid w:val="00023BFF"/>
    <w:rsid w:val="00027233"/>
    <w:rsid w:val="00032621"/>
    <w:rsid w:val="000329F0"/>
    <w:rsid w:val="00035775"/>
    <w:rsid w:val="000373C7"/>
    <w:rsid w:val="00040718"/>
    <w:rsid w:val="000417D2"/>
    <w:rsid w:val="000431A5"/>
    <w:rsid w:val="0004364B"/>
    <w:rsid w:val="000438E8"/>
    <w:rsid w:val="000447C0"/>
    <w:rsid w:val="0004539F"/>
    <w:rsid w:val="000460EC"/>
    <w:rsid w:val="0004668E"/>
    <w:rsid w:val="00047338"/>
    <w:rsid w:val="000507EA"/>
    <w:rsid w:val="00052143"/>
    <w:rsid w:val="00052C5C"/>
    <w:rsid w:val="00052DD2"/>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2837"/>
    <w:rsid w:val="00084B36"/>
    <w:rsid w:val="00086831"/>
    <w:rsid w:val="00090155"/>
    <w:rsid w:val="00090C98"/>
    <w:rsid w:val="00093427"/>
    <w:rsid w:val="0009567D"/>
    <w:rsid w:val="00095C26"/>
    <w:rsid w:val="000A1C34"/>
    <w:rsid w:val="000A28C4"/>
    <w:rsid w:val="000A34BE"/>
    <w:rsid w:val="000A3781"/>
    <w:rsid w:val="000A4F8D"/>
    <w:rsid w:val="000A7424"/>
    <w:rsid w:val="000B26F3"/>
    <w:rsid w:val="000B50C9"/>
    <w:rsid w:val="000B6F96"/>
    <w:rsid w:val="000B7836"/>
    <w:rsid w:val="000C089B"/>
    <w:rsid w:val="000C10F7"/>
    <w:rsid w:val="000C55A2"/>
    <w:rsid w:val="000C5B0F"/>
    <w:rsid w:val="000C6A57"/>
    <w:rsid w:val="000D0C93"/>
    <w:rsid w:val="000D17F6"/>
    <w:rsid w:val="000D180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66EB"/>
    <w:rsid w:val="00127364"/>
    <w:rsid w:val="0013030A"/>
    <w:rsid w:val="00130FB4"/>
    <w:rsid w:val="00132EF8"/>
    <w:rsid w:val="00132F0C"/>
    <w:rsid w:val="0013306C"/>
    <w:rsid w:val="001334EF"/>
    <w:rsid w:val="0013469F"/>
    <w:rsid w:val="001363FB"/>
    <w:rsid w:val="00143411"/>
    <w:rsid w:val="0014383A"/>
    <w:rsid w:val="00143852"/>
    <w:rsid w:val="00145FCB"/>
    <w:rsid w:val="00146A2D"/>
    <w:rsid w:val="0015139F"/>
    <w:rsid w:val="00151DF5"/>
    <w:rsid w:val="00154D85"/>
    <w:rsid w:val="00156839"/>
    <w:rsid w:val="00157282"/>
    <w:rsid w:val="00160DAC"/>
    <w:rsid w:val="001613F6"/>
    <w:rsid w:val="0016441A"/>
    <w:rsid w:val="00166501"/>
    <w:rsid w:val="00167686"/>
    <w:rsid w:val="001707E2"/>
    <w:rsid w:val="00171619"/>
    <w:rsid w:val="00172B17"/>
    <w:rsid w:val="0017348C"/>
    <w:rsid w:val="001747C2"/>
    <w:rsid w:val="00180150"/>
    <w:rsid w:val="00181240"/>
    <w:rsid w:val="00182728"/>
    <w:rsid w:val="001829D2"/>
    <w:rsid w:val="0018306B"/>
    <w:rsid w:val="001834A9"/>
    <w:rsid w:val="0018456B"/>
    <w:rsid w:val="00185270"/>
    <w:rsid w:val="0018740F"/>
    <w:rsid w:val="001912C2"/>
    <w:rsid w:val="001964E8"/>
    <w:rsid w:val="001A01C9"/>
    <w:rsid w:val="001A63AF"/>
    <w:rsid w:val="001B1E25"/>
    <w:rsid w:val="001B3D92"/>
    <w:rsid w:val="001B4B04"/>
    <w:rsid w:val="001B7724"/>
    <w:rsid w:val="001C0506"/>
    <w:rsid w:val="001C15C7"/>
    <w:rsid w:val="001C256E"/>
    <w:rsid w:val="001C3A4C"/>
    <w:rsid w:val="001C4C39"/>
    <w:rsid w:val="001C4E18"/>
    <w:rsid w:val="001C5266"/>
    <w:rsid w:val="001C6CBE"/>
    <w:rsid w:val="001C70AF"/>
    <w:rsid w:val="001C7DC9"/>
    <w:rsid w:val="001D08F5"/>
    <w:rsid w:val="001D1F6E"/>
    <w:rsid w:val="001D2F45"/>
    <w:rsid w:val="001D343E"/>
    <w:rsid w:val="001D4FB0"/>
    <w:rsid w:val="001E22E9"/>
    <w:rsid w:val="001E5E66"/>
    <w:rsid w:val="001F054A"/>
    <w:rsid w:val="001F549E"/>
    <w:rsid w:val="001F6E85"/>
    <w:rsid w:val="001F73D9"/>
    <w:rsid w:val="00201068"/>
    <w:rsid w:val="00201287"/>
    <w:rsid w:val="00202259"/>
    <w:rsid w:val="00203B73"/>
    <w:rsid w:val="00204587"/>
    <w:rsid w:val="00204E6E"/>
    <w:rsid w:val="00205B44"/>
    <w:rsid w:val="002062CF"/>
    <w:rsid w:val="002075EB"/>
    <w:rsid w:val="00210D68"/>
    <w:rsid w:val="00210FA8"/>
    <w:rsid w:val="00212905"/>
    <w:rsid w:val="00213436"/>
    <w:rsid w:val="00215CC6"/>
    <w:rsid w:val="002228EA"/>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5743"/>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1634"/>
    <w:rsid w:val="002954B1"/>
    <w:rsid w:val="002A1B3D"/>
    <w:rsid w:val="002A385A"/>
    <w:rsid w:val="002A7390"/>
    <w:rsid w:val="002B0654"/>
    <w:rsid w:val="002B271B"/>
    <w:rsid w:val="002B46E1"/>
    <w:rsid w:val="002B4F85"/>
    <w:rsid w:val="002B6598"/>
    <w:rsid w:val="002C05AC"/>
    <w:rsid w:val="002C2401"/>
    <w:rsid w:val="002C4936"/>
    <w:rsid w:val="002C6748"/>
    <w:rsid w:val="002C7B26"/>
    <w:rsid w:val="002D05D2"/>
    <w:rsid w:val="002D0DED"/>
    <w:rsid w:val="002D1E33"/>
    <w:rsid w:val="002D47CD"/>
    <w:rsid w:val="002D47DD"/>
    <w:rsid w:val="002D5B04"/>
    <w:rsid w:val="002E1315"/>
    <w:rsid w:val="002E1A35"/>
    <w:rsid w:val="002E3B1B"/>
    <w:rsid w:val="002E3D8B"/>
    <w:rsid w:val="002E3E5E"/>
    <w:rsid w:val="002E40A9"/>
    <w:rsid w:val="002E4FFB"/>
    <w:rsid w:val="002E6B5E"/>
    <w:rsid w:val="002E7427"/>
    <w:rsid w:val="002F0B1E"/>
    <w:rsid w:val="002F2888"/>
    <w:rsid w:val="002F28FD"/>
    <w:rsid w:val="002F3249"/>
    <w:rsid w:val="002F4036"/>
    <w:rsid w:val="002F4B02"/>
    <w:rsid w:val="002F5951"/>
    <w:rsid w:val="003030CD"/>
    <w:rsid w:val="00304807"/>
    <w:rsid w:val="00307D2B"/>
    <w:rsid w:val="0031071F"/>
    <w:rsid w:val="003125D7"/>
    <w:rsid w:val="00312876"/>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120A"/>
    <w:rsid w:val="003521A9"/>
    <w:rsid w:val="00354DDB"/>
    <w:rsid w:val="00356D92"/>
    <w:rsid w:val="003576DC"/>
    <w:rsid w:val="00360B8B"/>
    <w:rsid w:val="003637E7"/>
    <w:rsid w:val="0036497A"/>
    <w:rsid w:val="00366BB8"/>
    <w:rsid w:val="0037115C"/>
    <w:rsid w:val="00371896"/>
    <w:rsid w:val="00372784"/>
    <w:rsid w:val="00376E39"/>
    <w:rsid w:val="003770FE"/>
    <w:rsid w:val="00383C0A"/>
    <w:rsid w:val="00385A58"/>
    <w:rsid w:val="00386068"/>
    <w:rsid w:val="003874A5"/>
    <w:rsid w:val="00393405"/>
    <w:rsid w:val="00395831"/>
    <w:rsid w:val="00396E91"/>
    <w:rsid w:val="003A222F"/>
    <w:rsid w:val="003A3816"/>
    <w:rsid w:val="003A4F9D"/>
    <w:rsid w:val="003A556E"/>
    <w:rsid w:val="003A7703"/>
    <w:rsid w:val="003B0FD0"/>
    <w:rsid w:val="003B10E4"/>
    <w:rsid w:val="003B1199"/>
    <w:rsid w:val="003B1D07"/>
    <w:rsid w:val="003B270B"/>
    <w:rsid w:val="003B28E2"/>
    <w:rsid w:val="003B4C92"/>
    <w:rsid w:val="003B4FB3"/>
    <w:rsid w:val="003C2346"/>
    <w:rsid w:val="003C3FCC"/>
    <w:rsid w:val="003C41FC"/>
    <w:rsid w:val="003C5E7D"/>
    <w:rsid w:val="003C646A"/>
    <w:rsid w:val="003C6A15"/>
    <w:rsid w:val="003C6BDD"/>
    <w:rsid w:val="003D1BDA"/>
    <w:rsid w:val="003D2FA4"/>
    <w:rsid w:val="003D3135"/>
    <w:rsid w:val="003D6927"/>
    <w:rsid w:val="003E0D93"/>
    <w:rsid w:val="003E2F2D"/>
    <w:rsid w:val="003E64F6"/>
    <w:rsid w:val="003F27A2"/>
    <w:rsid w:val="003F4932"/>
    <w:rsid w:val="003F7E20"/>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6B4"/>
    <w:rsid w:val="0043383F"/>
    <w:rsid w:val="00434E7B"/>
    <w:rsid w:val="00435AB5"/>
    <w:rsid w:val="00437234"/>
    <w:rsid w:val="00437471"/>
    <w:rsid w:val="00440392"/>
    <w:rsid w:val="00442B73"/>
    <w:rsid w:val="00443A6D"/>
    <w:rsid w:val="004454C4"/>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2056"/>
    <w:rsid w:val="00483781"/>
    <w:rsid w:val="00483CCC"/>
    <w:rsid w:val="00483F2C"/>
    <w:rsid w:val="00484CFC"/>
    <w:rsid w:val="00494A82"/>
    <w:rsid w:val="004A2D34"/>
    <w:rsid w:val="004A2F08"/>
    <w:rsid w:val="004A48CA"/>
    <w:rsid w:val="004A543C"/>
    <w:rsid w:val="004A6016"/>
    <w:rsid w:val="004A6286"/>
    <w:rsid w:val="004A6581"/>
    <w:rsid w:val="004A672E"/>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47F0C"/>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6874"/>
    <w:rsid w:val="005D7CF3"/>
    <w:rsid w:val="005E0A1A"/>
    <w:rsid w:val="005E22A5"/>
    <w:rsid w:val="005E292E"/>
    <w:rsid w:val="005E3040"/>
    <w:rsid w:val="005E6A3C"/>
    <w:rsid w:val="005E7295"/>
    <w:rsid w:val="005F0A77"/>
    <w:rsid w:val="005F2D36"/>
    <w:rsid w:val="005F31C0"/>
    <w:rsid w:val="005F43D7"/>
    <w:rsid w:val="005F58D4"/>
    <w:rsid w:val="005F5FFE"/>
    <w:rsid w:val="005F6102"/>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3BB4"/>
    <w:rsid w:val="006469D1"/>
    <w:rsid w:val="00646DDA"/>
    <w:rsid w:val="0065006B"/>
    <w:rsid w:val="00650EBF"/>
    <w:rsid w:val="0065410D"/>
    <w:rsid w:val="00655D39"/>
    <w:rsid w:val="0065657E"/>
    <w:rsid w:val="006604C2"/>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97568"/>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289"/>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8EE"/>
    <w:rsid w:val="00763D19"/>
    <w:rsid w:val="00764AB6"/>
    <w:rsid w:val="007704A9"/>
    <w:rsid w:val="00770DCA"/>
    <w:rsid w:val="00770E12"/>
    <w:rsid w:val="00771C1E"/>
    <w:rsid w:val="00772867"/>
    <w:rsid w:val="00772B26"/>
    <w:rsid w:val="0077330C"/>
    <w:rsid w:val="00776D16"/>
    <w:rsid w:val="00783919"/>
    <w:rsid w:val="00783DA7"/>
    <w:rsid w:val="00784603"/>
    <w:rsid w:val="00786393"/>
    <w:rsid w:val="0078653A"/>
    <w:rsid w:val="00792C32"/>
    <w:rsid w:val="00794189"/>
    <w:rsid w:val="00794AFB"/>
    <w:rsid w:val="00797164"/>
    <w:rsid w:val="007A238A"/>
    <w:rsid w:val="007A293E"/>
    <w:rsid w:val="007A2BBA"/>
    <w:rsid w:val="007A44D5"/>
    <w:rsid w:val="007A5E7D"/>
    <w:rsid w:val="007A7123"/>
    <w:rsid w:val="007B0003"/>
    <w:rsid w:val="007B008F"/>
    <w:rsid w:val="007B0F83"/>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4EEE"/>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9"/>
    <w:rsid w:val="0083118E"/>
    <w:rsid w:val="00831EA7"/>
    <w:rsid w:val="00833324"/>
    <w:rsid w:val="00835A63"/>
    <w:rsid w:val="00837107"/>
    <w:rsid w:val="008377B5"/>
    <w:rsid w:val="00841477"/>
    <w:rsid w:val="00842E02"/>
    <w:rsid w:val="0084458B"/>
    <w:rsid w:val="008502C2"/>
    <w:rsid w:val="008507EF"/>
    <w:rsid w:val="00850904"/>
    <w:rsid w:val="00850A57"/>
    <w:rsid w:val="008525DD"/>
    <w:rsid w:val="00853829"/>
    <w:rsid w:val="00853BF9"/>
    <w:rsid w:val="0085418D"/>
    <w:rsid w:val="00856AB0"/>
    <w:rsid w:val="00861FED"/>
    <w:rsid w:val="00862A3F"/>
    <w:rsid w:val="008648BF"/>
    <w:rsid w:val="00867C20"/>
    <w:rsid w:val="00870BB1"/>
    <w:rsid w:val="0087187D"/>
    <w:rsid w:val="00871E93"/>
    <w:rsid w:val="00872B95"/>
    <w:rsid w:val="008733D8"/>
    <w:rsid w:val="008745A8"/>
    <w:rsid w:val="00876D29"/>
    <w:rsid w:val="0088245A"/>
    <w:rsid w:val="008832DB"/>
    <w:rsid w:val="00884B5C"/>
    <w:rsid w:val="0088500E"/>
    <w:rsid w:val="008866E1"/>
    <w:rsid w:val="00886AC1"/>
    <w:rsid w:val="008876AB"/>
    <w:rsid w:val="008915FB"/>
    <w:rsid w:val="0089577E"/>
    <w:rsid w:val="00895CB0"/>
    <w:rsid w:val="00896626"/>
    <w:rsid w:val="00897DE4"/>
    <w:rsid w:val="008A1A85"/>
    <w:rsid w:val="008A1F39"/>
    <w:rsid w:val="008A2948"/>
    <w:rsid w:val="008A7380"/>
    <w:rsid w:val="008B0F94"/>
    <w:rsid w:val="008B25E6"/>
    <w:rsid w:val="008B35F5"/>
    <w:rsid w:val="008B3FDA"/>
    <w:rsid w:val="008B4683"/>
    <w:rsid w:val="008B472E"/>
    <w:rsid w:val="008B57A8"/>
    <w:rsid w:val="008C00B4"/>
    <w:rsid w:val="008C1668"/>
    <w:rsid w:val="008C2EB3"/>
    <w:rsid w:val="008C3FAF"/>
    <w:rsid w:val="008C62AD"/>
    <w:rsid w:val="008C6BEB"/>
    <w:rsid w:val="008D1549"/>
    <w:rsid w:val="008D1717"/>
    <w:rsid w:val="008D174D"/>
    <w:rsid w:val="008D29B5"/>
    <w:rsid w:val="008D2E1A"/>
    <w:rsid w:val="008D2FF6"/>
    <w:rsid w:val="008D554A"/>
    <w:rsid w:val="008D5DC5"/>
    <w:rsid w:val="008E2B05"/>
    <w:rsid w:val="008E569D"/>
    <w:rsid w:val="008E751B"/>
    <w:rsid w:val="008F0099"/>
    <w:rsid w:val="008F0605"/>
    <w:rsid w:val="008F0A60"/>
    <w:rsid w:val="008F2DEC"/>
    <w:rsid w:val="008F3F14"/>
    <w:rsid w:val="00902699"/>
    <w:rsid w:val="00902E57"/>
    <w:rsid w:val="00903920"/>
    <w:rsid w:val="00904305"/>
    <w:rsid w:val="009049D1"/>
    <w:rsid w:val="00904B63"/>
    <w:rsid w:val="00905A5F"/>
    <w:rsid w:val="009062BF"/>
    <w:rsid w:val="00906F7A"/>
    <w:rsid w:val="00910330"/>
    <w:rsid w:val="00910824"/>
    <w:rsid w:val="00910CCC"/>
    <w:rsid w:val="009141DF"/>
    <w:rsid w:val="00914B57"/>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C68"/>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2F9A"/>
    <w:rsid w:val="009E3311"/>
    <w:rsid w:val="009E6159"/>
    <w:rsid w:val="009F0360"/>
    <w:rsid w:val="009F0786"/>
    <w:rsid w:val="009F0EAB"/>
    <w:rsid w:val="009F104D"/>
    <w:rsid w:val="009F146E"/>
    <w:rsid w:val="009F14CE"/>
    <w:rsid w:val="009F228E"/>
    <w:rsid w:val="009F54AE"/>
    <w:rsid w:val="009F5909"/>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0153"/>
    <w:rsid w:val="00A51D62"/>
    <w:rsid w:val="00A55E93"/>
    <w:rsid w:val="00A56DAE"/>
    <w:rsid w:val="00A60FB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860FA"/>
    <w:rsid w:val="00A905F5"/>
    <w:rsid w:val="00A925C9"/>
    <w:rsid w:val="00A92D91"/>
    <w:rsid w:val="00A95DB5"/>
    <w:rsid w:val="00A969EB"/>
    <w:rsid w:val="00A96B59"/>
    <w:rsid w:val="00A9778E"/>
    <w:rsid w:val="00AA4962"/>
    <w:rsid w:val="00AA55D2"/>
    <w:rsid w:val="00AA6BEE"/>
    <w:rsid w:val="00AB5F42"/>
    <w:rsid w:val="00AB67B2"/>
    <w:rsid w:val="00AB6B56"/>
    <w:rsid w:val="00AC01EA"/>
    <w:rsid w:val="00AC0DA1"/>
    <w:rsid w:val="00AC1CF7"/>
    <w:rsid w:val="00AC2B52"/>
    <w:rsid w:val="00AC35D2"/>
    <w:rsid w:val="00AC61A8"/>
    <w:rsid w:val="00AD1B31"/>
    <w:rsid w:val="00AD2642"/>
    <w:rsid w:val="00AD2800"/>
    <w:rsid w:val="00AD4629"/>
    <w:rsid w:val="00AD4A66"/>
    <w:rsid w:val="00AD6ECF"/>
    <w:rsid w:val="00AE0DA1"/>
    <w:rsid w:val="00AE4F48"/>
    <w:rsid w:val="00AE5974"/>
    <w:rsid w:val="00AE6A0B"/>
    <w:rsid w:val="00AE7A2F"/>
    <w:rsid w:val="00AF143D"/>
    <w:rsid w:val="00AF32EA"/>
    <w:rsid w:val="00AF55EF"/>
    <w:rsid w:val="00AF58AE"/>
    <w:rsid w:val="00AF6C98"/>
    <w:rsid w:val="00AF7AC8"/>
    <w:rsid w:val="00B006ED"/>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4B30"/>
    <w:rsid w:val="00B55CA4"/>
    <w:rsid w:val="00B616CD"/>
    <w:rsid w:val="00B62726"/>
    <w:rsid w:val="00B6562C"/>
    <w:rsid w:val="00B677F2"/>
    <w:rsid w:val="00B715A1"/>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23A1"/>
    <w:rsid w:val="00BB4B24"/>
    <w:rsid w:val="00BB6B52"/>
    <w:rsid w:val="00BC1F50"/>
    <w:rsid w:val="00BC207F"/>
    <w:rsid w:val="00BC23B8"/>
    <w:rsid w:val="00BC6ABA"/>
    <w:rsid w:val="00BD1DD0"/>
    <w:rsid w:val="00BD29F1"/>
    <w:rsid w:val="00BD4DF6"/>
    <w:rsid w:val="00BD5404"/>
    <w:rsid w:val="00BD5862"/>
    <w:rsid w:val="00BD63BE"/>
    <w:rsid w:val="00BD6F9A"/>
    <w:rsid w:val="00BD7AD7"/>
    <w:rsid w:val="00BE0B08"/>
    <w:rsid w:val="00BE294C"/>
    <w:rsid w:val="00BE308A"/>
    <w:rsid w:val="00BE4553"/>
    <w:rsid w:val="00BE5423"/>
    <w:rsid w:val="00BE589F"/>
    <w:rsid w:val="00BF0F97"/>
    <w:rsid w:val="00BF2B93"/>
    <w:rsid w:val="00BF2C40"/>
    <w:rsid w:val="00BF2DF4"/>
    <w:rsid w:val="00BF405C"/>
    <w:rsid w:val="00BF4B90"/>
    <w:rsid w:val="00BF780B"/>
    <w:rsid w:val="00C00128"/>
    <w:rsid w:val="00C02236"/>
    <w:rsid w:val="00C02C23"/>
    <w:rsid w:val="00C02C6A"/>
    <w:rsid w:val="00C05443"/>
    <w:rsid w:val="00C05589"/>
    <w:rsid w:val="00C075A4"/>
    <w:rsid w:val="00C10B81"/>
    <w:rsid w:val="00C10D1F"/>
    <w:rsid w:val="00C12392"/>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25A"/>
    <w:rsid w:val="00C365BA"/>
    <w:rsid w:val="00C36E90"/>
    <w:rsid w:val="00C37760"/>
    <w:rsid w:val="00C379C4"/>
    <w:rsid w:val="00C408EC"/>
    <w:rsid w:val="00C40BC0"/>
    <w:rsid w:val="00C41E75"/>
    <w:rsid w:val="00C427D6"/>
    <w:rsid w:val="00C45064"/>
    <w:rsid w:val="00C4592B"/>
    <w:rsid w:val="00C47992"/>
    <w:rsid w:val="00C50C02"/>
    <w:rsid w:val="00C52B71"/>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878BE"/>
    <w:rsid w:val="00C90227"/>
    <w:rsid w:val="00C903AB"/>
    <w:rsid w:val="00C915DE"/>
    <w:rsid w:val="00C929DD"/>
    <w:rsid w:val="00C93698"/>
    <w:rsid w:val="00CA0412"/>
    <w:rsid w:val="00CA1F00"/>
    <w:rsid w:val="00CA2EE6"/>
    <w:rsid w:val="00CA33C7"/>
    <w:rsid w:val="00CA5F04"/>
    <w:rsid w:val="00CA61A0"/>
    <w:rsid w:val="00CB022F"/>
    <w:rsid w:val="00CB462E"/>
    <w:rsid w:val="00CB4BAA"/>
    <w:rsid w:val="00CB506F"/>
    <w:rsid w:val="00CC03DA"/>
    <w:rsid w:val="00CC0640"/>
    <w:rsid w:val="00CC37E5"/>
    <w:rsid w:val="00CC3B51"/>
    <w:rsid w:val="00CC400E"/>
    <w:rsid w:val="00CC5EE3"/>
    <w:rsid w:val="00CC78E0"/>
    <w:rsid w:val="00CC7D21"/>
    <w:rsid w:val="00CD11B6"/>
    <w:rsid w:val="00CD4EFE"/>
    <w:rsid w:val="00CD705D"/>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1B05"/>
    <w:rsid w:val="00D2213B"/>
    <w:rsid w:val="00D227C2"/>
    <w:rsid w:val="00D245FB"/>
    <w:rsid w:val="00D254A5"/>
    <w:rsid w:val="00D33375"/>
    <w:rsid w:val="00D352D9"/>
    <w:rsid w:val="00D35509"/>
    <w:rsid w:val="00D36F7E"/>
    <w:rsid w:val="00D373E1"/>
    <w:rsid w:val="00D3753F"/>
    <w:rsid w:val="00D37A4B"/>
    <w:rsid w:val="00D40BB7"/>
    <w:rsid w:val="00D41FA8"/>
    <w:rsid w:val="00D42417"/>
    <w:rsid w:val="00D4297F"/>
    <w:rsid w:val="00D434DD"/>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974E0"/>
    <w:rsid w:val="00DA0E06"/>
    <w:rsid w:val="00DA40F0"/>
    <w:rsid w:val="00DA5801"/>
    <w:rsid w:val="00DA6090"/>
    <w:rsid w:val="00DA6CF2"/>
    <w:rsid w:val="00DB4209"/>
    <w:rsid w:val="00DB6222"/>
    <w:rsid w:val="00DB71BA"/>
    <w:rsid w:val="00DB739F"/>
    <w:rsid w:val="00DB7E31"/>
    <w:rsid w:val="00DC1BD4"/>
    <w:rsid w:val="00DC3ED1"/>
    <w:rsid w:val="00DC4628"/>
    <w:rsid w:val="00DC6BEA"/>
    <w:rsid w:val="00DC7317"/>
    <w:rsid w:val="00DD12B3"/>
    <w:rsid w:val="00DD1995"/>
    <w:rsid w:val="00DD1A9F"/>
    <w:rsid w:val="00DD1AF7"/>
    <w:rsid w:val="00DD4661"/>
    <w:rsid w:val="00DD5037"/>
    <w:rsid w:val="00DD5C89"/>
    <w:rsid w:val="00DD7880"/>
    <w:rsid w:val="00DD7935"/>
    <w:rsid w:val="00DD7A23"/>
    <w:rsid w:val="00DE13FD"/>
    <w:rsid w:val="00DE1D1B"/>
    <w:rsid w:val="00DE23F4"/>
    <w:rsid w:val="00DE2494"/>
    <w:rsid w:val="00DE283C"/>
    <w:rsid w:val="00DE4085"/>
    <w:rsid w:val="00DF0354"/>
    <w:rsid w:val="00DF2C39"/>
    <w:rsid w:val="00DF2F7E"/>
    <w:rsid w:val="00DF561F"/>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27F18"/>
    <w:rsid w:val="00E315C8"/>
    <w:rsid w:val="00E3278B"/>
    <w:rsid w:val="00E34C21"/>
    <w:rsid w:val="00E35B7D"/>
    <w:rsid w:val="00E368D6"/>
    <w:rsid w:val="00E37B85"/>
    <w:rsid w:val="00E37CF7"/>
    <w:rsid w:val="00E403BF"/>
    <w:rsid w:val="00E41819"/>
    <w:rsid w:val="00E41939"/>
    <w:rsid w:val="00E4401A"/>
    <w:rsid w:val="00E44AE6"/>
    <w:rsid w:val="00E46F66"/>
    <w:rsid w:val="00E47383"/>
    <w:rsid w:val="00E50A08"/>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6B95"/>
    <w:rsid w:val="00E779B7"/>
    <w:rsid w:val="00E77A50"/>
    <w:rsid w:val="00E8084A"/>
    <w:rsid w:val="00E810A3"/>
    <w:rsid w:val="00E812B2"/>
    <w:rsid w:val="00E84E10"/>
    <w:rsid w:val="00E85C42"/>
    <w:rsid w:val="00E905D4"/>
    <w:rsid w:val="00E91FD4"/>
    <w:rsid w:val="00E948E4"/>
    <w:rsid w:val="00E94D94"/>
    <w:rsid w:val="00E96001"/>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D5A7A"/>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6844"/>
    <w:rsid w:val="00F07336"/>
    <w:rsid w:val="00F10753"/>
    <w:rsid w:val="00F10FA6"/>
    <w:rsid w:val="00F1599B"/>
    <w:rsid w:val="00F15ACC"/>
    <w:rsid w:val="00F178A6"/>
    <w:rsid w:val="00F20AEF"/>
    <w:rsid w:val="00F2228F"/>
    <w:rsid w:val="00F22A97"/>
    <w:rsid w:val="00F23533"/>
    <w:rsid w:val="00F23C21"/>
    <w:rsid w:val="00F23E7C"/>
    <w:rsid w:val="00F26E4E"/>
    <w:rsid w:val="00F27614"/>
    <w:rsid w:val="00F305A7"/>
    <w:rsid w:val="00F31DC7"/>
    <w:rsid w:val="00F326B3"/>
    <w:rsid w:val="00F32CA6"/>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A6174"/>
    <w:rsid w:val="00FB41E1"/>
    <w:rsid w:val="00FB6150"/>
    <w:rsid w:val="00FB7807"/>
    <w:rsid w:val="00FB7AB0"/>
    <w:rsid w:val="00FC26B5"/>
    <w:rsid w:val="00FC296F"/>
    <w:rsid w:val="00FC54F6"/>
    <w:rsid w:val="00FC5505"/>
    <w:rsid w:val="00FC5EF5"/>
    <w:rsid w:val="00FD14C0"/>
    <w:rsid w:val="00FD1B1E"/>
    <w:rsid w:val="00FD2E76"/>
    <w:rsid w:val="00FD48F4"/>
    <w:rsid w:val="00FD65F1"/>
    <w:rsid w:val="00FD71D3"/>
    <w:rsid w:val="00FE09E0"/>
    <w:rsid w:val="00FE1B20"/>
    <w:rsid w:val="00FE21EF"/>
    <w:rsid w:val="00FE37C1"/>
    <w:rsid w:val="00FE4809"/>
    <w:rsid w:val="00FE4AC5"/>
    <w:rsid w:val="00FE7D9F"/>
    <w:rsid w:val="00FF15B4"/>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FA63BE02-7648-4492-93E2-BD481257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paragraph" w:styleId="Title">
    <w:name w:val="Title"/>
    <w:basedOn w:val="Normal"/>
    <w:link w:val="TitleChar"/>
    <w:uiPriority w:val="10"/>
    <w:qFormat/>
    <w:rsid w:val="007E4EEE"/>
    <w:pPr>
      <w:widowControl/>
      <w:overflowPunct/>
      <w:autoSpaceDE/>
      <w:autoSpaceDN/>
      <w:adjustRightInd/>
      <w:spacing w:before="100" w:beforeAutospacing="1" w:after="100" w:afterAutospacing="1"/>
      <w:textAlignment w:val="auto"/>
    </w:pPr>
    <w:rPr>
      <w:rFonts w:ascii="Times New Roman" w:hAnsi="Times New Roman" w:eastAsiaTheme="minorEastAsia"/>
      <w:szCs w:val="24"/>
    </w:rPr>
  </w:style>
  <w:style w:type="character" w:customStyle="1" w:styleId="TitleChar">
    <w:name w:val="Title Char"/>
    <w:basedOn w:val="DefaultParagraphFont"/>
    <w:link w:val="Title"/>
    <w:uiPriority w:val="10"/>
    <w:rsid w:val="007E4EEE"/>
    <w:rPr>
      <w:rFonts w:eastAsiaTheme="minorEastAsia"/>
      <w:sz w:val="24"/>
      <w:szCs w:val="24"/>
    </w:rPr>
  </w:style>
  <w:style w:type="paragraph" w:styleId="Subtitle">
    <w:name w:val="Subtitle"/>
    <w:basedOn w:val="Normal"/>
    <w:link w:val="SubtitleChar"/>
    <w:uiPriority w:val="11"/>
    <w:qFormat/>
    <w:rsid w:val="007E4EEE"/>
    <w:pPr>
      <w:widowControl/>
      <w:overflowPunct/>
      <w:autoSpaceDE/>
      <w:autoSpaceDN/>
      <w:adjustRightInd/>
      <w:spacing w:before="100" w:beforeAutospacing="1" w:after="100" w:afterAutospacing="1"/>
      <w:textAlignment w:val="auto"/>
    </w:pPr>
    <w:rPr>
      <w:rFonts w:ascii="Times New Roman" w:hAnsi="Times New Roman" w:eastAsiaTheme="minorEastAsia"/>
      <w:szCs w:val="24"/>
    </w:rPr>
  </w:style>
  <w:style w:type="character" w:customStyle="1" w:styleId="SubtitleChar">
    <w:name w:val="Subtitle Char"/>
    <w:basedOn w:val="DefaultParagraphFont"/>
    <w:link w:val="Subtitle"/>
    <w:uiPriority w:val="11"/>
    <w:rsid w:val="007E4EEE"/>
    <w:rPr>
      <w:rFonts w:eastAsiaTheme="minorEastAsia"/>
      <w:sz w:val="24"/>
      <w:szCs w:val="24"/>
    </w:rPr>
  </w:style>
  <w:style w:type="character" w:customStyle="1" w:styleId="Heading1Char">
    <w:name w:val="Heading 1 Char"/>
    <w:basedOn w:val="DefaultParagraphFont"/>
    <w:link w:val="Heading1"/>
    <w:uiPriority w:val="9"/>
    <w:rsid w:val="007E4EE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ifa.usda.gov/grants/programs/capacity-grants/efnep/impacts-reporting-national-efnep-reports" TargetMode="External" /><Relationship Id="rId11" Type="http://schemas.openxmlformats.org/officeDocument/2006/relationships/hyperlink" Target="https://reeis.usda.gov/reports-and-documents/efnep" TargetMode="External" /><Relationship Id="rId12" Type="http://schemas.openxmlformats.org/officeDocument/2006/relationships/hyperlink" Target="https://www.nifa.usda.gov/sites/default/files/resource/EFNEP%20Basics%20-%20New%20Coordinator%20Guide%20-%20rev%2004.01.2016.pdf" TargetMode="External" /><Relationship Id="rId13" Type="http://schemas.openxmlformats.org/officeDocument/2006/relationships/hyperlink" Target="mailto:labenave@ncsu.edu" TargetMode="External" /><Relationship Id="rId14" Type="http://schemas.openxmlformats.org/officeDocument/2006/relationships/hyperlink" Target="mailto:samantha.devaney@sdstate.edu" TargetMode="External" /><Relationship Id="rId15" Type="http://schemas.openxmlformats.org/officeDocument/2006/relationships/hyperlink" Target="mailto:aroe@uidaho.edu" TargetMode="External" /><Relationship Id="rId16" Type="http://schemas.openxmlformats.org/officeDocument/2006/relationships/hyperlink" Target="mailto:vmzoumenou@umes.edu" TargetMode="External" /><Relationship Id="rId17" Type="http://schemas.openxmlformats.org/officeDocument/2006/relationships/hyperlink" Target="mailto:sauter@nmsu.edu" TargetMode="External" /><Relationship Id="rId18" Type="http://schemas.openxmlformats.org/officeDocument/2006/relationships/hyperlink" Target="mailto:maire.folan@uvm.edu" TargetMode="External" /><Relationship Id="rId19" Type="http://schemas.openxmlformats.org/officeDocument/2006/relationships/hyperlink" Target="mailto:kathryn.boryc@wisc.edu" TargetMode="External" /><Relationship Id="rId2" Type="http://schemas.openxmlformats.org/officeDocument/2006/relationships/endnotes" Target="endnotes.xml" /><Relationship Id="rId20" Type="http://schemas.openxmlformats.org/officeDocument/2006/relationships/hyperlink" Target="https://www.bls.gov/ooh/education-training-and-library/teacher-assistants.htm" TargetMode="External" /><Relationship Id="rId21" Type="http://schemas.openxmlformats.org/officeDocument/2006/relationships/hyperlink" Target="https://www.bls.gov/ooh/education-training-and-library/postsecondary-teachers.htm" TargetMode="External" /><Relationship Id="rId22" Type="http://schemas.openxmlformats.org/officeDocument/2006/relationships/hyperlink" Target="http://nifa.usda.gov/efnep-national-data-reports"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df38bbad-0bb0-41a7-b78f-084b382b3af7">
      <Terms xmlns="http://schemas.microsoft.com/office/infopath/2007/PartnerControls"/>
    </lcf76f155ced4ddcb4097134ff3c332f>
    <Selected xmlns="df38bbad-0bb0-41a7-b78f-084b382b3af7"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7" ma:contentTypeDescription="Create a new document." ma:contentTypeScope="" ma:versionID="a1ad94e676db3484a58fd911c96abe52">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d4510b76eca3219059da8014117cd952"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Selec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elected" ma:index="23" nillable="true" ma:displayName="Selected" ma:format="Dropdown" ma:internalName="Selected">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3b9ebb-c369-4a92-bb3e-9cdb5e71ac33}"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df38bbad-0bb0-41a7-b78f-084b382b3af7"/>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4.xml><?xml version="1.0" encoding="utf-8"?>
<ds:datastoreItem xmlns:ds="http://schemas.openxmlformats.org/officeDocument/2006/customXml" ds:itemID="{08C227CF-D416-45DA-878B-341EC03E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Gronlund, Heather - REE-NIFA</cp:lastModifiedBy>
  <cp:revision>4</cp:revision>
  <cp:lastPrinted>2013-08-08T14:23:00Z</cp:lastPrinted>
  <dcterms:created xsi:type="dcterms:W3CDTF">2026-05-29T15:04:00Z</dcterms:created>
  <dcterms:modified xsi:type="dcterms:W3CDTF">2026-05-29T16:49:00Z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docLang">
    <vt:lpwstr>en</vt:lpwstr>
  </property>
  <property fmtid="{D5CDD505-2E9C-101B-9397-08002B2CF9AE}" pid="4" name="MediaServiceImageTags">
    <vt:lpwstr/>
  </property>
  <property fmtid="{D5CDD505-2E9C-101B-9397-08002B2CF9AE}" pid="5" name="Order">
    <vt:r8>500</vt:r8>
  </property>
  <property fmtid="{D5CDD505-2E9C-101B-9397-08002B2CF9AE}" pid="6" name="TemplateUrl">
    <vt:lpwstr/>
  </property>
  <property fmtid="{D5CDD505-2E9C-101B-9397-08002B2CF9AE}" pid="7" name="xd_ProgID">
    <vt:lpwstr/>
  </property>
  <property fmtid="{D5CDD505-2E9C-101B-9397-08002B2CF9AE}" pid="8" name="_dlc_DocId">
    <vt:lpwstr>PAT56XDWNNC6-1500440792-5</vt:lpwstr>
  </property>
  <property fmtid="{D5CDD505-2E9C-101B-9397-08002B2CF9AE}" pid="9" name="_dlc_DocIdItemGuid">
    <vt:lpwstr>f9460f86-ccb2-45e2-9293-8cbabf720072</vt:lpwstr>
  </property>
  <property fmtid="{D5CDD505-2E9C-101B-9397-08002B2CF9AE}" pid="10" name="_dlc_DocIdUrl">
    <vt:lpwstr>https://fncspro.usda.net/offices/ops/prao/_layouts/15/DocIdRedir.aspx?ID=PAT56XDWNNC6-1500440792-5, PAT56XDWNNC6-1500440792-5</vt:lpwstr>
  </property>
</Properties>
</file>